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735234" w14:textId="234CC3B7" w:rsidR="00ED0B89" w:rsidRDefault="009E06DA" w:rsidP="00C67B64">
      <w:pPr>
        <w:pStyle w:val="Default"/>
        <w:spacing w:before="20" w:afterLines="20" w:after="48"/>
        <w:contextualSpacing/>
        <w:jc w:val="center"/>
        <w:rPr>
          <w:rFonts w:asciiTheme="majorBidi" w:hAnsiTheme="majorBidi" w:cstheme="majorBidi"/>
          <w:b/>
          <w:bCs/>
          <w:i/>
          <w:iCs/>
          <w:sz w:val="22"/>
          <w:szCs w:val="22"/>
        </w:rPr>
      </w:pPr>
      <w:r>
        <w:rPr>
          <w:rFonts w:asciiTheme="majorBidi" w:hAnsiTheme="majorBidi" w:cstheme="majorBidi"/>
          <w:b/>
          <w:bCs/>
          <w:i/>
          <w:iCs/>
          <w:sz w:val="22"/>
          <w:szCs w:val="22"/>
        </w:rPr>
        <w:t>“</w:t>
      </w:r>
      <w:r w:rsidR="006104B1" w:rsidRPr="006104B1">
        <w:rPr>
          <w:rFonts w:asciiTheme="majorBidi" w:hAnsiTheme="majorBidi" w:cstheme="majorBidi"/>
          <w:b/>
          <w:bCs/>
          <w:i/>
          <w:iCs/>
          <w:sz w:val="22"/>
          <w:szCs w:val="22"/>
          <w:u w:val="single"/>
        </w:rPr>
        <w:t>The use of Angelman syndrome model mice for finding metabolomic biomarkers to optimize transcranial direct stimulation as a therapeutic strategy</w:t>
      </w:r>
      <w:r w:rsidR="00B765F6" w:rsidRPr="00B12FA8">
        <w:rPr>
          <w:rFonts w:asciiTheme="majorBidi" w:hAnsiTheme="majorBidi" w:cstheme="majorBidi"/>
          <w:b/>
          <w:bCs/>
          <w:i/>
          <w:iCs/>
          <w:sz w:val="22"/>
          <w:szCs w:val="22"/>
          <w:u w:val="single"/>
        </w:rPr>
        <w:t>.</w:t>
      </w:r>
      <w:r>
        <w:rPr>
          <w:rFonts w:asciiTheme="majorBidi" w:hAnsiTheme="majorBidi" w:cstheme="majorBidi"/>
          <w:b/>
          <w:bCs/>
          <w:i/>
          <w:iCs/>
          <w:sz w:val="22"/>
          <w:szCs w:val="22"/>
        </w:rPr>
        <w:t>”</w:t>
      </w:r>
    </w:p>
    <w:p w14:paraId="525DAFD7" w14:textId="77777777" w:rsidR="006104B1" w:rsidRDefault="006104B1" w:rsidP="00C67B64">
      <w:pPr>
        <w:bidi w:val="0"/>
        <w:spacing w:before="20" w:afterLines="20" w:after="48" w:line="240" w:lineRule="auto"/>
        <w:contextualSpacing/>
        <w:jc w:val="both"/>
        <w:rPr>
          <w:rFonts w:asciiTheme="majorBidi" w:hAnsiTheme="majorBidi" w:cstheme="majorBidi"/>
          <w:b/>
          <w:bCs/>
          <w:i/>
          <w:iCs/>
        </w:rPr>
      </w:pPr>
    </w:p>
    <w:p w14:paraId="109FC0BE" w14:textId="52FD16BA" w:rsidR="00C64A36" w:rsidRDefault="009F2267" w:rsidP="00C67B64">
      <w:pPr>
        <w:bidi w:val="0"/>
        <w:spacing w:before="20" w:afterLines="20" w:after="48" w:line="240" w:lineRule="auto"/>
        <w:contextualSpacing/>
        <w:jc w:val="both"/>
        <w:rPr>
          <w:rFonts w:asciiTheme="majorBidi" w:hAnsiTheme="majorBidi" w:cstheme="majorBidi"/>
          <w:b/>
          <w:bCs/>
        </w:rPr>
      </w:pPr>
      <w:r w:rsidRPr="00B12FA8">
        <w:rPr>
          <w:rFonts w:asciiTheme="majorBidi" w:hAnsiTheme="majorBidi" w:cstheme="majorBidi"/>
          <w:b/>
          <w:bCs/>
          <w:i/>
          <w:iCs/>
        </w:rPr>
        <w:t>Background:</w:t>
      </w:r>
      <w:r w:rsidR="00C23A45" w:rsidRPr="00B12FA8">
        <w:rPr>
          <w:rFonts w:asciiTheme="majorBidi" w:hAnsiTheme="majorBidi" w:cstheme="majorBidi"/>
          <w:b/>
          <w:bCs/>
        </w:rPr>
        <w:t xml:space="preserve"> </w:t>
      </w:r>
    </w:p>
    <w:p w14:paraId="57EB49CA" w14:textId="77777777" w:rsidR="00903289" w:rsidRPr="00B12FA8" w:rsidRDefault="00903289" w:rsidP="00C67B64">
      <w:pPr>
        <w:bidi w:val="0"/>
        <w:spacing w:before="20" w:afterLines="20" w:after="48" w:line="240" w:lineRule="auto"/>
        <w:contextualSpacing/>
        <w:jc w:val="both"/>
        <w:rPr>
          <w:rFonts w:asciiTheme="majorBidi" w:hAnsiTheme="majorBidi" w:cstheme="majorBidi"/>
          <w:b/>
          <w:bCs/>
        </w:rPr>
      </w:pPr>
    </w:p>
    <w:p w14:paraId="43993D49" w14:textId="04869673" w:rsidR="001626AD" w:rsidRPr="00B12FA8" w:rsidRDefault="002702D9" w:rsidP="00C67B64">
      <w:pPr>
        <w:bidi w:val="0"/>
        <w:spacing w:before="20" w:afterLines="20" w:after="48" w:line="240" w:lineRule="auto"/>
        <w:ind w:firstLine="426"/>
        <w:contextualSpacing/>
        <w:jc w:val="both"/>
        <w:rPr>
          <w:rFonts w:asciiTheme="majorBidi" w:hAnsiTheme="majorBidi" w:cstheme="majorBidi"/>
        </w:rPr>
      </w:pPr>
      <w:r w:rsidRPr="00B12FA8">
        <w:rPr>
          <w:rFonts w:asciiTheme="majorBidi" w:hAnsiTheme="majorBidi" w:cstheme="majorBidi"/>
          <w:b/>
          <w:bCs/>
          <w:i/>
          <w:iCs/>
        </w:rPr>
        <w:t>Angelman syndrome (AS)</w:t>
      </w:r>
      <w:r w:rsidRPr="00B12FA8">
        <w:rPr>
          <w:rFonts w:asciiTheme="majorBidi" w:hAnsiTheme="majorBidi" w:cstheme="majorBidi"/>
        </w:rPr>
        <w:t xml:space="preserve"> </w:t>
      </w:r>
      <w:r w:rsidR="001626AD" w:rsidRPr="00B12FA8">
        <w:rPr>
          <w:rFonts w:asciiTheme="majorBidi" w:hAnsiTheme="majorBidi" w:cstheme="majorBidi"/>
        </w:rPr>
        <w:t xml:space="preserve">is a genetic neurodevelopmental disorder caused by a lack of </w:t>
      </w:r>
      <w:r w:rsidR="00277C72" w:rsidRPr="00B12FA8">
        <w:rPr>
          <w:rFonts w:asciiTheme="majorBidi" w:hAnsiTheme="majorBidi" w:cstheme="majorBidi"/>
        </w:rPr>
        <w:t>e</w:t>
      </w:r>
      <w:r w:rsidR="001626AD" w:rsidRPr="00B12FA8">
        <w:rPr>
          <w:rFonts w:asciiTheme="majorBidi" w:hAnsiTheme="majorBidi" w:cstheme="majorBidi"/>
        </w:rPr>
        <w:t>xpression of the maternal 15q11-q13 chromosome region containing the UBE3A gene. AS is characterized by a developmental delay, absence of speech, gait ataxia, epilepsy, and a unique behavioral phenotype</w:t>
      </w:r>
      <w:r w:rsidRPr="00B12FA8">
        <w:rPr>
          <w:rFonts w:asciiTheme="majorBidi" w:hAnsiTheme="majorBidi" w:cstheme="majorBidi"/>
          <w:vertAlign w:val="superscript"/>
        </w:rPr>
        <w:fldChar w:fldCharType="begin" w:fldLock="1"/>
      </w:r>
      <w:r w:rsidR="006104B1">
        <w:rPr>
          <w:rFonts w:asciiTheme="majorBidi" w:hAnsiTheme="majorBidi" w:cstheme="majorBidi"/>
          <w:vertAlign w:val="superscript"/>
        </w:rPr>
        <w:instrText>ADDIN CSL_CITATION {"citationItems":[{"id":"ITEM-1","itemData":{"DOI":"10.1111/febs.15258","ISSN":"17424658","PMID":"32087041","abstract":"Angelman syndrome (AS) is an incurable neurodevelopmental disease caused by loss of function of the maternally inherited UBE3A gene. AS is characterized by a defined set of symptoms, namely severe developmental delay, speech impairment, uncontrolled laughter, and ataxia. Current understanding of the pathophysiology of AS relies mostly on studies using the murine model of the disease, although alternative models based on patient-derived stem cells are now emerging. Here, we summarize the literature of the last decade concerning the three major brain areas that have been the subject of study in the context of AS: hippocampus, cortex, and the cerebellum. Our comprehensive analysis highlights the major phenotypes ascribed to the different brain areas. Moreover, we also discuss the major drawbacks of current models and point out future directions for research in the context of AS, which will hopefully lead us to an effective treatment of this condition in humans.","author":[{"dropping-particle":"","family":"Maranga","given":"Carina","non-dropping-particle":"","parse-names":false,"suffix":""},{"dropping-particle":"","family":"Fernandes","given":"Tiago G.","non-dropping-particle":"","parse-names":false,"suffix":""},{"dropping-particle":"","family":"Bekman","given":"Evguenia","non-dropping-particle":"","parse-names":false,"suffix":""},{"dropping-particle":"","family":"Rocha","given":"Simão Teixeira","non-dropping-particle":"da","parse-names":false,"suffix":""}],"container-title":"FEBS Journal","id":"ITEM-1","issue":"11","issued":{"date-parts":[["2020"]]},"page":"2154-2175","title":"Angelman syndrome: a journey through the brain","type":"article-journal","volume":"287"},"uris":["http://www.mendeley.com/documents/?uuid=e0b30dad-d36a-4922-823a-225f27a713c1"]}],"mendeley":{"formattedCitation":"&lt;sup&gt;1&lt;/sup&gt;","plainTextFormattedCitation":"1","previouslyFormattedCitation":"&lt;sup&gt;1&lt;/sup&gt;"},"properties":{"noteIndex":0},"schema":"https://github.com/citation-style-language/schema/raw/master/csl-citation.json"}</w:instrText>
      </w:r>
      <w:r w:rsidRPr="00B12FA8">
        <w:rPr>
          <w:rFonts w:asciiTheme="majorBidi" w:hAnsiTheme="majorBidi" w:cstheme="majorBidi"/>
          <w:vertAlign w:val="superscript"/>
        </w:rPr>
        <w:fldChar w:fldCharType="separate"/>
      </w:r>
      <w:r w:rsidR="006104B1" w:rsidRPr="006104B1">
        <w:rPr>
          <w:rFonts w:asciiTheme="majorBidi" w:hAnsiTheme="majorBidi" w:cstheme="majorBidi"/>
          <w:noProof/>
          <w:vertAlign w:val="superscript"/>
        </w:rPr>
        <w:t>1</w:t>
      </w:r>
      <w:r w:rsidRPr="00B12FA8">
        <w:rPr>
          <w:rFonts w:asciiTheme="majorBidi" w:hAnsiTheme="majorBidi" w:cstheme="majorBidi"/>
          <w:vertAlign w:val="superscript"/>
        </w:rPr>
        <w:fldChar w:fldCharType="end"/>
      </w:r>
      <w:r w:rsidRPr="00B12FA8">
        <w:rPr>
          <w:rFonts w:asciiTheme="majorBidi" w:hAnsiTheme="majorBidi" w:cstheme="majorBidi"/>
        </w:rPr>
        <w:t xml:space="preserve">. </w:t>
      </w:r>
      <w:r w:rsidR="001626AD" w:rsidRPr="00B12FA8">
        <w:rPr>
          <w:rFonts w:asciiTheme="majorBidi" w:hAnsiTheme="majorBidi" w:cstheme="majorBidi"/>
        </w:rPr>
        <w:t xml:space="preserve">AS patients require lifelong care and support, resulting in a significant socioeconomic burden on the healthcare system, their families, and caregivers. Currently, no AS-specific treatments exist, and the available therapies are symptomatic at best. AS shares many common features with multiple other autism spectrum disorders and thus can serve as a principal model for understanding and treating autism in general. The knockout of </w:t>
      </w:r>
      <w:r w:rsidR="00736B7F" w:rsidRPr="00B12FA8">
        <w:rPr>
          <w:rFonts w:asciiTheme="majorBidi" w:hAnsiTheme="majorBidi" w:cstheme="majorBidi"/>
        </w:rPr>
        <w:t xml:space="preserve">the UBE3A gene </w:t>
      </w:r>
      <w:r w:rsidR="001626AD" w:rsidRPr="00B12FA8">
        <w:rPr>
          <w:rFonts w:asciiTheme="majorBidi" w:hAnsiTheme="majorBidi" w:cstheme="majorBidi"/>
        </w:rPr>
        <w:t xml:space="preserve">in mice recapitulates many features of AS (e.g., motor dysfunction, aberrant behavior, and cognitive deficits), making this model an efficient tool for investigating this disease </w:t>
      </w:r>
      <w:r w:rsidR="001626AD"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{"citationItems":[{"id":"ITEM-1","itemData":{"DOI":"10.1016/S0896-6273(00)80596-6","ISSN":"0896-6273","abstract":"The E6-AP ubiquitin ligase (human/mouse gene UBE3A/Ube3a) promotes the degradation of p53 in association with papilloma E6 protein, and maternal deficiency causes human Angelman syndrome (AS). Ube3a is imprinted with silencing of the paternal allele in hippocampus and cerebellum in mice. We found that the phenotype of mice with maternal deficiency (m−/p+) for Ube3a resembles human AS with motor dysfunction, inducible seizures, and a context-dependent learning deficit. Long-term potentiation (LTP) was severely impaired in m−/p+ mice despite normal baseline synaptic transmission and neuroanatomy, indicating that ubiquitination may play a role in mammalian LTP and that LTP may be abnormal in AS. The cytoplasmic abundance of p53 was increased in postmitotic neurons in m−/p+ mice and in AS, providing a potential biochemical basis for the phenotype through failure to ubiquitinate and degrade various effectors.","author":[{"dropping-particle":"","family":"Jiang","given":"Yong-hui","non-dropping-particle":"","parse-names":false,"suffix":""},{"dropping-particle":"","family":"Armstrong","given":"Dawna","non-dropping-particle":"","parse-names":false,"suffix":""},{"dropping-particle":"","family":"Albrecht","given":"Urs","non-dropping-particle":"","parse-names":false,"suffix":""},{"dropping-particle":"","family":"Atkins","given":"Coleen M","non-dropping-particle":"","parse-names":false,"suffix":""},{"dropping-particle":"","family":"Noebels","given":"Jeffrey L","non-dropping-particle":"","parse-names":false,"suffix":""},{"dropping-particle":"","family":"Eichele","given":"Gregor","non-dropping-particle":"","parse-names":false,"suffix":""},{"dropping-particle":"","family":"Sweatt","given":"J.David","non-dropping-particle":"","parse-names":false,"suffix":""},{"dropping-particle":"","family":"Beaudet","given":"Arthur L","non-dropping-particle":"","parse-names":false,"suffix":""}],"container-title":"Neuron","id":"ITEM-1","issue":"4","issued":{"date-parts":[["1998","10"]]},"page":"799-811","publisher":"Cell Press","title":"Mutation of the Angelman Ubiquitin Ligase in Mice Causes Increased Cytoplasmic p53 and Deficits of Contextual Learning and Long-Term Potentiation","type":"article-journal","volume":"21"},"uris":["http://www.mendeley.com/documents/?uuid=75db7b42-a060-4380-b912-89a263a026f5"]},{"id":"ITEM-2","itemData":{"DOI":"10.1006/nbdi.2001.0463","ISBN":"0969-9961 (Print)\\n0969-9961 (Linking)","ISSN":"09699961","PMID":"11895368","abstract":"Angelman syndrome (AS), characterized by motor dysfunction, mental retardation, and seizures, is caused by several genetic etiologies involving chromosome 15q11-q13, including mutations of the UBE3A gene. UBE3A encodes UBE3A/E6-AP, a ubiquitin-protein ligase, and shows brain-specific imprinting, with brain expression predominantly from the maternal allele. Lack of a functional maternal allele of UBE3A causes AS. In order to understand the causal relationship between maternal UBE3A mutations and AS, we have constructed a mouse model with targeted inactivation of Ube3a. The inactive allele contains a lacZ reporter gene for analysis of brain-specific imprinting. Maternal, but not paternal, transmission of the targeted allele leads to beta-galactosidase activity in hippocampal and cerebellar neurons. Maternal inheritance of the Ube3a mutant allele also causes impaired performance in tests of motor function and spatial learning, as well as abnormal hippocampal EEG recordings. As predicted from the dependence of UBE3A-mediated ubiquitination of p53 on HPV E6 protein, our maternal-deficient mice show normal brain p53 levels.","author":[{"dropping-particle":"","family":"Miura","given":"Kiyonori","non-dropping-particle":"","parse-names":false,"suffix":""},{"dropping-particle":"","family":"Kishino","given":"Tatsuya","non-dropping-particle":"","parse-names":false,"suffix":""},{"dropping-particle":"","family":"Li","given":"En","non-dropping-particle":"","parse-names":false,"suffix":""},{"dropping-particle":"","family":"Webber","given":"Hayley","non-dropping-particle":"","parse-names":false,"suffix":""},{"dropping-particle":"","family":"Dikkes","given":"Pieter","non-dropping-particle":"","parse-names":false,"suffix":""},{"dropping-particle":"","family":"Holmes","given":"Gregory L.","non-dropping-particle":"","parse-names":false,"suffix":""},{"dropping-particle":"","family":"Wagstaff","given":"Joseph","non-dropping-particle":"","parse-names":false,"suffix":""}],"container-title":"Neurobiology of Disease","id":"ITEM-2","issue":"2","issued":{"date-parts":[["2002","3"]]},"page":"149-159","publisher":"Academic Press","publisher-place":"Department of Obstetrics and Gynecology, Nagasaki University School of Medicine, Nagasaki, Japan., Nagasaki University School of Medicine, Nagasaki, Japan.","title":"Neurobehavioral and Electroencephalographic Abnormalities in Ube3aMaternal-Deficient Mice","type":"article-journal","volume":"9"},"uris":["http://www.mendeley.com/documents/?uuid=4c6cc5d6-da6a-4d46-b8ce-da100914136e","http://www.mendeley.com/documents/?uuid=9770be97-2361-42a7-96d3-910e252c2e42"]},{"id":"ITEM-3","itemData":{"DOI":"10.1038/nn1845","ISBN":"1097-6256 (Print) 1097-6256 (Linking)","ISSN":"1097-6256","PMID":"17259980","abstract":"Angelman syndrome (AS) is a severe neurological disorder characterized by mental retardation, motor dysfunction and epilepsy. We show that the molecular and cellular deficits of an AS mouse model can be rescued by introducing an additional mutation at the inhibitory phosphorylation site of alphaCaMKII. Moreover, these double mutants no longer show the behavioral deficits seen in AS mice, suggesting that these deficits are the direct result of increased inhibitory phosphorylation of alphaCaMKII.","author":[{"dropping-particle":"","family":"Woerden","given":"Geeske M","non-dropping-particle":"van","parse-names":false,"suffix":""},{"dropping-particle":"","family":"Harris","given":"Karen D","non-dropping-particle":"","parse-names":false,"suffix":""},{"dropping-particle":"","family":"Hojjati","given":"Mohammad Reza","non-dropping-particle":"","parse-names":false,"suffix":""},{"dropping-particle":"","family":"Gustin","given":"Richard M","non-dropping-particle":"","parse-names":false,"suffix":""},{"dropping-particle":"","family":"Qiu","given":"Shenfeng","non-dropping-particle":"","parse-names":false,"suffix":""},{"dropping-particle":"","family":"Avila Freire","given":"Rogerio","non-dropping-particle":"de","parse-names":false,"suffix":""},{"dropping-particle":"","family":"Jiang","given":"Yong-hui","non-dropping-particle":"","parse-names":false,"suffix":""},{"dropping-particle":"","family":"Elgersma","given":"Ype","non-dropping-particle":"","parse-names":false,"suffix":""},{"dropping-particle":"","family":"Weeber","given":"Edwin J","non-dropping-particle":"","parse-names":false,"suffix":""}],"container-title":"Nature Neuroscience","id":"ITEM-3","issue":"3","issued":{"date-parts":[["2007","3","28"]]},"page":"280-282","publisher":"Nature Publishing Group","publisher-place":"Erasmus MC, University Medical Centre, Department of Neuroscience, Dr. Molewaterplein 50, PO Box 2040, 3000 CA, Rotterdam, The Netherlands.","title":"Rescue of neurological deficits in a mouse model for Angelman syndrome by reduction of αCaMKII inhibitory phosphorylation","type":"article-journal","volume":"10"},"uris":["http://www.mendeley.com/documents/?uuid=2e332c09-ca2b-416e-81f2-92313f9133ac","http://www.mendeley.com/documents/?uuid=1ed65253-b878-46c2-ba0f-c4d48e11d2bf"]},{"id":"ITEM-4","itemData":{"DOI":"10.1186/s13229-018-0231-7","ISSN":"20402392","PMID":"30220990","abstract":"Background: Angelman syndrome (AS) is a neurodevelopmental disorder caused by mutations affecting UBE3A function. AS is characterized by intellectual disability, impaired motor coordination, epilepsy, and behavioral abnormalities including autism spectrum disorder features. The development of treatments for AS heavily relies on the ability to test the efficacy of drugs in mouse models that show reliable, and preferably clinically relevant, phenotypes. We previously described a number of behavioral paradigms that assess phenotypes in the domains of motor performance, repetitive behavior, anxiety, and seizure susceptibility. Here, we set out to evaluate the robustness of these phenotypes when tested in a standardized test battery. We then used this behavioral test battery to assess the efficacy of minocycline and levodopa, which were recently tested in clinical trials of AS. Methods: We combined data of eight independent experiments involving 111 Ube3a mice and 120 wild-type littermate control mice. Using a meta-analysis, we determined the statistical power of the subtests and the effect of putative confounding factors, such as the effect of sex and of animal weight on rotarod performance. We further assessed the robustness of these phenotypes by comparing Ube3a mutants in different genetic backgrounds and by comparing the behavioral phenotypes of independently derived Ube3a-mutant lines. In addition, we investigated if the test battery allowed re-testing the same animals, which would allow a within-subject testing design. Results: We find that the test battery is robust across different Ube3a-mutant lines, but confirm and extend earlier studies that several phenotypes are very sensitive to genetic background. We further found that the audiogenic seizure susceptibility phenotype is fully reversible upon pharmacological treatment and highly suitable for dose-finding studies. In agreement with the clinical trial results, we found that minocycline and levodopa treatment of Ube3a mice did not show any sign of improved performance in our test battery. Conclusions: Our study provides a useful tool for preclinical drug testing to identify treatments for Angelman syndrome. Since the phenotypes are observed in several independently derived Ube3a lines, the test battery can also be employed to investigate the effect of specific Ube3a mutations on these phenotypes.","author":[{"dropping-particle":"","family":"Sonzogni","given":"Monica","non-dropping-particle":"","parse-names":false,"suffix":""},{"dropping-particle":"","family":"Wallaard","given":"Ilse","non-dropping-particle":"","parse-names":false,"suffix":""},{"dropping-particle":"","family":"Santos","given":"Sara Silva","non-dropping-particle":"","parse-names":false,"suffix":""},{"dropping-particle":"","family":"Kingma","given":"Jenina","non-dropping-particle":"","parse-names":false,"suffix":""},{"dropping-particle":"","family":"Mee","given":"Dorine","non-dropping-particle":"Du","parse-names":false,"suffix":""},{"dropping-particle":"","family":"Woerden","given":"Geeske M.","non-dropping-particle":"Van","parse-names":false,"suffix":""},{"dropping-particle":"","family":"Elgersma","given":"Ype","non-dropping-particle":"","parse-names":false,"suffix":""},{"dropping-particle":"Du","family":"Mee","given":"Dorine","non-dropping-particle":"","parse-names":false,"suffix":""},{"dropping-particle":"Van","family":"Woerden","given":"Geeske M","non-dropping-particle":"","parse-names":false,"suffix":""},{"dropping-particle":"","family":"Elgersma","given":"Ype","non-dropping-particle":"","parse-names":false,"suffix":""}],"container-title":"Molecular Autism","id":"ITEM-4","issue":"1","issued":{"date-parts":[["2018"]]},"page":"1-19","publisher":"Molecular Autism","title":"A behavioral test battery for mouse models of Angelman syndrome: A powerful tool for testing drugs and novel Ube3a mutants","type":"article-journal","volume":"9"},"uris":["http://www.mendeley.com/documents/?uuid=320ccce3-7902-4706-aaa6-58b03c759d77"]}],"mendeley":{"formattedCitation":"&lt;sup&gt;2–5&lt;/sup&gt;","plainTextFormattedCitation":"2–5","previouslyFormattedCitation":"&lt;sup&gt;2–5&lt;/sup&gt;"},"properties":{"noteIndex":0},"schema":"https://github.com/citation-style-language/schema/raw/master/csl-citation.json"}</w:instrText>
      </w:r>
      <w:r w:rsidR="001626AD"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2–5</w:t>
      </w:r>
      <w:r w:rsidR="001626AD" w:rsidRPr="00B12FA8">
        <w:rPr>
          <w:rFonts w:asciiTheme="majorBidi" w:hAnsiTheme="majorBidi" w:cstheme="majorBidi"/>
        </w:rPr>
        <w:fldChar w:fldCharType="end"/>
      </w:r>
      <w:r w:rsidR="001626AD" w:rsidRPr="00B12FA8">
        <w:rPr>
          <w:rFonts w:asciiTheme="majorBidi" w:hAnsiTheme="majorBidi" w:cstheme="majorBidi"/>
        </w:rPr>
        <w:t xml:space="preserve">. Using this model, we and others have shown that brain regions implicated in AS-related deficits correlate with aberrant cellular excitability </w:t>
      </w:r>
      <w:r w:rsidR="001626AD"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{"citationItems":[{"id":"ITEM-1","itemData":{"DOI":"10.1523/JNEUROSCI.2828-17.2018","ISSN":"0270-6474","PMID":"29431654","abstract":"Angelman syndrome (AS), a neurodevelopmental disorder associated with intellectual disability, is caused by loss of maternal allele expression of UBE3A in neurons. Mouse models of AS faithfully recapitulate disease phenotypes across multiple domains, including behavior. Yet in AS, there has been only limited study of behaviors encoded by the prefrontal cortex, a region broadly involved in executive function and cognition. Because cognitive impairment is a core feature of AS, it is critical to develop behavioral readouts of prefrontal circuit function in AS mouse models. One such readout is behavioral extinction, which has been well described mechanistically and relies upon prefrontal circuits in rodents. Here we report exaggerated operant extinction in male AS model mice, concomitant with enhanced excitability in medial prefrontal neurons from male and female AS model mice. Abnormal behavior was specific to operant extinction, as two other prefrontally dependent tasks (cued fear extinction and visuospatial discrimination) were largely normal in AS model mice. Inducible deletion of Ube3a during adulthood was not sufficient to drive abnormal extinction, supporting the hypothesis that there is an early critical period for development of cognitive phenotypes in AS. This work represents the first formal experimental analysis of prefrontal circuit function in AS, and identifies operant extinction as a useful experimental paradigm for modeling cognitive aspects of AS in mice.SIGNIFICANCE STATEMENT Prefrontal cortex encodes \"high-level\" cognitive processes. Thus, understanding prefrontal function is critical in neurodevelopmental disorders where cognitive impairment is highly penetrant. Angelman syndrome is a neurodevelopmental disorder associated with speech and motor impairments, an outwardly happy demeanor, and intellectual disability. We describe a behavioral phenotype in a mouse model of Angelman syndrome and related abnormalities in prefrontal cortex function. We hypothesize that robust and reliable prefrontally encoded behavior may be used to model cognitive impairments in Angelman syndrome.","author":[{"dropping-particle":"","family":"Sidorov","given":"Michael S.","non-dropping-particle":"","parse-names":false,"suffix":""},{"dropping-particle":"","family":"Judson","given":"Matthew C.","non-dropping-particle":"","parse-names":false,"suffix":""},{"dropping-particle":"","family":"Kim","given":"Hyojin","non-dropping-particle":"","parse-names":false,"suffix":""},{"dropping-particle":"","family":"Rougie","given":"Marie","non-dropping-particle":"","parse-names":false,"suffix":""},{"dropping-particle":"","family":"Ferrer","given":"Alejandra I.","non-dropping-particle":"","parse-names":false,"suffix":""},{"dropping-particle":"","family":"Nikolova","given":"Viktoriya D.","non-dropping-particle":"","parse-names":false,"suffix":""},{"dropping-particle":"V.","family":"Riddick","given":"Natallia","non-dropping-particle":"","parse-names":false,"suffix":""},{"dropping-particle":"","family":"Moy","given":"Sheryl S.","non-dropping-particle":"","parse-names":false,"suffix":""},{"dropping-particle":"","family":"Philpot","given":"Benjamin D.","non-dropping-particle":"","parse-names":false,"suffix":""}],"container-title":"The Journal of Neuroscience","id":"ITEM-1","issue":"11","issued":{"date-parts":[["2018","3","14"]]},"page":"2671-2682","publisher":"J Neurosci","title":"Enhanced Operant Extinction and Prefrontal Excitability in a Mouse Model of Angelman Syndrome","type":"article-journal","volume":"38"},"uris":["http://www.mendeley.com/documents/?uuid=5289b3f7-e33a-4226-a2d1-5cab283bcad1"]},{"id":"ITEM-2","itemData":{"DOI":"10.1523/JNEUROSCI.0083-18.2018","ISSN":"0270-6474","PMID":"30082419","abstract":"E3 ubiquitin ligase (UBE3A) levels in the brain need to be tightly regulated, as loss of functional UBE3A protein is responsible for the severe neurodevelopmental disorder Angelman syndrome (AS), whereas increased activity of UBE3A is associated with nonsyndromic autism. Given the role of mPFC in neurodevelopmental disorders including autism, we aimed to identify the functional changes resulting from loss of UBE3A in infralimbic and prelimbic mPFC areas in a mouse model of AS. Whole-cell recordings from layer 5 mPFC pyramidal neurons obtained in brain slices from adult mice of both sexes revealed that loss of UBE3A results in a strong decrease of spontaneous inhibitory transmission and increase of spontaneous excitatory transmission potentially leading to a marked excitation/inhibition imbalance. Additionally, we found that loss of UBE3A led to decreased excitability and increased threshold for action potential of layer 5 fast spiking interneurons without significantly affecting the excitability of pyramidal neurons. Because we previously showed that AS mouse behavioral phenotypes are reversible upon Ube3a gene reactivation during a restricted period of early postnatal development, we investigated whether Ube3a gene reactivation in a fully mature brain could reverse any of the identified physiological deficits. In contrast to our previously reported behavioral findings, restoring UBE3A levels in adult animals fully rescued all the identified physiological deficits of mPFC neurons. Moreover, the kinetics of reversing these synaptic deficits closely followed the reinstatement of UBE3A protein level. Together, these findings show a striking dissociation between the rescue of behavioral and physiological deficits.","author":[{"dropping-particle":"","family":"Rotaru","given":"Diana C.","non-dropping-particle":"","parse-names":false,"suffix":""},{"dropping-particle":"","family":"Woerden","given":"Geeske M.","non-dropping-particle":"van","parse-names":false,"suffix":""},{"dropping-particle":"","family":"Wallaard","given":"Ilse","non-dropping-particle":"","parse-names":false,"suffix":""},{"dropping-particle":"","family":"Elgersma","given":"Ype","non-dropping-particle":"","parse-names":false,"suffix":""}],"container-title":"The Journal of Neuroscience","id":"ITEM-2","issue":"37","issued":{"date-parts":[["2018","9","12"]]},"page":"8011-8030","publisher":"Society for Neuroscience","title":"Adult Ube3a Gene Reinstatement Restores the Electrophysiological Deficits of Prefrontal Cortex Layer 5 Neurons in a Mouse Model of Angelman Syndrome","type":"article-journal","volume":"38"},"uris":["http://www.mendeley.com/documents/?uuid=2e81c441-3e72-4fd8-ad66-0ffbce83e484"]},{"id":"ITEM-3","itemData":{"DOI":"10.1016/j.neuron.2012.03.036","ISSN":"08966273","PMID":"22681684","abstract":"Angelman syndrome (AS) is a neurodevelopmental disorder caused by loss of the maternally inherited allele of UBE3A. AS model mice, which carry a maternal Ube3a null mutation (Ube3a(m-/p+)), recapitulate major features of AS in humans, including enhanced seizure susceptibility. Excitatory neurotransmission onto neocortical pyramidal neurons is diminished in Ube3a(m-/p+) mice, seemingly at odds with enhanced seizure susceptibility. We show here that inhibitory drive onto neocortical pyramidal neurons is more severely decreased in Ube3a(m-/p+) mice. This inhibitory deficit follows the loss of excitatory inputs and appears to arise from defective presynaptic vesicle cycling in multiple interneuron populations. In contrast, excitatory and inhibitory synaptic inputs onto inhibitory interneurons are largely normal. Our results indicate that there are neuron type-specific synaptic deficits in Ube3a(m-/p+) mice despite the presence of Ube3a in all neurons. These deficits result in excitatory/inhibitory imbalance at cellular and circuit levels and may contribute to seizure susceptibility in AS.","author":[{"dropping-particle":"","family":"Wallace","given":"Michael L.","non-dropping-particle":"","parse-names":false,"suffix":""},{"dropping-particle":"","family":"Burette","given":"Alain C.","non-dropping-particle":"","parse-names":false,"suffix":""},{"dropping-particle":"","family":"Weinberg","given":"Richard J.","non-dropping-particle":"","parse-names":false,"suffix":""},{"dropping-particle":"","family":"Philpot","given":"Benjamin D.","non-dropping-particle":"","parse-names":false,"suffix":""}],"container-title":"Neuron","id":"ITEM-3","issue":"5","issued":{"date-parts":[["2012","6"]]},"page":"793-800","title":"Maternal Loss of Ube3a Produces an Excitatory/Inhibitory Imbalance through Neuron Type-Specific Synaptic Defects","type":"article-journal","volume":"74"},"uris":["http://www.mendeley.com/documents/?uuid=b93da227-56ba-4005-8591-b0e2ccf455e5","http://www.mendeley.com/documents/?uuid=042c4ee1-e5e2-41d8-be6b-bd08e5c69b41"]},{"id":"ITEM-4","itemData":{"DOI":"10.1172/JCI120816","ISSN":"15588238","PMID":"30352049","abstract":"Angelman syndrome (AS) is a neurodevelopmental disorder in which epilepsy is common (</w:instrText>
      </w:r>
      <w:r w:rsidR="006104B1">
        <w:rPr>
          <w:rFonts w:ascii="Cambria Math" w:hAnsi="Cambria Math" w:cs="Cambria Math"/>
        </w:rPr>
        <w:instrText>∼</w:instrText>
      </w:r>
      <w:r w:rsidR="006104B1">
        <w:rPr>
          <w:rFonts w:asciiTheme="majorBidi" w:hAnsiTheme="majorBidi" w:cstheme="majorBidi"/>
        </w:rPr>
        <w:instrText>90%) and often refractory to antiepileptics. AS is caused by mutation of the maternal allele encoding the ubiquitin protein ligase E3A (UBE3A), but it is unclear how this genetic insult confers vulnerability to seizure development and progression (i.e., epileptogenesis). Here, we implemented the flurothyl kindling and retest paradigm in AS model mice to assess epileptogenesis and to gain mechanistic insights owed to loss of maternal Ube3a. AS model mice kindled similarly to wild-type mice, but they displayed a markedly increased sensitivity to flurothyl-, kainic acid-, and hyperthermia-induced seizures measured a month later during retest. Pathological characterization revealed enhanced deposition of perineuronal nets in the dentate gyrus of the hippocampus of AS mice in the absence of overt neuronal loss or mossy fiber sprouting. This pro-epileptogenic phenotype resulted from Ube3a deletion in GABAergic but not glutamatergic neurons, and it was rescued by pancellular reinstatement of Ube3a at postnatal day 21 (P21), but not during adulthood. Our results suggest that epileptogenic susceptibility in AS patients is a consequence of the dysfunctional development of GABAergic circuits, which may be amenable to therapies leveraging juvenile reinstatement of UBE3A.","author":[{"dropping-particle":"","family":"Gu","given":"Bin","non-dropping-particle":"","parse-names":false,"suffix":""},{"dropping-particle":"","family":"Carstens","given":"Kelly E","non-dropping-particle":"","parse-names":false,"suffix":""},{"dropping-particle":"","family":"Judson","given":"Matthew C","non-dropping-particle":"","parse-names":false,"suffix":""},{"dropping-particle":"","family":"Dalton","given":"Katherine A","non-dropping-particle":"","parse-names":false,"suffix":""},{"dropping-particle":"","family":"Rougié","given":"Marie","non-dropping-particle":"","parse-names":false,"suffix":""},{"dropping-particle":"","family":"Clark","given":"Ellen P","non-dropping-particle":"","parse-names":false,"suffix":""},{"dropping-particle":"","family":"Dudek","given":"Serena M","non-dropping-particle":"","parse-names":false,"suffix":""},{"dropping-particle":"","family":"Philpot","given":"Benjamin D","non-dropping-particle":"","parse-names":false,"suffix":""}],"container-title":"Journal of Clinical Investigation","id":"ITEM-4","issue":"1","issued":{"date-parts":[["2019"]]},"page":"163-168","publisher":"American Society for Clinical Investigation","title":"Ube3a reinstatement mitigates epileptogenesis in Angelman syndrome model mice","type":"article-journal","volume":"129"},"uris":["http://www.mendeley.com/documents/?uuid=ba71bf8b-e1af-4bb2-85b2-a709566719e2"]},{"id":"ITEM-5","itemData":{"DOI":"10.1016/j.neuron.2016.02.040","ISSN":"08966273","abstract":"Loss of maternal UBE3A causes Angelman syndrome (AS), a neurodevelopmental disorder associated with severe epilepsy. We previously implicated GABAergic deficits onto layer (L) 2/3 pyramidal neurons in the pathogenesis of neocortical hyperexcitability, and perhaps epilepsy, in AS model mice. Here we investigate consequences of selective Ube3a loss from either GABAergic or glutamatergic neurons, focusing on the development of hyperexcitability within L2/3 neocortex and in broader circuit and behavioral contexts. We find that GABAergic Ube3a loss causes AS-like increases in neocortical EEG delta power, enhances seizure susceptibility, and leads to presynaptic accumulation of clathrin-coated vesicles (CCVs)—all without decreasing GABAergic inhibition onto L2/3 pyramidal neurons. Conversely, glutamatergic Ube3a loss fails to yield EEG abnormalities, seizures, or associated CCV phenotypes, despite impairing tonic inhibition onto L2/3 pyramidal neurons. These results substantiate GABAergic Ube3a loss as the principal cause of circuit hyperexcitability in AS mice, lending insight into ictogenic mechanisms in AS.","author":[{"dropping-particle":"","family":"Judson","given":"Matthew C.","non-dropping-particle":"","parse-names":false,"suffix":""},{"dropping-particle":"","family":"Wallace","given":"Michael L.","non-dropping-particle":"","parse-names":false,"suffix":""},{"dropping-particle":"","family":"Sidorov","given":"Michael S.","non-dropping-particle":"","parse-names":false,"suffix":""},{"dropping-particle":"","family":"Burette","given":"Alain C.","non-dropping-particle":"","parse-names":false,"suffix":""},{"dropping-particle":"","family":"Gu","given":"Bin","non-dropping-particle":"","parse-names":false,"suffix":""},{"dropping-particle":"","family":"Woerden","given":"Geeske M.","non-dropping-particle":"van","parse-names":false,"suffix":""},{"dropping-particle":"","family":"King","given":"Ian F.","non-dropping-particle":"","parse-names":false,"suffix":""},{"dropping-particle":"","family":"Han","given":"Ji Eun","non-dropping-particle":"","parse-names":false,"suffix":""},{"dropping-particle":"","family":"Zylka","given":"Mark J.","non-dropping-particle":"","parse-names":false,"suffix":""},{"dropping-particle":"","family":"Elgersma","given":"Ype","non-dropping-particle":"","parse-names":false,"suffix":""},{"dropping-particle":"","family":"Weinberg","given":"Richard J.","non-dropping-particle":"","parse-names":false,"suffix":""},{"dropping-particle":"","family":"Philpot","given":"Benjamin D.","non-dropping-particle":"","parse-names":false,"suffix":""}],"container-title":"Neuron","id":"ITEM-5","issue":"1","issued":{"date-parts":[["2016","4"]]},"page":"56-69","title":"GABAergic Neuron-Specific Loss of Ube3a Causes Angelman Syndrome-Like EEG Abnormalities and Enhances Seizure Susceptibility","type":"article-journal","volume":"90"},"uris":["http://www.mendeley.com/documents/?uuid=85b7ebdf-8daf-4ba1-9cb7-9904fe8e9e42","http://www.mendeley.com/documents/?uuid=470fb315-c4a5-4982-a64c-f3f0c6f7b79a"]},{"id":"ITEM-6","itemData":{"DOI":"10.1016/j.biopsych.2012.01.021","ISSN":"00063223","PMID":"22381732","abstract":"Background: Angelman syndrome (AS) is a human neuropsychiatric disorder associated with autism, mental retardation, motor abnormalities, and epilepsy. In most cases, AS is caused by the deletion of the maternal copy of UBE3A gene, which encodes the enzyme ubiquitin ligase E3A, also termed E6-AP. A mouse model of AS has been generated and these mice exhibit many of the observed neurological alterations in humans. Because of clinical and neuroanatomical similarities between AS and schizophrenia, we examined AS model mice for alterations in the neuregulin-ErbB4 pathway, which has been implicated in the pathophysiology of schizophrenia. We focused our studies on the hippocampus, one of the major brain loci impaired in AS mice. Methods: We determined the expression of neuregulin 1 and ErbB4 receptors in AS mice and wild-type littermates (ages 10-16 weeks) and studied the effects of ErbB inhibition on long-term potentiation in hippocampal area cornu ammonis 1 and on hippocampus-dependent contextual fear memory. Results: We observed enhanced neuregulin-ErbB4 signaling in the hippocampus of AS model mice and found that ErbB inhibitors could reverse deficits in long-term potentiation, a cellular substrate for learning and memory. In addition, we found that an ErbB inhibitor enhanced long-term contextual fear memory in AS model mice. Conclusions: Our findings suggest that neuregulin-ErbB4 signaling is involved in synaptic plasticity and memory impairments in AS model mice, suggesting that ErbB inhibitors have therapeutic potential for the treatment of AS. © 2012 Society of Biological Psychiatry.","author":[{"dropping-particle":"","family":"Kaphzan","given":"Hanoch","non-dropping-particle":"","parse-names":false,"suffix":""},{"dropping-particle":"","family":"Hernandez","given":"Pepe","non-dropping-particle":"","parse-names":false,"suffix":""},{"dropping-particle":"","family":"Jung","given":"Joo In","non-dropping-particle":"","parse-names":false,"suffix":""},{"dropping-particle":"","family":"Cowansage","given":"Kiriana K.","non-dropping-particle":"","parse-names":false,"suffix":""},{"dropping-particle":"","family":"Deinhardt","given":"Katrin","non-dropping-particle":"","parse-names":false,"suffix":""},{"dropping-particle":"V.","family":"Chao","given":"Moses","non-dropping-particle":"","parse-names":false,"suffix":""},{"dropping-particle":"","family":"Abel","given":"Ted","non-dropping-particle":"","parse-names":false,"suffix":""},{"dropping-particle":"","family":"Klann","given":"Eric","non-dropping-particle":"","parse-names":false,"suffix":""}],"container-title":"Biological Psychiatry","id":"ITEM-6","issue":"3","issued":{"date-parts":[["2012","8","1"]]},"page":"182-190","publisher":"Biol Psychiatry","title":"Reversal of Impaired Hippocampal Long-Term Potentiation and Contextual Fear Memory Deficits in Angelman Syndrome Model Mice by ErbB Inhibitors","type":"article-journal","volume":"72"},"uris":["http://www.mendeley.com/documents/?uuid=505d25ea-4a56-48da-9a01-3ebb5eb457b5"]},{"id":"ITEM-7","itemData":{"DOI":"10.1523/JNEUROSCI.4162-11.2011","ISSN":"02706474","PMID":"22131424","abstract":"The axon initial segment (AIS) is the site of action potential initiation in neurons. Recent studies have demonstrated activity-dependent regulation of the AIS, including homeostatic changes in AIS length, membrane excitability, and the localization of voltage-gated Na + channels. The neurodevelopmental disorder Angelman syndrome (AS) is usually caused by the deletion of small portions of the maternal copy of chromosome 15, which includes the UBE3A gene. A mouse model of AS has been generated and these mice exhibit multiple neurological abnormalities similar to those observed in humans.Weexamined intrinsic properties of pyramidal neurons in hippocampal area CA1 from AS model mice and observed alterations in resting membrane potential, threshold potential, and action potential amplitude. The altered intrinsic properties in the AS mice were correlated with significant increases in the expression of the α1 subunit of Na/K-ATPase (α 1-NaKA), the Na + channel NaV1.6, and the AIS anchoring protein ankyrin-G, as well as an increase in length of the AIS. These findings are the first evidence for pathology of intrinsic membrane properties and AIS-specific changes in AS, a neurodevelopmental disorder associated with autism. © 2011 the authors.","author":[{"dropping-particle":"","family":"Kaphzan","given":"Hanoch","non-dropping-particle":"","parse-names":false,"suffix":""},{"dropping-particle":"","family":"Buffington","given":"Shelly A.","non-dropping-particle":"","parse-names":false,"suffix":""},{"dropping-particle":"","family":"Jung","given":"Joo In","non-dropping-particle":"","parse-names":false,"suffix":""},{"dropping-particle":"","family":"Rasband","given":"Matthew N.","non-dropping-particle":"","parse-names":false,"suffix":""},{"dropping-particle":"","family":"Klann","given":"Eric","non-dropping-particle":"","parse-names":false,"suffix":""}],"container-title":"Journal of Neuroscience","id":"ITEM-7","issue":"48","issued":{"date-parts":[["2011","11","30"]]},"page":"17637-17648","publisher":"J Neurosci","title":"Alterations in intrinsic membrane properties and the axon initial segment in a mouse model of Angelman syndrome","type":"article-journal","volume":"31"},"uris":["http://www.mendeley.com/documents/?uuid=2cd2ed10-0f89-3ae0-9a08-a43c9783e95f"]},{"id":"ITEM-8","itemData":{"DOI":"10.1016/j.celrep.2013.07.005","ISSN":"22111247","PMID":"23911285","abstract":"Angelman syndrome (AS) is associated with symptoms that include autism, intellectual disability, motor abnormalities, and epilepsy. We recently showed that AS model mice have increased expression of the alpha1 subunit of Na/K-ATPase (α1-NaKA) in the hippocampus, which was correlated with increased expression of axon initial segment (AIS) proteins. Our developmental analysis revealed that the increase in α1-NaKA expression preceded that of the AIS proteins. Therefore, we hypothesized that α1-NaKA overexpression drives AIS abnormalities and that by reducing its expression these and other phenotypes could be corrected in AS model mice. Herein, we report that the genetic normalization of α1-NaKA levels in AS model mice corrects multiple hippocampal phenotypes, including alterations in the AIS, aberrant intrinsic membrane properties, impaired synaptic plasticity, and memory deficits. These findings strongly suggest that increased expression of α1-NaKA plays an important role in a broad rangeof abnormalities in the hippocampus of AS model mice","author":[{"dropping-particle":"","family":"Kaphzan","given":"Hanoch","non-dropping-particle":"","parse-names":false,"suffix":""},{"dropping-particle":"","family":"Buffington","given":"Shelly A.","non-dropping-particle":"","parse-names":false,"suffix":""},{"dropping-particle":"","family":"Ramaraj","given":"Akila B.","non-dropping-particle":"","parse-names":false,"suffix":""},{"dropping-particle":"","family":"Lingrel","given":"Jerry B.","non-dropping-particle":"","parse-names":false,"suffix":""},{"dropping-particle":"","family":"Rasband","given":"Matthew N.","non-dropping-particle":"","parse-names":false,"suffix":""},{"dropping-particle":"","family":"Santini","given":"Emanuela","non-dropping-particle":"","parse-names":false,"suffix":""},{"dropping-particle":"","family":"Klann","given":"Eric","non-dropping-particle":"","parse-names":false,"suffix":""}],"container-title":"Cell Reports","id":"ITEM-8","issue":"3","issued":{"date-parts":[["2013","8"]]},"page":"405-412","publisher":"The Authors","publisher-place":"Center for Neural Science, New York University, New York, NY 10003, USA; Sagol Department of Neurobiology, University of Haifa, Haifa 3190501, Israel.","title":"Genetic Reduction of the α1 Subunit of Na/K-ATPase Corrects Multiple Hippocampal Phenotypes in Angelman Syndrome","type":"article-journal","volume":"4"},"uris":["http://www.mendeley.com/documents/?uuid=c34a77c4-a96c-4f9e-9928-52af61780980"]},{"id":"ITEM-9","itemData":{"DOI":"10.1126/scitranslmed.3004655","ISSN":"1946-6234","abstract":"Ube3a deficiency causes a decrease in cerebellar tonic inhibition by preventing degradation of GABA transporter 1 in a mouse model of Angelman syndrome.","author":[{"dropping-particle":"","family":"Egawa","given":"Kiyoshi","non-dropping-particle":"","parse-names":false,"suffix":""},{"dropping-particle":"","family":"Kitagawa","given":"Kyoko","non-dropping-particle":"","parse-names":false,"suffix":""},{"dropping-particle":"","family":"Inoue","given":"Koichi","non-dropping-particle":"","parse-names":false,"suffix":""},{"dropping-particle":"","family":"Takayama","given":"Masakazu","non-dropping-particle":"","parse-names":false,"suffix":""},{"dropping-particle":"","family":"Takayama","given":"Chitoshi","non-dropping-particle":"","parse-names":false,"suffix":""},{"dropping-particle":"","family":"Saitoh","given":"Shinji","non-dropping-particle":"","parse-names":false,"suffix":""},{"dropping-particle":"","family":"Kishino","given":"Tatsuya","non-dropping-particle":"","parse-names":false,"suffix":""},{"dropping-particle":"","family":"Kitagawa","given":"Masatoshi","non-dropping-particle":"","parse-names":false,"suffix":""},{"dropping-particle":"","family":"Fukuda","given":"Atsuo","non-dropping-particle":"","parse-names":false,"suffix":""}],"container-title":"Science Translational Medicine","id":"ITEM-9","issue":"163","issued":{"date-parts":[["2012","12","5"]]},"page":"163ra157","publisher-place":"Department of Neurophysiology, Hamamatsu University School of Medicine, Hamamatsu 431-3192, Japan. cdh67560@par.odn.ne.jp","title":"Decreased Tonic Inhibition in Cerebellar Granule Cells Causes Motor Dysfunction in a Mouse Model of Angelman Syndrome","type":"article-journal","volume":"4"},"uris":["http://www.mendeley.com/documents/?uuid=74619357-4b5f-4113-81dd-a85d90f0798b","http://www.mendeley.com/documents/?uuid=abb4ae81-09f3-40a4-a620-2d3806712d7a"]},{"id":"ITEM-10","itemData":{"DOI":"10.3389/fncel.2017.00418","ISBN":"1662-5102 (Print) 1662-5102 (Linking)","ISSN":"1662-5102","PMID":"29354033","abstract":"The neurodevelopmental disorder Angelman syndrome (AS) is characterized by intellectual disability, motor dysfunction, distinct behavioral aspects and epilepsy. AS is caused by a loss of the maternally expressed UBE3A gene, and many of the symptoms are recapitulated in a Ube3a mouse model of this syndrome. At the cellular level, changes in the axon initial segment (AIS) have been reported, and changes in vesicle cycling have indicated the presence of presynaptic deficits. Here we studied the role of UBE3A in the auditory system by recording synaptic transmission at the calyx of Held synapse in the medial nucleus of the trapezoid body (MNTB) through in vivo whole cell and juxtacellular recordings. We show that MNTB principal neurons in Ube3a mice exhibit a hyperpolarized resting membrane potential, an increased action potential (AP) amplitude and a decreased AP half width. Moreover, both the pre- and postsynaptic action potentials in the calyx of Held synapse of Ube3a mice showed significantly faster recovery from spike depression. An increase in AIS length was observed in the principal MNTB neurons of Ube3a mice, providing a possible substrate for these gain-of-function changes. Apart from the effect on APs, we also observed that EPSPs showed decreased short-term synaptic depression (STD) during long sound stimulations in AS mice, and faster recovery from STD following these tones, which is suggestive of a presynaptic gain-of-function. Our findings thus provide in vivo evidence that UBE3A plays a critical role in controlling synaptic transmission and excitability at excitatory synapses.","author":[{"dropping-particle":"","family":"Wang","given":"Tiantian","non-dropping-particle":"","parse-names":false,"suffix":""},{"dropping-particle":"","family":"Woerden","given":"Geeske M.","non-dropping-particle":"van","parse-names":false,"suffix":""},{"dropping-particle":"","family":"Elgersma","given":"Ype","non-dropping-particle":"","parse-names":false,"suffix":""},{"dropping-particle":"","family":"Borst","given":"J. Gerard G.","non-dropping-particle":"","parse-names":false,"suffix":""}],"container-title":"Frontiers in Cellular Neuroscience","id":"ITEM-10","issue":"January","issued":{"date-parts":[["2018","1","4"]]},"page":"1-19","title":"Enhanced Transmission at the Calyx of Held Synapse in a Mouse Model for Angelman Syndrome","type":"article-journal","volume":"11"},"uris":["http://www.mendeley.com/documents/?uuid=8a990336-d13c-4349-bd23-4bac8c13f18a","http://www.mendeley.com/documents/?uuid=85e5d30f-c4c0-43a6-a280-f8cbee14e9d3"]}],"mendeley":{"formattedCitation":"&lt;sup&gt;6–15&lt;/sup&gt;","plainTextFormattedCitation":"6–15","previouslyFormattedCitation":"&lt;sup&gt;6–15&lt;/sup&gt;"},"properties":{"noteIndex":0},"schema":"https://github.com/citation-style-language/schema/raw/master/csl-citation.json"}</w:instrText>
      </w:r>
      <w:r w:rsidR="001626AD"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6–15</w:t>
      </w:r>
      <w:r w:rsidR="001626AD" w:rsidRPr="00B12FA8">
        <w:rPr>
          <w:rFonts w:asciiTheme="majorBidi" w:hAnsiTheme="majorBidi" w:cstheme="majorBidi"/>
        </w:rPr>
        <w:fldChar w:fldCharType="end"/>
      </w:r>
      <w:r w:rsidR="0069522B" w:rsidRPr="00B12FA8">
        <w:rPr>
          <w:rFonts w:asciiTheme="majorBidi" w:hAnsiTheme="majorBidi" w:cstheme="majorBidi"/>
        </w:rPr>
        <w:t>, altered mitochondrial function</w:t>
      </w:r>
      <w:r w:rsidR="0069522B"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{"citationItems":[{"id":"ITEM-1","itemData":{"DOI":"10.3390/ijms21114156","ISSN":"14220067","PMID":"32532103","abstract":"The UBE3A gene encodes the ubiquitin E3-ligase protein, UBE3A, which is implicated in severe neurodevelopmental disorders. Lack of UBE3A expression results in Angelman syndrome, while UBE3A overexpression, due to genomic 15q duplication, results in autism. The cellular roles of UBE3A are not fully understood, yet a growing body of evidence indicates that these disorders involve mitochondrial dysfunction and increased oxidative stress. We utilized bioinformatics approaches to delineate the effects of murine Ube3a deletion on the expression of mitochondrial-related genes and pathways. For this, we generated an mRNA sequencing dataset from mouse embryonic fibroblasts (MEFs) in which both alleles of Ube3a gene were deleted and their wild-type controls. Since oxidative stress and mitochondrial dysregulation might not be exhibited in the resting baseline state, we also activated mitochondrial functioning in the cells of these two genotypes using TNFα application. Transcriptomes of the four groups of MEFs, Ube3a+/+ and Ube3a−/−, with or without the application of TNFα, were analyzed using various bioinformatics tools and machine learning approaches. Our results indicate that Ube3a deletion affects the gene expression profiles of mitochondrial-associated pathways. We further confirmed these results by analyzing other publicly available human transcriptome datasets of Angelman syndrome and 15q duplication syndrome.","author":[{"dropping-particle":"","family":"Panov","given":"Julia","non-dropping-particle":"","parse-names":false,"suffix":""},{"dropping-particle":"","family":"Simchi","given":"Lilach","non-dropping-particle":"","parse-names":false,"suffix":""},{"dropping-particle":"","family":"Feuermann","given":"Yonatan","non-dropping-particle":"","parse-names":false,"suffix":""},{"dropping-particle":"","family":"Kaphzan","given":"Hanoch","non-dropping-particle":"","parse-names":false,"suffix":""}],"container-title":"International Journal of Molecular Sciences","id":"ITEM-1","issue":"11","issued":{"date-parts":[["2020"]]},"page":"1-21","title":"Bioinformatics analyses of the transcriptome reveal Ube3a-dependent effects on mitochondrial-related pathways","type":"article-journal","volume":"21"},"uris":["http://www.mendeley.com/documents/?uuid=0a5cccaf-b5d4-4136-8898-c55d712ccacb"]}],"mendeley":{"formattedCitation":"&lt;sup&gt;16&lt;/sup&gt;","plainTextFormattedCitation":"16","previouslyFormattedCitation":"&lt;sup&gt;16&lt;/sup&gt;"},"properties":{"noteIndex":0},"schema":"https://github.com/citation-style-language/schema/raw/master/csl-citation.json"}</w:instrText>
      </w:r>
      <w:r w:rsidR="0069522B"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16</w:t>
      </w:r>
      <w:r w:rsidR="0069522B" w:rsidRPr="00B12FA8">
        <w:rPr>
          <w:rFonts w:asciiTheme="majorBidi" w:hAnsiTheme="majorBidi" w:cstheme="majorBidi"/>
        </w:rPr>
        <w:fldChar w:fldCharType="end"/>
      </w:r>
      <w:r w:rsidR="0069522B" w:rsidRPr="00B12FA8">
        <w:rPr>
          <w:rFonts w:asciiTheme="majorBidi" w:hAnsiTheme="majorBidi" w:cstheme="majorBidi"/>
        </w:rPr>
        <w:t>, and elevated oxidative stress</w:t>
      </w:r>
      <w:r w:rsidR="0069522B"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{"citationItems":[{"id":"ITEM-1","itemData":{"DOI":"10.1523/JNEUROSCI.2246-15.2015","ISSN":"15292401","PMID":"26658871","abstract":"Angelman syndrome (AS) is a neurodevelopmental disorder associated with developmental delay, lack of speech, motor dysfunction, and epilepsy. In the majority of the patients, AS is caused by the deletion of small portions of maternal chromosome 15 harboring the UBE3A gene. This results in a lack of expression of the UBE3A gene because the paternal allele is genetically imprinted. The UBE3A gene encodes an enzyme termed ubiquitin ligase E3A (E6-AP) that targets proteins for degradation by the 26S proteasome. Because neurodegenerative disease and other neurodevelopmental disorders have been linked to oxidative stress, we asked whether mitochondrial reactive oxygen species (ROS) played a role in impaired synaptic plasticity and memory deficits exhibited by AS model mice. We discovered that AS mice have increased levels of superoxide in area CA1 of the hippocampus that is reduced by MitoQ 10-methanesuflonate (MitoQ), a mitochondria-specific antioxidant. In addition, we found that MitoQ rescued impairments in hippocampal synaptic plasticity and deficits in contextual fear memory exhibited by AS model mice. Our findings suggest that mitochondria-derived oxidative stress contributes to hippo campal pathophysiology in AS model mice and that targeting mitochondrial ROS pharmacologically could benefit individuals with AS.","author":[{"dropping-particle":"","family":"Santini","given":"Emanuela","non-dropping-particle":"","parse-names":false,"suffix":""},{"dropping-particle":"","family":"Turner","given":"Kathryn L.","non-dropping-particle":"","parse-names":false,"suffix":""},{"dropping-particle":"","family":"Ramaraj","given":"Xakila B.","non-dropping-particle":"","parse-names":false,"suffix":""},{"dropping-particle":"","family":"Murphy","given":"Michael P.","non-dropping-particle":"","parse-names":false,"suffix":""},{"dropping-particle":"","family":"Klann","given":"Eric","non-dropping-particle":"","parse-names":false,"suffix":""},{"dropping-particle":"","family":"Kaphzan","given":"Xhanoch","non-dropping-particle":"","parse-names":false,"suffix":""}],"container-title":"Journal of Neuroscience","id":"ITEM-1","issue":"49","issued":{"date-parts":[["2015"]]},"page":"16213-16220","title":"Mitochondrial superoxide contributes to hippocampal synaptic dysfunction and memory deficits in Angelman syndrome model mice","type":"article-journal","volume":"35"},"uris":["http://www.mendeley.com/documents/?uuid=f0dad231-a17e-4509-bbd0-2dde0124cb42"]}],"mendeley":{"formattedCitation":"&lt;sup&gt;17&lt;/sup&gt;","plainTextFormattedCitation":"17","previouslyFormattedCitation":"&lt;sup&gt;17&lt;/sup&gt;"},"properties":{"noteIndex":0},"schema":"https://github.com/citation-style-language/schema/raw/master/csl-citation.json"}</w:instrText>
      </w:r>
      <w:r w:rsidR="0069522B"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17</w:t>
      </w:r>
      <w:r w:rsidR="0069522B" w:rsidRPr="00B12FA8">
        <w:rPr>
          <w:rFonts w:asciiTheme="majorBidi" w:hAnsiTheme="majorBidi" w:cstheme="majorBidi"/>
        </w:rPr>
        <w:fldChar w:fldCharType="end"/>
      </w:r>
      <w:r w:rsidR="001626AD" w:rsidRPr="00B12FA8">
        <w:rPr>
          <w:rFonts w:asciiTheme="majorBidi" w:hAnsiTheme="majorBidi" w:cstheme="majorBidi"/>
        </w:rPr>
        <w:t xml:space="preserve">. In most but not all cases </w:t>
      </w:r>
      <w:r w:rsidR="001626AD"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{"citationItems":[{"id":"ITEM-1","itemData":{"DOI":"10.1523/JNEUROSCI.0083-18.2018","ISSN":"0270-6474","PMID":"30082419","abstract":"E3 ubiquitin ligase (UBE3A) levels in the brain need to be tightly regulated, as loss of functional UBE3A protein is responsible for the severe neurodevelopmental disorder Angelman syndrome (AS), whereas increased activity of UBE3A is associated with nonsyndromic autism. Given the role of mPFC in neurodevelopmental disorders including autism, we aimed to identify the functional changes resulting from loss of UBE3A in infralimbic and prelimbic mPFC areas in a mouse model of AS. Whole-cell recordings from layer 5 mPFC pyramidal neurons obtained in brain slices from adult mice of both sexes revealed that loss of UBE3A results in a strong decrease of spontaneous inhibitory transmission and increase of spontaneous excitatory transmission potentially leading to a marked excitation/inhibition imbalance. Additionally, we found that loss of UBE3A led to decreased excitability and increased threshold for action potential of layer 5 fast spiking interneurons without significantly affecting the excitability of pyramidal neurons. Because we previously showed that AS mouse behavioral phenotypes are reversible upon Ube3a gene reactivation during a restricted period of early postnatal development, we investigated whether Ube3a gene reactivation in a fully mature brain could reverse any of the identified physiological deficits. In contrast to our previously reported behavioral findings, restoring UBE3A levels in adult animals fully rescued all the identified physiological deficits of mPFC neurons. Moreover, the kinetics of reversing these synaptic deficits closely followed the reinstatement of UBE3A protein level. Together, these findings show a striking dissociation between the rescue of behavioral and physiological deficits.","author":[{"dropping-particle":"","family":"Rotaru","given":"Diana C.","non-dropping-particle":"","parse-names":false,"suffix":""},{"dropping-particle":"","family":"Woerden","given":"Geeske M.","non-dropping-particle":"van","parse-names":false,"suffix":""},{"dropping-particle":"","family":"Wallaard","given":"Ilse","non-dropping-particle":"","parse-names":false,"suffix":""},{"dropping-particle":"","family":"Elgersma","given":"Ype","non-dropping-particle":"","parse-names":false,"suffix":""}],"container-title":"The Journal of Neuroscience","id":"ITEM-1","issue":"37","issued":{"date-parts":[["2018","9","12"]]},"page":"8011-8030","publisher":"Society for Neuroscience","title":"Adult Ube3a Gene Reinstatement Restores the Electrophysiological Deficits of Prefrontal Cortex Layer 5 Neurons in a Mouse Model of Angelman Syndrome","type":"article-journal","volume":"38"},"uris":["http://www.mendeley.com/documents/?uuid=2e81c441-3e72-4fd8-ad66-0ffbce83e484"]}],"mendeley":{"formattedCitation":"&lt;sup&gt;7&lt;/sup&gt;","plainTextFormattedCitation":"7","previouslyFormattedCitation":"&lt;sup&gt;7&lt;/sup&gt;"},"properties":{"noteIndex":0},"schema":"https://github.com/citation-style-language/schema/raw/master/csl-citation.json"}</w:instrText>
      </w:r>
      <w:r w:rsidR="001626AD"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7</w:t>
      </w:r>
      <w:r w:rsidR="001626AD" w:rsidRPr="00B12FA8">
        <w:rPr>
          <w:rFonts w:asciiTheme="majorBidi" w:hAnsiTheme="majorBidi" w:cstheme="majorBidi"/>
        </w:rPr>
        <w:fldChar w:fldCharType="end"/>
      </w:r>
      <w:r w:rsidR="001626AD" w:rsidRPr="00B12FA8">
        <w:rPr>
          <w:rFonts w:asciiTheme="majorBidi" w:hAnsiTheme="majorBidi" w:cstheme="majorBidi"/>
        </w:rPr>
        <w:t xml:space="preserve">, recovery from aberrant </w:t>
      </w:r>
      <w:r w:rsidR="0069522B" w:rsidRPr="00B12FA8">
        <w:rPr>
          <w:rFonts w:asciiTheme="majorBidi" w:hAnsiTheme="majorBidi" w:cstheme="majorBidi"/>
        </w:rPr>
        <w:t>oxidative stress</w:t>
      </w:r>
      <w:r w:rsidR="0069522B"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{"citationItems":[{"id":"ITEM-1","itemData":{"DOI":"10.1523/JNEUROSCI.2246-15.2015","ISSN":"15292401","PMID":"26658871","abstract":"Angelman syndrome (AS) is a neurodevelopmental disorder associated with developmental delay, lack of speech, motor dysfunction, and epilepsy. In the majority of the patients, AS is caused by the deletion of small portions of maternal chromosome 15 harboring the UBE3A gene. This results in a lack of expression of the UBE3A gene because the paternal allele is genetically imprinted. The UBE3A gene encodes an enzyme termed ubiquitin ligase E3A (E6-AP) that targets proteins for degradation by the 26S proteasome. Because neurodegenerative disease and other neurodevelopmental disorders have been linked to oxidative stress, we asked whether mitochondrial reactive oxygen species (ROS) played a role in impaired synaptic plasticity and memory deficits exhibited by AS model mice. We discovered that AS mice have increased levels of superoxide in area CA1 of the hippocampus that is reduced by MitoQ 10-methanesuflonate (MitoQ), a mitochondria-specific antioxidant. In addition, we found that MitoQ rescued impairments in hippocampal synaptic plasticity and deficits in contextual fear memory exhibited by AS model mice. Our findings suggest that mitochondria-derived oxidative stress contributes to hippo campal pathophysiology in AS model mice and that targeting mitochondrial ROS pharmacologically could benefit individuals with AS.","author":[{"dropping-particle":"","family":"Santini","given":"Emanuela","non-dropping-particle":"","parse-names":false,"suffix":""},{"dropping-particle":"","family":"Turner","given":"Kathryn L.","non-dropping-particle":"","parse-names":false,"suffix":""},{"dropping-particle":"","family":"Ramaraj","given":"Xakila B.","non-dropping-particle":"","parse-names":false,"suffix":""},{"dropping-particle":"","family":"Murphy","given":"Michael P.","non-dropping-particle":"","parse-names":false,"suffix":""},{"dropping-particle":"","family":"Klann","given":"Eric","non-dropping-particle":"","parse-names":false,"suffix":""},{"dropping-particle":"","family":"Kaphzan","given":"Xhanoch","non-dropping-particle":"","parse-names":false,"suffix":""}],"container-title":"Journal of Neuroscience","id":"ITEM-1","issue":"49","issued":{"date-parts":[["2015"]]},"page":"16213-16220","title":"Mitochondrial superoxide contributes to hippocampal synaptic dysfunction and memory deficits in Angelman syndrome model mice","type":"article-journal","volume":"35"},"uris":["http://www.mendeley.com/documents/?uuid=f0dad231-a17e-4509-bbd0-2dde0124cb42"]}],"mendeley":{"formattedCitation":"&lt;sup&gt;17&lt;/sup&gt;","plainTextFormattedCitation":"17","previouslyFormattedCitation":"&lt;sup&gt;17&lt;/sup&gt;"},"properties":{"noteIndex":0},"schema":"https://github.com/citation-style-language/schema/raw/master/csl-citation.json"}</w:instrText>
      </w:r>
      <w:r w:rsidR="0069522B"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17</w:t>
      </w:r>
      <w:r w:rsidR="0069522B" w:rsidRPr="00B12FA8">
        <w:rPr>
          <w:rFonts w:asciiTheme="majorBidi" w:hAnsiTheme="majorBidi" w:cstheme="majorBidi"/>
        </w:rPr>
        <w:fldChar w:fldCharType="end"/>
      </w:r>
      <w:r w:rsidR="0069522B" w:rsidRPr="00B12FA8">
        <w:rPr>
          <w:rFonts w:asciiTheme="majorBidi" w:hAnsiTheme="majorBidi" w:cstheme="majorBidi"/>
        </w:rPr>
        <w:t xml:space="preserve"> or aberrant </w:t>
      </w:r>
      <w:r w:rsidR="001626AD" w:rsidRPr="00B12FA8">
        <w:rPr>
          <w:rFonts w:asciiTheme="majorBidi" w:hAnsiTheme="majorBidi" w:cstheme="majorBidi"/>
        </w:rPr>
        <w:t>excitability</w:t>
      </w:r>
      <w:r w:rsidR="0069522B"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{"citationItems":[{"id":"ITEM-1","itemData":{"DOI":"10.1523/JNEUROSCI.2828-17.2018","ISSN":"0270-6474","PMID":"29431654","abstract":"Angelman syndrome (AS), a neurodevelopmental disorder associated with intellectual disability, is caused by loss of maternal allele expression of UBE3A in neurons. Mouse models of AS faithfully recapitulate disease phenotypes across multiple domains, including behavior. Yet in AS, there has been only limited study of behaviors encoded by the prefrontal cortex, a region broadly involved in executive function and cognition. Because cognitive impairment is a core feature of AS, it is critical to develop behavioral readouts of prefrontal circuit function in AS mouse models. One such readout is behavioral extinction, which has been well described mechanistically and relies upon prefrontal circuits in rodents. Here we report exaggerated operant extinction in male AS model mice, concomitant with enhanced excitability in medial prefrontal neurons from male and female AS model mice. Abnormal behavior was specific to operant extinction, as two other prefrontally dependent tasks (cued fear extinction and visuospatial discrimination) were largely normal in AS model mice. Inducible deletion of Ube3a during adulthood was not sufficient to drive abnormal extinction, supporting the hypothesis that there is an early critical period for development of cognitive phenotypes in AS. This work represents the first formal experimental analysis of prefrontal circuit function in AS, and identifies operant extinction as a useful experimental paradigm for modeling cognitive aspects of AS in mice.SIGNIFICANCE STATEMENT Prefrontal cortex encodes \"high-level\" cognitive processes. Thus, understanding prefrontal function is critical in neurodevelopmental disorders where cognitive impairment is highly penetrant. Angelman syndrome is a neurodevelopmental disorder associated with speech and motor impairments, an outwardly happy demeanor, and intellectual disability. We describe a behavioral phenotype in a mouse model of Angelman syndrome and related abnormalities in prefrontal cortex function. We hypothesize that robust and reliable prefrontally encoded behavior may be used to model cognitive impairments in Angelman syndrome.","author":[{"dropping-particle":"","family":"Sidorov","given":"Michael S.","non-dropping-particle":"","parse-names":false,"suffix":""},{"dropping-particle":"","family":"Judson","given":"Matthew C.","non-dropping-particle":"","parse-names":false,"suffix":""},{"dropping-particle":"","family":"Kim","given":"Hyojin","non-dropping-particle":"","parse-names":false,"suffix":""},{"dropping-particle":"","family":"Rougie","given":"Marie","non-dropping-particle":"","parse-names":false,"suffix":""},{"dropping-particle":"","family":"Ferrer","given":"Alejandra I.","non-dropping-particle":"","parse-names":false,"suffix":""},{"dropping-particle":"","family":"Nikolova","given":"Viktoriya D.","non-dropping-particle":"","parse-names":false,"suffix":""},{"dropping-particle":"V.","family":"Riddick","given":"Natallia","non-dropping-particle":"","parse-names":false,"suffix":""},{"dropping-particle":"","family":"Moy","given":"Sheryl S.","non-dropping-particle":"","parse-names":false,"suffix":""},{"dropping-particle":"","family":"Philpot","given":"Benjamin D.","non-dropping-particle":"","parse-names":false,"suffix":""}],"container-title":"The Journal of Neuroscience","id":"ITEM-1","issue":"11","issued":{"date-parts":[["2018","3","14"]]},"page":"2671-2682","publisher":"J Neurosci","title":"Enhanced Operant Extinction and Prefrontal Excitability in a Mouse Model of Angelman Syndrome","type":"article-journal","volume":"38"},"uris":["http://www.mendeley.com/documents/?uuid=5289b3f7-e33a-4226-a2d1-5cab283bcad1"]},{"id":"ITEM-2","itemData":{"DOI":"10.1016/j.biopsych.2012.01.021","ISSN":"00063223","PMID":"22381732","abstract":"Background: Angelman syndrome (AS) is a human neuropsychiatric disorder associated with autism, mental retardation, motor abnormalities, and epilepsy. In most cases, AS is caused by the deletion of the maternal copy of UBE3A gene, which encodes the enzyme ubiquitin ligase E3A, also termed E6-AP. A mouse model of AS has been generated and these mice exhibit many of the observed neurological alterations in humans. Because of clinical and neuroanatomical similarities between AS and schizophrenia, we examined AS model mice for alterations in the neuregulin-ErbB4 pathway, which has been implicated in the pathophysiology of schizophrenia. We focused our studies on the hippocampus, one of the major brain loci impaired in AS mice. Methods: We determined the expression of neuregulin 1 and ErbB4 receptors in AS mice and wild-type littermates (ages 10-16 weeks) and studied the effects of ErbB inhibition on long-term potentiation in hippocampal area cornu ammonis 1 and on hippocampus-dependent contextual fear memory. Results: We observed enhanced neuregulin-ErbB4 signaling in the hippocampus of AS model mice and found that ErbB inhibitors could reverse deficits in long-term potentiation, a cellular substrate for learning and memory. In addition, we found that an ErbB inhibitor enhanced long-term contextual fear memory in AS model mice. Conclusions: Our findings suggest that neuregulin-ErbB4 signaling is involved in synaptic plasticity and memory impairments in AS model mice, suggesting that ErbB inhibitors have therapeutic potential for the treatment of AS. © 2012 Society of Biological Psychiatry.","author":[{"dropping-particle":"","family":"Kaphzan","given":"Hanoch","non-dropping-particle":"","parse-names":false,"suffix":""},{"dropping-particle":"","family":"Hernandez","given":"Pepe","non-dropping-particle":"","parse-names":false,"suffix":""},{"dropping-particle":"","family":"Jung","given":"Joo In","non-dropping-particle":"","parse-names":false,"suffix":""},{"dropping-particle":"","family":"Cowansage","given":"Kiriana K.","non-dropping-particle":"","parse-names":false,"suffix":""},{"dropping-particle":"","family":"Deinhardt","given":"Katrin","non-dropping-particle":"","parse-names":false,"suffix":""},{"dropping-particle":"V.","family":"Chao","given":"Moses","non-dropping-particle":"","parse-names":false,"suffix":""},{"dropping-particle":"","family":"Abel","given":"Ted","non-dropping-particle":"","parse-names":false,"suffix":""},{"dropping-particle":"","family":"Klann","given":"Eric","non-dropping-particle":"","parse-names":false,"suffix":""}],"container-title":"Biological Psychiatry","id":"ITEM-2","issue":"3","issued":{"date-parts":[["2012","8","1"]]},"page":"182-190","publisher":"Biol Psychiatry","title":"Reversal of Impaired Hippocampal Long-Term Potentiation and Contextual Fear Memory Deficits in Angelman Syndrome Model Mice by ErbB Inhibitors","type":"article-journal","volume":"72"},"uris":["http://www.mendeley.com/documents/?uuid=505d25ea-4a56-48da-9a01-3ebb5eb457b5"]},{"id":"ITEM-3","itemData":{"DOI":"10.1016/j.celrep.2013.07.005","ISSN":"22111247","PMID":"23911285","abstract":"Angelman syndrome (AS) is associated with symptoms that include autism, intellectual disability, motor abnormalities, and epilepsy. We recently showed that AS model mice have increased expression of the alpha1 subunit of Na/K-ATPase (α1-NaKA) in the hippocampus, which was correlated with increased expression of axon initial segment (AIS) proteins. Our developmental analysis revealed that the increase in α1-NaKA expression preceded that of the AIS proteins. Therefore, we hypothesized that α1-NaKA overexpression drives AIS abnormalities and that by reducing its expression these and other phenotypes could be corrected in AS model mice. Herein, we report that the genetic normalization of α1-NaKA levels in AS model mice corrects multiple hippocampal phenotypes, including alterations in the AIS, aberrant intrinsic membrane properties, impaired synaptic plasticity, and memory deficits. These findings strongly suggest that increased expression of α1-NaKA plays an important role in a broad rangeof abnormalities in the hippocampus of AS model mice","author":[{"dropping-particle":"","family":"Kaphzan","given":"Hanoch","non-dropping-particle":"","parse-names":false,"suffix":""},{"dropping-particle":"","family":"Buffington","given":"Shelly A.","non-dropping-particle":"","parse-names":false,"suffix":""},{"dropping-particle":"","family":"Ramaraj","given":"Akila B.","non-dropping-particle":"","parse-names":false,"suffix":""},{"dropping-particle":"","family":"Lingrel","given":"Jerry B.","non-dropping-particle":"","parse-names":false,"suffix":""},{"dropping-particle":"","family":"Rasband","given":"Matthew N.","non-dropping-particle":"","parse-names":false,"suffix":""},{"dropping-particle":"","family":"Santini","given":"Emanuela","non-dropping-particle":"","parse-names":false,"suffix":""},{"dropping-particle":"","family":"Klann","given":"Eric","non-dropping-particle":"","parse-names":false,"suffix":""}],"container-title":"Cell Reports","id":"ITEM-3","issue":"3","issued":{"date-parts":[["2013","8"]]},"page":"405-412","publisher":"The Authors","publisher-place":"Center for Neural Science, New York University, New York, NY 10003, USA; Sagol Department of Neurobiology, University of Haifa, Haifa 3190501, Israel.","title":"Genetic Reduction of the α1 Subunit of Na/K-ATPase Corrects Multiple Hippocampal Phenotypes in Angelman Syndrome","type":"article-journal","volume":"4"},"uris":["http://www.mendeley.com/documents/?uuid=c34a77c4-a96c-4f9e-9928-52af61780980"]},{"id":"ITEM-4","itemData":{"DOI":"10.1172/JCI120816","ISSN":"15588238","PMID":"30352049","abstract":"Angelman syndrome (AS) is a neurodevelopmental disorder in which epilepsy is common (</w:instrText>
      </w:r>
      <w:r w:rsidR="006104B1">
        <w:rPr>
          <w:rFonts w:ascii="Cambria Math" w:hAnsi="Cambria Math" w:cs="Cambria Math"/>
        </w:rPr>
        <w:instrText>∼</w:instrText>
      </w:r>
      <w:r w:rsidR="006104B1">
        <w:rPr>
          <w:rFonts w:asciiTheme="majorBidi" w:hAnsiTheme="majorBidi" w:cstheme="majorBidi"/>
        </w:rPr>
        <w:instrText>90%) and often refractory to antiepileptics. AS is caused by mutation of the maternal allele encoding the ubiquitin protein ligase E3A (UBE3A), but it is unclear how this genetic insult confers vulnerability to seizure development and progression (i.e., epileptogenesis). Here, we implemented the flurothyl kindling and retest paradigm in AS model mice to assess epileptogenesis and to gain mechanistic insights owed to loss of maternal Ube3a. AS model mice kindled similarly to wild-type mice, but they displayed a markedly increased sensitivity to flurothyl-, kainic acid-, and hyperthermia-induced seizures measured a month later during retest. Pathological characterization revealed enhanced deposition of perineuronal nets in the dentate gyrus of the hippocampus of AS mice in the absence of overt neuronal loss or mossy fiber sprouting. This pro-epileptogenic phenotype resulted from Ube3a deletion in GABAergic but not glutamatergic neurons, and it was rescued by pancellular reinstatement of Ube3a at postnatal day 21 (P21), but not during adulthood. Our results suggest that epileptogenic susceptibility in AS patients is a consequence of the dysfunctional development of GABAergic circuits, which may be amenable to therapies leveraging juvenile reinstatement of UBE3A.","author":[{"dropping-particle":"","family":"Gu","given":"Bin","non-dropping-particle":"","parse-names":false,"suffix":""},{"dropping-particle":"","family":"Carstens","given":"Kelly E","non-dropping-particle":"","parse-names":false,"suffix":""},{"dropping-particle":"","family":"Judson","given":"Matthew C","non-dropping-particle":"","parse-names":false,"suffix":""},{"dropping-particle":"","family":"Dalton","given":"Katherine A","non-dropping-particle":"","parse-names":false,"suffix":""},{"dropping-particle":"","family":"Rougié","given":"Marie","non-dropping-particle":"","parse-names":false,"suffix":""},{"dropping-particle":"","family":"Clark","given":"Ellen P","non-dropping-particle":"","parse-names":false,"suffix":""},{"dropping-particle":"","family":"Dudek","given":"Serena M","non-dropping-particle":"","parse-names":false,"suffix":""},{"dropping-particle":"","family":"Philpot","given":"Benjamin D","non-dropping-particle":"","parse-names":false,"suffix":""}],"container-title":"Journal of Clinical Investigation","id":"ITEM-4","issue":"1","issued":{"date-parts":[["2019"]]},"page":"163-168","publisher":"American Society for Clinical Investigation","title":"Ube3a reinstatement mitigates epileptogenesis in Angelman syndrome model mice","type":"article-journal","volume":"129"},"uris":["http://www.mendeley.com/documents/?uuid=ba71bf8b-e1af-4bb2-85b2-a709566719e2"]}],"mendeley":{"formattedCitation":"&lt;sup&gt;6,9,11,13&lt;/sup&gt;","plainTextFormattedCitation":"6,9,11,13","previouslyFormattedCitation":"&lt;sup&gt;6,9,11,13&lt;/sup&gt;"},"properties":{"noteIndex":0},"schema":"https://github.com/citation-style-language/schema/raw/master/csl-citation.json"}</w:instrText>
      </w:r>
      <w:r w:rsidR="0069522B"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6,9,11,13</w:t>
      </w:r>
      <w:r w:rsidR="0069522B" w:rsidRPr="00B12FA8">
        <w:rPr>
          <w:rFonts w:asciiTheme="majorBidi" w:hAnsiTheme="majorBidi" w:cstheme="majorBidi"/>
        </w:rPr>
        <w:fldChar w:fldCharType="end"/>
      </w:r>
      <w:r w:rsidR="001626AD" w:rsidRPr="00B12FA8">
        <w:rPr>
          <w:rFonts w:asciiTheme="majorBidi" w:hAnsiTheme="majorBidi" w:cstheme="majorBidi"/>
        </w:rPr>
        <w:t xml:space="preserve"> correlates with the rescue of the behavioral deficits. </w:t>
      </w:r>
      <w:r w:rsidR="00891FCD" w:rsidRPr="00B12FA8">
        <w:rPr>
          <w:rFonts w:asciiTheme="majorBidi" w:hAnsiTheme="majorBidi" w:cstheme="majorBidi"/>
        </w:rPr>
        <w:t xml:space="preserve">Though the effects of the loss of UBE3A on </w:t>
      </w:r>
      <w:r w:rsidR="0069522B" w:rsidRPr="00B12FA8">
        <w:rPr>
          <w:rFonts w:asciiTheme="majorBidi" w:hAnsiTheme="majorBidi" w:cstheme="majorBidi"/>
        </w:rPr>
        <w:t xml:space="preserve">neuronal physiology </w:t>
      </w:r>
      <w:r w:rsidR="00891FCD" w:rsidRPr="00B12FA8">
        <w:rPr>
          <w:rFonts w:asciiTheme="majorBidi" w:hAnsiTheme="majorBidi" w:cstheme="majorBidi"/>
        </w:rPr>
        <w:t>differ between brain regions such as the hippocampus, cortex, and cerebellum,</w:t>
      </w:r>
      <w:r w:rsidR="001626AD" w:rsidRPr="00B12FA8">
        <w:rPr>
          <w:rFonts w:asciiTheme="majorBidi" w:hAnsiTheme="majorBidi" w:cstheme="majorBidi"/>
        </w:rPr>
        <w:t xml:space="preserve"> the mechanisms responsible for </w:t>
      </w:r>
      <w:r w:rsidR="0069522B" w:rsidRPr="00B12FA8">
        <w:rPr>
          <w:rFonts w:asciiTheme="majorBidi" w:hAnsiTheme="majorBidi" w:cstheme="majorBidi"/>
        </w:rPr>
        <w:t>behavioral deficits</w:t>
      </w:r>
      <w:r w:rsidR="001626AD" w:rsidRPr="00B12FA8">
        <w:rPr>
          <w:rFonts w:asciiTheme="majorBidi" w:hAnsiTheme="majorBidi" w:cstheme="majorBidi"/>
        </w:rPr>
        <w:t xml:space="preserve"> phenomenon </w:t>
      </w:r>
      <w:bookmarkStart w:id="0" w:name="_Hlk122608827"/>
      <w:r w:rsidR="00277C72" w:rsidRPr="00B12FA8">
        <w:rPr>
          <w:rFonts w:asciiTheme="majorBidi" w:hAnsiTheme="majorBidi" w:cstheme="majorBidi"/>
        </w:rPr>
        <w:t>remain poorly understood in mice and</w:t>
      </w:r>
      <w:r w:rsidRPr="00B12FA8">
        <w:rPr>
          <w:rFonts w:asciiTheme="majorBidi" w:hAnsiTheme="majorBidi" w:cstheme="majorBidi"/>
        </w:rPr>
        <w:t xml:space="preserve"> humans.</w:t>
      </w:r>
    </w:p>
    <w:bookmarkEnd w:id="0"/>
    <w:p w14:paraId="43EA5723" w14:textId="77777777" w:rsidR="001626AD" w:rsidRPr="00B12FA8" w:rsidRDefault="001626AD" w:rsidP="00C67B64">
      <w:pPr>
        <w:bidi w:val="0"/>
        <w:spacing w:before="20" w:afterLines="20" w:after="48" w:line="240" w:lineRule="auto"/>
        <w:ind w:firstLine="426"/>
        <w:contextualSpacing/>
        <w:jc w:val="both"/>
        <w:rPr>
          <w:rFonts w:asciiTheme="majorBidi" w:hAnsiTheme="majorBidi" w:cstheme="majorBidi"/>
          <w:b/>
          <w:bCs/>
          <w:i/>
          <w:iCs/>
        </w:rPr>
      </w:pPr>
    </w:p>
    <w:p w14:paraId="43C65152" w14:textId="1D5B8118" w:rsidR="001567A6" w:rsidRDefault="00FF545B" w:rsidP="00C67B64">
      <w:pPr>
        <w:bidi w:val="0"/>
        <w:spacing w:before="20" w:afterLines="20" w:after="48" w:line="240" w:lineRule="auto"/>
        <w:ind w:firstLine="426"/>
        <w:contextualSpacing/>
        <w:jc w:val="both"/>
        <w:rPr>
          <w:rFonts w:asciiTheme="majorBidi" w:hAnsiTheme="majorBidi" w:cstheme="majorBidi"/>
        </w:rPr>
      </w:pPr>
      <w:r w:rsidRPr="00B12FA8">
        <w:rPr>
          <w:rFonts w:asciiTheme="majorBidi" w:hAnsiTheme="majorBidi" w:cstheme="majorBidi"/>
          <w:b/>
          <w:bCs/>
          <w:i/>
          <w:iCs/>
        </w:rPr>
        <w:t>Transcranial direct current stimulation (</w:t>
      </w:r>
      <w:proofErr w:type="spellStart"/>
      <w:r w:rsidRPr="00B12FA8">
        <w:rPr>
          <w:rFonts w:asciiTheme="majorBidi" w:hAnsiTheme="majorBidi" w:cstheme="majorBidi"/>
          <w:b/>
          <w:bCs/>
          <w:i/>
          <w:iCs/>
        </w:rPr>
        <w:t>tDCS</w:t>
      </w:r>
      <w:proofErr w:type="spellEnd"/>
      <w:r w:rsidR="00C64A36" w:rsidRPr="00B12FA8">
        <w:rPr>
          <w:rFonts w:asciiTheme="majorBidi" w:hAnsiTheme="majorBidi" w:cstheme="majorBidi"/>
          <w:b/>
          <w:bCs/>
          <w:i/>
          <w:iCs/>
        </w:rPr>
        <w:t xml:space="preserve">) </w:t>
      </w:r>
      <w:r w:rsidR="00C64A36" w:rsidRPr="00B12FA8">
        <w:rPr>
          <w:rFonts w:asciiTheme="majorBidi" w:hAnsiTheme="majorBidi" w:cstheme="majorBidi"/>
        </w:rPr>
        <w:t>is an evolving neurostimulation-based therapeutic modality used to treat multiple neurological and psychiatric indications such as major depression, stroke, and Parkinson</w:t>
      </w:r>
      <w:r w:rsidR="009E06DA">
        <w:rPr>
          <w:rFonts w:asciiTheme="majorBidi" w:hAnsiTheme="majorBidi" w:cstheme="majorBidi"/>
        </w:rPr>
        <w:t>’</w:t>
      </w:r>
      <w:r w:rsidR="00C64A36" w:rsidRPr="00B12FA8">
        <w:rPr>
          <w:rFonts w:asciiTheme="majorBidi" w:hAnsiTheme="majorBidi" w:cstheme="majorBidi"/>
        </w:rPr>
        <w:t xml:space="preserve">s disease </w:t>
      </w:r>
      <w:r w:rsidR="00C64A36"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{"citationItems":[{"id":"ITEM-1","itemData":{"DOI":"10.3390/brainsci8050081","ISSN":"2076-3425","PMID":"29734768","abstract":"Background: Transcranial direct current stimulation (tDCS) opens new perspectives in the treatment of major depressive disorder (MDD), because of its ability to modulate cortical excitability and induce long-lasting effects. The aim of this review is to summarize the current status of knowledge regarding tDCS application in MDD. Methods: In this review, we searched for articles published in PubMed/MEDLINE from the earliest available date to February 2018 that explored clinical and cognitive effects of tDCS in MDD. Results: Despite differences in design and stimulation parameters, the examined studies indicated beneficial effects of tDCS for MDD. These preliminary results, the non-invasiveness of tDCS, and its good tolerability support the need for further research on this technique. Conclusions: tDCS constitutes a promising therapeutic alternative for patients with MDD, but its place in the therapeutic armamentarium remains to be determined.","author":[{"dropping-particle":"","family":"Bennabi","given":"Djamila","non-dropping-particle":"","parse-names":false,"suffix":""},{"dropping-particle":"","family":"Haffen","given":"Emmanuel","non-dropping-particle":"","parse-names":false,"suffix":""}],"container-title":"Brain Sciences","id":"ITEM-1","issue":"5","issued":{"date-parts":[["2018","5","6"]]},"page":"81","title":"Transcranial Direct Current Stimulation (tDCS): A Promising Treatment for Major Depressive Disorder?","type":"article-journal","volume":"8"},"uris":["http://www.mendeley.com/documents/?uuid=e50db09a-e08b-404f-8be0-f0f659578cb7","http://www.mendeley.com/documents/?uuid=ec3a332d-90f4-4e3b-b5dd-5dc92fa7e481"]},{"id":"ITEM-2","itemData":{"DOI":"10.1016/j.brs.2018.10.003","ISSN":"1935861X","PMID":"30314900","author":[{"dropping-particle":"","family":"Palm","given":"Ulrich","non-dropping-particle":"","parse-names":false,"suffix":""},{"dropping-particle":"","family":"Goerigk","given":"Stephan","non-dropping-particle":"","parse-names":false,"suffix":""},{"dropping-particle":"","family":"Kirsch","given":"Beatrice","non-dropping-particle":"","parse-names":false,"suffix":""},{"dropping-particle":"","family":"Bäumler","given":"Leonie","non-dropping-particle":"","parse-names":false,"suffix":""},{"dropping-particle":"","family":"Sarubin","given":"Nina","non-dropping-particle":"","parse-names":false,"suffix":""},{"dropping-particle":"","family":"Hasan","given":"Alkomiet","non-dropping-particle":"","parse-names":false,"suffix":""},{"dropping-particle":"","family":"Brunoni","given":"Andre R.","non-dropping-particle":"","parse-names":false,"suffix":""},{"dropping-particle":"","family":"Padberg","given":"Frank","non-dropping-particle":"","parse-names":false,"suffix":""}],"container-title":"Brain Stimulation","id":"ITEM-2","issue":"1","issued":{"date-parts":[["2019","1"]]},"page":"195-197","title":"Treatment of major depression with a two-step tDCS protocol add-on to SSRI: Results from a naturalistic study","type":"article-journal","volume":"12"},"uris":["http://www.mendeley.com/documents/?uuid=2bd476b7-bc05-4217-972d-e1bdde5320f6","http://www.mendeley.com/documents/?uuid=7c30156c-5026-466c-b00b-c4eec1e61274"]},{"id":"ITEM-3","itemData":{"DOI":"10.1080/10749357.2019.1565696","ISSN":"1074-9357","PMID":"30735104","abstract":"BACKGROUND Repetitive transcranial magnetic stimulation (rTMS) and transcranial direct current stimulation (tDCS) are noninvasive brain stimulation (NIBS) techniques able to modulate cortical excitability. OBJECTIVE To determine the effects of NIBS combined with other therapies on gait speed after stroke. METHODS Electronic databases searched were PUBMED, EMBASE, COCHRANE, SCOPUS, SCIELO and PEDro. Eligibility criteria were randomized controlled trials that reported the effects of tDCS and rTMS combined with other therapies for improving gait speed, walking cadence, functional ambulation category (FAC) and motricity index (MI-LE) after stroke. Risk of bias was assessed by Cochrane risk of bias assessment tool. Mean differences (MD) and 95% confidence intervals were calculated. Quality of evidence was assessed by Grades of Researches, Assessment, Development and Evaluation approach. RESULTS Ten studies (226 subjects) were included in the meta-analysis. NIBS combined with other therapies was effective for improving gait speed (MD 0.09 m/s [95% CI, 0.05 to 0.13; I2 0%, p &lt; 0.0001]). Gait speed improved in both acute/subacute (MD 0.08 m/s [95% CI, 0.02 to 0.14]) and chronic phases (MD 0.08 m/s [95% CI, 0.03 to 0.13]). Furthermore, inhibitory (MD 0.09 m/s [95% CI, 0.04 to 0.14]) and excitatory (MD 0.07 m/s [95% CI, 0.02 to 0.12]) protocols were effective to improve gait speed. NIBS was also effective to improve walking cadence but was unable to modify other outcomes (FAC and MI-LE). CONCLUSIONS This systematic review with meta-analysis synthesizes moderate-quality evidence that NIBS combined with other therapies are effective to improve gait speed after stroke. Systematic Review registration number: PROSPERO registration number CDR42015024237.","author":[{"dropping-particle":"","family":"Vaz","given":"Patricia Graef","non-dropping-particle":"","parse-names":false,"suffix":""},{"dropping-particle":"","family":"Salazar","given":"Ana Paula da Silva","non-dropping-particle":"","parse-names":false,"suffix":""},{"dropping-particle":"","family":"Stein","given":"Cinara","non-dropping-particle":"","parse-names":false,"suffix":""},{"dropping-particle":"","family":"Marchese","given":"Ritchele Redivo","non-dropping-particle":"","parse-names":false,"suffix":""},{"dropping-particle":"","family":"Lukrafka","given":"Janice Luisa","non-dropping-particle":"","parse-names":false,"suffix":""},{"dropping-particle":"","family":"Plentz","given":"Rodrigo Della Méa","non-dropping-particle":"","parse-names":false,"suffix":""},{"dropping-particle":"","family":"Pagnussat","given":"Aline Souza","non-dropping-particle":"","parse-names":false,"suffix":""}],"container-title":"Topics in Stroke Rehabilitation","id":"ITEM-3","issue":"3","issued":{"date-parts":[["2019","4","3"]]},"page":"201-213","title":"Noninvasive brain stimulation combined with other therapies improves gait speed after stroke: a systematic review and meta-analysis","type":"article-journal","volume":"26"},"uris":["http://www.mendeley.com/documents/?uuid=17ba5701-391d-4f09-a2e8-645a6bb8c461","http://www.mendeley.com/documents/?uuid=897f2681-2d4b-4ca2-baa7-b8b1935cb03c"]},{"id":"ITEM-4","itemData":{"DOI":"10.1016/j.neubiorev.2009.11.006","ISSN":"01497634","abstract":"Addiction is a devastating and chronically relapsing disorder. Repeated drug administration induces neuroadaptations associated with abnormal dopaminergic activity in the mesocorticolimbic circuitry, resulting in altered cortical neurotransmission and excitability. Electrical stimulation of specific brain regions can be used in animal models and humans to induce local activation or disruption of specific circuitries or alter neuronal excitability and cause neuroadaptations. Non-surgical stimulation of specific brain regions in human addicts can be achieved by transcranial magnetic stimulation (TMS). TMS is used for transient stimulation or disruption of neural activity in specific cortical regions, which can be used to assess cortical excitability, and to induce changes in cortical excitability. Moreover, it is suggested that repeated stimulation can cause long-lasting neuroadaptations. Therefore, TMS paradigms were used in some studies to assess the presence of altered cortical excitability associated with chronic drug consumption, while other studies have begun to assess the therapeutic potential of repetitive TMS. Similarly, transcranial direct current stimulation (tDCS) is used to modulate neuronal resting membrane potential in humans and alter cortical excitability. The current review describes how these brain stimulation techniques have recently been used for the study and treatment of addiction in animal models and humans.","author":[{"dropping-particle":"","family":"Feil","given":"Jodie","non-dropping-particle":"","parse-names":false,"suffix":""},{"dropping-particle":"","family":"Zangen","given":"Abraham","non-dropping-particle":"","parse-names":false,"suffix":""}],"container-title":"Neuroscience &amp; Biobehavioral Reviews","id":"ITEM-4","issue":"4","issued":{"date-parts":[["2010","3"]]},"page":"559-574","publisher":"Pergamon","title":"Brain stimulation in the study and treatment of addiction","type":"article-journal","volume":"34"},"uris":["http://www.mendeley.com/documents/?uuid=7decb4a6-0ba4-3177-9d20-93412f31a794","http://www.mendeley.com/documents/?uuid=a5c9ca5b-e07c-4b0f-abb1-9ee9d79f8242"]},{"id":"ITEM-5","itemData":{"DOI":"10.1080/17434440.2018.1551129","ISSN":"1743-4440","PMID":"30501532","abstract":"INTRODUCTION Fibromyalgia affects more than 5 million people in the United States and has a detrimental impact on individuals' quality of life. Current pharmacological treatments provide limited benefits to relieve the pain of fibromyalgia, along with a risk of adverse effects; a scenario that explains the increasing interest for multimodal approaches. A tailored strategy to focus on this dysfunctional endogenous pain inhibitory system is transcranial direct current stimulation (tDCS) of the primary motor cortex. By combining tDCS with aerobic exercise, the effects can be optimized. Areas covered: The relevant literature was reviewed and discussed the methodological issues for designing a mechanistic clinical trial to test this combined intervention. Also, we reviewed the neural control of different pathways that integrate the endogenous pain inhibitory system, as well as the effects of tDCS and aerobic exercise both alone and combined. In addition, potential neurophysiological assessments are addressed: conditioned pain modulation, temporal slow pain summation, transcranial magnetic stimulation, and electroencephalography in the context of fibromyalgia. Expert commentary: By understanding the neural mechanisms underlying pain processing and potential optimized interventions in fibromyalgia with higher accuracy, the field has an evident potential of advancement in the direction of new neuromarkers and tailored therapies.","author":[{"dropping-particle":"","family":"Duarte","given":"Dante","non-dropping-particle":"","parse-names":false,"suffix":""},{"dropping-particle":"","family":"Castelo-Branco","given":"Luis Eduardo Coutinho","non-dropping-particle":"","parse-names":false,"suffix":""},{"dropping-particle":"","family":"Uygur Kucukseymen","given":"Elif","non-dropping-particle":"","parse-names":false,"suffix":""},{"dropping-particle":"","family":"Fregni","given":"Felipe","non-dropping-particle":"","parse-names":false,"suffix":""}],"container-title":"Expert Review of Medical Devices","id":"ITEM-5","issue":"12","issued":{"date-parts":[["2018","12","2"]]},"page":"863-873","title":"Developing an optimized strategy with transcranial direct current stimulation to enhance the endogenous pain control system in fibromyalgia","type":"article-journal","volume":"15"},"uris":["http://www.mendeley.com/documents/?uuid=cd696274-bbc5-4748-a8b9-6f2fa6873773","http://www.mendeley.com/documents/?uuid=82c24432-821d-43bb-8c98-a902ef7d99a8"]},{"id":"ITEM-6","itemData":{"DOI":"10.1080/14737175.2019.1567332","ISSN":"1473-7175","PMID":"30681009","abstract":"INTRODUCTION There has been great development in the testing of invasive and non-invasive neuromodulation for chronic pain. To date, it is known that central and peripheral stimulation targets, combined or not, may influence chronic pain sensation. Although most of the significant results of chronic pain studies come from motor cortex stimulation, novel targets are being explored to increase effect sizes and to induce pain relief in non-responders. Areas covered: In this article, we discuss three emerging targets of non-invasive neuromodulation for chronic pain: (i) a central target: prefrontal cortex stimulation; (ii) a peripheral target: vagal nerve stimulation (VNS); and (iii) a combined peripheral-central target: combination of central and peripheral neural stimulation. Expert commentary: Clinical trials' results on novel targets for chronic pain are at an earlier stage and the mechanisms involved with their combination remain unclear. An important challenge to validate new targets is to determine whether they may be equivalent or even more effective than traditional ones. In spite of the significant advance in this field, especially in refractory chronic pain, mechanistic elements are yet to be comprehended. Thus, exploring multifactorial aspects of novel brain stimulation approaches is fundamental to achieve meaningful results and further augment clinical practice.","author":[{"dropping-particle":"","family":"Costa","given":"Beatriz","non-dropping-particle":"","parse-names":false,"suffix":""},{"dropping-particle":"","family":"Ferreira","given":"Isadora","non-dropping-particle":"","parse-names":false,"suffix":""},{"dropping-particle":"","family":"Trevizol","given":"Alisson","non-dropping-particle":"","parse-names":false,"suffix":""},{"dropping-particle":"","family":"Thibaut","given":"Aurore","non-dropping-particle":"","parse-names":false,"suffix":""},{"dropping-particle":"","family":"Fregni","given":"Felipe","non-dropping-particle":"","parse-names":false,"suffix":""}],"container-title":"Expert Review of Neurotherapeutics","id":"ITEM-6","issue":"2","issued":{"date-parts":[["2019","2","1"]]},"page":"109-118","title":"Emerging targets and uses of neuromodulation for pain","type":"article-journal","volume":"19"},"uris":["http://www.mendeley.com/documents/?uuid=ccf0b42b-7ed1-49ce-90f8-3149f301898a","http://www.mendeley.com/documents/?uuid=a782d9ba-6ccf-47c2-9625-826493960d10"]},{"id":"ITEM-7","itemData":{"DOI":"10.1002/mds.27300","ISSN":"08853185","PMID":"29436740","abstract":"BACKGROUND Recent findings suggest that transcranial direct current stimulation of the primary motor cortex may ameliorate freezing of gait. However, the effects of multitarget simultaneous stimulation of motor and cognitive networks are mostly unknown. The objective of this study was to evaluate the effects of multitarget transcranial direct current stimulation of the primary motor cortex and left dorsolateral prefrontal cortex on freezing of gait and related outcomes. METHODS Twenty patients with Parkinson's disease and freezing of gait received 20 minutes of transcranial direct current stimulation on 3 separate visits. Transcranial direct current stimulation targeted the primary motor cortex and left dorsolateral prefrontal cortex simultaneously, primary motor cortex only, or sham stimulation (order randomized and double-blinded assessments). Participants completed a freezing of gait-provoking test, the Timed Up and Go, and the Stroop test before and after each transcranial direct current stimulation session. RESULTS Performance on the freezing of gait-provoking test (P = 0.010), Timed Up and Go (P = 0.006), and the Stroop test (P = 0.016) improved after simultaneous stimulation of the primary motor cortex and left dorsolateral prefrontal cortex, but not after primary motor cortex only or sham stimulation. CONCLUSIONS Transcranial direct current stimulation designed to simultaneously target motor and cognitive regions apparently induces immediate aftereffects in the brain that translate into reduced freezing of gait and improvements in executive function and mobility. © 2018 International Parkinson and Movement Disorder Society.","author":[{"dropping-particle":"","family":"Dagan","given":"Moria","non-dropping-particle":"","parse-names":false,"suffix":""},{"dropping-particle":"","family":"Herman","given":"Talia","non-dropping-particle":"","parse-names":false,"suffix":""},{"dropping-particle":"","family":"Harrison","given":"Rachel","non-dropping-particle":"","parse-names":false,"suffix":""},{"dropping-particle":"","family":"Zhou","given":"Junhong","non-dropping-particle":"","parse-names":false,"suffix":""},{"dropping-particle":"","family":"Giladi","given":"Nir","non-dropping-particle":"","parse-names":false,"suffix":""},{"dropping-particle":"","family":"Ruffini","given":"Giulio","non-dropping-particle":"","parse-names":false,"suffix":""},{"dropping-particle":"","family":"Manor","given":"Brad","non-dropping-particle":"","parse-names":false,"suffix":""},{"dropping-particle":"","family":"Hausdorff","given":"Jeffrey M.","non-dropping-particle":"","parse-names":false,"suffix":""}],"container-title":"Movement Disorders","id":"ITEM-7","issue":"4","issued":{"date-parts":[["2018","4"]]},"page":"642-646","title":"Multitarget transcranial direct current stimulation for freezing of gait in Parkinson's disease","type":"article-journal","volume":"33"},"uris":["http://www.mendeley.com/documents/?uuid=e8565f0c-cae7-468d-abdb-8e87a98300b6","http://www.mendeley.com/documents/?uuid=16187167-21df-423a-9629-ef2b47200244"]},{"id":"ITEM-8","itemData":{"DOI":"10.1016/j.psychres.2019.01.059","ISSN":"01651781","PMID":"30682555","abstract":"Auditory hallucinations are the most common psychiatric symptoms of schizophrenia with high recurrence and refractoriness. Transcranial direct current stimulation (tDCS), a novel, non-invasion and affordable brain stimulation technique, has been recently applying on the schizophrenia patients to treat the auditory hallucinations. To analyze the efficacy of tDCS treatment on such symptoms and to reveal its potential working mechanisms, we carried out a structured literature search in PubMed, Embase and Cochrane Library database up to May 12, 2018. Five studies that met inclusion criteria with a total of 137 patients were included in this meta-analysis. After pooling all the data, we found that there was no significant effect between active group and sham group of tDCS (p = 0.18). When we removed one study that did not collaboratively stimulate the frontal-temporal sites, the active tDCS group marks a significant improvement of therapeutic effect compared with sham group (p = 0.007). Our findings suggested that tDCS could be a promising tool to alleviate auditory hallucinations, provided that the simulation sites and protocols are targeting at the sensorimotor frontal-parietal network.","author":[{"dropping-particle":"","family":"Yang","given":"Fuyin","non-dropping-particle":"","parse-names":false,"suffix":""},{"dropping-particle":"","family":"Fang","given":"Xinyu","non-dropping-particle":"","parse-names":false,"suffix":""},{"dropping-particle":"","family":"Tang","given":"Wei","non-dropping-particle":"","parse-names":false,"suffix":""},{"dropping-particle":"","family":"Hui","given":"Li","non-dropping-particle":"","parse-names":false,"suffix":""},{"dropping-particle":"","family":"Chen","given":"Yan","non-dropping-particle":"","parse-names":false,"suffix":""},{"dropping-particle":"","family":"Zhang","given":"Chen","non-dropping-particle":"","parse-names":false,"suffix":""},{"dropping-particle":"","family":"Tian","given":"Xing","non-dropping-particle":"","parse-names":false,"suffix":""}],"container-title":"Psychiatry Research","id":"ITEM-8","issued":{"date-parts":[["2019","3"]]},"page":"343-349","title":"Effects and potential mechanisms of transcranial direct current stimulation (tDCS) on auditory hallucinations: A meta-analysis","type":"article-journal","volume":"273"},"uris":["http://www.mendeley.com/documents/?uuid=0cd7fe4f-440d-4cb3-8c63-8e7d29604a4a","http://www.mendeley.com/documents/?uuid=8a8bd98a-c4c2-4933-a514-1fd244082cae"]},{"id":"ITEM-9","itemData":{"DOI":"10.1016/j.jpsychires.2018.12.009","ISSN":"00223956","PMID":"30639917","abstract":"Transcranial direct current stimulation (tDCS) has generated interest in recent years as a potential adjunctive treatment for patients with schizophrenia. The primary objective of this meta-analysis was to evaluate the efficacy of tDCS on positive symptoms, particularly auditory hallucinations, and negative symptoms. A literature search of randomized sham-controlled trials was conducted using the OVID database on October 9, 2018. The standardized mean differences (SMDs) were calculated to examine changes in symptom severity between active and sham groups for the following symptom domains: auditory hallucinations, positive symptoms (including auditory hallucinations), and negative symptoms. Moderator analyses were performed to examine the effects of study design and participant demographics. We identified 10 eligible studies. Main-analyses showed no effects of tDCS on auditory hallucinations (7 studies, n = 242), positive symptoms (9 studies, n = 313), or negative symptoms (9 studies, n = 313). Subgroup analyses of studies that applied twice-daily stimulation showed a significant reduction in the severity of auditory hallucinations (4 studies, n = 138, SMD = 1.04, p = 0.02). Studies that applied ≥10 stimulation sessions showed a reduction in both auditory hallucination (5 studies, n = 186, SMD = 0.86, p = 0.009) and negative symptom severity (7 studies, n = 257, SMD = 0.41, p = 0.04). Meta-regression analyses revealed a negative association between mean age and the SMDs for auditory hallucinations and negative symptoms, and a positive association between baseline negative symptom severity and the SMDs for negative symptoms. Our findings highlight the need to optimize tDCS parameters and suggest twice-daily or 10 or more stimulation sessions may be needed to improve clinical outcomes in patients with schizophrenia.","author":[{"dropping-particle":"","family":"Kim","given":"Julia","non-dropping-particle":"","parse-names":false,"suffix":""},{"dropping-particle":"","family":"Iwata","given":"Yusuke","non-dropping-particle":"","parse-names":false,"suffix":""},{"dropping-particle":"","family":"Plitman","given":"Eric","non-dropping-particle":"","parse-names":false,"suffix":""},{"dropping-particle":"","family":"Caravaggio","given":"Fernando","non-dropping-particle":"","parse-names":false,"suffix":""},{"dropping-particle":"","family":"Chung","given":"Jun Ku","non-dropping-particle":"","parse-names":false,"suffix":""},{"dropping-particle":"","family":"Shah","given":"Parita","non-dropping-particle":"","parse-names":false,"suffix":""},{"dropping-particle":"","family":"Blumberger","given":"Daniel M.","non-dropping-particle":"","parse-names":false,"suffix":""},{"dropping-particle":"","family":"Pollock","given":"Bruce G.","non-dropping-particle":"","parse-names":false,"suffix":""},{"dropping-particle":"","family":"Remington","given":"Gary","non-dropping-particle":"","parse-names":false,"suffix":""},{"dropping-particle":"","family":"Graff-Guerrero","given":"Ariel","non-dropping-particle":"","parse-names":false,"suffix":""},{"dropping-particle":"","family":"Gerretsen","given":"Philip","non-dropping-particle":"","parse-names":false,"suffix":""}],"container-title":"Journal of Psychiatric Research","id":"ITEM-9","issued":{"date-parts":[["2019","3"]]},"page":"117-126","title":"A meta-analysis of transcranial direct current stimulation for schizophrenia: “Is more better?”","type":"article-journal","volume":"110"},"uris":["http://www.mendeley.com/documents/?uuid=9b4312b7-79af-4b45-8ec5-95931a926baf","http://www.mendeley.com/documents/?uuid=8f814988-2ec7-4598-8d45-87c009f786fe"]}],"mendeley":{"formattedCitation":"&lt;sup&gt;18–26&lt;/sup&gt;","plainTextFormattedCitation":"18–26","previouslyFormattedCitation":"&lt;sup&gt;18–26&lt;/sup&gt;"},"properties":{"noteIndex":0},"schema":"https://github.com/citation-style-language/schema/raw/master/csl-citation.json"}</w:instrText>
      </w:r>
      <w:r w:rsidR="00C64A36"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18–26</w:t>
      </w:r>
      <w:r w:rsidR="00C64A36" w:rsidRPr="00B12FA8">
        <w:rPr>
          <w:rFonts w:asciiTheme="majorBidi" w:hAnsiTheme="majorBidi" w:cstheme="majorBidi"/>
        </w:rPr>
        <w:fldChar w:fldCharType="end"/>
      </w:r>
      <w:r w:rsidR="00C64A36" w:rsidRPr="00B12FA8">
        <w:rPr>
          <w:rFonts w:asciiTheme="majorBidi" w:hAnsiTheme="majorBidi" w:cstheme="majorBidi"/>
        </w:rPr>
        <w:t xml:space="preserve">. It entails the delivery of a weak direct current (DC) to the brain via the scalp </w:t>
      </w:r>
      <w:r w:rsidR="00C64A36"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{"citationItems":[{"id":"ITEM-1","itemData":{"DOI":"10.1088/1741-2560/8/4/046011","ISSN":"1741-2560","PMID":"21659696","abstract":"Transcranial direct current stimulation (tDCS) provides a non-invasive tool to elicit neuromodulation by delivering current through electrodes placed on the scalp. The present clinical paradigm uses two relatively large electrodes to inject current through the head resulting in electric fields that are broadly distributed over large regions of the brain. In this paper, we present a method that uses multiple small electrodes (i.e. 1.2 cm diameter) and systematically optimize the applied currents to achieve effective and targeted stimulation while ensuring safety of stimulation. We found a fundamental trade-off between achievable intensity (at the target) and focality, and algorithms to optimize both measures are presented. When compared with large pad-electrodes (approximated here by a set of small electrodes covering 25 cm(2)), the proposed approach achieves electric fields which exhibit simultaneously greater focality (80% improvement) and higher target intensity (98% improvement) at cortical targets using the same total current applied. These improvements illustrate the previously unrecognized and non-trivial dependence of the optimal electrode configuration on the desired electric field orientation and the maximum total current (due to safety). Similarly, by exploiting idiosyncratic details of brain anatomy, the optimization approach significantly improves upon prior un-optimized approaches using small electrodes. The analysis also reveals the optimal use of conventional bipolar montages: maximally intense tangential fields are attained with the two electrodes placed at a considerable distance from the target along the direction of the desired field; when radial fields are desired, the maximum-intensity configuration consists of an electrode placed directly over the target with a distant return electrode. To summarize, if a target location and stimulation orientation can be defined by the clinician, then the proposed technique is superior in terms of both focality and intensity as compared to previous solutions and is thus expected to translate into improved patient safety and increased clinical efficacy.","author":[{"dropping-particle":"","family":"Dmochowski","given":"Jacek P","non-dropping-particle":"","parse-names":false,"suffix":""},{"dropping-particle":"","family":"Datta","given":"Abhishek","non-dropping-particle":"","parse-names":false,"suffix":""},{"dropping-particle":"","family":"Bikson","given":"Marom","non-dropping-particle":"","parse-names":false,"suffix":""},{"dropping-particle":"","family":"Su","given":"Yuzhuo","non-dropping-particle":"","parse-names":false,"suffix":""},{"dropping-particle":"","family":"Parra","given":"Lucas C","non-dropping-particle":"","parse-names":false,"suffix":""}],"container-title":"Journal of Neural Engineering","id":"ITEM-1","issue":"4","issued":{"date-parts":[["2011","8","1"]]},"page":"046011","publisher-place":"Department of Biomedical Engineering, City College of New York-City University of New York, New York, NY 10031, USA. jdmochowski@ccny.cuny.edu","title":"Optimized multi-electrode stimulation increases focality and intensity at target","type":"article-journal","volume":"8"},"uris":["http://www.mendeley.com/documents/?uuid=546f5ac1-0b84-43a9-9307-d61d466dc8c4","http://www.mendeley.com/documents/?uuid=a5172c43-8f8c-44c7-933d-c53ef522ae5c"]},{"id":"ITEM-2","itemData":{"DOI":"10.1371/journal.pone.0076112","ISSN":"1932-6203","PMID":"24086698","abstract":"Transcranial direct current stimulation (tDCS) is being widely investigated in adults as a therapeutic modality for brain disorders involving abnormal cortical excitability or disordered network activity. Interest is also growing in studying tDCS in children. Limited empirical studies in children suggest that tDCS is well tolerated and may have a similar safety profile as in adults. However, in electrotherapy as in pharmacotherapy, dose selection in children requires special attention, and simple extrapolation from adult studies may be inadequate. Critical aspects of dose adjustment include 1) differences in neurophysiology and disease, and 2) variation in brain electric fields for a specified dose due to gross anatomical differences between children and adults. In this study, we used high-resolution MRI derived finite element modeling simulations of two healthy children, ages 8 years and 12 years, and three healthy adults with varying head size to compare differences in electric field intensity and distribution. Multiple conventional and high-definition tDCS montages were tested. Our results suggest that on average, children will be exposed to higher peak electrical fields for a given applied current intensity than adults, but there is likely to be overlap between adults with smaller head size and children. In addition, exposure is montage specific. Variations in peak electrical fields were seen between the two pediatric models, despite comparable head size, suggesting that the relationship between neuroanatomic factors and bioavailable current dose is not trivial. In conclusion, caution is advised in using higher tDCS doses in children until 1) further modeling studies in a larger group shed light on the range of exposure possible by applied dose and age and 2) further studies correlate bioavailable dose estimates from modeling studies with empirically tested physiologic effects, such as modulation of motor evoked potentials after stimulation.","author":[{"dropping-particle":"","family":"Kessler","given":"Sudha Kilaru","non-dropping-particle":"","parse-names":false,"suffix":""},{"dropping-particle":"","family":"Minhas","given":"Preet","non-dropping-particle":"","parse-names":false,"suffix":""},{"dropping-particle":"","family":"Woods","given":"Adam J","non-dropping-particle":"","parse-names":false,"suffix":""},{"dropping-particle":"","family":"Rosen","given":"Alyssa","non-dropping-particle":"","parse-names":false,"suffix":""},{"dropping-particle":"","family":"Gorman","given":"Casey","non-dropping-particle":"","parse-names":false,"suffix":""},{"dropping-particle":"","family":"Bikson","given":"Marom","non-dropping-particle":"","parse-names":false,"suffix":""}],"container-title":"PLoS ONE","editor":[{"dropping-particle":"","family":"Chambers","given":"Chris","non-dropping-particle":"","parse-names":false,"suffix":""}],"id":"ITEM-2","issue":"9","issued":{"date-parts":[["2013","9","27"]]},"page":"e76112","title":"Dosage Considerations for Transcranial Direct Current Stimulation in Children: A Computational Modeling Study","type":"article-journal","volume":"8"},"uris":["http://www.mendeley.com/documents/?uuid=ae6b0253-03f8-4bc3-abd5-2cd5f2686244","http://www.mendeley.com/documents/?uuid=a15079fe-5e6d-40a2-920a-8f415bff2c49"]},{"id":"ITEM-3","itemData":{"DOI":"10.1016/j.nicl.2013.05.011","ISSN":"22131582","abstract":"Recent studies show that acute neuromodulation of the prefrontal cortex with transcranial direct current stimulation (tDCS) can decrease food craving, attentional bias to food, and actual food intake. These data suggest potential clinical applications for tDCS in the field of obesity. However, optimal stimulation parameters in obese individuals are uncertain. One fundamental concern is whether a thick, low-conductivity layer of subcutaneous fat around the head can affect current density distribution and require dose adjustments during tDCS administration. The aim of this study was to investigate the role of head fat on the distribution of current during tDCS and evaluate whether dosing standards for tDCS developed for adult individuals in general are adequate for the obese population. We used MRI-derived high-resolution computational models that delineated fat layers in five human heads from subjects with body mass index (BMI) ranging from “normal-lean” to “super-obese” (20.9 to 53.5kg/m2). Data derived from these simulations suggest that head fat influences tDCS current density across the brain, but its relative contribution is small when other components of head anatomy are added. Current density variability between subjects does not appear to have a direct and/or simple link to BMI. These results indicate that guidelines for the use of tDCS can be extrapolated to obese subjects without sacrificing efficacy and/or treatment safety; the recommended standard parameters can lead to the delivery of adequate current flow to induce neuromodulation of brain activity in the obese population.","author":[{"dropping-particle":"","family":"Truong","given":"Dennis Q.","non-dropping-particle":"","parse-names":false,"suffix":""},{"dropping-particle":"","family":"Magerowski","given":"Greta","non-dropping-particle":"","parse-names":false,"suffix":""},{"dropping-particle":"","family":"Blackburn","given":"George L.","non-dropping-particle":"","parse-names":false,"suffix":""},{"dropping-particle":"","family":"Bikson","given":"Marom","non-dropping-particle":"","parse-names":false,"suffix":""},{"dropping-particle":"","family":"Alonso-Alonso","given":"Miguel","non-dropping-particle":"","parse-names":false,"suffix":""}],"container-title":"NeuroImage: Clinical","id":"ITEM-3","issued":{"date-parts":[["2013","1"]]},"page":"759-766","publisher":"Elsevier","title":"Computational modeling of transcranial direct current stimulation (tDCS) in obesity: Impact of head fat and dose guidelines","type":"article-journal","volume":"2"},"uris":["http://www.mendeley.com/documents/?uuid=77e89da3-719d-312a-b5d0-290fa81a051a","http://www.mendeley.com/documents/?uuid=23a77c0d-a3a1-4f08-b3fc-844d7b37b79d"]},{"id":"ITEM-4","itemData":{"DOI":"10.7554/eLife.35178","ISSN":"2050-084X","author":[{"dropping-particle":"","family":"Huang","given":"Yu","non-dropping-particle":"","parse-names":false,"suffix":""},{"dropping-particle":"","family":"Liu","given":"Anli A","non-dropping-particle":"","parse-names":false,"suffix":""},{"dropping-particle":"","family":"Lafon","given":"Belen","non-dropping-particle":"","parse-names":false,"suffix":""},{"dropping-particle":"","family":"Friedman","given":"Daniel","non-dropping-particle":"","parse-names":false,"suffix":""},{"dropping-particle":"","family":"Dayan","given":"Michael","non-dropping-particle":"","parse-names":false,"suffix":""},{"dropping-particle":"","family":"Wang","given":"Xiuyuan","non-dropping-particle":"","parse-names":false,"suffix":""},{"dropping-particle":"","family":"Bikson","given":"Marom","non-dropping-particle":"","parse-names":false,"suffix":""},{"dropping-particle":"","family":"Doyle","given":"Werner K","non-dropping-particle":"","parse-names":false,"suffix":""},{"dropping-particle":"","family":"Devinsky","given":"Orrin","non-dropping-particle":"","parse-names":false,"suffix":""},{"dropping-particle":"","family":"Parra","given":"Lucas C","non-dropping-particle":"","parse-names":false,"suffix":""}],"container-title":"eLife","id":"ITEM-4","issued":{"date-parts":[["2018","2","15"]]},"page":"e35178","publisher":"eLife Sciences Publications, Ltd","title":"Correction: Measurements and models of electric fields in the in vivo human brain during transcranial electric stimulation","type":"article-journal","volume":"7"},"uris":["http://www.mendeley.com/documents/?uuid=cdcf7331-42c6-46d2-a6cb-79047b8a19a3","http://www.mendeley.com/documents/?uuid=579e28b6-aef7-466c-b6ce-6859d8d0173f"]}],"mendeley":{"formattedCitation":"&lt;sup&gt;27–30&lt;/sup&gt;","plainTextFormattedCitation":"27–30","previouslyFormattedCitation":"&lt;sup&gt;27–30&lt;/sup&gt;"},"properties":{"noteIndex":0},"schema":"https://github.com/citation-style-language/schema/raw/master/csl-citation.json"}</w:instrText>
      </w:r>
      <w:r w:rsidR="00C64A36"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27–30</w:t>
      </w:r>
      <w:r w:rsidR="00C64A36" w:rsidRPr="00B12FA8">
        <w:rPr>
          <w:rFonts w:asciiTheme="majorBidi" w:hAnsiTheme="majorBidi" w:cstheme="majorBidi"/>
        </w:rPr>
        <w:fldChar w:fldCharType="end"/>
      </w:r>
      <w:r w:rsidR="00C64A36" w:rsidRPr="00B12FA8">
        <w:rPr>
          <w:rFonts w:asciiTheme="majorBidi" w:hAnsiTheme="majorBidi" w:cstheme="majorBidi"/>
        </w:rPr>
        <w:t xml:space="preserve">. The advantages of </w:t>
      </w:r>
      <w:proofErr w:type="spellStart"/>
      <w:r w:rsidR="00C64A36" w:rsidRPr="00B12FA8">
        <w:rPr>
          <w:rFonts w:asciiTheme="majorBidi" w:hAnsiTheme="majorBidi" w:cstheme="majorBidi"/>
        </w:rPr>
        <w:t>tDCS</w:t>
      </w:r>
      <w:proofErr w:type="spellEnd"/>
      <w:r w:rsidR="00C64A36" w:rsidRPr="00B12FA8">
        <w:rPr>
          <w:rFonts w:asciiTheme="majorBidi" w:eastAsia="Times New Roman" w:hAnsiTheme="majorBidi" w:cstheme="majorBidi"/>
          <w:lang w:val="fr-FR" w:eastAsia="fr-FR" w:bidi="ar-SA"/>
        </w:rPr>
        <w:t xml:space="preserve"> </w:t>
      </w:r>
      <w:proofErr w:type="spellStart"/>
      <w:r w:rsidR="00C64A36" w:rsidRPr="00B12FA8">
        <w:rPr>
          <w:rFonts w:asciiTheme="majorBidi" w:eastAsia="Times New Roman" w:hAnsiTheme="majorBidi" w:cstheme="majorBidi"/>
          <w:lang w:val="fr-FR" w:eastAsia="fr-FR" w:bidi="ar-SA"/>
        </w:rPr>
        <w:t>include</w:t>
      </w:r>
      <w:proofErr w:type="spellEnd"/>
      <w:r w:rsidR="00C64A36" w:rsidRPr="00B12FA8">
        <w:rPr>
          <w:rFonts w:asciiTheme="majorBidi" w:eastAsia="Times New Roman" w:hAnsiTheme="majorBidi" w:cstheme="majorBidi"/>
          <w:lang w:val="fr-FR" w:eastAsia="fr-FR" w:bidi="ar-SA"/>
        </w:rPr>
        <w:t xml:space="preserve"> </w:t>
      </w:r>
      <w:proofErr w:type="spellStart"/>
      <w:r w:rsidR="00C64A36" w:rsidRPr="00B12FA8">
        <w:rPr>
          <w:rFonts w:asciiTheme="majorBidi" w:eastAsia="Times New Roman" w:hAnsiTheme="majorBidi" w:cstheme="majorBidi"/>
          <w:lang w:val="fr-FR" w:eastAsia="fr-FR" w:bidi="ar-SA"/>
        </w:rPr>
        <w:t>its</w:t>
      </w:r>
      <w:proofErr w:type="spellEnd"/>
      <w:r w:rsidR="00C64A36" w:rsidRPr="00B12FA8">
        <w:rPr>
          <w:rFonts w:asciiTheme="majorBidi" w:eastAsia="Times New Roman" w:hAnsiTheme="majorBidi" w:cstheme="majorBidi"/>
          <w:lang w:val="fr-FR" w:eastAsia="fr-FR" w:bidi="ar-SA"/>
        </w:rPr>
        <w:t xml:space="preserve"> non</w:t>
      </w:r>
      <w:r w:rsidR="009E06DA">
        <w:rPr>
          <w:rFonts w:asciiTheme="majorBidi" w:eastAsia="Times New Roman" w:hAnsiTheme="majorBidi" w:cstheme="majorBidi"/>
          <w:lang w:val="fr-FR" w:eastAsia="fr-FR" w:bidi="ar-SA"/>
        </w:rPr>
        <w:t>-</w:t>
      </w:r>
      <w:r w:rsidR="00C64A36" w:rsidRPr="00B12FA8">
        <w:rPr>
          <w:rFonts w:asciiTheme="majorBidi" w:eastAsia="Times New Roman" w:hAnsiTheme="majorBidi" w:cstheme="majorBidi"/>
          <w:lang w:val="fr-FR" w:eastAsia="fr-FR" w:bidi="ar-SA"/>
        </w:rPr>
        <w:t xml:space="preserve">invasive nature, </w:t>
      </w:r>
      <w:proofErr w:type="spellStart"/>
      <w:r w:rsidR="00C64A36" w:rsidRPr="00B12FA8">
        <w:rPr>
          <w:rFonts w:asciiTheme="majorBidi" w:eastAsia="Times New Roman" w:hAnsiTheme="majorBidi" w:cstheme="majorBidi"/>
          <w:lang w:val="fr-FR" w:eastAsia="fr-FR" w:bidi="ar-SA"/>
        </w:rPr>
        <w:t>portability</w:t>
      </w:r>
      <w:proofErr w:type="spellEnd"/>
      <w:r w:rsidR="00C64A36" w:rsidRPr="00B12FA8">
        <w:rPr>
          <w:rFonts w:asciiTheme="majorBidi" w:eastAsia="Times New Roman" w:hAnsiTheme="majorBidi" w:cstheme="majorBidi"/>
          <w:lang w:val="fr-FR" w:eastAsia="fr-FR" w:bidi="ar-SA"/>
        </w:rPr>
        <w:t xml:space="preserve">, </w:t>
      </w:r>
      <w:proofErr w:type="spellStart"/>
      <w:r w:rsidR="00C64A36" w:rsidRPr="00B12FA8">
        <w:rPr>
          <w:rFonts w:asciiTheme="majorBidi" w:eastAsia="Times New Roman" w:hAnsiTheme="majorBidi" w:cstheme="majorBidi"/>
          <w:lang w:val="fr-FR" w:eastAsia="fr-FR" w:bidi="ar-SA"/>
        </w:rPr>
        <w:t>ease</w:t>
      </w:r>
      <w:proofErr w:type="spellEnd"/>
      <w:r w:rsidR="00C64A36" w:rsidRPr="00B12FA8">
        <w:rPr>
          <w:rFonts w:asciiTheme="majorBidi" w:eastAsia="Times New Roman" w:hAnsiTheme="majorBidi" w:cstheme="majorBidi"/>
          <w:lang w:val="fr-FR" w:eastAsia="fr-FR" w:bidi="ar-SA"/>
        </w:rPr>
        <w:t xml:space="preserve"> of use, </w:t>
      </w:r>
      <w:proofErr w:type="spellStart"/>
      <w:r w:rsidR="00C64A36" w:rsidRPr="00B12FA8">
        <w:rPr>
          <w:rFonts w:asciiTheme="majorBidi" w:eastAsia="Times New Roman" w:hAnsiTheme="majorBidi" w:cstheme="majorBidi"/>
          <w:lang w:val="fr-FR" w:eastAsia="fr-FR" w:bidi="ar-SA"/>
        </w:rPr>
        <w:t>low</w:t>
      </w:r>
      <w:proofErr w:type="spellEnd"/>
      <w:r w:rsidR="00C64A36" w:rsidRPr="00B12FA8">
        <w:rPr>
          <w:rFonts w:asciiTheme="majorBidi" w:eastAsia="Times New Roman" w:hAnsiTheme="majorBidi" w:cstheme="majorBidi"/>
          <w:lang w:val="fr-FR" w:eastAsia="fr-FR" w:bidi="ar-SA"/>
        </w:rPr>
        <w:t xml:space="preserve"> </w:t>
      </w:r>
      <w:proofErr w:type="spellStart"/>
      <w:r w:rsidR="00C64A36" w:rsidRPr="00B12FA8">
        <w:rPr>
          <w:rFonts w:asciiTheme="majorBidi" w:eastAsia="Times New Roman" w:hAnsiTheme="majorBidi" w:cstheme="majorBidi"/>
          <w:lang w:val="fr-FR" w:eastAsia="fr-FR" w:bidi="ar-SA"/>
        </w:rPr>
        <w:t>cost</w:t>
      </w:r>
      <w:proofErr w:type="spellEnd"/>
      <w:r w:rsidR="00C64A36" w:rsidRPr="00B12FA8">
        <w:rPr>
          <w:rFonts w:asciiTheme="majorBidi" w:eastAsia="Times New Roman" w:hAnsiTheme="majorBidi" w:cstheme="majorBidi"/>
          <w:lang w:val="fr-FR" w:eastAsia="fr-FR" w:bidi="ar-SA"/>
        </w:rPr>
        <w:t xml:space="preserve">, and minimal </w:t>
      </w:r>
      <w:proofErr w:type="spellStart"/>
      <w:r w:rsidR="00C64A36" w:rsidRPr="00B12FA8">
        <w:rPr>
          <w:rFonts w:asciiTheme="majorBidi" w:eastAsia="Times New Roman" w:hAnsiTheme="majorBidi" w:cstheme="majorBidi"/>
          <w:lang w:val="fr-FR" w:eastAsia="fr-FR" w:bidi="ar-SA"/>
        </w:rPr>
        <w:t>side</w:t>
      </w:r>
      <w:proofErr w:type="spellEnd"/>
      <w:r w:rsidR="00C64A36" w:rsidRPr="00B12FA8">
        <w:rPr>
          <w:rFonts w:asciiTheme="majorBidi" w:eastAsia="Times New Roman" w:hAnsiTheme="majorBidi" w:cstheme="majorBidi"/>
          <w:lang w:val="fr-FR" w:eastAsia="fr-FR" w:bidi="ar-SA"/>
        </w:rPr>
        <w:t xml:space="preserve"> </w:t>
      </w:r>
      <w:proofErr w:type="spellStart"/>
      <w:r w:rsidR="00C64A36" w:rsidRPr="00B12FA8">
        <w:rPr>
          <w:rFonts w:asciiTheme="majorBidi" w:eastAsia="Times New Roman" w:hAnsiTheme="majorBidi" w:cstheme="majorBidi"/>
          <w:lang w:val="fr-FR" w:eastAsia="fr-FR" w:bidi="ar-SA"/>
        </w:rPr>
        <w:t>effects</w:t>
      </w:r>
      <w:proofErr w:type="spellEnd"/>
      <w:r w:rsidR="00C64A36" w:rsidRPr="00B12FA8">
        <w:rPr>
          <w:rFonts w:asciiTheme="majorBidi" w:eastAsia="Times New Roman" w:hAnsiTheme="majorBidi" w:cstheme="majorBidi"/>
          <w:lang w:val="fr-FR" w:eastAsia="fr-FR" w:bidi="ar-SA"/>
        </w:rPr>
        <w:t xml:space="preserve"> </w:t>
      </w:r>
      <w:r w:rsidR="00C64A36" w:rsidRPr="00B12FA8">
        <w:rPr>
          <w:rFonts w:asciiTheme="majorBidi" w:eastAsia="Times New Roman" w:hAnsiTheme="majorBidi" w:cstheme="majorBidi"/>
          <w:lang w:val="fr-FR" w:eastAsia="fr-FR" w:bidi="ar-SA"/>
        </w:rPr>
        <w:fldChar w:fldCharType="begin" w:fldLock="1"/>
      </w:r>
      <w:r w:rsidR="006104B1">
        <w:rPr>
          <w:rFonts w:asciiTheme="majorBidi" w:eastAsia="Times New Roman" w:hAnsiTheme="majorBidi" w:cstheme="majorBidi"/>
          <w:lang w:val="fr-FR" w:eastAsia="fr-FR" w:bidi="ar-SA"/>
        </w:rPr>
        <w:instrText>ADDIN CSL_CITATION {"citationItems":[{"id":"ITEM-1","itemData":{"DOI":"10.1016/J.BRS.2016.06.004","ISSN":"1935-861X","abstract":"This review updates and consolidates evidence on the safety of transcranial Direct Current Stimulation (tDCS). Safety is here operationally defined by, and limited to, the absence of evidence for a Serious Adverse Effect, the criteria for which are rigorously defined. This review adopts an evidence-based approach, based on an aggregation of experience from human trials, taking care not to confuse speculation on potential hazards or lack of data to refute such speculation with evidence for risk. Safety data from animal tests for tissue damage are reviewed with systematic consideration of translation to humans. Arbitrary safety considerations are avoided. Computational models are used to relate dose to brain exposure in humans and animals. We review relevant dose–response curves and dose metrics (e.g. current, duration, current density, charge, charge density) for meaningful safety standards. Special consideration is given to theoretically vulnerable populations including children and the elderly, subjects with mood disorders, epilepsy, stroke, implants, and home users. Evidence from relevant animal models indicates that brain injury by Direct Current Stimulation (DCS) occurs at predicted brain current densities (6.3–13 A/m2) that are over an order of magnitude above those produced by conventional tDCS. To date, the use of conventional tDCS protocols in human trials (≤40 min, ≤4 milliamperes, ≤7.2 Coulombs) has not produced any reports of a Serious Adverse Effect or irreversible injury across over 33,200 sessions and 1000 subjects with repeated sessions. This includes a wide variety of subjects, including persons from potentially vulnerable populations.","author":[{"dropping-particle":"","family":"Bikson","given":"Marom","non-dropping-particle":"","parse-names":false,"suffix":""},{"dropping-particle":"","family":"Grossman","given":"Pnina","non-dropping-particle":"","parse-names":false,"suffix":""},{"dropping-particle":"","family":"Thomas","given":"Chris","non-dropping-particle":"","parse-names":false,"suffix":""},{"dropping-particle":"","family":"Zannou","given":"Adantchede Louis","non-dropping-particle":"","parse-names":false,"suffix":""},{"dropping-particle":"","family":"Jiang","given":"Jimmy","non-dropping-particle":"","parse-names":false,"suffix":""},{"dropping-particle":"","family":"Adnan","given":"Tatheer","non-dropping-particle":"","parse-names":false,"suffix":""},{"dropping-particle":"","family":"Mourdoukoutas","given":"Antonios P.","non-dropping-particle":"","parse-names":false,"suffix":""},{"dropping-particle":"","family":"Kronberg","given":"Greg","non-dropping-particle":"","parse-names":false,"suffix":""},{"dropping-particle":"","family":"Truong","given":"Dennis","non-dropping-particle":"","parse-names":false,"suffix":""},{"dropping-particle":"","family":"Boggio","given":"Paulo","non-dropping-particle":"","parse-names":false,"suffix":""},{"dropping-particle":"","family":"Brunoni","given":"André R.","non-dropping-particle":"","parse-names":false,"suffix":""},{"dropping-particle":"","family":"Charvet","given":"Leigh","non-dropping-particle":"","parse-names":false,"suffix":""},{"dropping-particle":"","family":"Fregni","given":"Felipe","non-dropping-particle":"","parse-names":false,"suffix":""},{"dropping-particle":"","family":"Fritsch","given":"Brita","non-dropping-particle":"","parse-names":false,"suffix":""},{"dropping-particle":"","family":"Gillick","given":"Bernadette","non-dropping-particle":"","parse-names":false,"suffix":""},{"dropping-particle":"","family":"Hamilton","given":"Roy H.","non-dropping-particle":"","parse-names":false,"suffix":""},{"dropping-particle":"","family":"Hampstead","given":"Benjamin M.","non-dropping-particle":"","parse-names":false,"suffix":""},{"dropping-particle":"","family":"Jankord","given":"Ryan","non-dropping-particle":"","parse-names":false,"suffix":""},{"dropping-particle":"","family":"Kirton","given":"Adam","non-dropping-particle":"","parse-names":false,"suffix":""},{"dropping-particle":"","family":"Knotkova","given":"Helena","non-dropping-particle":"","parse-names":false,"suffix":""},{"dropping-particle":"","family":"Liebetanz","given":"David","non-dropping-particle":"","parse-names":false,"suffix":""},{"dropping-particle":"","family":"Liu","given":"Anli","non-dropping-particle":"","parse-names":false,"suffix":""},{"dropping-particle":"","family":"Loo","given":"Colleen","non-dropping-particle":"","parse-names":false,"suffix":""},{"dropping-particle":"","family":"Nitsche","given":"Michael A.","non-dropping-particle":"","parse-names":false,"suffix":""},{"dropping-particle":"","family":"Reis","given":"Janine","non-dropping-particle":"","parse-names":false,"suffix":""},{"dropping-particle":"","family":"Richardson","given":"Jessica D.","non-dropping-particle":"","parse-names":false,"suffix":""},{"dropping-particle":"","family":"Rotenberg","given":"Alexander","non-dropping-particle":"","parse-names":false,"suffix":""},{"dropping-particle":"","family":"Turkeltaub","given":"Peter E.","non-dropping-particle":"","parse-names":false,"suffix":""},{"dropping-particle":"","family":"Woods","given":"Adam J.","non-dropping-particle":"","parse-names":false,"suffix":""}],"container-title":"Brain Stimulation","id":"ITEM-1","issue":"5","issued":{"date-parts":[["2016","9"]]},"page":"641-661","publisher":"Elsevier","title":"Safety of Transcranial Direct Current Stimulation: Evidence Based Update 2016","type":"article-journal","volume":"9"},"uris":["http://www.mendeley.com/documents/?uuid=eb7d35fb-8049-3c29-8c38-6fb240d72f61","http://www.mendeley.com/documents/?uuid=9a7cf9c2-551f-47b0-becd-dd3f96898317"]},{"id":"ITEM-2","itemData":{"DOI":"10.1016/j.clinph.2015.11.012","ISSN":"13882457","abstract":"Transcranial electrical stimulation (tES), including transcranial direct and alternating current stimulation (tDCS, tACS) are non-invasive brain stimulation techniques increasingly used for modulation of central nervous system excitability in humans. Here we address methodological issues required for tES application. This review covers technical aspects of tES, as well as applications like exploration of brain physiology, modelling approaches, tES in cognitive neurosciences, and interventional approaches. It aims to help the reader to appropriately design and conduct studies involving these brain stimulation techniques, understand limitations and avoid shortcomings, which might hamper the scientific rigor and potential applications in the clinical domain.","author":[{"dropping-particle":"","family":"Woods","given":"A.J.","non-dropping-particle":"","parse-names":false,"suffix":""},{"dropping-particle":"","family":"Antal","given":"A.","non-dropping-particle":"","parse-names":false,"suffix":""},{"dropping-particle":"","family":"Bikson","given":"M.","non-dropping-particle":"","parse-names":false,"suffix":""},{"dropping-particle":"","family":"Boggio","given":"P.S.","non-dropping-particle":"","parse-names":false,"suffix":""},{"dropping-particle":"","family":"Brunoni","given":"A.R.","non-dropping-particle":"","parse-names":false,"suffix":""},{"dropping-particle":"","family":"Celnik","given":"P.","non-dropping-particle":"","parse-names":false,"suffix":""},{"dropping-particle":"","family":"Cohen","given":"L.G.","non-dropping-particle":"","parse-names":false,"suffix":""},{"dropping-particle":"","family":"Fregni","given":"F.","non-dropping-particle":"","parse-names":false,"suffix":""},{"dropping-particle":"","family":"Herrmann","given":"C.S.","non-dropping-particle":"","parse-names":false,"suffix":""},{"dropping-particle":"","family":"Kappenman","given":"E.S.","non-dropping-particle":"","parse-names":false,"suffix":""},{"dropping-particle":"","family":"Knotkova","given":"H.","non-dropping-particle":"","parse-names":false,"suffix":""},{"dropping-particle":"","family":"Liebetanz","given":"D.","non-dropping-particle":"","parse-names":false,"suffix":""},{"dropping-particle":"","family":"Miniussi","given":"C.","non-dropping-particle":"","parse-names":false,"suffix":""},{"dropping-particle":"","family":"Miranda","given":"P.C.","non-dropping-particle":"","parse-names":false,"suffix":""},{"dropping-particle":"","family":"Paulus","given":"W.","non-dropping-particle":"","parse-names":false,"suffix":""},{"dropping-particle":"","family":"Priori","given":"A.","non-dropping-particle":"","parse-names":false,"suffix":""},{"dropping-particle":"","family":"Reato","given":"D.","non-dropping-particle":"","parse-names":false,"suffix":""},{"dropping-particle":"","family":"Stagg","given":"C.","non-dropping-particle":"","parse-names":false,"suffix":""},{"dropping-particle":"","family":"Wenderoth","given":"N.","non-dropping-particle":"","parse-names":false,"suffix":""},{"dropping-particle":"","family":"Nitsche","given":"M.A.","non-dropping-particle":"","parse-names":false,"suffix":""}],"container-title":"Clinical Neurophysiology","id":"ITEM-2","issue":"2","issued":{"date-parts":[["2016","2"]]},"page":"1031-1048","title":"A technical guide to tDCS, and related non-invasive brain stimulation tools","type":"article-journal","volume":"127"},"uris":["http://www.mendeley.com/documents/?uuid=15b6538c-3481-4a44-91c4-b9d636ab75fc","http://www.mendeley.com/documents/?uuid=60fe1b7f-966b-47e1-8057-fc5f6dea8841"]}],"mendeley":{"formattedCitation":"&lt;sup&gt;31,32&lt;/sup&gt;","plainTextFormattedCitation":"31,32","previouslyFormattedCitation":"&lt;sup&gt;31,32&lt;/sup&gt;"},"properties":{"noteIndex":0},"schema":"https://github.com/citation-style-language/schema/raw/master/csl-citation.json"}</w:instrText>
      </w:r>
      <w:r w:rsidR="00C64A36" w:rsidRPr="00B12FA8">
        <w:rPr>
          <w:rFonts w:asciiTheme="majorBidi" w:eastAsia="Times New Roman" w:hAnsiTheme="majorBidi" w:cstheme="majorBidi"/>
          <w:lang w:val="fr-FR" w:eastAsia="fr-FR" w:bidi="ar-SA"/>
        </w:rPr>
        <w:fldChar w:fldCharType="separate"/>
      </w:r>
      <w:r w:rsidR="006104B1" w:rsidRPr="006104B1">
        <w:rPr>
          <w:rFonts w:asciiTheme="majorBidi" w:eastAsia="Times New Roman" w:hAnsiTheme="majorBidi" w:cstheme="majorBidi"/>
          <w:noProof/>
          <w:vertAlign w:val="superscript"/>
          <w:lang w:val="fr-FR" w:eastAsia="fr-FR" w:bidi="ar-SA"/>
        </w:rPr>
        <w:t>31,32</w:t>
      </w:r>
      <w:r w:rsidR="00C64A36" w:rsidRPr="00B12FA8">
        <w:rPr>
          <w:rFonts w:asciiTheme="majorBidi" w:eastAsia="Times New Roman" w:hAnsiTheme="majorBidi" w:cstheme="majorBidi"/>
          <w:lang w:val="fr-FR" w:eastAsia="fr-FR" w:bidi="ar-SA"/>
        </w:rPr>
        <w:fldChar w:fldCharType="end"/>
      </w:r>
      <w:r w:rsidR="00C64A36" w:rsidRPr="00B12FA8">
        <w:rPr>
          <w:rFonts w:asciiTheme="majorBidi" w:eastAsia="Times New Roman" w:hAnsiTheme="majorBidi" w:cstheme="majorBidi"/>
          <w:lang w:val="fr-FR" w:eastAsia="fr-FR" w:bidi="ar-SA"/>
        </w:rPr>
        <w:t xml:space="preserve">. </w:t>
      </w:r>
      <w:proofErr w:type="spellStart"/>
      <w:r w:rsidR="00C64A36" w:rsidRPr="00B12FA8">
        <w:rPr>
          <w:rFonts w:asciiTheme="majorBidi" w:eastAsia="Times New Roman" w:hAnsiTheme="majorBidi" w:cstheme="majorBidi"/>
          <w:lang w:val="fr-FR" w:eastAsia="fr-FR" w:bidi="ar-SA"/>
        </w:rPr>
        <w:t>However</w:t>
      </w:r>
      <w:proofErr w:type="spellEnd"/>
      <w:r w:rsidR="00C64A36" w:rsidRPr="00B12FA8">
        <w:rPr>
          <w:rFonts w:asciiTheme="majorBidi" w:eastAsia="Times New Roman" w:hAnsiTheme="majorBidi" w:cstheme="majorBidi"/>
          <w:lang w:val="fr-FR" w:eastAsia="fr-FR" w:bidi="ar-SA"/>
        </w:rPr>
        <w:t xml:space="preserve">, </w:t>
      </w:r>
      <w:r w:rsidR="00C64A36" w:rsidRPr="00B12FA8">
        <w:rPr>
          <w:rFonts w:asciiTheme="majorBidi" w:hAnsiTheme="majorBidi" w:cstheme="majorBidi"/>
        </w:rPr>
        <w:t xml:space="preserve">despite the growing use of </w:t>
      </w:r>
      <w:proofErr w:type="spellStart"/>
      <w:r w:rsidR="00C64A36" w:rsidRPr="00B12FA8">
        <w:rPr>
          <w:rFonts w:asciiTheme="majorBidi" w:hAnsiTheme="majorBidi" w:cstheme="majorBidi"/>
        </w:rPr>
        <w:t>tDCS</w:t>
      </w:r>
      <w:proofErr w:type="spellEnd"/>
      <w:r w:rsidR="00C64A36" w:rsidRPr="00B12FA8">
        <w:rPr>
          <w:rFonts w:asciiTheme="majorBidi" w:hAnsiTheme="majorBidi" w:cstheme="majorBidi"/>
        </w:rPr>
        <w:t xml:space="preserve">, its overall therapeutic efficacy remains unclear, and even those studies with encouraging results emphasize the need for further optimization </w:t>
      </w:r>
      <w:r w:rsidR="00C64A36"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{"citationItems":[{"id":"ITEM-1","itemData":{"DOI":"10.1097/YCT.0000000000000512","ISSN":"1533-4112","PMID":"29901497","abstract":"Major depressive disorder is a severe, refractory mental disorder. Only one third of patients treated with antidepressants achieve remission after 3 trials, while subject to adverse effects. Therefore, the investigation of alternative treatments is paramount. The aim of this systematic review was to summarize the most recent evidence of transcranial direct current stimulation (tDCS) intervention for the acute phase of major depressive disorder. A PubMed search was performed including the terms \"transcranial direct current stimulation\" OR \"transcranial direct stimulation\" OR \"tDCS\" AND \"major depressive disorder\" OR \"major depression\" OR \"depression\" AND \"trial.\" The search was conducted from inception until February 2018. Our search yielded initially 165 results, and 14 randomized clinical trials were included according to eligibility criteria. Most studies were pilot studies, with mixed findings. Two large randomized clinical trials recently published also presented primary negative findings. Study protocols usually used anodal left/cathodal right dorsolateral prefrontal cortex stimulation, 1 to 2.5 mA, and 5 to 20 tDCS sessions. We discuss the limitations of the included trials, such as sample and tDCS parameters heterogeneity between studies. To conclude, tDCS seems to be safe and devoid of serious adverse effects, although robust efficacy has not been consistently demonstrated in clinical trials assessing an acute treatment course of up to 4 weeks. Further directions are discussed, such as parameter individualization, investigation of biological markers, and home-use tDCS.","author":[{"dropping-particle":"","family":"Borrione","given":"Lucas","non-dropping-particle":"","parse-names":false,"suffix":""},{"dropping-particle":"","family":"Moffa","given":"Adriano H.","non-dropping-particle":"","parse-names":false,"suffix":""},{"dropping-particle":"","family":"Martin","given":"Donel","non-dropping-particle":"","parse-names":false,"suffix":""},{"dropping-particle":"","family":"Loo","given":"Colleen K.","non-dropping-particle":"","parse-names":false,"suffix":""},{"dropping-particle":"","family":"Brunoni","given":"Andre R.","non-dropping-particle":"","parse-names":false,"suffix":""}],"container-title":"The Journal of ECT","id":"ITEM-1","issue":"3","issued":{"date-parts":[["2018","9"]]},"page":"153-163","title":"Transcranial Direct Current Stimulation in the Acute Depressive Episode","type":"article-journal","volume":"34"},"uris":["http://www.mendeley.com/documents/?uuid=1f5bcb5b-0611-3d8d-9c81-926f8d35fd2e","http://www.mendeley.com/documents/?uuid=68dd57bf-a27b-4625-abc3-9a7bad1f22c9"]},{"id":"ITEM-2","itemData":{"DOI":"10.3389/fneur.2018.01146","ISSN":"1664-2295","PMID":"30733704","abstract":"Several techniques and protocols of non-invasive transcranial brain stimulation (NIBS), including transcranial magnetic and electrical stimuli, have been developed in the past decades. These techniques can induce long lasting changes in cortical excitability by promoting synaptic plasticity and thus may represent a therapeutic option in neuropsychiatric disorders. On the other hand, despite these techniques have become popular, the fragility and variability of the after effects are the major challenges that non-invasive transcranial brain stimulation currentlyfaces. Several factors may account for such a variability such as biological variations, measurement reproducibility, and the neuronal state of the stimulated area. One possible strategy, to reduce this variability is to monitor the neuronal state in real time using EEG and trigger TMS pulses only at pre-defined state. In addition, another strategy under study is to use the spaced application of multiple NIBS protocols within a session to improve the reliability and extend the duration of NIBS effects. Further studies, although time consuming, are required for improving the so far limited effect sizes of NIBS protocols for treatment of neurological or psychiatric disorders.","author":[{"dropping-particle":"","family":"Terranova","given":"Carmen","non-dropping-particle":"","parse-names":false,"suffix":""},{"dropping-particle":"","family":"Rizzo","given":"Vincenzo","non-dropping-particle":"","parse-names":false,"suffix":""},{"dropping-particle":"","family":"Cacciola","given":"Alberto","non-dropping-particle":"","parse-names":false,"suffix":""},{"dropping-particle":"","family":"Chillemi","given":"Gaetana","non-dropping-particle":"","parse-names":false,"suffix":""},{"dropping-particle":"","family":"Calamuneri","given":"Alessandro","non-dropping-particle":"","parse-names":false,"suffix":""},{"dropping-particle":"","family":"Milardi","given":"Demetrio","non-dropping-particle":"","parse-names":false,"suffix":""},{"dropping-particle":"","family":"Quartarone","given":"Angelo","non-dropping-particle":"","parse-names":false,"suffix":""}],"container-title":"Frontiers in Neurology","id":"ITEM-2","issued":{"date-parts":[["2019","1","24"]]},"page":"1146","title":"Is There a Future for Non-invasive Brain Stimulation as a Therapeutic Tool?","type":"article-journal","volume":"9"},"uris":["http://www.mendeley.com/documents/?uuid=72235caa-c46e-4d94-b8c3-6b8e8c462d3c","http://www.mendeley.com/documents/?uuid=cd958453-fbfc-44a8-bf59-6357840e15b4"]},{"id":"ITEM-3","itemData":{"DOI":"10.1590/1516-4446-2017-0018","ISSN":"1809-452X","PMID":"30328957","abstract":"OBJECTIVE Noninvasive brain stimulation (NIBS) techniques, such as transcranial direct current stimulation (tDCS) and repetitive transcranial magnetic stimulation (rTMS), are increasingly being used to treat mental disorders, particularly major depression. The aim of this comprehensive review is to summarize the main advances, limitations, and perspectives of the field. METHODS We searched PubMed and other databases from inception to July 2017 for articles, particularly systematic reviews and meta-analyses, evaluating the use of NIBS in psychiatric disorders. RESULTS We reviewed the mechanisms of action, safety, tolerability, efficacy, and relevant clinical parameters of NIBS. Repetitive TMS is already an established technique for the treatment of depression, and there is theoretically room for further methodological development towards a high-end therapeutic intervention. In contrast, tDCS is a technically easier method and therefore potentially suitable for wider clinical use. However the evidence of its antidepressant efficacy is less sound, and a recent study found tDCS to be inferior to antidepressant pharmacotherapy. Clinical trials using rTMS for other mental disorders produced mixed findings, whereas tDCS use has not been sufficiently appraised. CONCLUSION The most promising results of NIBS have been obtained for depression. These techniques excel in safety and tolerability, although their efficacy still warrants improvement.","author":[{"dropping-particle":"","family":"Brunoni","given":"Andre R.","non-dropping-particle":"","parse-names":false,"suffix":""},{"dropping-particle":"","family":"Sampaio-Junior","given":"Bernardo","non-dropping-particle":"","parse-names":false,"suffix":""},{"dropping-particle":"","family":"Moffa","given":"Adriano H.","non-dropping-particle":"","parse-names":false,"suffix":""},{"dropping-particle":"V.","family":"Aparício","given":"Luana","non-dropping-particle":"","parse-names":false,"suffix":""},{"dropping-particle":"","family":"Gordon","given":"Pedro","non-dropping-particle":"","parse-names":false,"suffix":""},{"dropping-particle":"","family":"Klein","given":"Izio","non-dropping-particle":"","parse-names":false,"suffix":""},{"dropping-particle":"","family":"Rios","given":"Rosa M.","non-dropping-particle":"","parse-names":false,"suffix":""},{"dropping-particle":"","family":"Razza","given":"Lais B.","non-dropping-particle":"","parse-names":false,"suffix":""},{"dropping-particle":"","family":"Loo","given":"Colleen","non-dropping-particle":"","parse-names":false,"suffix":""},{"dropping-particle":"","family":"Padberg","given":"Frank","non-dropping-particle":"","parse-names":false,"suffix":""},{"dropping-particle":"","family":"Valiengo","given":"Leandro","non-dropping-particle":"","parse-names":false,"suffix":""}],"container-title":"Brazilian Journal of Psychiatry","id":"ITEM-3","issue":"1","issued":{"date-parts":[["2019","2"]]},"page":"70-81","title":"Noninvasive brain stimulation in psychiatric disorders: a primer","type":"article-journal","volume":"41"},"uris":["http://www.mendeley.com/documents/?uuid=f5c1f218-df75-3e3e-87d2-7591334bfd9b","http://www.mendeley.com/documents/?uuid=b52dbf3f-1c2b-4975-bad8-80c66c615884"]}],"mendeley":{"formattedCitation":"&lt;sup&gt;33–35&lt;/sup&gt;","plainTextFormattedCitation":"33–35","previouslyFormattedCitation":"&lt;sup&gt;33–35&lt;/sup&gt;"},"properties":{"noteIndex":0},"schema":"https://github.com/citation-style-language/schema/raw/master/csl-citation.json"}</w:instrText>
      </w:r>
      <w:r w:rsidR="00C64A36"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33–35</w:t>
      </w:r>
      <w:r w:rsidR="00C64A36" w:rsidRPr="00B12FA8">
        <w:rPr>
          <w:rFonts w:asciiTheme="majorBidi" w:hAnsiTheme="majorBidi" w:cstheme="majorBidi"/>
        </w:rPr>
        <w:fldChar w:fldCharType="end"/>
      </w:r>
      <w:r w:rsidR="00C64A36" w:rsidRPr="00B12FA8">
        <w:rPr>
          <w:rFonts w:asciiTheme="majorBidi" w:hAnsiTheme="majorBidi" w:cstheme="majorBidi"/>
        </w:rPr>
        <w:t xml:space="preserve">. One of the most significant barriers to </w:t>
      </w:r>
      <w:proofErr w:type="spellStart"/>
      <w:r w:rsidR="00C64A36" w:rsidRPr="00B12FA8">
        <w:rPr>
          <w:rFonts w:asciiTheme="majorBidi" w:hAnsiTheme="majorBidi" w:cstheme="majorBidi"/>
        </w:rPr>
        <w:t>tDCS</w:t>
      </w:r>
      <w:proofErr w:type="spellEnd"/>
      <w:r w:rsidR="00C64A36" w:rsidRPr="00B12FA8">
        <w:rPr>
          <w:rFonts w:asciiTheme="majorBidi" w:hAnsiTheme="majorBidi" w:cstheme="majorBidi"/>
        </w:rPr>
        <w:t xml:space="preserve"> optimization is that its underlying mechanisms of action are not fully clear </w:t>
      </w:r>
      <w:r w:rsidR="00C64A36"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{"citationItems":[{"id":"ITEM-1","itemData":{"DOI":"10.1016/j.clinph.2016.10.087","ISSN":"13882457","PMID":"27866120","abstract":"A group of European experts was commissioned by the European Chapter of the International Federation of Clinical Neurophysiology to gather knowledge about the state of the art of the therapeutic use of transcranial direct current stimulation (tDCS) from studies published up until September 2016, regarding pain, Parkinson's disease, other movement disorders, motor stroke, poststroke aphasia, multiple sclerosis, epilepsy, consciousness disorders, Alzheimer's disease, tinnitus, depression, schizophrenia, and craving/addiction. The evidence-based analysis included only studies based on repeated tDCS sessions with sham tDCS control procedure; 25 patients or more having received active treatment was required for Class I, while a lower number of 10-24 patients was accepted for Class II studies. Current evidence does not allow making any recommendation of Level A (definite efficacy) for any indication. Level B recommendation (probable efficacy) is proposed for: (i) anodal tDCS of the left primary motor cortex (M1) (with right orbitofrontal cathode) in fibromyalgia; (ii) anodal tDCS of the left dorsolateral prefrontal cortex (DLPFC) (with right orbitofrontal cathode) in major depressive episode without drug resistance; (iii) anodal tDCS of the right DLPFC (with left DLPFC cathode) in addiction/craving. Level C recommendation (possible efficacy) is proposed for anodal tDCS of the left M1 (or contralateral to pain side, with right orbitofrontal cathode) in chronic lower limb neuropathic pain secondary to spinal cord lesion. Conversely, Level B recommendation (probable inefficacy) is conferred on the absence of clinical effects of: (i) anodal tDCS of the left temporal cortex (with right orbitofrontal cathode) in tinnitus; (ii) anodal tDCS of the left DLPFC (with right orbitofrontal cathode) in drug-resistant major depressive episode. It remains to be clarified whether the probable or possible therapeutic effects of tDCS are clinically meaningful and how to optimally perform tDCS in a therapeutic setting. In addition, the easy management and low cost of tDCS devices allow at home use by the patient, but this might raise ethical and legal concerns with regard to potential misuse or overuse. We must be careful to avoid inappropriate applications of this technique by ensuring rigorous training of the professionals and education of the patients.","author":[{"dropping-particle":"","family":"Lefaucheur","given":"Jean-Pascal","non-dropping-particle":"","parse-names":false,"suffix":""},{"dropping-particle":"","family":"Antal","given":"Andrea","non-dropping-particle":"","parse-names":false,"suffix":""},{"dropping-particle":"","family":"Ayache","given":"Samar S.","non-dropping-particle":"","parse-names":false,"suffix":""},{"dropping-particle":"","family":"Benninger","given":"David H.","non-dropping-particle":"","parse-names":false,"suffix":""},{"dropping-particle":"","family":"Brunelin","given":"Jérôme","non-dropping-particle":"","parse-names":false,"suffix":""},{"dropping-particle":"","family":"Cogiamanian","given":"Filippo","non-dropping-particle":"","parse-names":false,"suffix":""},{"dropping-particle":"","family":"Cotelli","given":"Maria","non-dropping-particle":"","parse-names":false,"suffix":""},{"dropping-particle":"","family":"Ridder","given":"Dirk","non-dropping-particle":"De","parse-names":false,"suffix":""},{"dropping-particle":"","family":"Ferrucci","given":"Roberta","non-dropping-particle":"","parse-names":false,"suffix":""},{"dropping-particle":"","family":"Langguth","given":"Berthold","non-dropping-particle":"","parse-names":false,"suffix":""},{"dropping-particle":"","family":"Marangolo","given":"Paola","non-dropping-particle":"","parse-names":false,"suffix":""},{"dropping-particle":"","family":"Mylius","given":"Veit","non-dropping-particle":"","parse-names":false,"suffix":""},{"dropping-particle":"","family":"Nitsche","given":"Michael A.","non-dropping-particle":"","parse-names":false,"suffix":""},{"dropping-particle":"","family":"Padberg","given":"Frank","non-dropping-particle":"","parse-names":false,"suffix":""},{"dropping-particle":"","family":"Palm","given":"Ulrich","non-dropping-particle":"","parse-names":false,"suffix":""},{"dropping-particle":"","family":"Poulet","given":"Emmanuel","non-dropping-particle":"","parse-names":false,"suffix":""},{"dropping-particle":"","family":"Priori","given":"Alberto","non-dropping-particle":"","parse-names":false,"suffix":""},{"dropping-particle":"","family":"Rossi","given":"Simone","non-dropping-particle":"","parse-names":false,"suffix":""},{"dropping-particle":"","family":"Schecklmann","given":"Martin","non-dropping-particle":"","parse-names":false,"suffix":""},{"dropping-particle":"","family":"Vanneste","given":"Sven","non-dropping-particle":"","parse-names":false,"suffix":""},{"dropping-particle":"","family":"Ziemann","given":"Ulf","non-dropping-particle":"","parse-names":false,"suffix":""},{"dropping-particle":"","family":"Garcia-Larrea","given":"Luis","non-dropping-particle":"","parse-names":false,"suffix":""},{"dropping-particle":"","family":"Paulus","given":"Walter","non-dropping-particle":"","parse-names":false,"suffix":""}],"container-title":"Clinical Neurophysiology","id":"ITEM-1","issue":"1","issued":{"date-parts":[["2017","1"]]},"page":"56-92","title":"Evidence-based guidelines on the therapeutic use of transcranial direct current stimulation (tDCS)","type":"article-journal","volume":"128"},"uris":["http://www.mendeley.com/documents/?uuid=ef904bbc-a573-351d-af6d-2f4c19eaac5c","http://www.mendeley.com/documents/?uuid=4c5b8ea3-f96f-4f96-9c17-0349d578deed"]},{"id":"ITEM-2","itemData":{"DOI":"10.1016/j.clinph.2017.06.001","ISSN":"13882457","PMID":"28709880","abstract":"Low intensity transcranial electrical stimulation (TES) in humans, encompassing transcranial direct current (tDCS), transcutaneous spinal Direct Current Stimulation (tsDCS), transcranial alternating current (tACS), and transcranial random noise (tRNS) stimulation or their combinations, appears to be safe. No serious adverse events (SAEs) have been reported so far in over 18,000 sessions administered to healthy subjects, neurological and psychiatric patients, as summarized here. Moderate adverse events (AEs), as defined by the necessity to intervene, are rare, and include skin burns with tDCS due to suboptimal electrode-skin contact. Very rarely mania or hypomania was induced in patients with depression (11 documented cases), yet a causal relationship is difficult to prove because of the low incidence rate and limited numbers of subjects in controlled trials. Mild AEs (MAEs) include headache and fatigue following stimulation as well as prickling and burning sensations occurring during tDCS at peak-to-baseline intensities of 1-2mA and during tACS at higher peak-to-peak intensities above 2mA. The prevalence of published AEs is different in studies specifically assessing AEs vs. those not assessing them, being higher in the former. AEs are frequently reported by individuals receiving placebo stimulation. The profile of AEs in terms of frequency, magnitude and type is comparable in healthy and clinical populations, and this is also the case for more vulnerable populations, such as children, elderly persons, or pregnant women. Combined interventions (e.g., co-application of drugs, electrophysiological measurements, neuroimaging) were not associated with further safety issues. Safety is established for low-intensity 'conventional' TES defined as &lt;4mA, up to 60min duration per day. Animal studies and modeling evidence indicate that brain injury could occur at predicted current densities in the brain of 6.3-13A/m2that are over an order of magnitude above those produced by tDCS in humans. Using AC stimulation fewer AEs were reported compared to DC. In specific paradigms with amplitudes of up to 10mA, frequencies in the kHz range appear to be safe. In this paper we provide structured interviews and recommend their use in future controlled studies, in particular when trying to extend the parameters applied. We also discuss recent regulatory issues, reporting practices and ethical issues. These recommendations achieved consensus in a meeting, which took place in Göt…","author":[{"dropping-particle":"","family":"Antal","given":"A.","non-dropping-particle":"","parse-names":false,"suffix":""},{"dropping-particle":"","family":"Alekseichuk","given":"I.","non-dropping-particle":"","parse-names":false,"suffix":""},{"dropping-particle":"","family":"Bikson","given":"M.","non-dropping-particle":"","parse-names":false,"suffix":""},{"dropping-particle":"","family":"Brockmöller","given":"J.","non-dropping-particle":"","parse-names":false,"suffix":""},{"dropping-particle":"","family":"Brunoni","given":"A.R.","non-dropping-particle":"","parse-names":false,"suffix":""},{"dropping-particle":"","family":"Chen","given":"R.","non-dropping-particle":"","parse-names":false,"suffix":""},{"dropping-particle":"","family":"Cohen","given":"L.G.","non-dropping-particle":"","parse-names":false,"suffix":""},{"dropping-particle":"","family":"Dowthwaite","given":"G.","non-dropping-particle":"","parse-names":false,"suffix":""},{"dropping-particle":"","family":"Ellrich","given":"J.","non-dropping-particle":"","parse-names":false,"suffix":""},{"dropping-particle":"","family":"Flöel","given":"A.","non-dropping-particle":"","parse-names":false,"suffix":""},{"dropping-particle":"","family":"Fregni","given":"F.","non-dropping-particle":"","parse-names":false,"suffix":""},{"dropping-particle":"","family":"George","given":"M.S.","non-dropping-particle":"","parse-names":false,"suffix":""},{"dropping-particle":"","family":"Hamilton","given":"R.","non-dropping-particle":"","parse-names":false,"suffix":""},{"dropping-particle":"","family":"Haueisen","given":"J.","non-dropping-particle":"","parse-names":false,"suffix":""},{"dropping-particle":"","family":"Herrmann","given":"C.S.","non-dropping-particle":"","parse-names":false,"suffix":""},{"dropping-particle":"","family":"Hummel","given":"F.C.","non-dropping-particle":"","parse-names":false,"suffix":""},{"dropping-particle":"","family":"Lefaucheur","given":"J.P.","non-dropping-particle":"","parse-names":false,"suffix":""},{"dropping-particle":"","family":"Liebetanz","given":"D.","non-dropping-particle":"","parse-names":false,"suffix":""},{"dropping-particle":"","family":"Loo","given":"C.K.","non-dropping-particle":"","parse-names":false,"suffix":""},{"dropping-particle":"","family":"McCaig","given":"C.D.","non-dropping-particle":"","parse-names":false,"suffix":""},{"dropping-particle":"","family":"Miniussi","given":"C.","non-dropping-particle":"","parse-names":false,"suffix":""},{"dropping-particle":"","family":"Miranda","given":"P.C.","non-dropping-particle":"","parse-names":false,"suffix":""},{"dropping-particle":"","family":"Moliadze","given":"V.","non-dropping-particle":"","parse-names":false,"suffix":""},{"dropping-particle":"","family":"Nitsche","given":"M.A.","non-dropping-particle":"","parse-names":false,"suffix":""},{"dropping-particle":"","family":"Nowak","given":"R.","non-dropping-particle":"","parse-names":false,"suffix":""},{"dropping-particle":"","family":"Padberg","given":"F.","non-dropping-particle":"","parse-names":false,"suffix":""},{"dropping-particle":"","family":"Pascual-Leone","given":"A.","non-dropping-particle":"","parse-names":false,"suffix":""},{"dropping-particle":"","family":"Poppendieck","given":"W.","non-dropping-particle":"","parse-names":false,"suffix":""},{"dropping-particle":"","family":"Priori","given":"A.","non-dropping-particle":"","parse-names":false,"suffix":""},{"dropping-particle":"","family":"Rossi","given":"S.","non-dropping-particle":"","parse-names":false,"suffix":""},{"dropping-particle":"","family":"Rossini","given":"P.M.","non-dropping-particle":"","parse-names":false,"suffix":""},{"dropping-particle":"","family":"Rothwell","given":"J.","non-dropping-particle":"","parse-names":false,"suffix":""},{"dropping-particle":"","family":"Rueger","given":"M.A.","non-dropping-particle":"","parse-names":false,"suffix":""},{"dropping-particle":"","family":"Ruffini","given":"G.","non-dropping-particle":"","parse-names":false,"suffix":""},{"dropping-particle":"","family":"Schellhorn","given":"K.","non-dropping-particle":"","parse-names":false,"suffix":""},{"dropping-particle":"","family":"Siebner","given":"H.R.","non-dropping-particle":"","parse-names":false,"suffix":""},{"dropping-particle":"","family":"Ugawa","given":"Y.","non-dropping-particle":"","parse-names":false,"suffix":""},{"dropping-particle":"","family":"Wexler","given":"A.","non-dropping-particle":"","parse-names":false,"suffix":""},{"dropping-particle":"","family":"Ziemann","given":"U.","non-dropping-particle":"","parse-names":false,"suffix":""},{"dropping-particle":"","family":"Hallett","given":"M.","non-dropping-particle":"","parse-names":false,"suffix":""},{"dropping-particle":"","family":"Paulus","given":"W.","non-dropping-particle":"","parse-names":false,"suffix":""}],"container-title":"Clinical Neurophysiology","id":"ITEM-2","issue":"9","issued":{"date-parts":[["2017","9"]]},"page":"1774-1809","title":"Low intensity transcranial electric stimulation: Safety, ethical, legal regulatory and application guidelines","type":"article-journal","volume":"128"},"uris":["http://www.mendeley.com/documents/?uuid=3c09fcd6-b61d-390b-b8f3-d4ac2ef47e9e","http://www.mendeley.com/documents/?uuid=4b2d367c-978d-446e-8593-4a4f5411e108"]},{"id":"ITEM-3","itemData":{"DOI":"10.1016/j.brs.2016.08.014","ISSN":"1935861X","author":[{"dropping-particle":"","family":"Lafon","given":"Belen","non-dropping-particle":"","parse-names":false,"suffix":""},{"dropping-particle":"","family":"Rahman","given":"Asif","non-dropping-particle":"","parse-names":false,"suffix":""},{"dropping-particle":"","family":"Bikson","given":"Marom","non-dropping-particle":"","parse-names":false,"suffix":""},{"dropping-particle":"","family":"Parra","given":"Lucas C.","non-dropping-particle":"","parse-names":false,"suffix":""}],"container-title":"Brain Stimulation","id":"ITEM-3","issue":"1","issued":{"date-parts":[["2017","1"]]},"page":"36-45","publisher":"Elsevier Inc.","title":"Direct Current Stimulation Alters Neuronal Input/Output Function","type":"article-journal","volume":"10"},"uris":["http://www.mendeley.com/documents/?uuid=d70fbb78-9744-45ed-b397-df72a4a74aa6","http://www.mendeley.com/documents/?uuid=a05b6f7c-65f6-4993-8343-3c9cf87ba069"]},{"id":"ITEM-4","itemData":{"DOI":"10.1113/JP273005","ISSN":"0022-3751","PMID":"28436038","abstract":"KEY POINTS Direct current stimulation (DCS) polarity specifically modulates synaptic efficacy during a continuous train of presynaptic inputs, despite synaptic depression. DCS polarizes afferent axons and postsynaptic neurons, boosting cooperativity between synaptic inputs. Polarization of afferent neurons in upstream brain regions may modulate activity in the target brain region during transcranial DCS (tDCS). A statistical theory of coincident activity predicts that the diffuse and weak profile of current flow can be advantageous in enhancing connectivity between co-active brain regions. ABSTRACT Transcranial direct current stimulation (tDCS) produces sustained and diffuse current flow in the brain with effects that are state dependent and outlast stimulation. A mechanistic explanation for tDCS should capture these spatiotemporal features. It remains unclear how sustained DCS affects ongoing synaptic dynamics and how modulation of afferent inputs by diffuse stimulation changes synaptic activity at the target brain region. We tested the effect of acute DCS (10-20 V m-1 for 3-5 s) on synaptic dynamics with constant rate (5-40 Hz) and Poisson-distributed (4 Hz mean) trains of presynaptic inputs. Across tested frequencies, sustained synaptic activity was modulated by DCS with polarity-specific effects. Synaptic depression attenuates the sensitivity to DCS from 1.1% per V m-1 to 0.55%. DCS applied during synaptic activity facilitates cumulative neuromodulation, potentially reversing endogenous synaptic depression. We establish these effects are mediated by both postsynaptic membrane polarization and afferent axon fibre polarization, which boosts cooperativity between synaptic inputs. This potentially extends the locus of neuromodulation from the nominal target to afferent brain regions. Based on these results we hypothesized the polarization of afferent neurons in upstream brain regions may modulate activity in the target brain region during tDCS. A multiscale model of transcranial electrical stimulation including a finite element model of brain current flow, numerical simulations of neuronal activity, and a statistical theory of coincident activity predicts that the diffuse and weak profile of current flow can be advantageous. Thus, we propose that specifically because tDCS is diffuse, weak and sustained it can boost connectivity between co-active brain regions.","author":[{"dropping-particle":"","family":"Rahman","given":"Asif","non-dropping-particle":"","parse-names":false,"suffix":""},{"dropping-particle":"","family":"Lafon","given":"Belen","non-dropping-particle":"","parse-names":false,"suffix":""},{"dropping-particle":"","family":"Parra","given":"Lucas C.","non-dropping-particle":"","parse-names":false,"suffix":""},{"dropping-particle":"","family":"Bikson","given":"Marom","non-dropping-particle":"","parse-names":false,"suffix":""}],"container-title":"The Journal of Physiology","id":"ITEM-4","issue":"11","issued":{"date-parts":[["2017","6","23"]]},"page":"3535-3547","title":"Direct current stimulation boosts synaptic gain and cooperativity in vitro","type":"article-journal","volume":"595"},"uris":["http://www.mendeley.com/documents/?uuid=41ac0a8d-81a0-3b57-8014-ffd386186656","http://www.mendeley.com/documents/?uuid=1a30a5a6-a3f9-411a-9e42-6c6624b2a719"]},{"id":"ITEM-5","itemData":{"DOI":"10.1016/j.neuropharm.2018.11.012","ISSN":"00283908","PMID":"30439417","abstract":"Transcranial direct current stimulation (tDCS) is a non-invasive brain stimulation technique used to modulate neuronal excitability via externally applied electric fields. Despite the positive effects of tDCS in a wide range of neurological disorders in humans, its mechanism of action remains poorly understood. Here we investigated cellular and molecular mechanisms underlying the aftereffects of anodal tDCS on the induction of long-term potentiation (LTP), a cellular correlate of learning and memory, at Schaffer collateral-CA1 synapses. We found that hippocampal CA1 LTP was enhanced in slices from rats subjected to anodal tDCS with no significant changes in basal synaptic function. The enhancing effect of tDCS on LTP was still maintained 12 h after stimulation. Treatment of ex vivo hippocampal slices from tDCS-treated rats with tropomyosin receptor kinase B (TrkB) inhibitor ANA-12, but not D1 receptor antagonist SKF-83566 or β2-adrenergic receptor antagonist propranolol, efficiently prevented tDCS-induced enhancement of LTP. The tDCS-treated rats exhibited higher levels of brain derived neurotrophic factor (BDNF) in the hippocampal CA1 region compared to sham-treated rats. Anodal tDCS also enhances memory performance in hippocampal-dependent passive avoidance learning task, and this enhancement can be blocked by ANA-12 pretreatment. Altogether, our results underscore the importance of BDNF/TrkB-mediated metaplastic effect of anodal tDCS on the induction of hippocampal CA1 LTP.","author":[{"dropping-particle":"","family":"Yu","given":"Ting-Hsuan","non-dropping-particle":"","parse-names":false,"suffix":""},{"dropping-particle":"","family":"Wu","given":"Yi-Jen","non-dropping-particle":"","parse-names":false,"suffix":""},{"dropping-particle":"","family":"Chien","given":"Miao-Er","non-dropping-particle":"","parse-names":false,"suffix":""},{"dropping-particle":"","family":"Hsu","given":"Kuei-Sen","non-dropping-particle":"","parse-names":false,"suffix":""}],"container-title":"Neuropharmacology","id":"ITEM-5","issued":{"date-parts":[["2019","1"]]},"page":"358-367","title":"Transcranial direct current stimulation induces hippocampal metaplasticity mediated by brain-derived neurotrophic factor","type":"article-journal","volume":"144"},"uris":["http://www.mendeley.com/documents/?uuid=e77dabc6-53ff-47a1-872c-89214be331b6","http://www.mendeley.com/documents/?uuid=b667f140-820b-49e0-9c60-4dc922b70151"]},{"id":"ITEM-6","itemData":{"DOI":"10.1097/YCT.0000000000000510","ISSN":"1533-4112","PMID":"29877965","abstract":"Direct current stimulation is a neuromodulatory noninvasive brain stimulation tool, which was first introduced in animal and human experiments in the 1950s, and added to the standard arsenal of methods to alter brain physiology as well as psychological, motor, and behavioral processes and clinical symptoms in neurological and psychiatric diseases about 20 years ago. In contrast to other noninvasive brain stimulation tools, such as transcranial magnetic stimulation, it does not directly induce cerebral activity, but rather alters spontaneous brain activity and excitability by subthreshold modulation of neuronal membranes. Beyond acute effects on brain functions, specific protocols are suited to induce long-lasting alterations of cortical excitability and activity, which share features with long-term potentiation and depression. These neuroplastic processes are important foundations for various cognitive functions such as learning and memory formation and are pathologically altered in numerous neurological and psychiatric diseases. This explains the increasing interest to investigate transcranial direct current stimulation (tDCS) as a therapeutic tool. However, for tDCS to be used effectively, it is crucial to be informed about physiological mechanisms of action. These have been increasingly elucidated during the last years. This review gives an overview of the current knowledge available regarding physiological mechanisms of tDCS, spanning from acute regional effects, over neuroplastic effects to its impact on cerebral networks. Although knowledge about the physiological effects of tDCS is still not complete, this might help to guide applications on a scientifically sound foundation.","author":[{"dropping-particle":"","family":"Stagg","given":"Charlotte J.","non-dropping-particle":"","parse-names":false,"suffix":""},{"dropping-particle":"","family":"Antal","given":"Andrea","non-dropping-particle":"","parse-names":false,"suffix":""},{"dropping-particle":"","family":"Nitsche","given":"Michael A.","non-dropping-particle":"","parse-names":false,"suffix":""}],"container-title":"The Journal of ECT","id":"ITEM-6","issue":"3","issued":{"date-parts":[["2018","9"]]},"page":"144-152","title":"Physiology of Transcranial Direct Current Stimulation","type":"article-journal","volume":"34"},"uris":["http://www.mendeley.com/documents/?uuid=c572bfe0-af4a-379e-9468-83c36e3d3836","http://www.mendeley.com/documents/?uuid=d669f068-99e0-4b7a-b208-93ffa2814544"]},{"id":"ITEM-7","itemData":{"DOI":"10.1016/j.cobme.2018.09.001","ISSN":"24684511","PMID":"30272042","abstract":"Transcranial electrical stimulation (tES) refers to a group of non-invasive brain stimulation techniques to induce changes in the excitability of cortical neurons in humans. In recent years, studies in animal models have been shown to be essential for disentangling the neuromodulatory effects of tES, defining safety limits, and exploring potential therapeutic applications in neurological and neuropsychiatric disorders. Testing in animal models is valuable for the development of new unconventional protocols intended to improve tES administration and optimize the desired effects by increasing its focality and enabling deep-brain stimulation. Successful and controlled application of tES in humans relies on the knowledge acquired from studies meticulously performed in animal models.","author":[{"dropping-particle":"","family":"Sánchez-León","given":"Carlos A.","non-dropping-particle":"","parse-names":false,"suffix":""},{"dropping-particle":"","family":"Sánchez-López","given":"Álvaro","non-dropping-particle":"","parse-names":false,"suffix":""},{"dropping-particle":"","family":"Ammann","given":"Claudia","non-dropping-particle":"","parse-names":false,"suffix":""},{"dropping-particle":"","family":"Cordones","given":"Isabel","non-dropping-particle":"","parse-names":false,"suffix":""},{"dropping-particle":"","family":"Carretero-Guillén","given":"Alejandro","non-dropping-particle":"","parse-names":false,"suffix":""},{"dropping-particle":"","family":"Márquez-Ruiz","given":"Javier","non-dropping-particle":"","parse-names":false,"suffix":""}],"container-title":"Current Opinion in Biomedical Engineering","id":"ITEM-7","issued":{"date-parts":[["2018","12"]]},"page":"7-13","title":"Exploring new transcranial electrical stimulation strategies to modulate brain function in animal models","type":"article-journal","volume":"8"},"uris":["http://www.mendeley.com/documents/?uuid=6aa730b8-1523-37f7-884b-0a9da338a7e6","http://www.mendeley.com/documents/?uuid=e6cf22a8-a55c-4694-91f4-59ced5056080"]},{"id":"ITEM-8","itemData":{"DOI":"10.3389/fneur.2018.01146","ISSN":"1664-2295","PMID":"30733704","abstract":"Several techniques and protocols of non-invasive transcranial brain stimulation (NIBS), including transcranial magnetic and electrical stimuli, have been developed in the past decades. These techniques can induce long lasting changes in cortical excitability by promoting synaptic plasticity and thus may represent a therapeutic option in neuropsychiatric disorders. On the other hand, despite these techniques have become popular, the fragility and variability of the after effects are the major challenges that non-invasive transcranial brain stimulation currentlyfaces. Several factors may account for such a variability such as biological variations, measurement reproducibility, and the neuronal state of the stimulated area. One possible strategy, to reduce this variability is to monitor the neuronal state in real time using EEG and trigger TMS pulses only at pre-defined state. In addition, another strategy under study is to use the spaced application of multiple NIBS protocols within a session to improve the reliability and extend the duration of NIBS effects. Further studies, although time consuming, are required for improving the so far limited effect sizes of NIBS protocols for treatment of neurological or psychiatric disorders.","author":[{"dropping-particle":"","family":"Terranova","given":"Carmen","non-dropping-particle":"","parse-names":false,"suffix":""},{"dropping-particle":"","family":"Rizzo","given":"Vincenzo","non-dropping-particle":"","parse-names":false,"suffix":""},{"dropping-particle":"","family":"Cacciola","given":"Alberto","non-dropping-particle":"","parse-names":false,"suffix":""},{"dropping-particle":"","family":"Chillemi","given":"Gaetana","non-dropping-particle":"","parse-names":false,"suffix":""},{"dropping-particle":"","family":"Calamuneri","given":"Alessandro","non-dropping-particle":"","parse-names":false,"suffix":""},{"dropping-particle":"","family":"Milardi","given":"Demetrio","non-dropping-particle":"","parse-names":false,"suffix":""},{"dropping-particle":"","family":"Quartarone","given":"Angelo","non-dropping-particle":"","parse-names":false,"suffix":""}],"container-title":"Frontiers in Neurology","id":"ITEM-8","issued":{"date-parts":[["2019","1","24"]]},"page":"1146","title":"Is There a Future for Non-invasive Brain Stimulation as a Therapeutic Tool?","type":"article-journal","volume":"9"},"uris":["http://www.mendeley.com/documents/?uuid=cd958453-fbfc-44a8-bf59-6357840e15b4","http://www.mendeley.com/documents/?uuid=72235caa-c46e-4d94-b8c3-6b8e8c462d3c"]}],"mendeley":{"formattedCitation":"&lt;sup&gt;34,36–42&lt;/sup&gt;","plainTextFormattedCitation":"34,36–42","previouslyFormattedCitation":"&lt;sup&gt;34,36–42&lt;/sup&gt;"},"properties":{"noteIndex":0},"schema":"https://github.com/citation-style-language/schema/raw/master/csl-citation.json"}</w:instrText>
      </w:r>
      <w:r w:rsidR="00C64A36"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34,36–42</w:t>
      </w:r>
      <w:r w:rsidR="00C64A36" w:rsidRPr="00B12FA8">
        <w:rPr>
          <w:rFonts w:asciiTheme="majorBidi" w:hAnsiTheme="majorBidi" w:cstheme="majorBidi"/>
        </w:rPr>
        <w:fldChar w:fldCharType="end"/>
      </w:r>
      <w:r w:rsidR="00C64A36" w:rsidRPr="00B12FA8">
        <w:rPr>
          <w:rFonts w:asciiTheme="majorBidi" w:hAnsiTheme="majorBidi" w:cstheme="majorBidi"/>
        </w:rPr>
        <w:t xml:space="preserve">. The basic dogma for </w:t>
      </w:r>
      <w:proofErr w:type="spellStart"/>
      <w:r w:rsidR="00C64A36" w:rsidRPr="00B12FA8">
        <w:rPr>
          <w:rFonts w:asciiTheme="majorBidi" w:hAnsiTheme="majorBidi" w:cstheme="majorBidi"/>
        </w:rPr>
        <w:t>tDCS</w:t>
      </w:r>
      <w:proofErr w:type="spellEnd"/>
      <w:r w:rsidR="00C64A36" w:rsidRPr="00B12FA8">
        <w:rPr>
          <w:rFonts w:asciiTheme="majorBidi" w:hAnsiTheme="majorBidi" w:cstheme="majorBidi"/>
        </w:rPr>
        <w:t xml:space="preserve"> entails the generation of an electrical field that modulates the intrinsic and extrinsic properties of neurons</w:t>
      </w:r>
      <w:r w:rsidR="00C64A36"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{"citationItems":[{"id":"ITEM-1","itemData":{"DOI":"10.1113/jphysiol.2012.247171","ISSN":"00223751","PMID":"23478132","abstract":"Transcranial direct current stimulation (tDCS) is a non-invasive brain stimulation technique to modulate cortical excitability. Although increased/decreased excitability under the anode/cathode electrode is nominally associated with membrane depolarization/hyperpolarization, which cellular compartments (somas, dendrites, axons and their terminals) mediate changes in cortical excitability remains unaddressed. Here we consider the acute effects of DCS on excitatory synaptic efficacy. Using multi-scale computational models and rat cortical brain slices, we show the following. (1) Typical tDCS montages produce predominantly tangential (relative to the cortical surface) direction currents (4-12 times radial direction currents), even directly under electrodes. (2) Radial current flow (parallel to the somatodendritic axis) modulates synaptic efficacy consistent with somatic polarization, with depolarization facilitating synaptic efficacy. (3) Tangential current flow (perpendicular to the somatodendritic axis) modulates synaptic efficacy acutely (during stimulation) in an afferent pathway-specific manner that is consistent with terminal polarization, with hyperpolarization facilitating synaptic efficacy. (4) Maximal polarization during uniform DCS is expected at distal (the branch length is more than three times the membrane length constant) synaptic terminals, independent of and two-three times more susceptible than pyramidal neuron somas. We conclude that during acute DCS the cellular targets responsible for modulation of synaptic efficacy are concurrently somata and axon terminals, with the direction of cortical current flow determining the relative influence.","author":[{"dropping-particle":"","family":"Rahman","given":"Asif","non-dropping-particle":"","parse-names":false,"suffix":""},{"dropping-particle":"","family":"Reato","given":"Davide","non-dropping-particle":"","parse-names":false,"suffix":""},{"dropping-particle":"","family":"Arlotti","given":"Mattia","non-dropping-particle":"","parse-names":false,"suffix":""},{"dropping-particle":"","family":"Gasca","given":"Fernando","non-dropping-particle":"","parse-names":false,"suffix":""},{"dropping-particle":"","family":"Datta","given":"Abhishek","non-dropping-particle":"","parse-names":false,"suffix":""},{"dropping-particle":"","family":"Parra","given":"Lucas C","non-dropping-particle":"","parse-names":false,"suffix":""},{"dropping-particle":"","family":"Bikson","given":"Marom","non-dropping-particle":"","parse-names":false,"suffix":""}],"container-title":"The Journal of Physiology","id":"ITEM-1","issue":"10","issued":{"date-parts":[["2013","5"]]},"page":"2563-2578","publisher-place":"Department of Biomedical Engineering, The City College of The City University of New York, Convent Avenue at 140th Street, Steinman Hall, 4th Floor, T-454, New York, NY 10031, USA. asiftr@gmail.com, The City College of The City University of New York, Convent Avenue at 140th Street, Steinman","title":"Cellular effects of acute direct current stimulation: somatic and synaptic terminal effects","type":"article-journal","volume":"591"},"uris":["http://www.mendeley.com/documents/?uuid=30361d63-a2cf-4315-9f64-06a37af7b212","http://www.mendeley.com/documents/?uuid=7299913e-a720-4848-9678-ec3f14d91ddc"]}],"mendeley":{"formattedCitation":"&lt;sup&gt;43&lt;/sup&gt;","plainTextFormattedCitation":"43","previouslyFormattedCitation":"&lt;sup&gt;43&lt;/sup&gt;"},"properties":{"noteIndex":0},"schema":"https://github.com/citation-style-language/schema/raw/master/csl-citation.json"}</w:instrText>
      </w:r>
      <w:r w:rsidR="00C64A36"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43</w:t>
      </w:r>
      <w:r w:rsidR="00C64A36" w:rsidRPr="00B12FA8">
        <w:rPr>
          <w:rFonts w:asciiTheme="majorBidi" w:hAnsiTheme="majorBidi" w:cstheme="majorBidi"/>
        </w:rPr>
        <w:fldChar w:fldCharType="end"/>
      </w:r>
      <w:r w:rsidR="00C64A36" w:rsidRPr="00B12FA8">
        <w:rPr>
          <w:rFonts w:asciiTheme="majorBidi" w:hAnsiTheme="majorBidi" w:cstheme="majorBidi"/>
        </w:rPr>
        <w:t xml:space="preserve"> while also affecting other brain cells, including astrocytes and glial cells</w:t>
      </w:r>
      <w:r w:rsidR="00C64A36"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{"citationItems":[{"id":"ITEM-1","itemData":{"DOI":"10.1016/j.clinph.2012.02.082","ISSN":"13882457","abstract":"Objective: Explore the possibility that transcranial direct current stimulation (tDCS) of the brain affects glial cells. Methods: Cable theory is used to estimate roughly transmembrane potential in neurons and glial cells. tDCS is additionally compared to neuronal stimulation techniques for which the mechanisms are well known. Results: Theoretical calculations indicated that tDCS can affect the glial transmembrane potential. The change is similar to what is physiologically observed in astrocytes during neuronal activation. In neurons, transmembrane potential changes are much weaker than the threshold for eliciting action potentials. Conclusions: Based on simplified cable theory, tDCS may affect glial cells' transmembrane potential and thereby the balance of neurotransmitters. No physiological evidence or proof is available, however. Significance: It is an exciting possibility that tDCS could manipulate glial cells because they are active participants in brain function, and have multiple essential roles in the human brain. This approach may change greatly the therapeutic potential of tDCS, and also affects the safety considerations. © 2012 International Federation of Clinical Neurophysiology.","author":[{"dropping-particle":"","family":"Ruohonen","given":"Jarmo","non-dropping-particle":"","parse-names":false,"suffix":""},{"dropping-particle":"","family":"Karhu","given":"Jari","non-dropping-particle":"","parse-names":false,"suffix":""}],"container-title":"Clinical Neurophysiology","id":"ITEM-1","issue":"10","issued":{"date-parts":[["2012","10"]]},"page":"2006-2009","title":"tDCS possibly stimulates glial cells","type":"article-journal","volume":"123"},"uris":["http://www.mendeley.com/documents/?uuid=0b99fc59-6e28-31be-a058-6d49217e292c","http://www.mendeley.com/documents/?uuid=e64c6bbf-1082-4065-9351-83b09831f0df"]},{"id":"ITEM-2","itemData":{"DOI":"10.1038/ncomms11100","ISSN":"2041-1723","author":[{"dropping-particle":"","family":"Monai","given":"Hiromu","non-dropping-particle":"","parse-names":false,"suffix":""},{"dropping-particle":"","family":"Ohkura","given":"Masamichi","non-dropping-particle":"","parse-names":false,"suffix":""},{"dropping-particle":"","family":"Tanaka","given":"Mika","non-dropping-particle":"","parse-names":false,"suffix":""},{"dropping-particle":"","family":"Oe","given":"Yuki","non-dropping-particle":"","parse-names":false,"suffix":""},{"dropping-particle":"","family":"Konno","given":"Ayumu","non-dropping-particle":"","parse-names":false,"suffix":""},{"dropping-particle":"","family":"Hirai","given":"Hirokazu","non-dropping-particle":"","parse-names":false,"suffix":""},{"dropping-particle":"","family":"Mikoshiba","given":"Katsuhiko","non-dropping-particle":"","parse-names":false,"suffix":""},{"dropping-particle":"","family":"Itohara","given":"Shigeyoshi","non-dropping-particle":"","parse-names":false,"suffix":""},{"dropping-particle":"","family":"Nakai","given":"Junichi","non-dropping-particle":"","parse-names":false,"suffix":""},{"dropping-particle":"","family":"Iwai","given":"Youichi","non-dropping-particle":"","parse-names":false,"suffix":""},{"dropping-particle":"","family":"Hirase","given":"Hajime","non-dropping-particle":"","parse-names":false,"suffix":""}],"container-title":"Nature Communications","id":"ITEM-2","issue":"1","issued":{"date-parts":[["2016","9","22"]]},"page":"11100","title":"Calcium imaging reveals glial involvement in transcranial direct current stimulation-induced plasticity in mouse brain","type":"article-journal","volume":"7"},"uris":["http://www.mendeley.com/documents/?uuid=b24e0573-6e1f-33cb-863c-2e8a8af7ae2e","http://www.mendeley.com/documents/?uuid=f9262b8a-12bd-4f7b-b2e4-bc3fbcaf58d9"]},{"id":"ITEM-3","itemData":{"DOI":"10.1016/j.neures.2017.08.012","ISSN":"01680102","PMID":"29079367","abstract":"Transcranial direct current stimulation (tDCS) has been reported to be effective in treating mood disorders such as major depressive disorder, however, its detailed mechanism of action is not fully understood. Human and animal experiments have demonstrated that tDCS promotes brain plasticity and have suggested that this consequence may underlie its therapeutic benefits. Nonetheless, the specific neurobiological underpinnings of tDCS-induced brain plasticity have only recently begun to be investigated. While brain plasticity occurs in synapses formed by neurons, astrocytes, a major glial cell type, have recently been shown to support synaptic plasticity via intracellular Ca2+ signaling. In this perspective article, we discuss our recent results demonstrating that tDCS induces the activation of astrocytic calcium signaling that constitutes a required component for treating chronic restraint stress-induced depressive mice. We put forward the notion that activation of astrocytic Ca2+ signaling could be used clinically as a potent remedy for depression.","author":[{"dropping-particle":"","family":"Monai","given":"Hiromu","non-dropping-particle":"","parse-names":false,"suffix":""},{"dropping-particle":"","family":"Hirase","given":"Hajime","non-dropping-particle":"","parse-names":false,"suffix":""}],"container-title":"Neuroscience Research","id":"ITEM-3","issued":{"date-parts":[["2018","1"]]},"page":"15-21","title":"Astrocytes as a target of transcranial direct current stimulation (tDCS) to treat depression","type":"article-journal","volume":"126"},"uris":["http://www.mendeley.com/documents/?uuid=2194b538-2ea8-3f3a-ad5d-85cabd7a3302","http://www.mendeley.com/documents/?uuid=b4cb4e1d-3c74-46f0-8409-0fdb979056f8"]},{"id":"ITEM-4","itemData":{"DOI":"10.1523/ENEURO.0204-19.2019","ISSN":"2373-2822","abstract":"Transcranial direct current stimulation (tDCS) has been reported for its beneficial effects on memory formation and various brain disorders. While the electrophysiological readout of tDCS effects is subtle, astrocytes have been demonstrated to elicit Ca2+ elevations during tDCS in a rodent model. This study aimed to elucidate the effects of tDCS on another major glial cell type, microglia, by histology and in vivo imaging. tDCS performed in awake conditions induced a significant change in the pixel intensity distribution of Iba-1 immunohistochemistry, and microglial somata were enlarged when examined 3 h after tDCS. These effects were blocked by adrenergic receptor antagonists or in IP3R2 (inositol trisphosphate receptor type 2)-deficient mice, which lack large cytosolic Ca2+ elevations in astrocytes. No obvious changes were observed in isoflurane-anesthetized mice. Furthermore, in vivo two-photon imaging of microglia showed a reduction of motility that was blocked by a β2-adrenergic receptor antagonist. Our observations add support for the influence of noradrenaline in tDCS and suggest possible interactions between microglia and astrocytes to express functional changes associated with tDCS.","author":[{"dropping-particle":"","family":"Mishima","given":"Tsuneko","non-dropping-particle":"","parse-names":false,"suffix":""},{"dropping-particle":"","family":"Nagai","given":"Terumi","non-dropping-particle":"","parse-names":false,"suffix":""},{"dropping-particle":"","family":"Yahagi","given":"Kazuko","non-dropping-particle":"","parse-names":false,"suffix":""},{"dropping-particle":"","family":"Akther","given":"Sonam","non-dropping-particle":"","parse-names":false,"suffix":""},{"dropping-particle":"","family":"Oe","given":"Yuki","non-dropping-particle":"","parse-names":false,"suffix":""},{"dropping-particle":"","family":"Monai","given":"Hiromu","non-dropping-particle":"","parse-names":false,"suffix":""},{"dropping-particle":"","family":"Kohsaka","given":"Shinichi","non-dropping-particle":"","parse-names":false,"suffix":""},{"dropping-particle":"","family":"Hirase","given":"Hajime","non-dropping-particle":"","parse-names":false,"suffix":""}],"container-title":"eneuro","id":"ITEM-4","issue":"5","issued":{"date-parts":[["2019","9"]]},"page":"ENEURO.0204-19.2019","title":"Transcranial Direct Current Stimulation (tDCS) Induces Adrenergic Receptor-Dependent Microglial Morphological Changes in Mice","type":"article-journal","volume":"6"},"uris":["http://www.mendeley.com/documents/?uuid=081002d4-4f33-4eda-a357-e58b80882772","http://www.mendeley.com/documents/?uuid=ad3b2326-3f28-4668-a334-3d579b1fbdff"]},{"id":"ITEM-5","itemData":{"DOI":"10.3389/fncel.2019.00400","ISSN":"1662-5102","abstract":"Anodal-transcranial pulsed current stimulation (a-tPCS) has been used in human studies to modulate cortical excitability or improve behavioral performance in recent years. Multiple studies show crucial roles of astrocytes in cortical plasticity. The calcium activity in astrocytes could regulate synaptic transmission and synaptic plasticity. Whether the astrocytic activity is involved in a-tPCS-induced cortical plasticity is presently unknown. The purpose of this study is to investigate the calcium responses in neurons and astrocytes evoked by a-tPCS with different current intensities, and thereby provides some indication of the mechanisms underlying a-tPCS-induced cortical plasticity. Two-photon calcium imaging was used to record the calcium responses of neurons and astrocytes in mouse somatosensory cortex. Local field potential (LFP) evoked by sensory stimulation was used to assess the effects of a-tPCS on plasticity. We found that long-duration a-tPCS with high-intensity current could evoke large-amplitude calcium responses in both neurons and astrocytes, whereas long-duration a-tPCS with low-intensity current evoked large-amplitude calcium responses only in astrocytes. The astrocytic Ca2+ elevations are driven by noradrenergic-dependent activation of the alpha-1 adrenergic receptors (A1ARs), while the intense Ca2+ responses of neurons are driven by action potentials. LFP recordings demonstrated that low-intensity a-tPCS led to enhancement of cortical excitability while high-intensity a-tPCS resulted in diminution of cortical excitability. The results provide some evidence that the enhancement of a-tPCS-induced cortical excitability might be partly associated with calcium elevation in astrocytes, whereas the diminution of a-tPCS-induced cortical excitability might be caused by excessive calcium activity in neurons. These findings indicate that the appropriate current intensity should be used in the application of a-tPCS.","author":[{"dropping-particle":"","family":"Ma","given":"Zengguang","non-dropping-particle":"","parse-names":false,"suffix":""},{"dropping-particle":"","family":"Du","given":"Xiaolang","non-dropping-particle":"","parse-names":false,"suffix":""},{"dropping-particle":"","family":"Wang","given":"Feifei","non-dropping-particle":"","parse-names":false,"suffix":""},{"dropping-particle":"","family":"Ding","given":"Ran","non-dropping-particle":"","parse-names":false,"suffix":""},{"dropping-particle":"","family":"Li","given":"Yuanyuan","non-dropping-particle":"","parse-names":false,"suffix":""},{"dropping-particle":"","family":"Liu","given":"Aili","non-dropping-particle":"","parse-names":false,"suffix":""},{"dropping-particle":"","family":"Wei","given":"Liangpeng","non-dropping-particle":"","parse-names":false,"suffix":""},{"dropping-particle":"","family":"Hou","given":"Shaowei","non-dropping-particle":"","parse-names":false,"suffix":""},{"dropping-particle":"","family":"Chen","given":"Feng","non-dropping-particle":"","parse-names":false,"suffix":""},{"dropping-particle":"","family":"Hu","given":"Qi","non-dropping-particle":"","parse-names":false,"suffix":""},{"dropping-particle":"","family":"Guo","given":"Cunle","non-dropping-particle":"","parse-names":false,"suffix":""},{"dropping-particle":"","family":"Jiao","given":"Qingyan","non-dropping-particle":"","parse-names":false,"suffix":""},{"dropping-particle":"","family":"Liu","given":"Shujing","non-dropping-particle":"","parse-names":false,"suffix":""},{"dropping-particle":"","family":"Fang","given":"Bei","non-dropping-particle":"","parse-names":false,"suffix":""},{"dropping-particle":"","family":"Shen","given":"Hui","non-dropping-particle":"","parse-names":false,"suffix":""}],"container-title":"Frontiers in Cellular Neuroscience","id":"ITEM-5","issued":{"date-parts":[["2019","8","29"]]},"page":"400","title":"Cortical Plasticity Induced by Anodal Transcranial Pulsed Current Stimulation Investigated by Combining Two-Photon Imaging and Electrophysiological Recording","type":"article-journal","volume":"13"},"uris":["http://www.mendeley.com/documents/?uuid=45bb20e1-bdfa-46e4-813a-0a15cc23b9b5","http://www.mendeley.com/documents/?uuid=d557eebd-b930-44a2-8832-d69103e916e4"]}],"mendeley":{"formattedCitation":"&lt;sup&gt;44–48&lt;/sup&gt;","plainTextFormattedCitation":"44–48","previouslyFormattedCitation":"&lt;sup&gt;44–48&lt;/sup&gt;"},"properties":{"noteIndex":0},"schema":"https://github.com/citation-style-language/schema/raw/master/csl-citation.json"}</w:instrText>
      </w:r>
      <w:r w:rsidR="00C64A36"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44–48</w:t>
      </w:r>
      <w:r w:rsidR="00C64A36" w:rsidRPr="00B12FA8">
        <w:rPr>
          <w:rFonts w:asciiTheme="majorBidi" w:hAnsiTheme="majorBidi" w:cstheme="majorBidi"/>
        </w:rPr>
        <w:fldChar w:fldCharType="end"/>
      </w:r>
      <w:r w:rsidR="00C64A36" w:rsidRPr="00B12FA8">
        <w:rPr>
          <w:rFonts w:asciiTheme="majorBidi" w:hAnsiTheme="majorBidi" w:cstheme="majorBidi"/>
        </w:rPr>
        <w:t xml:space="preserve">. Whether the effect of </w:t>
      </w:r>
      <w:proofErr w:type="spellStart"/>
      <w:r w:rsidR="00C64A36" w:rsidRPr="00B12FA8">
        <w:rPr>
          <w:rFonts w:asciiTheme="majorBidi" w:hAnsiTheme="majorBidi" w:cstheme="majorBidi"/>
        </w:rPr>
        <w:t>tDCS</w:t>
      </w:r>
      <w:proofErr w:type="spellEnd"/>
      <w:r w:rsidR="00C64A36" w:rsidRPr="00B12FA8">
        <w:rPr>
          <w:rFonts w:asciiTheme="majorBidi" w:hAnsiTheme="majorBidi" w:cstheme="majorBidi"/>
        </w:rPr>
        <w:t xml:space="preserve"> on non-neuronal cells is a direct consequence of the electrical current or an indirect effect due to the modulation of neuronal properties</w:t>
      </w:r>
      <w:r w:rsidR="009E06DA">
        <w:rPr>
          <w:rFonts w:asciiTheme="majorBidi" w:hAnsiTheme="majorBidi" w:cstheme="majorBidi"/>
        </w:rPr>
        <w:t>,</w:t>
      </w:r>
      <w:r w:rsidR="00C64A36" w:rsidRPr="00B12FA8">
        <w:rPr>
          <w:rFonts w:asciiTheme="majorBidi" w:hAnsiTheme="majorBidi" w:cstheme="majorBidi"/>
        </w:rPr>
        <w:t xml:space="preserve"> remain unknown. Modeling studies and indirect measurements suggest that an electrical field parallel to the dendro-</w:t>
      </w:r>
      <w:proofErr w:type="spellStart"/>
      <w:r w:rsidR="00C64A36" w:rsidRPr="00B12FA8">
        <w:rPr>
          <w:rFonts w:asciiTheme="majorBidi" w:hAnsiTheme="majorBidi" w:cstheme="majorBidi"/>
        </w:rPr>
        <w:t>axonic</w:t>
      </w:r>
      <w:proofErr w:type="spellEnd"/>
      <w:r w:rsidR="00C64A36" w:rsidRPr="00B12FA8">
        <w:rPr>
          <w:rFonts w:asciiTheme="majorBidi" w:hAnsiTheme="majorBidi" w:cstheme="majorBidi"/>
        </w:rPr>
        <w:t xml:space="preserve"> axis generates incremental membrane polarization, which gradually reaches a maximum in the distal subcellular compartments </w:t>
      </w:r>
      <w:r w:rsidR="00C64A36"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{"citationItems":[{"id":"ITEM-1","itemData":{"DOI":"10.1109/IEMBS.2009.5333586","ISSN":"1557-170X (Print) 1557-170X (Linking)","abstract":"The neocortex is the most common target of sub-dural electrotherapy and non-invasive brain stimulation modalities including transcranial magnetic stimulation (TMS) and transcranial direct current simulation (tDCS). Specific neuronal elements targeted by cortical stimulation are considered to underlie therapeutic effects, but the exact cell-type(s) affected by these methods remains poorly understood. We determined if neuronal morphology predicted responses to subthreshold uniform electric fields. We characterized the effects of subthreshold electrical stimulation on identified cortical neurons in vitro. Uniform electric fields were applied to rat motor cortex brain slices, while recording from interneurons and pyramidal cells across cortical layers, using whole cell patch clamp. Neuron morphology was reconstructed following intracellular dialysis of biocytin. Based solely on volume-weighted morphology, we developed a simplified model of neuronal polarization by sub-threshold electric field: an electrotonically linear cylinder that further predicts polarization at distal dendritic tree terminations. We found that neuronal morphology correlated with somatic sub-threshold polarization. Layer V/VI pyramidal neuron somata (individually) and dendrites (averaging across neurons) were most sensitive to sub-threshold fields. This analysis was extended to predict a terminal polarization of a human cortical neuron as 1.44 mV during tDCS.","author":[{"dropping-particle":"","family":"Radman","given":"T","non-dropping-particle":"","parse-names":false,"suffix":""},{"dropping-particle":"","family":"Datta","given":"A","non-dropping-particle":"","parse-names":false,"suffix":""},{"dropping-particle":"","family":"Ramos","given":"R.L.","non-dropping-particle":"","parse-names":false,"suffix":""},{"dropping-particle":"","family":"Brumberg","given":"J.C.","non-dropping-particle":"","parse-names":false,"suffix":""},{"dropping-particle":"","family":"Bikson","given":"M","non-dropping-particle":"","parse-names":false,"suffix":""}],"container-title":"2009 Annual International Conference of the IEEE Engineering in Medicine and Biology Society","id":"ITEM-1","issued":{"date-parts":[["2009","9"]]},"page":"6481-6484","publisher":"IEEE","publisher-place":"Biomedical Engineering Department, City College of City University of New York, NY 10031, USA.","title":"One-dimensional representation of a neuron in a uniform electric field","type":"paper-conference","volume":"2009"},"uris":["http://www.mendeley.com/documents/?uuid=36b9ab81-19a0-41cd-8ab8-09616218137b","http://www.mendeley.com/documents/?uuid=25281d7b-2b33-4720-b27f-b0365ebfcfff"]},{"id":"ITEM-2","itemData":{"DOI":"10.1177/1550059412445138","ISSN":"1550-0594","PMID":"22956646","abstract":"During transcranial direct current stimulation (tDCS), controllable dose parameters are electrode number (typically 1 anode and 1 cathode), position, size, shape, and applied electric current. Because different electrode montages result in distinct brain current flow patterns across the brain, tDCS dose parameters can be adjusted, in an application-specific manner, to target or avoid specific brain regions. Though the tDCS electrode montage often follows basic rules of thumb (increased/decreased excitability “under” the anode/cathode electrode), computational forward models of brain current flow provide more accurate insight into detailed current flow patterns and, in some cases, can even challenge simplified electrode-placement assumptions. With the increased recognized value of computational forward models in informing tDCS montage design and interpretation of results, there have been recent advances in modeling tools and a greater proliferation of publications. In addition, the importance of customizing tDCS for potentially vulnerable populations (eg, skull defects, brain damage/stroke, and extremes of age) can be considered. Finally, computational models can be used to design new electrode montages, for example, to improve spatial targeting such as high-definition tDCS. Pending further validation and dissemination of modeling tools, computational forward models of neuromodulation will become standard tools to guide the optimization of clinical trials and electrotherapy.","author":[{"dropping-particle":"","family":"Bikson","given":"Marom","non-dropping-particle":"","parse-names":false,"suffix":""},{"dropping-particle":"","family":"Rahman","given":"Asif","non-dropping-particle":"","parse-names":false,"suffix":""},{"dropping-particle":"","family":"Datta","given":"Abhishek","non-dropping-particle":"","parse-names":false,"suffix":""}],"container-title":"Clinical EEG and Neuroscience","id":"ITEM-2","issue":"3","issued":{"date-parts":[["2012","7","5"]]},"page":"176-183","title":"Computational Models of Transcranial Direct Current Stimulation","type":"article-journal","volume":"43"},"uris":["http://www.mendeley.com/documents/?uuid=5df3ff3d-7d5c-4586-b1bf-73c97a76c74a","http://www.mendeley.com/documents/?uuid=8fccc9b3-b74a-4488-852b-9d70a7aab9d1"]},{"id":"ITEM-3","itemData":{"DOI":"10.1109/EMBC.2012.6346985","ISBN":"978-1-4577-1787-1","ISSN":"1557-170X (Print) 1557-170X (Linking)","PMID":"23366946","abstract":"Uniform steady state (DC) electric fields, like those generated during transcranial direct current stimulation (tDCS), can affect neuronal excitability depending on field direction and neuronal morphology. In addition to somatic polarization, subthreshold membrane polarization of axon compartments can play a significant role in modulating synaptic efficacy. The aim of this study is to provide an estimation of axon terminal polarization in a weak uniform subthreshold electric field. Simulations based on 3D morphology reconstructions and simplified models indicate that for axons having long final branches compared to the local space constant (L&gt;4lambda) the terminal polarization converges to Elambda for electric fields oriented in the same direction as the branch. In particular we determined how and when analytical approximations could be extended to real cases when considering maximal potential polarization during weak DC stimulation.","author":[{"dropping-particle":"","family":"Arlotti","given":"Mattia","non-dropping-particle":"","parse-names":false,"suffix":""},{"dropping-particle":"","family":"Rahman","given":"Asif","non-dropping-particle":"","parse-names":false,"suffix":""},{"dropping-particle":"","family":"Minhas","given":"Preet","non-dropping-particle":"","parse-names":false,"suffix":""},{"dropping-particle":"","family":"Bikson","given":"Marom","non-dropping-particle":"","parse-names":false,"suffix":""}],"container-title":"2012 Annual International Conference of the IEEE Engineering in Medicine and Biology Society","id":"ITEM-3","issue":"1","issued":{"date-parts":[["2012","8"]]},"page":"4575-4578","publisher":"IEEE","publisher-place":"Department of Electronics, Computer Science and Systems, University of Bologna, Cesena, Italy., Computer Science and Systems, University of Bologna, Cesena, Italy.","title":"Axon terminal polarization induced by weak uniform DC electric fields: A modeling study","type":"paper-conference","volume":"2012"},"uris":["http://www.mendeley.com/documents/?uuid=bee45590-e01e-48ef-811b-c7d8c91a7d1c","http://www.mendeley.com/documents/?uuid=6d7cc200-bd7a-4039-82d1-befaa84ff960"]},{"id":"ITEM-4","itemData":{"DOI":"10.1093/cercor/bhx158","ISSN":"1047-3211","PMID":"28655149","abstract":"Understanding which cellular compartments are influenced during neuromodulation underpins any rational effort to explain and optimize outcomes. Axon terminals have long been speculated to be sensitive to polarization, but experimentally informed models for CNS stimulation are lacking. We conducted simultaneous intracellular recording from the neuron soma and axon terminal (blebs) during extracellular stimulation with weak sustained (DC) uniform electric fields in mouse cortical slices. Use of weak direct current stimulation (DCS) allowed isolation and quantification of changes in axon terminal biophysics, relevant to both suprathreshold (e.g., deep brain stimulation, spinal cord stimulation, and transcranial magnetic stimulation) and subthreshold (e.g., transcranial DCS and transcranial alternating current stimulation) neuromodulation approaches. Axon terminals polarized with sensitivity (mV of membrane polarization per V/m electric field) 4 times than somas. Even weak polarization (&lt;2 mV) of axon terminals significantly changes action potential dynamics (including amplitude, duration, conduction velocity) in response to an intracellular pulse. Regarding a cellular theory of neuromodulation, we explain how suprathreshold CNS stimulation activates the action potential at terminals while subthreshold approaches modulate synaptic efficacy through axon terminal polarization. We demonstrate that by virtue of axon polarization and resulting changes in action potential dynamics, neuromodulation can influence analog-digital information processing.","author":[{"dropping-particle":"","family":"Chakraborty","given":"Darpan","non-dropping-particle":"","parse-names":false,"suffix":""},{"dropping-particle":"","family":"Truong","given":"Dennis Q","non-dropping-particle":"","parse-names":false,"suffix":""},{"dropping-particle":"","family":"Bikson","given":"Marom","non-dropping-particle":"","parse-names":false,"suffix":""},{"dropping-particle":"","family":"Kaphzan","given":"Hanoch","non-dropping-particle":"","parse-names":false,"suffix":""}],"container-title":"Cerebral cortex","id":"ITEM-4","issue":"8","issued":{"date-parts":[["2018","6"]]},"page":"2786-2794","title":"Neuromodulation of Axon Terminals.","type":"article-journal","volume":"28"},"uris":["http://www.mendeley.com/documents/?uuid=6670180b-eca7-4144-907f-90fd90688913","http://www.mendeley.com/documents/?uuid=bb92fec7-9abe-456d-8823-16928e7c215c"]},{"id":"ITEM-5","itemData":{"DOI":"10.1113/jphysiol.2003.055772","ISBN":"0022-3751 (Print)\\n0022-3751 (Linking)","ISSN":"00223751","PMID":"14978199","abstract":"The effects of uniform steady state (DC) extracellular electric fields on neuronal excitability were characterized in rat hippocampal slices using field, intracellular and voltage-sensitive dye recordings. Small electric fields (&lt;/40/ mV mm(-1)), applied parallel to the somato-dendritic axis, induced polarization of CA1 pyramidal cells; the relationship between applied field and induced polarization was linear (0.12 +/- 0.05 mV per mV mm(-1) average sensitivity at the soma). The peak amplitude and time constant (15-70 ms) of membrane polarization varied along the axis of neurons with the maximal polarization observed at the tips of basal and apical dendrites. The polarization was biphasic in the mid-apical dendrites; there was a time-dependent shift in the polarity reversal site. DC fields altered the thresholds of action potentials evoked by orthodromic stimulation, and shifted their initiation site along the apical dendrites. Large electric fields could trigger neuronal firing and epileptiform activity, and induce long-term (&gt;1 s) changes in neuronal excitability. Electric fields perpendicular to the apical-dendritic axis did not induce somatic polarization, but did modulate orthodromic responses, indicating an effect on afferents. These results demonstrate that DC fields can modulate neuronal excitability in a time-dependent manner, with no clear threshold, as a result of interactions between neuronal compartments, the non-linear properties of the cell membrane, and effects on afferents.","author":[{"dropping-particle":"","family":"Bikson","given":"Marom","non-dropping-particle":"","parse-names":false,"suffix":""},{"dropping-particle":"","family":"Inoue","given":"Masashi","non-dropping-particle":"","parse-names":false,"suffix":""},{"dropping-particle":"","family":"Akiyama","given":"Hiroki","non-dropping-particle":"","parse-names":false,"suffix":""},{"dropping-particle":"","family":"Deans","given":"Jackie K","non-dropping-particle":"","parse-names":false,"suffix":""},{"dropping-particle":"","family":"Fox","given":"John E","non-dropping-particle":"","parse-names":false,"suffix":""},{"dropping-particle":"","family":"Miyakawa","given":"Hiroyoshi","non-dropping-particle":"","parse-names":false,"suffix":""},{"dropping-particle":"","family":"Jefferys","given":"John G R","non-dropping-particle":"","parse-names":false,"suffix":""}],"container-title":"The Journal of Physiology","id":"ITEM-5","issue":"1","issued":{"date-parts":[["2004","5"]]},"page":"175-190","publisher-place":"Department of Neurophysiology, University of Birmingham, Egbaston, Birmingham, UK.","title":"Effects of uniform extracellular DC electric fields on excitability in rat hippocampal slices in vitro","type":"article-journal","volume":"557"},"uris":["http://www.mendeley.com/documents/?uuid=e7517d27-597a-4123-b9e1-4fcd445cd0e4","http://www.mendeley.com/documents/?uuid=785f6059-048a-41a4-8589-957f9063c668"]},{"id":"ITEM-6","itemData":{"DOI":"10.1113/jphysiol.2012.247171","ISSN":"00223751","PMID":"23478132","abstract":"Transcranial direct current stimulation (tDCS) is a non-invasive brain stimulation technique to modulate cortical excitability. Although increased/decreased excitability under the anode/cathode electrode is nominally associated with membrane depolarization/hyperpolarization, which cellular compartments (somas, dendrites, axons and their terminals) mediate changes in cortical excitability remains unaddressed. Here we consider the acute effects of DCS on excitatory synaptic efficacy. Using multi-scale computational models and rat cortical brain slices, we show the following. (1) Typical tDCS montages produce predominantly tangential (relative to the cortical surface) direction currents (4-12 times radial direction currents), even directly under electrodes. (2) Radial current flow (parallel to the somatodendritic axis) modulates synaptic efficacy consistent with somatic polarization, with depolarization facilitating synaptic efficacy. (3) Tangential current flow (perpendicular to the somatodendritic axis) modulates synaptic efficacy acutely (during stimulation) in an afferent pathway-specific manner that is consistent with terminal polarization, with hyperpolarization facilitating synaptic efficacy. (4) Maximal polarization during uniform DCS is expected at distal (the branch length is more than three times the membrane length constant) synaptic terminals, independent of and two-three times more susceptible than pyramidal neuron somas. We conclude that during acute DCS the cellular targets responsible for modulation of synaptic efficacy are concurrently somata and axon terminals, with the direction of cortical current flow determining the relative influence.","author":[{"dropping-particle":"","family":"Rahman","given":"Asif","non-dropping-particle":"","parse-names":false,"suffix":""},{"dropping-particle":"","family":"Reato","given":"Davide","non-dropping-particle":"","parse-names":false,"suffix":""},{"dropping-particle":"","family":"Arlotti","given":"Mattia","non-dropping-particle":"","parse-names":false,"suffix":""},{"dropping-particle":"","family":"Gasca","given":"Fernando","non-dropping-particle":"","parse-names":false,"suffix":""},{"dropping-particle":"","family":"Datta","given":"Abhishek","non-dropping-particle":"","parse-names":false,"suffix":""},{"dropping-particle":"","family":"Parra","given":"Lucas C","non-dropping-particle":"","parse-names":false,"suffix":""},{"dropping-particle":"","family":"Bikson","given":"Marom","non-dropping-particle":"","parse-names":false,"suffix":""}],"container-title":"The Journal of Physiology","id":"ITEM-6","issue":"10","issued":{"date-parts":[["2013","5"]]},"page":"2563-2578","publisher-place":"Department of Biomedical Engineering, The City College of The City University of New York, Convent Avenue at 140th Street, Steinman Hall, 4th Floor, T-454, New York, NY 10031, USA. asiftr@gmail.com, The City College of The City University of New York, Convent Avenue at 140th Street, Steinman","title":"Cellular effects of acute direct current stimulation: somatic and synaptic terminal effects","type":"article-journal","volume":"591"},"uris":["http://www.mendeley.com/documents/?uuid=7299913e-a720-4848-9678-ec3f14d91ddc","http://www.mendeley.com/documents/?uuid=30361d63-a2cf-4315-9f64-06a37af7b212"]}],"mendeley":{"formattedCitation":"&lt;sup&gt;43,49–53&lt;/sup&gt;","plainTextFormattedCitation":"43,49–53","previouslyFormattedCitation":"&lt;sup&gt;43,49–53&lt;/sup&gt;"},"properties":{"noteIndex":0},"schema":"https://github.com/citation-style-language/schema/raw/master/csl-citation.json"}</w:instrText>
      </w:r>
      <w:r w:rsidR="00C64A36"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43,49–53</w:t>
      </w:r>
      <w:r w:rsidR="00C64A36" w:rsidRPr="00B12FA8">
        <w:rPr>
          <w:rFonts w:asciiTheme="majorBidi" w:hAnsiTheme="majorBidi" w:cstheme="majorBidi"/>
        </w:rPr>
        <w:fldChar w:fldCharType="end"/>
      </w:r>
      <w:r w:rsidR="00C64A36" w:rsidRPr="00B12FA8">
        <w:rPr>
          <w:rFonts w:asciiTheme="majorBidi" w:hAnsiTheme="majorBidi" w:cstheme="majorBidi"/>
        </w:rPr>
        <w:t>.</w:t>
      </w:r>
    </w:p>
    <w:p w14:paraId="70A592E1" w14:textId="77C87D3C" w:rsidR="00C64A36" w:rsidRPr="00B12FA8" w:rsidRDefault="00C64A36" w:rsidP="00C67B64">
      <w:pPr>
        <w:bidi w:val="0"/>
        <w:spacing w:before="20" w:afterLines="20" w:after="48" w:line="240" w:lineRule="auto"/>
        <w:ind w:firstLine="426"/>
        <w:contextualSpacing/>
        <w:jc w:val="both"/>
        <w:rPr>
          <w:rFonts w:asciiTheme="majorBidi" w:hAnsiTheme="majorBidi" w:cstheme="majorBidi"/>
        </w:rPr>
      </w:pPr>
      <w:r w:rsidRPr="00B12FA8">
        <w:rPr>
          <w:rFonts w:asciiTheme="majorBidi" w:hAnsiTheme="majorBidi" w:cstheme="majorBidi"/>
        </w:rPr>
        <w:t xml:space="preserve">Nonetheless, these models predicted that this terminal polarization effect is too small, even under optimal conditions to generate significant physiological effects </w:t>
      </w:r>
      <w:r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{"citationItems":[{"id":"ITEM-1","itemData":{"DOI":"10.1109/EMBC.2012.6346985","ISBN":"978-1-4577-1787-1","ISSN":"1557-170X (Print) 1557-170X (Linking)","PMID":"23366946","abstract":"Uniform steady state (DC) electric fields, like those generated during transcranial direct current stimulation (tDCS), can affect neuronal excitability depending on field direction and neuronal morphology. In addition to somatic polarization, subthreshold membrane polarization of axon compartments can play a significant role in modulating synaptic efficacy. The aim of this study is to provide an estimation of axon terminal polarization in a weak uniform subthreshold electric field. Simulations based on 3D morphology reconstructions and simplified models indicate that for axons having long final branches compared to the local space constant (L&gt;4lambda) the terminal polarization converges to Elambda for electric fields oriented in the same direction as the branch. In particular we determined how and when analytical approximations could be extended to real cases when considering maximal potential polarization during weak DC stimulation.","author":[{"dropping-particle":"","family":"Arlotti","given":"Mattia","non-dropping-particle":"","parse-names":false,"suffix":""},{"dropping-particle":"","family":"Rahman","given":"Asif","non-dropping-particle":"","parse-names":false,"suffix":""},{"dropping-particle":"","family":"Minhas","given":"Preet","non-dropping-particle":"","parse-names":false,"suffix":""},{"dropping-particle":"","family":"Bikson","given":"Marom","non-dropping-particle":"","parse-names":false,"suffix":""}],"container-title":"2012 Annual International Conference of the IEEE Engineering in Medicine and Biology Society","id":"ITEM-1","issue":"1","issued":{"date-parts":[["2012","8"]]},"page":"4575-4578","publisher":"IEEE","publisher-place":"Department of Electronics, Computer Science and Systems, University of Bologna, Cesena, Italy., Computer Science and Systems, University of Bologna, Cesena, Italy.","title":"Axon terminal polarization induced by weak uniform DC electric fields: A modeling study","type":"paper-conference","volume":"2012"},"uris":["http://www.mendeley.com/documents/?uuid=6d7cc200-bd7a-4039-82d1-befaa84ff960","http://www.mendeley.com/documents/?uuid=bee45590-e01e-48ef-811b-c7d8c91a7d1c"]},{"id":"ITEM-2","itemData":{"DOI":"10.1093/cercor/bhx158","ISSN":"1047-3211","PMID":"28655149","abstract":"Understanding which cellular compartments are influenced during neuromodulation underpins any rational effort to explain and optimize outcomes. Axon terminals have long been speculated to be sensitive to polarization, but experimentally informed models for CNS stimulation are lacking. We conducted simultaneous intracellular recording from the neuron soma and axon terminal (blebs) during extracellular stimulation with weak sustained (DC) uniform electric fields in mouse cortical slices. Use of weak direct current stimulation (DCS) allowed isolation and quantification of changes in axon terminal biophysics, relevant to both suprathreshold (e.g., deep brain stimulation, spinal cord stimulation, and transcranial magnetic stimulation) and subthreshold (e.g., transcranial DCS and transcranial alternating current stimulation) neuromodulation approaches. Axon terminals polarized with sensitivity (mV of membrane polarization per V/m electric field) 4 times than somas. Even weak polarization (&lt;2 mV) of axon terminals significantly changes action potential dynamics (including amplitude, duration, conduction velocity) in response to an intracellular pulse. Regarding a cellular theory of neuromodulation, we explain how suprathreshold CNS stimulation activates the action potential at terminals while subthreshold approaches modulate synaptic efficacy through axon terminal polarization. We demonstrate that by virtue of axon polarization and resulting changes in action potential dynamics, neuromodulation can influence analog-digital information processing.","author":[{"dropping-particle":"","family":"Chakraborty","given":"Darpan","non-dropping-particle":"","parse-names":false,"suffix":""},{"dropping-particle":"","family":"Truong","given":"Dennis Q","non-dropping-particle":"","parse-names":false,"suffix":""},{"dropping-particle":"","family":"Bikson","given":"Marom","non-dropping-particle":"","parse-names":false,"suffix":""},{"dropping-particle":"","family":"Kaphzan","given":"Hanoch","non-dropping-particle":"","parse-names":false,"suffix":""}],"container-title":"Cerebral cortex","id":"ITEM-2","issue":"8","issued":{"date-parts":[["2018","6"]]},"page":"2786-2794","title":"Neuromodulation of Axon Terminals.","type":"article-journal","volume":"28"},"uris":["http://www.mendeley.com/documents/?uuid=bb92fec7-9abe-456d-8823-16928e7c215c","http://www.mendeley.com/documents/?uuid=6670180b-eca7-4144-907f-90fd90688913","http://www.mendeley.com/documents/?uuid=f12c9f93-bee2-40bd-a007-e92bd0809e73"]}],"mendeley":{"formattedCitation":"&lt;sup&gt;51,52&lt;/sup&gt;","plainTextFormattedCitation":"51,52","previouslyFormattedCitation":"&lt;sup&gt;51,52&lt;/sup&gt;"},"properties":{"noteIndex":0},"schema":"https://github.com/citation-style-language/schema/raw/master/csl-citation.json"}</w:instrText>
      </w:r>
      <w:r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51,52</w:t>
      </w:r>
      <w:r w:rsidRPr="00B12FA8">
        <w:rPr>
          <w:rFonts w:asciiTheme="majorBidi" w:hAnsiTheme="majorBidi" w:cstheme="majorBidi"/>
        </w:rPr>
        <w:fldChar w:fldCharType="end"/>
      </w:r>
      <w:r w:rsidRPr="00B12FA8">
        <w:rPr>
          <w:rFonts w:asciiTheme="majorBidi" w:hAnsiTheme="majorBidi" w:cstheme="majorBidi"/>
        </w:rPr>
        <w:t xml:space="preserve">. Using an </w:t>
      </w:r>
      <w:r w:rsidRPr="00B12FA8">
        <w:rPr>
          <w:rFonts w:asciiTheme="majorBidi" w:hAnsiTheme="majorBidi" w:cstheme="majorBidi"/>
          <w:i/>
          <w:iCs/>
        </w:rPr>
        <w:t>ex vivo</w:t>
      </w:r>
      <w:r w:rsidRPr="00B12FA8">
        <w:rPr>
          <w:rFonts w:asciiTheme="majorBidi" w:hAnsiTheme="majorBidi" w:cstheme="majorBidi"/>
        </w:rPr>
        <w:t xml:space="preserve"> model of </w:t>
      </w:r>
      <w:proofErr w:type="spellStart"/>
      <w:r w:rsidRPr="00B12FA8">
        <w:rPr>
          <w:rFonts w:asciiTheme="majorBidi" w:hAnsiTheme="majorBidi" w:cstheme="majorBidi"/>
        </w:rPr>
        <w:t>tDCS</w:t>
      </w:r>
      <w:proofErr w:type="spellEnd"/>
      <w:r w:rsidRPr="00B12FA8">
        <w:rPr>
          <w:rFonts w:asciiTheme="majorBidi" w:hAnsiTheme="majorBidi" w:cstheme="majorBidi"/>
        </w:rPr>
        <w:t>, where direct current stimulation (</w:t>
      </w:r>
      <w:proofErr w:type="spellStart"/>
      <w:r w:rsidRPr="00B12FA8">
        <w:rPr>
          <w:rFonts w:asciiTheme="majorBidi" w:hAnsiTheme="majorBidi" w:cstheme="majorBidi"/>
        </w:rPr>
        <w:t>DCS</w:t>
      </w:r>
      <w:proofErr w:type="spellEnd"/>
      <w:r w:rsidRPr="00B12FA8">
        <w:rPr>
          <w:rFonts w:asciiTheme="majorBidi" w:hAnsiTheme="majorBidi" w:cstheme="majorBidi"/>
        </w:rPr>
        <w:t xml:space="preserve">) was applied to brain slices via submerged wires in the recording bath, we were able to collect direct measurements that confirmed this maximal polarization in the terminal compartments while also revealing the resultant polarization to be much larger than that predicted by prior models </w:t>
      </w:r>
      <w:r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{"citationItems":[{"id":"ITEM-1","itemData":{"DOI":"10.1093/cercor/bhx158","ISSN":"1047-3211","PMID":"28655149","abstract":"Understanding which cellular compartments are influenced during neuromodulation underpins any rational effort to explain and optimize outcomes. Axon terminals have long been speculated to be sensitive to polarization, but experimentally informed models for CNS stimulation are lacking. We conducted simultaneous intracellular recording from the neuron soma and axon terminal (blebs) during extracellular stimulation with weak sustained (DC) uniform electric fields in mouse cortical slices. Use of weak direct current stimulation (DCS) allowed isolation and quantification of changes in axon terminal biophysics, relevant to both suprathreshold (e.g., deep brain stimulation, spinal cord stimulation, and transcranial magnetic stimulation) and subthreshold (e.g., transcranial DCS and transcranial alternating current stimulation) neuromodulation approaches. Axon terminals polarized with sensitivity (mV of membrane polarization per V/m electric field) 4 times than somas. Even weak polarization (&lt;2 mV) of axon terminals significantly changes action potential dynamics (including amplitude, duration, conduction velocity) in response to an intracellular pulse. Regarding a cellular theory of neuromodulation, we explain how suprathreshold CNS stimulation activates the action potential at terminals while subthreshold approaches modulate synaptic efficacy through axon terminal polarization. We demonstrate that by virtue of axon polarization and resulting changes in action potential dynamics, neuromodulation can influence analog-digital information processing.","author":[{"dropping-particle":"","family":"Chakraborty","given":"Darpan","non-dropping-particle":"","parse-names":false,"suffix":""},{"dropping-particle":"","family":"Truong","given":"Dennis Q","non-dropping-particle":"","parse-names":false,"suffix":""},{"dropping-particle":"","family":"Bikson","given":"Marom","non-dropping-particle":"","parse-names":false,"suffix":""},{"dropping-particle":"","family":"Kaphzan","given":"Hanoch","non-dropping-particle":"","parse-names":false,"suffix":""}],"container-title":"Cerebral cortex","id":"ITEM-1","issue":"8","issued":{"date-parts":[["2018","6"]]},"page":"2786-2794","title":"Neuromodulation of Axon Terminals.","type":"article-journal","volume":"28"},"uris":["http://www.mendeley.com/documents/?uuid=bb92fec7-9abe-456d-8823-16928e7c215c"]}],"mendeley":{"formattedCitation":"&lt;sup&gt;52&lt;/sup&gt;","plainTextFormattedCitation":"52","previouslyFormattedCitation":"&lt;sup&gt;52&lt;/sup&gt;"},"properties":{"noteIndex":0},"schema":"https://github.com/citation-style-language/schema/raw/master/csl-citation.json"}</w:instrText>
      </w:r>
      <w:r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52</w:t>
      </w:r>
      <w:r w:rsidRPr="00B12FA8">
        <w:rPr>
          <w:rFonts w:asciiTheme="majorBidi" w:hAnsiTheme="majorBidi" w:cstheme="majorBidi"/>
        </w:rPr>
        <w:fldChar w:fldCharType="end"/>
      </w:r>
      <w:r w:rsidRPr="00B12FA8">
        <w:rPr>
          <w:rFonts w:asciiTheme="majorBidi" w:hAnsiTheme="majorBidi" w:cstheme="majorBidi"/>
        </w:rPr>
        <w:t xml:space="preserve">. We further demonstrated that models based on the cable theory considered only passive membrane properties, while the modulation of ion channel conductance amplifies associated terminal membrane polarization </w:t>
      </w:r>
      <w:r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{"citationItems":[{"id":"ITEM-1","itemData":{"DOI":"10.1016/j.brs.2022.01.005","ISSN":"1935861X","PMID":"35026481","abstract":"Background: Transcranial direct current stimulation (tDCS) is a subthreshold neurostimulation therapeutic method that ameliorate neuropsychiatric impairments. The most sensitive subcellular compartment for tDCS are the axons that polarize. However, how these relatively small polarizations significantly alter synaptic dynamics is still unknown. Objective/Hypothesis: We hypothesized that tDCS-induced axonal polarization modulates calcium channel activity at the presynaptic compartment, thus playing a crucial role in synaptic vesicle release. Methods: For this aim, we examined how different DCS conditions and orientations affect the spontaneous excitatory post synaptic currents (sEPSCs) recorded from hippocampal CA1 pyramidal neurons. Since P/Q-type calcium-channels are the main presynaptic voltage-dependent calcium-channels in the hippocampus, we further examined the DCS effects while applying a P/Q-type calcium channels blocker, ω-agatoxin. Additionally, to explain the DCS-induced calcium channel-regulated vesicle release dynamics, we developed a simplified model to complement our experimental results. Results: We demonstrated that anodal-DCS application in a dorso-ventral orientation, similar to that of in-vivo experiments, enhanced the sEPSCs frequency, while cathodal-DCS was ineffective. Moreover, DCS application in parallel to the Schaffer collaterals (medio-lateral orientation), showed both anodal and cathodal significant effects. Furthermore, the ω-agatoxin application occluded the DCS-induced modulation of sEPSC frequencies in any orientation. The model showed the interaction between DCS-induced membrane polarization, calcium channel activation and presynaptic vesicle release. Conclusion: Using experiments and modeling we show that DCS induces a small variation in terminal membrane potential sufficient to activate P/Q type voltage-gated calcium channels, and that this is sufficient to modify presynaptic calcium concentration, subsequently altering spontaneous vesicle release.","author":[{"dropping-particle":"","family":"Vasu","given":"Sreerag Othayoth","non-dropping-particle":"","parse-names":false,"suffix":""},{"dropping-particle":"","family":"Kaphzan","given":"Hanoch","non-dropping-particle":"","parse-names":false,"suffix":""}],"container-title":"Brain Stimulation","id":"ITEM-1","issue":"1","issued":{"date-parts":[["2022","1","1"]]},"page":"270-282","publisher":"Brain Stimul","title":"Calcium channels control tDCS-induced spontaneous vesicle release from axon terminals","type":"article-journal","volume":"15"},"uris":["http://www.mendeley.com/documents/?uuid=f5f71a92-815a-3734-9f68-a10d6cc3fa33"]},{"id":"ITEM-2","itemData":{"DOI":"10.1016/j.brs.2022.05.019","ISSN":"1935861X","PMID":"35640845","abstract":"Background: Transcranial direct current stimulation (tDCS) is a non-invasive sub-threshold stimulation, widely accepted for its amelioration of distinct neuropsychiatric disorders. The weak electric field of tDCS modulates the activity of cortical neurons, which in turn modifies brain functioning. However, the underlying mechanisms for that are not fully understood. Objective/Hypothesis: Previous studies demonstrated that the axons are the most sensitive subcellular compartment for tDCS-induced polarization. Moreover, it was posited that DCS-induced axonal polarization is amplified by modifying the conductance of ionic channels. We posit that voltage-gated potassium-channels that are highly expressed in axons play a crucial role in DCS-induced modulation of cortical neurons functioning. Methods: We examined the involvement of voltage-gated potassium-channels in the active modulation of spontaneous vesicle release by DCS. For that, we measured spontaneous excitatory postsynaptic currents (sEPSCs) from layer-V motor cortex during DCS application, while co-applying distinct voltage-gated potassium-channels blockers. Moreover, we examined the role of Kv1 potassium channels in DCS-induced modulation of action potential waveform at axon terminals by recording action potentials at terminal axon blebs during DCS application while locally inhibiting the Kv1 potassium-channels. Results: We demonstrated that inhibiting voltage-gated potassium-channels occluded the DCS-induced modulation of subthreshold presynaptic vesicle release. Moreover, we showed that inhibiting Kv1 voltage-gated potassium-channels also occluded the DCS-induced modulation of action potential waveform at axon terminals. Conclusion: We suggest that DCS-induced depolarization inactivates the Kv1 potassium channels thus reducing potassium conductance, which amplifies axonal depolarization, subsequently enhancing the presynaptic component of synaptic transmission. Whereas DCS-induced hyperpolarization induces opposite effects.","author":[{"dropping-particle":"","family":"Vasu","given":"Sreerag Othayoth","non-dropping-particle":"","parse-names":false,"suffix":""},{"dropping-particle":"","family":"Kaphzan","given":"Hanoch","non-dropping-particle":"","parse-names":false,"suffix":""}],"container-title":"Brain Stimulation","id":"ITEM-2","issue":"3","issued":{"date-parts":[["2022","5","1"]]},"page":"861-869","publisher":"Elsevier Inc.","title":"The role of axonal voltage-gated potassium channels in tDCS","type":"article-journal","volume":"15"},"uris":["http://www.mendeley.com/documents/?uuid=bee61402-24ba-3206-98b4-600a8c1d3d1c"]}],"mendeley":{"formattedCitation":"&lt;sup&gt;54,55&lt;/sup&gt;","plainTextFormattedCitation":"54,55","previouslyFormattedCitation":"&lt;sup&gt;54,55&lt;/sup&gt;"},"properties":{"noteIndex":0},"schema":"https://github.com/citation-style-language/schema/raw/master/csl-citation.json"}</w:instrText>
      </w:r>
      <w:r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54,55</w:t>
      </w:r>
      <w:r w:rsidRPr="00B12FA8">
        <w:rPr>
          <w:rFonts w:asciiTheme="majorBidi" w:hAnsiTheme="majorBidi" w:cstheme="majorBidi"/>
        </w:rPr>
        <w:fldChar w:fldCharType="end"/>
      </w:r>
      <w:r w:rsidRPr="00B12FA8">
        <w:rPr>
          <w:rFonts w:asciiTheme="majorBidi" w:hAnsiTheme="majorBidi" w:cstheme="majorBidi"/>
        </w:rPr>
        <w:t xml:space="preserve">. These results provide a theoretical basis for explaining the non-linearity of </w:t>
      </w:r>
      <w:proofErr w:type="spellStart"/>
      <w:r w:rsidRPr="00B12FA8">
        <w:rPr>
          <w:rFonts w:asciiTheme="majorBidi" w:hAnsiTheme="majorBidi" w:cstheme="majorBidi"/>
        </w:rPr>
        <w:t>tDCS</w:t>
      </w:r>
      <w:proofErr w:type="spellEnd"/>
      <w:r w:rsidRPr="00B12FA8">
        <w:rPr>
          <w:rFonts w:asciiTheme="majorBidi" w:hAnsiTheme="majorBidi" w:cstheme="majorBidi"/>
        </w:rPr>
        <w:t xml:space="preserve"> dose-response relationships revealed in many prior studies </w:t>
      </w:r>
      <w:r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{"citationItems":[{"id":"ITEM-1","itemData":{"DOI":"10.1177/1559325816685467","ISSN":"1559-3258","PMID":"28210202","abstract":"The US Air Force Office of Scientific Research convened a meeting of researchers in the fields of neuroscience, psychology, engineering, and medicine to discuss most pressing issues facing ongoing research in the field of transcranial direct current stimulation (tDCS) and related techniques. In this study, we present opinions prepared by participants of the meeting, focusing on the most promising areas of research, immediate and future goals for the field, and the potential for hormesis theory to inform tDCS research. Scientific, medical, and ethical considerations support the ongoing testing of tDCS in healthy and clinical populations, provided best protocols are used to maximize safety. Notwithstanding the need for ongoing research, promising applications include enhancing vigilance/attention in healthy volunteers, which can accelerate training and support learning. Commonly, tDCS is used as an adjunct to training/rehabilitation tasks with the goal of leftward shift in the learning/treatment effect curves. Although trials are encouraging, elucidating the basic mechanisms of tDCS will accelerate validation and adoption. To this end, biomarkers (eg, clinical neuroimaging and findings from animal models) can support hypotheses linking neurobiological mechanisms and behavioral effects. Dosage can be optimized using computational models of current flow and understanding dose–response. Both biomarkers and dosimetry should guide individualized interventions with the goal of reducing variability. Insights from other applied energy domains, including ionizing radiation, transcranial magnetic stimulation, and low-level laser (light) therapy, can be prudently leveraged.","author":[{"dropping-particle":"","family":"Giordano","given":"James","non-dropping-particle":"","parse-names":false,"suffix":""},{"dropping-particle":"","family":"Bikson","given":"Marom","non-dropping-particle":"","parse-names":false,"suffix":""},{"dropping-particle":"","family":"Kappenman","given":"Emily S","non-dropping-particle":"","parse-names":false,"suffix":""},{"dropping-particle":"","family":"Clark","given":"Vincent P","non-dropping-particle":"","parse-names":false,"suffix":""},{"dropping-particle":"","family":"Coslett","given":"H Branch","non-dropping-particle":"","parse-names":false,"suffix":""},{"dropping-particle":"","family":"Hamblin","given":"Michael R","non-dropping-particle":"","parse-names":false,"suffix":""},{"dropping-particle":"","family":"Hamilton","given":"Roy","non-dropping-particle":"","parse-names":false,"suffix":""},{"dropping-particle":"","family":"Jankord","given":"Ryan","non-dropping-particle":"","parse-names":false,"suffix":""},{"dropping-particle":"","family":"Kozumbo","given":"Walter J","non-dropping-particle":"","parse-names":false,"suffix":""},{"dropping-particle":"","family":"McKinley","given":"R Andrew","non-dropping-particle":"","parse-names":false,"suffix":""},{"dropping-particle":"","family":"Nitsche","given":"Michael A","non-dropping-particle":"","parse-names":false,"suffix":""},{"dropping-particle":"","family":"Reilly","given":"J Patrick","non-dropping-particle":"","parse-names":false,"suffix":""},{"dropping-particle":"","family":"Richardson","given":"Jessica","non-dropping-particle":"","parse-names":false,"suffix":""},{"dropping-particle":"","family":"Wurzman","given":"Rachel","non-dropping-particle":"","parse-names":false,"suffix":""},{"dropping-particle":"","family":"Calabrese","given":"Edward","non-dropping-particle":"","parse-names":false,"suffix":""}],"container-title":"Dose-Response","id":"ITEM-1","issue":"1","issued":{"date-parts":[["2017","3","1"]]},"page":"155932581668546","title":"Mechanisms and Effects of Transcranial Direct Current Stimulation","type":"article-journal","volume":"15"},"uris":["http://www.mendeley.com/documents/?uuid=ab7ae0fb-0bb5-3601-b468-5c89ac25e454","http://www.mendeley.com/documents/?uuid=8fb1306f-ef96-45b7-bf89-92a84df0abd4"]},{"id":"ITEM-2","itemData":{"DOI":"10.1113/jphysiol.2012.249730","ISSN":"00223751","PMID":"23339180","abstract":"Transcranial direct current stimulation (tDCS) of the human motor cortex at an intensity of 1 mA with an electrode size of 35 cm(2) has been shown to induce shifts of cortical excitability during and after stimulation. These shifts are polarity-specific with cathodal tDCS resulting in a decrease and anodal stimulation in an increase of cortical excitability. In clinical and cognitive studies, stronger stimulation intensities are used frequently, but their physiological effects on cortical excitability have not yet been explored. Therefore, here we aimed to explore the effects of 2 mA tDCS on cortical excitability. We applied 2 mA anodal or cathodal tDCS for 20 min on the left primary motor cortex of 14 healthy subjects. Cathodal tDCS at 1 mA and sham tDCS for 20 min was administered as control session in nine and eight healthy subjects, respectively. Motor cortical excitability was monitored by transcranial magnetic stimulation (TMS)-elicited motor-evoked potentials (MEPs) from the right first dorsal interosseous muscle. Global corticospinal excitability was explored via single TMS pulse-elicited MEP amplitudes, and motor thresholds. Intracortical effects of stimulation were obtained by cortical silent period (CSP), short latency intracortical inhibition (SICI) and facilitation (ICF), and I wave facilitation. The above-mentioned protocols were recorded both before and immediately after tDCS in randomized order. Additionally, single-pulse MEPs, motor thresholds, SICI and ICF were recorded every 30 min up to 2 h after stimulation end, evening of the same day, next morning, next noon and next evening. Anodal as well as cathodal tDCS at 2 mA resulted in a significant increase of MEP amplitudes, whereas 1 mA cathodal tDCS decreased corticospinal excitability. A significant shift of SICI and ICF towards excitability enhancement after both 2 mA cathodal and anodal tDCS was observed. At 1 mA, cathodal tDCS reduced single-pulse TMS-elicited MEP amplitudes and shifted SICI and ICF towards inhibition. No significant changes were observed in the other protocols. Sham tDCS did not induce significant MEP alterations. These results suggest that an enhancement of tDCS intensity does not necessarily increase efficacy of stimulation, but might also shift the direction of excitability alterations. This should be taken into account for applications of the stimulation technique using different intensities and durations in order to achieve stronger or longer lasting after-ef…","author":[{"dropping-particle":"","family":"Batsikadze","given":"G.","non-dropping-particle":"","parse-names":false,"suffix":""},{"dropping-particle":"","family":"Moliadze","given":"V.","non-dropping-particle":"","parse-names":false,"suffix":""},{"dropping-particle":"","family":"Paulus","given":"W.","non-dropping-particle":"","parse-names":false,"suffix":""},{"dropping-particle":"","family":"Kuo","given":"M.-F.","non-dropping-particle":"","parse-names":false,"suffix":""},{"dropping-particle":"","family":"Nitsche","given":"M. A.","non-dropping-particle":"","parse-names":false,"suffix":""}],"container-title":"The Journal of Physiology","id":"ITEM-2","issue":"7","issued":{"date-parts":[["2013","4","1"]]},"page":"1987-2000","title":"Partially non-linear stimulation intensity-dependent effects of direct current stimulation on motor cortex excitability in humans","type":"article-journal","volume":"591"},"uris":["http://www.mendeley.com/documents/?uuid=82879eca-4cf4-4bf6-af43-e430ab69fa57","http://www.mendeley.com/documents/?uuid=84cc22bc-39ee-45b1-ba0e-ec5d7764ef90"]},{"id":"ITEM-3","itemData":{"DOI":"10.1113/JP274089","ISSN":"00223751","author":[{"dropping-particle":"","family":"Goldsworthy","given":"Mitchell R","non-dropping-particle":"","parse-names":false,"suffix":""},{"dropping-particle":"","family":"Hordacre","given":"Brenton","non-dropping-particle":"","parse-names":false,"suffix":""}],"container-title":"The Journal of Physiology","edition":"2017/03/10","id":"ITEM-3","issue":"11","issued":{"date-parts":[["2017","6","1"]]},"language":"eng","page":"3265-3266","publisher":"John Wiley and Sons Inc.","title":"Dose dependency of transcranial direct current stimulation: implications for neuroplasticity induction in health and disease","type":"article-journal","volume":"595"},"uris":["http://www.mendeley.com/documents/?uuid=63ad94d8-40a8-4e4b-b390-70a4a07b983e","http://www.mendeley.com/documents/?uuid=abed4d7e-d971-44b4-ac74-79623f82605b"]},{"id":"ITEM-4","itemData":{"DOI":"10.1016/j.brs.2017.12.002","ISSN":"1935861X","abstract":"BACKGROUND Transcranial direct current stimulation (tDCS) is investigated to modulate neuronal function by applying a fixed low-intensity direct current to scalp. OBJECTIVES We critically discuss evidence for a monotonic response in effect size with increasing current intensity, with a specific focus on a question if increasing applied current enhance the efficacy of tDCS. METHODS We analyzed tDCS intensity does-response from different perspectives including biophysical modeling, animal modeling, human neurophysiology, neuroimaging and behavioral/clinical measures. Further, we discuss approaches to design dose-response trials. RESULTS Physical models predict electric field in the brain increases with applied tDCS intensity. Data from animal studies are lacking since a range of relevant low-intensities is rarely tested. Results from imaging studies are ambiguous while human neurophysiology, including using transcranial magnetic stimulation (TMS) as a probe, suggests a complex state-dependent non-monotonic dose response. The diffusivity of brain current flow produced by conventional tDCS montages complicates this analysis, with relatively few studies on focal High Definition (HD)-tDCS. In behavioral and clinical trials, only a limited range of intensities (1-2 mA), and typically just one intensity, are conventionally tested; moreover, outcomes are subject brain-state dependent. Measurements and models of current flow show that for the same applied current, substantial differences in brain current occur across individuals. Trials are thus subject to inter-individual differences that complicate consideration of population-level dose response. CONCLUSION The presence or absence of simple dose response does not impact how efficacious a given tDCS dose is for a given indication. Understanding dose-response in human applications of tDCS is needed for protocol optimization including individualized dose to reduce outcome variability, which requires intelligent design of dose-response studies.","author":[{"dropping-particle":"","family":"Esmaeilpour","given":"Zeinab","non-dropping-particle":"","parse-names":false,"suffix":""},{"dropping-particle":"","family":"Marangolo","given":"Paola","non-dropping-particle":"","parse-names":false,"suffix":""},{"dropping-particle":"","family":"Hampstead","given":"Benjamin M.","non-dropping-particle":"","parse-names":false,"suffix":""},{"dropping-particle":"","family":"Bestmann","given":"Sven","non-dropping-particle":"","parse-names":false,"suffix":""},{"dropping-particle":"","family":"Galletta","given":"Elisabeth","non-dropping-particle":"","parse-names":false,"suffix":""},{"dropping-particle":"","family":"Knotkova","given":"Helena","non-dropping-particle":"","parse-names":false,"suffix":""},{"dropping-particle":"","family":"Bikson","given":"Marom","non-dropping-particle":"","parse-names":false,"suffix":""}],"container-title":"Brain Stimulation","id":"ITEM-4","issue":"2","issued":{"date-parts":[["2018","3"]]},"page":"310-321","publisher":"Elsevier","title":"Incomplete evidence that increasing current intensity of tDCS boosts outcomes","type":"article-journal","volume":"11"},"uris":["http://www.mendeley.com/documents/?uuid=8f4c495f-6ac0-3ee4-9e98-ea355ce82402","http://www.mendeley.com/documents/?uuid=2e257b0b-8e63-4fe2-8b98-488c5bc5211e"]}],"mendeley":{"formattedCitation":"&lt;sup&gt;56–59&lt;/sup&gt;","plainTextFormattedCitation":"56–59","previouslyFormattedCitation":"&lt;sup&gt;56–59&lt;/sup&gt;"},"properties":{"noteIndex":0},"schema":"https://github.com/citation-style-language/schema/raw/master/csl-citation.json"}</w:instrText>
      </w:r>
      <w:r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56–59</w:t>
      </w:r>
      <w:r w:rsidRPr="00B12FA8">
        <w:rPr>
          <w:rFonts w:asciiTheme="majorBidi" w:hAnsiTheme="majorBidi" w:cstheme="majorBidi"/>
        </w:rPr>
        <w:fldChar w:fldCharType="end"/>
      </w:r>
      <w:r w:rsidRPr="00B12FA8">
        <w:rPr>
          <w:rFonts w:asciiTheme="majorBidi" w:hAnsiTheme="majorBidi" w:cstheme="majorBidi"/>
        </w:rPr>
        <w:t xml:space="preserve">. Despite all of the above, the cellular processes that govern the long-term effects of such treatment remain poorly understood. </w:t>
      </w:r>
    </w:p>
    <w:p w14:paraId="1296BACD" w14:textId="17D94676" w:rsidR="00C64A36" w:rsidRPr="00B12FA8" w:rsidRDefault="00C64A36" w:rsidP="00C67B64">
      <w:pPr>
        <w:bidi w:val="0"/>
        <w:spacing w:before="20" w:afterLines="20" w:after="48" w:line="240" w:lineRule="auto"/>
        <w:ind w:firstLine="426"/>
        <w:contextualSpacing/>
        <w:jc w:val="both"/>
        <w:rPr>
          <w:rFonts w:asciiTheme="majorBidi" w:hAnsiTheme="majorBidi" w:cstheme="majorBidi"/>
        </w:rPr>
      </w:pPr>
    </w:p>
    <w:p w14:paraId="729FE831" w14:textId="2A254EEE" w:rsidR="001567A6" w:rsidRDefault="00075562" w:rsidP="00C67B64">
      <w:pPr>
        <w:bidi w:val="0"/>
        <w:spacing w:before="20" w:afterLines="20" w:after="48" w:line="240" w:lineRule="auto"/>
        <w:ind w:firstLine="426"/>
        <w:contextualSpacing/>
        <w:jc w:val="both"/>
        <w:rPr>
          <w:rFonts w:asciiTheme="majorBidi" w:hAnsiTheme="majorBidi" w:cstheme="majorBidi"/>
        </w:rPr>
      </w:pPr>
      <w:r w:rsidRPr="00B12FA8">
        <w:rPr>
          <w:rFonts w:asciiTheme="majorBidi" w:hAnsiTheme="majorBidi" w:cstheme="majorBidi"/>
          <w:b/>
          <w:bCs/>
          <w:i/>
          <w:iCs/>
        </w:rPr>
        <w:t>Angelman syndrome (AS) and Transcranial direct current stimulation (</w:t>
      </w:r>
      <w:proofErr w:type="spellStart"/>
      <w:r w:rsidRPr="00B12FA8">
        <w:rPr>
          <w:rFonts w:asciiTheme="majorBidi" w:hAnsiTheme="majorBidi" w:cstheme="majorBidi"/>
          <w:b/>
          <w:bCs/>
          <w:i/>
          <w:iCs/>
        </w:rPr>
        <w:t>tDCS</w:t>
      </w:r>
      <w:proofErr w:type="spellEnd"/>
      <w:r w:rsidRPr="00B12FA8">
        <w:rPr>
          <w:rFonts w:asciiTheme="majorBidi" w:hAnsiTheme="majorBidi" w:cstheme="majorBidi"/>
          <w:b/>
          <w:bCs/>
          <w:i/>
          <w:iCs/>
        </w:rPr>
        <w:t>):</w:t>
      </w:r>
      <w:r w:rsidRPr="00B12FA8">
        <w:rPr>
          <w:rFonts w:asciiTheme="majorBidi" w:hAnsiTheme="majorBidi" w:cstheme="majorBidi"/>
        </w:rPr>
        <w:t xml:space="preserve"> </w:t>
      </w:r>
      <w:proofErr w:type="spellStart"/>
      <w:r w:rsidR="00E568DB" w:rsidRPr="001567A6">
        <w:rPr>
          <w:rFonts w:asciiTheme="majorBidi" w:hAnsiTheme="majorBidi" w:cstheme="majorBidi"/>
        </w:rPr>
        <w:t>tDCS</w:t>
      </w:r>
      <w:proofErr w:type="spellEnd"/>
      <w:r w:rsidR="00E568DB" w:rsidRPr="001567A6">
        <w:rPr>
          <w:rFonts w:asciiTheme="majorBidi" w:hAnsiTheme="majorBidi" w:cstheme="majorBidi"/>
        </w:rPr>
        <w:t xml:space="preserve"> can be delivered as an anodal or cathodal stimulation</w:t>
      </w:r>
      <w:r w:rsidR="001567A6" w:rsidRPr="001567A6">
        <w:rPr>
          <w:rFonts w:asciiTheme="majorBidi" w:hAnsiTheme="majorBidi" w:cstheme="majorBidi"/>
        </w:rPr>
        <w:t xml:space="preserve">, </w:t>
      </w:r>
      <w:r w:rsidR="006104B1">
        <w:rPr>
          <w:rFonts w:asciiTheme="majorBidi" w:hAnsiTheme="majorBidi" w:cstheme="majorBidi"/>
        </w:rPr>
        <w:t xml:space="preserve">and </w:t>
      </w:r>
      <w:r w:rsidR="001567A6" w:rsidRPr="001567A6">
        <w:rPr>
          <w:rFonts w:asciiTheme="majorBidi" w:hAnsiTheme="majorBidi" w:cstheme="majorBidi"/>
        </w:rPr>
        <w:t>each</w:t>
      </w:r>
      <w:r w:rsidR="006104B1" w:rsidRPr="006104B1">
        <w:rPr>
          <w:rFonts w:asciiTheme="majorBidi" w:hAnsiTheme="majorBidi" w:cstheme="majorBidi"/>
        </w:rPr>
        <w:t xml:space="preserve"> </w:t>
      </w:r>
      <w:r w:rsidR="006104B1">
        <w:rPr>
          <w:rFonts w:asciiTheme="majorBidi" w:hAnsiTheme="majorBidi" w:cstheme="majorBidi"/>
        </w:rPr>
        <w:t xml:space="preserve">type of </w:t>
      </w:r>
      <w:r w:rsidR="006104B1" w:rsidRPr="001567A6">
        <w:rPr>
          <w:rFonts w:asciiTheme="majorBidi" w:hAnsiTheme="majorBidi" w:cstheme="majorBidi"/>
        </w:rPr>
        <w:t>stimulation</w:t>
      </w:r>
      <w:r w:rsidR="001567A6" w:rsidRPr="001567A6">
        <w:rPr>
          <w:rFonts w:asciiTheme="majorBidi" w:hAnsiTheme="majorBidi" w:cstheme="majorBidi"/>
        </w:rPr>
        <w:t xml:space="preserve"> induces differential effects</w:t>
      </w:r>
      <w:r w:rsidR="00E568DB" w:rsidRPr="001567A6">
        <w:rPr>
          <w:rFonts w:asciiTheme="majorBidi" w:hAnsiTheme="majorBidi" w:cstheme="majorBidi"/>
        </w:rPr>
        <w:t xml:space="preserve">. </w:t>
      </w:r>
      <w:r w:rsidR="001567A6" w:rsidRPr="001567A6">
        <w:rPr>
          <w:rFonts w:asciiTheme="majorBidi" w:hAnsiTheme="majorBidi" w:cstheme="majorBidi"/>
        </w:rPr>
        <w:t xml:space="preserve">Based on </w:t>
      </w:r>
      <w:r w:rsidR="006104B1">
        <w:rPr>
          <w:rFonts w:asciiTheme="majorBidi" w:hAnsiTheme="majorBidi" w:cstheme="majorBidi"/>
        </w:rPr>
        <w:t xml:space="preserve">our </w:t>
      </w:r>
      <w:r w:rsidR="001567A6" w:rsidRPr="001567A6">
        <w:rPr>
          <w:rFonts w:asciiTheme="majorBidi" w:hAnsiTheme="majorBidi" w:cstheme="majorBidi"/>
        </w:rPr>
        <w:t>preliminary results</w:t>
      </w:r>
      <w:r w:rsidR="00E568DB" w:rsidRPr="001567A6">
        <w:rPr>
          <w:rFonts w:asciiTheme="majorBidi" w:hAnsiTheme="majorBidi" w:cstheme="majorBidi"/>
        </w:rPr>
        <w:t xml:space="preserve">, we hypothesized </w:t>
      </w:r>
      <w:r w:rsidR="001567A6">
        <w:rPr>
          <w:rFonts w:asciiTheme="majorBidi" w:hAnsiTheme="majorBidi" w:cstheme="majorBidi"/>
        </w:rPr>
        <w:t xml:space="preserve">that </w:t>
      </w:r>
      <w:r w:rsidR="00E568DB" w:rsidRPr="001567A6">
        <w:rPr>
          <w:rFonts w:asciiTheme="majorBidi" w:hAnsiTheme="majorBidi" w:cstheme="majorBidi"/>
        </w:rPr>
        <w:t xml:space="preserve">anodal </w:t>
      </w:r>
      <w:proofErr w:type="spellStart"/>
      <w:r w:rsidR="00E568DB" w:rsidRPr="001567A6">
        <w:rPr>
          <w:rFonts w:asciiTheme="majorBidi" w:hAnsiTheme="majorBidi" w:cstheme="majorBidi"/>
        </w:rPr>
        <w:t>tDCS</w:t>
      </w:r>
      <w:proofErr w:type="spellEnd"/>
      <w:r w:rsidR="00E568DB" w:rsidRPr="001567A6">
        <w:rPr>
          <w:rFonts w:asciiTheme="majorBidi" w:hAnsiTheme="majorBidi" w:cstheme="majorBidi"/>
        </w:rPr>
        <w:t xml:space="preserve"> stimulation over the dorsal hippocampus of AS mice </w:t>
      </w:r>
      <w:r w:rsidR="006104B1">
        <w:rPr>
          <w:rFonts w:asciiTheme="majorBidi" w:hAnsiTheme="majorBidi" w:cstheme="majorBidi"/>
        </w:rPr>
        <w:t xml:space="preserve">could </w:t>
      </w:r>
      <w:r w:rsidR="001567A6" w:rsidRPr="001567A6">
        <w:rPr>
          <w:rFonts w:asciiTheme="majorBidi" w:hAnsiTheme="majorBidi" w:cstheme="majorBidi"/>
        </w:rPr>
        <w:t>modulate neuronal</w:t>
      </w:r>
      <w:r w:rsidR="00E568DB" w:rsidRPr="001567A6">
        <w:rPr>
          <w:rFonts w:asciiTheme="majorBidi" w:hAnsiTheme="majorBidi" w:cstheme="majorBidi"/>
        </w:rPr>
        <w:t xml:space="preserve"> excitability</w:t>
      </w:r>
      <w:r w:rsidR="00E568DB" w:rsidRPr="00B12FA8">
        <w:rPr>
          <w:rFonts w:asciiTheme="majorBidi" w:hAnsiTheme="majorBidi" w:cstheme="majorBidi"/>
        </w:rPr>
        <w:t>, leading to normalizing AS hippocampal-dependent deficits</w:t>
      </w:r>
      <w:r w:rsidR="001567A6">
        <w:rPr>
          <w:rFonts w:asciiTheme="majorBidi" w:hAnsiTheme="majorBidi" w:cstheme="majorBidi"/>
        </w:rPr>
        <w:t>. I</w:t>
      </w:r>
      <w:r w:rsidR="00E568DB" w:rsidRPr="00B12FA8">
        <w:rPr>
          <w:rFonts w:asciiTheme="majorBidi" w:hAnsiTheme="majorBidi" w:cstheme="majorBidi"/>
        </w:rPr>
        <w:t>n an initial set of experiments that were designed to examine this hypothesis</w:t>
      </w:r>
      <w:r w:rsidR="001567A6">
        <w:rPr>
          <w:rFonts w:asciiTheme="majorBidi" w:hAnsiTheme="majorBidi" w:cstheme="majorBidi"/>
        </w:rPr>
        <w:t>,</w:t>
      </w:r>
      <w:r w:rsidR="00E568DB" w:rsidRPr="00B12FA8">
        <w:rPr>
          <w:rFonts w:asciiTheme="majorBidi" w:hAnsiTheme="majorBidi" w:cstheme="majorBidi"/>
        </w:rPr>
        <w:t xml:space="preserve"> </w:t>
      </w:r>
      <w:r w:rsidR="001567A6">
        <w:rPr>
          <w:rFonts w:asciiTheme="majorBidi" w:hAnsiTheme="majorBidi" w:cstheme="majorBidi"/>
        </w:rPr>
        <w:t>e</w:t>
      </w:r>
      <w:r w:rsidR="00E568DB" w:rsidRPr="00B12FA8">
        <w:rPr>
          <w:rFonts w:asciiTheme="majorBidi" w:hAnsiTheme="majorBidi" w:cstheme="majorBidi"/>
        </w:rPr>
        <w:t xml:space="preserve">lectrodes were surgically fixed over the </w:t>
      </w:r>
      <w:r w:rsidR="006104B1">
        <w:rPr>
          <w:rFonts w:asciiTheme="majorBidi" w:hAnsiTheme="majorBidi" w:cstheme="majorBidi"/>
        </w:rPr>
        <w:t xml:space="preserve">mice </w:t>
      </w:r>
      <w:r w:rsidR="00E568DB" w:rsidRPr="00B12FA8">
        <w:rPr>
          <w:rFonts w:asciiTheme="majorBidi" w:hAnsiTheme="majorBidi" w:cstheme="majorBidi"/>
        </w:rPr>
        <w:t>skull</w:t>
      </w:r>
      <w:r w:rsidR="006104B1">
        <w:rPr>
          <w:rFonts w:asciiTheme="majorBidi" w:hAnsiTheme="majorBidi" w:cstheme="majorBidi"/>
        </w:rPr>
        <w:t>,</w:t>
      </w:r>
      <w:r w:rsidR="00E568DB" w:rsidRPr="00B12FA8">
        <w:rPr>
          <w:rFonts w:asciiTheme="majorBidi" w:hAnsiTheme="majorBidi" w:cstheme="majorBidi"/>
        </w:rPr>
        <w:t xml:space="preserve"> above the dorsal hippocampi, and </w:t>
      </w:r>
      <w:r w:rsidR="006104B1">
        <w:rPr>
          <w:rFonts w:asciiTheme="majorBidi" w:hAnsiTheme="majorBidi" w:cstheme="majorBidi"/>
        </w:rPr>
        <w:t xml:space="preserve">the </w:t>
      </w:r>
      <w:r w:rsidR="00E568DB" w:rsidRPr="00B12FA8">
        <w:rPr>
          <w:rFonts w:asciiTheme="majorBidi" w:hAnsiTheme="majorBidi" w:cstheme="majorBidi"/>
        </w:rPr>
        <w:t>mice were treated with sham</w:t>
      </w:r>
      <w:r w:rsidR="006104B1">
        <w:rPr>
          <w:rFonts w:asciiTheme="majorBidi" w:hAnsiTheme="majorBidi" w:cstheme="majorBidi"/>
        </w:rPr>
        <w:t xml:space="preserve"> (control)</w:t>
      </w:r>
      <w:r w:rsidR="00E568DB" w:rsidRPr="00B12FA8">
        <w:rPr>
          <w:rFonts w:asciiTheme="majorBidi" w:hAnsiTheme="majorBidi" w:cstheme="majorBidi"/>
        </w:rPr>
        <w:t xml:space="preserve"> or </w:t>
      </w:r>
      <w:proofErr w:type="spellStart"/>
      <w:r w:rsidR="00E568DB" w:rsidRPr="00B12FA8">
        <w:rPr>
          <w:rFonts w:asciiTheme="majorBidi" w:hAnsiTheme="majorBidi" w:cstheme="majorBidi"/>
        </w:rPr>
        <w:t>tDCS</w:t>
      </w:r>
      <w:proofErr w:type="spellEnd"/>
      <w:r w:rsidR="00E568DB" w:rsidRPr="00B12FA8">
        <w:rPr>
          <w:rFonts w:asciiTheme="majorBidi" w:hAnsiTheme="majorBidi" w:cstheme="majorBidi"/>
        </w:rPr>
        <w:t xml:space="preserve"> before each training session (Fig 1A,</w:t>
      </w:r>
      <w:r w:rsidR="006104B1">
        <w:rPr>
          <w:rFonts w:asciiTheme="majorBidi" w:hAnsiTheme="majorBidi" w:cstheme="majorBidi"/>
        </w:rPr>
        <w:t xml:space="preserve"> </w:t>
      </w:r>
      <w:r w:rsidR="00E568DB" w:rsidRPr="00B12FA8">
        <w:rPr>
          <w:rFonts w:asciiTheme="majorBidi" w:hAnsiTheme="majorBidi" w:cstheme="majorBidi"/>
        </w:rPr>
        <w:t xml:space="preserve">B). Based on those experiments, we concluded that </w:t>
      </w:r>
      <w:proofErr w:type="spellStart"/>
      <w:r w:rsidR="00E568DB" w:rsidRPr="00B12FA8">
        <w:rPr>
          <w:rFonts w:asciiTheme="majorBidi" w:hAnsiTheme="majorBidi" w:cstheme="majorBidi"/>
        </w:rPr>
        <w:t>tDCS</w:t>
      </w:r>
      <w:proofErr w:type="spellEnd"/>
      <w:r w:rsidR="00E568DB" w:rsidRPr="00B12FA8">
        <w:rPr>
          <w:rFonts w:asciiTheme="majorBidi" w:hAnsiTheme="majorBidi" w:cstheme="majorBidi"/>
        </w:rPr>
        <w:t xml:space="preserve"> treatment rescued spatial memory deficits of AS mice (Fig 1C-E). However, the treatment did not affect motor functioning (Fig 1F), which is reasonable because this electrode position is unsuitable for motor effects.</w:t>
      </w:r>
      <w:r w:rsidR="001567A6">
        <w:rPr>
          <w:rFonts w:asciiTheme="majorBidi" w:hAnsiTheme="majorBidi" w:cstheme="majorBidi"/>
        </w:rPr>
        <w:t xml:space="preserve"> </w:t>
      </w:r>
      <w:r w:rsidR="00E568DB" w:rsidRPr="00B12FA8">
        <w:rPr>
          <w:rFonts w:asciiTheme="majorBidi" w:hAnsiTheme="majorBidi" w:cstheme="majorBidi"/>
        </w:rPr>
        <w:t xml:space="preserve">Furthermore, a small pilot study showed that </w:t>
      </w:r>
      <w:proofErr w:type="spellStart"/>
      <w:r w:rsidR="00E568DB" w:rsidRPr="00B12FA8">
        <w:rPr>
          <w:rFonts w:asciiTheme="majorBidi" w:hAnsiTheme="majorBidi" w:cstheme="majorBidi"/>
        </w:rPr>
        <w:t>tDCS</w:t>
      </w:r>
      <w:proofErr w:type="spellEnd"/>
      <w:r w:rsidR="00E568DB" w:rsidRPr="00B12FA8">
        <w:rPr>
          <w:rFonts w:asciiTheme="majorBidi" w:hAnsiTheme="majorBidi" w:cstheme="majorBidi"/>
        </w:rPr>
        <w:t xml:space="preserve"> enhanced object location memory (OLM) for the displaced object in both WT and AS mice littermates (Fig 2). </w:t>
      </w:r>
    </w:p>
    <w:p w14:paraId="0E2BE61E" w14:textId="37E54BF6" w:rsidR="00E568DB" w:rsidRPr="00B12FA8" w:rsidRDefault="00E568DB" w:rsidP="00C67B64">
      <w:pPr>
        <w:bidi w:val="0"/>
        <w:spacing w:before="20" w:afterLines="20" w:after="48" w:line="240" w:lineRule="auto"/>
        <w:ind w:firstLine="426"/>
        <w:contextualSpacing/>
        <w:jc w:val="both"/>
        <w:rPr>
          <w:rFonts w:asciiTheme="majorBidi" w:hAnsiTheme="majorBidi" w:cstheme="majorBidi"/>
        </w:rPr>
      </w:pPr>
      <w:r w:rsidRPr="00B12FA8">
        <w:rPr>
          <w:rFonts w:asciiTheme="majorBidi" w:hAnsiTheme="majorBidi" w:cstheme="majorBidi"/>
        </w:rPr>
        <w:t xml:space="preserve">All of the above indicated that </w:t>
      </w:r>
      <w:proofErr w:type="spellStart"/>
      <w:r w:rsidRPr="00B12FA8">
        <w:rPr>
          <w:rFonts w:asciiTheme="majorBidi" w:hAnsiTheme="majorBidi" w:cstheme="majorBidi"/>
        </w:rPr>
        <w:t>tDCS</w:t>
      </w:r>
      <w:proofErr w:type="spellEnd"/>
      <w:r w:rsidRPr="00B12FA8">
        <w:rPr>
          <w:rFonts w:asciiTheme="majorBidi" w:hAnsiTheme="majorBidi" w:cstheme="majorBidi"/>
        </w:rPr>
        <w:t xml:space="preserve"> has the potential to evolve into a novel, non</w:t>
      </w:r>
      <w:r w:rsidR="009E06DA">
        <w:rPr>
          <w:rFonts w:asciiTheme="majorBidi" w:hAnsiTheme="majorBidi" w:cstheme="majorBidi"/>
        </w:rPr>
        <w:t>-</w:t>
      </w:r>
      <w:r w:rsidRPr="00B12FA8">
        <w:rPr>
          <w:rFonts w:asciiTheme="majorBidi" w:hAnsiTheme="majorBidi" w:cstheme="majorBidi"/>
        </w:rPr>
        <w:t xml:space="preserve">invasive therapeutic approach for Angelman syndrome patients. </w:t>
      </w:r>
      <w:r w:rsidRPr="00B12FA8">
        <w:rPr>
          <w:rFonts w:asciiTheme="majorBidi" w:hAnsiTheme="majorBidi" w:cstheme="majorBidi"/>
          <w:b/>
          <w:bCs/>
          <w:i/>
          <w:iCs/>
        </w:rPr>
        <w:t xml:space="preserve">However, before this therapeutic approach can be applied, we must understand how </w:t>
      </w:r>
      <w:proofErr w:type="spellStart"/>
      <w:r w:rsidRPr="00B12FA8">
        <w:rPr>
          <w:rFonts w:asciiTheme="majorBidi" w:hAnsiTheme="majorBidi" w:cstheme="majorBidi"/>
          <w:b/>
          <w:bCs/>
          <w:i/>
          <w:iCs/>
        </w:rPr>
        <w:t>dose</w:t>
      </w:r>
      <w:proofErr w:type="spellEnd"/>
      <w:r w:rsidRPr="00B12FA8">
        <w:rPr>
          <w:rFonts w:asciiTheme="majorBidi" w:hAnsiTheme="majorBidi" w:cstheme="majorBidi"/>
          <w:b/>
          <w:bCs/>
          <w:i/>
          <w:iCs/>
        </w:rPr>
        <w:t xml:space="preserve"> the </w:t>
      </w:r>
      <w:bookmarkStart w:id="1" w:name="_Hlk108702050"/>
      <w:proofErr w:type="spellStart"/>
      <w:r w:rsidRPr="00B12FA8">
        <w:rPr>
          <w:rFonts w:asciiTheme="majorBidi" w:hAnsiTheme="majorBidi" w:cstheme="majorBidi"/>
          <w:b/>
          <w:bCs/>
          <w:i/>
          <w:iCs/>
        </w:rPr>
        <w:t>tDCS</w:t>
      </w:r>
      <w:proofErr w:type="spellEnd"/>
      <w:r w:rsidRPr="00B12FA8">
        <w:rPr>
          <w:rFonts w:asciiTheme="majorBidi" w:hAnsiTheme="majorBidi" w:cstheme="majorBidi"/>
          <w:b/>
          <w:bCs/>
          <w:i/>
          <w:iCs/>
        </w:rPr>
        <w:t xml:space="preserve"> stimuli</w:t>
      </w:r>
      <w:bookmarkEnd w:id="1"/>
      <w:r w:rsidRPr="00B12FA8">
        <w:rPr>
          <w:rFonts w:asciiTheme="majorBidi" w:hAnsiTheme="majorBidi" w:cstheme="majorBidi"/>
          <w:b/>
          <w:bCs/>
          <w:i/>
          <w:iCs/>
        </w:rPr>
        <w:t xml:space="preserve"> affect the targeted parts of the brain, evaluate the effect of stimuli on overall behavior, and determine the impact of the treatment on the short and prolonged effects on neuronal metabolism, cellular homeostasis, and determine the duration of the treatment effect</w:t>
      </w:r>
      <w:r w:rsidRPr="00B12FA8">
        <w:rPr>
          <w:rFonts w:asciiTheme="majorBidi" w:hAnsiTheme="majorBidi" w:cstheme="majorBidi"/>
        </w:rPr>
        <w:t>.</w:t>
      </w:r>
    </w:p>
    <w:p w14:paraId="59F1CFFC" w14:textId="115B9993" w:rsidR="00E568DB" w:rsidRPr="00B12FA8" w:rsidRDefault="00E568DB" w:rsidP="00C67B64">
      <w:pPr>
        <w:bidi w:val="0"/>
        <w:spacing w:before="20" w:afterLines="20" w:after="48" w:line="240" w:lineRule="auto"/>
        <w:ind w:firstLine="426"/>
        <w:contextualSpacing/>
        <w:jc w:val="both"/>
        <w:rPr>
          <w:rFonts w:asciiTheme="majorBidi" w:hAnsiTheme="majorBidi" w:cstheme="majorBidi"/>
        </w:rPr>
      </w:pPr>
      <w:r w:rsidRPr="00B12FA8">
        <w:rPr>
          <w:rFonts w:asciiTheme="majorBidi" w:hAnsiTheme="majorBidi" w:cstheme="majorBidi"/>
          <w:i/>
          <w:iCs/>
          <w:noProof/>
        </w:rPr>
        <w:lastRenderedPageBreak/>
        <mc:AlternateContent>
          <mc:Choice Requires="wps">
            <w:drawing>
              <wp:anchor distT="45720" distB="45720" distL="114300" distR="114300" simplePos="0" relativeHeight="251680768" behindDoc="1" locked="0" layoutInCell="1" allowOverlap="1" wp14:anchorId="4AE58894" wp14:editId="07CF3931">
                <wp:simplePos x="0" y="0"/>
                <wp:positionH relativeFrom="column">
                  <wp:posOffset>2745105</wp:posOffset>
                </wp:positionH>
                <wp:positionV relativeFrom="paragraph">
                  <wp:posOffset>0</wp:posOffset>
                </wp:positionV>
                <wp:extent cx="3884295" cy="5389880"/>
                <wp:effectExtent l="0" t="0" r="20955" b="20320"/>
                <wp:wrapTight wrapText="bothSides">
                  <wp:wrapPolygon edited="0">
                    <wp:start x="0" y="0"/>
                    <wp:lineTo x="0" y="21605"/>
                    <wp:lineTo x="21611" y="21605"/>
                    <wp:lineTo x="21611"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295" cy="5389880"/>
                        </a:xfrm>
                        <a:prstGeom prst="rect">
                          <a:avLst/>
                        </a:prstGeom>
                        <a:solidFill>
                          <a:srgbClr val="FFFFFF"/>
                        </a:solidFill>
                        <a:ln w="9525">
                          <a:solidFill>
                            <a:srgbClr val="000000"/>
                          </a:solidFill>
                          <a:miter lim="800000"/>
                          <a:headEnd/>
                          <a:tailEnd/>
                        </a:ln>
                      </wps:spPr>
                      <wps:txbx>
                        <w:txbxContent>
                          <w:p w14:paraId="57BC5EBC" w14:textId="35F63A9B" w:rsidR="006F1997" w:rsidRPr="00843F95" w:rsidRDefault="006F1997" w:rsidP="00D4481F">
                            <w:pPr>
                              <w:bidi w:val="0"/>
                              <w:jc w:val="both"/>
                              <w:rPr>
                                <w:rFonts w:asciiTheme="majorBidi" w:hAnsiTheme="majorBidi" w:cstheme="majorBidi"/>
                                <w:sz w:val="20"/>
                                <w:szCs w:val="20"/>
                              </w:rPr>
                            </w:pPr>
                            <w:r w:rsidRPr="006B1FC9">
                              <w:rPr>
                                <w:rFonts w:asciiTheme="majorBidi" w:hAnsiTheme="majorBidi" w:cstheme="majorBidi"/>
                                <w:noProof/>
                                <w:sz w:val="20"/>
                                <w:szCs w:val="20"/>
                              </w:rPr>
                              <w:drawing>
                                <wp:inline distT="0" distB="0" distL="0" distR="0" wp14:anchorId="708B2949" wp14:editId="437C5E51">
                                  <wp:extent cx="3714115" cy="2428240"/>
                                  <wp:effectExtent l="19050" t="19050" r="19685" b="10160"/>
                                  <wp:docPr id="12" name="Picture 1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2923" cy="2466688"/>
                                          </a:xfrm>
                                          <a:prstGeom prst="rect">
                                            <a:avLst/>
                                          </a:prstGeom>
                                          <a:noFill/>
                                          <a:ln>
                                            <a:solidFill>
                                              <a:sysClr val="windowText" lastClr="000000"/>
                                            </a:solidFill>
                                          </a:ln>
                                        </pic:spPr>
                                      </pic:pic>
                                    </a:graphicData>
                                  </a:graphic>
                                </wp:inline>
                              </w:drawing>
                            </w:r>
                            <w:r w:rsidRPr="00843F95">
                              <w:rPr>
                                <w:rFonts w:asciiTheme="majorBidi" w:hAnsiTheme="majorBidi" w:cstheme="majorBidi"/>
                                <w:b/>
                                <w:bCs/>
                                <w:sz w:val="20"/>
                                <w:szCs w:val="20"/>
                                <w:u w:val="single"/>
                              </w:rPr>
                              <w:t>Figure 1:</w:t>
                            </w:r>
                            <w:r w:rsidRPr="00843F95">
                              <w:rPr>
                                <w:rFonts w:asciiTheme="majorBidi" w:hAnsiTheme="majorBidi" w:cstheme="majorBidi"/>
                                <w:sz w:val="20"/>
                                <w:szCs w:val="20"/>
                              </w:rPr>
                              <w:t xml:space="preserve"> </w:t>
                            </w:r>
                            <w:proofErr w:type="spellStart"/>
                            <w:r w:rsidRPr="00843F95">
                              <w:rPr>
                                <w:rFonts w:asciiTheme="majorBidi" w:hAnsiTheme="majorBidi" w:cstheme="majorBidi"/>
                                <w:sz w:val="20"/>
                                <w:szCs w:val="20"/>
                              </w:rPr>
                              <w:t>tDCS</w:t>
                            </w:r>
                            <w:proofErr w:type="spellEnd"/>
                            <w:r w:rsidRPr="00843F95">
                              <w:rPr>
                                <w:rFonts w:asciiTheme="majorBidi" w:hAnsiTheme="majorBidi" w:cstheme="majorBidi"/>
                                <w:sz w:val="20"/>
                                <w:szCs w:val="20"/>
                              </w:rPr>
                              <w:t xml:space="preserve"> alleviates spatial navigation memory deficits in AS mice. MWM testing revealed that 20 min of tDCS over the parietal cortex and dorsal hippocampus, ending 5 min before training, alleviated the spatial navigation memory deficits in AS mice. The center of anodal electrode was -1.5 mm posterior to the bregma, and the return electrode was positioned over the thorax using a Velcro corset. A. Experimental approach. B. Stimulation protocol during the MWM training period. C. Representative heat-maps of mice in the probe test. D. Latency to reach the platform [F</w:t>
                            </w:r>
                            <w:r w:rsidRPr="00ED64D8">
                              <w:rPr>
                                <w:rFonts w:asciiTheme="majorBidi" w:hAnsiTheme="majorBidi" w:cstheme="majorBidi"/>
                                <w:position w:val="-4"/>
                                <w:sz w:val="20"/>
                                <w:szCs w:val="20"/>
                                <w:vertAlign w:val="subscript"/>
                              </w:rPr>
                              <w:t>(15,210)</w:t>
                            </w:r>
                            <w:r w:rsidRPr="00843F95">
                              <w:rPr>
                                <w:rFonts w:asciiTheme="majorBidi" w:hAnsiTheme="majorBidi" w:cstheme="majorBidi"/>
                                <w:sz w:val="20"/>
                                <w:szCs w:val="20"/>
                              </w:rPr>
                              <w:t>=2.6, p&lt;0.01, RM-2way-ANOVA for interaction group*time]. E. Time in target quadrant in the probe test [F</w:t>
                            </w:r>
                            <w:r w:rsidRPr="00ED64D8">
                              <w:rPr>
                                <w:rFonts w:asciiTheme="majorBidi" w:hAnsiTheme="majorBidi" w:cstheme="majorBidi"/>
                                <w:position w:val="-4"/>
                                <w:sz w:val="20"/>
                                <w:szCs w:val="20"/>
                                <w:vertAlign w:val="subscript"/>
                              </w:rPr>
                              <w:t>(3,42</w:t>
                            </w:r>
                            <w:r w:rsidRPr="00ED64D8">
                              <w:rPr>
                                <w:rFonts w:asciiTheme="majorBidi" w:hAnsiTheme="majorBidi" w:cstheme="majorBidi"/>
                                <w:position w:val="-4"/>
                                <w:sz w:val="20"/>
                                <w:szCs w:val="20"/>
                              </w:rPr>
                              <w:t>)</w:t>
                            </w:r>
                            <w:r w:rsidRPr="00843F95">
                              <w:rPr>
                                <w:rFonts w:asciiTheme="majorBidi" w:hAnsiTheme="majorBidi" w:cstheme="majorBidi"/>
                                <w:sz w:val="20"/>
                                <w:szCs w:val="20"/>
                              </w:rPr>
                              <w:t>=9.7, p&lt;0.0001, ANOVA for target quadrant]. F. Swim speed is affected by genotype but not by tDCS [F</w:t>
                            </w:r>
                            <w:r w:rsidRPr="00ED64D8">
                              <w:rPr>
                                <w:rFonts w:asciiTheme="majorBidi" w:hAnsiTheme="majorBidi" w:cstheme="majorBidi"/>
                                <w:position w:val="-4"/>
                                <w:sz w:val="20"/>
                                <w:szCs w:val="20"/>
                              </w:rPr>
                              <w:t>(1,42)</w:t>
                            </w:r>
                            <w:r w:rsidRPr="00843F95">
                              <w:rPr>
                                <w:rFonts w:asciiTheme="majorBidi" w:hAnsiTheme="majorBidi" w:cstheme="majorBidi"/>
                                <w:sz w:val="20"/>
                                <w:szCs w:val="20"/>
                              </w:rPr>
                              <w:t>=8.9, p&lt;0.01 and F</w:t>
                            </w:r>
                            <w:r w:rsidRPr="00ED64D8">
                              <w:rPr>
                                <w:rFonts w:asciiTheme="majorBidi" w:hAnsiTheme="majorBidi" w:cstheme="majorBidi"/>
                                <w:position w:val="-4"/>
                                <w:sz w:val="20"/>
                                <w:szCs w:val="20"/>
                              </w:rPr>
                              <w:t>(1,42)</w:t>
                            </w:r>
                            <w:r w:rsidRPr="00843F95">
                              <w:rPr>
                                <w:rFonts w:asciiTheme="majorBidi" w:hAnsiTheme="majorBidi" w:cstheme="majorBidi"/>
                                <w:sz w:val="20"/>
                                <w:szCs w:val="20"/>
                              </w:rPr>
                              <w:t>=0.06, p=0.82 for genotype and treatment, respectively; 2way-ANOVAs]. G. Histological analysis of brains after the end of experimental period did not reveale any tDCS-induced damage at the end of the experimental protocol. Data are means ± SEM as error bars. Dots represent individual mice. Numbers of mice: WT sham (11), WT tDCS (11), AS sham (13), AS tDCS (11). **p&lt;0.01;  ****p&lt;0.0001</w:t>
                            </w:r>
                          </w:p>
                        </w:txbxContent>
                      </wps:txbx>
                      <wps:bodyPr rot="0" vert="horz" wrap="square" lIns="36000" tIns="3600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E58894" id="_x0000_t202" coordsize="21600,21600" o:spt="202" path="m,l,21600r21600,l21600,xe">
                <v:stroke joinstyle="miter"/>
                <v:path gradientshapeok="t" o:connecttype="rect"/>
              </v:shapetype>
              <v:shape id="Text Box 2" o:spid="_x0000_s1026" type="#_x0000_t202" style="position:absolute;left:0;text-align:left;margin-left:216.15pt;margin-top:0;width:305.85pt;height:424.4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">
                <v:textbox inset="1mm,1mm,1mm,0">
                  <w:txbxContent>
                    <w:p w14:paraId="57BC5EBC" w14:textId="35F63A9B" w:rsidR="006F1997" w:rsidRPr="00843F95" w:rsidRDefault="006F1997" w:rsidP="00D4481F">
                      <w:pPr>
                        <w:bidi w:val="0"/>
                        <w:jc w:val="both"/>
                        <w:rPr>
                          <w:rFonts w:asciiTheme="majorBidi" w:hAnsiTheme="majorBidi" w:cstheme="majorBidi"/>
                          <w:sz w:val="20"/>
                          <w:szCs w:val="20"/>
                        </w:rPr>
                      </w:pPr>
                      <w:r w:rsidRPr="006B1FC9">
                        <w:rPr>
                          <w:rFonts w:asciiTheme="majorBidi" w:hAnsiTheme="majorBidi" w:cstheme="majorBidi"/>
                          <w:noProof/>
                          <w:sz w:val="20"/>
                          <w:szCs w:val="20"/>
                        </w:rPr>
                        <w:drawing>
                          <wp:inline distT="0" distB="0" distL="0" distR="0" wp14:anchorId="708B2949" wp14:editId="437C5E51">
                            <wp:extent cx="3714115" cy="2428240"/>
                            <wp:effectExtent l="19050" t="19050" r="19685" b="10160"/>
                            <wp:docPr id="12" name="Picture 1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2923" cy="2466688"/>
                                    </a:xfrm>
                                    <a:prstGeom prst="rect">
                                      <a:avLst/>
                                    </a:prstGeom>
                                    <a:noFill/>
                                    <a:ln>
                                      <a:solidFill>
                                        <a:sysClr val="windowText" lastClr="000000"/>
                                      </a:solidFill>
                                    </a:ln>
                                  </pic:spPr>
                                </pic:pic>
                              </a:graphicData>
                            </a:graphic>
                          </wp:inline>
                        </w:drawing>
                      </w:r>
                      <w:r w:rsidRPr="00843F95">
                        <w:rPr>
                          <w:rFonts w:asciiTheme="majorBidi" w:hAnsiTheme="majorBidi" w:cstheme="majorBidi"/>
                          <w:b/>
                          <w:bCs/>
                          <w:sz w:val="20"/>
                          <w:szCs w:val="20"/>
                          <w:u w:val="single"/>
                        </w:rPr>
                        <w:t>Figure 1:</w:t>
                      </w:r>
                      <w:r w:rsidRPr="00843F95">
                        <w:rPr>
                          <w:rFonts w:asciiTheme="majorBidi" w:hAnsiTheme="majorBidi" w:cstheme="majorBidi"/>
                          <w:sz w:val="20"/>
                          <w:szCs w:val="20"/>
                        </w:rPr>
                        <w:t xml:space="preserve"> </w:t>
                      </w:r>
                      <w:proofErr w:type="spellStart"/>
                      <w:r w:rsidRPr="00843F95">
                        <w:rPr>
                          <w:rFonts w:asciiTheme="majorBidi" w:hAnsiTheme="majorBidi" w:cstheme="majorBidi"/>
                          <w:sz w:val="20"/>
                          <w:szCs w:val="20"/>
                        </w:rPr>
                        <w:t>tDCS</w:t>
                      </w:r>
                      <w:proofErr w:type="spellEnd"/>
                      <w:r w:rsidRPr="00843F95">
                        <w:rPr>
                          <w:rFonts w:asciiTheme="majorBidi" w:hAnsiTheme="majorBidi" w:cstheme="majorBidi"/>
                          <w:sz w:val="20"/>
                          <w:szCs w:val="20"/>
                        </w:rPr>
                        <w:t xml:space="preserve"> alleviates spatial navigation memory deficits in AS mice. MWM testing revealed that 20 min of tDCS over the parietal cortex and dorsal hippocampus, ending 5 min before training, alleviated the spatial navigation memory deficits in AS mice. The center of anodal electrode was -1.5 mm posterior to the bregma, and the return electrode was positioned over the thorax using a Velcro corset. A. Experimental approach. B. Stimulation protocol during the MWM training period. C. Representative heat-maps of mice in the probe test. D. Latency to reach the platform [F</w:t>
                      </w:r>
                      <w:r w:rsidRPr="00ED64D8">
                        <w:rPr>
                          <w:rFonts w:asciiTheme="majorBidi" w:hAnsiTheme="majorBidi" w:cstheme="majorBidi"/>
                          <w:position w:val="-4"/>
                          <w:sz w:val="20"/>
                          <w:szCs w:val="20"/>
                          <w:vertAlign w:val="subscript"/>
                        </w:rPr>
                        <w:t>(15,210)</w:t>
                      </w:r>
                      <w:r w:rsidRPr="00843F95">
                        <w:rPr>
                          <w:rFonts w:asciiTheme="majorBidi" w:hAnsiTheme="majorBidi" w:cstheme="majorBidi"/>
                          <w:sz w:val="20"/>
                          <w:szCs w:val="20"/>
                        </w:rPr>
                        <w:t>=2.6, p&lt;0.01, RM-2way-ANOVA for interaction group*time]. E. Time in target quadrant in the probe test [F</w:t>
                      </w:r>
                      <w:r w:rsidRPr="00ED64D8">
                        <w:rPr>
                          <w:rFonts w:asciiTheme="majorBidi" w:hAnsiTheme="majorBidi" w:cstheme="majorBidi"/>
                          <w:position w:val="-4"/>
                          <w:sz w:val="20"/>
                          <w:szCs w:val="20"/>
                          <w:vertAlign w:val="subscript"/>
                        </w:rPr>
                        <w:t>(3,42</w:t>
                      </w:r>
                      <w:r w:rsidRPr="00ED64D8">
                        <w:rPr>
                          <w:rFonts w:asciiTheme="majorBidi" w:hAnsiTheme="majorBidi" w:cstheme="majorBidi"/>
                          <w:position w:val="-4"/>
                          <w:sz w:val="20"/>
                          <w:szCs w:val="20"/>
                        </w:rPr>
                        <w:t>)</w:t>
                      </w:r>
                      <w:r w:rsidRPr="00843F95">
                        <w:rPr>
                          <w:rFonts w:asciiTheme="majorBidi" w:hAnsiTheme="majorBidi" w:cstheme="majorBidi"/>
                          <w:sz w:val="20"/>
                          <w:szCs w:val="20"/>
                        </w:rPr>
                        <w:t>=9.7, p&lt;0.0001, ANOVA for target quadrant]. F. Swim speed is affected by genotype but not by tDCS [F</w:t>
                      </w:r>
                      <w:r w:rsidRPr="00ED64D8">
                        <w:rPr>
                          <w:rFonts w:asciiTheme="majorBidi" w:hAnsiTheme="majorBidi" w:cstheme="majorBidi"/>
                          <w:position w:val="-4"/>
                          <w:sz w:val="20"/>
                          <w:szCs w:val="20"/>
                        </w:rPr>
                        <w:t>(1,42)</w:t>
                      </w:r>
                      <w:r w:rsidRPr="00843F95">
                        <w:rPr>
                          <w:rFonts w:asciiTheme="majorBidi" w:hAnsiTheme="majorBidi" w:cstheme="majorBidi"/>
                          <w:sz w:val="20"/>
                          <w:szCs w:val="20"/>
                        </w:rPr>
                        <w:t>=8.9, p&lt;0.01 and F</w:t>
                      </w:r>
                      <w:r w:rsidRPr="00ED64D8">
                        <w:rPr>
                          <w:rFonts w:asciiTheme="majorBidi" w:hAnsiTheme="majorBidi" w:cstheme="majorBidi"/>
                          <w:position w:val="-4"/>
                          <w:sz w:val="20"/>
                          <w:szCs w:val="20"/>
                        </w:rPr>
                        <w:t>(1,42)</w:t>
                      </w:r>
                      <w:r w:rsidRPr="00843F95">
                        <w:rPr>
                          <w:rFonts w:asciiTheme="majorBidi" w:hAnsiTheme="majorBidi" w:cstheme="majorBidi"/>
                          <w:sz w:val="20"/>
                          <w:szCs w:val="20"/>
                        </w:rPr>
                        <w:t>=0.06, p=0.82 for genotype and treatment, respectively; 2way-ANOVAs]. G. Histological analysis of brains after the end of experimental period did not reveale any tDCS-induced damage at the end of the experimental protocol. Data are means ± SEM as error bars. Dots represent individual mice. Numbers of mice: WT sham (11), WT tDCS (11), AS sham (13), AS tDCS (11). **p&lt;0.01;  ****p&lt;0.0001</w:t>
                      </w:r>
                    </w:p>
                  </w:txbxContent>
                </v:textbox>
                <w10:wrap type="tight"/>
              </v:shape>
            </w:pict>
          </mc:Fallback>
        </mc:AlternateContent>
      </w:r>
      <w:r w:rsidRPr="00B12FA8">
        <w:rPr>
          <w:rFonts w:asciiTheme="majorBidi" w:hAnsiTheme="majorBidi" w:cstheme="majorBidi"/>
        </w:rPr>
        <w:t xml:space="preserve">The excitability of neurons is defined as the ability to generate a significant, rapid change of membrane voltage in response to a stimulus. Homeostatic regulation of neuronal excitability provides stability to the neural network, which is essential for maintaining normal brain functions. Any dysregulation in the homeostatic regulation of neuronal excitability could lead to neuropsychiatric disorders, such as epilepsy, depression, autism, and schizophrenia. </w:t>
      </w:r>
    </w:p>
    <w:p w14:paraId="6A21DC7E" w14:textId="3ECEC842" w:rsidR="00E568DB" w:rsidRPr="00B12FA8" w:rsidRDefault="00E568DB" w:rsidP="00C67B64">
      <w:pPr>
        <w:bidi w:val="0"/>
        <w:spacing w:before="20" w:afterLines="20" w:after="48" w:line="240" w:lineRule="auto"/>
        <w:ind w:firstLine="426"/>
        <w:contextualSpacing/>
        <w:jc w:val="both"/>
        <w:rPr>
          <w:rFonts w:asciiTheme="majorBidi" w:hAnsiTheme="majorBidi" w:cstheme="majorBidi"/>
        </w:rPr>
      </w:pPr>
      <w:r w:rsidRPr="00B12FA8">
        <w:rPr>
          <w:rFonts w:asciiTheme="majorBidi" w:hAnsiTheme="majorBidi" w:cstheme="majorBidi"/>
        </w:rPr>
        <w:t>Previous studies performed by others</w:t>
      </w:r>
      <w:r w:rsidRPr="00B12FA8">
        <w:rPr>
          <w:rFonts w:asciiTheme="majorBidi" w:hAnsiTheme="majorBidi" w:cstheme="majorBidi"/>
          <w:vertAlign w:val="superscript"/>
        </w:rPr>
        <w:fldChar w:fldCharType="begin" w:fldLock="1"/>
      </w:r>
      <w:r w:rsidR="006104B1">
        <w:rPr>
          <w:rFonts w:asciiTheme="majorBidi" w:hAnsiTheme="majorBidi" w:cstheme="majorBidi"/>
          <w:vertAlign w:val="superscript"/>
        </w:rPr>
        <w:instrText>ADDIN CSL_CITATION {"citationItems":[{"id":"ITEM-1","itemData":{"DOI":"10.1016/j.neulet.2009.06.079","ISSN":"03043940","PMID":"19563863","abstract":"Angelman syndrome (AS) is a severe neurological disorder caused by a deficiency of ubiquitin protein ligase E3A (UBE3A), but the pathophysiology of the disease remains unknown. We now report that in the brains of AS mice in which the maternal UBE3A allele is mutated (m-) and the paternal allele is potentially inactivated by imprinting (p+) (UBE3A m-\\p+), the mitochondria are abnormal and exhibit a partial oxidative phosphorylation (OXPHOS) defect. Electron microscopy of the hippocampal region of the UBE3A m-\\p+ mice (n= 6) reveals small, dense mitochondria with altered cristae, relative to wild-type littermates (n= 6) and reduced synaptic vesicle density. The specific activity of OXPHOS complex III is reduced in whole brain mitochondria in UBE3A m-\\p+ (n= 5) mice versus wild-type littermates (n= 5). Therefore, mitochondrial dysfunction may contribute to the pathophysiology of Angelman syndrome. © 2009 Elsevier Ireland Ltd.","author":[{"dropping-particle":"","family":"Su","given":"Hailing","non-dropping-particle":"","parse-names":false,"suffix":""},{"dropping-particle":"","family":"Fan","given":"Weiwei","non-dropping-particle":"","parse-names":false,"suffix":""},{"dropping-particle":"","family":"Coskun","given":"Pinar E.","non-dropping-particle":"","parse-names":false,"suffix":""},{"dropping-particle":"","family":"Vesa","given":"Jouni","non-dropping-particle":"","parse-names":false,"suffix":""},{"dropping-particle":"","family":"Gold","given":"June-anne Anne","non-dropping-particle":"","parse-names":false,"suffix":""},{"dropping-particle":"","family":"Jiang","given":"Yong-Hui Hui","non-dropping-particle":"","parse-names":false,"suffix":""},{"dropping-particle":"","family":"Potluri","given":"Prasanth","non-dropping-particle":"","parse-names":false,"suffix":""},{"dropping-particle":"","family":"Procaccio","given":"Vincent","non-dropping-particle":"","parse-names":false,"suffix":""},{"dropping-particle":"","family":"Acab","given":"Allan","non-dropping-particle":"","parse-names":false,"suffix":""},{"dropping-particle":"","family":"Weiss","given":"John H.","non-dropping-particle":"","parse-names":false,"suffix":""},{"dropping-particle":"","family":"Wallace","given":"Douglas C.","non-dropping-particle":"","parse-names":false,"suffix":""},{"dropping-particle":"","family":"Kimonis","given":"Virginia E.","non-dropping-particle":"","parse-names":false,"suffix":""}],"container-title":"Neuroscience Letters","id":"ITEM-1","issue":"2","issued":{"date-parts":[["2011","1"]]},"page":"129-133","publisher":"Elsevier Ireland Ltd","title":"Mitochondrial dysfunction in CA1 hippocampal neurons of the UBE3A deficient mouse model for Angelman syndrome","type":"article-journal","volume":"487"},"uris":["http://www.mendeley.com/documents/?uuid=2adf4ac8-99e4-4211-aa79-98140f986d50"]}],"mendeley":{"formattedCitation":"&lt;sup&gt;60&lt;/sup&gt;","plainTextFormattedCitation":"60","previouslyFormattedCitation":"&lt;sup&gt;60&lt;/sup&gt;"},"properties":{"noteIndex":0},"schema":"https://github.com/citation-style-language/schema/raw/master/csl-citation.json"}</w:instrText>
      </w:r>
      <w:r w:rsidRPr="00B12FA8">
        <w:rPr>
          <w:rFonts w:asciiTheme="majorBidi" w:hAnsiTheme="majorBidi" w:cstheme="majorBidi"/>
          <w:vertAlign w:val="superscript"/>
        </w:rPr>
        <w:fldChar w:fldCharType="separate"/>
      </w:r>
      <w:r w:rsidR="006104B1" w:rsidRPr="006104B1">
        <w:rPr>
          <w:rFonts w:asciiTheme="majorBidi" w:hAnsiTheme="majorBidi" w:cstheme="majorBidi"/>
          <w:noProof/>
          <w:vertAlign w:val="superscript"/>
        </w:rPr>
        <w:t>60</w:t>
      </w:r>
      <w:r w:rsidRPr="00B12FA8">
        <w:rPr>
          <w:rFonts w:asciiTheme="majorBidi" w:hAnsiTheme="majorBidi" w:cstheme="majorBidi"/>
          <w:vertAlign w:val="superscript"/>
        </w:rPr>
        <w:fldChar w:fldCharType="end"/>
      </w:r>
      <w:r w:rsidRPr="00B12FA8">
        <w:rPr>
          <w:rFonts w:asciiTheme="majorBidi" w:hAnsiTheme="majorBidi" w:cstheme="majorBidi"/>
        </w:rPr>
        <w:t xml:space="preserve"> and us</w:t>
      </w:r>
      <w:r w:rsidRPr="00B12FA8">
        <w:rPr>
          <w:rFonts w:asciiTheme="majorBidi" w:hAnsiTheme="majorBidi" w:cstheme="majorBidi"/>
          <w:vertAlign w:val="superscript"/>
        </w:rPr>
        <w:fldChar w:fldCharType="begin" w:fldLock="1"/>
      </w:r>
      <w:r w:rsidR="006104B1">
        <w:rPr>
          <w:rFonts w:asciiTheme="majorBidi" w:hAnsiTheme="majorBidi" w:cstheme="majorBidi"/>
          <w:vertAlign w:val="superscript"/>
        </w:rPr>
        <w:instrText>ADDIN CSL_CITATION {"citationItems":[{"id":"ITEM-1","itemData":{"DOI":"10.3390/jcm9051573","ISSN":"2077-0383","abstract":"The UBE3A gene codes for a protein with two known functions, a ubiquitin E3-ligase which catalyzes ubiquitin binding to substrate proteins and a steroid hormone receptor coactivator. UBE3A is most famous for its critical role in neuronal functioning. Lack of UBE3A protein expression leads to Angelman syndrome (AS), while its overexpression is associated with autism. In spite of extensive research, our understanding of UBE3A roles is still limited. We investigated the cellular and molecular effects of Ube3a deletion in mouse embryonic fibroblasts (MEFs) and Angelman syndrome (AS) mouse model hippocampi. Cell cultures of MEFs exhibited enhanced proliferation together with reduced apoptosis when Ube3a was deleted. These findings were supported by transcriptome and proteome analyses. Furthermore, transcriptome analyses revealed alterations in mitochondria-related genes. Moreover, an analysis of adult AS model mice hippocampi also found alterations in the expression of apoptosis- and proliferation-associated genes. Our findings emphasize the role UBE3A plays in regulating proliferation and apoptosis and sheds light into the possible effects UBE3A has on mitochondrial involvement in governing this balance.","author":[{"dropping-particle":"","family":"Simchi","given":"Lilach","non-dropping-particle":"","parse-names":false,"suffix":""},{"dropping-particle":"","family":"Panov","given":"Julia","non-dropping-particle":"","parse-names":false,"suffix":""},{"dropping-particle":"","family":"Morsy","given":"Olla","non-dropping-particle":"","parse-names":false,"suffix":""},{"dropping-particle":"","family":"Feuermann","given":"Yonatan","non-dropping-particle":"","parse-names":false,"suffix":""},{"dropping-particle":"","family":"Kaphzan","given":"Hanoch","non-dropping-particle":"","parse-names":false,"suffix":""}],"container-title":"Journal of Clinical Medicine","id":"ITEM-1","issue":"5","issued":{"date-parts":[["2020"]]},"page":"1573","title":"Novel Insights into the Role of UBE3A in Regulating Apoptosis and Proliferation","type":"article-journal","volume":"9"},"uris":["http://www.mendeley.com/documents/?uuid=078d2b7d-c971-4c93-9d68-b8f5d5e88f35"]},{"id":"ITEM-2","itemData":{"DOI":"10.3390/ijms21114156","ISSN":"14220067","PMID":"32532103","abstract":"The UBE3A gene encodes the ubiquitin E3-ligase protein, UBE3A, which is implicated in severe neurodevelopmental disorders. Lack of UBE3A expression results in Angelman syndrome, while UBE3A overexpression, due to genomic 15q duplication, results in autism. The cellular roles of UBE3A are not fully understood, yet a growing body of evidence indicates that these disorders involve mitochondrial dysfunction and increased oxidative stress. We utilized bioinformatics approaches to delineate the effects of murine Ube3a deletion on the expression of mitochondrial-related genes and pathways. For this, we generated an mRNA sequencing dataset from mouse embryonic fibroblasts (MEFs) in which both alleles of Ube3a gene were deleted and their wild-type controls. Since oxidative stress and mitochondrial dysregulation might not be exhibited in the resting baseline state, we also activated mitochondrial functioning in the cells of these two genotypes using TNFα application. Transcriptomes of the four groups of MEFs, Ube3a+/+ and Ube3a−/−, with or without the application of TNFα, were analyzed using various bioinformatics tools and machine learning approaches. Our results indicate that Ube3a deletion affects the gene expression profiles of mitochondrial-associated pathways. We further confirmed these results by analyzing other publicly available human transcriptome datasets of Angelman syndrome and 15q duplication syndrome.","author":[{"dropping-particle":"","family":"Panov","given":"Julia","non-dropping-particle":"","parse-names":false,"suffix":""},{"dropping-particle":"","family":"Simchi","given":"Lilach","non-dropping-particle":"","parse-names":false,"suffix":""},{"dropping-particle":"","family":"Feuermann","given":"Yonatan","non-dropping-particle":"","parse-names":false,"suffix":""},{"dropping-particle":"","family":"Kaphzan","given":"Hanoch","non-dropping-particle":"","parse-names":false,"suffix":""}],"container-title":"International Journal of Molecular Sciences","id":"ITEM-2","issue":"11","issued":{"date-parts":[["2020"]]},"page":"1-21","title":"Bioinformatics analyses of the transcriptome reveal Ube3a-dependent effects on mitochondrial-related pathways","type":"article-journal","volume":"21"},"uris":["http://www.mendeley.com/documents/?uuid=0a5cccaf-b5d4-4136-8898-c55d712ccacb"]}],"mendeley":{"formattedCitation":"&lt;sup&gt;16,61&lt;/sup&gt;","plainTextFormattedCitation":"16,61","previouslyFormattedCitation":"&lt;sup&gt;16,61&lt;/sup&gt;"},"properties":{"noteIndex":0},"schema":"https://github.com/citation-style-language/schema/raw/master/csl-citation.json"}</w:instrText>
      </w:r>
      <w:r w:rsidRPr="00B12FA8">
        <w:rPr>
          <w:rFonts w:asciiTheme="majorBidi" w:hAnsiTheme="majorBidi" w:cstheme="majorBidi"/>
          <w:vertAlign w:val="superscript"/>
        </w:rPr>
        <w:fldChar w:fldCharType="separate"/>
      </w:r>
      <w:r w:rsidR="006104B1" w:rsidRPr="006104B1">
        <w:rPr>
          <w:rFonts w:asciiTheme="majorBidi" w:hAnsiTheme="majorBidi" w:cstheme="majorBidi"/>
          <w:noProof/>
          <w:vertAlign w:val="superscript"/>
        </w:rPr>
        <w:t>16,61</w:t>
      </w:r>
      <w:r w:rsidRPr="00B12FA8">
        <w:rPr>
          <w:rFonts w:asciiTheme="majorBidi" w:hAnsiTheme="majorBidi" w:cstheme="majorBidi"/>
          <w:vertAlign w:val="superscript"/>
        </w:rPr>
        <w:fldChar w:fldCharType="end"/>
      </w:r>
      <w:r w:rsidRPr="00B12FA8">
        <w:rPr>
          <w:rFonts w:asciiTheme="majorBidi" w:hAnsiTheme="majorBidi" w:cstheme="majorBidi"/>
        </w:rPr>
        <w:t xml:space="preserve"> showed that alteration in the expression level of UBE3A leads to mitochondrial abnormalities that can affect various glucose metabolic pathways, cellular homeostasis, calcium homeostasis, apoptosis, and accumulation of ROS. Furthermore, It has been previously shown that AS adult mice models, which display endophenotypes consistent with the human disorder, exhibit mitochondrial dysfunction and altered mitochondrial morphology in the hippocampus </w:t>
      </w:r>
      <w:r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{"citationItems":[{"id":"ITEM-1","itemData":{"DOI":"10.1016/j.neulet.2009.06.079","ISSN":"03043940","PMID":"19563863","abstract":"Angelman syndrome (AS) is a severe neurological disorder caused by a deficiency of ubiquitin protein ligase E3A (UBE3A), but the pathophysiology of the disease remains unknown. We now report that in the brains of AS mice in which the maternal UBE3A allele is mutated (m-) and the paternal allele is potentially inactivated by imprinting (p+) (UBE3A m-\\p+), the mitochondria are abnormal and exhibit a partial oxidative phosphorylation (OXPHOS) defect. Electron microscopy of the hippocampal region of the UBE3A m-\\p+ mice (n= 6) reveals small, dense mitochondria with altered cristae, relative to wild-type littermates (n= 6) and reduced synaptic vesicle density. The specific activity of OXPHOS complex III is reduced in whole brain mitochondria in UBE3A m-\\p+ (n= 5) mice versus wild-type littermates (n= 5). Therefore, mitochondrial dysfunction may contribute to the pathophysiology of Angelman syndrome. © 2009 Elsevier Ireland Ltd.","author":[{"dropping-particle":"","family":"Su","given":"Hailing","non-dropping-particle":"","parse-names":false,"suffix":""},{"dropping-particle":"","family":"Fan","given":"Weiwei","non-dropping-particle":"","parse-names":false,"suffix":""},{"dropping-particle":"","family":"Coskun","given":"Pinar E.","non-dropping-particle":"","parse-names":false,"suffix":""},{"dropping-particle":"","family":"Vesa","given":"Jouni","non-dropping-particle":"","parse-names":false,"suffix":""},{"dropping-particle":"","family":"Gold","given":"June-anne Anne","non-dropping-particle":"","parse-names":false,"suffix":""},{"dropping-particle":"","family":"Jiang","given":"Yong-Hui Hui","non-dropping-particle":"","parse-names":false,"suffix":""},{"dropping-particle":"","family":"Potluri","given":"Prasanth","non-dropping-particle":"","parse-names":false,"suffix":""},{"dropping-particle":"","family":"Procaccio","given":"Vincent","non-dropping-particle":"","parse-names":false,"suffix":""},{"dropping-particle":"","family":"Acab","given":"Allan","non-dropping-particle":"","parse-names":false,"suffix":""},{"dropping-particle":"","family":"Weiss","given":"John H.","non-dropping-particle":"","parse-names":false,"suffix":""},{"dropping-particle":"","family":"Wallace","given":"Douglas C.","non-dropping-particle":"","parse-names":false,"suffix":""},{"dropping-particle":"","family":"Kimonis","given":"Virginia E.","non-dropping-particle":"","parse-names":false,"suffix":""}],"container-title":"Neuroscience Letters","id":"ITEM-1","issue":"2","issued":{"date-parts":[["2011","1"]]},"page":"129-133","publisher":"Elsevier Ireland Ltd","title":"Mitochondrial dysfunction in CA1 hippocampal neurons of the UBE3A deficient mouse model for Angelman syndrome","type":"article-journal","volume":"487"},"uris":["http://www.mendeley.com/documents/?uuid=2adf4ac8-99e4-4211-aa79-98140f986d50"]}],"mendeley":{"formattedCitation":"&lt;sup&gt;60&lt;/sup&gt;","plainTextFormattedCitation":"60","previouslyFormattedCitation":"&lt;sup&gt;60&lt;/sup&gt;"},"properties":{"noteIndex":0},"schema":"https://github.com/citation-style-language/schema/raw/master/csl-citation.json"}</w:instrText>
      </w:r>
      <w:r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60</w:t>
      </w:r>
      <w:r w:rsidRPr="00B12FA8">
        <w:rPr>
          <w:rFonts w:asciiTheme="majorBidi" w:hAnsiTheme="majorBidi" w:cstheme="majorBidi"/>
        </w:rPr>
        <w:fldChar w:fldCharType="end"/>
      </w:r>
      <w:r w:rsidRPr="00B12FA8">
        <w:rPr>
          <w:rFonts w:asciiTheme="majorBidi" w:hAnsiTheme="majorBidi" w:cstheme="majorBidi"/>
        </w:rPr>
        <w:t xml:space="preserve"> </w:t>
      </w:r>
      <w:r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{"citationItems":[{"id":"ITEM-1","itemData":{"DOI":"10.1016/j.neuroscience.2020.02.017","ISSN":"18737544","PMID":"32088294","abstract":"The UBE3A gene is part of the chromosome 15q11-q13 region that is frequently deleted or duplicated, leading to several neurodevelopmental disorders (NDD). Angelman syndrome (AS) is caused by the absence of functional maternally derived UBE3A protein, while the paternal UBE3A gene is present but silenced specifically in neurons. Patients with AS present with severe neurodevelopmental delay, with pronounced motor deficits, absence of speech, intellectual disability, epilepsy, and sleep problems. The pathophysiology of AS is still unclear and a treatment is lacking. Animal models of AS recapitulate the genotypic and phenotypic features observed in AS patients, and have been invaluable for understanding the disease process as well as identifying apropriate drug targets. Using these AS mouse models we have learned that loss of UBE3A probably affects many areas of the brain, leading to increased neuronal excitability and a loss of synaptic spines, along with changes in a number of distinct behaviours. Inducible AS mouse models have helped to identify the critical treatment windows for the behavioral and physiological phenotypes. Additionally, AS mouse models indicate an important role for the predominantly nuclear UBE3A isoform in generating the characteristic AS pathology. Last, but not least, the AS mice have been crucial in guiding Ube3a gene reactivation treatments, which present a very promising therapy to treat AS.","author":[{"dropping-particle":"","family":"Rotaru","given":"Diana C.","non-dropping-particle":"","parse-names":false,"suffix":""},{"dropping-particle":"","family":"Mientjes","given":"Edwin J.","non-dropping-particle":"","parse-names":false,"suffix":""},{"dropping-particle":"","family":"Elgersma","given":"Ype","non-dropping-particle":"","parse-names":false,"suffix":""}],"container-title":"Neuroscience","id":"ITEM-1","issued":{"date-parts":[["2020","10"]]},"page":"172-189","publisher":"The Authors","title":"Angelman Syndrome: From Mouse Models to Therapy","type":"article-journal","volume":"445"},"uris":["http://www.mendeley.com/documents/?uuid=66b8cd3a-64b1-419d-8243-0175d1b43352"]}],"mendeley":{"formattedCitation":"&lt;sup&gt;62&lt;/sup&gt;","plainTextFormattedCitation":"62","previouslyFormattedCitation":"&lt;sup&gt;62&lt;/sup&gt;"},"properties":{"noteIndex":0},"schema":"https://github.com/citation-style-language/schema/raw/master/csl-citation.json"}</w:instrText>
      </w:r>
      <w:r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62</w:t>
      </w:r>
      <w:r w:rsidRPr="00B12FA8">
        <w:rPr>
          <w:rFonts w:asciiTheme="majorBidi" w:hAnsiTheme="majorBidi" w:cstheme="majorBidi"/>
        </w:rPr>
        <w:fldChar w:fldCharType="end"/>
      </w:r>
      <w:r w:rsidRPr="00B12FA8">
        <w:rPr>
          <w:rFonts w:asciiTheme="majorBidi" w:hAnsiTheme="majorBidi" w:cstheme="majorBidi"/>
        </w:rPr>
        <w:t xml:space="preserve">. </w:t>
      </w:r>
    </w:p>
    <w:p w14:paraId="4527C35F" w14:textId="675302F8" w:rsidR="00E568DB" w:rsidRPr="00B12FA8" w:rsidRDefault="00E568DB" w:rsidP="00C67B64">
      <w:pPr>
        <w:bidi w:val="0"/>
        <w:spacing w:before="20" w:afterLines="20" w:after="48" w:line="240" w:lineRule="auto"/>
        <w:ind w:firstLine="426"/>
        <w:contextualSpacing/>
        <w:jc w:val="both"/>
        <w:rPr>
          <w:rFonts w:asciiTheme="majorBidi" w:hAnsiTheme="majorBidi" w:cstheme="majorBidi"/>
        </w:rPr>
      </w:pPr>
      <w:r w:rsidRPr="00B12FA8">
        <w:rPr>
          <w:rFonts w:asciiTheme="majorBidi" w:hAnsiTheme="majorBidi" w:cstheme="majorBidi"/>
        </w:rPr>
        <w:t>Neurons consume ~15% of the body</w:t>
      </w:r>
      <w:r w:rsidR="009E06DA">
        <w:rPr>
          <w:rFonts w:asciiTheme="majorBidi" w:hAnsiTheme="majorBidi" w:cstheme="majorBidi"/>
        </w:rPr>
        <w:t>’</w:t>
      </w:r>
      <w:r w:rsidRPr="00B12FA8">
        <w:rPr>
          <w:rFonts w:asciiTheme="majorBidi" w:hAnsiTheme="majorBidi" w:cstheme="majorBidi"/>
        </w:rPr>
        <w:t>s resting energy to sustain action potential, neurotransmitter release, cytoskeletal dynamics</w:t>
      </w:r>
      <w:r w:rsidRPr="00B12FA8">
        <w:rPr>
          <w:rFonts w:asciiTheme="majorBidi" w:hAnsiTheme="majorBidi" w:cstheme="majorBidi"/>
          <w:rtl/>
        </w:rPr>
        <w:t>,</w:t>
      </w:r>
      <w:r w:rsidRPr="00B12FA8">
        <w:rPr>
          <w:rFonts w:asciiTheme="majorBidi" w:hAnsiTheme="majorBidi" w:cstheme="majorBidi"/>
        </w:rPr>
        <w:t xml:space="preserve"> and gene expression. Despite the significant energy demands, neurons do not store energy but instantly and locally synthesize it in the form of ATP. Therefore, it is not surprising that metabolic insults, including acute ischemia, mitochondrial poisons, hypoglycemia, or even minor neuronal energy homeostasis disruptions, cause a rapid decline in nervous system function. </w:t>
      </w:r>
    </w:p>
    <w:p w14:paraId="217EEF60" w14:textId="601C4A2A" w:rsidR="00E568DB" w:rsidRPr="00B12FA8" w:rsidRDefault="00E568DB" w:rsidP="00C67B64">
      <w:pPr>
        <w:bidi w:val="0"/>
        <w:spacing w:before="20" w:afterLines="20" w:after="48" w:line="240" w:lineRule="auto"/>
        <w:ind w:firstLine="720"/>
        <w:contextualSpacing/>
        <w:jc w:val="both"/>
        <w:rPr>
          <w:rFonts w:asciiTheme="majorBidi" w:hAnsiTheme="majorBidi" w:cstheme="majorBidi"/>
        </w:rPr>
      </w:pPr>
      <w:r w:rsidRPr="00B12FA8">
        <w:rPr>
          <w:rFonts w:asciiTheme="majorBidi" w:hAnsiTheme="majorBidi" w:cstheme="majorBidi"/>
        </w:rPr>
        <w:t>Interestingly, data which was generated in our lab show that direct current stimulation modulates neuronal excitability on the single-cell level as well as the circuit level and, at the same time, has the potential to alter the metabolic state of neurons and modify the expression of various metabolites which serve as signaling molecules and neurotransmitters</w:t>
      </w:r>
      <w:r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{"citationItems":[{"id":"ITEM-1","itemData":{"DOI":"10.1093/CERCOR/BHX158","ISSN":"1460-2199","PMID":"28655149","abstract":"Understanding which cellular compartments are influenced during neuromodulation underpins any rational effort to explain and optimize outcomes. Axon terminals have long been speculated to be sensitive to polarization, but experimentally informed models for CNS stimulation are lacking. We conducted simultaneous intracellular recording from the neuron soma and axon terminal (blebs) during extracellular stimulation with weak sustained (DC) uniform electric fields in mouse cortical slices. Use of weak direct current stimulation (DCS) allowed isolation and quantification of changes in axon terminal biophysics, relevant to both suprathreshold (e.g., deep brain stimulation, spinal cord stimulation, and transcranial magnetic stimulation) and subthreshold (e.g., transcranial DCS and transcranial alternating current stimulation) neuromodulation approaches. Axon terminals polarized with sensitivity (mV of membrane polarization per V/m electric field) 4 times than somas. Even weak polarization (&lt;2 mV) of axon terminals significantly changes action potential dynamics (including amplitude, duration, conduction velocity) in response to an intracellular pulse. Regarding a cellular theory of neuromodulation, we explain how suprathreshold CNS stimulation activates the action potential at terminals while subthreshold approaches modulate synaptic efficacy through axon terminal polarization. We demonstrate that by virtue of axon polarization and resulting changes in action potential dynamics, neuromodulation can influence analog–digital information processing.","author":[{"dropping-particle":"","family":"Chakraborty","given":"Darpan","non-dropping-particle":"","parse-names":false,"suffix":""},{"dropping-particle":"","family":"Truong","given":"Dennis Q.","non-dropping-particle":"","parse-names":false,"suffix":""},{"dropping-particle":"","family":"Bikson","given":"Marom","non-dropping-particle":"","parse-names":false,"suffix":""},{"dropping-particle":"","family":"Kaphzan","given":"Hanoch","non-dropping-particle":"","parse-names":false,"suffix":""}],"container-title":"Cerebral cortex (New York, N.Y. : 1991)","id":"ITEM-1","issue":"8","issued":{"date-parts":[["2018","8","1"]]},"page":"2786-2794","publisher":"Cereb Cortex","title":"Neuromodulation of Axon Terminals","type":"article-journal","volume":"28"},"uris":["http://www.mendeley.com/documents/?uuid=09afec1d-740d-3e85-a4c2-603f2c57ec83"]},{"id":"ITEM-2","itemData":{"DOI":"10.1016/J.CELREP.2021.109832","ISSN":"2211-1247","PMID":"34644580","abstract":"Transcranial neurostimulation methods are utilized as therapies for various neuropsychiatric disorders. Primarily, they entail the delivery of weak subthreshold currents across the brain, which modulate neuronal excitability. However, it is still a puzzle how such weak electrical fields actuate their effects. Previous studies showed that axons are the most sensitive subcellular compartment for direct current stimulation, and maximal polarization is achieved at their terminals. Nonetheless, polarization of axon terminals according to models was predicted to be weak, and the mechanism for substantial axon terminals polarization was obscure. Here, we show that a weak subthreshold electrical field modifies the conductance of voltage-dependent sodium channels in axon terminals, subsequently amplifying their membrane polarization. Moreover, we show that this amplification has substantial effects on synaptic functioning. Finally, we employ analytical modeling to explain how sodium currents modifications enhance axon terminal polarization. These findings relate to the mechanistic aspects of any neurostimulation technique.","author":[{"dropping-particle":"","family":"Vasu","given":"Sreerag Othayoth","non-dropping-particle":"","parse-names":false,"suffix":""},{"dropping-particle":"","family":"Kaphzan","given":"Hanoch","non-dropping-particle":"","parse-names":false,"suffix":""}],"container-title":"Cell reports","id":"ITEM-2","issue":"2","issued":{"date-parts":[["2021","10","12"]]},"publisher":"Cell Rep","title":"The role of sodium channels in direct current stimulation-axonal perspective","type":"article-journal","volume":"37"},"uris":["http://www.mendeley.com/documents/?uuid=ee70b338-f2db-3253-8040-060c5ac64c78"]},{"id":"ITEM-3","itemData":{"DOI":"10.1016/J.BRS.2022.01.005","ISSN":"1876-4754","PMID":"35026481","abstract":"Background: Transcranial direct current stimulation (tDCS) is a subthreshold neurostimulation therapeutic method that ameliorate neuropsychiatric impairments. The most sensitive subcellular compartment for tDCS are the axons that polarize. However, how these relatively small polarizations significantly alter synaptic dynamics is still unknown. Objective/Hypothesis: We hypothesized that tDCS-induced axonal polarization modulates calcium channel activity at the presynaptic compartment, thus playing a crucial role in synaptic vesicle release. Methods: For this aim, we examined how different DCS conditions and orientations affect the spontaneous excitatory post synaptic currents (sEPSCs) recorded from hippocampal CA1 pyramidal neurons. Since P/Q-type calcium-channels are the main presynaptic voltage-dependent calcium-channels in the hippocampus, we further examined the DCS effects while applying a P/Q-type calcium channels blocker, ω-agatoxin. Additionally, to explain the DCS-induced calcium channel-regulated vesicle release dynamics, we developed a simplified model to complement our experimental results. Results: We demonstrated that anodal-DCS application in a dorso-ventral orientation, similar to that of in-vivo experiments, enhanced the sEPSCs frequency, while cathodal-DCS was ineffective. Moreover, DCS application in parallel to the Schaffer collaterals (medio-lateral orientation), showed both anodal and cathodal significant effects. Furthermore, the ω-agatoxin application occluded the DCS-induced modulation of sEPSC frequencies in any orientation. The model showed the interaction between DCS-induced membrane polarization, calcium channel activation and presynaptic vesicle release. Conclusion: Using experiments and modeling we show that DCS induces a small variation in terminal membrane potential sufficient to activate P/Q type voltage-gated calcium channels, and that this is sufficient to modify presynaptic calcium concentration, subsequently altering spontaneous vesicle release.","author":[{"dropping-particle":"","family":"Vasu","given":"Sreerag Othayoth","non-dropping-particle":"","parse-names":false,"suffix":""},{"dropping-particle":"","family":"Kaphzan","given":"Hanoch","non-dropping-particle":"","parse-names":false,"suffix":""}],"container-title":"Brain stimulation","id":"ITEM-3","issue":"1","issued":{"date-parts":[["2022","1","1"]]},"page":"270-282","publisher":"Brain Stimul","title":"Calcium channels control tDCS-induced spontaneous vesicle release from axon terminals","type":"article-journal","volume":"15"},"uris":["http://www.mendeley.com/documents/?uuid=1f228bad-d7de-345f-b959-2505bcbebdc7"]}],"mendeley":{"formattedCitation":"&lt;sup&gt;63–65&lt;/sup&gt;","plainTextFormattedCitation":"63–65","previouslyFormattedCitation":"&lt;sup&gt;63–65&lt;/sup&gt;"},"properties":{"noteIndex":0},"schema":"https://github.com/citation-style-language/schema/raw/master/csl-citation.json"}</w:instrText>
      </w:r>
      <w:r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63–65</w:t>
      </w:r>
      <w:r w:rsidRPr="00B12FA8">
        <w:rPr>
          <w:rFonts w:asciiTheme="majorBidi" w:hAnsiTheme="majorBidi" w:cstheme="majorBidi"/>
        </w:rPr>
        <w:fldChar w:fldCharType="end"/>
      </w:r>
      <w:r w:rsidRPr="00B12FA8">
        <w:rPr>
          <w:rFonts w:asciiTheme="majorBidi" w:hAnsiTheme="majorBidi" w:cstheme="majorBidi"/>
        </w:rPr>
        <w:t xml:space="preserve">. These attributes of </w:t>
      </w:r>
      <w:proofErr w:type="spellStart"/>
      <w:r w:rsidRPr="00B12FA8">
        <w:rPr>
          <w:rFonts w:asciiTheme="majorBidi" w:hAnsiTheme="majorBidi" w:cstheme="majorBidi"/>
        </w:rPr>
        <w:t>tDCS</w:t>
      </w:r>
      <w:proofErr w:type="spellEnd"/>
      <w:r w:rsidRPr="00B12FA8">
        <w:rPr>
          <w:rFonts w:asciiTheme="majorBidi" w:hAnsiTheme="majorBidi" w:cstheme="majorBidi"/>
        </w:rPr>
        <w:t xml:space="preserve"> might serve as a therapeutic strategy for treating neurodevelopmental disorders similar to AS. And indeed, as we previously showed (Fig 1 and 2), </w:t>
      </w:r>
      <w:proofErr w:type="spellStart"/>
      <w:r w:rsidRPr="00B12FA8">
        <w:rPr>
          <w:rFonts w:asciiTheme="majorBidi" w:hAnsiTheme="majorBidi" w:cstheme="majorBidi"/>
        </w:rPr>
        <w:t>tDCS</w:t>
      </w:r>
      <w:proofErr w:type="spellEnd"/>
      <w:r w:rsidRPr="00B12FA8">
        <w:rPr>
          <w:rFonts w:asciiTheme="majorBidi" w:hAnsiTheme="majorBidi" w:cstheme="majorBidi"/>
        </w:rPr>
        <w:t xml:space="preserve"> treatment was able to rescue some of the behavioral aberrations associated with AS. </w:t>
      </w:r>
    </w:p>
    <w:p w14:paraId="2802CF2C" w14:textId="3C740267" w:rsidR="00E568DB" w:rsidRPr="00B12FA8" w:rsidRDefault="00895A3E" w:rsidP="00C67B64">
      <w:pPr>
        <w:bidi w:val="0"/>
        <w:spacing w:before="20" w:afterLines="20" w:after="48" w:line="240" w:lineRule="auto"/>
        <w:ind w:firstLine="720"/>
        <w:contextualSpacing/>
        <w:jc w:val="both"/>
        <w:rPr>
          <w:rFonts w:asciiTheme="majorBidi" w:hAnsiTheme="majorBidi" w:cstheme="majorBidi"/>
        </w:rPr>
      </w:pPr>
      <w:r w:rsidRPr="00B12FA8">
        <w:rPr>
          <w:rFonts w:asciiTheme="majorBidi" w:hAnsiTheme="majorBidi" w:cstheme="majorBidi"/>
          <w:b/>
          <w:bCs/>
          <w:noProof/>
        </w:rPr>
        <mc:AlternateContent>
          <mc:Choice Requires="wps">
            <w:drawing>
              <wp:anchor distT="45720" distB="45720" distL="114300" distR="114300" simplePos="0" relativeHeight="251673600" behindDoc="0" locked="0" layoutInCell="1" allowOverlap="1" wp14:anchorId="7AEB133F" wp14:editId="0651BAEC">
                <wp:simplePos x="0" y="0"/>
                <wp:positionH relativeFrom="column">
                  <wp:posOffset>38100</wp:posOffset>
                </wp:positionH>
                <wp:positionV relativeFrom="paragraph">
                  <wp:posOffset>83185</wp:posOffset>
                </wp:positionV>
                <wp:extent cx="3331210" cy="3086100"/>
                <wp:effectExtent l="0" t="0" r="2159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210" cy="3086100"/>
                        </a:xfrm>
                        <a:prstGeom prst="rect">
                          <a:avLst/>
                        </a:prstGeom>
                        <a:solidFill>
                          <a:srgbClr val="FFFFFF"/>
                        </a:solidFill>
                        <a:ln w="9525">
                          <a:solidFill>
                            <a:srgbClr val="000000"/>
                          </a:solidFill>
                          <a:miter lim="800000"/>
                          <a:headEnd/>
                          <a:tailEnd/>
                        </a:ln>
                      </wps:spPr>
                      <wps:txbx>
                        <w:txbxContent>
                          <w:p w14:paraId="3008C516" w14:textId="77777777" w:rsidR="006F1997" w:rsidRDefault="006F1997" w:rsidP="007B7820">
                            <w:pPr>
                              <w:pStyle w:val="NormalWeb"/>
                              <w:spacing w:before="0" w:beforeAutospacing="0" w:after="0" w:afterAutospacing="0"/>
                              <w:contextualSpacing/>
                              <w:jc w:val="center"/>
                              <w:rPr>
                                <w:rFonts w:asciiTheme="majorBidi" w:eastAsia="+mn-ea" w:hAnsiTheme="majorBidi" w:cstheme="majorBidi"/>
                                <w:b/>
                                <w:bCs/>
                                <w:color w:val="000000"/>
                                <w:kern w:val="24"/>
                                <w:sz w:val="22"/>
                                <w:szCs w:val="22"/>
                              </w:rPr>
                            </w:pPr>
                            <w:r w:rsidRPr="0028656F">
                              <w:rPr>
                                <w:rFonts w:eastAsia="+mn-ea"/>
                                <w:noProof/>
                              </w:rPr>
                              <w:drawing>
                                <wp:inline distT="0" distB="0" distL="0" distR="0" wp14:anchorId="16861627" wp14:editId="7824E496">
                                  <wp:extent cx="3220720" cy="1676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9799" cy="1701946"/>
                                          </a:xfrm>
                                          <a:prstGeom prst="rect">
                                            <a:avLst/>
                                          </a:prstGeom>
                                          <a:noFill/>
                                          <a:ln>
                                            <a:noFill/>
                                          </a:ln>
                                        </pic:spPr>
                                      </pic:pic>
                                    </a:graphicData>
                                  </a:graphic>
                                </wp:inline>
                              </w:drawing>
                            </w:r>
                          </w:p>
                          <w:p w14:paraId="00A25DA4" w14:textId="1BD52FC6" w:rsidR="006F1997" w:rsidRPr="00843F95" w:rsidRDefault="006F1997" w:rsidP="007B7820">
                            <w:pPr>
                              <w:pStyle w:val="NormalWeb"/>
                              <w:spacing w:before="0" w:beforeAutospacing="0" w:after="0" w:afterAutospacing="0"/>
                              <w:contextualSpacing/>
                              <w:jc w:val="both"/>
                              <w:rPr>
                                <w:rFonts w:asciiTheme="majorBidi" w:eastAsia="+mn-ea" w:hAnsiTheme="majorBidi" w:cstheme="majorBidi"/>
                                <w:color w:val="000000"/>
                                <w:kern w:val="24"/>
                                <w:sz w:val="20"/>
                                <w:szCs w:val="20"/>
                              </w:rPr>
                            </w:pPr>
                            <w:r w:rsidRPr="00843F95">
                              <w:rPr>
                                <w:rFonts w:asciiTheme="majorBidi" w:eastAsia="+mn-ea" w:hAnsiTheme="majorBidi" w:cstheme="majorBidi"/>
                                <w:b/>
                                <w:bCs/>
                                <w:color w:val="000000"/>
                                <w:kern w:val="24"/>
                                <w:sz w:val="20"/>
                                <w:szCs w:val="20"/>
                              </w:rPr>
                              <w:t xml:space="preserve">Figure 2: </w:t>
                            </w:r>
                            <w:r w:rsidRPr="00843F95">
                              <w:rPr>
                                <w:rFonts w:cstheme="majorBidi"/>
                                <w:b/>
                                <w:bCs/>
                                <w:sz w:val="20"/>
                                <w:szCs w:val="20"/>
                              </w:rPr>
                              <w:t xml:space="preserve">tDCS enhances object location memory in WT and AS mice. </w:t>
                            </w:r>
                            <w:proofErr w:type="spellStart"/>
                            <w:r w:rsidRPr="00843F95">
                              <w:rPr>
                                <w:rFonts w:eastAsia="+mn-ea" w:cstheme="majorBidi"/>
                                <w:color w:val="000000"/>
                                <w:kern w:val="24"/>
                                <w:sz w:val="20"/>
                                <w:szCs w:val="20"/>
                              </w:rPr>
                              <w:t>tDCS</w:t>
                            </w:r>
                            <w:proofErr w:type="spellEnd"/>
                            <w:r w:rsidRPr="00843F95">
                              <w:rPr>
                                <w:rFonts w:eastAsia="+mn-ea" w:cstheme="majorBidi"/>
                                <w:color w:val="000000"/>
                                <w:kern w:val="24"/>
                                <w:sz w:val="20"/>
                                <w:szCs w:val="20"/>
                              </w:rPr>
                              <w:t xml:space="preserve"> electrode</w:t>
                            </w:r>
                            <w:r w:rsidRPr="00843F95">
                              <w:rPr>
                                <w:rFonts w:asciiTheme="majorBidi" w:eastAsia="+mn-ea" w:hAnsiTheme="majorBidi" w:cstheme="majorBidi"/>
                                <w:color w:val="000000"/>
                                <w:kern w:val="24"/>
                                <w:sz w:val="20"/>
                                <w:szCs w:val="20"/>
                              </w:rPr>
                              <w:t xml:space="preserve"> positioning was same as for MWM testing.Stimulation parameters; 150</w:t>
                            </w:r>
                            <w:r w:rsidRPr="00843F95">
                              <w:rPr>
                                <w:rFonts w:ascii="Symbol" w:eastAsia="+mn-ea" w:hAnsi="Symbol" w:cstheme="majorBidi"/>
                                <w:color w:val="000000"/>
                                <w:kern w:val="24"/>
                                <w:sz w:val="20"/>
                                <w:szCs w:val="20"/>
                              </w:rPr>
                              <w:t></w:t>
                            </w:r>
                            <w:r w:rsidRPr="00843F95">
                              <w:rPr>
                                <w:rFonts w:asciiTheme="majorBidi" w:eastAsia="+mn-ea" w:hAnsiTheme="majorBidi" w:cstheme="majorBidi"/>
                                <w:color w:val="000000"/>
                                <w:kern w:val="24"/>
                                <w:sz w:val="20"/>
                                <w:szCs w:val="20"/>
                              </w:rPr>
                              <w:t xml:space="preserve">A for 20 min. </w:t>
                            </w:r>
                            <w:r w:rsidRPr="00843F95">
                              <w:rPr>
                                <w:rFonts w:asciiTheme="majorBidi" w:eastAsia="+mn-ea" w:hAnsiTheme="majorBidi" w:cstheme="majorBidi"/>
                                <w:b/>
                                <w:bCs/>
                                <w:color w:val="000000"/>
                                <w:kern w:val="24"/>
                                <w:sz w:val="20"/>
                                <w:szCs w:val="20"/>
                              </w:rPr>
                              <w:t>A.</w:t>
                            </w:r>
                            <w:r w:rsidRPr="00843F95">
                              <w:rPr>
                                <w:rFonts w:asciiTheme="majorBidi" w:eastAsia="+mn-ea" w:hAnsiTheme="majorBidi" w:cstheme="majorBidi"/>
                                <w:color w:val="000000"/>
                                <w:kern w:val="24"/>
                                <w:sz w:val="20"/>
                                <w:szCs w:val="20"/>
                              </w:rPr>
                              <w:t xml:space="preserve"> OLM experimental scheme. </w:t>
                            </w:r>
                            <w:r w:rsidRPr="00843F95">
                              <w:rPr>
                                <w:rFonts w:asciiTheme="majorBidi" w:eastAsia="+mn-ea" w:hAnsiTheme="majorBidi" w:cstheme="majorBidi"/>
                                <w:b/>
                                <w:bCs/>
                                <w:color w:val="000000"/>
                                <w:kern w:val="24"/>
                                <w:sz w:val="20"/>
                                <w:szCs w:val="20"/>
                              </w:rPr>
                              <w:t>B.</w:t>
                            </w:r>
                            <w:r w:rsidRPr="00843F95">
                              <w:rPr>
                                <w:rFonts w:asciiTheme="majorBidi" w:eastAsia="+mn-ea" w:hAnsiTheme="majorBidi" w:cstheme="majorBidi"/>
                                <w:color w:val="000000"/>
                                <w:kern w:val="24"/>
                                <w:sz w:val="20"/>
                                <w:szCs w:val="20"/>
                              </w:rPr>
                              <w:t xml:space="preserve"> tDCS increases test phase exploration index in WT and AS mice </w:t>
                            </w:r>
                            <w:r w:rsidRPr="00843F95">
                              <w:rPr>
                                <w:rFonts w:asciiTheme="majorBidi" w:eastAsia="+mn-ea" w:hAnsiTheme="majorBidi" w:cstheme="majorBidi"/>
                                <w:color w:val="000000"/>
                                <w:spacing w:val="-4"/>
                                <w:kern w:val="24"/>
                                <w:sz w:val="20"/>
                                <w:szCs w:val="20"/>
                              </w:rPr>
                              <w:t>[F</w:t>
                            </w:r>
                            <w:r w:rsidRPr="00ED64D8">
                              <w:rPr>
                                <w:rFonts w:asciiTheme="majorBidi" w:eastAsia="+mn-ea" w:hAnsiTheme="majorBidi" w:cstheme="majorBidi"/>
                                <w:color w:val="000000"/>
                                <w:spacing w:val="-4"/>
                                <w:kern w:val="24"/>
                                <w:position w:val="-4"/>
                                <w:sz w:val="20"/>
                                <w:szCs w:val="20"/>
                                <w:vertAlign w:val="subscript"/>
                              </w:rPr>
                              <w:t>(1,14)</w:t>
                            </w:r>
                            <w:r w:rsidRPr="00843F95">
                              <w:rPr>
                                <w:rFonts w:asciiTheme="majorBidi" w:eastAsia="+mn-ea" w:hAnsiTheme="majorBidi" w:cstheme="majorBidi"/>
                                <w:color w:val="000000"/>
                                <w:spacing w:val="-4"/>
                                <w:kern w:val="24"/>
                                <w:sz w:val="20"/>
                                <w:szCs w:val="20"/>
                              </w:rPr>
                              <w:t xml:space="preserve">=9.1, p&lt;0.01 for treatment effect in 2 way-ANOVA]. </w:t>
                            </w:r>
                            <w:r w:rsidRPr="00843F95">
                              <w:rPr>
                                <w:rFonts w:asciiTheme="majorBidi" w:eastAsia="+mn-ea" w:hAnsiTheme="majorBidi" w:cstheme="majorBidi"/>
                                <w:color w:val="000000"/>
                                <w:kern w:val="24"/>
                                <w:sz w:val="20"/>
                                <w:szCs w:val="20"/>
                              </w:rPr>
                              <w:t xml:space="preserve">No differences were observed between WT and AS. </w:t>
                            </w:r>
                            <w:r w:rsidRPr="00843F95">
                              <w:rPr>
                                <w:rFonts w:asciiTheme="majorBidi" w:eastAsia="+mn-ea" w:hAnsiTheme="majorBidi" w:cstheme="majorBidi"/>
                                <w:b/>
                                <w:bCs/>
                                <w:color w:val="000000"/>
                                <w:kern w:val="24"/>
                                <w:sz w:val="20"/>
                                <w:szCs w:val="20"/>
                              </w:rPr>
                              <w:t>C.</w:t>
                            </w:r>
                            <w:r w:rsidRPr="00843F95">
                              <w:rPr>
                                <w:rFonts w:asciiTheme="majorBidi" w:eastAsia="+mn-ea" w:hAnsiTheme="majorBidi" w:cstheme="majorBidi"/>
                                <w:color w:val="000000"/>
                                <w:kern w:val="24"/>
                                <w:sz w:val="20"/>
                                <w:szCs w:val="20"/>
                              </w:rPr>
                              <w:t xml:space="preserve"> Equation for calculating exploration index %.  N=5 mice/group for WT sham and AS sham.  N=4 mice/group for WT tDCS and AS tDCS.  </w:t>
                            </w:r>
                          </w:p>
                          <w:p w14:paraId="6FEF154C" w14:textId="77777777" w:rsidR="006F1997" w:rsidRPr="007B7820" w:rsidRDefault="006F1997" w:rsidP="007B7820">
                            <w:pPr>
                              <w:pStyle w:val="NormalWeb"/>
                              <w:spacing w:before="0" w:beforeAutospacing="0" w:after="0" w:afterAutospacing="0"/>
                              <w:contextualSpacing/>
                              <w:jc w:val="both"/>
                              <w:rPr>
                                <w:rFonts w:asciiTheme="majorBidi" w:hAnsiTheme="majorBidi" w:cstheme="majorBidi"/>
                                <w:sz w:val="20"/>
                                <w:szCs w:val="20"/>
                              </w:rPr>
                            </w:pPr>
                            <w:r w:rsidRPr="007B7820">
                              <w:rPr>
                                <w:rFonts w:asciiTheme="majorBidi" w:eastAsia="+mn-ea" w:hAnsiTheme="majorBidi" w:cstheme="majorBidi"/>
                                <w:color w:val="000000"/>
                                <w:kern w:val="24"/>
                                <w:sz w:val="20"/>
                                <w:szCs w:val="20"/>
                              </w:rPr>
                              <w:t xml:space="preserve"> </w:t>
                            </w:r>
                          </w:p>
                          <w:p w14:paraId="4210F1B5" w14:textId="77777777" w:rsidR="006F1997" w:rsidRPr="007B7820" w:rsidRDefault="006F1997" w:rsidP="007B7820">
                            <w:pPr>
                              <w:pStyle w:val="NormalWeb"/>
                              <w:spacing w:before="0" w:beforeAutospacing="0" w:after="0" w:afterAutospacing="0"/>
                              <w:contextualSpacing/>
                              <w:jc w:val="both"/>
                              <w:rPr>
                                <w:rFonts w:asciiTheme="majorBidi" w:eastAsia="+mn-ea" w:hAnsiTheme="majorBidi" w:cstheme="majorBidi"/>
                                <w:color w:val="000000"/>
                                <w:kern w:val="24"/>
                                <w:sz w:val="20"/>
                                <w:szCs w:val="20"/>
                              </w:rPr>
                            </w:pPr>
                            <w:r w:rsidRPr="007B7820">
                              <w:rPr>
                                <w:rFonts w:asciiTheme="majorBidi" w:eastAsia="+mn-ea" w:hAnsiTheme="majorBidi" w:cstheme="majorBidi"/>
                                <w:color w:val="000000"/>
                                <w:kern w:val="24"/>
                                <w:sz w:val="20"/>
                                <w:szCs w:val="20"/>
                              </w:rPr>
                              <w:t xml:space="preserve"> </w:t>
                            </w:r>
                          </w:p>
                          <w:p w14:paraId="1F157DC1" w14:textId="77777777" w:rsidR="006F1997" w:rsidRPr="007B7820" w:rsidRDefault="006F1997" w:rsidP="007B7820">
                            <w:pPr>
                              <w:jc w:val="both"/>
                              <w:rPr>
                                <w:rFonts w:asciiTheme="majorBidi" w:hAnsiTheme="majorBidi" w:cstheme="majorBidi"/>
                                <w:sz w:val="20"/>
                                <w:szCs w:val="20"/>
                              </w:rPr>
                            </w:pP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B133F" id="_x0000_s1027" type="#_x0000_t202" style="position:absolute;left:0;text-align:left;margin-left:3pt;margin-top:6.55pt;width:262.3pt;height:24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">
                <v:textbox inset="1mm,0,1mm,0">
                  <w:txbxContent>
                    <w:p w14:paraId="3008C516" w14:textId="77777777" w:rsidR="006F1997" w:rsidRDefault="006F1997" w:rsidP="007B7820">
                      <w:pPr>
                        <w:pStyle w:val="NormalWeb"/>
                        <w:spacing w:before="0" w:beforeAutospacing="0" w:after="0" w:afterAutospacing="0"/>
                        <w:contextualSpacing/>
                        <w:jc w:val="center"/>
                        <w:rPr>
                          <w:rFonts w:asciiTheme="majorBidi" w:eastAsia="+mn-ea" w:hAnsiTheme="majorBidi" w:cstheme="majorBidi"/>
                          <w:b/>
                          <w:bCs/>
                          <w:color w:val="000000"/>
                          <w:kern w:val="24"/>
                          <w:sz w:val="22"/>
                          <w:szCs w:val="22"/>
                        </w:rPr>
                      </w:pPr>
                      <w:r w:rsidRPr="0028656F">
                        <w:rPr>
                          <w:rFonts w:eastAsia="+mn-ea"/>
                          <w:noProof/>
                        </w:rPr>
                        <w:drawing>
                          <wp:inline distT="0" distB="0" distL="0" distR="0" wp14:anchorId="16861627" wp14:editId="7824E496">
                            <wp:extent cx="3220720" cy="1676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9799" cy="1701946"/>
                                    </a:xfrm>
                                    <a:prstGeom prst="rect">
                                      <a:avLst/>
                                    </a:prstGeom>
                                    <a:noFill/>
                                    <a:ln>
                                      <a:noFill/>
                                    </a:ln>
                                  </pic:spPr>
                                </pic:pic>
                              </a:graphicData>
                            </a:graphic>
                          </wp:inline>
                        </w:drawing>
                      </w:r>
                    </w:p>
                    <w:p w14:paraId="00A25DA4" w14:textId="1BD52FC6" w:rsidR="006F1997" w:rsidRPr="00843F95" w:rsidRDefault="006F1997" w:rsidP="007B7820">
                      <w:pPr>
                        <w:pStyle w:val="NormalWeb"/>
                        <w:spacing w:before="0" w:beforeAutospacing="0" w:after="0" w:afterAutospacing="0"/>
                        <w:contextualSpacing/>
                        <w:jc w:val="both"/>
                        <w:rPr>
                          <w:rFonts w:asciiTheme="majorBidi" w:eastAsia="+mn-ea" w:hAnsiTheme="majorBidi" w:cstheme="majorBidi"/>
                          <w:color w:val="000000"/>
                          <w:kern w:val="24"/>
                          <w:sz w:val="20"/>
                          <w:szCs w:val="20"/>
                        </w:rPr>
                      </w:pPr>
                      <w:r w:rsidRPr="00843F95">
                        <w:rPr>
                          <w:rFonts w:asciiTheme="majorBidi" w:eastAsia="+mn-ea" w:hAnsiTheme="majorBidi" w:cstheme="majorBidi"/>
                          <w:b/>
                          <w:bCs/>
                          <w:color w:val="000000"/>
                          <w:kern w:val="24"/>
                          <w:sz w:val="20"/>
                          <w:szCs w:val="20"/>
                        </w:rPr>
                        <w:t xml:space="preserve">Figure 2: </w:t>
                      </w:r>
                      <w:r w:rsidRPr="00843F95">
                        <w:rPr>
                          <w:rFonts w:cstheme="majorBidi"/>
                          <w:b/>
                          <w:bCs/>
                          <w:sz w:val="20"/>
                          <w:szCs w:val="20"/>
                        </w:rPr>
                        <w:t xml:space="preserve">tDCS enhances object location memory in WT and AS mice. </w:t>
                      </w:r>
                      <w:proofErr w:type="spellStart"/>
                      <w:r w:rsidRPr="00843F95">
                        <w:rPr>
                          <w:rFonts w:eastAsia="+mn-ea" w:cstheme="majorBidi"/>
                          <w:color w:val="000000"/>
                          <w:kern w:val="24"/>
                          <w:sz w:val="20"/>
                          <w:szCs w:val="20"/>
                        </w:rPr>
                        <w:t>tDCS</w:t>
                      </w:r>
                      <w:proofErr w:type="spellEnd"/>
                      <w:r w:rsidRPr="00843F95">
                        <w:rPr>
                          <w:rFonts w:eastAsia="+mn-ea" w:cstheme="majorBidi"/>
                          <w:color w:val="000000"/>
                          <w:kern w:val="24"/>
                          <w:sz w:val="20"/>
                          <w:szCs w:val="20"/>
                        </w:rPr>
                        <w:t xml:space="preserve"> electrode</w:t>
                      </w:r>
                      <w:r w:rsidRPr="00843F95">
                        <w:rPr>
                          <w:rFonts w:asciiTheme="majorBidi" w:eastAsia="+mn-ea" w:hAnsiTheme="majorBidi" w:cstheme="majorBidi"/>
                          <w:color w:val="000000"/>
                          <w:kern w:val="24"/>
                          <w:sz w:val="20"/>
                          <w:szCs w:val="20"/>
                        </w:rPr>
                        <w:t xml:space="preserve"> positioning was same as for MWM testing.Stimulation parameters; 150</w:t>
                      </w:r>
                      <w:r w:rsidRPr="00843F95">
                        <w:rPr>
                          <w:rFonts w:ascii="Symbol" w:eastAsia="+mn-ea" w:hAnsi="Symbol" w:cstheme="majorBidi"/>
                          <w:color w:val="000000"/>
                          <w:kern w:val="24"/>
                          <w:sz w:val="20"/>
                          <w:szCs w:val="20"/>
                        </w:rPr>
                        <w:t></w:t>
                      </w:r>
                      <w:r w:rsidRPr="00843F95">
                        <w:rPr>
                          <w:rFonts w:asciiTheme="majorBidi" w:eastAsia="+mn-ea" w:hAnsiTheme="majorBidi" w:cstheme="majorBidi"/>
                          <w:color w:val="000000"/>
                          <w:kern w:val="24"/>
                          <w:sz w:val="20"/>
                          <w:szCs w:val="20"/>
                        </w:rPr>
                        <w:t xml:space="preserve">A for 20 min. </w:t>
                      </w:r>
                      <w:r w:rsidRPr="00843F95">
                        <w:rPr>
                          <w:rFonts w:asciiTheme="majorBidi" w:eastAsia="+mn-ea" w:hAnsiTheme="majorBidi" w:cstheme="majorBidi"/>
                          <w:b/>
                          <w:bCs/>
                          <w:color w:val="000000"/>
                          <w:kern w:val="24"/>
                          <w:sz w:val="20"/>
                          <w:szCs w:val="20"/>
                        </w:rPr>
                        <w:t>A.</w:t>
                      </w:r>
                      <w:r w:rsidRPr="00843F95">
                        <w:rPr>
                          <w:rFonts w:asciiTheme="majorBidi" w:eastAsia="+mn-ea" w:hAnsiTheme="majorBidi" w:cstheme="majorBidi"/>
                          <w:color w:val="000000"/>
                          <w:kern w:val="24"/>
                          <w:sz w:val="20"/>
                          <w:szCs w:val="20"/>
                        </w:rPr>
                        <w:t xml:space="preserve"> OLM experimental scheme. </w:t>
                      </w:r>
                      <w:r w:rsidRPr="00843F95">
                        <w:rPr>
                          <w:rFonts w:asciiTheme="majorBidi" w:eastAsia="+mn-ea" w:hAnsiTheme="majorBidi" w:cstheme="majorBidi"/>
                          <w:b/>
                          <w:bCs/>
                          <w:color w:val="000000"/>
                          <w:kern w:val="24"/>
                          <w:sz w:val="20"/>
                          <w:szCs w:val="20"/>
                        </w:rPr>
                        <w:t>B.</w:t>
                      </w:r>
                      <w:r w:rsidRPr="00843F95">
                        <w:rPr>
                          <w:rFonts w:asciiTheme="majorBidi" w:eastAsia="+mn-ea" w:hAnsiTheme="majorBidi" w:cstheme="majorBidi"/>
                          <w:color w:val="000000"/>
                          <w:kern w:val="24"/>
                          <w:sz w:val="20"/>
                          <w:szCs w:val="20"/>
                        </w:rPr>
                        <w:t xml:space="preserve"> tDCS increases test phase exploration index in WT and AS mice </w:t>
                      </w:r>
                      <w:r w:rsidRPr="00843F95">
                        <w:rPr>
                          <w:rFonts w:asciiTheme="majorBidi" w:eastAsia="+mn-ea" w:hAnsiTheme="majorBidi" w:cstheme="majorBidi"/>
                          <w:color w:val="000000"/>
                          <w:spacing w:val="-4"/>
                          <w:kern w:val="24"/>
                          <w:sz w:val="20"/>
                          <w:szCs w:val="20"/>
                        </w:rPr>
                        <w:t>[F</w:t>
                      </w:r>
                      <w:r w:rsidRPr="00ED64D8">
                        <w:rPr>
                          <w:rFonts w:asciiTheme="majorBidi" w:eastAsia="+mn-ea" w:hAnsiTheme="majorBidi" w:cstheme="majorBidi"/>
                          <w:color w:val="000000"/>
                          <w:spacing w:val="-4"/>
                          <w:kern w:val="24"/>
                          <w:position w:val="-4"/>
                          <w:sz w:val="20"/>
                          <w:szCs w:val="20"/>
                          <w:vertAlign w:val="subscript"/>
                        </w:rPr>
                        <w:t>(1,14)</w:t>
                      </w:r>
                      <w:r w:rsidRPr="00843F95">
                        <w:rPr>
                          <w:rFonts w:asciiTheme="majorBidi" w:eastAsia="+mn-ea" w:hAnsiTheme="majorBidi" w:cstheme="majorBidi"/>
                          <w:color w:val="000000"/>
                          <w:spacing w:val="-4"/>
                          <w:kern w:val="24"/>
                          <w:sz w:val="20"/>
                          <w:szCs w:val="20"/>
                        </w:rPr>
                        <w:t xml:space="preserve">=9.1, p&lt;0.01 for treatment effect in 2 way-ANOVA]. </w:t>
                      </w:r>
                      <w:r w:rsidRPr="00843F95">
                        <w:rPr>
                          <w:rFonts w:asciiTheme="majorBidi" w:eastAsia="+mn-ea" w:hAnsiTheme="majorBidi" w:cstheme="majorBidi"/>
                          <w:color w:val="000000"/>
                          <w:kern w:val="24"/>
                          <w:sz w:val="20"/>
                          <w:szCs w:val="20"/>
                        </w:rPr>
                        <w:t xml:space="preserve">No differences were observed between WT and AS. </w:t>
                      </w:r>
                      <w:r w:rsidRPr="00843F95">
                        <w:rPr>
                          <w:rFonts w:asciiTheme="majorBidi" w:eastAsia="+mn-ea" w:hAnsiTheme="majorBidi" w:cstheme="majorBidi"/>
                          <w:b/>
                          <w:bCs/>
                          <w:color w:val="000000"/>
                          <w:kern w:val="24"/>
                          <w:sz w:val="20"/>
                          <w:szCs w:val="20"/>
                        </w:rPr>
                        <w:t>C.</w:t>
                      </w:r>
                      <w:r w:rsidRPr="00843F95">
                        <w:rPr>
                          <w:rFonts w:asciiTheme="majorBidi" w:eastAsia="+mn-ea" w:hAnsiTheme="majorBidi" w:cstheme="majorBidi"/>
                          <w:color w:val="000000"/>
                          <w:kern w:val="24"/>
                          <w:sz w:val="20"/>
                          <w:szCs w:val="20"/>
                        </w:rPr>
                        <w:t xml:space="preserve"> Equation for calculating exploration index %.  N=5 mice/group for WT sham and AS sham.  N=4 mice/group for WT tDCS and AS tDCS.  </w:t>
                      </w:r>
                    </w:p>
                    <w:p w14:paraId="6FEF154C" w14:textId="77777777" w:rsidR="006F1997" w:rsidRPr="007B7820" w:rsidRDefault="006F1997" w:rsidP="007B7820">
                      <w:pPr>
                        <w:pStyle w:val="NormalWeb"/>
                        <w:spacing w:before="0" w:beforeAutospacing="0" w:after="0" w:afterAutospacing="0"/>
                        <w:contextualSpacing/>
                        <w:jc w:val="both"/>
                        <w:rPr>
                          <w:rFonts w:asciiTheme="majorBidi" w:hAnsiTheme="majorBidi" w:cstheme="majorBidi"/>
                          <w:sz w:val="20"/>
                          <w:szCs w:val="20"/>
                        </w:rPr>
                      </w:pPr>
                      <w:r w:rsidRPr="007B7820">
                        <w:rPr>
                          <w:rFonts w:asciiTheme="majorBidi" w:eastAsia="+mn-ea" w:hAnsiTheme="majorBidi" w:cstheme="majorBidi"/>
                          <w:color w:val="000000"/>
                          <w:kern w:val="24"/>
                          <w:sz w:val="20"/>
                          <w:szCs w:val="20"/>
                        </w:rPr>
                        <w:t xml:space="preserve"> </w:t>
                      </w:r>
                    </w:p>
                    <w:p w14:paraId="4210F1B5" w14:textId="77777777" w:rsidR="006F1997" w:rsidRPr="007B7820" w:rsidRDefault="006F1997" w:rsidP="007B7820">
                      <w:pPr>
                        <w:pStyle w:val="NormalWeb"/>
                        <w:spacing w:before="0" w:beforeAutospacing="0" w:after="0" w:afterAutospacing="0"/>
                        <w:contextualSpacing/>
                        <w:jc w:val="both"/>
                        <w:rPr>
                          <w:rFonts w:asciiTheme="majorBidi" w:eastAsia="+mn-ea" w:hAnsiTheme="majorBidi" w:cstheme="majorBidi"/>
                          <w:color w:val="000000"/>
                          <w:kern w:val="24"/>
                          <w:sz w:val="20"/>
                          <w:szCs w:val="20"/>
                        </w:rPr>
                      </w:pPr>
                      <w:r w:rsidRPr="007B7820">
                        <w:rPr>
                          <w:rFonts w:asciiTheme="majorBidi" w:eastAsia="+mn-ea" w:hAnsiTheme="majorBidi" w:cstheme="majorBidi"/>
                          <w:color w:val="000000"/>
                          <w:kern w:val="24"/>
                          <w:sz w:val="20"/>
                          <w:szCs w:val="20"/>
                        </w:rPr>
                        <w:t xml:space="preserve"> </w:t>
                      </w:r>
                    </w:p>
                    <w:p w14:paraId="1F157DC1" w14:textId="77777777" w:rsidR="006F1997" w:rsidRPr="007B7820" w:rsidRDefault="006F1997" w:rsidP="007B7820">
                      <w:pPr>
                        <w:jc w:val="both"/>
                        <w:rPr>
                          <w:rFonts w:asciiTheme="majorBidi" w:hAnsiTheme="majorBidi" w:cstheme="majorBidi"/>
                          <w:sz w:val="20"/>
                          <w:szCs w:val="20"/>
                        </w:rPr>
                      </w:pPr>
                    </w:p>
                  </w:txbxContent>
                </v:textbox>
                <w10:wrap type="square"/>
              </v:shape>
            </w:pict>
          </mc:Fallback>
        </mc:AlternateContent>
      </w:r>
      <w:r w:rsidR="00E568DB" w:rsidRPr="00B12FA8">
        <w:rPr>
          <w:rFonts w:asciiTheme="majorBidi" w:hAnsiTheme="majorBidi" w:cstheme="majorBidi"/>
          <w:b/>
          <w:bCs/>
          <w:i/>
          <w:iCs/>
        </w:rPr>
        <w:t xml:space="preserve">We hypothesize that </w:t>
      </w:r>
      <w:proofErr w:type="spellStart"/>
      <w:r w:rsidR="00E568DB" w:rsidRPr="00B12FA8">
        <w:rPr>
          <w:rFonts w:asciiTheme="majorBidi" w:hAnsiTheme="majorBidi" w:cstheme="majorBidi"/>
          <w:b/>
          <w:bCs/>
          <w:i/>
          <w:iCs/>
        </w:rPr>
        <w:t>tDCS</w:t>
      </w:r>
      <w:proofErr w:type="spellEnd"/>
      <w:r w:rsidR="00E568DB" w:rsidRPr="00B12FA8">
        <w:rPr>
          <w:rFonts w:asciiTheme="majorBidi" w:hAnsiTheme="majorBidi" w:cstheme="majorBidi"/>
          <w:b/>
          <w:bCs/>
          <w:i/>
          <w:iCs/>
        </w:rPr>
        <w:t>, like other types of neurostimulation, alters the metabolic state of the neurons and thus modulates neuronal excitability via modulation of the neuronal metabolic pathways and cellular homeostasis.</w:t>
      </w:r>
      <w:r w:rsidR="00E568DB" w:rsidRPr="00B12FA8">
        <w:rPr>
          <w:rFonts w:asciiTheme="majorBidi" w:hAnsiTheme="majorBidi" w:cstheme="majorBidi"/>
        </w:rPr>
        <w:t xml:space="preserve"> Support for this hypothesis can be found in an experiment in which we treated WT rats with anodal </w:t>
      </w:r>
      <w:proofErr w:type="spellStart"/>
      <w:r w:rsidR="00E568DB" w:rsidRPr="00B12FA8">
        <w:rPr>
          <w:rFonts w:asciiTheme="majorBidi" w:hAnsiTheme="majorBidi" w:cstheme="majorBidi"/>
        </w:rPr>
        <w:t>tDCS</w:t>
      </w:r>
      <w:proofErr w:type="spellEnd"/>
      <w:r w:rsidR="00E568DB" w:rsidRPr="00B12FA8">
        <w:rPr>
          <w:rFonts w:asciiTheme="majorBidi" w:hAnsiTheme="majorBidi" w:cstheme="majorBidi"/>
        </w:rPr>
        <w:t xml:space="preserve"> for five consecutive days and analyzed the adenosine level in the rat cortex and hippocampus (Fig 3). We found that upon </w:t>
      </w:r>
      <w:proofErr w:type="spellStart"/>
      <w:r w:rsidR="00E568DB" w:rsidRPr="00B12FA8">
        <w:rPr>
          <w:rFonts w:asciiTheme="majorBidi" w:hAnsiTheme="majorBidi" w:cstheme="majorBidi"/>
        </w:rPr>
        <w:t>tDCS</w:t>
      </w:r>
      <w:proofErr w:type="spellEnd"/>
      <w:r w:rsidR="00E568DB" w:rsidRPr="00B12FA8">
        <w:rPr>
          <w:rFonts w:asciiTheme="majorBidi" w:hAnsiTheme="majorBidi" w:cstheme="majorBidi"/>
        </w:rPr>
        <w:t xml:space="preserve"> stimulation, adenosine level was up-regulated in the hippocampus, which was targeted by the </w:t>
      </w:r>
      <w:proofErr w:type="spellStart"/>
      <w:r w:rsidR="00E568DB" w:rsidRPr="00B12FA8">
        <w:rPr>
          <w:rFonts w:asciiTheme="majorBidi" w:hAnsiTheme="majorBidi" w:cstheme="majorBidi"/>
        </w:rPr>
        <w:t>tDCS</w:t>
      </w:r>
      <w:proofErr w:type="spellEnd"/>
      <w:r w:rsidR="00E568DB" w:rsidRPr="00B12FA8">
        <w:rPr>
          <w:rFonts w:asciiTheme="majorBidi" w:hAnsiTheme="majorBidi" w:cstheme="majorBidi"/>
        </w:rPr>
        <w:t xml:space="preserve"> stimuli and the prefrontal cortex. </w:t>
      </w:r>
    </w:p>
    <w:p w14:paraId="1DB203E1" w14:textId="3004CFB9" w:rsidR="00E568DB" w:rsidRPr="00B12FA8" w:rsidRDefault="00E568DB" w:rsidP="00C67B64">
      <w:pPr>
        <w:bidi w:val="0"/>
        <w:spacing w:before="20" w:afterLines="20" w:after="48" w:line="240" w:lineRule="auto"/>
        <w:ind w:firstLine="720"/>
        <w:contextualSpacing/>
        <w:jc w:val="both"/>
        <w:rPr>
          <w:rFonts w:asciiTheme="majorBidi" w:hAnsiTheme="majorBidi" w:cstheme="majorBidi"/>
        </w:rPr>
      </w:pPr>
      <w:r w:rsidRPr="00B12FA8">
        <w:rPr>
          <w:rFonts w:asciiTheme="majorBidi" w:hAnsiTheme="majorBidi" w:cstheme="majorBidi"/>
        </w:rPr>
        <w:t>Adenosine serves as a neurotransmitter and neuromodulator in the central nervous system</w:t>
      </w:r>
      <w:r w:rsidR="001567A6">
        <w:rPr>
          <w:rFonts w:asciiTheme="majorBidi" w:hAnsiTheme="majorBidi" w:cstheme="majorBidi"/>
        </w:rPr>
        <w:t>. I</w:t>
      </w:r>
      <w:r w:rsidRPr="00B12FA8">
        <w:rPr>
          <w:rFonts w:asciiTheme="majorBidi" w:hAnsiTheme="majorBidi" w:cstheme="majorBidi"/>
        </w:rPr>
        <w:t xml:space="preserve">t </w:t>
      </w:r>
      <w:r w:rsidR="001567A6">
        <w:rPr>
          <w:rFonts w:asciiTheme="majorBidi" w:hAnsiTheme="majorBidi" w:cstheme="majorBidi"/>
        </w:rPr>
        <w:t>modulates</w:t>
      </w:r>
      <w:r w:rsidRPr="00B12FA8">
        <w:rPr>
          <w:rFonts w:asciiTheme="majorBidi" w:hAnsiTheme="majorBidi" w:cstheme="majorBidi"/>
        </w:rPr>
        <w:t xml:space="preserve"> neuronal plasticity, astrocytic activity, learning and memory, motor function, feeding, control of sleep</w:t>
      </w:r>
      <w:r w:rsidR="0069522B" w:rsidRPr="00B12FA8">
        <w:rPr>
          <w:rFonts w:asciiTheme="majorBidi" w:hAnsiTheme="majorBidi" w:cstheme="majorBidi"/>
        </w:rPr>
        <w:t>,</w:t>
      </w:r>
      <w:r w:rsidRPr="00B12FA8">
        <w:rPr>
          <w:rFonts w:asciiTheme="majorBidi" w:hAnsiTheme="majorBidi" w:cstheme="majorBidi"/>
        </w:rPr>
        <w:t xml:space="preserve"> and aging. Adenosine is also an essential component of energy production that can be produced during the catabolism of adenosine triphosphate (ATP)</w:t>
      </w:r>
      <w:r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{"citationItems":[{"id":"ITEM-1","itemData":{"DOI":"10.3389/FPHAR.2021.672182","ISSN":"16639812","PMID":"34054547","abstract":"Adenosine, acting both through G-protein coupled adenosine receptors and intracellularly, plays a complex role in multiple physiological and pathophysiological processes by modulating neuronal plasticity, astrocytic activity, learning and memory, motor function, feeding, control of sleep and aging. Adenosine is involved in stroke, epilepsy and neurodegenerative pathologies. Extracellular concentration of adenosine in the brain is tightly regulated. Adenosine may be generated intracellularly in the central nervous system from degradation of AMP or from the hydrolysis of S-adenosyl homocysteine, and then exit via bi-directional nucleoside transporters, or extracellularly by the metabolism of released nucleotides. Inactivation of extracellular adenosine occurs by transport into neurons or neighboring cells, followed by either phosphorylation to AMP by adenosine kinase or deamination to inosine by adenosine deaminase. Modulation of the nucleoside transporters or of the enzymatic activities involved in the metabolism of adenosine, by affecting the levels of this nucleoside and the activity of adenosine receptors, could have a role in the onset or the development of central nervous system disorders, and can also be target of drugs for their treatment. In this review, we focus on the contribution of 5′-nucleotidases, adenosine kinase, adenosine deaminase, AMP deaminase, AMP-activated protein kinase and nucleoside transporters in epilepsy, cognition, and neurodegenerative diseases with a particular attention on amyotrophic lateral sclerosis and Huntington’s disease. We include several examples of the involvement of components of the adenosine metabolism in learning and of the possible use of modulators of enzymes involved in adenosine metabolism or nucleoside transporters in the amelioration of cognition deficits.","author":[{"dropping-particle":"","family":"Garcia-Gil","given":"Mercedes","non-dropping-particle":"","parse-names":false,"suffix":""},{"dropping-particle":"","family":"Camici","given":"Marcella","non-dropping-particle":"","parse-names":false,"suffix":""},{"dropping-particle":"","family":"Allegrini","given":"Simone","non-dropping-particle":"","parse-names":false,"suffix":""},{"dropping-particle":"","family":"Pesi","given":"Rossana","non-dropping-particle":"","parse-names":false,"suffix":""},{"dropping-particle":"","family":"Tozzi","given":"Maria Grazia","non-dropping-particle":"","parse-names":false,"suffix":""}],"container-title":"Frontiers in Pharmacology","id":"ITEM-1","issued":{"date-parts":[["2021","5","14"]]},"publisher":"Frontiers Media SA","title":"Metabolic Aspects of Adenosine Functions in the Brain","type":"article-journal","volume":"12"},"uris":["http://www.mendeley.com/documents/?uuid=9f15a81f-163e-3403-b3e2-553c9d2e77a6"]}],"mendeley":{"formattedCitation":"&lt;sup&gt;66&lt;/sup&gt;","plainTextFormattedCitation":"66","previouslyFormattedCitation":"&lt;sup&gt;66&lt;/sup&gt;"},"properties":{"noteIndex":0},"schema":"https://github.com/citation-style-language/schema/raw/master/csl-citation.json"}</w:instrText>
      </w:r>
      <w:r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66</w:t>
      </w:r>
      <w:r w:rsidRPr="00B12FA8">
        <w:rPr>
          <w:rFonts w:asciiTheme="majorBidi" w:hAnsiTheme="majorBidi" w:cstheme="majorBidi"/>
        </w:rPr>
        <w:fldChar w:fldCharType="end"/>
      </w:r>
      <w:r w:rsidRPr="00B12FA8">
        <w:rPr>
          <w:rFonts w:asciiTheme="majorBidi" w:hAnsiTheme="majorBidi" w:cstheme="majorBidi"/>
        </w:rPr>
        <w:t xml:space="preserve">. </w:t>
      </w:r>
    </w:p>
    <w:p w14:paraId="3E07D27E" w14:textId="114EF064" w:rsidR="00E568DB" w:rsidRPr="00B12FA8" w:rsidRDefault="006104B1" w:rsidP="00C67B64">
      <w:pPr>
        <w:bidi w:val="0"/>
        <w:spacing w:before="20" w:afterLines="20" w:after="48" w:line="240" w:lineRule="auto"/>
        <w:ind w:firstLine="720"/>
        <w:contextualSpacing/>
        <w:jc w:val="both"/>
        <w:rPr>
          <w:rFonts w:asciiTheme="majorBidi" w:hAnsiTheme="majorBidi" w:cstheme="majorBidi"/>
        </w:rPr>
      </w:pPr>
      <w:r>
        <w:rPr>
          <w:rFonts w:asciiTheme="majorBidi" w:hAnsiTheme="majorBidi" w:cstheme="majorBidi"/>
        </w:rPr>
        <w:lastRenderedPageBreak/>
        <w:t>Moreover, i</w:t>
      </w:r>
      <w:r w:rsidR="00E568DB" w:rsidRPr="00B12FA8">
        <w:rPr>
          <w:rFonts w:asciiTheme="majorBidi" w:hAnsiTheme="majorBidi" w:cstheme="majorBidi"/>
        </w:rPr>
        <w:t xml:space="preserve">t has been previously shown that anodal </w:t>
      </w:r>
      <w:proofErr w:type="spellStart"/>
      <w:r w:rsidR="00E568DB" w:rsidRPr="00B12FA8">
        <w:rPr>
          <w:rFonts w:asciiTheme="majorBidi" w:hAnsiTheme="majorBidi" w:cstheme="majorBidi"/>
        </w:rPr>
        <w:t>tDCS</w:t>
      </w:r>
      <w:proofErr w:type="spellEnd"/>
      <w:r w:rsidR="00E568DB" w:rsidRPr="00B12FA8">
        <w:rPr>
          <w:rFonts w:asciiTheme="majorBidi" w:hAnsiTheme="majorBidi" w:cstheme="majorBidi"/>
        </w:rPr>
        <w:t xml:space="preserve"> in the MPTP-induced PD mouse model decreases mitochondrial damage</w:t>
      </w:r>
      <w:r w:rsidR="00E568DB" w:rsidRPr="00B12FA8">
        <w:rPr>
          <w:rFonts w:asciiTheme="majorBidi" w:hAnsiTheme="majorBidi" w:cstheme="majorBidi"/>
        </w:rPr>
        <w:fldChar w:fldCharType="begin" w:fldLock="1"/>
      </w:r>
      <w:r>
        <w:rPr>
          <w:rFonts w:asciiTheme="majorBidi" w:hAnsiTheme="majorBidi" w:cstheme="majorBidi"/>
        </w:rPr>
        <w:instrText>ADDIN CSL_CITATION {"citationItems":[{"id":"ITEM-1","itemData":{"DOI":"10.1016/J.NEUINT.2019.104491","ISSN":"0197-0186","PMID":"31229553","abstract":"Parkinson's disease (PD) is a neurodegenerative disorder characterized by the accumulation of protein inclusions and the loss of dopaminergic neurons. Abnormal mitochondrial homeostasis is thought to be important for the pathogenesis of PD. Transcranial direct current stimulation (tDCS), a noninvasive brain stimulation technique, constitutes a promising approach for promoting recovery of various neurological conditions. However, little is known about its mechanism of action. The present study elucidated the neuroprotective effects of tDCS on the mitochondrial quality control pathway in a 1-methyl-4-phenyl-1,2,3,6-tetrahydropyridine (MPTP)-induced PD mouse model. We used the MPTP-induced neurotoxicity in vivo model. Mice were stimulated for 5 consecutive days with MPTP treatment. After observation of behavioral alteration using the rotarod test, mice were sacrificed for the measurement of the PD- and mitochondrial quality control-related protein levels in the substantia nigra. tDCS improved the behavioral alterations and changes in tyrosine hydroxylase levels in MPTP-treated mice. Furthermore, tDCS attenuated mitochondrial damage, as indicated by diminished mitochondrial swelling and mitochondrial glutamate dehydrogenase activity in the MPTP-induced PD mouse model. MPTP significantly increased mitophagy and decreased mitochondrial biogenesis-related proteins. These changes were attenuated by tDCS. Furthermore, MPTP significantly increased fission-related protein dynamin-related protein 1 with no effect on fusion-related protein mitofusin-2, and tDCS attenuated these changes. Our findings demonstrated the neuroprotective effect of anodal tDCS on the MPTP-induced neurotoxic mouse model through suppressing excessive mitophagy and balancing mitochondrial dynamics. The neuroprotective effect of anodal tDCS with modulation of mitochondrial dynamics provides a new therapeutic strategy for the treatment of PD.","author":[{"dropping-particle":"Bin","family":"Lee","given":"Sang","non-dropping-particle":"","parse-names":false,"suffix":""},{"dropping-particle":"","family":"Youn","given":"Jinyoung","non-dropping-particle":"","parse-names":false,"suffix":""},{"dropping-particle":"","family":"Jang","given":"Wooyoung","non-dropping-particle":"","parse-names":false,"suffix":""},{"dropping-particle":"","family":"Yang","given":"Hyun Ok","non-dropping-particle":"","parse-names":false,"suffix":""}],"container-title":"Neurochemistry International","id":"ITEM-1","issued":{"date-parts":[["2019","10","1"]]},"page":"104491","publisher":"Pergamon","title":"Neuroprotective effect of anodal transcranial direct current stimulation on 1-methyl-4-phenyl-1,2,3,6-tetrahydropyridine (MPTP)-induced neurotoxicity in mice through modulating mitochondrial dynamics","type":"article-journal","volume":"129"},"uris":["http://www.mendeley.com/documents/?uuid=9e14d1a5-dddc-3ac8-a503-d16a8dba1ef0"]}],"mendeley":{"formattedCitation":"&lt;sup&gt;67&lt;/sup&gt;","plainTextFormattedCitation":"67","previouslyFormattedCitation":"&lt;sup&gt;67&lt;/sup&gt;"},"properties":{"noteIndex":0},"schema":"https://github.com/citation-style-language/schema/raw/master/csl-citation.json"}</w:instrText>
      </w:r>
      <w:r w:rsidR="00E568DB" w:rsidRPr="00B12FA8">
        <w:rPr>
          <w:rFonts w:asciiTheme="majorBidi" w:hAnsiTheme="majorBidi" w:cstheme="majorBidi"/>
        </w:rPr>
        <w:fldChar w:fldCharType="separate"/>
      </w:r>
      <w:r w:rsidRPr="006104B1">
        <w:rPr>
          <w:rFonts w:asciiTheme="majorBidi" w:hAnsiTheme="majorBidi" w:cstheme="majorBidi"/>
          <w:noProof/>
          <w:vertAlign w:val="superscript"/>
        </w:rPr>
        <w:t>67</w:t>
      </w:r>
      <w:r w:rsidR="00E568DB" w:rsidRPr="00B12FA8">
        <w:rPr>
          <w:rFonts w:asciiTheme="majorBidi" w:hAnsiTheme="majorBidi" w:cstheme="majorBidi"/>
        </w:rPr>
        <w:fldChar w:fldCharType="end"/>
      </w:r>
      <w:r w:rsidR="00E568DB" w:rsidRPr="00B12FA8">
        <w:rPr>
          <w:rFonts w:asciiTheme="majorBidi" w:hAnsiTheme="majorBidi" w:cstheme="majorBidi"/>
        </w:rPr>
        <w:t xml:space="preserve"> and reduces the oxidative stress level</w:t>
      </w:r>
      <w:r w:rsidR="00E568DB" w:rsidRPr="00B12FA8">
        <w:rPr>
          <w:rFonts w:asciiTheme="majorBidi" w:hAnsiTheme="majorBidi" w:cstheme="majorBidi"/>
        </w:rPr>
        <w:fldChar w:fldCharType="begin" w:fldLock="1"/>
      </w:r>
      <w:r>
        <w:rPr>
          <w:rFonts w:asciiTheme="majorBidi" w:hAnsiTheme="majorBidi" w:cstheme="majorBidi"/>
        </w:rPr>
        <w:instrText>ADDIN CSL_CITATION {"citationItems":[{"id":"ITEM-1","itemData":{"DOI":"10.1111/NER.12302","ISSN":"1094-7159","PMID":"25929279","abstract":"Purpose Oxidative stress is involved in the pathological process of Parkinson's disease (PD). The present study was designed to investigate the effects of transcranial direct current stimulation (tDCS) on the oxidative stress in a mouse model of PD induced by 1-methyl-4-phenyl-1,2,3,6-tetrahydropyridine (MPTP). Methods The animals were modulated by tDCS. Behavioral alterations were observed after three weeks of tDCS treatment using rotary performance tests. The mice were sacrificed for the measurement of the level of dopamine (DA), enzymatic tyrosine hydroxylase (TH), nonenzymatic malonaldehyde (MDA), an enzymatic superoxide dismutase (SOD), and glutathione peroxidase (GSH-Px) in the mouse brain and serum. Results The mice treated with MPTP had an increased MDA level but a decreased SOD and GSH-Px activity, as well as a behavior impairment. These abnormalities were significantly attenuated by tDCS treatment and by levodopa and benserazide. Discussion The study demonstrated that the tDCS could have a potential for the therapeutic usage in the PD.","author":[{"dropping-particle":"","family":"Li","given":"Xiaoli","non-dropping-particle":"","parse-names":false,"suffix":""},{"dropping-particle":"","family":"Lu","given":"Chengbiao","non-dropping-particle":"","parse-names":false,"suffix":""},{"dropping-particle":"","family":"Wei","given":"Yun","non-dropping-particle":"","parse-names":false,"suffix":""},{"dropping-particle":"","family":"Hu","given":"Rui","non-dropping-particle":"","parse-names":false,"suffix":""},{"dropping-particle":"","family":"Wang","given":"Yong","non-dropping-particle":"","parse-names":false,"suffix":""},{"dropping-particle":"","family":"Li","given":"Kun","non-dropping-particle":"","parse-names":false,"suffix":""}],"container-title":"Neuromodulation: Technology at the Neural Interface","id":"ITEM-1","issue":"6","issued":{"date-parts":[["2015","8","1"]]},"page":"442-447","publisher":"Elsevier","title":"Transcranial Direct Current Stimulation Ameliorates Behavioral Deficits and Reduces Oxidative Stress in 1-Methyl-4-Phenyl-1,2,3,6-Tetrahydropyridine-Induced Mouse Model of Parkinson’s Disease","type":"article-journal","volume":"18"},"uris":["http://www.mendeley.com/documents/?uuid=7e6e3682-ed62-3e45-96a4-a74bd87e0014"]}],"mendeley":{"formattedCitation":"&lt;sup&gt;68&lt;/sup&gt;","plainTextFormattedCitation":"68","previouslyFormattedCitation":"&lt;sup&gt;68&lt;/sup&gt;"},"properties":{"noteIndex":0},"schema":"https://github.com/citation-style-language/schema/raw/master/csl-citation.json"}</w:instrText>
      </w:r>
      <w:r w:rsidR="00E568DB" w:rsidRPr="00B12FA8">
        <w:rPr>
          <w:rFonts w:asciiTheme="majorBidi" w:hAnsiTheme="majorBidi" w:cstheme="majorBidi"/>
        </w:rPr>
        <w:fldChar w:fldCharType="separate"/>
      </w:r>
      <w:r w:rsidRPr="006104B1">
        <w:rPr>
          <w:rFonts w:asciiTheme="majorBidi" w:hAnsiTheme="majorBidi" w:cstheme="majorBidi"/>
          <w:noProof/>
          <w:vertAlign w:val="superscript"/>
        </w:rPr>
        <w:t>68</w:t>
      </w:r>
      <w:r w:rsidR="00E568DB" w:rsidRPr="00B12FA8">
        <w:rPr>
          <w:rFonts w:asciiTheme="majorBidi" w:hAnsiTheme="majorBidi" w:cstheme="majorBidi"/>
        </w:rPr>
        <w:fldChar w:fldCharType="end"/>
      </w:r>
      <w:r w:rsidR="00E568DB" w:rsidRPr="00B12FA8">
        <w:rPr>
          <w:rFonts w:asciiTheme="majorBidi" w:hAnsiTheme="majorBidi" w:cstheme="majorBidi"/>
        </w:rPr>
        <w:t>. This finding is particularly interesting since we previously found elevated Reactive oxygen species (ROS) levels in the hippocampus of adult AS mice</w:t>
      </w:r>
      <w:r w:rsidR="00E568DB" w:rsidRPr="00B12FA8">
        <w:rPr>
          <w:rFonts w:asciiTheme="majorBidi" w:hAnsiTheme="majorBidi" w:cstheme="majorBidi"/>
        </w:rPr>
        <w:fldChar w:fldCharType="begin" w:fldLock="1"/>
      </w:r>
      <w:r>
        <w:rPr>
          <w:rFonts w:asciiTheme="majorBidi" w:hAnsiTheme="majorBidi" w:cstheme="majorBidi"/>
        </w:rPr>
        <w:instrText>ADDIN CSL_CITATION {"citationItems":[{"id":"ITEM-1","itemData":{"DOI":"10.1523/JNEUROSCI.2246-15.2015","ISSN":"15292401","PMID":"26658871","abstract":"Angelman syndrome (AS) is a neurodevelopmental disorder associated with developmental delay, lack of speech, motor dysfunction, and epilepsy. In the majority of the patients, AS is caused by the deletion of small portions of maternal chromosome 15 harboring the UBE3A gene. This results in a lack of expression of the UBE3A gene because the paternal allele is genetically imprinted. The UBE3A gene encodes an enzyme termed ubiquitin ligase E3A (E6-AP) that targets proteins for degradation by the 26S proteasome. Because neurodegenerative disease and other neurodevelopmental disorders have been linked to oxidative stress, we asked whether mitochondrial reactive oxygen species (ROS) played a role in impaired synaptic plasticity and memory deficits exhibited by AS model mice. We discovered that AS mice have increased levels of superoxide in area CA1 of the hippocampus that is reduced by MitoQ 10-methanesuflonate (MitoQ), a mitochondria-specific antioxidant. In addition, we found that MitoQ rescued impairments in hippocampal synaptic plasticity and deficits in contextual fear memory exhibited by AS model mice. Our findings suggest that mitochondria-derived oxidative stress contributes to hippo campal pathophysiology in AS model mice and that targeting mitochondrial ROS pharmacologically could benefit individuals with AS.","author":[{"dropping-particle":"","family":"Santini","given":"Emanuela","non-dropping-particle":"","parse-names":false,"suffix":""},{"dropping-particle":"","family":"Turner","given":"Kathryn L.","non-dropping-particle":"","parse-names":false,"suffix":""},{"dropping-particle":"","family":"Ramaraj","given":"Akila B.","non-dropping-particle":"","parse-names":false,"suffix":""},{"dropping-particle":"","family":"Murphy","given":"Michael P.","non-dropping-particle":"","parse-names":false,"suffix":""},{"dropping-particle":"","family":"Klann","given":"Eric","non-dropping-particle":"","parse-names":false,"suffix":""},{"dropping-particle":"","family":"Kaphzan","given":"Hanoch","non-dropping-particle":"","parse-names":false,"suffix":""},{"dropping-particle":"","family":"Ramaraj","given":"Xakila B.","non-dropping-particle":"","parse-names":false,"suffix":""},{"dropping-particle":"","family":"Murphy","given":"Michael P.","non-dropping-particle":"","parse-names":false,"suffix":""},{"dropping-particle":"","family":"Klann","given":"Eric","non-dropping-particle":"","parse-names":false,"suffix":""},{"dropping-particle":"","family":"Kaphzan","given":"Xhanoch","non-dropping-particle":"","parse-names":false,"suffix":""},{"dropping-particle":"","family":"Ramaraj","given":"Akila B.","non-dropping-particle":"","parse-names":false,"suffix":""},{"dropping-particle":"","family":"Murphy","given":"Michael P.","non-dropping-particle":"","parse-names":false,"suffix":""},{"dropping-particle":"","family":"Klann","given":"Eric","non-dropping-particle":"","parse-names":false,"suffix":""},{"dropping-particle":"","family":"Kaphzan","given":"Hanoch","non-dropping-particle":"","parse-names":false,"suffix":""}],"container-title":"Journal of Neuroscience","id":"ITEM-1","issue":"49","issued":{"date-parts":[["2015","12","9"]]},"page":"16213-16220","publisher":"J Neurosci","title":"Mitochondrial superoxide contributes to hippocampal synaptic dysfunction and memory deficits in Angelman syndrome model mice","type":"article-journal","volume":"35"},"uris":["http://www.mendeley.com/documents/?uuid=ec1fd31d-78b0-4371-89db-bc7d6ba86089"]}],"mendeley":{"formattedCitation":"&lt;sup&gt;69&lt;/sup&gt;","plainTextFormattedCitation":"69","previouslyFormattedCitation":"&lt;sup&gt;69&lt;/sup&gt;"},"properties":{"noteIndex":0},"schema":"https://github.com/citation-style-language/schema/raw/master/csl-citation.json"}</w:instrText>
      </w:r>
      <w:r w:rsidR="00E568DB" w:rsidRPr="00B12FA8">
        <w:rPr>
          <w:rFonts w:asciiTheme="majorBidi" w:hAnsiTheme="majorBidi" w:cstheme="majorBidi"/>
        </w:rPr>
        <w:fldChar w:fldCharType="separate"/>
      </w:r>
      <w:r w:rsidRPr="006104B1">
        <w:rPr>
          <w:rFonts w:asciiTheme="majorBidi" w:hAnsiTheme="majorBidi" w:cstheme="majorBidi"/>
          <w:noProof/>
          <w:vertAlign w:val="superscript"/>
        </w:rPr>
        <w:t>69</w:t>
      </w:r>
      <w:r w:rsidR="00E568DB" w:rsidRPr="00B12FA8">
        <w:rPr>
          <w:rFonts w:asciiTheme="majorBidi" w:hAnsiTheme="majorBidi" w:cstheme="majorBidi"/>
        </w:rPr>
        <w:fldChar w:fldCharType="end"/>
      </w:r>
      <w:r w:rsidR="00E568DB" w:rsidRPr="00B12FA8">
        <w:rPr>
          <w:rFonts w:asciiTheme="majorBidi" w:hAnsiTheme="majorBidi" w:cstheme="majorBidi"/>
        </w:rPr>
        <w:t xml:space="preserve">. Moreover, Rae et al. reported that anodal </w:t>
      </w:r>
      <w:proofErr w:type="spellStart"/>
      <w:r w:rsidR="00E568DB" w:rsidRPr="00B12FA8">
        <w:rPr>
          <w:rFonts w:asciiTheme="majorBidi" w:hAnsiTheme="majorBidi" w:cstheme="majorBidi"/>
        </w:rPr>
        <w:t>tDCS</w:t>
      </w:r>
      <w:proofErr w:type="spellEnd"/>
      <w:r w:rsidR="00E568DB" w:rsidRPr="00B12FA8">
        <w:rPr>
          <w:rFonts w:asciiTheme="majorBidi" w:hAnsiTheme="majorBidi" w:cstheme="majorBidi"/>
        </w:rPr>
        <w:t xml:space="preserve"> treatment in human subjects exhibited an increased demand for adenosine triphosphate (ATP) and an increased pH, which affected creatine kinase steady-state equilibrium created by hydrolysis of </w:t>
      </w:r>
      <w:proofErr w:type="spellStart"/>
      <w:r w:rsidR="00E568DB" w:rsidRPr="00B12FA8">
        <w:rPr>
          <w:rFonts w:asciiTheme="majorBidi" w:hAnsiTheme="majorBidi" w:cstheme="majorBidi"/>
        </w:rPr>
        <w:t>PCr</w:t>
      </w:r>
      <w:proofErr w:type="spellEnd"/>
      <w:r w:rsidR="00E568DB" w:rsidRPr="00B12FA8">
        <w:rPr>
          <w:rFonts w:asciiTheme="majorBidi" w:hAnsiTheme="majorBidi" w:cstheme="majorBidi"/>
        </w:rPr>
        <w:t xml:space="preserve"> due to demand for ATP </w:t>
      </w:r>
      <w:r w:rsidR="00E568DB" w:rsidRPr="00B12FA8">
        <w:rPr>
          <w:rFonts w:asciiTheme="majorBidi" w:hAnsiTheme="majorBidi" w:cstheme="majorBidi"/>
        </w:rPr>
        <w:fldChar w:fldCharType="begin" w:fldLock="1"/>
      </w:r>
      <w:r>
        <w:rPr>
          <w:rFonts w:asciiTheme="majorBidi" w:hAnsiTheme="majorBidi" w:cstheme="majorBidi"/>
        </w:rPr>
        <w:instrText>ADDIN CSL_CITATION {"citationItems":[{"id":"ITEM-1","itemData":{"DOI":"10.1017/S1461145713000084","ISSN":"1461-1457","PMID":"23473040","abstract":"Transcranial direct current stimulation is an emerging treatment for brain disorders but its mode of action is not well understood. We applied 10 min 1 mA anodal transcranial direct current stimulation (tDCS) inside the bore of a 3 T MRI scanner to the left dorsolateral prefrontal cortex of 13 healthy volunteers (aged 19-28 yr) in a blinded, sham-controlled, cross-over design. Brain bioenergetics were measured from the left temporo-frontal region using 31P magnetic resonance spectroscopy before, during and for 20 min following tDCS. Brain pH rose during tDCS and remained elevated afterwards. Phosphomonoesters were significantly decreased while inorganic phosphate (Pi) also fell. Partial-least squares discriminant analysis of the data revealed two significantly different subject groups: one where phosphocreatine (PCr), ATP and Pi fell along with a larger increase in pH and one where PCr and ATP increased along with a smaller increase in pH and a slower and more sustained decrease in Pi. Group membership was predicted by baseline pH and ATP. We interpreted the effects of tDCS as driving two biochemical processes: cellular consumption of ATP causing hydrolysis of PCr via the creatine kinase reaction driving the increase in pH; synthesis of ATP and PCr by mitochondria with concomitant drop in Pi and phosphomonoester levels. © CINP 2013.","author":[{"dropping-particle":"","family":"Rae","given":"Caroline D.","non-dropping-particle":"","parse-names":false,"suffix":""},{"dropping-particle":"","family":"Lee","given":"Vincent H.C.","non-dropping-particle":"","parse-names":false,"suffix":""},{"dropping-particle":"","family":"Ordidge","given":"Roger J.","non-dropping-particle":"","parse-names":false,"suffix":""},{"dropping-particle":"","family":"Alonzo","given":"Angelo","non-dropping-particle":"","parse-names":false,"suffix":""},{"dropping-particle":"","family":"Loo","given":"Colleen","non-dropping-particle":"","parse-names":false,"suffix":""}],"container-title":"International Journal of Neuropsychopharmacology","id":"ITEM-1","issue":"8","issued":{"date-parts":[["2013","9","1"]]},"page":"1695-1706","publisher":"Oxford Academic","title":"Anodal transcranial direct current stimulation increases brain intracellular pH and modulates bioenergetics","type":"article-journal","volume":"16"},"uris":["http://www.mendeley.com/documents/?uuid=8b35bb60-3160-338c-8074-65e4beb78857"]}],"mendeley":{"formattedCitation":"&lt;sup&gt;70&lt;/sup&gt;","plainTextFormattedCitation":"70","previouslyFormattedCitation":"&lt;sup&gt;70&lt;/sup&gt;"},"properties":{"noteIndex":0},"schema":"https://github.com/citation-style-language/schema/raw/master/csl-citation.json"}</w:instrText>
      </w:r>
      <w:r w:rsidR="00E568DB" w:rsidRPr="00B12FA8">
        <w:rPr>
          <w:rFonts w:asciiTheme="majorBidi" w:hAnsiTheme="majorBidi" w:cstheme="majorBidi"/>
        </w:rPr>
        <w:fldChar w:fldCharType="separate"/>
      </w:r>
      <w:r w:rsidRPr="006104B1">
        <w:rPr>
          <w:rFonts w:asciiTheme="majorBidi" w:hAnsiTheme="majorBidi" w:cstheme="majorBidi"/>
          <w:noProof/>
          <w:vertAlign w:val="superscript"/>
        </w:rPr>
        <w:t>70</w:t>
      </w:r>
      <w:r w:rsidR="00E568DB" w:rsidRPr="00B12FA8">
        <w:rPr>
          <w:rFonts w:asciiTheme="majorBidi" w:hAnsiTheme="majorBidi" w:cstheme="majorBidi"/>
        </w:rPr>
        <w:fldChar w:fldCharType="end"/>
      </w:r>
      <w:r w:rsidR="00E568DB" w:rsidRPr="00B12FA8">
        <w:rPr>
          <w:rFonts w:asciiTheme="majorBidi" w:hAnsiTheme="majorBidi" w:cstheme="majorBidi"/>
        </w:rPr>
        <w:t xml:space="preserve">. </w:t>
      </w:r>
    </w:p>
    <w:p w14:paraId="558C7355" w14:textId="0043507E" w:rsidR="00E568DB" w:rsidRPr="00B12FA8" w:rsidRDefault="00895A3E" w:rsidP="00C67B64">
      <w:pPr>
        <w:bidi w:val="0"/>
        <w:spacing w:before="20" w:afterLines="20" w:after="48" w:line="240" w:lineRule="auto"/>
        <w:ind w:firstLine="720"/>
        <w:contextualSpacing/>
        <w:jc w:val="both"/>
        <w:rPr>
          <w:rFonts w:asciiTheme="majorBidi" w:hAnsiTheme="majorBidi" w:cstheme="majorBidi"/>
        </w:rPr>
      </w:pPr>
      <w:r w:rsidRPr="00B12FA8">
        <w:rPr>
          <w:rFonts w:asciiTheme="majorBidi" w:hAnsiTheme="majorBidi" w:cstheme="majorBidi"/>
          <w:b/>
          <w:bCs/>
          <w:noProof/>
        </w:rPr>
        <mc:AlternateContent>
          <mc:Choice Requires="wps">
            <w:drawing>
              <wp:anchor distT="45720" distB="45720" distL="114300" distR="114300" simplePos="0" relativeHeight="251675648" behindDoc="0" locked="0" layoutInCell="1" allowOverlap="1" wp14:anchorId="03A60D3A" wp14:editId="0E658BDA">
                <wp:simplePos x="0" y="0"/>
                <wp:positionH relativeFrom="margin">
                  <wp:posOffset>3680460</wp:posOffset>
                </wp:positionH>
                <wp:positionV relativeFrom="paragraph">
                  <wp:posOffset>71120</wp:posOffset>
                </wp:positionV>
                <wp:extent cx="2969260" cy="2404745"/>
                <wp:effectExtent l="0" t="0" r="21590" b="146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260" cy="2404745"/>
                        </a:xfrm>
                        <a:prstGeom prst="rect">
                          <a:avLst/>
                        </a:prstGeom>
                        <a:solidFill>
                          <a:srgbClr val="FFFFFF"/>
                        </a:solidFill>
                        <a:ln w="9525">
                          <a:solidFill>
                            <a:srgbClr val="000000"/>
                          </a:solidFill>
                          <a:miter lim="800000"/>
                          <a:headEnd/>
                          <a:tailEnd/>
                        </a:ln>
                      </wps:spPr>
                      <wps:txbx>
                        <w:txbxContent>
                          <w:p w14:paraId="6D3052FB" w14:textId="77777777" w:rsidR="006F1997" w:rsidRDefault="006F1997" w:rsidP="007B7820">
                            <w:pPr>
                              <w:pStyle w:val="NormalWeb"/>
                              <w:spacing w:before="0" w:beforeAutospacing="0" w:after="0" w:afterAutospacing="0"/>
                              <w:contextualSpacing/>
                              <w:jc w:val="both"/>
                              <w:rPr>
                                <w:rFonts w:asciiTheme="majorBidi" w:eastAsia="+mn-ea" w:hAnsiTheme="majorBidi" w:cstheme="majorBidi"/>
                                <w:b/>
                                <w:bCs/>
                                <w:color w:val="000000"/>
                                <w:kern w:val="24"/>
                                <w:sz w:val="22"/>
                                <w:szCs w:val="22"/>
                              </w:rPr>
                            </w:pPr>
                            <w:r w:rsidRPr="00944B86">
                              <w:rPr>
                                <w:rFonts w:eastAsia="+mn-ea"/>
                                <w:noProof/>
                              </w:rPr>
                              <w:drawing>
                                <wp:inline distT="0" distB="0" distL="0" distR="0" wp14:anchorId="099E1AF6" wp14:editId="78946026">
                                  <wp:extent cx="2884114" cy="14782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3657" cy="1519051"/>
                                          </a:xfrm>
                                          <a:prstGeom prst="rect">
                                            <a:avLst/>
                                          </a:prstGeom>
                                          <a:noFill/>
                                          <a:ln>
                                            <a:noFill/>
                                          </a:ln>
                                        </pic:spPr>
                                      </pic:pic>
                                    </a:graphicData>
                                  </a:graphic>
                                </wp:inline>
                              </w:drawing>
                            </w:r>
                          </w:p>
                          <w:p w14:paraId="514971C3" w14:textId="540ACDA3" w:rsidR="006F1997" w:rsidRPr="00843F95" w:rsidRDefault="006F1997" w:rsidP="00FD31C3">
                            <w:pPr>
                              <w:pStyle w:val="NormalWeb"/>
                              <w:spacing w:before="0" w:beforeAutospacing="0" w:after="0" w:afterAutospacing="0"/>
                              <w:contextualSpacing/>
                              <w:jc w:val="both"/>
                              <w:rPr>
                                <w:rFonts w:asciiTheme="majorBidi" w:eastAsia="+mn-ea" w:hAnsiTheme="majorBidi" w:cstheme="majorBidi"/>
                                <w:color w:val="000000"/>
                                <w:kern w:val="24"/>
                                <w:sz w:val="20"/>
                                <w:szCs w:val="20"/>
                              </w:rPr>
                            </w:pPr>
                            <w:r w:rsidRPr="00843F95">
                              <w:rPr>
                                <w:rFonts w:asciiTheme="majorBidi" w:eastAsia="+mn-ea" w:hAnsiTheme="majorBidi" w:cstheme="majorBidi"/>
                                <w:b/>
                                <w:bCs/>
                                <w:color w:val="000000"/>
                                <w:kern w:val="24"/>
                                <w:sz w:val="20"/>
                                <w:szCs w:val="20"/>
                              </w:rPr>
                              <w:t xml:space="preserve">Figure 3: </w:t>
                            </w:r>
                            <w:proofErr w:type="spellStart"/>
                            <w:r w:rsidRPr="00843F95">
                              <w:rPr>
                                <w:rFonts w:asciiTheme="majorBidi" w:eastAsia="+mn-ea" w:hAnsiTheme="majorBidi" w:cstheme="majorBidi"/>
                                <w:color w:val="000000"/>
                                <w:kern w:val="24"/>
                                <w:sz w:val="20"/>
                                <w:szCs w:val="20"/>
                              </w:rPr>
                              <w:t>tDCS</w:t>
                            </w:r>
                            <w:proofErr w:type="spellEnd"/>
                            <w:r w:rsidRPr="00843F95">
                              <w:rPr>
                                <w:rFonts w:asciiTheme="majorBidi" w:eastAsia="+mn-ea" w:hAnsiTheme="majorBidi" w:cstheme="majorBidi"/>
                                <w:color w:val="000000"/>
                                <w:kern w:val="24"/>
                                <w:sz w:val="20"/>
                                <w:szCs w:val="20"/>
                              </w:rPr>
                              <w:t xml:space="preserve"> </w:t>
                            </w:r>
                            <w:proofErr w:type="spellStart"/>
                            <w:r w:rsidRPr="00843F95">
                              <w:rPr>
                                <w:rFonts w:asciiTheme="majorBidi" w:eastAsia="+mn-ea" w:hAnsiTheme="majorBidi" w:cstheme="majorBidi"/>
                                <w:color w:val="000000"/>
                                <w:kern w:val="24"/>
                                <w:sz w:val="20"/>
                                <w:szCs w:val="20"/>
                              </w:rPr>
                              <w:t>elvates</w:t>
                            </w:r>
                            <w:proofErr w:type="spellEnd"/>
                            <w:r w:rsidRPr="00843F95">
                              <w:rPr>
                                <w:rFonts w:asciiTheme="majorBidi" w:eastAsia="+mn-ea" w:hAnsiTheme="majorBidi" w:cstheme="majorBidi"/>
                                <w:color w:val="000000"/>
                                <w:kern w:val="24"/>
                                <w:sz w:val="20"/>
                                <w:szCs w:val="20"/>
                              </w:rPr>
                              <w:t xml:space="preserve"> the</w:t>
                            </w:r>
                            <w:r w:rsidRPr="00843F95">
                              <w:rPr>
                                <w:sz w:val="20"/>
                                <w:szCs w:val="20"/>
                              </w:rPr>
                              <w:t xml:space="preserve"> </w:t>
                            </w:r>
                            <w:r w:rsidRPr="00843F95">
                              <w:rPr>
                                <w:rFonts w:asciiTheme="majorBidi" w:eastAsia="+mn-ea" w:hAnsiTheme="majorBidi" w:cstheme="majorBidi"/>
                                <w:color w:val="000000"/>
                                <w:kern w:val="24"/>
                                <w:sz w:val="20"/>
                                <w:szCs w:val="20"/>
                              </w:rPr>
                              <w:t xml:space="preserve">adenosine levels in the hippocampus and cortex of WT rats following tDCS treatment. Adenosine levels were measured by LS/MS in the rat cortex and hippocampus after 5 days of consecutive </w:t>
                            </w:r>
                            <w:proofErr w:type="spellStart"/>
                            <w:r w:rsidRPr="00843F95">
                              <w:rPr>
                                <w:rFonts w:asciiTheme="majorBidi" w:eastAsia="+mn-ea" w:hAnsiTheme="majorBidi" w:cstheme="majorBidi"/>
                                <w:color w:val="000000"/>
                                <w:kern w:val="24"/>
                                <w:sz w:val="20"/>
                                <w:szCs w:val="20"/>
                              </w:rPr>
                              <w:t>tDCS</w:t>
                            </w:r>
                            <w:proofErr w:type="spellEnd"/>
                            <w:r w:rsidRPr="00843F95">
                              <w:rPr>
                                <w:rFonts w:asciiTheme="majorBidi" w:eastAsia="+mn-ea" w:hAnsiTheme="majorBidi" w:cstheme="majorBidi"/>
                                <w:color w:val="000000"/>
                                <w:kern w:val="24"/>
                                <w:sz w:val="20"/>
                                <w:szCs w:val="20"/>
                              </w:rPr>
                              <w:t xml:space="preserve"> stimulation (150μA for 20 min). Data are means ± SEM  * p &lt; 0.05; n=3.</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60D3A" id="_x0000_s1028" type="#_x0000_t202" style="position:absolute;left:0;text-align:left;margin-left:289.8pt;margin-top:5.6pt;width:233.8pt;height:189.3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">
                <v:textbox inset="1mm,0,1mm,0">
                  <w:txbxContent>
                    <w:p w14:paraId="6D3052FB" w14:textId="77777777" w:rsidR="006F1997" w:rsidRDefault="006F1997" w:rsidP="007B7820">
                      <w:pPr>
                        <w:pStyle w:val="NormalWeb"/>
                        <w:spacing w:before="0" w:beforeAutospacing="0" w:after="0" w:afterAutospacing="0"/>
                        <w:contextualSpacing/>
                        <w:jc w:val="both"/>
                        <w:rPr>
                          <w:rFonts w:asciiTheme="majorBidi" w:eastAsia="+mn-ea" w:hAnsiTheme="majorBidi" w:cstheme="majorBidi"/>
                          <w:b/>
                          <w:bCs/>
                          <w:color w:val="000000"/>
                          <w:kern w:val="24"/>
                          <w:sz w:val="22"/>
                          <w:szCs w:val="22"/>
                        </w:rPr>
                      </w:pPr>
                      <w:r w:rsidRPr="00944B86">
                        <w:rPr>
                          <w:rFonts w:eastAsia="+mn-ea"/>
                          <w:noProof/>
                        </w:rPr>
                        <w:drawing>
                          <wp:inline distT="0" distB="0" distL="0" distR="0" wp14:anchorId="099E1AF6" wp14:editId="78946026">
                            <wp:extent cx="2884114" cy="14782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3657" cy="1519051"/>
                                    </a:xfrm>
                                    <a:prstGeom prst="rect">
                                      <a:avLst/>
                                    </a:prstGeom>
                                    <a:noFill/>
                                    <a:ln>
                                      <a:noFill/>
                                    </a:ln>
                                  </pic:spPr>
                                </pic:pic>
                              </a:graphicData>
                            </a:graphic>
                          </wp:inline>
                        </w:drawing>
                      </w:r>
                    </w:p>
                    <w:p w14:paraId="514971C3" w14:textId="540ACDA3" w:rsidR="006F1997" w:rsidRPr="00843F95" w:rsidRDefault="006F1997" w:rsidP="00FD31C3">
                      <w:pPr>
                        <w:pStyle w:val="NormalWeb"/>
                        <w:spacing w:before="0" w:beforeAutospacing="0" w:after="0" w:afterAutospacing="0"/>
                        <w:contextualSpacing/>
                        <w:jc w:val="both"/>
                        <w:rPr>
                          <w:rFonts w:asciiTheme="majorBidi" w:eastAsia="+mn-ea" w:hAnsiTheme="majorBidi" w:cstheme="majorBidi"/>
                          <w:color w:val="000000"/>
                          <w:kern w:val="24"/>
                          <w:sz w:val="20"/>
                          <w:szCs w:val="20"/>
                        </w:rPr>
                      </w:pPr>
                      <w:r w:rsidRPr="00843F95">
                        <w:rPr>
                          <w:rFonts w:asciiTheme="majorBidi" w:eastAsia="+mn-ea" w:hAnsiTheme="majorBidi" w:cstheme="majorBidi"/>
                          <w:b/>
                          <w:bCs/>
                          <w:color w:val="000000"/>
                          <w:kern w:val="24"/>
                          <w:sz w:val="20"/>
                          <w:szCs w:val="20"/>
                        </w:rPr>
                        <w:t xml:space="preserve">Figure 3: </w:t>
                      </w:r>
                      <w:proofErr w:type="spellStart"/>
                      <w:r w:rsidRPr="00843F95">
                        <w:rPr>
                          <w:rFonts w:asciiTheme="majorBidi" w:eastAsia="+mn-ea" w:hAnsiTheme="majorBidi" w:cstheme="majorBidi"/>
                          <w:color w:val="000000"/>
                          <w:kern w:val="24"/>
                          <w:sz w:val="20"/>
                          <w:szCs w:val="20"/>
                        </w:rPr>
                        <w:t>tDCS</w:t>
                      </w:r>
                      <w:proofErr w:type="spellEnd"/>
                      <w:r w:rsidRPr="00843F95">
                        <w:rPr>
                          <w:rFonts w:asciiTheme="majorBidi" w:eastAsia="+mn-ea" w:hAnsiTheme="majorBidi" w:cstheme="majorBidi"/>
                          <w:color w:val="000000"/>
                          <w:kern w:val="24"/>
                          <w:sz w:val="20"/>
                          <w:szCs w:val="20"/>
                        </w:rPr>
                        <w:t xml:space="preserve"> </w:t>
                      </w:r>
                      <w:proofErr w:type="spellStart"/>
                      <w:r w:rsidRPr="00843F95">
                        <w:rPr>
                          <w:rFonts w:asciiTheme="majorBidi" w:eastAsia="+mn-ea" w:hAnsiTheme="majorBidi" w:cstheme="majorBidi"/>
                          <w:color w:val="000000"/>
                          <w:kern w:val="24"/>
                          <w:sz w:val="20"/>
                          <w:szCs w:val="20"/>
                        </w:rPr>
                        <w:t>elvates</w:t>
                      </w:r>
                      <w:proofErr w:type="spellEnd"/>
                      <w:r w:rsidRPr="00843F95">
                        <w:rPr>
                          <w:rFonts w:asciiTheme="majorBidi" w:eastAsia="+mn-ea" w:hAnsiTheme="majorBidi" w:cstheme="majorBidi"/>
                          <w:color w:val="000000"/>
                          <w:kern w:val="24"/>
                          <w:sz w:val="20"/>
                          <w:szCs w:val="20"/>
                        </w:rPr>
                        <w:t xml:space="preserve"> the</w:t>
                      </w:r>
                      <w:r w:rsidRPr="00843F95">
                        <w:rPr>
                          <w:sz w:val="20"/>
                          <w:szCs w:val="20"/>
                        </w:rPr>
                        <w:t xml:space="preserve"> </w:t>
                      </w:r>
                      <w:r w:rsidRPr="00843F95">
                        <w:rPr>
                          <w:rFonts w:asciiTheme="majorBidi" w:eastAsia="+mn-ea" w:hAnsiTheme="majorBidi" w:cstheme="majorBidi"/>
                          <w:color w:val="000000"/>
                          <w:kern w:val="24"/>
                          <w:sz w:val="20"/>
                          <w:szCs w:val="20"/>
                        </w:rPr>
                        <w:t xml:space="preserve">adenosine levels in the hippocampus and cortex of WT rats following tDCS treatment. Adenosine levels were measured by LS/MS in the rat cortex and hippocampus after 5 days of consecutive </w:t>
                      </w:r>
                      <w:proofErr w:type="spellStart"/>
                      <w:r w:rsidRPr="00843F95">
                        <w:rPr>
                          <w:rFonts w:asciiTheme="majorBidi" w:eastAsia="+mn-ea" w:hAnsiTheme="majorBidi" w:cstheme="majorBidi"/>
                          <w:color w:val="000000"/>
                          <w:kern w:val="24"/>
                          <w:sz w:val="20"/>
                          <w:szCs w:val="20"/>
                        </w:rPr>
                        <w:t>tDCS</w:t>
                      </w:r>
                      <w:proofErr w:type="spellEnd"/>
                      <w:r w:rsidRPr="00843F95">
                        <w:rPr>
                          <w:rFonts w:asciiTheme="majorBidi" w:eastAsia="+mn-ea" w:hAnsiTheme="majorBidi" w:cstheme="majorBidi"/>
                          <w:color w:val="000000"/>
                          <w:kern w:val="24"/>
                          <w:sz w:val="20"/>
                          <w:szCs w:val="20"/>
                        </w:rPr>
                        <w:t xml:space="preserve"> stimulation (150μA for 20 min). Data are means ± SEM  * p &lt; 0.05; n=3.</w:t>
                      </w:r>
                    </w:p>
                  </w:txbxContent>
                </v:textbox>
                <w10:wrap type="square" anchorx="margin"/>
              </v:shape>
            </w:pict>
          </mc:Fallback>
        </mc:AlternateContent>
      </w:r>
      <w:r w:rsidR="00E568DB" w:rsidRPr="00B12FA8">
        <w:rPr>
          <w:rFonts w:asciiTheme="majorBidi" w:hAnsiTheme="majorBidi" w:cstheme="majorBidi"/>
        </w:rPr>
        <w:t xml:space="preserve">All of the above indicate that </w:t>
      </w:r>
      <w:proofErr w:type="spellStart"/>
      <w:r w:rsidR="00E568DB" w:rsidRPr="001567A6">
        <w:rPr>
          <w:rFonts w:asciiTheme="majorBidi" w:hAnsiTheme="majorBidi" w:cstheme="majorBidi"/>
          <w:b/>
          <w:bCs/>
          <w:i/>
          <w:iCs/>
        </w:rPr>
        <w:t>tDCS</w:t>
      </w:r>
      <w:proofErr w:type="spellEnd"/>
      <w:r w:rsidR="00E568DB" w:rsidRPr="001567A6">
        <w:rPr>
          <w:rFonts w:asciiTheme="majorBidi" w:hAnsiTheme="majorBidi" w:cstheme="majorBidi"/>
          <w:b/>
          <w:bCs/>
          <w:i/>
          <w:iCs/>
        </w:rPr>
        <w:t xml:space="preserve"> can affect the mitochondria and the capability of the mitochondria to produce cellular energy through the electron transport chain, affecting the overall mitochondrial dynamics. </w:t>
      </w:r>
      <w:r w:rsidR="00E568DB" w:rsidRPr="00B12FA8">
        <w:rPr>
          <w:rFonts w:asciiTheme="majorBidi" w:hAnsiTheme="majorBidi" w:cstheme="majorBidi"/>
        </w:rPr>
        <w:t xml:space="preserve">Additionally, </w:t>
      </w:r>
      <w:proofErr w:type="spellStart"/>
      <w:r w:rsidR="00E568DB" w:rsidRPr="00B12FA8">
        <w:rPr>
          <w:rFonts w:asciiTheme="majorBidi" w:hAnsiTheme="majorBidi" w:cstheme="majorBidi"/>
        </w:rPr>
        <w:t>tDCS</w:t>
      </w:r>
      <w:proofErr w:type="spellEnd"/>
      <w:r w:rsidR="00E568DB" w:rsidRPr="00B12FA8">
        <w:rPr>
          <w:rFonts w:asciiTheme="majorBidi" w:hAnsiTheme="majorBidi" w:cstheme="majorBidi"/>
        </w:rPr>
        <w:t xml:space="preserve"> has the potential to induce other metabolic effects that are not directly related to the </w:t>
      </w:r>
      <w:r w:rsidR="00256748" w:rsidRPr="00B12FA8">
        <w:rPr>
          <w:rFonts w:asciiTheme="majorBidi" w:hAnsiTheme="majorBidi" w:cstheme="majorBidi"/>
        </w:rPr>
        <w:t>mitochondria, such</w:t>
      </w:r>
      <w:r w:rsidR="00E568DB" w:rsidRPr="00B12FA8">
        <w:rPr>
          <w:rFonts w:asciiTheme="majorBidi" w:hAnsiTheme="majorBidi" w:cstheme="majorBidi"/>
        </w:rPr>
        <w:t xml:space="preserve"> as changes in levels of neurotransmitter-related metabolites</w:t>
      </w:r>
      <w:r w:rsidR="00693A52" w:rsidRPr="00B12FA8">
        <w:rPr>
          <w:rFonts w:asciiTheme="majorBidi" w:hAnsiTheme="majorBidi" w:cstheme="majorBidi"/>
        </w:rPr>
        <w:t xml:space="preserve"> (such as adenosine (Fig 3))</w:t>
      </w:r>
      <w:r w:rsidR="00E568DB" w:rsidRPr="00B12FA8">
        <w:rPr>
          <w:rFonts w:asciiTheme="majorBidi" w:hAnsiTheme="majorBidi" w:cstheme="majorBidi"/>
        </w:rPr>
        <w:t xml:space="preserve">. </w:t>
      </w:r>
    </w:p>
    <w:p w14:paraId="77817D2D" w14:textId="6C216A51" w:rsidR="00AD68A7" w:rsidRPr="00B12FA8" w:rsidRDefault="00E568DB" w:rsidP="00C67B64">
      <w:pPr>
        <w:bidi w:val="0"/>
        <w:spacing w:before="20" w:afterLines="20" w:after="48" w:line="240" w:lineRule="auto"/>
        <w:ind w:firstLine="426"/>
        <w:contextualSpacing/>
        <w:jc w:val="both"/>
        <w:rPr>
          <w:rFonts w:asciiTheme="majorBidi" w:hAnsiTheme="majorBidi" w:cstheme="majorBidi"/>
        </w:rPr>
      </w:pPr>
      <w:r w:rsidRPr="00B12FA8">
        <w:rPr>
          <w:rFonts w:asciiTheme="majorBidi" w:hAnsiTheme="majorBidi" w:cstheme="majorBidi"/>
        </w:rPr>
        <w:t>Angelman syndrome shares the same pathophysiological mechanisms as various autistic disorders like Rett Syndrome, Pitt-Hopkins, and other</w:t>
      </w:r>
      <w:r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{"citationItems":[{"id":"ITEM-1","itemData":{"DOI":"10.1523/JNEUROSCI.2246-15.2015","ISSN":"15292401","PMID":"26658871","abstract":"Angelman syndrome (AS) is a neurodevelopmental disorder associated with developmental delay, lack of speech, motor dysfunction, and epilepsy. In the majority of the patients, AS is caused by the deletion of small portions of maternal chromosome 15 harboring the UBE3A gene. This results in a lack of expression of the UBE3A gene because the paternal allele is genetically imprinted. The UBE3A gene encodes an enzyme termed ubiquitin ligase E3A (E6-AP) that targets proteins for degradation by the 26S proteasome. Because neurodegenerative disease and other neurodevelopmental disorders have been linked to oxidative stress, we asked whether mitochondrial reactive oxygen species (ROS) played a role in impaired synaptic plasticity and memory deficits exhibited by AS model mice. We discovered that AS mice have increased levels of superoxide in area CA1 of the hippocampus that is reduced by MitoQ 10-methanesuflonate (MitoQ), a mitochondria-specific antioxidant. In addition, we found that MitoQ rescued impairments in hippocampal synaptic plasticity and deficits in contextual fear memory exhibited by AS model mice. Our findings suggest that mitochondria-derived oxidative stress contributes to hippo campal pathophysiology in AS model mice and that targeting mitochondrial ROS pharmacologically could benefit individuals with AS.","author":[{"dropping-particle":"","family":"Santini","given":"Emanuela","non-dropping-particle":"","parse-names":false,"suffix":""},{"dropping-particle":"","family":"Turner","given":"Kathryn L.","non-dropping-particle":"","parse-names":false,"suffix":""},{"dropping-particle":"","family":"Ramaraj","given":"Akila B.","non-dropping-particle":"","parse-names":false,"suffix":""},{"dropping-particle":"","family":"Murphy","given":"Michael P.","non-dropping-particle":"","parse-names":false,"suffix":""},{"dropping-particle":"","family":"Klann","given":"Eric","non-dropping-particle":"","parse-names":false,"suffix":""},{"dropping-particle":"","family":"Kaphzan","given":"Hanoch","non-dropping-particle":"","parse-names":false,"suffix":""},{"dropping-particle":"","family":"Ramaraj","given":"Xakila B.","non-dropping-particle":"","parse-names":false,"suffix":""},{"dropping-particle":"","family":"Murphy","given":"Michael P.","non-dropping-particle":"","parse-names":false,"suffix":""},{"dropping-particle":"","family":"Klann","given":"Eric","non-dropping-particle":"","parse-names":false,"suffix":""},{"dropping-particle":"","family":"Kaphzan","given":"Xhanoch","non-dropping-particle":"","parse-names":false,"suffix":""},{"dropping-particle":"","family":"Ramaraj","given":"Akila B.","non-dropping-particle":"","parse-names":false,"suffix":""},{"dropping-particle":"","family":"Murphy","given":"Michael P.","non-dropping-particle":"","parse-names":false,"suffix":""},{"dropping-particle":"","family":"Klann","given":"Eric","non-dropping-particle":"","parse-names":false,"suffix":""},{"dropping-particle":"","family":"Kaphzan","given":"Hanoch","non-dropping-particle":"","parse-names":false,"suffix":""}],"container-title":"Journal of Neuroscience","id":"ITEM-1","issue":"49","issued":{"date-parts":[["2015","12","9"]]},"page":"16213-16220","publisher":"J Neurosci","title":"Mitochondrial superoxide contributes to hippocampal synaptic dysfunction and memory deficits in Angelman syndrome model mice","type":"article-journal","volume":"35"},"uris":["http://www.mendeley.com/documents/?uuid=ec1fd31d-78b0-4371-89db-bc7d6ba86089"]}],"mendeley":{"formattedCitation":"&lt;sup&gt;69&lt;/sup&gt;","plainTextFormattedCitation":"69","previouslyFormattedCitation":"&lt;sup&gt;69&lt;/sup&gt;"},"properties":{"noteIndex":0},"schema":"https://github.com/citation-style-language/schema/raw/master/csl-citation.json"}</w:instrText>
      </w:r>
      <w:r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69</w:t>
      </w:r>
      <w:r w:rsidRPr="00B12FA8">
        <w:rPr>
          <w:rFonts w:asciiTheme="majorBidi" w:hAnsiTheme="majorBidi" w:cstheme="majorBidi"/>
        </w:rPr>
        <w:fldChar w:fldCharType="end"/>
      </w:r>
      <w:r w:rsidRPr="00B12FA8">
        <w:rPr>
          <w:rFonts w:asciiTheme="majorBidi" w:hAnsiTheme="majorBidi" w:cstheme="majorBidi"/>
        </w:rPr>
        <w:t xml:space="preserve">. </w:t>
      </w:r>
      <w:r w:rsidR="001567A6" w:rsidRPr="00B12FA8">
        <w:rPr>
          <w:rFonts w:asciiTheme="majorBidi" w:hAnsiTheme="majorBidi" w:cstheme="majorBidi"/>
        </w:rPr>
        <w:t>Additionally</w:t>
      </w:r>
      <w:r w:rsidRPr="00B12FA8">
        <w:rPr>
          <w:rFonts w:asciiTheme="majorBidi" w:hAnsiTheme="majorBidi" w:cstheme="majorBidi"/>
        </w:rPr>
        <w:t>, some of the cellular properties associated with AS (like elevated levels of ROS and mitochondrial abortions) are also known to play a significant role in the pathophysiological of other neurodegeneration diseases like Alzheimer</w:t>
      </w:r>
      <w:r w:rsidR="009E06DA">
        <w:rPr>
          <w:rFonts w:asciiTheme="majorBidi" w:hAnsiTheme="majorBidi" w:cstheme="majorBidi"/>
        </w:rPr>
        <w:t>’</w:t>
      </w:r>
      <w:r w:rsidRPr="00B12FA8">
        <w:rPr>
          <w:rFonts w:asciiTheme="majorBidi" w:hAnsiTheme="majorBidi" w:cstheme="majorBidi"/>
        </w:rPr>
        <w:t xml:space="preserve">s. Therefore, </w:t>
      </w:r>
      <w:r w:rsidRPr="00B12FA8">
        <w:rPr>
          <w:rFonts w:asciiTheme="majorBidi" w:hAnsiTheme="majorBidi" w:cstheme="majorBidi"/>
          <w:b/>
          <w:bCs/>
          <w:i/>
          <w:iCs/>
        </w:rPr>
        <w:t xml:space="preserve">unveiling the effect </w:t>
      </w:r>
      <w:proofErr w:type="spellStart"/>
      <w:r w:rsidRPr="00B12FA8">
        <w:rPr>
          <w:rFonts w:asciiTheme="majorBidi" w:hAnsiTheme="majorBidi" w:cstheme="majorBidi"/>
          <w:b/>
          <w:bCs/>
          <w:i/>
          <w:iCs/>
        </w:rPr>
        <w:t>tDCS</w:t>
      </w:r>
      <w:proofErr w:type="spellEnd"/>
      <w:r w:rsidRPr="00B12FA8">
        <w:rPr>
          <w:rFonts w:asciiTheme="majorBidi" w:hAnsiTheme="majorBidi" w:cstheme="majorBidi"/>
          <w:b/>
          <w:bCs/>
          <w:i/>
          <w:iCs/>
        </w:rPr>
        <w:t xml:space="preserve"> treatment has on the cellular homeostasis of the central nervous system will benefit Angelman syndrome patients and potentially evolve to </w:t>
      </w:r>
      <w:proofErr w:type="spellStart"/>
      <w:r w:rsidRPr="00B12FA8">
        <w:rPr>
          <w:rFonts w:asciiTheme="majorBidi" w:hAnsiTheme="majorBidi" w:cstheme="majorBidi"/>
          <w:b/>
          <w:bCs/>
          <w:i/>
          <w:iCs/>
        </w:rPr>
        <w:t>brode</w:t>
      </w:r>
      <w:proofErr w:type="spellEnd"/>
      <w:r w:rsidRPr="00B12FA8">
        <w:rPr>
          <w:rFonts w:asciiTheme="majorBidi" w:hAnsiTheme="majorBidi" w:cstheme="majorBidi"/>
          <w:b/>
          <w:bCs/>
          <w:i/>
          <w:iCs/>
        </w:rPr>
        <w:t xml:space="preserve"> rang treatment for multiple types of neurodegeneration and neurodevelopmental</w:t>
      </w:r>
      <w:r w:rsidRPr="00B12FA8">
        <w:rPr>
          <w:rFonts w:asciiTheme="majorBidi" w:hAnsiTheme="majorBidi" w:cstheme="majorBidi"/>
        </w:rPr>
        <w:t>.</w:t>
      </w:r>
    </w:p>
    <w:p w14:paraId="4FBB1326" w14:textId="28B819F8" w:rsidR="00E568DB" w:rsidRPr="00B12FA8" w:rsidRDefault="00E568DB" w:rsidP="00C67B64">
      <w:pPr>
        <w:bidi w:val="0"/>
        <w:spacing w:before="20" w:afterLines="20" w:after="48" w:line="240" w:lineRule="auto"/>
        <w:ind w:firstLine="426"/>
        <w:contextualSpacing/>
        <w:jc w:val="both"/>
        <w:rPr>
          <w:rFonts w:asciiTheme="majorBidi" w:hAnsiTheme="majorBidi" w:cstheme="majorBidi"/>
        </w:rPr>
      </w:pPr>
    </w:p>
    <w:p w14:paraId="1291AF77" w14:textId="147C9B06" w:rsidR="00D87642" w:rsidRDefault="00AD68A7" w:rsidP="00C67B64">
      <w:pPr>
        <w:bidi w:val="0"/>
        <w:spacing w:before="20" w:afterLines="20" w:after="48" w:line="240" w:lineRule="auto"/>
        <w:contextualSpacing/>
        <w:jc w:val="both"/>
        <w:rPr>
          <w:rFonts w:asciiTheme="majorBidi" w:hAnsiTheme="majorBidi" w:cstheme="majorBidi"/>
        </w:rPr>
      </w:pPr>
      <w:r w:rsidRPr="00B12FA8">
        <w:rPr>
          <w:rFonts w:asciiTheme="majorBidi" w:hAnsiTheme="majorBidi" w:cstheme="majorBidi"/>
          <w:b/>
          <w:bCs/>
          <w:i/>
          <w:iCs/>
        </w:rPr>
        <w:t>Hypothesis or Objective:</w:t>
      </w:r>
      <w:r w:rsidRPr="00B12FA8">
        <w:rPr>
          <w:rFonts w:asciiTheme="majorBidi" w:hAnsiTheme="majorBidi" w:cstheme="majorBidi"/>
        </w:rPr>
        <w:t xml:space="preserve"> </w:t>
      </w:r>
      <w:r w:rsidR="001578B7" w:rsidRPr="00B12FA8">
        <w:rPr>
          <w:rFonts w:asciiTheme="majorBidi" w:hAnsiTheme="majorBidi" w:cstheme="majorBidi"/>
        </w:rPr>
        <w:t>Angelman syndrome is a genetic condition that affects the nervous system and causes severe learning</w:t>
      </w:r>
      <w:r w:rsidR="00D87642" w:rsidRPr="00B12FA8">
        <w:rPr>
          <w:rFonts w:asciiTheme="majorBidi" w:hAnsiTheme="majorBidi" w:cstheme="majorBidi"/>
        </w:rPr>
        <w:t xml:space="preserve"> and behavioral</w:t>
      </w:r>
      <w:r w:rsidR="001578B7" w:rsidRPr="00B12FA8">
        <w:rPr>
          <w:rFonts w:asciiTheme="majorBidi" w:hAnsiTheme="majorBidi" w:cstheme="majorBidi"/>
        </w:rPr>
        <w:t xml:space="preserve"> disabilities</w:t>
      </w:r>
      <w:r w:rsidR="00E568DB" w:rsidRPr="00B12FA8">
        <w:rPr>
          <w:rFonts w:asciiTheme="majorBidi" w:hAnsiTheme="majorBidi" w:cstheme="majorBidi"/>
        </w:rPr>
        <w:t>, and is</w:t>
      </w:r>
      <w:r w:rsidR="00390D22" w:rsidRPr="00B12FA8">
        <w:rPr>
          <w:rFonts w:asciiTheme="majorBidi" w:hAnsiTheme="majorBidi" w:cstheme="majorBidi"/>
        </w:rPr>
        <w:t xml:space="preserve"> </w:t>
      </w:r>
      <w:r w:rsidR="001578B7" w:rsidRPr="00B12FA8">
        <w:rPr>
          <w:rFonts w:asciiTheme="majorBidi" w:hAnsiTheme="majorBidi" w:cstheme="majorBidi"/>
        </w:rPr>
        <w:t xml:space="preserve">associated with aberrant cellular metabolism, calcium metabolism, and mitochondrial abnormalities. </w:t>
      </w:r>
      <w:r w:rsidR="00D87642" w:rsidRPr="00B12FA8">
        <w:rPr>
          <w:rFonts w:asciiTheme="majorBidi" w:hAnsiTheme="majorBidi" w:cstheme="majorBidi"/>
        </w:rPr>
        <w:t xml:space="preserve">Our preliminary studies concluded that </w:t>
      </w:r>
      <w:proofErr w:type="spellStart"/>
      <w:r w:rsidR="00D87642" w:rsidRPr="00B12FA8">
        <w:rPr>
          <w:rFonts w:asciiTheme="majorBidi" w:hAnsiTheme="majorBidi" w:cstheme="majorBidi"/>
        </w:rPr>
        <w:t>tDCS</w:t>
      </w:r>
      <w:proofErr w:type="spellEnd"/>
      <w:r w:rsidR="00D87642" w:rsidRPr="00B12FA8">
        <w:rPr>
          <w:rFonts w:asciiTheme="majorBidi" w:hAnsiTheme="majorBidi" w:cstheme="majorBidi"/>
        </w:rPr>
        <w:t xml:space="preserve"> </w:t>
      </w:r>
      <w:r w:rsidR="0069603D" w:rsidRPr="00B12FA8">
        <w:rPr>
          <w:rFonts w:asciiTheme="majorBidi" w:hAnsiTheme="majorBidi" w:cstheme="majorBidi"/>
        </w:rPr>
        <w:t>c</w:t>
      </w:r>
      <w:r w:rsidR="0069522B" w:rsidRPr="00B12FA8">
        <w:rPr>
          <w:rFonts w:asciiTheme="majorBidi" w:hAnsiTheme="majorBidi" w:cstheme="majorBidi"/>
        </w:rPr>
        <w:t>ould</w:t>
      </w:r>
      <w:r w:rsidR="0069603D" w:rsidRPr="00B12FA8">
        <w:rPr>
          <w:rFonts w:asciiTheme="majorBidi" w:hAnsiTheme="majorBidi" w:cstheme="majorBidi"/>
        </w:rPr>
        <w:t xml:space="preserve"> </w:t>
      </w:r>
      <w:r w:rsidR="00D87642" w:rsidRPr="00B12FA8">
        <w:rPr>
          <w:rFonts w:asciiTheme="majorBidi" w:hAnsiTheme="majorBidi" w:cstheme="majorBidi"/>
        </w:rPr>
        <w:t xml:space="preserve">improve the learning capabilities of </w:t>
      </w:r>
      <w:r w:rsidR="0069603D" w:rsidRPr="00B12FA8">
        <w:rPr>
          <w:rFonts w:asciiTheme="majorBidi" w:hAnsiTheme="majorBidi" w:cstheme="majorBidi"/>
        </w:rPr>
        <w:t xml:space="preserve">both </w:t>
      </w:r>
      <w:r w:rsidR="00D87642" w:rsidRPr="00B12FA8">
        <w:rPr>
          <w:rFonts w:asciiTheme="majorBidi" w:hAnsiTheme="majorBidi" w:cstheme="majorBidi"/>
        </w:rPr>
        <w:t>AS and WT mice (Fig</w:t>
      </w:r>
      <w:r w:rsidR="0069603D" w:rsidRPr="00B12FA8">
        <w:rPr>
          <w:rFonts w:asciiTheme="majorBidi" w:hAnsiTheme="majorBidi" w:cstheme="majorBidi"/>
        </w:rPr>
        <w:t>.</w:t>
      </w:r>
      <w:r w:rsidR="00D87642" w:rsidRPr="00B12FA8">
        <w:rPr>
          <w:rFonts w:asciiTheme="majorBidi" w:hAnsiTheme="majorBidi" w:cstheme="majorBidi"/>
        </w:rPr>
        <w:t xml:space="preserve"> </w:t>
      </w:r>
      <w:r w:rsidR="00E568DB" w:rsidRPr="00B12FA8">
        <w:rPr>
          <w:rFonts w:asciiTheme="majorBidi" w:hAnsiTheme="majorBidi" w:cstheme="majorBidi"/>
        </w:rPr>
        <w:t>1 and Fig.</w:t>
      </w:r>
      <w:r w:rsidR="000F7BBE" w:rsidRPr="00B12FA8">
        <w:rPr>
          <w:rFonts w:asciiTheme="majorBidi" w:hAnsiTheme="majorBidi" w:cstheme="majorBidi"/>
        </w:rPr>
        <w:t>2</w:t>
      </w:r>
      <w:r w:rsidR="00D87642" w:rsidRPr="00B12FA8">
        <w:rPr>
          <w:rFonts w:asciiTheme="majorBidi" w:hAnsiTheme="majorBidi" w:cstheme="majorBidi"/>
        </w:rPr>
        <w:t>)</w:t>
      </w:r>
      <w:r w:rsidR="006D5186" w:rsidRPr="00B12FA8">
        <w:rPr>
          <w:rFonts w:asciiTheme="majorBidi" w:hAnsiTheme="majorBidi" w:cstheme="majorBidi"/>
        </w:rPr>
        <w:t>,</w:t>
      </w:r>
      <w:r w:rsidR="0069522B" w:rsidRPr="00B12FA8">
        <w:rPr>
          <w:rFonts w:asciiTheme="majorBidi" w:hAnsiTheme="majorBidi" w:cstheme="majorBidi"/>
        </w:rPr>
        <w:t xml:space="preserve"> </w:t>
      </w:r>
      <w:r w:rsidR="00E568DB" w:rsidRPr="00B12FA8">
        <w:rPr>
          <w:rFonts w:asciiTheme="majorBidi" w:hAnsiTheme="majorBidi" w:cstheme="majorBidi"/>
        </w:rPr>
        <w:t xml:space="preserve">affect the level of </w:t>
      </w:r>
      <w:r w:rsidR="006D5186" w:rsidRPr="00B12FA8">
        <w:rPr>
          <w:rFonts w:asciiTheme="majorBidi" w:hAnsiTheme="majorBidi" w:cstheme="majorBidi"/>
        </w:rPr>
        <w:t xml:space="preserve">metabolites and </w:t>
      </w:r>
      <w:r w:rsidR="00E568DB" w:rsidRPr="00B12FA8">
        <w:rPr>
          <w:rFonts w:asciiTheme="majorBidi" w:hAnsiTheme="majorBidi" w:cstheme="majorBidi"/>
        </w:rPr>
        <w:t>neurotransmitters, like adenosine</w:t>
      </w:r>
      <w:r w:rsidR="0072701F" w:rsidRPr="00B12FA8">
        <w:rPr>
          <w:rFonts w:asciiTheme="majorBidi" w:hAnsiTheme="majorBidi" w:cstheme="majorBidi"/>
        </w:rPr>
        <w:t xml:space="preserve"> (Fig. </w:t>
      </w:r>
      <w:r w:rsidR="006D5186" w:rsidRPr="00B12FA8">
        <w:rPr>
          <w:rFonts w:asciiTheme="majorBidi" w:hAnsiTheme="majorBidi" w:cstheme="majorBidi"/>
        </w:rPr>
        <w:t>3</w:t>
      </w:r>
      <w:r w:rsidR="0072701F" w:rsidRPr="00B12FA8">
        <w:rPr>
          <w:rFonts w:asciiTheme="majorBidi" w:hAnsiTheme="majorBidi" w:cstheme="majorBidi"/>
        </w:rPr>
        <w:t>)</w:t>
      </w:r>
      <w:r w:rsidR="00E568DB" w:rsidRPr="00B12FA8">
        <w:rPr>
          <w:rFonts w:asciiTheme="majorBidi" w:hAnsiTheme="majorBidi" w:cstheme="majorBidi"/>
        </w:rPr>
        <w:t xml:space="preserve">, and </w:t>
      </w:r>
      <w:r w:rsidR="006D5186" w:rsidRPr="00B12FA8">
        <w:rPr>
          <w:rFonts w:asciiTheme="majorBidi" w:hAnsiTheme="majorBidi" w:cstheme="majorBidi"/>
        </w:rPr>
        <w:t xml:space="preserve">induces a shift in taurine </w:t>
      </w:r>
      <w:r w:rsidR="006D5186" w:rsidRPr="00B12FA8">
        <w:rPr>
          <w:rFonts w:asciiTheme="majorBidi" w:hAnsiTheme="majorBidi" w:cstheme="majorBidi"/>
          <w:vertAlign w:val="superscript"/>
        </w:rPr>
        <w:t>1</w:t>
      </w:r>
      <w:r w:rsidR="006D5186" w:rsidRPr="00B12FA8">
        <w:rPr>
          <w:rFonts w:asciiTheme="majorBidi" w:hAnsiTheme="majorBidi" w:cstheme="majorBidi"/>
        </w:rPr>
        <w:t>H</w:t>
      </w:r>
      <w:r w:rsidR="008D102D" w:rsidRPr="00B12FA8">
        <w:rPr>
          <w:rFonts w:asciiTheme="majorBidi" w:hAnsiTheme="majorBidi" w:cstheme="majorBidi"/>
        </w:rPr>
        <w:t xml:space="preserve"> nuclear magnetic resonance (</w:t>
      </w:r>
      <w:r w:rsidR="006D5186" w:rsidRPr="00B12FA8">
        <w:rPr>
          <w:rFonts w:asciiTheme="majorBidi" w:hAnsiTheme="majorBidi" w:cstheme="majorBidi"/>
        </w:rPr>
        <w:t>NMR</w:t>
      </w:r>
      <w:r w:rsidR="008D102D" w:rsidRPr="00B12FA8">
        <w:rPr>
          <w:rFonts w:asciiTheme="majorBidi" w:hAnsiTheme="majorBidi" w:cstheme="majorBidi"/>
        </w:rPr>
        <w:t>)</w:t>
      </w:r>
      <w:r w:rsidR="006D5186" w:rsidRPr="00B12FA8">
        <w:rPr>
          <w:rFonts w:asciiTheme="majorBidi" w:hAnsiTheme="majorBidi" w:cstheme="majorBidi"/>
        </w:rPr>
        <w:t xml:space="preserve"> spectrum indicating a </w:t>
      </w:r>
      <w:r w:rsidR="00E568DB" w:rsidRPr="00B12FA8">
        <w:rPr>
          <w:rFonts w:asciiTheme="majorBidi" w:hAnsiTheme="majorBidi" w:cstheme="majorBidi"/>
        </w:rPr>
        <w:t xml:space="preserve">mitochondrial </w:t>
      </w:r>
      <w:r w:rsidR="006D5186" w:rsidRPr="00B12FA8">
        <w:rPr>
          <w:rFonts w:asciiTheme="majorBidi" w:hAnsiTheme="majorBidi" w:cstheme="majorBidi"/>
        </w:rPr>
        <w:t>pH change</w:t>
      </w:r>
      <w:r w:rsidR="00E568DB" w:rsidRPr="00B12FA8">
        <w:rPr>
          <w:rFonts w:asciiTheme="majorBidi" w:hAnsiTheme="majorBidi" w:cstheme="majorBidi"/>
        </w:rPr>
        <w:t xml:space="preserve"> (Fig. 4)</w:t>
      </w:r>
      <w:r w:rsidR="00D87642" w:rsidRPr="00B12FA8">
        <w:rPr>
          <w:rFonts w:asciiTheme="majorBidi" w:hAnsiTheme="majorBidi" w:cstheme="majorBidi"/>
        </w:rPr>
        <w:t xml:space="preserve">. However, while </w:t>
      </w:r>
      <w:proofErr w:type="spellStart"/>
      <w:r w:rsidR="00D87642" w:rsidRPr="00B12FA8">
        <w:rPr>
          <w:rFonts w:asciiTheme="majorBidi" w:hAnsiTheme="majorBidi" w:cstheme="majorBidi"/>
        </w:rPr>
        <w:t>tDCS</w:t>
      </w:r>
      <w:proofErr w:type="spellEnd"/>
      <w:r w:rsidR="00D87642" w:rsidRPr="00B12FA8">
        <w:rPr>
          <w:rFonts w:asciiTheme="majorBidi" w:hAnsiTheme="majorBidi" w:cstheme="majorBidi"/>
        </w:rPr>
        <w:t xml:space="preserve"> appears to have an overall beneficiary effect on learning capabilities, the cellular mechanism</w:t>
      </w:r>
      <w:r w:rsidR="0069603D" w:rsidRPr="00B12FA8">
        <w:rPr>
          <w:rFonts w:asciiTheme="majorBidi" w:hAnsiTheme="majorBidi" w:cstheme="majorBidi"/>
        </w:rPr>
        <w:t>s by</w:t>
      </w:r>
      <w:r w:rsidR="006D5186" w:rsidRPr="00B12FA8">
        <w:rPr>
          <w:rFonts w:asciiTheme="majorBidi" w:hAnsiTheme="majorBidi" w:cstheme="majorBidi"/>
        </w:rPr>
        <w:t xml:space="preserve"> which</w:t>
      </w:r>
      <w:r w:rsidR="00D87642" w:rsidRPr="00B12FA8">
        <w:rPr>
          <w:rFonts w:asciiTheme="majorBidi" w:hAnsiTheme="majorBidi" w:cstheme="majorBidi"/>
        </w:rPr>
        <w:t xml:space="preserve"> </w:t>
      </w:r>
      <w:proofErr w:type="spellStart"/>
      <w:r w:rsidR="00D87642" w:rsidRPr="00B12FA8">
        <w:rPr>
          <w:rFonts w:asciiTheme="majorBidi" w:hAnsiTheme="majorBidi" w:cstheme="majorBidi"/>
        </w:rPr>
        <w:t>tDCS</w:t>
      </w:r>
      <w:proofErr w:type="spellEnd"/>
      <w:r w:rsidR="00D87642" w:rsidRPr="00B12FA8">
        <w:rPr>
          <w:rFonts w:asciiTheme="majorBidi" w:hAnsiTheme="majorBidi" w:cstheme="majorBidi"/>
        </w:rPr>
        <w:t xml:space="preserve"> </w:t>
      </w:r>
      <w:r w:rsidR="0069603D" w:rsidRPr="00B12FA8">
        <w:rPr>
          <w:rFonts w:asciiTheme="majorBidi" w:hAnsiTheme="majorBidi" w:cstheme="majorBidi"/>
        </w:rPr>
        <w:t>exerts its efficacy</w:t>
      </w:r>
      <w:r w:rsidR="0072701F" w:rsidRPr="00B12FA8">
        <w:rPr>
          <w:rFonts w:asciiTheme="majorBidi" w:hAnsiTheme="majorBidi" w:cstheme="majorBidi"/>
        </w:rPr>
        <w:t>,</w:t>
      </w:r>
      <w:r w:rsidR="0069603D" w:rsidRPr="00B12FA8">
        <w:rPr>
          <w:rFonts w:asciiTheme="majorBidi" w:hAnsiTheme="majorBidi" w:cstheme="majorBidi"/>
        </w:rPr>
        <w:t xml:space="preserve"> </w:t>
      </w:r>
      <w:r w:rsidR="00D87642" w:rsidRPr="00B12FA8">
        <w:rPr>
          <w:rFonts w:asciiTheme="majorBidi" w:hAnsiTheme="majorBidi" w:cstheme="majorBidi"/>
        </w:rPr>
        <w:t xml:space="preserve">and the </w:t>
      </w:r>
      <w:r w:rsidR="006D5186" w:rsidRPr="00B12FA8">
        <w:rPr>
          <w:rFonts w:asciiTheme="majorBidi" w:hAnsiTheme="majorBidi" w:cstheme="majorBidi"/>
        </w:rPr>
        <w:t>optimal stimulation parameters (e.g. intensity, duration)</w:t>
      </w:r>
      <w:r w:rsidR="00D87642" w:rsidRPr="00B12FA8">
        <w:rPr>
          <w:rFonts w:asciiTheme="majorBidi" w:hAnsiTheme="majorBidi" w:cstheme="majorBidi"/>
        </w:rPr>
        <w:t xml:space="preserve"> are still unknown. </w:t>
      </w:r>
      <w:r w:rsidR="00D87642" w:rsidRPr="00B12FA8">
        <w:rPr>
          <w:rFonts w:asciiTheme="majorBidi" w:hAnsiTheme="majorBidi" w:cstheme="majorBidi"/>
          <w:b/>
          <w:bCs/>
          <w:i/>
          <w:iCs/>
        </w:rPr>
        <w:t>For this reason, th</w:t>
      </w:r>
      <w:r w:rsidR="00A32DB7" w:rsidRPr="00B12FA8">
        <w:rPr>
          <w:rFonts w:asciiTheme="majorBidi" w:hAnsiTheme="majorBidi" w:cstheme="majorBidi"/>
          <w:b/>
          <w:bCs/>
          <w:i/>
          <w:iCs/>
        </w:rPr>
        <w:t>is proposed study aims t</w:t>
      </w:r>
      <w:r w:rsidR="00D87642" w:rsidRPr="00B12FA8">
        <w:rPr>
          <w:rFonts w:asciiTheme="majorBidi" w:hAnsiTheme="majorBidi" w:cstheme="majorBidi"/>
          <w:b/>
          <w:bCs/>
          <w:i/>
          <w:iCs/>
        </w:rPr>
        <w:t xml:space="preserve">o </w:t>
      </w:r>
      <w:bookmarkStart w:id="2" w:name="_Hlk124322987"/>
      <w:r w:rsidR="00A32DB7" w:rsidRPr="00B12FA8">
        <w:rPr>
          <w:rFonts w:asciiTheme="majorBidi" w:hAnsiTheme="majorBidi" w:cstheme="majorBidi"/>
          <w:b/>
          <w:bCs/>
          <w:i/>
          <w:iCs/>
        </w:rPr>
        <w:t xml:space="preserve">study the </w:t>
      </w:r>
      <w:r w:rsidR="00E568DB" w:rsidRPr="00B12FA8">
        <w:rPr>
          <w:rFonts w:asciiTheme="majorBidi" w:hAnsiTheme="majorBidi" w:cstheme="majorBidi"/>
          <w:b/>
          <w:bCs/>
          <w:i/>
          <w:iCs/>
        </w:rPr>
        <w:t xml:space="preserve">short and long-term </w:t>
      </w:r>
      <w:bookmarkEnd w:id="2"/>
      <w:r w:rsidR="009F2139" w:rsidRPr="00B12FA8">
        <w:rPr>
          <w:rFonts w:asciiTheme="majorBidi" w:hAnsiTheme="majorBidi" w:cstheme="majorBidi"/>
          <w:b/>
          <w:bCs/>
          <w:i/>
          <w:iCs/>
        </w:rPr>
        <w:t>metabolic</w:t>
      </w:r>
      <w:r w:rsidR="00D87642" w:rsidRPr="00B12FA8">
        <w:rPr>
          <w:rFonts w:asciiTheme="majorBidi" w:hAnsiTheme="majorBidi" w:cstheme="majorBidi"/>
          <w:b/>
          <w:bCs/>
          <w:i/>
          <w:iCs/>
        </w:rPr>
        <w:t xml:space="preserve"> effect</w:t>
      </w:r>
      <w:r w:rsidR="00C64A36" w:rsidRPr="00B12FA8">
        <w:rPr>
          <w:rFonts w:asciiTheme="majorBidi" w:hAnsiTheme="majorBidi" w:cstheme="majorBidi"/>
          <w:b/>
          <w:bCs/>
          <w:i/>
          <w:iCs/>
        </w:rPr>
        <w:t>s</w:t>
      </w:r>
      <w:r w:rsidR="00D87642" w:rsidRPr="00B12FA8">
        <w:rPr>
          <w:rFonts w:asciiTheme="majorBidi" w:hAnsiTheme="majorBidi" w:cstheme="majorBidi"/>
          <w:b/>
          <w:bCs/>
          <w:i/>
          <w:iCs/>
        </w:rPr>
        <w:t xml:space="preserve"> of </w:t>
      </w:r>
      <w:proofErr w:type="spellStart"/>
      <w:r w:rsidR="00D87642" w:rsidRPr="00B12FA8">
        <w:rPr>
          <w:rFonts w:asciiTheme="majorBidi" w:hAnsiTheme="majorBidi" w:cstheme="majorBidi"/>
          <w:b/>
          <w:bCs/>
          <w:i/>
          <w:iCs/>
        </w:rPr>
        <w:t>tDCS</w:t>
      </w:r>
      <w:proofErr w:type="spellEnd"/>
      <w:r w:rsidR="00D87642" w:rsidRPr="00B12FA8">
        <w:rPr>
          <w:rFonts w:asciiTheme="majorBidi" w:hAnsiTheme="majorBidi" w:cstheme="majorBidi"/>
          <w:b/>
          <w:bCs/>
          <w:i/>
          <w:iCs/>
        </w:rPr>
        <w:t xml:space="preserve"> in AS mic</w:t>
      </w:r>
      <w:r w:rsidR="00B42394" w:rsidRPr="00B12FA8">
        <w:rPr>
          <w:rFonts w:asciiTheme="majorBidi" w:hAnsiTheme="majorBidi" w:cstheme="majorBidi"/>
          <w:b/>
          <w:bCs/>
          <w:i/>
          <w:iCs/>
        </w:rPr>
        <w:t>e</w:t>
      </w:r>
      <w:r w:rsidR="00D87642" w:rsidRPr="00B12FA8">
        <w:rPr>
          <w:rFonts w:asciiTheme="majorBidi" w:hAnsiTheme="majorBidi" w:cstheme="majorBidi"/>
          <w:b/>
          <w:bCs/>
          <w:i/>
          <w:iCs/>
        </w:rPr>
        <w:t xml:space="preserve"> and the behavioral outcome of those treatments</w:t>
      </w:r>
      <w:r w:rsidR="00D87642" w:rsidRPr="00B12FA8">
        <w:rPr>
          <w:rFonts w:asciiTheme="majorBidi" w:hAnsiTheme="majorBidi" w:cstheme="majorBidi"/>
        </w:rPr>
        <w:t xml:space="preserve">. </w:t>
      </w:r>
    </w:p>
    <w:p w14:paraId="0B54007C" w14:textId="77777777" w:rsidR="00903289" w:rsidRPr="00B12FA8" w:rsidRDefault="00903289" w:rsidP="00C67B64">
      <w:pPr>
        <w:bidi w:val="0"/>
        <w:spacing w:before="20" w:afterLines="20" w:after="48" w:line="240" w:lineRule="auto"/>
        <w:contextualSpacing/>
        <w:jc w:val="both"/>
        <w:rPr>
          <w:rFonts w:asciiTheme="majorBidi" w:hAnsiTheme="majorBidi" w:cstheme="majorBidi"/>
        </w:rPr>
      </w:pPr>
    </w:p>
    <w:p w14:paraId="74662C94" w14:textId="73B071DA" w:rsidR="00097E8D" w:rsidRDefault="00097E8D" w:rsidP="00C67B64">
      <w:pPr>
        <w:bidi w:val="0"/>
        <w:spacing w:before="20" w:afterLines="20" w:after="48" w:line="240" w:lineRule="auto"/>
        <w:contextualSpacing/>
        <w:jc w:val="both"/>
        <w:rPr>
          <w:rFonts w:asciiTheme="majorBidi" w:hAnsiTheme="majorBidi" w:cstheme="majorBidi"/>
          <w:b/>
          <w:bCs/>
          <w:i/>
          <w:iCs/>
        </w:rPr>
      </w:pPr>
      <w:r w:rsidRPr="00B12FA8">
        <w:rPr>
          <w:rFonts w:asciiTheme="majorBidi" w:hAnsiTheme="majorBidi" w:cstheme="majorBidi"/>
          <w:b/>
          <w:bCs/>
          <w:i/>
          <w:iCs/>
        </w:rPr>
        <w:t>Specific Aims</w:t>
      </w:r>
      <w:r w:rsidRPr="00B12FA8">
        <w:rPr>
          <w:rFonts w:asciiTheme="majorBidi" w:hAnsiTheme="majorBidi" w:cstheme="majorBidi"/>
          <w:b/>
          <w:bCs/>
          <w:i/>
          <w:iCs/>
          <w:rtl/>
        </w:rPr>
        <w:t>:</w:t>
      </w:r>
    </w:p>
    <w:p w14:paraId="530CAF7B" w14:textId="77777777" w:rsidR="006F1997" w:rsidRPr="00B12FA8" w:rsidRDefault="006F1997" w:rsidP="00C67B64">
      <w:pPr>
        <w:bidi w:val="0"/>
        <w:spacing w:before="20" w:afterLines="20" w:after="48" w:line="240" w:lineRule="auto"/>
        <w:contextualSpacing/>
        <w:jc w:val="both"/>
        <w:rPr>
          <w:rFonts w:asciiTheme="majorBidi" w:hAnsiTheme="majorBidi" w:cstheme="majorBidi"/>
          <w:b/>
          <w:bCs/>
          <w:i/>
          <w:iCs/>
        </w:rPr>
      </w:pPr>
    </w:p>
    <w:p w14:paraId="0532ADA4" w14:textId="6D17D530" w:rsidR="00D06B62" w:rsidRDefault="00097E8D" w:rsidP="00C67B64">
      <w:pPr>
        <w:bidi w:val="0"/>
        <w:spacing w:before="20" w:afterLines="20" w:after="48" w:line="240" w:lineRule="auto"/>
        <w:contextualSpacing/>
        <w:jc w:val="both"/>
        <w:rPr>
          <w:rFonts w:asciiTheme="majorBidi" w:hAnsiTheme="majorBidi" w:cstheme="majorBidi"/>
        </w:rPr>
      </w:pPr>
      <w:r w:rsidRPr="00B12FA8">
        <w:rPr>
          <w:rFonts w:asciiTheme="majorBidi" w:hAnsiTheme="majorBidi" w:cstheme="majorBidi"/>
        </w:rPr>
        <w:t>1</w:t>
      </w:r>
      <w:r w:rsidR="00D06B62" w:rsidRPr="00B12FA8">
        <w:rPr>
          <w:rFonts w:asciiTheme="majorBidi" w:hAnsiTheme="majorBidi" w:cstheme="majorBidi"/>
        </w:rPr>
        <w:t xml:space="preserve">. To delineate </w:t>
      </w:r>
      <w:r w:rsidR="0069522B" w:rsidRPr="00B12FA8">
        <w:rPr>
          <w:rFonts w:asciiTheme="majorBidi" w:hAnsiTheme="majorBidi" w:cstheme="majorBidi"/>
        </w:rPr>
        <w:t>the short and long-term</w:t>
      </w:r>
      <w:r w:rsidR="00D06B62" w:rsidRPr="00B12FA8">
        <w:rPr>
          <w:rFonts w:asciiTheme="majorBidi" w:hAnsiTheme="majorBidi" w:cstheme="majorBidi"/>
        </w:rPr>
        <w:t xml:space="preserve"> effects of </w:t>
      </w:r>
      <w:proofErr w:type="spellStart"/>
      <w:r w:rsidR="00D06B62" w:rsidRPr="00B12FA8">
        <w:rPr>
          <w:rFonts w:asciiTheme="majorBidi" w:hAnsiTheme="majorBidi" w:cstheme="majorBidi"/>
        </w:rPr>
        <w:t>tDCS</w:t>
      </w:r>
      <w:proofErr w:type="spellEnd"/>
      <w:r w:rsidR="00D06B62" w:rsidRPr="00B12FA8">
        <w:rPr>
          <w:rFonts w:asciiTheme="majorBidi" w:hAnsiTheme="majorBidi" w:cstheme="majorBidi"/>
        </w:rPr>
        <w:t xml:space="preserve"> on behavioral phenotypes of </w:t>
      </w:r>
      <w:bookmarkStart w:id="3" w:name="_Hlk122594016"/>
      <w:r w:rsidR="00D06B62" w:rsidRPr="00B12FA8">
        <w:rPr>
          <w:rFonts w:asciiTheme="majorBidi" w:hAnsiTheme="majorBidi" w:cstheme="majorBidi"/>
        </w:rPr>
        <w:t xml:space="preserve">wild-type </w:t>
      </w:r>
      <w:bookmarkEnd w:id="3"/>
      <w:r w:rsidR="00D06B62" w:rsidRPr="00B12FA8">
        <w:rPr>
          <w:rFonts w:asciiTheme="majorBidi" w:hAnsiTheme="majorBidi" w:cstheme="majorBidi"/>
        </w:rPr>
        <w:t>and AS model mice.</w:t>
      </w:r>
    </w:p>
    <w:p w14:paraId="465A9410" w14:textId="77777777" w:rsidR="006F1997" w:rsidRPr="00B12FA8" w:rsidRDefault="006F1997" w:rsidP="00C67B64">
      <w:pPr>
        <w:bidi w:val="0"/>
        <w:spacing w:before="20" w:afterLines="20" w:after="48" w:line="240" w:lineRule="auto"/>
        <w:contextualSpacing/>
        <w:jc w:val="both"/>
        <w:rPr>
          <w:rFonts w:asciiTheme="majorBidi" w:hAnsiTheme="majorBidi" w:cstheme="majorBidi"/>
        </w:rPr>
      </w:pPr>
    </w:p>
    <w:p w14:paraId="00FB53F8" w14:textId="77F319E3" w:rsidR="00D06B62" w:rsidRPr="00B12FA8" w:rsidRDefault="00D06B62" w:rsidP="00C67B64">
      <w:pPr>
        <w:bidi w:val="0"/>
        <w:spacing w:before="20" w:afterLines="20" w:after="48" w:line="240" w:lineRule="auto"/>
        <w:contextualSpacing/>
        <w:jc w:val="both"/>
        <w:rPr>
          <w:rFonts w:asciiTheme="majorBidi" w:hAnsiTheme="majorBidi" w:cstheme="majorBidi"/>
        </w:rPr>
      </w:pPr>
      <w:r w:rsidRPr="00B12FA8">
        <w:rPr>
          <w:rFonts w:asciiTheme="majorBidi" w:hAnsiTheme="majorBidi" w:cstheme="majorBidi"/>
        </w:rPr>
        <w:t xml:space="preserve">2. To examine </w:t>
      </w:r>
      <w:r w:rsidR="0069522B" w:rsidRPr="00B12FA8">
        <w:rPr>
          <w:rFonts w:asciiTheme="majorBidi" w:hAnsiTheme="majorBidi" w:cstheme="majorBidi"/>
        </w:rPr>
        <w:t xml:space="preserve">the short and long-term </w:t>
      </w:r>
      <w:r w:rsidRPr="00B12FA8">
        <w:rPr>
          <w:rFonts w:asciiTheme="majorBidi" w:hAnsiTheme="majorBidi" w:cstheme="majorBidi"/>
        </w:rPr>
        <w:t xml:space="preserve">effects of </w:t>
      </w:r>
      <w:proofErr w:type="spellStart"/>
      <w:r w:rsidRPr="00B12FA8">
        <w:rPr>
          <w:rFonts w:asciiTheme="majorBidi" w:hAnsiTheme="majorBidi" w:cstheme="majorBidi"/>
        </w:rPr>
        <w:t>tDCS</w:t>
      </w:r>
      <w:proofErr w:type="spellEnd"/>
      <w:r w:rsidRPr="00B12FA8">
        <w:rPr>
          <w:rFonts w:asciiTheme="majorBidi" w:hAnsiTheme="majorBidi" w:cstheme="majorBidi"/>
        </w:rPr>
        <w:t xml:space="preserve"> on </w:t>
      </w:r>
      <w:r w:rsidR="0069522B" w:rsidRPr="00B12FA8">
        <w:rPr>
          <w:rFonts w:asciiTheme="majorBidi" w:hAnsiTheme="majorBidi" w:cstheme="majorBidi"/>
        </w:rPr>
        <w:t xml:space="preserve">the metabolic profile of </w:t>
      </w:r>
      <w:r w:rsidR="002156A7" w:rsidRPr="00B12FA8">
        <w:rPr>
          <w:rFonts w:asciiTheme="majorBidi" w:hAnsiTheme="majorBidi" w:cstheme="majorBidi"/>
        </w:rPr>
        <w:t>wild-type</w:t>
      </w:r>
      <w:r w:rsidRPr="00B12FA8">
        <w:rPr>
          <w:rFonts w:asciiTheme="majorBidi" w:hAnsiTheme="majorBidi" w:cstheme="majorBidi"/>
        </w:rPr>
        <w:t xml:space="preserve"> and AS</w:t>
      </w:r>
      <w:r w:rsidR="002156A7" w:rsidRPr="00B12FA8">
        <w:rPr>
          <w:rFonts w:asciiTheme="majorBidi" w:hAnsiTheme="majorBidi" w:cstheme="majorBidi"/>
        </w:rPr>
        <w:t xml:space="preserve"> model</w:t>
      </w:r>
      <w:r w:rsidRPr="00B12FA8">
        <w:rPr>
          <w:rFonts w:asciiTheme="majorBidi" w:hAnsiTheme="majorBidi" w:cstheme="majorBidi"/>
        </w:rPr>
        <w:t xml:space="preserve"> mice</w:t>
      </w:r>
      <w:r w:rsidR="00C64A36" w:rsidRPr="00B12FA8">
        <w:rPr>
          <w:rFonts w:asciiTheme="majorBidi" w:hAnsiTheme="majorBidi" w:cstheme="majorBidi"/>
        </w:rPr>
        <w:t>.</w:t>
      </w:r>
      <w:r w:rsidR="00693A52" w:rsidRPr="00B12FA8">
        <w:rPr>
          <w:rFonts w:asciiTheme="majorBidi" w:hAnsiTheme="majorBidi" w:cstheme="majorBidi"/>
          <w:noProof/>
        </w:rPr>
        <w:t xml:space="preserve"> </w:t>
      </w:r>
    </w:p>
    <w:p w14:paraId="0C1B75A3" w14:textId="77777777" w:rsidR="00903289" w:rsidRDefault="00903289" w:rsidP="00C67B64">
      <w:pPr>
        <w:bidi w:val="0"/>
        <w:spacing w:before="20" w:afterLines="20" w:after="48" w:line="240" w:lineRule="auto"/>
        <w:contextualSpacing/>
        <w:jc w:val="both"/>
        <w:rPr>
          <w:rFonts w:asciiTheme="majorBidi" w:hAnsiTheme="majorBidi" w:cstheme="majorBidi"/>
          <w:b/>
          <w:bCs/>
          <w:i/>
          <w:iCs/>
        </w:rPr>
      </w:pPr>
    </w:p>
    <w:p w14:paraId="2C01D737" w14:textId="4D2B2AF2" w:rsidR="002B66B5" w:rsidRPr="00B12FA8" w:rsidRDefault="00097E8D" w:rsidP="00C67B64">
      <w:pPr>
        <w:bidi w:val="0"/>
        <w:spacing w:before="20" w:afterLines="20" w:after="48" w:line="240" w:lineRule="auto"/>
        <w:contextualSpacing/>
        <w:jc w:val="both"/>
        <w:rPr>
          <w:rFonts w:asciiTheme="majorBidi" w:hAnsiTheme="majorBidi" w:cstheme="majorBidi"/>
        </w:rPr>
      </w:pPr>
      <w:r w:rsidRPr="00B12FA8">
        <w:rPr>
          <w:rFonts w:asciiTheme="majorBidi" w:hAnsiTheme="majorBidi" w:cstheme="majorBidi"/>
          <w:b/>
          <w:bCs/>
          <w:i/>
          <w:iCs/>
        </w:rPr>
        <w:t>The expected significance</w:t>
      </w:r>
      <w:r w:rsidRPr="00B12FA8">
        <w:rPr>
          <w:rFonts w:asciiTheme="majorBidi" w:hAnsiTheme="majorBidi" w:cstheme="majorBidi"/>
        </w:rPr>
        <w:t xml:space="preserve"> of the proposed study is </w:t>
      </w:r>
      <w:r w:rsidR="00693A52" w:rsidRPr="00B12FA8">
        <w:rPr>
          <w:rFonts w:asciiTheme="majorBidi" w:hAnsiTheme="majorBidi" w:cstheme="majorBidi"/>
        </w:rPr>
        <w:t>three</w:t>
      </w:r>
      <w:r w:rsidR="008D220C" w:rsidRPr="00B12FA8">
        <w:rPr>
          <w:rFonts w:asciiTheme="majorBidi" w:hAnsiTheme="majorBidi" w:cstheme="majorBidi"/>
        </w:rPr>
        <w:t>-</w:t>
      </w:r>
      <w:r w:rsidRPr="00B12FA8">
        <w:rPr>
          <w:rFonts w:asciiTheme="majorBidi" w:hAnsiTheme="majorBidi" w:cstheme="majorBidi"/>
        </w:rPr>
        <w:t xml:space="preserve">fold: </w:t>
      </w:r>
      <w:r w:rsidRPr="00B12FA8">
        <w:rPr>
          <w:rFonts w:asciiTheme="majorBidi" w:hAnsiTheme="majorBidi" w:cstheme="majorBidi"/>
          <w:b/>
          <w:bCs/>
        </w:rPr>
        <w:t>1)</w:t>
      </w:r>
      <w:r w:rsidRPr="00B12FA8">
        <w:rPr>
          <w:rFonts w:asciiTheme="majorBidi" w:hAnsiTheme="majorBidi" w:cstheme="majorBidi"/>
        </w:rPr>
        <w:t xml:space="preserve"> </w:t>
      </w:r>
      <w:r w:rsidR="0083332A" w:rsidRPr="00B12FA8">
        <w:rPr>
          <w:rFonts w:asciiTheme="majorBidi" w:hAnsiTheme="majorBidi" w:cstheme="majorBidi"/>
        </w:rPr>
        <w:t>A</w:t>
      </w:r>
      <w:r w:rsidR="00D87642" w:rsidRPr="00B12FA8">
        <w:rPr>
          <w:rFonts w:asciiTheme="majorBidi" w:hAnsiTheme="majorBidi" w:cstheme="majorBidi"/>
        </w:rPr>
        <w:t xml:space="preserve"> b</w:t>
      </w:r>
      <w:r w:rsidRPr="00B12FA8">
        <w:rPr>
          <w:rFonts w:asciiTheme="majorBidi" w:hAnsiTheme="majorBidi" w:cstheme="majorBidi"/>
        </w:rPr>
        <w:t xml:space="preserve">etter understanding of the cellular mechanisms underlying </w:t>
      </w:r>
      <w:proofErr w:type="spellStart"/>
      <w:r w:rsidRPr="00B12FA8">
        <w:rPr>
          <w:rFonts w:asciiTheme="majorBidi" w:hAnsiTheme="majorBidi" w:cstheme="majorBidi"/>
        </w:rPr>
        <w:t>tDCS</w:t>
      </w:r>
      <w:proofErr w:type="spellEnd"/>
      <w:r w:rsidRPr="00B12FA8">
        <w:rPr>
          <w:rFonts w:asciiTheme="majorBidi" w:hAnsiTheme="majorBidi" w:cstheme="majorBidi"/>
        </w:rPr>
        <w:t xml:space="preserve"> will enable </w:t>
      </w:r>
      <w:r w:rsidR="0069522B" w:rsidRPr="00B12FA8">
        <w:rPr>
          <w:rFonts w:asciiTheme="majorBidi" w:hAnsiTheme="majorBidi" w:cstheme="majorBidi"/>
        </w:rPr>
        <w:t xml:space="preserve">the development of </w:t>
      </w:r>
      <w:r w:rsidR="00D87642" w:rsidRPr="00B12FA8">
        <w:rPr>
          <w:rFonts w:asciiTheme="majorBidi" w:hAnsiTheme="majorBidi" w:cstheme="majorBidi"/>
        </w:rPr>
        <w:t xml:space="preserve">an </w:t>
      </w:r>
      <w:r w:rsidRPr="00B12FA8">
        <w:rPr>
          <w:rFonts w:asciiTheme="majorBidi" w:hAnsiTheme="majorBidi" w:cstheme="majorBidi"/>
        </w:rPr>
        <w:t xml:space="preserve">efficient </w:t>
      </w:r>
      <w:r w:rsidR="00D87642" w:rsidRPr="00B12FA8">
        <w:rPr>
          <w:rFonts w:asciiTheme="majorBidi" w:hAnsiTheme="majorBidi" w:cstheme="majorBidi"/>
        </w:rPr>
        <w:t>treatment regimen</w:t>
      </w:r>
      <w:r w:rsidRPr="00B12FA8">
        <w:rPr>
          <w:rFonts w:asciiTheme="majorBidi" w:hAnsiTheme="majorBidi" w:cstheme="majorBidi"/>
        </w:rPr>
        <w:t>, thus optimizing its use for any application</w:t>
      </w:r>
      <w:r w:rsidR="0085081C" w:rsidRPr="00B12FA8">
        <w:rPr>
          <w:rFonts w:asciiTheme="majorBidi" w:hAnsiTheme="majorBidi" w:cstheme="majorBidi"/>
        </w:rPr>
        <w:t>.</w:t>
      </w:r>
      <w:r w:rsidRPr="00B12FA8">
        <w:rPr>
          <w:rFonts w:asciiTheme="majorBidi" w:hAnsiTheme="majorBidi" w:cstheme="majorBidi"/>
        </w:rPr>
        <w:t xml:space="preserve"> </w:t>
      </w:r>
      <w:r w:rsidRPr="00B12FA8">
        <w:rPr>
          <w:rFonts w:asciiTheme="majorBidi" w:hAnsiTheme="majorBidi" w:cstheme="majorBidi"/>
          <w:b/>
          <w:bCs/>
        </w:rPr>
        <w:t>2)</w:t>
      </w:r>
      <w:r w:rsidRPr="00B12FA8">
        <w:rPr>
          <w:rFonts w:asciiTheme="majorBidi" w:hAnsiTheme="majorBidi" w:cstheme="majorBidi"/>
        </w:rPr>
        <w:t xml:space="preserve"> Understanding </w:t>
      </w:r>
      <w:proofErr w:type="spellStart"/>
      <w:r w:rsidRPr="00B12FA8">
        <w:rPr>
          <w:rFonts w:asciiTheme="majorBidi" w:hAnsiTheme="majorBidi" w:cstheme="majorBidi"/>
        </w:rPr>
        <w:t>tDCS</w:t>
      </w:r>
      <w:proofErr w:type="spellEnd"/>
      <w:r w:rsidRPr="00B12FA8">
        <w:rPr>
          <w:rFonts w:asciiTheme="majorBidi" w:hAnsiTheme="majorBidi" w:cstheme="majorBidi"/>
        </w:rPr>
        <w:t xml:space="preserve">-mediated </w:t>
      </w:r>
      <w:r w:rsidR="002702D9" w:rsidRPr="00B12FA8">
        <w:rPr>
          <w:rFonts w:asciiTheme="majorBidi" w:hAnsiTheme="majorBidi" w:cstheme="majorBidi"/>
        </w:rPr>
        <w:t xml:space="preserve">metabolic </w:t>
      </w:r>
      <w:r w:rsidRPr="00B12FA8">
        <w:rPr>
          <w:rFonts w:asciiTheme="majorBidi" w:hAnsiTheme="majorBidi" w:cstheme="majorBidi"/>
        </w:rPr>
        <w:t xml:space="preserve">mechanisms will facilitate the use of pharmacological agents that augment </w:t>
      </w:r>
      <w:proofErr w:type="spellStart"/>
      <w:r w:rsidRPr="00B12FA8">
        <w:rPr>
          <w:rFonts w:asciiTheme="majorBidi" w:hAnsiTheme="majorBidi" w:cstheme="majorBidi"/>
        </w:rPr>
        <w:t>tDCS</w:t>
      </w:r>
      <w:proofErr w:type="spellEnd"/>
      <w:r w:rsidRPr="00B12FA8">
        <w:rPr>
          <w:rFonts w:asciiTheme="majorBidi" w:hAnsiTheme="majorBidi" w:cstheme="majorBidi"/>
        </w:rPr>
        <w:t xml:space="preserve"> efficiency</w:t>
      </w:r>
      <w:r w:rsidR="0085081C" w:rsidRPr="00B12FA8">
        <w:rPr>
          <w:rFonts w:asciiTheme="majorBidi" w:hAnsiTheme="majorBidi" w:cstheme="majorBidi"/>
        </w:rPr>
        <w:t>.</w:t>
      </w:r>
      <w:r w:rsidRPr="00B12FA8">
        <w:rPr>
          <w:rFonts w:asciiTheme="majorBidi" w:hAnsiTheme="majorBidi" w:cstheme="majorBidi"/>
        </w:rPr>
        <w:t xml:space="preserve"> </w:t>
      </w:r>
      <w:r w:rsidR="00693A52" w:rsidRPr="00B12FA8">
        <w:rPr>
          <w:rFonts w:asciiTheme="majorBidi" w:hAnsiTheme="majorBidi" w:cstheme="majorBidi"/>
        </w:rPr>
        <w:t>3</w:t>
      </w:r>
      <w:r w:rsidR="00D87642" w:rsidRPr="00B12FA8">
        <w:rPr>
          <w:rFonts w:asciiTheme="majorBidi" w:hAnsiTheme="majorBidi" w:cstheme="majorBidi"/>
          <w:b/>
          <w:bCs/>
        </w:rPr>
        <w:t>)</w:t>
      </w:r>
      <w:r w:rsidR="00D87642" w:rsidRPr="00B12FA8">
        <w:rPr>
          <w:rFonts w:asciiTheme="majorBidi" w:hAnsiTheme="majorBidi" w:cstheme="majorBidi"/>
        </w:rPr>
        <w:t xml:space="preserve"> The test case of AS will support further studies for other neurodevelopmental disorders. Therefore, strategies that directly modify cellular functioning, brain region connectivity, or excitability, such as </w:t>
      </w:r>
      <w:proofErr w:type="spellStart"/>
      <w:r w:rsidR="00D87642" w:rsidRPr="00B12FA8">
        <w:rPr>
          <w:rFonts w:asciiTheme="majorBidi" w:hAnsiTheme="majorBidi" w:cstheme="majorBidi"/>
        </w:rPr>
        <w:t>tDCS</w:t>
      </w:r>
      <w:proofErr w:type="spellEnd"/>
      <w:r w:rsidR="00D87642" w:rsidRPr="00B12FA8">
        <w:rPr>
          <w:rFonts w:asciiTheme="majorBidi" w:hAnsiTheme="majorBidi" w:cstheme="majorBidi"/>
        </w:rPr>
        <w:t>, may offer a more practical approach to treating AS and</w:t>
      </w:r>
      <w:r w:rsidRPr="00B12FA8">
        <w:rPr>
          <w:rFonts w:asciiTheme="majorBidi" w:hAnsiTheme="majorBidi" w:cstheme="majorBidi"/>
        </w:rPr>
        <w:t xml:space="preserve"> </w:t>
      </w:r>
      <w:r w:rsidR="00D87642" w:rsidRPr="00B12FA8">
        <w:rPr>
          <w:rFonts w:asciiTheme="majorBidi" w:hAnsiTheme="majorBidi" w:cstheme="majorBidi"/>
        </w:rPr>
        <w:t xml:space="preserve">healthy individuals seeking to improve their learning capabilities. </w:t>
      </w:r>
    </w:p>
    <w:p w14:paraId="437AE871" w14:textId="5F59AD5D" w:rsidR="002702D9" w:rsidRPr="00B12FA8" w:rsidRDefault="002702D9" w:rsidP="00C67B64">
      <w:pPr>
        <w:bidi w:val="0"/>
        <w:spacing w:before="20" w:afterLines="20" w:after="48" w:line="240" w:lineRule="auto"/>
        <w:contextualSpacing/>
        <w:jc w:val="both"/>
        <w:rPr>
          <w:rFonts w:asciiTheme="majorBidi" w:hAnsiTheme="majorBidi" w:cstheme="majorBidi"/>
          <w:b/>
          <w:bCs/>
        </w:rPr>
      </w:pPr>
      <w:bookmarkStart w:id="4" w:name="_Hlk111046090"/>
    </w:p>
    <w:p w14:paraId="30E4D519" w14:textId="2D0B460A" w:rsidR="009F2267" w:rsidRPr="00B12FA8" w:rsidRDefault="006D5186" w:rsidP="00C67B64">
      <w:pPr>
        <w:bidi w:val="0"/>
        <w:spacing w:before="20" w:afterLines="20" w:after="48" w:line="240" w:lineRule="auto"/>
        <w:contextualSpacing/>
        <w:jc w:val="both"/>
        <w:rPr>
          <w:rFonts w:asciiTheme="majorBidi" w:hAnsiTheme="majorBidi" w:cstheme="majorBidi"/>
          <w:highlight w:val="yellow"/>
        </w:rPr>
      </w:pPr>
      <w:r w:rsidRPr="00B12FA8">
        <w:rPr>
          <w:rFonts w:asciiTheme="majorBidi" w:hAnsiTheme="majorBidi" w:cstheme="majorBidi"/>
          <w:b/>
          <w:bCs/>
          <w:i/>
          <w:iCs/>
        </w:rPr>
        <w:t>Strength of collaboration</w:t>
      </w:r>
      <w:r w:rsidR="009F2267" w:rsidRPr="00B12FA8">
        <w:rPr>
          <w:rFonts w:asciiTheme="majorBidi" w:hAnsiTheme="majorBidi" w:cstheme="majorBidi"/>
          <w:b/>
          <w:bCs/>
          <w:i/>
          <w:iCs/>
        </w:rPr>
        <w:t>:</w:t>
      </w:r>
      <w:r w:rsidR="00C23A45" w:rsidRPr="00B12FA8">
        <w:rPr>
          <w:rFonts w:asciiTheme="majorBidi" w:hAnsiTheme="majorBidi" w:cstheme="majorBidi"/>
        </w:rPr>
        <w:t xml:space="preserve"> </w:t>
      </w:r>
      <w:r w:rsidR="008D220C" w:rsidRPr="00B12FA8">
        <w:rPr>
          <w:rFonts w:asciiTheme="majorBidi" w:hAnsiTheme="majorBidi" w:cstheme="majorBidi"/>
        </w:rPr>
        <w:t xml:space="preserve">This </w:t>
      </w:r>
      <w:r w:rsidR="00F52BBB" w:rsidRPr="00B12FA8">
        <w:rPr>
          <w:rFonts w:asciiTheme="majorBidi" w:hAnsiTheme="majorBidi" w:cstheme="majorBidi"/>
        </w:rPr>
        <w:t xml:space="preserve">research project is a collaboration </w:t>
      </w:r>
      <w:r w:rsidR="008D220C" w:rsidRPr="00B12FA8">
        <w:rPr>
          <w:rFonts w:asciiTheme="majorBidi" w:hAnsiTheme="majorBidi" w:cstheme="majorBidi"/>
        </w:rPr>
        <w:t xml:space="preserve">between </w:t>
      </w:r>
      <w:r w:rsidR="00F52BBB" w:rsidRPr="00B12FA8">
        <w:rPr>
          <w:rFonts w:asciiTheme="majorBidi" w:hAnsiTheme="majorBidi" w:cstheme="majorBidi"/>
        </w:rPr>
        <w:t xml:space="preserve">two scientists who are experts in two </w:t>
      </w:r>
      <w:r w:rsidR="008D220C" w:rsidRPr="00B12FA8">
        <w:rPr>
          <w:rFonts w:asciiTheme="majorBidi" w:hAnsiTheme="majorBidi" w:cstheme="majorBidi"/>
        </w:rPr>
        <w:t xml:space="preserve">distinct </w:t>
      </w:r>
      <w:r w:rsidR="00F52BBB" w:rsidRPr="00B12FA8">
        <w:rPr>
          <w:rFonts w:asciiTheme="majorBidi" w:hAnsiTheme="majorBidi" w:cstheme="majorBidi"/>
        </w:rPr>
        <w:t xml:space="preserve">disciplines. Prof. </w:t>
      </w:r>
      <w:proofErr w:type="spellStart"/>
      <w:r w:rsidR="00F52BBB" w:rsidRPr="00B12FA8">
        <w:rPr>
          <w:rFonts w:asciiTheme="majorBidi" w:hAnsiTheme="majorBidi" w:cstheme="majorBidi"/>
        </w:rPr>
        <w:t>Kaphzan</w:t>
      </w:r>
      <w:proofErr w:type="spellEnd"/>
      <w:r w:rsidR="00F52BBB" w:rsidRPr="00B12FA8">
        <w:rPr>
          <w:rFonts w:asciiTheme="majorBidi" w:hAnsiTheme="majorBidi" w:cstheme="majorBidi"/>
        </w:rPr>
        <w:t xml:space="preserve"> is a neuroscientist and a psychiatrist who has a firm background in basic neuroscience, as well as vast clinical experience. As a practicing clinician, </w:t>
      </w:r>
      <w:r w:rsidR="008D220C" w:rsidRPr="00B12FA8">
        <w:rPr>
          <w:rFonts w:asciiTheme="majorBidi" w:hAnsiTheme="majorBidi" w:cstheme="majorBidi"/>
        </w:rPr>
        <w:t>P</w:t>
      </w:r>
      <w:r w:rsidR="00F52BBB" w:rsidRPr="00B12FA8">
        <w:rPr>
          <w:rFonts w:asciiTheme="majorBidi" w:hAnsiTheme="majorBidi" w:cstheme="majorBidi"/>
        </w:rPr>
        <w:t xml:space="preserve">rof. </w:t>
      </w:r>
      <w:proofErr w:type="spellStart"/>
      <w:r w:rsidR="00F52BBB" w:rsidRPr="00B12FA8">
        <w:rPr>
          <w:rFonts w:asciiTheme="majorBidi" w:hAnsiTheme="majorBidi" w:cstheme="majorBidi"/>
        </w:rPr>
        <w:t>Kaphzan</w:t>
      </w:r>
      <w:proofErr w:type="spellEnd"/>
      <w:r w:rsidR="00F52BBB" w:rsidRPr="00B12FA8">
        <w:rPr>
          <w:rFonts w:asciiTheme="majorBidi" w:hAnsiTheme="majorBidi" w:cstheme="majorBidi"/>
        </w:rPr>
        <w:t xml:space="preserve"> is committed to </w:t>
      </w:r>
      <w:r w:rsidR="008D220C" w:rsidRPr="00B12FA8">
        <w:rPr>
          <w:rFonts w:asciiTheme="majorBidi" w:hAnsiTheme="majorBidi" w:cstheme="majorBidi"/>
        </w:rPr>
        <w:t xml:space="preserve">using </w:t>
      </w:r>
      <w:r w:rsidR="00F52BBB" w:rsidRPr="00B12FA8">
        <w:rPr>
          <w:rFonts w:asciiTheme="majorBidi" w:hAnsiTheme="majorBidi" w:cstheme="majorBidi"/>
        </w:rPr>
        <w:t xml:space="preserve">his resources and knowledge to develop novel therapies to treat neurodevelopmental disorders. In particular, </w:t>
      </w:r>
      <w:r w:rsidR="008D220C" w:rsidRPr="00B12FA8">
        <w:rPr>
          <w:rFonts w:asciiTheme="majorBidi" w:hAnsiTheme="majorBidi" w:cstheme="majorBidi"/>
        </w:rPr>
        <w:t>P</w:t>
      </w:r>
      <w:r w:rsidR="00F52BBB" w:rsidRPr="00B12FA8">
        <w:rPr>
          <w:rFonts w:asciiTheme="majorBidi" w:hAnsiTheme="majorBidi" w:cstheme="majorBidi"/>
        </w:rPr>
        <w:t xml:space="preserve">rof. </w:t>
      </w:r>
      <w:proofErr w:type="spellStart"/>
      <w:r w:rsidR="00F52BBB" w:rsidRPr="00B12FA8">
        <w:rPr>
          <w:rFonts w:asciiTheme="majorBidi" w:hAnsiTheme="majorBidi" w:cstheme="majorBidi"/>
        </w:rPr>
        <w:t>Kaphzan</w:t>
      </w:r>
      <w:proofErr w:type="spellEnd"/>
      <w:r w:rsidR="00F52BBB" w:rsidRPr="00B12FA8">
        <w:rPr>
          <w:rFonts w:asciiTheme="majorBidi" w:hAnsiTheme="majorBidi" w:cstheme="majorBidi"/>
        </w:rPr>
        <w:t xml:space="preserve"> is a known expert in the neurobiology of neurodevelopmental disorders, with a </w:t>
      </w:r>
      <w:r w:rsidR="008D220C" w:rsidRPr="00B12FA8">
        <w:rPr>
          <w:rFonts w:asciiTheme="majorBidi" w:hAnsiTheme="majorBidi" w:cstheme="majorBidi"/>
        </w:rPr>
        <w:t xml:space="preserve">particularly prominent </w:t>
      </w:r>
      <w:r w:rsidR="00F52BBB" w:rsidRPr="00B12FA8">
        <w:rPr>
          <w:rFonts w:asciiTheme="majorBidi" w:hAnsiTheme="majorBidi" w:cstheme="majorBidi"/>
        </w:rPr>
        <w:t xml:space="preserve">reputation in </w:t>
      </w:r>
      <w:r w:rsidR="008D220C" w:rsidRPr="00B12FA8">
        <w:rPr>
          <w:rFonts w:asciiTheme="majorBidi" w:hAnsiTheme="majorBidi" w:cstheme="majorBidi"/>
        </w:rPr>
        <w:t xml:space="preserve">the </w:t>
      </w:r>
      <w:r w:rsidR="00F52BBB" w:rsidRPr="00B12FA8">
        <w:rPr>
          <w:rFonts w:asciiTheme="majorBidi" w:hAnsiTheme="majorBidi" w:cstheme="majorBidi"/>
        </w:rPr>
        <w:t>Angelman syndrome</w:t>
      </w:r>
      <w:r w:rsidR="008D220C" w:rsidRPr="00B12FA8">
        <w:rPr>
          <w:rFonts w:asciiTheme="majorBidi" w:hAnsiTheme="majorBidi" w:cstheme="majorBidi"/>
        </w:rPr>
        <w:t xml:space="preserve"> field</w:t>
      </w:r>
      <w:r w:rsidR="00F52BBB" w:rsidRPr="00B12FA8">
        <w:rPr>
          <w:rFonts w:asciiTheme="majorBidi" w:hAnsiTheme="majorBidi" w:cstheme="majorBidi"/>
        </w:rPr>
        <w:t xml:space="preserve">. He is on the scientific advisory board for the international Angelman syndrome alliance. Prof. Goobes is </w:t>
      </w:r>
      <w:r w:rsidR="008D220C" w:rsidRPr="00B12FA8">
        <w:rPr>
          <w:rFonts w:asciiTheme="majorBidi" w:hAnsiTheme="majorBidi" w:cstheme="majorBidi"/>
        </w:rPr>
        <w:t xml:space="preserve">a </w:t>
      </w:r>
      <w:r w:rsidR="00F52BBB" w:rsidRPr="00B12FA8">
        <w:rPr>
          <w:rFonts w:asciiTheme="majorBidi" w:hAnsiTheme="majorBidi" w:cstheme="majorBidi"/>
        </w:rPr>
        <w:t xml:space="preserve">physical chemist and a </w:t>
      </w:r>
      <w:r w:rsidR="008D220C" w:rsidRPr="00B12FA8">
        <w:rPr>
          <w:rFonts w:asciiTheme="majorBidi" w:hAnsiTheme="majorBidi" w:cstheme="majorBidi"/>
        </w:rPr>
        <w:t xml:space="preserve">leading </w:t>
      </w:r>
      <w:r w:rsidR="00F52BBB" w:rsidRPr="00B12FA8">
        <w:rPr>
          <w:rFonts w:asciiTheme="majorBidi" w:hAnsiTheme="majorBidi" w:cstheme="majorBidi"/>
        </w:rPr>
        <w:t xml:space="preserve">expert in </w:t>
      </w:r>
      <w:r w:rsidR="008D220C" w:rsidRPr="00B12FA8">
        <w:rPr>
          <w:rFonts w:asciiTheme="majorBidi" w:hAnsiTheme="majorBidi" w:cstheme="majorBidi"/>
        </w:rPr>
        <w:t xml:space="preserve">the </w:t>
      </w:r>
      <w:r w:rsidR="009001CB" w:rsidRPr="00B12FA8">
        <w:rPr>
          <w:rFonts w:asciiTheme="majorBidi" w:hAnsiTheme="majorBidi" w:cstheme="majorBidi"/>
        </w:rPr>
        <w:t xml:space="preserve">biomolecular NMR spectroscopy and </w:t>
      </w:r>
      <w:r w:rsidR="00F52BBB" w:rsidRPr="00B12FA8">
        <w:rPr>
          <w:rFonts w:asciiTheme="majorBidi" w:hAnsiTheme="majorBidi" w:cstheme="majorBidi"/>
        </w:rPr>
        <w:t xml:space="preserve">high-resolution molecular characterization of </w:t>
      </w:r>
      <w:r w:rsidR="009001CB" w:rsidRPr="00B12FA8">
        <w:rPr>
          <w:rFonts w:asciiTheme="majorBidi" w:hAnsiTheme="majorBidi" w:cstheme="majorBidi"/>
        </w:rPr>
        <w:t>biomolecules</w:t>
      </w:r>
      <w:r w:rsidR="009E06DA">
        <w:rPr>
          <w:rFonts w:asciiTheme="majorBidi" w:hAnsiTheme="majorBidi" w:cstheme="majorBidi"/>
        </w:rPr>
        <w:t>,</w:t>
      </w:r>
      <w:r w:rsidR="009001CB" w:rsidRPr="00B12FA8">
        <w:rPr>
          <w:rFonts w:asciiTheme="majorBidi" w:hAnsiTheme="majorBidi" w:cstheme="majorBidi"/>
        </w:rPr>
        <w:t xml:space="preserve"> including </w:t>
      </w:r>
      <w:r w:rsidR="00F52BBB" w:rsidRPr="00B12FA8">
        <w:rPr>
          <w:rFonts w:asciiTheme="majorBidi" w:hAnsiTheme="majorBidi" w:cstheme="majorBidi"/>
        </w:rPr>
        <w:t xml:space="preserve">metabolites using state-of-the-art liquid NMR spectroscopy. </w:t>
      </w:r>
      <w:r w:rsidR="00693A52" w:rsidRPr="00B12FA8">
        <w:rPr>
          <w:rFonts w:asciiTheme="majorBidi" w:hAnsiTheme="majorBidi" w:cstheme="majorBidi"/>
        </w:rPr>
        <w:t>Combining</w:t>
      </w:r>
      <w:r w:rsidR="008D220C" w:rsidRPr="00B12FA8">
        <w:rPr>
          <w:rFonts w:asciiTheme="majorBidi" w:hAnsiTheme="majorBidi" w:cstheme="majorBidi"/>
        </w:rPr>
        <w:t xml:space="preserve"> these two forms of expertise will also enable the correlation of the </w:t>
      </w:r>
      <w:r w:rsidR="00F52BBB" w:rsidRPr="00B12FA8">
        <w:rPr>
          <w:rFonts w:asciiTheme="majorBidi" w:hAnsiTheme="majorBidi" w:cstheme="majorBidi"/>
        </w:rPr>
        <w:t xml:space="preserve">metabolic effects of any intervention </w:t>
      </w:r>
      <w:r w:rsidR="008D220C" w:rsidRPr="00B12FA8">
        <w:rPr>
          <w:rFonts w:asciiTheme="majorBidi" w:hAnsiTheme="majorBidi" w:cstheme="majorBidi"/>
        </w:rPr>
        <w:t xml:space="preserve">with </w:t>
      </w:r>
      <w:r w:rsidR="00F52BBB" w:rsidRPr="00B12FA8">
        <w:rPr>
          <w:rFonts w:asciiTheme="majorBidi" w:hAnsiTheme="majorBidi" w:cstheme="majorBidi"/>
        </w:rPr>
        <w:t>the effects on brain function</w:t>
      </w:r>
      <w:r w:rsidR="008D220C" w:rsidRPr="00B12FA8">
        <w:rPr>
          <w:rFonts w:asciiTheme="majorBidi" w:hAnsiTheme="majorBidi" w:cstheme="majorBidi"/>
        </w:rPr>
        <w:t>ality.</w:t>
      </w:r>
      <w:r w:rsidR="00F52BBB" w:rsidRPr="00B12FA8">
        <w:rPr>
          <w:rFonts w:asciiTheme="majorBidi" w:hAnsiTheme="majorBidi" w:cstheme="majorBidi"/>
        </w:rPr>
        <w:t xml:space="preserve"> </w:t>
      </w:r>
      <w:r w:rsidR="008D220C" w:rsidRPr="00B12FA8">
        <w:rPr>
          <w:rFonts w:asciiTheme="majorBidi" w:hAnsiTheme="majorBidi" w:cstheme="majorBidi"/>
        </w:rPr>
        <w:t xml:space="preserve">Such collaborations are rare, and this work thus has the potential to yield </w:t>
      </w:r>
      <w:r w:rsidR="00F52BBB" w:rsidRPr="00B12FA8">
        <w:rPr>
          <w:rFonts w:asciiTheme="majorBidi" w:hAnsiTheme="majorBidi" w:cstheme="majorBidi"/>
        </w:rPr>
        <w:t xml:space="preserve">discoveries that will revolutionize </w:t>
      </w:r>
      <w:r w:rsidR="0069522B" w:rsidRPr="00B12FA8">
        <w:rPr>
          <w:rFonts w:asciiTheme="majorBidi" w:hAnsiTheme="majorBidi" w:cstheme="majorBidi"/>
        </w:rPr>
        <w:t xml:space="preserve">the </w:t>
      </w:r>
      <w:r w:rsidR="008D220C" w:rsidRPr="00B12FA8">
        <w:rPr>
          <w:rFonts w:asciiTheme="majorBidi" w:hAnsiTheme="majorBidi" w:cstheme="majorBidi"/>
        </w:rPr>
        <w:t>curren</w:t>
      </w:r>
      <w:r w:rsidR="002156A7" w:rsidRPr="00B12FA8">
        <w:rPr>
          <w:rFonts w:asciiTheme="majorBidi" w:hAnsiTheme="majorBidi" w:cstheme="majorBidi"/>
        </w:rPr>
        <w:t>t</w:t>
      </w:r>
      <w:r w:rsidR="008D220C" w:rsidRPr="00B12FA8">
        <w:rPr>
          <w:rFonts w:asciiTheme="majorBidi" w:hAnsiTheme="majorBidi" w:cstheme="majorBidi"/>
        </w:rPr>
        <w:t xml:space="preserve"> understanding of the etiology and treatment of </w:t>
      </w:r>
      <w:r w:rsidR="00F52BBB" w:rsidRPr="00B12FA8">
        <w:rPr>
          <w:rFonts w:asciiTheme="majorBidi" w:hAnsiTheme="majorBidi" w:cstheme="majorBidi"/>
        </w:rPr>
        <w:t>autism spectrum disorders.</w:t>
      </w:r>
      <w:r w:rsidR="00693A52" w:rsidRPr="00B12FA8">
        <w:rPr>
          <w:rFonts w:asciiTheme="majorBidi" w:hAnsiTheme="majorBidi" w:cstheme="majorBidi"/>
        </w:rPr>
        <w:t xml:space="preserve"> </w:t>
      </w:r>
      <w:r w:rsidR="00F52BBB" w:rsidRPr="00B12FA8">
        <w:rPr>
          <w:rFonts w:asciiTheme="majorBidi" w:hAnsiTheme="majorBidi" w:cstheme="majorBidi"/>
        </w:rPr>
        <w:t>This joint</w:t>
      </w:r>
      <w:r w:rsidR="008D220C" w:rsidRPr="00B12FA8">
        <w:rPr>
          <w:rFonts w:asciiTheme="majorBidi" w:hAnsiTheme="majorBidi" w:cstheme="majorBidi"/>
        </w:rPr>
        <w:t xml:space="preserve"> research</w:t>
      </w:r>
      <w:r w:rsidR="00F52BBB" w:rsidRPr="00B12FA8">
        <w:rPr>
          <w:rFonts w:asciiTheme="majorBidi" w:hAnsiTheme="majorBidi" w:cstheme="majorBidi"/>
        </w:rPr>
        <w:t xml:space="preserve"> effort has </w:t>
      </w:r>
      <w:r w:rsidR="001567A6">
        <w:rPr>
          <w:rFonts w:asciiTheme="majorBidi" w:hAnsiTheme="majorBidi" w:cstheme="majorBidi"/>
        </w:rPr>
        <w:t xml:space="preserve">already </w:t>
      </w:r>
      <w:r w:rsidR="00F52BBB" w:rsidRPr="00B12FA8">
        <w:rPr>
          <w:rFonts w:asciiTheme="majorBidi" w:hAnsiTheme="majorBidi" w:cstheme="majorBidi"/>
        </w:rPr>
        <w:t xml:space="preserve">yielded </w:t>
      </w:r>
      <w:r w:rsidRPr="00B12FA8">
        <w:rPr>
          <w:rFonts w:asciiTheme="majorBidi" w:hAnsiTheme="majorBidi" w:cstheme="majorBidi"/>
        </w:rPr>
        <w:t xml:space="preserve">promising </w:t>
      </w:r>
      <w:r w:rsidR="00F52BBB" w:rsidRPr="00B12FA8">
        <w:rPr>
          <w:rFonts w:asciiTheme="majorBidi" w:hAnsiTheme="majorBidi" w:cstheme="majorBidi"/>
        </w:rPr>
        <w:t xml:space="preserve">preliminary results </w:t>
      </w:r>
      <w:r w:rsidR="00835224" w:rsidRPr="00B12FA8">
        <w:rPr>
          <w:rFonts w:asciiTheme="majorBidi" w:hAnsiTheme="majorBidi" w:cstheme="majorBidi"/>
        </w:rPr>
        <w:t xml:space="preserve">(see </w:t>
      </w:r>
      <w:r w:rsidRPr="00B12FA8">
        <w:rPr>
          <w:rFonts w:asciiTheme="majorBidi" w:hAnsiTheme="majorBidi" w:cstheme="majorBidi"/>
          <w:b/>
          <w:bCs/>
        </w:rPr>
        <w:t>F</w:t>
      </w:r>
      <w:r w:rsidR="00835224" w:rsidRPr="00B12FA8">
        <w:rPr>
          <w:rFonts w:asciiTheme="majorBidi" w:hAnsiTheme="majorBidi" w:cstheme="majorBidi"/>
          <w:b/>
          <w:bCs/>
        </w:rPr>
        <w:t>ig</w:t>
      </w:r>
      <w:r w:rsidRPr="00B12FA8">
        <w:rPr>
          <w:rFonts w:asciiTheme="majorBidi" w:hAnsiTheme="majorBidi" w:cstheme="majorBidi"/>
          <w:b/>
          <w:bCs/>
        </w:rPr>
        <w:t>.</w:t>
      </w:r>
      <w:r w:rsidR="00835224" w:rsidRPr="00B12FA8">
        <w:rPr>
          <w:rFonts w:asciiTheme="majorBidi" w:hAnsiTheme="majorBidi" w:cstheme="majorBidi"/>
          <w:b/>
          <w:bCs/>
        </w:rPr>
        <w:t xml:space="preserve"> 4</w:t>
      </w:r>
      <w:r w:rsidR="00835224" w:rsidRPr="00B12FA8">
        <w:rPr>
          <w:rFonts w:asciiTheme="majorBidi" w:hAnsiTheme="majorBidi" w:cstheme="majorBidi"/>
        </w:rPr>
        <w:t>)</w:t>
      </w:r>
      <w:r w:rsidR="00F52BBB" w:rsidRPr="00B12FA8">
        <w:rPr>
          <w:rFonts w:asciiTheme="majorBidi" w:hAnsiTheme="majorBidi" w:cstheme="majorBidi"/>
        </w:rPr>
        <w:t xml:space="preserve">.      </w:t>
      </w:r>
    </w:p>
    <w:bookmarkEnd w:id="4"/>
    <w:p w14:paraId="2E4F2C18" w14:textId="6F2FB5E0" w:rsidR="00895A3E" w:rsidRPr="00B12FA8" w:rsidRDefault="0059724A" w:rsidP="00C67B64">
      <w:pPr>
        <w:bidi w:val="0"/>
        <w:spacing w:before="20" w:afterLines="20" w:after="48" w:line="240" w:lineRule="auto"/>
        <w:contextualSpacing/>
        <w:jc w:val="both"/>
        <w:rPr>
          <w:rFonts w:asciiTheme="majorBidi" w:eastAsiaTheme="minorEastAsia" w:hAnsiTheme="majorBidi" w:cstheme="majorBidi"/>
          <w:b/>
          <w:bCs/>
          <w:i/>
          <w:iCs/>
          <w:color w:val="000000" w:themeColor="text1"/>
          <w:kern w:val="24"/>
          <w:u w:val="single"/>
        </w:rPr>
      </w:pPr>
      <w:r w:rsidRPr="00B275CF">
        <w:rPr>
          <w:rFonts w:asciiTheme="majorBidi" w:eastAsiaTheme="minorEastAsia" w:hAnsiTheme="majorBidi" w:cstheme="majorBidi"/>
          <w:b/>
          <w:bCs/>
          <w:i/>
          <w:iCs/>
          <w:color w:val="000000" w:themeColor="text1"/>
          <w:kern w:val="24"/>
        </w:rPr>
        <w:lastRenderedPageBreak/>
        <w:t>Visual Abstract</w:t>
      </w:r>
      <w:r w:rsidR="00B12FA8" w:rsidRPr="00B275CF">
        <w:rPr>
          <w:rFonts w:asciiTheme="majorBidi" w:eastAsiaTheme="minorEastAsia" w:hAnsiTheme="majorBidi" w:cstheme="majorBidi"/>
          <w:b/>
          <w:bCs/>
          <w:i/>
          <w:iCs/>
          <w:color w:val="000000" w:themeColor="text1"/>
          <w:kern w:val="24"/>
        </w:rPr>
        <w:t>:</w:t>
      </w:r>
    </w:p>
    <w:p w14:paraId="0AFCD9A8" w14:textId="35AE9AC9" w:rsidR="00201B25" w:rsidRPr="00B12FA8" w:rsidRDefault="005012FF" w:rsidP="00C67B64">
      <w:pPr>
        <w:bidi w:val="0"/>
        <w:spacing w:before="20" w:afterLines="20" w:after="48" w:line="240" w:lineRule="auto"/>
        <w:ind w:firstLine="720"/>
        <w:contextualSpacing/>
        <w:jc w:val="center"/>
        <w:rPr>
          <w:rFonts w:asciiTheme="majorBidi" w:hAnsiTheme="majorBidi" w:cstheme="majorBidi"/>
          <w:b/>
          <w:bCs/>
          <w:i/>
          <w:iCs/>
        </w:rPr>
      </w:pPr>
      <w:r>
        <w:rPr>
          <w:noProof/>
        </w:rPr>
        <w:drawing>
          <wp:inline distT="0" distB="0" distL="0" distR="0" wp14:anchorId="7F3A7F17" wp14:editId="7B76889F">
            <wp:extent cx="4364005" cy="3025589"/>
            <wp:effectExtent l="38100" t="38100" r="36830" b="419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32"/>
                    <a:stretch/>
                  </pic:blipFill>
                  <pic:spPr bwMode="auto">
                    <a:xfrm>
                      <a:off x="0" y="0"/>
                      <a:ext cx="4409984" cy="3057467"/>
                    </a:xfrm>
                    <a:prstGeom prst="rect">
                      <a:avLst/>
                    </a:prstGeom>
                    <a:ln w="44450" cmpd="dbl">
                      <a:solidFill>
                        <a:schemeClr val="tx1"/>
                      </a:solidFill>
                    </a:ln>
                    <a:extLst>
                      <a:ext uri="{53640926-AAD7-44D8-BBD7-CCE9431645EC}">
                        <a14:shadowObscured xmlns:a14="http://schemas.microsoft.com/office/drawing/2010/main"/>
                      </a:ext>
                    </a:extLst>
                  </pic:spPr>
                </pic:pic>
              </a:graphicData>
            </a:graphic>
          </wp:inline>
        </w:drawing>
      </w:r>
    </w:p>
    <w:p w14:paraId="0B06659D" w14:textId="77777777" w:rsidR="00B12FA8" w:rsidRDefault="00B12FA8" w:rsidP="00C67B64">
      <w:pPr>
        <w:bidi w:val="0"/>
        <w:spacing w:before="20" w:afterLines="20" w:after="48" w:line="240" w:lineRule="auto"/>
        <w:contextualSpacing/>
        <w:jc w:val="both"/>
        <w:rPr>
          <w:rFonts w:asciiTheme="majorBidi" w:hAnsiTheme="majorBidi" w:cstheme="majorBidi"/>
          <w:b/>
          <w:bCs/>
          <w:i/>
          <w:iCs/>
          <w:u w:val="single"/>
        </w:rPr>
      </w:pPr>
    </w:p>
    <w:p w14:paraId="2156E5E4" w14:textId="6D8B108A" w:rsidR="0069522B" w:rsidRPr="00B12FA8" w:rsidRDefault="00D06B62" w:rsidP="00C67B64">
      <w:pPr>
        <w:bidi w:val="0"/>
        <w:spacing w:before="20" w:afterLines="20" w:after="48" w:line="240" w:lineRule="auto"/>
        <w:contextualSpacing/>
        <w:jc w:val="both"/>
        <w:rPr>
          <w:rFonts w:asciiTheme="majorBidi" w:hAnsiTheme="majorBidi" w:cstheme="majorBidi"/>
          <w:b/>
          <w:bCs/>
          <w:i/>
          <w:iCs/>
        </w:rPr>
      </w:pPr>
      <w:r w:rsidRPr="00B12FA8">
        <w:rPr>
          <w:rFonts w:asciiTheme="majorBidi" w:hAnsiTheme="majorBidi" w:cstheme="majorBidi"/>
          <w:b/>
          <w:bCs/>
          <w:i/>
          <w:iCs/>
          <w:u w:val="single"/>
        </w:rPr>
        <w:t>Aim 1</w:t>
      </w:r>
      <w:r w:rsidRPr="00B12FA8">
        <w:rPr>
          <w:rFonts w:asciiTheme="majorBidi" w:hAnsiTheme="majorBidi" w:cstheme="majorBidi"/>
          <w:b/>
          <w:bCs/>
          <w:u w:val="single"/>
        </w:rPr>
        <w:t>:</w:t>
      </w:r>
      <w:r w:rsidRPr="00B12FA8">
        <w:rPr>
          <w:rFonts w:asciiTheme="majorBidi" w:hAnsiTheme="majorBidi" w:cstheme="majorBidi"/>
          <w:b/>
          <w:bCs/>
        </w:rPr>
        <w:t xml:space="preserve"> </w:t>
      </w:r>
      <w:r w:rsidR="0069522B" w:rsidRPr="00B12FA8">
        <w:rPr>
          <w:rFonts w:asciiTheme="majorBidi" w:hAnsiTheme="majorBidi" w:cstheme="majorBidi"/>
          <w:b/>
          <w:bCs/>
          <w:i/>
          <w:iCs/>
        </w:rPr>
        <w:t xml:space="preserve">To delineate the short and long-term effects of </w:t>
      </w:r>
      <w:proofErr w:type="spellStart"/>
      <w:r w:rsidR="0069522B" w:rsidRPr="00B12FA8">
        <w:rPr>
          <w:rFonts w:asciiTheme="majorBidi" w:hAnsiTheme="majorBidi" w:cstheme="majorBidi"/>
          <w:b/>
          <w:bCs/>
          <w:i/>
          <w:iCs/>
        </w:rPr>
        <w:t>tDCS</w:t>
      </w:r>
      <w:proofErr w:type="spellEnd"/>
      <w:r w:rsidR="0069522B" w:rsidRPr="00B12FA8">
        <w:rPr>
          <w:rFonts w:asciiTheme="majorBidi" w:hAnsiTheme="majorBidi" w:cstheme="majorBidi"/>
          <w:b/>
          <w:bCs/>
          <w:i/>
          <w:iCs/>
        </w:rPr>
        <w:t xml:space="preserve"> on behavioral phenotypes of wild-type and AS model mice.</w:t>
      </w:r>
    </w:p>
    <w:p w14:paraId="2EBD159B" w14:textId="77777777" w:rsidR="00201B25" w:rsidRPr="00B12FA8" w:rsidRDefault="00201B25" w:rsidP="00C67B64">
      <w:pPr>
        <w:bidi w:val="0"/>
        <w:spacing w:before="20" w:afterLines="20" w:after="48" w:line="240" w:lineRule="auto"/>
        <w:ind w:firstLine="720"/>
        <w:contextualSpacing/>
        <w:jc w:val="both"/>
        <w:rPr>
          <w:rFonts w:asciiTheme="majorBidi" w:hAnsiTheme="majorBidi" w:cstheme="majorBidi"/>
          <w:b/>
          <w:bCs/>
          <w:i/>
          <w:iCs/>
        </w:rPr>
      </w:pPr>
    </w:p>
    <w:p w14:paraId="677A83A7" w14:textId="1BC4ED4D" w:rsidR="00EB6F84" w:rsidRPr="00B12FA8" w:rsidRDefault="00EB6F84" w:rsidP="00C67B64">
      <w:pPr>
        <w:bidi w:val="0"/>
        <w:spacing w:before="20" w:afterLines="20" w:after="48" w:line="240" w:lineRule="auto"/>
        <w:contextualSpacing/>
        <w:jc w:val="both"/>
        <w:rPr>
          <w:rFonts w:asciiTheme="majorBidi" w:hAnsiTheme="majorBidi" w:cstheme="majorBidi"/>
        </w:rPr>
      </w:pPr>
      <w:r w:rsidRPr="006F1997">
        <w:rPr>
          <w:rFonts w:asciiTheme="majorBidi" w:hAnsiTheme="majorBidi" w:cstheme="majorBidi"/>
          <w:b/>
          <w:bCs/>
          <w:i/>
          <w:iCs/>
        </w:rPr>
        <w:t>Rationale:</w:t>
      </w:r>
      <w:r w:rsidRPr="00B12FA8">
        <w:rPr>
          <w:rFonts w:asciiTheme="majorBidi" w:hAnsiTheme="majorBidi" w:cstheme="majorBidi"/>
          <w:b/>
          <w:bCs/>
          <w:i/>
          <w:iCs/>
        </w:rPr>
        <w:t xml:space="preserve"> </w:t>
      </w:r>
      <w:r w:rsidRPr="00B12FA8">
        <w:rPr>
          <w:rFonts w:asciiTheme="majorBidi" w:hAnsiTheme="majorBidi" w:cstheme="majorBidi"/>
        </w:rPr>
        <w:t xml:space="preserve">Many AS deficits correlate with aberrant excitability in corresponding brain regions, including </w:t>
      </w:r>
      <w:r w:rsidR="002C2518" w:rsidRPr="00B12FA8">
        <w:rPr>
          <w:rFonts w:asciiTheme="majorBidi" w:hAnsiTheme="majorBidi" w:cstheme="majorBidi"/>
        </w:rPr>
        <w:t xml:space="preserve">the </w:t>
      </w:r>
      <w:r w:rsidRPr="00B12FA8">
        <w:rPr>
          <w:rFonts w:asciiTheme="majorBidi" w:hAnsiTheme="majorBidi" w:cstheme="majorBidi"/>
        </w:rPr>
        <w:t>cerebellum, cortex</w:t>
      </w:r>
      <w:r w:rsidR="002C2518" w:rsidRPr="00B12FA8">
        <w:rPr>
          <w:rFonts w:asciiTheme="majorBidi" w:hAnsiTheme="majorBidi" w:cstheme="majorBidi"/>
        </w:rPr>
        <w:t>,</w:t>
      </w:r>
      <w:r w:rsidRPr="00B12FA8">
        <w:rPr>
          <w:rFonts w:asciiTheme="majorBidi" w:hAnsiTheme="majorBidi" w:cstheme="majorBidi"/>
        </w:rPr>
        <w:t xml:space="preserve"> and hippocampus </w:t>
      </w:r>
      <w:r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{"citationItems":[{"id":"ITEM-1","itemData":{"DOI":"10.1523/JNEUROSCI.2828-17.2018","ISSN":"0270-6474","PMID":"29431654","abstract":"Angelman syndrome (AS), a neurodevelopmental disorder associated with intellectual disability, is caused by loss of maternal allele expression of UBE3A in neurons. Mouse models of AS faithfully recapitulate disease phenotypes across multiple domains, including behavior. Yet in AS, there has been only limited study of behaviors encoded by the prefrontal cortex, a region broadly involved in executive function and cognition. Because cognitive impairment is a core feature of AS, it is critical to develop behavioral readouts of prefrontal circuit function in AS mouse models. One such readout is behavioral extinction, which has been well described mechanistically and relies upon prefrontal circuits in rodents. Here we report exaggerated operant extinction in male AS model mice, concomitant with enhanced excitability in medial prefrontal neurons from male and female AS model mice. Abnormal behavior was specific to operant extinction, as two other prefrontally dependent tasks (cued fear extinction and visuospatial discrimination) were largely normal in AS model mice. Inducible deletion of Ube3a during adulthood was not sufficient to drive abnormal extinction, supporting the hypothesis that there is an early critical period for development of cognitive phenotypes in AS. This work represents the first formal experimental analysis of prefrontal circuit function in AS, and identifies operant extinction as a useful experimental paradigm for modeling cognitive aspects of AS in mice.SIGNIFICANCE STATEMENT Prefrontal cortex encodes \"high-level\" cognitive processes. Thus, understanding prefrontal function is critical in neurodevelopmental disorders where cognitive impairment is highly penetrant. Angelman syndrome is a neurodevelopmental disorder associated with speech and motor impairments, an outwardly happy demeanor, and intellectual disability. We describe a behavioral phenotype in a mouse model of Angelman syndrome and related abnormalities in prefrontal cortex function. We hypothesize that robust and reliable prefrontally encoded behavior may be used to model cognitive impairments in Angelman syndrome.","author":[{"dropping-particle":"","family":"Sidorov","given":"Michael S.","non-dropping-particle":"","parse-names":false,"suffix":""},{"dropping-particle":"","family":"Judson","given":"Matthew C.","non-dropping-particle":"","parse-names":false,"suffix":""},{"dropping-particle":"","family":"Kim","given":"Hyojin","non-dropping-particle":"","parse-names":false,"suffix":""},{"dropping-particle":"","family":"Rougie","given":"Marie","non-dropping-particle":"","parse-names":false,"suffix":""},{"dropping-particle":"","family":"Ferrer","given":"Alejandra I.","non-dropping-particle":"","parse-names":false,"suffix":""},{"dropping-particle":"","family":"Nikolova","given":"Viktoriya D.","non-dropping-particle":"","parse-names":false,"suffix":""},{"dropping-particle":"V.","family":"Riddick","given":"Natallia","non-dropping-particle":"","parse-names":false,"suffix":""},{"dropping-particle":"","family":"Moy","given":"Sheryl S.","non-dropping-particle":"","parse-names":false,"suffix":""},{"dropping-particle":"","family":"Philpot","given":"Benjamin D.","non-dropping-particle":"","parse-names":false,"suffix":""}],"container-title":"The Journal of Neuroscience","id":"ITEM-1","issue":"11","issued":{"date-parts":[["2018","3","14"]]},"page":"2671-2682","publisher":"J Neurosci","title":"Enhanced Operant Extinction and Prefrontal Excitability in a Mouse Model of Angelman Syndrome","type":"article-journal","volume":"38"},"uris":["http://www.mendeley.com/documents/?uuid=5289b3f7-e33a-4226-a2d1-5cab283bcad1"]},{"id":"ITEM-2","itemData":{"DOI":"10.1523/JNEUROSCI.0083-18.2018","ISSN":"0270-6474","PMID":"30082419","abstract":"E3 ubiquitin ligase (UBE3A) levels in the brain need to be tightly regulated, as loss of functional UBE3A protein is responsible for the severe neurodevelopmental disorder Angelman syndrome (AS), whereas increased activity of UBE3A is associated with nonsyndromic autism. Given the role of mPFC in neurodevelopmental disorders including autism, we aimed to identify the functional changes resulting from loss of UBE3A in infralimbic and prelimbic mPFC areas in a mouse model of AS. Whole-cell recordings from layer 5 mPFC pyramidal neurons obtained in brain slices from adult mice of both sexes revealed that loss of UBE3A results in a strong decrease of spontaneous inhibitory transmission and increase of spontaneous excitatory transmission potentially leading to a marked excitation/inhibition imbalance. Additionally, we found that loss of UBE3A led to decreased excitability and increased threshold for action potential of layer 5 fast spiking interneurons without significantly affecting the excitability of pyramidal neurons. Because we previously showed that AS mouse behavioral phenotypes are reversible upon Ube3a gene reactivation during a restricted period of early postnatal development, we investigated whether Ube3a gene reactivation in a fully mature brain could reverse any of the identified physiological deficits. In contrast to our previously reported behavioral findings, restoring UBE3A levels in adult animals fully rescued all the identified physiological deficits of mPFC neurons. Moreover, the kinetics of reversing these synaptic deficits closely followed the reinstatement of UBE3A protein level. Together, these findings show a striking dissociation between the rescue of behavioral and physiological deficits.","author":[{"dropping-particle":"","family":"Rotaru","given":"Diana C.","non-dropping-particle":"","parse-names":false,"suffix":""},{"dropping-particle":"","family":"Woerden","given":"Geeske M.","non-dropping-particle":"van","parse-names":false,"suffix":""},{"dropping-particle":"","family":"Wallaard","given":"Ilse","non-dropping-particle":"","parse-names":false,"suffix":""},{"dropping-particle":"","family":"Elgersma","given":"Ype","non-dropping-particle":"","parse-names":false,"suffix":""}],"container-title":"The Journal of Neuroscience","id":"ITEM-2","issue":"37","issued":{"date-parts":[["2018","9","12"]]},"page":"8011-8030","publisher":"Society for Neuroscience","title":"Adult Ube3a Gene Reinstatement Restores the Electrophysiological Deficits of Prefrontal Cortex Layer 5 Neurons in a Mouse Model of Angelman Syndrome","type":"article-journal","volume":"38"},"uris":["http://www.mendeley.com/documents/?uuid=2e81c441-3e72-4fd8-ad66-0ffbce83e484"]},{"id":"ITEM-3","itemData":{"DOI":"10.1016/j.neuron.2012.03.036","ISSN":"08966273","PMID":"22681684","abstract":"Angelman syndrome (AS) is a neurodevelopmental disorder caused by loss of the maternally inherited allele of UBE3A. AS model mice, which carry a maternal Ube3a null mutation (Ube3a(m-/p+)), recapitulate major features of AS in humans, including enhanced seizure susceptibility. Excitatory neurotransmission onto neocortical pyramidal neurons is diminished in Ube3a(m-/p+) mice, seemingly at odds with enhanced seizure susceptibility. We show here that inhibitory drive onto neocortical pyramidal neurons is more severely decreased in Ube3a(m-/p+) mice. This inhibitory deficit follows the loss of excitatory inputs and appears to arise from defective presynaptic vesicle cycling in multiple interneuron populations. In contrast, excitatory and inhibitory synaptic inputs onto inhibitory interneurons are largely normal. Our results indicate that there are neuron type-specific synaptic deficits in Ube3a(m-/p+) mice despite the presence of Ube3a in all neurons. These deficits result in excitatory/inhibitory imbalance at cellular and circuit levels and may contribute to seizure susceptibility in AS.","author":[{"dropping-particle":"","family":"Wallace","given":"Michael L.","non-dropping-particle":"","parse-names":false,"suffix":""},{"dropping-particle":"","family":"Burette","given":"Alain C.","non-dropping-particle":"","parse-names":false,"suffix":""},{"dropping-particle":"","family":"Weinberg","given":"Richard J.","non-dropping-particle":"","parse-names":false,"suffix":""},{"dropping-particle":"","family":"Philpot","given":"Benjamin D.","non-dropping-particle":"","parse-names":false,"suffix":""}],"container-title":"Neuron","id":"ITEM-3","issue":"5","issued":{"date-parts":[["2012","6"]]},"page":"793-800","title":"Maternal Loss of Ube3a Produces an Excitatory/Inhibitory Imbalance through Neuron Type-Specific Synaptic Defects","type":"article-journal","volume":"74"},"uris":["http://www.mendeley.com/documents/?uuid=042c4ee1-e5e2-41d8-be6b-bd08e5c69b41"]},{"id":"ITEM-4","itemData":{"DOI":"10.1172/JCI120816","ISSN":"15588238","PMID":"30352049","abstract":"Angelman syndrome (AS) is a neurodevelopmental disorder in which epilepsy is common (</w:instrText>
      </w:r>
      <w:r w:rsidR="006104B1">
        <w:rPr>
          <w:rFonts w:ascii="Cambria Math" w:hAnsi="Cambria Math" w:cs="Cambria Math"/>
        </w:rPr>
        <w:instrText>∼</w:instrText>
      </w:r>
      <w:r w:rsidR="006104B1">
        <w:rPr>
          <w:rFonts w:asciiTheme="majorBidi" w:hAnsiTheme="majorBidi" w:cstheme="majorBidi"/>
        </w:rPr>
        <w:instrText>90%) and often refractory to antiepileptics. AS is caused by mutation of the maternal allele encoding the ubiquitin protein ligase E3A (UBE3A), but it is unclear how this genetic insult confers vulnerability to seizure development and progression (i.e., epileptogenesis). Here, we implemented the flurothyl kindling and retest paradigm in AS model mice to assess epileptogenesis and to gain mechanistic insights owed to loss of maternal Ube3a. AS model mice kindled similarly to wild-type mice, but they displayed a markedly increased sensitivity to flurothyl-, kainic acid-, and hyperthermia-induced seizures measured a month later during retest. Pathological characterization revealed enhanced deposition of perineuronal nets in the dentate gyrus of the hippocampus of AS mice in the absence of overt neuronal loss or mossy fiber sprouting. This pro-epileptogenic phenotype resulted from Ube3a deletion in GABAergic but not glutamatergic neurons, and it was rescued by pancellular reinstatement of Ube3a at postnatal day 21 (P21), but not during adulthood. Our results suggest that epileptogenic susceptibility in AS patients is a consequence of the dysfunctional development of GABAergic circuits, which may be amenable to therapies leveraging juvenile reinstatement of UBE3A.","author":[{"dropping-particle":"","family":"Gu","given":"Bin","non-dropping-particle":"","parse-names":false,"suffix":""},{"dropping-particle":"","family":"Carstens","given":"Kelly E","non-dropping-particle":"","parse-names":false,"suffix":""},{"dropping-particle":"","family":"Judson","given":"Matthew C","non-dropping-particle":"","parse-names":false,"suffix":""},{"dropping-particle":"","family":"Dalton","given":"Katherine A","non-dropping-particle":"","parse-names":false,"suffix":""},{"dropping-particle":"","family":"Rougié","given":"Marie","non-dropping-particle":"","parse-names":false,"suffix":""},{"dropping-particle":"","family":"Clark","given":"Ellen P","non-dropping-particle":"","parse-names":false,"suffix":""},{"dropping-particle":"","family":"Dudek","given":"Serena M","non-dropping-particle":"","parse-names":false,"suffix":""},{"dropping-particle":"","family":"Philpot","given":"Benjamin D","non-dropping-particle":"","parse-names":false,"suffix":""}],"container-title":"Journal of Clinical Investigation","id":"ITEM-4","issue":"1","issued":{"date-parts":[["2019"]]},"page":"163-168","publisher":"American Society for Clinical Investigation","title":"Ube3a reinstatement mitigates epileptogenesis in Angelman syndrome model mice","type":"article-journal","volume":"129"},"uris":["http://www.mendeley.com/documents/?uuid=ba71bf8b-e1af-4bb2-85b2-a709566719e2"]},{"id":"ITEM-5","itemData":{"DOI":"10.1016/j.neuron.2016.02.040","ISSN":"08966273","abstract":"Loss of maternal UBE3A causes Angelman syndrome (AS), a neurodevelopmental disorder associated with severe epilepsy. We previously implicated GABAergic deficits onto layer (L) 2/3 pyramidal neurons in the pathogenesis of neocortical hyperexcitability, and perhaps epilepsy, in AS model mice. Here we investigate consequences of selective Ube3a loss from either GABAergic or glutamatergic neurons, focusing on the development of hyperexcitability within L2/3 neocortex and in broader circuit and behavioral contexts. We find that GABAergic Ube3a loss causes AS-like increases in neocortical EEG delta power, enhances seizure susceptibility, and leads to presynaptic accumulation of clathrin-coated vesicles (CCVs)—all without decreasing GABAergic inhibition onto L2/3 pyramidal neurons. Conversely, glutamatergic Ube3a loss fails to yield EEG abnormalities, seizures, or associated CCV phenotypes, despite impairing tonic inhibition onto L2/3 pyramidal neurons. These results substantiate GABAergic Ube3a loss as the principal cause of circuit hyperexcitability in AS mice, lending insight into ictogenic mechanisms in AS.","author":[{"dropping-particle":"","family":"Judson","given":"Matthew C.","non-dropping-particle":"","parse-names":false,"suffix":""},{"dropping-particle":"","family":"Wallace","given":"Michael L.","non-dropping-particle":"","parse-names":false,"suffix":""},{"dropping-particle":"","family":"Sidorov","given":"Michael S.","non-dropping-particle":"","parse-names":false,"suffix":""},{"dropping-particle":"","family":"Burette","given":"Alain C.","non-dropping-particle":"","parse-names":false,"suffix":""},{"dropping-particle":"","family":"Gu","given":"Bin","non-dropping-particle":"","parse-names":false,"suffix":""},{"dropping-particle":"","family":"Woerden","given":"Geeske M.","non-dropping-particle":"van","parse-names":false,"suffix":""},{"dropping-particle":"","family":"King","given":"Ian F.","non-dropping-particle":"","parse-names":false,"suffix":""},{"dropping-particle":"","family":"Han","given":"Ji Eun","non-dropping-particle":"","parse-names":false,"suffix":""},{"dropping-particle":"","family":"Zylka","given":"Mark J.","non-dropping-particle":"","parse-names":false,"suffix":""},{"dropping-particle":"","family":"Elgersma","given":"Ype","non-dropping-particle":"","parse-names":false,"suffix":""},{"dropping-particle":"","family":"Weinberg","given":"Richard J.","non-dropping-particle":"","parse-names":false,"suffix":""},{"dropping-particle":"","family":"Philpot","given":"Benjamin D.","non-dropping-particle":"","parse-names":false,"suffix":""}],"container-title":"Neuron","id":"ITEM-5","issue":"1","issued":{"date-parts":[["2016","4"]]},"page":"56-69","title":"GABAergic Neuron-Specific Loss of Ube3a Causes Angelman Syndrome-Like EEG Abnormalities and Enhances Seizure Susceptibility","type":"article-journal","volume":"90"},"uris":["http://www.mendeley.com/documents/?uuid=470fb315-c4a5-4982-a64c-f3f0c6f7b79a"]},{"id":"ITEM-6","itemData":{"DOI":"10.1016/j.biopsych.2012.01.021","ISSN":"00063223","PMID":"22381732","abstract":"Background: Angelman syndrome (AS) is a human neuropsychiatric disorder associated with autism, mental retardation, motor abnormalities, and epilepsy. In most cases, AS is caused by the deletion of the maternal copy of UBE3A gene, which encodes the enzyme ubiquitin ligase E3A, also termed E6-AP. A mouse model of AS has been generated and these mice exhibit many of the observed neurological alterations in humans. Because of clinical and neuroanatomical similarities between AS and schizophrenia, we examined AS model mice for alterations in the neuregulin-ErbB4 pathway, which has been implicated in the pathophysiology of schizophrenia. We focused our studies on the hippocampus, one of the major brain loci impaired in AS mice. Methods: We determined the expression of neuregulin 1 and ErbB4 receptors in AS mice and wild-type littermates (ages 10-16 weeks) and studied the effects of ErbB inhibition on long-term potentiation in hippocampal area cornu ammonis 1 and on hippocampus-dependent contextual fear memory. Results: We observed enhanced neuregulin-ErbB4 signaling in the hippocampus of AS model mice and found that ErbB inhibitors could reverse deficits in long-term potentiation, a cellular substrate for learning and memory. In addition, we found that an ErbB inhibitor enhanced long-term contextual fear memory in AS model mice. Conclusions: Our findings suggest that neuregulin-ErbB4 signaling is involved in synaptic plasticity and memory impairments in AS model mice, suggesting that ErbB inhibitors have therapeutic potential for the treatment of AS. © 2012 Society of Biological Psychiatry.","author":[{"dropping-particle":"","family":"Kaphzan","given":"Hanoch","non-dropping-particle":"","parse-names":false,"suffix":""},{"dropping-particle":"","family":"Hernandez","given":"Pepe","non-dropping-particle":"","parse-names":false,"suffix":""},{"dropping-particle":"","family":"Jung","given":"Joo In","non-dropping-particle":"","parse-names":false,"suffix":""},{"dropping-particle":"","family":"Cowansage","given":"Kiriana K.","non-dropping-particle":"","parse-names":false,"suffix":""},{"dropping-particle":"","family":"Deinhardt","given":"Katrin","non-dropping-particle":"","parse-names":false,"suffix":""},{"dropping-particle":"V.","family":"Chao","given":"Moses","non-dropping-particle":"","parse-names":false,"suffix":""},{"dropping-particle":"","family":"Abel","given":"Ted","non-dropping-particle":"","parse-names":false,"suffix":""},{"dropping-particle":"","family":"Klann","given":"Eric","non-dropping-particle":"","parse-names":false,"suffix":""}],"container-title":"Biological Psychiatry","id":"ITEM-6","issue":"3","issued":{"date-parts":[["2012","8","1"]]},"page":"182-190","publisher":"Biol Psychiatry","title":"Reversal of Impaired Hippocampal Long-Term Potentiation and Contextual Fear Memory Deficits in Angelman Syndrome Model Mice by ErbB Inhibitors","type":"article-journal","volume":"72"},"uris":["http://www.mendeley.com/documents/?uuid=505d25ea-4a56-48da-9a01-3ebb5eb457b5"]},{"id":"ITEM-7","itemData":{"DOI":"10.1523/JNEUROSCI.4162-11.2011","ISSN":"02706474","PMID":"22131424","abstract":"The axon initial segment (AIS) is the site of action potential initiation in neurons. Recent studies have demonstrated activity-dependent regulation of the AIS, including homeostatic changes in AIS length, membrane excitability, and the localization of voltage-gated Na + channels. The neurodevelopmental disorder Angelman syndrome (AS) is usually caused by the deletion of small portions of the maternal copy of chromosome 15, which includes the UBE3A gene. A mouse model of AS has been generated and these mice exhibit multiple neurological abnormalities similar to those observed in humans.Weexamined intrinsic properties of pyramidal neurons in hippocampal area CA1 from AS model mice and observed alterations in resting membrane potential, threshold potential, and action potential amplitude. The altered intrinsic properties in the AS mice were correlated with significant increases in the expression of the α1 subunit of Na/K-ATPase (α 1-NaKA), the Na + channel NaV1.6, and the AIS anchoring protein ankyrin-G, as well as an increase in length of the AIS. These findings are the first evidence for pathology of intrinsic membrane properties and AIS-specific changes in AS, a neurodevelopmental disorder associated with autism. © 2011 the authors.","author":[{"dropping-particle":"","family":"Kaphzan","given":"Hanoch","non-dropping-particle":"","parse-names":false,"suffix":""},{"dropping-particle":"","family":"Buffington","given":"Shelly A.","non-dropping-particle":"","parse-names":false,"suffix":""},{"dropping-particle":"","family":"Jung","given":"Joo In","non-dropping-particle":"","parse-names":false,"suffix":""},{"dropping-particle":"","family":"Rasband","given":"Matthew N.","non-dropping-particle":"","parse-names":false,"suffix":""},{"dropping-particle":"","family":"Klann","given":"Eric","non-dropping-particle":"","parse-names":false,"suffix":""}],"container-title":"Journal of Neuroscience","id":"ITEM-7","issue":"48","issued":{"date-parts":[["2011","11","30"]]},"page":"17637-17648","publisher":"J Neurosci","title":"Alterations in intrinsic membrane properties and the axon initial segment in a mouse model of Angelman syndrome","type":"article-journal","volume":"31"},"uris":["http://www.mendeley.com/documents/?uuid=2cd2ed10-0f89-3ae0-9a08-a43c9783e95f"]},{"id":"ITEM-8","itemData":{"DOI":"10.1016/j.celrep.2013.07.005","ISSN":"22111247","PMID":"23911285","abstract":"Angelman syndrome (AS) is associated with symptoms that include autism, intellectual disability, motor abnormalities, and epilepsy. We recently showed that AS model mice have increased expression of the alpha1 subunit of Na/K-ATPase (α1-NaKA) in the hippocampus, which was correlated with increased expression of axon initial segment (AIS) proteins. Our developmental analysis revealed that the increase in α1-NaKA expression preceded that of the AIS proteins. Therefore, we hypothesized that α1-NaKA overexpression drives AIS abnormalities and that by reducing its expression these and other phenotypes could be corrected in AS model mice. Herein, we report that the genetic normalization of α1-NaKA levels in AS model mice corrects multiple hippocampal phenotypes, including alterations in the AIS, aberrant intrinsic membrane properties, impaired synaptic plasticity, and memory deficits. These findings strongly suggest that increased expression of α1-NaKA plays an important role in a broad rangeof abnormalities in the hippocampus of AS model mice","author":[{"dropping-particle":"","family":"Kaphzan","given":"Hanoch","non-dropping-particle":"","parse-names":false,"suffix":""},{"dropping-particle":"","family":"Buffington","given":"Shelly A.","non-dropping-particle":"","parse-names":false,"suffix":""},{"dropping-particle":"","family":"Ramaraj","given":"Akila B.","non-dropping-particle":"","parse-names":false,"suffix":""},{"dropping-particle":"","family":"Lingrel","given":"Jerry B.","non-dropping-particle":"","parse-names":false,"suffix":""},{"dropping-particle":"","family":"Rasband","given":"Matthew N.","non-dropping-particle":"","parse-names":false,"suffix":""},{"dropping-particle":"","family":"Santini","given":"Emanuela","non-dropping-particle":"","parse-names":false,"suffix":""},{"dropping-particle":"","family":"Klann","given":"Eric","non-dropping-particle":"","parse-names":false,"suffix":""}],"container-title":"Cell Reports","id":"ITEM-8","issue":"3","issued":{"date-parts":[["2013","8"]]},"page":"405-412","publisher":"The Authors","publisher-place":"Center for Neural Science, New York University, New York, NY 10003, USA; Sagol Department of Neurobiology, University of Haifa, Haifa 3190501, Israel.","title":"Genetic Reduction of the α1 Subunit of Na/K-ATPase Corrects Multiple Hippocampal Phenotypes in Angelman Syndrome","type":"article-journal","volume":"4"},"uris":["http://www.mendeley.com/documents/?uuid=c34a77c4-a96c-4f9e-9928-52af61780980"]},{"id":"ITEM-9","itemData":{"DOI":"10.1126/scitranslmed.3004655","ISSN":"1946-6234","abstract":"Ube3a deficiency causes a decrease in cerebellar tonic inhibition by preventing degradation of GABA transporter 1 in a mouse model of Angelman syndrome.","author":[{"dropping-particle":"","family":"Egawa","given":"Kiyoshi","non-dropping-particle":"","parse-names":false,"suffix":""},{"dropping-particle":"","family":"Kitagawa","given":"Kyoko","non-dropping-particle":"","parse-names":false,"suffix":""},{"dropping-particle":"","family":"Inoue","given":"Koichi","non-dropping-particle":"","parse-names":false,"suffix":""},{"dropping-particle":"","family":"Takayama","given":"Masakazu","non-dropping-particle":"","parse-names":false,"suffix":""},{"dropping-particle":"","family":"Takayama","given":"Chitoshi","non-dropping-particle":"","parse-names":false,"suffix":""},{"dropping-particle":"","family":"Saitoh","given":"Shinji","non-dropping-particle":"","parse-names":false,"suffix":""},{"dropping-particle":"","family":"Kishino","given":"Tatsuya","non-dropping-particle":"","parse-names":false,"suffix":""},{"dropping-particle":"","family":"Kitagawa","given":"Masatoshi","non-dropping-particle":"","parse-names":false,"suffix":""},{"dropping-particle":"","family":"Fukuda","given":"Atsuo","non-dropping-particle":"","parse-names":false,"suffix":""}],"container-title":"Science Translational Medicine","id":"ITEM-9","issue":"163","issued":{"date-parts":[["2012","12","5"]]},"page":"163ra157","publisher-place":"Department of Neurophysiology, Hamamatsu University School of Medicine, Hamamatsu 431-3192, Japan. cdh67560@par.odn.ne.jp","title":"Decreased Tonic Inhibition in Cerebellar Granule Cells Causes Motor Dysfunction in a Mouse Model of Angelman Syndrome","type":"article-journal","volume":"4"},"uris":["http://www.mendeley.com/documents/?uuid=abb4ae81-09f3-40a4-a620-2d3806712d7a"]}],"mendeley":{"formattedCitation":"&lt;sup&gt;6–14&lt;/sup&gt;","plainTextFormattedCitation":"6–14","previouslyFormattedCitation":"&lt;sup&gt;6–14&lt;/sup&gt;"},"properties":{"noteIndex":0},"schema":"https://github.com/citation-style-language/schema/raw/master/csl-citation.json"}</w:instrText>
      </w:r>
      <w:r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6–14</w:t>
      </w:r>
      <w:r w:rsidRPr="00B12FA8">
        <w:rPr>
          <w:rFonts w:asciiTheme="majorBidi" w:hAnsiTheme="majorBidi" w:cstheme="majorBidi"/>
        </w:rPr>
        <w:fldChar w:fldCharType="end"/>
      </w:r>
      <w:r w:rsidRPr="00B12FA8">
        <w:rPr>
          <w:rFonts w:asciiTheme="majorBidi" w:hAnsiTheme="majorBidi" w:cstheme="majorBidi"/>
        </w:rPr>
        <w:t xml:space="preserve">. </w:t>
      </w:r>
      <w:r w:rsidR="00AD7D09" w:rsidRPr="00B12FA8">
        <w:rPr>
          <w:rFonts w:asciiTheme="majorBidi" w:hAnsiTheme="majorBidi" w:cstheme="majorBidi"/>
        </w:rPr>
        <w:t>In contrast to the results of one study</w:t>
      </w:r>
      <w:r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{"citationItems":[{"id":"ITEM-1","itemData":{"DOI":"10.1523/JNEUROSCI.0083-18.2018","ISSN":"0270-6474","PMID":"30082419","abstract":"E3 ubiquitin ligase (UBE3A) levels in the brain need to be tightly regulated, as loss of functional UBE3A protein is responsible for the severe neurodevelopmental disorder Angelman syndrome (AS), whereas increased activity of UBE3A is associated with nonsyndromic autism. Given the role of mPFC in neurodevelopmental disorders including autism, we aimed to identify the functional changes resulting from loss of UBE3A in infralimbic and prelimbic mPFC areas in a mouse model of AS. Whole-cell recordings from layer 5 mPFC pyramidal neurons obtained in brain slices from adult mice of both sexes revealed that loss of UBE3A results in a strong decrease of spontaneous inhibitory transmission and increase of spontaneous excitatory transmission potentially leading to a marked excitation/inhibition imbalance. Additionally, we found that loss of UBE3A led to decreased excitability and increased threshold for action potential of layer 5 fast spiking interneurons without significantly affecting the excitability of pyramidal neurons. Because we previously showed that AS mouse behavioral phenotypes are reversible upon Ube3a gene reactivation during a restricted period of early postnatal development, we investigated whether Ube3a gene reactivation in a fully mature brain could reverse any of the identified physiological deficits. In contrast to our previously reported behavioral findings, restoring UBE3A levels in adult animals fully rescued all the identified physiological deficits of mPFC neurons. Moreover, the kinetics of reversing these synaptic deficits closely followed the reinstatement of UBE3A protein level. Together, these findings show a striking dissociation between the rescue of behavioral and physiological deficits.","author":[{"dropping-particle":"","family":"Rotaru","given":"Diana C.","non-dropping-particle":"","parse-names":false,"suffix":""},{"dropping-particle":"","family":"Woerden","given":"Geeske M.","non-dropping-particle":"van","parse-names":false,"suffix":""},{"dropping-particle":"","family":"Wallaard","given":"Ilse","non-dropping-particle":"","parse-names":false,"suffix":""},{"dropping-particle":"","family":"Elgersma","given":"Ype","non-dropping-particle":"","parse-names":false,"suffix":""}],"container-title":"The Journal of Neuroscience","id":"ITEM-1","issue":"37","issued":{"date-parts":[["2018","9","12"]]},"page":"8011-8030","publisher":"Society for Neuroscience","title":"Adult Ube3a Gene Reinstatement Restores the Electrophysiological Deficits of Prefrontal Cortex Layer 5 Neurons in a Mouse Model of Angelman Syndrome","type":"article-journal","volume":"38"},"uris":["http://www.mendeley.com/documents/?uuid=2e81c441-3e72-4fd8-ad66-0ffbce83e484"]}],"mendeley":{"formattedCitation":"&lt;sup&gt;7&lt;/sup&gt;","plainTextFormattedCitation":"7","previouslyFormattedCitation":"&lt;sup&gt;7&lt;/sup&gt;"},"properties":{"noteIndex":0},"schema":"https://github.com/citation-style-language/schema/raw/master/csl-citation.json"}</w:instrText>
      </w:r>
      <w:r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7</w:t>
      </w:r>
      <w:r w:rsidRPr="00B12FA8">
        <w:rPr>
          <w:rFonts w:asciiTheme="majorBidi" w:hAnsiTheme="majorBidi" w:cstheme="majorBidi"/>
        </w:rPr>
        <w:fldChar w:fldCharType="end"/>
      </w:r>
      <w:r w:rsidRPr="00B12FA8">
        <w:rPr>
          <w:rFonts w:asciiTheme="majorBidi" w:hAnsiTheme="majorBidi" w:cstheme="majorBidi"/>
        </w:rPr>
        <w:t xml:space="preserve">, we and others </w:t>
      </w:r>
      <w:r w:rsidR="00AD7D09" w:rsidRPr="00B12FA8">
        <w:rPr>
          <w:rFonts w:asciiTheme="majorBidi" w:hAnsiTheme="majorBidi" w:cstheme="majorBidi"/>
        </w:rPr>
        <w:t xml:space="preserve">have shown </w:t>
      </w:r>
      <w:r w:rsidRPr="00B12FA8">
        <w:rPr>
          <w:rFonts w:asciiTheme="majorBidi" w:hAnsiTheme="majorBidi" w:cstheme="majorBidi"/>
        </w:rPr>
        <w:t xml:space="preserve">a correlation between the recovery of </w:t>
      </w:r>
      <w:r w:rsidR="006104B1">
        <w:rPr>
          <w:rFonts w:asciiTheme="majorBidi" w:hAnsiTheme="majorBidi" w:cstheme="majorBidi"/>
        </w:rPr>
        <w:t xml:space="preserve">neuronal </w:t>
      </w:r>
      <w:r w:rsidRPr="00B12FA8">
        <w:rPr>
          <w:rFonts w:asciiTheme="majorBidi" w:hAnsiTheme="majorBidi" w:cstheme="majorBidi"/>
        </w:rPr>
        <w:t xml:space="preserve">excitability and rescue of AS behavioral deficits </w:t>
      </w:r>
      <w:r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{"citationItems":[{"id":"ITEM-1","itemData":{"DOI":"10.1523/JNEUROSCI.2828-17.2018","ISSN":"0270-6474","PMID":"29431654","abstract":"Angelman syndrome (AS), a neurodevelopmental disorder associated with intellectual disability, is caused by loss of maternal allele expression of UBE3A in neurons. Mouse models of AS faithfully recapitulate disease phenotypes across multiple domains, including behavior. Yet in AS, there has been only limited study of behaviors encoded by the prefrontal cortex, a region broadly involved in executive function and cognition. Because cognitive impairment is a core feature of AS, it is critical to develop behavioral readouts of prefrontal circuit function in AS mouse models. One such readout is behavioral extinction, which has been well described mechanistically and relies upon prefrontal circuits in rodents. Here we report exaggerated operant extinction in male AS model mice, concomitant with enhanced excitability in medial prefrontal neurons from male and female AS model mice. Abnormal behavior was specific to operant extinction, as two other prefrontally dependent tasks (cued fear extinction and visuospatial discrimination) were largely normal in AS model mice. Inducible deletion of Ube3a during adulthood was not sufficient to drive abnormal extinction, supporting the hypothesis that there is an early critical period for development of cognitive phenotypes in AS. This work represents the first formal experimental analysis of prefrontal circuit function in AS, and identifies operant extinction as a useful experimental paradigm for modeling cognitive aspects of AS in mice.SIGNIFICANCE STATEMENT Prefrontal cortex encodes \"high-level\" cognitive processes. Thus, understanding prefrontal function is critical in neurodevelopmental disorders where cognitive impairment is highly penetrant. Angelman syndrome is a neurodevelopmental disorder associated with speech and motor impairments, an outwardly happy demeanor, and intellectual disability. We describe a behavioral phenotype in a mouse model of Angelman syndrome and related abnormalities in prefrontal cortex function. We hypothesize that robust and reliable prefrontally encoded behavior may be used to model cognitive impairments in Angelman syndrome.","author":[{"dropping-particle":"","family":"Sidorov","given":"Michael S.","non-dropping-particle":"","parse-names":false,"suffix":""},{"dropping-particle":"","family":"Judson","given":"Matthew C.","non-dropping-particle":"","parse-names":false,"suffix":""},{"dropping-particle":"","family":"Kim","given":"Hyojin","non-dropping-particle":"","parse-names":false,"suffix":""},{"dropping-particle":"","family":"Rougie","given":"Marie","non-dropping-particle":"","parse-names":false,"suffix":""},{"dropping-particle":"","family":"Ferrer","given":"Alejandra I.","non-dropping-particle":"","parse-names":false,"suffix":""},{"dropping-particle":"","family":"Nikolova","given":"Viktoriya D.","non-dropping-particle":"","parse-names":false,"suffix":""},{"dropping-particle":"V.","family":"Riddick","given":"Natallia","non-dropping-particle":"","parse-names":false,"suffix":""},{"dropping-particle":"","family":"Moy","given":"Sheryl S.","non-dropping-particle":"","parse-names":false,"suffix":""},{"dropping-particle":"","family":"Philpot","given":"Benjamin D.","non-dropping-particle":"","parse-names":false,"suffix":""}],"container-title":"The Journal of Neuroscience","id":"ITEM-1","issue":"11","issued":{"date-parts":[["2018","3","14"]]},"page":"2671-2682","publisher":"J Neurosci","title":"Enhanced Operant Extinction and Prefrontal Excitability in a Mouse Model of Angelman Syndrome","type":"article-journal","volume":"38"},"uris":["http://www.mendeley.com/documents/?uuid=5289b3f7-e33a-4226-a2d1-5cab283bcad1"]},{"id":"ITEM-2","itemData":{"DOI":"10.1016/j.biopsych.2012.01.021","ISSN":"00063223","PMID":"22381732","abstract":"Background: Angelman syndrome (AS) is a human neuropsychiatric disorder associated with autism, mental retardation, motor abnormalities, and epilepsy. In most cases, AS is caused by the deletion of the maternal copy of UBE3A gene, which encodes the enzyme ubiquitin ligase E3A, also termed E6-AP. A mouse model of AS has been generated and these mice exhibit many of the observed neurological alterations in humans. Because of clinical and neuroanatomical similarities between AS and schizophrenia, we examined AS model mice for alterations in the neuregulin-ErbB4 pathway, which has been implicated in the pathophysiology of schizophrenia. We focused our studies on the hippocampus, one of the major brain loci impaired in AS mice. Methods: We determined the expression of neuregulin 1 and ErbB4 receptors in AS mice and wild-type littermates (ages 10-16 weeks) and studied the effects of ErbB inhibition on long-term potentiation in hippocampal area cornu ammonis 1 and on hippocampus-dependent contextual fear memory. Results: We observed enhanced neuregulin-ErbB4 signaling in the hippocampus of AS model mice and found that ErbB inhibitors could reverse deficits in long-term potentiation, a cellular substrate for learning and memory. In addition, we found that an ErbB inhibitor enhanced long-term contextual fear memory in AS model mice. Conclusions: Our findings suggest that neuregulin-ErbB4 signaling is involved in synaptic plasticity and memory impairments in AS model mice, suggesting that ErbB inhibitors have therapeutic potential for the treatment of AS. © 2012 Society of Biological Psychiatry.","author":[{"dropping-particle":"","family":"Kaphzan","given":"Hanoch","non-dropping-particle":"","parse-names":false,"suffix":""},{"dropping-particle":"","family":"Hernandez","given":"Pepe","non-dropping-particle":"","parse-names":false,"suffix":""},{"dropping-particle":"","family":"Jung","given":"Joo In","non-dropping-particle":"","parse-names":false,"suffix":""},{"dropping-particle":"","family":"Cowansage","given":"Kiriana K.","non-dropping-particle":"","parse-names":false,"suffix":""},{"dropping-particle":"","family":"Deinhardt","given":"Katrin","non-dropping-particle":"","parse-names":false,"suffix":""},{"dropping-particle":"V.","family":"Chao","given":"Moses","non-dropping-particle":"","parse-names":false,"suffix":""},{"dropping-particle":"","family":"Abel","given":"Ted","non-dropping-particle":"","parse-names":false,"suffix":""},{"dropping-particle":"","family":"Klann","given":"Eric","non-dropping-particle":"","parse-names":false,"suffix":""}],"container-title":"Biological Psychiatry","id":"ITEM-2","issue":"3","issued":{"date-parts":[["2012","8","1"]]},"page":"182-190","publisher":"Biol Psychiatry","title":"Reversal of Impaired Hippocampal Long-Term Potentiation and Contextual Fear Memory Deficits in Angelman Syndrome Model Mice by ErbB Inhibitors","type":"article-journal","volume":"72"},"uris":["http://www.mendeley.com/documents/?uuid=505d25ea-4a56-48da-9a01-3ebb5eb457b5"]},{"id":"ITEM-3","itemData":{"DOI":"10.1016/j.celrep.2013.07.005","ISSN":"22111247","PMID":"23911285","abstract":"Angelman syndrome (AS) is associated with symptoms that include autism, intellectual disability, motor abnormalities, and epilepsy. We recently showed that AS model mice have increased expression of the alpha1 subunit of Na/K-ATPase (α1-NaKA) in the hippocampus, which was correlated with increased expression of axon initial segment (AIS) proteins. Our developmental analysis revealed that the increase in α1-NaKA expression preceded that of the AIS proteins. Therefore, we hypothesized that α1-NaKA overexpression drives AIS abnormalities and that by reducing its expression these and other phenotypes could be corrected in AS model mice. Herein, we report that the genetic normalization of α1-NaKA levels in AS model mice corrects multiple hippocampal phenotypes, including alterations in the AIS, aberrant intrinsic membrane properties, impaired synaptic plasticity, and memory deficits. These findings strongly suggest that increased expression of α1-NaKA plays an important role in a broad rangeof abnormalities in the hippocampus of AS model mice","author":[{"dropping-particle":"","family":"Kaphzan","given":"Hanoch","non-dropping-particle":"","parse-names":false,"suffix":""},{"dropping-particle":"","family":"Buffington","given":"Shelly A.","non-dropping-particle":"","parse-names":false,"suffix":""},{"dropping-particle":"","family":"Ramaraj","given":"Akila B.","non-dropping-particle":"","parse-names":false,"suffix":""},{"dropping-particle":"","family":"Lingrel","given":"Jerry B.","non-dropping-particle":"","parse-names":false,"suffix":""},{"dropping-particle":"","family":"Rasband","given":"Matthew N.","non-dropping-particle":"","parse-names":false,"suffix":""},{"dropping-particle":"","family":"Santini","given":"Emanuela","non-dropping-particle":"","parse-names":false,"suffix":""},{"dropping-particle":"","family":"Klann","given":"Eric","non-dropping-particle":"","parse-names":false,"suffix":""}],"container-title":"Cell Reports","id":"ITEM-3","issue":"3","issued":{"date-parts":[["2013","8"]]},"page":"405-412","publisher":"The Authors","publisher-place":"Center for Neural Science, New York University, New York, NY 10003, USA; Sagol Department of Neurobiology, University of Haifa, Haifa 3190501, Israel.","title":"Genetic Reduction of the α1 Subunit of Na/K-ATPase Corrects Multiple Hippocampal Phenotypes in Angelman Syndrome","type":"article-journal","volume":"4"},"uris":["http://www.mendeley.com/documents/?uuid=c34a77c4-a96c-4f9e-9928-52af61780980"]},{"id":"ITEM-4","itemData":{"DOI":"10.1172/JCI120816","ISSN":"15588238","PMID":"30352049","abstract":"Angelman syndrome (AS) is a neurodevelopmental disorder in which epilepsy is common (</w:instrText>
      </w:r>
      <w:r w:rsidR="006104B1">
        <w:rPr>
          <w:rFonts w:ascii="Cambria Math" w:hAnsi="Cambria Math" w:cs="Cambria Math"/>
        </w:rPr>
        <w:instrText>∼</w:instrText>
      </w:r>
      <w:r w:rsidR="006104B1">
        <w:rPr>
          <w:rFonts w:asciiTheme="majorBidi" w:hAnsiTheme="majorBidi" w:cstheme="majorBidi"/>
        </w:rPr>
        <w:instrText>90%) and often refractory to antiepileptics. AS is caused by mutation of the maternal allele encoding the ubiquitin protein ligase E3A (UBE3A), but it is unclear how this genetic insult confers vulnerability to seizure development and progression (i.e., epileptogenesis). Here, we implemented the flurothyl kindling and retest paradigm in AS model mice to assess epileptogenesis and to gain mechanistic insights owed to loss of maternal Ube3a. AS model mice kindled similarly to wild-type mice, but they displayed a markedly increased sensitivity to flurothyl-, kainic acid-, and hyperthermia-induced seizures measured a month later during retest. Pathological characterization revealed enhanced deposition of perineuronal nets in the dentate gyrus of the hippocampus of AS mice in the absence of overt neuronal loss or mossy fiber sprouting. This pro-epileptogenic phenotype resulted from Ube3a deletion in GABAergic but not glutamatergic neurons, and it was rescued by pancellular reinstatement of Ube3a at postnatal day 21 (P21), but not during adulthood. Our results suggest that epileptogenic susceptibility in AS patients is a consequence of the dysfunctional development of GABAergic circuits, which may be amenable to therapies leveraging juvenile reinstatement of UBE3A.","author":[{"dropping-particle":"","family":"Gu","given":"Bin","non-dropping-particle":"","parse-names":false,"suffix":""},{"dropping-particle":"","family":"Carstens","given":"Kelly E","non-dropping-particle":"","parse-names":false,"suffix":""},{"dropping-particle":"","family":"Judson","given":"Matthew C","non-dropping-particle":"","parse-names":false,"suffix":""},{"dropping-particle":"","family":"Dalton","given":"Katherine A","non-dropping-particle":"","parse-names":false,"suffix":""},{"dropping-particle":"","family":"Rougié","given":"Marie","non-dropping-particle":"","parse-names":false,"suffix":""},{"dropping-particle":"","family":"Clark","given":"Ellen P","non-dropping-particle":"","parse-names":false,"suffix":""},{"dropping-particle":"","family":"Dudek","given":"Serena M","non-dropping-particle":"","parse-names":false,"suffix":""},{"dropping-particle":"","family":"Philpot","given":"Benjamin D","non-dropping-particle":"","parse-names":false,"suffix":""}],"container-title":"Journal of Clinical Investigation","id":"ITEM-4","issue":"1","issued":{"date-parts":[["2019"]]},"page":"163-168","publisher":"American Society for Clinical Investigation","title":"Ube3a reinstatement mitigates epileptogenesis in Angelman syndrome model mice","type":"article-journal","volume":"129"},"uris":["http://www.mendeley.com/documents/?uuid=ba71bf8b-e1af-4bb2-85b2-a709566719e2"]}],"mendeley":{"formattedCitation":"&lt;sup&gt;6,9,11,13&lt;/sup&gt;","plainTextFormattedCitation":"6,9,11,13","previouslyFormattedCitation":"&lt;sup&gt;6,9,11,13&lt;/sup&gt;"},"properties":{"noteIndex":0},"schema":"https://github.com/citation-style-language/schema/raw/master/csl-citation.json"}</w:instrText>
      </w:r>
      <w:r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6,9,11,13</w:t>
      </w:r>
      <w:r w:rsidRPr="00B12FA8">
        <w:rPr>
          <w:rFonts w:asciiTheme="majorBidi" w:hAnsiTheme="majorBidi" w:cstheme="majorBidi"/>
        </w:rPr>
        <w:fldChar w:fldCharType="end"/>
      </w:r>
      <w:r w:rsidRPr="00B12FA8">
        <w:rPr>
          <w:rFonts w:asciiTheme="majorBidi" w:hAnsiTheme="majorBidi" w:cstheme="majorBidi"/>
        </w:rPr>
        <w:t>. One of these deficits is spatial memory impairment in AS mice</w:t>
      </w:r>
      <w:r w:rsidR="006104B1">
        <w:rPr>
          <w:rFonts w:asciiTheme="majorBidi" w:hAnsiTheme="majorBidi" w:cstheme="majorBidi"/>
        </w:rPr>
        <w:t xml:space="preserve"> were examined by</w:t>
      </w:r>
      <w:r w:rsidRPr="00B12FA8">
        <w:rPr>
          <w:rFonts w:asciiTheme="majorBidi" w:hAnsiTheme="majorBidi" w:cstheme="majorBidi"/>
        </w:rPr>
        <w:t xml:space="preserve"> Morris water maze (</w:t>
      </w:r>
      <w:proofErr w:type="spellStart"/>
      <w:r w:rsidRPr="00B12FA8">
        <w:rPr>
          <w:rFonts w:asciiTheme="majorBidi" w:hAnsiTheme="majorBidi" w:cstheme="majorBidi"/>
        </w:rPr>
        <w:t>MWM</w:t>
      </w:r>
      <w:proofErr w:type="spellEnd"/>
      <w:r w:rsidRPr="00B12FA8">
        <w:rPr>
          <w:rFonts w:asciiTheme="majorBidi" w:hAnsiTheme="majorBidi" w:cstheme="majorBidi"/>
        </w:rPr>
        <w:t>)</w:t>
      </w:r>
      <w:r w:rsidR="00AD7D09" w:rsidRPr="00B12FA8">
        <w:rPr>
          <w:rFonts w:asciiTheme="majorBidi" w:hAnsiTheme="majorBidi" w:cstheme="majorBidi"/>
        </w:rPr>
        <w:t xml:space="preserve"> task</w:t>
      </w:r>
      <w:r w:rsidRPr="00B12FA8">
        <w:rPr>
          <w:rFonts w:asciiTheme="majorBidi" w:hAnsiTheme="majorBidi" w:cstheme="majorBidi"/>
        </w:rPr>
        <w:t xml:space="preserve"> </w:t>
      </w:r>
      <w:r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{"citationItems":[{"id":"ITEM-1","itemData":{"DOI":"10.1038/nn1845","ISBN":"1097-6256 (Print) 1097-6256 (Linking)","ISSN":"1097-6256","PMID":"17259980","abstract":"Angelman syndrome (AS) is a severe neurological disorder characterized by mental retardation, motor dysfunction and epilepsy. We show that the molecular and cellular deficits of an AS mouse model can be rescued by introducing an additional mutation at the inhibitory phosphorylation site of alphaCaMKII. Moreover, these double mutants no longer show the behavioral deficits seen in AS mice, suggesting that these deficits are the direct result of increased inhibitory phosphorylation of alphaCaMKII.","author":[{"dropping-particle":"","family":"Woerden","given":"Geeske M","non-dropping-particle":"van","parse-names":false,"suffix":""},{"dropping-particle":"","family":"Harris","given":"Karen D","non-dropping-particle":"","parse-names":false,"suffix":""},{"dropping-particle":"","family":"Hojjati","given":"Mohammad Reza","non-dropping-particle":"","parse-names":false,"suffix":""},{"dropping-particle":"","family":"Gustin","given":"Richard M","non-dropping-particle":"","parse-names":false,"suffix":""},{"dropping-particle":"","family":"Qiu","given":"Shenfeng","non-dropping-particle":"","parse-names":false,"suffix":""},{"dropping-particle":"","family":"Avila Freire","given":"Rogerio","non-dropping-particle":"de","parse-names":false,"suffix":""},{"dropping-particle":"","family":"Jiang","given":"Yong-hui","non-dropping-particle":"","parse-names":false,"suffix":""},{"dropping-particle":"","family":"Elgersma","given":"Ype","non-dropping-particle":"","parse-names":false,"suffix":""},{"dropping-particle":"","family":"Weeber","given":"Edwin J","non-dropping-particle":"","parse-names":false,"suffix":""}],"container-title":"Nature Neuroscience","id":"ITEM-1","issue":"3","issued":{"date-parts":[["2007","3","28"]]},"page":"280-282","publisher":"Nature Publishing Group","publisher-place":"Erasmus MC, University Medical Centre, Department of Neuroscience, Dr. Molewaterplein 50, PO Box 2040, 3000 CA, Rotterdam, The Netherlands.","title":"Rescue of neurological deficits in a mouse model for Angelman syndrome by reduction of αCaMKII inhibitory phosphorylation","type":"article-journal","volume":"10"},"uris":["http://www.mendeley.com/documents/?uuid=1ed65253-b878-46c2-ba0f-c4d48e11d2bf"]},{"id":"ITEM-2","itemData":{"DOI":"10.1007/s13311-015-0361-y","ISSN":"1933-7213","PMID":"26040994","abstract":"In this review we summarize the clinical and genetic aspects of Angelman syndrome (AS), its molecular and cellular underpinnings, and current treatment strategies. AS is a neurodevelopmental disorder characterized by severe cognitive disability, motor dysfunction, speech impairment, hyperactivity, and frequent seizures. AS is caused by disruption of the maternally expressed and paternally imprinted UBE3A, which encodes an E3 ubiquitin ligase. Four mechanisms that render the maternally inherited UBE3A nonfunctional are recognized, the most common of which is deletion of the maternal chromosomal region 15q11-q13. Remarkably, duplication of the same chromosomal region is one of the few characterized persistent genetic abnormalities associated with autistic spectrum disorder, occurring in &gt;1-2% of all cases of autism spectrum disorder. While the overall morphology of the brain and connectivity of neural projections appear largely normal in AS mouse models, major functional defects are detected at the level of context-dependent learning, as well as impaired maturation of hippocampal and neocortical circuits. While these findings demonstrate a crucial role for ubiquitin protein ligase E3A in synaptic development, the mechanisms by which deficiency of ubiquitin protein ligase E3A leads to AS pathophysiology in humans remain poorly understood. However, recent efforts have shown promise in restoring functions disrupted in AS mice, renewing hope that an effective treatment strategy can be found.","author":[{"dropping-particle":"","family":"Margolis","given":"Seth S.","non-dropping-particle":"","parse-names":false,"suffix":""},{"dropping-particle":"","family":"Sell","given":"Gabrielle L.","non-dropping-particle":"","parse-names":false,"suffix":""},{"dropping-particle":"","family":"Zbinden","given":"Mark A.","non-dropping-particle":"","parse-names":false,"suffix":""},{"dropping-particle":"","family":"Bird","given":"Lynne M.","non-dropping-particle":"","parse-names":false,"suffix":""}],"container-title":"Neurotherapeutics","id":"ITEM-2","issue":"3","issued":{"date-parts":[["2015","7","4"]]},"page":"641-650","title":"Angelman Syndrome","type":"article-journal","volume":"12"},"uris":["http://www.mendeley.com/documents/?uuid=c0ff7f2b-4326-3ed7-8d47-a859c4b5e494","http://www.mendeley.com/documents/?uuid=b31bcd25-2240-4427-b92d-da6f9f6a1a86"]},{"id":"ITEM-3","itemData":{"DOI":"10.1007/s12035-019-1503-8","ISSN":"0893-7648","PMID":"30706369","abstract":"Angelman syndrome (AS) is a genetic disorder which entails autism, intellectual disability, lack of speech, motor deficits, and seizure susceptibility. It is caused by the lack of UBE3A protein expression, which is an E3-ubiquitin ligase. Despite AS equal prevalence in males and females, not much data on how sex affects the syndrome was reported. In the herein study, we thoroughly characterized many behavioral phenotypes of AS mice. The behavioral data acquired was analyzed with respect to sex. In addition, we generated a new mRNA sequencing dataset. We analyzed the coding transcriptome expression profiles with respect to the effects of genotype and sex observed in the behavioral phenotypes. We identified several neurobehavioral aspects, especially sensory perception, where AS mice either lack the male-to-female differences observed in wild-type littermates or even show opposed differences. However, motor phenotypes did not show male-to-female variation between wild-type (WT) and AS mice. In addition, by utilizing the mRNA sequencing, we identified genes and isoforms with expression profiles that mirror the sensory perception results. These genes are differentially regulated in the two sexes with inverse expression profiles in AS mice compared to WT littermates. Some of these are known pain-related and estrogen-dependent genes. The observed differences in sex-dependent neurobehavioral phenotypes and the differential transcriptome expression profiles in AS mice strengthen the evidence for molecular cross talk between Ube3a protein and sex hormone receptors or their elicited pathways. These interactions are essential for understanding Ube3a deletion effects, beyond its E3-ligase activity.","author":[{"dropping-particle":"","family":"Koyavski","given":"Lee","non-dropping-particle":"","parse-names":false,"suffix":""},{"dropping-particle":"","family":"Panov","given":"Julia","non-dropping-particle":"","parse-names":false,"suffix":""},{"dropping-particle":"","family":"Simchi","given":"Lilach","non-dropping-particle":"","parse-names":false,"suffix":""},{"dropping-particle":"","family":"Rayi","given":"Prudhvi Raj","non-dropping-particle":"","parse-names":false,"suffix":""},{"dropping-particle":"","family":"Sharvit","given":"Lital","non-dropping-particle":"","parse-names":false,"suffix":""},{"dropping-particle":"","family":"Feuermann","given":"Yonatan","non-dropping-particle":"","parse-names":false,"suffix":""},{"dropping-particle":"","family":"Kaphzan","given":"Hanoch","non-dropping-particle":"","parse-names":false,"suffix":""}],"container-title":"Molecular Neurobiology","id":"ITEM-3","issue":"9","issued":{"date-parts":[["2019","9"]]},"page":"5998-6016","publisher":"Mol Neurobiol","title":"Sex-Dependent Sensory Phenotypes and Related Transcriptomic Expression Profiles Are Differentially Affected by Angelman Syndrome","type":"article-journal","volume":"56"},"uris":["http://www.mendeley.com/documents/?uuid=76e12495-6baa-4bd5-af47-1e9ce01c5547"]},{"id":"ITEM-4","itemData":{"DOI":"10.1016/j.pneurobio.2019.101676","ISSN":"03010082","PMID":"31401139","abstract":"Angelman syndrome (AS) is a neurodevelopmental disorder caused by the loss of function of the maternal copy of the UBE3A gene. Previous studies reported an increase in α1-Na/K-ATPase (α1-NaKA) expression in the AS hippocampus at the age of 2 weeks as the initial and isolated molecular alteration. This increase was further implied upon actuating much of the hippocampal-related deficits in an AS mouse model, although the underlying mechanism was never investigated. Here, we showed that enhanced α1-NaKA expression resulted in increased pump activity that reduced activity-dependent dendritic Ca2+ dynamics in the AS hippocampus, as well as selective inhibition of α1-NaKA by marinobufagenin (MBG) to normalize these aberrant Ca2+ dynamics. In addition, we demonstrated that selective α1-NaKA inhibition corrected impaired hippocampal synaptic plasticity and hippocampal-dependent cognitive deficits. Furthermore, we showed that the isolated increase in hippocampal α1-NaKA expression in AS mice at 2 weeks of age was accompanied by an unexpected enhancement in excitability. Altogether, our study implicates the modification of Ca2+ dynamics as one of the major underlying mechanisms by which enhanced α1-NaKA expression induces deleterious effects in the hippocampus of AS model mice. Finally, we propose a therapeutic approach for AS and possibly other neurodevelopmental disorders that entail aberrant NaKA expression or abnormal Ca2+ dynamics.","author":[{"dropping-particle":"","family":"Rayi","given":"Prudhvi Raj","non-dropping-particle":"","parse-names":false,"suffix":""},{"dropping-particle":"","family":"Koyavski","given":"Lee","non-dropping-particle":"","parse-names":false,"suffix":""},{"dropping-particle":"","family":"Chakraborty","given":"Darpan","non-dropping-particle":"","parse-names":false,"suffix":""},{"dropping-particle":"","family":"Bagrov","given":"Alexei","non-dropping-particle":"","parse-names":false,"suffix":""},{"dropping-particle":"","family":"Kaphzan","given":"Hanoch","non-dropping-particle":"","parse-names":false,"suffix":""}],"container-title":"Progress in Neurobiology","id":"ITEM-4","issued":{"date-parts":[["2019","11"]]},"page":"101676","title":"α1-Na/K-ATPase inhibition rescues aberrant dendritic calcium dynamics and memory deficits in the hippocampus of an Angelman syndrome mouse model","type":"article-journal","volume":"182"},"uris":["http://www.mendeley.com/documents/?uuid=d7c39795-9569-43ac-8850-ecef1ba48ab7"]},{"id":"ITEM-5","itemData":{"DOI":"10.1016/j.celrep.2013.07.005","ISSN":"22111247","PMID":"23911285","abstract":"Angelman syndrome (AS) is associated with symptoms that include autism, intellectual disability, motor abnormalities, and epilepsy. We recently showed that AS model mice have increased expression of the alpha1 subunit of Na/K-ATPase (α1-NaKA) in the hippocampus, which was correlated with increased expression of axon initial segment (AIS) proteins. Our developmental analysis revealed that the increase in α1-NaKA expression preceded that of the AIS proteins. Therefore, we hypothesized that α1-NaKA overexpression drives AIS abnormalities and that by reducing its expression these and other phenotypes could be corrected in AS model mice. Herein, we report that the genetic normalization of α1-NaKA levels in AS model mice corrects multiple hippocampal phenotypes, including alterations in the AIS, aberrant intrinsic membrane properties, impaired synaptic plasticity, and memory deficits. These findings strongly suggest that increased expression of α1-NaKA plays an important role in a broad rangeof abnormalities in the hippocampus of AS model mice","author":[{"dropping-particle":"","family":"Kaphzan","given":"Hanoch","non-dropping-particle":"","parse-names":false,"suffix":""},{"dropping-particle":"","family":"Buffington","given":"Shelly A.","non-dropping-particle":"","parse-names":false,"suffix":""},{"dropping-particle":"","family":"Ramaraj","given":"Akila B.","non-dropping-particle":"","parse-names":false,"suffix":""},{"dropping-particle":"","family":"Lingrel","given":"Jerry B.","non-dropping-particle":"","parse-names":false,"suffix":""},{"dropping-particle":"","family":"Rasband","given":"Matthew N.","non-dropping-particle":"","parse-names":false,"suffix":""},{"dropping-particle":"","family":"Santini","given":"Emanuela","non-dropping-particle":"","parse-names":false,"suffix":""},{"dropping-particle":"","family":"Klann","given":"Eric","non-dropping-particle":"","parse-names":false,"suffix":""}],"container-title":"Cell Reports","id":"ITEM-5","issue":"3","issued":{"date-parts":[["2013","8"]]},"page":"405-412","publisher":"The Authors","publisher-place":"Center for Neural Science, New York University, New York, NY 10003, USA; Sagol Department of Neurobiology, University of Haifa, Haifa 3190501, Israel.","title":"Genetic Reduction of the α1 Subunit of Na/K-ATPase Corrects Multiple Hippocampal Phenotypes in Angelman Syndrome","type":"article-journal","volume":"4"},"uris":["http://www.mendeley.com/documents/?uuid=c34a77c4-a96c-4f9e-9928-52af61780980"]}],"mendeley":{"formattedCitation":"&lt;sup&gt;4,13,71–73&lt;/sup&gt;","plainTextFormattedCitation":"4,13,71–73","previouslyFormattedCitation":"&lt;sup&gt;4,13,71–73&lt;/sup&gt;"},"properties":{"noteIndex":0},"schema":"https://github.com/citation-style-language/schema/raw/master/csl-citation.json"}</w:instrText>
      </w:r>
      <w:r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4,13,71–73</w:t>
      </w:r>
      <w:r w:rsidRPr="00B12FA8">
        <w:rPr>
          <w:rFonts w:asciiTheme="majorBidi" w:hAnsiTheme="majorBidi" w:cstheme="majorBidi"/>
        </w:rPr>
        <w:fldChar w:fldCharType="end"/>
      </w:r>
      <w:r w:rsidR="006104B1">
        <w:rPr>
          <w:rFonts w:asciiTheme="majorBidi" w:hAnsiTheme="majorBidi" w:cstheme="majorBidi"/>
        </w:rPr>
        <w:t>.</w:t>
      </w:r>
      <w:r w:rsidR="00AD7D09" w:rsidRPr="00B12FA8">
        <w:rPr>
          <w:rFonts w:asciiTheme="majorBidi" w:hAnsiTheme="majorBidi" w:cstheme="majorBidi"/>
        </w:rPr>
        <w:t xml:space="preserve"> </w:t>
      </w:r>
      <w:proofErr w:type="spellStart"/>
      <w:r w:rsidR="006104B1" w:rsidRPr="00B12FA8">
        <w:rPr>
          <w:rFonts w:asciiTheme="majorBidi" w:hAnsiTheme="majorBidi" w:cstheme="majorBidi"/>
        </w:rPr>
        <w:t>MWM</w:t>
      </w:r>
      <w:proofErr w:type="spellEnd"/>
      <w:r w:rsidR="006104B1">
        <w:rPr>
          <w:rFonts w:asciiTheme="majorBidi" w:hAnsiTheme="majorBidi" w:cstheme="majorBidi"/>
        </w:rPr>
        <w:t xml:space="preserve"> </w:t>
      </w:r>
      <w:r w:rsidR="006104B1" w:rsidRPr="00B12FA8">
        <w:rPr>
          <w:rFonts w:asciiTheme="majorBidi" w:hAnsiTheme="majorBidi" w:cstheme="majorBidi"/>
        </w:rPr>
        <w:t>task</w:t>
      </w:r>
      <w:r w:rsidR="00AD7D09" w:rsidRPr="00B12FA8">
        <w:rPr>
          <w:rFonts w:asciiTheme="majorBidi" w:hAnsiTheme="majorBidi" w:cstheme="majorBidi"/>
        </w:rPr>
        <w:t xml:space="preserve"> </w:t>
      </w:r>
      <w:r w:rsidR="0069522B" w:rsidRPr="00B12FA8">
        <w:rPr>
          <w:rFonts w:asciiTheme="majorBidi" w:hAnsiTheme="majorBidi" w:cstheme="majorBidi"/>
        </w:rPr>
        <w:t>depends</w:t>
      </w:r>
      <w:r w:rsidRPr="00B12FA8">
        <w:rPr>
          <w:rFonts w:asciiTheme="majorBidi" w:hAnsiTheme="majorBidi" w:cstheme="majorBidi"/>
        </w:rPr>
        <w:t xml:space="preserve"> on </w:t>
      </w:r>
      <w:r w:rsidR="008B5418" w:rsidRPr="00B12FA8">
        <w:rPr>
          <w:rFonts w:asciiTheme="majorBidi" w:hAnsiTheme="majorBidi" w:cstheme="majorBidi"/>
        </w:rPr>
        <w:t xml:space="preserve">the </w:t>
      </w:r>
      <w:r w:rsidRPr="00B12FA8">
        <w:rPr>
          <w:rFonts w:asciiTheme="majorBidi" w:hAnsiTheme="majorBidi" w:cstheme="majorBidi"/>
        </w:rPr>
        <w:t xml:space="preserve">dorsal hippocampus </w:t>
      </w:r>
      <w:r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{"citationItems":[{"id":"ITEM-1","itemData":{"DOI":"10.3791/59598","ISSN":"1940-087X","PMID":"31282875","abstract":"Two-photon microscopy is a fundamental tool for neuroscience as it permits investigation of the brain of live animals at spatial scales ranging from subcellular to network levels and at temporal scales from milliseconds to weeks. In addition, two-photon imaging can be combined with a variety of behavioral tasks to explore the causal relationships between brain function and behavior. However, in mammals, limited penetration and scattering of light have limited two-photon intravital imaging mostly to superficial brain regions, thus precluding longitudinal investigation of deep-brain areas such as the hippocampus. The hippocampus is involved in spatial navigation and episodic memory and is a long-standing model used to study cellular as well as cognitive processes important for learning and recall, both in health and disease. Here, a preparation that enables chronic optical access to the dorsal hippocampus in living mice is detailed. This preparation can be combined with two-photon optical imaging at cellular and subcellular resolution in head fixed, anesthetized live mice over several weeks. These techniques enable repeated imaging of neuronal structure or activity-evoked plasticity in tens to hundreds of neurons in the dorsal hippocampal CA1. Furthermore, this chronic preparation can be used in combination with other techniques such as micro-endoscopy, head-mounted wide field microscopy or three-photon microscopy, thus greatly expanding the toolbox to study cellular and network processes involved in learning and memory.","author":[{"dropping-particle":"","family":"Ulivi","given":"Alessandro F.","non-dropping-particle":"","parse-names":false,"suffix":""},{"dropping-particle":"","family":"Castello-Waldow","given":"Tim P.","non-dropping-particle":"","parse-names":false,"suffix":""},{"dropping-particle":"","family":"Weston","given":"Ghabiba","non-dropping-particle":"","parse-names":false,"suffix":""},{"dropping-particle":"","family":"Yan","given":"Long","non-dropping-particle":"","parse-names":false,"suffix":""},{"dropping-particle":"","family":"Yasuda","given":"Ryohei","non-dropping-particle":"","parse-names":false,"suffix":""},{"dropping-particle":"","family":"Chen","given":"Alon","non-dropping-particle":"","parse-names":false,"suffix":""},{"dropping-particle":"","family":"Attardo","given":"Alessio","non-dropping-particle":"","parse-names":false,"suffix":""}],"container-title":"Journal of Visualized Experiments","id":"ITEM-1","issue":"148","issued":{"date-parts":[["2019","6","19"]]},"title":"Longitudinal Two-Photon Imaging of Dorsal Hippocampal CA1 in Live Mice","type":"article-journal"},"uris":["http://www.mendeley.com/documents/?uuid=ea741546-41c5-34b0-b8f6-0d8ee85b18a5","http://www.mendeley.com/documents/?uuid=0a4ca256-edf3-49a9-85df-1439ffa16c30"]},{"id":"ITEM-2","itemData":{"DOI":"10.1007/978-3-319-94593-4_3","author":[{"dropping-particle":"","family":"Takahashi","given":"Susumu","non-dropping-particle":"","parse-names":false,"suffix":""}],"id":"ITEM-2","issued":{"date-parts":[["2018"]]},"page":"49-70","title":"The Hippocampal Ensemble Code for Spatial Navigation and Episodic Memory","type":"chapter"},"uris":["http://www.mendeley.com/documents/?uuid=a3c12791-effe-33ce-96b1-972dbd8a9b32","http://www.mendeley.com/documents/?uuid=2740d2e1-4d6a-4ad1-a9f7-b41e7c25d65c"]},{"id":"ITEM-3","itemData":{"DOI":"10.1073/pnas.92.21.9697","ISSN":"0027-8424","PMID":"7568200","abstract":"We have determined the volume and location of hippocampal tissue required for normal acquisition of a spatial memory task. Ibotenic acid was used to make bilateral symmetric lesions of 20-100% of hippocampal volume. Even a small transverse block (minislab) of the hippocampus (down to 26% of the total) could support spatial learning in a water maze, provided it was at the septal (dorsal) pole of the hippocampus. Lesions of the septal pole, leaving 60% of the hippocampi intact, caused a learning deficit, although normal electrophysiological responses, synaptic plasticity, and preserved acetylcholinesterase staining argue for adequate function of the remaining tissue. Thus, with an otherwise normal brain, hippocampal-dependent spatial learning only requires a minislab of dorsal hippocampal tissue.","author":[{"dropping-particle":"","family":"Moser","given":"M B","non-dropping-particle":"","parse-names":false,"suffix":""},{"dropping-particle":"","family":"Moser","given":"E. I.","non-dropping-particle":"","parse-names":false,"suffix":""},{"dropping-particle":"","family":"Forrest","given":"E.","non-dropping-particle":"","parse-names":false,"suffix":""},{"dropping-particle":"","family":"Andersen","given":"P.","non-dropping-particle":"","parse-names":false,"suffix":""},{"dropping-particle":"","family":"Morris","given":"R. G.","non-dropping-particle":"","parse-names":false,"suffix":""}],"container-title":"Proceedings of the National Academy of Sciences","id":"ITEM-3","issue":"21","issued":{"date-parts":[["1995","10","10"]]},"page":"9697-9701","title":"Spatial learning with a minislab in the dorsal hippocampus.","type":"article-journal","volume":"92"},"uris":["http://www.mendeley.com/documents/?uuid=8cfeca1f-b73a-36bf-b1ef-10ca8b8a3a1d","http://www.mendeley.com/documents/?uuid=34998b4a-33ee-419f-8c04-3656e9f46e55"]},{"id":"ITEM-4","itemData":{"DOI":"10.1073/pnas.0812608106","ISSN":"0027-8424","PMID":"19561297","abstract":"Functional heterogeneity has been investigated for decades in the hippocampal region of the mammalian cerebral cortex, and evidence for vaguely defined “dorsal” and “ventral” regions is emerging. Direct evidence that hippocampal field CA1 displays clear regional, laminar, and pyramidal neuron differentiation is presented here, based on a systematic high-resolution analysis of a publicly accessible, genome-wide expression digital library (Allen Brain Atlas) [Lein et al. (2007) Genome-wide atlas of gene expression in the adult mouse brain. Nature 445:168–176]. First, genetic markers reveal distinct spatial expression domains and subdomains along the longitudinal (dorsal/septal/posterior to ventral/temporal/anterior) axis of field CA1. Second, genetic markers divide field CA1 pyramidal neurons into multiple subtypes with characteristic laminar distributions. And third, subcortical brain regions receiving axonal projections from molecularly distinct spatial domains of field CA1 display distinct global gene expression patterns, suggesting that field CA1 spatial domains may be genetically wired independently to form distinct functional networks related to cognition and emotion. Insights emerging from this genomic–anatomic approach provide a starting point for a detailed analysis of differential hippocampal structure–function organization.","author":[{"dropping-particle":"","family":"Dong","given":"Hong-Wei","non-dropping-particle":"","parse-names":false,"suffix":""},{"dropping-particle":"","family":"Swanson","given":"Larry W","non-dropping-particle":"","parse-names":false,"suffix":""},{"dropping-particle":"","family":"Chen","given":"Lin","non-dropping-particle":"","parse-names":false,"suffix":""},{"dropping-particle":"","family":"Fanselow","given":"Michael S","non-dropping-particle":"","parse-names":false,"suffix":""},{"dropping-particle":"","family":"Toga","given":"Arthur W","non-dropping-particle":"","parse-names":false,"suffix":""}],"container-title":"Proceedings of the National Academy of Sciences","id":"ITEM-4","issue":"28","issued":{"date-parts":[["2009","7","14"]]},"page":"11794-11799","title":"Genomic–anatomic evidence for distinct functional domains in hippocampal field CA1","type":"article-journal","volume":"106"},"uris":["http://www.mendeley.com/documents/?uuid=10e09d5c-c6a8-3a81-a7d7-678169b2e65e","http://www.mendeley.com/documents/?uuid=226e2d40-f1f4-4330-a4ed-ff854fcf1c03"]},{"id":"ITEM-5","itemData":{"DOI":"10.1016/j.neuron.2009.11.031","ISSN":"08966273","PMID":"20152109","abstract":"One literature treats the hippocampus as a purely cognitive structure involved in memory; another treats it as a regulator of emotion whose dysfunction leads to psychopathology. We review behavioral, anatomical, and gene expression studies that together support a functional segmentation into three hippocampal compartments: dorsal, intermediate, and ventral. The dorsal hippocampus, which corresponds to the posterior hippocampus in primates, performs primarily cognitive functions. The ventral (anterior in primates) relates to stress, emotion, and affect. Strikingly, gene expression in the dorsal hippocampus correlates with cortical regions involved in information processing, while genes expressed in the ventral hippocampus correlate with regions involved in emotion and stress (amygdala and hypothalamus).","author":[{"dropping-particle":"","family":"Fanselow","given":"Michael S.","non-dropping-particle":"","parse-names":false,"suffix":""},{"dropping-particle":"","family":"Dong","given":"Hong-Wei","non-dropping-particle":"","parse-names":false,"suffix":""}],"container-title":"Neuron","id":"ITEM-5","issue":"1","issued":{"date-parts":[["2010","1"]]},"page":"7-19","title":"Are the Dorsal and Ventral Hippocampus Functionally Distinct Structures?","type":"article-journal","volume":"65"},"uris":["http://www.mendeley.com/documents/?uuid=38c04c9b-c0d0-3f25-b925-3a73f2e76bc9","http://www.mendeley.com/documents/?uuid=c1a3a05c-c34b-4df9-a8fa-d37dfd39a5d6"]}],"mendeley":{"formattedCitation":"&lt;sup&gt;74–78&lt;/sup&gt;","plainTextFormattedCitation":"74–78","previouslyFormattedCitation":"&lt;sup&gt;74–78&lt;/sup&gt;"},"properties":{"noteIndex":0},"schema":"https://github.com/citation-style-language/schema/raw/master/csl-citation.json"}</w:instrText>
      </w:r>
      <w:r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74–78</w:t>
      </w:r>
      <w:r w:rsidRPr="00B12FA8">
        <w:rPr>
          <w:rFonts w:asciiTheme="majorBidi" w:hAnsiTheme="majorBidi" w:cstheme="majorBidi"/>
        </w:rPr>
        <w:fldChar w:fldCharType="end"/>
      </w:r>
      <w:r w:rsidRPr="00B12FA8">
        <w:rPr>
          <w:rFonts w:asciiTheme="majorBidi" w:hAnsiTheme="majorBidi" w:cstheme="majorBidi"/>
        </w:rPr>
        <w:t xml:space="preserve"> and </w:t>
      </w:r>
      <w:r w:rsidR="008B5418" w:rsidRPr="00B12FA8">
        <w:rPr>
          <w:rFonts w:asciiTheme="majorBidi" w:hAnsiTheme="majorBidi" w:cstheme="majorBidi"/>
        </w:rPr>
        <w:t xml:space="preserve">the </w:t>
      </w:r>
      <w:r w:rsidRPr="00B12FA8">
        <w:rPr>
          <w:rFonts w:asciiTheme="majorBidi" w:hAnsiTheme="majorBidi" w:cstheme="majorBidi"/>
        </w:rPr>
        <w:t xml:space="preserve">parietal cortex </w:t>
      </w:r>
      <w:r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{"citationItems":[{"id":"ITEM-1","itemData":{"DOI":"10.1515/revneuro.2006.17.1-2.227","ISSN":"0334-1763","PMID":"16703954","abstract":"To assess the cortical regions involved in learning spatial navigation, changes in oxyhemoglobin volume were measured with near-infrared spectroscopy in a task analogous to the Morris water maze. The blindfolded participants (Ps) were allowed to search the area inside the circular ring (20 cm) until they reached a goal (1 cm). The sitting and starting positions were randomly varied across trials, but the goal was in a fixed position so that the Ps could learn the allocentric spatial relationship between the goal and the experimental room. There was a significant sex difference (p &lt; 0.05) in the present task, showing that performance in males was better than that in females. With this task, we measured brain activation in the first training trial, the probe test, and the motor-control trials. In the first trial, dorsolateral prefrontal and parietal cortices were activated. In the probe test, only the dorsolateral prefrontal regions were activated. These results suggest that the parietal cortex is critical for acquisition of spatial memory.","author":[{"dropping-particle":"","family":"Saito","given":"Kotaro","non-dropping-particle":"","parse-names":false,"suffix":""},{"dropping-particle":"","family":"Watanabe","given":"Shigeru","non-dropping-particle":"","parse-names":false,"suffix":""}],"container-title":"Reviews in the neurosciences","id":"ITEM-1","issue":"1-2","issued":{"date-parts":[["2006"]]},"page":"227-38","title":"Spatial memory activation of the parietal cortex measured with near-infrared spectroscopic imaging in the finger-maze of the Morris water maze analogue for humans.","type":"article-journal","volume":"17"},"uris":["http://www.mendeley.com/documents/?uuid=c07e5b98-6928-3220-916d-7f0db4bb0f18","http://www.mendeley.com/documents/?uuid=83b05df4-deaf-4c3a-bdb0-ff8cb5bdf2ad"]},{"id":"ITEM-2","itemData":{"DOI":"10.1037//0735-7044.102.4.471","ISSN":"0735-7044","PMID":"3166721","abstract":"Separate groups of rats with lesions in the parietal cortex (PC) or hippocampal formation (HF) were tested for acquisition and retention of the Morris water maze cognitive mapping task. Some of the animals in each lesion group received preoperative training in the task. Other animals in each group received no preoperative training. The results indicate that although both lesions lead to a cognitive mapping impairment in both the acquisition and retention of the task, the animals with PC lesions were more severely impaired than were the animals with HF lesions, as indicated by quantitative measures. However, qualitative aspects of the animals' swim behavior indicate that the HF damaged animals tend to use \"nonmapping\" strategies to solve the tasks, which suggests that the qualitative nature of their impairment differs from that of the PC damaged animals. The results of this study support the hypothesis that PC plays an important role in the processing of information about space that is allocentric or external to the body.","author":[{"dropping-particle":"","family":"DiMattia","given":"B D","non-dropping-particle":"","parse-names":false,"suffix":""},{"dropping-particle":"","family":"Kesner","given":"R P","non-dropping-particle":"","parse-names":false,"suffix":""}],"container-title":"Behavioral neuroscience","id":"ITEM-2","issue":"4","issued":{"date-parts":[["1988","8"]]},"page":"471-80","title":"Spatial cognitive maps: differential role of parietal cortex and hippocampal formation.","type":"article-journal","volume":"102"},"uris":["http://www.mendeley.com/documents/?uuid=92736a25-f960-3d68-81f1-c47d7b34f7db","http://www.mendeley.com/documents/?uuid=13c93e7b-8d80-4599-b02e-5e565efdd9f8"]},{"id":"ITEM-3","itemData":{"DOI":"10.7554/eLife.42583","ISSN":"2050-084X","PMID":"30468146","abstract":"Posterior parietal cortex (PPC) has been implicated in navigation, in the control of movement, and in visually-guided decisions. To relate these views, we measured activity in PPC while mice performed a virtual navigation task driven by visual decisions. PPC neurons were selective for specific combinations of the animal's spatial position and heading angle. This selectivity closely predicted both the activity of individual PPC neurons, and the arrangement of their collective firing patterns in choice-selective sequences. These sequences reflected PPC encoding of the animal’s navigation trajectory. Using decision as a predictor instead of heading yielded worse fits, and using it in addition to heading only slightly improved the fits. Alternative models based on visual or motor variables were inferior. We conclude that when mice use vision to choose their trajectories, a large fraction of parietal cortex activity can be predicted from simple attributes such as spatial position and heading.","author":[{"dropping-particle":"","family":"Krumin","given":"Michael","non-dropping-particle":"","parse-names":false,"suffix":""},{"dropping-particle":"","family":"Lee","given":"Julie J","non-dropping-particle":"","parse-names":false,"suffix":""},{"dropping-particle":"","family":"Harris","given":"Kenneth D","non-dropping-particle":"","parse-names":false,"suffix":""},{"dropping-particle":"","family":"Carandini","given":"Matteo","non-dropping-particle":"","parse-names":false,"suffix":""}],"container-title":"eLife","id":"ITEM-3","issued":{"date-parts":[["2018","11","23"]]},"title":"Decision and navigation in mouse parietal cortex","type":"article-journal","volume":"7"},"uris":["http://www.mendeley.com/documents/?uuid=80567e2f-7d66-3b9a-9678-41bab6a69d5c","http://www.mendeley.com/documents/?uuid=8fd116ef-c93a-4fda-a27b-11e9400e3fe0"]},{"id":"ITEM-4","itemData":{"DOI":"10.1016/j.cell.2017.07.021","ISSN":"00928674","PMID":"28823559","abstract":"Neuronal representations change as associations are learned between sensory stimuli and behavioral actions. However, it is poorly understood whether representations for learned associations stabilize in cortical association areas or continue to change following learning. We tracked the activity of posterior parietal cortex neurons for a month as mice stably performed a virtual-navigation task. The relationship between cells' activity and task features was mostly stable on single days but underwent major reorganization over weeks. The neurons informative about task features (trial type and maze locations) changed across days. Despite changes in individual cells, the population activity had statistically similar properties each day and stable information for over a week. As mice learned additional associations, new activity patterns emerged in the neurons used for existing representations without greatly affecting the rate of change of these representations. We propose that dynamic neuronal activity patterns could balance plasticity for learning and stability for memory.","author":[{"dropping-particle":"","family":"Driscoll","given":"Laura N.","non-dropping-particle":"","parse-names":false,"suffix":""},{"dropping-particle":"","family":"Pettit","given":"Noah L.","non-dropping-particle":"","parse-names":false,"suffix":""},{"dropping-particle":"","family":"Minderer","given":"Matthias","non-dropping-particle":"","parse-names":false,"suffix":""},{"dropping-particle":"","family":"Chettih","given":"Selmaan N.","non-dropping-particle":"","parse-names":false,"suffix":""},{"dropping-particle":"","family":"Harvey","given":"Christopher D.","non-dropping-particle":"","parse-names":false,"suffix":""}],"container-title":"Cell","id":"ITEM-4","issue":"5","issued":{"date-parts":[["2017","8"]]},"page":"986-999.e16","title":"Dynamic Reorganization of Neuronal Activity Patterns in Parietal Cortex","type":"article-journal","volume":"170"},"uris":["http://www.mendeley.com/documents/?uuid=932d3651-ff17-349a-abb1-d762fd0f9264","http://www.mendeley.com/documents/?uuid=71c7ef6b-ffde-4521-9bff-4a016e198844"]}],"mendeley":{"formattedCitation":"&lt;sup&gt;79–82&lt;/sup&gt;","plainTextFormattedCitation":"79–82","previouslyFormattedCitation":"&lt;sup&gt;79–82&lt;/sup&gt;"},"properties":{"noteIndex":0},"schema":"https://github.com/citation-style-language/schema/raw/master/csl-citation.json"}</w:instrText>
      </w:r>
      <w:r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79–82</w:t>
      </w:r>
      <w:r w:rsidRPr="00B12FA8">
        <w:rPr>
          <w:rFonts w:asciiTheme="majorBidi" w:hAnsiTheme="majorBidi" w:cstheme="majorBidi"/>
        </w:rPr>
        <w:fldChar w:fldCharType="end"/>
      </w:r>
      <w:r w:rsidRPr="00B12FA8">
        <w:rPr>
          <w:rFonts w:asciiTheme="majorBidi" w:hAnsiTheme="majorBidi" w:cstheme="majorBidi"/>
        </w:rPr>
        <w:t xml:space="preserve">. Using a </w:t>
      </w:r>
      <w:proofErr w:type="spellStart"/>
      <w:r w:rsidRPr="00B12FA8">
        <w:rPr>
          <w:rFonts w:asciiTheme="majorBidi" w:hAnsiTheme="majorBidi" w:cstheme="majorBidi"/>
        </w:rPr>
        <w:t>tDCS</w:t>
      </w:r>
      <w:proofErr w:type="spellEnd"/>
      <w:r w:rsidRPr="00B12FA8">
        <w:rPr>
          <w:rFonts w:asciiTheme="majorBidi" w:hAnsiTheme="majorBidi" w:cstheme="majorBidi"/>
        </w:rPr>
        <w:t xml:space="preserve"> (Fig </w:t>
      </w:r>
      <w:r w:rsidR="002B66B5" w:rsidRPr="00B12FA8">
        <w:rPr>
          <w:rFonts w:asciiTheme="majorBidi" w:hAnsiTheme="majorBidi" w:cstheme="majorBidi"/>
        </w:rPr>
        <w:t>1a</w:t>
      </w:r>
      <w:r w:rsidRPr="00B12FA8">
        <w:rPr>
          <w:rFonts w:asciiTheme="majorBidi" w:hAnsiTheme="majorBidi" w:cstheme="majorBidi"/>
        </w:rPr>
        <w:t xml:space="preserve">), we demonstrated that applying </w:t>
      </w:r>
      <w:proofErr w:type="spellStart"/>
      <w:r w:rsidRPr="00B12FA8">
        <w:rPr>
          <w:rFonts w:asciiTheme="majorBidi" w:hAnsiTheme="majorBidi" w:cstheme="majorBidi"/>
        </w:rPr>
        <w:t>tDCS</w:t>
      </w:r>
      <w:proofErr w:type="spellEnd"/>
      <w:r w:rsidRPr="00B12FA8">
        <w:rPr>
          <w:rFonts w:asciiTheme="majorBidi" w:hAnsiTheme="majorBidi" w:cstheme="majorBidi"/>
        </w:rPr>
        <w:t xml:space="preserve"> above these regions successfully rescues AS deficit </w:t>
      </w:r>
      <w:r w:rsidR="00AD7D09" w:rsidRPr="00B12FA8">
        <w:rPr>
          <w:rFonts w:asciiTheme="majorBidi" w:hAnsiTheme="majorBidi" w:cstheme="majorBidi"/>
        </w:rPr>
        <w:t xml:space="preserve">evident in the </w:t>
      </w:r>
      <w:proofErr w:type="spellStart"/>
      <w:r w:rsidRPr="00B12FA8">
        <w:rPr>
          <w:rFonts w:asciiTheme="majorBidi" w:hAnsiTheme="majorBidi" w:cstheme="majorBidi"/>
        </w:rPr>
        <w:t>MWM</w:t>
      </w:r>
      <w:proofErr w:type="spellEnd"/>
      <w:r w:rsidRPr="00B12FA8">
        <w:rPr>
          <w:rFonts w:asciiTheme="majorBidi" w:hAnsiTheme="majorBidi" w:cstheme="majorBidi"/>
        </w:rPr>
        <w:t xml:space="preserve"> (Fig </w:t>
      </w:r>
      <w:r w:rsidR="002B66B5" w:rsidRPr="00B12FA8">
        <w:rPr>
          <w:rFonts w:asciiTheme="majorBidi" w:hAnsiTheme="majorBidi" w:cstheme="majorBidi"/>
        </w:rPr>
        <w:t>1</w:t>
      </w:r>
      <w:r w:rsidRPr="00B12FA8">
        <w:rPr>
          <w:rFonts w:asciiTheme="majorBidi" w:hAnsiTheme="majorBidi" w:cstheme="majorBidi"/>
        </w:rPr>
        <w:t>).</w:t>
      </w:r>
      <w:r w:rsidR="00ED64D8" w:rsidRPr="00B12FA8">
        <w:rPr>
          <w:rFonts w:asciiTheme="majorBidi" w:hAnsiTheme="majorBidi" w:cstheme="majorBidi"/>
        </w:rPr>
        <w:t xml:space="preserve"> </w:t>
      </w:r>
      <w:r w:rsidRPr="00B12FA8">
        <w:rPr>
          <w:rFonts w:asciiTheme="majorBidi" w:hAnsiTheme="majorBidi" w:cstheme="majorBidi"/>
        </w:rPr>
        <w:t xml:space="preserve">Furthermore, 20 min of </w:t>
      </w:r>
      <w:proofErr w:type="spellStart"/>
      <w:r w:rsidRPr="00B12FA8">
        <w:rPr>
          <w:rFonts w:asciiTheme="majorBidi" w:hAnsiTheme="majorBidi" w:cstheme="majorBidi"/>
        </w:rPr>
        <w:t>tDCS</w:t>
      </w:r>
      <w:proofErr w:type="spellEnd"/>
      <w:r w:rsidRPr="00B12FA8">
        <w:rPr>
          <w:rFonts w:asciiTheme="majorBidi" w:hAnsiTheme="majorBidi" w:cstheme="majorBidi"/>
        </w:rPr>
        <w:t xml:space="preserve"> just prior to habituation enhanced the hippocampal-dependent </w:t>
      </w:r>
      <w:r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{"citationItems":[{"id":"ITEM-1","itemData":{"DOI":"10.1523/JNEUROSCI.6413-10.2011","ISSN":"0270-6474","abstract":"The role of the hippocampus in recognition memory is controversial. Recognition memory judgments may be made using different types of information, including object familiarity, an object's spatial location, or when an object was encountered. Experiment 1 examined the role of the hippocampus in recognition memory tasks that required the animals to use these different types of mnemonic information. Rats with bilateral cytotoxic lesions in the hippocampus or perirhinal or prefrontal cortex were tested on a battery of spontaneous object recognition tasks requiring the animals to make recognition memory judgments using familiarity (novel object preference); object-place information (object-in-place memory), or recency information (temporal order memory). Experiment 2 examined whether, when using different types of recognition memory information, the hippocampus interacts with either the perirhinal or prefrontal cortex. Thus, groups of rats were prepared with a unilateral cytotoxic lesion in the hippocampus combined with a lesion in either the contralateral perirhinal or prefrontal cortex. Rats were then tested in a series of object recognition memory tasks. Experiment 1 revealed that the hippocampus was crucial for object location, object-in-place, and recency recognition memory, but not for the novel object preference task. Experiment 2 revealed that object-in-place and recency recognition memory performance depended on a functional interaction between the hippocampus and either the perirhinal or medial prefrontal cortices. Thus, the hippocampus plays a role in recognition memory when such memory involves remembering that a particular stimulus occurred in a particular place or when the memory contains a temporal or object recency component.","author":[{"dropping-particle":"","family":"Barker","given":"G. R. I.","non-dropping-particle":"","parse-names":false,"suffix":""},{"dropping-particle":"","family":"Warburton","given":"E. C.","non-dropping-particle":"","parse-names":false,"suffix":""}],"container-title":"Journal of Neuroscience","id":"ITEM-1","issue":"29","issued":{"date-parts":[["2011","7","20"]]},"page":"10721-10731","publisher":"Society for Neuroscience","publisher-place":"Medical Research Council Centre for Synaptic Plasticity, School of Physiology and Pharmacology, University of Bristol, Bristol BS8 1TD, United Kingdom.","title":"When Is the Hippocampus Involved in Recognition Memory?","type":"article-journal","volume":"31"},"uris":["http://www.mendeley.com/documents/?uuid=f8849990-1118-420c-946e-9429b4f62952","http://www.mendeley.com/documents/?uuid=b5cf2152-2a62-470f-9a65-41e87c025e5e"]}],"mendeley":{"formattedCitation":"&lt;sup&gt;83&lt;/sup&gt;","plainTextFormattedCitation":"83","previouslyFormattedCitation":"&lt;sup&gt;83&lt;/sup&gt;"},"properties":{"noteIndex":0},"schema":"https://github.com/citation-style-language/schema/raw/master/csl-citation.json"}</w:instrText>
      </w:r>
      <w:r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83</w:t>
      </w:r>
      <w:r w:rsidRPr="00B12FA8">
        <w:rPr>
          <w:rFonts w:asciiTheme="majorBidi" w:hAnsiTheme="majorBidi" w:cstheme="majorBidi"/>
        </w:rPr>
        <w:fldChar w:fldCharType="end"/>
      </w:r>
      <w:r w:rsidRPr="00B12FA8">
        <w:rPr>
          <w:rFonts w:asciiTheme="majorBidi" w:hAnsiTheme="majorBidi" w:cstheme="majorBidi"/>
        </w:rPr>
        <w:t xml:space="preserve"> novel object location memory (OLM) in both WT and AS mice (Fig </w:t>
      </w:r>
      <w:r w:rsidR="002B66B5" w:rsidRPr="00B12FA8">
        <w:rPr>
          <w:rFonts w:asciiTheme="majorBidi" w:hAnsiTheme="majorBidi" w:cstheme="majorBidi"/>
        </w:rPr>
        <w:t>2</w:t>
      </w:r>
      <w:r w:rsidRPr="00B12FA8">
        <w:rPr>
          <w:rFonts w:asciiTheme="majorBidi" w:hAnsiTheme="majorBidi" w:cstheme="majorBidi"/>
        </w:rPr>
        <w:t xml:space="preserve">). </w:t>
      </w:r>
      <w:r w:rsidRPr="00B12FA8">
        <w:rPr>
          <w:rFonts w:asciiTheme="majorBidi" w:hAnsiTheme="majorBidi" w:cstheme="majorBidi"/>
          <w:b/>
          <w:bCs/>
          <w:i/>
          <w:iCs/>
        </w:rPr>
        <w:t xml:space="preserve">Therefore, we posit that modifying the excitability of distinct brain regions in AS mice using </w:t>
      </w:r>
      <w:proofErr w:type="spellStart"/>
      <w:r w:rsidRPr="00B12FA8">
        <w:rPr>
          <w:rFonts w:asciiTheme="majorBidi" w:hAnsiTheme="majorBidi" w:cstheme="majorBidi"/>
          <w:b/>
          <w:bCs/>
          <w:i/>
          <w:iCs/>
        </w:rPr>
        <w:t>tDCS</w:t>
      </w:r>
      <w:proofErr w:type="spellEnd"/>
      <w:r w:rsidRPr="00B12FA8">
        <w:rPr>
          <w:rFonts w:asciiTheme="majorBidi" w:hAnsiTheme="majorBidi" w:cstheme="majorBidi"/>
          <w:b/>
          <w:bCs/>
          <w:i/>
          <w:iCs/>
        </w:rPr>
        <w:t xml:space="preserve"> </w:t>
      </w:r>
      <w:r w:rsidR="006104B1">
        <w:rPr>
          <w:rFonts w:asciiTheme="majorBidi" w:hAnsiTheme="majorBidi" w:cstheme="majorBidi"/>
          <w:b/>
          <w:bCs/>
          <w:i/>
          <w:iCs/>
        </w:rPr>
        <w:t>can</w:t>
      </w:r>
      <w:r w:rsidRPr="00B12FA8">
        <w:rPr>
          <w:rFonts w:asciiTheme="majorBidi" w:hAnsiTheme="majorBidi" w:cstheme="majorBidi"/>
          <w:b/>
          <w:bCs/>
          <w:i/>
          <w:iCs/>
        </w:rPr>
        <w:t xml:space="preserve"> alleviate </w:t>
      </w:r>
      <w:r w:rsidR="00202773" w:rsidRPr="00B12FA8">
        <w:rPr>
          <w:rFonts w:asciiTheme="majorBidi" w:hAnsiTheme="majorBidi" w:cstheme="majorBidi"/>
          <w:b/>
          <w:bCs/>
          <w:i/>
          <w:iCs/>
        </w:rPr>
        <w:t xml:space="preserve">cognitive/behavioral </w:t>
      </w:r>
      <w:r w:rsidRPr="00B12FA8">
        <w:rPr>
          <w:rFonts w:asciiTheme="majorBidi" w:hAnsiTheme="majorBidi" w:cstheme="majorBidi"/>
          <w:b/>
          <w:bCs/>
          <w:i/>
          <w:iCs/>
        </w:rPr>
        <w:t>deficits.</w:t>
      </w:r>
      <w:r w:rsidRPr="00B12FA8">
        <w:rPr>
          <w:rFonts w:asciiTheme="majorBidi" w:hAnsiTheme="majorBidi" w:cstheme="majorBidi"/>
        </w:rPr>
        <w:t xml:space="preserve"> In this </w:t>
      </w:r>
      <w:r w:rsidR="00E440A6" w:rsidRPr="00B12FA8">
        <w:rPr>
          <w:rFonts w:asciiTheme="majorBidi" w:hAnsiTheme="majorBidi" w:cstheme="majorBidi"/>
        </w:rPr>
        <w:t>a</w:t>
      </w:r>
      <w:r w:rsidRPr="00B12FA8">
        <w:rPr>
          <w:rFonts w:asciiTheme="majorBidi" w:hAnsiTheme="majorBidi" w:cstheme="majorBidi"/>
        </w:rPr>
        <w:t>im</w:t>
      </w:r>
      <w:r w:rsidR="002C2518" w:rsidRPr="00B12FA8">
        <w:rPr>
          <w:rFonts w:asciiTheme="majorBidi" w:hAnsiTheme="majorBidi" w:cstheme="majorBidi"/>
        </w:rPr>
        <w:t>,</w:t>
      </w:r>
      <w:r w:rsidRPr="00B12FA8">
        <w:rPr>
          <w:rFonts w:asciiTheme="majorBidi" w:hAnsiTheme="majorBidi" w:cstheme="majorBidi"/>
        </w:rPr>
        <w:t xml:space="preserve"> we will apply </w:t>
      </w:r>
      <w:proofErr w:type="spellStart"/>
      <w:r w:rsidRPr="00B12FA8">
        <w:rPr>
          <w:rFonts w:asciiTheme="majorBidi" w:hAnsiTheme="majorBidi" w:cstheme="majorBidi"/>
        </w:rPr>
        <w:t>tDCS</w:t>
      </w:r>
      <w:proofErr w:type="spellEnd"/>
      <w:r w:rsidRPr="00B12FA8">
        <w:rPr>
          <w:rFonts w:asciiTheme="majorBidi" w:hAnsiTheme="majorBidi" w:cstheme="majorBidi"/>
        </w:rPr>
        <w:t xml:space="preserve"> over relevant brain regions of WT and AS littermates and test performance in corresponding behavioral tasks. We expect that </w:t>
      </w:r>
      <w:r w:rsidR="002702D9" w:rsidRPr="00B12FA8">
        <w:rPr>
          <w:rFonts w:asciiTheme="majorBidi" w:hAnsiTheme="majorBidi" w:cstheme="majorBidi"/>
        </w:rPr>
        <w:t>applying</w:t>
      </w:r>
      <w:r w:rsidR="00AD7D09" w:rsidRPr="00B12FA8">
        <w:rPr>
          <w:rFonts w:asciiTheme="majorBidi" w:hAnsiTheme="majorBidi" w:cstheme="majorBidi"/>
        </w:rPr>
        <w:t xml:space="preserve"> </w:t>
      </w:r>
      <w:proofErr w:type="spellStart"/>
      <w:r w:rsidRPr="00B12FA8">
        <w:rPr>
          <w:rFonts w:asciiTheme="majorBidi" w:hAnsiTheme="majorBidi" w:cstheme="majorBidi"/>
        </w:rPr>
        <w:t>tDCS</w:t>
      </w:r>
      <w:proofErr w:type="spellEnd"/>
      <w:r w:rsidRPr="00B12FA8">
        <w:rPr>
          <w:rFonts w:asciiTheme="majorBidi" w:hAnsiTheme="majorBidi" w:cstheme="majorBidi"/>
        </w:rPr>
        <w:t xml:space="preserve"> over distinct brain regions will modify regional brain activity and surpass developmental deficits, thus rescuing </w:t>
      </w:r>
      <w:r w:rsidR="00AD7D09" w:rsidRPr="00B12FA8">
        <w:rPr>
          <w:rFonts w:asciiTheme="majorBidi" w:hAnsiTheme="majorBidi" w:cstheme="majorBidi"/>
        </w:rPr>
        <w:t xml:space="preserve">certain </w:t>
      </w:r>
      <w:r w:rsidRPr="00B12FA8">
        <w:rPr>
          <w:rFonts w:asciiTheme="majorBidi" w:hAnsiTheme="majorBidi" w:cstheme="majorBidi"/>
        </w:rPr>
        <w:t xml:space="preserve">AS deficits. </w:t>
      </w:r>
      <w:r w:rsidR="00D20B8E" w:rsidRPr="00B12FA8">
        <w:rPr>
          <w:rFonts w:asciiTheme="majorBidi" w:hAnsiTheme="majorBidi" w:cstheme="majorBidi"/>
        </w:rPr>
        <w:t xml:space="preserve">We will examine the </w:t>
      </w:r>
      <w:r w:rsidR="0069522B" w:rsidRPr="00B12FA8">
        <w:rPr>
          <w:rFonts w:asciiTheme="majorBidi" w:hAnsiTheme="majorBidi" w:cstheme="majorBidi"/>
        </w:rPr>
        <w:t xml:space="preserve">short and long-term </w:t>
      </w:r>
      <w:r w:rsidR="00D20B8E" w:rsidRPr="00B12FA8">
        <w:rPr>
          <w:rFonts w:asciiTheme="majorBidi" w:hAnsiTheme="majorBidi" w:cstheme="majorBidi"/>
        </w:rPr>
        <w:t>effect</w:t>
      </w:r>
      <w:r w:rsidR="0069522B" w:rsidRPr="00B12FA8">
        <w:rPr>
          <w:rFonts w:asciiTheme="majorBidi" w:hAnsiTheme="majorBidi" w:cstheme="majorBidi"/>
        </w:rPr>
        <w:t>s</w:t>
      </w:r>
      <w:r w:rsidR="00D20B8E" w:rsidRPr="00B12FA8">
        <w:rPr>
          <w:rFonts w:asciiTheme="majorBidi" w:hAnsiTheme="majorBidi" w:cstheme="majorBidi"/>
        </w:rPr>
        <w:t xml:space="preserve"> of </w:t>
      </w:r>
      <w:proofErr w:type="spellStart"/>
      <w:r w:rsidR="00D20B8E" w:rsidRPr="00B12FA8">
        <w:rPr>
          <w:rFonts w:asciiTheme="majorBidi" w:hAnsiTheme="majorBidi" w:cstheme="majorBidi"/>
        </w:rPr>
        <w:t>tDCS</w:t>
      </w:r>
      <w:proofErr w:type="spellEnd"/>
      <w:r w:rsidR="00D20B8E" w:rsidRPr="00B12FA8">
        <w:rPr>
          <w:rFonts w:asciiTheme="majorBidi" w:hAnsiTheme="majorBidi" w:cstheme="majorBidi"/>
        </w:rPr>
        <w:t xml:space="preserve"> treatment on AS behavioral characteristics by repe</w:t>
      </w:r>
      <w:r w:rsidR="008B5418" w:rsidRPr="00B12FA8">
        <w:rPr>
          <w:rFonts w:asciiTheme="majorBidi" w:hAnsiTheme="majorBidi" w:cstheme="majorBidi"/>
        </w:rPr>
        <w:t>a</w:t>
      </w:r>
      <w:r w:rsidR="00D20B8E" w:rsidRPr="00B12FA8">
        <w:rPr>
          <w:rFonts w:asciiTheme="majorBidi" w:hAnsiTheme="majorBidi" w:cstheme="majorBidi"/>
        </w:rPr>
        <w:t xml:space="preserve">ting </w:t>
      </w:r>
      <w:r w:rsidR="0069522B" w:rsidRPr="00B12FA8">
        <w:rPr>
          <w:rFonts w:asciiTheme="majorBidi" w:hAnsiTheme="majorBidi" w:cstheme="majorBidi"/>
        </w:rPr>
        <w:t xml:space="preserve">a specific set of </w:t>
      </w:r>
      <w:r w:rsidR="00D20B8E" w:rsidRPr="00B12FA8">
        <w:rPr>
          <w:rFonts w:asciiTheme="majorBidi" w:hAnsiTheme="majorBidi" w:cstheme="majorBidi"/>
        </w:rPr>
        <w:t xml:space="preserve">behavioral </w:t>
      </w:r>
      <w:r w:rsidR="00AD7D09" w:rsidRPr="00B12FA8">
        <w:rPr>
          <w:rFonts w:asciiTheme="majorBidi" w:hAnsiTheme="majorBidi" w:cstheme="majorBidi"/>
        </w:rPr>
        <w:t xml:space="preserve">paradigm </w:t>
      </w:r>
      <w:r w:rsidR="00D20B8E" w:rsidRPr="00B12FA8">
        <w:rPr>
          <w:rFonts w:asciiTheme="majorBidi" w:hAnsiTheme="majorBidi" w:cstheme="majorBidi"/>
        </w:rPr>
        <w:t>exam</w:t>
      </w:r>
      <w:r w:rsidR="00AD7D09" w:rsidRPr="00B12FA8">
        <w:rPr>
          <w:rFonts w:asciiTheme="majorBidi" w:hAnsiTheme="majorBidi" w:cstheme="majorBidi"/>
        </w:rPr>
        <w:t>inations</w:t>
      </w:r>
      <w:r w:rsidR="00D20B8E" w:rsidRPr="00B12FA8">
        <w:rPr>
          <w:rFonts w:asciiTheme="majorBidi" w:hAnsiTheme="majorBidi" w:cstheme="majorBidi"/>
        </w:rPr>
        <w:t xml:space="preserve"> </w:t>
      </w:r>
      <w:r w:rsidR="006104B1">
        <w:rPr>
          <w:rFonts w:asciiTheme="majorBidi" w:hAnsiTheme="majorBidi" w:cstheme="majorBidi"/>
        </w:rPr>
        <w:t>immediately after</w:t>
      </w:r>
      <w:r w:rsidR="00D20B8E" w:rsidRPr="00B12FA8">
        <w:rPr>
          <w:rFonts w:asciiTheme="majorBidi" w:hAnsiTheme="majorBidi" w:cstheme="majorBidi"/>
        </w:rPr>
        <w:t xml:space="preserve"> </w:t>
      </w:r>
      <w:proofErr w:type="spellStart"/>
      <w:r w:rsidR="006104B1" w:rsidRPr="00B12FA8">
        <w:rPr>
          <w:rFonts w:asciiTheme="majorBidi" w:hAnsiTheme="majorBidi" w:cstheme="majorBidi"/>
        </w:rPr>
        <w:t>tDCS</w:t>
      </w:r>
      <w:proofErr w:type="spellEnd"/>
      <w:r w:rsidR="006104B1" w:rsidRPr="00B12FA8">
        <w:rPr>
          <w:rFonts w:asciiTheme="majorBidi" w:hAnsiTheme="majorBidi" w:cstheme="majorBidi"/>
        </w:rPr>
        <w:t xml:space="preserve"> treatment</w:t>
      </w:r>
      <w:r w:rsidR="006104B1" w:rsidRPr="00B12FA8">
        <w:rPr>
          <w:rFonts w:asciiTheme="majorBidi" w:hAnsiTheme="majorBidi" w:cstheme="majorBidi"/>
        </w:rPr>
        <w:t xml:space="preserve"> </w:t>
      </w:r>
      <w:r w:rsidR="006104B1">
        <w:rPr>
          <w:rFonts w:asciiTheme="majorBidi" w:hAnsiTheme="majorBidi" w:cstheme="majorBidi"/>
        </w:rPr>
        <w:t xml:space="preserve">and one-week </w:t>
      </w:r>
      <w:r w:rsidR="00AD7D09" w:rsidRPr="00B12FA8">
        <w:rPr>
          <w:rFonts w:asciiTheme="majorBidi" w:hAnsiTheme="majorBidi" w:cstheme="majorBidi"/>
        </w:rPr>
        <w:t>post-</w:t>
      </w:r>
      <w:proofErr w:type="spellStart"/>
      <w:r w:rsidR="00AD7D09" w:rsidRPr="00B12FA8">
        <w:rPr>
          <w:rFonts w:asciiTheme="majorBidi" w:hAnsiTheme="majorBidi" w:cstheme="majorBidi"/>
        </w:rPr>
        <w:t>tDCS</w:t>
      </w:r>
      <w:proofErr w:type="spellEnd"/>
      <w:r w:rsidR="00AD7D09" w:rsidRPr="00B12FA8">
        <w:rPr>
          <w:rFonts w:asciiTheme="majorBidi" w:hAnsiTheme="majorBidi" w:cstheme="majorBidi"/>
        </w:rPr>
        <w:t xml:space="preserve"> treatment.</w:t>
      </w:r>
    </w:p>
    <w:p w14:paraId="224C3A61" w14:textId="1D69CA27" w:rsidR="0085081C" w:rsidRPr="00B12FA8" w:rsidRDefault="0085081C" w:rsidP="00C67B64">
      <w:pPr>
        <w:bidi w:val="0"/>
        <w:spacing w:before="20" w:afterLines="20" w:after="48" w:line="240" w:lineRule="auto"/>
        <w:contextualSpacing/>
        <w:jc w:val="both"/>
        <w:rPr>
          <w:rFonts w:asciiTheme="majorBidi" w:hAnsiTheme="majorBidi" w:cstheme="majorBidi"/>
          <w:b/>
          <w:bCs/>
          <w:i/>
          <w:iCs/>
          <w:u w:val="single"/>
        </w:rPr>
      </w:pPr>
      <w:bookmarkStart w:id="5" w:name="_Hlk110409034"/>
    </w:p>
    <w:p w14:paraId="635CD219" w14:textId="5754FBF6" w:rsidR="006104B1" w:rsidRPr="00B12FA8" w:rsidRDefault="00AD7D09" w:rsidP="00C67B64">
      <w:pPr>
        <w:bidi w:val="0"/>
        <w:spacing w:before="20" w:afterLines="20" w:after="48" w:line="240" w:lineRule="auto"/>
        <w:contextualSpacing/>
        <w:jc w:val="both"/>
        <w:rPr>
          <w:rFonts w:asciiTheme="majorBidi" w:hAnsiTheme="majorBidi" w:cstheme="majorBidi"/>
        </w:rPr>
      </w:pPr>
      <w:r w:rsidRPr="006F1997">
        <w:rPr>
          <w:rFonts w:asciiTheme="majorBidi" w:hAnsiTheme="majorBidi" w:cstheme="majorBidi"/>
          <w:b/>
          <w:bCs/>
          <w:i/>
          <w:iCs/>
        </w:rPr>
        <w:t>E</w:t>
      </w:r>
      <w:r w:rsidR="00EB6F84" w:rsidRPr="006F1997">
        <w:rPr>
          <w:rFonts w:asciiTheme="majorBidi" w:hAnsiTheme="majorBidi" w:cstheme="majorBidi"/>
          <w:b/>
          <w:bCs/>
          <w:i/>
          <w:iCs/>
        </w:rPr>
        <w:t>xperimental design</w:t>
      </w:r>
      <w:bookmarkEnd w:id="5"/>
      <w:r w:rsidR="00EB6F84" w:rsidRPr="006F1997">
        <w:rPr>
          <w:rFonts w:asciiTheme="majorBidi" w:hAnsiTheme="majorBidi" w:cstheme="majorBidi"/>
          <w:b/>
          <w:bCs/>
          <w:i/>
          <w:iCs/>
        </w:rPr>
        <w:t>:</w:t>
      </w:r>
      <w:r w:rsidR="00EB6F84" w:rsidRPr="00B12FA8">
        <w:rPr>
          <w:rFonts w:asciiTheme="majorBidi" w:hAnsiTheme="majorBidi" w:cstheme="majorBidi"/>
        </w:rPr>
        <w:t xml:space="preserve"> We will surgically implant a custom-made hollow dome</w:t>
      </w:r>
      <w:r w:rsidR="008B5418" w:rsidRPr="00B12FA8">
        <w:rPr>
          <w:rFonts w:asciiTheme="majorBidi" w:hAnsiTheme="majorBidi" w:cstheme="majorBidi"/>
        </w:rPr>
        <w:t>-</w:t>
      </w:r>
      <w:r w:rsidR="00EB6F84" w:rsidRPr="00B12FA8">
        <w:rPr>
          <w:rFonts w:asciiTheme="majorBidi" w:hAnsiTheme="majorBidi" w:cstheme="majorBidi"/>
        </w:rPr>
        <w:t xml:space="preserve">shaped </w:t>
      </w:r>
      <w:proofErr w:type="spellStart"/>
      <w:r w:rsidR="00EB6F84" w:rsidRPr="00B12FA8">
        <w:rPr>
          <w:rFonts w:asciiTheme="majorBidi" w:hAnsiTheme="majorBidi" w:cstheme="majorBidi"/>
        </w:rPr>
        <w:t>tDCS</w:t>
      </w:r>
      <w:proofErr w:type="spellEnd"/>
      <w:r w:rsidR="00EB6F84" w:rsidRPr="00B12FA8">
        <w:rPr>
          <w:rFonts w:asciiTheme="majorBidi" w:hAnsiTheme="majorBidi" w:cstheme="majorBidi"/>
        </w:rPr>
        <w:t xml:space="preserve"> electrode (base internal diameter = 4</w:t>
      </w:r>
      <w:r w:rsidRPr="00B12FA8">
        <w:rPr>
          <w:rFonts w:asciiTheme="majorBidi" w:hAnsiTheme="majorBidi" w:cstheme="majorBidi"/>
        </w:rPr>
        <w:t xml:space="preserve"> </w:t>
      </w:r>
      <w:r w:rsidR="00EB6F84" w:rsidRPr="00B12FA8">
        <w:rPr>
          <w:rFonts w:asciiTheme="majorBidi" w:hAnsiTheme="majorBidi" w:cstheme="majorBidi"/>
        </w:rPr>
        <w:t>mm)</w:t>
      </w:r>
      <w:r w:rsidRPr="00B12FA8">
        <w:rPr>
          <w:rFonts w:asciiTheme="majorBidi" w:hAnsiTheme="majorBidi" w:cstheme="majorBidi"/>
        </w:rPr>
        <w:t xml:space="preserve"> </w:t>
      </w:r>
      <w:r w:rsidR="00EB6F84" w:rsidRPr="00B12FA8">
        <w:rPr>
          <w:rFonts w:asciiTheme="majorBidi" w:hAnsiTheme="majorBidi" w:cstheme="majorBidi"/>
        </w:rPr>
        <w:t xml:space="preserve">filled with a sterile conductive gel </w:t>
      </w:r>
      <w:r w:rsidRPr="00B12FA8">
        <w:rPr>
          <w:rFonts w:asciiTheme="majorBidi" w:hAnsiTheme="majorBidi" w:cstheme="majorBidi"/>
        </w:rPr>
        <w:t xml:space="preserve">in contact </w:t>
      </w:r>
      <w:r w:rsidR="00EB6F84" w:rsidRPr="00B12FA8">
        <w:rPr>
          <w:rFonts w:asciiTheme="majorBidi" w:hAnsiTheme="majorBidi" w:cstheme="majorBidi"/>
        </w:rPr>
        <w:t>with a protruding copper wire (Fig</w:t>
      </w:r>
      <w:r w:rsidRPr="00B12FA8">
        <w:rPr>
          <w:rFonts w:asciiTheme="majorBidi" w:hAnsiTheme="majorBidi" w:cstheme="majorBidi"/>
        </w:rPr>
        <w:t>.</w:t>
      </w:r>
      <w:r w:rsidR="00EB6F84" w:rsidRPr="00B12FA8">
        <w:rPr>
          <w:rFonts w:asciiTheme="majorBidi" w:hAnsiTheme="majorBidi" w:cstheme="majorBidi"/>
        </w:rPr>
        <w:t xml:space="preserve"> </w:t>
      </w:r>
      <w:r w:rsidR="000121FD" w:rsidRPr="00B12FA8">
        <w:rPr>
          <w:rFonts w:asciiTheme="majorBidi" w:hAnsiTheme="majorBidi" w:cstheme="majorBidi"/>
        </w:rPr>
        <w:t>1a</w:t>
      </w:r>
      <w:r w:rsidR="00EB6F84" w:rsidRPr="00B12FA8">
        <w:rPr>
          <w:rFonts w:asciiTheme="majorBidi" w:hAnsiTheme="majorBidi" w:cstheme="majorBidi"/>
        </w:rPr>
        <w:t xml:space="preserve">). Mice will be anesthetized with isoflurane using a </w:t>
      </w:r>
      <w:proofErr w:type="spellStart"/>
      <w:r w:rsidR="00EB6F84" w:rsidRPr="00B12FA8">
        <w:rPr>
          <w:rFonts w:asciiTheme="majorBidi" w:hAnsiTheme="majorBidi" w:cstheme="majorBidi"/>
        </w:rPr>
        <w:t>Somnosuite</w:t>
      </w:r>
      <w:proofErr w:type="spellEnd"/>
      <w:r w:rsidR="00EB6F84" w:rsidRPr="00B12FA8">
        <w:rPr>
          <w:rFonts w:asciiTheme="majorBidi" w:hAnsiTheme="majorBidi" w:cstheme="majorBidi"/>
        </w:rPr>
        <w:t xml:space="preserve"> apparatus (Kent scientific). The mouse scalp </w:t>
      </w:r>
      <w:r w:rsidRPr="00B12FA8">
        <w:rPr>
          <w:rFonts w:asciiTheme="majorBidi" w:hAnsiTheme="majorBidi" w:cstheme="majorBidi"/>
        </w:rPr>
        <w:t xml:space="preserve">will be </w:t>
      </w:r>
      <w:r w:rsidR="00EB6F84" w:rsidRPr="00B12FA8">
        <w:rPr>
          <w:rFonts w:asciiTheme="majorBidi" w:hAnsiTheme="majorBidi" w:cstheme="majorBidi"/>
        </w:rPr>
        <w:t>cut to reveal the skull</w:t>
      </w:r>
      <w:r w:rsidR="008B5418" w:rsidRPr="00B12FA8">
        <w:rPr>
          <w:rFonts w:asciiTheme="majorBidi" w:hAnsiTheme="majorBidi" w:cstheme="majorBidi"/>
        </w:rPr>
        <w:t>,</w:t>
      </w:r>
      <w:r w:rsidR="00EB6F84" w:rsidRPr="00B12FA8">
        <w:rPr>
          <w:rFonts w:asciiTheme="majorBidi" w:hAnsiTheme="majorBidi" w:cstheme="majorBidi"/>
        </w:rPr>
        <w:t xml:space="preserve"> and the electrode </w:t>
      </w:r>
      <w:r w:rsidRPr="00B12FA8">
        <w:rPr>
          <w:rFonts w:asciiTheme="majorBidi" w:hAnsiTheme="majorBidi" w:cstheme="majorBidi"/>
        </w:rPr>
        <w:t xml:space="preserve">will be </w:t>
      </w:r>
      <w:r w:rsidR="00EB6F84" w:rsidRPr="00B12FA8">
        <w:rPr>
          <w:rFonts w:asciiTheme="majorBidi" w:hAnsiTheme="majorBidi" w:cstheme="majorBidi"/>
        </w:rPr>
        <w:t xml:space="preserve">attached using a </w:t>
      </w:r>
      <w:proofErr w:type="spellStart"/>
      <w:r w:rsidR="00EB6F84" w:rsidRPr="00B12FA8">
        <w:rPr>
          <w:rFonts w:asciiTheme="majorBidi" w:hAnsiTheme="majorBidi" w:cstheme="majorBidi"/>
        </w:rPr>
        <w:t>Metabond</w:t>
      </w:r>
      <w:proofErr w:type="spellEnd"/>
      <w:r w:rsidR="00EB6F84" w:rsidRPr="00B12FA8">
        <w:rPr>
          <w:rFonts w:asciiTheme="majorBidi" w:hAnsiTheme="majorBidi" w:cstheme="majorBidi"/>
        </w:rPr>
        <w:t xml:space="preserve"> adhesive cement (</w:t>
      </w:r>
      <w:proofErr w:type="spellStart"/>
      <w:r w:rsidR="00EB6F84" w:rsidRPr="00B12FA8">
        <w:rPr>
          <w:rFonts w:asciiTheme="majorBidi" w:hAnsiTheme="majorBidi" w:cstheme="majorBidi"/>
        </w:rPr>
        <w:t>Parkell</w:t>
      </w:r>
      <w:proofErr w:type="spellEnd"/>
      <w:r w:rsidR="00EB6F84" w:rsidRPr="00B12FA8">
        <w:rPr>
          <w:rFonts w:asciiTheme="majorBidi" w:hAnsiTheme="majorBidi" w:cstheme="majorBidi"/>
        </w:rPr>
        <w:t xml:space="preserve">). The scalp skin </w:t>
      </w:r>
      <w:r w:rsidRPr="00B12FA8">
        <w:rPr>
          <w:rFonts w:asciiTheme="majorBidi" w:hAnsiTheme="majorBidi" w:cstheme="majorBidi"/>
        </w:rPr>
        <w:t xml:space="preserve">will be </w:t>
      </w:r>
      <w:r w:rsidR="00EB6F84" w:rsidRPr="00B12FA8">
        <w:rPr>
          <w:rFonts w:asciiTheme="majorBidi" w:hAnsiTheme="majorBidi" w:cstheme="majorBidi"/>
        </w:rPr>
        <w:t xml:space="preserve">sutured above the baseplate of the electrode, and mice will receive postoperative antibiotics and analgesics for the following </w:t>
      </w:r>
      <w:r w:rsidR="00415CA5" w:rsidRPr="00B12FA8">
        <w:rPr>
          <w:rFonts w:asciiTheme="majorBidi" w:hAnsiTheme="majorBidi" w:cstheme="majorBidi"/>
        </w:rPr>
        <w:t>three</w:t>
      </w:r>
      <w:r w:rsidR="00EB6F84" w:rsidRPr="00B12FA8">
        <w:rPr>
          <w:rFonts w:asciiTheme="majorBidi" w:hAnsiTheme="majorBidi" w:cstheme="majorBidi"/>
        </w:rPr>
        <w:t xml:space="preserve"> days. </w:t>
      </w:r>
      <w:r w:rsidRPr="00B12FA8">
        <w:rPr>
          <w:rFonts w:asciiTheme="majorBidi" w:hAnsiTheme="majorBidi" w:cstheme="majorBidi"/>
        </w:rPr>
        <w:t xml:space="preserve">After a 5-6 day postoperative recovery period, </w:t>
      </w:r>
      <w:r w:rsidR="00EB6F84" w:rsidRPr="00B12FA8">
        <w:rPr>
          <w:rFonts w:asciiTheme="majorBidi" w:hAnsiTheme="majorBidi" w:cstheme="majorBidi"/>
        </w:rPr>
        <w:t xml:space="preserve">we will treat the mice with anodal </w:t>
      </w:r>
      <w:proofErr w:type="spellStart"/>
      <w:r w:rsidR="00EB6F84" w:rsidRPr="00B12FA8">
        <w:rPr>
          <w:rFonts w:asciiTheme="majorBidi" w:hAnsiTheme="majorBidi" w:cstheme="majorBidi"/>
        </w:rPr>
        <w:t>tDCS</w:t>
      </w:r>
      <w:proofErr w:type="spellEnd"/>
      <w:r w:rsidR="00EB6F84" w:rsidRPr="00B12FA8">
        <w:rPr>
          <w:rFonts w:asciiTheme="majorBidi" w:hAnsiTheme="majorBidi" w:cstheme="majorBidi"/>
        </w:rPr>
        <w:t xml:space="preserve"> or sham</w:t>
      </w:r>
      <w:r w:rsidRPr="00B12FA8">
        <w:rPr>
          <w:rFonts w:asciiTheme="majorBidi" w:hAnsiTheme="majorBidi" w:cstheme="majorBidi"/>
        </w:rPr>
        <w:t xml:space="preserve"> </w:t>
      </w:r>
      <w:r w:rsidR="00EB6F84" w:rsidRPr="00B12FA8">
        <w:rPr>
          <w:rFonts w:asciiTheme="majorBidi" w:hAnsiTheme="majorBidi" w:cstheme="majorBidi"/>
        </w:rPr>
        <w:t xml:space="preserve">for five consecutive days. </w:t>
      </w:r>
      <w:r w:rsidR="0069522B" w:rsidRPr="00B12FA8">
        <w:rPr>
          <w:rFonts w:asciiTheme="majorBidi" w:hAnsiTheme="majorBidi" w:cstheme="majorBidi"/>
        </w:rPr>
        <w:t>The s</w:t>
      </w:r>
      <w:r w:rsidR="00B139C5" w:rsidRPr="00B12FA8">
        <w:rPr>
          <w:rFonts w:asciiTheme="majorBidi" w:hAnsiTheme="majorBidi" w:cstheme="majorBidi"/>
        </w:rPr>
        <w:t xml:space="preserve">ham procedure will include </w:t>
      </w:r>
      <w:r w:rsidR="00415CA5" w:rsidRPr="00B12FA8">
        <w:rPr>
          <w:rFonts w:asciiTheme="majorBidi" w:hAnsiTheme="majorBidi" w:cstheme="majorBidi"/>
        </w:rPr>
        <w:t>precise</w:t>
      </w:r>
      <w:r w:rsidR="00B139C5" w:rsidRPr="00B12FA8">
        <w:rPr>
          <w:rFonts w:asciiTheme="majorBidi" w:hAnsiTheme="majorBidi" w:cstheme="majorBidi"/>
        </w:rPr>
        <w:t xml:space="preserve">ly the same elements of anodal stimulation except delivering an electrical current for only 20 seconds </w:t>
      </w:r>
      <w:r w:rsidR="006104B1">
        <w:rPr>
          <w:rFonts w:asciiTheme="majorBidi" w:hAnsiTheme="majorBidi" w:cstheme="majorBidi"/>
        </w:rPr>
        <w:t>to generate</w:t>
      </w:r>
      <w:r w:rsidR="00B139C5" w:rsidRPr="00B12FA8">
        <w:rPr>
          <w:rFonts w:asciiTheme="majorBidi" w:hAnsiTheme="majorBidi" w:cstheme="majorBidi"/>
        </w:rPr>
        <w:t xml:space="preserve"> the itchy sensation.</w:t>
      </w:r>
      <w:r w:rsidR="001626AD" w:rsidRPr="00B12FA8">
        <w:rPr>
          <w:rFonts w:asciiTheme="majorBidi" w:hAnsiTheme="majorBidi" w:cstheme="majorBidi"/>
        </w:rPr>
        <w:t xml:space="preserve"> </w:t>
      </w:r>
      <w:r w:rsidRPr="00B12FA8">
        <w:rPr>
          <w:rFonts w:asciiTheme="majorBidi" w:hAnsiTheme="majorBidi" w:cstheme="majorBidi"/>
        </w:rPr>
        <w:t xml:space="preserve">The </w:t>
      </w:r>
      <w:proofErr w:type="spellStart"/>
      <w:r w:rsidRPr="00B12FA8">
        <w:rPr>
          <w:rFonts w:asciiTheme="majorBidi" w:hAnsiTheme="majorBidi" w:cstheme="majorBidi"/>
        </w:rPr>
        <w:t>tDCS</w:t>
      </w:r>
      <w:proofErr w:type="spellEnd"/>
      <w:r w:rsidRPr="00B12FA8">
        <w:rPr>
          <w:rFonts w:asciiTheme="majorBidi" w:hAnsiTheme="majorBidi" w:cstheme="majorBidi"/>
        </w:rPr>
        <w:t xml:space="preserve"> s</w:t>
      </w:r>
      <w:r w:rsidR="00EB6F84" w:rsidRPr="00B12FA8">
        <w:rPr>
          <w:rFonts w:asciiTheme="majorBidi" w:hAnsiTheme="majorBidi" w:cstheme="majorBidi"/>
        </w:rPr>
        <w:t xml:space="preserve">timulation </w:t>
      </w:r>
      <w:r w:rsidR="001048D3" w:rsidRPr="00B12FA8">
        <w:rPr>
          <w:rFonts w:asciiTheme="majorBidi" w:hAnsiTheme="majorBidi" w:cstheme="majorBidi"/>
        </w:rPr>
        <w:t xml:space="preserve">parameters will be </w:t>
      </w:r>
      <w:r w:rsidR="006104B1">
        <w:rPr>
          <w:rFonts w:asciiTheme="majorBidi" w:hAnsiTheme="majorBidi" w:cstheme="majorBidi"/>
        </w:rPr>
        <w:t xml:space="preserve">the </w:t>
      </w:r>
      <w:r w:rsidR="00EB6F84" w:rsidRPr="00B12FA8">
        <w:rPr>
          <w:rFonts w:asciiTheme="majorBidi" w:hAnsiTheme="majorBidi" w:cstheme="majorBidi"/>
        </w:rPr>
        <w:t xml:space="preserve">intensity </w:t>
      </w:r>
      <w:r w:rsidR="001048D3" w:rsidRPr="00B12FA8">
        <w:rPr>
          <w:rFonts w:asciiTheme="majorBidi" w:hAnsiTheme="majorBidi" w:cstheme="majorBidi"/>
        </w:rPr>
        <w:t xml:space="preserve">of </w:t>
      </w:r>
      <w:r w:rsidR="00EB6F84" w:rsidRPr="00B12FA8">
        <w:rPr>
          <w:rFonts w:asciiTheme="majorBidi" w:hAnsiTheme="majorBidi" w:cstheme="majorBidi"/>
        </w:rPr>
        <w:t xml:space="preserve">150 </w:t>
      </w:r>
      <w:proofErr w:type="spellStart"/>
      <w:r w:rsidR="00EB6F84" w:rsidRPr="00B12FA8">
        <w:rPr>
          <w:rFonts w:asciiTheme="majorBidi" w:hAnsiTheme="majorBidi" w:cstheme="majorBidi"/>
        </w:rPr>
        <w:t>μA</w:t>
      </w:r>
      <w:proofErr w:type="spellEnd"/>
      <w:r w:rsidR="00EB6F84" w:rsidRPr="00B12FA8">
        <w:rPr>
          <w:rFonts w:asciiTheme="majorBidi" w:hAnsiTheme="majorBidi" w:cstheme="majorBidi"/>
        </w:rPr>
        <w:t xml:space="preserve"> (current density</w:t>
      </w:r>
      <w:r w:rsidRPr="00B12FA8">
        <w:rPr>
          <w:rFonts w:asciiTheme="majorBidi" w:hAnsiTheme="majorBidi" w:cstheme="majorBidi"/>
        </w:rPr>
        <w:t xml:space="preserve">: </w:t>
      </w:r>
      <w:r w:rsidR="00EB6F84" w:rsidRPr="00B12FA8">
        <w:rPr>
          <w:rFonts w:asciiTheme="majorBidi" w:hAnsiTheme="majorBidi" w:cstheme="majorBidi"/>
        </w:rPr>
        <w:t>11.9</w:t>
      </w:r>
      <w:r w:rsidR="00E71A32" w:rsidRPr="00B12FA8">
        <w:rPr>
          <w:rFonts w:asciiTheme="majorBidi" w:hAnsiTheme="majorBidi" w:cstheme="majorBidi"/>
        </w:rPr>
        <w:t>4</w:t>
      </w:r>
      <w:r w:rsidRPr="00B12FA8">
        <w:rPr>
          <w:rFonts w:asciiTheme="majorBidi" w:hAnsiTheme="majorBidi" w:cstheme="majorBidi"/>
        </w:rPr>
        <w:t xml:space="preserve"> </w:t>
      </w:r>
      <w:proofErr w:type="spellStart"/>
      <w:r w:rsidR="00EB6F84" w:rsidRPr="00B12FA8">
        <w:rPr>
          <w:rFonts w:asciiTheme="majorBidi" w:hAnsiTheme="majorBidi" w:cstheme="majorBidi"/>
        </w:rPr>
        <w:t>μA</w:t>
      </w:r>
      <w:proofErr w:type="spellEnd"/>
      <w:r w:rsidR="00EB6F84" w:rsidRPr="00B12FA8">
        <w:rPr>
          <w:rFonts w:asciiTheme="majorBidi" w:hAnsiTheme="majorBidi" w:cstheme="majorBidi"/>
        </w:rPr>
        <w:t>/mm</w:t>
      </w:r>
      <w:r w:rsidR="00EB6F84" w:rsidRPr="00B12FA8">
        <w:rPr>
          <w:rFonts w:asciiTheme="majorBidi" w:hAnsiTheme="majorBidi" w:cstheme="majorBidi"/>
          <w:vertAlign w:val="superscript"/>
        </w:rPr>
        <w:t>2</w:t>
      </w:r>
      <w:r w:rsidR="00EB6F84" w:rsidRPr="00B12FA8">
        <w:rPr>
          <w:rFonts w:asciiTheme="majorBidi" w:hAnsiTheme="majorBidi" w:cstheme="majorBidi"/>
        </w:rPr>
        <w:t>)</w:t>
      </w:r>
      <w:r w:rsidR="001048D3" w:rsidRPr="00B12FA8">
        <w:rPr>
          <w:rFonts w:asciiTheme="majorBidi" w:hAnsiTheme="majorBidi" w:cstheme="majorBidi"/>
        </w:rPr>
        <w:t xml:space="preserve"> for 20 min</w:t>
      </w:r>
      <w:r w:rsidR="006104B1">
        <w:rPr>
          <w:rFonts w:asciiTheme="majorBidi" w:hAnsiTheme="majorBidi" w:cstheme="majorBidi"/>
        </w:rPr>
        <w:t xml:space="preserve">. </w:t>
      </w:r>
      <w:r w:rsidR="006104B1" w:rsidRPr="00B12FA8">
        <w:rPr>
          <w:rFonts w:asciiTheme="majorBidi" w:hAnsiTheme="majorBidi" w:cstheme="majorBidi"/>
        </w:rPr>
        <w:t>Preliminary results show that mice tolerate these stimulation parameters without any observed pain</w:t>
      </w:r>
      <w:r w:rsidR="006104B1">
        <w:rPr>
          <w:rFonts w:asciiTheme="majorBidi" w:hAnsiTheme="majorBidi" w:cstheme="majorBidi"/>
        </w:rPr>
        <w:t xml:space="preserve">, </w:t>
      </w:r>
      <w:r w:rsidR="006104B1" w:rsidRPr="00B12FA8">
        <w:rPr>
          <w:rFonts w:asciiTheme="majorBidi" w:hAnsiTheme="majorBidi" w:cstheme="majorBidi"/>
        </w:rPr>
        <w:t>stress</w:t>
      </w:r>
      <w:r w:rsidR="006104B1">
        <w:rPr>
          <w:rFonts w:asciiTheme="majorBidi" w:hAnsiTheme="majorBidi" w:cstheme="majorBidi"/>
        </w:rPr>
        <w:t>,</w:t>
      </w:r>
      <w:r w:rsidR="006104B1" w:rsidRPr="00B12FA8">
        <w:rPr>
          <w:rFonts w:asciiTheme="majorBidi" w:hAnsiTheme="majorBidi" w:cstheme="majorBidi"/>
        </w:rPr>
        <w:t xml:space="preserve"> </w:t>
      </w:r>
      <w:r w:rsidR="006104B1">
        <w:rPr>
          <w:rFonts w:asciiTheme="majorBidi" w:hAnsiTheme="majorBidi" w:cstheme="majorBidi"/>
        </w:rPr>
        <w:t>or</w:t>
      </w:r>
      <w:r w:rsidR="006104B1" w:rsidRPr="00B12FA8">
        <w:rPr>
          <w:rFonts w:asciiTheme="majorBidi" w:hAnsiTheme="majorBidi" w:cstheme="majorBidi"/>
        </w:rPr>
        <w:t xml:space="preserve"> cellular damage to the brain tissue underneath the electrodes (Fig. 1g). </w:t>
      </w:r>
      <w:r w:rsidR="006104B1">
        <w:rPr>
          <w:rFonts w:asciiTheme="majorBidi" w:hAnsiTheme="majorBidi" w:cstheme="majorBidi"/>
        </w:rPr>
        <w:t>The University of Haifa Institutional Committee approved all those experimental procedures</w:t>
      </w:r>
      <w:r w:rsidR="006104B1" w:rsidRPr="006104B1">
        <w:rPr>
          <w:rFonts w:asciiTheme="majorBidi" w:hAnsiTheme="majorBidi" w:cstheme="majorBidi"/>
        </w:rPr>
        <w:t xml:space="preserve"> for animal experiments </w:t>
      </w:r>
      <w:r w:rsidR="006104B1">
        <w:rPr>
          <w:rFonts w:asciiTheme="majorBidi" w:hAnsiTheme="majorBidi" w:cstheme="majorBidi"/>
        </w:rPr>
        <w:t xml:space="preserve">according to the </w:t>
      </w:r>
      <w:r w:rsidR="006104B1" w:rsidRPr="006104B1">
        <w:rPr>
          <w:rFonts w:asciiTheme="majorBidi" w:hAnsiTheme="majorBidi" w:cstheme="majorBidi"/>
        </w:rPr>
        <w:t>National Institutes of Health guidelines</w:t>
      </w:r>
      <w:r w:rsidR="00EB6F84" w:rsidRPr="00B12FA8">
        <w:rPr>
          <w:rFonts w:asciiTheme="majorBidi" w:hAnsiTheme="majorBidi" w:cstheme="majorBidi"/>
        </w:rPr>
        <w:t xml:space="preserve">. </w:t>
      </w:r>
      <w:r w:rsidR="006104B1" w:rsidRPr="006104B1">
        <w:rPr>
          <w:rFonts w:asciiTheme="majorBidi" w:hAnsiTheme="majorBidi" w:cstheme="majorBidi"/>
        </w:rPr>
        <w:t xml:space="preserve">Upon completion of the </w:t>
      </w:r>
      <w:proofErr w:type="spellStart"/>
      <w:r w:rsidR="006104B1" w:rsidRPr="006104B1">
        <w:rPr>
          <w:rFonts w:asciiTheme="majorBidi" w:hAnsiTheme="majorBidi" w:cstheme="majorBidi"/>
        </w:rPr>
        <w:t>tDCS</w:t>
      </w:r>
      <w:proofErr w:type="spellEnd"/>
      <w:r w:rsidR="006104B1" w:rsidRPr="006104B1">
        <w:rPr>
          <w:rFonts w:asciiTheme="majorBidi" w:hAnsiTheme="majorBidi" w:cstheme="majorBidi"/>
        </w:rPr>
        <w:t xml:space="preserve"> treatment, the mice will be divided into two groups. The brains of the first group (group 1) will be harvested immediately after the fifth stimulation and processed for NMR metabolomics (see aim 2). The second group (group 2) will be subjected to behavioral studies starting the following day of the last stimulation (aim 1), and immediately upon completion of behavioral studies, the brains will be harvested </w:t>
      </w:r>
      <w:bookmarkStart w:id="6" w:name="_Hlk124932069"/>
      <w:r w:rsidR="006104B1" w:rsidRPr="006104B1">
        <w:rPr>
          <w:rFonts w:asciiTheme="majorBidi" w:hAnsiTheme="majorBidi" w:cstheme="majorBidi"/>
        </w:rPr>
        <w:t xml:space="preserve">and processed for NMR metabolomics </w:t>
      </w:r>
      <w:bookmarkEnd w:id="6"/>
      <w:r w:rsidR="006104B1" w:rsidRPr="006104B1">
        <w:rPr>
          <w:rFonts w:asciiTheme="majorBidi" w:hAnsiTheme="majorBidi" w:cstheme="majorBidi"/>
        </w:rPr>
        <w:t>(see aim 2).</w:t>
      </w:r>
    </w:p>
    <w:p w14:paraId="52501C4A" w14:textId="77777777" w:rsidR="00AA11EF" w:rsidRPr="00B12FA8" w:rsidRDefault="00AA11EF" w:rsidP="00C67B64">
      <w:pPr>
        <w:bidi w:val="0"/>
        <w:spacing w:before="20" w:afterLines="20" w:after="48" w:line="240" w:lineRule="auto"/>
        <w:contextualSpacing/>
        <w:jc w:val="both"/>
        <w:rPr>
          <w:rFonts w:asciiTheme="majorBidi" w:hAnsiTheme="majorBidi" w:cstheme="majorBidi"/>
          <w:b/>
          <w:bCs/>
        </w:rPr>
      </w:pPr>
    </w:p>
    <w:p w14:paraId="04639F8A" w14:textId="6686D102" w:rsidR="006104B1" w:rsidRDefault="00EB6F84" w:rsidP="00C67B64">
      <w:pPr>
        <w:bidi w:val="0"/>
        <w:spacing w:before="20" w:afterLines="20" w:after="48" w:line="240" w:lineRule="auto"/>
        <w:contextualSpacing/>
        <w:jc w:val="both"/>
        <w:rPr>
          <w:rFonts w:asciiTheme="majorBidi" w:hAnsiTheme="majorBidi" w:cstheme="majorBidi"/>
        </w:rPr>
      </w:pPr>
      <w:bookmarkStart w:id="7" w:name="_Hlk124936208"/>
      <w:r w:rsidRPr="00B12FA8">
        <w:rPr>
          <w:rFonts w:asciiTheme="majorBidi" w:hAnsiTheme="majorBidi" w:cstheme="majorBidi"/>
          <w:b/>
          <w:bCs/>
          <w:i/>
          <w:iCs/>
        </w:rPr>
        <w:t>Behavioral paradigms</w:t>
      </w:r>
      <w:r w:rsidR="002B66B5" w:rsidRPr="00B12FA8">
        <w:rPr>
          <w:rFonts w:asciiTheme="majorBidi" w:hAnsiTheme="majorBidi" w:cstheme="majorBidi"/>
          <w:b/>
          <w:bCs/>
          <w:i/>
          <w:iCs/>
        </w:rPr>
        <w:t>:</w:t>
      </w:r>
      <w:r w:rsidRPr="00B12FA8">
        <w:rPr>
          <w:rFonts w:asciiTheme="majorBidi" w:hAnsiTheme="majorBidi" w:cstheme="majorBidi"/>
        </w:rPr>
        <w:t xml:space="preserve"> </w:t>
      </w:r>
      <w:bookmarkEnd w:id="7"/>
      <w:r w:rsidR="006104B1">
        <w:rPr>
          <w:rFonts w:asciiTheme="majorBidi" w:hAnsiTheme="majorBidi" w:cstheme="majorBidi"/>
        </w:rPr>
        <w:t>Open field arena, m</w:t>
      </w:r>
      <w:r w:rsidR="006104B1" w:rsidRPr="00B12FA8">
        <w:rPr>
          <w:rFonts w:asciiTheme="majorBidi" w:hAnsiTheme="majorBidi" w:cstheme="majorBidi"/>
        </w:rPr>
        <w:t>arble burying, forced swim test, rotarod</w:t>
      </w:r>
      <w:r w:rsidR="006104B1">
        <w:rPr>
          <w:rFonts w:asciiTheme="majorBidi" w:hAnsiTheme="majorBidi" w:cstheme="majorBidi"/>
        </w:rPr>
        <w:t>,</w:t>
      </w:r>
      <w:r w:rsidR="006104B1" w:rsidRPr="00B12FA8">
        <w:rPr>
          <w:rFonts w:asciiTheme="majorBidi" w:hAnsiTheme="majorBidi" w:cstheme="majorBidi"/>
        </w:rPr>
        <w:t xml:space="preserve"> and beam crossing motor tasks </w:t>
      </w:r>
      <w:r w:rsidR="006104B1">
        <w:rPr>
          <w:rFonts w:asciiTheme="majorBidi" w:hAnsiTheme="majorBidi" w:cstheme="majorBidi"/>
        </w:rPr>
        <w:t>are behavioral paradigms that recapitulate AS pathological phenotypes. As such</w:t>
      </w:r>
      <w:r w:rsidR="006104B1">
        <w:rPr>
          <w:rFonts w:asciiTheme="majorBidi" w:hAnsiTheme="majorBidi" w:cstheme="majorBidi"/>
        </w:rPr>
        <w:t>,</w:t>
      </w:r>
      <w:r w:rsidR="006104B1">
        <w:rPr>
          <w:rFonts w:asciiTheme="majorBidi" w:hAnsiTheme="majorBidi" w:cstheme="majorBidi"/>
        </w:rPr>
        <w:t xml:space="preserve"> they are frequently executed in our lab. These behavioral paradigms </w:t>
      </w:r>
      <w:r w:rsidR="006104B1" w:rsidRPr="00B12FA8">
        <w:rPr>
          <w:rFonts w:asciiTheme="majorBidi" w:hAnsiTheme="majorBidi" w:cstheme="majorBidi"/>
        </w:rPr>
        <w:t xml:space="preserve">will be used to assess the </w:t>
      </w:r>
      <w:r w:rsidR="006104B1">
        <w:rPr>
          <w:rFonts w:asciiTheme="majorBidi" w:hAnsiTheme="majorBidi" w:cstheme="majorBidi"/>
        </w:rPr>
        <w:t xml:space="preserve">motor and behavioral </w:t>
      </w:r>
      <w:r w:rsidR="006104B1" w:rsidRPr="00B12FA8">
        <w:rPr>
          <w:rFonts w:asciiTheme="majorBidi" w:hAnsiTheme="majorBidi" w:cstheme="majorBidi"/>
        </w:rPr>
        <w:t xml:space="preserve">effects of </w:t>
      </w:r>
      <w:proofErr w:type="spellStart"/>
      <w:r w:rsidR="006104B1" w:rsidRPr="00B12FA8">
        <w:rPr>
          <w:rFonts w:asciiTheme="majorBidi" w:hAnsiTheme="majorBidi" w:cstheme="majorBidi"/>
        </w:rPr>
        <w:t>tDCS</w:t>
      </w:r>
      <w:proofErr w:type="spellEnd"/>
      <w:r w:rsidR="006104B1" w:rsidRPr="00B12FA8">
        <w:rPr>
          <w:rFonts w:asciiTheme="majorBidi" w:hAnsiTheme="majorBidi" w:cstheme="majorBidi"/>
        </w:rPr>
        <w:t xml:space="preserve">, as described previously by us </w:t>
      </w:r>
      <w:r w:rsidR="006104B1">
        <w:rPr>
          <w:rFonts w:asciiTheme="majorBidi" w:hAnsiTheme="majorBidi" w:cstheme="majorBidi"/>
        </w:rPr>
        <w:t>in detail</w:t>
      </w:r>
      <w:r w:rsidR="006104B1">
        <w:rPr>
          <w:rFonts w:asciiTheme="majorBidi" w:hAnsiTheme="majorBidi" w:cstheme="majorBidi"/>
        </w:rPr>
        <w:t xml:space="preserve"> </w:t>
      </w:r>
      <w:r w:rsidR="006104B1" w:rsidRPr="006104B1">
        <w:rPr>
          <w:rFonts w:asciiTheme="majorBidi" w:hAnsiTheme="majorBidi" w:cstheme="majorBidi"/>
          <w:vertAlign w:val="superscript"/>
        </w:rPr>
        <w:fldChar w:fldCharType="begin" w:fldLock="1"/>
      </w:r>
      <w:r w:rsidR="006104B1" w:rsidRPr="006104B1">
        <w:rPr>
          <w:rFonts w:asciiTheme="majorBidi" w:hAnsiTheme="majorBidi" w:cstheme="majorBidi"/>
          <w:vertAlign w:val="superscript"/>
        </w:rPr>
        <w:instrText>ADDIN CSL_CITATION {"citationItems":[{"id":"ITEM-1","itemData":{"DOI":"10.1523/JNEUROSCI.2246-15.2015","ISSN":"15292401","PMID":"26658871","abstract":"Angelman syndrome (AS) is a neurodevelopmental disorder associated with developmental delay, lack of speech, motor dysfunction, and epilepsy. In the majority of the patients, AS is caused by the deletion of small portions of maternal chromosome 15 harboring the UBE3A gene. This results in a lack of expression of the UBE3A gene because the paternal allele is genetically imprinted. The UBE3A gene encodes an enzyme termed ubiquitin ligase E3A (E6-AP) that targets proteins for degradation by the 26S proteasome. Because neurodegenerative disease and other neurodevelopmental disorders have been linked to oxidative stress, we asked whether mitochondrial reactive oxygen species (ROS) played a role in impaired synaptic plasticity and memory deficits exhibited by AS model mice. We discovered that AS mice have increased levels of superoxide in area CA1 of the hippocampus that is reduced by MitoQ 10-methanesuflonate (MitoQ), a mitochondria-specific antioxidant. In addition, we found that MitoQ rescued impairments in hippocampal synaptic plasticity and deficits in contextual fear memory exhibited by AS model mice. Our findings suggest that mitochondria-derived oxidative stress contributes to hippo campal pathophysiology in AS model mice and that targeting mitochondrial ROS pharmacologically could benefit individuals with AS.","author":[{"dropping-particle":"","family":"Santini","given":"Emanuela","non-dropping-particle":"","parse-names":false,"suffix":""},{"dropping-particle":"","family":"Turner","given":"Kathryn L.","non-dropping-particle":"","parse-names":false,"suffix":""},{"dropping-particle":"","family":"Ramaraj","given":"Xakila B.","non-dropping-particle":"","parse-names":false,"suffix":""},{"dropping-particle":"","family":"Murphy","given":"Michael P.","non-dropping-particle":"","parse-names":false,"suffix":""},{"dropping-particle":"","family":"Klann","given":"Eric","non-dropping-particle":"","parse-names":false,"suffix":""},{"dropping-particle":"","family":"Kaphzan","given":"Xhanoch","non-dropping-particle":"","parse-names":false,"suffix":""}],"container-title":"Journal of Neuroscience","id":"ITEM-1","issue":"49","issued":{"date-parts":[["2015"]]},"page":"16213-16220","title":"Mitochondrial superoxide contributes to hippocampal synaptic dysfunction and memory deficits in Angelman syndrome model mice","type":"article-journal","volume":"35"},"uris":["http://www.mendeley.com/documents/?uuid=f0dad231-a17e-4509-bbd0-2dde0124cb42"]}],"mendeley":{"formattedCitation":"&lt;sup&gt;17&lt;/sup&gt;","plainTextFormattedCitation":"17","previouslyFormattedCitation":"&lt;sup&gt;17&lt;/sup&gt;"},"properties":{"noteIndex":0},"schema":"https://github.com/citation-style-language/schema/raw/master/csl-citation.json"}</w:instrText>
      </w:r>
      <w:r w:rsidR="006104B1" w:rsidRPr="006104B1">
        <w:rPr>
          <w:rFonts w:asciiTheme="majorBidi" w:hAnsiTheme="majorBidi" w:cstheme="majorBidi"/>
          <w:vertAlign w:val="superscript"/>
        </w:rPr>
        <w:fldChar w:fldCharType="separate"/>
      </w:r>
      <w:r w:rsidR="006104B1" w:rsidRPr="006104B1">
        <w:rPr>
          <w:rFonts w:asciiTheme="majorBidi" w:hAnsiTheme="majorBidi" w:cstheme="majorBidi"/>
          <w:noProof/>
          <w:vertAlign w:val="superscript"/>
        </w:rPr>
        <w:t>17</w:t>
      </w:r>
      <w:r w:rsidR="006104B1" w:rsidRPr="006104B1">
        <w:rPr>
          <w:rFonts w:asciiTheme="majorBidi" w:hAnsiTheme="majorBidi" w:cstheme="majorBidi"/>
          <w:vertAlign w:val="superscript"/>
        </w:rPr>
        <w:fldChar w:fldCharType="end"/>
      </w:r>
      <w:r w:rsidR="006104B1" w:rsidRPr="006104B1">
        <w:rPr>
          <w:rFonts w:asciiTheme="majorBidi" w:hAnsiTheme="majorBidi" w:cstheme="majorBidi"/>
          <w:vertAlign w:val="superscript"/>
        </w:rPr>
        <w:t>,</w:t>
      </w:r>
      <w:r w:rsidR="006104B1" w:rsidRPr="006104B1">
        <w:rPr>
          <w:rFonts w:asciiTheme="majorBidi" w:hAnsiTheme="majorBidi" w:cstheme="majorBidi"/>
          <w:vertAlign w:val="superscript"/>
        </w:rPr>
        <w:fldChar w:fldCharType="begin" w:fldLock="1"/>
      </w:r>
      <w:r w:rsidR="006104B1" w:rsidRPr="006104B1">
        <w:rPr>
          <w:rFonts w:asciiTheme="majorBidi" w:hAnsiTheme="majorBidi" w:cstheme="majorBidi"/>
          <w:vertAlign w:val="superscript"/>
        </w:rPr>
        <w:instrText>ADDIN CSL_CITATION {"citationItems":[{"id":"ITEM-1","itemData":{"DOI":"10.1016/j.celrep.2013.07.005","ISSN":"22111247","PMID":"23911285","abstract":"Angelman syndrome (AS) is associated with symptoms that include autism, intellectual disability, motor abnormalities, and epilepsy. We recently showed that AS model mice have increased expression of the alpha1 subunit of Na/K-ATPase (α1-NaKA) in the hippocampus, which was correlated with increased expression of axon initial segment (AIS) proteins. Our developmental analysis revealed that the increase in α1-NaKA expression preceded that of the AIS proteins. Therefore, we hypothesized that α1-NaKA overexpression drives AIS abnormalities and that by reducing its expression these and other phenotypes could be corrected in AS model mice. Herein, we report that the genetic normalization of α1-NaKA levels in AS model mice corrects multiple hippocampal phenotypes, including alterations in the AIS, aberrant intrinsic membrane properties, impaired synaptic plasticity, and memory deficits. These findings strongly suggest that increased expression of α1-NaKA plays an important role in a broad rangeof abnormalities in the hippocampus of AS model mice","author":[{"dropping-particle":"","family":"Kaphzan","given":"Hanoch","non-dropping-particle":"","parse-names":false,"suffix":""},{"dropping-particle":"","family":"Buffington","given":"Shelly A.","non-dropping-particle":"","parse-names":false,"suffix":""},{"dropping-particle":"","family":"Ramaraj","given":"Akila B.","non-dropping-particle":"","parse-names":false,"suffix":""},{"dropping-particle":"","family":"Lingrel","given":"Jerry B.","non-dropping-particle":"","parse-names":false,"suffix":""},{"dropping-particle":"","family":"Rasband","given":"Matthew N.","non-dropping-particle":"","parse-names":false,"suffix":""},{"dropping-particle":"","family":"Santini","given":"Emanuela","non-dropping-particle":"","parse-names":false,"suffix":""},{"dropping-particle":"","family":"Klann","given":"Eric","non-dropping-particle":"","parse-names":false,"suffix":""}],"container-title":"Cell Reports","id":"ITEM-1","issue":"3","issued":{"date-parts":[["2013","8"]]},"page":"405-412","publisher":"The Authors","publisher-place":"Center for Neural Science, New York University, New York, NY 10003, USA; Sagol Department of Neurobiology, University of Haifa, Haifa 3190501, Israel.","title":"Genetic Reduction of the α1 Subunit of Na/K-ATPase Corrects Multiple Hippocampal Phenotypes in Angelman Syndrome","type":"article-journal","volume":"4"},"uris":["http://www.mendeley.com/documents/?uuid=c34a77c4-a96c-4f9e-9928-52af61780980"]}],"mendeley":{"formattedCitation":"&lt;sup&gt;13&lt;/sup&gt;","plainTextFormattedCitation":"13","previouslyFormattedCitation":"&lt;sup&gt;13&lt;/sup&gt;"},"properties":{"noteIndex":0},"schema":"https://github.com/citation-style-language/schema/raw/master/csl-citation.json"}</w:instrText>
      </w:r>
      <w:r w:rsidR="006104B1" w:rsidRPr="006104B1">
        <w:rPr>
          <w:rFonts w:asciiTheme="majorBidi" w:hAnsiTheme="majorBidi" w:cstheme="majorBidi"/>
          <w:vertAlign w:val="superscript"/>
        </w:rPr>
        <w:fldChar w:fldCharType="separate"/>
      </w:r>
      <w:r w:rsidR="006104B1" w:rsidRPr="006104B1">
        <w:rPr>
          <w:rFonts w:asciiTheme="majorBidi" w:hAnsiTheme="majorBidi" w:cstheme="majorBidi"/>
          <w:noProof/>
          <w:vertAlign w:val="superscript"/>
        </w:rPr>
        <w:t>13</w:t>
      </w:r>
      <w:r w:rsidR="006104B1" w:rsidRPr="006104B1">
        <w:rPr>
          <w:rFonts w:asciiTheme="majorBidi" w:hAnsiTheme="majorBidi" w:cstheme="majorBidi"/>
          <w:vertAlign w:val="superscript"/>
        </w:rPr>
        <w:fldChar w:fldCharType="end"/>
      </w:r>
      <w:r w:rsidR="006104B1" w:rsidRPr="006104B1">
        <w:rPr>
          <w:rFonts w:asciiTheme="majorBidi" w:hAnsiTheme="majorBidi" w:cstheme="majorBidi"/>
          <w:vertAlign w:val="superscript"/>
        </w:rPr>
        <w:t>,</w:t>
      </w:r>
      <w:r w:rsidR="006104B1" w:rsidRPr="006104B1">
        <w:rPr>
          <w:rFonts w:asciiTheme="majorBidi" w:hAnsiTheme="majorBidi" w:cstheme="majorBidi"/>
          <w:vertAlign w:val="superscript"/>
        </w:rPr>
        <w:fldChar w:fldCharType="begin" w:fldLock="1"/>
      </w:r>
      <w:r w:rsidR="006104B1" w:rsidRPr="006104B1">
        <w:rPr>
          <w:rFonts w:asciiTheme="majorBidi" w:hAnsiTheme="majorBidi" w:cstheme="majorBidi"/>
          <w:vertAlign w:val="superscript"/>
        </w:rPr>
        <w:instrText>ADDIN CSL_CITATION {"citationItems":[{"id":"ITEM-1","itemData":{"DOI":"10.1007/s12035-019-1503-8","ISSN":"0893-7648","PMID":"30706369","abstract":"Angelman syndrome (AS) is a genetic disorder which entails autism, intellectual disability, lack of speech, motor deficits, and seizure susceptibility. It is caused by the lack of UBE3A protein expression, which is an E3-ubiquitin ligase. Despite AS equal prevalence in males and females, not much data on how sex affects the syndrome was reported. In the herein study, we thoroughly characterized many behavioral phenotypes of AS mice. The behavioral data acquired was analyzed with respect to sex. In addition, we generated a new mRNA sequencing dataset. We analyzed the coding transcriptome expression profiles with respect to the effects of genotype and sex observed in the behavioral phenotypes. We identified several neurobehavioral aspects, especially sensory perception, where AS mice either lack the male-to-female differences observed in wild-type littermates or even show opposed differences. However, motor phenotypes did not show male-to-female variation between wild-type (WT) and AS mice. In addition, by utilizing the mRNA sequencing, we identified genes and isoforms with expression profiles that mirror the sensory perception results. These genes are differentially regulated in the two sexes with inverse expression profiles in AS mice compared to WT littermates. Some of these are known pain-related and estrogen-dependent genes. The observed differences in sex-dependent neurobehavioral phenotypes and the differential transcriptome expression profiles in AS mice strengthen the evidence for molecular cross talk between Ube3a protein and sex hormone receptors or their elicited pathways. These interactions are essential for understanding Ube3a deletion effects, beyond its E3-ligase activity.","author":[{"dropping-particle":"","family":"Koyavski","given":"Lee","non-dropping-particle":"","parse-names":false,"suffix":""},{"dropping-particle":"","family":"Panov","given":"Julia","non-dropping-particle":"","parse-names":false,"suffix":""},{"dropping-particle":"","family":"Simchi","given":"Lilach","non-dropping-particle":"","parse-names":false,"suffix":""},{"dropping-particle":"","family":"Rayi","given":"Prudhvi Raj","non-dropping-particle":"","parse-names":false,"suffix":""},{"dropping-particle":"","family":"Sharvit","given":"Lital","non-dropping-particle":"","parse-names":false,"suffix":""},{"dropping-particle":"","family":"Feuermann","given":"Yonatan","non-dropping-particle":"","parse-names":false,"suffix":""},{"dropping-particle":"","family":"Kaphzan","given":"Hanoch","non-dropping-particle":"","parse-names":false,"suffix":""}],"container-title":"Molecular Neurobiology","id":"ITEM-1","issue":"9","issued":{"date-parts":[["2019","9"]]},"page":"5998-6016","publisher":"Mol Neurobiol","title":"Sex-Dependent Sensory Phenotypes and Related Transcriptomic Expression Profiles Are Differentially Affected by Angelman Syndrome","type":"article-journal","volume":"56"},"uris":["http://www.mendeley.com/documents/?uuid=76e12495-6baa-4bd5-af47-1e9ce01c5547"]}],"mendeley":{"formattedCitation":"&lt;sup&gt;72&lt;/sup&gt;","plainTextFormattedCitation":"72","previouslyFormattedCitation":"&lt;sup&gt;72&lt;/sup&gt;"},"properties":{"noteIndex":0},"schema":"https://github.com/citation-style-language/schema/raw/master/csl-citation.json"}</w:instrText>
      </w:r>
      <w:r w:rsidR="006104B1" w:rsidRPr="006104B1">
        <w:rPr>
          <w:rFonts w:asciiTheme="majorBidi" w:hAnsiTheme="majorBidi" w:cstheme="majorBidi"/>
          <w:vertAlign w:val="superscript"/>
        </w:rPr>
        <w:fldChar w:fldCharType="separate"/>
      </w:r>
      <w:r w:rsidR="006104B1" w:rsidRPr="006104B1">
        <w:rPr>
          <w:rFonts w:asciiTheme="majorBidi" w:hAnsiTheme="majorBidi" w:cstheme="majorBidi"/>
          <w:noProof/>
          <w:vertAlign w:val="superscript"/>
        </w:rPr>
        <w:t>72</w:t>
      </w:r>
      <w:r w:rsidR="006104B1" w:rsidRPr="006104B1">
        <w:rPr>
          <w:rFonts w:asciiTheme="majorBidi" w:hAnsiTheme="majorBidi" w:cstheme="majorBidi"/>
          <w:vertAlign w:val="superscript"/>
        </w:rPr>
        <w:fldChar w:fldCharType="end"/>
      </w:r>
      <w:r w:rsidR="006104B1">
        <w:rPr>
          <w:rFonts w:asciiTheme="majorBidi" w:hAnsiTheme="majorBidi" w:cstheme="majorBidi"/>
        </w:rPr>
        <w:t>.</w:t>
      </w:r>
      <w:r w:rsidR="006104B1" w:rsidRPr="00B12FA8">
        <w:rPr>
          <w:rFonts w:asciiTheme="majorBidi" w:hAnsiTheme="majorBidi" w:cstheme="majorBidi"/>
        </w:rPr>
        <w:t xml:space="preserve"> </w:t>
      </w:r>
      <w:r w:rsidR="006104B1">
        <w:rPr>
          <w:rFonts w:asciiTheme="majorBidi" w:hAnsiTheme="majorBidi" w:cstheme="majorBidi"/>
        </w:rPr>
        <w:t>The brain</w:t>
      </w:r>
      <w:r w:rsidR="006104B1" w:rsidRPr="00B12FA8">
        <w:rPr>
          <w:rFonts w:asciiTheme="majorBidi" w:hAnsiTheme="majorBidi" w:cstheme="majorBidi"/>
        </w:rPr>
        <w:t xml:space="preserve"> regions </w:t>
      </w:r>
      <w:r w:rsidR="006104B1">
        <w:rPr>
          <w:rFonts w:asciiTheme="majorBidi" w:hAnsiTheme="majorBidi" w:cstheme="majorBidi"/>
        </w:rPr>
        <w:t xml:space="preserve">involved in these behaviors </w:t>
      </w:r>
      <w:r w:rsidR="006104B1" w:rsidRPr="00B12FA8">
        <w:rPr>
          <w:rFonts w:asciiTheme="majorBidi" w:hAnsiTheme="majorBidi" w:cstheme="majorBidi"/>
        </w:rPr>
        <w:t xml:space="preserve">have been shown to exhibit altered excitability in AS mice, </w:t>
      </w:r>
      <w:r w:rsidR="006104B1">
        <w:rPr>
          <w:rFonts w:asciiTheme="majorBidi" w:hAnsiTheme="majorBidi" w:cstheme="majorBidi"/>
        </w:rPr>
        <w:t>which</w:t>
      </w:r>
      <w:r w:rsidR="006104B1" w:rsidRPr="00B12FA8">
        <w:rPr>
          <w:rFonts w:asciiTheme="majorBidi" w:hAnsiTheme="majorBidi" w:cstheme="majorBidi"/>
        </w:rPr>
        <w:t xml:space="preserve"> </w:t>
      </w:r>
      <w:proofErr w:type="spellStart"/>
      <w:r w:rsidR="006104B1" w:rsidRPr="00B12FA8">
        <w:rPr>
          <w:rFonts w:asciiTheme="majorBidi" w:hAnsiTheme="majorBidi" w:cstheme="majorBidi"/>
        </w:rPr>
        <w:t>tDCS</w:t>
      </w:r>
      <w:proofErr w:type="spellEnd"/>
      <w:r w:rsidR="006104B1" w:rsidRPr="00B12FA8">
        <w:rPr>
          <w:rFonts w:asciiTheme="majorBidi" w:hAnsiTheme="majorBidi" w:cstheme="majorBidi"/>
        </w:rPr>
        <w:t xml:space="preserve"> is expected to </w:t>
      </w:r>
      <w:r w:rsidR="006104B1">
        <w:rPr>
          <w:rFonts w:asciiTheme="majorBidi" w:hAnsiTheme="majorBidi" w:cstheme="majorBidi"/>
        </w:rPr>
        <w:t>modulate.</w:t>
      </w:r>
      <w:r w:rsidR="006104B1" w:rsidRPr="00B12FA8">
        <w:rPr>
          <w:rFonts w:asciiTheme="majorBidi" w:hAnsiTheme="majorBidi" w:cstheme="majorBidi"/>
        </w:rPr>
        <w:t xml:space="preserve"> </w:t>
      </w:r>
      <w:r w:rsidR="006104B1">
        <w:rPr>
          <w:rFonts w:asciiTheme="majorBidi" w:hAnsiTheme="majorBidi" w:cstheme="majorBidi"/>
        </w:rPr>
        <w:t xml:space="preserve">Hence, we speculate that </w:t>
      </w:r>
      <w:proofErr w:type="spellStart"/>
      <w:r w:rsidR="006104B1">
        <w:rPr>
          <w:rFonts w:asciiTheme="majorBidi" w:hAnsiTheme="majorBidi" w:cstheme="majorBidi"/>
        </w:rPr>
        <w:t>tDCS</w:t>
      </w:r>
      <w:proofErr w:type="spellEnd"/>
      <w:r w:rsidR="006104B1">
        <w:rPr>
          <w:rFonts w:asciiTheme="majorBidi" w:hAnsiTheme="majorBidi" w:cstheme="majorBidi"/>
        </w:rPr>
        <w:t xml:space="preserve"> will subsequently </w:t>
      </w:r>
      <w:r w:rsidR="006104B1" w:rsidRPr="00B12FA8">
        <w:rPr>
          <w:rFonts w:asciiTheme="majorBidi" w:hAnsiTheme="majorBidi" w:cstheme="majorBidi"/>
        </w:rPr>
        <w:t>affect</w:t>
      </w:r>
      <w:r w:rsidR="006104B1">
        <w:rPr>
          <w:rFonts w:asciiTheme="majorBidi" w:hAnsiTheme="majorBidi" w:cstheme="majorBidi"/>
        </w:rPr>
        <w:t xml:space="preserve"> these</w:t>
      </w:r>
      <w:r w:rsidR="006104B1" w:rsidRPr="00B12FA8">
        <w:rPr>
          <w:rFonts w:asciiTheme="majorBidi" w:hAnsiTheme="majorBidi" w:cstheme="majorBidi"/>
        </w:rPr>
        <w:t xml:space="preserve"> </w:t>
      </w:r>
      <w:r w:rsidR="006104B1">
        <w:rPr>
          <w:rFonts w:asciiTheme="majorBidi" w:hAnsiTheme="majorBidi" w:cstheme="majorBidi"/>
        </w:rPr>
        <w:t xml:space="preserve">pathological </w:t>
      </w:r>
      <w:r w:rsidR="006104B1" w:rsidRPr="00B12FA8">
        <w:rPr>
          <w:rFonts w:asciiTheme="majorBidi" w:hAnsiTheme="majorBidi" w:cstheme="majorBidi"/>
        </w:rPr>
        <w:lastRenderedPageBreak/>
        <w:t>behavior</w:t>
      </w:r>
      <w:r w:rsidR="006104B1">
        <w:rPr>
          <w:rFonts w:asciiTheme="majorBidi" w:hAnsiTheme="majorBidi" w:cstheme="majorBidi"/>
        </w:rPr>
        <w:t>al phenotypes</w:t>
      </w:r>
      <w:r w:rsidR="006104B1" w:rsidRPr="00B12FA8">
        <w:rPr>
          <w:rFonts w:asciiTheme="majorBidi" w:hAnsiTheme="majorBidi" w:cstheme="majorBidi"/>
        </w:rPr>
        <w:t xml:space="preserve">. Behavioral tracking will be performed using the automatic tracking system </w:t>
      </w:r>
      <w:proofErr w:type="spellStart"/>
      <w:r w:rsidR="006104B1" w:rsidRPr="00B12FA8">
        <w:rPr>
          <w:rFonts w:asciiTheme="majorBidi" w:hAnsiTheme="majorBidi" w:cstheme="majorBidi"/>
        </w:rPr>
        <w:t>EthoVision</w:t>
      </w:r>
      <w:proofErr w:type="spellEnd"/>
      <w:r w:rsidR="006104B1" w:rsidRPr="00B12FA8">
        <w:rPr>
          <w:rFonts w:asciiTheme="majorBidi" w:hAnsiTheme="majorBidi" w:cstheme="majorBidi"/>
        </w:rPr>
        <w:t xml:space="preserve"> XT 12 software (</w:t>
      </w:r>
      <w:proofErr w:type="spellStart"/>
      <w:r w:rsidR="006104B1" w:rsidRPr="00B12FA8">
        <w:rPr>
          <w:rFonts w:asciiTheme="majorBidi" w:hAnsiTheme="majorBidi" w:cstheme="majorBidi"/>
        </w:rPr>
        <w:t>Noldus</w:t>
      </w:r>
      <w:proofErr w:type="spellEnd"/>
      <w:r w:rsidR="006104B1" w:rsidRPr="00B12FA8">
        <w:rPr>
          <w:rFonts w:asciiTheme="majorBidi" w:hAnsiTheme="majorBidi" w:cstheme="majorBidi"/>
        </w:rPr>
        <w:t>).</w:t>
      </w:r>
      <w:r w:rsidR="006104B1" w:rsidRPr="0082346F">
        <w:rPr>
          <w:rFonts w:asciiTheme="majorBidi" w:hAnsiTheme="majorBidi" w:cstheme="majorBidi"/>
        </w:rPr>
        <w:t xml:space="preserve"> </w:t>
      </w:r>
    </w:p>
    <w:p w14:paraId="033D5D84" w14:textId="72536557" w:rsidR="00651198" w:rsidRPr="00B12FA8" w:rsidRDefault="00651198" w:rsidP="00C67B64">
      <w:pPr>
        <w:bidi w:val="0"/>
        <w:spacing w:before="20" w:afterLines="20" w:after="48" w:line="240" w:lineRule="auto"/>
        <w:contextualSpacing/>
        <w:jc w:val="both"/>
        <w:rPr>
          <w:rFonts w:asciiTheme="majorBidi" w:hAnsiTheme="majorBidi" w:cstheme="majorBidi"/>
          <w:b/>
          <w:bCs/>
        </w:rPr>
      </w:pPr>
    </w:p>
    <w:p w14:paraId="76C9EA41" w14:textId="2F693D83" w:rsidR="00B12FA8" w:rsidRDefault="00C54AC1" w:rsidP="00C67B64">
      <w:pPr>
        <w:bidi w:val="0"/>
        <w:spacing w:before="20" w:afterLines="20" w:after="48" w:line="240" w:lineRule="auto"/>
        <w:contextualSpacing/>
        <w:jc w:val="both"/>
        <w:rPr>
          <w:rFonts w:asciiTheme="majorBidi" w:hAnsiTheme="majorBidi" w:cstheme="majorBidi"/>
          <w:b/>
          <w:bCs/>
        </w:rPr>
      </w:pPr>
      <w:r w:rsidRPr="00B12FA8">
        <w:rPr>
          <w:rFonts w:asciiTheme="majorBidi" w:hAnsiTheme="majorBidi" w:cstheme="majorBidi"/>
          <w:b/>
          <w:bCs/>
          <w:i/>
          <w:iCs/>
        </w:rPr>
        <w:t>Alternative Approaches:</w:t>
      </w:r>
      <w:r w:rsidR="00EB6F84" w:rsidRPr="00B12FA8">
        <w:rPr>
          <w:rFonts w:asciiTheme="majorBidi" w:hAnsiTheme="majorBidi" w:cstheme="majorBidi"/>
          <w:b/>
          <w:bCs/>
        </w:rPr>
        <w:t xml:space="preserve"> </w:t>
      </w:r>
      <w:r w:rsidR="00C21F43" w:rsidRPr="00B12FA8">
        <w:rPr>
          <w:rFonts w:asciiTheme="majorBidi" w:hAnsiTheme="majorBidi" w:cstheme="majorBidi"/>
        </w:rPr>
        <w:t xml:space="preserve">If behavioral effects will not be apparent after </w:t>
      </w:r>
      <w:proofErr w:type="spellStart"/>
      <w:r w:rsidR="00C21F43" w:rsidRPr="00B12FA8">
        <w:rPr>
          <w:rFonts w:asciiTheme="majorBidi" w:hAnsiTheme="majorBidi" w:cstheme="majorBidi"/>
        </w:rPr>
        <w:t>tDCS</w:t>
      </w:r>
      <w:proofErr w:type="spellEnd"/>
      <w:r w:rsidR="00C21F43" w:rsidRPr="00B12FA8">
        <w:rPr>
          <w:rFonts w:asciiTheme="majorBidi" w:hAnsiTheme="majorBidi" w:cstheme="majorBidi"/>
        </w:rPr>
        <w:t xml:space="preserve"> administration, we will consider changing the stimulation parameters. We will increase the length of stimulation to more than 20 minutes (30-40 minutes), or we will increase the stimulation intensity to 200-250</w:t>
      </w:r>
      <w:r w:rsidR="00C21F43" w:rsidRPr="00B12FA8">
        <w:rPr>
          <w:rFonts w:ascii="Symbol" w:hAnsi="Symbol" w:cstheme="majorBidi"/>
        </w:rPr>
        <w:t></w:t>
      </w:r>
      <w:r w:rsidR="00C21F43" w:rsidRPr="00B12FA8">
        <w:rPr>
          <w:rFonts w:asciiTheme="majorBidi" w:hAnsiTheme="majorBidi" w:cstheme="majorBidi"/>
        </w:rPr>
        <w:t>A. From our experience and based on the literature, stimulations up to 300</w:t>
      </w:r>
      <w:r w:rsidR="00C21F43" w:rsidRPr="00B12FA8">
        <w:rPr>
          <w:rFonts w:ascii="Symbol" w:hAnsi="Symbol" w:cstheme="majorBidi"/>
        </w:rPr>
        <w:t></w:t>
      </w:r>
      <w:r w:rsidR="00C21F43" w:rsidRPr="00B12FA8">
        <w:rPr>
          <w:rFonts w:ascii="Symbol" w:hAnsi="Symbol" w:cstheme="majorBidi"/>
        </w:rPr>
        <w:t></w:t>
      </w:r>
      <w:r w:rsidR="00C21F43" w:rsidRPr="00B12FA8">
        <w:rPr>
          <w:rFonts w:asciiTheme="majorBidi" w:hAnsiTheme="majorBidi" w:cstheme="majorBidi"/>
        </w:rPr>
        <w:t>A are tolerable by mice given a current density &lt;24μA/mm</w:t>
      </w:r>
      <w:r w:rsidR="00C21F43" w:rsidRPr="00B12FA8">
        <w:rPr>
          <w:rFonts w:asciiTheme="majorBidi" w:hAnsiTheme="majorBidi" w:cstheme="majorBidi"/>
          <w:vertAlign w:val="superscript"/>
        </w:rPr>
        <w:t>2</w:t>
      </w:r>
      <w:r w:rsidR="00C21F43" w:rsidRPr="00B12FA8">
        <w:rPr>
          <w:rFonts w:asciiTheme="majorBidi" w:hAnsiTheme="majorBidi" w:cstheme="majorBidi"/>
        </w:rPr>
        <w:t>. The high current levels are not our initial choice, as we aim to mimic the low levels administered in humans. We will also consider studying effects on other types of behavior</w:t>
      </w:r>
      <w:r w:rsidR="00415CA5" w:rsidRPr="00B12FA8">
        <w:rPr>
          <w:rFonts w:asciiTheme="majorBidi" w:hAnsiTheme="majorBidi" w:cstheme="majorBidi"/>
        </w:rPr>
        <w:t>,</w:t>
      </w:r>
      <w:r w:rsidR="00C21F43" w:rsidRPr="00B12FA8">
        <w:rPr>
          <w:rFonts w:asciiTheme="majorBidi" w:hAnsiTheme="majorBidi" w:cstheme="majorBidi"/>
        </w:rPr>
        <w:t xml:space="preserve"> such as contextual fear conditioning, aggressive behavior, </w:t>
      </w:r>
      <w:r w:rsidR="00415CA5" w:rsidRPr="00B12FA8">
        <w:rPr>
          <w:rFonts w:asciiTheme="majorBidi" w:hAnsiTheme="majorBidi" w:cstheme="majorBidi"/>
        </w:rPr>
        <w:t xml:space="preserve">and </w:t>
      </w:r>
      <w:r w:rsidR="00C21F43" w:rsidRPr="00B12FA8">
        <w:rPr>
          <w:rFonts w:asciiTheme="majorBidi" w:hAnsiTheme="majorBidi" w:cstheme="majorBidi"/>
        </w:rPr>
        <w:t>hot plate</w:t>
      </w:r>
      <w:r w:rsidR="004C0522"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{"citationItems":[{"id":"ITEM-1","itemData":{"DOI":"10.1038/S41598-020-79984-7","ISSN":"2045-2322","PMID":"33420192","abstract":"Angelman syndrome (AS) is a genetic neurodevelopmental disorder due to the absence of the E3-ligase protein, UBE3A. Inappropriate social interactions, usually hyper-sociability, is a part of that syndrome. In addition, clinical surveys and case reports describe aggressive behavior in AS individuals as a severe difficulty for caretakers. A mouse model for AS recapitulates most of the human AS phenotypes. However, very few studies utilized this mouse model for investigating affiliative social behavior, and not even a single study examined aggressive behavior. Hence, the aim of the herein study was to examine affiliative and aggressive social behavior. For that, we utilized a battery of behavioral paradigms, and performed detailed analyses of these behaviors. AS mice exhibited a unique characteristic of reduced habituation towards a social stimulus in comparison to their wild-type (WT) littermates. However, overall there were no additional marked differences in affiliative social behavior. In contrast to the mild changes in affiliative behavior, there was a striking enhanced aggression in the AS mice compared to their WT littermates. The herein findings emphasize the use of AS mouse model in characterizing and measuring inappropriate aggressive behavior, and suggests these as tools for investigating therapeutic interventions aimed at attenuating aggressive behavior.","author":[{"dropping-particle":"","family":"Simchi","given":"Lilach","non-dropping-particle":"","parse-names":false,"suffix":""},{"dropping-particle":"","family":"Kaphzan","given":"Hanoch","non-dropping-particle":"","parse-names":false,"suffix":""}],"container-title":"Scientific reports","id":"ITEM-1","issue":"1","issued":{"date-parts":[["2021","12","1"]]},"publisher":"Sci Rep","title":"Aberrant aggressive behavior in a mouse model of Angelman syndrome","type":"article-journal","volume":"11"},"uris":["http://www.mendeley.com/documents/?uuid=54d1cbda-f633-39f7-a0cf-da3a440cb31a"]},{"id":"ITEM-2","itemData":{"DOI":"10.1007/s12035-019-1503-8","ISSN":"0893-7648","PMID":"30706369","abstract":"Angelman syndrome (AS) is a genetic disorder which entails autism, intellectual disability, lack of speech, motor deficits, and seizure susceptibility. It is caused by the lack of UBE3A protein expression, which is an E3-ubiquitin ligase. Despite AS equal prevalence in males and females, not much data on how sex affects the syndrome was reported. In the herein study, we thoroughly characterized many behavioral phenotypes of AS mice. The behavioral data acquired was analyzed with respect to sex. In addition, we generated a new mRNA sequencing dataset. We analyzed the coding transcriptome expression profiles with respect to the effects of genotype and sex observed in the behavioral phenotypes. We identified several neurobehavioral aspects, especially sensory perception, where AS mice either lack the male-to-female differences observed in wild-type littermates or even show opposed differences. However, motor phenotypes did not show male-to-female variation between wild-type (WT) and AS mice. In addition, by utilizing the mRNA sequencing, we identified genes and isoforms with expression profiles that mirror the sensory perception results. These genes are differentially regulated in the two sexes with inverse expression profiles in AS mice compared to WT littermates. Some of these are known pain-related and estrogen-dependent genes. The observed differences in sex-dependent neurobehavioral phenotypes and the differential transcriptome expression profiles in AS mice strengthen the evidence for molecular cross talk between Ube3a protein and sex hormone receptors or their elicited pathways. These interactions are essential for understanding Ube3a deletion effects, beyond its E3-ligase activity.","author":[{"dropping-particle":"","family":"Koyavski","given":"Lee","non-dropping-particle":"","parse-names":false,"suffix":""},{"dropping-particle":"","family":"Panov","given":"Julia","non-dropping-particle":"","parse-names":false,"suffix":""},{"dropping-particle":"","family":"Simchi","given":"Lilach","non-dropping-particle":"","parse-names":false,"suffix":""},{"dropping-particle":"","family":"Rayi","given":"Prudhvi Raj","non-dropping-particle":"","parse-names":false,"suffix":""},{"dropping-particle":"","family":"Sharvit","given":"Lital","non-dropping-particle":"","parse-names":false,"suffix":""},{"dropping-particle":"","family":"Feuermann","given":"Yonatan","non-dropping-particle":"","parse-names":false,"suffix":""},{"dropping-particle":"","family":"Kaphzan","given":"Hanoch","non-dropping-particle":"","parse-names":false,"suffix":""}],"container-title":"Molecular Neurobiology","id":"ITEM-2","issue":"9","issued":{"date-parts":[["2019","9"]]},"page":"5998-6016","publisher":"Mol Neurobiol","title":"Sex-Dependent Sensory Phenotypes and Related Transcriptomic Expression Profiles Are Differentially Affected by Angelman Syndrome","type":"article-journal","volume":"56"},"uris":["http://www.mendeley.com/documents/?uuid=76e12495-6baa-4bd5-af47-1e9ce01c5547"]}],"mendeley":{"formattedCitation":"&lt;sup&gt;72,84&lt;/sup&gt;","plainTextFormattedCitation":"72,84","previouslyFormattedCitation":"&lt;sup&gt;72,84&lt;/sup&gt;"},"properties":{"noteIndex":0},"schema":"https://github.com/citation-style-language/schema/raw/master/csl-citation.json"}</w:instrText>
      </w:r>
      <w:r w:rsidR="004C0522"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72,84</w:t>
      </w:r>
      <w:r w:rsidR="004C0522" w:rsidRPr="00B12FA8">
        <w:rPr>
          <w:rFonts w:asciiTheme="majorBidi" w:hAnsiTheme="majorBidi" w:cstheme="majorBidi"/>
        </w:rPr>
        <w:fldChar w:fldCharType="end"/>
      </w:r>
      <w:r w:rsidR="004C0522" w:rsidRPr="00B12FA8">
        <w:rPr>
          <w:rFonts w:asciiTheme="majorBidi" w:hAnsiTheme="majorBidi" w:cstheme="majorBidi"/>
        </w:rPr>
        <w:t>.</w:t>
      </w:r>
      <w:r w:rsidR="00C21F43" w:rsidRPr="00B12FA8">
        <w:rPr>
          <w:rFonts w:asciiTheme="majorBidi" w:hAnsiTheme="majorBidi" w:cstheme="majorBidi"/>
        </w:rPr>
        <w:t xml:space="preserve"> </w:t>
      </w:r>
    </w:p>
    <w:p w14:paraId="3E68AB04" w14:textId="77777777" w:rsidR="00B12FA8" w:rsidRDefault="00B12FA8" w:rsidP="00C67B64">
      <w:pPr>
        <w:bidi w:val="0"/>
        <w:spacing w:before="20" w:afterLines="20" w:after="48" w:line="240" w:lineRule="auto"/>
        <w:contextualSpacing/>
        <w:jc w:val="both"/>
        <w:rPr>
          <w:rFonts w:asciiTheme="majorBidi" w:hAnsiTheme="majorBidi" w:cstheme="majorBidi"/>
          <w:b/>
          <w:bCs/>
          <w:i/>
          <w:iCs/>
        </w:rPr>
      </w:pPr>
    </w:p>
    <w:p w14:paraId="0C4126BD" w14:textId="3B2CBD58" w:rsidR="00EB6F84" w:rsidRPr="00B12FA8" w:rsidRDefault="002156A7" w:rsidP="00C67B64">
      <w:pPr>
        <w:bidi w:val="0"/>
        <w:spacing w:before="20" w:afterLines="20" w:after="48" w:line="240" w:lineRule="auto"/>
        <w:contextualSpacing/>
        <w:jc w:val="both"/>
        <w:rPr>
          <w:rFonts w:asciiTheme="majorBidi" w:hAnsiTheme="majorBidi" w:cstheme="majorBidi"/>
          <w:b/>
          <w:bCs/>
        </w:rPr>
      </w:pPr>
      <w:r w:rsidRPr="00B12FA8">
        <w:rPr>
          <w:rFonts w:asciiTheme="majorBidi" w:hAnsiTheme="majorBidi" w:cstheme="majorBidi"/>
          <w:b/>
          <w:bCs/>
          <w:i/>
          <w:iCs/>
          <w:u w:val="single"/>
        </w:rPr>
        <w:t>Aim 2:</w:t>
      </w:r>
      <w:r w:rsidR="0069522B" w:rsidRPr="00B12FA8">
        <w:rPr>
          <w:rFonts w:asciiTheme="majorBidi" w:hAnsiTheme="majorBidi" w:cstheme="majorBidi"/>
        </w:rPr>
        <w:t xml:space="preserve"> </w:t>
      </w:r>
      <w:r w:rsidR="0069522B" w:rsidRPr="00B12FA8">
        <w:rPr>
          <w:rFonts w:asciiTheme="majorBidi" w:hAnsiTheme="majorBidi" w:cstheme="majorBidi"/>
          <w:b/>
          <w:bCs/>
          <w:i/>
          <w:iCs/>
        </w:rPr>
        <w:t xml:space="preserve">To examine the short and long-term effects of </w:t>
      </w:r>
      <w:proofErr w:type="spellStart"/>
      <w:r w:rsidR="0069522B" w:rsidRPr="00B12FA8">
        <w:rPr>
          <w:rFonts w:asciiTheme="majorBidi" w:hAnsiTheme="majorBidi" w:cstheme="majorBidi"/>
          <w:b/>
          <w:bCs/>
          <w:i/>
          <w:iCs/>
        </w:rPr>
        <w:t>tDCS</w:t>
      </w:r>
      <w:proofErr w:type="spellEnd"/>
      <w:r w:rsidR="0069522B" w:rsidRPr="00B12FA8">
        <w:rPr>
          <w:rFonts w:asciiTheme="majorBidi" w:hAnsiTheme="majorBidi" w:cstheme="majorBidi"/>
          <w:b/>
          <w:bCs/>
          <w:i/>
          <w:iCs/>
        </w:rPr>
        <w:t xml:space="preserve"> on the metabolic profile of wild-type and AS model mice.</w:t>
      </w:r>
      <w:r w:rsidR="00415CA5" w:rsidRPr="00B12FA8">
        <w:rPr>
          <w:rFonts w:asciiTheme="majorBidi" w:hAnsiTheme="majorBidi" w:cstheme="majorBidi"/>
          <w:b/>
          <w:bCs/>
          <w:i/>
          <w:iCs/>
        </w:rPr>
        <w:t xml:space="preserve"> </w:t>
      </w:r>
    </w:p>
    <w:p w14:paraId="06D60FD4" w14:textId="77777777" w:rsidR="00201B25" w:rsidRPr="00B12FA8" w:rsidRDefault="00201B25" w:rsidP="00C67B64">
      <w:pPr>
        <w:bidi w:val="0"/>
        <w:spacing w:before="20" w:afterLines="20" w:after="48" w:line="240" w:lineRule="auto"/>
        <w:ind w:firstLine="720"/>
        <w:contextualSpacing/>
        <w:jc w:val="both"/>
        <w:rPr>
          <w:rFonts w:asciiTheme="majorBidi" w:hAnsiTheme="majorBidi" w:cstheme="majorBidi"/>
          <w:b/>
          <w:bCs/>
          <w:i/>
          <w:iCs/>
        </w:rPr>
      </w:pPr>
    </w:p>
    <w:p w14:paraId="47EC7929" w14:textId="26F1F08B" w:rsidR="00392F1F" w:rsidRPr="00B12FA8" w:rsidRDefault="0059724A" w:rsidP="00C67B64">
      <w:pPr>
        <w:bidi w:val="0"/>
        <w:spacing w:before="20" w:afterLines="20" w:after="48" w:line="240" w:lineRule="auto"/>
        <w:contextualSpacing/>
        <w:jc w:val="both"/>
        <w:rPr>
          <w:rFonts w:asciiTheme="majorBidi" w:hAnsiTheme="majorBidi" w:cstheme="majorBidi"/>
        </w:rPr>
      </w:pPr>
      <w:r w:rsidRPr="006F1997">
        <w:rPr>
          <w:rFonts w:asciiTheme="majorBidi" w:hAnsiTheme="majorBidi" w:cstheme="majorBidi"/>
          <w:b/>
          <w:bCs/>
          <w:noProof/>
        </w:rPr>
        <mc:AlternateContent>
          <mc:Choice Requires="wps">
            <w:drawing>
              <wp:anchor distT="45720" distB="45720" distL="114300" distR="114300" simplePos="0" relativeHeight="251691008" behindDoc="0" locked="0" layoutInCell="1" allowOverlap="1" wp14:anchorId="53D8D19F" wp14:editId="5C96E8DF">
                <wp:simplePos x="0" y="0"/>
                <wp:positionH relativeFrom="column">
                  <wp:posOffset>3437890</wp:posOffset>
                </wp:positionH>
                <wp:positionV relativeFrom="paragraph">
                  <wp:posOffset>2018665</wp:posOffset>
                </wp:positionV>
                <wp:extent cx="3191510" cy="3700145"/>
                <wp:effectExtent l="0" t="0" r="27940" b="1460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3700145"/>
                        </a:xfrm>
                        <a:prstGeom prst="rect">
                          <a:avLst/>
                        </a:prstGeom>
                        <a:solidFill>
                          <a:srgbClr val="FFFFFF"/>
                        </a:solidFill>
                        <a:ln w="9525">
                          <a:solidFill>
                            <a:srgbClr val="000000"/>
                          </a:solidFill>
                          <a:miter lim="800000"/>
                          <a:headEnd/>
                          <a:tailEnd/>
                        </a:ln>
                      </wps:spPr>
                      <wps:txbx>
                        <w:txbxContent>
                          <w:p w14:paraId="6F426AD0" w14:textId="77777777" w:rsidR="006F1997" w:rsidRDefault="006F1997" w:rsidP="00ED0B89">
                            <w:pPr>
                              <w:pStyle w:val="NormalWeb"/>
                              <w:spacing w:before="0" w:beforeAutospacing="0" w:after="0" w:afterAutospacing="0"/>
                              <w:contextualSpacing/>
                              <w:jc w:val="both"/>
                              <w:rPr>
                                <w:rFonts w:asciiTheme="majorBidi" w:eastAsia="+mn-ea" w:hAnsiTheme="majorBidi" w:cstheme="majorBidi"/>
                                <w:b/>
                                <w:bCs/>
                                <w:color w:val="000000"/>
                                <w:kern w:val="24"/>
                                <w:sz w:val="22"/>
                                <w:szCs w:val="22"/>
                              </w:rPr>
                            </w:pPr>
                            <w:r>
                              <w:rPr>
                                <w:noProof/>
                              </w:rPr>
                              <w:drawing>
                                <wp:inline distT="0" distB="0" distL="0" distR="0" wp14:anchorId="7F41A980" wp14:editId="4E138EFC">
                                  <wp:extent cx="3091180" cy="20523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1100" cy="2072185"/>
                                          </a:xfrm>
                                          <a:prstGeom prst="rect">
                                            <a:avLst/>
                                          </a:prstGeom>
                                        </pic:spPr>
                                      </pic:pic>
                                    </a:graphicData>
                                  </a:graphic>
                                </wp:inline>
                              </w:drawing>
                            </w:r>
                          </w:p>
                          <w:p w14:paraId="62089B7B" w14:textId="1669E9E8" w:rsidR="006F1997" w:rsidRPr="00843F95" w:rsidRDefault="006F1997" w:rsidP="00ED0B89">
                            <w:pPr>
                              <w:pStyle w:val="NormalWeb"/>
                              <w:spacing w:before="0" w:beforeAutospacing="0" w:after="0" w:afterAutospacing="0"/>
                              <w:contextualSpacing/>
                              <w:jc w:val="both"/>
                              <w:rPr>
                                <w:sz w:val="20"/>
                                <w:szCs w:val="20"/>
                              </w:rPr>
                            </w:pPr>
                            <w:r w:rsidRPr="00843F95">
                              <w:rPr>
                                <w:rFonts w:asciiTheme="majorBidi" w:hAnsiTheme="majorBidi" w:cstheme="majorBidi"/>
                                <w:b/>
                                <w:bCs/>
                                <w:sz w:val="20"/>
                                <w:szCs w:val="20"/>
                              </w:rPr>
                              <w:t>Figure 4:</w:t>
                            </w:r>
                            <w:r w:rsidRPr="00843F95">
                              <w:rPr>
                                <w:rFonts w:asciiTheme="majorBidi" w:eastAsia="+mn-ea" w:hAnsiTheme="majorBidi" w:cstheme="majorBidi"/>
                                <w:color w:val="000000"/>
                                <w:kern w:val="24"/>
                                <w:sz w:val="20"/>
                                <w:szCs w:val="20"/>
                              </w:rPr>
                              <w:t xml:space="preserve"> </w:t>
                            </w:r>
                            <w:r>
                              <w:rPr>
                                <w:rFonts w:asciiTheme="majorBidi" w:eastAsia="+mn-ea" w:hAnsiTheme="majorBidi" w:cstheme="majorBidi"/>
                                <w:color w:val="000000"/>
                                <w:kern w:val="24"/>
                                <w:sz w:val="20"/>
                                <w:szCs w:val="20"/>
                              </w:rPr>
                              <w:t xml:space="preserve">Preliminary results of </w:t>
                            </w:r>
                            <w:r w:rsidRPr="00843F95">
                              <w:rPr>
                                <w:rFonts w:asciiTheme="majorBidi" w:eastAsia="+mn-ea" w:hAnsiTheme="majorBidi" w:cstheme="majorBidi"/>
                                <w:color w:val="000000"/>
                                <w:kern w:val="24"/>
                                <w:sz w:val="20"/>
                                <w:szCs w:val="20"/>
                                <w:vertAlign w:val="superscript"/>
                              </w:rPr>
                              <w:t>1</w:t>
                            </w:r>
                            <w:r w:rsidRPr="00843F95">
                              <w:rPr>
                                <w:rFonts w:asciiTheme="majorBidi" w:eastAsia="+mn-ea" w:hAnsiTheme="majorBidi" w:cstheme="majorBidi"/>
                                <w:color w:val="000000"/>
                                <w:kern w:val="24"/>
                                <w:sz w:val="20"/>
                                <w:szCs w:val="20"/>
                              </w:rPr>
                              <w:t xml:space="preserve">H NMR spectra of </w:t>
                            </w:r>
                            <w:r>
                              <w:rPr>
                                <w:rFonts w:asciiTheme="majorBidi" w:eastAsia="+mn-ea" w:hAnsiTheme="majorBidi" w:cstheme="majorBidi"/>
                                <w:color w:val="000000"/>
                                <w:kern w:val="24"/>
                                <w:sz w:val="20"/>
                                <w:szCs w:val="20"/>
                              </w:rPr>
                              <w:t xml:space="preserve">dorsal </w:t>
                            </w:r>
                            <w:r w:rsidRPr="00843F95">
                              <w:rPr>
                                <w:rFonts w:asciiTheme="majorBidi" w:eastAsia="+mn-ea" w:hAnsiTheme="majorBidi" w:cstheme="majorBidi"/>
                                <w:color w:val="000000"/>
                                <w:kern w:val="24"/>
                                <w:sz w:val="20"/>
                                <w:szCs w:val="20"/>
                              </w:rPr>
                              <w:t>hippocamp</w:t>
                            </w:r>
                            <w:r>
                              <w:rPr>
                                <w:rFonts w:asciiTheme="majorBidi" w:eastAsia="+mn-ea" w:hAnsiTheme="majorBidi" w:cstheme="majorBidi"/>
                                <w:color w:val="000000"/>
                                <w:kern w:val="24"/>
                                <w:sz w:val="20"/>
                                <w:szCs w:val="20"/>
                              </w:rPr>
                              <w:t xml:space="preserve">al tissue </w:t>
                            </w:r>
                            <w:r w:rsidRPr="00843F95">
                              <w:rPr>
                                <w:rFonts w:asciiTheme="majorBidi" w:eastAsia="+mn-ea" w:hAnsiTheme="majorBidi" w:cstheme="majorBidi"/>
                                <w:color w:val="000000"/>
                                <w:kern w:val="24"/>
                                <w:sz w:val="20"/>
                                <w:szCs w:val="20"/>
                              </w:rPr>
                              <w:t xml:space="preserve">from AS and WT mice subject to sham or </w:t>
                            </w:r>
                            <w:proofErr w:type="spellStart"/>
                            <w:r w:rsidRPr="00843F95">
                              <w:rPr>
                                <w:rFonts w:asciiTheme="majorBidi" w:eastAsia="+mn-ea" w:hAnsiTheme="majorBidi" w:cstheme="majorBidi"/>
                                <w:color w:val="000000"/>
                                <w:kern w:val="24"/>
                                <w:sz w:val="20"/>
                                <w:szCs w:val="20"/>
                              </w:rPr>
                              <w:t>tDCS</w:t>
                            </w:r>
                            <w:proofErr w:type="spellEnd"/>
                            <w:r w:rsidRPr="00843F95">
                              <w:rPr>
                                <w:rFonts w:asciiTheme="majorBidi" w:eastAsia="+mn-ea" w:hAnsiTheme="majorBidi" w:cstheme="majorBidi"/>
                                <w:color w:val="000000"/>
                                <w:kern w:val="24"/>
                                <w:sz w:val="20"/>
                                <w:szCs w:val="20"/>
                              </w:rPr>
                              <w:t xml:space="preserve"> treatment. Taurine line multiplets centered at 3.4 and 3.25 ppm in sham mice, shifting to a lower ppm with treatment indicating a rise in pH levels in the tissue. Excitatory metabolites experience intensity modulation after </w:t>
                            </w:r>
                            <w:proofErr w:type="spellStart"/>
                            <w:r w:rsidRPr="00843F95">
                              <w:rPr>
                                <w:rFonts w:asciiTheme="majorBidi" w:eastAsia="+mn-ea" w:hAnsiTheme="majorBidi" w:cstheme="majorBidi"/>
                                <w:color w:val="000000"/>
                                <w:kern w:val="24"/>
                                <w:sz w:val="20"/>
                                <w:szCs w:val="20"/>
                              </w:rPr>
                              <w:t>tDCS</w:t>
                            </w:r>
                            <w:proofErr w:type="spellEnd"/>
                            <w:r w:rsidRPr="00843F95">
                              <w:rPr>
                                <w:rFonts w:asciiTheme="majorBidi" w:eastAsia="+mn-ea" w:hAnsiTheme="majorBidi" w:cstheme="majorBidi"/>
                                <w:color w:val="000000"/>
                                <w:kern w:val="24"/>
                                <w:sz w:val="20"/>
                                <w:szCs w:val="20"/>
                              </w:rPr>
                              <w:t xml:space="preserve"> with a unique pattern in AS mice. Energy-related metabolites, lactate, NAA, creatine; and creatine-phosphate highlight the discrepancies in treatment effects between control and AS mice. </w:t>
                            </w:r>
                            <w:r>
                              <w:rPr>
                                <w:sz w:val="20"/>
                                <w:szCs w:val="20"/>
                              </w:rPr>
                              <w:t>N=2 mice per each group (WT-sham, WT-</w:t>
                            </w:r>
                            <w:proofErr w:type="spellStart"/>
                            <w:r>
                              <w:rPr>
                                <w:sz w:val="20"/>
                                <w:szCs w:val="20"/>
                              </w:rPr>
                              <w:t>tDCS</w:t>
                            </w:r>
                            <w:proofErr w:type="spellEnd"/>
                            <w:r>
                              <w:rPr>
                                <w:sz w:val="20"/>
                                <w:szCs w:val="20"/>
                              </w:rPr>
                              <w:t>, AS sham, AS-</w:t>
                            </w:r>
                            <w:proofErr w:type="spellStart"/>
                            <w:r>
                              <w:rPr>
                                <w:sz w:val="20"/>
                                <w:szCs w:val="20"/>
                              </w:rPr>
                              <w:t>tDCS</w:t>
                            </w:r>
                            <w:proofErr w:type="spellEnd"/>
                            <w:r>
                              <w:rPr>
                                <w:sz w:val="20"/>
                                <w:szCs w:val="20"/>
                              </w:rPr>
                              <w:t xml:space="preserve">. </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8D19F" id="Text Box 6" o:spid="_x0000_s1029" type="#_x0000_t202" style="position:absolute;left:0;text-align:left;margin-left:270.7pt;margin-top:158.95pt;width:251.3pt;height:291.3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">
                <v:textbox inset="1mm,0,1mm,0">
                  <w:txbxContent>
                    <w:p w14:paraId="6F426AD0" w14:textId="77777777" w:rsidR="006F1997" w:rsidRDefault="006F1997" w:rsidP="00ED0B89">
                      <w:pPr>
                        <w:pStyle w:val="NormalWeb"/>
                        <w:spacing w:before="0" w:beforeAutospacing="0" w:after="0" w:afterAutospacing="0"/>
                        <w:contextualSpacing/>
                        <w:jc w:val="both"/>
                        <w:rPr>
                          <w:rFonts w:asciiTheme="majorBidi" w:eastAsia="+mn-ea" w:hAnsiTheme="majorBidi" w:cstheme="majorBidi"/>
                          <w:b/>
                          <w:bCs/>
                          <w:color w:val="000000"/>
                          <w:kern w:val="24"/>
                          <w:sz w:val="22"/>
                          <w:szCs w:val="22"/>
                        </w:rPr>
                      </w:pPr>
                      <w:r>
                        <w:rPr>
                          <w:noProof/>
                        </w:rPr>
                        <w:drawing>
                          <wp:inline distT="0" distB="0" distL="0" distR="0" wp14:anchorId="7F41A980" wp14:editId="4E138EFC">
                            <wp:extent cx="3091180" cy="20523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1100" cy="2072185"/>
                                    </a:xfrm>
                                    <a:prstGeom prst="rect">
                                      <a:avLst/>
                                    </a:prstGeom>
                                  </pic:spPr>
                                </pic:pic>
                              </a:graphicData>
                            </a:graphic>
                          </wp:inline>
                        </w:drawing>
                      </w:r>
                    </w:p>
                    <w:p w14:paraId="62089B7B" w14:textId="1669E9E8" w:rsidR="006F1997" w:rsidRPr="00843F95" w:rsidRDefault="006F1997" w:rsidP="00ED0B89">
                      <w:pPr>
                        <w:pStyle w:val="NormalWeb"/>
                        <w:spacing w:before="0" w:beforeAutospacing="0" w:after="0" w:afterAutospacing="0"/>
                        <w:contextualSpacing/>
                        <w:jc w:val="both"/>
                        <w:rPr>
                          <w:sz w:val="20"/>
                          <w:szCs w:val="20"/>
                        </w:rPr>
                      </w:pPr>
                      <w:r w:rsidRPr="00843F95">
                        <w:rPr>
                          <w:rFonts w:asciiTheme="majorBidi" w:hAnsiTheme="majorBidi" w:cstheme="majorBidi"/>
                          <w:b/>
                          <w:bCs/>
                          <w:sz w:val="20"/>
                          <w:szCs w:val="20"/>
                        </w:rPr>
                        <w:t>Figure 4:</w:t>
                      </w:r>
                      <w:r w:rsidRPr="00843F95">
                        <w:rPr>
                          <w:rFonts w:asciiTheme="majorBidi" w:eastAsia="+mn-ea" w:hAnsiTheme="majorBidi" w:cstheme="majorBidi"/>
                          <w:color w:val="000000"/>
                          <w:kern w:val="24"/>
                          <w:sz w:val="20"/>
                          <w:szCs w:val="20"/>
                        </w:rPr>
                        <w:t xml:space="preserve"> </w:t>
                      </w:r>
                      <w:r>
                        <w:rPr>
                          <w:rFonts w:asciiTheme="majorBidi" w:eastAsia="+mn-ea" w:hAnsiTheme="majorBidi" w:cstheme="majorBidi"/>
                          <w:color w:val="000000"/>
                          <w:kern w:val="24"/>
                          <w:sz w:val="20"/>
                          <w:szCs w:val="20"/>
                        </w:rPr>
                        <w:t xml:space="preserve">Preliminary results of </w:t>
                      </w:r>
                      <w:r w:rsidRPr="00843F95">
                        <w:rPr>
                          <w:rFonts w:asciiTheme="majorBidi" w:eastAsia="+mn-ea" w:hAnsiTheme="majorBidi" w:cstheme="majorBidi"/>
                          <w:color w:val="000000"/>
                          <w:kern w:val="24"/>
                          <w:sz w:val="20"/>
                          <w:szCs w:val="20"/>
                          <w:vertAlign w:val="superscript"/>
                        </w:rPr>
                        <w:t>1</w:t>
                      </w:r>
                      <w:r w:rsidRPr="00843F95">
                        <w:rPr>
                          <w:rFonts w:asciiTheme="majorBidi" w:eastAsia="+mn-ea" w:hAnsiTheme="majorBidi" w:cstheme="majorBidi"/>
                          <w:color w:val="000000"/>
                          <w:kern w:val="24"/>
                          <w:sz w:val="20"/>
                          <w:szCs w:val="20"/>
                        </w:rPr>
                        <w:t xml:space="preserve">H NMR spectra of </w:t>
                      </w:r>
                      <w:r>
                        <w:rPr>
                          <w:rFonts w:asciiTheme="majorBidi" w:eastAsia="+mn-ea" w:hAnsiTheme="majorBidi" w:cstheme="majorBidi"/>
                          <w:color w:val="000000"/>
                          <w:kern w:val="24"/>
                          <w:sz w:val="20"/>
                          <w:szCs w:val="20"/>
                        </w:rPr>
                        <w:t xml:space="preserve">dorsal </w:t>
                      </w:r>
                      <w:r w:rsidRPr="00843F95">
                        <w:rPr>
                          <w:rFonts w:asciiTheme="majorBidi" w:eastAsia="+mn-ea" w:hAnsiTheme="majorBidi" w:cstheme="majorBidi"/>
                          <w:color w:val="000000"/>
                          <w:kern w:val="24"/>
                          <w:sz w:val="20"/>
                          <w:szCs w:val="20"/>
                        </w:rPr>
                        <w:t>hippocamp</w:t>
                      </w:r>
                      <w:r>
                        <w:rPr>
                          <w:rFonts w:asciiTheme="majorBidi" w:eastAsia="+mn-ea" w:hAnsiTheme="majorBidi" w:cstheme="majorBidi"/>
                          <w:color w:val="000000"/>
                          <w:kern w:val="24"/>
                          <w:sz w:val="20"/>
                          <w:szCs w:val="20"/>
                        </w:rPr>
                        <w:t xml:space="preserve">al tissue </w:t>
                      </w:r>
                      <w:r w:rsidRPr="00843F95">
                        <w:rPr>
                          <w:rFonts w:asciiTheme="majorBidi" w:eastAsia="+mn-ea" w:hAnsiTheme="majorBidi" w:cstheme="majorBidi"/>
                          <w:color w:val="000000"/>
                          <w:kern w:val="24"/>
                          <w:sz w:val="20"/>
                          <w:szCs w:val="20"/>
                        </w:rPr>
                        <w:t xml:space="preserve">from AS and WT mice subject to sham or </w:t>
                      </w:r>
                      <w:proofErr w:type="spellStart"/>
                      <w:r w:rsidRPr="00843F95">
                        <w:rPr>
                          <w:rFonts w:asciiTheme="majorBidi" w:eastAsia="+mn-ea" w:hAnsiTheme="majorBidi" w:cstheme="majorBidi"/>
                          <w:color w:val="000000"/>
                          <w:kern w:val="24"/>
                          <w:sz w:val="20"/>
                          <w:szCs w:val="20"/>
                        </w:rPr>
                        <w:t>tDCS</w:t>
                      </w:r>
                      <w:proofErr w:type="spellEnd"/>
                      <w:r w:rsidRPr="00843F95">
                        <w:rPr>
                          <w:rFonts w:asciiTheme="majorBidi" w:eastAsia="+mn-ea" w:hAnsiTheme="majorBidi" w:cstheme="majorBidi"/>
                          <w:color w:val="000000"/>
                          <w:kern w:val="24"/>
                          <w:sz w:val="20"/>
                          <w:szCs w:val="20"/>
                        </w:rPr>
                        <w:t xml:space="preserve"> treatment. Taurine line multiplets centered at 3.4 and 3.25 ppm in sham mice, shifting to a lower ppm with treatment indicating a rise in pH levels in the tissue. Excitatory metabolites experience intensity modulation after </w:t>
                      </w:r>
                      <w:proofErr w:type="spellStart"/>
                      <w:r w:rsidRPr="00843F95">
                        <w:rPr>
                          <w:rFonts w:asciiTheme="majorBidi" w:eastAsia="+mn-ea" w:hAnsiTheme="majorBidi" w:cstheme="majorBidi"/>
                          <w:color w:val="000000"/>
                          <w:kern w:val="24"/>
                          <w:sz w:val="20"/>
                          <w:szCs w:val="20"/>
                        </w:rPr>
                        <w:t>tDCS</w:t>
                      </w:r>
                      <w:proofErr w:type="spellEnd"/>
                      <w:r w:rsidRPr="00843F95">
                        <w:rPr>
                          <w:rFonts w:asciiTheme="majorBidi" w:eastAsia="+mn-ea" w:hAnsiTheme="majorBidi" w:cstheme="majorBidi"/>
                          <w:color w:val="000000"/>
                          <w:kern w:val="24"/>
                          <w:sz w:val="20"/>
                          <w:szCs w:val="20"/>
                        </w:rPr>
                        <w:t xml:space="preserve"> with a unique pattern in AS mice. Energy-related metabolites, lactate, NAA, creatine; and creatine-phosphate highlight the discrepancies in treatment effects between control and AS mice. </w:t>
                      </w:r>
                      <w:r>
                        <w:rPr>
                          <w:sz w:val="20"/>
                          <w:szCs w:val="20"/>
                        </w:rPr>
                        <w:t>N=2 mice per each group (WT-sham, WT-</w:t>
                      </w:r>
                      <w:proofErr w:type="spellStart"/>
                      <w:r>
                        <w:rPr>
                          <w:sz w:val="20"/>
                          <w:szCs w:val="20"/>
                        </w:rPr>
                        <w:t>tDCS</w:t>
                      </w:r>
                      <w:proofErr w:type="spellEnd"/>
                      <w:r>
                        <w:rPr>
                          <w:sz w:val="20"/>
                          <w:szCs w:val="20"/>
                        </w:rPr>
                        <w:t>, AS sham, AS-</w:t>
                      </w:r>
                      <w:proofErr w:type="spellStart"/>
                      <w:r>
                        <w:rPr>
                          <w:sz w:val="20"/>
                          <w:szCs w:val="20"/>
                        </w:rPr>
                        <w:t>tDCS</w:t>
                      </w:r>
                      <w:proofErr w:type="spellEnd"/>
                      <w:r>
                        <w:rPr>
                          <w:sz w:val="20"/>
                          <w:szCs w:val="20"/>
                        </w:rPr>
                        <w:t xml:space="preserve">. </w:t>
                      </w:r>
                    </w:p>
                  </w:txbxContent>
                </v:textbox>
                <w10:wrap type="square"/>
              </v:shape>
            </w:pict>
          </mc:Fallback>
        </mc:AlternateContent>
      </w:r>
      <w:r w:rsidR="002C2518" w:rsidRPr="006F1997">
        <w:rPr>
          <w:rFonts w:asciiTheme="majorBidi" w:hAnsiTheme="majorBidi" w:cstheme="majorBidi"/>
          <w:b/>
          <w:bCs/>
          <w:i/>
          <w:iCs/>
        </w:rPr>
        <w:t>Rationale:</w:t>
      </w:r>
      <w:r w:rsidR="002C2518" w:rsidRPr="00B12FA8">
        <w:rPr>
          <w:rFonts w:asciiTheme="majorBidi" w:hAnsiTheme="majorBidi" w:cstheme="majorBidi"/>
          <w:b/>
          <w:bCs/>
        </w:rPr>
        <w:t xml:space="preserve"> </w:t>
      </w:r>
      <w:r w:rsidR="00415CA5" w:rsidRPr="00B12FA8">
        <w:rPr>
          <w:rFonts w:asciiTheme="majorBidi" w:hAnsiTheme="majorBidi" w:cstheme="majorBidi"/>
          <w:b/>
          <w:bCs/>
        </w:rPr>
        <w:t xml:space="preserve"> </w:t>
      </w:r>
      <w:r w:rsidR="002C2518" w:rsidRPr="00B12FA8">
        <w:rPr>
          <w:rFonts w:asciiTheme="majorBidi" w:hAnsiTheme="majorBidi" w:cstheme="majorBidi"/>
        </w:rPr>
        <w:t>In the early 1950</w:t>
      </w:r>
      <w:r w:rsidR="00AD7D09" w:rsidRPr="00B12FA8">
        <w:rPr>
          <w:rFonts w:asciiTheme="majorBidi" w:hAnsiTheme="majorBidi" w:cstheme="majorBidi"/>
        </w:rPr>
        <w:t>s</w:t>
      </w:r>
      <w:r w:rsidR="002C2518" w:rsidRPr="00B12FA8">
        <w:rPr>
          <w:rFonts w:asciiTheme="majorBidi" w:hAnsiTheme="majorBidi" w:cstheme="majorBidi"/>
        </w:rPr>
        <w:t>, it was demonstrated that the application of electric currents to brain cortical tissue could affect brain metabolism</w:t>
      </w:r>
      <w:r w:rsidR="002C2518"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{"citationItems":[{"id":"ITEM-1","itemData":{"DOI":"10.1042/BJ0550618","ISSN":"0264-6021","PMID":"13115343","author":[{"dropping-particle":"","family":"McILWAIN","given":"H.","non-dropping-particle":"","parse-names":false,"suffix":""}],"container-title":"The Biochemical journal","id":"ITEM-1","issue":"4","issued":{"date-parts":[["1953","11","1"]]},"page":"618-624","publisher":"Biochem J","title":"Glucose level, metabolism, and response to electrical impulses in cerebral tissues from man and laboratory animals","type":"article-journal","volume":"55"},"uris":["http://www.mendeley.com/documents/?uuid=72d58173-e5c1-344f-8c11-cf3c385726f2"]}],"mendeley":{"formattedCitation":"&lt;sup&gt;85&lt;/sup&gt;","plainTextFormattedCitation":"85","previouslyFormattedCitation":"&lt;sup&gt;85&lt;/sup&gt;"},"properties":{"noteIndex":0},"schema":"https://github.com/citation-style-language/schema/raw/master/csl-citation.json"}</w:instrText>
      </w:r>
      <w:r w:rsidR="002C2518"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85</w:t>
      </w:r>
      <w:r w:rsidR="002C2518" w:rsidRPr="00B12FA8">
        <w:rPr>
          <w:rFonts w:asciiTheme="majorBidi" w:hAnsiTheme="majorBidi" w:cstheme="majorBidi"/>
        </w:rPr>
        <w:fldChar w:fldCharType="end"/>
      </w:r>
      <w:r w:rsidR="002C2518" w:rsidRPr="00B12FA8">
        <w:rPr>
          <w:rFonts w:asciiTheme="majorBidi" w:hAnsiTheme="majorBidi" w:cstheme="majorBidi"/>
        </w:rPr>
        <w:t xml:space="preserve">. </w:t>
      </w:r>
      <w:r w:rsidR="00687AA8" w:rsidRPr="00B12FA8">
        <w:rPr>
          <w:rFonts w:asciiTheme="majorBidi" w:hAnsiTheme="majorBidi" w:cstheme="majorBidi"/>
        </w:rPr>
        <w:t>A later study</w:t>
      </w:r>
      <w:r w:rsidR="002C2518" w:rsidRPr="00B12FA8">
        <w:rPr>
          <w:rFonts w:asciiTheme="majorBidi" w:hAnsiTheme="majorBidi" w:cstheme="majorBidi"/>
        </w:rPr>
        <w:t xml:space="preserve"> demonstrated that </w:t>
      </w:r>
      <w:proofErr w:type="spellStart"/>
      <w:r w:rsidR="002C2518" w:rsidRPr="00B12FA8">
        <w:rPr>
          <w:rFonts w:asciiTheme="majorBidi" w:hAnsiTheme="majorBidi" w:cstheme="majorBidi"/>
        </w:rPr>
        <w:t>tDCS</w:t>
      </w:r>
      <w:proofErr w:type="spellEnd"/>
      <w:r w:rsidR="002C2518" w:rsidRPr="00B12FA8">
        <w:rPr>
          <w:rFonts w:asciiTheme="majorBidi" w:hAnsiTheme="majorBidi" w:cstheme="majorBidi"/>
        </w:rPr>
        <w:t xml:space="preserve"> is associated with an induced metabolic workload, with induction in ATP synthesis and </w:t>
      </w:r>
      <w:r w:rsidR="001626AD" w:rsidRPr="00B12FA8">
        <w:rPr>
          <w:rFonts w:asciiTheme="majorBidi" w:hAnsiTheme="majorBidi" w:cstheme="majorBidi"/>
        </w:rPr>
        <w:t>increased</w:t>
      </w:r>
      <w:r w:rsidR="002C2518" w:rsidRPr="00B12FA8">
        <w:rPr>
          <w:rFonts w:asciiTheme="majorBidi" w:hAnsiTheme="majorBidi" w:cstheme="majorBidi"/>
        </w:rPr>
        <w:t xml:space="preserve"> brain pH</w:t>
      </w:r>
      <w:r w:rsidR="00AF5C0B" w:rsidRPr="00B12FA8">
        <w:rPr>
          <w:rFonts w:asciiTheme="majorBidi" w:hAnsiTheme="majorBidi" w:cstheme="majorBidi"/>
        </w:rPr>
        <w:t xml:space="preserve"> </w:t>
      </w:r>
      <w:r w:rsidR="002C2518"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{"citationItems":[{"id":"ITEM-1","itemData":{"DOI":"10.1017/S1461145713000084","ISSN":"1469-5111","PMID":"23473040","abstract":"Transcranial direct current stimulation is an emerging treatment for brain disorders but its mode of action is not well understood. We applied 10 min 1 mA anodal transcranial direct current stimulation (tDCS) inside the bore of a 3 T MRI scanner to the left dorsolateral prefrontal cortex of 13 healthy volunteers (aged 19–28 yr) in a blinded, sham-controlled, cross-over design. Brain bioenergetics were measured from the left temporo-frontal region using 31P magnetic resonance spectroscopy before, during and for 20 min following tDCS. Brain pH rose during tDCS and remained elevated afterwards. Phosphomonoesters were significantly decreased while inorganic phosphate (Pi) also fell. Partial-least squares discriminant analysis of the data revealed two significantly different subject groups: one where phosphocreatine (PCr), ATP and Pi fell along with a larger increase in pH and one where PCr and ATP increased along with a smaller increase in pH and a slower and more sustained decrease in Pi. Group membership was predicted by baseline pH and ATP. We interpreted the effects of tDCS as driving two biochemical processes: cellular consumption of ATP causing hydrolysis of PCr via the creatine kinase reaction driving the increase in pH; synthesis of ATP and PCr by mitochondria with concomitant drop in Pi and phosphomonoester levels.","author":[{"dropping-particle":"","family":"Rae","given":"Caroline D.","non-dropping-particle":"","parse-names":false,"suffix":""},{"dropping-particle":"","family":"Lee","given":"Vincent H.C.","non-dropping-particle":"","parse-names":false,"suffix":""},{"dropping-particle":"","family":"Ordidge","given":"Roger J.","non-dropping-particle":"","parse-names":false,"suffix":""},{"dropping-particle":"","family":"Alonzo","given":"Angelo","non-dropping-particle":"","parse-names":false,"suffix":""},{"dropping-particle":"","family":"Loo","given":"Colleen","non-dropping-particle":"","parse-names":false,"suffix":""}],"container-title":"International Journal of Neuropsychopharmacology","id":"ITEM-1","issue":"8","issued":{"date-parts":[["2013","9","1"]]},"page":"1695-1706","publisher":"Oxford Academic","title":"Anodal transcranial direct current stimulation increases brain intracellular pH and modulates bioenergetics","type":"article-journal","volume":"16"},"uris":["http://www.mendeley.com/documents/?uuid=5d7541a6-c077-41f6-b698-5ec13a93bbc1"]}],"mendeley":{"formattedCitation":"&lt;sup&gt;86&lt;/sup&gt;","plainTextFormattedCitation":"86","previouslyFormattedCitation":"&lt;sup&gt;86&lt;/sup&gt;"},"properties":{"noteIndex":0},"schema":"https://github.com/citation-style-language/schema/raw/master/csl-citation.json"}</w:instrText>
      </w:r>
      <w:r w:rsidR="002C2518"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86</w:t>
      </w:r>
      <w:r w:rsidR="002C2518" w:rsidRPr="00B12FA8">
        <w:rPr>
          <w:rFonts w:asciiTheme="majorBidi" w:hAnsiTheme="majorBidi" w:cstheme="majorBidi"/>
        </w:rPr>
        <w:fldChar w:fldCharType="end"/>
      </w:r>
      <w:r w:rsidR="002C2518" w:rsidRPr="00B12FA8">
        <w:rPr>
          <w:rFonts w:asciiTheme="majorBidi" w:hAnsiTheme="majorBidi" w:cstheme="majorBidi"/>
        </w:rPr>
        <w:t xml:space="preserve">. </w:t>
      </w:r>
      <w:r w:rsidR="00715F7B" w:rsidRPr="00B12FA8">
        <w:rPr>
          <w:rFonts w:asciiTheme="majorBidi" w:hAnsiTheme="majorBidi" w:cstheme="majorBidi"/>
        </w:rPr>
        <w:t>R</w:t>
      </w:r>
      <w:r w:rsidR="002C2518" w:rsidRPr="00B12FA8">
        <w:rPr>
          <w:rFonts w:asciiTheme="majorBidi" w:hAnsiTheme="majorBidi" w:cstheme="majorBidi"/>
        </w:rPr>
        <w:t xml:space="preserve">ecent studies </w:t>
      </w:r>
      <w:r w:rsidR="00AD7D09" w:rsidRPr="00B12FA8">
        <w:rPr>
          <w:rFonts w:asciiTheme="majorBidi" w:hAnsiTheme="majorBidi" w:cstheme="majorBidi"/>
        </w:rPr>
        <w:t xml:space="preserve">demonstrated </w:t>
      </w:r>
      <w:r w:rsidR="002C2518" w:rsidRPr="00B12FA8">
        <w:rPr>
          <w:rFonts w:asciiTheme="majorBidi" w:hAnsiTheme="majorBidi" w:cstheme="majorBidi"/>
        </w:rPr>
        <w:t xml:space="preserve">that </w:t>
      </w:r>
      <w:r w:rsidR="008502CB" w:rsidRPr="00B12FA8">
        <w:rPr>
          <w:rFonts w:asciiTheme="majorBidi" w:hAnsiTheme="majorBidi" w:cstheme="majorBidi"/>
        </w:rPr>
        <w:t xml:space="preserve">when </w:t>
      </w:r>
      <w:proofErr w:type="spellStart"/>
      <w:r w:rsidR="002C2518" w:rsidRPr="00B12FA8">
        <w:rPr>
          <w:rFonts w:asciiTheme="majorBidi" w:hAnsiTheme="majorBidi" w:cstheme="majorBidi"/>
        </w:rPr>
        <w:t>tDCS</w:t>
      </w:r>
      <w:proofErr w:type="spellEnd"/>
      <w:r w:rsidR="002C2518" w:rsidRPr="00B12FA8">
        <w:rPr>
          <w:rFonts w:asciiTheme="majorBidi" w:hAnsiTheme="majorBidi" w:cstheme="majorBidi"/>
        </w:rPr>
        <w:t xml:space="preserve"> </w:t>
      </w:r>
      <w:r w:rsidR="008502CB" w:rsidRPr="00B12FA8">
        <w:rPr>
          <w:rFonts w:asciiTheme="majorBidi" w:hAnsiTheme="majorBidi" w:cstheme="majorBidi"/>
        </w:rPr>
        <w:t xml:space="preserve">was applied </w:t>
      </w:r>
      <w:r w:rsidR="00715F7B" w:rsidRPr="00B12FA8">
        <w:rPr>
          <w:rFonts w:asciiTheme="majorBidi" w:hAnsiTheme="majorBidi" w:cstheme="majorBidi"/>
        </w:rPr>
        <w:t>to</w:t>
      </w:r>
      <w:r w:rsidR="002C2518" w:rsidRPr="00B12FA8">
        <w:rPr>
          <w:rFonts w:asciiTheme="majorBidi" w:hAnsiTheme="majorBidi" w:cstheme="majorBidi"/>
        </w:rPr>
        <w:t xml:space="preserve"> </w:t>
      </w:r>
      <w:r w:rsidR="00715F7B" w:rsidRPr="00B12FA8">
        <w:rPr>
          <w:rFonts w:asciiTheme="majorBidi" w:hAnsiTheme="majorBidi" w:cstheme="majorBidi"/>
        </w:rPr>
        <w:t xml:space="preserve">the </w:t>
      </w:r>
      <w:r w:rsidR="002C2518" w:rsidRPr="00B12FA8">
        <w:rPr>
          <w:rFonts w:asciiTheme="majorBidi" w:hAnsiTheme="majorBidi" w:cstheme="majorBidi"/>
        </w:rPr>
        <w:t>MPTP-induced neurotoxic mouse model</w:t>
      </w:r>
      <w:r w:rsidR="008502CB" w:rsidRPr="00B12FA8">
        <w:rPr>
          <w:rFonts w:asciiTheme="majorBidi" w:hAnsiTheme="majorBidi" w:cstheme="majorBidi"/>
        </w:rPr>
        <w:t xml:space="preserve">, </w:t>
      </w:r>
      <w:r w:rsidR="00AD7D09" w:rsidRPr="00B12FA8">
        <w:rPr>
          <w:rFonts w:asciiTheme="majorBidi" w:hAnsiTheme="majorBidi" w:cstheme="majorBidi"/>
        </w:rPr>
        <w:t xml:space="preserve">this </w:t>
      </w:r>
      <w:r w:rsidR="002C2518" w:rsidRPr="00B12FA8">
        <w:rPr>
          <w:rFonts w:asciiTheme="majorBidi" w:hAnsiTheme="majorBidi" w:cstheme="majorBidi"/>
        </w:rPr>
        <w:t>suppress</w:t>
      </w:r>
      <w:r w:rsidR="008502CB" w:rsidRPr="00B12FA8">
        <w:rPr>
          <w:rFonts w:asciiTheme="majorBidi" w:hAnsiTheme="majorBidi" w:cstheme="majorBidi"/>
        </w:rPr>
        <w:t xml:space="preserve">ed </w:t>
      </w:r>
      <w:r w:rsidR="002C2518" w:rsidRPr="00B12FA8">
        <w:rPr>
          <w:rFonts w:asciiTheme="majorBidi" w:hAnsiTheme="majorBidi" w:cstheme="majorBidi"/>
        </w:rPr>
        <w:t>excessive mitophagy and balance</w:t>
      </w:r>
      <w:r w:rsidR="008502CB" w:rsidRPr="00B12FA8">
        <w:rPr>
          <w:rFonts w:asciiTheme="majorBidi" w:hAnsiTheme="majorBidi" w:cstheme="majorBidi"/>
        </w:rPr>
        <w:t>d</w:t>
      </w:r>
      <w:r w:rsidR="002C2518" w:rsidRPr="00B12FA8">
        <w:rPr>
          <w:rFonts w:asciiTheme="majorBidi" w:hAnsiTheme="majorBidi" w:cstheme="majorBidi"/>
        </w:rPr>
        <w:t xml:space="preserve"> mitochondrial dynamics</w:t>
      </w:r>
      <w:r w:rsidR="002C2518"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{"citationItems":[{"id":"ITEM-1","itemData":{"DOI":"10.1016/j.neuint.2019.104491","ISSN":"01970186","PMID":"31229553","abstract":"Parkinson's disease (PD) is a neurodegenerative disorder characterized by the accumulation of protein inclusions and the loss of dopaminergic neurons. Abnormal mitochondrial homeostasis is thought to be important for the pathogenesis of PD. Transcranial direct current stimulation (tDCS), a noninvasive brain stimulation technique, constitutes a promising approach for promoting recovery of various neurological conditions. However, little is known about its mechanism of action. The present study elucidated the neuroprotective effects of tDCS on the mitochondrial quality control pathway in a 1-methyl-4-phenyl-1,2,3,6-tetrahydropyridine (MPTP)-induced PD mouse model. We used the MPTP-induced neurotoxicity in vivo model. Mice were stimulated for 5 consecutive days with MPTP treatment. After observation of behavioral alteration using the rotarod test, mice were sacrificed for the measurement of the PD- and mitochondrial quality control-related protein levels in the substantia nigra. tDCS improved the behavioral alterations and changes in tyrosine hydroxylase levels in MPTP-treated mice. Furthermore, tDCS attenuated mitochondrial damage, as indicated by diminished mitochondrial swelling and mitochondrial glutamate dehydrogenase activity in the MPTP-induced PD mouse model. MPTP significantly increased mitophagy and decreased mitochondrial biogenesis-related proteins. These changes were attenuated by tDCS. Furthermore, MPTP significantly increased fission-related protein dynamin-related protein 1 with no effect on fusion-related protein mitofusin-2, and tDCS attenuated these changes. Our findings demonstrated the neuroprotective effect of anodal tDCS on the MPTP-induced neurotoxic mouse model through suppressing excessive mitophagy and balancing mitochondrial dynamics. The neuroprotective effect of anodal tDCS with modulation of mitochondrial dynamics provides a new therapeutic strategy for the treatment of PD.","author":[{"dropping-particle":"","family":"Lee","given":"Sang-Bin","non-dropping-particle":"","parse-names":false,"suffix":""},{"dropping-particle":"","family":"Youn","given":"Jinyoung","non-dropping-particle":"","parse-names":false,"suffix":""},{"dropping-particle":"","family":"Jang","given":"Wooyoung","non-dropping-particle":"","parse-names":false,"suffix":""},{"dropping-particle":"","family":"Yang","given":"Hyun Ok","non-dropping-particle":"","parse-names":false,"suffix":""}],"container-title":"Neurochemistry International","id":"ITEM-1","issued":{"date-parts":[["2019","10","1"]]},"page":"104491","publisher":"Neurochem Int","title":"Neuroprotective effect of anodal transcranial direct current stimulation on 1-methyl-4-phenyl-1,2,3,6-tetrahydropyridine (MPTP)-induced neurotoxicity in mice through modulating mitochondrial dynamics","type":"article-journal","volume":"129"},"uris":["http://www.mendeley.com/documents/?uuid=af37f122-fe16-3f1c-9cc3-8b9f7ed6eac8"]}],"mendeley":{"formattedCitation":"&lt;sup&gt;87&lt;/sup&gt;","plainTextFormattedCitation":"87","previouslyFormattedCitation":"&lt;sup&gt;87&lt;/sup&gt;"},"properties":{"noteIndex":0},"schema":"https://github.com/citation-style-language/schema/raw/master/csl-citation.json"}</w:instrText>
      </w:r>
      <w:r w:rsidR="002C2518"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87</w:t>
      </w:r>
      <w:r w:rsidR="002C2518" w:rsidRPr="00B12FA8">
        <w:rPr>
          <w:rFonts w:asciiTheme="majorBidi" w:hAnsiTheme="majorBidi" w:cstheme="majorBidi"/>
        </w:rPr>
        <w:fldChar w:fldCharType="end"/>
      </w:r>
      <w:r w:rsidR="002C2518" w:rsidRPr="00B12FA8">
        <w:rPr>
          <w:rFonts w:asciiTheme="majorBidi" w:hAnsiTheme="majorBidi" w:cstheme="majorBidi"/>
        </w:rPr>
        <w:t xml:space="preserve">. </w:t>
      </w:r>
      <w:r w:rsidR="00687AA8" w:rsidRPr="00B12FA8">
        <w:rPr>
          <w:rFonts w:asciiTheme="majorBidi" w:hAnsiTheme="majorBidi" w:cstheme="majorBidi"/>
          <w:lang w:bidi="ar-SA"/>
        </w:rPr>
        <w:t>Mitochondria are organelles that play a vital role in maintaining cellular homeostasis. They are involved in numerous functions and signaling pathways</w:t>
      </w:r>
      <w:r w:rsidR="00415CA5" w:rsidRPr="00B12FA8">
        <w:rPr>
          <w:rFonts w:asciiTheme="majorBidi" w:hAnsiTheme="majorBidi" w:cstheme="majorBidi"/>
          <w:lang w:bidi="ar-SA"/>
        </w:rPr>
        <w:t>,</w:t>
      </w:r>
      <w:r w:rsidR="00AD7D09" w:rsidRPr="00B12FA8">
        <w:rPr>
          <w:rFonts w:asciiTheme="majorBidi" w:hAnsiTheme="majorBidi" w:cstheme="majorBidi"/>
          <w:lang w:bidi="ar-SA"/>
        </w:rPr>
        <w:t xml:space="preserve"> including </w:t>
      </w:r>
      <w:r w:rsidR="00687AA8" w:rsidRPr="00B12FA8">
        <w:rPr>
          <w:rFonts w:asciiTheme="majorBidi" w:hAnsiTheme="majorBidi" w:cstheme="majorBidi"/>
          <w:lang w:bidi="ar-SA"/>
        </w:rPr>
        <w:t xml:space="preserve">energy metabolism, calcium homeostasis, </w:t>
      </w:r>
      <w:r w:rsidR="00AD7D09" w:rsidRPr="00B12FA8">
        <w:rPr>
          <w:rFonts w:asciiTheme="majorBidi" w:hAnsiTheme="majorBidi" w:cstheme="majorBidi"/>
          <w:lang w:bidi="ar-SA"/>
        </w:rPr>
        <w:t xml:space="preserve">and </w:t>
      </w:r>
      <w:r w:rsidR="00687AA8" w:rsidRPr="00B12FA8">
        <w:rPr>
          <w:rFonts w:asciiTheme="majorBidi" w:hAnsiTheme="majorBidi" w:cstheme="majorBidi"/>
          <w:lang w:bidi="ar-SA"/>
        </w:rPr>
        <w:t xml:space="preserve">apoptosis. </w:t>
      </w:r>
      <w:r w:rsidR="00AD7D09" w:rsidRPr="00B12FA8">
        <w:rPr>
          <w:rFonts w:asciiTheme="majorBidi" w:hAnsiTheme="majorBidi" w:cstheme="majorBidi"/>
          <w:lang w:bidi="ar-SA"/>
        </w:rPr>
        <w:t>Rather than remaining static, m</w:t>
      </w:r>
      <w:r w:rsidR="00687AA8" w:rsidRPr="00B12FA8">
        <w:rPr>
          <w:rFonts w:asciiTheme="majorBidi" w:hAnsiTheme="majorBidi" w:cstheme="majorBidi"/>
          <w:lang w:bidi="ar-SA"/>
        </w:rPr>
        <w:t>itochondria are dynamic organelles involved in adaptation to changes in the metabolic environment of cells. Altered mitochondrial function and oxidative stress are well-</w:t>
      </w:r>
      <w:r w:rsidR="00AD7D09" w:rsidRPr="00B12FA8">
        <w:rPr>
          <w:rFonts w:asciiTheme="majorBidi" w:hAnsiTheme="majorBidi" w:cstheme="majorBidi"/>
          <w:lang w:bidi="ar-SA"/>
        </w:rPr>
        <w:t xml:space="preserve">characterized </w:t>
      </w:r>
      <w:r w:rsidR="00687AA8" w:rsidRPr="00B12FA8">
        <w:rPr>
          <w:rFonts w:asciiTheme="majorBidi" w:hAnsiTheme="majorBidi" w:cstheme="majorBidi"/>
          <w:lang w:bidi="ar-SA"/>
        </w:rPr>
        <w:t>pathophysiological mechanisms in</w:t>
      </w:r>
      <w:r w:rsidR="00AD7D09" w:rsidRPr="00B12FA8">
        <w:rPr>
          <w:rFonts w:asciiTheme="majorBidi" w:hAnsiTheme="majorBidi" w:cstheme="majorBidi"/>
          <w:lang w:bidi="ar-SA"/>
        </w:rPr>
        <w:t>volved in</w:t>
      </w:r>
      <w:r w:rsidR="00687AA8" w:rsidRPr="00B12FA8">
        <w:rPr>
          <w:rFonts w:asciiTheme="majorBidi" w:hAnsiTheme="majorBidi" w:cstheme="majorBidi"/>
          <w:lang w:bidi="ar-SA"/>
        </w:rPr>
        <w:t xml:space="preserve"> neurodegenerative and autistic disorders, including Angelman syndrome</w:t>
      </w:r>
      <w:r w:rsidR="00687AA8" w:rsidRPr="00B12FA8">
        <w:rPr>
          <w:rFonts w:asciiTheme="majorBidi" w:hAnsiTheme="majorBidi" w:cstheme="majorBidi"/>
          <w:lang w:bidi="ar-SA"/>
        </w:rPr>
        <w:fldChar w:fldCharType="begin" w:fldLock="1"/>
      </w:r>
      <w:r w:rsidR="006104B1">
        <w:rPr>
          <w:rFonts w:asciiTheme="majorBidi" w:hAnsiTheme="majorBidi" w:cstheme="majorBidi"/>
          <w:lang w:bidi="ar-SA"/>
        </w:rPr>
        <w:instrText>ADDIN CSL_CITATION {"citationItems":[{"id":"ITEM-1","itemData":{"DOI":"10.1523/JNEUROSCI.2246-15.2015","ISSN":"15292401","PMID":"26658871","abstract":"Angelman syndrome (AS) is a neurodevelopmental disorder associated with developmental delay, lack of speech, motor dysfunction, and epilepsy. In the majority of the patients, AS is caused by the deletion of small portions of maternal chromosome 15 harboring the UBE3A gene. This results in a lack of expression of the UBE3A gene because the paternal allele is genetically imprinted. The UBE3A gene encodes an enzyme termed ubiquitin ligase E3A (E6-AP) that targets proteins for degradation by the 26S proteasome. Because neurodegenerative disease and other neurodevelopmental disorders have been linked to oxidative stress, we asked whether mitochondrial reactive oxygen species (ROS) played a role in impaired synaptic plasticity and memory deficits exhibited by AS model mice. We discovered that AS mice have increased levels of superoxide in area CA1 of the hippocampus that is reduced by MitoQ 10-methanesuflonate (MitoQ), a mitochondria-specific antioxidant. In addition, we found that MitoQ rescued impairments in hippocampal synaptic plasticity and deficits in contextual fear memory exhibited by AS model mice. Our findings suggest that mitochondria-derived oxidative stress contributes to hippo campal pathophysiology in AS model mice and that targeting mitochondrial ROS pharmacologically could benefit individuals with AS.","author":[{"dropping-particle":"","family":"Santini","given":"Emanuela","non-dropping-particle":"","parse-names":false,"suffix":""},{"dropping-particle":"","family":"Turner","given":"Kathryn L.","non-dropping-particle":"","parse-names":false,"suffix":""},{"dropping-particle":"","family":"Ramaraj","given":"Xakila B.","non-dropping-particle":"","parse-names":false,"suffix":""},{"dropping-particle":"","family":"Murphy","given":"Michael P.","non-dropping-particle":"","parse-names":false,"suffix":""},{"dropping-particle":"","family":"Klann","given":"Eric","non-dropping-particle":"","parse-names":false,"suffix":""},{"dropping-particle":"","family":"Kaphzan","given":"Xhanoch","non-dropping-particle":"","parse-names":false,"suffix":""}],"container-title":"Journal of Neuroscience","id":"ITEM-1","issue":"49","issued":{"date-parts":[["2015"]]},"page":"16213-16220","title":"Mitochondrial superoxide contributes to hippocampal synaptic dysfunction and memory deficits in Angelman syndrome model mice","type":"article-journal","volume":"35"},"uris":["http://www.mendeley.com/documents/?uuid=f0dad231-a17e-4509-bbd0-2dde0124cb42"]}],"mendeley":{"formattedCitation":"&lt;sup&gt;17&lt;/sup&gt;","plainTextFormattedCitation":"17","previouslyFormattedCitation":"&lt;sup&gt;17&lt;/sup&gt;"},"properties":{"noteIndex":0},"schema":"https://github.com/citation-style-language/schema/raw/master/csl-citation.json"}</w:instrText>
      </w:r>
      <w:r w:rsidR="00687AA8" w:rsidRPr="00B12FA8">
        <w:rPr>
          <w:rFonts w:asciiTheme="majorBidi" w:hAnsiTheme="majorBidi" w:cstheme="majorBidi"/>
          <w:lang w:bidi="ar-SA"/>
        </w:rPr>
        <w:fldChar w:fldCharType="separate"/>
      </w:r>
      <w:r w:rsidR="006104B1" w:rsidRPr="006104B1">
        <w:rPr>
          <w:rFonts w:asciiTheme="majorBidi" w:hAnsiTheme="majorBidi" w:cstheme="majorBidi"/>
          <w:noProof/>
          <w:vertAlign w:val="superscript"/>
          <w:lang w:bidi="ar-SA"/>
        </w:rPr>
        <w:t>17</w:t>
      </w:r>
      <w:r w:rsidR="00687AA8" w:rsidRPr="00B12FA8">
        <w:rPr>
          <w:rFonts w:asciiTheme="majorBidi" w:hAnsiTheme="majorBidi" w:cstheme="majorBidi"/>
          <w:lang w:bidi="ar-SA"/>
        </w:rPr>
        <w:fldChar w:fldCharType="end"/>
      </w:r>
      <w:r w:rsidR="00687AA8" w:rsidRPr="00B12FA8">
        <w:rPr>
          <w:rFonts w:asciiTheme="majorBidi" w:hAnsiTheme="majorBidi" w:cstheme="majorBidi"/>
          <w:lang w:bidi="ar-SA"/>
        </w:rPr>
        <w:t xml:space="preserve">. </w:t>
      </w:r>
      <w:r w:rsidR="002C2518" w:rsidRPr="006104B1">
        <w:rPr>
          <w:rFonts w:asciiTheme="majorBidi" w:hAnsiTheme="majorBidi" w:cstheme="majorBidi"/>
          <w:b/>
          <w:bCs/>
          <w:i/>
          <w:iCs/>
        </w:rPr>
        <w:t xml:space="preserve">In this </w:t>
      </w:r>
      <w:r w:rsidR="00613B1A" w:rsidRPr="006104B1">
        <w:rPr>
          <w:rFonts w:asciiTheme="majorBidi" w:hAnsiTheme="majorBidi" w:cstheme="majorBidi"/>
          <w:b/>
          <w:bCs/>
          <w:i/>
          <w:iCs/>
        </w:rPr>
        <w:t>a</w:t>
      </w:r>
      <w:r w:rsidR="002C2518" w:rsidRPr="006104B1">
        <w:rPr>
          <w:rFonts w:asciiTheme="majorBidi" w:hAnsiTheme="majorBidi" w:cstheme="majorBidi"/>
          <w:b/>
          <w:bCs/>
          <w:i/>
          <w:iCs/>
        </w:rPr>
        <w:t xml:space="preserve">im, we </w:t>
      </w:r>
      <w:r w:rsidR="00AD7D09" w:rsidRPr="006104B1">
        <w:rPr>
          <w:rFonts w:asciiTheme="majorBidi" w:hAnsiTheme="majorBidi" w:cstheme="majorBidi"/>
          <w:b/>
          <w:bCs/>
          <w:i/>
          <w:iCs/>
        </w:rPr>
        <w:t>will</w:t>
      </w:r>
      <w:r w:rsidR="002C2518" w:rsidRPr="006104B1">
        <w:rPr>
          <w:rFonts w:asciiTheme="majorBidi" w:hAnsiTheme="majorBidi" w:cstheme="majorBidi"/>
          <w:b/>
          <w:bCs/>
          <w:i/>
          <w:iCs/>
        </w:rPr>
        <w:t xml:space="preserve"> determine whether brain bioenergetics</w:t>
      </w:r>
      <w:r w:rsidR="000D5823" w:rsidRPr="006104B1">
        <w:rPr>
          <w:rFonts w:asciiTheme="majorBidi" w:hAnsiTheme="majorBidi" w:cstheme="majorBidi"/>
          <w:b/>
          <w:bCs/>
          <w:i/>
          <w:iCs/>
        </w:rPr>
        <w:t xml:space="preserve"> and metabolism</w:t>
      </w:r>
      <w:r w:rsidR="002C2518" w:rsidRPr="006104B1">
        <w:rPr>
          <w:rFonts w:asciiTheme="majorBidi" w:hAnsiTheme="majorBidi" w:cstheme="majorBidi"/>
          <w:b/>
          <w:bCs/>
          <w:i/>
          <w:iCs/>
        </w:rPr>
        <w:t xml:space="preserve"> </w:t>
      </w:r>
      <w:r w:rsidR="00AD7D09" w:rsidRPr="006104B1">
        <w:rPr>
          <w:rFonts w:asciiTheme="majorBidi" w:hAnsiTheme="majorBidi" w:cstheme="majorBidi"/>
          <w:b/>
          <w:bCs/>
          <w:i/>
          <w:iCs/>
        </w:rPr>
        <w:t xml:space="preserve">are altered </w:t>
      </w:r>
      <w:r w:rsidR="002C2518" w:rsidRPr="006104B1">
        <w:rPr>
          <w:rFonts w:asciiTheme="majorBidi" w:hAnsiTheme="majorBidi" w:cstheme="majorBidi"/>
          <w:b/>
          <w:bCs/>
          <w:i/>
          <w:iCs/>
        </w:rPr>
        <w:t xml:space="preserve">during </w:t>
      </w:r>
      <w:proofErr w:type="spellStart"/>
      <w:r w:rsidR="00DE09DD" w:rsidRPr="006104B1">
        <w:rPr>
          <w:rFonts w:asciiTheme="majorBidi" w:hAnsiTheme="majorBidi" w:cstheme="majorBidi"/>
          <w:b/>
          <w:bCs/>
          <w:i/>
          <w:iCs/>
        </w:rPr>
        <w:t>tDCS</w:t>
      </w:r>
      <w:proofErr w:type="spellEnd"/>
      <w:r w:rsidR="00715F7B" w:rsidRPr="006104B1">
        <w:rPr>
          <w:rFonts w:asciiTheme="majorBidi" w:hAnsiTheme="majorBidi" w:cstheme="majorBidi"/>
          <w:b/>
          <w:bCs/>
          <w:i/>
          <w:iCs/>
        </w:rPr>
        <w:t xml:space="preserve"> treatment</w:t>
      </w:r>
      <w:r w:rsidR="00392F1F" w:rsidRPr="006104B1">
        <w:rPr>
          <w:rFonts w:asciiTheme="majorBidi" w:hAnsiTheme="majorBidi" w:cstheme="majorBidi"/>
          <w:b/>
          <w:bCs/>
          <w:i/>
          <w:iCs/>
        </w:rPr>
        <w:t xml:space="preserve"> and</w:t>
      </w:r>
      <w:r w:rsidR="002C2518" w:rsidRPr="006104B1">
        <w:rPr>
          <w:rFonts w:asciiTheme="majorBidi" w:hAnsiTheme="majorBidi" w:cstheme="majorBidi"/>
          <w:b/>
          <w:bCs/>
          <w:i/>
          <w:iCs/>
        </w:rPr>
        <w:t xml:space="preserve"> </w:t>
      </w:r>
      <w:r w:rsidR="00AD7D09" w:rsidRPr="006104B1">
        <w:rPr>
          <w:rFonts w:asciiTheme="majorBidi" w:hAnsiTheme="majorBidi" w:cstheme="majorBidi"/>
          <w:b/>
          <w:bCs/>
          <w:i/>
          <w:iCs/>
        </w:rPr>
        <w:t xml:space="preserve">clarify the nature </w:t>
      </w:r>
      <w:r w:rsidR="006104B1" w:rsidRPr="006104B1">
        <w:rPr>
          <w:rFonts w:asciiTheme="majorBidi" w:hAnsiTheme="majorBidi" w:cstheme="majorBidi"/>
          <w:b/>
          <w:bCs/>
          <w:i/>
          <w:iCs/>
        </w:rPr>
        <w:t>and</w:t>
      </w:r>
      <w:r w:rsidR="00392F1F" w:rsidRPr="006104B1">
        <w:rPr>
          <w:rFonts w:asciiTheme="majorBidi" w:hAnsiTheme="majorBidi" w:cstheme="majorBidi"/>
          <w:b/>
          <w:bCs/>
          <w:i/>
          <w:iCs/>
        </w:rPr>
        <w:t xml:space="preserve"> duration </w:t>
      </w:r>
      <w:r w:rsidR="006104B1" w:rsidRPr="006104B1">
        <w:rPr>
          <w:rFonts w:asciiTheme="majorBidi" w:hAnsiTheme="majorBidi" w:cstheme="majorBidi"/>
          <w:b/>
          <w:bCs/>
          <w:i/>
          <w:iCs/>
        </w:rPr>
        <w:t>of those changes</w:t>
      </w:r>
      <w:r w:rsidR="00392F1F" w:rsidRPr="006104B1">
        <w:rPr>
          <w:rFonts w:asciiTheme="majorBidi" w:hAnsiTheme="majorBidi" w:cstheme="majorBidi"/>
          <w:b/>
          <w:bCs/>
          <w:i/>
          <w:iCs/>
        </w:rPr>
        <w:t xml:space="preserve"> in the brain post-</w:t>
      </w:r>
      <w:proofErr w:type="spellStart"/>
      <w:r w:rsidR="00392F1F" w:rsidRPr="006104B1">
        <w:rPr>
          <w:rFonts w:asciiTheme="majorBidi" w:hAnsiTheme="majorBidi" w:cstheme="majorBidi"/>
          <w:b/>
          <w:bCs/>
          <w:i/>
          <w:iCs/>
        </w:rPr>
        <w:t>tDCS</w:t>
      </w:r>
      <w:proofErr w:type="spellEnd"/>
      <w:r w:rsidR="00392F1F" w:rsidRPr="006104B1">
        <w:rPr>
          <w:rFonts w:asciiTheme="majorBidi" w:hAnsiTheme="majorBidi" w:cstheme="majorBidi"/>
          <w:b/>
          <w:bCs/>
          <w:i/>
          <w:iCs/>
        </w:rPr>
        <w:t xml:space="preserve"> treatment</w:t>
      </w:r>
      <w:r w:rsidR="00E568DB" w:rsidRPr="006104B1">
        <w:rPr>
          <w:rFonts w:asciiTheme="majorBidi" w:hAnsiTheme="majorBidi" w:cstheme="majorBidi"/>
          <w:b/>
          <w:bCs/>
          <w:i/>
          <w:iCs/>
        </w:rPr>
        <w:t>.</w:t>
      </w:r>
      <w:r w:rsidR="000D5823" w:rsidRPr="00B12FA8">
        <w:rPr>
          <w:rFonts w:asciiTheme="majorBidi" w:hAnsiTheme="majorBidi" w:cstheme="majorBidi"/>
        </w:rPr>
        <w:t xml:space="preserve"> </w:t>
      </w:r>
      <w:r w:rsidR="00392F1F" w:rsidRPr="00B12FA8">
        <w:rPr>
          <w:rFonts w:asciiTheme="majorBidi" w:hAnsiTheme="majorBidi" w:cstheme="majorBidi"/>
        </w:rPr>
        <w:t>To this end, w</w:t>
      </w:r>
      <w:r w:rsidR="000D5823" w:rsidRPr="00B12FA8">
        <w:rPr>
          <w:rFonts w:asciiTheme="majorBidi" w:hAnsiTheme="majorBidi" w:cstheme="majorBidi"/>
        </w:rPr>
        <w:t xml:space="preserve">e will utilize </w:t>
      </w:r>
      <w:r w:rsidR="00352091" w:rsidRPr="00B12FA8">
        <w:rPr>
          <w:rFonts w:asciiTheme="majorBidi" w:hAnsiTheme="majorBidi" w:cstheme="majorBidi"/>
        </w:rPr>
        <w:t xml:space="preserve">high-throughput </w:t>
      </w:r>
      <w:r w:rsidR="00392F1F" w:rsidRPr="00B12FA8">
        <w:rPr>
          <w:rFonts w:asciiTheme="majorBidi" w:hAnsiTheme="majorBidi" w:cstheme="majorBidi"/>
        </w:rPr>
        <w:t xml:space="preserve">NMR </w:t>
      </w:r>
      <w:r w:rsidR="000D5823" w:rsidRPr="00B12FA8">
        <w:rPr>
          <w:rFonts w:asciiTheme="majorBidi" w:hAnsiTheme="majorBidi" w:cstheme="majorBidi"/>
        </w:rPr>
        <w:t xml:space="preserve">metabolomics to assess the effect of </w:t>
      </w:r>
      <w:proofErr w:type="spellStart"/>
      <w:r w:rsidR="000D5823" w:rsidRPr="00B12FA8">
        <w:rPr>
          <w:rFonts w:asciiTheme="majorBidi" w:hAnsiTheme="majorBidi" w:cstheme="majorBidi"/>
        </w:rPr>
        <w:t>tDCS</w:t>
      </w:r>
      <w:proofErr w:type="spellEnd"/>
      <w:r w:rsidR="000D5823" w:rsidRPr="00B12FA8">
        <w:rPr>
          <w:rFonts w:asciiTheme="majorBidi" w:hAnsiTheme="majorBidi" w:cstheme="majorBidi"/>
        </w:rPr>
        <w:t xml:space="preserve"> on brain metabolism</w:t>
      </w:r>
      <w:r w:rsidR="00715F7B" w:rsidRPr="00B12FA8">
        <w:rPr>
          <w:rFonts w:asciiTheme="majorBidi" w:hAnsiTheme="majorBidi" w:cstheme="majorBidi"/>
        </w:rPr>
        <w:t xml:space="preserve">. </w:t>
      </w:r>
      <w:r w:rsidR="000121FD" w:rsidRPr="00B12FA8">
        <w:rPr>
          <w:rFonts w:asciiTheme="majorBidi" w:hAnsiTheme="majorBidi" w:cstheme="majorBidi"/>
        </w:rPr>
        <w:t>This approach can measure the composition of metabolites, detect changes in the</w:t>
      </w:r>
      <w:r w:rsidR="00836EDF" w:rsidRPr="00B12FA8">
        <w:rPr>
          <w:rFonts w:asciiTheme="majorBidi" w:hAnsiTheme="majorBidi" w:cstheme="majorBidi"/>
        </w:rPr>
        <w:t xml:space="preserve"> levels and</w:t>
      </w:r>
      <w:r w:rsidR="000121FD" w:rsidRPr="00B12FA8">
        <w:rPr>
          <w:rFonts w:asciiTheme="majorBidi" w:hAnsiTheme="majorBidi" w:cstheme="majorBidi"/>
        </w:rPr>
        <w:t xml:space="preserve"> </w:t>
      </w:r>
      <w:r w:rsidR="009001CB" w:rsidRPr="00B12FA8">
        <w:rPr>
          <w:rFonts w:asciiTheme="majorBidi" w:hAnsiTheme="majorBidi" w:cstheme="majorBidi"/>
        </w:rPr>
        <w:t xml:space="preserve">state of </w:t>
      </w:r>
      <w:r w:rsidR="000121FD" w:rsidRPr="00B12FA8">
        <w:rPr>
          <w:rFonts w:asciiTheme="majorBidi" w:hAnsiTheme="majorBidi" w:cstheme="majorBidi"/>
        </w:rPr>
        <w:t>metabolite</w:t>
      </w:r>
      <w:r w:rsidR="00AD7D09" w:rsidRPr="00B12FA8">
        <w:rPr>
          <w:rFonts w:asciiTheme="majorBidi" w:hAnsiTheme="majorBidi" w:cstheme="majorBidi"/>
        </w:rPr>
        <w:t>s</w:t>
      </w:r>
      <w:r w:rsidR="009001CB" w:rsidRPr="00B12FA8">
        <w:rPr>
          <w:rFonts w:asciiTheme="majorBidi" w:hAnsiTheme="majorBidi" w:cstheme="majorBidi"/>
        </w:rPr>
        <w:t xml:space="preserve"> (phosphorylation, neutralization, etc</w:t>
      </w:r>
      <w:r w:rsidR="006104B1">
        <w:rPr>
          <w:rFonts w:asciiTheme="majorBidi" w:hAnsiTheme="majorBidi" w:cstheme="majorBidi"/>
        </w:rPr>
        <w:t>.</w:t>
      </w:r>
      <w:r w:rsidR="009001CB" w:rsidRPr="00B12FA8">
        <w:rPr>
          <w:rFonts w:asciiTheme="majorBidi" w:hAnsiTheme="majorBidi" w:cstheme="majorBidi"/>
        </w:rPr>
        <w:t>)</w:t>
      </w:r>
      <w:r w:rsidR="006104B1">
        <w:rPr>
          <w:rFonts w:asciiTheme="majorBidi" w:hAnsiTheme="majorBidi" w:cstheme="majorBidi"/>
        </w:rPr>
        <w:t>,</w:t>
      </w:r>
      <w:r w:rsidR="00AD7D09" w:rsidRPr="00B12FA8">
        <w:rPr>
          <w:rFonts w:asciiTheme="majorBidi" w:hAnsiTheme="majorBidi" w:cstheme="majorBidi"/>
        </w:rPr>
        <w:t xml:space="preserve"> </w:t>
      </w:r>
      <w:r w:rsidR="009001CB" w:rsidRPr="00B12FA8">
        <w:rPr>
          <w:rFonts w:asciiTheme="majorBidi" w:hAnsiTheme="majorBidi" w:cstheme="majorBidi"/>
        </w:rPr>
        <w:t>e.g.</w:t>
      </w:r>
      <w:r w:rsidR="006104B1">
        <w:rPr>
          <w:rFonts w:asciiTheme="majorBidi" w:hAnsiTheme="majorBidi" w:cstheme="majorBidi"/>
        </w:rPr>
        <w:t>,</w:t>
      </w:r>
      <w:r w:rsidR="009001CB" w:rsidRPr="00B12FA8">
        <w:rPr>
          <w:rFonts w:asciiTheme="majorBidi" w:hAnsiTheme="majorBidi" w:cstheme="majorBidi"/>
        </w:rPr>
        <w:t xml:space="preserve"> in</w:t>
      </w:r>
      <w:r w:rsidR="000121FD" w:rsidRPr="00B12FA8">
        <w:rPr>
          <w:rFonts w:asciiTheme="majorBidi" w:hAnsiTheme="majorBidi" w:cstheme="majorBidi"/>
        </w:rPr>
        <w:t xml:space="preserve"> energy</w:t>
      </w:r>
      <w:r w:rsidR="009E06DA">
        <w:rPr>
          <w:rFonts w:asciiTheme="majorBidi" w:hAnsiTheme="majorBidi" w:cstheme="majorBidi"/>
        </w:rPr>
        <w:t>-</w:t>
      </w:r>
      <w:r w:rsidR="00836EDF" w:rsidRPr="00B12FA8">
        <w:rPr>
          <w:rFonts w:asciiTheme="majorBidi" w:hAnsiTheme="majorBidi" w:cstheme="majorBidi"/>
        </w:rPr>
        <w:t>related metabolites</w:t>
      </w:r>
      <w:r w:rsidR="00AD7D09" w:rsidRPr="00B12FA8">
        <w:rPr>
          <w:rFonts w:asciiTheme="majorBidi" w:hAnsiTheme="majorBidi" w:cstheme="majorBidi"/>
        </w:rPr>
        <w:t>,</w:t>
      </w:r>
      <w:r w:rsidR="000121FD" w:rsidRPr="00B12FA8">
        <w:rPr>
          <w:rFonts w:asciiTheme="majorBidi" w:hAnsiTheme="majorBidi" w:cstheme="majorBidi"/>
        </w:rPr>
        <w:t xml:space="preserve"> and reflect the dynamics of neurotransmitter </w:t>
      </w:r>
      <w:r w:rsidR="00341A9B" w:rsidRPr="00B12FA8">
        <w:rPr>
          <w:rFonts w:asciiTheme="majorBidi" w:hAnsiTheme="majorBidi" w:cstheme="majorBidi"/>
        </w:rPr>
        <w:t>activity</w:t>
      </w:r>
      <w:r w:rsidR="00E268EF"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{"citationItems":[{"id":"ITEM-1","itemData":{"DOI":"10.3389/fnene.2013.00009","ISSN":"1662-6427","PMID":"24367329","abstract":"13C nuclear magnetic resonance (NMR) spectroscopy is the method of choice for studying brain metabolism. Indeed, the most convincing data obtained to decipher metabolic exchanges between neurons and astrocytes have been obtained using this technique, thus illustrating its power. It may be difficult for non-specialists, however, to grasp the full implication of data presented in articles written by spectroscopists. The aim of the review is, therefore, to provide a fundamental understanding of this topic to facilitate the non-specialists in their reading of this literature. In the first part of this review, we present the metabolic fate of 13C-labeled substrates in the brain in a detailed way, including an overview of some general neurochemical principles. We also address and compare the various spectroscopic strategies that can be used to study brain metabolism. Then, we provide an overview of the 13C NMR experiments performed to analyze both intracellular and intercellular metabolic fluxes. More particularly, the role of lactate as a potential energy substrate for neurons is discussed in the light of 13C NMR data. Finally, new perspectives and applications offered by 13C hyperpolarization are described. © 2013 Rodrigues, Valette and Bouzier-Sore. This is an open-access article distributed under the terms of the Creative Commons Attribution License (CC BY).","author":[{"dropping-particle":"","family":"Rodrigues","given":"Tiago B.","non-dropping-particle":"","parse-names":false,"suffix":""},{"dropping-particle":"","family":"Valette","given":"Julien","non-dropping-particle":"","parse-names":false,"suffix":""},{"dropping-particle":"","family":"Bouzier-Sore","given":"Anne-Karine","non-dropping-particle":"","parse-names":false,"suffix":""}],"container-title":"Frontiers in Neuroenergetics","id":"ITEM-1","issue":"DEC","issued":{"date-parts":[["2013"]]},"publisher":"Frontiers Media SA","title":"13C NMR spectroscopy applications to brain energy metabolism","type":"article-journal","volume":"5"},"uris":["http://www.mendeley.com/documents/?uuid=fb769230-d1f8-36ce-84ee-6de8b401cd6a"]}],"mendeley":{"formattedCitation":"&lt;sup&gt;88&lt;/sup&gt;","plainTextFormattedCitation":"88","previouslyFormattedCitation":"&lt;sup&gt;88&lt;/sup&gt;"},"properties":{"noteIndex":0},"schema":"https://github.com/citation-style-language/schema/raw/master/csl-citation.json"}</w:instrText>
      </w:r>
      <w:r w:rsidR="00E268EF"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88</w:t>
      </w:r>
      <w:r w:rsidR="00E268EF" w:rsidRPr="00B12FA8">
        <w:rPr>
          <w:rFonts w:asciiTheme="majorBidi" w:hAnsiTheme="majorBidi" w:cstheme="majorBidi"/>
        </w:rPr>
        <w:fldChar w:fldCharType="end"/>
      </w:r>
      <w:r w:rsidR="000121FD" w:rsidRPr="00B12FA8">
        <w:rPr>
          <w:rFonts w:asciiTheme="majorBidi" w:hAnsiTheme="majorBidi" w:cstheme="majorBidi"/>
        </w:rPr>
        <w:t xml:space="preserve">. </w:t>
      </w:r>
      <w:r w:rsidR="001626AD" w:rsidRPr="00B12FA8">
        <w:rPr>
          <w:rFonts w:asciiTheme="majorBidi" w:hAnsiTheme="majorBidi" w:cstheme="majorBidi"/>
        </w:rPr>
        <w:t>T</w:t>
      </w:r>
      <w:r w:rsidR="000121FD" w:rsidRPr="00B12FA8">
        <w:rPr>
          <w:rFonts w:asciiTheme="majorBidi" w:hAnsiTheme="majorBidi" w:cstheme="majorBidi"/>
        </w:rPr>
        <w:t>his metabolomic ap</w:t>
      </w:r>
      <w:r w:rsidR="00341A9B" w:rsidRPr="00B12FA8">
        <w:rPr>
          <w:rFonts w:asciiTheme="majorBidi" w:hAnsiTheme="majorBidi" w:cstheme="majorBidi"/>
        </w:rPr>
        <w:t>p</w:t>
      </w:r>
      <w:r w:rsidR="000121FD" w:rsidRPr="00B12FA8">
        <w:rPr>
          <w:rFonts w:asciiTheme="majorBidi" w:hAnsiTheme="majorBidi" w:cstheme="majorBidi"/>
        </w:rPr>
        <w:t>ro</w:t>
      </w:r>
      <w:r w:rsidR="00341A9B" w:rsidRPr="00B12FA8">
        <w:rPr>
          <w:rFonts w:asciiTheme="majorBidi" w:hAnsiTheme="majorBidi" w:cstheme="majorBidi"/>
        </w:rPr>
        <w:t>a</w:t>
      </w:r>
      <w:r w:rsidR="000121FD" w:rsidRPr="00B12FA8">
        <w:rPr>
          <w:rFonts w:asciiTheme="majorBidi" w:hAnsiTheme="majorBidi" w:cstheme="majorBidi"/>
        </w:rPr>
        <w:t xml:space="preserve">ch will allow us to study the dynamics of </w:t>
      </w:r>
      <w:r w:rsidR="0069522B" w:rsidRPr="00B12FA8">
        <w:rPr>
          <w:rFonts w:asciiTheme="majorBidi" w:hAnsiTheme="majorBidi" w:cstheme="majorBidi"/>
        </w:rPr>
        <w:t xml:space="preserve">different </w:t>
      </w:r>
      <w:r w:rsidR="000121FD" w:rsidRPr="00B12FA8">
        <w:rPr>
          <w:rFonts w:asciiTheme="majorBidi" w:hAnsiTheme="majorBidi" w:cstheme="majorBidi"/>
        </w:rPr>
        <w:t>metaboli</w:t>
      </w:r>
      <w:r w:rsidR="0069522B" w:rsidRPr="00B12FA8">
        <w:rPr>
          <w:rFonts w:asciiTheme="majorBidi" w:hAnsiTheme="majorBidi" w:cstheme="majorBidi"/>
        </w:rPr>
        <w:t>te</w:t>
      </w:r>
      <w:r w:rsidR="000121FD" w:rsidRPr="00B12FA8">
        <w:rPr>
          <w:rFonts w:asciiTheme="majorBidi" w:hAnsiTheme="majorBidi" w:cstheme="majorBidi"/>
        </w:rPr>
        <w:t xml:space="preserve">s, which may play a crucial role in brain function and </w:t>
      </w:r>
      <w:r w:rsidR="00AD7D09" w:rsidRPr="00B12FA8">
        <w:rPr>
          <w:rFonts w:asciiTheme="majorBidi" w:hAnsiTheme="majorBidi" w:cstheme="majorBidi"/>
        </w:rPr>
        <w:t xml:space="preserve">be </w:t>
      </w:r>
      <w:r w:rsidR="000121FD" w:rsidRPr="00B12FA8">
        <w:rPr>
          <w:rFonts w:asciiTheme="majorBidi" w:hAnsiTheme="majorBidi" w:cstheme="majorBidi"/>
        </w:rPr>
        <w:t>af</w:t>
      </w:r>
      <w:r w:rsidR="00341A9B" w:rsidRPr="00B12FA8">
        <w:rPr>
          <w:rFonts w:asciiTheme="majorBidi" w:hAnsiTheme="majorBidi" w:cstheme="majorBidi"/>
        </w:rPr>
        <w:t>f</w:t>
      </w:r>
      <w:r w:rsidR="000121FD" w:rsidRPr="00B12FA8">
        <w:rPr>
          <w:rFonts w:asciiTheme="majorBidi" w:hAnsiTheme="majorBidi" w:cstheme="majorBidi"/>
        </w:rPr>
        <w:t>e</w:t>
      </w:r>
      <w:r w:rsidR="00341A9B" w:rsidRPr="00B12FA8">
        <w:rPr>
          <w:rFonts w:asciiTheme="majorBidi" w:hAnsiTheme="majorBidi" w:cstheme="majorBidi"/>
        </w:rPr>
        <w:t>c</w:t>
      </w:r>
      <w:r w:rsidR="000121FD" w:rsidRPr="00B12FA8">
        <w:rPr>
          <w:rFonts w:asciiTheme="majorBidi" w:hAnsiTheme="majorBidi" w:cstheme="majorBidi"/>
        </w:rPr>
        <w:t>ted b</w:t>
      </w:r>
      <w:r w:rsidR="00341A9B" w:rsidRPr="00B12FA8">
        <w:rPr>
          <w:rFonts w:asciiTheme="majorBidi" w:hAnsiTheme="majorBidi" w:cstheme="majorBidi"/>
        </w:rPr>
        <w:t>y</w:t>
      </w:r>
      <w:r w:rsidR="000121FD" w:rsidRPr="00B12FA8">
        <w:rPr>
          <w:rFonts w:asciiTheme="majorBidi" w:hAnsiTheme="majorBidi" w:cstheme="majorBidi"/>
        </w:rPr>
        <w:t xml:space="preserve"> </w:t>
      </w:r>
      <w:proofErr w:type="spellStart"/>
      <w:r w:rsidR="000121FD" w:rsidRPr="00B12FA8">
        <w:rPr>
          <w:rFonts w:asciiTheme="majorBidi" w:hAnsiTheme="majorBidi" w:cstheme="majorBidi"/>
        </w:rPr>
        <w:t>tDCS</w:t>
      </w:r>
      <w:proofErr w:type="spellEnd"/>
      <w:r w:rsidR="000121FD" w:rsidRPr="00B12FA8">
        <w:rPr>
          <w:rFonts w:asciiTheme="majorBidi" w:hAnsiTheme="majorBidi" w:cstheme="majorBidi"/>
        </w:rPr>
        <w:t xml:space="preserve"> tr</w:t>
      </w:r>
      <w:r w:rsidR="00341A9B" w:rsidRPr="00B12FA8">
        <w:rPr>
          <w:rFonts w:asciiTheme="majorBidi" w:hAnsiTheme="majorBidi" w:cstheme="majorBidi"/>
        </w:rPr>
        <w:t>e</w:t>
      </w:r>
      <w:r w:rsidR="000121FD" w:rsidRPr="00B12FA8">
        <w:rPr>
          <w:rFonts w:asciiTheme="majorBidi" w:hAnsiTheme="majorBidi" w:cstheme="majorBidi"/>
        </w:rPr>
        <w:t>atment.</w:t>
      </w:r>
      <w:r w:rsidR="00392F1F" w:rsidRPr="00B12FA8">
        <w:rPr>
          <w:rFonts w:asciiTheme="majorBidi" w:hAnsiTheme="majorBidi" w:cstheme="majorBidi"/>
        </w:rPr>
        <w:t xml:space="preserve"> </w:t>
      </w:r>
      <w:bookmarkStart w:id="8" w:name="_Hlk124423510"/>
      <w:r w:rsidR="00392F1F" w:rsidRPr="00B12FA8">
        <w:rPr>
          <w:rFonts w:asciiTheme="majorBidi" w:hAnsiTheme="majorBidi" w:cstheme="majorBidi"/>
        </w:rPr>
        <w:t xml:space="preserve">NMR </w:t>
      </w:r>
      <w:bookmarkEnd w:id="8"/>
      <w:r w:rsidR="00392F1F" w:rsidRPr="00B12FA8">
        <w:rPr>
          <w:rFonts w:asciiTheme="majorBidi" w:hAnsiTheme="majorBidi" w:cstheme="majorBidi"/>
        </w:rPr>
        <w:t>spectroscopy is a powerful analytical technique used to study the structure and dynamics of molecules. NMR spectroscopy can also identify biomarkers for brain disorders, such as Alzheimer</w:t>
      </w:r>
      <w:r w:rsidR="009E06DA">
        <w:rPr>
          <w:rFonts w:asciiTheme="majorBidi" w:hAnsiTheme="majorBidi" w:cstheme="majorBidi"/>
        </w:rPr>
        <w:t>’</w:t>
      </w:r>
      <w:r w:rsidR="00392F1F" w:rsidRPr="00B12FA8">
        <w:rPr>
          <w:rFonts w:asciiTheme="majorBidi" w:hAnsiTheme="majorBidi" w:cstheme="majorBidi"/>
        </w:rPr>
        <w:t>s disease, Parkinson</w:t>
      </w:r>
      <w:r w:rsidR="009E06DA">
        <w:rPr>
          <w:rFonts w:asciiTheme="majorBidi" w:hAnsiTheme="majorBidi" w:cstheme="majorBidi"/>
        </w:rPr>
        <w:t>’</w:t>
      </w:r>
      <w:r w:rsidR="00392F1F" w:rsidRPr="00B12FA8">
        <w:rPr>
          <w:rFonts w:asciiTheme="majorBidi" w:hAnsiTheme="majorBidi" w:cstheme="majorBidi"/>
        </w:rPr>
        <w:t>s disease, and traumatic brain injury. For example, in Parkinson</w:t>
      </w:r>
      <w:r w:rsidR="009E06DA">
        <w:rPr>
          <w:rFonts w:asciiTheme="majorBidi" w:hAnsiTheme="majorBidi" w:cstheme="majorBidi"/>
        </w:rPr>
        <w:t>’</w:t>
      </w:r>
      <w:r w:rsidR="00392F1F" w:rsidRPr="00B12FA8">
        <w:rPr>
          <w:rFonts w:asciiTheme="majorBidi" w:hAnsiTheme="majorBidi" w:cstheme="majorBidi"/>
        </w:rPr>
        <w:t xml:space="preserve">s disease, NMR spectroscopy has been used to measure the levels of brain metabolites such as GABA, Glutamate, and Glutamine, which can be used as biomarkers to monitor the disease progression and to evaluate the effectiveness of treatment </w:t>
      </w:r>
      <w:r w:rsidR="00392F1F"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{"citationItems":[{"id":"ITEM-1","itemData":{"DOI":"10.3390/METABO7030042","ISSN":"22181989","PMID":"28800113","abstract":"Biomarker research in Parkinson’s disease (PD) has long been dominated by measuring dopamine metabolites or alpha-synuclein in cerebrospinal fluid. However, these markers do not allow early detection, precise prognosis or monitoring of disease progression. Moreover, PD is now considered a multifactorial disease, which requires a more precise diagnosis and personalized medication to obtain optimal outcome. In recent years, advanced metabolite profiling of body fluids like serum/plasma, CSF or urine, known as “metabolomics”, has become a powerful and promising tool to identify novel biomarkers or “metabolic fingerprints” characteristic for PD at various stages of disease. In this review, we discuss metabolite profiling in clinical and experimental PD. We briefly review the use of different analytical platforms and methodologies and discuss the obtained results, the involved metabolic pathways, the potential as a biomarker and the significance of understanding the pathophysiology of PD. Many of the studies report alterations in alanine, branched-chain amino acids and fatty acid metabolism, all pointing to mitochondrial dysfunction in PD. Aromatic amino acids (phenylalanine, tyrosine, tryptophan) and purine metabolism (uric acid) are also altered in most metabolite profiling studies in PD.","author":[{"dropping-particle":"","family":"Havelund","given":"Jesper F.","non-dropping-particle":"","parse-names":false,"suffix":""},{"dropping-particle":"","family":"Heegaard","given":"Niels H.H.","non-dropping-particle":"","parse-names":false,"suffix":""},{"dropping-particle":"","family":"Færgeman","given":"Nils J.K.","non-dropping-particle":"","parse-names":false,"suffix":""},{"dropping-particle":"","family":"Gramsbergen","given":"Jan Bert","non-dropping-particle":"","parse-names":false,"suffix":""}],"container-title":"Metabolites","id":"ITEM-1","issue":"3","issued":{"date-parts":[["2017","8","11"]]},"publisher":"Multidisciplinary Digital Publishing Institute  (MDPI)","title":"Biomarker Research in Parkinson’s Disease Using Metabolite Profiling","type":"article-journal","volume":"7"},"uris":["http://www.mendeley.com/documents/?uuid=f53953d5-2818-344b-93c9-48843dc81b07"]},{"id":"ITEM-2","itemData":{"DOI":"10.1016/J.MCN.2019.06.003","ISSN":"1044-7431","PMID":"31200101","abstract":"Parkinson's disease is the second most common neurodegenerative disease caused by degeneration of dopamine neurons in the substantia nigra. The origin and causes of dopamine neurodegeneration in Parkinson's disease are not well understood but oxidative stress may play an important role in its onset. Much effort has been dedicated to find biomarkers indicative of oxidative stress and neurodegenerative processes in parkinsonian brains. By using proton nuclear magnetic resonance (1H NMR) to identify and quantify key metabolites, it is now possible to elucidate the metabolic pathways affected by pathological conditions like neurodegeneration. The metabolic disturbances in the 6-hydroxydopamine (6-OHDA) hemiparkinsonian rat model were monitored and the nature and size of these metabolic alterations were analyzed. The results indicate that a unilateral injection of 6-OHDA into the striatum causes metabolic changes that not only affect the injected hemisphere but also the contralateral, non-lesioned side. We could clearly identify specific metabolic pathways that were affected, which were mostly related with oxidative stress and neurotransmission. In addition, a partial metabolic recovery by carrying out an antioxidant treatment with N-acetylcysteine (NAC) was observable.","author":[{"dropping-particle":"","family":"Virel","given":"Ana","non-dropping-particle":"","parse-names":false,"suffix":""},{"dropping-particle":"","family":"Dudka","given":"Ilona","non-dropping-particle":"","parse-names":false,"suffix":""},{"dropping-particle":"","family":"Laterveer","given":"Rutger","non-dropping-particle":"","parse-names":false,"suffix":""},{"dropping-particle":"","family":"Bjerkén","given":"Sara af","non-dropping-particle":"","parse-names":false,"suffix":""}],"container-title":"Molecular and Cellular Neuroscience","id":"ITEM-2","issued":{"date-parts":[["2019","7","1"]]},"page":"131-139","publisher":"Academic Press","title":"1H NMR profiling of the 6-OHDA parkinsonian rat brain reveals metabolic alterations and signs of recovery after N-acetylcysteine treatment","type":"article-journal","volume":"98"},"uris":["http://www.mendeley.com/documents/?uuid=077f47ae-9370-4c14-b6dc-73b4b4345e6b"]}],"mendeley":{"formattedCitation":"&lt;sup&gt;89,90&lt;/sup&gt;","plainTextFormattedCitation":"89,90","previouslyFormattedCitation":"&lt;sup&gt;89,90&lt;/sup&gt;"},"properties":{"noteIndex":0},"schema":"https://github.com/citation-style-language/schema/raw/master/csl-citation.json"}</w:instrText>
      </w:r>
      <w:r w:rsidR="00392F1F"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89,90</w:t>
      </w:r>
      <w:r w:rsidR="00392F1F" w:rsidRPr="00B12FA8">
        <w:rPr>
          <w:rFonts w:asciiTheme="majorBidi" w:hAnsiTheme="majorBidi" w:cstheme="majorBidi"/>
        </w:rPr>
        <w:fldChar w:fldCharType="end"/>
      </w:r>
      <w:r w:rsidR="00392F1F" w:rsidRPr="00B12FA8">
        <w:rPr>
          <w:rFonts w:asciiTheme="majorBidi" w:hAnsiTheme="majorBidi" w:cstheme="majorBidi"/>
        </w:rPr>
        <w:t xml:space="preserve">. </w:t>
      </w:r>
    </w:p>
    <w:p w14:paraId="179826E9" w14:textId="31DE4275" w:rsidR="00392F1F" w:rsidRPr="00B12FA8" w:rsidRDefault="00392F1F" w:rsidP="00C67B64">
      <w:pPr>
        <w:bidi w:val="0"/>
        <w:spacing w:before="20" w:afterLines="20" w:after="48" w:line="240" w:lineRule="auto"/>
        <w:ind w:firstLine="720"/>
        <w:contextualSpacing/>
        <w:jc w:val="both"/>
        <w:rPr>
          <w:rFonts w:asciiTheme="majorBidi" w:hAnsiTheme="majorBidi" w:cstheme="majorBidi"/>
        </w:rPr>
      </w:pPr>
      <w:r w:rsidRPr="00B12FA8">
        <w:rPr>
          <w:rFonts w:asciiTheme="majorBidi" w:hAnsiTheme="majorBidi" w:cstheme="majorBidi"/>
        </w:rPr>
        <w:t>Taurine is a metabolite that plays a pivotal role in mitochondrial pH buffering</w:t>
      </w:r>
      <w:r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{"citationItems":[{"id":"ITEM-1","itemData":{"DOI":"10.1007/978-3-319-15126-7_30/TABLES/1","ISSN":"22148019","PMID":"25833512","abstract":"Mitochondrial oxidative function is today widely accepted as being based on a pH gradient and a membrane potential across the mitochondrial inner-membrane. As a consequence of the pH gradient the mitochondrial matrix is a slightly alkaline compartment that can be...","author":[{"dropping-particle":"","family":"Hansen","given":"Svend Høime","non-dropping-particle":"","parse-names":false,"suffix":""},{"dropping-particle":"","family":"Birkedal","given":"Henrik","non-dropping-particle":"","parse-names":false,"suffix":""},{"dropping-particle":"","family":"Wibrand","given":"Flemming","non-dropping-particle":"","parse-names":false,"suffix":""},{"dropping-particle":"","family":"Grunnet","given":"Niels","non-dropping-particle":"","parse-names":false,"suffix":""}],"container-title":"Advances in Experimental Medicine and Biology","id":"ITEM-1","issued":{"date-parts":[["2015"]]},"page":"397-405","publisher":"Springer New York LLC","title":"Taurine and regulation of mitochondrial metabolism","type":"article-journal","volume":"803"},"uris":["http://www.mendeley.com/documents/?uuid=ac654aee-6edd-3e04-a84f-311de89481ee"]},{"id":"ITEM-2","itemData":{"DOI":"10.1186/1423-0127-17-S1-S23","ISSN":"1423-0127","PMID":"20804598","abstract":"The mitochondrial pH gradient across the inner-membrane is stabilised by buffering of the matrix. A low-molecular mass buffer compound has to be localised in the matrix to maintain its alkaline pH value. Taurine is found ubiquitously in animal cells with concentrations in the millimolar range and its pKa value is determined to 9.0 (25 degrees C) and 8.6 (37 degrees C), respectively. Localisation of such a low-molecular buffer in the mitochondrial matrix, transforms the matrix into a biochemical reaction chamber for the important matrix-localised enzyme systems. Three acyl-CoA dehydrogenase enzymes, which are pivotal for beta-oxidation of fatty acids, are demonstrated to have optimal activity in a taurine buffer. By application of the model presented, taurine depletion caused by hyperglycemia could provide a link between mitochondrial dysfunction and diabetes.","author":[{"dropping-particle":"","family":"Hansen","given":"Svend Høime","non-dropping-particle":"","parse-names":false,"suffix":""},{"dropping-particle":"","family":"Andersen","given":"Mogens Larsen","non-dropping-particle":"","parse-names":false,"suffix":""},{"dropping-particle":"","family":"Cornett","given":"Claus","non-dropping-particle":"","parse-names":false,"suffix":""},{"dropping-particle":"","family":"Gradinaru","given":"Robert","non-dropping-particle":"","parse-names":false,"suffix":""},{"dropping-particle":"","family":"Grunnet","given":"Niels","non-dropping-particle":"","parse-names":false,"suffix":""}],"container-title":"Journal of biomedical science","id":"ITEM-2","issue":"SUPPL. 1","issued":{"date-parts":[["2010","8","24"]]},"page":"S23","publisher":"BioMed Central","title":"A role for taurine in mitochondrial function.","type":"article-journal","volume":"17 Suppl 1"},"uris":["http://www.mendeley.com/documents/?uuid=b3b9b44b-bd8e-3269-8a16-33d7fb2c4f8a"]}],"mendeley":{"formattedCitation":"&lt;sup&gt;91,92&lt;/sup&gt;","plainTextFormattedCitation":"91,92","previouslyFormattedCitation":"&lt;sup&gt;91,92&lt;/sup&gt;"},"properties":{"noteIndex":0},"schema":"https://github.com/citation-style-language/schema/raw/master/csl-citation.json"}</w:instrText>
      </w:r>
      <w:r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91,92</w:t>
      </w:r>
      <w:r w:rsidRPr="00B12FA8">
        <w:rPr>
          <w:rFonts w:asciiTheme="majorBidi" w:hAnsiTheme="majorBidi" w:cstheme="majorBidi"/>
        </w:rPr>
        <w:fldChar w:fldCharType="end"/>
      </w:r>
      <w:r w:rsidRPr="00B12FA8">
        <w:rPr>
          <w:rFonts w:asciiTheme="majorBidi" w:hAnsiTheme="majorBidi" w:cstheme="majorBidi"/>
        </w:rPr>
        <w:t xml:space="preserve">. </w:t>
      </w:r>
      <w:r w:rsidR="00D15F69" w:rsidRPr="00B12FA8">
        <w:rPr>
          <w:rFonts w:asciiTheme="majorBidi" w:eastAsia="+mn-ea" w:hAnsiTheme="majorBidi" w:cstheme="majorBidi"/>
          <w:color w:val="000000"/>
          <w:kern w:val="24"/>
        </w:rPr>
        <w:t xml:space="preserve">Taurine </w:t>
      </w:r>
      <w:r w:rsidRPr="00B12FA8">
        <w:rPr>
          <w:rFonts w:asciiTheme="majorBidi" w:hAnsiTheme="majorBidi" w:cstheme="majorBidi"/>
        </w:rPr>
        <w:t xml:space="preserve">exhibits resolvable signals in the </w:t>
      </w:r>
      <w:r w:rsidRPr="00B12FA8">
        <w:rPr>
          <w:rFonts w:asciiTheme="majorBidi" w:hAnsiTheme="majorBidi" w:cstheme="majorBidi"/>
          <w:vertAlign w:val="superscript"/>
        </w:rPr>
        <w:t>1</w:t>
      </w:r>
      <w:r w:rsidRPr="00B12FA8">
        <w:rPr>
          <w:rFonts w:asciiTheme="majorBidi" w:hAnsiTheme="majorBidi" w:cstheme="majorBidi"/>
        </w:rPr>
        <w:t xml:space="preserve">H NMR spectrum that </w:t>
      </w:r>
      <w:r w:rsidR="00D15F69" w:rsidRPr="00B12FA8">
        <w:rPr>
          <w:rFonts w:asciiTheme="majorBidi" w:hAnsiTheme="majorBidi" w:cstheme="majorBidi"/>
        </w:rPr>
        <w:t>shift</w:t>
      </w:r>
      <w:r w:rsidRPr="00B12FA8">
        <w:rPr>
          <w:rFonts w:asciiTheme="majorBidi" w:hAnsiTheme="majorBidi" w:cstheme="majorBidi"/>
        </w:rPr>
        <w:t xml:space="preserve"> in frequency </w:t>
      </w:r>
      <w:r w:rsidR="00D15F69" w:rsidRPr="00B12FA8">
        <w:rPr>
          <w:rFonts w:asciiTheme="majorBidi" w:hAnsiTheme="majorBidi" w:cstheme="majorBidi"/>
        </w:rPr>
        <w:t>in correlation to mitochondrial</w:t>
      </w:r>
      <w:r w:rsidRPr="00B12FA8">
        <w:rPr>
          <w:rFonts w:asciiTheme="majorBidi" w:hAnsiTheme="majorBidi" w:cstheme="majorBidi"/>
        </w:rPr>
        <w:t xml:space="preserve"> pH</w:t>
      </w:r>
      <w:r w:rsidR="00D15F69" w:rsidRPr="00B12FA8">
        <w:rPr>
          <w:rFonts w:asciiTheme="majorBidi" w:hAnsiTheme="majorBidi" w:cstheme="majorBidi"/>
        </w:rPr>
        <w:t xml:space="preserve"> changes</w:t>
      </w:r>
      <w:r w:rsidRPr="00B12FA8">
        <w:rPr>
          <w:rFonts w:asciiTheme="majorBidi" w:hAnsiTheme="majorBidi" w:cstheme="majorBidi"/>
        </w:rPr>
        <w:t xml:space="preserve">. </w:t>
      </w:r>
      <w:r w:rsidR="00D15F69" w:rsidRPr="00B12FA8">
        <w:rPr>
          <w:rFonts w:asciiTheme="majorBidi" w:hAnsiTheme="majorBidi" w:cstheme="majorBidi"/>
        </w:rPr>
        <w:t xml:space="preserve">The extent of the Taurine shift non-linearly correlates to the pH change </w:t>
      </w:r>
      <w:r w:rsidR="00ED4DB9">
        <w:rPr>
          <w:rFonts w:asciiTheme="majorBidi" w:hAnsiTheme="majorBidi" w:cstheme="majorBidi"/>
        </w:rPr>
        <w:fldChar w:fldCharType="begin" w:fldLock="1"/>
      </w:r>
      <w:r w:rsidR="006104B1">
        <w:rPr>
          <w:rFonts w:asciiTheme="majorBidi" w:hAnsiTheme="majorBidi" w:cstheme="majorBidi"/>
        </w:rPr>
        <w:instrText>ADDIN CSL_CITATION {"citationItems":[{"id":"ITEM-1","itemData":{"DOI":"10.1186/1423-0127-17-S1-S23","ISSN":"1423-0127","PMID":"20804598","abstract":"The mitochondrial pH gradient across the inner-membrane is stabilised by buffering of the matrix. A low-molecular mass buffer compound has to be localised in the matrix to maintain its alkaline pH value. Taurine is found ubiquitously in animal cells with concentrations in the millimolar range and its pKa value is determined to 9.0 (25 degrees C) and 8.6 (37 degrees C), respectively. Localisation of such a low-molecular buffer in the mitochondrial matrix, transforms the matrix into a biochemical reaction chamber for the important matrix-localised enzyme systems. Three acyl-CoA dehydrogenase enzymes, which are pivotal for beta-oxidation of fatty acids, are demonstrated to have optimal activity in a taurine buffer. By application of the model presented, taurine depletion caused by hyperglycemia could provide a link between mitochondrial dysfunction and diabetes.","author":[{"dropping-particle":"","family":"Hansen","given":"Svend Høime","non-dropping-particle":"","parse-names":false,"suffix":""},{"dropping-particle":"","family":"Andersen","given":"Mogens Larsen","non-dropping-particle":"","parse-names":false,"suffix":""},{"dropping-particle":"","family":"Cornett","given":"Claus","non-dropping-particle":"","parse-names":false,"suffix":""},{"dropping-particle":"","family":"Gradinaru","given":"Robert","non-dropping-particle":"","parse-names":false,"suffix":""},{"dropping-particle":"","family":"Grunnet","given":"Niels","non-dropping-particle":"","parse-names":false,"suffix":""}],"container-title":"Journal of biomedical science","id":"ITEM-1","issue":"SUPPL. 1","issued":{"date-parts":[["2010","8","24"]]},"page":"S23","publisher":"BioMed Central","title":"A role for taurine in mitochondrial function.","type":"article-journal","volume":"17 Suppl 1"},"uris":["http://www.mendeley.com/documents/?uuid=b3b9b44b-bd8e-3269-8a16-33d7fb2c4f8a"]}],"mendeley":{"formattedCitation":"&lt;sup&gt;92&lt;/sup&gt;","plainTextFormattedCitation":"92","previouslyFormattedCitation":"&lt;sup&gt;92&lt;/sup&gt;"},"properties":{"noteIndex":0},"schema":"https://github.com/citation-style-language/schema/raw/master/csl-citation.json"}</w:instrText>
      </w:r>
      <w:r w:rsidR="00ED4DB9">
        <w:rPr>
          <w:rFonts w:asciiTheme="majorBidi" w:hAnsiTheme="majorBidi" w:cstheme="majorBidi"/>
        </w:rPr>
        <w:fldChar w:fldCharType="separate"/>
      </w:r>
      <w:r w:rsidR="006104B1" w:rsidRPr="006104B1">
        <w:rPr>
          <w:rFonts w:asciiTheme="majorBidi" w:hAnsiTheme="majorBidi" w:cstheme="majorBidi"/>
          <w:noProof/>
          <w:vertAlign w:val="superscript"/>
        </w:rPr>
        <w:t>92</w:t>
      </w:r>
      <w:r w:rsidR="00ED4DB9">
        <w:rPr>
          <w:rFonts w:asciiTheme="majorBidi" w:hAnsiTheme="majorBidi" w:cstheme="majorBidi"/>
        </w:rPr>
        <w:fldChar w:fldCharType="end"/>
      </w:r>
      <w:r w:rsidR="00D15F69" w:rsidRPr="00B12FA8">
        <w:rPr>
          <w:rFonts w:asciiTheme="majorBidi" w:hAnsiTheme="majorBidi" w:cstheme="majorBidi"/>
        </w:rPr>
        <w:t xml:space="preserve">. </w:t>
      </w:r>
      <w:r w:rsidRPr="00B12FA8">
        <w:rPr>
          <w:rFonts w:asciiTheme="majorBidi" w:hAnsiTheme="majorBidi" w:cstheme="majorBidi"/>
        </w:rPr>
        <w:t xml:space="preserve">Spectral analysis of </w:t>
      </w:r>
      <w:proofErr w:type="spellStart"/>
      <w:r w:rsidRPr="00B12FA8">
        <w:rPr>
          <w:rFonts w:asciiTheme="majorBidi" w:hAnsiTheme="majorBidi" w:cstheme="majorBidi"/>
        </w:rPr>
        <w:t>tDCS</w:t>
      </w:r>
      <w:proofErr w:type="spellEnd"/>
      <w:r w:rsidRPr="00B12FA8">
        <w:rPr>
          <w:rFonts w:asciiTheme="majorBidi" w:hAnsiTheme="majorBidi" w:cstheme="majorBidi"/>
        </w:rPr>
        <w:t xml:space="preserve">-treated mice vs. sham mice reveals shifts </w:t>
      </w:r>
      <w:r w:rsidR="008D102D" w:rsidRPr="00B12FA8">
        <w:rPr>
          <w:rFonts w:asciiTheme="majorBidi" w:hAnsiTheme="majorBidi" w:cstheme="majorBidi"/>
        </w:rPr>
        <w:t xml:space="preserve">of </w:t>
      </w:r>
      <w:r w:rsidRPr="00B12FA8">
        <w:rPr>
          <w:rFonts w:asciiTheme="majorBidi" w:hAnsiTheme="majorBidi" w:cstheme="majorBidi"/>
        </w:rPr>
        <w:t>taurine line</w:t>
      </w:r>
      <w:r w:rsidR="008D102D" w:rsidRPr="00B12FA8">
        <w:rPr>
          <w:rFonts w:asciiTheme="majorBidi" w:hAnsiTheme="majorBidi" w:cstheme="majorBidi"/>
        </w:rPr>
        <w:t>s</w:t>
      </w:r>
      <w:r w:rsidRPr="00B12FA8">
        <w:rPr>
          <w:rFonts w:asciiTheme="majorBidi" w:hAnsiTheme="majorBidi" w:cstheme="majorBidi"/>
        </w:rPr>
        <w:t xml:space="preserve"> upfield for both AS and WT littermates, pointing to hippocampal pH increases accompanying anodal </w:t>
      </w:r>
      <w:proofErr w:type="spellStart"/>
      <w:r w:rsidRPr="00B12FA8">
        <w:rPr>
          <w:rFonts w:asciiTheme="majorBidi" w:hAnsiTheme="majorBidi" w:cstheme="majorBidi"/>
        </w:rPr>
        <w:t>tDCS</w:t>
      </w:r>
      <w:proofErr w:type="spellEnd"/>
      <w:r w:rsidRPr="00B12FA8">
        <w:rPr>
          <w:rFonts w:asciiTheme="majorBidi" w:hAnsiTheme="majorBidi" w:cstheme="majorBidi"/>
        </w:rPr>
        <w:t xml:space="preserve"> (Fig. 4). Interestingly, altered brain pH is correlated with various neurodevelopmental disorders such as schizophrenia, bipolar disorder, and autism spectrum disorders to the extent that it is also considered as an endophenotype</w:t>
      </w:r>
      <w:r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{"citationItems":[{"id":"ITEM-1","itemData":{"DOI":"10.1038/s41467-017-02716-5","ISSN":"2041-1723","PMID":"29362376","abstract":"Psychoactive compounds such as chloroquine and amphetamine act by dissipating the pH gradient across intracellular membranes, but the physiological mechanisms that normally regulate organelle pH remain poorly understood. Interestingly, recent human genetic studies have implicated the endosomal Na+/H+ exchanger NHE9 in both autism spectrum disorders (ASD) and attention deficit hyperactivity disorder&amp;nbsp;(ADHD). Plasma membrane NHEs regulate cytosolic pH, but the role of intracellular isoforms has remained unclear. We now find that inactivation of NHE9 in mice reproduces behavioral features of ASD including impaired social interaction, repetitive behaviors, and altered sensory processing. Physiological characterization reveals hyperacidic endosomes, a cell-autonomous defect in glutamate receptor expression and impaired neurotransmitter release due to a defect in presynaptic Ca2+ entry. Acute inhibition of synaptic vesicle acidification rescues release but without affecting the primary defect due to loss of NHE9. The Na+/H+ exchanger NHE9 is proposed to regulate the H+ electrochemical gradient across endosomal membranes. Here, the authors find that NHE9 knockout mice show autism spectrum disorder-like behaviors and disrupted synaptic vesicle exocytosis due to impaired presynaptic calcium entry.","author":[{"dropping-particle":"","family":"Ullman","given":"Julie C.","non-dropping-particle":"","parse-names":false,"suffix":""},{"dropping-particle":"","family":"Yang","given":"Jing","non-dropping-particle":"","parse-names":false,"suffix":""},{"dropping-particle":"","family":"Sullivan","given":"Michael","non-dropping-particle":"","parse-names":false,"suffix":""},{"dropping-particle":"","family":"Bendor","given":"Jacob","non-dropping-particle":"","parse-names":false,"suffix":""},{"dropping-particle":"","family":"Levy","given":"Jonathan","non-dropping-particle":"","parse-names":false,"suffix":""},{"dropping-particle":"","family":"Pham","given":"Ellen","non-dropping-particle":"","parse-names":false,"suffix":""},{"dropping-particle":"","family":"Silm","given":"Katlin","non-dropping-particle":"","parse-names":false,"suffix":""},{"dropping-particle":"","family":"Seifikar","given":"Helia","non-dropping-particle":"","parse-names":false,"suffix":""},{"dropping-particle":"","family":"Sohal","given":"Vikaas S.","non-dropping-particle":"","parse-names":false,"suffix":""},{"dropping-particle":"","family":"Nicoll","given":"Roger A.","non-dropping-particle":"","parse-names":false,"suffix":""},{"dropping-particle":"","family":"Edwards","given":"Robert H.","non-dropping-particle":"","parse-names":false,"suffix":""}],"container-title":"Nature Communications","id":"ITEM-1","issue":"1","issued":{"date-parts":[["2018","12","23"]]},"page":"330","publisher":"Nature Publishing Group","title":"A mouse model of autism implicates endosome pH in the regulation of presynaptic calcium entry","type":"article-journal","volume":"9"},"uris":["http://www.mendeley.com/documents/?uuid=2f83285c-f42d-330c-9811-1bc1c39965e1"]},{"id":"ITEM-2","itemData":{"DOI":"10.1101/2021.02.02.428362","abstract":"Altered brain energy metabolism associated with increase in lactate levels and the resultant decrease in pH have been increasingly implicated in multiple neuropsychiatric disorders, such as schizophrenia, bipolar disorder, autism spectrum disorder and neurodegenerative disorders. Although it is controversial, change of pH/ lactate level as a primary feature of these diseases, rather than a result of confounding factors such as medication and agonal state, has been evidenced. Animal models that can be studied without such confounding factors inherent to humans are a suitable alternative to understand the controversy. However, the knowledge in animal models regarding brain pH and lactate and their relation to behavioral outcomes is limited in the context of neuropsychiatric disease conditions. In this study, we investigated the common occurrence of changes in the pH and lactate levels in the brain in animal models by analyzing 65 animal models related to neuropsychiatric and neurodegenerative diseases with 1,239 animals. Additionally, we evaluated the behavioral phenotypes relative to the chemical changes in the brain. Among the models, 27 had significant upregulation or downregulation in brain pH and 24, including Hivep2 KO, Camk2a KO, Nrgn KO, Ppp3r1 KO, Chd8 KO, Shank2 KO, Clock mutant, Fmr1 KO, BTBR, APP-J20 Tg, social defeat stress-exposed, corticosterone-treated, and streptozotocin-induced diabetic mice, demonstrated changes in lactate levels. Meta-analysis of the data revealed a highly significant negative correlation between brain pH and lactate levels, suggestive of increased lactate levels causing decreased brain pH. Statistical learning algorithm based on the comprehensive data has revealed that the increased brain lactate levels can be predominantly predicted by the indices for the percentage of correct response in working memory test, with a significant simple, negative correlation. Our results suggest that brain energy metabolism is commonly altered in many animal models of neuropsychiatric and neurodegenerative diseases, which may be associated with working memory performance. We consider our study to be an essential step suggesting that the brain endophenotypes serve as a basis for the transdiagnostic characterization of the biologically heterogeneous and debilitating cognitive illnesses. Based on these results, we are openly accepting collaborations to extend these findings and to test the hypotheses generated in this study using more ani…","author":[{"dropping-particle":"","family":"Hagihara","given":"Hideo","non-dropping-particle":"","parse-names":false,"suffix":""},{"dropping-particle":"","family":"Shoji","given":"Hirotaka","non-dropping-particle":"","parse-names":false,"suffix":""},{"dropping-particle":"","family":"Consortium","given":"International Brain pH Project","non-dropping-particle":"","parse-names":false,"suffix":""},{"dropping-particle":"","family":"Miyakawa","given":"Tsuyoshi","non-dropping-particle":"","parse-names":false,"suffix":""}],"container-title":"bioRxiv","id":"ITEM-2","issued":{"date-parts":[["2021","2","3"]]},"page":"2021.02.02.428362","publisher":"Cold Spring Harbor Laboratory","title":"Systematic analysis of brain lactate and pH levels in 65 animal models related to neuropsychiatric conditions","type":"article-journal"},"uris":["http://www.mendeley.com/documents/?uuid=9b149897-5ed1-36f6-ac6a-7ffa9cb4bcdd"]},{"id":"ITEM-3","itemData":{"DOI":"10.1038/npp.2017.167","ISSN":"0893-133X","PMID":"28776581","abstract":"Although the brains of patients with schizophrenia and bipolar disorder exhibit decreased brain pH relative to those of healthy controls upon postmortem examination, it remains controversial whether this finding reflects a primary feature of the diseases or is a result of confounding factors such as medication and agonal state. To date, systematic investigation of brain pH has not been undertaken using animal models that can be studied without confounds inherent in human studies. In the present study, we first reevaluated the pH of the postmortem brains of patients with schizophrenia and bipolar disorder by conducting a meta-analysis of existing data sets from 10 studies. We then measured pH, lactate levels, and related metabolite levels in brain homogenates from five neurodevelopmental mouse models of psychiatric disorders, including schizophrenia, bipolar disorder, and autism spectrum disorder. All mice were drug naive with the same agonal state, postmortem interval, and age within each strain. Our meta-analysis revealed that brain pH was significantly lower in patients with schizophrenia and bipolar disorder than in control participants, even when a few potential confounding factors (postmortem interval, age, and history of antipsychotic use) were considered. In animal experiments, we observed significantly lower pH and higher lactate levels in the brains of model mice relative to controls, as well as a significant negative correlation between pH and lactate levels. Our findings suggest that lower pH associated with increased lactate levels is not a mere artifact, but rather implicated in the underlying pathophysiology of schizophrenia and bipolar disorder.","author":[{"dropping-particle":"","family":"Hagihara","given":"Hideo","non-dropping-particle":"","parse-names":false,"suffix":""},{"dropping-particle":"","family":"Catts","given":"Vibeke S.","non-dropping-particle":"","parse-names":false,"suffix":""},{"dropping-particle":"","family":"Katayama","given":"Yuta","non-dropping-particle":"","parse-names":false,"suffix":""},{"dropping-particle":"","family":"Shoji","given":"Hirotaka","non-dropping-particle":"","parse-names":false,"suffix":""},{"dropping-particle":"","family":"Takagi","given":"Tsuyoshi","non-dropping-particle":"","parse-names":false,"suffix":""},{"dropping-particle":"","family":"Huang","given":"Freesia L","non-dropping-particle":"","parse-names":false,"suffix":""},{"dropping-particle":"","family":"Nakao","given":"Akito","non-dropping-particle":"","parse-names":false,"suffix":""},{"dropping-particle":"","family":"Mori","given":"Yasuo","non-dropping-particle":"","parse-names":false,"suffix":""},{"dropping-particle":"","family":"Huang","given":"Kuo-Ping","non-dropping-particle":"","parse-names":false,"suffix":""},{"dropping-particle":"","family":"Ishii","given":"Shunsuke","non-dropping-particle":"","parse-names":false,"suffix":""},{"dropping-particle":"","family":"Graef","given":"Isabella A.","non-dropping-particle":"","parse-names":false,"suffix":""},{"dropping-particle":"","family":"Nakayama","given":"Keiichi I.","non-dropping-particle":"","parse-names":false,"suffix":""},{"dropping-particle":"","family":"Shannon Weickert","given":"Cynthia","non-dropping-particle":"","parse-names":false,"suffix":""},{"dropping-particle":"","family":"Miyakawa","given":"Tsuyoshi","non-dropping-particle":"","parse-names":false,"suffix":""}],"container-title":"Neuropsychopharmacology","id":"ITEM-3","issue":"3","issued":{"date-parts":[["2018","2","4"]]},"page":"459-468","publisher":"Neuropsychopharmacology","title":"Decreased Brain pH as a Shared Endophenotype of Psychiatric Disorders","type":"article-journal","volume":"43"},"uris":["http://www.mendeley.com/documents/?uuid=ed77f58c-a51d-363b-a1aa-94da4d103a62"]}],"mendeley":{"formattedCitation":"&lt;sup&gt;93–95&lt;/sup&gt;","plainTextFormattedCitation":"93–95","previouslyFormattedCitation":"&lt;sup&gt;93–95&lt;/sup&gt;"},"properties":{"noteIndex":0},"schema":"https://github.com/citation-style-language/schema/raw/master/csl-citation.json"}</w:instrText>
      </w:r>
      <w:r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93–95</w:t>
      </w:r>
      <w:r w:rsidRPr="00B12FA8">
        <w:rPr>
          <w:rFonts w:asciiTheme="majorBidi" w:hAnsiTheme="majorBidi" w:cstheme="majorBidi"/>
        </w:rPr>
        <w:fldChar w:fldCharType="end"/>
      </w:r>
      <w:r w:rsidRPr="00B12FA8">
        <w:rPr>
          <w:rFonts w:asciiTheme="majorBidi" w:hAnsiTheme="majorBidi" w:cstheme="majorBidi"/>
        </w:rPr>
        <w:t>. Furthermore, it has been previously shown that the sensing of H</w:t>
      </w:r>
      <w:r w:rsidRPr="00B12FA8">
        <w:rPr>
          <w:rFonts w:asciiTheme="majorBidi" w:hAnsiTheme="majorBidi" w:cstheme="majorBidi"/>
          <w:vertAlign w:val="superscript"/>
        </w:rPr>
        <w:t>+</w:t>
      </w:r>
      <w:r w:rsidRPr="00B12FA8">
        <w:rPr>
          <w:rFonts w:asciiTheme="majorBidi" w:hAnsiTheme="majorBidi" w:cstheme="majorBidi"/>
        </w:rPr>
        <w:t xml:space="preserve"> ions by the acid-sensing ion channel (ASIC) is crucial for synaptic plasticity, learning, and memory</w:t>
      </w:r>
      <w:r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{"citationItems":[{"id":"ITEM-1","itemData":{"DOI":"10.1016/S0896-6273(02)00661-X","ISSN":"08966273","PMID":"11988176","abstract":"Many central neurons possess large acid-activated currents, yet their molecular identity is unknown. We found that eliminating the acid sensing ion channel (ASIC) abolished H+-gated currents in hippocampal neurons. Neuronal H+-gated currents and transient acidification are proposed to play a role in synaptic transmission. Investigating this possibility, we found ASIC in hippocampus, in synaptosomes, and in dendrites localized at synapses. Moreover, loss of ASIC impaired hippocampal long-term potentiation. ASIC null mice had reduced excitatory postsynaptic potentials and NMDA receptor activation during high-frequency stimulation. Consistent with these findings, null mice displayed defective spatial learning and eyeblink conditioning. These results identify ASIC as a key component of acid-activated currents and implicate these currents in processes underlying synaptic plasticity, learning, and memory.","author":[{"dropping-particle":"","family":"Wemmie","given":"John A.","non-dropping-particle":"","parse-names":false,"suffix":""},{"dropping-particle":"","family":"Chen","given":"Jianguo","non-dropping-particle":"","parse-names":false,"suffix":""},{"dropping-particle":"","family":"Askwith","given":"Candice C.","non-dropping-particle":"","parse-names":false,"suffix":""},{"dropping-particle":"","family":"Hruska-Hageman","given":"Alesia M.","non-dropping-particle":"","parse-names":false,"suffix":""},{"dropping-particle":"","family":"Price","given":"Margaret P.","non-dropping-particle":"","parse-names":false,"suffix":""},{"dropping-particle":"","family":"Nolan","given":"Brian C.","non-dropping-particle":"","parse-names":false,"suffix":""},{"dropping-particle":"","family":"Yoder","given":"Patrick G.","non-dropping-particle":"","parse-names":false,"suffix":""},{"dropping-particle":"","family":"Lamani","given":"Ejvis","non-dropping-particle":"","parse-names":false,"suffix":""},{"dropping-particle":"","family":"Hoshi","given":"Toshinori","non-dropping-particle":"","parse-names":false,"suffix":""},{"dropping-particle":"","family":"Freeman","given":"John H.","non-dropping-particle":"","parse-names":false,"suffix":""},{"dropping-particle":"","family":"Welsh","given":"Michael J.","non-dropping-particle":"","parse-names":false,"suffix":""}],"container-title":"Neuron","id":"ITEM-1","issue":"3","issued":{"date-parts":[["2002","4","25"]]},"page":"463-477","publisher":"Neuron","title":"The Acid-Activated Ion Channel ASIC Contributes to Synaptic Plasticity, Learning, and Memory","type":"article-journal","volume":"34"},"uris":["http://www.mendeley.com/documents/?uuid=bcac2739-92a5-3e74-8126-a58860929500"]}],"mendeley":{"formattedCitation":"&lt;sup&gt;96&lt;/sup&gt;","plainTextFormattedCitation":"96","previouslyFormattedCitation":"&lt;sup&gt;96&lt;/sup&gt;"},"properties":{"noteIndex":0},"schema":"https://github.com/citation-style-language/schema/raw/master/csl-citation.json"}</w:instrText>
      </w:r>
      <w:r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96</w:t>
      </w:r>
      <w:r w:rsidRPr="00B12FA8">
        <w:rPr>
          <w:rFonts w:asciiTheme="majorBidi" w:hAnsiTheme="majorBidi" w:cstheme="majorBidi"/>
        </w:rPr>
        <w:fldChar w:fldCharType="end"/>
      </w:r>
      <w:r w:rsidRPr="00B12FA8">
        <w:rPr>
          <w:rFonts w:asciiTheme="majorBidi" w:hAnsiTheme="majorBidi" w:cstheme="majorBidi"/>
        </w:rPr>
        <w:t xml:space="preserve">, all of which are in line with the overall behavioral improvements for the AS and WT mice upon treatment (Fig. 1 and 2). Based on all the above, we hypothesize that studying the spectral intensity and shift of different metabolites such as taurine may serve as a potential biomarker for </w:t>
      </w:r>
      <w:proofErr w:type="spellStart"/>
      <w:r w:rsidRPr="00B12FA8">
        <w:rPr>
          <w:rFonts w:asciiTheme="majorBidi" w:hAnsiTheme="majorBidi" w:cstheme="majorBidi"/>
        </w:rPr>
        <w:t>tDCS</w:t>
      </w:r>
      <w:proofErr w:type="spellEnd"/>
      <w:r w:rsidRPr="00B12FA8">
        <w:rPr>
          <w:rFonts w:asciiTheme="majorBidi" w:hAnsiTheme="majorBidi" w:cstheme="majorBidi"/>
        </w:rPr>
        <w:t xml:space="preserve"> treatment that will allow us to monitor, over time, the duration that </w:t>
      </w:r>
      <w:proofErr w:type="spellStart"/>
      <w:r w:rsidRPr="00B12FA8">
        <w:rPr>
          <w:rFonts w:asciiTheme="majorBidi" w:hAnsiTheme="majorBidi" w:cstheme="majorBidi"/>
        </w:rPr>
        <w:t>tDCS</w:t>
      </w:r>
      <w:proofErr w:type="spellEnd"/>
      <w:r w:rsidRPr="00B12FA8">
        <w:rPr>
          <w:rFonts w:asciiTheme="majorBidi" w:hAnsiTheme="majorBidi" w:cstheme="majorBidi"/>
        </w:rPr>
        <w:t xml:space="preserve"> treatment affects the brain</w:t>
      </w:r>
      <w:r w:rsidR="009E06DA">
        <w:rPr>
          <w:rFonts w:asciiTheme="majorBidi" w:hAnsiTheme="majorBidi" w:cstheme="majorBidi"/>
        </w:rPr>
        <w:t>’</w:t>
      </w:r>
      <w:r w:rsidRPr="00B12FA8">
        <w:rPr>
          <w:rFonts w:asciiTheme="majorBidi" w:hAnsiTheme="majorBidi" w:cstheme="majorBidi"/>
        </w:rPr>
        <w:t xml:space="preserve">s function. Moreover, studying the metabolic response of the brain to </w:t>
      </w:r>
      <w:proofErr w:type="spellStart"/>
      <w:r w:rsidRPr="00B12FA8">
        <w:rPr>
          <w:rFonts w:asciiTheme="majorBidi" w:hAnsiTheme="majorBidi" w:cstheme="majorBidi"/>
        </w:rPr>
        <w:t>tDCS</w:t>
      </w:r>
      <w:proofErr w:type="spellEnd"/>
      <w:r w:rsidRPr="00B12FA8">
        <w:rPr>
          <w:rFonts w:asciiTheme="majorBidi" w:hAnsiTheme="majorBidi" w:cstheme="majorBidi"/>
        </w:rPr>
        <w:t xml:space="preserve"> treatment can enhance our understanding regarding the mechanism that mediated the beneficiary effect of </w:t>
      </w:r>
      <w:proofErr w:type="spellStart"/>
      <w:r w:rsidRPr="00B12FA8">
        <w:rPr>
          <w:rFonts w:asciiTheme="majorBidi" w:hAnsiTheme="majorBidi" w:cstheme="majorBidi"/>
        </w:rPr>
        <w:t>tDCS</w:t>
      </w:r>
      <w:proofErr w:type="spellEnd"/>
      <w:r w:rsidRPr="00B12FA8">
        <w:rPr>
          <w:rFonts w:asciiTheme="majorBidi" w:hAnsiTheme="majorBidi" w:cstheme="majorBidi"/>
        </w:rPr>
        <w:t xml:space="preserve"> not only in AS patients and healthy individuals but also in a variety of additional neurodevelopmental and neurogenerative disorders </w:t>
      </w:r>
    </w:p>
    <w:p w14:paraId="38F06594" w14:textId="77777777" w:rsidR="006104B1" w:rsidRDefault="006104B1" w:rsidP="00C67B64">
      <w:pPr>
        <w:bidi w:val="0"/>
        <w:spacing w:before="20" w:afterLines="20" w:after="48" w:line="240" w:lineRule="auto"/>
        <w:contextualSpacing/>
        <w:jc w:val="both"/>
        <w:rPr>
          <w:rFonts w:asciiTheme="majorBidi" w:hAnsiTheme="majorBidi" w:cstheme="majorBidi"/>
          <w:b/>
          <w:bCs/>
          <w:i/>
          <w:iCs/>
        </w:rPr>
      </w:pPr>
    </w:p>
    <w:p w14:paraId="38A6B68B" w14:textId="5F696DDE" w:rsidR="00392F1F" w:rsidRPr="00B12FA8" w:rsidRDefault="00841ADD" w:rsidP="00C67B64">
      <w:pPr>
        <w:bidi w:val="0"/>
        <w:spacing w:before="20" w:afterLines="20" w:after="48" w:line="240" w:lineRule="auto"/>
        <w:contextualSpacing/>
        <w:jc w:val="both"/>
        <w:rPr>
          <w:rFonts w:asciiTheme="majorBidi" w:hAnsiTheme="majorBidi" w:cstheme="majorBidi"/>
        </w:rPr>
      </w:pPr>
      <w:r w:rsidRPr="00B12FA8">
        <w:rPr>
          <w:rFonts w:asciiTheme="majorBidi" w:hAnsiTheme="majorBidi" w:cstheme="majorBidi"/>
          <w:b/>
          <w:bCs/>
          <w:i/>
          <w:iCs/>
        </w:rPr>
        <w:lastRenderedPageBreak/>
        <w:t>Experimental design:</w:t>
      </w:r>
      <w:r w:rsidRPr="00B12FA8">
        <w:rPr>
          <w:rFonts w:asciiTheme="majorBidi" w:hAnsiTheme="majorBidi" w:cstheme="majorBidi"/>
          <w:b/>
          <w:bCs/>
        </w:rPr>
        <w:t xml:space="preserve"> </w:t>
      </w:r>
      <w:r w:rsidRPr="00B12FA8">
        <w:rPr>
          <w:rFonts w:asciiTheme="majorBidi" w:hAnsiTheme="majorBidi" w:cstheme="majorBidi"/>
          <w:b/>
          <w:bCs/>
          <w:i/>
          <w:iCs/>
        </w:rPr>
        <w:t xml:space="preserve"> </w:t>
      </w:r>
      <w:r w:rsidR="0069522B" w:rsidRPr="00B12FA8">
        <w:rPr>
          <w:rFonts w:asciiTheme="majorBidi" w:hAnsiTheme="majorBidi" w:cstheme="majorBidi"/>
        </w:rPr>
        <w:t xml:space="preserve">Upon completion of the </w:t>
      </w:r>
      <w:proofErr w:type="spellStart"/>
      <w:r w:rsidR="0069522B" w:rsidRPr="00B12FA8">
        <w:rPr>
          <w:rFonts w:asciiTheme="majorBidi" w:hAnsiTheme="majorBidi" w:cstheme="majorBidi"/>
        </w:rPr>
        <w:t>tDCS</w:t>
      </w:r>
      <w:proofErr w:type="spellEnd"/>
      <w:r w:rsidR="0069522B" w:rsidRPr="00B12FA8">
        <w:rPr>
          <w:rFonts w:asciiTheme="majorBidi" w:hAnsiTheme="majorBidi" w:cstheme="majorBidi"/>
        </w:rPr>
        <w:t xml:space="preserve"> treatment</w:t>
      </w:r>
      <w:r w:rsidR="009D1CB7" w:rsidRPr="00B12FA8">
        <w:rPr>
          <w:rFonts w:asciiTheme="majorBidi" w:hAnsiTheme="majorBidi" w:cstheme="majorBidi"/>
        </w:rPr>
        <w:t xml:space="preserve"> protocol </w:t>
      </w:r>
      <w:r w:rsidR="0069522B" w:rsidRPr="00B12FA8">
        <w:rPr>
          <w:rFonts w:asciiTheme="majorBidi" w:hAnsiTheme="majorBidi" w:cstheme="majorBidi"/>
        </w:rPr>
        <w:t>(</w:t>
      </w:r>
      <w:r w:rsidR="009D1CB7" w:rsidRPr="00B12FA8">
        <w:rPr>
          <w:rFonts w:asciiTheme="majorBidi" w:hAnsiTheme="majorBidi" w:cstheme="majorBidi"/>
        </w:rPr>
        <w:t xml:space="preserve">see </w:t>
      </w:r>
      <w:r w:rsidR="00E440A6" w:rsidRPr="00B12FA8">
        <w:rPr>
          <w:rFonts w:asciiTheme="majorBidi" w:hAnsiTheme="majorBidi" w:cstheme="majorBidi"/>
        </w:rPr>
        <w:t>a</w:t>
      </w:r>
      <w:r w:rsidR="0069522B" w:rsidRPr="00B12FA8">
        <w:rPr>
          <w:rFonts w:asciiTheme="majorBidi" w:hAnsiTheme="majorBidi" w:cstheme="majorBidi"/>
        </w:rPr>
        <w:t xml:space="preserve">im 1), both the sham and treated mice brain tissue will be harvested </w:t>
      </w:r>
      <w:r w:rsidR="009D1CB7" w:rsidRPr="00B12FA8">
        <w:rPr>
          <w:rFonts w:asciiTheme="majorBidi" w:hAnsiTheme="majorBidi" w:cstheme="majorBidi"/>
        </w:rPr>
        <w:t xml:space="preserve">either </w:t>
      </w:r>
      <w:r w:rsidR="0069522B" w:rsidRPr="00B12FA8">
        <w:rPr>
          <w:rFonts w:asciiTheme="majorBidi" w:hAnsiTheme="majorBidi" w:cstheme="majorBidi"/>
        </w:rPr>
        <w:t>immediately after the treatment (</w:t>
      </w:r>
      <w:r w:rsidR="00FA304F" w:rsidRPr="00B12FA8">
        <w:rPr>
          <w:rFonts w:asciiTheme="majorBidi" w:hAnsiTheme="majorBidi" w:cstheme="majorBidi"/>
        </w:rPr>
        <w:t>g</w:t>
      </w:r>
      <w:r w:rsidR="00392F1F" w:rsidRPr="00B12FA8">
        <w:rPr>
          <w:rFonts w:asciiTheme="majorBidi" w:hAnsiTheme="majorBidi" w:cstheme="majorBidi"/>
        </w:rPr>
        <w:t>ro</w:t>
      </w:r>
      <w:r w:rsidR="00E440A6" w:rsidRPr="00B12FA8">
        <w:rPr>
          <w:rFonts w:asciiTheme="majorBidi" w:hAnsiTheme="majorBidi" w:cstheme="majorBidi"/>
        </w:rPr>
        <w:t>up</w:t>
      </w:r>
      <w:r w:rsidR="006104B1">
        <w:rPr>
          <w:rFonts w:asciiTheme="majorBidi" w:hAnsiTheme="majorBidi" w:cstheme="majorBidi"/>
        </w:rPr>
        <w:t xml:space="preserve"> </w:t>
      </w:r>
      <w:r w:rsidR="00392F1F" w:rsidRPr="00B12FA8">
        <w:rPr>
          <w:rFonts w:asciiTheme="majorBidi" w:hAnsiTheme="majorBidi" w:cstheme="majorBidi"/>
        </w:rPr>
        <w:t>1</w:t>
      </w:r>
      <w:r w:rsidR="0069522B" w:rsidRPr="00B12FA8">
        <w:rPr>
          <w:rFonts w:asciiTheme="majorBidi" w:hAnsiTheme="majorBidi" w:cstheme="majorBidi"/>
        </w:rPr>
        <w:t>), and upon completion of the behavioral studies post-treatment (</w:t>
      </w:r>
      <w:r w:rsidR="00FA304F" w:rsidRPr="00B12FA8">
        <w:rPr>
          <w:rFonts w:asciiTheme="majorBidi" w:hAnsiTheme="majorBidi" w:cstheme="majorBidi"/>
        </w:rPr>
        <w:t>g</w:t>
      </w:r>
      <w:r w:rsidR="00392F1F" w:rsidRPr="00B12FA8">
        <w:rPr>
          <w:rFonts w:asciiTheme="majorBidi" w:hAnsiTheme="majorBidi" w:cstheme="majorBidi"/>
        </w:rPr>
        <w:t>ro</w:t>
      </w:r>
      <w:r w:rsidR="00E440A6" w:rsidRPr="00B12FA8">
        <w:rPr>
          <w:rFonts w:asciiTheme="majorBidi" w:hAnsiTheme="majorBidi" w:cstheme="majorBidi"/>
        </w:rPr>
        <w:t>up</w:t>
      </w:r>
      <w:r w:rsidR="006104B1">
        <w:rPr>
          <w:rFonts w:asciiTheme="majorBidi" w:hAnsiTheme="majorBidi" w:cstheme="majorBidi"/>
        </w:rPr>
        <w:t xml:space="preserve"> </w:t>
      </w:r>
      <w:r w:rsidR="00392F1F" w:rsidRPr="00B12FA8">
        <w:rPr>
          <w:rFonts w:asciiTheme="majorBidi" w:hAnsiTheme="majorBidi" w:cstheme="majorBidi"/>
        </w:rPr>
        <w:t>2</w:t>
      </w:r>
      <w:r w:rsidR="0069522B" w:rsidRPr="00B12FA8">
        <w:rPr>
          <w:rFonts w:asciiTheme="majorBidi" w:hAnsiTheme="majorBidi" w:cstheme="majorBidi"/>
        </w:rPr>
        <w:t xml:space="preserve">). The effect of </w:t>
      </w:r>
      <w:proofErr w:type="spellStart"/>
      <w:r w:rsidR="0069522B" w:rsidRPr="00B12FA8">
        <w:rPr>
          <w:rFonts w:asciiTheme="majorBidi" w:hAnsiTheme="majorBidi" w:cstheme="majorBidi"/>
        </w:rPr>
        <w:t>tDCS</w:t>
      </w:r>
      <w:proofErr w:type="spellEnd"/>
      <w:r w:rsidR="0069522B" w:rsidRPr="00B12FA8">
        <w:rPr>
          <w:rFonts w:asciiTheme="majorBidi" w:hAnsiTheme="majorBidi" w:cstheme="majorBidi"/>
        </w:rPr>
        <w:t xml:space="preserve"> on glucose, glucose-derived metabolites (such as lactate and pyruvate), and different mitochondrial</w:t>
      </w:r>
      <w:r w:rsidR="00BA2B84" w:rsidRPr="00B12FA8">
        <w:rPr>
          <w:rFonts w:asciiTheme="majorBidi" w:hAnsiTheme="majorBidi" w:cstheme="majorBidi"/>
        </w:rPr>
        <w:t>-related</w:t>
      </w:r>
      <w:r w:rsidR="0069522B" w:rsidRPr="00B12FA8">
        <w:rPr>
          <w:rFonts w:asciiTheme="majorBidi" w:hAnsiTheme="majorBidi" w:cstheme="majorBidi"/>
        </w:rPr>
        <w:t xml:space="preserve"> metabolite levels (such as </w:t>
      </w:r>
      <w:r w:rsidR="00E440A6" w:rsidRPr="00B12FA8">
        <w:rPr>
          <w:rFonts w:asciiTheme="majorBidi" w:hAnsiTheme="majorBidi" w:cstheme="majorBidi"/>
        </w:rPr>
        <w:t>Taurine</w:t>
      </w:r>
      <w:r w:rsidR="0069522B" w:rsidRPr="00B12FA8">
        <w:rPr>
          <w:rFonts w:asciiTheme="majorBidi" w:hAnsiTheme="majorBidi" w:cstheme="majorBidi"/>
        </w:rPr>
        <w:t>, Fig 4)</w:t>
      </w:r>
      <w:r w:rsidR="007819B7" w:rsidRPr="00B12FA8">
        <w:rPr>
          <w:rFonts w:asciiTheme="majorBidi" w:hAnsiTheme="majorBidi" w:cstheme="majorBidi"/>
        </w:rPr>
        <w:t xml:space="preserve"> </w:t>
      </w:r>
      <w:r w:rsidR="0069522B" w:rsidRPr="00B12FA8">
        <w:rPr>
          <w:rFonts w:asciiTheme="majorBidi" w:hAnsiTheme="majorBidi" w:cstheme="majorBidi"/>
        </w:rPr>
        <w:t>will be measured</w:t>
      </w:r>
      <w:r w:rsidR="00BA2B84" w:rsidRPr="00B12FA8">
        <w:rPr>
          <w:rFonts w:asciiTheme="majorBidi" w:hAnsiTheme="majorBidi" w:cstheme="majorBidi"/>
        </w:rPr>
        <w:t xml:space="preserve"> with </w:t>
      </w:r>
      <w:r w:rsidR="006F3DF6" w:rsidRPr="00B12FA8">
        <w:rPr>
          <w:rFonts w:asciiTheme="majorBidi" w:hAnsiTheme="majorBidi" w:cstheme="majorBidi"/>
          <w:vertAlign w:val="superscript"/>
          <w:rtl/>
        </w:rPr>
        <w:t>1</w:t>
      </w:r>
      <w:r w:rsidR="006F3DF6" w:rsidRPr="00B12FA8">
        <w:rPr>
          <w:rFonts w:asciiTheme="majorBidi" w:hAnsiTheme="majorBidi" w:cstheme="majorBidi"/>
        </w:rPr>
        <w:t>H</w:t>
      </w:r>
      <w:r w:rsidR="00BA2B84" w:rsidRPr="00B12FA8">
        <w:rPr>
          <w:rFonts w:asciiTheme="majorBidi" w:hAnsiTheme="majorBidi" w:cstheme="majorBidi"/>
        </w:rPr>
        <w:t>-NMR</w:t>
      </w:r>
      <w:r w:rsidR="0069522B" w:rsidRPr="00B12FA8">
        <w:rPr>
          <w:rFonts w:asciiTheme="majorBidi" w:hAnsiTheme="majorBidi" w:cstheme="majorBidi"/>
        </w:rPr>
        <w:t xml:space="preserve"> </w:t>
      </w:r>
      <w:r w:rsidR="00BA2B84" w:rsidRPr="00B12FA8">
        <w:rPr>
          <w:rFonts w:asciiTheme="majorBidi" w:hAnsiTheme="majorBidi" w:cstheme="majorBidi"/>
        </w:rPr>
        <w:t xml:space="preserve">as </w:t>
      </w:r>
      <w:r w:rsidR="0069522B" w:rsidRPr="00B12FA8">
        <w:rPr>
          <w:rFonts w:asciiTheme="majorBidi" w:hAnsiTheme="majorBidi" w:cstheme="majorBidi"/>
        </w:rPr>
        <w:t xml:space="preserve">previously described by </w:t>
      </w:r>
      <w:proofErr w:type="spellStart"/>
      <w:r w:rsidR="0069522B" w:rsidRPr="00B12FA8">
        <w:rPr>
          <w:rFonts w:asciiTheme="majorBidi" w:hAnsiTheme="majorBidi" w:cstheme="majorBidi"/>
        </w:rPr>
        <w:t>Hongyu</w:t>
      </w:r>
      <w:proofErr w:type="spellEnd"/>
      <w:r w:rsidR="0069522B" w:rsidRPr="00B12FA8">
        <w:rPr>
          <w:rFonts w:asciiTheme="majorBidi" w:hAnsiTheme="majorBidi" w:cstheme="majorBidi"/>
        </w:rPr>
        <w:t xml:space="preserve"> et al. </w:t>
      </w:r>
      <w:r w:rsidR="0069522B"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{"citationItems":[{"id":"ITEM-1","itemData":{"DOI":"10.1186/1471-2202-15-32","ISSN":"1471-2202","PMID":"24558969","abstract":"Background: Nicotine is rapidly absorbed from cigarette smoke and therefore induces a number of chronic illnesses with the widespread use of tobacco products. Studies have shown a few cerebral metabolites modified by nicotine; however, endogenous metabolic profiling in brain has not been well explored.Results: H NMR-based on metabonomics was applied to investigate the endogenous metabolic profiling of brain hippocampus, nucleus acumens (NAc), prefrontal cortex (PFC) and striatum. We found that nicotine significantly increased CPP in mice, and some specific cerebral metabolites differentially changed in nicotine-treated mice. These modified metabolites included glutamate, acetylcholine, tryptamine, glucose, lactate, creatine, 3-hydroxybutyrate and nicotinamide-adenine dinucleotide (NAD), which was closely associated with neurotransmitter and energy source. Additionally, glutathione and taurine in hippocampus and striatum, phosphocholine in PFC and glycerol in NAc were significantly modified by nicotine, implying the dysregulation of anti-oxidative stress response and membrane metabolism.Conclusions: Nicotine induces significant metabonomic alterations in brain, which are involved in neurotransmitter disturbance, energy metabolism dysregulation, anti-oxidation and membrane function disruptions, as well as amino acid metabolism imbalance. These findings provide a new insight into rewarding effects of nicotine and the underlying mechanism. © 2014 Li et al.; licensee BioMed Central Ltd.","author":[{"dropping-particle":"","family":"Li","given":"Hongyu","non-dropping-particle":"","parse-names":false,"suffix":""},{"dropping-particle":"","family":"Chen","given":"Bo","non-dropping-particle":"","parse-names":false,"suffix":""},{"dropping-particle":"","family":"Shao","given":"Xue","non-dropping-particle":"","parse-names":false,"suffix":""},{"dropping-particle":"","family":"Hu","given":"Zhengtao","non-dropping-particle":"","parse-names":false,"suffix":""},{"dropping-particle":"","family":"Deng","given":"Yi","non-dropping-particle":"","parse-names":false,"suffix":""},{"dropping-particle":"","family":"Zhu","given":"Ruiming","non-dropping-particle":"","parse-names":false,"suffix":""},{"dropping-particle":"","family":"Li","given":"Yan","non-dropping-particle":"","parse-names":false,"suffix":""},{"dropping-particle":"","family":"Zhang","given":"Baolai","non-dropping-particle":"","parse-names":false,"suffix":""},{"dropping-particle":"","family":"Hou","given":"Jing","non-dropping-particle":"","parse-names":false,"suffix":""},{"dropping-particle":"","family":"Du","given":"Changman","non-dropping-particle":"","parse-names":false,"suffix":""},{"dropping-particle":"","family":"Zhao","given":"Qian","non-dropping-particle":"","parse-names":false,"suffix":""},{"dropping-particle":"","family":"Fu","given":"Dengqi","non-dropping-particle":"","parse-names":false,"suffix":""},{"dropping-particle":"","family":"Bu","given":"Qian","non-dropping-particle":"","parse-names":false,"suffix":""},{"dropping-particle":"","family":"Zhao","given":"Yinglan","non-dropping-particle":"","parse-names":false,"suffix":""},{"dropping-particle":"","family":"Cen","given":"Xiaobo","non-dropping-particle":"","parse-names":false,"suffix":""}],"container-title":"BMC Neuroscience","id":"ITEM-1","issue":"1","issued":{"date-parts":[["2014","12","22"]]},"page":"32","publisher":"BioMed Central","title":"1H-Nuclear magnetic resonance-based metabolomic analysis of brain in mice with nicotine treatment","type":"article-journal","volume":"15"},"uris":["http://www.mendeley.com/documents/?uuid=cb1620c0-a55f-3791-95d9-4ff2520c0a39"]}],"mendeley":{"formattedCitation":"&lt;sup&gt;97&lt;/sup&gt;","plainTextFormattedCitation":"97","previouslyFormattedCitation":"&lt;sup&gt;97&lt;/sup&gt;"},"properties":{"noteIndex":0},"schema":"https://github.com/citation-style-language/schema/raw/master/csl-citation.json"}</w:instrText>
      </w:r>
      <w:r w:rsidR="0069522B"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97</w:t>
      </w:r>
      <w:r w:rsidR="0069522B" w:rsidRPr="00B12FA8">
        <w:rPr>
          <w:rFonts w:asciiTheme="majorBidi" w:hAnsiTheme="majorBidi" w:cstheme="majorBidi"/>
        </w:rPr>
        <w:fldChar w:fldCharType="end"/>
      </w:r>
      <w:r w:rsidR="0069522B" w:rsidRPr="00B12FA8">
        <w:rPr>
          <w:rFonts w:asciiTheme="majorBidi" w:hAnsiTheme="majorBidi" w:cstheme="majorBidi"/>
        </w:rPr>
        <w:t xml:space="preserve"> and  Zheng et al. </w:t>
      </w:r>
      <w:r w:rsidR="0069522B"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{"citationItems":[{"id":"ITEM-1","itemData":{"DOI":"10.1007/s11011-016-9949-0","ISSN":"0885-7490","PMID":"28070703","abstract":"Diabetes mellitus (DM) can result in cognitive dysfunction, but its potential metabolic mechanisms remain unclear. In the present study, we analyzed the metabolite profiling in eight different brain regions of the normal rats and the streptozotocin (STZ)-induced diabetic rats accompanied by cognitive dysfunction using a 1H NMR-based metabolomic approach. A mixed linear model analysis was performed to assess the effects of DM, brain region and their interaction on metabolic changes. We found that different brain regions in rats displayed significant metabolic differences. In addition, the hippocampus was more susceptible to DM compared with other brain regions in rats. More interestingly, significant interaction effects of DM and brain region were observed on alanine, creatine/creatine-phosphate, lactate, succinate, aspartate, glutamate, glutamine, γ-aminobutyric acid, glycine, choline, N-acetylaspartate, myo-inositol and taurine. Based on metabolic pathway analysis, we speculate that cognitive dysfunction in the STZ-induced diabetic rats may be associated with brain region-specific metabolic alterations involving energy metabolism, neurotransmitters, membrane metabolism and osmoregulation.","author":[{"dropping-particle":"","family":"Zheng","given":"Hong","non-dropping-particle":"","parse-names":false,"suffix":""},{"dropping-particle":"","family":"Lin","given":"Qiuting","non-dropping-particle":"","parse-names":false,"suffix":""},{"dropping-particle":"","family":"Wang","given":"Dan","non-dropping-particle":"","parse-names":false,"suffix":""},{"dropping-particle":"","family":"Xu","given":"Pengtao","non-dropping-particle":"","parse-names":false,"suffix":""},{"dropping-particle":"","family":"Zhao","given":"Liangcai","non-dropping-particle":"","parse-names":false,"suffix":""},{"dropping-particle":"","family":"Hu","given":"Wenyi","non-dropping-particle":"","parse-names":false,"suffix":""},{"dropping-particle":"","family":"Bai","given":"Guanghui","non-dropping-particle":"","parse-names":false,"suffix":""},{"dropping-particle":"","family":"Yan","given":"Zhihan","non-dropping-particle":"","parse-names":false,"suffix":""},{"dropping-particle":"","family":"Gao","given":"Hongchang","non-dropping-particle":"","parse-names":false,"suffix":""}],"container-title":"Metabolic Brain Disease","id":"ITEM-1","issue":"2","issued":{"date-parts":[["2017","4","9"]]},"page":"585-593","publisher":"Metab Brain Dis","title":"NMR-based metabolomics reveals brain region-specific metabolic alterations in streptozotocin-induced diabetic rats with cognitive dysfunction","type":"article-journal","volume":"32"},"uris":["http://www.mendeley.com/documents/?uuid=cc033f9a-fa35-3253-9373-1d81acb4acbc"]}],"mendeley":{"formattedCitation":"&lt;sup&gt;98&lt;/sup&gt;","plainTextFormattedCitation":"98","previouslyFormattedCitation":"&lt;sup&gt;98&lt;/sup&gt;"},"properties":{"noteIndex":0},"schema":"https://github.com/citation-style-language/schema/raw/master/csl-citation.json"}</w:instrText>
      </w:r>
      <w:r w:rsidR="0069522B"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98</w:t>
      </w:r>
      <w:r w:rsidR="0069522B" w:rsidRPr="00B12FA8">
        <w:rPr>
          <w:rFonts w:asciiTheme="majorBidi" w:hAnsiTheme="majorBidi" w:cstheme="majorBidi"/>
        </w:rPr>
        <w:fldChar w:fldCharType="end"/>
      </w:r>
      <w:r w:rsidR="0069522B" w:rsidRPr="00B12FA8">
        <w:rPr>
          <w:rFonts w:asciiTheme="majorBidi" w:hAnsiTheme="majorBidi" w:cstheme="majorBidi"/>
        </w:rPr>
        <w:t xml:space="preserve">. </w:t>
      </w:r>
    </w:p>
    <w:p w14:paraId="1F8F46F2" w14:textId="56A183F6" w:rsidR="00392F1F" w:rsidRPr="00B12FA8" w:rsidRDefault="00392F1F" w:rsidP="00C67B64">
      <w:pPr>
        <w:bidi w:val="0"/>
        <w:spacing w:before="20" w:afterLines="20" w:after="48" w:line="240" w:lineRule="auto"/>
        <w:contextualSpacing/>
        <w:jc w:val="both"/>
        <w:rPr>
          <w:rFonts w:asciiTheme="majorBidi" w:hAnsiTheme="majorBidi" w:cstheme="majorBidi"/>
        </w:rPr>
      </w:pPr>
    </w:p>
    <w:p w14:paraId="2E48915B" w14:textId="3CA2EC55" w:rsidR="00043BEF" w:rsidRPr="00B12FA8" w:rsidRDefault="00392F1F" w:rsidP="00C67B64">
      <w:pPr>
        <w:bidi w:val="0"/>
        <w:spacing w:before="20" w:afterLines="20" w:after="48" w:line="240" w:lineRule="auto"/>
        <w:contextualSpacing/>
        <w:jc w:val="both"/>
        <w:rPr>
          <w:rFonts w:asciiTheme="majorBidi" w:hAnsiTheme="majorBidi" w:cstheme="majorBidi"/>
        </w:rPr>
      </w:pPr>
      <w:r w:rsidRPr="00903289">
        <w:rPr>
          <w:rFonts w:asciiTheme="majorBidi" w:hAnsiTheme="majorBidi" w:cstheme="majorBidi"/>
          <w:b/>
          <w:bCs/>
          <w:i/>
          <w:iCs/>
        </w:rPr>
        <w:t>NMR (Nuclear Magnetic Resonance) analysis:</w:t>
      </w:r>
      <w:r w:rsidRPr="00B12FA8">
        <w:rPr>
          <w:rFonts w:asciiTheme="majorBidi" w:hAnsiTheme="majorBidi" w:cstheme="majorBidi"/>
        </w:rPr>
        <w:t xml:space="preserve">  Both </w:t>
      </w:r>
      <w:r w:rsidR="008D102D" w:rsidRPr="00B12FA8">
        <w:rPr>
          <w:rFonts w:asciiTheme="majorBidi" w:hAnsiTheme="majorBidi" w:cstheme="majorBidi"/>
        </w:rPr>
        <w:t>One-Dimensional (</w:t>
      </w:r>
      <w:r w:rsidRPr="00B12FA8">
        <w:rPr>
          <w:rFonts w:asciiTheme="majorBidi" w:hAnsiTheme="majorBidi" w:cstheme="majorBidi"/>
        </w:rPr>
        <w:t>1D</w:t>
      </w:r>
      <w:r w:rsidR="008D102D" w:rsidRPr="00B12FA8">
        <w:rPr>
          <w:rFonts w:asciiTheme="majorBidi" w:hAnsiTheme="majorBidi" w:cstheme="majorBidi"/>
        </w:rPr>
        <w:t>)</w:t>
      </w:r>
      <w:r w:rsidRPr="00B12FA8">
        <w:rPr>
          <w:rFonts w:asciiTheme="majorBidi" w:hAnsiTheme="majorBidi" w:cstheme="majorBidi"/>
        </w:rPr>
        <w:t xml:space="preserve"> NMR and Two-Dimensional </w:t>
      </w:r>
      <w:r w:rsidR="008D102D" w:rsidRPr="00B12FA8">
        <w:rPr>
          <w:rFonts w:asciiTheme="majorBidi" w:hAnsiTheme="majorBidi" w:cstheme="majorBidi"/>
        </w:rPr>
        <w:t>(2D) NMR</w:t>
      </w:r>
      <w:r w:rsidR="00372166" w:rsidRPr="00B12FA8">
        <w:rPr>
          <w:rFonts w:asciiTheme="majorBidi" w:hAnsiTheme="majorBidi" w:cstheme="majorBidi"/>
        </w:rPr>
        <w:t xml:space="preserve"> will</w:t>
      </w:r>
      <w:r w:rsidRPr="00B12FA8">
        <w:rPr>
          <w:rFonts w:asciiTheme="majorBidi" w:hAnsiTheme="majorBidi" w:cstheme="majorBidi"/>
        </w:rPr>
        <w:t xml:space="preserve"> be used to study the metabolic responses of the brain to </w:t>
      </w:r>
      <w:proofErr w:type="spellStart"/>
      <w:r w:rsidRPr="00B12FA8">
        <w:rPr>
          <w:rFonts w:asciiTheme="majorBidi" w:hAnsiTheme="majorBidi" w:cstheme="majorBidi"/>
        </w:rPr>
        <w:t>tDCS</w:t>
      </w:r>
      <w:proofErr w:type="spellEnd"/>
      <w:r w:rsidRPr="00B12FA8">
        <w:rPr>
          <w:rFonts w:asciiTheme="majorBidi" w:hAnsiTheme="majorBidi" w:cstheme="majorBidi"/>
        </w:rPr>
        <w:t xml:space="preserve"> treatment</w:t>
      </w:r>
      <w:r w:rsidRPr="00B12FA8">
        <w:rPr>
          <w:rFonts w:asciiTheme="majorBidi" w:hAnsiTheme="majorBidi" w:cstheme="majorBidi"/>
          <w:rtl/>
        </w:rPr>
        <w:t>.</w:t>
      </w:r>
      <w:r w:rsidRPr="00B12FA8">
        <w:rPr>
          <w:rFonts w:asciiTheme="majorBidi" w:hAnsiTheme="majorBidi" w:cstheme="majorBidi"/>
        </w:rPr>
        <w:t xml:space="preserve"> </w:t>
      </w:r>
      <w:r w:rsidRPr="00B12FA8">
        <w:rPr>
          <w:rFonts w:asciiTheme="majorBidi" w:hAnsiTheme="majorBidi" w:cstheme="majorBidi"/>
          <w:b/>
          <w:bCs/>
        </w:rPr>
        <w:t>1D NMR</w:t>
      </w:r>
      <w:r w:rsidRPr="00B12FA8">
        <w:rPr>
          <w:rFonts w:asciiTheme="majorBidi" w:hAnsiTheme="majorBidi" w:cstheme="majorBidi"/>
        </w:rPr>
        <w:t xml:space="preserve"> will provide information about the chemical shifts of different atoms on the array of metabolites, information that can be useful for identifying different chemical compounds and potential biomarkers.</w:t>
      </w:r>
      <w:r w:rsidR="00372166" w:rsidRPr="00B12FA8">
        <w:rPr>
          <w:rFonts w:asciiTheme="majorBidi" w:hAnsiTheme="majorBidi" w:cstheme="majorBidi"/>
        </w:rPr>
        <w:t xml:space="preserve"> It is also</w:t>
      </w:r>
      <w:r w:rsidR="009E06DA">
        <w:rPr>
          <w:rFonts w:asciiTheme="majorBidi" w:hAnsiTheme="majorBidi" w:cstheme="majorBidi"/>
        </w:rPr>
        <w:t>,</w:t>
      </w:r>
      <w:r w:rsidR="00372166" w:rsidRPr="00B12FA8">
        <w:rPr>
          <w:rFonts w:asciiTheme="majorBidi" w:hAnsiTheme="majorBidi" w:cstheme="majorBidi"/>
        </w:rPr>
        <w:t xml:space="preserve"> in principle</w:t>
      </w:r>
      <w:r w:rsidR="009E06DA">
        <w:rPr>
          <w:rFonts w:asciiTheme="majorBidi" w:hAnsiTheme="majorBidi" w:cstheme="majorBidi"/>
        </w:rPr>
        <w:t>,</w:t>
      </w:r>
      <w:r w:rsidR="00372166" w:rsidRPr="00B12FA8">
        <w:rPr>
          <w:rFonts w:asciiTheme="majorBidi" w:hAnsiTheme="majorBidi" w:cstheme="majorBidi"/>
        </w:rPr>
        <w:t xml:space="preserve"> quantitative and allows </w:t>
      </w:r>
      <w:r w:rsidR="009E06DA">
        <w:rPr>
          <w:rFonts w:asciiTheme="majorBidi" w:hAnsiTheme="majorBidi" w:cstheme="majorBidi"/>
        </w:rPr>
        <w:t>monitoring</w:t>
      </w:r>
      <w:r w:rsidR="00372166" w:rsidRPr="00B12FA8">
        <w:rPr>
          <w:rFonts w:asciiTheme="majorBidi" w:hAnsiTheme="majorBidi" w:cstheme="majorBidi"/>
        </w:rPr>
        <w:t xml:space="preserve"> variation in </w:t>
      </w:r>
      <w:r w:rsidR="009E06DA">
        <w:rPr>
          <w:rFonts w:asciiTheme="majorBidi" w:hAnsiTheme="majorBidi" w:cstheme="majorBidi"/>
        </w:rPr>
        <w:t xml:space="preserve">the </w:t>
      </w:r>
      <w:r w:rsidR="00372166" w:rsidRPr="00B12FA8">
        <w:rPr>
          <w:rFonts w:asciiTheme="majorBidi" w:hAnsiTheme="majorBidi" w:cstheme="majorBidi"/>
        </w:rPr>
        <w:t>concentration of individual metabolites between different states of the tissue (disease/healthy, treated/untreated).</w:t>
      </w:r>
      <w:r w:rsidRPr="00B12FA8">
        <w:rPr>
          <w:rFonts w:asciiTheme="majorBidi" w:hAnsiTheme="majorBidi" w:cstheme="majorBidi"/>
        </w:rPr>
        <w:t xml:space="preserve"> </w:t>
      </w:r>
      <w:r w:rsidR="00372166" w:rsidRPr="00B12FA8">
        <w:rPr>
          <w:rFonts w:asciiTheme="majorBidi" w:hAnsiTheme="majorBidi" w:cstheme="majorBidi"/>
        </w:rPr>
        <w:t xml:space="preserve">To obtain </w:t>
      </w:r>
      <w:r w:rsidRPr="00B12FA8">
        <w:rPr>
          <w:rFonts w:asciiTheme="majorBidi" w:hAnsiTheme="majorBidi" w:cstheme="majorBidi"/>
        </w:rPr>
        <w:t>information about the spatial arrangement of atoms within a molecule, which can be important for understanding metabolic reaction</w:t>
      </w:r>
      <w:r w:rsidR="009E06DA">
        <w:rPr>
          <w:rFonts w:asciiTheme="majorBidi" w:hAnsiTheme="majorBidi" w:cstheme="majorBidi"/>
        </w:rPr>
        <w:t>s</w:t>
      </w:r>
      <w:r w:rsidR="00372166" w:rsidRPr="00B12FA8">
        <w:rPr>
          <w:rFonts w:asciiTheme="majorBidi" w:hAnsiTheme="majorBidi" w:cstheme="majorBidi"/>
        </w:rPr>
        <w:t>,</w:t>
      </w:r>
      <w:r w:rsidRPr="00B12FA8">
        <w:rPr>
          <w:rFonts w:asciiTheme="majorBidi" w:hAnsiTheme="majorBidi" w:cstheme="majorBidi"/>
        </w:rPr>
        <w:t xml:space="preserve"> </w:t>
      </w:r>
      <w:r w:rsidRPr="00B12FA8">
        <w:rPr>
          <w:rFonts w:asciiTheme="majorBidi" w:hAnsiTheme="majorBidi" w:cstheme="majorBidi"/>
          <w:b/>
          <w:bCs/>
        </w:rPr>
        <w:t>2D NMR</w:t>
      </w:r>
      <w:r w:rsidR="00372166" w:rsidRPr="00B12FA8">
        <w:rPr>
          <w:rFonts w:asciiTheme="majorBidi" w:hAnsiTheme="majorBidi" w:cstheme="majorBidi"/>
        </w:rPr>
        <w:t xml:space="preserve"> is used</w:t>
      </w:r>
      <w:r w:rsidRPr="00B12FA8">
        <w:rPr>
          <w:rFonts w:asciiTheme="majorBidi" w:hAnsiTheme="majorBidi" w:cstheme="majorBidi"/>
        </w:rPr>
        <w:t xml:space="preserve">, allowing for the correlation of chemical shifts of different atoms in a molecule, </w:t>
      </w:r>
      <w:r w:rsidR="00372166" w:rsidRPr="00B12FA8">
        <w:rPr>
          <w:rFonts w:asciiTheme="majorBidi" w:hAnsiTheme="majorBidi" w:cstheme="majorBidi"/>
        </w:rPr>
        <w:t xml:space="preserve">resolving metabolite lines that have certain common chemical shifts. 2D NMR </w:t>
      </w:r>
      <w:r w:rsidR="00323845" w:rsidRPr="00B12FA8">
        <w:rPr>
          <w:rFonts w:asciiTheme="majorBidi" w:hAnsiTheme="majorBidi" w:cstheme="majorBidi"/>
        </w:rPr>
        <w:t xml:space="preserve">thus </w:t>
      </w:r>
      <w:r w:rsidRPr="00B12FA8">
        <w:rPr>
          <w:rFonts w:asciiTheme="majorBidi" w:hAnsiTheme="majorBidi" w:cstheme="majorBidi"/>
        </w:rPr>
        <w:t>provid</w:t>
      </w:r>
      <w:r w:rsidR="00323845" w:rsidRPr="00B12FA8">
        <w:rPr>
          <w:rFonts w:asciiTheme="majorBidi" w:hAnsiTheme="majorBidi" w:cstheme="majorBidi"/>
        </w:rPr>
        <w:t>es</w:t>
      </w:r>
      <w:r w:rsidRPr="00B12FA8">
        <w:rPr>
          <w:rFonts w:asciiTheme="majorBidi" w:hAnsiTheme="majorBidi" w:cstheme="majorBidi"/>
        </w:rPr>
        <w:t xml:space="preserve"> information on the number of chemically distinct sites and the connectivity of atoms within a molecule. This approach will provide additional structural </w:t>
      </w:r>
      <w:r w:rsidR="003B2F1D" w:rsidRPr="00B12FA8">
        <w:rPr>
          <w:rFonts w:asciiTheme="majorBidi" w:hAnsiTheme="majorBidi" w:cstheme="majorBidi"/>
        </w:rPr>
        <w:t>valuable information</w:t>
      </w:r>
      <w:r w:rsidRPr="00B12FA8">
        <w:rPr>
          <w:rFonts w:asciiTheme="majorBidi" w:hAnsiTheme="majorBidi" w:cstheme="majorBidi"/>
        </w:rPr>
        <w:t xml:space="preserve"> for understanding metabolic reactions and identifying biomarkers</w:t>
      </w:r>
      <w:r w:rsidR="00323845" w:rsidRPr="00B12FA8">
        <w:rPr>
          <w:rFonts w:asciiTheme="majorBidi" w:hAnsiTheme="majorBidi" w:cstheme="majorBidi"/>
        </w:rPr>
        <w:t>. It also expedites metabolic profiling by ~ ten-fold with its higher level of unambiguity</w:t>
      </w:r>
      <w:r w:rsidRPr="00B12FA8">
        <w:rPr>
          <w:rFonts w:asciiTheme="majorBidi" w:hAnsiTheme="majorBidi" w:cstheme="majorBidi"/>
        </w:rPr>
        <w:t>.</w:t>
      </w:r>
      <w:r w:rsidR="00201B25" w:rsidRPr="00B12FA8">
        <w:rPr>
          <w:rFonts w:asciiTheme="majorBidi" w:hAnsiTheme="majorBidi" w:cstheme="majorBidi"/>
        </w:rPr>
        <w:t xml:space="preserve"> </w:t>
      </w:r>
      <w:r w:rsidR="00043BEF" w:rsidRPr="00B12FA8">
        <w:rPr>
          <w:rFonts w:asciiTheme="majorBidi" w:hAnsiTheme="majorBidi" w:cstheme="majorBidi"/>
        </w:rPr>
        <w:t xml:space="preserve">Biomarkers can be discovered by </w:t>
      </w:r>
      <w:r w:rsidR="00D52C8C" w:rsidRPr="00B12FA8">
        <w:rPr>
          <w:rFonts w:asciiTheme="majorBidi" w:hAnsiTheme="majorBidi" w:cstheme="majorBidi"/>
        </w:rPr>
        <w:t>observ</w:t>
      </w:r>
      <w:r w:rsidR="00043BEF" w:rsidRPr="00B12FA8">
        <w:rPr>
          <w:rFonts w:asciiTheme="majorBidi" w:hAnsiTheme="majorBidi" w:cstheme="majorBidi"/>
        </w:rPr>
        <w:t xml:space="preserve">ing characteristic spectral patterns </w:t>
      </w:r>
      <w:r w:rsidR="00D52C8C" w:rsidRPr="00B12FA8">
        <w:rPr>
          <w:rFonts w:asciiTheme="majorBidi" w:hAnsiTheme="majorBidi" w:cstheme="majorBidi"/>
        </w:rPr>
        <w:t xml:space="preserve">which reflect </w:t>
      </w:r>
      <w:r w:rsidR="00043BEF" w:rsidRPr="00B12FA8">
        <w:rPr>
          <w:rFonts w:asciiTheme="majorBidi" w:hAnsiTheme="majorBidi" w:cstheme="majorBidi"/>
        </w:rPr>
        <w:t xml:space="preserve">the state of </w:t>
      </w:r>
      <w:r w:rsidR="00D52C8C" w:rsidRPr="00B12FA8">
        <w:rPr>
          <w:rFonts w:asciiTheme="majorBidi" w:hAnsiTheme="majorBidi" w:cstheme="majorBidi"/>
        </w:rPr>
        <w:t>the tissue</w:t>
      </w:r>
      <w:r w:rsidR="00201B25" w:rsidRPr="00B12FA8">
        <w:rPr>
          <w:rFonts w:asciiTheme="majorBidi" w:hAnsiTheme="majorBidi" w:cstheme="majorBidi"/>
        </w:rPr>
        <w:t xml:space="preserve"> (</w:t>
      </w:r>
      <w:r w:rsidR="00043BEF" w:rsidRPr="00B12FA8">
        <w:rPr>
          <w:rFonts w:asciiTheme="majorBidi" w:hAnsiTheme="majorBidi" w:cstheme="majorBidi"/>
        </w:rPr>
        <w:t xml:space="preserve">for example, </w:t>
      </w:r>
      <w:r w:rsidR="00D52C8C" w:rsidRPr="00B12FA8">
        <w:rPr>
          <w:rFonts w:asciiTheme="majorBidi" w:hAnsiTheme="majorBidi" w:cstheme="majorBidi"/>
        </w:rPr>
        <w:t xml:space="preserve">treated </w:t>
      </w:r>
      <w:r w:rsidR="00D52C8C" w:rsidRPr="00B12FA8">
        <w:rPr>
          <w:rFonts w:asciiTheme="majorBidi" w:hAnsiTheme="majorBidi" w:cstheme="majorBidi"/>
          <w:i/>
          <w:iCs/>
        </w:rPr>
        <w:t>vs.</w:t>
      </w:r>
      <w:r w:rsidR="00D52C8C" w:rsidRPr="00B12FA8">
        <w:rPr>
          <w:rFonts w:asciiTheme="majorBidi" w:hAnsiTheme="majorBidi" w:cstheme="majorBidi"/>
        </w:rPr>
        <w:t xml:space="preserve"> untreated</w:t>
      </w:r>
      <w:r w:rsidR="00201B25" w:rsidRPr="00B12FA8">
        <w:rPr>
          <w:rFonts w:asciiTheme="majorBidi" w:hAnsiTheme="majorBidi" w:cstheme="majorBidi"/>
        </w:rPr>
        <w:t>)</w:t>
      </w:r>
      <w:r w:rsidR="00043BEF" w:rsidRPr="00B12FA8">
        <w:rPr>
          <w:rFonts w:asciiTheme="majorBidi" w:hAnsiTheme="majorBidi" w:cstheme="majorBidi"/>
        </w:rPr>
        <w:t xml:space="preserve">. </w:t>
      </w:r>
      <w:r w:rsidR="00D52C8C" w:rsidRPr="00B12FA8">
        <w:rPr>
          <w:rFonts w:asciiTheme="majorBidi" w:hAnsiTheme="majorBidi" w:cstheme="majorBidi"/>
        </w:rPr>
        <w:t>I</w:t>
      </w:r>
      <w:r w:rsidR="00043BEF" w:rsidRPr="00B12FA8">
        <w:rPr>
          <w:rFonts w:asciiTheme="majorBidi" w:hAnsiTheme="majorBidi" w:cstheme="majorBidi"/>
        </w:rPr>
        <w:t>dentification of correlations between concentration</w:t>
      </w:r>
      <w:r w:rsidR="00D52C8C" w:rsidRPr="00B12FA8">
        <w:rPr>
          <w:rFonts w:asciiTheme="majorBidi" w:hAnsiTheme="majorBidi" w:cstheme="majorBidi"/>
        </w:rPr>
        <w:t xml:space="preserve"> changes</w:t>
      </w:r>
      <w:r w:rsidR="00043BEF" w:rsidRPr="00B12FA8">
        <w:rPr>
          <w:rFonts w:asciiTheme="majorBidi" w:hAnsiTheme="majorBidi" w:cstheme="majorBidi"/>
        </w:rPr>
        <w:t xml:space="preserve"> of specific metabolites and the state of the </w:t>
      </w:r>
      <w:r w:rsidR="00D52C8C" w:rsidRPr="00B12FA8">
        <w:rPr>
          <w:rFonts w:asciiTheme="majorBidi" w:hAnsiTheme="majorBidi" w:cstheme="majorBidi"/>
        </w:rPr>
        <w:t>tissue</w:t>
      </w:r>
      <w:r w:rsidR="00043BEF" w:rsidRPr="00B12FA8">
        <w:rPr>
          <w:rFonts w:asciiTheme="majorBidi" w:hAnsiTheme="majorBidi" w:cstheme="majorBidi"/>
        </w:rPr>
        <w:t xml:space="preserve">, which </w:t>
      </w:r>
      <w:r w:rsidR="00D52C8C" w:rsidRPr="00B12FA8">
        <w:rPr>
          <w:rFonts w:asciiTheme="majorBidi" w:hAnsiTheme="majorBidi" w:cstheme="majorBidi"/>
        </w:rPr>
        <w:t xml:space="preserve">is </w:t>
      </w:r>
      <w:r w:rsidR="00043BEF" w:rsidRPr="00B12FA8">
        <w:rPr>
          <w:rFonts w:asciiTheme="majorBidi" w:hAnsiTheme="majorBidi" w:cstheme="majorBidi"/>
        </w:rPr>
        <w:t>accomplished by multivariate analysis, such as principal component analysis (</w:t>
      </w:r>
      <w:proofErr w:type="spellStart"/>
      <w:r w:rsidR="00043BEF" w:rsidRPr="00B12FA8">
        <w:rPr>
          <w:rFonts w:asciiTheme="majorBidi" w:hAnsiTheme="majorBidi" w:cstheme="majorBidi"/>
        </w:rPr>
        <w:t>PCA</w:t>
      </w:r>
      <w:proofErr w:type="spellEnd"/>
      <w:r w:rsidR="00043BEF" w:rsidRPr="00B12FA8">
        <w:rPr>
          <w:rFonts w:asciiTheme="majorBidi" w:hAnsiTheme="majorBidi" w:cstheme="majorBidi"/>
        </w:rPr>
        <w:t>) and partial least-squares regression (PLS)</w:t>
      </w:r>
      <w:r w:rsidR="00D52C8C" w:rsidRPr="00B12FA8">
        <w:rPr>
          <w:rFonts w:asciiTheme="majorBidi" w:hAnsiTheme="majorBidi" w:cstheme="majorBidi"/>
        </w:rPr>
        <w:t xml:space="preserve"> is used to map the </w:t>
      </w:r>
      <w:r w:rsidR="00B90B14" w:rsidRPr="00B12FA8">
        <w:rPr>
          <w:rFonts w:asciiTheme="majorBidi" w:hAnsiTheme="majorBidi" w:cstheme="majorBidi"/>
        </w:rPr>
        <w:t>variation in activities of various cycles in the context of disease or treatment</w:t>
      </w:r>
      <w:r w:rsidR="00043BEF" w:rsidRPr="00B12FA8">
        <w:rPr>
          <w:rFonts w:asciiTheme="majorBidi" w:hAnsiTheme="majorBidi" w:cstheme="majorBidi"/>
        </w:rPr>
        <w:t>.</w:t>
      </w:r>
    </w:p>
    <w:p w14:paraId="659A364B" w14:textId="77777777" w:rsidR="00392F1F" w:rsidRPr="00B12FA8" w:rsidRDefault="00392F1F" w:rsidP="00C67B64">
      <w:pPr>
        <w:bidi w:val="0"/>
        <w:spacing w:before="20" w:afterLines="20" w:after="48" w:line="240" w:lineRule="auto"/>
        <w:contextualSpacing/>
        <w:jc w:val="both"/>
        <w:rPr>
          <w:rFonts w:asciiTheme="majorBidi" w:hAnsiTheme="majorBidi" w:cstheme="majorBidi"/>
          <w:highlight w:val="yellow"/>
        </w:rPr>
      </w:pPr>
    </w:p>
    <w:p w14:paraId="6BE2FA9A" w14:textId="18C81ED7" w:rsidR="00392F1F" w:rsidRPr="00B12FA8" w:rsidRDefault="00392F1F" w:rsidP="00C67B64">
      <w:pPr>
        <w:bidi w:val="0"/>
        <w:spacing w:before="20" w:afterLines="20" w:after="48" w:line="240" w:lineRule="auto"/>
        <w:contextualSpacing/>
        <w:jc w:val="both"/>
        <w:rPr>
          <w:rFonts w:asciiTheme="majorBidi" w:hAnsiTheme="majorBidi" w:cstheme="majorBidi"/>
          <w:b/>
          <w:bCs/>
          <w:highlight w:val="yellow"/>
        </w:rPr>
      </w:pPr>
      <w:r w:rsidRPr="00903289">
        <w:rPr>
          <w:rFonts w:asciiTheme="majorBidi" w:hAnsiTheme="majorBidi" w:cstheme="majorBidi"/>
          <w:b/>
          <w:bCs/>
          <w:i/>
          <w:iCs/>
        </w:rPr>
        <w:t>1D NMR analysis:</w:t>
      </w:r>
      <w:r w:rsidRPr="00B12FA8">
        <w:rPr>
          <w:rFonts w:asciiTheme="majorBidi" w:hAnsiTheme="majorBidi" w:cstheme="majorBidi"/>
          <w:b/>
          <w:bCs/>
        </w:rPr>
        <w:t xml:space="preserve"> </w:t>
      </w:r>
      <w:r w:rsidR="00166735" w:rsidRPr="00B12FA8">
        <w:rPr>
          <w:rFonts w:asciiTheme="majorBidi" w:hAnsiTheme="majorBidi" w:cstheme="majorBidi"/>
          <w:b/>
          <w:bCs/>
        </w:rPr>
        <w:t xml:space="preserve"> </w:t>
      </w:r>
      <w:r w:rsidR="00166735" w:rsidRPr="00B12FA8">
        <w:rPr>
          <w:rFonts w:asciiTheme="majorBidi" w:hAnsiTheme="majorBidi" w:cstheme="majorBidi"/>
        </w:rPr>
        <w:t xml:space="preserve">Spectral analysis of metabolites in brain tissue samples in NMR metabolomics </w:t>
      </w:r>
      <w:r w:rsidR="006104B1">
        <w:rPr>
          <w:rFonts w:asciiTheme="majorBidi" w:hAnsiTheme="majorBidi" w:cstheme="majorBidi"/>
        </w:rPr>
        <w:t>will be</w:t>
      </w:r>
      <w:r w:rsidR="00166735" w:rsidRPr="00B12FA8">
        <w:rPr>
          <w:rFonts w:asciiTheme="majorBidi" w:hAnsiTheme="majorBidi" w:cstheme="majorBidi"/>
        </w:rPr>
        <w:t xml:space="preserve"> done by identifying the discrete sets of signals associated with each metabolite. This is achieved owing to the </w:t>
      </w:r>
      <w:r w:rsidR="0078035C" w:rsidRPr="00B12FA8">
        <w:rPr>
          <w:rFonts w:asciiTheme="majorBidi" w:hAnsiTheme="majorBidi" w:cstheme="majorBidi"/>
        </w:rPr>
        <w:t>excellent resolution of high</w:t>
      </w:r>
      <w:r w:rsidR="00ED5A59">
        <w:rPr>
          <w:rFonts w:asciiTheme="majorBidi" w:hAnsiTheme="majorBidi" w:cstheme="majorBidi"/>
        </w:rPr>
        <w:t>-</w:t>
      </w:r>
      <w:r w:rsidR="0078035C" w:rsidRPr="00B12FA8">
        <w:rPr>
          <w:rFonts w:asciiTheme="majorBidi" w:hAnsiTheme="majorBidi" w:cstheme="majorBidi"/>
        </w:rPr>
        <w:t xml:space="preserve">field NMR without the need to </w:t>
      </w:r>
      <w:r w:rsidR="00166735" w:rsidRPr="00B12FA8">
        <w:rPr>
          <w:rFonts w:asciiTheme="majorBidi" w:hAnsiTheme="majorBidi" w:cstheme="majorBidi"/>
        </w:rPr>
        <w:t>physical</w:t>
      </w:r>
      <w:r w:rsidR="0078035C" w:rsidRPr="00B12FA8">
        <w:rPr>
          <w:rFonts w:asciiTheme="majorBidi" w:hAnsiTheme="majorBidi" w:cstheme="majorBidi"/>
        </w:rPr>
        <w:t>ly</w:t>
      </w:r>
      <w:r w:rsidR="00166735" w:rsidRPr="00B12FA8">
        <w:rPr>
          <w:rFonts w:asciiTheme="majorBidi" w:hAnsiTheme="majorBidi" w:cstheme="majorBidi"/>
        </w:rPr>
        <w:t xml:space="preserve"> separat</w:t>
      </w:r>
      <w:r w:rsidR="0078035C" w:rsidRPr="00B12FA8">
        <w:rPr>
          <w:rFonts w:asciiTheme="majorBidi" w:hAnsiTheme="majorBidi" w:cstheme="majorBidi"/>
        </w:rPr>
        <w:t>e</w:t>
      </w:r>
      <w:r w:rsidR="00166735" w:rsidRPr="00B12FA8">
        <w:rPr>
          <w:rFonts w:asciiTheme="majorBidi" w:hAnsiTheme="majorBidi" w:cstheme="majorBidi"/>
        </w:rPr>
        <w:t xml:space="preserve"> the mixture into its different components by </w:t>
      </w:r>
      <w:r w:rsidR="0078035C" w:rsidRPr="00B12FA8">
        <w:rPr>
          <w:rFonts w:asciiTheme="majorBidi" w:hAnsiTheme="majorBidi" w:cstheme="majorBidi"/>
        </w:rPr>
        <w:t xml:space="preserve">chromatography and avoid the risk of </w:t>
      </w:r>
      <w:r w:rsidR="00166735" w:rsidRPr="00B12FA8">
        <w:rPr>
          <w:rFonts w:asciiTheme="majorBidi" w:hAnsiTheme="majorBidi" w:cstheme="majorBidi"/>
        </w:rPr>
        <w:t xml:space="preserve">metabolite </w:t>
      </w:r>
      <w:r w:rsidR="0078035C" w:rsidRPr="00B12FA8">
        <w:rPr>
          <w:rFonts w:asciiTheme="majorBidi" w:hAnsiTheme="majorBidi" w:cstheme="majorBidi"/>
        </w:rPr>
        <w:t xml:space="preserve">breakdown and activity </w:t>
      </w:r>
      <w:r w:rsidR="00166735" w:rsidRPr="00B12FA8">
        <w:rPr>
          <w:rFonts w:asciiTheme="majorBidi" w:hAnsiTheme="majorBidi" w:cstheme="majorBidi"/>
        </w:rPr>
        <w:t>los</w:t>
      </w:r>
      <w:r w:rsidR="009E06DA">
        <w:rPr>
          <w:rFonts w:asciiTheme="majorBidi" w:hAnsiTheme="majorBidi" w:cstheme="majorBidi"/>
        </w:rPr>
        <w:t>s</w:t>
      </w:r>
      <w:r w:rsidR="00166735" w:rsidRPr="00B12FA8">
        <w:rPr>
          <w:rFonts w:asciiTheme="majorBidi" w:hAnsiTheme="majorBidi" w:cstheme="majorBidi"/>
        </w:rPr>
        <w:t>.</w:t>
      </w:r>
      <w:r w:rsidR="00EB2E74" w:rsidRPr="00B12FA8">
        <w:rPr>
          <w:rFonts w:asciiTheme="majorBidi" w:hAnsiTheme="majorBidi" w:cstheme="majorBidi"/>
        </w:rPr>
        <w:t xml:space="preserve"> The sets of metabolites recorded are identified</w:t>
      </w:r>
      <w:r w:rsidR="006104B1">
        <w:rPr>
          <w:rFonts w:asciiTheme="majorBidi" w:hAnsiTheme="majorBidi" w:cstheme="majorBidi"/>
        </w:rPr>
        <w:t>,</w:t>
      </w:r>
      <w:r w:rsidR="00EB2E74" w:rsidRPr="00B12FA8">
        <w:rPr>
          <w:rFonts w:asciiTheme="majorBidi" w:hAnsiTheme="majorBidi" w:cstheme="majorBidi"/>
        </w:rPr>
        <w:t xml:space="preserve"> and their intensity and</w:t>
      </w:r>
      <w:r w:rsidR="006104B1">
        <w:rPr>
          <w:rFonts w:asciiTheme="majorBidi" w:hAnsiTheme="majorBidi" w:cstheme="majorBidi"/>
        </w:rPr>
        <w:t>,</w:t>
      </w:r>
      <w:r w:rsidR="00EB2E74" w:rsidRPr="00B12FA8">
        <w:rPr>
          <w:rFonts w:asciiTheme="majorBidi" w:hAnsiTheme="majorBidi" w:cstheme="majorBidi"/>
        </w:rPr>
        <w:t xml:space="preserve"> thus</w:t>
      </w:r>
      <w:r w:rsidR="006104B1">
        <w:rPr>
          <w:rFonts w:asciiTheme="majorBidi" w:hAnsiTheme="majorBidi" w:cstheme="majorBidi"/>
        </w:rPr>
        <w:t>,</w:t>
      </w:r>
      <w:r w:rsidR="00EB2E74" w:rsidRPr="00B12FA8">
        <w:rPr>
          <w:rFonts w:asciiTheme="majorBidi" w:hAnsiTheme="majorBidi" w:cstheme="majorBidi"/>
        </w:rPr>
        <w:t xml:space="preserve"> their concentration is collected for further analysis using statistical methods and separating sets of metabolites based on their appearance in metabolic pathways as described below</w:t>
      </w:r>
      <w:r w:rsidR="007B0FB0" w:rsidRPr="00B12FA8">
        <w:rPr>
          <w:rFonts w:asciiTheme="majorBidi" w:hAnsiTheme="majorBidi" w:cstheme="majorBidi"/>
        </w:rPr>
        <w:t xml:space="preserve">. </w:t>
      </w:r>
    </w:p>
    <w:p w14:paraId="7EAB81C4" w14:textId="77777777" w:rsidR="00392F1F" w:rsidRPr="00B12FA8" w:rsidRDefault="00392F1F" w:rsidP="00C67B64">
      <w:pPr>
        <w:bidi w:val="0"/>
        <w:spacing w:before="20" w:afterLines="20" w:after="48" w:line="240" w:lineRule="auto"/>
        <w:contextualSpacing/>
        <w:jc w:val="both"/>
        <w:rPr>
          <w:rFonts w:asciiTheme="majorBidi" w:hAnsiTheme="majorBidi" w:cstheme="majorBidi"/>
          <w:b/>
          <w:bCs/>
          <w:highlight w:val="yellow"/>
        </w:rPr>
      </w:pPr>
    </w:p>
    <w:p w14:paraId="140A81E9" w14:textId="0BCC4A30" w:rsidR="00392F1F" w:rsidRPr="00B12FA8" w:rsidRDefault="00392F1F" w:rsidP="00C67B64">
      <w:pPr>
        <w:bidi w:val="0"/>
        <w:spacing w:before="20" w:afterLines="20" w:after="48" w:line="240" w:lineRule="auto"/>
        <w:contextualSpacing/>
        <w:jc w:val="both"/>
        <w:rPr>
          <w:rFonts w:asciiTheme="majorBidi" w:hAnsiTheme="majorBidi" w:cstheme="majorBidi"/>
        </w:rPr>
      </w:pPr>
      <w:bookmarkStart w:id="9" w:name="_Hlk124426914"/>
      <w:r w:rsidRPr="00903289">
        <w:rPr>
          <w:rFonts w:asciiTheme="majorBidi" w:hAnsiTheme="majorBidi" w:cstheme="majorBidi"/>
          <w:b/>
          <w:bCs/>
          <w:i/>
          <w:iCs/>
        </w:rPr>
        <w:t>2D NMR analysis:</w:t>
      </w:r>
      <w:r w:rsidRPr="00B12FA8">
        <w:rPr>
          <w:rFonts w:asciiTheme="majorBidi" w:hAnsiTheme="majorBidi" w:cstheme="majorBidi"/>
        </w:rPr>
        <w:t xml:space="preserve"> </w:t>
      </w:r>
      <w:bookmarkEnd w:id="9"/>
      <w:r w:rsidR="00EB2E74" w:rsidRPr="00B12FA8">
        <w:rPr>
          <w:rFonts w:asciiTheme="majorBidi" w:hAnsiTheme="majorBidi" w:cstheme="majorBidi"/>
        </w:rPr>
        <w:t xml:space="preserve">2D NMR </w:t>
      </w:r>
      <w:r w:rsidR="00284C7D" w:rsidRPr="00B12FA8">
        <w:rPr>
          <w:rFonts w:asciiTheme="majorBidi" w:hAnsiTheme="majorBidi" w:cstheme="majorBidi"/>
        </w:rPr>
        <w:t>facilit</w:t>
      </w:r>
      <w:r w:rsidR="0095048D" w:rsidRPr="00B12FA8">
        <w:rPr>
          <w:rFonts w:asciiTheme="majorBidi" w:hAnsiTheme="majorBidi" w:cstheme="majorBidi"/>
        </w:rPr>
        <w:t>at</w:t>
      </w:r>
      <w:r w:rsidR="00284C7D" w:rsidRPr="00B12FA8">
        <w:rPr>
          <w:rFonts w:asciiTheme="majorBidi" w:hAnsiTheme="majorBidi" w:cstheme="majorBidi"/>
        </w:rPr>
        <w:t xml:space="preserve">es tackling </w:t>
      </w:r>
      <w:r w:rsidR="00EB2E74" w:rsidRPr="00B12FA8">
        <w:rPr>
          <w:rFonts w:asciiTheme="majorBidi" w:hAnsiTheme="majorBidi" w:cstheme="majorBidi"/>
        </w:rPr>
        <w:t>overlap</w:t>
      </w:r>
      <w:r w:rsidR="00284C7D" w:rsidRPr="00B12FA8">
        <w:rPr>
          <w:rFonts w:asciiTheme="majorBidi" w:hAnsiTheme="majorBidi" w:cstheme="majorBidi"/>
        </w:rPr>
        <w:t>ping spectral lines</w:t>
      </w:r>
      <w:r w:rsidR="00EB2E74" w:rsidRPr="00B12FA8">
        <w:rPr>
          <w:rFonts w:asciiTheme="majorBidi" w:hAnsiTheme="majorBidi" w:cstheme="majorBidi"/>
        </w:rPr>
        <w:t xml:space="preserve"> by allowing the transfer of spin magnetization across a molecule</w:t>
      </w:r>
      <w:r w:rsidR="00284C7D" w:rsidRPr="00B12FA8">
        <w:rPr>
          <w:rFonts w:asciiTheme="majorBidi" w:hAnsiTheme="majorBidi" w:cstheme="majorBidi"/>
        </w:rPr>
        <w:t xml:space="preserve"> based on spin</w:t>
      </w:r>
      <w:r w:rsidR="00284C7D" w:rsidRPr="00B12FA8">
        <w:rPr>
          <w:rFonts w:asciiTheme="majorBidi" w:hAnsiTheme="majorBidi" w:cstheme="majorBidi"/>
          <w:rtl/>
        </w:rPr>
        <w:t>−</w:t>
      </w:r>
      <w:r w:rsidR="00284C7D" w:rsidRPr="00B12FA8">
        <w:rPr>
          <w:rFonts w:asciiTheme="majorBidi" w:hAnsiTheme="majorBidi" w:cstheme="majorBidi"/>
        </w:rPr>
        <w:t>spin interactions</w:t>
      </w:r>
      <w:r w:rsidR="00EB2E74" w:rsidRPr="00B12FA8">
        <w:rPr>
          <w:rFonts w:asciiTheme="majorBidi" w:hAnsiTheme="majorBidi" w:cstheme="majorBidi"/>
        </w:rPr>
        <w:t xml:space="preserve">. 2D NMR </w:t>
      </w:r>
      <w:r w:rsidR="0095048D" w:rsidRPr="00B12FA8">
        <w:rPr>
          <w:rFonts w:asciiTheme="majorBidi" w:hAnsiTheme="majorBidi" w:cstheme="majorBidi"/>
        </w:rPr>
        <w:t>experiment</w:t>
      </w:r>
      <w:r w:rsidR="009E06DA">
        <w:rPr>
          <w:rFonts w:asciiTheme="majorBidi" w:hAnsiTheme="majorBidi" w:cstheme="majorBidi"/>
        </w:rPr>
        <w:t>s</w:t>
      </w:r>
      <w:r w:rsidR="0095048D" w:rsidRPr="00B12FA8">
        <w:rPr>
          <w:rFonts w:asciiTheme="majorBidi" w:hAnsiTheme="majorBidi" w:cstheme="majorBidi"/>
        </w:rPr>
        <w:t xml:space="preserve"> </w:t>
      </w:r>
      <w:r w:rsidR="00EB2E74" w:rsidRPr="00B12FA8">
        <w:rPr>
          <w:rFonts w:asciiTheme="majorBidi" w:hAnsiTheme="majorBidi" w:cstheme="majorBidi"/>
        </w:rPr>
        <w:t>u</w:t>
      </w:r>
      <w:r w:rsidR="0095048D" w:rsidRPr="00B12FA8">
        <w:rPr>
          <w:rFonts w:asciiTheme="majorBidi" w:hAnsiTheme="majorBidi" w:cstheme="majorBidi"/>
        </w:rPr>
        <w:t>tilizing</w:t>
      </w:r>
      <w:r w:rsidR="00EB2E74" w:rsidRPr="00B12FA8">
        <w:rPr>
          <w:rFonts w:asciiTheme="majorBidi" w:hAnsiTheme="majorBidi" w:cstheme="majorBidi"/>
        </w:rPr>
        <w:t xml:space="preserve"> scalar </w:t>
      </w:r>
      <w:r w:rsidR="00EB2E74" w:rsidRPr="00B12FA8">
        <w:rPr>
          <w:rFonts w:asciiTheme="majorBidi" w:hAnsiTheme="majorBidi" w:cstheme="majorBidi"/>
          <w:i/>
          <w:iCs/>
        </w:rPr>
        <w:t>J</w:t>
      </w:r>
      <w:r w:rsidR="00EB2E74" w:rsidRPr="00B12FA8">
        <w:rPr>
          <w:rFonts w:asciiTheme="majorBidi" w:hAnsiTheme="majorBidi" w:cstheme="majorBidi"/>
        </w:rPr>
        <w:t xml:space="preserve">-couplings for magnetization transfer are </w:t>
      </w:r>
      <w:r w:rsidR="0095048D" w:rsidRPr="00B12FA8">
        <w:rPr>
          <w:rFonts w:asciiTheme="majorBidi" w:hAnsiTheme="majorBidi" w:cstheme="majorBidi"/>
        </w:rPr>
        <w:t xml:space="preserve">popular </w:t>
      </w:r>
      <w:r w:rsidR="00EB2E74" w:rsidRPr="00B12FA8">
        <w:rPr>
          <w:rFonts w:asciiTheme="majorBidi" w:hAnsiTheme="majorBidi" w:cstheme="majorBidi"/>
        </w:rPr>
        <w:t>for small molecules</w:t>
      </w:r>
      <w:r w:rsidR="0095048D" w:rsidRPr="00B12FA8">
        <w:rPr>
          <w:rFonts w:asciiTheme="majorBidi" w:hAnsiTheme="majorBidi" w:cstheme="majorBidi"/>
        </w:rPr>
        <w:t xml:space="preserve"> are very useful</w:t>
      </w:r>
      <w:r w:rsidR="00EB2E74" w:rsidRPr="00B12FA8">
        <w:rPr>
          <w:rFonts w:asciiTheme="majorBidi" w:hAnsiTheme="majorBidi" w:cstheme="majorBidi"/>
        </w:rPr>
        <w:t>, in</w:t>
      </w:r>
      <w:r w:rsidR="002D25E6" w:rsidRPr="00B12FA8">
        <w:rPr>
          <w:rFonts w:asciiTheme="majorBidi" w:hAnsiTheme="majorBidi" w:cstheme="majorBidi"/>
        </w:rPr>
        <w:t xml:space="preserve"> </w:t>
      </w:r>
      <w:r w:rsidR="00EB2E74" w:rsidRPr="00B12FA8">
        <w:rPr>
          <w:rFonts w:asciiTheme="majorBidi" w:hAnsiTheme="majorBidi" w:cstheme="majorBidi"/>
        </w:rPr>
        <w:t>particular</w:t>
      </w:r>
      <w:r w:rsidR="009E06DA">
        <w:rPr>
          <w:rFonts w:asciiTheme="majorBidi" w:hAnsiTheme="majorBidi" w:cstheme="majorBidi"/>
        </w:rPr>
        <w:t>,</w:t>
      </w:r>
      <w:r w:rsidR="00EB2E74" w:rsidRPr="00B12FA8">
        <w:rPr>
          <w:rFonts w:asciiTheme="majorBidi" w:hAnsiTheme="majorBidi" w:cstheme="majorBidi"/>
        </w:rPr>
        <w:t xml:space="preserve"> </w:t>
      </w:r>
      <w:r w:rsidR="00EB2E74" w:rsidRPr="00B12FA8">
        <w:rPr>
          <w:rFonts w:asciiTheme="majorBidi" w:hAnsiTheme="majorBidi" w:cstheme="majorBidi"/>
          <w:vertAlign w:val="superscript"/>
        </w:rPr>
        <w:t>1</w:t>
      </w:r>
      <w:r w:rsidR="00EB2E74" w:rsidRPr="00B12FA8">
        <w:rPr>
          <w:rFonts w:asciiTheme="majorBidi" w:hAnsiTheme="majorBidi" w:cstheme="majorBidi"/>
        </w:rPr>
        <w:t>H−</w:t>
      </w:r>
      <w:r w:rsidR="00EB2E74" w:rsidRPr="00B12FA8">
        <w:rPr>
          <w:rFonts w:asciiTheme="majorBidi" w:hAnsiTheme="majorBidi" w:cstheme="majorBidi"/>
          <w:vertAlign w:val="superscript"/>
        </w:rPr>
        <w:t>1</w:t>
      </w:r>
      <w:r w:rsidR="00EB2E74" w:rsidRPr="00B12FA8">
        <w:rPr>
          <w:rFonts w:asciiTheme="majorBidi" w:hAnsiTheme="majorBidi" w:cstheme="majorBidi"/>
        </w:rPr>
        <w:t>H correlation spectroscopy (</w:t>
      </w:r>
      <w:proofErr w:type="spellStart"/>
      <w:r w:rsidR="00EB2E74" w:rsidRPr="00B12FA8">
        <w:rPr>
          <w:rFonts w:asciiTheme="majorBidi" w:hAnsiTheme="majorBidi" w:cstheme="majorBidi"/>
        </w:rPr>
        <w:t>COSY</w:t>
      </w:r>
      <w:proofErr w:type="spellEnd"/>
      <w:r w:rsidR="00EB2E74" w:rsidRPr="00B12FA8">
        <w:rPr>
          <w:rFonts w:asciiTheme="majorBidi" w:hAnsiTheme="majorBidi" w:cstheme="majorBidi"/>
        </w:rPr>
        <w:t>)</w:t>
      </w:r>
      <w:r w:rsidR="0095048D" w:rsidRPr="00B12FA8">
        <w:rPr>
          <w:rFonts w:asciiTheme="majorBidi" w:hAnsiTheme="majorBidi" w:cstheme="majorBidi"/>
        </w:rPr>
        <w:t>,</w:t>
      </w:r>
      <w:r w:rsidR="00EB2E74" w:rsidRPr="00B12FA8">
        <w:rPr>
          <w:rFonts w:asciiTheme="majorBidi" w:hAnsiTheme="majorBidi" w:cstheme="majorBidi"/>
        </w:rPr>
        <w:t xml:space="preserve"> </w:t>
      </w:r>
      <w:r w:rsidR="00EB2E74" w:rsidRPr="00B12FA8">
        <w:rPr>
          <w:rFonts w:asciiTheme="majorBidi" w:hAnsiTheme="majorBidi" w:cstheme="majorBidi"/>
          <w:vertAlign w:val="superscript"/>
        </w:rPr>
        <w:t>1</w:t>
      </w:r>
      <w:r w:rsidR="00EB2E74" w:rsidRPr="00B12FA8">
        <w:rPr>
          <w:rFonts w:asciiTheme="majorBidi" w:hAnsiTheme="majorBidi" w:cstheme="majorBidi"/>
        </w:rPr>
        <w:t>H−</w:t>
      </w:r>
      <w:r w:rsidR="00EB2E74" w:rsidRPr="00B12FA8">
        <w:rPr>
          <w:rFonts w:asciiTheme="majorBidi" w:hAnsiTheme="majorBidi" w:cstheme="majorBidi"/>
          <w:vertAlign w:val="superscript"/>
        </w:rPr>
        <w:t>1</w:t>
      </w:r>
      <w:r w:rsidR="00EB2E74" w:rsidRPr="00B12FA8">
        <w:rPr>
          <w:rFonts w:asciiTheme="majorBidi" w:hAnsiTheme="majorBidi" w:cstheme="majorBidi"/>
        </w:rPr>
        <w:t>H total correlation spectroscopy (</w:t>
      </w:r>
      <w:proofErr w:type="spellStart"/>
      <w:r w:rsidR="00EB2E74" w:rsidRPr="00B12FA8">
        <w:rPr>
          <w:rFonts w:asciiTheme="majorBidi" w:hAnsiTheme="majorBidi" w:cstheme="majorBidi"/>
        </w:rPr>
        <w:t>TOCSY</w:t>
      </w:r>
      <w:proofErr w:type="spellEnd"/>
      <w:r w:rsidR="00EB2E74" w:rsidRPr="00B12FA8">
        <w:rPr>
          <w:rFonts w:asciiTheme="majorBidi" w:hAnsiTheme="majorBidi" w:cstheme="majorBidi"/>
        </w:rPr>
        <w:t>)</w:t>
      </w:r>
      <w:r w:rsidR="003343C6"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{"citationItems":[{"id":"ITEM-1","itemData":{"DOI":"10.1016/0006-291X(83)91225-1","ISSN":"0006-291X","PMID":"6661238","abstract":"A double quantum filter is inserted into a two-dimensional correlated (COSY) 1H NMR experiment to obtain phase-sensitive spectra in which both cross peak and diagonal peak multiplets have anti-phase fine structure, and in which the cross peaks and the major contribution to the diagonal peaks have absorption lineshapes in both dimensions. The elimination of the dispersive character of the diagonal peaks in phase-sensitive, double quantum-filtered COSY spectra allows identification of cross peaks lying immediately adjacent to the diagonal, which represents a significant improvement over the conventional COSY experiment. © 1983.","author":[{"dropping-particle":"","family":"Rance","given":"M.","non-dropping-particle":"","parse-names":false,"suffix":""},{"dropping-particle":"","family":"Sørensen","given":"O. W.","non-dropping-particle":"","parse-names":false,"suffix":""},{"dropping-particle":"","family":"Bodenhausen","given":"G.","non-dropping-particle":"","parse-names":false,"suffix":""},{"dropping-particle":"","family":"Wagner","given":"G.","non-dropping-particle":"","parse-names":false,"suffix":""},{"dropping-particle":"","family":"Ernst","given":"R. R.","non-dropping-particle":"","parse-names":false,"suffix":""},{"dropping-particle":"","family":"Wüthrich","given":"K.","non-dropping-particle":"","parse-names":false,"suffix":""}],"container-title":"Biochemical and Biophysical Research Communications","id":"ITEM-1","issue":"2","issued":{"date-parts":[["1983","12","16"]]},"page":"479-485","publisher":"Academic Press","title":"Improved spectral resolution in COSY 1H NMR spectra of proteins via double quantum filtering","type":"article-journal","volume":"117"},"uris":["http://www.mendeley.com/documents/?uuid=d52eb866-0e48-3262-af02-4059788ccc16"]}],"mendeley":{"formattedCitation":"&lt;sup&gt;99&lt;/sup&gt;","plainTextFormattedCitation":"99","previouslyFormattedCitation":"&lt;sup&gt;99&lt;/sup&gt;"},"properties":{"noteIndex":0},"schema":"https://github.com/citation-style-language/schema/raw/master/csl-citation.json"}</w:instrText>
      </w:r>
      <w:r w:rsidR="003343C6"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99</w:t>
      </w:r>
      <w:r w:rsidR="003343C6" w:rsidRPr="00B12FA8">
        <w:rPr>
          <w:rFonts w:asciiTheme="majorBidi" w:hAnsiTheme="majorBidi" w:cstheme="majorBidi"/>
        </w:rPr>
        <w:fldChar w:fldCharType="end"/>
      </w:r>
      <w:r w:rsidR="0095048D" w:rsidRPr="00B12FA8">
        <w:rPr>
          <w:rFonts w:asciiTheme="majorBidi" w:hAnsiTheme="majorBidi" w:cstheme="majorBidi"/>
        </w:rPr>
        <w:t>.</w:t>
      </w:r>
      <w:r w:rsidR="00EB2E74" w:rsidRPr="00B12FA8">
        <w:rPr>
          <w:rFonts w:asciiTheme="majorBidi" w:hAnsiTheme="majorBidi" w:cstheme="majorBidi"/>
        </w:rPr>
        <w:t xml:space="preserve"> </w:t>
      </w:r>
      <w:proofErr w:type="spellStart"/>
      <w:r w:rsidR="00EB2E74" w:rsidRPr="00B12FA8">
        <w:rPr>
          <w:rFonts w:asciiTheme="majorBidi" w:hAnsiTheme="majorBidi" w:cstheme="majorBidi"/>
        </w:rPr>
        <w:t>TOCSY</w:t>
      </w:r>
      <w:proofErr w:type="spellEnd"/>
      <w:r w:rsidR="00EB2E74" w:rsidRPr="00B12FA8">
        <w:rPr>
          <w:rFonts w:asciiTheme="majorBidi" w:hAnsiTheme="majorBidi" w:cstheme="majorBidi"/>
        </w:rPr>
        <w:t xml:space="preserve"> </w:t>
      </w:r>
      <w:r w:rsidR="0095048D" w:rsidRPr="00B12FA8">
        <w:rPr>
          <w:rFonts w:asciiTheme="majorBidi" w:hAnsiTheme="majorBidi" w:cstheme="majorBidi"/>
        </w:rPr>
        <w:t xml:space="preserve">and </w:t>
      </w:r>
      <w:proofErr w:type="spellStart"/>
      <w:r w:rsidR="0095048D" w:rsidRPr="00B12FA8">
        <w:rPr>
          <w:rFonts w:asciiTheme="majorBidi" w:hAnsiTheme="majorBidi" w:cstheme="majorBidi"/>
        </w:rPr>
        <w:t>COSY</w:t>
      </w:r>
      <w:proofErr w:type="spellEnd"/>
      <w:r w:rsidR="0095048D" w:rsidRPr="00B12FA8">
        <w:rPr>
          <w:rFonts w:asciiTheme="majorBidi" w:hAnsiTheme="majorBidi" w:cstheme="majorBidi"/>
        </w:rPr>
        <w:t xml:space="preserve"> measurements allow the </w:t>
      </w:r>
      <w:r w:rsidR="00EB2E74" w:rsidRPr="00B12FA8">
        <w:rPr>
          <w:rFonts w:asciiTheme="majorBidi" w:hAnsiTheme="majorBidi" w:cstheme="majorBidi"/>
        </w:rPr>
        <w:t xml:space="preserve">identification of individual </w:t>
      </w:r>
      <w:r w:rsidR="00EB2E74" w:rsidRPr="00B12FA8">
        <w:rPr>
          <w:rFonts w:asciiTheme="majorBidi" w:hAnsiTheme="majorBidi" w:cstheme="majorBidi"/>
          <w:vertAlign w:val="superscript"/>
        </w:rPr>
        <w:t>1</w:t>
      </w:r>
      <w:r w:rsidR="00EB2E74" w:rsidRPr="00B12FA8">
        <w:rPr>
          <w:rFonts w:asciiTheme="majorBidi" w:hAnsiTheme="majorBidi" w:cstheme="majorBidi"/>
        </w:rPr>
        <w:t>H spin system that</w:t>
      </w:r>
      <w:r w:rsidR="0095048D" w:rsidRPr="00B12FA8">
        <w:rPr>
          <w:rFonts w:asciiTheme="majorBidi" w:hAnsiTheme="majorBidi" w:cstheme="majorBidi"/>
        </w:rPr>
        <w:t xml:space="preserve"> is within a molecule only and thus </w:t>
      </w:r>
      <w:r w:rsidR="00EB2E74" w:rsidRPr="00B12FA8">
        <w:rPr>
          <w:rFonts w:asciiTheme="majorBidi" w:hAnsiTheme="majorBidi" w:cstheme="majorBidi"/>
        </w:rPr>
        <w:t xml:space="preserve">can be assigned to the </w:t>
      </w:r>
      <w:r w:rsidR="0095048D" w:rsidRPr="00B12FA8">
        <w:rPr>
          <w:rFonts w:asciiTheme="majorBidi" w:hAnsiTheme="majorBidi" w:cstheme="majorBidi"/>
        </w:rPr>
        <w:t>particular of metabolites in the</w:t>
      </w:r>
      <w:r w:rsidR="00EB2E74" w:rsidRPr="00B12FA8">
        <w:rPr>
          <w:rFonts w:asciiTheme="majorBidi" w:hAnsiTheme="majorBidi" w:cstheme="majorBidi"/>
        </w:rPr>
        <w:t xml:space="preserve"> mixture.</w:t>
      </w:r>
      <w:r w:rsidR="002D25E6" w:rsidRPr="00B12FA8">
        <w:rPr>
          <w:rFonts w:asciiTheme="majorBidi" w:hAnsiTheme="majorBidi" w:cstheme="majorBidi"/>
        </w:rPr>
        <w:t xml:space="preserve"> 2D NMR </w:t>
      </w:r>
      <w:r w:rsidR="009E59A9" w:rsidRPr="00B12FA8">
        <w:rPr>
          <w:rFonts w:asciiTheme="majorBidi" w:hAnsiTheme="majorBidi" w:cstheme="majorBidi"/>
        </w:rPr>
        <w:t>experiments</w:t>
      </w:r>
      <w:r w:rsidR="002D25E6" w:rsidRPr="00B12FA8">
        <w:rPr>
          <w:rFonts w:asciiTheme="majorBidi" w:hAnsiTheme="majorBidi" w:cstheme="majorBidi"/>
        </w:rPr>
        <w:t xml:space="preserve"> that </w:t>
      </w:r>
      <w:r w:rsidR="009E59A9" w:rsidRPr="00B12FA8">
        <w:rPr>
          <w:rFonts w:asciiTheme="majorBidi" w:hAnsiTheme="majorBidi" w:cstheme="majorBidi"/>
        </w:rPr>
        <w:t>harness through-space spin couplings</w:t>
      </w:r>
      <w:r w:rsidR="002D25E6" w:rsidRPr="00B12FA8">
        <w:rPr>
          <w:rFonts w:asciiTheme="majorBidi" w:hAnsiTheme="majorBidi" w:cstheme="majorBidi"/>
        </w:rPr>
        <w:t xml:space="preserve"> </w:t>
      </w:r>
      <w:r w:rsidR="009E59A9" w:rsidRPr="00B12FA8">
        <w:rPr>
          <w:rFonts w:asciiTheme="majorBidi" w:hAnsiTheme="majorBidi" w:cstheme="majorBidi"/>
        </w:rPr>
        <w:t xml:space="preserve">(via </w:t>
      </w:r>
      <w:r w:rsidR="002D25E6" w:rsidRPr="00B12FA8">
        <w:rPr>
          <w:rFonts w:asciiTheme="majorBidi" w:hAnsiTheme="majorBidi" w:cstheme="majorBidi"/>
        </w:rPr>
        <w:t>a cross</w:t>
      </w:r>
      <w:r w:rsidR="006104B1">
        <w:rPr>
          <w:rFonts w:asciiTheme="majorBidi" w:hAnsiTheme="majorBidi" w:cstheme="majorBidi"/>
        </w:rPr>
        <w:t>-</w:t>
      </w:r>
      <w:r w:rsidR="002D25E6" w:rsidRPr="00B12FA8">
        <w:rPr>
          <w:rFonts w:asciiTheme="majorBidi" w:hAnsiTheme="majorBidi" w:cstheme="majorBidi"/>
        </w:rPr>
        <w:t>relaxation mechanism</w:t>
      </w:r>
      <w:r w:rsidR="009E59A9" w:rsidRPr="00B12FA8">
        <w:rPr>
          <w:rFonts w:asciiTheme="majorBidi" w:hAnsiTheme="majorBidi" w:cstheme="majorBidi"/>
        </w:rPr>
        <w:t>)</w:t>
      </w:r>
      <w:r w:rsidR="002D25E6" w:rsidRPr="00B12FA8">
        <w:rPr>
          <w:rFonts w:asciiTheme="majorBidi" w:hAnsiTheme="majorBidi" w:cstheme="majorBidi"/>
        </w:rPr>
        <w:t xml:space="preserve"> for magnetization transfer are nuclear </w:t>
      </w:r>
      <w:proofErr w:type="spellStart"/>
      <w:r w:rsidR="002D25E6" w:rsidRPr="00B12FA8">
        <w:rPr>
          <w:rFonts w:asciiTheme="majorBidi" w:hAnsiTheme="majorBidi" w:cstheme="majorBidi"/>
        </w:rPr>
        <w:t>Overhauser</w:t>
      </w:r>
      <w:proofErr w:type="spellEnd"/>
      <w:r w:rsidR="002D25E6" w:rsidRPr="00B12FA8">
        <w:rPr>
          <w:rFonts w:asciiTheme="majorBidi" w:hAnsiTheme="majorBidi" w:cstheme="majorBidi"/>
        </w:rPr>
        <w:t xml:space="preserve"> effect spectroscopy (</w:t>
      </w:r>
      <w:proofErr w:type="spellStart"/>
      <w:r w:rsidR="002D25E6" w:rsidRPr="00B12FA8">
        <w:rPr>
          <w:rFonts w:asciiTheme="majorBidi" w:hAnsiTheme="majorBidi" w:cstheme="majorBidi"/>
        </w:rPr>
        <w:t>NOESY</w:t>
      </w:r>
      <w:proofErr w:type="spellEnd"/>
      <w:r w:rsidR="002D25E6" w:rsidRPr="00B12FA8">
        <w:rPr>
          <w:rFonts w:asciiTheme="majorBidi" w:hAnsiTheme="majorBidi" w:cstheme="majorBidi"/>
        </w:rPr>
        <w:t>)</w:t>
      </w:r>
      <w:r w:rsidR="003343C6"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{"citationItems":[{"id":"ITEM-1","itemData":{"DOI":"10.1063/1.438208","ISSN":"0021-9606","abstract":"A new general technique for the investigation of exchange processes in molecular systems is proposed and demonstrated. Applications comprise the study of chemical exchange, of magnetization transfe...","author":[{"dropping-particle":"","family":"Jeener","given":"J.","non-dropping-particle":"","parse-names":false,"suffix":""},{"dropping-particle":"","family":"Meier","given":"B. H.","non-dropping-particle":"","parse-names":false,"suffix":""},{"dropping-particle":"","family":"Bachmann","given":"P.","non-dropping-particle":"","parse-names":false,"suffix":""},{"dropping-particle":"","family":"Ernst","given":"R. R.","non-dropping-particle":"","parse-names":false,"suffix":""}],"container-title":"The Journal of Chemical Physics","id":"ITEM-1","issue":"11","issued":{"date-parts":[["2008","7","25"]]},"page":"4546","publisher":"American Institute of PhysicsAIP","title":"Investigation of exchange processes by two‐dimensional NMR spectroscopy","type":"article-journal","volume":"71"},"uris":["http://www.mendeley.com/documents/?uuid=0e01106a-9aa0-3343-b7a3-ec92c757ae20"]}],"mendeley":{"formattedCitation":"&lt;sup&gt;100&lt;/sup&gt;","plainTextFormattedCitation":"100","previouslyFormattedCitation":"&lt;sup&gt;100&lt;/sup&gt;"},"properties":{"noteIndex":0},"schema":"https://github.com/citation-style-language/schema/raw/master/csl-citation.json"}</w:instrText>
      </w:r>
      <w:r w:rsidR="003343C6"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100</w:t>
      </w:r>
      <w:r w:rsidR="003343C6" w:rsidRPr="00B12FA8">
        <w:rPr>
          <w:rFonts w:asciiTheme="majorBidi" w:hAnsiTheme="majorBidi" w:cstheme="majorBidi"/>
        </w:rPr>
        <w:fldChar w:fldCharType="end"/>
      </w:r>
      <w:r w:rsidR="009E06DA">
        <w:rPr>
          <w:rFonts w:asciiTheme="majorBidi" w:hAnsiTheme="majorBidi" w:cstheme="majorBidi"/>
        </w:rPr>
        <w:t>,</w:t>
      </w:r>
      <w:r w:rsidR="002D25E6" w:rsidRPr="00B12FA8">
        <w:rPr>
          <w:rFonts w:asciiTheme="majorBidi" w:hAnsiTheme="majorBidi" w:cstheme="majorBidi"/>
        </w:rPr>
        <w:t xml:space="preserve"> which </w:t>
      </w:r>
      <w:r w:rsidR="009E59A9" w:rsidRPr="00B12FA8">
        <w:rPr>
          <w:rFonts w:asciiTheme="majorBidi" w:hAnsiTheme="majorBidi" w:cstheme="majorBidi"/>
        </w:rPr>
        <w:t>w</w:t>
      </w:r>
      <w:r w:rsidR="002D25E6" w:rsidRPr="00B12FA8">
        <w:rPr>
          <w:rFonts w:asciiTheme="majorBidi" w:hAnsiTheme="majorBidi" w:cstheme="majorBidi"/>
        </w:rPr>
        <w:t xml:space="preserve">as </w:t>
      </w:r>
      <w:r w:rsidR="009E59A9" w:rsidRPr="00B12FA8">
        <w:rPr>
          <w:rFonts w:asciiTheme="majorBidi" w:hAnsiTheme="majorBidi" w:cstheme="majorBidi"/>
        </w:rPr>
        <w:t xml:space="preserve">implemented </w:t>
      </w:r>
      <w:r w:rsidR="002D25E6" w:rsidRPr="00B12FA8">
        <w:rPr>
          <w:rFonts w:asciiTheme="majorBidi" w:hAnsiTheme="majorBidi" w:cstheme="majorBidi"/>
        </w:rPr>
        <w:t>for metaboli</w:t>
      </w:r>
      <w:r w:rsidR="009E59A9" w:rsidRPr="00B12FA8">
        <w:rPr>
          <w:rFonts w:asciiTheme="majorBidi" w:hAnsiTheme="majorBidi" w:cstheme="majorBidi"/>
        </w:rPr>
        <w:t>c analysis</w:t>
      </w:r>
      <w:r w:rsidR="006F28BC"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{"citationItems":[{"id":"ITEM-1","itemData":{"DOI":"10.1021/AC702119D","ISSN":"0003-2700","PMID":"18052233","abstract":"A general technique is described that permits the extraction of a complete 1H NMR spectrum for components in organosoluble mixtures. The approach should find a wide range of applications considering that pure component spectra can be generated without the need for physical separation. This technique is especially significant for synthetic organic chemistry and the pharmaceutical industry due to the potential to isolate a product spectrum even in the presence of overlapping starting materials, byproducts, or degradation products. A viscous oil-based solvent system that can be temperature-manipulated from essentially a solid at one extreme to a freely flowing liquid at the other is employed. The system contains no protons and is miscible with common organic solvents. Through careful control of the temperature and thus solvent viscosity, the behavior of small molecules moves from the positive to the extreme of the negative NOE regime. Under such conditions, all protons in a molecule correlate with all other protons as propagation by spin diffusion becomes highly efficient, behavior normally only observed with rigid macromolecules in conventional solvents. Therefore, as long as one proton (or carbon signal in hybrid experiments) is resolved for a component in a mixture, the entire proton spectrum for that molecule can be cleanly extracted from a 2D NOESY spectrum (or from selective 1D NOE-based analogues). Preliminary results are highly encouraging, indicating that the approach may be feasible for a wide range of molecules and mixtures; however, in practice the exact types of structures, combinations of structures, and range of concentrations that can be cleanly extracted will become evident as the technique becomes better established. © 2008 American Chemical Society.","author":[{"dropping-particle":"","family":"Simpson","given":"André J.","non-dropping-particle":"","parse-names":false,"suffix":""},{"dropping-particle":"","family":"Woods","given":"Gwen","non-dropping-particle":"","parse-names":false,"suffix":""},{"dropping-particle":"","family":"Mehrzad","given":"Omid","non-dropping-particle":"","parse-names":false,"suffix":""}],"container-title":"Analytical chemistry","id":"ITEM-1","issue":"1","issued":{"date-parts":[["2008","1","1"]]},"page":"186-194","publisher":"Anal Chem","title":"Spectral editing of organic mixtures into pure components using NMR spectroscopy and ultraviscous solvents","type":"article-journal","volume":"80"},"uris":["http://www.mendeley.com/documents/?uuid=dd07f875-02c6-3f2d-b632-7fc6b9892c0e"]},{"id":"ITEM-2","itemData":{"DOI":"10.1021/AC301078N","ISSN":"1520-6882","PMID":"22788933","abstract":"Metabolic mixtures are often analyzed via NMR spectroscopy as it provides a metabolic profile without sample alteration in a noninvasive manner. These mixtures however tend to be very complex and demonstrate considerable spectral overlap resulting in assignments that are sometimes ambiguous given the range of current NMR methods available. De novo molecular identification in these mixtures is generally accomplished using chemical shift information and J-coupling based experiments to determine spin connectivity information, but these techniques fall short when a molecule of interest contains nonrelaying centers. A method is presented here that enhances intramolecular spatial interactions via supercooled water and uses the resulting spatial correlations to edit mixtures. This is accomplished by utilizing nuclear Overhauser effect spectroscopy (NOESY) at subzero temperatures in capillaries to enhance NOE and provide more complete spin systems. This technique is applied to a standard mixture of three known molecules in D 2O with overlapping resonances and is further demonstrated to assign molecules in a worm tissue extract. The current method proves to be a powerful complement to existing methods such as total correlation spectroscopy (TOCSY) to expand the range of molecules that can be assigned in situ without physical separation of mixtures. © 2012 American Chemical Society.","author":[{"dropping-particle":"","family":"Farooq","given":"Hashim","non-dropping-particle":"","parse-names":false,"suffix":""},{"dropping-particle":"","family":"Soong","given":"Ronald","non-dropping-particle":"","parse-names":false,"suffix":""},{"dropping-particle":"","family":"Courtier-Murias","given":"Denis","non-dropping-particle":"","parse-names":false,"suffix":""},{"dropping-particle":"","family":"Anklin","given":"Clemens","non-dropping-particle":"","parse-names":false,"suffix":""},{"dropping-particle":"","family":"Simpson","given":"André","non-dropping-particle":"","parse-names":false,"suffix":""}],"container-title":"Analytical chemistry","id":"ITEM-2","issue":"15","issued":{"date-parts":[["2012","8","7"]]},"page":"6759-6766","publisher":"Anal Chem","title":"Tailoring 1H spin dynamics in small molecules via supercooled water: a promising approach for metabolite identification and validation","type":"article-journal","volume":"84"},"uris":["http://www.mendeley.com/documents/?uuid=ebc0dd33-9204-3c6b-a1c9-b090c1105fcb"]}],"mendeley":{"formattedCitation":"&lt;sup&gt;101,102&lt;/sup&gt;","plainTextFormattedCitation":"101,102","previouslyFormattedCitation":"&lt;sup&gt;101,102&lt;/sup&gt;"},"properties":{"noteIndex":0},"schema":"https://github.com/citation-style-language/schema/raw/master/csl-citation.json"}</w:instrText>
      </w:r>
      <w:r w:rsidR="006F28BC"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101,102</w:t>
      </w:r>
      <w:r w:rsidR="006F28BC" w:rsidRPr="00B12FA8">
        <w:rPr>
          <w:rFonts w:asciiTheme="majorBidi" w:hAnsiTheme="majorBidi" w:cstheme="majorBidi"/>
        </w:rPr>
        <w:fldChar w:fldCharType="end"/>
      </w:r>
      <w:r w:rsidR="009E59A9" w:rsidRPr="00B12FA8">
        <w:rPr>
          <w:rFonts w:asciiTheme="majorBidi" w:hAnsiTheme="majorBidi" w:cstheme="majorBidi"/>
        </w:rPr>
        <w:t xml:space="preserve"> </w:t>
      </w:r>
      <w:r w:rsidR="002D25E6" w:rsidRPr="00B12FA8">
        <w:rPr>
          <w:rFonts w:asciiTheme="majorBidi" w:hAnsiTheme="majorBidi" w:cstheme="majorBidi"/>
        </w:rPr>
        <w:t>and rotating</w:t>
      </w:r>
      <w:r w:rsidR="009E59A9" w:rsidRPr="00B12FA8">
        <w:rPr>
          <w:rFonts w:asciiTheme="majorBidi" w:hAnsiTheme="majorBidi" w:cstheme="majorBidi"/>
        </w:rPr>
        <w:t>-</w:t>
      </w:r>
      <w:r w:rsidR="002D25E6" w:rsidRPr="00B12FA8">
        <w:rPr>
          <w:rFonts w:asciiTheme="majorBidi" w:hAnsiTheme="majorBidi" w:cstheme="majorBidi"/>
        </w:rPr>
        <w:t xml:space="preserve">frame nuclear </w:t>
      </w:r>
      <w:proofErr w:type="spellStart"/>
      <w:r w:rsidR="002D25E6" w:rsidRPr="00B12FA8">
        <w:rPr>
          <w:rFonts w:asciiTheme="majorBidi" w:hAnsiTheme="majorBidi" w:cstheme="majorBidi"/>
        </w:rPr>
        <w:t>Overhauser</w:t>
      </w:r>
      <w:proofErr w:type="spellEnd"/>
      <w:r w:rsidR="002D25E6" w:rsidRPr="00B12FA8">
        <w:rPr>
          <w:rFonts w:asciiTheme="majorBidi" w:hAnsiTheme="majorBidi" w:cstheme="majorBidi"/>
        </w:rPr>
        <w:t xml:space="preserve"> effect spectroscopy (</w:t>
      </w:r>
      <w:proofErr w:type="spellStart"/>
      <w:r w:rsidR="002D25E6" w:rsidRPr="00B12FA8">
        <w:rPr>
          <w:rFonts w:asciiTheme="majorBidi" w:hAnsiTheme="majorBidi" w:cstheme="majorBidi"/>
        </w:rPr>
        <w:t>ROESY</w:t>
      </w:r>
      <w:proofErr w:type="spellEnd"/>
      <w:r w:rsidR="002D25E6" w:rsidRPr="00B12FA8">
        <w:rPr>
          <w:rFonts w:asciiTheme="majorBidi" w:hAnsiTheme="majorBidi" w:cstheme="majorBidi"/>
        </w:rPr>
        <w:t>)</w:t>
      </w:r>
      <w:r w:rsidR="006F28BC" w:rsidRPr="00B12FA8">
        <w:rPr>
          <w:rFonts w:asciiTheme="majorBidi" w:hAnsiTheme="majorBidi" w:cstheme="majorBidi"/>
        </w:rPr>
        <w:fldChar w:fldCharType="begin" w:fldLock="1"/>
      </w:r>
      <w:r w:rsidR="006104B1">
        <w:rPr>
          <w:rFonts w:asciiTheme="majorBidi" w:hAnsiTheme="majorBidi" w:cstheme="majorBidi"/>
        </w:rPr>
        <w:instrText>ADDIN CSL_CITATION {"citationItems":[{"id":"ITEM-1","itemData":{"DOI":"10.1021/JA00315A069/ASSET/JA00315A069.FP.PNG_V03","ISSN":"15205126","author":[{"dropping-particle":"","family":"Bothner-By","given":"Aksel A.","non-dropping-particle":"","parse-names":false,"suffix":""},{"dropping-particle":"","family":"Stephens","given":"Richard L.","non-dropping-particle":"","parse-names":false,"suffix":""},{"dropping-particle":"","family":"Lee","given":"Ju Mee","non-dropping-particle":"","parse-names":false,"suffix":""},{"dropping-particle":"","family":"Warren","given":"Christopher D.","non-dropping-particle":"","parse-names":false,"suffix":""},{"dropping-particle":"","family":"Jeanloz","given":"R. W.","non-dropping-particle":"","parse-names":false,"suffix":""}],"container-title":"Journal of the American Chemical Society","id":"ITEM-1","issue":"3","issued":{"date-parts":[["1984","2","1"]]},"page":"811-813","publisher":"American Chemical Society","title":"Structure Determination of a Tetrasaccharide: Transient Nuclear Overhauser Effects in the Rotating Frame","type":"article-journal","volume":"106"},"uris":["http://www.mendeley.com/documents/?uuid=d8585de7-8607-338d-b19b-ca51eb42a973"]}],"mendeley":{"formattedCitation":"&lt;sup&gt;103&lt;/sup&gt;","plainTextFormattedCitation":"103","previouslyFormattedCitation":"&lt;sup&gt;103&lt;/sup&gt;"},"properties":{"noteIndex":0},"schema":"https://github.com/citation-style-language/schema/raw/master/csl-citation.json"}</w:instrText>
      </w:r>
      <w:r w:rsidR="006F28BC" w:rsidRPr="00B12FA8">
        <w:rPr>
          <w:rFonts w:asciiTheme="majorBidi" w:hAnsiTheme="majorBidi" w:cstheme="majorBidi"/>
        </w:rPr>
        <w:fldChar w:fldCharType="separate"/>
      </w:r>
      <w:r w:rsidR="006104B1" w:rsidRPr="006104B1">
        <w:rPr>
          <w:rFonts w:asciiTheme="majorBidi" w:hAnsiTheme="majorBidi" w:cstheme="majorBidi"/>
          <w:noProof/>
          <w:vertAlign w:val="superscript"/>
        </w:rPr>
        <w:t>103</w:t>
      </w:r>
      <w:r w:rsidR="006F28BC" w:rsidRPr="00B12FA8">
        <w:rPr>
          <w:rFonts w:asciiTheme="majorBidi" w:hAnsiTheme="majorBidi" w:cstheme="majorBidi"/>
        </w:rPr>
        <w:fldChar w:fldCharType="end"/>
      </w:r>
      <w:r w:rsidR="002D25E6" w:rsidRPr="00B12FA8">
        <w:rPr>
          <w:rFonts w:asciiTheme="majorBidi" w:hAnsiTheme="majorBidi" w:cstheme="majorBidi"/>
        </w:rPr>
        <w:t>.</w:t>
      </w:r>
      <w:r w:rsidR="009E59A9" w:rsidRPr="00B12FA8">
        <w:rPr>
          <w:rFonts w:asciiTheme="majorBidi" w:hAnsiTheme="majorBidi" w:cstheme="majorBidi"/>
        </w:rPr>
        <w:t xml:space="preserve"> The method of choice is often</w:t>
      </w:r>
      <w:r w:rsidR="002D25E6" w:rsidRPr="00B12FA8">
        <w:rPr>
          <w:rFonts w:asciiTheme="majorBidi" w:hAnsiTheme="majorBidi" w:cstheme="majorBidi"/>
        </w:rPr>
        <w:t xml:space="preserve"> </w:t>
      </w:r>
      <w:r w:rsidR="00EB2E74" w:rsidRPr="00B12FA8">
        <w:rPr>
          <w:rFonts w:asciiTheme="majorBidi" w:hAnsiTheme="majorBidi" w:cstheme="majorBidi"/>
          <w:vertAlign w:val="superscript"/>
        </w:rPr>
        <w:t>1</w:t>
      </w:r>
      <w:r w:rsidR="00EB2E74" w:rsidRPr="00B12FA8">
        <w:rPr>
          <w:rFonts w:asciiTheme="majorBidi" w:hAnsiTheme="majorBidi" w:cstheme="majorBidi"/>
        </w:rPr>
        <w:t>H−</w:t>
      </w:r>
      <w:r w:rsidR="00EB2E74" w:rsidRPr="00B12FA8">
        <w:rPr>
          <w:rFonts w:asciiTheme="majorBidi" w:hAnsiTheme="majorBidi" w:cstheme="majorBidi"/>
          <w:vertAlign w:val="superscript"/>
        </w:rPr>
        <w:t>1</w:t>
      </w:r>
      <w:r w:rsidR="00EB2E74" w:rsidRPr="00B12FA8">
        <w:rPr>
          <w:rFonts w:asciiTheme="majorBidi" w:hAnsiTheme="majorBidi" w:cstheme="majorBidi"/>
        </w:rPr>
        <w:t xml:space="preserve">H </w:t>
      </w:r>
      <w:proofErr w:type="spellStart"/>
      <w:r w:rsidR="00EB2E74" w:rsidRPr="00B12FA8">
        <w:rPr>
          <w:rFonts w:asciiTheme="majorBidi" w:hAnsiTheme="majorBidi" w:cstheme="majorBidi"/>
        </w:rPr>
        <w:t>TOCSY</w:t>
      </w:r>
      <w:proofErr w:type="spellEnd"/>
      <w:r w:rsidR="00EB2E74" w:rsidRPr="00B12FA8">
        <w:rPr>
          <w:rFonts w:asciiTheme="majorBidi" w:hAnsiTheme="majorBidi" w:cstheme="majorBidi"/>
        </w:rPr>
        <w:t xml:space="preserve"> </w:t>
      </w:r>
      <w:r w:rsidR="009E59A9" w:rsidRPr="00B12FA8">
        <w:rPr>
          <w:rFonts w:asciiTheme="majorBidi" w:hAnsiTheme="majorBidi" w:cstheme="majorBidi"/>
        </w:rPr>
        <w:t>as it is ideally</w:t>
      </w:r>
      <w:r w:rsidR="00EB2E74" w:rsidRPr="00B12FA8">
        <w:rPr>
          <w:rFonts w:asciiTheme="majorBidi" w:hAnsiTheme="majorBidi" w:cstheme="majorBidi"/>
        </w:rPr>
        <w:t xml:space="preserve"> suited for computational analysis since each </w:t>
      </w:r>
      <w:r w:rsidR="009E59A9" w:rsidRPr="00B12FA8">
        <w:rPr>
          <w:rFonts w:asciiTheme="majorBidi" w:hAnsiTheme="majorBidi" w:cstheme="majorBidi"/>
        </w:rPr>
        <w:t>1D slice</w:t>
      </w:r>
      <w:r w:rsidR="00EB2E74" w:rsidRPr="00B12FA8">
        <w:rPr>
          <w:rFonts w:asciiTheme="majorBidi" w:hAnsiTheme="majorBidi" w:cstheme="majorBidi"/>
        </w:rPr>
        <w:t xml:space="preserve"> of </w:t>
      </w:r>
      <w:r w:rsidR="009E59A9" w:rsidRPr="00B12FA8">
        <w:rPr>
          <w:rFonts w:asciiTheme="majorBidi" w:hAnsiTheme="majorBidi" w:cstheme="majorBidi"/>
        </w:rPr>
        <w:t xml:space="preserve">the </w:t>
      </w:r>
      <w:r w:rsidR="00EB2E74" w:rsidRPr="00B12FA8">
        <w:rPr>
          <w:rFonts w:asciiTheme="majorBidi" w:hAnsiTheme="majorBidi" w:cstheme="majorBidi"/>
        </w:rPr>
        <w:t>compound</w:t>
      </w:r>
      <w:r w:rsidR="009E59A9" w:rsidRPr="00B12FA8">
        <w:rPr>
          <w:rFonts w:asciiTheme="majorBidi" w:hAnsiTheme="majorBidi" w:cstheme="majorBidi"/>
        </w:rPr>
        <w:t xml:space="preserve"> along the chemical shift of a certain </w:t>
      </w:r>
      <w:r w:rsidR="009E59A9" w:rsidRPr="00B12FA8">
        <w:rPr>
          <w:rFonts w:asciiTheme="majorBidi" w:hAnsiTheme="majorBidi" w:cstheme="majorBidi"/>
          <w:vertAlign w:val="superscript"/>
        </w:rPr>
        <w:t>1</w:t>
      </w:r>
      <w:r w:rsidR="009E59A9" w:rsidRPr="00B12FA8">
        <w:rPr>
          <w:rFonts w:asciiTheme="majorBidi" w:hAnsiTheme="majorBidi" w:cstheme="majorBidi"/>
        </w:rPr>
        <w:t>H atom</w:t>
      </w:r>
      <w:r w:rsidR="00EB2E74" w:rsidRPr="00B12FA8">
        <w:rPr>
          <w:rFonts w:asciiTheme="majorBidi" w:hAnsiTheme="majorBidi" w:cstheme="majorBidi"/>
        </w:rPr>
        <w:t xml:space="preserve"> represents the 1D spectrum of the</w:t>
      </w:r>
      <w:r w:rsidR="009E59A9" w:rsidRPr="00B12FA8">
        <w:rPr>
          <w:rFonts w:asciiTheme="majorBidi" w:hAnsiTheme="majorBidi" w:cstheme="majorBidi"/>
        </w:rPr>
        <w:t xml:space="preserve"> metabolite analyzed</w:t>
      </w:r>
      <w:r w:rsidR="00EB2E74" w:rsidRPr="00B12FA8">
        <w:rPr>
          <w:rFonts w:asciiTheme="majorBidi" w:hAnsiTheme="majorBidi" w:cstheme="majorBidi"/>
          <w:rtl/>
        </w:rPr>
        <w:t>.</w:t>
      </w:r>
      <w:r w:rsidR="00EB2E74" w:rsidRPr="00B12FA8">
        <w:rPr>
          <w:rFonts w:asciiTheme="majorBidi" w:hAnsiTheme="majorBidi" w:cstheme="majorBidi"/>
        </w:rPr>
        <w:t xml:space="preserve"> </w:t>
      </w:r>
    </w:p>
    <w:p w14:paraId="35F71C70" w14:textId="640ACC34" w:rsidR="00392F1F" w:rsidRPr="00B12FA8" w:rsidRDefault="00392F1F" w:rsidP="00C67B64">
      <w:pPr>
        <w:bidi w:val="0"/>
        <w:spacing w:before="20" w:afterLines="20" w:after="48" w:line="240" w:lineRule="auto"/>
        <w:contextualSpacing/>
        <w:jc w:val="both"/>
        <w:rPr>
          <w:rFonts w:asciiTheme="majorBidi" w:hAnsiTheme="majorBidi" w:cstheme="majorBidi"/>
        </w:rPr>
      </w:pPr>
    </w:p>
    <w:p w14:paraId="078D40BE" w14:textId="48E61FA4" w:rsidR="00C64A36" w:rsidRPr="00B12FA8" w:rsidRDefault="00C64A36" w:rsidP="00C67B64">
      <w:pPr>
        <w:bidi w:val="0"/>
        <w:spacing w:before="20" w:afterLines="20" w:after="48" w:line="240" w:lineRule="auto"/>
        <w:contextualSpacing/>
        <w:jc w:val="both"/>
        <w:rPr>
          <w:rFonts w:asciiTheme="majorBidi" w:hAnsiTheme="majorBidi" w:cstheme="majorBidi"/>
        </w:rPr>
      </w:pPr>
      <w:r w:rsidRPr="00B12FA8">
        <w:rPr>
          <w:rFonts w:asciiTheme="majorBidi" w:hAnsiTheme="majorBidi" w:cstheme="majorBidi"/>
          <w:b/>
          <w:bCs/>
          <w:i/>
          <w:iCs/>
        </w:rPr>
        <w:t>Alternative Approaches</w:t>
      </w:r>
      <w:r w:rsidRPr="00B12FA8">
        <w:rPr>
          <w:rFonts w:asciiTheme="majorBidi" w:hAnsiTheme="majorBidi" w:cstheme="majorBidi"/>
          <w:i/>
          <w:iCs/>
        </w:rPr>
        <w:t>:</w:t>
      </w:r>
      <w:r w:rsidRPr="00B12FA8">
        <w:rPr>
          <w:rFonts w:asciiTheme="majorBidi" w:hAnsiTheme="majorBidi" w:cstheme="majorBidi"/>
        </w:rPr>
        <w:t xml:space="preserve"> If metabolic changes will not be apparent after the short- or long-term stimulation, we will change the stimulation properties as described in the alternative approaches of aim 1. The tackle sensitivity challenges, experiments will be run on higher magnetic fields, a 700 MHz spectrometer is at our facility on campus</w:t>
      </w:r>
      <w:r w:rsidR="00ED64D8" w:rsidRPr="00B12FA8">
        <w:rPr>
          <w:rFonts w:asciiTheme="majorBidi" w:hAnsiTheme="majorBidi" w:cstheme="majorBidi"/>
        </w:rPr>
        <w:t>,</w:t>
      </w:r>
      <w:r w:rsidRPr="00B12FA8">
        <w:rPr>
          <w:rFonts w:asciiTheme="majorBidi" w:hAnsiTheme="majorBidi" w:cstheme="majorBidi"/>
        </w:rPr>
        <w:t xml:space="preserve"> and a 1 GHz spectrometer is available </w:t>
      </w:r>
      <w:r w:rsidR="00ED64D8" w:rsidRPr="00B12FA8">
        <w:rPr>
          <w:rFonts w:asciiTheme="majorBidi" w:hAnsiTheme="majorBidi" w:cstheme="majorBidi"/>
        </w:rPr>
        <w:t>at</w:t>
      </w:r>
      <w:r w:rsidRPr="00B12FA8">
        <w:rPr>
          <w:rFonts w:asciiTheme="majorBidi" w:hAnsiTheme="majorBidi" w:cstheme="majorBidi"/>
        </w:rPr>
        <w:t xml:space="preserve"> the Weizmann Institute of Science for further sensitivity and resolution enhancement.</w:t>
      </w:r>
    </w:p>
    <w:p w14:paraId="7058919D" w14:textId="77777777" w:rsidR="00201B25" w:rsidRPr="00B12FA8" w:rsidRDefault="00201B25" w:rsidP="00C67B64">
      <w:pPr>
        <w:bidi w:val="0"/>
        <w:spacing w:before="20" w:afterLines="20" w:after="48" w:line="240" w:lineRule="auto"/>
        <w:contextualSpacing/>
        <w:jc w:val="both"/>
        <w:rPr>
          <w:rFonts w:asciiTheme="majorBidi" w:hAnsiTheme="majorBidi" w:cstheme="majorBidi"/>
          <w:b/>
          <w:bCs/>
          <w:i/>
          <w:iCs/>
        </w:rPr>
      </w:pPr>
    </w:p>
    <w:p w14:paraId="4302C37B" w14:textId="21DC4974" w:rsidR="0085081C" w:rsidRPr="00B12FA8" w:rsidRDefault="00752BB6" w:rsidP="00C67B64">
      <w:pPr>
        <w:bidi w:val="0"/>
        <w:spacing w:before="20" w:afterLines="20" w:after="48" w:line="240" w:lineRule="auto"/>
        <w:contextualSpacing/>
        <w:jc w:val="both"/>
        <w:rPr>
          <w:rFonts w:asciiTheme="majorBidi" w:hAnsiTheme="majorBidi" w:cstheme="majorBidi"/>
          <w:b/>
          <w:bCs/>
          <w:u w:val="single"/>
        </w:rPr>
      </w:pPr>
      <w:r w:rsidRPr="00B12FA8">
        <w:rPr>
          <w:rFonts w:asciiTheme="majorBidi" w:hAnsiTheme="majorBidi" w:cstheme="majorBidi"/>
          <w:b/>
          <w:bCs/>
          <w:i/>
          <w:iCs/>
        </w:rPr>
        <w:t>Statistical Plan</w:t>
      </w:r>
      <w:r w:rsidR="0085081C" w:rsidRPr="00B12FA8">
        <w:rPr>
          <w:rFonts w:asciiTheme="majorBidi" w:hAnsiTheme="majorBidi" w:cstheme="majorBidi"/>
          <w:b/>
          <w:bCs/>
          <w:i/>
          <w:iCs/>
        </w:rPr>
        <w:t>:</w:t>
      </w:r>
      <w:r w:rsidR="0085081C" w:rsidRPr="00B12FA8">
        <w:rPr>
          <w:rFonts w:asciiTheme="majorBidi" w:hAnsiTheme="majorBidi" w:cstheme="majorBidi"/>
          <w:b/>
          <w:bCs/>
          <w:u w:val="single"/>
        </w:rPr>
        <w:t xml:space="preserve"> </w:t>
      </w:r>
      <w:r w:rsidR="009E06DA">
        <w:rPr>
          <w:rFonts w:asciiTheme="majorBidi" w:hAnsiTheme="majorBidi" w:cstheme="majorBidi"/>
        </w:rPr>
        <w:t>We will generally</w:t>
      </w:r>
      <w:r w:rsidR="00E16D4F" w:rsidRPr="00B12FA8">
        <w:rPr>
          <w:rFonts w:asciiTheme="majorBidi" w:hAnsiTheme="majorBidi" w:cstheme="majorBidi"/>
        </w:rPr>
        <w:t xml:space="preserve"> examine </w:t>
      </w:r>
      <w:r w:rsidR="008F635E" w:rsidRPr="00B12FA8">
        <w:rPr>
          <w:rFonts w:asciiTheme="majorBidi" w:hAnsiTheme="majorBidi" w:cstheme="majorBidi"/>
        </w:rPr>
        <w:t>two</w:t>
      </w:r>
      <w:r w:rsidR="009A354D" w:rsidRPr="00B12FA8">
        <w:rPr>
          <w:rFonts w:asciiTheme="majorBidi" w:hAnsiTheme="majorBidi" w:cstheme="majorBidi"/>
        </w:rPr>
        <w:t xml:space="preserve"> major</w:t>
      </w:r>
      <w:r w:rsidR="00E16D4F" w:rsidRPr="00B12FA8">
        <w:rPr>
          <w:rFonts w:asciiTheme="majorBidi" w:hAnsiTheme="majorBidi" w:cstheme="majorBidi"/>
        </w:rPr>
        <w:t xml:space="preserve"> groups</w:t>
      </w:r>
      <w:r w:rsidR="009A354D" w:rsidRPr="00B12FA8">
        <w:rPr>
          <w:rFonts w:asciiTheme="majorBidi" w:hAnsiTheme="majorBidi" w:cstheme="majorBidi"/>
        </w:rPr>
        <w:t xml:space="preserve"> according to the time point of tissue harvesting following the last </w:t>
      </w:r>
      <w:proofErr w:type="spellStart"/>
      <w:r w:rsidR="009A354D" w:rsidRPr="00B12FA8">
        <w:rPr>
          <w:rFonts w:asciiTheme="majorBidi" w:hAnsiTheme="majorBidi" w:cstheme="majorBidi"/>
        </w:rPr>
        <w:t>tDCS</w:t>
      </w:r>
      <w:proofErr w:type="spellEnd"/>
      <w:r w:rsidR="009A354D" w:rsidRPr="00B12FA8">
        <w:rPr>
          <w:rFonts w:asciiTheme="majorBidi" w:hAnsiTheme="majorBidi" w:cstheme="majorBidi"/>
        </w:rPr>
        <w:t xml:space="preserve"> stimulation </w:t>
      </w:r>
      <w:r w:rsidR="008F635E" w:rsidRPr="00B12FA8">
        <w:rPr>
          <w:rFonts w:asciiTheme="majorBidi" w:hAnsiTheme="majorBidi" w:cstheme="majorBidi"/>
        </w:rPr>
        <w:t xml:space="preserve">for </w:t>
      </w:r>
      <w:r w:rsidR="008F635E" w:rsidRPr="00B12FA8">
        <w:rPr>
          <w:rFonts w:asciiTheme="majorBidi" w:hAnsiTheme="majorBidi" w:cstheme="majorBidi"/>
          <w:vertAlign w:val="superscript"/>
        </w:rPr>
        <w:t>1</w:t>
      </w:r>
      <w:r w:rsidR="008F635E" w:rsidRPr="00B12FA8">
        <w:rPr>
          <w:rFonts w:asciiTheme="majorBidi" w:hAnsiTheme="majorBidi" w:cstheme="majorBidi"/>
        </w:rPr>
        <w:t xml:space="preserve">H NMR </w:t>
      </w:r>
      <w:r w:rsidR="009A354D" w:rsidRPr="00B12FA8">
        <w:rPr>
          <w:rFonts w:asciiTheme="majorBidi" w:hAnsiTheme="majorBidi" w:cstheme="majorBidi"/>
        </w:rPr>
        <w:t xml:space="preserve">(See </w:t>
      </w:r>
      <w:r w:rsidR="001048D3" w:rsidRPr="00B12FA8">
        <w:rPr>
          <w:rFonts w:asciiTheme="majorBidi" w:hAnsiTheme="majorBidi" w:cstheme="majorBidi"/>
        </w:rPr>
        <w:t xml:space="preserve">visual abstract). Each </w:t>
      </w:r>
      <w:r w:rsidR="008F635E" w:rsidRPr="00B12FA8">
        <w:rPr>
          <w:rFonts w:asciiTheme="majorBidi" w:hAnsiTheme="majorBidi" w:cstheme="majorBidi"/>
        </w:rPr>
        <w:t>of the two</w:t>
      </w:r>
      <w:r w:rsidR="001048D3" w:rsidRPr="00B12FA8">
        <w:rPr>
          <w:rFonts w:asciiTheme="majorBidi" w:hAnsiTheme="majorBidi" w:cstheme="majorBidi"/>
        </w:rPr>
        <w:t xml:space="preserve"> group</w:t>
      </w:r>
      <w:r w:rsidR="008F635E" w:rsidRPr="00B12FA8">
        <w:rPr>
          <w:rFonts w:asciiTheme="majorBidi" w:hAnsiTheme="majorBidi" w:cstheme="majorBidi"/>
        </w:rPr>
        <w:t>s</w:t>
      </w:r>
      <w:r w:rsidR="001048D3" w:rsidRPr="00B12FA8">
        <w:rPr>
          <w:rFonts w:asciiTheme="majorBidi" w:hAnsiTheme="majorBidi" w:cstheme="majorBidi"/>
        </w:rPr>
        <w:t xml:space="preserve"> will </w:t>
      </w:r>
      <w:r w:rsidR="008F635E" w:rsidRPr="00B12FA8">
        <w:rPr>
          <w:rFonts w:asciiTheme="majorBidi" w:hAnsiTheme="majorBidi" w:cstheme="majorBidi"/>
        </w:rPr>
        <w:t>include two genotypes (WT and AS)</w:t>
      </w:r>
      <w:r w:rsidR="009E06DA">
        <w:rPr>
          <w:rFonts w:asciiTheme="majorBidi" w:hAnsiTheme="majorBidi" w:cstheme="majorBidi"/>
        </w:rPr>
        <w:t>,</w:t>
      </w:r>
      <w:r w:rsidR="008F635E" w:rsidRPr="00B12FA8">
        <w:rPr>
          <w:rFonts w:asciiTheme="majorBidi" w:hAnsiTheme="majorBidi" w:cstheme="majorBidi"/>
        </w:rPr>
        <w:t xml:space="preserve"> and each </w:t>
      </w:r>
      <w:r w:rsidR="008D220C" w:rsidRPr="00B12FA8">
        <w:rPr>
          <w:rFonts w:asciiTheme="majorBidi" w:hAnsiTheme="majorBidi" w:cstheme="majorBidi"/>
        </w:rPr>
        <w:t>will be subject</w:t>
      </w:r>
      <w:r w:rsidR="008F635E" w:rsidRPr="00B12FA8">
        <w:rPr>
          <w:rFonts w:asciiTheme="majorBidi" w:hAnsiTheme="majorBidi" w:cstheme="majorBidi"/>
        </w:rPr>
        <w:t>ed</w:t>
      </w:r>
      <w:r w:rsidR="008D220C" w:rsidRPr="00B12FA8">
        <w:rPr>
          <w:rFonts w:asciiTheme="majorBidi" w:hAnsiTheme="majorBidi" w:cstheme="majorBidi"/>
        </w:rPr>
        <w:t xml:space="preserve"> to </w:t>
      </w:r>
      <w:r w:rsidR="00E16D4F" w:rsidRPr="00B12FA8">
        <w:rPr>
          <w:rFonts w:asciiTheme="majorBidi" w:hAnsiTheme="majorBidi" w:cstheme="majorBidi"/>
        </w:rPr>
        <w:t xml:space="preserve">either sham or </w:t>
      </w:r>
      <w:proofErr w:type="spellStart"/>
      <w:r w:rsidR="00E16D4F" w:rsidRPr="00B12FA8">
        <w:rPr>
          <w:rFonts w:asciiTheme="majorBidi" w:hAnsiTheme="majorBidi" w:cstheme="majorBidi"/>
        </w:rPr>
        <w:t>tDCS</w:t>
      </w:r>
      <w:proofErr w:type="spellEnd"/>
      <w:r w:rsidR="00E16D4F" w:rsidRPr="00B12FA8">
        <w:rPr>
          <w:rFonts w:asciiTheme="majorBidi" w:hAnsiTheme="majorBidi" w:cstheme="majorBidi"/>
        </w:rPr>
        <w:t xml:space="preserve"> treatment</w:t>
      </w:r>
      <w:r w:rsidR="008F635E" w:rsidRPr="00B12FA8">
        <w:rPr>
          <w:rFonts w:asciiTheme="majorBidi" w:hAnsiTheme="majorBidi" w:cstheme="majorBidi"/>
        </w:rPr>
        <w:t>. Due to funding constraints</w:t>
      </w:r>
      <w:r w:rsidR="009E06DA">
        <w:rPr>
          <w:rFonts w:asciiTheme="majorBidi" w:hAnsiTheme="majorBidi" w:cstheme="majorBidi"/>
        </w:rPr>
        <w:t>,</w:t>
      </w:r>
      <w:r w:rsidR="008F635E" w:rsidRPr="00B12FA8">
        <w:rPr>
          <w:rFonts w:asciiTheme="majorBidi" w:hAnsiTheme="majorBidi" w:cstheme="majorBidi"/>
        </w:rPr>
        <w:t xml:space="preserve"> only males will be tested. Altogether, we will have 8 groups: 2 time-point (immediate &amp; 5 days) X 2 genotypes (WT &amp; AS) X 2</w:t>
      </w:r>
      <w:r w:rsidR="00E16D4F" w:rsidRPr="00B12FA8">
        <w:rPr>
          <w:rFonts w:asciiTheme="majorBidi" w:hAnsiTheme="majorBidi" w:cstheme="majorBidi"/>
        </w:rPr>
        <w:t xml:space="preserve"> </w:t>
      </w:r>
      <w:r w:rsidR="008F635E" w:rsidRPr="00B12FA8">
        <w:rPr>
          <w:rFonts w:asciiTheme="majorBidi" w:hAnsiTheme="majorBidi" w:cstheme="majorBidi"/>
        </w:rPr>
        <w:t xml:space="preserve">treatment protocols (sham &amp; </w:t>
      </w:r>
      <w:proofErr w:type="spellStart"/>
      <w:r w:rsidR="008F635E" w:rsidRPr="00B12FA8">
        <w:rPr>
          <w:rFonts w:asciiTheme="majorBidi" w:hAnsiTheme="majorBidi" w:cstheme="majorBidi"/>
        </w:rPr>
        <w:t>tDCS</w:t>
      </w:r>
      <w:proofErr w:type="spellEnd"/>
      <w:r w:rsidR="008F635E" w:rsidRPr="00B12FA8">
        <w:rPr>
          <w:rFonts w:asciiTheme="majorBidi" w:hAnsiTheme="majorBidi" w:cstheme="majorBidi"/>
        </w:rPr>
        <w:t xml:space="preserve">). </w:t>
      </w:r>
      <w:r w:rsidR="008D220C" w:rsidRPr="00B12FA8">
        <w:rPr>
          <w:rFonts w:asciiTheme="majorBidi" w:hAnsiTheme="majorBidi" w:cstheme="majorBidi"/>
        </w:rPr>
        <w:t xml:space="preserve">After confirming that the results conform to a normal distribution, result comparisons between each genotype and treatment will </w:t>
      </w:r>
      <w:r w:rsidR="00522097" w:rsidRPr="00B12FA8">
        <w:rPr>
          <w:rFonts w:asciiTheme="majorBidi" w:hAnsiTheme="majorBidi" w:cstheme="majorBidi"/>
        </w:rPr>
        <w:t xml:space="preserve">be performed using </w:t>
      </w:r>
      <w:r w:rsidR="008D220C" w:rsidRPr="00B12FA8">
        <w:rPr>
          <w:rFonts w:asciiTheme="majorBidi" w:hAnsiTheme="majorBidi" w:cstheme="majorBidi"/>
        </w:rPr>
        <w:t xml:space="preserve">two-way analyses of variance (2way-ANOVAs). </w:t>
      </w:r>
      <w:r w:rsidR="00453D6F" w:rsidRPr="00B12FA8">
        <w:rPr>
          <w:rFonts w:asciiTheme="majorBidi" w:hAnsiTheme="majorBidi" w:cstheme="majorBidi"/>
        </w:rPr>
        <w:t>Adjustment for m</w:t>
      </w:r>
      <w:r w:rsidR="00E1079A" w:rsidRPr="00B12FA8">
        <w:rPr>
          <w:rFonts w:asciiTheme="majorBidi" w:hAnsiTheme="majorBidi" w:cstheme="majorBidi"/>
        </w:rPr>
        <w:t>ultiple</w:t>
      </w:r>
      <w:r w:rsidR="00522097" w:rsidRPr="00B12FA8">
        <w:rPr>
          <w:rFonts w:asciiTheme="majorBidi" w:hAnsiTheme="majorBidi" w:cstheme="majorBidi"/>
        </w:rPr>
        <w:t xml:space="preserve"> comparisons will be </w:t>
      </w:r>
      <w:r w:rsidR="00453D6F" w:rsidRPr="00B12FA8">
        <w:rPr>
          <w:rFonts w:asciiTheme="majorBidi" w:hAnsiTheme="majorBidi" w:cstheme="majorBidi"/>
        </w:rPr>
        <w:t>performed using</w:t>
      </w:r>
      <w:r w:rsidR="008D220C" w:rsidRPr="00B12FA8">
        <w:rPr>
          <w:rFonts w:asciiTheme="majorBidi" w:hAnsiTheme="majorBidi" w:cstheme="majorBidi"/>
        </w:rPr>
        <w:t xml:space="preserve"> </w:t>
      </w:r>
      <w:r w:rsidR="00E1079A" w:rsidRPr="00B12FA8">
        <w:rPr>
          <w:rFonts w:asciiTheme="majorBidi" w:hAnsiTheme="majorBidi" w:cstheme="majorBidi"/>
        </w:rPr>
        <w:t xml:space="preserve">Bonferroni post hoc </w:t>
      </w:r>
      <w:r w:rsidR="00B03780" w:rsidRPr="00B12FA8">
        <w:rPr>
          <w:rFonts w:asciiTheme="majorBidi" w:hAnsiTheme="majorBidi" w:cstheme="majorBidi"/>
        </w:rPr>
        <w:t xml:space="preserve">correction method. </w:t>
      </w:r>
      <w:r w:rsidR="00453D6F" w:rsidRPr="00B12FA8">
        <w:rPr>
          <w:rFonts w:asciiTheme="majorBidi" w:hAnsiTheme="majorBidi" w:cstheme="majorBidi"/>
        </w:rPr>
        <w:t>For</w:t>
      </w:r>
      <w:r w:rsidR="008D220C" w:rsidRPr="00B12FA8">
        <w:rPr>
          <w:rFonts w:asciiTheme="majorBidi" w:hAnsiTheme="majorBidi" w:cstheme="majorBidi"/>
        </w:rPr>
        <w:t xml:space="preserve"> time-</w:t>
      </w:r>
      <w:r w:rsidR="00B03780" w:rsidRPr="00B12FA8">
        <w:rPr>
          <w:rFonts w:asciiTheme="majorBidi" w:hAnsiTheme="majorBidi" w:cstheme="majorBidi"/>
        </w:rPr>
        <w:t xml:space="preserve">lapse </w:t>
      </w:r>
      <w:r w:rsidR="00453D6F" w:rsidRPr="00B12FA8">
        <w:rPr>
          <w:rFonts w:asciiTheme="majorBidi" w:hAnsiTheme="majorBidi" w:cstheme="majorBidi"/>
        </w:rPr>
        <w:t xml:space="preserve">comparisons of </w:t>
      </w:r>
      <w:r w:rsidR="00453D6F" w:rsidRPr="00B12FA8">
        <w:rPr>
          <w:rFonts w:asciiTheme="majorBidi" w:hAnsiTheme="majorBidi" w:cstheme="majorBidi"/>
          <w:vertAlign w:val="superscript"/>
        </w:rPr>
        <w:t>1</w:t>
      </w:r>
      <w:r w:rsidR="00453D6F" w:rsidRPr="00B12FA8">
        <w:rPr>
          <w:rFonts w:asciiTheme="majorBidi" w:hAnsiTheme="majorBidi" w:cstheme="majorBidi"/>
        </w:rPr>
        <w:t>H-NMR results</w:t>
      </w:r>
      <w:r w:rsidR="00B03780" w:rsidRPr="00B12FA8">
        <w:rPr>
          <w:rFonts w:asciiTheme="majorBidi" w:hAnsiTheme="majorBidi" w:cstheme="majorBidi"/>
        </w:rPr>
        <w:t xml:space="preserve">, we will </w:t>
      </w:r>
      <w:r w:rsidR="008D220C" w:rsidRPr="00B12FA8">
        <w:rPr>
          <w:rFonts w:asciiTheme="majorBidi" w:hAnsiTheme="majorBidi" w:cstheme="majorBidi"/>
        </w:rPr>
        <w:t xml:space="preserve">employ </w:t>
      </w:r>
      <w:r w:rsidR="00B03780" w:rsidRPr="00B12FA8">
        <w:rPr>
          <w:rFonts w:asciiTheme="majorBidi" w:hAnsiTheme="majorBidi" w:cstheme="majorBidi"/>
        </w:rPr>
        <w:t>2</w:t>
      </w:r>
      <w:r w:rsidR="009E06DA">
        <w:rPr>
          <w:rFonts w:asciiTheme="majorBidi" w:hAnsiTheme="majorBidi" w:cstheme="majorBidi"/>
        </w:rPr>
        <w:t>-</w:t>
      </w:r>
      <w:r w:rsidR="00B03780" w:rsidRPr="00B12FA8">
        <w:rPr>
          <w:rFonts w:asciiTheme="majorBidi" w:hAnsiTheme="majorBidi" w:cstheme="majorBidi"/>
        </w:rPr>
        <w:t xml:space="preserve">way ANOVA. </w:t>
      </w:r>
      <w:r w:rsidR="008D220C" w:rsidRPr="00B12FA8">
        <w:rPr>
          <w:rFonts w:asciiTheme="majorBidi" w:hAnsiTheme="majorBidi" w:cstheme="majorBidi"/>
        </w:rPr>
        <w:t>Power analyses were used to establish the target sample sizes for this study.</w:t>
      </w:r>
      <w:r w:rsidR="009E06DA">
        <w:rPr>
          <w:rFonts w:asciiTheme="majorBidi" w:hAnsiTheme="majorBidi" w:cstheme="majorBidi"/>
        </w:rPr>
        <w:t xml:space="preserve"> </w:t>
      </w:r>
      <w:r w:rsidR="003916F1" w:rsidRPr="00B12FA8">
        <w:rPr>
          <w:rFonts w:asciiTheme="majorBidi" w:hAnsiTheme="majorBidi" w:cstheme="majorBidi"/>
        </w:rPr>
        <w:t>Given that</w:t>
      </w:r>
      <w:r w:rsidR="009E06DA">
        <w:rPr>
          <w:rFonts w:asciiTheme="majorBidi" w:hAnsiTheme="majorBidi" w:cstheme="majorBidi"/>
        </w:rPr>
        <w:t>,</w:t>
      </w:r>
      <w:r w:rsidR="003916F1" w:rsidRPr="00B12FA8">
        <w:rPr>
          <w:rFonts w:asciiTheme="majorBidi" w:hAnsiTheme="majorBidi" w:cstheme="majorBidi"/>
        </w:rPr>
        <w:t xml:space="preserve"> we will have a total of </w:t>
      </w:r>
      <w:r w:rsidR="00453D6F" w:rsidRPr="00B12FA8">
        <w:rPr>
          <w:rFonts w:asciiTheme="majorBidi" w:hAnsiTheme="majorBidi" w:cstheme="majorBidi"/>
        </w:rPr>
        <w:t>8</w:t>
      </w:r>
      <w:r w:rsidR="003916F1" w:rsidRPr="00B12FA8">
        <w:rPr>
          <w:rFonts w:asciiTheme="majorBidi" w:hAnsiTheme="majorBidi" w:cstheme="majorBidi"/>
        </w:rPr>
        <w:t xml:space="preserve"> groups. Considering a reasonabl</w:t>
      </w:r>
      <w:r w:rsidR="008D220C" w:rsidRPr="00B12FA8">
        <w:rPr>
          <w:rFonts w:asciiTheme="majorBidi" w:hAnsiTheme="majorBidi" w:cstheme="majorBidi"/>
        </w:rPr>
        <w:t>e</w:t>
      </w:r>
      <w:r w:rsidR="003916F1" w:rsidRPr="00B12FA8">
        <w:rPr>
          <w:rFonts w:asciiTheme="majorBidi" w:hAnsiTheme="majorBidi" w:cstheme="majorBidi"/>
        </w:rPr>
        <w:t xml:space="preserve"> effect size of 0.</w:t>
      </w:r>
      <w:r w:rsidR="00A333DD" w:rsidRPr="00B12FA8">
        <w:rPr>
          <w:rFonts w:asciiTheme="majorBidi" w:hAnsiTheme="majorBidi" w:cstheme="majorBidi"/>
        </w:rPr>
        <w:t>3</w:t>
      </w:r>
      <w:r w:rsidR="003916F1" w:rsidRPr="00B12FA8">
        <w:rPr>
          <w:rFonts w:asciiTheme="majorBidi" w:hAnsiTheme="majorBidi" w:cstheme="majorBidi"/>
        </w:rPr>
        <w:t xml:space="preserve">, an </w:t>
      </w:r>
      <w:r w:rsidR="003916F1" w:rsidRPr="00B12FA8">
        <w:rPr>
          <w:rFonts w:ascii="Symbol" w:hAnsi="Symbol" w:cstheme="majorBidi"/>
        </w:rPr>
        <w:t></w:t>
      </w:r>
      <w:r w:rsidR="003916F1" w:rsidRPr="00B12FA8">
        <w:rPr>
          <w:rFonts w:asciiTheme="majorBidi" w:hAnsiTheme="majorBidi" w:cstheme="majorBidi"/>
        </w:rPr>
        <w:t xml:space="preserve"> of 0.05</w:t>
      </w:r>
      <w:r w:rsidR="008D220C" w:rsidRPr="00B12FA8">
        <w:rPr>
          <w:rFonts w:asciiTheme="majorBidi" w:hAnsiTheme="majorBidi" w:cstheme="majorBidi"/>
        </w:rPr>
        <w:t>,</w:t>
      </w:r>
      <w:r w:rsidR="003916F1" w:rsidRPr="00B12FA8">
        <w:rPr>
          <w:rFonts w:asciiTheme="majorBidi" w:hAnsiTheme="majorBidi" w:cstheme="majorBidi"/>
        </w:rPr>
        <w:t xml:space="preserve"> and a </w:t>
      </w:r>
      <w:r w:rsidR="003916F1" w:rsidRPr="00B12FA8">
        <w:rPr>
          <w:rFonts w:ascii="Symbol" w:hAnsi="Symbol" w:cstheme="majorBidi"/>
        </w:rPr>
        <w:t></w:t>
      </w:r>
      <w:r w:rsidR="003916F1" w:rsidRPr="00B12FA8">
        <w:rPr>
          <w:rFonts w:asciiTheme="majorBidi" w:hAnsiTheme="majorBidi" w:cstheme="majorBidi"/>
        </w:rPr>
        <w:t xml:space="preserve"> of 0.8, and given a 2</w:t>
      </w:r>
      <w:r w:rsidR="00B52313" w:rsidRPr="00B12FA8">
        <w:rPr>
          <w:rFonts w:asciiTheme="majorBidi" w:hAnsiTheme="majorBidi" w:cstheme="majorBidi"/>
        </w:rPr>
        <w:t>x</w:t>
      </w:r>
      <w:r w:rsidR="003916F1" w:rsidRPr="00B12FA8">
        <w:rPr>
          <w:rFonts w:asciiTheme="majorBidi" w:hAnsiTheme="majorBidi" w:cstheme="majorBidi"/>
        </w:rPr>
        <w:t xml:space="preserve">2 </w:t>
      </w:r>
      <w:r w:rsidR="00B52313" w:rsidRPr="00B12FA8">
        <w:rPr>
          <w:rFonts w:asciiTheme="majorBidi" w:hAnsiTheme="majorBidi" w:cstheme="majorBidi"/>
        </w:rPr>
        <w:t xml:space="preserve">design </w:t>
      </w:r>
      <w:r w:rsidR="008D220C" w:rsidRPr="00B12FA8">
        <w:rPr>
          <w:rFonts w:asciiTheme="majorBidi" w:hAnsiTheme="majorBidi" w:cstheme="majorBidi"/>
        </w:rPr>
        <w:t xml:space="preserve">that </w:t>
      </w:r>
      <w:r w:rsidR="00B52313" w:rsidRPr="00B12FA8">
        <w:rPr>
          <w:rFonts w:asciiTheme="majorBidi" w:hAnsiTheme="majorBidi" w:cstheme="majorBidi"/>
        </w:rPr>
        <w:t xml:space="preserve">yields a numerator df of 1, the total sample size is </w:t>
      </w:r>
      <w:r w:rsidR="00A333DD" w:rsidRPr="00B12FA8">
        <w:rPr>
          <w:rFonts w:asciiTheme="majorBidi" w:hAnsiTheme="majorBidi" w:cstheme="majorBidi"/>
        </w:rPr>
        <w:t>~90</w:t>
      </w:r>
      <w:r w:rsidR="00B52313" w:rsidRPr="00B12FA8">
        <w:rPr>
          <w:rFonts w:asciiTheme="majorBidi" w:hAnsiTheme="majorBidi" w:cstheme="majorBidi"/>
        </w:rPr>
        <w:t xml:space="preserve">, </w:t>
      </w:r>
      <w:r w:rsidR="008D220C" w:rsidRPr="00B12FA8">
        <w:rPr>
          <w:rFonts w:asciiTheme="majorBidi" w:hAnsiTheme="majorBidi" w:cstheme="majorBidi"/>
        </w:rPr>
        <w:t xml:space="preserve">necessitating </w:t>
      </w:r>
      <w:r w:rsidR="00A333DD" w:rsidRPr="00B12FA8">
        <w:rPr>
          <w:rFonts w:asciiTheme="majorBidi" w:hAnsiTheme="majorBidi" w:cstheme="majorBidi"/>
        </w:rPr>
        <w:t>~12</w:t>
      </w:r>
      <w:r w:rsidR="00B52313" w:rsidRPr="00B12FA8">
        <w:rPr>
          <w:rFonts w:asciiTheme="majorBidi" w:hAnsiTheme="majorBidi" w:cstheme="majorBidi"/>
        </w:rPr>
        <w:t xml:space="preserve"> mice per grou</w:t>
      </w:r>
      <w:r w:rsidR="00A333DD" w:rsidRPr="00B12FA8">
        <w:rPr>
          <w:rFonts w:asciiTheme="majorBidi" w:hAnsiTheme="majorBidi" w:cstheme="majorBidi"/>
        </w:rPr>
        <w:t>p</w:t>
      </w:r>
      <w:r w:rsidR="00B52313" w:rsidRPr="00B12FA8">
        <w:rPr>
          <w:rFonts w:asciiTheme="majorBidi" w:hAnsiTheme="majorBidi" w:cstheme="majorBidi"/>
        </w:rPr>
        <w:t xml:space="preserve">. </w:t>
      </w:r>
      <w:r w:rsidR="00CA5DDE" w:rsidRPr="00B12FA8">
        <w:rPr>
          <w:rFonts w:asciiTheme="majorBidi" w:hAnsiTheme="majorBidi" w:cstheme="majorBidi"/>
        </w:rPr>
        <w:t>These values are true for behavioral</w:t>
      </w:r>
      <w:r w:rsidR="003B2F1D" w:rsidRPr="00B12FA8">
        <w:rPr>
          <w:rFonts w:asciiTheme="majorBidi" w:hAnsiTheme="majorBidi" w:cstheme="majorBidi"/>
        </w:rPr>
        <w:t xml:space="preserve"> and</w:t>
      </w:r>
      <w:r w:rsidR="00CA5DDE" w:rsidRPr="00B12FA8">
        <w:rPr>
          <w:rFonts w:asciiTheme="majorBidi" w:hAnsiTheme="majorBidi" w:cstheme="majorBidi"/>
        </w:rPr>
        <w:t xml:space="preserve"> metabolic</w:t>
      </w:r>
      <w:r w:rsidR="009A354D" w:rsidRPr="00B12FA8">
        <w:rPr>
          <w:rFonts w:asciiTheme="majorBidi" w:hAnsiTheme="majorBidi" w:cstheme="majorBidi"/>
        </w:rPr>
        <w:t xml:space="preserve"> </w:t>
      </w:r>
      <w:r w:rsidR="00CA5DDE" w:rsidRPr="00B12FA8">
        <w:rPr>
          <w:rFonts w:asciiTheme="majorBidi" w:hAnsiTheme="majorBidi" w:cstheme="majorBidi"/>
        </w:rPr>
        <w:t xml:space="preserve">studies. </w:t>
      </w:r>
      <w:r w:rsidR="00415CA5" w:rsidRPr="00B12FA8">
        <w:rPr>
          <w:rFonts w:asciiTheme="majorBidi" w:hAnsiTheme="majorBidi" w:cstheme="majorBidi"/>
        </w:rPr>
        <w:t>Considering</w:t>
      </w:r>
      <w:r w:rsidR="00B52313" w:rsidRPr="00B12FA8">
        <w:rPr>
          <w:rFonts w:asciiTheme="majorBidi" w:hAnsiTheme="majorBidi" w:cstheme="majorBidi"/>
        </w:rPr>
        <w:t xml:space="preserve"> that each electrode implantation has a </w:t>
      </w:r>
      <w:r w:rsidR="008D220C" w:rsidRPr="00B12FA8">
        <w:rPr>
          <w:rFonts w:asciiTheme="majorBidi" w:hAnsiTheme="majorBidi" w:cstheme="majorBidi"/>
        </w:rPr>
        <w:t xml:space="preserve">~20% </w:t>
      </w:r>
      <w:r w:rsidR="00B52313" w:rsidRPr="00B12FA8">
        <w:rPr>
          <w:rFonts w:asciiTheme="majorBidi" w:hAnsiTheme="majorBidi" w:cstheme="majorBidi"/>
        </w:rPr>
        <w:t>risk of falling off or postoperative complications</w:t>
      </w:r>
      <w:r w:rsidR="008D220C" w:rsidRPr="00B12FA8">
        <w:rPr>
          <w:rFonts w:asciiTheme="majorBidi" w:hAnsiTheme="majorBidi" w:cstheme="majorBidi"/>
        </w:rPr>
        <w:t xml:space="preserve">, we will include </w:t>
      </w:r>
      <w:r w:rsidR="00E3292E" w:rsidRPr="00B12FA8">
        <w:rPr>
          <w:rFonts w:asciiTheme="majorBidi" w:hAnsiTheme="majorBidi" w:cstheme="majorBidi"/>
        </w:rPr>
        <w:t>~120</w:t>
      </w:r>
      <w:r w:rsidR="008D220C" w:rsidRPr="00B12FA8">
        <w:rPr>
          <w:rFonts w:asciiTheme="majorBidi" w:hAnsiTheme="majorBidi" w:cstheme="majorBidi"/>
        </w:rPr>
        <w:t xml:space="preserve"> mice (males</w:t>
      </w:r>
      <w:r w:rsidR="00A333DD" w:rsidRPr="00B12FA8">
        <w:rPr>
          <w:rFonts w:asciiTheme="majorBidi" w:hAnsiTheme="majorBidi" w:cstheme="majorBidi"/>
        </w:rPr>
        <w:t xml:space="preserve"> only</w:t>
      </w:r>
      <w:r w:rsidR="008D220C" w:rsidRPr="00B12FA8">
        <w:rPr>
          <w:rFonts w:asciiTheme="majorBidi" w:hAnsiTheme="majorBidi" w:cstheme="majorBidi"/>
        </w:rPr>
        <w:t xml:space="preserve">). </w:t>
      </w:r>
      <w:r w:rsidR="00477DC5" w:rsidRPr="00B12FA8">
        <w:rPr>
          <w:rFonts w:asciiTheme="majorBidi" w:hAnsiTheme="majorBidi" w:cstheme="majorBidi"/>
        </w:rPr>
        <w:t xml:space="preserve">Altogether </w:t>
      </w:r>
      <w:r w:rsidR="00E3292E" w:rsidRPr="00B12FA8">
        <w:rPr>
          <w:rFonts w:asciiTheme="majorBidi" w:hAnsiTheme="majorBidi" w:cstheme="majorBidi"/>
        </w:rPr>
        <w:t>120</w:t>
      </w:r>
      <w:r w:rsidR="00477DC5" w:rsidRPr="00B12FA8">
        <w:rPr>
          <w:rFonts w:asciiTheme="majorBidi" w:hAnsiTheme="majorBidi" w:cstheme="majorBidi"/>
        </w:rPr>
        <w:t xml:space="preserve"> mice</w:t>
      </w:r>
      <w:r w:rsidR="008D220C" w:rsidRPr="00B12FA8">
        <w:rPr>
          <w:rFonts w:asciiTheme="majorBidi" w:hAnsiTheme="majorBidi" w:cstheme="majorBidi"/>
        </w:rPr>
        <w:t xml:space="preserve"> </w:t>
      </w:r>
      <w:r w:rsidR="00E3292E" w:rsidRPr="00B12FA8">
        <w:rPr>
          <w:rFonts w:asciiTheme="majorBidi" w:hAnsiTheme="majorBidi" w:cstheme="majorBidi"/>
        </w:rPr>
        <w:t xml:space="preserve">(males only) </w:t>
      </w:r>
      <w:r w:rsidR="008D220C" w:rsidRPr="00B12FA8">
        <w:rPr>
          <w:rFonts w:asciiTheme="majorBidi" w:hAnsiTheme="majorBidi" w:cstheme="majorBidi"/>
        </w:rPr>
        <w:t>will be required over the 3-year study period.</w:t>
      </w:r>
      <w:r w:rsidR="00477DC5" w:rsidRPr="00B12FA8">
        <w:rPr>
          <w:rFonts w:asciiTheme="majorBidi" w:hAnsiTheme="majorBidi" w:cstheme="majorBidi"/>
        </w:rPr>
        <w:t xml:space="preserve"> </w:t>
      </w:r>
    </w:p>
    <w:p w14:paraId="3A1A6143" w14:textId="207E925B" w:rsidR="001F0FCB" w:rsidRPr="00B12FA8" w:rsidRDefault="001F0FCB" w:rsidP="00C67B64">
      <w:pPr>
        <w:bidi w:val="0"/>
        <w:spacing w:before="20" w:afterLines="20" w:after="48" w:line="240" w:lineRule="auto"/>
        <w:contextualSpacing/>
        <w:jc w:val="both"/>
        <w:rPr>
          <w:rFonts w:asciiTheme="majorBidi" w:hAnsiTheme="majorBidi" w:cstheme="majorBidi"/>
          <w:b/>
          <w:bCs/>
          <w:u w:val="single"/>
        </w:rPr>
      </w:pPr>
      <w:r w:rsidRPr="00B12FA8">
        <w:rPr>
          <w:rFonts w:asciiTheme="majorBidi" w:hAnsiTheme="majorBidi" w:cstheme="majorBidi"/>
          <w:b/>
          <w:bCs/>
          <w:u w:val="single"/>
        </w:rPr>
        <w:br w:type="page"/>
      </w:r>
    </w:p>
    <w:p w14:paraId="003EB7D7" w14:textId="07FA484C" w:rsidR="00C23A45" w:rsidRPr="00B12FA8" w:rsidRDefault="00DD2E31" w:rsidP="00C67B64">
      <w:pPr>
        <w:bidi w:val="0"/>
        <w:spacing w:before="20" w:afterLines="20" w:after="48" w:line="240" w:lineRule="auto"/>
        <w:contextualSpacing/>
        <w:jc w:val="both"/>
        <w:rPr>
          <w:rFonts w:asciiTheme="majorBidi" w:hAnsiTheme="majorBidi" w:cstheme="majorBidi"/>
          <w:b/>
          <w:bCs/>
          <w:u w:val="single"/>
        </w:rPr>
      </w:pPr>
      <w:r w:rsidRPr="00B12FA8">
        <w:rPr>
          <w:rFonts w:asciiTheme="majorBidi" w:hAnsiTheme="majorBidi" w:cstheme="majorBidi"/>
          <w:b/>
          <w:bCs/>
          <w:u w:val="single"/>
        </w:rPr>
        <w:lastRenderedPageBreak/>
        <w:t>References:</w:t>
      </w:r>
    </w:p>
    <w:p w14:paraId="6627C783" w14:textId="1E3D1424" w:rsidR="006104B1" w:rsidRPr="006104B1" w:rsidRDefault="00FC7EFE"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B12FA8">
        <w:rPr>
          <w:rFonts w:asciiTheme="majorBidi" w:hAnsiTheme="majorBidi" w:cstheme="majorBidi"/>
        </w:rPr>
        <w:fldChar w:fldCharType="begin" w:fldLock="1"/>
      </w:r>
      <w:r w:rsidRPr="00B12FA8">
        <w:rPr>
          <w:rFonts w:asciiTheme="majorBidi" w:hAnsiTheme="majorBidi" w:cstheme="majorBidi"/>
        </w:rPr>
        <w:instrText xml:space="preserve">ADDIN Mendeley Bibliography CSL_BIBLIOGRAPHY </w:instrText>
      </w:r>
      <w:r w:rsidRPr="00B12FA8">
        <w:rPr>
          <w:rFonts w:asciiTheme="majorBidi" w:hAnsiTheme="majorBidi" w:cstheme="majorBidi"/>
        </w:rPr>
        <w:fldChar w:fldCharType="separate"/>
      </w:r>
      <w:r w:rsidR="006104B1" w:rsidRPr="006104B1">
        <w:rPr>
          <w:rFonts w:ascii="Times New Roman" w:hAnsi="Times New Roman" w:cs="Times New Roman"/>
          <w:noProof/>
          <w:szCs w:val="24"/>
        </w:rPr>
        <w:t>1.</w:t>
      </w:r>
      <w:r w:rsidR="006104B1" w:rsidRPr="006104B1">
        <w:rPr>
          <w:rFonts w:ascii="Times New Roman" w:hAnsi="Times New Roman" w:cs="Times New Roman"/>
          <w:noProof/>
          <w:szCs w:val="24"/>
        </w:rPr>
        <w:tab/>
        <w:t xml:space="preserve">Maranga, C., Fernandes, T. G., Bekman, E. &amp; da Rocha, S. T. Angelman syndrome: a journey through the brain. </w:t>
      </w:r>
      <w:r w:rsidR="006104B1" w:rsidRPr="006104B1">
        <w:rPr>
          <w:rFonts w:ascii="Times New Roman" w:hAnsi="Times New Roman" w:cs="Times New Roman"/>
          <w:i/>
          <w:iCs/>
          <w:noProof/>
          <w:szCs w:val="24"/>
        </w:rPr>
        <w:t>FEBS J.</w:t>
      </w:r>
      <w:r w:rsidR="006104B1" w:rsidRPr="006104B1">
        <w:rPr>
          <w:rFonts w:ascii="Times New Roman" w:hAnsi="Times New Roman" w:cs="Times New Roman"/>
          <w:noProof/>
          <w:szCs w:val="24"/>
        </w:rPr>
        <w:t xml:space="preserve"> </w:t>
      </w:r>
      <w:r w:rsidR="006104B1" w:rsidRPr="006104B1">
        <w:rPr>
          <w:rFonts w:ascii="Times New Roman" w:hAnsi="Times New Roman" w:cs="Times New Roman"/>
          <w:b/>
          <w:bCs/>
          <w:noProof/>
          <w:szCs w:val="24"/>
        </w:rPr>
        <w:t>287</w:t>
      </w:r>
      <w:r w:rsidR="006104B1" w:rsidRPr="006104B1">
        <w:rPr>
          <w:rFonts w:ascii="Times New Roman" w:hAnsi="Times New Roman" w:cs="Times New Roman"/>
          <w:noProof/>
          <w:szCs w:val="24"/>
        </w:rPr>
        <w:t>, 2154–2175 (2020).</w:t>
      </w:r>
    </w:p>
    <w:p w14:paraId="1F1DCD79"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2.</w:t>
      </w:r>
      <w:r w:rsidRPr="006104B1">
        <w:rPr>
          <w:rFonts w:ascii="Times New Roman" w:hAnsi="Times New Roman" w:cs="Times New Roman"/>
          <w:noProof/>
          <w:szCs w:val="24"/>
        </w:rPr>
        <w:tab/>
        <w:t xml:space="preserve">Jiang, Y.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Mutation of the Angelman Ubiquitin Ligase in Mice Causes Increased Cytoplasmic p53 and Deficits of Contextual Learning and Long-Term Potentiation. </w:t>
      </w:r>
      <w:r w:rsidRPr="006104B1">
        <w:rPr>
          <w:rFonts w:ascii="Times New Roman" w:hAnsi="Times New Roman" w:cs="Times New Roman"/>
          <w:i/>
          <w:iCs/>
          <w:noProof/>
          <w:szCs w:val="24"/>
        </w:rPr>
        <w:t>Neuron</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21</w:t>
      </w:r>
      <w:r w:rsidRPr="006104B1">
        <w:rPr>
          <w:rFonts w:ascii="Times New Roman" w:hAnsi="Times New Roman" w:cs="Times New Roman"/>
          <w:noProof/>
          <w:szCs w:val="24"/>
        </w:rPr>
        <w:t>, 799–811 (1998).</w:t>
      </w:r>
    </w:p>
    <w:p w14:paraId="55606F7A"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3.</w:t>
      </w:r>
      <w:r w:rsidRPr="006104B1">
        <w:rPr>
          <w:rFonts w:ascii="Times New Roman" w:hAnsi="Times New Roman" w:cs="Times New Roman"/>
          <w:noProof/>
          <w:szCs w:val="24"/>
        </w:rPr>
        <w:tab/>
        <w:t xml:space="preserve">Miura, K.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Neurobehavioral and Electroencephalographic Abnormalities in Ube3aMaternal-Deficient Mice. </w:t>
      </w:r>
      <w:r w:rsidRPr="006104B1">
        <w:rPr>
          <w:rFonts w:ascii="Times New Roman" w:hAnsi="Times New Roman" w:cs="Times New Roman"/>
          <w:i/>
          <w:iCs/>
          <w:noProof/>
          <w:szCs w:val="24"/>
        </w:rPr>
        <w:t>Neurobiol. Dis.</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9</w:t>
      </w:r>
      <w:r w:rsidRPr="006104B1">
        <w:rPr>
          <w:rFonts w:ascii="Times New Roman" w:hAnsi="Times New Roman" w:cs="Times New Roman"/>
          <w:noProof/>
          <w:szCs w:val="24"/>
        </w:rPr>
        <w:t>, 149–159 (2002).</w:t>
      </w:r>
    </w:p>
    <w:p w14:paraId="6FA170F6"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4.</w:t>
      </w:r>
      <w:r w:rsidRPr="006104B1">
        <w:rPr>
          <w:rFonts w:ascii="Times New Roman" w:hAnsi="Times New Roman" w:cs="Times New Roman"/>
          <w:noProof/>
          <w:szCs w:val="24"/>
        </w:rPr>
        <w:tab/>
        <w:t xml:space="preserve">van Woerden, G. M.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Rescue of neurological deficits in a mouse model for Angelman syndrome by reduction of αCaMKII inhibitory phosphorylation. </w:t>
      </w:r>
      <w:r w:rsidRPr="006104B1">
        <w:rPr>
          <w:rFonts w:ascii="Times New Roman" w:hAnsi="Times New Roman" w:cs="Times New Roman"/>
          <w:i/>
          <w:iCs/>
          <w:noProof/>
          <w:szCs w:val="24"/>
        </w:rPr>
        <w:t>Nat. Neurosci.</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10</w:t>
      </w:r>
      <w:r w:rsidRPr="006104B1">
        <w:rPr>
          <w:rFonts w:ascii="Times New Roman" w:hAnsi="Times New Roman" w:cs="Times New Roman"/>
          <w:noProof/>
          <w:szCs w:val="24"/>
        </w:rPr>
        <w:t>, 280–282 (2007).</w:t>
      </w:r>
    </w:p>
    <w:p w14:paraId="1F777ED0"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5.</w:t>
      </w:r>
      <w:r w:rsidRPr="006104B1">
        <w:rPr>
          <w:rFonts w:ascii="Times New Roman" w:hAnsi="Times New Roman" w:cs="Times New Roman"/>
          <w:noProof/>
          <w:szCs w:val="24"/>
        </w:rPr>
        <w:tab/>
        <w:t xml:space="preserve">Sonzogni, M.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A behavioral test battery for mouse models of Angelman syndrome: A powerful tool for testing drugs and novel Ube3a mutants. </w:t>
      </w:r>
      <w:r w:rsidRPr="006104B1">
        <w:rPr>
          <w:rFonts w:ascii="Times New Roman" w:hAnsi="Times New Roman" w:cs="Times New Roman"/>
          <w:i/>
          <w:iCs/>
          <w:noProof/>
          <w:szCs w:val="24"/>
        </w:rPr>
        <w:t>Mol. Autism</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9</w:t>
      </w:r>
      <w:r w:rsidRPr="006104B1">
        <w:rPr>
          <w:rFonts w:ascii="Times New Roman" w:hAnsi="Times New Roman" w:cs="Times New Roman"/>
          <w:noProof/>
          <w:szCs w:val="24"/>
        </w:rPr>
        <w:t>, 1–19 (2018).</w:t>
      </w:r>
    </w:p>
    <w:p w14:paraId="4648A557"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6.</w:t>
      </w:r>
      <w:r w:rsidRPr="006104B1">
        <w:rPr>
          <w:rFonts w:ascii="Times New Roman" w:hAnsi="Times New Roman" w:cs="Times New Roman"/>
          <w:noProof/>
          <w:szCs w:val="24"/>
        </w:rPr>
        <w:tab/>
        <w:t xml:space="preserve">Sidorov, M. S.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Enhanced Operant Extinction and Prefrontal Excitability in a Mouse Model of Angelman Syndrome. </w:t>
      </w:r>
      <w:r w:rsidRPr="006104B1">
        <w:rPr>
          <w:rFonts w:ascii="Times New Roman" w:hAnsi="Times New Roman" w:cs="Times New Roman"/>
          <w:i/>
          <w:iCs/>
          <w:noProof/>
          <w:szCs w:val="24"/>
        </w:rPr>
        <w:t>J. Neurosci.</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38</w:t>
      </w:r>
      <w:r w:rsidRPr="006104B1">
        <w:rPr>
          <w:rFonts w:ascii="Times New Roman" w:hAnsi="Times New Roman" w:cs="Times New Roman"/>
          <w:noProof/>
          <w:szCs w:val="24"/>
        </w:rPr>
        <w:t>, 2671–2682 (2018).</w:t>
      </w:r>
    </w:p>
    <w:p w14:paraId="6BFBC1C9"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7.</w:t>
      </w:r>
      <w:r w:rsidRPr="006104B1">
        <w:rPr>
          <w:rFonts w:ascii="Times New Roman" w:hAnsi="Times New Roman" w:cs="Times New Roman"/>
          <w:noProof/>
          <w:szCs w:val="24"/>
        </w:rPr>
        <w:tab/>
        <w:t xml:space="preserve">Rotaru, D. C., van Woerden, G. M., Wallaard, I. &amp; Elgersma, Y. Adult Ube3a Gene Reinstatement Restores the Electrophysiological Deficits of Prefrontal Cortex Layer 5 Neurons in a Mouse Model of Angelman Syndrome. </w:t>
      </w:r>
      <w:r w:rsidRPr="006104B1">
        <w:rPr>
          <w:rFonts w:ascii="Times New Roman" w:hAnsi="Times New Roman" w:cs="Times New Roman"/>
          <w:i/>
          <w:iCs/>
          <w:noProof/>
          <w:szCs w:val="24"/>
        </w:rPr>
        <w:t>J. Neurosci.</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38</w:t>
      </w:r>
      <w:r w:rsidRPr="006104B1">
        <w:rPr>
          <w:rFonts w:ascii="Times New Roman" w:hAnsi="Times New Roman" w:cs="Times New Roman"/>
          <w:noProof/>
          <w:szCs w:val="24"/>
        </w:rPr>
        <w:t>, 8011–8030 (2018).</w:t>
      </w:r>
    </w:p>
    <w:p w14:paraId="34462B4A"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8.</w:t>
      </w:r>
      <w:r w:rsidRPr="006104B1">
        <w:rPr>
          <w:rFonts w:ascii="Times New Roman" w:hAnsi="Times New Roman" w:cs="Times New Roman"/>
          <w:noProof/>
          <w:szCs w:val="24"/>
        </w:rPr>
        <w:tab/>
        <w:t xml:space="preserve">Wallace, M. L., Burette, A. C., Weinberg, R. J. &amp; Philpot, B. D. Maternal Loss of Ube3a Produces an Excitatory/Inhibitory Imbalance through Neuron Type-Specific Synaptic Defects. </w:t>
      </w:r>
      <w:r w:rsidRPr="006104B1">
        <w:rPr>
          <w:rFonts w:ascii="Times New Roman" w:hAnsi="Times New Roman" w:cs="Times New Roman"/>
          <w:i/>
          <w:iCs/>
          <w:noProof/>
          <w:szCs w:val="24"/>
        </w:rPr>
        <w:t>Neuron</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74</w:t>
      </w:r>
      <w:r w:rsidRPr="006104B1">
        <w:rPr>
          <w:rFonts w:ascii="Times New Roman" w:hAnsi="Times New Roman" w:cs="Times New Roman"/>
          <w:noProof/>
          <w:szCs w:val="24"/>
        </w:rPr>
        <w:t>, 793–800 (2012).</w:t>
      </w:r>
    </w:p>
    <w:p w14:paraId="02F785AF"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9.</w:t>
      </w:r>
      <w:r w:rsidRPr="006104B1">
        <w:rPr>
          <w:rFonts w:ascii="Times New Roman" w:hAnsi="Times New Roman" w:cs="Times New Roman"/>
          <w:noProof/>
          <w:szCs w:val="24"/>
        </w:rPr>
        <w:tab/>
        <w:t xml:space="preserve">Gu, B.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Ube3a reinstatement mitigates epileptogenesis in Angelman syndrome model mice. </w:t>
      </w:r>
      <w:r w:rsidRPr="006104B1">
        <w:rPr>
          <w:rFonts w:ascii="Times New Roman" w:hAnsi="Times New Roman" w:cs="Times New Roman"/>
          <w:i/>
          <w:iCs/>
          <w:noProof/>
          <w:szCs w:val="24"/>
        </w:rPr>
        <w:t>J. Clin. Invest.</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129</w:t>
      </w:r>
      <w:r w:rsidRPr="006104B1">
        <w:rPr>
          <w:rFonts w:ascii="Times New Roman" w:hAnsi="Times New Roman" w:cs="Times New Roman"/>
          <w:noProof/>
          <w:szCs w:val="24"/>
        </w:rPr>
        <w:t>, 163–168 (2019).</w:t>
      </w:r>
    </w:p>
    <w:p w14:paraId="6CD04F35"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10.</w:t>
      </w:r>
      <w:r w:rsidRPr="006104B1">
        <w:rPr>
          <w:rFonts w:ascii="Times New Roman" w:hAnsi="Times New Roman" w:cs="Times New Roman"/>
          <w:noProof/>
          <w:szCs w:val="24"/>
        </w:rPr>
        <w:tab/>
        <w:t xml:space="preserve">Judson, M. C.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GABAergic Neuron-Specific Loss of Ube3a Causes Angelman Syndrome-Like EEG Abnormalities and Enhances Seizure Susceptibility. </w:t>
      </w:r>
      <w:r w:rsidRPr="006104B1">
        <w:rPr>
          <w:rFonts w:ascii="Times New Roman" w:hAnsi="Times New Roman" w:cs="Times New Roman"/>
          <w:i/>
          <w:iCs/>
          <w:noProof/>
          <w:szCs w:val="24"/>
        </w:rPr>
        <w:t>Neuron</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90</w:t>
      </w:r>
      <w:r w:rsidRPr="006104B1">
        <w:rPr>
          <w:rFonts w:ascii="Times New Roman" w:hAnsi="Times New Roman" w:cs="Times New Roman"/>
          <w:noProof/>
          <w:szCs w:val="24"/>
        </w:rPr>
        <w:t>, 56–69 (2016).</w:t>
      </w:r>
    </w:p>
    <w:p w14:paraId="0E7B8CC9"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11.</w:t>
      </w:r>
      <w:r w:rsidRPr="006104B1">
        <w:rPr>
          <w:rFonts w:ascii="Times New Roman" w:hAnsi="Times New Roman" w:cs="Times New Roman"/>
          <w:noProof/>
          <w:szCs w:val="24"/>
        </w:rPr>
        <w:tab/>
        <w:t xml:space="preserve">Kaphzan, H.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Reversal of Impaired Hippocampal Long-Term Potentiation and Contextual Fear Memory Deficits in Angelman Syndrome Model Mice by ErbB Inhibitors. </w:t>
      </w:r>
      <w:r w:rsidRPr="006104B1">
        <w:rPr>
          <w:rFonts w:ascii="Times New Roman" w:hAnsi="Times New Roman" w:cs="Times New Roman"/>
          <w:i/>
          <w:iCs/>
          <w:noProof/>
          <w:szCs w:val="24"/>
        </w:rPr>
        <w:t>Biol. Psychiatry</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72</w:t>
      </w:r>
      <w:r w:rsidRPr="006104B1">
        <w:rPr>
          <w:rFonts w:ascii="Times New Roman" w:hAnsi="Times New Roman" w:cs="Times New Roman"/>
          <w:noProof/>
          <w:szCs w:val="24"/>
        </w:rPr>
        <w:t>, 182–190 (2012).</w:t>
      </w:r>
    </w:p>
    <w:p w14:paraId="34D4AE0C"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12.</w:t>
      </w:r>
      <w:r w:rsidRPr="006104B1">
        <w:rPr>
          <w:rFonts w:ascii="Times New Roman" w:hAnsi="Times New Roman" w:cs="Times New Roman"/>
          <w:noProof/>
          <w:szCs w:val="24"/>
        </w:rPr>
        <w:tab/>
        <w:t xml:space="preserve">Kaphzan, H., Buffington, S. A., Jung, J. I., Rasband, M. N. &amp; Klann, E. Alterations in intrinsic membrane properties and the axon initial segment in a mouse model of Angelman syndrome. </w:t>
      </w:r>
      <w:r w:rsidRPr="006104B1">
        <w:rPr>
          <w:rFonts w:ascii="Times New Roman" w:hAnsi="Times New Roman" w:cs="Times New Roman"/>
          <w:i/>
          <w:iCs/>
          <w:noProof/>
          <w:szCs w:val="24"/>
        </w:rPr>
        <w:t>J. Neurosci.</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31</w:t>
      </w:r>
      <w:r w:rsidRPr="006104B1">
        <w:rPr>
          <w:rFonts w:ascii="Times New Roman" w:hAnsi="Times New Roman" w:cs="Times New Roman"/>
          <w:noProof/>
          <w:szCs w:val="24"/>
        </w:rPr>
        <w:t>, 17637–17648 (2011).</w:t>
      </w:r>
    </w:p>
    <w:p w14:paraId="5E25D095"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13.</w:t>
      </w:r>
      <w:r w:rsidRPr="006104B1">
        <w:rPr>
          <w:rFonts w:ascii="Times New Roman" w:hAnsi="Times New Roman" w:cs="Times New Roman"/>
          <w:noProof/>
          <w:szCs w:val="24"/>
        </w:rPr>
        <w:tab/>
        <w:t xml:space="preserve">Kaphzan, H.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Genetic Reduction of the α1 Subunit of Na/K-ATPase Corrects Multiple Hippocampal Phenotypes in Angelman Syndrome. </w:t>
      </w:r>
      <w:r w:rsidRPr="006104B1">
        <w:rPr>
          <w:rFonts w:ascii="Times New Roman" w:hAnsi="Times New Roman" w:cs="Times New Roman"/>
          <w:i/>
          <w:iCs/>
          <w:noProof/>
          <w:szCs w:val="24"/>
        </w:rPr>
        <w:t>Cell Rep.</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4</w:t>
      </w:r>
      <w:r w:rsidRPr="006104B1">
        <w:rPr>
          <w:rFonts w:ascii="Times New Roman" w:hAnsi="Times New Roman" w:cs="Times New Roman"/>
          <w:noProof/>
          <w:szCs w:val="24"/>
        </w:rPr>
        <w:t>, 405–412 (2013).</w:t>
      </w:r>
    </w:p>
    <w:p w14:paraId="6BBFD63E"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14.</w:t>
      </w:r>
      <w:r w:rsidRPr="006104B1">
        <w:rPr>
          <w:rFonts w:ascii="Times New Roman" w:hAnsi="Times New Roman" w:cs="Times New Roman"/>
          <w:noProof/>
          <w:szCs w:val="24"/>
        </w:rPr>
        <w:tab/>
        <w:t xml:space="preserve">Egawa, K.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Decreased Tonic Inhibition in Cerebellar Granule Cells Causes Motor Dysfunction in a Mouse Model of Angelman Syndrome. </w:t>
      </w:r>
      <w:r w:rsidRPr="006104B1">
        <w:rPr>
          <w:rFonts w:ascii="Times New Roman" w:hAnsi="Times New Roman" w:cs="Times New Roman"/>
          <w:i/>
          <w:iCs/>
          <w:noProof/>
          <w:szCs w:val="24"/>
        </w:rPr>
        <w:t>Sci. Transl. Med.</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4</w:t>
      </w:r>
      <w:r w:rsidRPr="006104B1">
        <w:rPr>
          <w:rFonts w:ascii="Times New Roman" w:hAnsi="Times New Roman" w:cs="Times New Roman"/>
          <w:noProof/>
          <w:szCs w:val="24"/>
        </w:rPr>
        <w:t>, 163ra157 (2012).</w:t>
      </w:r>
    </w:p>
    <w:p w14:paraId="398AFADD"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15.</w:t>
      </w:r>
      <w:r w:rsidRPr="006104B1">
        <w:rPr>
          <w:rFonts w:ascii="Times New Roman" w:hAnsi="Times New Roman" w:cs="Times New Roman"/>
          <w:noProof/>
          <w:szCs w:val="24"/>
        </w:rPr>
        <w:tab/>
        <w:t xml:space="preserve">Wang, T., van Woerden, G. M., Elgersma, Y. &amp; Borst, J. G. G. Enhanced Transmission at the Calyx of Held Synapse in a Mouse Model for Angelman Syndrome. </w:t>
      </w:r>
      <w:r w:rsidRPr="006104B1">
        <w:rPr>
          <w:rFonts w:ascii="Times New Roman" w:hAnsi="Times New Roman" w:cs="Times New Roman"/>
          <w:i/>
          <w:iCs/>
          <w:noProof/>
          <w:szCs w:val="24"/>
        </w:rPr>
        <w:t>Front. Cell. Neurosci.</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11</w:t>
      </w:r>
      <w:r w:rsidRPr="006104B1">
        <w:rPr>
          <w:rFonts w:ascii="Times New Roman" w:hAnsi="Times New Roman" w:cs="Times New Roman"/>
          <w:noProof/>
          <w:szCs w:val="24"/>
        </w:rPr>
        <w:t>, 1–19 (2018).</w:t>
      </w:r>
      <w:bookmarkStart w:id="10" w:name="_GoBack"/>
      <w:bookmarkEnd w:id="10"/>
    </w:p>
    <w:p w14:paraId="23C6D152"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16.</w:t>
      </w:r>
      <w:r w:rsidRPr="006104B1">
        <w:rPr>
          <w:rFonts w:ascii="Times New Roman" w:hAnsi="Times New Roman" w:cs="Times New Roman"/>
          <w:noProof/>
          <w:szCs w:val="24"/>
        </w:rPr>
        <w:tab/>
        <w:t xml:space="preserve">Panov, J., Simchi, L., Feuermann, Y. &amp; Kaphzan, H. Bioinformatics analyses of the transcriptome reveal Ube3a-dependent effects on mitochondrial-related pathways. </w:t>
      </w:r>
      <w:r w:rsidRPr="006104B1">
        <w:rPr>
          <w:rFonts w:ascii="Times New Roman" w:hAnsi="Times New Roman" w:cs="Times New Roman"/>
          <w:i/>
          <w:iCs/>
          <w:noProof/>
          <w:szCs w:val="24"/>
        </w:rPr>
        <w:t>Int. J. Mol. Sci.</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21</w:t>
      </w:r>
      <w:r w:rsidRPr="006104B1">
        <w:rPr>
          <w:rFonts w:ascii="Times New Roman" w:hAnsi="Times New Roman" w:cs="Times New Roman"/>
          <w:noProof/>
          <w:szCs w:val="24"/>
        </w:rPr>
        <w:t>, 1–21 (2020).</w:t>
      </w:r>
    </w:p>
    <w:p w14:paraId="1D58F2E2"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17.</w:t>
      </w:r>
      <w:r w:rsidRPr="006104B1">
        <w:rPr>
          <w:rFonts w:ascii="Times New Roman" w:hAnsi="Times New Roman" w:cs="Times New Roman"/>
          <w:noProof/>
          <w:szCs w:val="24"/>
        </w:rPr>
        <w:tab/>
        <w:t xml:space="preserve">Santini, E.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Mitochondrial superoxide contributes to hippocampal synaptic dysfunction and memory deficits in Angelman syndrome model mice. </w:t>
      </w:r>
      <w:r w:rsidRPr="006104B1">
        <w:rPr>
          <w:rFonts w:ascii="Times New Roman" w:hAnsi="Times New Roman" w:cs="Times New Roman"/>
          <w:i/>
          <w:iCs/>
          <w:noProof/>
          <w:szCs w:val="24"/>
        </w:rPr>
        <w:t>J. Neurosci.</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35</w:t>
      </w:r>
      <w:r w:rsidRPr="006104B1">
        <w:rPr>
          <w:rFonts w:ascii="Times New Roman" w:hAnsi="Times New Roman" w:cs="Times New Roman"/>
          <w:noProof/>
          <w:szCs w:val="24"/>
        </w:rPr>
        <w:t>, 16213–16220 (2015).</w:t>
      </w:r>
    </w:p>
    <w:p w14:paraId="786A9580"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18.</w:t>
      </w:r>
      <w:r w:rsidRPr="006104B1">
        <w:rPr>
          <w:rFonts w:ascii="Times New Roman" w:hAnsi="Times New Roman" w:cs="Times New Roman"/>
          <w:noProof/>
          <w:szCs w:val="24"/>
        </w:rPr>
        <w:tab/>
        <w:t xml:space="preserve">Bennabi, D. &amp; Haffen, E. Transcranial Direct Current Stimulation (tDCS): A Promising Treatment for Major Depressive Disorder? </w:t>
      </w:r>
      <w:r w:rsidRPr="006104B1">
        <w:rPr>
          <w:rFonts w:ascii="Times New Roman" w:hAnsi="Times New Roman" w:cs="Times New Roman"/>
          <w:i/>
          <w:iCs/>
          <w:noProof/>
          <w:szCs w:val="24"/>
        </w:rPr>
        <w:t>Brain Sci.</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8</w:t>
      </w:r>
      <w:r w:rsidRPr="006104B1">
        <w:rPr>
          <w:rFonts w:ascii="Times New Roman" w:hAnsi="Times New Roman" w:cs="Times New Roman"/>
          <w:noProof/>
          <w:szCs w:val="24"/>
        </w:rPr>
        <w:t>, 81 (2018).</w:t>
      </w:r>
    </w:p>
    <w:p w14:paraId="2BF641B1"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19.</w:t>
      </w:r>
      <w:r w:rsidRPr="006104B1">
        <w:rPr>
          <w:rFonts w:ascii="Times New Roman" w:hAnsi="Times New Roman" w:cs="Times New Roman"/>
          <w:noProof/>
          <w:szCs w:val="24"/>
        </w:rPr>
        <w:tab/>
        <w:t xml:space="preserve">Palm, U.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Treatment of major depression with a two-step tDCS protocol add-on to SSRI: Results from a naturalistic study. </w:t>
      </w:r>
      <w:r w:rsidRPr="006104B1">
        <w:rPr>
          <w:rFonts w:ascii="Times New Roman" w:hAnsi="Times New Roman" w:cs="Times New Roman"/>
          <w:i/>
          <w:iCs/>
          <w:noProof/>
          <w:szCs w:val="24"/>
        </w:rPr>
        <w:t>Brain Stimul.</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12</w:t>
      </w:r>
      <w:r w:rsidRPr="006104B1">
        <w:rPr>
          <w:rFonts w:ascii="Times New Roman" w:hAnsi="Times New Roman" w:cs="Times New Roman"/>
          <w:noProof/>
          <w:szCs w:val="24"/>
        </w:rPr>
        <w:t>, 195–197 (2019).</w:t>
      </w:r>
    </w:p>
    <w:p w14:paraId="2142F640"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20.</w:t>
      </w:r>
      <w:r w:rsidRPr="006104B1">
        <w:rPr>
          <w:rFonts w:ascii="Times New Roman" w:hAnsi="Times New Roman" w:cs="Times New Roman"/>
          <w:noProof/>
          <w:szCs w:val="24"/>
        </w:rPr>
        <w:tab/>
        <w:t xml:space="preserve">Vaz, P. G.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Noninvasive brain stimulation combined with other therapies improves gait speed after stroke: a systematic review and meta-analysis. </w:t>
      </w:r>
      <w:r w:rsidRPr="006104B1">
        <w:rPr>
          <w:rFonts w:ascii="Times New Roman" w:hAnsi="Times New Roman" w:cs="Times New Roman"/>
          <w:i/>
          <w:iCs/>
          <w:noProof/>
          <w:szCs w:val="24"/>
        </w:rPr>
        <w:t>Top. Stroke Rehabil.</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26</w:t>
      </w:r>
      <w:r w:rsidRPr="006104B1">
        <w:rPr>
          <w:rFonts w:ascii="Times New Roman" w:hAnsi="Times New Roman" w:cs="Times New Roman"/>
          <w:noProof/>
          <w:szCs w:val="24"/>
        </w:rPr>
        <w:t>, 201–213 (2019).</w:t>
      </w:r>
    </w:p>
    <w:p w14:paraId="20EDABA6"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21.</w:t>
      </w:r>
      <w:r w:rsidRPr="006104B1">
        <w:rPr>
          <w:rFonts w:ascii="Times New Roman" w:hAnsi="Times New Roman" w:cs="Times New Roman"/>
          <w:noProof/>
          <w:szCs w:val="24"/>
        </w:rPr>
        <w:tab/>
        <w:t xml:space="preserve">Feil, J. &amp; Zangen, A. Brain stimulation in the study and treatment of addiction. </w:t>
      </w:r>
      <w:r w:rsidRPr="006104B1">
        <w:rPr>
          <w:rFonts w:ascii="Times New Roman" w:hAnsi="Times New Roman" w:cs="Times New Roman"/>
          <w:i/>
          <w:iCs/>
          <w:noProof/>
          <w:szCs w:val="24"/>
        </w:rPr>
        <w:t>Neurosci. Biobehav. Rev.</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34</w:t>
      </w:r>
      <w:r w:rsidRPr="006104B1">
        <w:rPr>
          <w:rFonts w:ascii="Times New Roman" w:hAnsi="Times New Roman" w:cs="Times New Roman"/>
          <w:noProof/>
          <w:szCs w:val="24"/>
        </w:rPr>
        <w:t>, 559–574 (2010).</w:t>
      </w:r>
    </w:p>
    <w:p w14:paraId="58DED432"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22.</w:t>
      </w:r>
      <w:r w:rsidRPr="006104B1">
        <w:rPr>
          <w:rFonts w:ascii="Times New Roman" w:hAnsi="Times New Roman" w:cs="Times New Roman"/>
          <w:noProof/>
          <w:szCs w:val="24"/>
        </w:rPr>
        <w:tab/>
        <w:t xml:space="preserve">Duarte, D., Castelo-Branco, L. E. C., Uygur Kucukseymen, E. &amp; Fregni, F. Developing an optimized strategy with transcranial direct current stimulation to enhance the endogenous pain control system in fibromyalgia. </w:t>
      </w:r>
      <w:r w:rsidRPr="006104B1">
        <w:rPr>
          <w:rFonts w:ascii="Times New Roman" w:hAnsi="Times New Roman" w:cs="Times New Roman"/>
          <w:i/>
          <w:iCs/>
          <w:noProof/>
          <w:szCs w:val="24"/>
        </w:rPr>
        <w:t>Expert Rev. Med. Devices</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15</w:t>
      </w:r>
      <w:r w:rsidRPr="006104B1">
        <w:rPr>
          <w:rFonts w:ascii="Times New Roman" w:hAnsi="Times New Roman" w:cs="Times New Roman"/>
          <w:noProof/>
          <w:szCs w:val="24"/>
        </w:rPr>
        <w:t>, 863–873 (2018).</w:t>
      </w:r>
    </w:p>
    <w:p w14:paraId="777F7AA5"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23.</w:t>
      </w:r>
      <w:r w:rsidRPr="006104B1">
        <w:rPr>
          <w:rFonts w:ascii="Times New Roman" w:hAnsi="Times New Roman" w:cs="Times New Roman"/>
          <w:noProof/>
          <w:szCs w:val="24"/>
        </w:rPr>
        <w:tab/>
        <w:t xml:space="preserve">Costa, B., Ferreira, I., Trevizol, A., Thibaut, A. &amp; Fregni, F. Emerging targets and uses of neuromodulation for pain. </w:t>
      </w:r>
      <w:r w:rsidRPr="006104B1">
        <w:rPr>
          <w:rFonts w:ascii="Times New Roman" w:hAnsi="Times New Roman" w:cs="Times New Roman"/>
          <w:i/>
          <w:iCs/>
          <w:noProof/>
          <w:szCs w:val="24"/>
        </w:rPr>
        <w:t>Expert Rev. Neurother.</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19</w:t>
      </w:r>
      <w:r w:rsidRPr="006104B1">
        <w:rPr>
          <w:rFonts w:ascii="Times New Roman" w:hAnsi="Times New Roman" w:cs="Times New Roman"/>
          <w:noProof/>
          <w:szCs w:val="24"/>
        </w:rPr>
        <w:t>, 109–118 (2019).</w:t>
      </w:r>
    </w:p>
    <w:p w14:paraId="70910F23"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24.</w:t>
      </w:r>
      <w:r w:rsidRPr="006104B1">
        <w:rPr>
          <w:rFonts w:ascii="Times New Roman" w:hAnsi="Times New Roman" w:cs="Times New Roman"/>
          <w:noProof/>
          <w:szCs w:val="24"/>
        </w:rPr>
        <w:tab/>
        <w:t xml:space="preserve">Dagan, M.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Multitarget transcranial direct current stimulation for freezing of gait in Parkinson’s disease. </w:t>
      </w:r>
      <w:r w:rsidRPr="006104B1">
        <w:rPr>
          <w:rFonts w:ascii="Times New Roman" w:hAnsi="Times New Roman" w:cs="Times New Roman"/>
          <w:i/>
          <w:iCs/>
          <w:noProof/>
          <w:szCs w:val="24"/>
        </w:rPr>
        <w:t>Mov. Disord.</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33</w:t>
      </w:r>
      <w:r w:rsidRPr="006104B1">
        <w:rPr>
          <w:rFonts w:ascii="Times New Roman" w:hAnsi="Times New Roman" w:cs="Times New Roman"/>
          <w:noProof/>
          <w:szCs w:val="24"/>
        </w:rPr>
        <w:t>, 642–646 (2018).</w:t>
      </w:r>
    </w:p>
    <w:p w14:paraId="07FEB405"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25.</w:t>
      </w:r>
      <w:r w:rsidRPr="006104B1">
        <w:rPr>
          <w:rFonts w:ascii="Times New Roman" w:hAnsi="Times New Roman" w:cs="Times New Roman"/>
          <w:noProof/>
          <w:szCs w:val="24"/>
        </w:rPr>
        <w:tab/>
        <w:t xml:space="preserve">Yang, F.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Effects and potential mechanisms of transcranial direct current stimulation (tDCS) on auditory hallucinations: A meta-analysis. </w:t>
      </w:r>
      <w:r w:rsidRPr="006104B1">
        <w:rPr>
          <w:rFonts w:ascii="Times New Roman" w:hAnsi="Times New Roman" w:cs="Times New Roman"/>
          <w:i/>
          <w:iCs/>
          <w:noProof/>
          <w:szCs w:val="24"/>
        </w:rPr>
        <w:t>Psychiatry Res.</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273</w:t>
      </w:r>
      <w:r w:rsidRPr="006104B1">
        <w:rPr>
          <w:rFonts w:ascii="Times New Roman" w:hAnsi="Times New Roman" w:cs="Times New Roman"/>
          <w:noProof/>
          <w:szCs w:val="24"/>
        </w:rPr>
        <w:t>, 343–349 (2019).</w:t>
      </w:r>
    </w:p>
    <w:p w14:paraId="514CD27F"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26.</w:t>
      </w:r>
      <w:r w:rsidRPr="006104B1">
        <w:rPr>
          <w:rFonts w:ascii="Times New Roman" w:hAnsi="Times New Roman" w:cs="Times New Roman"/>
          <w:noProof/>
          <w:szCs w:val="24"/>
        </w:rPr>
        <w:tab/>
        <w:t xml:space="preserve">Kim, J.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A meta-analysis of transcranial direct current stimulation for schizophrenia: “Is more better?” </w:t>
      </w:r>
      <w:r w:rsidRPr="006104B1">
        <w:rPr>
          <w:rFonts w:ascii="Times New Roman" w:hAnsi="Times New Roman" w:cs="Times New Roman"/>
          <w:i/>
          <w:iCs/>
          <w:noProof/>
          <w:szCs w:val="24"/>
        </w:rPr>
        <w:t>J. Psychiatr. Res.</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110</w:t>
      </w:r>
      <w:r w:rsidRPr="006104B1">
        <w:rPr>
          <w:rFonts w:ascii="Times New Roman" w:hAnsi="Times New Roman" w:cs="Times New Roman"/>
          <w:noProof/>
          <w:szCs w:val="24"/>
        </w:rPr>
        <w:t>, 117–126 (2019).</w:t>
      </w:r>
    </w:p>
    <w:p w14:paraId="0B343233"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lastRenderedPageBreak/>
        <w:t>27.</w:t>
      </w:r>
      <w:r w:rsidRPr="006104B1">
        <w:rPr>
          <w:rFonts w:ascii="Times New Roman" w:hAnsi="Times New Roman" w:cs="Times New Roman"/>
          <w:noProof/>
          <w:szCs w:val="24"/>
        </w:rPr>
        <w:tab/>
        <w:t xml:space="preserve">Dmochowski, J. P., Datta, A., Bikson, M., Su, Y. &amp; Parra, L. C. Optimized multi-electrode stimulation increases focality and intensity at target. </w:t>
      </w:r>
      <w:r w:rsidRPr="006104B1">
        <w:rPr>
          <w:rFonts w:ascii="Times New Roman" w:hAnsi="Times New Roman" w:cs="Times New Roman"/>
          <w:i/>
          <w:iCs/>
          <w:noProof/>
          <w:szCs w:val="24"/>
        </w:rPr>
        <w:t>J. Neural Eng.</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8</w:t>
      </w:r>
      <w:r w:rsidRPr="006104B1">
        <w:rPr>
          <w:rFonts w:ascii="Times New Roman" w:hAnsi="Times New Roman" w:cs="Times New Roman"/>
          <w:noProof/>
          <w:szCs w:val="24"/>
        </w:rPr>
        <w:t>, 046011 (2011).</w:t>
      </w:r>
    </w:p>
    <w:p w14:paraId="6C767CC1"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28.</w:t>
      </w:r>
      <w:r w:rsidRPr="006104B1">
        <w:rPr>
          <w:rFonts w:ascii="Times New Roman" w:hAnsi="Times New Roman" w:cs="Times New Roman"/>
          <w:noProof/>
          <w:szCs w:val="24"/>
        </w:rPr>
        <w:tab/>
        <w:t xml:space="preserve">Kessler, S. K.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Dosage Considerations for Transcranial Direct Current Stimulation in Children: A Computational Modeling Study. </w:t>
      </w:r>
      <w:r w:rsidRPr="006104B1">
        <w:rPr>
          <w:rFonts w:ascii="Times New Roman" w:hAnsi="Times New Roman" w:cs="Times New Roman"/>
          <w:i/>
          <w:iCs/>
          <w:noProof/>
          <w:szCs w:val="24"/>
        </w:rPr>
        <w:t>PLoS One</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8</w:t>
      </w:r>
      <w:r w:rsidRPr="006104B1">
        <w:rPr>
          <w:rFonts w:ascii="Times New Roman" w:hAnsi="Times New Roman" w:cs="Times New Roman"/>
          <w:noProof/>
          <w:szCs w:val="24"/>
        </w:rPr>
        <w:t>, e76112 (2013).</w:t>
      </w:r>
    </w:p>
    <w:p w14:paraId="189CFB17"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29.</w:t>
      </w:r>
      <w:r w:rsidRPr="006104B1">
        <w:rPr>
          <w:rFonts w:ascii="Times New Roman" w:hAnsi="Times New Roman" w:cs="Times New Roman"/>
          <w:noProof/>
          <w:szCs w:val="24"/>
        </w:rPr>
        <w:tab/>
        <w:t xml:space="preserve">Truong, D. Q., Magerowski, G., Blackburn, G. L., Bikson, M. &amp; Alonso-Alonso, M. Computational modeling of transcranial direct current stimulation (tDCS) in obesity: Impact of head fat and dose guidelines. </w:t>
      </w:r>
      <w:r w:rsidRPr="006104B1">
        <w:rPr>
          <w:rFonts w:ascii="Times New Roman" w:hAnsi="Times New Roman" w:cs="Times New Roman"/>
          <w:i/>
          <w:iCs/>
          <w:noProof/>
          <w:szCs w:val="24"/>
        </w:rPr>
        <w:t>NeuroImage Clin.</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2</w:t>
      </w:r>
      <w:r w:rsidRPr="006104B1">
        <w:rPr>
          <w:rFonts w:ascii="Times New Roman" w:hAnsi="Times New Roman" w:cs="Times New Roman"/>
          <w:noProof/>
          <w:szCs w:val="24"/>
        </w:rPr>
        <w:t>, 759–766 (2013).</w:t>
      </w:r>
    </w:p>
    <w:p w14:paraId="59596850"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30.</w:t>
      </w:r>
      <w:r w:rsidRPr="006104B1">
        <w:rPr>
          <w:rFonts w:ascii="Times New Roman" w:hAnsi="Times New Roman" w:cs="Times New Roman"/>
          <w:noProof/>
          <w:szCs w:val="24"/>
        </w:rPr>
        <w:tab/>
        <w:t xml:space="preserve">Huang, Y.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Correction: Measurements and models of electric fields in the in vivo human brain during transcranial electric stimulation. </w:t>
      </w:r>
      <w:r w:rsidRPr="006104B1">
        <w:rPr>
          <w:rFonts w:ascii="Times New Roman" w:hAnsi="Times New Roman" w:cs="Times New Roman"/>
          <w:i/>
          <w:iCs/>
          <w:noProof/>
          <w:szCs w:val="24"/>
        </w:rPr>
        <w:t>Elife</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7</w:t>
      </w:r>
      <w:r w:rsidRPr="006104B1">
        <w:rPr>
          <w:rFonts w:ascii="Times New Roman" w:hAnsi="Times New Roman" w:cs="Times New Roman"/>
          <w:noProof/>
          <w:szCs w:val="24"/>
        </w:rPr>
        <w:t>, e35178 (2018).</w:t>
      </w:r>
    </w:p>
    <w:p w14:paraId="56039F6D"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31.</w:t>
      </w:r>
      <w:r w:rsidRPr="006104B1">
        <w:rPr>
          <w:rFonts w:ascii="Times New Roman" w:hAnsi="Times New Roman" w:cs="Times New Roman"/>
          <w:noProof/>
          <w:szCs w:val="24"/>
        </w:rPr>
        <w:tab/>
        <w:t xml:space="preserve">Bikson, M.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Safety of Transcranial Direct Current Stimulation: Evidence Based Update 2016. </w:t>
      </w:r>
      <w:r w:rsidRPr="006104B1">
        <w:rPr>
          <w:rFonts w:ascii="Times New Roman" w:hAnsi="Times New Roman" w:cs="Times New Roman"/>
          <w:i/>
          <w:iCs/>
          <w:noProof/>
          <w:szCs w:val="24"/>
        </w:rPr>
        <w:t>Brain Stimul.</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9</w:t>
      </w:r>
      <w:r w:rsidRPr="006104B1">
        <w:rPr>
          <w:rFonts w:ascii="Times New Roman" w:hAnsi="Times New Roman" w:cs="Times New Roman"/>
          <w:noProof/>
          <w:szCs w:val="24"/>
        </w:rPr>
        <w:t>, 641–661 (2016).</w:t>
      </w:r>
    </w:p>
    <w:p w14:paraId="6407F4AF"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32.</w:t>
      </w:r>
      <w:r w:rsidRPr="006104B1">
        <w:rPr>
          <w:rFonts w:ascii="Times New Roman" w:hAnsi="Times New Roman" w:cs="Times New Roman"/>
          <w:noProof/>
          <w:szCs w:val="24"/>
        </w:rPr>
        <w:tab/>
        <w:t xml:space="preserve">Woods, A. J.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A technical guide to tDCS, and related non-invasive brain stimulation tools. </w:t>
      </w:r>
      <w:r w:rsidRPr="006104B1">
        <w:rPr>
          <w:rFonts w:ascii="Times New Roman" w:hAnsi="Times New Roman" w:cs="Times New Roman"/>
          <w:i/>
          <w:iCs/>
          <w:noProof/>
          <w:szCs w:val="24"/>
        </w:rPr>
        <w:t>Clin. Neurophysiol.</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127</w:t>
      </w:r>
      <w:r w:rsidRPr="006104B1">
        <w:rPr>
          <w:rFonts w:ascii="Times New Roman" w:hAnsi="Times New Roman" w:cs="Times New Roman"/>
          <w:noProof/>
          <w:szCs w:val="24"/>
        </w:rPr>
        <w:t>, 1031–1048 (2016).</w:t>
      </w:r>
    </w:p>
    <w:p w14:paraId="2042C07B"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33.</w:t>
      </w:r>
      <w:r w:rsidRPr="006104B1">
        <w:rPr>
          <w:rFonts w:ascii="Times New Roman" w:hAnsi="Times New Roman" w:cs="Times New Roman"/>
          <w:noProof/>
          <w:szCs w:val="24"/>
        </w:rPr>
        <w:tab/>
        <w:t xml:space="preserve">Borrione, L., Moffa, A. H., Martin, D., Loo, C. K. &amp; Brunoni, A. R. Transcranial Direct Current Stimulation in the Acute Depressive Episode. </w:t>
      </w:r>
      <w:r w:rsidRPr="006104B1">
        <w:rPr>
          <w:rFonts w:ascii="Times New Roman" w:hAnsi="Times New Roman" w:cs="Times New Roman"/>
          <w:i/>
          <w:iCs/>
          <w:noProof/>
          <w:szCs w:val="24"/>
        </w:rPr>
        <w:t>J. ECT</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34</w:t>
      </w:r>
      <w:r w:rsidRPr="006104B1">
        <w:rPr>
          <w:rFonts w:ascii="Times New Roman" w:hAnsi="Times New Roman" w:cs="Times New Roman"/>
          <w:noProof/>
          <w:szCs w:val="24"/>
        </w:rPr>
        <w:t>, 153–163 (2018).</w:t>
      </w:r>
    </w:p>
    <w:p w14:paraId="3BDEFF88"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34.</w:t>
      </w:r>
      <w:r w:rsidRPr="006104B1">
        <w:rPr>
          <w:rFonts w:ascii="Times New Roman" w:hAnsi="Times New Roman" w:cs="Times New Roman"/>
          <w:noProof/>
          <w:szCs w:val="24"/>
        </w:rPr>
        <w:tab/>
        <w:t xml:space="preserve">Terranova, C.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Is There a Future for Non-invasive Brain Stimulation as a Therapeutic Tool? </w:t>
      </w:r>
      <w:r w:rsidRPr="006104B1">
        <w:rPr>
          <w:rFonts w:ascii="Times New Roman" w:hAnsi="Times New Roman" w:cs="Times New Roman"/>
          <w:i/>
          <w:iCs/>
          <w:noProof/>
          <w:szCs w:val="24"/>
        </w:rPr>
        <w:t>Front. Neurol.</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9</w:t>
      </w:r>
      <w:r w:rsidRPr="006104B1">
        <w:rPr>
          <w:rFonts w:ascii="Times New Roman" w:hAnsi="Times New Roman" w:cs="Times New Roman"/>
          <w:noProof/>
          <w:szCs w:val="24"/>
        </w:rPr>
        <w:t>, 1146 (2019).</w:t>
      </w:r>
    </w:p>
    <w:p w14:paraId="74FDDDDE"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35.</w:t>
      </w:r>
      <w:r w:rsidRPr="006104B1">
        <w:rPr>
          <w:rFonts w:ascii="Times New Roman" w:hAnsi="Times New Roman" w:cs="Times New Roman"/>
          <w:noProof/>
          <w:szCs w:val="24"/>
        </w:rPr>
        <w:tab/>
        <w:t xml:space="preserve">Brunoni, A. R.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Noninvasive brain stimulation in psychiatric disorders: a primer. </w:t>
      </w:r>
      <w:r w:rsidRPr="006104B1">
        <w:rPr>
          <w:rFonts w:ascii="Times New Roman" w:hAnsi="Times New Roman" w:cs="Times New Roman"/>
          <w:i/>
          <w:iCs/>
          <w:noProof/>
          <w:szCs w:val="24"/>
        </w:rPr>
        <w:t>Brazilian J. Psychiatry</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41</w:t>
      </w:r>
      <w:r w:rsidRPr="006104B1">
        <w:rPr>
          <w:rFonts w:ascii="Times New Roman" w:hAnsi="Times New Roman" w:cs="Times New Roman"/>
          <w:noProof/>
          <w:szCs w:val="24"/>
        </w:rPr>
        <w:t>, 70–81 (2019).</w:t>
      </w:r>
    </w:p>
    <w:p w14:paraId="4A358934"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36.</w:t>
      </w:r>
      <w:r w:rsidRPr="006104B1">
        <w:rPr>
          <w:rFonts w:ascii="Times New Roman" w:hAnsi="Times New Roman" w:cs="Times New Roman"/>
          <w:noProof/>
          <w:szCs w:val="24"/>
        </w:rPr>
        <w:tab/>
        <w:t xml:space="preserve">Lefaucheur, J.-P.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Evidence-based guidelines on the therapeutic use of transcranial direct current stimulation (tDCS). </w:t>
      </w:r>
      <w:r w:rsidRPr="006104B1">
        <w:rPr>
          <w:rFonts w:ascii="Times New Roman" w:hAnsi="Times New Roman" w:cs="Times New Roman"/>
          <w:i/>
          <w:iCs/>
          <w:noProof/>
          <w:szCs w:val="24"/>
        </w:rPr>
        <w:t>Clin. Neurophysiol.</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128</w:t>
      </w:r>
      <w:r w:rsidRPr="006104B1">
        <w:rPr>
          <w:rFonts w:ascii="Times New Roman" w:hAnsi="Times New Roman" w:cs="Times New Roman"/>
          <w:noProof/>
          <w:szCs w:val="24"/>
        </w:rPr>
        <w:t>, 56–92 (2017).</w:t>
      </w:r>
    </w:p>
    <w:p w14:paraId="02DD7DF7"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37.</w:t>
      </w:r>
      <w:r w:rsidRPr="006104B1">
        <w:rPr>
          <w:rFonts w:ascii="Times New Roman" w:hAnsi="Times New Roman" w:cs="Times New Roman"/>
          <w:noProof/>
          <w:szCs w:val="24"/>
        </w:rPr>
        <w:tab/>
        <w:t xml:space="preserve">Antal, A.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Low intensity transcranial electric stimulation: Safety, ethical, legal regulatory and application guidelines. </w:t>
      </w:r>
      <w:r w:rsidRPr="006104B1">
        <w:rPr>
          <w:rFonts w:ascii="Times New Roman" w:hAnsi="Times New Roman" w:cs="Times New Roman"/>
          <w:i/>
          <w:iCs/>
          <w:noProof/>
          <w:szCs w:val="24"/>
        </w:rPr>
        <w:t>Clin. Neurophysiol.</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128</w:t>
      </w:r>
      <w:r w:rsidRPr="006104B1">
        <w:rPr>
          <w:rFonts w:ascii="Times New Roman" w:hAnsi="Times New Roman" w:cs="Times New Roman"/>
          <w:noProof/>
          <w:szCs w:val="24"/>
        </w:rPr>
        <w:t>, 1774–1809 (2017).</w:t>
      </w:r>
    </w:p>
    <w:p w14:paraId="063619B1"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38.</w:t>
      </w:r>
      <w:r w:rsidRPr="006104B1">
        <w:rPr>
          <w:rFonts w:ascii="Times New Roman" w:hAnsi="Times New Roman" w:cs="Times New Roman"/>
          <w:noProof/>
          <w:szCs w:val="24"/>
        </w:rPr>
        <w:tab/>
        <w:t xml:space="preserve">Lafon, B., Rahman, A., Bikson, M. &amp; Parra, L. C. Direct Current Stimulation Alters Neuronal Input/Output Function. </w:t>
      </w:r>
      <w:r w:rsidRPr="006104B1">
        <w:rPr>
          <w:rFonts w:ascii="Times New Roman" w:hAnsi="Times New Roman" w:cs="Times New Roman"/>
          <w:i/>
          <w:iCs/>
          <w:noProof/>
          <w:szCs w:val="24"/>
        </w:rPr>
        <w:t>Brain Stimul.</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10</w:t>
      </w:r>
      <w:r w:rsidRPr="006104B1">
        <w:rPr>
          <w:rFonts w:ascii="Times New Roman" w:hAnsi="Times New Roman" w:cs="Times New Roman"/>
          <w:noProof/>
          <w:szCs w:val="24"/>
        </w:rPr>
        <w:t>, 36–45 (2017).</w:t>
      </w:r>
    </w:p>
    <w:p w14:paraId="64844E2D"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39.</w:t>
      </w:r>
      <w:r w:rsidRPr="006104B1">
        <w:rPr>
          <w:rFonts w:ascii="Times New Roman" w:hAnsi="Times New Roman" w:cs="Times New Roman"/>
          <w:noProof/>
          <w:szCs w:val="24"/>
        </w:rPr>
        <w:tab/>
        <w:t xml:space="preserve">Rahman, A., Lafon, B., Parra, L. C. &amp; Bikson, M. Direct current stimulation boosts synaptic gain and cooperativity in vitro. </w:t>
      </w:r>
      <w:r w:rsidRPr="006104B1">
        <w:rPr>
          <w:rFonts w:ascii="Times New Roman" w:hAnsi="Times New Roman" w:cs="Times New Roman"/>
          <w:i/>
          <w:iCs/>
          <w:noProof/>
          <w:szCs w:val="24"/>
        </w:rPr>
        <w:t>J. Physiol.</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595</w:t>
      </w:r>
      <w:r w:rsidRPr="006104B1">
        <w:rPr>
          <w:rFonts w:ascii="Times New Roman" w:hAnsi="Times New Roman" w:cs="Times New Roman"/>
          <w:noProof/>
          <w:szCs w:val="24"/>
        </w:rPr>
        <w:t>, 3535–3547 (2017).</w:t>
      </w:r>
    </w:p>
    <w:p w14:paraId="42B811FE"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40.</w:t>
      </w:r>
      <w:r w:rsidRPr="006104B1">
        <w:rPr>
          <w:rFonts w:ascii="Times New Roman" w:hAnsi="Times New Roman" w:cs="Times New Roman"/>
          <w:noProof/>
          <w:szCs w:val="24"/>
        </w:rPr>
        <w:tab/>
        <w:t xml:space="preserve">Yu, T.-H., Wu, Y.-J., Chien, M.-E. &amp; Hsu, K.-S. Transcranial direct current stimulation induces hippocampal metaplasticity mediated by brain-derived neurotrophic factor. </w:t>
      </w:r>
      <w:r w:rsidRPr="006104B1">
        <w:rPr>
          <w:rFonts w:ascii="Times New Roman" w:hAnsi="Times New Roman" w:cs="Times New Roman"/>
          <w:i/>
          <w:iCs/>
          <w:noProof/>
          <w:szCs w:val="24"/>
        </w:rPr>
        <w:t>Neuropharmacology</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144</w:t>
      </w:r>
      <w:r w:rsidRPr="006104B1">
        <w:rPr>
          <w:rFonts w:ascii="Times New Roman" w:hAnsi="Times New Roman" w:cs="Times New Roman"/>
          <w:noProof/>
          <w:szCs w:val="24"/>
        </w:rPr>
        <w:t>, 358–367 (2019).</w:t>
      </w:r>
    </w:p>
    <w:p w14:paraId="2A971F48"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41.</w:t>
      </w:r>
      <w:r w:rsidRPr="006104B1">
        <w:rPr>
          <w:rFonts w:ascii="Times New Roman" w:hAnsi="Times New Roman" w:cs="Times New Roman"/>
          <w:noProof/>
          <w:szCs w:val="24"/>
        </w:rPr>
        <w:tab/>
        <w:t xml:space="preserve">Stagg, C. J., Antal, A. &amp; Nitsche, M. A. Physiology of Transcranial Direct Current Stimulation. </w:t>
      </w:r>
      <w:r w:rsidRPr="006104B1">
        <w:rPr>
          <w:rFonts w:ascii="Times New Roman" w:hAnsi="Times New Roman" w:cs="Times New Roman"/>
          <w:i/>
          <w:iCs/>
          <w:noProof/>
          <w:szCs w:val="24"/>
        </w:rPr>
        <w:t>J. ECT</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34</w:t>
      </w:r>
      <w:r w:rsidRPr="006104B1">
        <w:rPr>
          <w:rFonts w:ascii="Times New Roman" w:hAnsi="Times New Roman" w:cs="Times New Roman"/>
          <w:noProof/>
          <w:szCs w:val="24"/>
        </w:rPr>
        <w:t>, 144–152 (2018).</w:t>
      </w:r>
    </w:p>
    <w:p w14:paraId="0297D71D"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42.</w:t>
      </w:r>
      <w:r w:rsidRPr="006104B1">
        <w:rPr>
          <w:rFonts w:ascii="Times New Roman" w:hAnsi="Times New Roman" w:cs="Times New Roman"/>
          <w:noProof/>
          <w:szCs w:val="24"/>
        </w:rPr>
        <w:tab/>
        <w:t xml:space="preserve">Sánchez-León, C. A.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Exploring new transcranial electrical stimulation strategies to modulate brain function in animal models. </w:t>
      </w:r>
      <w:r w:rsidRPr="006104B1">
        <w:rPr>
          <w:rFonts w:ascii="Times New Roman" w:hAnsi="Times New Roman" w:cs="Times New Roman"/>
          <w:i/>
          <w:iCs/>
          <w:noProof/>
          <w:szCs w:val="24"/>
        </w:rPr>
        <w:t>Curr. Opin. Biomed. Eng.</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8</w:t>
      </w:r>
      <w:r w:rsidRPr="006104B1">
        <w:rPr>
          <w:rFonts w:ascii="Times New Roman" w:hAnsi="Times New Roman" w:cs="Times New Roman"/>
          <w:noProof/>
          <w:szCs w:val="24"/>
        </w:rPr>
        <w:t>, 7–13 (2018).</w:t>
      </w:r>
    </w:p>
    <w:p w14:paraId="162431BB"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43.</w:t>
      </w:r>
      <w:r w:rsidRPr="006104B1">
        <w:rPr>
          <w:rFonts w:ascii="Times New Roman" w:hAnsi="Times New Roman" w:cs="Times New Roman"/>
          <w:noProof/>
          <w:szCs w:val="24"/>
        </w:rPr>
        <w:tab/>
        <w:t xml:space="preserve">Rahman, A.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Cellular effects of acute direct current stimulation: somatic and synaptic terminal effects. </w:t>
      </w:r>
      <w:r w:rsidRPr="006104B1">
        <w:rPr>
          <w:rFonts w:ascii="Times New Roman" w:hAnsi="Times New Roman" w:cs="Times New Roman"/>
          <w:i/>
          <w:iCs/>
          <w:noProof/>
          <w:szCs w:val="24"/>
        </w:rPr>
        <w:t>J. Physiol.</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591</w:t>
      </w:r>
      <w:r w:rsidRPr="006104B1">
        <w:rPr>
          <w:rFonts w:ascii="Times New Roman" w:hAnsi="Times New Roman" w:cs="Times New Roman"/>
          <w:noProof/>
          <w:szCs w:val="24"/>
        </w:rPr>
        <w:t>, 2563–2578 (2013).</w:t>
      </w:r>
    </w:p>
    <w:p w14:paraId="05947D46"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44.</w:t>
      </w:r>
      <w:r w:rsidRPr="006104B1">
        <w:rPr>
          <w:rFonts w:ascii="Times New Roman" w:hAnsi="Times New Roman" w:cs="Times New Roman"/>
          <w:noProof/>
          <w:szCs w:val="24"/>
        </w:rPr>
        <w:tab/>
        <w:t xml:space="preserve">Ruohonen, J. &amp; Karhu, J. tDCS possibly stimulates glial cells. </w:t>
      </w:r>
      <w:r w:rsidRPr="006104B1">
        <w:rPr>
          <w:rFonts w:ascii="Times New Roman" w:hAnsi="Times New Roman" w:cs="Times New Roman"/>
          <w:i/>
          <w:iCs/>
          <w:noProof/>
          <w:szCs w:val="24"/>
        </w:rPr>
        <w:t>Clin. Neurophysiol.</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123</w:t>
      </w:r>
      <w:r w:rsidRPr="006104B1">
        <w:rPr>
          <w:rFonts w:ascii="Times New Roman" w:hAnsi="Times New Roman" w:cs="Times New Roman"/>
          <w:noProof/>
          <w:szCs w:val="24"/>
        </w:rPr>
        <w:t>, 2006–2009 (2012).</w:t>
      </w:r>
    </w:p>
    <w:p w14:paraId="2C96A299"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45.</w:t>
      </w:r>
      <w:r w:rsidRPr="006104B1">
        <w:rPr>
          <w:rFonts w:ascii="Times New Roman" w:hAnsi="Times New Roman" w:cs="Times New Roman"/>
          <w:noProof/>
          <w:szCs w:val="24"/>
        </w:rPr>
        <w:tab/>
        <w:t xml:space="preserve">Monai, H.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Calcium imaging reveals glial involvement in transcranial direct current stimulation-induced plasticity in mouse brain. </w:t>
      </w:r>
      <w:r w:rsidRPr="006104B1">
        <w:rPr>
          <w:rFonts w:ascii="Times New Roman" w:hAnsi="Times New Roman" w:cs="Times New Roman"/>
          <w:i/>
          <w:iCs/>
          <w:noProof/>
          <w:szCs w:val="24"/>
        </w:rPr>
        <w:t>Nat. Commun.</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7</w:t>
      </w:r>
      <w:r w:rsidRPr="006104B1">
        <w:rPr>
          <w:rFonts w:ascii="Times New Roman" w:hAnsi="Times New Roman" w:cs="Times New Roman"/>
          <w:noProof/>
          <w:szCs w:val="24"/>
        </w:rPr>
        <w:t>, 11100 (2016).</w:t>
      </w:r>
    </w:p>
    <w:p w14:paraId="29E89BF4"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46.</w:t>
      </w:r>
      <w:r w:rsidRPr="006104B1">
        <w:rPr>
          <w:rFonts w:ascii="Times New Roman" w:hAnsi="Times New Roman" w:cs="Times New Roman"/>
          <w:noProof/>
          <w:szCs w:val="24"/>
        </w:rPr>
        <w:tab/>
        <w:t xml:space="preserve">Monai, H. &amp; Hirase, H. Astrocytes as a target of transcranial direct current stimulation (tDCS) to treat depression. </w:t>
      </w:r>
      <w:r w:rsidRPr="006104B1">
        <w:rPr>
          <w:rFonts w:ascii="Times New Roman" w:hAnsi="Times New Roman" w:cs="Times New Roman"/>
          <w:i/>
          <w:iCs/>
          <w:noProof/>
          <w:szCs w:val="24"/>
        </w:rPr>
        <w:t>Neurosci. Res.</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126</w:t>
      </w:r>
      <w:r w:rsidRPr="006104B1">
        <w:rPr>
          <w:rFonts w:ascii="Times New Roman" w:hAnsi="Times New Roman" w:cs="Times New Roman"/>
          <w:noProof/>
          <w:szCs w:val="24"/>
        </w:rPr>
        <w:t>, 15–21 (2018).</w:t>
      </w:r>
    </w:p>
    <w:p w14:paraId="5BB3A758"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47.</w:t>
      </w:r>
      <w:r w:rsidRPr="006104B1">
        <w:rPr>
          <w:rFonts w:ascii="Times New Roman" w:hAnsi="Times New Roman" w:cs="Times New Roman"/>
          <w:noProof/>
          <w:szCs w:val="24"/>
        </w:rPr>
        <w:tab/>
        <w:t xml:space="preserve">Mishima, T.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Transcranial Direct Current Stimulation (tDCS) Induces Adrenergic Receptor-Dependent Microglial Morphological Changes in Mice. </w:t>
      </w:r>
      <w:r w:rsidRPr="006104B1">
        <w:rPr>
          <w:rFonts w:ascii="Times New Roman" w:hAnsi="Times New Roman" w:cs="Times New Roman"/>
          <w:i/>
          <w:iCs/>
          <w:noProof/>
          <w:szCs w:val="24"/>
        </w:rPr>
        <w:t>eneuro</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6</w:t>
      </w:r>
      <w:r w:rsidRPr="006104B1">
        <w:rPr>
          <w:rFonts w:ascii="Times New Roman" w:hAnsi="Times New Roman" w:cs="Times New Roman"/>
          <w:noProof/>
          <w:szCs w:val="24"/>
        </w:rPr>
        <w:t>, ENEURO.0204-19.2019 (2019).</w:t>
      </w:r>
    </w:p>
    <w:p w14:paraId="1627D4A8"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48.</w:t>
      </w:r>
      <w:r w:rsidRPr="006104B1">
        <w:rPr>
          <w:rFonts w:ascii="Times New Roman" w:hAnsi="Times New Roman" w:cs="Times New Roman"/>
          <w:noProof/>
          <w:szCs w:val="24"/>
        </w:rPr>
        <w:tab/>
        <w:t xml:space="preserve">Ma, Z.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Cortical Plasticity Induced by Anodal Transcranial Pulsed Current Stimulation Investigated by Combining Two-Photon Imaging and Electrophysiological Recording. </w:t>
      </w:r>
      <w:r w:rsidRPr="006104B1">
        <w:rPr>
          <w:rFonts w:ascii="Times New Roman" w:hAnsi="Times New Roman" w:cs="Times New Roman"/>
          <w:i/>
          <w:iCs/>
          <w:noProof/>
          <w:szCs w:val="24"/>
        </w:rPr>
        <w:t>Front. Cell. Neurosci.</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13</w:t>
      </w:r>
      <w:r w:rsidRPr="006104B1">
        <w:rPr>
          <w:rFonts w:ascii="Times New Roman" w:hAnsi="Times New Roman" w:cs="Times New Roman"/>
          <w:noProof/>
          <w:szCs w:val="24"/>
        </w:rPr>
        <w:t>, 400 (2019).</w:t>
      </w:r>
    </w:p>
    <w:p w14:paraId="1115E3E9"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49.</w:t>
      </w:r>
      <w:r w:rsidRPr="006104B1">
        <w:rPr>
          <w:rFonts w:ascii="Times New Roman" w:hAnsi="Times New Roman" w:cs="Times New Roman"/>
          <w:noProof/>
          <w:szCs w:val="24"/>
        </w:rPr>
        <w:tab/>
        <w:t xml:space="preserve">Radman, T., Datta, A., Ramos, R. L., Brumberg, J. C. &amp; Bikson, M. One-dimensional representation of a neuron in a uniform electric field. in </w:t>
      </w:r>
      <w:r w:rsidRPr="006104B1">
        <w:rPr>
          <w:rFonts w:ascii="Times New Roman" w:hAnsi="Times New Roman" w:cs="Times New Roman"/>
          <w:i/>
          <w:iCs/>
          <w:noProof/>
          <w:szCs w:val="24"/>
        </w:rPr>
        <w:t>2009 Annual International Conference of the IEEE Engineering in Medicine and Biology Society</w:t>
      </w:r>
      <w:r w:rsidRPr="006104B1">
        <w:rPr>
          <w:rFonts w:ascii="Times New Roman" w:hAnsi="Times New Roman" w:cs="Times New Roman"/>
          <w:noProof/>
          <w:szCs w:val="24"/>
        </w:rPr>
        <w:t xml:space="preserve"> vol. 2009 6481–6484 (IEEE, 2009).</w:t>
      </w:r>
    </w:p>
    <w:p w14:paraId="0FD521F0"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50.</w:t>
      </w:r>
      <w:r w:rsidRPr="006104B1">
        <w:rPr>
          <w:rFonts w:ascii="Times New Roman" w:hAnsi="Times New Roman" w:cs="Times New Roman"/>
          <w:noProof/>
          <w:szCs w:val="24"/>
        </w:rPr>
        <w:tab/>
        <w:t xml:space="preserve">Bikson, M., Rahman, A. &amp; Datta, A. Computational Models of Transcranial Direct Current Stimulation. </w:t>
      </w:r>
      <w:r w:rsidRPr="006104B1">
        <w:rPr>
          <w:rFonts w:ascii="Times New Roman" w:hAnsi="Times New Roman" w:cs="Times New Roman"/>
          <w:i/>
          <w:iCs/>
          <w:noProof/>
          <w:szCs w:val="24"/>
        </w:rPr>
        <w:t>Clin. EEG Neurosci.</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43</w:t>
      </w:r>
      <w:r w:rsidRPr="006104B1">
        <w:rPr>
          <w:rFonts w:ascii="Times New Roman" w:hAnsi="Times New Roman" w:cs="Times New Roman"/>
          <w:noProof/>
          <w:szCs w:val="24"/>
        </w:rPr>
        <w:t>, 176–183 (2012).</w:t>
      </w:r>
    </w:p>
    <w:p w14:paraId="7E83A1D1"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51.</w:t>
      </w:r>
      <w:r w:rsidRPr="006104B1">
        <w:rPr>
          <w:rFonts w:ascii="Times New Roman" w:hAnsi="Times New Roman" w:cs="Times New Roman"/>
          <w:noProof/>
          <w:szCs w:val="24"/>
        </w:rPr>
        <w:tab/>
        <w:t xml:space="preserve">Arlotti, M., Rahman, A., Minhas, P. &amp; Bikson, M. Axon terminal polarization induced by weak uniform DC electric fields: A modeling study. in </w:t>
      </w:r>
      <w:r w:rsidRPr="006104B1">
        <w:rPr>
          <w:rFonts w:ascii="Times New Roman" w:hAnsi="Times New Roman" w:cs="Times New Roman"/>
          <w:i/>
          <w:iCs/>
          <w:noProof/>
          <w:szCs w:val="24"/>
        </w:rPr>
        <w:t>2012 Annual International Conference of the IEEE Engineering in Medicine and Biology Society</w:t>
      </w:r>
      <w:r w:rsidRPr="006104B1">
        <w:rPr>
          <w:rFonts w:ascii="Times New Roman" w:hAnsi="Times New Roman" w:cs="Times New Roman"/>
          <w:noProof/>
          <w:szCs w:val="24"/>
        </w:rPr>
        <w:t xml:space="preserve"> vol. 2012 4575–4578 (IEEE, 2012).</w:t>
      </w:r>
    </w:p>
    <w:p w14:paraId="1AE3C085"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52.</w:t>
      </w:r>
      <w:r w:rsidRPr="006104B1">
        <w:rPr>
          <w:rFonts w:ascii="Times New Roman" w:hAnsi="Times New Roman" w:cs="Times New Roman"/>
          <w:noProof/>
          <w:szCs w:val="24"/>
        </w:rPr>
        <w:tab/>
        <w:t xml:space="preserve">Chakraborty, D., Truong, D. Q., Bikson, M. &amp; Kaphzan, H. Neuromodulation of Axon Terminals. </w:t>
      </w:r>
      <w:r w:rsidRPr="006104B1">
        <w:rPr>
          <w:rFonts w:ascii="Times New Roman" w:hAnsi="Times New Roman" w:cs="Times New Roman"/>
          <w:i/>
          <w:iCs/>
          <w:noProof/>
          <w:szCs w:val="24"/>
        </w:rPr>
        <w:t>Cereb. cortex</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28</w:t>
      </w:r>
      <w:r w:rsidRPr="006104B1">
        <w:rPr>
          <w:rFonts w:ascii="Times New Roman" w:hAnsi="Times New Roman" w:cs="Times New Roman"/>
          <w:noProof/>
          <w:szCs w:val="24"/>
        </w:rPr>
        <w:t>, 2786–2794 (2018).</w:t>
      </w:r>
    </w:p>
    <w:p w14:paraId="2E5D6FE1"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53.</w:t>
      </w:r>
      <w:r w:rsidRPr="006104B1">
        <w:rPr>
          <w:rFonts w:ascii="Times New Roman" w:hAnsi="Times New Roman" w:cs="Times New Roman"/>
          <w:noProof/>
          <w:szCs w:val="24"/>
        </w:rPr>
        <w:tab/>
        <w:t xml:space="preserve">Bikson, M.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Effects of uniform extracellular DC electric fields on excitability in rat hippocampal slices in vitro. </w:t>
      </w:r>
      <w:r w:rsidRPr="006104B1">
        <w:rPr>
          <w:rFonts w:ascii="Times New Roman" w:hAnsi="Times New Roman" w:cs="Times New Roman"/>
          <w:i/>
          <w:iCs/>
          <w:noProof/>
          <w:szCs w:val="24"/>
        </w:rPr>
        <w:t>J. Physiol.</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557</w:t>
      </w:r>
      <w:r w:rsidRPr="006104B1">
        <w:rPr>
          <w:rFonts w:ascii="Times New Roman" w:hAnsi="Times New Roman" w:cs="Times New Roman"/>
          <w:noProof/>
          <w:szCs w:val="24"/>
        </w:rPr>
        <w:t>, 175–190 (2004).</w:t>
      </w:r>
    </w:p>
    <w:p w14:paraId="5199E21B"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lastRenderedPageBreak/>
        <w:t>54.</w:t>
      </w:r>
      <w:r w:rsidRPr="006104B1">
        <w:rPr>
          <w:rFonts w:ascii="Times New Roman" w:hAnsi="Times New Roman" w:cs="Times New Roman"/>
          <w:noProof/>
          <w:szCs w:val="24"/>
        </w:rPr>
        <w:tab/>
        <w:t xml:space="preserve">Vasu, S. O. &amp; Kaphzan, H. Calcium channels control tDCS-induced spontaneous vesicle release from axon terminals. </w:t>
      </w:r>
      <w:r w:rsidRPr="006104B1">
        <w:rPr>
          <w:rFonts w:ascii="Times New Roman" w:hAnsi="Times New Roman" w:cs="Times New Roman"/>
          <w:i/>
          <w:iCs/>
          <w:noProof/>
          <w:szCs w:val="24"/>
        </w:rPr>
        <w:t>Brain Stimul.</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15</w:t>
      </w:r>
      <w:r w:rsidRPr="006104B1">
        <w:rPr>
          <w:rFonts w:ascii="Times New Roman" w:hAnsi="Times New Roman" w:cs="Times New Roman"/>
          <w:noProof/>
          <w:szCs w:val="24"/>
        </w:rPr>
        <w:t>, 270–282 (2022).</w:t>
      </w:r>
    </w:p>
    <w:p w14:paraId="1783F7B5"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55.</w:t>
      </w:r>
      <w:r w:rsidRPr="006104B1">
        <w:rPr>
          <w:rFonts w:ascii="Times New Roman" w:hAnsi="Times New Roman" w:cs="Times New Roman"/>
          <w:noProof/>
          <w:szCs w:val="24"/>
        </w:rPr>
        <w:tab/>
        <w:t xml:space="preserve">Vasu, S. O. &amp; Kaphzan, H. The role of axonal voltage-gated potassium channels in tDCS. </w:t>
      </w:r>
      <w:r w:rsidRPr="006104B1">
        <w:rPr>
          <w:rFonts w:ascii="Times New Roman" w:hAnsi="Times New Roman" w:cs="Times New Roman"/>
          <w:i/>
          <w:iCs/>
          <w:noProof/>
          <w:szCs w:val="24"/>
        </w:rPr>
        <w:t>Brain Stimul.</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15</w:t>
      </w:r>
      <w:r w:rsidRPr="006104B1">
        <w:rPr>
          <w:rFonts w:ascii="Times New Roman" w:hAnsi="Times New Roman" w:cs="Times New Roman"/>
          <w:noProof/>
          <w:szCs w:val="24"/>
        </w:rPr>
        <w:t>, 861–869 (2022).</w:t>
      </w:r>
    </w:p>
    <w:p w14:paraId="3CC2A2B0"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56.</w:t>
      </w:r>
      <w:r w:rsidRPr="006104B1">
        <w:rPr>
          <w:rFonts w:ascii="Times New Roman" w:hAnsi="Times New Roman" w:cs="Times New Roman"/>
          <w:noProof/>
          <w:szCs w:val="24"/>
        </w:rPr>
        <w:tab/>
        <w:t xml:space="preserve">Giordano, J.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Mechanisms and Effects of Transcranial Direct Current Stimulation. </w:t>
      </w:r>
      <w:r w:rsidRPr="006104B1">
        <w:rPr>
          <w:rFonts w:ascii="Times New Roman" w:hAnsi="Times New Roman" w:cs="Times New Roman"/>
          <w:i/>
          <w:iCs/>
          <w:noProof/>
          <w:szCs w:val="24"/>
        </w:rPr>
        <w:t>Dose-Response</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15</w:t>
      </w:r>
      <w:r w:rsidRPr="006104B1">
        <w:rPr>
          <w:rFonts w:ascii="Times New Roman" w:hAnsi="Times New Roman" w:cs="Times New Roman"/>
          <w:noProof/>
          <w:szCs w:val="24"/>
        </w:rPr>
        <w:t>, 155932581668546 (2017).</w:t>
      </w:r>
    </w:p>
    <w:p w14:paraId="11E7FBCD"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57.</w:t>
      </w:r>
      <w:r w:rsidRPr="006104B1">
        <w:rPr>
          <w:rFonts w:ascii="Times New Roman" w:hAnsi="Times New Roman" w:cs="Times New Roman"/>
          <w:noProof/>
          <w:szCs w:val="24"/>
        </w:rPr>
        <w:tab/>
        <w:t xml:space="preserve">Batsikadze, G., Moliadze, V., Paulus, W., Kuo, M.-F. &amp; Nitsche, M. A. Partially non-linear stimulation intensity-dependent effects of direct current stimulation on motor cortex excitability in humans. </w:t>
      </w:r>
      <w:r w:rsidRPr="006104B1">
        <w:rPr>
          <w:rFonts w:ascii="Times New Roman" w:hAnsi="Times New Roman" w:cs="Times New Roman"/>
          <w:i/>
          <w:iCs/>
          <w:noProof/>
          <w:szCs w:val="24"/>
        </w:rPr>
        <w:t>J. Physiol.</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591</w:t>
      </w:r>
      <w:r w:rsidRPr="006104B1">
        <w:rPr>
          <w:rFonts w:ascii="Times New Roman" w:hAnsi="Times New Roman" w:cs="Times New Roman"/>
          <w:noProof/>
          <w:szCs w:val="24"/>
        </w:rPr>
        <w:t>, 1987–2000 (2013).</w:t>
      </w:r>
    </w:p>
    <w:p w14:paraId="0BB3B45A"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58.</w:t>
      </w:r>
      <w:r w:rsidRPr="006104B1">
        <w:rPr>
          <w:rFonts w:ascii="Times New Roman" w:hAnsi="Times New Roman" w:cs="Times New Roman"/>
          <w:noProof/>
          <w:szCs w:val="24"/>
        </w:rPr>
        <w:tab/>
        <w:t xml:space="preserve">Goldsworthy, M. R. &amp; Hordacre, B. Dose dependency of transcranial direct current stimulation: implications for neuroplasticity induction in health and disease. </w:t>
      </w:r>
      <w:r w:rsidRPr="006104B1">
        <w:rPr>
          <w:rFonts w:ascii="Times New Roman" w:hAnsi="Times New Roman" w:cs="Times New Roman"/>
          <w:i/>
          <w:iCs/>
          <w:noProof/>
          <w:szCs w:val="24"/>
        </w:rPr>
        <w:t>J. Physiol.</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595</w:t>
      </w:r>
      <w:r w:rsidRPr="006104B1">
        <w:rPr>
          <w:rFonts w:ascii="Times New Roman" w:hAnsi="Times New Roman" w:cs="Times New Roman"/>
          <w:noProof/>
          <w:szCs w:val="24"/>
        </w:rPr>
        <w:t>, 3265–3266 (2017).</w:t>
      </w:r>
    </w:p>
    <w:p w14:paraId="081AA21D"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59.</w:t>
      </w:r>
      <w:r w:rsidRPr="006104B1">
        <w:rPr>
          <w:rFonts w:ascii="Times New Roman" w:hAnsi="Times New Roman" w:cs="Times New Roman"/>
          <w:noProof/>
          <w:szCs w:val="24"/>
        </w:rPr>
        <w:tab/>
        <w:t xml:space="preserve">Esmaeilpour, Z.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Incomplete evidence that increasing current intensity of tDCS boosts outcomes. </w:t>
      </w:r>
      <w:r w:rsidRPr="006104B1">
        <w:rPr>
          <w:rFonts w:ascii="Times New Roman" w:hAnsi="Times New Roman" w:cs="Times New Roman"/>
          <w:i/>
          <w:iCs/>
          <w:noProof/>
          <w:szCs w:val="24"/>
        </w:rPr>
        <w:t>Brain Stimul.</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11</w:t>
      </w:r>
      <w:r w:rsidRPr="006104B1">
        <w:rPr>
          <w:rFonts w:ascii="Times New Roman" w:hAnsi="Times New Roman" w:cs="Times New Roman"/>
          <w:noProof/>
          <w:szCs w:val="24"/>
        </w:rPr>
        <w:t>, 310–321 (2018).</w:t>
      </w:r>
    </w:p>
    <w:p w14:paraId="00C9D59B"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60.</w:t>
      </w:r>
      <w:r w:rsidRPr="006104B1">
        <w:rPr>
          <w:rFonts w:ascii="Times New Roman" w:hAnsi="Times New Roman" w:cs="Times New Roman"/>
          <w:noProof/>
          <w:szCs w:val="24"/>
        </w:rPr>
        <w:tab/>
        <w:t xml:space="preserve">Su, H.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Mitochondrial dysfunction in CA1 hippocampal neurons of the UBE3A deficient mouse model for Angelman syndrome. </w:t>
      </w:r>
      <w:r w:rsidRPr="006104B1">
        <w:rPr>
          <w:rFonts w:ascii="Times New Roman" w:hAnsi="Times New Roman" w:cs="Times New Roman"/>
          <w:i/>
          <w:iCs/>
          <w:noProof/>
          <w:szCs w:val="24"/>
        </w:rPr>
        <w:t>Neurosci. Lett.</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487</w:t>
      </w:r>
      <w:r w:rsidRPr="006104B1">
        <w:rPr>
          <w:rFonts w:ascii="Times New Roman" w:hAnsi="Times New Roman" w:cs="Times New Roman"/>
          <w:noProof/>
          <w:szCs w:val="24"/>
        </w:rPr>
        <w:t>, 129–133 (2011).</w:t>
      </w:r>
    </w:p>
    <w:p w14:paraId="5A144F15"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61.</w:t>
      </w:r>
      <w:r w:rsidRPr="006104B1">
        <w:rPr>
          <w:rFonts w:ascii="Times New Roman" w:hAnsi="Times New Roman" w:cs="Times New Roman"/>
          <w:noProof/>
          <w:szCs w:val="24"/>
        </w:rPr>
        <w:tab/>
        <w:t xml:space="preserve">Simchi, L., Panov, J., Morsy, O., Feuermann, Y. &amp; Kaphzan, H. Novel Insights into the Role of UBE3A in Regulating Apoptosis and Proliferation. </w:t>
      </w:r>
      <w:r w:rsidRPr="006104B1">
        <w:rPr>
          <w:rFonts w:ascii="Times New Roman" w:hAnsi="Times New Roman" w:cs="Times New Roman"/>
          <w:i/>
          <w:iCs/>
          <w:noProof/>
          <w:szCs w:val="24"/>
        </w:rPr>
        <w:t>J. Clin. Med.</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9</w:t>
      </w:r>
      <w:r w:rsidRPr="006104B1">
        <w:rPr>
          <w:rFonts w:ascii="Times New Roman" w:hAnsi="Times New Roman" w:cs="Times New Roman"/>
          <w:noProof/>
          <w:szCs w:val="24"/>
        </w:rPr>
        <w:t>, 1573 (2020).</w:t>
      </w:r>
    </w:p>
    <w:p w14:paraId="582AC62D"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62.</w:t>
      </w:r>
      <w:r w:rsidRPr="006104B1">
        <w:rPr>
          <w:rFonts w:ascii="Times New Roman" w:hAnsi="Times New Roman" w:cs="Times New Roman"/>
          <w:noProof/>
          <w:szCs w:val="24"/>
        </w:rPr>
        <w:tab/>
        <w:t xml:space="preserve">Rotaru, D. C., Mientjes, E. J. &amp; Elgersma, Y. Angelman Syndrome: From Mouse Models to Therapy. </w:t>
      </w:r>
      <w:r w:rsidRPr="006104B1">
        <w:rPr>
          <w:rFonts w:ascii="Times New Roman" w:hAnsi="Times New Roman" w:cs="Times New Roman"/>
          <w:i/>
          <w:iCs/>
          <w:noProof/>
          <w:szCs w:val="24"/>
        </w:rPr>
        <w:t>Neuroscience</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445</w:t>
      </w:r>
      <w:r w:rsidRPr="006104B1">
        <w:rPr>
          <w:rFonts w:ascii="Times New Roman" w:hAnsi="Times New Roman" w:cs="Times New Roman"/>
          <w:noProof/>
          <w:szCs w:val="24"/>
        </w:rPr>
        <w:t>, 172–189 (2020).</w:t>
      </w:r>
    </w:p>
    <w:p w14:paraId="7C0180B7"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63.</w:t>
      </w:r>
      <w:r w:rsidRPr="006104B1">
        <w:rPr>
          <w:rFonts w:ascii="Times New Roman" w:hAnsi="Times New Roman" w:cs="Times New Roman"/>
          <w:noProof/>
          <w:szCs w:val="24"/>
        </w:rPr>
        <w:tab/>
        <w:t xml:space="preserve">Chakraborty, D., Truong, D. Q., Bikson, M. &amp; Kaphzan, H. Neuromodulation of Axon Terminals. </w:t>
      </w:r>
      <w:r w:rsidRPr="006104B1">
        <w:rPr>
          <w:rFonts w:ascii="Times New Roman" w:hAnsi="Times New Roman" w:cs="Times New Roman"/>
          <w:i/>
          <w:iCs/>
          <w:noProof/>
          <w:szCs w:val="24"/>
        </w:rPr>
        <w:t>Cereb. Cortex</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28</w:t>
      </w:r>
      <w:r w:rsidRPr="006104B1">
        <w:rPr>
          <w:rFonts w:ascii="Times New Roman" w:hAnsi="Times New Roman" w:cs="Times New Roman"/>
          <w:noProof/>
          <w:szCs w:val="24"/>
        </w:rPr>
        <w:t>, 2786–2794 (2018).</w:t>
      </w:r>
    </w:p>
    <w:p w14:paraId="60B3DA8C"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64.</w:t>
      </w:r>
      <w:r w:rsidRPr="006104B1">
        <w:rPr>
          <w:rFonts w:ascii="Times New Roman" w:hAnsi="Times New Roman" w:cs="Times New Roman"/>
          <w:noProof/>
          <w:szCs w:val="24"/>
        </w:rPr>
        <w:tab/>
        <w:t xml:space="preserve">Vasu, S. O. &amp; Kaphzan, H. The role of sodium channels in direct current stimulation-axonal perspective. </w:t>
      </w:r>
      <w:r w:rsidRPr="006104B1">
        <w:rPr>
          <w:rFonts w:ascii="Times New Roman" w:hAnsi="Times New Roman" w:cs="Times New Roman"/>
          <w:i/>
          <w:iCs/>
          <w:noProof/>
          <w:szCs w:val="24"/>
        </w:rPr>
        <w:t>Cell Rep.</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37</w:t>
      </w:r>
      <w:r w:rsidRPr="006104B1">
        <w:rPr>
          <w:rFonts w:ascii="Times New Roman" w:hAnsi="Times New Roman" w:cs="Times New Roman"/>
          <w:noProof/>
          <w:szCs w:val="24"/>
        </w:rPr>
        <w:t>, (2021).</w:t>
      </w:r>
    </w:p>
    <w:p w14:paraId="6ED4269E"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65.</w:t>
      </w:r>
      <w:r w:rsidRPr="006104B1">
        <w:rPr>
          <w:rFonts w:ascii="Times New Roman" w:hAnsi="Times New Roman" w:cs="Times New Roman"/>
          <w:noProof/>
          <w:szCs w:val="24"/>
        </w:rPr>
        <w:tab/>
        <w:t xml:space="preserve">Vasu, S. O. &amp; Kaphzan, H. Calcium channels control tDCS-induced spontaneous vesicle release from axon terminals. </w:t>
      </w:r>
      <w:r w:rsidRPr="006104B1">
        <w:rPr>
          <w:rFonts w:ascii="Times New Roman" w:hAnsi="Times New Roman" w:cs="Times New Roman"/>
          <w:i/>
          <w:iCs/>
          <w:noProof/>
          <w:szCs w:val="24"/>
        </w:rPr>
        <w:t>Brain Stimul.</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15</w:t>
      </w:r>
      <w:r w:rsidRPr="006104B1">
        <w:rPr>
          <w:rFonts w:ascii="Times New Roman" w:hAnsi="Times New Roman" w:cs="Times New Roman"/>
          <w:noProof/>
          <w:szCs w:val="24"/>
        </w:rPr>
        <w:t>, 270–282 (2022).</w:t>
      </w:r>
    </w:p>
    <w:p w14:paraId="5BDA5B9B"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66.</w:t>
      </w:r>
      <w:r w:rsidRPr="006104B1">
        <w:rPr>
          <w:rFonts w:ascii="Times New Roman" w:hAnsi="Times New Roman" w:cs="Times New Roman"/>
          <w:noProof/>
          <w:szCs w:val="24"/>
        </w:rPr>
        <w:tab/>
        <w:t xml:space="preserve">Garcia-Gil, M., Camici, M., Allegrini, S., Pesi, R. &amp; Tozzi, M. G. Metabolic Aspects of Adenosine Functions in the Brain. </w:t>
      </w:r>
      <w:r w:rsidRPr="006104B1">
        <w:rPr>
          <w:rFonts w:ascii="Times New Roman" w:hAnsi="Times New Roman" w:cs="Times New Roman"/>
          <w:i/>
          <w:iCs/>
          <w:noProof/>
          <w:szCs w:val="24"/>
        </w:rPr>
        <w:t>Front. Pharmacol.</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12</w:t>
      </w:r>
      <w:r w:rsidRPr="006104B1">
        <w:rPr>
          <w:rFonts w:ascii="Times New Roman" w:hAnsi="Times New Roman" w:cs="Times New Roman"/>
          <w:noProof/>
          <w:szCs w:val="24"/>
        </w:rPr>
        <w:t>, (2021).</w:t>
      </w:r>
    </w:p>
    <w:p w14:paraId="62F92BD6"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67.</w:t>
      </w:r>
      <w:r w:rsidRPr="006104B1">
        <w:rPr>
          <w:rFonts w:ascii="Times New Roman" w:hAnsi="Times New Roman" w:cs="Times New Roman"/>
          <w:noProof/>
          <w:szCs w:val="24"/>
        </w:rPr>
        <w:tab/>
        <w:t xml:space="preserve">Lee, S. Bin, Youn, J., Jang, W. &amp; Yang, H. O. Neuroprotective effect of anodal transcranial direct current stimulation on 1-methyl-4-phenyl-1,2,3,6-tetrahydropyridine (MPTP)-induced neurotoxicity in mice through modulating mitochondrial dynamics. </w:t>
      </w:r>
      <w:r w:rsidRPr="006104B1">
        <w:rPr>
          <w:rFonts w:ascii="Times New Roman" w:hAnsi="Times New Roman" w:cs="Times New Roman"/>
          <w:i/>
          <w:iCs/>
          <w:noProof/>
          <w:szCs w:val="24"/>
        </w:rPr>
        <w:t>Neurochem. Int.</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129</w:t>
      </w:r>
      <w:r w:rsidRPr="006104B1">
        <w:rPr>
          <w:rFonts w:ascii="Times New Roman" w:hAnsi="Times New Roman" w:cs="Times New Roman"/>
          <w:noProof/>
          <w:szCs w:val="24"/>
        </w:rPr>
        <w:t>, 104491 (2019).</w:t>
      </w:r>
    </w:p>
    <w:p w14:paraId="0C13AB7A"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68.</w:t>
      </w:r>
      <w:r w:rsidRPr="006104B1">
        <w:rPr>
          <w:rFonts w:ascii="Times New Roman" w:hAnsi="Times New Roman" w:cs="Times New Roman"/>
          <w:noProof/>
          <w:szCs w:val="24"/>
        </w:rPr>
        <w:tab/>
        <w:t xml:space="preserve">Li, X.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Transcranial Direct Current Stimulation Ameliorates Behavioral Deficits and Reduces Oxidative Stress in 1-Methyl-4-Phenyl-1,2,3,6-Tetrahydropyridine-Induced Mouse Model of Parkinson’s Disease. </w:t>
      </w:r>
      <w:r w:rsidRPr="006104B1">
        <w:rPr>
          <w:rFonts w:ascii="Times New Roman" w:hAnsi="Times New Roman" w:cs="Times New Roman"/>
          <w:i/>
          <w:iCs/>
          <w:noProof/>
          <w:szCs w:val="24"/>
        </w:rPr>
        <w:t>Neuromodulation Technol. Neural Interface</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18</w:t>
      </w:r>
      <w:r w:rsidRPr="006104B1">
        <w:rPr>
          <w:rFonts w:ascii="Times New Roman" w:hAnsi="Times New Roman" w:cs="Times New Roman"/>
          <w:noProof/>
          <w:szCs w:val="24"/>
        </w:rPr>
        <w:t>, 442–447 (2015).</w:t>
      </w:r>
    </w:p>
    <w:p w14:paraId="69A62F06"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69.</w:t>
      </w:r>
      <w:r w:rsidRPr="006104B1">
        <w:rPr>
          <w:rFonts w:ascii="Times New Roman" w:hAnsi="Times New Roman" w:cs="Times New Roman"/>
          <w:noProof/>
          <w:szCs w:val="24"/>
        </w:rPr>
        <w:tab/>
        <w:t xml:space="preserve">Santini, E.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Mitochondrial superoxide contributes to hippocampal synaptic dysfunction and memory deficits in Angelman syndrome model mice. </w:t>
      </w:r>
      <w:r w:rsidRPr="006104B1">
        <w:rPr>
          <w:rFonts w:ascii="Times New Roman" w:hAnsi="Times New Roman" w:cs="Times New Roman"/>
          <w:i/>
          <w:iCs/>
          <w:noProof/>
          <w:szCs w:val="24"/>
        </w:rPr>
        <w:t>J. Neurosci.</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35</w:t>
      </w:r>
      <w:r w:rsidRPr="006104B1">
        <w:rPr>
          <w:rFonts w:ascii="Times New Roman" w:hAnsi="Times New Roman" w:cs="Times New Roman"/>
          <w:noProof/>
          <w:szCs w:val="24"/>
        </w:rPr>
        <w:t>, 16213–16220 (2015).</w:t>
      </w:r>
    </w:p>
    <w:p w14:paraId="2766F2DD"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70.</w:t>
      </w:r>
      <w:r w:rsidRPr="006104B1">
        <w:rPr>
          <w:rFonts w:ascii="Times New Roman" w:hAnsi="Times New Roman" w:cs="Times New Roman"/>
          <w:noProof/>
          <w:szCs w:val="24"/>
        </w:rPr>
        <w:tab/>
        <w:t xml:space="preserve">Rae, C. D., Lee, V. H. C., Ordidge, R. J., Alonzo, A. &amp; Loo, C. Anodal transcranial direct current stimulation increases brain intracellular pH and modulates bioenergetics. </w:t>
      </w:r>
      <w:r w:rsidRPr="006104B1">
        <w:rPr>
          <w:rFonts w:ascii="Times New Roman" w:hAnsi="Times New Roman" w:cs="Times New Roman"/>
          <w:i/>
          <w:iCs/>
          <w:noProof/>
          <w:szCs w:val="24"/>
        </w:rPr>
        <w:t>Int. J. Neuropsychopharmacol.</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16</w:t>
      </w:r>
      <w:r w:rsidRPr="006104B1">
        <w:rPr>
          <w:rFonts w:ascii="Times New Roman" w:hAnsi="Times New Roman" w:cs="Times New Roman"/>
          <w:noProof/>
          <w:szCs w:val="24"/>
        </w:rPr>
        <w:t>, 1695–1706 (2013).</w:t>
      </w:r>
    </w:p>
    <w:p w14:paraId="337FE187"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71.</w:t>
      </w:r>
      <w:r w:rsidRPr="006104B1">
        <w:rPr>
          <w:rFonts w:ascii="Times New Roman" w:hAnsi="Times New Roman" w:cs="Times New Roman"/>
          <w:noProof/>
          <w:szCs w:val="24"/>
        </w:rPr>
        <w:tab/>
        <w:t xml:space="preserve">Margolis, S. S., Sell, G. L., Zbinden, M. A. &amp; Bird, L. M. Angelman Syndrome. </w:t>
      </w:r>
      <w:r w:rsidRPr="006104B1">
        <w:rPr>
          <w:rFonts w:ascii="Times New Roman" w:hAnsi="Times New Roman" w:cs="Times New Roman"/>
          <w:i/>
          <w:iCs/>
          <w:noProof/>
          <w:szCs w:val="24"/>
        </w:rPr>
        <w:t>Neurotherapeutics</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12</w:t>
      </w:r>
      <w:r w:rsidRPr="006104B1">
        <w:rPr>
          <w:rFonts w:ascii="Times New Roman" w:hAnsi="Times New Roman" w:cs="Times New Roman"/>
          <w:noProof/>
          <w:szCs w:val="24"/>
        </w:rPr>
        <w:t>, 641–650 (2015).</w:t>
      </w:r>
    </w:p>
    <w:p w14:paraId="4BFBB855"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72.</w:t>
      </w:r>
      <w:r w:rsidRPr="006104B1">
        <w:rPr>
          <w:rFonts w:ascii="Times New Roman" w:hAnsi="Times New Roman" w:cs="Times New Roman"/>
          <w:noProof/>
          <w:szCs w:val="24"/>
        </w:rPr>
        <w:tab/>
        <w:t xml:space="preserve">Koyavski, L.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Sex-Dependent Sensory Phenotypes and Related Transcriptomic Expression Profiles Are Differentially Affected by Angelman Syndrome. </w:t>
      </w:r>
      <w:r w:rsidRPr="006104B1">
        <w:rPr>
          <w:rFonts w:ascii="Times New Roman" w:hAnsi="Times New Roman" w:cs="Times New Roman"/>
          <w:i/>
          <w:iCs/>
          <w:noProof/>
          <w:szCs w:val="24"/>
        </w:rPr>
        <w:t>Mol. Neurobiol.</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56</w:t>
      </w:r>
      <w:r w:rsidRPr="006104B1">
        <w:rPr>
          <w:rFonts w:ascii="Times New Roman" w:hAnsi="Times New Roman" w:cs="Times New Roman"/>
          <w:noProof/>
          <w:szCs w:val="24"/>
        </w:rPr>
        <w:t>, 5998–6016 (2019).</w:t>
      </w:r>
    </w:p>
    <w:p w14:paraId="12DB68E0"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73.</w:t>
      </w:r>
      <w:r w:rsidRPr="006104B1">
        <w:rPr>
          <w:rFonts w:ascii="Times New Roman" w:hAnsi="Times New Roman" w:cs="Times New Roman"/>
          <w:noProof/>
          <w:szCs w:val="24"/>
        </w:rPr>
        <w:tab/>
        <w:t xml:space="preserve">Rayi, P. R., Koyavski, L., Chakraborty, D., Bagrov, A. &amp; Kaphzan, H. α1-Na/K-ATPase inhibition rescues aberrant dendritic calcium dynamics and memory deficits in the hippocampus of an Angelman syndrome mouse model. </w:t>
      </w:r>
      <w:r w:rsidRPr="006104B1">
        <w:rPr>
          <w:rFonts w:ascii="Times New Roman" w:hAnsi="Times New Roman" w:cs="Times New Roman"/>
          <w:i/>
          <w:iCs/>
          <w:noProof/>
          <w:szCs w:val="24"/>
        </w:rPr>
        <w:t>Prog. Neurobiol.</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182</w:t>
      </w:r>
      <w:r w:rsidRPr="006104B1">
        <w:rPr>
          <w:rFonts w:ascii="Times New Roman" w:hAnsi="Times New Roman" w:cs="Times New Roman"/>
          <w:noProof/>
          <w:szCs w:val="24"/>
        </w:rPr>
        <w:t>, 101676 (2019).</w:t>
      </w:r>
    </w:p>
    <w:p w14:paraId="0653249B"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74.</w:t>
      </w:r>
      <w:r w:rsidRPr="006104B1">
        <w:rPr>
          <w:rFonts w:ascii="Times New Roman" w:hAnsi="Times New Roman" w:cs="Times New Roman"/>
          <w:noProof/>
          <w:szCs w:val="24"/>
        </w:rPr>
        <w:tab/>
        <w:t xml:space="preserve">Ulivi, A. F.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Longitudinal Two-Photon Imaging of Dorsal Hippocampal CA1 in Live Mice. </w:t>
      </w:r>
      <w:r w:rsidRPr="006104B1">
        <w:rPr>
          <w:rFonts w:ascii="Times New Roman" w:hAnsi="Times New Roman" w:cs="Times New Roman"/>
          <w:i/>
          <w:iCs/>
          <w:noProof/>
          <w:szCs w:val="24"/>
        </w:rPr>
        <w:t>J. Vis. Exp.</w:t>
      </w:r>
      <w:r w:rsidRPr="006104B1">
        <w:rPr>
          <w:rFonts w:ascii="Times New Roman" w:hAnsi="Times New Roman" w:cs="Times New Roman"/>
          <w:noProof/>
          <w:szCs w:val="24"/>
        </w:rPr>
        <w:t xml:space="preserve"> (2019) doi:10.3791/59598.</w:t>
      </w:r>
    </w:p>
    <w:p w14:paraId="3EB00FDF"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75.</w:t>
      </w:r>
      <w:r w:rsidRPr="006104B1">
        <w:rPr>
          <w:rFonts w:ascii="Times New Roman" w:hAnsi="Times New Roman" w:cs="Times New Roman"/>
          <w:noProof/>
          <w:szCs w:val="24"/>
        </w:rPr>
        <w:tab/>
        <w:t>Takahashi, S. The Hippocampal Ensemble Code for Spatial Navigation and Episodic Memory. in 49–70 (2018). doi:10.1007/978-3-319-94593-4_3.</w:t>
      </w:r>
    </w:p>
    <w:p w14:paraId="035DB562"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76.</w:t>
      </w:r>
      <w:r w:rsidRPr="006104B1">
        <w:rPr>
          <w:rFonts w:ascii="Times New Roman" w:hAnsi="Times New Roman" w:cs="Times New Roman"/>
          <w:noProof/>
          <w:szCs w:val="24"/>
        </w:rPr>
        <w:tab/>
        <w:t xml:space="preserve">Moser, M. B., Moser, E. I., Forrest, E., Andersen, P. &amp; Morris, R. G. Spatial learning with a minislab in the dorsal hippocampus. </w:t>
      </w:r>
      <w:r w:rsidRPr="006104B1">
        <w:rPr>
          <w:rFonts w:ascii="Times New Roman" w:hAnsi="Times New Roman" w:cs="Times New Roman"/>
          <w:i/>
          <w:iCs/>
          <w:noProof/>
          <w:szCs w:val="24"/>
        </w:rPr>
        <w:t>Proc. Natl. Acad. Sci.</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92</w:t>
      </w:r>
      <w:r w:rsidRPr="006104B1">
        <w:rPr>
          <w:rFonts w:ascii="Times New Roman" w:hAnsi="Times New Roman" w:cs="Times New Roman"/>
          <w:noProof/>
          <w:szCs w:val="24"/>
        </w:rPr>
        <w:t>, 9697–9701 (1995).</w:t>
      </w:r>
    </w:p>
    <w:p w14:paraId="3D041C23"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77.</w:t>
      </w:r>
      <w:r w:rsidRPr="006104B1">
        <w:rPr>
          <w:rFonts w:ascii="Times New Roman" w:hAnsi="Times New Roman" w:cs="Times New Roman"/>
          <w:noProof/>
          <w:szCs w:val="24"/>
        </w:rPr>
        <w:tab/>
        <w:t xml:space="preserve">Dong, H.-W., Swanson, L. W., Chen, L., Fanselow, M. S. &amp; Toga, A. W. Genomic–anatomic evidence for distinct functional domains in hippocampal field CA1. </w:t>
      </w:r>
      <w:r w:rsidRPr="006104B1">
        <w:rPr>
          <w:rFonts w:ascii="Times New Roman" w:hAnsi="Times New Roman" w:cs="Times New Roman"/>
          <w:i/>
          <w:iCs/>
          <w:noProof/>
          <w:szCs w:val="24"/>
        </w:rPr>
        <w:t>Proc. Natl. Acad. Sci.</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106</w:t>
      </w:r>
      <w:r w:rsidRPr="006104B1">
        <w:rPr>
          <w:rFonts w:ascii="Times New Roman" w:hAnsi="Times New Roman" w:cs="Times New Roman"/>
          <w:noProof/>
          <w:szCs w:val="24"/>
        </w:rPr>
        <w:t>, 11794–11799 (2009).</w:t>
      </w:r>
    </w:p>
    <w:p w14:paraId="61B832A5"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78.</w:t>
      </w:r>
      <w:r w:rsidRPr="006104B1">
        <w:rPr>
          <w:rFonts w:ascii="Times New Roman" w:hAnsi="Times New Roman" w:cs="Times New Roman"/>
          <w:noProof/>
          <w:szCs w:val="24"/>
        </w:rPr>
        <w:tab/>
        <w:t xml:space="preserve">Fanselow, M. S. &amp; Dong, H.-W. Are the Dorsal and Ventral Hippocampus Functionally Distinct Structures? </w:t>
      </w:r>
      <w:r w:rsidRPr="006104B1">
        <w:rPr>
          <w:rFonts w:ascii="Times New Roman" w:hAnsi="Times New Roman" w:cs="Times New Roman"/>
          <w:i/>
          <w:iCs/>
          <w:noProof/>
          <w:szCs w:val="24"/>
        </w:rPr>
        <w:t>Neuron</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65</w:t>
      </w:r>
      <w:r w:rsidRPr="006104B1">
        <w:rPr>
          <w:rFonts w:ascii="Times New Roman" w:hAnsi="Times New Roman" w:cs="Times New Roman"/>
          <w:noProof/>
          <w:szCs w:val="24"/>
        </w:rPr>
        <w:t>, 7–19 (2010).</w:t>
      </w:r>
    </w:p>
    <w:p w14:paraId="727BCC2A"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79.</w:t>
      </w:r>
      <w:r w:rsidRPr="006104B1">
        <w:rPr>
          <w:rFonts w:ascii="Times New Roman" w:hAnsi="Times New Roman" w:cs="Times New Roman"/>
          <w:noProof/>
          <w:szCs w:val="24"/>
        </w:rPr>
        <w:tab/>
        <w:t xml:space="preserve">Saito, K. &amp; Watanabe, S. Spatial memory activation of the parietal cortex measured with near-infrared </w:t>
      </w:r>
      <w:r w:rsidRPr="006104B1">
        <w:rPr>
          <w:rFonts w:ascii="Times New Roman" w:hAnsi="Times New Roman" w:cs="Times New Roman"/>
          <w:noProof/>
          <w:szCs w:val="24"/>
        </w:rPr>
        <w:lastRenderedPageBreak/>
        <w:t xml:space="preserve">spectroscopic imaging in the finger-maze of the Morris water maze analogue for humans. </w:t>
      </w:r>
      <w:r w:rsidRPr="006104B1">
        <w:rPr>
          <w:rFonts w:ascii="Times New Roman" w:hAnsi="Times New Roman" w:cs="Times New Roman"/>
          <w:i/>
          <w:iCs/>
          <w:noProof/>
          <w:szCs w:val="24"/>
        </w:rPr>
        <w:t>Rev. Neurosci.</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17</w:t>
      </w:r>
      <w:r w:rsidRPr="006104B1">
        <w:rPr>
          <w:rFonts w:ascii="Times New Roman" w:hAnsi="Times New Roman" w:cs="Times New Roman"/>
          <w:noProof/>
          <w:szCs w:val="24"/>
        </w:rPr>
        <w:t>, 227–38 (2006).</w:t>
      </w:r>
    </w:p>
    <w:p w14:paraId="12545A80"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80.</w:t>
      </w:r>
      <w:r w:rsidRPr="006104B1">
        <w:rPr>
          <w:rFonts w:ascii="Times New Roman" w:hAnsi="Times New Roman" w:cs="Times New Roman"/>
          <w:noProof/>
          <w:szCs w:val="24"/>
        </w:rPr>
        <w:tab/>
        <w:t xml:space="preserve">DiMattia, B. D. &amp; Kesner, R. P. Spatial cognitive maps: differential role of parietal cortex and hippocampal formation. </w:t>
      </w:r>
      <w:r w:rsidRPr="006104B1">
        <w:rPr>
          <w:rFonts w:ascii="Times New Roman" w:hAnsi="Times New Roman" w:cs="Times New Roman"/>
          <w:i/>
          <w:iCs/>
          <w:noProof/>
          <w:szCs w:val="24"/>
        </w:rPr>
        <w:t>Behav. Neurosci.</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102</w:t>
      </w:r>
      <w:r w:rsidRPr="006104B1">
        <w:rPr>
          <w:rFonts w:ascii="Times New Roman" w:hAnsi="Times New Roman" w:cs="Times New Roman"/>
          <w:noProof/>
          <w:szCs w:val="24"/>
        </w:rPr>
        <w:t>, 471–80 (1988).</w:t>
      </w:r>
    </w:p>
    <w:p w14:paraId="4920A210"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81.</w:t>
      </w:r>
      <w:r w:rsidRPr="006104B1">
        <w:rPr>
          <w:rFonts w:ascii="Times New Roman" w:hAnsi="Times New Roman" w:cs="Times New Roman"/>
          <w:noProof/>
          <w:szCs w:val="24"/>
        </w:rPr>
        <w:tab/>
        <w:t xml:space="preserve">Krumin, M., Lee, J. J., Harris, K. D. &amp; Carandini, M. Decision and navigation in mouse parietal cortex. </w:t>
      </w:r>
      <w:r w:rsidRPr="006104B1">
        <w:rPr>
          <w:rFonts w:ascii="Times New Roman" w:hAnsi="Times New Roman" w:cs="Times New Roman"/>
          <w:i/>
          <w:iCs/>
          <w:noProof/>
          <w:szCs w:val="24"/>
        </w:rPr>
        <w:t>Elife</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7</w:t>
      </w:r>
      <w:r w:rsidRPr="006104B1">
        <w:rPr>
          <w:rFonts w:ascii="Times New Roman" w:hAnsi="Times New Roman" w:cs="Times New Roman"/>
          <w:noProof/>
          <w:szCs w:val="24"/>
        </w:rPr>
        <w:t>, (2018).</w:t>
      </w:r>
    </w:p>
    <w:p w14:paraId="03F6172F"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82.</w:t>
      </w:r>
      <w:r w:rsidRPr="006104B1">
        <w:rPr>
          <w:rFonts w:ascii="Times New Roman" w:hAnsi="Times New Roman" w:cs="Times New Roman"/>
          <w:noProof/>
          <w:szCs w:val="24"/>
        </w:rPr>
        <w:tab/>
        <w:t xml:space="preserve">Driscoll, L. N., Pettit, N. L., Minderer, M., Chettih, S. N. &amp; Harvey, C. D. Dynamic Reorganization of Neuronal Activity Patterns in Parietal Cortex. </w:t>
      </w:r>
      <w:r w:rsidRPr="006104B1">
        <w:rPr>
          <w:rFonts w:ascii="Times New Roman" w:hAnsi="Times New Roman" w:cs="Times New Roman"/>
          <w:i/>
          <w:iCs/>
          <w:noProof/>
          <w:szCs w:val="24"/>
        </w:rPr>
        <w:t>Cell</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170</w:t>
      </w:r>
      <w:r w:rsidRPr="006104B1">
        <w:rPr>
          <w:rFonts w:ascii="Times New Roman" w:hAnsi="Times New Roman" w:cs="Times New Roman"/>
          <w:noProof/>
          <w:szCs w:val="24"/>
        </w:rPr>
        <w:t>, 986-999.e16 (2017).</w:t>
      </w:r>
    </w:p>
    <w:p w14:paraId="12E4119C"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83.</w:t>
      </w:r>
      <w:r w:rsidRPr="006104B1">
        <w:rPr>
          <w:rFonts w:ascii="Times New Roman" w:hAnsi="Times New Roman" w:cs="Times New Roman"/>
          <w:noProof/>
          <w:szCs w:val="24"/>
        </w:rPr>
        <w:tab/>
        <w:t xml:space="preserve">Barker, G. R. I. &amp; Warburton, E. C. When Is the Hippocampus Involved in Recognition Memory? </w:t>
      </w:r>
      <w:r w:rsidRPr="006104B1">
        <w:rPr>
          <w:rFonts w:ascii="Times New Roman" w:hAnsi="Times New Roman" w:cs="Times New Roman"/>
          <w:i/>
          <w:iCs/>
          <w:noProof/>
          <w:szCs w:val="24"/>
        </w:rPr>
        <w:t>J. Neurosci.</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31</w:t>
      </w:r>
      <w:r w:rsidRPr="006104B1">
        <w:rPr>
          <w:rFonts w:ascii="Times New Roman" w:hAnsi="Times New Roman" w:cs="Times New Roman"/>
          <w:noProof/>
          <w:szCs w:val="24"/>
        </w:rPr>
        <w:t>, 10721–10731 (2011).</w:t>
      </w:r>
    </w:p>
    <w:p w14:paraId="5284559A"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84.</w:t>
      </w:r>
      <w:r w:rsidRPr="006104B1">
        <w:rPr>
          <w:rFonts w:ascii="Times New Roman" w:hAnsi="Times New Roman" w:cs="Times New Roman"/>
          <w:noProof/>
          <w:szCs w:val="24"/>
        </w:rPr>
        <w:tab/>
        <w:t xml:space="preserve">Simchi, L. &amp; Kaphzan, H. Aberrant aggressive behavior in a mouse model of Angelman syndrome. </w:t>
      </w:r>
      <w:r w:rsidRPr="006104B1">
        <w:rPr>
          <w:rFonts w:ascii="Times New Roman" w:hAnsi="Times New Roman" w:cs="Times New Roman"/>
          <w:i/>
          <w:iCs/>
          <w:noProof/>
          <w:szCs w:val="24"/>
        </w:rPr>
        <w:t>Sci. Rep.</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11</w:t>
      </w:r>
      <w:r w:rsidRPr="006104B1">
        <w:rPr>
          <w:rFonts w:ascii="Times New Roman" w:hAnsi="Times New Roman" w:cs="Times New Roman"/>
          <w:noProof/>
          <w:szCs w:val="24"/>
        </w:rPr>
        <w:t>, (2021).</w:t>
      </w:r>
    </w:p>
    <w:p w14:paraId="39D4DD2C"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85.</w:t>
      </w:r>
      <w:r w:rsidRPr="006104B1">
        <w:rPr>
          <w:rFonts w:ascii="Times New Roman" w:hAnsi="Times New Roman" w:cs="Times New Roman"/>
          <w:noProof/>
          <w:szCs w:val="24"/>
        </w:rPr>
        <w:tab/>
        <w:t xml:space="preserve">McILWAIN, H. Glucose level, metabolism, and response to electrical impulses in cerebral tissues from man and laboratory animals. </w:t>
      </w:r>
      <w:r w:rsidRPr="006104B1">
        <w:rPr>
          <w:rFonts w:ascii="Times New Roman" w:hAnsi="Times New Roman" w:cs="Times New Roman"/>
          <w:i/>
          <w:iCs/>
          <w:noProof/>
          <w:szCs w:val="24"/>
        </w:rPr>
        <w:t>Biochem. J.</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55</w:t>
      </w:r>
      <w:r w:rsidRPr="006104B1">
        <w:rPr>
          <w:rFonts w:ascii="Times New Roman" w:hAnsi="Times New Roman" w:cs="Times New Roman"/>
          <w:noProof/>
          <w:szCs w:val="24"/>
        </w:rPr>
        <w:t>, 618–624 (1953).</w:t>
      </w:r>
    </w:p>
    <w:p w14:paraId="3635ADDD"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86.</w:t>
      </w:r>
      <w:r w:rsidRPr="006104B1">
        <w:rPr>
          <w:rFonts w:ascii="Times New Roman" w:hAnsi="Times New Roman" w:cs="Times New Roman"/>
          <w:noProof/>
          <w:szCs w:val="24"/>
        </w:rPr>
        <w:tab/>
        <w:t xml:space="preserve">Rae, C. D., Lee, V. H. C., Ordidge, R. J., Alonzo, A. &amp; Loo, C. Anodal transcranial direct current stimulation increases brain intracellular pH and modulates bioenergetics. </w:t>
      </w:r>
      <w:r w:rsidRPr="006104B1">
        <w:rPr>
          <w:rFonts w:ascii="Times New Roman" w:hAnsi="Times New Roman" w:cs="Times New Roman"/>
          <w:i/>
          <w:iCs/>
          <w:noProof/>
          <w:szCs w:val="24"/>
        </w:rPr>
        <w:t>Int. J. Neuropsychopharmacol.</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16</w:t>
      </w:r>
      <w:r w:rsidRPr="006104B1">
        <w:rPr>
          <w:rFonts w:ascii="Times New Roman" w:hAnsi="Times New Roman" w:cs="Times New Roman"/>
          <w:noProof/>
          <w:szCs w:val="24"/>
        </w:rPr>
        <w:t>, 1695–1706 (2013).</w:t>
      </w:r>
    </w:p>
    <w:p w14:paraId="445BB8B3"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87.</w:t>
      </w:r>
      <w:r w:rsidRPr="006104B1">
        <w:rPr>
          <w:rFonts w:ascii="Times New Roman" w:hAnsi="Times New Roman" w:cs="Times New Roman"/>
          <w:noProof/>
          <w:szCs w:val="24"/>
        </w:rPr>
        <w:tab/>
        <w:t xml:space="preserve">Lee, S.-B., Youn, J., Jang, W. &amp; Yang, H. O. Neuroprotective effect of anodal transcranial direct current stimulation on 1-methyl-4-phenyl-1,2,3,6-tetrahydropyridine (MPTP)-induced neurotoxicity in mice through modulating mitochondrial dynamics. </w:t>
      </w:r>
      <w:r w:rsidRPr="006104B1">
        <w:rPr>
          <w:rFonts w:ascii="Times New Roman" w:hAnsi="Times New Roman" w:cs="Times New Roman"/>
          <w:i/>
          <w:iCs/>
          <w:noProof/>
          <w:szCs w:val="24"/>
        </w:rPr>
        <w:t>Neurochem. Int.</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129</w:t>
      </w:r>
      <w:r w:rsidRPr="006104B1">
        <w:rPr>
          <w:rFonts w:ascii="Times New Roman" w:hAnsi="Times New Roman" w:cs="Times New Roman"/>
          <w:noProof/>
          <w:szCs w:val="24"/>
        </w:rPr>
        <w:t>, 104491 (2019).</w:t>
      </w:r>
    </w:p>
    <w:p w14:paraId="0DC97476"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88.</w:t>
      </w:r>
      <w:r w:rsidRPr="006104B1">
        <w:rPr>
          <w:rFonts w:ascii="Times New Roman" w:hAnsi="Times New Roman" w:cs="Times New Roman"/>
          <w:noProof/>
          <w:szCs w:val="24"/>
        </w:rPr>
        <w:tab/>
        <w:t xml:space="preserve">Rodrigues, T. B., Valette, J. &amp; Bouzier-Sore, A.-K. 13C NMR spectroscopy applications to brain energy metabolism. </w:t>
      </w:r>
      <w:r w:rsidRPr="006104B1">
        <w:rPr>
          <w:rFonts w:ascii="Times New Roman" w:hAnsi="Times New Roman" w:cs="Times New Roman"/>
          <w:i/>
          <w:iCs/>
          <w:noProof/>
          <w:szCs w:val="24"/>
        </w:rPr>
        <w:t>Front. Neuroenergetics</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5</w:t>
      </w:r>
      <w:r w:rsidRPr="006104B1">
        <w:rPr>
          <w:rFonts w:ascii="Times New Roman" w:hAnsi="Times New Roman" w:cs="Times New Roman"/>
          <w:noProof/>
          <w:szCs w:val="24"/>
        </w:rPr>
        <w:t>, (2013).</w:t>
      </w:r>
    </w:p>
    <w:p w14:paraId="048586A6"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89.</w:t>
      </w:r>
      <w:r w:rsidRPr="006104B1">
        <w:rPr>
          <w:rFonts w:ascii="Times New Roman" w:hAnsi="Times New Roman" w:cs="Times New Roman"/>
          <w:noProof/>
          <w:szCs w:val="24"/>
        </w:rPr>
        <w:tab/>
        <w:t xml:space="preserve">Havelund, J. F., Heegaard, N. H. H., Færgeman, N. J. K. &amp; Gramsbergen, J. B. Biomarker Research in Parkinson’s Disease Using Metabolite Profiling. </w:t>
      </w:r>
      <w:r w:rsidRPr="006104B1">
        <w:rPr>
          <w:rFonts w:ascii="Times New Roman" w:hAnsi="Times New Roman" w:cs="Times New Roman"/>
          <w:i/>
          <w:iCs/>
          <w:noProof/>
          <w:szCs w:val="24"/>
        </w:rPr>
        <w:t>Metabolites</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7</w:t>
      </w:r>
      <w:r w:rsidRPr="006104B1">
        <w:rPr>
          <w:rFonts w:ascii="Times New Roman" w:hAnsi="Times New Roman" w:cs="Times New Roman"/>
          <w:noProof/>
          <w:szCs w:val="24"/>
        </w:rPr>
        <w:t>, (2017).</w:t>
      </w:r>
    </w:p>
    <w:p w14:paraId="118B2F20"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90.</w:t>
      </w:r>
      <w:r w:rsidRPr="006104B1">
        <w:rPr>
          <w:rFonts w:ascii="Times New Roman" w:hAnsi="Times New Roman" w:cs="Times New Roman"/>
          <w:noProof/>
          <w:szCs w:val="24"/>
        </w:rPr>
        <w:tab/>
        <w:t xml:space="preserve">Virel, A., Dudka, I., Laterveer, R. &amp; Bjerkén, S. af. 1H NMR profiling of the 6-OHDA parkinsonian rat brain reveals metabolic alterations and signs of recovery after N-acetylcysteine treatment. </w:t>
      </w:r>
      <w:r w:rsidRPr="006104B1">
        <w:rPr>
          <w:rFonts w:ascii="Times New Roman" w:hAnsi="Times New Roman" w:cs="Times New Roman"/>
          <w:i/>
          <w:iCs/>
          <w:noProof/>
          <w:szCs w:val="24"/>
        </w:rPr>
        <w:t>Mol. Cell. Neurosci.</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98</w:t>
      </w:r>
      <w:r w:rsidRPr="006104B1">
        <w:rPr>
          <w:rFonts w:ascii="Times New Roman" w:hAnsi="Times New Roman" w:cs="Times New Roman"/>
          <w:noProof/>
          <w:szCs w:val="24"/>
        </w:rPr>
        <w:t>, 131–139 (2019).</w:t>
      </w:r>
    </w:p>
    <w:p w14:paraId="239BA788"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91.</w:t>
      </w:r>
      <w:r w:rsidRPr="006104B1">
        <w:rPr>
          <w:rFonts w:ascii="Times New Roman" w:hAnsi="Times New Roman" w:cs="Times New Roman"/>
          <w:noProof/>
          <w:szCs w:val="24"/>
        </w:rPr>
        <w:tab/>
        <w:t xml:space="preserve">Hansen, S. H., Birkedal, H., Wibrand, F. &amp; Grunnet, N. Taurine and regulation of mitochondrial metabolism. </w:t>
      </w:r>
      <w:r w:rsidRPr="006104B1">
        <w:rPr>
          <w:rFonts w:ascii="Times New Roman" w:hAnsi="Times New Roman" w:cs="Times New Roman"/>
          <w:i/>
          <w:iCs/>
          <w:noProof/>
          <w:szCs w:val="24"/>
        </w:rPr>
        <w:t>Adv. Exp. Med. Biol.</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803</w:t>
      </w:r>
      <w:r w:rsidRPr="006104B1">
        <w:rPr>
          <w:rFonts w:ascii="Times New Roman" w:hAnsi="Times New Roman" w:cs="Times New Roman"/>
          <w:noProof/>
          <w:szCs w:val="24"/>
        </w:rPr>
        <w:t>, 397–405 (2015).</w:t>
      </w:r>
    </w:p>
    <w:p w14:paraId="2576DC22"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92.</w:t>
      </w:r>
      <w:r w:rsidRPr="006104B1">
        <w:rPr>
          <w:rFonts w:ascii="Times New Roman" w:hAnsi="Times New Roman" w:cs="Times New Roman"/>
          <w:noProof/>
          <w:szCs w:val="24"/>
        </w:rPr>
        <w:tab/>
        <w:t xml:space="preserve">Hansen, S. H., Andersen, M. L., Cornett, C., Gradinaru, R. &amp; Grunnet, N. A role for taurine in mitochondrial function. </w:t>
      </w:r>
      <w:r w:rsidRPr="006104B1">
        <w:rPr>
          <w:rFonts w:ascii="Times New Roman" w:hAnsi="Times New Roman" w:cs="Times New Roman"/>
          <w:i/>
          <w:iCs/>
          <w:noProof/>
          <w:szCs w:val="24"/>
        </w:rPr>
        <w:t>J. Biomed. Sci.</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17 Suppl 1</w:t>
      </w:r>
      <w:r w:rsidRPr="006104B1">
        <w:rPr>
          <w:rFonts w:ascii="Times New Roman" w:hAnsi="Times New Roman" w:cs="Times New Roman"/>
          <w:noProof/>
          <w:szCs w:val="24"/>
        </w:rPr>
        <w:t>, S23 (2010).</w:t>
      </w:r>
    </w:p>
    <w:p w14:paraId="5BE7C204"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93.</w:t>
      </w:r>
      <w:r w:rsidRPr="006104B1">
        <w:rPr>
          <w:rFonts w:ascii="Times New Roman" w:hAnsi="Times New Roman" w:cs="Times New Roman"/>
          <w:noProof/>
          <w:szCs w:val="24"/>
        </w:rPr>
        <w:tab/>
        <w:t xml:space="preserve">Ullman, J. C.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A mouse model of autism implicates endosome pH in the regulation of presynaptic calcium entry. </w:t>
      </w:r>
      <w:r w:rsidRPr="006104B1">
        <w:rPr>
          <w:rFonts w:ascii="Times New Roman" w:hAnsi="Times New Roman" w:cs="Times New Roman"/>
          <w:i/>
          <w:iCs/>
          <w:noProof/>
          <w:szCs w:val="24"/>
        </w:rPr>
        <w:t>Nat. Commun.</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9</w:t>
      </w:r>
      <w:r w:rsidRPr="006104B1">
        <w:rPr>
          <w:rFonts w:ascii="Times New Roman" w:hAnsi="Times New Roman" w:cs="Times New Roman"/>
          <w:noProof/>
          <w:szCs w:val="24"/>
        </w:rPr>
        <w:t>, 330 (2018).</w:t>
      </w:r>
    </w:p>
    <w:p w14:paraId="650B0019"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94.</w:t>
      </w:r>
      <w:r w:rsidRPr="006104B1">
        <w:rPr>
          <w:rFonts w:ascii="Times New Roman" w:hAnsi="Times New Roman" w:cs="Times New Roman"/>
          <w:noProof/>
          <w:szCs w:val="24"/>
        </w:rPr>
        <w:tab/>
        <w:t xml:space="preserve">Hagihara, H., Shoji, H., Consortium, I. B. pH P. &amp; Miyakawa, T. Systematic analysis of brain lactate and pH levels in 65 animal models related to neuropsychiatric conditions. </w:t>
      </w:r>
      <w:r w:rsidRPr="006104B1">
        <w:rPr>
          <w:rFonts w:ascii="Times New Roman" w:hAnsi="Times New Roman" w:cs="Times New Roman"/>
          <w:i/>
          <w:iCs/>
          <w:noProof/>
          <w:szCs w:val="24"/>
        </w:rPr>
        <w:t>bioRxiv</w:t>
      </w:r>
      <w:r w:rsidRPr="006104B1">
        <w:rPr>
          <w:rFonts w:ascii="Times New Roman" w:hAnsi="Times New Roman" w:cs="Times New Roman"/>
          <w:noProof/>
          <w:szCs w:val="24"/>
        </w:rPr>
        <w:t xml:space="preserve"> 2021.02.02.428362 (2021) doi:10.1101/2021.02.02.428362.</w:t>
      </w:r>
    </w:p>
    <w:p w14:paraId="720FA774"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95.</w:t>
      </w:r>
      <w:r w:rsidRPr="006104B1">
        <w:rPr>
          <w:rFonts w:ascii="Times New Roman" w:hAnsi="Times New Roman" w:cs="Times New Roman"/>
          <w:noProof/>
          <w:szCs w:val="24"/>
        </w:rPr>
        <w:tab/>
        <w:t xml:space="preserve">Hagihara, H.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Decreased Brain pH as a Shared Endophenotype of Psychiatric Disorders. </w:t>
      </w:r>
      <w:r w:rsidRPr="006104B1">
        <w:rPr>
          <w:rFonts w:ascii="Times New Roman" w:hAnsi="Times New Roman" w:cs="Times New Roman"/>
          <w:i/>
          <w:iCs/>
          <w:noProof/>
          <w:szCs w:val="24"/>
        </w:rPr>
        <w:t>Neuropsychopharmacology</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43</w:t>
      </w:r>
      <w:r w:rsidRPr="006104B1">
        <w:rPr>
          <w:rFonts w:ascii="Times New Roman" w:hAnsi="Times New Roman" w:cs="Times New Roman"/>
          <w:noProof/>
          <w:szCs w:val="24"/>
        </w:rPr>
        <w:t>, 459–468 (2018).</w:t>
      </w:r>
    </w:p>
    <w:p w14:paraId="5D980E51"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96.</w:t>
      </w:r>
      <w:r w:rsidRPr="006104B1">
        <w:rPr>
          <w:rFonts w:ascii="Times New Roman" w:hAnsi="Times New Roman" w:cs="Times New Roman"/>
          <w:noProof/>
          <w:szCs w:val="24"/>
        </w:rPr>
        <w:tab/>
        <w:t xml:space="preserve">Wemmie, J. A.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The Acid-Activated Ion Channel ASIC Contributes to Synaptic Plasticity, Learning, and Memory. </w:t>
      </w:r>
      <w:r w:rsidRPr="006104B1">
        <w:rPr>
          <w:rFonts w:ascii="Times New Roman" w:hAnsi="Times New Roman" w:cs="Times New Roman"/>
          <w:i/>
          <w:iCs/>
          <w:noProof/>
          <w:szCs w:val="24"/>
        </w:rPr>
        <w:t>Neuron</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34</w:t>
      </w:r>
      <w:r w:rsidRPr="006104B1">
        <w:rPr>
          <w:rFonts w:ascii="Times New Roman" w:hAnsi="Times New Roman" w:cs="Times New Roman"/>
          <w:noProof/>
          <w:szCs w:val="24"/>
        </w:rPr>
        <w:t>, 463–477 (2002).</w:t>
      </w:r>
    </w:p>
    <w:p w14:paraId="2D6A18F6"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97.</w:t>
      </w:r>
      <w:r w:rsidRPr="006104B1">
        <w:rPr>
          <w:rFonts w:ascii="Times New Roman" w:hAnsi="Times New Roman" w:cs="Times New Roman"/>
          <w:noProof/>
          <w:szCs w:val="24"/>
        </w:rPr>
        <w:tab/>
        <w:t xml:space="preserve">Li, H.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1H-Nuclear magnetic resonance-based metabolomic analysis of brain in mice with nicotine treatment. </w:t>
      </w:r>
      <w:r w:rsidRPr="006104B1">
        <w:rPr>
          <w:rFonts w:ascii="Times New Roman" w:hAnsi="Times New Roman" w:cs="Times New Roman"/>
          <w:i/>
          <w:iCs/>
          <w:noProof/>
          <w:szCs w:val="24"/>
        </w:rPr>
        <w:t>BMC Neurosci.</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15</w:t>
      </w:r>
      <w:r w:rsidRPr="006104B1">
        <w:rPr>
          <w:rFonts w:ascii="Times New Roman" w:hAnsi="Times New Roman" w:cs="Times New Roman"/>
          <w:noProof/>
          <w:szCs w:val="24"/>
        </w:rPr>
        <w:t>, 32 (2014).</w:t>
      </w:r>
    </w:p>
    <w:p w14:paraId="5A4C5F8B"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98.</w:t>
      </w:r>
      <w:r w:rsidRPr="006104B1">
        <w:rPr>
          <w:rFonts w:ascii="Times New Roman" w:hAnsi="Times New Roman" w:cs="Times New Roman"/>
          <w:noProof/>
          <w:szCs w:val="24"/>
        </w:rPr>
        <w:tab/>
        <w:t xml:space="preserve">Zheng, H.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NMR-based metabolomics reveals brain region-specific metabolic alterations in streptozotocin-induced diabetic rats with cognitive dysfunction. </w:t>
      </w:r>
      <w:r w:rsidRPr="006104B1">
        <w:rPr>
          <w:rFonts w:ascii="Times New Roman" w:hAnsi="Times New Roman" w:cs="Times New Roman"/>
          <w:i/>
          <w:iCs/>
          <w:noProof/>
          <w:szCs w:val="24"/>
        </w:rPr>
        <w:t>Metab. Brain Dis.</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32</w:t>
      </w:r>
      <w:r w:rsidRPr="006104B1">
        <w:rPr>
          <w:rFonts w:ascii="Times New Roman" w:hAnsi="Times New Roman" w:cs="Times New Roman"/>
          <w:noProof/>
          <w:szCs w:val="24"/>
        </w:rPr>
        <w:t>, 585–593 (2017).</w:t>
      </w:r>
    </w:p>
    <w:p w14:paraId="3EFA50F5"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99.</w:t>
      </w:r>
      <w:r w:rsidRPr="006104B1">
        <w:rPr>
          <w:rFonts w:ascii="Times New Roman" w:hAnsi="Times New Roman" w:cs="Times New Roman"/>
          <w:noProof/>
          <w:szCs w:val="24"/>
        </w:rPr>
        <w:tab/>
        <w:t xml:space="preserve">Rance, M. </w:t>
      </w:r>
      <w:r w:rsidRPr="006104B1">
        <w:rPr>
          <w:rFonts w:ascii="Times New Roman" w:hAnsi="Times New Roman" w:cs="Times New Roman"/>
          <w:i/>
          <w:iCs/>
          <w:noProof/>
          <w:szCs w:val="24"/>
        </w:rPr>
        <w:t>et al.</w:t>
      </w:r>
      <w:r w:rsidRPr="006104B1">
        <w:rPr>
          <w:rFonts w:ascii="Times New Roman" w:hAnsi="Times New Roman" w:cs="Times New Roman"/>
          <w:noProof/>
          <w:szCs w:val="24"/>
        </w:rPr>
        <w:t xml:space="preserve"> Improved spectral resolution in COSY 1H NMR spectra of proteins via double quantum filtering. </w:t>
      </w:r>
      <w:r w:rsidRPr="006104B1">
        <w:rPr>
          <w:rFonts w:ascii="Times New Roman" w:hAnsi="Times New Roman" w:cs="Times New Roman"/>
          <w:i/>
          <w:iCs/>
          <w:noProof/>
          <w:szCs w:val="24"/>
        </w:rPr>
        <w:t>Biochem. Biophys. Res. Commun.</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117</w:t>
      </w:r>
      <w:r w:rsidRPr="006104B1">
        <w:rPr>
          <w:rFonts w:ascii="Times New Roman" w:hAnsi="Times New Roman" w:cs="Times New Roman"/>
          <w:noProof/>
          <w:szCs w:val="24"/>
        </w:rPr>
        <w:t>, 479–485 (1983).</w:t>
      </w:r>
    </w:p>
    <w:p w14:paraId="24008B57"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100.</w:t>
      </w:r>
      <w:r w:rsidRPr="006104B1">
        <w:rPr>
          <w:rFonts w:ascii="Times New Roman" w:hAnsi="Times New Roman" w:cs="Times New Roman"/>
          <w:noProof/>
          <w:szCs w:val="24"/>
        </w:rPr>
        <w:tab/>
        <w:t xml:space="preserve">Jeener, J., Meier, B. H., Bachmann, P. &amp; Ernst, R. R. Investigation of exchange processes by two‐dimensional NMR spectroscopy. </w:t>
      </w:r>
      <w:r w:rsidRPr="006104B1">
        <w:rPr>
          <w:rFonts w:ascii="Times New Roman" w:hAnsi="Times New Roman" w:cs="Times New Roman"/>
          <w:i/>
          <w:iCs/>
          <w:noProof/>
          <w:szCs w:val="24"/>
        </w:rPr>
        <w:t>J. Chem. Phys.</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71</w:t>
      </w:r>
      <w:r w:rsidRPr="006104B1">
        <w:rPr>
          <w:rFonts w:ascii="Times New Roman" w:hAnsi="Times New Roman" w:cs="Times New Roman"/>
          <w:noProof/>
          <w:szCs w:val="24"/>
        </w:rPr>
        <w:t>, 4546 (2008).</w:t>
      </w:r>
    </w:p>
    <w:p w14:paraId="43EE5542"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101.</w:t>
      </w:r>
      <w:r w:rsidRPr="006104B1">
        <w:rPr>
          <w:rFonts w:ascii="Times New Roman" w:hAnsi="Times New Roman" w:cs="Times New Roman"/>
          <w:noProof/>
          <w:szCs w:val="24"/>
        </w:rPr>
        <w:tab/>
        <w:t xml:space="preserve">Simpson, A. J., Woods, G. &amp; Mehrzad, O. Spectral editing of organic mixtures into pure components using NMR spectroscopy and ultraviscous solvents. </w:t>
      </w:r>
      <w:r w:rsidRPr="006104B1">
        <w:rPr>
          <w:rFonts w:ascii="Times New Roman" w:hAnsi="Times New Roman" w:cs="Times New Roman"/>
          <w:i/>
          <w:iCs/>
          <w:noProof/>
          <w:szCs w:val="24"/>
        </w:rPr>
        <w:t>Anal. Chem.</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80</w:t>
      </w:r>
      <w:r w:rsidRPr="006104B1">
        <w:rPr>
          <w:rFonts w:ascii="Times New Roman" w:hAnsi="Times New Roman" w:cs="Times New Roman"/>
          <w:noProof/>
          <w:szCs w:val="24"/>
        </w:rPr>
        <w:t>, 186–194 (2008).</w:t>
      </w:r>
    </w:p>
    <w:p w14:paraId="294997D9"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szCs w:val="24"/>
        </w:rPr>
      </w:pPr>
      <w:r w:rsidRPr="006104B1">
        <w:rPr>
          <w:rFonts w:ascii="Times New Roman" w:hAnsi="Times New Roman" w:cs="Times New Roman"/>
          <w:noProof/>
          <w:szCs w:val="24"/>
        </w:rPr>
        <w:t>102.</w:t>
      </w:r>
      <w:r w:rsidRPr="006104B1">
        <w:rPr>
          <w:rFonts w:ascii="Times New Roman" w:hAnsi="Times New Roman" w:cs="Times New Roman"/>
          <w:noProof/>
          <w:szCs w:val="24"/>
        </w:rPr>
        <w:tab/>
        <w:t xml:space="preserve">Farooq, H., Soong, R., Courtier-Murias, D., Anklin, C. &amp; Simpson, A. Tailoring 1H spin dynamics in small molecules via supercooled water: a promising approach for metabolite identification and validation. </w:t>
      </w:r>
      <w:r w:rsidRPr="006104B1">
        <w:rPr>
          <w:rFonts w:ascii="Times New Roman" w:hAnsi="Times New Roman" w:cs="Times New Roman"/>
          <w:i/>
          <w:iCs/>
          <w:noProof/>
          <w:szCs w:val="24"/>
        </w:rPr>
        <w:t>Anal. Chem.</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84</w:t>
      </w:r>
      <w:r w:rsidRPr="006104B1">
        <w:rPr>
          <w:rFonts w:ascii="Times New Roman" w:hAnsi="Times New Roman" w:cs="Times New Roman"/>
          <w:noProof/>
          <w:szCs w:val="24"/>
        </w:rPr>
        <w:t>, 6759–6766 (2012).</w:t>
      </w:r>
    </w:p>
    <w:p w14:paraId="075335A1" w14:textId="77777777" w:rsidR="006104B1" w:rsidRPr="006104B1" w:rsidRDefault="006104B1" w:rsidP="00C67B64">
      <w:pPr>
        <w:widowControl w:val="0"/>
        <w:autoSpaceDE w:val="0"/>
        <w:autoSpaceDN w:val="0"/>
        <w:bidi w:val="0"/>
        <w:adjustRightInd w:val="0"/>
        <w:spacing w:before="20" w:after="40" w:line="240" w:lineRule="auto"/>
        <w:ind w:left="640" w:hanging="640"/>
        <w:rPr>
          <w:rFonts w:ascii="Times New Roman" w:hAnsi="Times New Roman" w:cs="Times New Roman"/>
          <w:noProof/>
        </w:rPr>
      </w:pPr>
      <w:r w:rsidRPr="006104B1">
        <w:rPr>
          <w:rFonts w:ascii="Times New Roman" w:hAnsi="Times New Roman" w:cs="Times New Roman"/>
          <w:noProof/>
          <w:szCs w:val="24"/>
        </w:rPr>
        <w:t>103.</w:t>
      </w:r>
      <w:r w:rsidRPr="006104B1">
        <w:rPr>
          <w:rFonts w:ascii="Times New Roman" w:hAnsi="Times New Roman" w:cs="Times New Roman"/>
          <w:noProof/>
          <w:szCs w:val="24"/>
        </w:rPr>
        <w:tab/>
        <w:t xml:space="preserve">Bothner-By, A. A., Stephens, R. L., Lee, J. M., Warren, C. D. &amp; Jeanloz, R. W. Structure Determination of a Tetrasaccharide: Transient Nuclear Overhauser Effects in the Rotating Frame. </w:t>
      </w:r>
      <w:r w:rsidRPr="006104B1">
        <w:rPr>
          <w:rFonts w:ascii="Times New Roman" w:hAnsi="Times New Roman" w:cs="Times New Roman"/>
          <w:i/>
          <w:iCs/>
          <w:noProof/>
          <w:szCs w:val="24"/>
        </w:rPr>
        <w:t>J. Am. Chem. Soc.</w:t>
      </w:r>
      <w:r w:rsidRPr="006104B1">
        <w:rPr>
          <w:rFonts w:ascii="Times New Roman" w:hAnsi="Times New Roman" w:cs="Times New Roman"/>
          <w:noProof/>
          <w:szCs w:val="24"/>
        </w:rPr>
        <w:t xml:space="preserve"> </w:t>
      </w:r>
      <w:r w:rsidRPr="006104B1">
        <w:rPr>
          <w:rFonts w:ascii="Times New Roman" w:hAnsi="Times New Roman" w:cs="Times New Roman"/>
          <w:b/>
          <w:bCs/>
          <w:noProof/>
          <w:szCs w:val="24"/>
        </w:rPr>
        <w:t>106</w:t>
      </w:r>
      <w:r w:rsidRPr="006104B1">
        <w:rPr>
          <w:rFonts w:ascii="Times New Roman" w:hAnsi="Times New Roman" w:cs="Times New Roman"/>
          <w:noProof/>
          <w:szCs w:val="24"/>
        </w:rPr>
        <w:t>, 811–813 (1984).</w:t>
      </w:r>
    </w:p>
    <w:p w14:paraId="17D29EEF" w14:textId="55B70C59" w:rsidR="00FC7EFE" w:rsidRPr="00B12FA8" w:rsidRDefault="00FC7EFE" w:rsidP="00C67B64">
      <w:pPr>
        <w:bidi w:val="0"/>
        <w:spacing w:before="20" w:afterLines="20" w:after="48" w:line="240" w:lineRule="auto"/>
        <w:ind w:firstLine="720"/>
        <w:contextualSpacing/>
        <w:jc w:val="both"/>
        <w:rPr>
          <w:rFonts w:asciiTheme="majorBidi" w:hAnsiTheme="majorBidi" w:cstheme="majorBidi"/>
        </w:rPr>
      </w:pPr>
      <w:r w:rsidRPr="00B12FA8">
        <w:rPr>
          <w:rFonts w:asciiTheme="majorBidi" w:hAnsiTheme="majorBidi" w:cstheme="majorBidi"/>
        </w:rPr>
        <w:lastRenderedPageBreak/>
        <w:fldChar w:fldCharType="end"/>
      </w:r>
    </w:p>
    <w:sectPr w:rsidR="00FC7EFE" w:rsidRPr="00B12FA8" w:rsidSect="00415CA5">
      <w:pgSz w:w="11906" w:h="16838"/>
      <w:pgMar w:top="720" w:right="720" w:bottom="720" w:left="72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B13206"/>
    <w:multiLevelType w:val="hybridMultilevel"/>
    <w:tmpl w:val="54D860C0"/>
    <w:lvl w:ilvl="0" w:tplc="26642622">
      <w:start w:val="1"/>
      <w:numFmt w:val="decimal"/>
      <w:lvlText w:val="%1."/>
      <w:lvlJc w:val="left"/>
      <w:pPr>
        <w:ind w:left="420" w:hanging="360"/>
      </w:pPr>
      <w:rPr>
        <w:rFonts w:hint="default"/>
      </w:rPr>
    </w:lvl>
    <w:lvl w:ilvl="1" w:tplc="20000019" w:tentative="1">
      <w:start w:val="1"/>
      <w:numFmt w:val="lowerLetter"/>
      <w:lvlText w:val="%2."/>
      <w:lvlJc w:val="left"/>
      <w:pPr>
        <w:ind w:left="1140" w:hanging="360"/>
      </w:pPr>
    </w:lvl>
    <w:lvl w:ilvl="2" w:tplc="2000001B" w:tentative="1">
      <w:start w:val="1"/>
      <w:numFmt w:val="lowerRoman"/>
      <w:lvlText w:val="%3."/>
      <w:lvlJc w:val="right"/>
      <w:pPr>
        <w:ind w:left="1860" w:hanging="180"/>
      </w:pPr>
    </w:lvl>
    <w:lvl w:ilvl="3" w:tplc="2000000F" w:tentative="1">
      <w:start w:val="1"/>
      <w:numFmt w:val="decimal"/>
      <w:lvlText w:val="%4."/>
      <w:lvlJc w:val="left"/>
      <w:pPr>
        <w:ind w:left="2580" w:hanging="360"/>
      </w:pPr>
    </w:lvl>
    <w:lvl w:ilvl="4" w:tplc="20000019" w:tentative="1">
      <w:start w:val="1"/>
      <w:numFmt w:val="lowerLetter"/>
      <w:lvlText w:val="%5."/>
      <w:lvlJc w:val="left"/>
      <w:pPr>
        <w:ind w:left="3300" w:hanging="360"/>
      </w:pPr>
    </w:lvl>
    <w:lvl w:ilvl="5" w:tplc="2000001B" w:tentative="1">
      <w:start w:val="1"/>
      <w:numFmt w:val="lowerRoman"/>
      <w:lvlText w:val="%6."/>
      <w:lvlJc w:val="right"/>
      <w:pPr>
        <w:ind w:left="4020" w:hanging="180"/>
      </w:pPr>
    </w:lvl>
    <w:lvl w:ilvl="6" w:tplc="2000000F" w:tentative="1">
      <w:start w:val="1"/>
      <w:numFmt w:val="decimal"/>
      <w:lvlText w:val="%7."/>
      <w:lvlJc w:val="left"/>
      <w:pPr>
        <w:ind w:left="4740" w:hanging="360"/>
      </w:pPr>
    </w:lvl>
    <w:lvl w:ilvl="7" w:tplc="20000019" w:tentative="1">
      <w:start w:val="1"/>
      <w:numFmt w:val="lowerLetter"/>
      <w:lvlText w:val="%8."/>
      <w:lvlJc w:val="left"/>
      <w:pPr>
        <w:ind w:left="5460" w:hanging="360"/>
      </w:pPr>
    </w:lvl>
    <w:lvl w:ilvl="8" w:tplc="2000001B" w:tentative="1">
      <w:start w:val="1"/>
      <w:numFmt w:val="lowerRoman"/>
      <w:lvlText w:val="%9."/>
      <w:lvlJc w:val="right"/>
      <w:pPr>
        <w:ind w:left="61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Q1MzYyNjE3N7MwMDRR0lEKTi0uzszPAykwNq8FAKt0gTwtAAAA"/>
  </w:docVars>
  <w:rsids>
    <w:rsidRoot w:val="00157783"/>
    <w:rsid w:val="000121FD"/>
    <w:rsid w:val="000129AF"/>
    <w:rsid w:val="00021303"/>
    <w:rsid w:val="00024745"/>
    <w:rsid w:val="00034F31"/>
    <w:rsid w:val="000411C7"/>
    <w:rsid w:val="00042788"/>
    <w:rsid w:val="00043BEF"/>
    <w:rsid w:val="00043D66"/>
    <w:rsid w:val="00044D90"/>
    <w:rsid w:val="00050FEA"/>
    <w:rsid w:val="00075562"/>
    <w:rsid w:val="00097E8D"/>
    <w:rsid w:val="000B0563"/>
    <w:rsid w:val="000B63B9"/>
    <w:rsid w:val="000C1C26"/>
    <w:rsid w:val="000D34DA"/>
    <w:rsid w:val="000D5823"/>
    <w:rsid w:val="000E697F"/>
    <w:rsid w:val="000F7BBE"/>
    <w:rsid w:val="001048D3"/>
    <w:rsid w:val="00124E45"/>
    <w:rsid w:val="00130777"/>
    <w:rsid w:val="00130A31"/>
    <w:rsid w:val="00136BAB"/>
    <w:rsid w:val="0013748C"/>
    <w:rsid w:val="00147151"/>
    <w:rsid w:val="001567A6"/>
    <w:rsid w:val="00157783"/>
    <w:rsid w:val="001578B7"/>
    <w:rsid w:val="00157D1D"/>
    <w:rsid w:val="001616C9"/>
    <w:rsid w:val="001626AD"/>
    <w:rsid w:val="00166735"/>
    <w:rsid w:val="001747AC"/>
    <w:rsid w:val="001825C5"/>
    <w:rsid w:val="00195995"/>
    <w:rsid w:val="001B22E5"/>
    <w:rsid w:val="001C7757"/>
    <w:rsid w:val="001D49CF"/>
    <w:rsid w:val="001F0FCB"/>
    <w:rsid w:val="00200914"/>
    <w:rsid w:val="00201B25"/>
    <w:rsid w:val="002023CA"/>
    <w:rsid w:val="00202773"/>
    <w:rsid w:val="00202D4E"/>
    <w:rsid w:val="002069E8"/>
    <w:rsid w:val="002141D9"/>
    <w:rsid w:val="002156A7"/>
    <w:rsid w:val="00216F5D"/>
    <w:rsid w:val="00256748"/>
    <w:rsid w:val="00261441"/>
    <w:rsid w:val="002619F5"/>
    <w:rsid w:val="0026709C"/>
    <w:rsid w:val="00267ADF"/>
    <w:rsid w:val="002702D9"/>
    <w:rsid w:val="00277C72"/>
    <w:rsid w:val="0028113B"/>
    <w:rsid w:val="00284C7D"/>
    <w:rsid w:val="0028656F"/>
    <w:rsid w:val="002936AE"/>
    <w:rsid w:val="002A4985"/>
    <w:rsid w:val="002B66B5"/>
    <w:rsid w:val="002C2518"/>
    <w:rsid w:val="002C467C"/>
    <w:rsid w:val="002D25E6"/>
    <w:rsid w:val="002D32BB"/>
    <w:rsid w:val="002E2D74"/>
    <w:rsid w:val="002F1EA2"/>
    <w:rsid w:val="002F6792"/>
    <w:rsid w:val="00307CF0"/>
    <w:rsid w:val="003158E9"/>
    <w:rsid w:val="00323845"/>
    <w:rsid w:val="003314A6"/>
    <w:rsid w:val="003343C6"/>
    <w:rsid w:val="00341A9B"/>
    <w:rsid w:val="00343AD1"/>
    <w:rsid w:val="00352091"/>
    <w:rsid w:val="00352CB6"/>
    <w:rsid w:val="00372166"/>
    <w:rsid w:val="00376AE2"/>
    <w:rsid w:val="00390D22"/>
    <w:rsid w:val="003916F1"/>
    <w:rsid w:val="00392F1F"/>
    <w:rsid w:val="00393250"/>
    <w:rsid w:val="00395B92"/>
    <w:rsid w:val="003A18A6"/>
    <w:rsid w:val="003A5B85"/>
    <w:rsid w:val="003B2F1D"/>
    <w:rsid w:val="003C0A0E"/>
    <w:rsid w:val="003D6631"/>
    <w:rsid w:val="003F23AE"/>
    <w:rsid w:val="00403676"/>
    <w:rsid w:val="00403EE0"/>
    <w:rsid w:val="00412025"/>
    <w:rsid w:val="004128CA"/>
    <w:rsid w:val="00415CA5"/>
    <w:rsid w:val="00417F3D"/>
    <w:rsid w:val="004250C7"/>
    <w:rsid w:val="0043456D"/>
    <w:rsid w:val="0044172E"/>
    <w:rsid w:val="00441A6A"/>
    <w:rsid w:val="0045223A"/>
    <w:rsid w:val="00453D6F"/>
    <w:rsid w:val="004623C3"/>
    <w:rsid w:val="00471984"/>
    <w:rsid w:val="00477DC5"/>
    <w:rsid w:val="00485707"/>
    <w:rsid w:val="004906C1"/>
    <w:rsid w:val="00497D41"/>
    <w:rsid w:val="004B1BA3"/>
    <w:rsid w:val="004C0522"/>
    <w:rsid w:val="004D29E3"/>
    <w:rsid w:val="004D6D56"/>
    <w:rsid w:val="004D7950"/>
    <w:rsid w:val="005012FF"/>
    <w:rsid w:val="00506D32"/>
    <w:rsid w:val="00512E23"/>
    <w:rsid w:val="00516B63"/>
    <w:rsid w:val="0052168E"/>
    <w:rsid w:val="00522097"/>
    <w:rsid w:val="00522ADC"/>
    <w:rsid w:val="005444CF"/>
    <w:rsid w:val="00546E78"/>
    <w:rsid w:val="00551339"/>
    <w:rsid w:val="00551B6C"/>
    <w:rsid w:val="00573DF1"/>
    <w:rsid w:val="005766FD"/>
    <w:rsid w:val="0058555B"/>
    <w:rsid w:val="00585CA5"/>
    <w:rsid w:val="00587C37"/>
    <w:rsid w:val="0059724A"/>
    <w:rsid w:val="005A3FF9"/>
    <w:rsid w:val="005A4925"/>
    <w:rsid w:val="005B396A"/>
    <w:rsid w:val="005B6FF7"/>
    <w:rsid w:val="005C4C8B"/>
    <w:rsid w:val="005E28B6"/>
    <w:rsid w:val="005E3D3A"/>
    <w:rsid w:val="005E40AE"/>
    <w:rsid w:val="00604321"/>
    <w:rsid w:val="006104B1"/>
    <w:rsid w:val="00612978"/>
    <w:rsid w:val="00613B1A"/>
    <w:rsid w:val="0061703D"/>
    <w:rsid w:val="00621F53"/>
    <w:rsid w:val="00630877"/>
    <w:rsid w:val="00651198"/>
    <w:rsid w:val="00664963"/>
    <w:rsid w:val="0066500C"/>
    <w:rsid w:val="00667362"/>
    <w:rsid w:val="0067671A"/>
    <w:rsid w:val="00687AA8"/>
    <w:rsid w:val="00690FC0"/>
    <w:rsid w:val="00691126"/>
    <w:rsid w:val="00693A52"/>
    <w:rsid w:val="0069501F"/>
    <w:rsid w:val="0069522B"/>
    <w:rsid w:val="0069603D"/>
    <w:rsid w:val="006A32FF"/>
    <w:rsid w:val="006B5DFC"/>
    <w:rsid w:val="006D3EA6"/>
    <w:rsid w:val="006D5186"/>
    <w:rsid w:val="006D5BF8"/>
    <w:rsid w:val="006E70AA"/>
    <w:rsid w:val="006F01A9"/>
    <w:rsid w:val="006F1997"/>
    <w:rsid w:val="006F28BC"/>
    <w:rsid w:val="006F3DF6"/>
    <w:rsid w:val="00701713"/>
    <w:rsid w:val="007044D9"/>
    <w:rsid w:val="007064B9"/>
    <w:rsid w:val="00710243"/>
    <w:rsid w:val="00715F7B"/>
    <w:rsid w:val="0072701F"/>
    <w:rsid w:val="00736B7F"/>
    <w:rsid w:val="00741722"/>
    <w:rsid w:val="0074271F"/>
    <w:rsid w:val="007439B4"/>
    <w:rsid w:val="00752BB6"/>
    <w:rsid w:val="00761AF6"/>
    <w:rsid w:val="0076387C"/>
    <w:rsid w:val="00763FE5"/>
    <w:rsid w:val="00772E7F"/>
    <w:rsid w:val="00775C30"/>
    <w:rsid w:val="00777527"/>
    <w:rsid w:val="0078035C"/>
    <w:rsid w:val="00780CAE"/>
    <w:rsid w:val="007819B7"/>
    <w:rsid w:val="00782BF5"/>
    <w:rsid w:val="007914A9"/>
    <w:rsid w:val="00796E6D"/>
    <w:rsid w:val="007B0FB0"/>
    <w:rsid w:val="007B7820"/>
    <w:rsid w:val="007C0E1A"/>
    <w:rsid w:val="007D0730"/>
    <w:rsid w:val="007E3C8A"/>
    <w:rsid w:val="007F7CA2"/>
    <w:rsid w:val="00825C07"/>
    <w:rsid w:val="0083332A"/>
    <w:rsid w:val="00835224"/>
    <w:rsid w:val="00836EDF"/>
    <w:rsid w:val="00841ADD"/>
    <w:rsid w:val="00843F95"/>
    <w:rsid w:val="008502CB"/>
    <w:rsid w:val="0085081C"/>
    <w:rsid w:val="0085452D"/>
    <w:rsid w:val="00865FF8"/>
    <w:rsid w:val="008916B3"/>
    <w:rsid w:val="00891FCD"/>
    <w:rsid w:val="00895A3E"/>
    <w:rsid w:val="00896D8C"/>
    <w:rsid w:val="008B42A7"/>
    <w:rsid w:val="008B5418"/>
    <w:rsid w:val="008C65CD"/>
    <w:rsid w:val="008C7488"/>
    <w:rsid w:val="008C76CB"/>
    <w:rsid w:val="008D102D"/>
    <w:rsid w:val="008D220C"/>
    <w:rsid w:val="008F53BE"/>
    <w:rsid w:val="008F635E"/>
    <w:rsid w:val="009001CB"/>
    <w:rsid w:val="00903289"/>
    <w:rsid w:val="00904408"/>
    <w:rsid w:val="0090742F"/>
    <w:rsid w:val="00910AAB"/>
    <w:rsid w:val="00916D1D"/>
    <w:rsid w:val="00922F39"/>
    <w:rsid w:val="0093468D"/>
    <w:rsid w:val="00935187"/>
    <w:rsid w:val="0094437D"/>
    <w:rsid w:val="00944B86"/>
    <w:rsid w:val="009462FB"/>
    <w:rsid w:val="0095048D"/>
    <w:rsid w:val="00951ACB"/>
    <w:rsid w:val="009566BD"/>
    <w:rsid w:val="00970503"/>
    <w:rsid w:val="00975141"/>
    <w:rsid w:val="00994A43"/>
    <w:rsid w:val="00995C3A"/>
    <w:rsid w:val="009A354D"/>
    <w:rsid w:val="009C4841"/>
    <w:rsid w:val="009C6D49"/>
    <w:rsid w:val="009D0AC7"/>
    <w:rsid w:val="009D1CB7"/>
    <w:rsid w:val="009E06DA"/>
    <w:rsid w:val="009E59A9"/>
    <w:rsid w:val="009F2139"/>
    <w:rsid w:val="009F2267"/>
    <w:rsid w:val="009F3080"/>
    <w:rsid w:val="00A024ED"/>
    <w:rsid w:val="00A02E27"/>
    <w:rsid w:val="00A06BA2"/>
    <w:rsid w:val="00A32DB7"/>
    <w:rsid w:val="00A333DD"/>
    <w:rsid w:val="00A34F04"/>
    <w:rsid w:val="00A402FF"/>
    <w:rsid w:val="00A81450"/>
    <w:rsid w:val="00A81C2D"/>
    <w:rsid w:val="00A95C39"/>
    <w:rsid w:val="00AA11EF"/>
    <w:rsid w:val="00AB3169"/>
    <w:rsid w:val="00AC01D4"/>
    <w:rsid w:val="00AC4B5D"/>
    <w:rsid w:val="00AD2510"/>
    <w:rsid w:val="00AD68A7"/>
    <w:rsid w:val="00AD7D09"/>
    <w:rsid w:val="00AF261F"/>
    <w:rsid w:val="00AF5C0B"/>
    <w:rsid w:val="00AF674E"/>
    <w:rsid w:val="00B03780"/>
    <w:rsid w:val="00B12FA8"/>
    <w:rsid w:val="00B139C5"/>
    <w:rsid w:val="00B25123"/>
    <w:rsid w:val="00B275CF"/>
    <w:rsid w:val="00B32C4D"/>
    <w:rsid w:val="00B346EA"/>
    <w:rsid w:val="00B36F06"/>
    <w:rsid w:val="00B42394"/>
    <w:rsid w:val="00B42D5E"/>
    <w:rsid w:val="00B52313"/>
    <w:rsid w:val="00B7002F"/>
    <w:rsid w:val="00B70907"/>
    <w:rsid w:val="00B765F6"/>
    <w:rsid w:val="00B90B14"/>
    <w:rsid w:val="00B9105D"/>
    <w:rsid w:val="00B9595D"/>
    <w:rsid w:val="00B9742D"/>
    <w:rsid w:val="00BA033F"/>
    <w:rsid w:val="00BA0932"/>
    <w:rsid w:val="00BA1552"/>
    <w:rsid w:val="00BA2B84"/>
    <w:rsid w:val="00BB2749"/>
    <w:rsid w:val="00BB5268"/>
    <w:rsid w:val="00BC078C"/>
    <w:rsid w:val="00BD4409"/>
    <w:rsid w:val="00BD710E"/>
    <w:rsid w:val="00BE4E39"/>
    <w:rsid w:val="00BF1888"/>
    <w:rsid w:val="00BF1D84"/>
    <w:rsid w:val="00C00D3B"/>
    <w:rsid w:val="00C02311"/>
    <w:rsid w:val="00C03A17"/>
    <w:rsid w:val="00C131F6"/>
    <w:rsid w:val="00C21F43"/>
    <w:rsid w:val="00C23A45"/>
    <w:rsid w:val="00C24EAB"/>
    <w:rsid w:val="00C33609"/>
    <w:rsid w:val="00C4695C"/>
    <w:rsid w:val="00C54AC1"/>
    <w:rsid w:val="00C6074A"/>
    <w:rsid w:val="00C64A36"/>
    <w:rsid w:val="00C67B64"/>
    <w:rsid w:val="00C761A6"/>
    <w:rsid w:val="00C77279"/>
    <w:rsid w:val="00C90F2F"/>
    <w:rsid w:val="00CA5DDE"/>
    <w:rsid w:val="00CA717A"/>
    <w:rsid w:val="00CB5246"/>
    <w:rsid w:val="00CC4E95"/>
    <w:rsid w:val="00CE2222"/>
    <w:rsid w:val="00CE38FE"/>
    <w:rsid w:val="00D062C1"/>
    <w:rsid w:val="00D06B62"/>
    <w:rsid w:val="00D157FB"/>
    <w:rsid w:val="00D15F69"/>
    <w:rsid w:val="00D20976"/>
    <w:rsid w:val="00D20B8E"/>
    <w:rsid w:val="00D2163D"/>
    <w:rsid w:val="00D319D5"/>
    <w:rsid w:val="00D40F4E"/>
    <w:rsid w:val="00D4481F"/>
    <w:rsid w:val="00D50A7E"/>
    <w:rsid w:val="00D52C8C"/>
    <w:rsid w:val="00D62AEB"/>
    <w:rsid w:val="00D62B4D"/>
    <w:rsid w:val="00D71A26"/>
    <w:rsid w:val="00D76C7F"/>
    <w:rsid w:val="00D8070D"/>
    <w:rsid w:val="00D861D6"/>
    <w:rsid w:val="00D87642"/>
    <w:rsid w:val="00DA235A"/>
    <w:rsid w:val="00DA73FC"/>
    <w:rsid w:val="00DB1F42"/>
    <w:rsid w:val="00DB1F86"/>
    <w:rsid w:val="00DB3764"/>
    <w:rsid w:val="00DD2E31"/>
    <w:rsid w:val="00DD48FA"/>
    <w:rsid w:val="00DD5F4C"/>
    <w:rsid w:val="00DE09DD"/>
    <w:rsid w:val="00E02D3F"/>
    <w:rsid w:val="00E1079A"/>
    <w:rsid w:val="00E10E91"/>
    <w:rsid w:val="00E11852"/>
    <w:rsid w:val="00E16D4F"/>
    <w:rsid w:val="00E268EF"/>
    <w:rsid w:val="00E3292E"/>
    <w:rsid w:val="00E440A6"/>
    <w:rsid w:val="00E51A3F"/>
    <w:rsid w:val="00E567AD"/>
    <w:rsid w:val="00E568DB"/>
    <w:rsid w:val="00E600F3"/>
    <w:rsid w:val="00E6682E"/>
    <w:rsid w:val="00E71A32"/>
    <w:rsid w:val="00E8353B"/>
    <w:rsid w:val="00E90A9F"/>
    <w:rsid w:val="00E9329B"/>
    <w:rsid w:val="00E93F0F"/>
    <w:rsid w:val="00EB2E74"/>
    <w:rsid w:val="00EB6F84"/>
    <w:rsid w:val="00EC53EC"/>
    <w:rsid w:val="00ED0B89"/>
    <w:rsid w:val="00ED4DB9"/>
    <w:rsid w:val="00ED5A59"/>
    <w:rsid w:val="00ED6392"/>
    <w:rsid w:val="00ED64D8"/>
    <w:rsid w:val="00EF1ABE"/>
    <w:rsid w:val="00EF6F50"/>
    <w:rsid w:val="00F00295"/>
    <w:rsid w:val="00F10609"/>
    <w:rsid w:val="00F1213D"/>
    <w:rsid w:val="00F42529"/>
    <w:rsid w:val="00F52BBB"/>
    <w:rsid w:val="00F7701D"/>
    <w:rsid w:val="00F809FF"/>
    <w:rsid w:val="00F86E01"/>
    <w:rsid w:val="00F87651"/>
    <w:rsid w:val="00F9638D"/>
    <w:rsid w:val="00F96A32"/>
    <w:rsid w:val="00FA304F"/>
    <w:rsid w:val="00FA6173"/>
    <w:rsid w:val="00FA6862"/>
    <w:rsid w:val="00FC7EFE"/>
    <w:rsid w:val="00FD31C3"/>
    <w:rsid w:val="00FD5DC9"/>
    <w:rsid w:val="00FE44FE"/>
    <w:rsid w:val="00FF095C"/>
    <w:rsid w:val="00FF545B"/>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550A5"/>
  <w15:chartTrackingRefBased/>
  <w15:docId w15:val="{C68D0CD9-D2E0-4726-9992-07DFF89E3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277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766F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94A43"/>
    <w:rPr>
      <w:sz w:val="16"/>
      <w:szCs w:val="16"/>
    </w:rPr>
  </w:style>
  <w:style w:type="paragraph" w:styleId="CommentText">
    <w:name w:val="annotation text"/>
    <w:basedOn w:val="Normal"/>
    <w:link w:val="CommentTextChar"/>
    <w:uiPriority w:val="99"/>
    <w:semiHidden/>
    <w:unhideWhenUsed/>
    <w:rsid w:val="00994A43"/>
    <w:pPr>
      <w:bidi w:val="0"/>
      <w:spacing w:line="240" w:lineRule="auto"/>
    </w:pPr>
    <w:rPr>
      <w:sz w:val="20"/>
      <w:szCs w:val="20"/>
    </w:rPr>
  </w:style>
  <w:style w:type="character" w:customStyle="1" w:styleId="CommentTextChar">
    <w:name w:val="Comment Text Char"/>
    <w:basedOn w:val="DefaultParagraphFont"/>
    <w:link w:val="CommentText"/>
    <w:uiPriority w:val="99"/>
    <w:semiHidden/>
    <w:rsid w:val="00994A43"/>
    <w:rPr>
      <w:sz w:val="20"/>
      <w:szCs w:val="20"/>
    </w:rPr>
  </w:style>
  <w:style w:type="paragraph" w:styleId="BalloonText">
    <w:name w:val="Balloon Text"/>
    <w:basedOn w:val="Normal"/>
    <w:link w:val="BalloonTextChar"/>
    <w:uiPriority w:val="99"/>
    <w:semiHidden/>
    <w:unhideWhenUsed/>
    <w:rsid w:val="00994A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A43"/>
    <w:rPr>
      <w:rFonts w:ascii="Segoe UI" w:hAnsi="Segoe UI" w:cs="Segoe UI"/>
      <w:sz w:val="18"/>
      <w:szCs w:val="18"/>
    </w:rPr>
  </w:style>
  <w:style w:type="paragraph" w:styleId="ListParagraph">
    <w:name w:val="List Paragraph"/>
    <w:basedOn w:val="Normal"/>
    <w:uiPriority w:val="34"/>
    <w:qFormat/>
    <w:rsid w:val="007C0E1A"/>
    <w:pPr>
      <w:ind w:left="720"/>
      <w:contextualSpacing/>
    </w:pPr>
  </w:style>
  <w:style w:type="paragraph" w:styleId="Revision">
    <w:name w:val="Revision"/>
    <w:hidden/>
    <w:uiPriority w:val="99"/>
    <w:semiHidden/>
    <w:rsid w:val="00F86E01"/>
    <w:pPr>
      <w:spacing w:after="0" w:line="240" w:lineRule="auto"/>
    </w:pPr>
  </w:style>
  <w:style w:type="character" w:styleId="Hyperlink">
    <w:name w:val="Hyperlink"/>
    <w:basedOn w:val="DefaultParagraphFont"/>
    <w:uiPriority w:val="99"/>
    <w:unhideWhenUsed/>
    <w:rsid w:val="002C467C"/>
    <w:rPr>
      <w:color w:val="0563C1" w:themeColor="hyperlink"/>
      <w:u w:val="single"/>
    </w:rPr>
  </w:style>
  <w:style w:type="character" w:styleId="UnresolvedMention">
    <w:name w:val="Unresolved Mention"/>
    <w:basedOn w:val="DefaultParagraphFont"/>
    <w:uiPriority w:val="99"/>
    <w:semiHidden/>
    <w:unhideWhenUsed/>
    <w:rsid w:val="002C467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444CF"/>
    <w:pPr>
      <w:bidi/>
    </w:pPr>
    <w:rPr>
      <w:b/>
      <w:bCs/>
    </w:rPr>
  </w:style>
  <w:style w:type="character" w:customStyle="1" w:styleId="CommentSubjectChar">
    <w:name w:val="Comment Subject Char"/>
    <w:basedOn w:val="CommentTextChar"/>
    <w:link w:val="CommentSubject"/>
    <w:uiPriority w:val="99"/>
    <w:semiHidden/>
    <w:rsid w:val="005444CF"/>
    <w:rPr>
      <w:b/>
      <w:bCs/>
      <w:sz w:val="20"/>
      <w:szCs w:val="20"/>
    </w:rPr>
  </w:style>
  <w:style w:type="character" w:customStyle="1" w:styleId="fontstyle01">
    <w:name w:val="fontstyle01"/>
    <w:basedOn w:val="DefaultParagraphFont"/>
    <w:rsid w:val="001C7757"/>
    <w:rPr>
      <w:rFonts w:ascii="TimesNewRomanPS-BoldMT" w:hAnsi="TimesNewRomanPS-BoldMT" w:hint="default"/>
      <w:b/>
      <w:bCs/>
      <w:i w:val="0"/>
      <w:iCs w:val="0"/>
      <w:color w:val="000000"/>
      <w:sz w:val="24"/>
      <w:szCs w:val="24"/>
    </w:rPr>
  </w:style>
  <w:style w:type="paragraph" w:customStyle="1" w:styleId="Default">
    <w:name w:val="Default"/>
    <w:rsid w:val="002702D9"/>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386206">
      <w:bodyDiv w:val="1"/>
      <w:marLeft w:val="0"/>
      <w:marRight w:val="0"/>
      <w:marTop w:val="0"/>
      <w:marBottom w:val="0"/>
      <w:divBdr>
        <w:top w:val="none" w:sz="0" w:space="0" w:color="auto"/>
        <w:left w:val="none" w:sz="0" w:space="0" w:color="auto"/>
        <w:bottom w:val="none" w:sz="0" w:space="0" w:color="auto"/>
        <w:right w:val="none" w:sz="0" w:space="0" w:color="auto"/>
      </w:divBdr>
    </w:div>
    <w:div w:id="365566166">
      <w:bodyDiv w:val="1"/>
      <w:marLeft w:val="0"/>
      <w:marRight w:val="0"/>
      <w:marTop w:val="0"/>
      <w:marBottom w:val="0"/>
      <w:divBdr>
        <w:top w:val="none" w:sz="0" w:space="0" w:color="auto"/>
        <w:left w:val="none" w:sz="0" w:space="0" w:color="auto"/>
        <w:bottom w:val="none" w:sz="0" w:space="0" w:color="auto"/>
        <w:right w:val="none" w:sz="0" w:space="0" w:color="auto"/>
      </w:divBdr>
    </w:div>
    <w:div w:id="558439879">
      <w:bodyDiv w:val="1"/>
      <w:marLeft w:val="0"/>
      <w:marRight w:val="0"/>
      <w:marTop w:val="0"/>
      <w:marBottom w:val="0"/>
      <w:divBdr>
        <w:top w:val="none" w:sz="0" w:space="0" w:color="auto"/>
        <w:left w:val="none" w:sz="0" w:space="0" w:color="auto"/>
        <w:bottom w:val="none" w:sz="0" w:space="0" w:color="auto"/>
        <w:right w:val="none" w:sz="0" w:space="0" w:color="auto"/>
      </w:divBdr>
    </w:div>
    <w:div w:id="713848499">
      <w:bodyDiv w:val="1"/>
      <w:marLeft w:val="0"/>
      <w:marRight w:val="0"/>
      <w:marTop w:val="0"/>
      <w:marBottom w:val="0"/>
      <w:divBdr>
        <w:top w:val="none" w:sz="0" w:space="0" w:color="auto"/>
        <w:left w:val="none" w:sz="0" w:space="0" w:color="auto"/>
        <w:bottom w:val="none" w:sz="0" w:space="0" w:color="auto"/>
        <w:right w:val="none" w:sz="0" w:space="0" w:color="auto"/>
      </w:divBdr>
    </w:div>
    <w:div w:id="950287222">
      <w:bodyDiv w:val="1"/>
      <w:marLeft w:val="0"/>
      <w:marRight w:val="0"/>
      <w:marTop w:val="0"/>
      <w:marBottom w:val="0"/>
      <w:divBdr>
        <w:top w:val="none" w:sz="0" w:space="0" w:color="auto"/>
        <w:left w:val="none" w:sz="0" w:space="0" w:color="auto"/>
        <w:bottom w:val="none" w:sz="0" w:space="0" w:color="auto"/>
        <w:right w:val="none" w:sz="0" w:space="0" w:color="auto"/>
      </w:divBdr>
    </w:div>
    <w:div w:id="1234588776">
      <w:bodyDiv w:val="1"/>
      <w:marLeft w:val="0"/>
      <w:marRight w:val="0"/>
      <w:marTop w:val="0"/>
      <w:marBottom w:val="0"/>
      <w:divBdr>
        <w:top w:val="none" w:sz="0" w:space="0" w:color="auto"/>
        <w:left w:val="none" w:sz="0" w:space="0" w:color="auto"/>
        <w:bottom w:val="none" w:sz="0" w:space="0" w:color="auto"/>
        <w:right w:val="none" w:sz="0" w:space="0" w:color="auto"/>
      </w:divBdr>
    </w:div>
    <w:div w:id="1545865928">
      <w:bodyDiv w:val="1"/>
      <w:marLeft w:val="0"/>
      <w:marRight w:val="0"/>
      <w:marTop w:val="0"/>
      <w:marBottom w:val="0"/>
      <w:divBdr>
        <w:top w:val="none" w:sz="0" w:space="0" w:color="auto"/>
        <w:left w:val="none" w:sz="0" w:space="0" w:color="auto"/>
        <w:bottom w:val="none" w:sz="0" w:space="0" w:color="auto"/>
        <w:right w:val="none" w:sz="0" w:space="0" w:color="auto"/>
      </w:divBdr>
    </w:div>
    <w:div w:id="1626498810">
      <w:bodyDiv w:val="1"/>
      <w:marLeft w:val="0"/>
      <w:marRight w:val="0"/>
      <w:marTop w:val="0"/>
      <w:marBottom w:val="0"/>
      <w:divBdr>
        <w:top w:val="none" w:sz="0" w:space="0" w:color="auto"/>
        <w:left w:val="none" w:sz="0" w:space="0" w:color="auto"/>
        <w:bottom w:val="none" w:sz="0" w:space="0" w:color="auto"/>
        <w:right w:val="none" w:sz="0" w:space="0" w:color="auto"/>
      </w:divBdr>
    </w:div>
    <w:div w:id="1875386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openxmlformats.org/officeDocument/2006/relationships/styles" Target="styles.xml"/><Relationship Id="rId7" Type="http://schemas.openxmlformats.org/officeDocument/2006/relationships/image" Target="media/image2.w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001642-CA3A-0F46-BC4C-AA3D46AED5DC}">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0A3A-8B73-47BA-82D4-C1C7BBA4A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65710</Words>
  <Characters>374549</Characters>
  <Application>Microsoft Office Word</Application>
  <DocSecurity>0</DocSecurity>
  <Lines>3121</Lines>
  <Paragraphs>878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2022-08-15T04:25:00Z</cp:lastPrinted>
  <dcterms:created xsi:type="dcterms:W3CDTF">2023-01-18T11:26:00Z</dcterms:created>
  <dcterms:modified xsi:type="dcterms:W3CDTF">2023-01-18T11:27:00Z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http://www.zotero.org/styles/nature</vt:lpwstr>
  </property>
  <property fmtid="{D5CDD505-2E9C-101B-9397-08002B2CF9AE}" pid="4" name="Mendeley Unique User Id_1">
    <vt:lpwstr>02c8ed59-fd32-30f7-a205-accb564ea4ff</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http://www.zotero.org/styles/nature</vt:lpwstr>
  </property>
  <property fmtid="{D5CDD505-2E9C-101B-9397-08002B2CF9AE}" pid="10" name="Mendeley Recent Style Name 2_1">
    <vt:lpwstr>Nature</vt:lpwstr>
  </property>
  <property fmtid="{D5CDD505-2E9C-101B-9397-08002B2CF9AE}" pid="11" name="Mendeley Recent Style Id 3_1">
    <vt:lpwstr>http://csl.mendeley.com/styles/586210041/DOD-4</vt:lpwstr>
  </property>
  <property fmtid="{D5CDD505-2E9C-101B-9397-08002B2CF9AE}" pid="12" name="Mendeley Recent Style Name 3_1">
    <vt:lpwstr>Nature - Yonatan Feuermann</vt:lpwstr>
  </property>
  <property fmtid="{D5CDD505-2E9C-101B-9397-08002B2CF9AE}" pid="13" name="Mendeley Recent Style Id 4_1">
    <vt:lpwstr>http://csl.mendeley.com/styles/586210041/DOD</vt:lpwstr>
  </property>
  <property fmtid="{D5CDD505-2E9C-101B-9397-08002B2CF9AE}" pid="14" name="Mendeley Recent Style Name 4_1">
    <vt:lpwstr>Nature - Yonatan Feuermann</vt:lpwstr>
  </property>
  <property fmtid="{D5CDD505-2E9C-101B-9397-08002B2CF9AE}" pid="15" name="Mendeley Recent Style Id 5_1">
    <vt:lpwstr>http://csl.mendeley.com/styles/586210041/DOD-3</vt:lpwstr>
  </property>
  <property fmtid="{D5CDD505-2E9C-101B-9397-08002B2CF9AE}" pid="16" name="Mendeley Recent Style Name 5_1">
    <vt:lpwstr>Nature - Yonatan Feuermann</vt:lpwstr>
  </property>
  <property fmtid="{D5CDD505-2E9C-101B-9397-08002B2CF9AE}" pid="17" name="Mendeley Recent Style Id 6_1">
    <vt:lpwstr>http://csl.mendeley.com/styles/586210041/DOD-5</vt:lpwstr>
  </property>
  <property fmtid="{D5CDD505-2E9C-101B-9397-08002B2CF9AE}" pid="18" name="Mendeley Recent Style Name 6_1">
    <vt:lpwstr>Nature - Yonatan Feuermann</vt:lpwstr>
  </property>
  <property fmtid="{D5CDD505-2E9C-101B-9397-08002B2CF9AE}" pid="19" name="Mendeley Recent Style Id 7_1">
    <vt:lpwstr>https://csl.mendeley.com/styles/586210041/nature-2</vt:lpwstr>
  </property>
  <property fmtid="{D5CDD505-2E9C-101B-9397-08002B2CF9AE}" pid="20" name="Mendeley Recent Style Name 7_1">
    <vt:lpwstr>Nature - Yonatan Feuermann</vt:lpwstr>
  </property>
  <property fmtid="{D5CDD505-2E9C-101B-9397-08002B2CF9AE}" pid="21" name="Mendeley Recent Style Id 8_1">
    <vt:lpwstr>http://csl.mendeley.com/styles/586210041/nature-2</vt:lpwstr>
  </property>
  <property fmtid="{D5CDD505-2E9C-101B-9397-08002B2CF9AE}" pid="22" name="Mendeley Recent Style Name 8_1">
    <vt:lpwstr>Nature - Yonatan Feuermann</vt:lpwstr>
  </property>
  <property fmtid="{D5CDD505-2E9C-101B-9397-08002B2CF9AE}" pid="23" name="Mendeley Recent Style Id 9_1">
    <vt:lpwstr>http://csl.mendeley.com/styles/586210041/DOD-2</vt:lpwstr>
  </property>
  <property fmtid="{D5CDD505-2E9C-101B-9397-08002B2CF9AE}" pid="24" name="Mendeley Recent Style Name 9_1">
    <vt:lpwstr>Nature - Yonatan Feuermann</vt:lpwstr>
  </property>
  <property fmtid="{D5CDD505-2E9C-101B-9397-08002B2CF9AE}" pid="25" name="grammarly_documentId">
    <vt:lpwstr>documentId_1167</vt:lpwstr>
  </property>
  <property fmtid="{D5CDD505-2E9C-101B-9397-08002B2CF9AE}" pid="26" name="grammarly_documentContext">
    <vt:lpwstr>{"goals":[],"domain":"general","emotions":[],"dialect":"american"}</vt:lpwstr>
  </property>
</Properties>
</file>