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F0007">
      <w:pPr>
        <w:spacing w:after="0" w:line="240" w:lineRule="auto"/>
        <w:jc w:val="both"/>
        <w:rPr>
          <w:rFonts w:ascii="Times New Roman" w:hAnsi="Times New Roman"/>
          <w:sz w:val="24"/>
          <w:szCs w:val="24"/>
          <w:lang w:val="en-US"/>
        </w:rPr>
      </w:pPr>
      <w:bookmarkStart w:id="0" w:name="OLE_LINK2"/>
      <w:bookmarkStart w:id="1" w:name="_GoBack"/>
      <w:bookmarkEnd w:id="1"/>
      <w:r>
        <w:rPr>
          <w:rFonts w:ascii="Times New Roman" w:hAnsi="Times New Roman"/>
          <w:sz w:val="24"/>
          <w:szCs w:val="24"/>
          <w:lang w:val="en-US"/>
        </w:rPr>
        <w:t xml:space="preserve">Natana J. DeLong-Bas </w:t>
      </w:r>
      <w:bookmarkEnd w:id="0"/>
      <w:r>
        <w:rPr>
          <w:rFonts w:ascii="Times New Roman" w:hAnsi="Times New Roman"/>
          <w:sz w:val="24"/>
          <w:szCs w:val="24"/>
          <w:lang w:val="en-US"/>
        </w:rPr>
        <w:t xml:space="preserve">(ed.), </w:t>
      </w:r>
      <w:r>
        <w:rPr>
          <w:rFonts w:ascii="Times New Roman" w:hAnsi="Times New Roman"/>
          <w:i/>
          <w:sz w:val="24"/>
          <w:szCs w:val="24"/>
          <w:lang w:val="en-US"/>
        </w:rPr>
        <w:t>Islam, Revival, &amp; Reform. Redefining Tradition for the Twenty-first Century. Essays Inspired by John O. Voll</w:t>
      </w:r>
      <w:r>
        <w:rPr>
          <w:rFonts w:ascii="Times New Roman" w:hAnsi="Times New Roman"/>
          <w:sz w:val="24"/>
          <w:szCs w:val="24"/>
          <w:lang w:val="en-US"/>
        </w:rPr>
        <w:t>. Syracuse: Syracuse University Press, 2022 (Modern Intellectual and Political History of the Middle East). xxi, 333 pp.</w:t>
      </w:r>
      <w:r>
        <w:rPr>
          <w:rFonts w:ascii="Times New Roman" w:hAnsi="Times New Roman"/>
          <w:sz w:val="24"/>
          <w:szCs w:val="24"/>
          <w:lang w:val="en-US"/>
        </w:rPr>
        <w:t>, ISBN 978-0-8156-3750-9.</w:t>
      </w:r>
    </w:p>
    <w:p w:rsidR="00000000" w:rsidRDefault="005F0007">
      <w:pPr>
        <w:spacing w:after="0" w:line="240" w:lineRule="auto"/>
        <w:jc w:val="both"/>
        <w:rPr>
          <w:rFonts w:ascii="Times New Roman" w:hAnsi="Times New Roman"/>
          <w:sz w:val="24"/>
          <w:szCs w:val="24"/>
          <w:lang w:val="en-US"/>
        </w:rPr>
      </w:pPr>
    </w:p>
    <w:p w:rsidR="00000000" w:rsidRDefault="005F0007">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From the late 1970s onwards, John Obert Voll made two important contributions to the field of Islamic Studies in two different areas. </w:t>
      </w:r>
      <w:r>
        <w:rPr>
          <w:rFonts w:ascii="Times New Roman" w:hAnsi="Times New Roman"/>
          <w:sz w:val="24"/>
          <w:szCs w:val="24"/>
          <w:lang w:val="en-US"/>
        </w:rPr>
        <w:t>His seminal articles on the Kūrānī and Mizjājī networks, as well as the volume edited together with Nehemia Levtzion, kindled the interest in the hitherto neglected intellectual history of the Islamic World in the 18</w:t>
      </w:r>
      <w:r>
        <w:rPr>
          <w:rFonts w:ascii="Times New Roman" w:hAnsi="Times New Roman"/>
          <w:sz w:val="24"/>
          <w:szCs w:val="24"/>
          <w:vertAlign w:val="superscript"/>
          <w:lang w:val="en-US"/>
        </w:rPr>
        <w:t>th</w:t>
      </w:r>
      <w:r>
        <w:rPr>
          <w:rFonts w:ascii="Times New Roman" w:hAnsi="Times New Roman"/>
          <w:sz w:val="24"/>
          <w:szCs w:val="24"/>
          <w:lang w:val="en-US"/>
        </w:rPr>
        <w:t xml:space="preserve"> century. By stressing the continuing </w:t>
      </w:r>
      <w:r>
        <w:rPr>
          <w:rFonts w:ascii="Times New Roman" w:hAnsi="Times New Roman"/>
          <w:sz w:val="24"/>
          <w:szCs w:val="24"/>
          <w:lang w:val="en-US"/>
        </w:rPr>
        <w:t>importance of Islamic thought and Islamic movements throughout the 20</w:t>
      </w:r>
      <w:r>
        <w:rPr>
          <w:rFonts w:ascii="Times New Roman" w:hAnsi="Times New Roman"/>
          <w:sz w:val="24"/>
          <w:szCs w:val="24"/>
          <w:vertAlign w:val="superscript"/>
          <w:lang w:val="en-US"/>
        </w:rPr>
        <w:t>th</w:t>
      </w:r>
      <w:r>
        <w:rPr>
          <w:rFonts w:ascii="Times New Roman" w:hAnsi="Times New Roman"/>
          <w:sz w:val="24"/>
          <w:szCs w:val="24"/>
          <w:lang w:val="en-US"/>
        </w:rPr>
        <w:t> century, Voll first swam against the current by defying the modernization theory derived idea that secularization would in the near future inevitably lead to a diminished importance of</w:t>
      </w:r>
      <w:r>
        <w:rPr>
          <w:rFonts w:ascii="Times New Roman" w:hAnsi="Times New Roman"/>
          <w:sz w:val="24"/>
          <w:szCs w:val="24"/>
          <w:lang w:val="en-US"/>
        </w:rPr>
        <w:t xml:space="preserve"> religion in Middle Eastern societies. But it soon turned out that religion was much more resilient.</w:t>
      </w:r>
    </w:p>
    <w:p w:rsidR="00000000" w:rsidRDefault="005F0007">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In order to honor Voll, Natana DeLong-Bas has edited a kind of </w:t>
      </w:r>
      <w:r>
        <w:rPr>
          <w:rFonts w:ascii="Times New Roman" w:hAnsi="Times New Roman"/>
          <w:i/>
          <w:iCs/>
          <w:sz w:val="24"/>
          <w:szCs w:val="24"/>
          <w:lang w:val="en-US"/>
        </w:rPr>
        <w:t xml:space="preserve">Festschrift </w:t>
      </w:r>
      <w:r>
        <w:rPr>
          <w:rFonts w:ascii="Times New Roman" w:hAnsi="Times New Roman"/>
          <w:sz w:val="24"/>
          <w:szCs w:val="24"/>
          <w:lang w:val="en-US"/>
        </w:rPr>
        <w:t>without special occasion for which she brought together a number of scholars who</w:t>
      </w:r>
      <w:r>
        <w:rPr>
          <w:rFonts w:ascii="Times New Roman" w:hAnsi="Times New Roman"/>
          <w:sz w:val="24"/>
          <w:szCs w:val="24"/>
          <w:lang w:val="en-US"/>
        </w:rPr>
        <w:t>se research has been influenced or is connected to one of the two major fields of Voll’s scholarship. In her own contribution “The Role of Women in Solidifying Eighteenth Century Revival and Reform Initiatives into Ongoing Mass Movements” she tries to demo</w:t>
      </w:r>
      <w:r>
        <w:rPr>
          <w:rFonts w:ascii="Times New Roman" w:hAnsi="Times New Roman"/>
          <w:sz w:val="24"/>
          <w:szCs w:val="24"/>
          <w:lang w:val="en-US"/>
        </w:rPr>
        <w:t>nstrate that the puritanical movements which emerged in the 18</w:t>
      </w:r>
      <w:r>
        <w:rPr>
          <w:rFonts w:ascii="Times New Roman" w:hAnsi="Times New Roman"/>
          <w:sz w:val="24"/>
          <w:szCs w:val="24"/>
          <w:vertAlign w:val="superscript"/>
          <w:lang w:val="en-US"/>
        </w:rPr>
        <w:t>th</w:t>
      </w:r>
      <w:r>
        <w:rPr>
          <w:rFonts w:ascii="Times New Roman" w:hAnsi="Times New Roman"/>
          <w:sz w:val="24"/>
          <w:szCs w:val="24"/>
          <w:lang w:val="en-US"/>
        </w:rPr>
        <w:t xml:space="preserve"> and early 19</w:t>
      </w:r>
      <w:r>
        <w:rPr>
          <w:rFonts w:ascii="Times New Roman" w:hAnsi="Times New Roman"/>
          <w:sz w:val="24"/>
          <w:szCs w:val="24"/>
          <w:vertAlign w:val="superscript"/>
          <w:lang w:val="en-US"/>
        </w:rPr>
        <w:t>th</w:t>
      </w:r>
      <w:r>
        <w:rPr>
          <w:rFonts w:ascii="Times New Roman" w:hAnsi="Times New Roman"/>
          <w:sz w:val="24"/>
          <w:szCs w:val="24"/>
          <w:lang w:val="en-US"/>
        </w:rPr>
        <w:t> century opened a space for women’s scholarly and literary activities. With this she succeeds when it comes to N</w:t>
      </w:r>
      <w:r>
        <w:rPr>
          <w:rFonts w:ascii="Times New Roman" w:hAnsi="Times New Roman"/>
          <w:sz w:val="24"/>
          <w:szCs w:val="24"/>
          <w:lang w:val="en-US"/>
        </w:rPr>
        <w:t>ānā Asmāʿu (1793-1864), who was educated by her father Osman dan Fodio (ʿUthmān b. Fū</w:t>
      </w:r>
      <w:r>
        <w:rPr>
          <w:rFonts w:ascii="Times New Roman" w:hAnsi="Times New Roman"/>
          <w:sz w:val="24"/>
          <w:szCs w:val="24"/>
          <w:lang w:val="en-US"/>
        </w:rPr>
        <w:t>ḍ</w:t>
      </w:r>
      <w:r>
        <w:rPr>
          <w:rFonts w:ascii="Times New Roman" w:hAnsi="Times New Roman"/>
          <w:sz w:val="24"/>
          <w:szCs w:val="24"/>
          <w:lang w:val="en-US"/>
        </w:rPr>
        <w:t>ī), the founder of the Sokoto Caliphate, in the traditional Islamic scholarly disciplines. She later translated scholarly works into Haussa and wrote herself treatises an</w:t>
      </w:r>
      <w:r>
        <w:rPr>
          <w:rFonts w:ascii="Times New Roman" w:hAnsi="Times New Roman"/>
          <w:sz w:val="24"/>
          <w:szCs w:val="24"/>
          <w:lang w:val="en-US"/>
        </w:rPr>
        <w:t>d poetry. In addition, she introduced the systematic education of female religious instructors. Regarding the contribution of women to Wahhabi scholarship the result of her efforts is less convincing as the few examples of poetry and manuscripts of scholar</w:t>
      </w:r>
      <w:r>
        <w:rPr>
          <w:rFonts w:ascii="Times New Roman" w:hAnsi="Times New Roman"/>
          <w:sz w:val="24"/>
          <w:szCs w:val="24"/>
          <w:lang w:val="en-US"/>
        </w:rPr>
        <w:t xml:space="preserve">ly works dedicated to foundations hardly appear to be exceptional. Marcia Hermansen criticizes the tendency </w:t>
      </w:r>
      <w:r>
        <w:rPr>
          <w:rFonts w:ascii="Times New Roman" w:hAnsi="Times New Roman"/>
          <w:sz w:val="24"/>
          <w:szCs w:val="24"/>
          <w:lang w:val="en-US"/>
        </w:rPr>
        <w:t xml:space="preserve">in scholarship on Walī Allāh Dihlawī to overemphasize his criticism of Sufi practices and play down the importance of Sufi teachings for his work (“Neo-Sufi Haith Interpretation in Shāh Walī Allāh of Delhi’s </w:t>
      </w:r>
      <w:r>
        <w:rPr>
          <w:rFonts w:ascii="Times New Roman" w:hAnsi="Times New Roman"/>
          <w:i/>
          <w:iCs/>
          <w:sz w:val="24"/>
          <w:szCs w:val="24"/>
          <w:lang w:val="en-US"/>
        </w:rPr>
        <w:t>Hujjat Allah al-Baligha</w:t>
      </w:r>
      <w:r>
        <w:rPr>
          <w:rFonts w:ascii="Times New Roman" w:hAnsi="Times New Roman"/>
          <w:sz w:val="24"/>
          <w:szCs w:val="24"/>
          <w:lang w:val="en-US"/>
        </w:rPr>
        <w:t xml:space="preserve"> [</w:t>
      </w:r>
      <w:r>
        <w:rPr>
          <w:rFonts w:ascii="Times New Roman" w:hAnsi="Times New Roman"/>
          <w:i/>
          <w:iCs/>
          <w:sz w:val="24"/>
          <w:szCs w:val="24"/>
          <w:lang w:val="en-US"/>
        </w:rPr>
        <w:t>The Conclusive Argument</w:t>
      </w:r>
      <w:r>
        <w:rPr>
          <w:rFonts w:ascii="Times New Roman" w:hAnsi="Times New Roman"/>
          <w:i/>
          <w:iCs/>
          <w:sz w:val="24"/>
          <w:szCs w:val="24"/>
          <w:lang w:val="en-US"/>
        </w:rPr>
        <w:t xml:space="preserve"> of God</w:t>
      </w:r>
      <w:r>
        <w:rPr>
          <w:rFonts w:ascii="Times New Roman" w:hAnsi="Times New Roman"/>
          <w:sz w:val="24"/>
          <w:szCs w:val="24"/>
          <w:lang w:val="en-US"/>
        </w:rPr>
        <w:t xml:space="preserve">], Volume 2”). With this contribution she puts a footnote on earlier own research as Knut Vikør does in “When Does a </w:t>
      </w:r>
      <w:r>
        <w:rPr>
          <w:rFonts w:ascii="Times New Roman" w:hAnsi="Times New Roman"/>
          <w:i/>
          <w:iCs/>
          <w:sz w:val="24"/>
          <w:szCs w:val="24"/>
          <w:lang w:val="en-US"/>
        </w:rPr>
        <w:t>Ṭ</w:t>
      </w:r>
      <w:r>
        <w:rPr>
          <w:rFonts w:ascii="Times New Roman" w:hAnsi="Times New Roman"/>
          <w:i/>
          <w:iCs/>
          <w:sz w:val="24"/>
          <w:szCs w:val="24"/>
          <w:lang w:val="en-US"/>
        </w:rPr>
        <w:t xml:space="preserve">arīqa </w:t>
      </w:r>
      <w:r>
        <w:rPr>
          <w:rFonts w:ascii="Times New Roman" w:hAnsi="Times New Roman"/>
          <w:sz w:val="24"/>
          <w:szCs w:val="24"/>
          <w:lang w:val="en-US"/>
        </w:rPr>
        <w:t xml:space="preserve">Become a </w:t>
      </w:r>
      <w:r>
        <w:rPr>
          <w:rFonts w:ascii="Times New Roman" w:hAnsi="Times New Roman"/>
          <w:i/>
          <w:iCs/>
          <w:sz w:val="24"/>
          <w:szCs w:val="24"/>
          <w:lang w:val="en-US"/>
        </w:rPr>
        <w:t>Ṭ</w:t>
      </w:r>
      <w:r>
        <w:rPr>
          <w:rFonts w:ascii="Times New Roman" w:hAnsi="Times New Roman"/>
          <w:i/>
          <w:iCs/>
          <w:sz w:val="24"/>
          <w:szCs w:val="24"/>
          <w:lang w:val="en-US"/>
        </w:rPr>
        <w:t>ārīqa</w:t>
      </w:r>
      <w:r>
        <w:rPr>
          <w:rFonts w:ascii="Times New Roman" w:hAnsi="Times New Roman"/>
          <w:sz w:val="24"/>
          <w:szCs w:val="24"/>
          <w:lang w:val="en-US"/>
        </w:rPr>
        <w:t xml:space="preserve">: The Story of a Break-up”. On the basis of new </w:t>
      </w:r>
      <w:proofErr w:type="gramStart"/>
      <w:r>
        <w:rPr>
          <w:rFonts w:ascii="Times New Roman" w:hAnsi="Times New Roman"/>
          <w:sz w:val="24"/>
          <w:szCs w:val="24"/>
          <w:lang w:val="en-US"/>
        </w:rPr>
        <w:t>material</w:t>
      </w:r>
      <w:proofErr w:type="gramEnd"/>
      <w:r>
        <w:rPr>
          <w:rFonts w:ascii="Times New Roman" w:hAnsi="Times New Roman"/>
          <w:sz w:val="24"/>
          <w:szCs w:val="24"/>
          <w:lang w:val="en-US"/>
        </w:rPr>
        <w:t xml:space="preserve"> he reconsiders the chronology of the break between Mu</w:t>
      </w:r>
      <w:r>
        <w:rPr>
          <w:rFonts w:ascii="Times New Roman" w:hAnsi="Times New Roman"/>
          <w:sz w:val="24"/>
          <w:szCs w:val="24"/>
          <w:lang w:val="en-US"/>
        </w:rPr>
        <w:t>ḥ</w:t>
      </w:r>
      <w:r>
        <w:rPr>
          <w:rFonts w:ascii="Times New Roman" w:hAnsi="Times New Roman"/>
          <w:sz w:val="24"/>
          <w:szCs w:val="24"/>
          <w:lang w:val="en-US"/>
        </w:rPr>
        <w:t xml:space="preserve">ammad b. ʿAlī al-Sanūsī and Ibrāhīm al-Rashīd. The fact that in his polemics against al-Rashīd, al-Sanūsī denounced the latter of </w:t>
      </w:r>
      <w:r>
        <w:rPr>
          <w:rFonts w:ascii="Times New Roman" w:hAnsi="Times New Roman"/>
          <w:sz w:val="24"/>
          <w:szCs w:val="24"/>
          <w:lang w:val="en-US"/>
        </w:rPr>
        <w:lastRenderedPageBreak/>
        <w:t xml:space="preserve">not keeping to the </w:t>
      </w:r>
      <w:r>
        <w:rPr>
          <w:rFonts w:ascii="Times New Roman" w:hAnsi="Times New Roman"/>
          <w:i/>
          <w:iCs/>
          <w:sz w:val="24"/>
          <w:szCs w:val="24"/>
          <w:lang w:val="en-US"/>
        </w:rPr>
        <w:t>madhāhib</w:t>
      </w:r>
      <w:r>
        <w:rPr>
          <w:rFonts w:ascii="Times New Roman" w:hAnsi="Times New Roman"/>
          <w:sz w:val="24"/>
          <w:szCs w:val="24"/>
          <w:lang w:val="en-US"/>
        </w:rPr>
        <w:t>, underlines that al-Sanūsī and his order should only with caution be classified under the label “</w:t>
      </w:r>
      <w:r>
        <w:rPr>
          <w:rFonts w:ascii="Times New Roman" w:hAnsi="Times New Roman"/>
          <w:sz w:val="24"/>
          <w:szCs w:val="24"/>
          <w:lang w:val="en-US"/>
        </w:rPr>
        <w:t>reformist”. In the last contribution referring to the 18</w:t>
      </w:r>
      <w:r>
        <w:rPr>
          <w:rFonts w:ascii="Times New Roman" w:hAnsi="Times New Roman"/>
          <w:sz w:val="24"/>
          <w:szCs w:val="24"/>
          <w:vertAlign w:val="superscript"/>
          <w:lang w:val="en-US"/>
        </w:rPr>
        <w:t>th</w:t>
      </w:r>
      <w:r>
        <w:rPr>
          <w:rFonts w:ascii="Times New Roman" w:hAnsi="Times New Roman"/>
          <w:sz w:val="24"/>
          <w:szCs w:val="24"/>
          <w:lang w:val="en-US"/>
        </w:rPr>
        <w:t>/early</w:t>
      </w:r>
      <w:r>
        <w:rPr>
          <w:rFonts w:ascii="Times New Roman" w:hAnsi="Times New Roman"/>
          <w:sz w:val="24"/>
          <w:szCs w:val="24"/>
          <w:vertAlign w:val="superscript"/>
          <w:lang w:val="en-US"/>
        </w:rPr>
        <w:t xml:space="preserve"> </w:t>
      </w:r>
      <w:r>
        <w:rPr>
          <w:rFonts w:ascii="Times New Roman" w:hAnsi="Times New Roman"/>
          <w:sz w:val="24"/>
          <w:szCs w:val="24"/>
          <w:lang w:val="en-US"/>
        </w:rPr>
        <w:t>19</w:t>
      </w:r>
      <w:r>
        <w:rPr>
          <w:rFonts w:ascii="Times New Roman" w:hAnsi="Times New Roman"/>
          <w:sz w:val="24"/>
          <w:szCs w:val="24"/>
          <w:vertAlign w:val="superscript"/>
          <w:lang w:val="en-US"/>
        </w:rPr>
        <w:t>th</w:t>
      </w:r>
      <w:r>
        <w:rPr>
          <w:rFonts w:ascii="Times New Roman" w:hAnsi="Times New Roman"/>
          <w:sz w:val="24"/>
          <w:szCs w:val="24"/>
          <w:lang w:val="en-US"/>
        </w:rPr>
        <w:t xml:space="preserve"> century reform movements Albrecht Hofheinz also bridges the gap to the modern period, by tracing the continuing importance of the </w:t>
      </w:r>
      <w:r>
        <w:rPr>
          <w:rFonts w:ascii="Times New Roman" w:hAnsi="Times New Roman"/>
          <w:i/>
          <w:iCs/>
          <w:sz w:val="24"/>
          <w:szCs w:val="24"/>
          <w:lang w:val="en-US"/>
        </w:rPr>
        <w:t>majādhīb</w:t>
      </w:r>
      <w:r>
        <w:rPr>
          <w:rFonts w:ascii="Times New Roman" w:hAnsi="Times New Roman"/>
          <w:sz w:val="24"/>
          <w:szCs w:val="24"/>
          <w:lang w:val="en-US"/>
        </w:rPr>
        <w:t xml:space="preserve"> of Qa</w:t>
      </w:r>
      <w:r>
        <w:rPr>
          <w:rFonts w:ascii="Times New Roman" w:hAnsi="Times New Roman"/>
          <w:sz w:val="24"/>
          <w:szCs w:val="24"/>
          <w:lang w:val="en-US"/>
        </w:rPr>
        <w:t>ḍ</w:t>
      </w:r>
      <w:r>
        <w:rPr>
          <w:rFonts w:ascii="Times New Roman" w:hAnsi="Times New Roman"/>
          <w:sz w:val="24"/>
          <w:szCs w:val="24"/>
          <w:lang w:val="en-US"/>
        </w:rPr>
        <w:t xml:space="preserve">ārif in the history of the Sudan through </w:t>
      </w:r>
      <w:r>
        <w:rPr>
          <w:rFonts w:ascii="Times New Roman" w:hAnsi="Times New Roman"/>
          <w:sz w:val="24"/>
          <w:szCs w:val="24"/>
          <w:lang w:val="en-US"/>
        </w:rPr>
        <w:t>the 19</w:t>
      </w:r>
      <w:r>
        <w:rPr>
          <w:rFonts w:ascii="Times New Roman" w:hAnsi="Times New Roman"/>
          <w:sz w:val="24"/>
          <w:szCs w:val="24"/>
          <w:vertAlign w:val="superscript"/>
          <w:lang w:val="en-US"/>
        </w:rPr>
        <w:t>th</w:t>
      </w:r>
      <w:r>
        <w:rPr>
          <w:rFonts w:ascii="Times New Roman" w:hAnsi="Times New Roman"/>
          <w:sz w:val="24"/>
          <w:szCs w:val="24"/>
          <w:lang w:val="en-US"/>
        </w:rPr>
        <w:t xml:space="preserve"> and 20</w:t>
      </w:r>
      <w:r>
        <w:rPr>
          <w:rFonts w:ascii="Times New Roman" w:hAnsi="Times New Roman"/>
          <w:sz w:val="24"/>
          <w:szCs w:val="24"/>
          <w:vertAlign w:val="superscript"/>
          <w:lang w:val="en-US"/>
        </w:rPr>
        <w:t>th</w:t>
      </w:r>
      <w:r>
        <w:rPr>
          <w:rFonts w:ascii="Times New Roman" w:hAnsi="Times New Roman"/>
          <w:sz w:val="24"/>
          <w:szCs w:val="24"/>
          <w:lang w:val="en-US"/>
        </w:rPr>
        <w:t xml:space="preserve"> century (“A Flame of Learning in the Winds of Change: Notes on the History of the Majādhīb of Qarā</w:t>
      </w:r>
      <w:r>
        <w:rPr>
          <w:rFonts w:ascii="Times New Roman" w:hAnsi="Times New Roman"/>
          <w:sz w:val="24"/>
          <w:szCs w:val="24"/>
          <w:lang w:val="en-US"/>
        </w:rPr>
        <w:t>ḍ</w:t>
      </w:r>
      <w:r>
        <w:rPr>
          <w:rFonts w:ascii="Times New Roman" w:hAnsi="Times New Roman"/>
          <w:sz w:val="24"/>
          <w:szCs w:val="24"/>
          <w:lang w:val="en-US"/>
        </w:rPr>
        <w:t xml:space="preserve">if”). The article contains reproductions, transcripts and translations of letters, </w:t>
      </w:r>
      <w:r>
        <w:rPr>
          <w:rFonts w:ascii="Times New Roman" w:hAnsi="Times New Roman"/>
          <w:i/>
          <w:iCs/>
          <w:sz w:val="24"/>
          <w:szCs w:val="24"/>
          <w:lang w:val="en-US"/>
        </w:rPr>
        <w:t>ijāza</w:t>
      </w:r>
      <w:r>
        <w:rPr>
          <w:rFonts w:ascii="Times New Roman" w:hAnsi="Times New Roman"/>
          <w:sz w:val="24"/>
          <w:szCs w:val="24"/>
          <w:lang w:val="en-US"/>
        </w:rPr>
        <w:t>s and petitions to the government dating back to th</w:t>
      </w:r>
      <w:r>
        <w:rPr>
          <w:rFonts w:ascii="Times New Roman" w:hAnsi="Times New Roman"/>
          <w:sz w:val="24"/>
          <w:szCs w:val="24"/>
          <w:lang w:val="en-US"/>
        </w:rPr>
        <w:t>e early 20</w:t>
      </w:r>
      <w:r>
        <w:rPr>
          <w:rFonts w:ascii="Times New Roman" w:hAnsi="Times New Roman"/>
          <w:sz w:val="24"/>
          <w:szCs w:val="24"/>
          <w:vertAlign w:val="superscript"/>
          <w:lang w:val="en-US"/>
        </w:rPr>
        <w:t>th</w:t>
      </w:r>
      <w:r>
        <w:rPr>
          <w:rFonts w:ascii="Times New Roman" w:hAnsi="Times New Roman"/>
          <w:sz w:val="24"/>
          <w:szCs w:val="24"/>
          <w:lang w:val="en-US"/>
        </w:rPr>
        <w:t> century from the mosque of al-</w:t>
      </w:r>
      <w:r>
        <w:rPr>
          <w:rFonts w:ascii="Times New Roman" w:hAnsi="Times New Roman"/>
          <w:sz w:val="24"/>
          <w:szCs w:val="24"/>
          <w:lang w:val="en-US"/>
        </w:rPr>
        <w:t>Ṣ</w:t>
      </w:r>
      <w:r>
        <w:rPr>
          <w:rFonts w:ascii="Times New Roman" w:hAnsi="Times New Roman"/>
          <w:sz w:val="24"/>
          <w:szCs w:val="24"/>
          <w:lang w:val="en-US"/>
        </w:rPr>
        <w:t>ūfī al-Azraq in Qa</w:t>
      </w:r>
      <w:r>
        <w:rPr>
          <w:rFonts w:ascii="Times New Roman" w:hAnsi="Times New Roman"/>
          <w:sz w:val="24"/>
          <w:szCs w:val="24"/>
          <w:lang w:val="en-US"/>
        </w:rPr>
        <w:t>ḍ</w:t>
      </w:r>
      <w:r>
        <w:rPr>
          <w:rFonts w:ascii="Times New Roman" w:hAnsi="Times New Roman"/>
          <w:sz w:val="24"/>
          <w:szCs w:val="24"/>
          <w:lang w:val="en-US"/>
        </w:rPr>
        <w:t>ārif.</w:t>
      </w:r>
    </w:p>
    <w:p w:rsidR="00000000" w:rsidRDefault="005F0007">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“Relational History, the Long Great War, and the Making of the Modern Middle East” by Jonathan Wyrtzen is a comprised version of his recently published book </w:t>
      </w:r>
      <w:r>
        <w:rPr>
          <w:rFonts w:ascii="Times New Roman" w:hAnsi="Times New Roman"/>
          <w:i/>
          <w:iCs/>
          <w:sz w:val="24"/>
          <w:szCs w:val="24"/>
          <w:lang w:val="en-US"/>
        </w:rPr>
        <w:t>World Making in the Long Great</w:t>
      </w:r>
      <w:r>
        <w:rPr>
          <w:rFonts w:ascii="Times New Roman" w:hAnsi="Times New Roman"/>
          <w:i/>
          <w:iCs/>
          <w:sz w:val="24"/>
          <w:szCs w:val="24"/>
          <w:lang w:val="en-US"/>
        </w:rPr>
        <w:t xml:space="preserve"> War </w:t>
      </w:r>
      <w:r>
        <w:rPr>
          <w:rFonts w:ascii="Times New Roman" w:hAnsi="Times New Roman"/>
          <w:sz w:val="24"/>
          <w:szCs w:val="24"/>
          <w:lang w:val="en-US"/>
        </w:rPr>
        <w:t>(Columbia University Press, 2022). He argues against limiting the First World War to the 1914-18 timeframe by which it is defined in Western political history with exclusive focus on the major powers involved. He argues that Western, in particular Ita</w:t>
      </w:r>
      <w:r>
        <w:rPr>
          <w:rFonts w:ascii="Times New Roman" w:hAnsi="Times New Roman"/>
          <w:sz w:val="24"/>
          <w:szCs w:val="24"/>
          <w:lang w:val="en-US"/>
        </w:rPr>
        <w:t>lian, interventions in the MENA region and the Balkans, contributed decisively to the tensions and alignments which led to the assassination of Franz Ferdinand. Inspired by Robert Gerwarth’s similar argumentation concerning Eastern Europe, Ireland and Anat</w:t>
      </w:r>
      <w:r>
        <w:rPr>
          <w:rFonts w:ascii="Times New Roman" w:hAnsi="Times New Roman"/>
          <w:sz w:val="24"/>
          <w:szCs w:val="24"/>
          <w:lang w:val="en-US"/>
        </w:rPr>
        <w:t>olia (</w:t>
      </w:r>
      <w:r>
        <w:rPr>
          <w:rFonts w:ascii="Times New Roman" w:hAnsi="Times New Roman"/>
          <w:i/>
          <w:iCs/>
          <w:sz w:val="24"/>
          <w:szCs w:val="24"/>
          <w:lang w:val="en-US"/>
        </w:rPr>
        <w:t>The Vanquished: Why the First World War Failed to End</w:t>
      </w:r>
      <w:r>
        <w:rPr>
          <w:rFonts w:ascii="Times New Roman" w:hAnsi="Times New Roman"/>
          <w:sz w:val="24"/>
          <w:szCs w:val="24"/>
          <w:lang w:val="en-US"/>
        </w:rPr>
        <w:t>, Macmillan, 2016) he asserts that the period up until 1930 must be considered as a prolongation of the First World War in the Middle East and in Morocco, as both borderlines and internal power con</w:t>
      </w:r>
      <w:r>
        <w:rPr>
          <w:rFonts w:ascii="Times New Roman" w:hAnsi="Times New Roman"/>
          <w:sz w:val="24"/>
          <w:szCs w:val="24"/>
          <w:lang w:val="en-US"/>
        </w:rPr>
        <w:t>stellations remained contested. In “Turkish Liberal Conceptions of the Caliphate, 1909-1924”, York Norman draws attention to the efforts of Turkish Liberals like Celal Nuri and Hüseyin Cahit to establish a parliamentary Caliphate inspired by the British sy</w:t>
      </w:r>
      <w:r>
        <w:rPr>
          <w:rFonts w:ascii="Times New Roman" w:hAnsi="Times New Roman"/>
          <w:sz w:val="24"/>
          <w:szCs w:val="24"/>
          <w:lang w:val="en-US"/>
        </w:rPr>
        <w:t>stem. This objective contradicted the Kemalist vision of a total break with the Ottoman past following the model of the French Revolution. Nonetheless, the leading liberals played a role as loyal opposition in the early phase of the Republic until they wer</w:t>
      </w:r>
      <w:r>
        <w:rPr>
          <w:rFonts w:ascii="Times New Roman" w:hAnsi="Times New Roman"/>
          <w:sz w:val="24"/>
          <w:szCs w:val="24"/>
          <w:lang w:val="en-US"/>
        </w:rPr>
        <w:t>e after religious and tribal insurgencies lumped together with the latter as enemies of Atatürk’s Bonapartist project. In “Taking Religion Seriously in the Study of Islamist Movements”, Shadi Hamid argues that Voll’s stance against modernization theory and</w:t>
      </w:r>
      <w:r>
        <w:rPr>
          <w:rFonts w:ascii="Times New Roman" w:hAnsi="Times New Roman"/>
          <w:sz w:val="24"/>
          <w:szCs w:val="24"/>
          <w:lang w:val="en-US"/>
        </w:rPr>
        <w:t xml:space="preserve"> reductionist attempts to explain the religious factor away turned out to be far sighted. According to him the religious factor accounts for the greater resilience of Islamism in face of worldly failure when compared to secular ideologies like Arab Nationa</w:t>
      </w:r>
      <w:r>
        <w:rPr>
          <w:rFonts w:ascii="Times New Roman" w:hAnsi="Times New Roman"/>
          <w:sz w:val="24"/>
          <w:szCs w:val="24"/>
          <w:lang w:val="en-US"/>
        </w:rPr>
        <w:t xml:space="preserve">lism. Being based on faith, a comprehensive worldview and common practices, he asserts, Islamist movements can mobilize more people than other political currents can. Exactly therefore the role of religion is not only relevant for explaining Islamists but </w:t>
      </w:r>
      <w:r>
        <w:rPr>
          <w:rFonts w:ascii="Times New Roman" w:hAnsi="Times New Roman"/>
          <w:sz w:val="24"/>
          <w:szCs w:val="24"/>
          <w:lang w:val="en-US"/>
        </w:rPr>
        <w:t xml:space="preserve">also for explaining secular counter reactions, in particular for liberals allegedly favoring liberalism over democracy when the </w:t>
      </w:r>
      <w:r>
        <w:rPr>
          <w:rFonts w:ascii="Times New Roman" w:hAnsi="Times New Roman"/>
          <w:sz w:val="24"/>
          <w:szCs w:val="24"/>
          <w:lang w:val="en-US"/>
        </w:rPr>
        <w:lastRenderedPageBreak/>
        <w:t>two principles clash. Abdullah Al-Arians’s “Islamists and the State: The Egyptian Muslim Brotherhood’s Evolving Mission” appears</w:t>
      </w:r>
      <w:r>
        <w:rPr>
          <w:rFonts w:ascii="Times New Roman" w:hAnsi="Times New Roman"/>
          <w:sz w:val="24"/>
          <w:szCs w:val="24"/>
          <w:lang w:val="en-US"/>
        </w:rPr>
        <w:t xml:space="preserve"> a bit of a fight against straw men as at least in academic literature hardly anybody has recently doubted that Islamist movements consider the existing nation states as the central space of political contestations. Rather to the contrary, as this focus ha</w:t>
      </w:r>
      <w:r>
        <w:rPr>
          <w:rFonts w:ascii="Times New Roman" w:hAnsi="Times New Roman"/>
          <w:sz w:val="24"/>
          <w:szCs w:val="24"/>
          <w:lang w:val="en-US"/>
        </w:rPr>
        <w:t>s in some cases led to the neglect of transnational bonds, both ideological and organizational. He himself attributes the political turn of the Muslim Brotherhood in Egypt to the pervasive state in the “bureaucratic authoritarianism” of Nasser’s Egypt. Lik</w:t>
      </w:r>
      <w:r>
        <w:rPr>
          <w:rFonts w:ascii="Times New Roman" w:hAnsi="Times New Roman"/>
          <w:sz w:val="24"/>
          <w:szCs w:val="24"/>
          <w:lang w:val="en-US"/>
        </w:rPr>
        <w:t xml:space="preserve">e Hamid in his contribution he explains this trait of the regime as a response to the Brotherhood’s defiance to </w:t>
      </w:r>
      <w:r>
        <w:rPr>
          <w:rFonts w:ascii="Times New Roman" w:hAnsi="Times New Roman"/>
          <w:sz w:val="24"/>
          <w:szCs w:val="24"/>
          <w:lang w:val="en-US"/>
        </w:rPr>
        <w:t>its secular agenda. When it comes to explaining Sayyid Qu</w:t>
      </w:r>
      <w:r>
        <w:rPr>
          <w:rFonts w:ascii="Times New Roman" w:hAnsi="Times New Roman"/>
          <w:sz w:val="24"/>
          <w:szCs w:val="24"/>
          <w:lang w:val="en-US"/>
        </w:rPr>
        <w:t>ṭ</w:t>
      </w:r>
      <w:r>
        <w:rPr>
          <w:rFonts w:ascii="Times New Roman" w:hAnsi="Times New Roman"/>
          <w:sz w:val="24"/>
          <w:szCs w:val="24"/>
          <w:lang w:val="en-US"/>
        </w:rPr>
        <w:t xml:space="preserve">b’s concepts </w:t>
      </w:r>
      <w:r>
        <w:rPr>
          <w:rFonts w:ascii="Times New Roman" w:hAnsi="Times New Roman"/>
          <w:i/>
          <w:iCs/>
          <w:sz w:val="24"/>
          <w:szCs w:val="24"/>
          <w:lang w:val="en-US"/>
        </w:rPr>
        <w:t>ḥ</w:t>
      </w:r>
      <w:r>
        <w:rPr>
          <w:rFonts w:ascii="Times New Roman" w:hAnsi="Times New Roman"/>
          <w:i/>
          <w:iCs/>
          <w:sz w:val="24"/>
          <w:szCs w:val="24"/>
          <w:lang w:val="en-US"/>
        </w:rPr>
        <w:t xml:space="preserve">ākimiyya </w:t>
      </w:r>
      <w:r>
        <w:rPr>
          <w:rFonts w:ascii="Times New Roman" w:hAnsi="Times New Roman"/>
          <w:sz w:val="24"/>
          <w:szCs w:val="24"/>
          <w:lang w:val="en-US"/>
        </w:rPr>
        <w:t xml:space="preserve">and </w:t>
      </w:r>
      <w:r>
        <w:rPr>
          <w:rFonts w:ascii="Times New Roman" w:hAnsi="Times New Roman"/>
          <w:i/>
          <w:iCs/>
          <w:sz w:val="24"/>
          <w:szCs w:val="24"/>
          <w:lang w:val="en-US"/>
        </w:rPr>
        <w:t xml:space="preserve">jāhiliyya </w:t>
      </w:r>
      <w:r>
        <w:rPr>
          <w:rFonts w:ascii="Times New Roman" w:hAnsi="Times New Roman"/>
          <w:sz w:val="24"/>
          <w:szCs w:val="24"/>
          <w:lang w:val="en-US"/>
        </w:rPr>
        <w:t xml:space="preserve">he correctly cautions against interpreting them as responses to regime violence because he had already formulated them </w:t>
      </w:r>
      <w:r>
        <w:rPr>
          <w:rFonts w:ascii="Times New Roman" w:hAnsi="Times New Roman"/>
          <w:i/>
          <w:iCs/>
          <w:sz w:val="24"/>
          <w:szCs w:val="24"/>
          <w:lang w:val="en-US"/>
        </w:rPr>
        <w:t xml:space="preserve">in nuce </w:t>
      </w:r>
      <w:r>
        <w:rPr>
          <w:rFonts w:ascii="Times New Roman" w:hAnsi="Times New Roman"/>
          <w:sz w:val="24"/>
          <w:szCs w:val="24"/>
          <w:lang w:val="en-US"/>
        </w:rPr>
        <w:t>in writings authored before his pe</w:t>
      </w:r>
      <w:r>
        <w:rPr>
          <w:rFonts w:ascii="Times New Roman" w:hAnsi="Times New Roman"/>
          <w:sz w:val="24"/>
          <w:szCs w:val="24"/>
          <w:lang w:val="en-US"/>
        </w:rPr>
        <w:t>rsecution. Nonetheless his presentation of Qu</w:t>
      </w:r>
      <w:r>
        <w:rPr>
          <w:rFonts w:ascii="Times New Roman" w:hAnsi="Times New Roman"/>
          <w:sz w:val="24"/>
          <w:szCs w:val="24"/>
          <w:lang w:val="en-US"/>
        </w:rPr>
        <w:t>ṭ</w:t>
      </w:r>
      <w:r>
        <w:rPr>
          <w:rFonts w:ascii="Times New Roman" w:hAnsi="Times New Roman"/>
          <w:sz w:val="24"/>
          <w:szCs w:val="24"/>
          <w:lang w:val="en-US"/>
        </w:rPr>
        <w:t>b is problematic in two respects. Firstly, the inspiration from outside namely by Mawdūdī is ignored, and secondly, it is not made clear that Qu</w:t>
      </w:r>
      <w:r>
        <w:rPr>
          <w:rFonts w:ascii="Times New Roman" w:hAnsi="Times New Roman"/>
          <w:sz w:val="24"/>
          <w:szCs w:val="24"/>
          <w:lang w:val="en-US"/>
        </w:rPr>
        <w:t>ṭ</w:t>
      </w:r>
      <w:r>
        <w:rPr>
          <w:rFonts w:ascii="Times New Roman" w:hAnsi="Times New Roman"/>
          <w:sz w:val="24"/>
          <w:szCs w:val="24"/>
          <w:lang w:val="en-US"/>
        </w:rPr>
        <w:t>b’s ideology was not adopted by the Muslim Brotherhood but lead t</w:t>
      </w:r>
      <w:r>
        <w:rPr>
          <w:rFonts w:ascii="Times New Roman" w:hAnsi="Times New Roman"/>
          <w:sz w:val="24"/>
          <w:szCs w:val="24"/>
          <w:lang w:val="en-US"/>
        </w:rPr>
        <w:t>o breakoffs. The account of the Brotherhood under Sadat and Mubarak provides nothing new, in the final section of the contribution al-Arian argues that the Brotherhood in the post-revolutionary phase never showed signs of “post-Islamism” as understood by B</w:t>
      </w:r>
      <w:r>
        <w:rPr>
          <w:rFonts w:ascii="Times New Roman" w:hAnsi="Times New Roman"/>
          <w:sz w:val="24"/>
          <w:szCs w:val="24"/>
          <w:lang w:val="en-US"/>
        </w:rPr>
        <w:t>aya. Instead of reflecting on the role of the state in society, the organization accepted the existing state and wanted to use its instruments to implement an order according to their vision of society.</w:t>
      </w:r>
    </w:p>
    <w:p w:rsidR="00000000" w:rsidRDefault="005F0007">
      <w:pPr>
        <w:spacing w:after="0" w:line="360" w:lineRule="auto"/>
        <w:jc w:val="both"/>
        <w:rPr>
          <w:rFonts w:ascii="Times New Roman" w:hAnsi="Times New Roman"/>
          <w:sz w:val="24"/>
          <w:szCs w:val="24"/>
          <w:lang w:val="en-US"/>
        </w:rPr>
      </w:pPr>
      <w:r>
        <w:rPr>
          <w:rFonts w:ascii="Times New Roman" w:hAnsi="Times New Roman"/>
          <w:sz w:val="24"/>
          <w:szCs w:val="24"/>
          <w:lang w:val="en-US"/>
        </w:rPr>
        <w:t>The last three contributions are dedicated to academi</w:t>
      </w:r>
      <w:r>
        <w:rPr>
          <w:rFonts w:ascii="Times New Roman" w:hAnsi="Times New Roman"/>
          <w:sz w:val="24"/>
          <w:szCs w:val="24"/>
          <w:lang w:val="en-US"/>
        </w:rPr>
        <w:t>a and media. Shuang Wen’s “A Short History of Arab Knowledge Production on China” is an overdue contribution that addresses the research gap on Arab understanding and knowledge of other non-Western societies. The picture she draws of the development of Chi</w:t>
      </w:r>
      <w:r>
        <w:rPr>
          <w:rFonts w:ascii="Times New Roman" w:hAnsi="Times New Roman"/>
          <w:sz w:val="24"/>
          <w:szCs w:val="24"/>
          <w:lang w:val="en-US"/>
        </w:rPr>
        <w:t>nese studies is, however, not encouraging. Chinese studies had been introduced at Egyptian universities with the help of Chinese Muslims (Hui) in the interwar period and even experienced a boost in the first phase of the Nasser era, but estrangement betwee</w:t>
      </w:r>
      <w:r>
        <w:rPr>
          <w:rFonts w:ascii="Times New Roman" w:hAnsi="Times New Roman"/>
          <w:sz w:val="24"/>
          <w:szCs w:val="24"/>
          <w:lang w:val="en-US"/>
        </w:rPr>
        <w:t xml:space="preserve">n Egypt and China and the “Cultural Revolution” brought these efforts to a standstill. In other Arab countries Chinese Studies as area studies are not existing and teaching Chinese is impeded by the lack of textbooks adapted to the needs of Arab speakers. </w:t>
      </w:r>
      <w:r>
        <w:rPr>
          <w:rFonts w:ascii="Times New Roman" w:hAnsi="Times New Roman"/>
          <w:sz w:val="24"/>
          <w:szCs w:val="24"/>
          <w:lang w:val="en-US"/>
        </w:rPr>
        <w:t>In “Muslim Media Preachers as Agenda Setters: Teaching Religion and Promoting Social Change”, a comparative analysis of the three contemporary media preachers (</w:t>
      </w:r>
      <w:r>
        <w:rPr>
          <w:rFonts w:ascii="Times New Roman" w:hAnsi="Times New Roman"/>
          <w:i/>
          <w:iCs/>
          <w:sz w:val="24"/>
          <w:szCs w:val="24"/>
          <w:lang w:val="en-US"/>
        </w:rPr>
        <w:t>duʿā</w:t>
      </w:r>
      <w:r>
        <w:rPr>
          <w:rFonts w:ascii="Times New Roman" w:hAnsi="Times New Roman"/>
          <w:sz w:val="24"/>
          <w:szCs w:val="24"/>
          <w:lang w:val="en-US"/>
        </w:rPr>
        <w:t xml:space="preserve">) ʿAmr Khālid, </w:t>
      </w:r>
      <w:r>
        <w:rPr>
          <w:rFonts w:ascii="Times New Roman" w:hAnsi="Times New Roman"/>
          <w:sz w:val="24"/>
          <w:szCs w:val="24"/>
          <w:lang w:val="en-US"/>
        </w:rPr>
        <w:t>Ṭ</w:t>
      </w:r>
      <w:r>
        <w:rPr>
          <w:rFonts w:ascii="Times New Roman" w:hAnsi="Times New Roman"/>
          <w:sz w:val="24"/>
          <w:szCs w:val="24"/>
          <w:lang w:val="en-US"/>
        </w:rPr>
        <w:t>āriq al-Suwaydān and A</w:t>
      </w:r>
      <w:r>
        <w:rPr>
          <w:rFonts w:ascii="Times New Roman" w:hAnsi="Times New Roman"/>
          <w:sz w:val="24"/>
          <w:szCs w:val="24"/>
          <w:lang w:val="en-US"/>
        </w:rPr>
        <w:t>ḥ</w:t>
      </w:r>
      <w:r>
        <w:rPr>
          <w:rFonts w:ascii="Times New Roman" w:hAnsi="Times New Roman"/>
          <w:sz w:val="24"/>
          <w:szCs w:val="24"/>
          <w:lang w:val="en-US"/>
        </w:rPr>
        <w:t>mad al-Shuqayrī, Tuve Buchmann Floden claims to overcome the concept of the entity “consumer” that allegedly characterizes traditional media studies. Following Norwegian media theorist Trine Syvertsen he argues th</w:t>
      </w:r>
      <w:r>
        <w:rPr>
          <w:rFonts w:ascii="Times New Roman" w:hAnsi="Times New Roman"/>
          <w:sz w:val="24"/>
          <w:szCs w:val="24"/>
          <w:lang w:val="en-US"/>
        </w:rPr>
        <w:t xml:space="preserve">at these three preachers encourage their followers in a much larger degree to become involved </w:t>
      </w:r>
      <w:r>
        <w:rPr>
          <w:rFonts w:ascii="Times New Roman" w:hAnsi="Times New Roman"/>
          <w:sz w:val="24"/>
          <w:szCs w:val="24"/>
          <w:lang w:val="en-US"/>
        </w:rPr>
        <w:lastRenderedPageBreak/>
        <w:t>as “players” by commenting or starting initiatives related to their programs. He describes differences in style in comparison with older “media-shaykhs” like al-Q</w:t>
      </w:r>
      <w:r>
        <w:rPr>
          <w:rFonts w:ascii="Times New Roman" w:hAnsi="Times New Roman"/>
          <w:sz w:val="24"/>
          <w:szCs w:val="24"/>
          <w:lang w:val="en-US"/>
        </w:rPr>
        <w:t>ara</w:t>
      </w:r>
      <w:r>
        <w:rPr>
          <w:rFonts w:ascii="Times New Roman" w:hAnsi="Times New Roman"/>
          <w:sz w:val="24"/>
          <w:szCs w:val="24"/>
          <w:lang w:val="en-US"/>
        </w:rPr>
        <w:t>ḍ</w:t>
      </w:r>
      <w:r>
        <w:rPr>
          <w:rFonts w:ascii="Times New Roman" w:hAnsi="Times New Roman"/>
          <w:sz w:val="24"/>
          <w:szCs w:val="24"/>
          <w:lang w:val="en-US"/>
        </w:rPr>
        <w:t xml:space="preserve">āwī and he demonstrates the great interest of the three preachers in societal issues like unemployment. Although the results may not be as revolutionary as the author asserts, the contribution provides an interesting insight in the current Arab public </w:t>
      </w:r>
      <w:r>
        <w:rPr>
          <w:rFonts w:ascii="Times New Roman" w:hAnsi="Times New Roman"/>
          <w:sz w:val="24"/>
          <w:szCs w:val="24"/>
          <w:lang w:val="en-US"/>
        </w:rPr>
        <w:t>sphere. In his contribution “Music with a Message: Maher Zain and the Rise of Awakening’s Global Message”, Sean Foley lacks a bit critical distance to the subject of his research, and some not completely convincing judgments on musical styles, starting wit</w:t>
      </w:r>
      <w:r>
        <w:rPr>
          <w:rFonts w:ascii="Times New Roman" w:hAnsi="Times New Roman"/>
          <w:sz w:val="24"/>
          <w:szCs w:val="24"/>
          <w:lang w:val="en-US"/>
        </w:rPr>
        <w:t xml:space="preserve">h assertion that </w:t>
      </w:r>
      <w:r>
        <w:rPr>
          <w:rFonts w:ascii="Times New Roman" w:hAnsi="Times New Roman"/>
          <w:i/>
          <w:iCs/>
          <w:sz w:val="24"/>
          <w:szCs w:val="24"/>
          <w:lang w:val="en-US"/>
        </w:rPr>
        <w:t xml:space="preserve">Hasat Vakti </w:t>
      </w:r>
      <w:r>
        <w:rPr>
          <w:rFonts w:ascii="Times New Roman" w:hAnsi="Times New Roman"/>
          <w:sz w:val="24"/>
          <w:szCs w:val="24"/>
          <w:lang w:val="en-US"/>
        </w:rPr>
        <w:t xml:space="preserve">(Harvest-time), a campaign song for Recep Tayyip </w:t>
      </w:r>
      <w:r>
        <w:rPr>
          <w:rFonts w:ascii="Times New Roman" w:hAnsi="Times New Roman"/>
          <w:sz w:val="24"/>
          <w:szCs w:val="24"/>
          <w:lang w:val="tr-TR"/>
        </w:rPr>
        <w:t>Erdo</w:t>
      </w:r>
      <w:r>
        <w:rPr>
          <w:rFonts w:ascii="Times New Roman" w:hAnsi="Times New Roman"/>
          <w:sz w:val="24"/>
          <w:szCs w:val="24"/>
          <w:lang w:val="tr-TR"/>
        </w:rPr>
        <w:t>ğan</w:t>
      </w:r>
      <w:r>
        <w:rPr>
          <w:rFonts w:ascii="Times New Roman" w:hAnsi="Times New Roman"/>
          <w:sz w:val="24"/>
          <w:szCs w:val="24"/>
          <w:lang w:val="en-US"/>
        </w:rPr>
        <w:t xml:space="preserve"> performed by the Swedish singer of Lebanese origin Maher Zain, stands in the tradition of the </w:t>
      </w:r>
      <w:r>
        <w:rPr>
          <w:rFonts w:ascii="Times New Roman" w:hAnsi="Times New Roman"/>
          <w:i/>
          <w:iCs/>
          <w:sz w:val="24"/>
          <w:szCs w:val="24"/>
          <w:lang w:val="en-US"/>
        </w:rPr>
        <w:t>nashīd</w:t>
      </w:r>
      <w:r>
        <w:rPr>
          <w:rFonts w:ascii="Times New Roman" w:hAnsi="Times New Roman"/>
          <w:sz w:val="24"/>
          <w:szCs w:val="24"/>
          <w:lang w:val="en-US"/>
        </w:rPr>
        <w:t>, whereas its music is better described as Turkish synth-pop. This correlates with his general use of musical styles and genres of Middle Eastern, Weste</w:t>
      </w:r>
      <w:r>
        <w:rPr>
          <w:rFonts w:ascii="Times New Roman" w:hAnsi="Times New Roman"/>
          <w:sz w:val="24"/>
          <w:szCs w:val="24"/>
          <w:lang w:val="en-US"/>
        </w:rPr>
        <w:t>rn and Latin American pop music which hitherto had hardly been considered fit for religious purposes. As Foley shows Zain is the most successful example for the approach of the British label Awakening to promote an Islamic pop culture among a transnational</w:t>
      </w:r>
      <w:r>
        <w:rPr>
          <w:rFonts w:ascii="Times New Roman" w:hAnsi="Times New Roman"/>
          <w:sz w:val="24"/>
          <w:szCs w:val="24"/>
          <w:lang w:val="en-US"/>
        </w:rPr>
        <w:t xml:space="preserve"> audience via social media. Foley’s conclusion that Islamic pop music is per se an alternative to “angry politics and divisive rhetorics” is, however, not completely convincing if one takes the mentioned campaign hymn for </w:t>
      </w:r>
      <w:r>
        <w:rPr>
          <w:rFonts w:ascii="Times New Roman" w:hAnsi="Times New Roman"/>
          <w:sz w:val="24"/>
          <w:szCs w:val="24"/>
          <w:lang w:val="tr-TR"/>
        </w:rPr>
        <w:t>Erdoğan</w:t>
      </w:r>
      <w:r>
        <w:rPr>
          <w:rFonts w:ascii="Times New Roman" w:hAnsi="Times New Roman"/>
          <w:sz w:val="24"/>
          <w:szCs w:val="24"/>
          <w:lang w:val="en-US"/>
        </w:rPr>
        <w:t xml:space="preserve"> into consideration, in particular as the video clip is characterized by the classical topoi and implicit messages of personality cults in Middle Eastern authoritarian regimes.</w:t>
      </w:r>
    </w:p>
    <w:p w:rsidR="00000000" w:rsidRDefault="005F0007">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Like many publications of the </w:t>
      </w:r>
      <w:r>
        <w:rPr>
          <w:rFonts w:ascii="Times New Roman" w:hAnsi="Times New Roman"/>
          <w:i/>
          <w:iCs/>
          <w:sz w:val="24"/>
          <w:szCs w:val="24"/>
          <w:lang w:val="en-US"/>
        </w:rPr>
        <w:t>Festschrift</w:t>
      </w:r>
      <w:r>
        <w:rPr>
          <w:rFonts w:ascii="Times New Roman" w:hAnsi="Times New Roman"/>
          <w:sz w:val="24"/>
          <w:szCs w:val="24"/>
          <w:lang w:val="en-US"/>
        </w:rPr>
        <w:t>-type the volume is characteriz</w:t>
      </w:r>
      <w:r>
        <w:rPr>
          <w:rFonts w:ascii="Times New Roman" w:hAnsi="Times New Roman"/>
          <w:sz w:val="24"/>
          <w:szCs w:val="24"/>
          <w:lang w:val="en-US"/>
        </w:rPr>
        <w:t>ed by a great heterogeneity of topics, occasional reference to the writings of Voll are not enough to establish some kind of thematic coherence. Few of the contributions are based on completely new research, some are very relevant supplements to earlier re</w:t>
      </w:r>
      <w:r>
        <w:rPr>
          <w:rFonts w:ascii="Times New Roman" w:hAnsi="Times New Roman"/>
          <w:sz w:val="24"/>
          <w:szCs w:val="24"/>
          <w:lang w:val="en-US"/>
        </w:rPr>
        <w:t>search of the respective authors, others summaries of research published elsewhere.</w:t>
      </w:r>
    </w:p>
    <w:p w:rsidR="00000000" w:rsidRDefault="005F0007">
      <w:pPr>
        <w:spacing w:after="0" w:line="240" w:lineRule="auto"/>
        <w:jc w:val="both"/>
        <w:rPr>
          <w:rFonts w:ascii="Times New Roman" w:hAnsi="Times New Roman"/>
          <w:sz w:val="24"/>
          <w:szCs w:val="24"/>
          <w:lang w:val="en-US"/>
        </w:rPr>
      </w:pPr>
    </w:p>
    <w:p w:rsidR="00000000" w:rsidRDefault="005F0007">
      <w:pPr>
        <w:spacing w:after="0" w:line="240" w:lineRule="auto"/>
        <w:jc w:val="both"/>
        <w:rPr>
          <w:rFonts w:ascii="Times New Roman" w:hAnsi="Times New Roman"/>
          <w:sz w:val="24"/>
          <w:szCs w:val="24"/>
          <w:lang w:val="de-DE"/>
        </w:rPr>
      </w:pPr>
      <w:r>
        <w:rPr>
          <w:rFonts w:ascii="Times New Roman" w:hAnsi="Times New Roman"/>
          <w:sz w:val="24"/>
          <w:szCs w:val="24"/>
          <w:lang w:val="de-DE"/>
        </w:rPr>
        <w:t>Martin Riexinger</w:t>
      </w:r>
    </w:p>
    <w:p w:rsidR="00000000" w:rsidRDefault="005F0007">
      <w:pPr>
        <w:spacing w:after="0" w:line="240" w:lineRule="auto"/>
        <w:jc w:val="both"/>
        <w:rPr>
          <w:rFonts w:ascii="Times New Roman" w:hAnsi="Times New Roman"/>
          <w:sz w:val="24"/>
          <w:szCs w:val="24"/>
          <w:lang w:val="en-US"/>
        </w:rPr>
      </w:pPr>
      <w:r>
        <w:rPr>
          <w:rFonts w:ascii="Times New Roman" w:hAnsi="Times New Roman"/>
          <w:sz w:val="24"/>
          <w:szCs w:val="24"/>
          <w:lang w:val="en-US"/>
        </w:rPr>
        <w:t>Aarhus Universitet, School of Culture and Society – Arab and Islamic Studies, Aarhus, Denmark</w:t>
      </w:r>
    </w:p>
    <w:p w:rsidR="005F0007" w:rsidRDefault="005F0007">
      <w:pPr>
        <w:spacing w:after="0" w:line="240" w:lineRule="auto"/>
        <w:jc w:val="both"/>
        <w:rPr>
          <w:rFonts w:ascii="Times New Roman" w:hAnsi="Times New Roman"/>
          <w:sz w:val="24"/>
          <w:szCs w:val="24"/>
          <w:lang w:val="de-DE"/>
        </w:rPr>
      </w:pPr>
      <w:r>
        <w:rPr>
          <w:rFonts w:ascii="Times New Roman" w:hAnsi="Times New Roman"/>
          <w:sz w:val="24"/>
          <w:szCs w:val="24"/>
          <w:lang w:val="de-DE"/>
        </w:rPr>
        <w:t>mri@cas.au.dk</w:t>
      </w:r>
    </w:p>
    <w:sectPr w:rsidR="005F0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E7"/>
    <w:rsid w:val="001937E7"/>
    <w:rsid w:val="005F0007"/>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59E3A-41C0-446B-B01B-26F8037A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L"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da-DK" w:eastAsia="en-US" w:bidi="ar-SA"/>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9554</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Thomas Riexinger</dc:creator>
  <cp:keywords/>
  <dc:description/>
  <cp:lastModifiedBy>Susan</cp:lastModifiedBy>
  <cp:revision>2</cp:revision>
  <dcterms:created xsi:type="dcterms:W3CDTF">2023-01-20T16:17:00Z</dcterms:created>
  <dcterms:modified xsi:type="dcterms:W3CDTF">2023-01-20T16:17:00Z</dcterms:modified>
</cp:coreProperties>
</file>