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A9C8C" w14:textId="4C2CF76E" w:rsidR="003074AF" w:rsidRPr="00267E46" w:rsidRDefault="006F5858" w:rsidP="00A442C1">
      <w:pPr>
        <w:spacing w:line="480" w:lineRule="auto"/>
        <w:jc w:val="center"/>
        <w:rPr>
          <w:rFonts w:ascii="David" w:hAnsi="David" w:cs="David"/>
          <w:b/>
          <w:bCs/>
          <w:spacing w:val="-4"/>
          <w:sz w:val="24"/>
          <w:szCs w:val="24"/>
          <w:rtl/>
        </w:rPr>
      </w:pPr>
      <w:r w:rsidRPr="00267E46">
        <w:rPr>
          <w:rFonts w:ascii="David" w:hAnsi="David" w:cs="David" w:hint="cs"/>
          <w:b/>
          <w:bCs/>
          <w:spacing w:val="-4"/>
          <w:sz w:val="24"/>
          <w:szCs w:val="24"/>
          <w:rtl/>
        </w:rPr>
        <w:t>דגם</w:t>
      </w:r>
      <w:r w:rsidR="003074AF" w:rsidRPr="00267E46">
        <w:rPr>
          <w:rFonts w:ascii="David" w:hAnsi="David" w:cs="David" w:hint="cs"/>
          <w:b/>
          <w:bCs/>
          <w:spacing w:val="-4"/>
          <w:sz w:val="24"/>
          <w:szCs w:val="24"/>
          <w:rtl/>
        </w:rPr>
        <w:t xml:space="preserve"> החצוצרות על מטבעות בר-כוכבא</w:t>
      </w:r>
      <w:r w:rsidR="005D25C5" w:rsidRPr="00267E46">
        <w:rPr>
          <w:rFonts w:ascii="David" w:hAnsi="David" w:cs="David" w:hint="cs"/>
          <w:b/>
          <w:bCs/>
          <w:spacing w:val="-4"/>
          <w:sz w:val="24"/>
          <w:szCs w:val="24"/>
          <w:rtl/>
        </w:rPr>
        <w:t xml:space="preserve"> </w:t>
      </w:r>
      <w:r w:rsidR="005D25C5" w:rsidRPr="00267E46">
        <w:rPr>
          <w:rFonts w:ascii="David" w:hAnsi="David" w:cs="David"/>
          <w:b/>
          <w:bCs/>
          <w:spacing w:val="-4"/>
          <w:sz w:val="24"/>
          <w:szCs w:val="24"/>
          <w:rtl/>
        </w:rPr>
        <w:t>–</w:t>
      </w:r>
      <w:r w:rsidR="003074AF" w:rsidRPr="00267E46">
        <w:rPr>
          <w:rFonts w:ascii="David" w:hAnsi="David" w:cs="David" w:hint="cs"/>
          <w:b/>
          <w:bCs/>
          <w:spacing w:val="-4"/>
          <w:sz w:val="24"/>
          <w:szCs w:val="24"/>
          <w:rtl/>
        </w:rPr>
        <w:t xml:space="preserve"> היבטים אורגנולוגיים וסימבוליים</w:t>
      </w:r>
    </w:p>
    <w:p w14:paraId="18B9CC04" w14:textId="77777777" w:rsidR="00C0475E" w:rsidRDefault="00D6334C" w:rsidP="00C0475E">
      <w:pPr>
        <w:spacing w:line="480" w:lineRule="auto"/>
        <w:jc w:val="both"/>
        <w:rPr>
          <w:rFonts w:cs="David"/>
          <w:sz w:val="24"/>
          <w:szCs w:val="24"/>
          <w:rtl/>
        </w:rPr>
      </w:pPr>
      <w:r>
        <w:rPr>
          <w:rFonts w:cs="David" w:hint="cs"/>
          <w:sz w:val="24"/>
          <w:szCs w:val="24"/>
          <w:rtl/>
        </w:rPr>
        <w:t xml:space="preserve">מאמר זה הינו מחקר ארכיאו-מוזיקולוגי אודות דגם החצוצרות המופיע על מטבעות מזמן מרד בר-כוכבא. </w:t>
      </w:r>
      <w:r w:rsidRPr="00957251">
        <w:rPr>
          <w:rFonts w:cs="David" w:hint="cs"/>
          <w:sz w:val="24"/>
          <w:szCs w:val="24"/>
          <w:rtl/>
        </w:rPr>
        <w:t xml:space="preserve">המחקר הארכיאו-מוזיקולוגי עוסק בחקר עולם הצליל של ימי קדם ובאלמנטים מוזיקליים </w:t>
      </w:r>
      <w:r w:rsidRPr="00FB77D4">
        <w:rPr>
          <w:rFonts w:cs="David" w:hint="cs"/>
          <w:sz w:val="24"/>
          <w:szCs w:val="24"/>
          <w:rtl/>
        </w:rPr>
        <w:t xml:space="preserve">מופשטים שחלפו מזמן מן העולם. בהיעדר תיווי, כל שנותר מנהגי השירה והנגינה של </w:t>
      </w:r>
      <w:r>
        <w:rPr>
          <w:rFonts w:cs="David" w:hint="cs"/>
          <w:sz w:val="24"/>
          <w:szCs w:val="24"/>
          <w:rtl/>
        </w:rPr>
        <w:t xml:space="preserve">עם ישראל הקדום </w:t>
      </w:r>
      <w:r w:rsidRPr="00FB77D4">
        <w:rPr>
          <w:rFonts w:cs="David" w:hint="cs"/>
          <w:sz w:val="24"/>
          <w:szCs w:val="24"/>
          <w:rtl/>
        </w:rPr>
        <w:t xml:space="preserve">הינו רק ההד העמום העולה </w:t>
      </w:r>
      <w:r>
        <w:rPr>
          <w:rFonts w:cs="David" w:hint="cs"/>
          <w:sz w:val="24"/>
          <w:szCs w:val="24"/>
          <w:rtl/>
        </w:rPr>
        <w:t>מן המקורות הכתובים</w:t>
      </w:r>
      <w:r w:rsidRPr="0010402A">
        <w:rPr>
          <w:rStyle w:val="a5"/>
          <w:rFonts w:cs="David"/>
          <w:sz w:val="24"/>
          <w:szCs w:val="24"/>
          <w:rtl/>
        </w:rPr>
        <w:footnoteReference w:id="1"/>
      </w:r>
      <w:r>
        <w:rPr>
          <w:rFonts w:cs="David" w:hint="cs"/>
          <w:sz w:val="24"/>
          <w:szCs w:val="24"/>
          <w:rtl/>
        </w:rPr>
        <w:t xml:space="preserve"> ומהממצאים הארכיאולוגיים.</w:t>
      </w:r>
      <w:r w:rsidR="00F708C5">
        <w:rPr>
          <w:rFonts w:cs="David" w:hint="cs"/>
          <w:sz w:val="24"/>
          <w:szCs w:val="24"/>
          <w:rtl/>
        </w:rPr>
        <w:t xml:space="preserve"> </w:t>
      </w:r>
      <w:r w:rsidRPr="0010402A">
        <w:rPr>
          <w:rFonts w:cs="David" w:hint="cs"/>
          <w:sz w:val="24"/>
          <w:szCs w:val="24"/>
          <w:rtl/>
        </w:rPr>
        <w:t>המקורות הכתובים מכילים מידע מועט אודות הטיפולוגיה, האטימולוגיה, המאפיינים הטכניים של אותם הכלים ומשמעותם של מונחים, המשויכים לקונטקסט מוזיקלי כללי. עיקר המידע העולה מהמקורות נוגע לתיאור המעמדים והפונקציות בהן שימשו אותם כלים (למשל: בפולחן, בשדה הקרב ובמועדים). בנוסף, ישנם למעלה מ- 800 ממצאים ארכיאולוגיים הקשורים למוזיקה של ארץ ישראל הקדומה, ובכללם שרידי כלי נגינה, וכן ממצאים המכילים תיאור וויזואלי של כלי נגינה על גבי מטבעות, תבליטים, פסיפסים וכדומה.</w:t>
      </w:r>
      <w:r w:rsidRPr="0010402A">
        <w:rPr>
          <w:rStyle w:val="a5"/>
          <w:rFonts w:cs="David"/>
          <w:sz w:val="24"/>
          <w:szCs w:val="24"/>
          <w:rtl/>
        </w:rPr>
        <w:footnoteReference w:id="2"/>
      </w:r>
      <w:r w:rsidRPr="0010402A">
        <w:rPr>
          <w:rFonts w:cs="David" w:hint="cs"/>
          <w:sz w:val="24"/>
          <w:szCs w:val="24"/>
          <w:rtl/>
        </w:rPr>
        <w:t xml:space="preserve"> ואולם, למרות העושר הארכיאולוגי, בשל מצב השתמרותם של אותם כלים, </w:t>
      </w:r>
      <w:r>
        <w:rPr>
          <w:rFonts w:cs="David" w:hint="cs"/>
          <w:sz w:val="24"/>
          <w:szCs w:val="24"/>
          <w:rtl/>
        </w:rPr>
        <w:t xml:space="preserve">קשה </w:t>
      </w:r>
      <w:r w:rsidRPr="0010402A">
        <w:rPr>
          <w:rFonts w:cs="David" w:hint="cs"/>
          <w:sz w:val="24"/>
          <w:szCs w:val="24"/>
          <w:rtl/>
        </w:rPr>
        <w:t>לעמוד על האפקט האקוסטי שהיה להם.</w:t>
      </w:r>
      <w:r w:rsidRPr="0010402A">
        <w:rPr>
          <w:rStyle w:val="a5"/>
          <w:rFonts w:cs="David"/>
          <w:sz w:val="24"/>
          <w:szCs w:val="24"/>
          <w:rtl/>
        </w:rPr>
        <w:footnoteReference w:id="3"/>
      </w:r>
      <w:r w:rsidRPr="0010402A">
        <w:rPr>
          <w:rFonts w:cs="David" w:hint="cs"/>
          <w:sz w:val="24"/>
          <w:szCs w:val="24"/>
          <w:rtl/>
        </w:rPr>
        <w:t xml:space="preserve"> </w:t>
      </w:r>
    </w:p>
    <w:p w14:paraId="0A1DA867" w14:textId="7BFFCCE2" w:rsidR="0076566B" w:rsidRDefault="00A93119" w:rsidP="00267E46">
      <w:pPr>
        <w:spacing w:after="0" w:line="480" w:lineRule="auto"/>
        <w:jc w:val="both"/>
        <w:rPr>
          <w:rFonts w:cs="David"/>
          <w:sz w:val="24"/>
          <w:szCs w:val="24"/>
          <w:rtl/>
        </w:rPr>
      </w:pPr>
      <w:r>
        <w:rPr>
          <w:rFonts w:cs="David" w:hint="cs"/>
          <w:sz w:val="24"/>
          <w:szCs w:val="24"/>
          <w:rtl/>
        </w:rPr>
        <w:t>ב</w:t>
      </w:r>
      <w:r w:rsidR="00AF56A0">
        <w:rPr>
          <w:rFonts w:cs="David" w:hint="cs"/>
          <w:sz w:val="24"/>
          <w:szCs w:val="24"/>
          <w:rtl/>
        </w:rPr>
        <w:t>דיון</w:t>
      </w:r>
      <w:r>
        <w:rPr>
          <w:rFonts w:cs="David" w:hint="cs"/>
          <w:sz w:val="24"/>
          <w:szCs w:val="24"/>
          <w:rtl/>
        </w:rPr>
        <w:t xml:space="preserve"> זה אתמקד</w:t>
      </w:r>
      <w:r w:rsidR="00F708C5">
        <w:rPr>
          <w:rFonts w:cs="David" w:hint="cs"/>
          <w:sz w:val="24"/>
          <w:szCs w:val="24"/>
          <w:rtl/>
        </w:rPr>
        <w:t xml:space="preserve"> </w:t>
      </w:r>
      <w:r>
        <w:rPr>
          <w:rFonts w:cs="David" w:hint="cs"/>
          <w:sz w:val="24"/>
          <w:szCs w:val="24"/>
          <w:rtl/>
        </w:rPr>
        <w:t>ב</w:t>
      </w:r>
      <w:r w:rsidR="00F708C5">
        <w:rPr>
          <w:rFonts w:cs="David" w:hint="cs"/>
          <w:sz w:val="24"/>
          <w:szCs w:val="24"/>
          <w:rtl/>
        </w:rPr>
        <w:t xml:space="preserve">תיאור צמד החצוצרות המופיע על </w:t>
      </w:r>
      <w:r w:rsidR="00943CD0">
        <w:rPr>
          <w:rFonts w:cs="David" w:hint="cs"/>
          <w:sz w:val="24"/>
          <w:szCs w:val="24"/>
          <w:rtl/>
        </w:rPr>
        <w:t xml:space="preserve">דינרי הכסף שנטבעו החל מן השנה השנייה למרד </w:t>
      </w:r>
      <w:r w:rsidR="00936054">
        <w:rPr>
          <w:rFonts w:cs="David" w:hint="cs"/>
          <w:sz w:val="24"/>
          <w:szCs w:val="24"/>
          <w:rtl/>
        </w:rPr>
        <w:t xml:space="preserve">בר-כוכבא </w:t>
      </w:r>
      <w:r w:rsidR="00943CD0">
        <w:rPr>
          <w:rFonts w:cs="David" w:hint="cs"/>
          <w:sz w:val="24"/>
          <w:szCs w:val="24"/>
          <w:rtl/>
        </w:rPr>
        <w:t xml:space="preserve">ועד לשנתו האחרונה (133 </w:t>
      </w:r>
      <w:r w:rsidR="00943CD0">
        <w:rPr>
          <w:rFonts w:cs="David"/>
          <w:sz w:val="24"/>
          <w:szCs w:val="24"/>
          <w:rtl/>
        </w:rPr>
        <w:t>–</w:t>
      </w:r>
      <w:r w:rsidR="00943CD0">
        <w:rPr>
          <w:rFonts w:cs="David" w:hint="cs"/>
          <w:sz w:val="24"/>
          <w:szCs w:val="24"/>
          <w:rtl/>
        </w:rPr>
        <w:t xml:space="preserve"> 136 לסה</w:t>
      </w:r>
      <w:r w:rsidR="00484BEC">
        <w:rPr>
          <w:rFonts w:cs="David" w:hint="cs"/>
          <w:sz w:val="24"/>
          <w:szCs w:val="24"/>
          <w:rtl/>
        </w:rPr>
        <w:t>"נ</w:t>
      </w:r>
      <w:r w:rsidR="00943CD0">
        <w:rPr>
          <w:rFonts w:cs="David" w:hint="cs"/>
          <w:sz w:val="24"/>
          <w:szCs w:val="24"/>
          <w:rtl/>
        </w:rPr>
        <w:t xml:space="preserve">). </w:t>
      </w:r>
      <w:r w:rsidR="00936054">
        <w:rPr>
          <w:rFonts w:cs="David" w:hint="cs"/>
          <w:sz w:val="24"/>
          <w:szCs w:val="24"/>
          <w:rtl/>
        </w:rPr>
        <w:t xml:space="preserve">דגם החצוצרות שעל מטבעות בר-כוכבא הינו מוטיב נדיר מאוד באיקונוגרפיה היהודית העתיקה. </w:t>
      </w:r>
      <w:r w:rsidR="0076566B">
        <w:rPr>
          <w:rFonts w:cs="David" w:hint="cs"/>
          <w:sz w:val="24"/>
          <w:szCs w:val="24"/>
          <w:rtl/>
        </w:rPr>
        <w:t xml:space="preserve">פרט להופעתם על המטבעות, כלים אלו אינם מתוארים באף ממצא ארכיאולוגי הקיים בידינו, מתקופת הבית השני ועד המאה החמישית </w:t>
      </w:r>
      <w:r w:rsidR="008C74B8">
        <w:rPr>
          <w:rFonts w:cs="David" w:hint="cs"/>
          <w:sz w:val="24"/>
          <w:szCs w:val="24"/>
          <w:rtl/>
        </w:rPr>
        <w:t>לסה"נ</w:t>
      </w:r>
      <w:r w:rsidR="0076566B">
        <w:rPr>
          <w:rFonts w:cs="David" w:hint="cs"/>
          <w:sz w:val="24"/>
          <w:szCs w:val="24"/>
          <w:rtl/>
        </w:rPr>
        <w:t>.</w:t>
      </w:r>
      <w:r w:rsidR="0076566B">
        <w:rPr>
          <w:rStyle w:val="a5"/>
          <w:rFonts w:cs="David"/>
          <w:sz w:val="24"/>
          <w:szCs w:val="24"/>
          <w:rtl/>
        </w:rPr>
        <w:footnoteReference w:id="4"/>
      </w:r>
      <w:r w:rsidR="00FC146F">
        <w:rPr>
          <w:rFonts w:cs="David" w:hint="cs"/>
          <w:sz w:val="24"/>
          <w:szCs w:val="24"/>
          <w:rtl/>
        </w:rPr>
        <w:t xml:space="preserve"> </w:t>
      </w:r>
      <w:r w:rsidR="0051600B">
        <w:rPr>
          <w:rFonts w:cs="David" w:hint="cs"/>
          <w:sz w:val="24"/>
          <w:szCs w:val="24"/>
          <w:rtl/>
        </w:rPr>
        <w:t>דגם</w:t>
      </w:r>
      <w:r w:rsidR="00FC146F">
        <w:rPr>
          <w:rFonts w:cs="David" w:hint="cs"/>
          <w:sz w:val="24"/>
          <w:szCs w:val="24"/>
          <w:rtl/>
        </w:rPr>
        <w:t xml:space="preserve"> זה מעלה מספר שאלות באשר לסוג הכלי המתואר על המטבעות וכן באשר למקור</w:t>
      </w:r>
      <w:r w:rsidR="0051600B">
        <w:rPr>
          <w:rFonts w:cs="David" w:hint="cs"/>
          <w:sz w:val="24"/>
          <w:szCs w:val="24"/>
          <w:rtl/>
        </w:rPr>
        <w:t xml:space="preserve"> עליו התבססו המורדים בתיאור צורתו. </w:t>
      </w:r>
      <w:r w:rsidR="0051054E">
        <w:rPr>
          <w:rFonts w:cs="David" w:hint="cs"/>
          <w:sz w:val="24"/>
          <w:szCs w:val="24"/>
          <w:rtl/>
        </w:rPr>
        <w:t>בנוסף לכך</w:t>
      </w:r>
      <w:r w:rsidR="0051600B">
        <w:rPr>
          <w:rFonts w:cs="David" w:hint="cs"/>
          <w:sz w:val="24"/>
          <w:szCs w:val="24"/>
          <w:rtl/>
        </w:rPr>
        <w:t xml:space="preserve">, </w:t>
      </w:r>
      <w:r w:rsidR="0051054E">
        <w:rPr>
          <w:rFonts w:cs="David" w:hint="cs"/>
          <w:sz w:val="24"/>
          <w:szCs w:val="24"/>
          <w:rtl/>
        </w:rPr>
        <w:t xml:space="preserve">נשאלת השאלה </w:t>
      </w:r>
      <w:r w:rsidR="0051600B">
        <w:rPr>
          <w:rFonts w:cs="David" w:hint="cs"/>
          <w:sz w:val="24"/>
          <w:szCs w:val="24"/>
          <w:rtl/>
        </w:rPr>
        <w:t xml:space="preserve">מדוע </w:t>
      </w:r>
      <w:r w:rsidR="00FC146F">
        <w:rPr>
          <w:rFonts w:cs="David" w:hint="cs"/>
          <w:sz w:val="24"/>
          <w:szCs w:val="24"/>
          <w:rtl/>
        </w:rPr>
        <w:t>בחרו המורדים להטביע את צורתם של כלים אלו על המטבעות</w:t>
      </w:r>
      <w:r w:rsidR="0051600B">
        <w:rPr>
          <w:rFonts w:cs="David" w:hint="cs"/>
          <w:sz w:val="24"/>
          <w:szCs w:val="24"/>
          <w:rtl/>
        </w:rPr>
        <w:t>?</w:t>
      </w:r>
      <w:r w:rsidR="00FC146F">
        <w:rPr>
          <w:rFonts w:cs="David" w:hint="cs"/>
          <w:sz w:val="24"/>
          <w:szCs w:val="24"/>
          <w:rtl/>
        </w:rPr>
        <w:t xml:space="preserve">  </w:t>
      </w:r>
    </w:p>
    <w:p w14:paraId="32178F76" w14:textId="25C36486" w:rsidR="0051054E" w:rsidRDefault="00B919EA" w:rsidP="00004BC0">
      <w:pPr>
        <w:spacing w:line="480" w:lineRule="auto"/>
        <w:jc w:val="both"/>
        <w:rPr>
          <w:rFonts w:cs="David"/>
          <w:sz w:val="24"/>
          <w:szCs w:val="24"/>
          <w:rtl/>
        </w:rPr>
      </w:pPr>
      <w:r>
        <w:rPr>
          <w:rFonts w:cs="David" w:hint="cs"/>
          <w:sz w:val="24"/>
          <w:szCs w:val="24"/>
          <w:rtl/>
        </w:rPr>
        <w:lastRenderedPageBreak/>
        <w:t>על מנת לברר שאלות אלו,</w:t>
      </w:r>
      <w:r w:rsidR="00D6334C">
        <w:rPr>
          <w:rFonts w:cs="David" w:hint="cs"/>
          <w:sz w:val="24"/>
          <w:szCs w:val="24"/>
          <w:rtl/>
        </w:rPr>
        <w:t xml:space="preserve"> אבחן את דגם החצוצרות שעל המטבעות בשני מישורים: האורגנולוגי</w:t>
      </w:r>
      <w:r w:rsidR="00C0475E">
        <w:rPr>
          <w:rFonts w:cs="David" w:hint="cs"/>
          <w:sz w:val="24"/>
          <w:szCs w:val="24"/>
          <w:rtl/>
        </w:rPr>
        <w:t xml:space="preserve"> (חקר כלי הנגינה)</w:t>
      </w:r>
      <w:r w:rsidR="00D6334C">
        <w:rPr>
          <w:rFonts w:cs="David" w:hint="cs"/>
          <w:sz w:val="24"/>
          <w:szCs w:val="24"/>
          <w:rtl/>
        </w:rPr>
        <w:t xml:space="preserve"> והסימבולי. </w:t>
      </w:r>
      <w:r w:rsidR="00936054">
        <w:rPr>
          <w:rFonts w:cs="David" w:hint="cs"/>
          <w:sz w:val="24"/>
          <w:szCs w:val="24"/>
          <w:rtl/>
        </w:rPr>
        <w:t xml:space="preserve">כפי שיובא להלן, היו שטענו כי אין מדובר כלל בחצוצרות אלא בסוג של אבובים. לכן, </w:t>
      </w:r>
      <w:r w:rsidR="00D6334C">
        <w:rPr>
          <w:rFonts w:cs="David" w:hint="cs"/>
          <w:sz w:val="24"/>
          <w:szCs w:val="24"/>
          <w:rtl/>
        </w:rPr>
        <w:t>במישור האורגנולוגי</w:t>
      </w:r>
      <w:r w:rsidR="00D6334C" w:rsidRPr="00603005">
        <w:rPr>
          <w:rFonts w:cs="David" w:hint="cs"/>
          <w:sz w:val="24"/>
          <w:szCs w:val="24"/>
          <w:rtl/>
        </w:rPr>
        <w:t xml:space="preserve"> אברר מהו סוג הכלי המופיע על המטבעות</w:t>
      </w:r>
      <w:r w:rsidR="00D6334C">
        <w:rPr>
          <w:rFonts w:cs="David" w:hint="cs"/>
          <w:sz w:val="24"/>
          <w:szCs w:val="24"/>
          <w:rtl/>
        </w:rPr>
        <w:t xml:space="preserve"> והאם אכן מדובר בחצוצרות.</w:t>
      </w:r>
      <w:r w:rsidR="00D6334C" w:rsidRPr="00603005">
        <w:rPr>
          <w:rFonts w:cs="David" w:hint="cs"/>
          <w:sz w:val="24"/>
          <w:szCs w:val="24"/>
          <w:rtl/>
        </w:rPr>
        <w:t xml:space="preserve"> </w:t>
      </w:r>
      <w:r w:rsidR="00D6334C">
        <w:rPr>
          <w:rFonts w:cs="David" w:hint="cs"/>
          <w:sz w:val="24"/>
          <w:szCs w:val="24"/>
          <w:rtl/>
        </w:rPr>
        <w:t>כמו כן</w:t>
      </w:r>
      <w:r w:rsidR="00D6334C" w:rsidRPr="00603005">
        <w:rPr>
          <w:rFonts w:cs="David" w:hint="cs"/>
          <w:sz w:val="24"/>
          <w:szCs w:val="24"/>
          <w:rtl/>
        </w:rPr>
        <w:t xml:space="preserve">, אבחן מהי מידת המהימנות </w:t>
      </w:r>
      <w:r w:rsidR="00D6334C">
        <w:rPr>
          <w:rFonts w:cs="David" w:hint="cs"/>
          <w:sz w:val="24"/>
          <w:szCs w:val="24"/>
          <w:rtl/>
        </w:rPr>
        <w:t xml:space="preserve">של </w:t>
      </w:r>
      <w:r w:rsidR="00D6334C" w:rsidRPr="00603005">
        <w:rPr>
          <w:rFonts w:cs="David" w:hint="cs"/>
          <w:sz w:val="24"/>
          <w:szCs w:val="24"/>
          <w:rtl/>
        </w:rPr>
        <w:t xml:space="preserve">הדגם המוצג </w:t>
      </w:r>
      <w:r w:rsidR="00D6334C">
        <w:rPr>
          <w:rFonts w:cs="David" w:hint="cs"/>
          <w:sz w:val="24"/>
          <w:szCs w:val="24"/>
          <w:rtl/>
        </w:rPr>
        <w:t>על ה</w:t>
      </w:r>
      <w:r w:rsidR="00D6334C" w:rsidRPr="00603005">
        <w:rPr>
          <w:rFonts w:cs="David" w:hint="cs"/>
          <w:sz w:val="24"/>
          <w:szCs w:val="24"/>
          <w:rtl/>
        </w:rPr>
        <w:t>מטבעות</w:t>
      </w:r>
      <w:r w:rsidR="00D6334C">
        <w:rPr>
          <w:rFonts w:cs="David" w:hint="cs"/>
          <w:sz w:val="24"/>
          <w:szCs w:val="24"/>
          <w:rtl/>
        </w:rPr>
        <w:t xml:space="preserve"> ומהו המקור שעליו אולי התבססו המורדים בתיאור צורתו</w:t>
      </w:r>
      <w:r w:rsidR="00D6334C" w:rsidRPr="00603005">
        <w:rPr>
          <w:rFonts w:cs="David" w:hint="cs"/>
          <w:sz w:val="24"/>
          <w:szCs w:val="24"/>
          <w:rtl/>
        </w:rPr>
        <w:t>.</w:t>
      </w:r>
      <w:r w:rsidR="00D6334C">
        <w:rPr>
          <w:rFonts w:cs="David" w:hint="cs"/>
          <w:sz w:val="24"/>
          <w:szCs w:val="24"/>
          <w:rtl/>
        </w:rPr>
        <w:t xml:space="preserve"> </w:t>
      </w:r>
      <w:r w:rsidR="00822E8F">
        <w:rPr>
          <w:rFonts w:cs="David" w:hint="cs"/>
          <w:sz w:val="24"/>
          <w:szCs w:val="24"/>
          <w:rtl/>
        </w:rPr>
        <w:t xml:space="preserve">שאלת מהימנותם של שאר הדגמים </w:t>
      </w:r>
      <w:r w:rsidR="0068194A">
        <w:rPr>
          <w:rFonts w:cs="David" w:hint="cs"/>
          <w:sz w:val="24"/>
          <w:szCs w:val="24"/>
          <w:rtl/>
        </w:rPr>
        <w:t xml:space="preserve">שעל מטבעות בר-כוכבא נידונה רבות במחקר וקיימות דעות שונות באשר </w:t>
      </w:r>
      <w:r w:rsidR="00004BC0">
        <w:rPr>
          <w:rFonts w:cs="David" w:hint="cs"/>
          <w:sz w:val="24"/>
          <w:szCs w:val="24"/>
          <w:rtl/>
        </w:rPr>
        <w:t>לסיבות שבגללן בחרו המורדים ב</w:t>
      </w:r>
      <w:r w:rsidR="00E777DC">
        <w:rPr>
          <w:rFonts w:cs="David" w:hint="cs"/>
          <w:sz w:val="24"/>
          <w:szCs w:val="24"/>
          <w:rtl/>
        </w:rPr>
        <w:t>דגמים</w:t>
      </w:r>
      <w:r w:rsidR="00004BC0">
        <w:rPr>
          <w:rFonts w:cs="David" w:hint="cs"/>
          <w:sz w:val="24"/>
          <w:szCs w:val="24"/>
          <w:rtl/>
        </w:rPr>
        <w:t xml:space="preserve"> הללו. </w:t>
      </w:r>
      <w:r w:rsidR="0011261B">
        <w:rPr>
          <w:rFonts w:cs="David" w:hint="cs"/>
          <w:sz w:val="24"/>
          <w:szCs w:val="24"/>
          <w:rtl/>
        </w:rPr>
        <w:t>יתכן</w:t>
      </w:r>
      <w:r w:rsidR="0068194A">
        <w:rPr>
          <w:rFonts w:cs="David" w:hint="cs"/>
          <w:sz w:val="24"/>
          <w:szCs w:val="24"/>
          <w:rtl/>
        </w:rPr>
        <w:t xml:space="preserve"> כי </w:t>
      </w:r>
      <w:r w:rsidR="00004BC0">
        <w:rPr>
          <w:rFonts w:cs="David" w:hint="cs"/>
          <w:sz w:val="24"/>
          <w:szCs w:val="24"/>
          <w:rtl/>
        </w:rPr>
        <w:t>עיון ממוקד</w:t>
      </w:r>
      <w:r w:rsidR="0068194A">
        <w:rPr>
          <w:rFonts w:cs="David" w:hint="cs"/>
          <w:sz w:val="24"/>
          <w:szCs w:val="24"/>
          <w:rtl/>
        </w:rPr>
        <w:t xml:space="preserve"> </w:t>
      </w:r>
      <w:r w:rsidR="00350946">
        <w:rPr>
          <w:rFonts w:cs="David" w:hint="cs"/>
          <w:sz w:val="24"/>
          <w:szCs w:val="24"/>
          <w:rtl/>
        </w:rPr>
        <w:t xml:space="preserve">דווקא </w:t>
      </w:r>
      <w:r w:rsidR="00004BC0">
        <w:rPr>
          <w:rFonts w:cs="David" w:hint="cs"/>
          <w:sz w:val="24"/>
          <w:szCs w:val="24"/>
          <w:rtl/>
        </w:rPr>
        <w:t>ב</w:t>
      </w:r>
      <w:r w:rsidR="0068194A">
        <w:rPr>
          <w:rFonts w:cs="David" w:hint="cs"/>
          <w:sz w:val="24"/>
          <w:szCs w:val="24"/>
          <w:rtl/>
        </w:rPr>
        <w:t>שאלת מהימנותו ובמקורותיו של דגם החצוצרות יוכל לתרום לדיון בשאל</w:t>
      </w:r>
      <w:r w:rsidR="00004BC0">
        <w:rPr>
          <w:rFonts w:cs="David" w:hint="cs"/>
          <w:sz w:val="24"/>
          <w:szCs w:val="24"/>
          <w:rtl/>
        </w:rPr>
        <w:t xml:space="preserve">ת מהימנותם ומקורותיהם של כלל הדגמים המופיעים על המטבעות. בנוסף לכך, </w:t>
      </w:r>
      <w:r w:rsidR="00D6334C">
        <w:rPr>
          <w:rFonts w:cs="David" w:hint="cs"/>
          <w:sz w:val="24"/>
          <w:szCs w:val="24"/>
          <w:rtl/>
        </w:rPr>
        <w:t xml:space="preserve">במישור הסימבולי אברר מהן הסיבות האפשריות שבגללן בחרו המורדים בדגם </w:t>
      </w:r>
      <w:r w:rsidR="00E777DC">
        <w:rPr>
          <w:rFonts w:cs="David" w:hint="cs"/>
          <w:sz w:val="24"/>
          <w:szCs w:val="24"/>
          <w:rtl/>
        </w:rPr>
        <w:t>החצוצרות</w:t>
      </w:r>
      <w:r w:rsidR="00D6334C">
        <w:rPr>
          <w:rFonts w:cs="David" w:hint="cs"/>
          <w:sz w:val="24"/>
          <w:szCs w:val="24"/>
          <w:rtl/>
        </w:rPr>
        <w:t xml:space="preserve"> כאחד מן הדגמים שיופיעו על המטבעות, והאם יש בבחירה זו כדי ללמד על האופן שבו תפסו המורדים את תפקידם של אותם כלים ואת משמעותם</w:t>
      </w:r>
      <w:r w:rsidR="0051054E">
        <w:rPr>
          <w:rFonts w:cs="David" w:hint="cs"/>
          <w:sz w:val="24"/>
          <w:szCs w:val="24"/>
          <w:rtl/>
        </w:rPr>
        <w:t>?</w:t>
      </w:r>
    </w:p>
    <w:p w14:paraId="6B1470E3" w14:textId="4858D8ED" w:rsidR="003074AF" w:rsidRPr="00241FAF" w:rsidRDefault="003074AF" w:rsidP="003074AF">
      <w:pPr>
        <w:spacing w:line="480" w:lineRule="auto"/>
        <w:jc w:val="both"/>
        <w:rPr>
          <w:rFonts w:cs="David"/>
          <w:b/>
          <w:bCs/>
          <w:sz w:val="24"/>
          <w:szCs w:val="24"/>
          <w:rtl/>
        </w:rPr>
      </w:pPr>
      <w:r w:rsidRPr="00241FAF">
        <w:rPr>
          <w:rFonts w:cs="David" w:hint="cs"/>
          <w:b/>
          <w:bCs/>
          <w:sz w:val="24"/>
          <w:szCs w:val="24"/>
          <w:rtl/>
        </w:rPr>
        <w:t>רקע כללי</w:t>
      </w:r>
    </w:p>
    <w:p w14:paraId="0A3B9FFE" w14:textId="6C4622D9" w:rsidR="003074AF" w:rsidRDefault="003074AF" w:rsidP="00C62852">
      <w:pPr>
        <w:spacing w:line="480" w:lineRule="auto"/>
        <w:jc w:val="both"/>
        <w:rPr>
          <w:rFonts w:cs="David"/>
          <w:sz w:val="24"/>
          <w:szCs w:val="24"/>
          <w:rtl/>
        </w:rPr>
      </w:pPr>
      <w:r>
        <w:rPr>
          <w:rFonts w:cs="David" w:hint="cs"/>
          <w:sz w:val="24"/>
          <w:szCs w:val="24"/>
          <w:rtl/>
        </w:rPr>
        <w:t>מרד בר-כוכבא, שנמשך שלוש שנים וחצי (132</w:t>
      </w:r>
      <w:r w:rsidR="00C62852">
        <w:rPr>
          <w:rFonts w:cs="David"/>
          <w:sz w:val="24"/>
          <w:szCs w:val="24"/>
          <w:rtl/>
        </w:rPr>
        <w:t>–</w:t>
      </w:r>
      <w:r>
        <w:rPr>
          <w:rFonts w:cs="David" w:hint="cs"/>
          <w:sz w:val="24"/>
          <w:szCs w:val="24"/>
          <w:rtl/>
        </w:rPr>
        <w:t xml:space="preserve">136 </w:t>
      </w:r>
      <w:r w:rsidR="008C74B8">
        <w:rPr>
          <w:rFonts w:cs="David" w:hint="cs"/>
          <w:sz w:val="24"/>
          <w:szCs w:val="24"/>
          <w:rtl/>
        </w:rPr>
        <w:t>לסה"נ</w:t>
      </w:r>
      <w:r>
        <w:rPr>
          <w:rFonts w:cs="David" w:hint="cs"/>
          <w:sz w:val="24"/>
          <w:szCs w:val="24"/>
          <w:rtl/>
        </w:rPr>
        <w:t xml:space="preserve">), היה השיא של תנועת ההתנגדות היהודית לשלטון הרומי בארץ ישראל. הייתה זו התקוממות רבת עוצמה מבחינת מספר משתתפיה וכוחם הצבאי, שליכדה חלקים גדולים מן העם סביב הנהגתו של בר-כוכבא. על מנת לדכא את המרד נאלצו הרומים לקבץ מרחבי האימפריה כוח צבאי גדול שהורכב מתשעה לגיונות ומיחידות עזר </w:t>
      </w:r>
      <w:r w:rsidRPr="00A92046">
        <w:rPr>
          <w:rFonts w:cs="David" w:hint="cs"/>
          <w:spacing w:val="-4"/>
          <w:sz w:val="24"/>
          <w:szCs w:val="24"/>
          <w:rtl/>
        </w:rPr>
        <w:t>רבות, תחת פיקודו של יוליוס סוורוס שנחשב לטוב שבמפקדי צבאו של הקיסר הדריאנוס</w:t>
      </w:r>
      <w:r>
        <w:rPr>
          <w:rFonts w:cs="David" w:hint="cs"/>
          <w:sz w:val="24"/>
          <w:szCs w:val="24"/>
          <w:rtl/>
        </w:rPr>
        <w:t>.</w:t>
      </w:r>
      <w:r>
        <w:rPr>
          <w:rStyle w:val="a5"/>
          <w:rFonts w:cs="David"/>
          <w:sz w:val="24"/>
          <w:szCs w:val="24"/>
          <w:rtl/>
        </w:rPr>
        <w:footnoteReference w:id="5"/>
      </w:r>
      <w:r>
        <w:rPr>
          <w:rFonts w:cs="David" w:hint="cs"/>
          <w:sz w:val="24"/>
          <w:szCs w:val="24"/>
          <w:rtl/>
        </w:rPr>
        <w:t xml:space="preserve"> תוצאות המרד היו קשות ביותר לא רק מבחינת מספרם הרב של ההרוגים, הפצועים והשבויים שנמכרו לעבדות, אלא גם בשל פעולות הדיכוי שהנהיגו הרומים לאחר המלחמה, שכללו גזרות דתיות שהוטלו על הישוב היהודי שנותר ביהודה. קשיים אלו לוו במשבר כלכלי עמוק שהוביל להידלדלות יישובית של יהודה ולמעבר יהודים לאזור הגליל, ואף לנטישת ארץ ישראל לתפוצות. בנוסף, שמה של הפרובינקיה הרומית שונה מ- "פרובינקיה יודיאה" (</w:t>
      </w:r>
      <w:r w:rsidRPr="00987529">
        <w:rPr>
          <w:rFonts w:asciiTheme="majorBidi" w:hAnsiTheme="majorBidi" w:cstheme="majorBidi"/>
          <w:sz w:val="24"/>
          <w:szCs w:val="24"/>
        </w:rPr>
        <w:t>Provincia Judaea</w:t>
      </w:r>
      <w:r>
        <w:rPr>
          <w:rFonts w:cs="David" w:hint="cs"/>
          <w:sz w:val="24"/>
          <w:szCs w:val="24"/>
          <w:rtl/>
        </w:rPr>
        <w:t xml:space="preserve">), ל- "פרובינקיה סוריה </w:t>
      </w:r>
      <w:r w:rsidRPr="002D408E">
        <w:rPr>
          <w:rFonts w:cs="David" w:hint="cs"/>
          <w:spacing w:val="-2"/>
          <w:sz w:val="24"/>
          <w:szCs w:val="24"/>
          <w:rtl/>
        </w:rPr>
        <w:t>פלשתינה" (</w:t>
      </w:r>
      <w:r w:rsidRPr="002D408E">
        <w:rPr>
          <w:rFonts w:asciiTheme="majorBidi" w:hAnsiTheme="majorBidi" w:cstheme="majorBidi"/>
          <w:spacing w:val="-2"/>
          <w:sz w:val="24"/>
          <w:szCs w:val="24"/>
        </w:rPr>
        <w:t>Provincia Syria Palestina</w:t>
      </w:r>
      <w:r w:rsidRPr="002D408E">
        <w:rPr>
          <w:rFonts w:cs="David" w:hint="cs"/>
          <w:spacing w:val="-2"/>
          <w:sz w:val="24"/>
          <w:szCs w:val="24"/>
          <w:rtl/>
        </w:rPr>
        <w:t>), במטרה לבטל את הקשר של העם היהודי לארץ ישראל.</w:t>
      </w:r>
      <w:r w:rsidRPr="002D408E">
        <w:rPr>
          <w:rStyle w:val="a5"/>
          <w:rFonts w:cs="David"/>
          <w:spacing w:val="-2"/>
          <w:sz w:val="24"/>
          <w:szCs w:val="24"/>
          <w:rtl/>
        </w:rPr>
        <w:footnoteReference w:id="6"/>
      </w:r>
      <w:r>
        <w:rPr>
          <w:rFonts w:cs="David" w:hint="cs"/>
          <w:sz w:val="24"/>
          <w:szCs w:val="24"/>
          <w:rtl/>
        </w:rPr>
        <w:t xml:space="preserve">   </w:t>
      </w:r>
    </w:p>
    <w:p w14:paraId="2C757990" w14:textId="77777777" w:rsidR="003074AF" w:rsidRDefault="003074AF" w:rsidP="003074AF">
      <w:pPr>
        <w:spacing w:line="480" w:lineRule="auto"/>
        <w:jc w:val="both"/>
        <w:rPr>
          <w:rFonts w:cs="David"/>
          <w:sz w:val="24"/>
          <w:szCs w:val="24"/>
          <w:rtl/>
        </w:rPr>
      </w:pPr>
      <w:r>
        <w:rPr>
          <w:rFonts w:cs="David" w:hint="cs"/>
          <w:sz w:val="24"/>
          <w:szCs w:val="24"/>
          <w:rtl/>
        </w:rPr>
        <w:t xml:space="preserve">במהלך שנות המרד הקימו המורדים מדינה יהודית שכללה רשויות שלטון ומנהל שהחכיר קרקעות ואף הטביע מטבעות. הטבעת מטבעות אלו החלה בשנה הראשונה למרד והמשיכה עד לשנתו </w:t>
      </w:r>
      <w:r>
        <w:rPr>
          <w:rFonts w:cs="David" w:hint="cs"/>
          <w:sz w:val="24"/>
          <w:szCs w:val="24"/>
          <w:rtl/>
        </w:rPr>
        <w:lastRenderedPageBreak/>
        <w:t>האחרונה. המטבעות נעשו מכסף ומברונזה.</w:t>
      </w:r>
      <w:r>
        <w:rPr>
          <w:rStyle w:val="a5"/>
          <w:rFonts w:cs="David"/>
          <w:sz w:val="24"/>
          <w:szCs w:val="24"/>
          <w:rtl/>
        </w:rPr>
        <w:footnoteReference w:id="7"/>
      </w:r>
      <w:r>
        <w:rPr>
          <w:rFonts w:cs="David" w:hint="cs"/>
          <w:sz w:val="24"/>
          <w:szCs w:val="24"/>
          <w:rtl/>
        </w:rPr>
        <w:t xml:space="preserve"> מטבעות אלו לא נוצקו מחדש, אלא נטבעו על גבי מטבעות יווניים ובעיקר על גבי מטבעות </w:t>
      </w:r>
      <w:r w:rsidRPr="00F159CF">
        <w:rPr>
          <w:rFonts w:ascii="David" w:hAnsi="David" w:cs="David"/>
          <w:sz w:val="24"/>
          <w:szCs w:val="24"/>
          <w:rtl/>
        </w:rPr>
        <w:t>רומיים שהיו קיימים ביהודה בתקופת המרד.</w:t>
      </w:r>
      <w:r w:rsidRPr="00F159CF">
        <w:rPr>
          <w:rStyle w:val="a5"/>
          <w:rFonts w:ascii="David" w:hAnsi="David" w:cs="David"/>
          <w:sz w:val="24"/>
          <w:szCs w:val="24"/>
          <w:rtl/>
        </w:rPr>
        <w:footnoteReference w:id="8"/>
      </w:r>
      <w:r w:rsidRPr="00F159CF">
        <w:rPr>
          <w:rFonts w:ascii="David" w:hAnsi="David" w:cs="David"/>
          <w:sz w:val="24"/>
          <w:szCs w:val="24"/>
          <w:rtl/>
        </w:rPr>
        <w:t xml:space="preserve"> יתכן שהסיבה לכך הייתה הנוחות שבשימוש במטבעות קיימים. אולם </w:t>
      </w:r>
      <w:r>
        <w:rPr>
          <w:rFonts w:ascii="David" w:hAnsi="David" w:cs="David" w:hint="cs"/>
          <w:sz w:val="24"/>
          <w:szCs w:val="24"/>
          <w:rtl/>
        </w:rPr>
        <w:t>לפי הדעה הרווחת</w:t>
      </w:r>
      <w:r w:rsidRPr="00F159CF">
        <w:rPr>
          <w:rFonts w:ascii="David" w:hAnsi="David" w:cs="David"/>
          <w:sz w:val="24"/>
          <w:szCs w:val="24"/>
          <w:rtl/>
        </w:rPr>
        <w:t xml:space="preserve">, הטבעת המטבעות נעשתה </w:t>
      </w:r>
      <w:r>
        <w:rPr>
          <w:rFonts w:ascii="David" w:hAnsi="David" w:cs="David" w:hint="cs"/>
          <w:sz w:val="24"/>
          <w:szCs w:val="24"/>
          <w:rtl/>
        </w:rPr>
        <w:t xml:space="preserve">בראש ובראשונה </w:t>
      </w:r>
      <w:r w:rsidRPr="00F159CF">
        <w:rPr>
          <w:rFonts w:ascii="David" w:hAnsi="David" w:cs="David"/>
          <w:sz w:val="24"/>
          <w:szCs w:val="24"/>
          <w:rtl/>
        </w:rPr>
        <w:t>כאמצעי תעמולה ו</w:t>
      </w:r>
      <w:r>
        <w:rPr>
          <w:rFonts w:ascii="David" w:hAnsi="David" w:cs="David" w:hint="cs"/>
          <w:sz w:val="24"/>
          <w:szCs w:val="24"/>
          <w:rtl/>
        </w:rPr>
        <w:t>כ</w:t>
      </w:r>
      <w:r w:rsidRPr="00F159CF">
        <w:rPr>
          <w:rFonts w:ascii="David" w:hAnsi="David" w:cs="David"/>
          <w:sz w:val="24"/>
          <w:szCs w:val="24"/>
          <w:rtl/>
        </w:rPr>
        <w:t>הצהרת עצמאות וריבונות</w:t>
      </w:r>
      <w:r>
        <w:rPr>
          <w:rFonts w:ascii="David" w:hAnsi="David" w:cs="David" w:hint="cs"/>
          <w:sz w:val="24"/>
          <w:szCs w:val="24"/>
          <w:rtl/>
        </w:rPr>
        <w:t xml:space="preserve"> מדינית וכלכלית</w:t>
      </w:r>
      <w:r>
        <w:rPr>
          <w:rFonts w:cs="David" w:hint="cs"/>
          <w:sz w:val="24"/>
          <w:szCs w:val="24"/>
          <w:rtl/>
        </w:rPr>
        <w:t>, שמטרתו לעורר במורדים תחושות של גאווה והתלהבות במאבקם ברומים</w:t>
      </w:r>
      <w:r>
        <w:rPr>
          <w:rFonts w:ascii="David" w:hAnsi="David" w:cs="David" w:hint="cs"/>
          <w:sz w:val="24"/>
          <w:szCs w:val="24"/>
          <w:rtl/>
        </w:rPr>
        <w:t xml:space="preserve">. </w:t>
      </w:r>
      <w:r w:rsidRPr="00F159CF">
        <w:rPr>
          <w:rFonts w:ascii="David" w:hAnsi="David" w:cs="David"/>
          <w:sz w:val="24"/>
          <w:szCs w:val="24"/>
          <w:rtl/>
        </w:rPr>
        <w:t xml:space="preserve">זאת באמצעות מחיקת </w:t>
      </w:r>
      <w:r>
        <w:rPr>
          <w:rFonts w:ascii="David" w:hAnsi="David" w:cs="David" w:hint="cs"/>
          <w:sz w:val="24"/>
          <w:szCs w:val="24"/>
          <w:rtl/>
        </w:rPr>
        <w:t xml:space="preserve">הכתובות והדגמים הרומיים </w:t>
      </w:r>
      <w:r w:rsidRPr="00F159CF">
        <w:rPr>
          <w:rFonts w:ascii="David" w:hAnsi="David" w:cs="David"/>
          <w:sz w:val="24"/>
          <w:szCs w:val="24"/>
          <w:rtl/>
        </w:rPr>
        <w:t xml:space="preserve">שהופיעו </w:t>
      </w:r>
      <w:r>
        <w:rPr>
          <w:rFonts w:ascii="David" w:hAnsi="David" w:cs="David" w:hint="cs"/>
          <w:sz w:val="24"/>
          <w:szCs w:val="24"/>
          <w:rtl/>
        </w:rPr>
        <w:t>קודם לכן</w:t>
      </w:r>
      <w:r w:rsidRPr="00F159CF">
        <w:rPr>
          <w:rFonts w:ascii="David" w:hAnsi="David" w:cs="David"/>
          <w:sz w:val="24"/>
          <w:szCs w:val="24"/>
          <w:rtl/>
        </w:rPr>
        <w:t xml:space="preserve"> על פני </w:t>
      </w:r>
      <w:r>
        <w:rPr>
          <w:rFonts w:ascii="David" w:hAnsi="David" w:cs="David" w:hint="cs"/>
          <w:sz w:val="24"/>
          <w:szCs w:val="24"/>
          <w:rtl/>
        </w:rPr>
        <w:t>אותם מטבעות</w:t>
      </w:r>
      <w:r w:rsidRPr="00F159CF">
        <w:rPr>
          <w:rFonts w:ascii="David" w:hAnsi="David" w:cs="David"/>
          <w:sz w:val="24"/>
          <w:szCs w:val="24"/>
          <w:rtl/>
        </w:rPr>
        <w:t xml:space="preserve">, </w:t>
      </w:r>
      <w:r>
        <w:rPr>
          <w:rFonts w:ascii="David" w:hAnsi="David" w:cs="David" w:hint="cs"/>
          <w:sz w:val="24"/>
          <w:szCs w:val="24"/>
          <w:rtl/>
        </w:rPr>
        <w:t>והטבעת כתובות באותיות עבריות,</w:t>
      </w:r>
      <w:r>
        <w:rPr>
          <w:rStyle w:val="a5"/>
          <w:rFonts w:ascii="David" w:hAnsi="David" w:cs="David"/>
          <w:sz w:val="24"/>
          <w:szCs w:val="24"/>
          <w:rtl/>
        </w:rPr>
        <w:footnoteReference w:id="9"/>
      </w:r>
      <w:r>
        <w:rPr>
          <w:rFonts w:ascii="David" w:hAnsi="David" w:cs="David" w:hint="cs"/>
          <w:sz w:val="24"/>
          <w:szCs w:val="24"/>
          <w:rtl/>
        </w:rPr>
        <w:t xml:space="preserve"> וכן דגמים חדשים שנבחרו על ידי המורדים:</w:t>
      </w:r>
      <w:r>
        <w:rPr>
          <w:rStyle w:val="a5"/>
          <w:rFonts w:ascii="David" w:hAnsi="David" w:cs="David"/>
          <w:sz w:val="24"/>
          <w:szCs w:val="24"/>
          <w:rtl/>
        </w:rPr>
        <w:footnoteReference w:id="10"/>
      </w:r>
      <w:r>
        <w:rPr>
          <w:rFonts w:cs="David" w:hint="cs"/>
          <w:sz w:val="24"/>
          <w:szCs w:val="24"/>
          <w:rtl/>
        </w:rPr>
        <w:t xml:space="preserve"> חזית המקדש,</w:t>
      </w:r>
      <w:r>
        <w:rPr>
          <w:rStyle w:val="a5"/>
          <w:rFonts w:cs="David"/>
          <w:sz w:val="24"/>
          <w:szCs w:val="24"/>
          <w:rtl/>
        </w:rPr>
        <w:footnoteReference w:id="11"/>
      </w:r>
      <w:r>
        <w:rPr>
          <w:rFonts w:cs="David" w:hint="cs"/>
          <w:sz w:val="24"/>
          <w:szCs w:val="24"/>
          <w:rtl/>
        </w:rPr>
        <w:t xml:space="preserve"> צלוחית ולצידה ענף ערבה,</w:t>
      </w:r>
      <w:r>
        <w:rPr>
          <w:rStyle w:val="a5"/>
          <w:rFonts w:cs="David"/>
          <w:sz w:val="24"/>
          <w:szCs w:val="24"/>
          <w:rtl/>
        </w:rPr>
        <w:footnoteReference w:id="12"/>
      </w:r>
      <w:r>
        <w:rPr>
          <w:rFonts w:cs="David" w:hint="cs"/>
          <w:sz w:val="24"/>
          <w:szCs w:val="24"/>
          <w:rtl/>
        </w:rPr>
        <w:t xml:space="preserve"> אמפורה,</w:t>
      </w:r>
      <w:r>
        <w:rPr>
          <w:rStyle w:val="a5"/>
          <w:rFonts w:cs="David"/>
          <w:sz w:val="24"/>
          <w:szCs w:val="24"/>
          <w:rtl/>
        </w:rPr>
        <w:footnoteReference w:id="13"/>
      </w:r>
      <w:r>
        <w:rPr>
          <w:rFonts w:cs="David" w:hint="cs"/>
          <w:sz w:val="24"/>
          <w:szCs w:val="24"/>
          <w:rtl/>
        </w:rPr>
        <w:t xml:space="preserve"> ארבעת המינים,</w:t>
      </w:r>
      <w:r>
        <w:rPr>
          <w:rStyle w:val="a5"/>
          <w:rFonts w:cs="David"/>
          <w:sz w:val="24"/>
          <w:szCs w:val="24"/>
          <w:rtl/>
        </w:rPr>
        <w:footnoteReference w:id="14"/>
      </w:r>
      <w:r>
        <w:rPr>
          <w:rFonts w:cs="David" w:hint="cs"/>
          <w:sz w:val="24"/>
          <w:szCs w:val="24"/>
          <w:rtl/>
        </w:rPr>
        <w:t xml:space="preserve"> עלה גפן, זר עלים, אשכול ענבים ועץ תמר. בנוסף, נטבעו גם דגמים של שלושה סוגי כלי נגינה: כינור, נבל,</w:t>
      </w:r>
      <w:r>
        <w:rPr>
          <w:rStyle w:val="a5"/>
          <w:rFonts w:cs="David"/>
          <w:sz w:val="24"/>
          <w:szCs w:val="24"/>
          <w:rtl/>
        </w:rPr>
        <w:footnoteReference w:id="15"/>
      </w:r>
      <w:r>
        <w:rPr>
          <w:rFonts w:cs="David" w:hint="cs"/>
          <w:sz w:val="24"/>
          <w:szCs w:val="24"/>
          <w:rtl/>
        </w:rPr>
        <w:t xml:space="preserve"> </w:t>
      </w:r>
      <w:r w:rsidRPr="00A108EF">
        <w:rPr>
          <w:rFonts w:cs="David" w:hint="cs"/>
          <w:sz w:val="24"/>
          <w:szCs w:val="24"/>
          <w:rtl/>
        </w:rPr>
        <w:t>וצמד חצוצרות</w:t>
      </w:r>
      <w:r>
        <w:rPr>
          <w:rFonts w:cs="David" w:hint="cs"/>
          <w:sz w:val="24"/>
          <w:szCs w:val="24"/>
          <w:rtl/>
        </w:rPr>
        <w:t xml:space="preserve"> שעליהם ארחיב את הדיון. </w:t>
      </w:r>
    </w:p>
    <w:p w14:paraId="31C55C2F" w14:textId="1B9DBE89" w:rsidR="003074AF" w:rsidRDefault="003074AF" w:rsidP="001C17F3">
      <w:pPr>
        <w:spacing w:line="480" w:lineRule="auto"/>
        <w:jc w:val="both"/>
        <w:rPr>
          <w:rFonts w:cs="David"/>
          <w:sz w:val="24"/>
          <w:szCs w:val="24"/>
          <w:rtl/>
        </w:rPr>
      </w:pPr>
      <w:r>
        <w:rPr>
          <w:rFonts w:cs="David" w:hint="cs"/>
          <w:sz w:val="24"/>
          <w:szCs w:val="24"/>
          <w:rtl/>
        </w:rPr>
        <w:lastRenderedPageBreak/>
        <w:t>קיימות דעות שונות באשר לסיבה שבגללה נבחרו דווקא הסמלים הללו, אשר לא ניתן יהיה להכריע ביניהן. היו שהציעו כי מדובר בסמלים הקשורים לפולחן שנערך במקדש, והם מבטאים את כמיהת המורדים להקמת המקדש מחדש ולחידוש הפולחן בו.</w:t>
      </w:r>
      <w:r>
        <w:rPr>
          <w:rStyle w:val="a5"/>
          <w:rFonts w:cs="David"/>
          <w:sz w:val="24"/>
          <w:szCs w:val="24"/>
          <w:rtl/>
        </w:rPr>
        <w:footnoteReference w:id="16"/>
      </w:r>
      <w:r>
        <w:rPr>
          <w:rFonts w:cs="David" w:hint="cs"/>
          <w:sz w:val="24"/>
          <w:szCs w:val="24"/>
          <w:rtl/>
        </w:rPr>
        <w:t xml:space="preserve"> לדעת </w:t>
      </w:r>
      <w:r w:rsidR="0003055E">
        <w:rPr>
          <w:rFonts w:cs="David" w:hint="cs"/>
          <w:sz w:val="24"/>
          <w:szCs w:val="24"/>
          <w:rtl/>
        </w:rPr>
        <w:t xml:space="preserve">דן </w:t>
      </w:r>
      <w:r>
        <w:rPr>
          <w:rFonts w:cs="David" w:hint="cs"/>
          <w:sz w:val="24"/>
          <w:szCs w:val="24"/>
          <w:rtl/>
        </w:rPr>
        <w:t>בר"ג ו</w:t>
      </w:r>
      <w:r w:rsidR="0003055E">
        <w:rPr>
          <w:rFonts w:cs="David" w:hint="cs"/>
          <w:sz w:val="24"/>
          <w:szCs w:val="24"/>
          <w:rtl/>
        </w:rPr>
        <w:t xml:space="preserve">אברהם </w:t>
      </w:r>
      <w:r>
        <w:rPr>
          <w:rFonts w:cs="David" w:hint="cs"/>
          <w:sz w:val="24"/>
          <w:szCs w:val="24"/>
          <w:rtl/>
        </w:rPr>
        <w:t>טנדלר, יש לראות בסמלים אלו קשר לחוויות הקשורות לעליה לרגל לבית המקדש, ואשר נחרטו בזיכרון הקולקטיבי של העם.</w:t>
      </w:r>
      <w:r>
        <w:rPr>
          <w:rStyle w:val="a5"/>
          <w:rFonts w:cs="David"/>
          <w:sz w:val="24"/>
          <w:szCs w:val="24"/>
          <w:rtl/>
        </w:rPr>
        <w:footnoteReference w:id="17"/>
      </w:r>
      <w:r>
        <w:rPr>
          <w:rFonts w:cs="David" w:hint="cs"/>
          <w:sz w:val="24"/>
          <w:szCs w:val="24"/>
          <w:rtl/>
        </w:rPr>
        <w:t xml:space="preserve"> חוקרים אחרים סברו כי מדובר בסמלים הקשורים דווקא לחג הסוכות.</w:t>
      </w:r>
      <w:r>
        <w:rPr>
          <w:rStyle w:val="a5"/>
          <w:rFonts w:cs="David"/>
          <w:sz w:val="24"/>
          <w:szCs w:val="24"/>
          <w:rtl/>
        </w:rPr>
        <w:footnoteReference w:id="18"/>
      </w:r>
    </w:p>
    <w:p w14:paraId="5187B9AA" w14:textId="7A70D6F7" w:rsidR="003074AF" w:rsidRPr="00304FF3" w:rsidRDefault="00E64DAD" w:rsidP="003074AF">
      <w:pPr>
        <w:spacing w:line="480" w:lineRule="auto"/>
        <w:jc w:val="both"/>
        <w:rPr>
          <w:rFonts w:cs="David"/>
          <w:b/>
          <w:bCs/>
          <w:sz w:val="24"/>
          <w:szCs w:val="24"/>
          <w:rtl/>
        </w:rPr>
      </w:pPr>
      <w:r>
        <w:rPr>
          <w:rFonts w:cs="David" w:hint="cs"/>
          <w:b/>
          <w:bCs/>
          <w:sz w:val="24"/>
          <w:szCs w:val="24"/>
          <w:rtl/>
        </w:rPr>
        <w:t xml:space="preserve">א. </w:t>
      </w:r>
      <w:r w:rsidR="003074AF">
        <w:rPr>
          <w:rFonts w:cs="David" w:hint="cs"/>
          <w:b/>
          <w:bCs/>
          <w:sz w:val="24"/>
          <w:szCs w:val="24"/>
          <w:rtl/>
        </w:rPr>
        <w:t xml:space="preserve">תיאור </w:t>
      </w:r>
      <w:r w:rsidR="003074AF" w:rsidRPr="00304FF3">
        <w:rPr>
          <w:rFonts w:cs="David" w:hint="cs"/>
          <w:b/>
          <w:bCs/>
          <w:sz w:val="24"/>
          <w:szCs w:val="24"/>
          <w:rtl/>
        </w:rPr>
        <w:t>החצוצרות שעל מטבעות</w:t>
      </w:r>
      <w:r w:rsidR="003074AF">
        <w:rPr>
          <w:rFonts w:cs="David" w:hint="cs"/>
          <w:b/>
          <w:bCs/>
          <w:sz w:val="24"/>
          <w:szCs w:val="24"/>
          <w:rtl/>
        </w:rPr>
        <w:t xml:space="preserve"> בר-כוכבא</w:t>
      </w:r>
      <w:r w:rsidR="003074AF" w:rsidRPr="00304FF3">
        <w:rPr>
          <w:rFonts w:cs="David" w:hint="cs"/>
          <w:b/>
          <w:bCs/>
          <w:sz w:val="24"/>
          <w:szCs w:val="24"/>
          <w:rtl/>
        </w:rPr>
        <w:t xml:space="preserve"> </w:t>
      </w:r>
      <w:r w:rsidR="003074AF">
        <w:rPr>
          <w:rFonts w:cs="David" w:hint="cs"/>
          <w:b/>
          <w:bCs/>
          <w:sz w:val="24"/>
          <w:szCs w:val="24"/>
          <w:rtl/>
        </w:rPr>
        <w:t>-</w:t>
      </w:r>
      <w:r w:rsidR="003074AF" w:rsidRPr="00304FF3">
        <w:rPr>
          <w:rFonts w:cs="David" w:hint="cs"/>
          <w:b/>
          <w:bCs/>
          <w:sz w:val="24"/>
          <w:szCs w:val="24"/>
          <w:rtl/>
        </w:rPr>
        <w:t xml:space="preserve"> היבטים אורגנולוגיים</w:t>
      </w:r>
    </w:p>
    <w:p w14:paraId="6359A8E2" w14:textId="63252AA1" w:rsidR="000E424D" w:rsidRPr="002F0A61" w:rsidRDefault="003074AF" w:rsidP="002F0A61">
      <w:pPr>
        <w:spacing w:after="120" w:line="480" w:lineRule="auto"/>
        <w:jc w:val="both"/>
        <w:rPr>
          <w:rFonts w:cs="David"/>
          <w:sz w:val="24"/>
          <w:szCs w:val="24"/>
          <w:rtl/>
        </w:rPr>
      </w:pPr>
      <w:r>
        <w:rPr>
          <w:rFonts w:cs="David" w:hint="cs"/>
          <w:sz w:val="24"/>
          <w:szCs w:val="24"/>
          <w:rtl/>
        </w:rPr>
        <w:t>דגם החצוצרות מופיע על הדינרים שנטבעו החל מן השנה השנייה למרד ועד לשנתו האחרונה.</w:t>
      </w:r>
      <w:r>
        <w:rPr>
          <w:rStyle w:val="a5"/>
          <w:rFonts w:cs="David"/>
          <w:sz w:val="24"/>
          <w:szCs w:val="24"/>
          <w:rtl/>
        </w:rPr>
        <w:footnoteReference w:id="19"/>
      </w:r>
      <w:r>
        <w:rPr>
          <w:rFonts w:cs="David" w:hint="cs"/>
          <w:sz w:val="24"/>
          <w:szCs w:val="24"/>
          <w:rtl/>
        </w:rPr>
        <w:t xml:space="preserve"> הופעת דגם זה הינה חלק מהתרחבות כללית שחלה בטיפוסי הדינרים שנוצרו באותה שנה. לעומת דינרי השנה הראשונה למרד, שנעשו בדגם אחד, בשנה השנייה הופיעו אחד-עשר טיפוסים שונים שכללו בנוסף לחצוצרות, גם שלושה דגמים חדשים: נבל, כינור ולולב.</w:t>
      </w:r>
      <w:r>
        <w:rPr>
          <w:rStyle w:val="a5"/>
          <w:rFonts w:cs="David"/>
          <w:sz w:val="24"/>
          <w:szCs w:val="24"/>
          <w:rtl/>
        </w:rPr>
        <w:footnoteReference w:id="20"/>
      </w:r>
      <w:r>
        <w:rPr>
          <w:rFonts w:cs="David" w:hint="cs"/>
          <w:sz w:val="24"/>
          <w:szCs w:val="24"/>
          <w:rtl/>
        </w:rPr>
        <w:t xml:space="preserve"> בשונה מן הכינור ומן הנבל המופיעים על גבי מטבעות הברונזה וכן על מטבעות הכסף, החצוצרות מופיעות אך ורק על גבי דינרי הכסף.</w:t>
      </w:r>
      <w:r>
        <w:rPr>
          <w:rStyle w:val="a5"/>
          <w:rFonts w:cs="David"/>
          <w:sz w:val="24"/>
          <w:szCs w:val="24"/>
          <w:rtl/>
        </w:rPr>
        <w:footnoteReference w:id="21"/>
      </w:r>
      <w:r>
        <w:rPr>
          <w:rFonts w:cs="David" w:hint="cs"/>
          <w:sz w:val="24"/>
          <w:szCs w:val="24"/>
          <w:rtl/>
        </w:rPr>
        <w:t xml:space="preserve"> יתכן שהדבר קשור לחובת עשיית החצוצרות מכסף בלבד הנזכרת בספר במדבר י</w:t>
      </w:r>
      <w:r w:rsidR="008B2F57">
        <w:rPr>
          <w:rFonts w:cs="David" w:hint="cs"/>
          <w:sz w:val="24"/>
          <w:szCs w:val="24"/>
          <w:rtl/>
        </w:rPr>
        <w:t>,</w:t>
      </w:r>
      <w:r>
        <w:rPr>
          <w:rFonts w:cs="David" w:hint="cs"/>
          <w:sz w:val="24"/>
          <w:szCs w:val="24"/>
          <w:rtl/>
        </w:rPr>
        <w:t xml:space="preserve"> </w:t>
      </w:r>
      <w:r w:rsidR="008B2F57">
        <w:rPr>
          <w:rFonts w:cs="David" w:hint="cs"/>
          <w:sz w:val="24"/>
          <w:szCs w:val="24"/>
          <w:rtl/>
        </w:rPr>
        <w:t>ב</w:t>
      </w:r>
      <w:r>
        <w:rPr>
          <w:rFonts w:cs="David" w:hint="cs"/>
          <w:sz w:val="24"/>
          <w:szCs w:val="24"/>
          <w:rtl/>
        </w:rPr>
        <w:t xml:space="preserve"> ("עשה לך שתי חצוצרת כסף"), וכן במקורות תנאיים שונים.</w:t>
      </w:r>
      <w:r>
        <w:rPr>
          <w:rStyle w:val="a5"/>
          <w:rFonts w:cs="David"/>
          <w:sz w:val="24"/>
          <w:szCs w:val="24"/>
          <w:rtl/>
        </w:rPr>
        <w:footnoteReference w:id="22"/>
      </w:r>
      <w:r>
        <w:rPr>
          <w:rFonts w:cs="David" w:hint="cs"/>
          <w:sz w:val="24"/>
          <w:szCs w:val="24"/>
          <w:rtl/>
        </w:rPr>
        <w:t xml:space="preserve"> </w:t>
      </w:r>
    </w:p>
    <w:p w14:paraId="247FF48B" w14:textId="77777777" w:rsidR="006F6D49" w:rsidRDefault="006F6D49" w:rsidP="003074AF">
      <w:pPr>
        <w:spacing w:line="480" w:lineRule="auto"/>
        <w:jc w:val="both"/>
        <w:rPr>
          <w:rFonts w:cs="David"/>
          <w:b/>
          <w:bCs/>
          <w:sz w:val="24"/>
          <w:szCs w:val="24"/>
          <w:rtl/>
        </w:rPr>
      </w:pPr>
    </w:p>
    <w:p w14:paraId="1C0D60BE" w14:textId="77777777" w:rsidR="006F6D49" w:rsidRDefault="006F6D49" w:rsidP="003074AF">
      <w:pPr>
        <w:spacing w:line="480" w:lineRule="auto"/>
        <w:jc w:val="both"/>
        <w:rPr>
          <w:rFonts w:cs="David"/>
          <w:b/>
          <w:bCs/>
          <w:sz w:val="24"/>
          <w:szCs w:val="24"/>
          <w:rtl/>
        </w:rPr>
      </w:pPr>
    </w:p>
    <w:p w14:paraId="6550B538" w14:textId="5BD52C32" w:rsidR="003074AF" w:rsidRPr="00373248" w:rsidRDefault="003074AF" w:rsidP="003074AF">
      <w:pPr>
        <w:spacing w:line="480" w:lineRule="auto"/>
        <w:jc w:val="both"/>
        <w:rPr>
          <w:rFonts w:cs="David"/>
          <w:b/>
          <w:bCs/>
          <w:sz w:val="24"/>
          <w:szCs w:val="24"/>
          <w:rtl/>
        </w:rPr>
      </w:pPr>
      <w:r w:rsidRPr="00373248">
        <w:rPr>
          <w:rFonts w:cs="David" w:hint="cs"/>
          <w:b/>
          <w:bCs/>
          <w:sz w:val="24"/>
          <w:szCs w:val="24"/>
          <w:rtl/>
        </w:rPr>
        <w:lastRenderedPageBreak/>
        <w:t>סוג הכלי המתואר על ה</w:t>
      </w:r>
      <w:r>
        <w:rPr>
          <w:rFonts w:cs="David" w:hint="cs"/>
          <w:b/>
          <w:bCs/>
          <w:sz w:val="24"/>
          <w:szCs w:val="24"/>
          <w:rtl/>
        </w:rPr>
        <w:t>מטבעות</w:t>
      </w:r>
    </w:p>
    <w:p w14:paraId="644515CF" w14:textId="42526877" w:rsidR="003074AF" w:rsidRDefault="003074AF" w:rsidP="003074AF">
      <w:pPr>
        <w:spacing w:after="0" w:line="480" w:lineRule="auto"/>
        <w:jc w:val="both"/>
        <w:rPr>
          <w:rFonts w:cs="David"/>
          <w:sz w:val="24"/>
          <w:szCs w:val="24"/>
          <w:rtl/>
        </w:rPr>
      </w:pPr>
      <w:r>
        <w:rPr>
          <w:rFonts w:cs="David" w:hint="cs"/>
          <w:sz w:val="24"/>
          <w:szCs w:val="24"/>
          <w:rtl/>
        </w:rPr>
        <w:t>לדעת רוב החוקרים,</w:t>
      </w:r>
      <w:r>
        <w:rPr>
          <w:rStyle w:val="a5"/>
          <w:rFonts w:cs="David"/>
          <w:sz w:val="24"/>
          <w:szCs w:val="24"/>
          <w:rtl/>
        </w:rPr>
        <w:footnoteReference w:id="23"/>
      </w:r>
      <w:r>
        <w:rPr>
          <w:rFonts w:cs="David" w:hint="cs"/>
          <w:sz w:val="24"/>
          <w:szCs w:val="24"/>
          <w:rtl/>
        </w:rPr>
        <w:t xml:space="preserve"> צמד הכלים המתוארים על המטבעות הינן חצוצרות.</w:t>
      </w:r>
      <w:r>
        <w:rPr>
          <w:rStyle w:val="a5"/>
          <w:rFonts w:cs="David"/>
          <w:sz w:val="24"/>
          <w:szCs w:val="24"/>
          <w:rtl/>
        </w:rPr>
        <w:footnoteReference w:id="24"/>
      </w:r>
      <w:r>
        <w:rPr>
          <w:rFonts w:cs="David" w:hint="cs"/>
          <w:sz w:val="24"/>
          <w:szCs w:val="24"/>
          <w:rtl/>
        </w:rPr>
        <w:t xml:space="preserve"> כפי שניתן לראות בתמונות שלהלן, כלים אלו כוללים </w:t>
      </w:r>
      <w:r w:rsidR="0069270F">
        <w:rPr>
          <w:rFonts w:cs="David" w:hint="cs"/>
          <w:sz w:val="24"/>
          <w:szCs w:val="24"/>
          <w:rtl/>
        </w:rPr>
        <w:t xml:space="preserve">בחלק התחתון </w:t>
      </w:r>
      <w:r>
        <w:rPr>
          <w:rFonts w:cs="David" w:hint="cs"/>
          <w:sz w:val="24"/>
          <w:szCs w:val="24"/>
          <w:rtl/>
        </w:rPr>
        <w:t xml:space="preserve">פיה ומעליה מעין הרחבה מעוגלת (שתידון בהמשך). גוף הכלי הינו צילינדרי והוא הולך ומתרחב בקצהו לכדי צורת פעמון. </w:t>
      </w:r>
    </w:p>
    <w:p w14:paraId="496298B0" w14:textId="77777777" w:rsidR="003074AF" w:rsidRDefault="003074AF" w:rsidP="004675BE">
      <w:pPr>
        <w:spacing w:after="120" w:line="480" w:lineRule="auto"/>
        <w:jc w:val="center"/>
        <w:rPr>
          <w:rFonts w:cs="David"/>
          <w:b/>
          <w:bCs/>
          <w:sz w:val="24"/>
          <w:szCs w:val="24"/>
          <w:u w:val="single"/>
          <w:rtl/>
        </w:rPr>
      </w:pPr>
      <w:r w:rsidRPr="003A5D0E">
        <w:rPr>
          <w:rFonts w:cs="David" w:hint="cs"/>
          <w:noProof/>
          <w:sz w:val="24"/>
          <w:szCs w:val="24"/>
          <w:rtl/>
          <w:lang w:val="he-IL"/>
        </w:rPr>
        <w:drawing>
          <wp:inline distT="0" distB="0" distL="0" distR="0" wp14:anchorId="1416B4F5" wp14:editId="045BFAEF">
            <wp:extent cx="1878438" cy="1566854"/>
            <wp:effectExtent l="0" t="0" r="7620" b="0"/>
            <wp:docPr id="71" name="תמונה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0197.jpg"/>
                    <pic:cNvPicPr/>
                  </pic:nvPicPr>
                  <pic:blipFill rotWithShape="1">
                    <a:blip r:embed="rId7">
                      <a:extLst>
                        <a:ext uri="{28A0092B-C50C-407E-A947-70E740481C1C}">
                          <a14:useLocalDpi xmlns:a14="http://schemas.microsoft.com/office/drawing/2010/main" val="0"/>
                        </a:ext>
                      </a:extLst>
                    </a:blip>
                    <a:srcRect l="49953" t="9099" b="8847"/>
                    <a:stretch/>
                  </pic:blipFill>
                  <pic:spPr bwMode="auto">
                    <a:xfrm>
                      <a:off x="0" y="0"/>
                      <a:ext cx="2021530" cy="1686211"/>
                    </a:xfrm>
                    <a:prstGeom prst="rect">
                      <a:avLst/>
                    </a:prstGeom>
                    <a:ln>
                      <a:noFill/>
                    </a:ln>
                    <a:extLst>
                      <a:ext uri="{53640926-AAD7-44D8-BBD7-CCE9431645EC}">
                        <a14:shadowObscured xmlns:a14="http://schemas.microsoft.com/office/drawing/2010/main"/>
                      </a:ext>
                    </a:extLst>
                  </pic:spPr>
                </pic:pic>
              </a:graphicData>
            </a:graphic>
          </wp:inline>
        </w:drawing>
      </w:r>
    </w:p>
    <w:p w14:paraId="668886C1" w14:textId="4F76AF6B" w:rsidR="003074AF" w:rsidRDefault="003074AF" w:rsidP="003074AF">
      <w:pPr>
        <w:spacing w:line="480" w:lineRule="auto"/>
        <w:ind w:left="227" w:right="227"/>
        <w:jc w:val="center"/>
        <w:rPr>
          <w:rFonts w:cs="David"/>
          <w:sz w:val="24"/>
          <w:szCs w:val="24"/>
          <w:rtl/>
        </w:rPr>
      </w:pPr>
      <w:r w:rsidRPr="00574363">
        <w:rPr>
          <w:rFonts w:cs="David" w:hint="cs"/>
          <w:sz w:val="20"/>
          <w:szCs w:val="20"/>
          <w:rtl/>
        </w:rPr>
        <w:t xml:space="preserve">דינר כסף ועליו צמד חצוצרות. מתוארך לשנים 134 - 135 </w:t>
      </w:r>
      <w:r w:rsidR="00F9033D">
        <w:rPr>
          <w:rFonts w:cs="David" w:hint="cs"/>
          <w:sz w:val="20"/>
          <w:szCs w:val="20"/>
          <w:rtl/>
        </w:rPr>
        <w:t>לסה"נ</w:t>
      </w:r>
      <w:r w:rsidRPr="00574363">
        <w:rPr>
          <w:rFonts w:cs="David" w:hint="cs"/>
          <w:sz w:val="20"/>
          <w:szCs w:val="20"/>
          <w:rtl/>
        </w:rPr>
        <w:t>, קוטרו 19 מ"מ ומשקלו 3.78 גרם.</w:t>
      </w:r>
      <w:r>
        <w:rPr>
          <w:rStyle w:val="a5"/>
          <w:rFonts w:cs="David"/>
          <w:sz w:val="24"/>
          <w:szCs w:val="24"/>
          <w:rtl/>
        </w:rPr>
        <w:footnoteReference w:id="25"/>
      </w:r>
    </w:p>
    <w:p w14:paraId="1EA68CC2" w14:textId="77777777" w:rsidR="003074AF" w:rsidRPr="003A5D0E" w:rsidRDefault="003074AF" w:rsidP="004675BE">
      <w:pPr>
        <w:spacing w:after="120" w:line="480" w:lineRule="auto"/>
        <w:ind w:left="1077" w:right="1077"/>
        <w:jc w:val="center"/>
        <w:rPr>
          <w:rFonts w:cs="David"/>
          <w:sz w:val="24"/>
          <w:szCs w:val="24"/>
          <w:rtl/>
        </w:rPr>
      </w:pPr>
      <w:r>
        <w:rPr>
          <w:rFonts w:cs="David"/>
          <w:noProof/>
          <w:sz w:val="24"/>
          <w:szCs w:val="24"/>
          <w:rtl/>
          <w:lang w:val="he-IL"/>
        </w:rPr>
        <w:drawing>
          <wp:inline distT="0" distB="0" distL="0" distR="0" wp14:anchorId="2A62E9DE" wp14:editId="43FB2A3A">
            <wp:extent cx="1638411" cy="1630392"/>
            <wp:effectExtent l="0" t="0" r="0" b="8255"/>
            <wp:docPr id="72" name="תמונה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0199.jpg"/>
                    <pic:cNvPicPr/>
                  </pic:nvPicPr>
                  <pic:blipFill rotWithShape="1">
                    <a:blip r:embed="rId8">
                      <a:extLst>
                        <a:ext uri="{28A0092B-C50C-407E-A947-70E740481C1C}">
                          <a14:useLocalDpi xmlns:a14="http://schemas.microsoft.com/office/drawing/2010/main" val="0"/>
                        </a:ext>
                      </a:extLst>
                    </a:blip>
                    <a:srcRect l="51941" t="6110" r="3459" b="10151"/>
                    <a:stretch/>
                  </pic:blipFill>
                  <pic:spPr bwMode="auto">
                    <a:xfrm>
                      <a:off x="0" y="0"/>
                      <a:ext cx="1760804" cy="1752186"/>
                    </a:xfrm>
                    <a:prstGeom prst="rect">
                      <a:avLst/>
                    </a:prstGeom>
                    <a:ln>
                      <a:noFill/>
                    </a:ln>
                    <a:extLst>
                      <a:ext uri="{53640926-AAD7-44D8-BBD7-CCE9431645EC}">
                        <a14:shadowObscured xmlns:a14="http://schemas.microsoft.com/office/drawing/2010/main"/>
                      </a:ext>
                    </a:extLst>
                  </pic:spPr>
                </pic:pic>
              </a:graphicData>
            </a:graphic>
          </wp:inline>
        </w:drawing>
      </w:r>
    </w:p>
    <w:p w14:paraId="76729E81" w14:textId="0408D0A4" w:rsidR="003074AF" w:rsidRDefault="003074AF" w:rsidP="004675BE">
      <w:pPr>
        <w:spacing w:after="0" w:line="480" w:lineRule="auto"/>
        <w:ind w:left="227" w:right="227"/>
        <w:jc w:val="center"/>
        <w:rPr>
          <w:rFonts w:cs="David"/>
          <w:sz w:val="24"/>
          <w:szCs w:val="24"/>
          <w:rtl/>
        </w:rPr>
      </w:pPr>
      <w:r w:rsidRPr="00574363">
        <w:rPr>
          <w:rFonts w:cs="David" w:hint="cs"/>
          <w:sz w:val="20"/>
          <w:szCs w:val="20"/>
          <w:rtl/>
        </w:rPr>
        <w:t xml:space="preserve">דינר כסף ועליו צמד חצוצרות. מתוארך לשנים 134 - 135 </w:t>
      </w:r>
      <w:r w:rsidR="00F9033D">
        <w:rPr>
          <w:rFonts w:cs="David" w:hint="cs"/>
          <w:sz w:val="20"/>
          <w:szCs w:val="20"/>
          <w:rtl/>
        </w:rPr>
        <w:t>לסה"נ</w:t>
      </w:r>
      <w:r w:rsidRPr="00574363">
        <w:rPr>
          <w:rFonts w:cs="David" w:hint="cs"/>
          <w:sz w:val="20"/>
          <w:szCs w:val="20"/>
          <w:rtl/>
        </w:rPr>
        <w:t>, קוטרו 1</w:t>
      </w:r>
      <w:r>
        <w:rPr>
          <w:rFonts w:cs="David" w:hint="cs"/>
          <w:sz w:val="20"/>
          <w:szCs w:val="20"/>
          <w:rtl/>
        </w:rPr>
        <w:t>8</w:t>
      </w:r>
      <w:r w:rsidRPr="00574363">
        <w:rPr>
          <w:rFonts w:cs="David" w:hint="cs"/>
          <w:sz w:val="20"/>
          <w:szCs w:val="20"/>
          <w:rtl/>
        </w:rPr>
        <w:t xml:space="preserve"> מ"מ ומשקלו 3.</w:t>
      </w:r>
      <w:r>
        <w:rPr>
          <w:rFonts w:cs="David" w:hint="cs"/>
          <w:sz w:val="20"/>
          <w:szCs w:val="20"/>
          <w:rtl/>
        </w:rPr>
        <w:t>52</w:t>
      </w:r>
      <w:r w:rsidRPr="00574363">
        <w:rPr>
          <w:rFonts w:cs="David" w:hint="cs"/>
          <w:sz w:val="20"/>
          <w:szCs w:val="20"/>
          <w:rtl/>
        </w:rPr>
        <w:t xml:space="preserve"> גרם.</w:t>
      </w:r>
      <w:r>
        <w:rPr>
          <w:rStyle w:val="a5"/>
          <w:rFonts w:cs="David"/>
          <w:sz w:val="24"/>
          <w:szCs w:val="24"/>
          <w:rtl/>
        </w:rPr>
        <w:footnoteReference w:id="26"/>
      </w:r>
    </w:p>
    <w:p w14:paraId="2637A543" w14:textId="73CA3408" w:rsidR="003074AF" w:rsidRDefault="003074AF" w:rsidP="003074AF">
      <w:pPr>
        <w:spacing w:after="0" w:line="480" w:lineRule="auto"/>
        <w:jc w:val="both"/>
        <w:rPr>
          <w:rFonts w:cs="David"/>
          <w:sz w:val="24"/>
          <w:szCs w:val="24"/>
          <w:rtl/>
        </w:rPr>
      </w:pPr>
      <w:r>
        <w:rPr>
          <w:rFonts w:cs="David" w:hint="cs"/>
          <w:sz w:val="24"/>
          <w:szCs w:val="24"/>
          <w:rtl/>
        </w:rPr>
        <w:lastRenderedPageBreak/>
        <w:t xml:space="preserve">לעומת זאת, לדעת </w:t>
      </w:r>
      <w:r w:rsidR="00761A91">
        <w:rPr>
          <w:rFonts w:cs="David" w:hint="cs"/>
          <w:sz w:val="24"/>
          <w:szCs w:val="24"/>
          <w:rtl/>
        </w:rPr>
        <w:t xml:space="preserve">קורט </w:t>
      </w:r>
      <w:r>
        <w:rPr>
          <w:rFonts w:cs="David" w:hint="cs"/>
          <w:sz w:val="24"/>
          <w:szCs w:val="24"/>
          <w:rtl/>
        </w:rPr>
        <w:t>זאקס,</w:t>
      </w:r>
      <w:r>
        <w:rPr>
          <w:rStyle w:val="a5"/>
          <w:rFonts w:cs="David"/>
          <w:sz w:val="24"/>
          <w:szCs w:val="24"/>
          <w:rtl/>
        </w:rPr>
        <w:footnoteReference w:id="27"/>
      </w:r>
      <w:r>
        <w:rPr>
          <w:rFonts w:cs="David" w:hint="cs"/>
          <w:sz w:val="24"/>
          <w:szCs w:val="24"/>
          <w:rtl/>
        </w:rPr>
        <w:t xml:space="preserve"> הכלים שעל המטבעות הינם אבובים הדומים בצורתם לצורת הזאמר (</w:t>
      </w:r>
      <w:r w:rsidRPr="0052434E">
        <w:rPr>
          <w:rFonts w:asciiTheme="majorBidi" w:hAnsiTheme="majorBidi" w:cstheme="majorBidi"/>
          <w:sz w:val="24"/>
          <w:szCs w:val="24"/>
        </w:rPr>
        <w:t>Zamr</w:t>
      </w:r>
      <w:r>
        <w:rPr>
          <w:rFonts w:cs="David" w:hint="cs"/>
          <w:sz w:val="24"/>
          <w:szCs w:val="24"/>
          <w:rtl/>
        </w:rPr>
        <w:t>)</w:t>
      </w:r>
      <w:r>
        <w:rPr>
          <w:rFonts w:cs="David" w:hint="cs"/>
          <w:sz w:val="24"/>
          <w:szCs w:val="24"/>
        </w:rPr>
        <w:t xml:space="preserve"> </w:t>
      </w:r>
      <w:r>
        <w:rPr>
          <w:rFonts w:cs="David" w:hint="cs"/>
          <w:sz w:val="24"/>
          <w:szCs w:val="24"/>
          <w:rtl/>
        </w:rPr>
        <w:t>הערבי המוכר גם בשמות אחרים כגון: "זורנה" (</w:t>
      </w:r>
      <w:r w:rsidRPr="008C0E58">
        <w:rPr>
          <w:rFonts w:asciiTheme="majorBidi" w:hAnsiTheme="majorBidi" w:cstheme="majorBidi"/>
          <w:sz w:val="24"/>
          <w:szCs w:val="24"/>
        </w:rPr>
        <w:t>Zurna</w:t>
      </w:r>
      <w:r>
        <w:rPr>
          <w:rFonts w:cs="David" w:hint="cs"/>
          <w:sz w:val="24"/>
          <w:szCs w:val="24"/>
          <w:rtl/>
        </w:rPr>
        <w:t>), ו- "זומרה" (</w:t>
      </w:r>
      <w:r w:rsidRPr="008C0E58">
        <w:rPr>
          <w:rFonts w:asciiTheme="majorBidi" w:hAnsiTheme="majorBidi" w:cstheme="majorBidi"/>
          <w:sz w:val="24"/>
          <w:szCs w:val="24"/>
        </w:rPr>
        <w:t>Zumra</w:t>
      </w:r>
      <w:r>
        <w:rPr>
          <w:rFonts w:cs="David" w:hint="cs"/>
          <w:sz w:val="24"/>
          <w:szCs w:val="24"/>
          <w:rtl/>
        </w:rPr>
        <w:t>).</w:t>
      </w:r>
      <w:r>
        <w:rPr>
          <w:rStyle w:val="a5"/>
          <w:rFonts w:cs="David"/>
          <w:sz w:val="24"/>
          <w:szCs w:val="24"/>
          <w:rtl/>
        </w:rPr>
        <w:footnoteReference w:id="28"/>
      </w:r>
      <w:r>
        <w:rPr>
          <w:rFonts w:cs="David" w:hint="cs"/>
          <w:sz w:val="24"/>
          <w:szCs w:val="24"/>
          <w:rtl/>
        </w:rPr>
        <w:t xml:space="preserve"> אורכו של כלי זה הינו 30 - 45 ס"מ, והוא עשוי ברובו מעץ ומורכב מכמה חלקים. בחלקו הצר קיימת לשונית נשיפה כפולה (</w:t>
      </w:r>
      <w:r>
        <w:rPr>
          <w:rFonts w:asciiTheme="majorBidi" w:hAnsiTheme="majorBidi" w:cstheme="majorBidi"/>
          <w:sz w:val="24"/>
          <w:szCs w:val="24"/>
        </w:rPr>
        <w:t>Double Reed</w:t>
      </w:r>
      <w:r>
        <w:rPr>
          <w:rFonts w:cs="David" w:hint="cs"/>
          <w:sz w:val="24"/>
          <w:szCs w:val="24"/>
          <w:rtl/>
        </w:rPr>
        <w:t>), שנעשתה מעץ והוכנסה לפיו של הנגן, וכן דיסק מעוגל (</w:t>
      </w:r>
      <w:r w:rsidRPr="006E438A">
        <w:rPr>
          <w:rFonts w:asciiTheme="majorBidi" w:hAnsiTheme="majorBidi" w:cstheme="majorBidi"/>
          <w:sz w:val="24"/>
          <w:szCs w:val="24"/>
        </w:rPr>
        <w:t>Pirouette</w:t>
      </w:r>
      <w:r>
        <w:rPr>
          <w:rFonts w:cs="David" w:hint="cs"/>
          <w:sz w:val="24"/>
          <w:szCs w:val="24"/>
          <w:rtl/>
        </w:rPr>
        <w:t>), שנעשה לרוב משנהב או ממתכת והוצמד לצידן החיצוני של שפתיו. גוף הכלי נעשה מצינור עץ צילינדרי ההולך ומתרחב לקראת קצהו באופן היוצר צורת פעמון. על גבי חלקו הקדמי של צינור הכלי ישנם שישה או שבעה נקבים, ואילו בחלקו האחורי קיים נקב אחד. סתימתם של נקבים אלו באמצעות אצבעותיו של הנגן (בחלק הקדמי של הצינור), ובאמצעות אגודלו (בחלקו האחורי), מאפשרת להעלות ולהוריד את גובה הצליל המופק מן הכלי, בדומה לנגינה בחליל.</w:t>
      </w:r>
      <w:r>
        <w:rPr>
          <w:rStyle w:val="a5"/>
          <w:rFonts w:cs="David"/>
          <w:sz w:val="24"/>
          <w:szCs w:val="24"/>
          <w:rtl/>
        </w:rPr>
        <w:footnoteReference w:id="29"/>
      </w:r>
    </w:p>
    <w:p w14:paraId="3FCBD27B" w14:textId="77777777" w:rsidR="003074AF" w:rsidRDefault="003074AF" w:rsidP="003074AF">
      <w:pPr>
        <w:spacing w:after="80" w:line="480" w:lineRule="auto"/>
        <w:jc w:val="center"/>
        <w:rPr>
          <w:rFonts w:cs="David"/>
          <w:b/>
          <w:bCs/>
          <w:sz w:val="24"/>
          <w:szCs w:val="24"/>
          <w:rtl/>
        </w:rPr>
      </w:pPr>
      <w:r>
        <w:rPr>
          <w:rFonts w:cs="David"/>
          <w:b/>
          <w:bCs/>
          <w:noProof/>
          <w:sz w:val="24"/>
          <w:szCs w:val="24"/>
          <w:rtl/>
          <w:lang w:val="he-IL"/>
        </w:rPr>
        <w:drawing>
          <wp:inline distT="0" distB="0" distL="0" distR="0" wp14:anchorId="783621C0" wp14:editId="4FB9C50D">
            <wp:extent cx="881933" cy="1789043"/>
            <wp:effectExtent l="0" t="0" r="0" b="1905"/>
            <wp:docPr id="73" name="תמונה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00862725_001_l.jpg"/>
                    <pic:cNvPicPr/>
                  </pic:nvPicPr>
                  <pic:blipFill rotWithShape="1">
                    <a:blip r:embed="rId9" cstate="print">
                      <a:extLst>
                        <a:ext uri="{28A0092B-C50C-407E-A947-70E740481C1C}">
                          <a14:useLocalDpi xmlns:a14="http://schemas.microsoft.com/office/drawing/2010/main" val="0"/>
                        </a:ext>
                      </a:extLst>
                    </a:blip>
                    <a:srcRect t="5398" b="5099"/>
                    <a:stretch/>
                  </pic:blipFill>
                  <pic:spPr bwMode="auto">
                    <a:xfrm>
                      <a:off x="0" y="0"/>
                      <a:ext cx="881933" cy="1789043"/>
                    </a:xfrm>
                    <a:prstGeom prst="rect">
                      <a:avLst/>
                    </a:prstGeom>
                    <a:ln>
                      <a:noFill/>
                    </a:ln>
                    <a:extLst>
                      <a:ext uri="{53640926-AAD7-44D8-BBD7-CCE9431645EC}">
                        <a14:shadowObscured xmlns:a14="http://schemas.microsoft.com/office/drawing/2010/main"/>
                      </a:ext>
                    </a:extLst>
                  </pic:spPr>
                </pic:pic>
              </a:graphicData>
            </a:graphic>
          </wp:inline>
        </w:drawing>
      </w:r>
    </w:p>
    <w:p w14:paraId="09569C0B" w14:textId="77777777" w:rsidR="003074AF" w:rsidRPr="00C3151A" w:rsidRDefault="003074AF" w:rsidP="003074AF">
      <w:pPr>
        <w:spacing w:line="480" w:lineRule="auto"/>
        <w:jc w:val="center"/>
        <w:rPr>
          <w:rFonts w:cs="David"/>
          <w:sz w:val="24"/>
          <w:szCs w:val="24"/>
          <w:rtl/>
        </w:rPr>
      </w:pPr>
      <w:r>
        <w:rPr>
          <w:rFonts w:cs="David" w:hint="cs"/>
          <w:sz w:val="20"/>
          <w:szCs w:val="20"/>
          <w:rtl/>
        </w:rPr>
        <w:t>צורת הזאמר (מכונה גם "</w:t>
      </w:r>
      <w:r w:rsidRPr="00EC7974">
        <w:rPr>
          <w:rFonts w:cs="David" w:hint="cs"/>
          <w:sz w:val="20"/>
          <w:szCs w:val="20"/>
          <w:rtl/>
        </w:rPr>
        <w:t>זורנה</w:t>
      </w:r>
      <w:r>
        <w:rPr>
          <w:rFonts w:cs="David" w:hint="cs"/>
          <w:sz w:val="20"/>
          <w:szCs w:val="20"/>
          <w:rtl/>
        </w:rPr>
        <w:t>")</w:t>
      </w:r>
      <w:r w:rsidRPr="00EC7974">
        <w:rPr>
          <w:rFonts w:cs="David" w:hint="cs"/>
          <w:sz w:val="20"/>
          <w:szCs w:val="20"/>
          <w:rtl/>
        </w:rPr>
        <w:t>.</w:t>
      </w:r>
      <w:r>
        <w:rPr>
          <w:rStyle w:val="a5"/>
          <w:rFonts w:cs="David"/>
          <w:sz w:val="24"/>
          <w:szCs w:val="24"/>
          <w:rtl/>
        </w:rPr>
        <w:footnoteReference w:id="30"/>
      </w:r>
    </w:p>
    <w:p w14:paraId="5AACFFED" w14:textId="5BA1809E" w:rsidR="003074AF" w:rsidRDefault="003074AF" w:rsidP="003074AF">
      <w:pPr>
        <w:spacing w:line="480" w:lineRule="auto"/>
        <w:jc w:val="both"/>
        <w:rPr>
          <w:rFonts w:cs="David"/>
          <w:sz w:val="24"/>
          <w:szCs w:val="24"/>
          <w:rtl/>
        </w:rPr>
      </w:pPr>
      <w:r>
        <w:rPr>
          <w:rFonts w:cs="David" w:hint="cs"/>
          <w:sz w:val="24"/>
          <w:szCs w:val="24"/>
          <w:rtl/>
        </w:rPr>
        <w:t xml:space="preserve">טענתו של זאקס נשענת על כמה הנחות. לדעתו, צדו הצר של הכלי המתואר על גבי המטבעות כלל לשונית נשיפה הדומה לזו של הזאמר, </w:t>
      </w:r>
      <w:r w:rsidRPr="008F45E1">
        <w:rPr>
          <w:rFonts w:cs="David" w:hint="cs"/>
          <w:sz w:val="24"/>
          <w:szCs w:val="24"/>
          <w:rtl/>
        </w:rPr>
        <w:t>שלא מוטבעת.</w:t>
      </w:r>
      <w:r>
        <w:rPr>
          <w:rFonts w:cs="David" w:hint="cs"/>
          <w:sz w:val="24"/>
          <w:szCs w:val="24"/>
          <w:rtl/>
        </w:rPr>
        <w:t xml:space="preserve"> כמו כן, לדבריו, ההרחבה המעוגלת המתוארת במטבעות מייצגת דיסק מעוגל (</w:t>
      </w:r>
      <w:r w:rsidRPr="006E438A">
        <w:rPr>
          <w:rFonts w:asciiTheme="majorBidi" w:hAnsiTheme="majorBidi" w:cstheme="majorBidi"/>
          <w:sz w:val="24"/>
          <w:szCs w:val="24"/>
        </w:rPr>
        <w:t>Pirouette</w:t>
      </w:r>
      <w:r>
        <w:rPr>
          <w:rFonts w:cs="David" w:hint="cs"/>
          <w:sz w:val="24"/>
          <w:szCs w:val="24"/>
          <w:rtl/>
        </w:rPr>
        <w:t xml:space="preserve">), המוצג מזווית אנכית (במבט מלמעלה, המאפשר להבחין בצורתו), המאפיין אף הוא את צורת הזאמר. לבסוף, הזאמר נזכר לראשונה בחיבור ערבי מן המאה השביעית, המכונה </w:t>
      </w:r>
      <w:r w:rsidRPr="00B1734A">
        <w:rPr>
          <w:rFonts w:asciiTheme="majorBidi" w:hAnsiTheme="majorBidi" w:cstheme="majorBidi"/>
          <w:sz w:val="24"/>
          <w:szCs w:val="24"/>
        </w:rPr>
        <w:t>"Kitab algani"</w:t>
      </w:r>
      <w:r>
        <w:rPr>
          <w:rFonts w:cs="David" w:hint="cs"/>
          <w:sz w:val="24"/>
          <w:szCs w:val="24"/>
          <w:rtl/>
        </w:rPr>
        <w:t xml:space="preserve">, ככלי שבו עושים שימוש השבטים היהודיים החיים באזור אל-חיג'אז שבמערב ערב הסעודית של ימינו. הדמיון הצורני הקיים לשיטתו בין הכלים שעל המטבעות לבין הזאמר הערבי מעלים בעיני זאקס את האפשרות לפיה אבובים מעין אלו התקיימו </w:t>
      </w:r>
      <w:r>
        <w:rPr>
          <w:rFonts w:cs="David" w:hint="cs"/>
          <w:sz w:val="24"/>
          <w:szCs w:val="24"/>
          <w:rtl/>
        </w:rPr>
        <w:lastRenderedPageBreak/>
        <w:t xml:space="preserve">כבר בארץ ישראל במאה השנייה </w:t>
      </w:r>
      <w:r w:rsidR="00F9033D">
        <w:rPr>
          <w:rFonts w:cs="David" w:hint="cs"/>
          <w:sz w:val="24"/>
          <w:szCs w:val="24"/>
          <w:rtl/>
        </w:rPr>
        <w:t>לסה"נ</w:t>
      </w:r>
      <w:r>
        <w:rPr>
          <w:rFonts w:cs="David" w:hint="cs"/>
          <w:sz w:val="24"/>
          <w:szCs w:val="24"/>
          <w:rtl/>
        </w:rPr>
        <w:t>, והם אלו המופיעים על המטבעות.</w:t>
      </w:r>
      <w:r>
        <w:rPr>
          <w:rStyle w:val="a5"/>
          <w:rFonts w:cs="David"/>
          <w:sz w:val="24"/>
          <w:szCs w:val="24"/>
          <w:rtl/>
        </w:rPr>
        <w:footnoteReference w:id="31"/>
      </w:r>
      <w:r>
        <w:rPr>
          <w:rFonts w:cs="David" w:hint="cs"/>
          <w:sz w:val="24"/>
          <w:szCs w:val="24"/>
          <w:rtl/>
        </w:rPr>
        <w:t xml:space="preserve"> </w:t>
      </w:r>
      <w:r w:rsidR="00A9581A">
        <w:rPr>
          <w:rFonts w:cs="David" w:hint="cs"/>
          <w:sz w:val="24"/>
          <w:szCs w:val="24"/>
          <w:rtl/>
        </w:rPr>
        <w:t xml:space="preserve">יואכים </w:t>
      </w:r>
      <w:r>
        <w:rPr>
          <w:rFonts w:cs="David" w:hint="cs"/>
          <w:sz w:val="24"/>
          <w:szCs w:val="24"/>
          <w:rtl/>
        </w:rPr>
        <w:t>בראון ו</w:t>
      </w:r>
      <w:r w:rsidR="00761A91">
        <w:rPr>
          <w:rFonts w:cs="David" w:hint="cs"/>
          <w:sz w:val="24"/>
          <w:szCs w:val="24"/>
          <w:rtl/>
        </w:rPr>
        <w:t>מירה</w:t>
      </w:r>
      <w:r>
        <w:rPr>
          <w:rFonts w:cs="David" w:hint="cs"/>
          <w:sz w:val="24"/>
          <w:szCs w:val="24"/>
          <w:rtl/>
        </w:rPr>
        <w:t xml:space="preserve"> וינר קיבלו את טענותיו של זאקס, ואף הוסיפו שרוחבו של הכלי המתואר על המטבעות וכן צורת הפעמון שבקצהו הרחב, מאפיינים דווקא כלי נשיפה בעלי לשונית נשיפה ממשפחת האבובים.</w:t>
      </w:r>
      <w:r>
        <w:rPr>
          <w:rStyle w:val="a5"/>
          <w:rFonts w:cs="David"/>
          <w:sz w:val="24"/>
          <w:szCs w:val="24"/>
          <w:rtl/>
        </w:rPr>
        <w:footnoteReference w:id="32"/>
      </w:r>
      <w:r>
        <w:rPr>
          <w:rFonts w:cs="David" w:hint="cs"/>
          <w:sz w:val="24"/>
          <w:szCs w:val="24"/>
          <w:rtl/>
        </w:rPr>
        <w:t xml:space="preserve"> לדעת וינר, הסיבה שבגללה הלשונית של אותם "אבובים" לא תוארה על המטבעות, נובעת מכך שהאומן שיצר את הדגם שעל המטבעות לא שם דגש על דיוק אורגנולוגי, והסתפק רק בתיאור כללי של הכלי. </w:t>
      </w:r>
    </w:p>
    <w:p w14:paraId="39E30E33" w14:textId="370C26C2" w:rsidR="003074AF" w:rsidRDefault="003074AF" w:rsidP="003074AF">
      <w:pPr>
        <w:spacing w:line="480" w:lineRule="auto"/>
        <w:jc w:val="both"/>
        <w:rPr>
          <w:rFonts w:cs="David"/>
          <w:sz w:val="24"/>
          <w:szCs w:val="24"/>
          <w:rtl/>
        </w:rPr>
      </w:pPr>
      <w:r>
        <w:rPr>
          <w:rFonts w:cs="David" w:hint="cs"/>
          <w:sz w:val="24"/>
          <w:szCs w:val="24"/>
          <w:rtl/>
        </w:rPr>
        <w:t>לדעתי, יש לדחות טענות אלו מכמה טעמים. ראשית, הטענה לפיה האומן שיצר את הדגם שעל המטבעות השמיט דווקא את צורת הלשונית של הכלי ולעומת זאת תאר את שאר חלקיו הינה בעייתית, כיוון שמדובר במרכיב חשוב של הכלי. ניתן אולי היה לטעון שהסיבה להשמטת צורת הלשונית נעוצה בקושי טכני לתאר את קוטרה הצר. אולם גם טענה זו נפסלת בשל העובדה שהדגמים וכן הכתובות שעל המטבעות נעשו לעיתים בשימוש בקווים דקים ביותר. שנית, קשה לראות בהרחבה המעוגלת המתוארת על המטבעות, דיסק</w:t>
      </w:r>
      <w:r w:rsidRPr="00AA7E16">
        <w:rPr>
          <w:rFonts w:cs="David" w:hint="cs"/>
          <w:sz w:val="24"/>
          <w:szCs w:val="24"/>
          <w:rtl/>
        </w:rPr>
        <w:t xml:space="preserve"> </w:t>
      </w:r>
      <w:r>
        <w:rPr>
          <w:rFonts w:cs="David" w:hint="cs"/>
          <w:sz w:val="24"/>
          <w:szCs w:val="24"/>
          <w:rtl/>
        </w:rPr>
        <w:t>המוצג מזווית אנכית (במבט מלמעלה), בשעה ששאר חלקי הכלי מתוארים מזווית אופקית (במבט מן הצד). בנוסף, כאמור, על גבי צינור הזאמר קיימים מספר נקבים ואילו בדגם שעל המטבעות לא ניכרים נקבים כלל. לבסוף, לא ניתן לראות בכך שהזאמר שמש בידי יהודים שחיו בערב הסעודית במאה השביעית</w:t>
      </w:r>
      <w:r w:rsidR="0069270F">
        <w:rPr>
          <w:rFonts w:cs="David" w:hint="cs"/>
          <w:sz w:val="24"/>
          <w:szCs w:val="24"/>
          <w:rtl/>
        </w:rPr>
        <w:t xml:space="preserve"> לסה"נ</w:t>
      </w:r>
      <w:r w:rsidR="0060475E">
        <w:rPr>
          <w:rFonts w:cs="David" w:hint="cs"/>
          <w:sz w:val="24"/>
          <w:szCs w:val="24"/>
          <w:rtl/>
        </w:rPr>
        <w:t>,</w:t>
      </w:r>
      <w:r>
        <w:rPr>
          <w:rFonts w:cs="David" w:hint="cs"/>
          <w:sz w:val="24"/>
          <w:szCs w:val="24"/>
          <w:rtl/>
        </w:rPr>
        <w:t xml:space="preserve"> עדות לכך שכלי זה שמש גם בידי יהודים שחיו בארץ ישראל, חמש מאות שנים קודם לכן, במאה השנייה </w:t>
      </w:r>
      <w:r w:rsidR="00F9033D">
        <w:rPr>
          <w:rFonts w:cs="David" w:hint="cs"/>
          <w:sz w:val="24"/>
          <w:szCs w:val="24"/>
          <w:rtl/>
        </w:rPr>
        <w:t>לסה"נ</w:t>
      </w:r>
      <w:r>
        <w:rPr>
          <w:rFonts w:cs="David" w:hint="cs"/>
          <w:sz w:val="24"/>
          <w:szCs w:val="24"/>
          <w:rtl/>
        </w:rPr>
        <w:t xml:space="preserve">.   </w:t>
      </w:r>
    </w:p>
    <w:p w14:paraId="56A491F8" w14:textId="3464359D" w:rsidR="003074AF" w:rsidRDefault="003074AF" w:rsidP="003074AF">
      <w:pPr>
        <w:spacing w:line="480" w:lineRule="auto"/>
        <w:jc w:val="both"/>
        <w:rPr>
          <w:rFonts w:cs="David"/>
          <w:sz w:val="24"/>
          <w:szCs w:val="24"/>
          <w:rtl/>
        </w:rPr>
      </w:pPr>
      <w:r>
        <w:rPr>
          <w:rFonts w:cs="David" w:hint="cs"/>
          <w:sz w:val="24"/>
          <w:szCs w:val="24"/>
          <w:rtl/>
        </w:rPr>
        <w:t>סייגים אלו וכן צורת הכלים המופיעים על המטבעות מחזקים בעיני את הטענה הרווחת במחקר שמדובר בצמד חצוצרות</w:t>
      </w:r>
      <w:r w:rsidR="005B7510">
        <w:rPr>
          <w:rFonts w:cs="David" w:hint="cs"/>
          <w:sz w:val="24"/>
          <w:szCs w:val="24"/>
          <w:rtl/>
        </w:rPr>
        <w:t xml:space="preserve"> מסוג המכונה "חצוצרות טבעיות"</w:t>
      </w:r>
      <w:r>
        <w:rPr>
          <w:rFonts w:cs="David" w:hint="cs"/>
          <w:sz w:val="24"/>
          <w:szCs w:val="24"/>
          <w:rtl/>
        </w:rPr>
        <w:t>.</w:t>
      </w:r>
      <w:r w:rsidR="008864AC">
        <w:rPr>
          <w:rStyle w:val="a5"/>
          <w:rFonts w:cs="David"/>
          <w:sz w:val="24"/>
          <w:szCs w:val="24"/>
          <w:rtl/>
        </w:rPr>
        <w:footnoteReference w:id="33"/>
      </w:r>
      <w:r>
        <w:rPr>
          <w:rFonts w:cs="David" w:hint="cs"/>
          <w:sz w:val="24"/>
          <w:szCs w:val="24"/>
          <w:rtl/>
        </w:rPr>
        <w:t xml:space="preserve"> יחד עם זאת, התיאור שעל המטבעות מעלה מספר שאלות, שידונו להלן. ראשית, טענתה של וינר לפיה האומן שיצר את הדגם שעל המטבעות לא ראה חשיבות בדיוק האורגנולוגי של אותם כלים מעלה את שאלת מהימנותו של הדגם המופיע במטבעות. בנוסף, עולה השאלה מניין נבע דגם החצוצרות שעל המטבעות, והאם ניתן לראות בו זכר לצורת החצוצרות ששמשו במקדש, או שמא מדובר בסוג חצוצרות שהמורדים הכירו ממציאות חייהם? </w:t>
      </w:r>
    </w:p>
    <w:p w14:paraId="03699690" w14:textId="77777777" w:rsidR="000A40F8" w:rsidRDefault="000A40F8" w:rsidP="003074AF">
      <w:pPr>
        <w:spacing w:line="480" w:lineRule="auto"/>
        <w:jc w:val="both"/>
        <w:rPr>
          <w:rFonts w:cs="David"/>
          <w:sz w:val="24"/>
          <w:szCs w:val="24"/>
          <w:rtl/>
        </w:rPr>
      </w:pPr>
    </w:p>
    <w:p w14:paraId="0280AFF6" w14:textId="33EC9F04" w:rsidR="003074AF" w:rsidRPr="00EE2203" w:rsidRDefault="00142A92" w:rsidP="003074AF">
      <w:pPr>
        <w:spacing w:line="480" w:lineRule="auto"/>
        <w:jc w:val="both"/>
        <w:rPr>
          <w:rFonts w:cs="David"/>
          <w:b/>
          <w:bCs/>
          <w:sz w:val="24"/>
          <w:szCs w:val="24"/>
          <w:rtl/>
        </w:rPr>
      </w:pPr>
      <w:r>
        <w:rPr>
          <w:rFonts w:cs="David" w:hint="cs"/>
          <w:b/>
          <w:bCs/>
          <w:sz w:val="24"/>
          <w:szCs w:val="24"/>
          <w:rtl/>
        </w:rPr>
        <w:lastRenderedPageBreak/>
        <w:t xml:space="preserve">ב. </w:t>
      </w:r>
      <w:r w:rsidR="003074AF" w:rsidRPr="00EE2203">
        <w:rPr>
          <w:rFonts w:cs="David" w:hint="cs"/>
          <w:b/>
          <w:bCs/>
          <w:sz w:val="24"/>
          <w:szCs w:val="24"/>
          <w:rtl/>
        </w:rPr>
        <w:t xml:space="preserve">מהימנות </w:t>
      </w:r>
      <w:r w:rsidR="003074AF">
        <w:rPr>
          <w:rFonts w:cs="David" w:hint="cs"/>
          <w:b/>
          <w:bCs/>
          <w:sz w:val="24"/>
          <w:szCs w:val="24"/>
          <w:rtl/>
        </w:rPr>
        <w:t>דגם</w:t>
      </w:r>
      <w:r w:rsidR="003074AF" w:rsidRPr="00EE2203">
        <w:rPr>
          <w:rFonts w:cs="David" w:hint="cs"/>
          <w:b/>
          <w:bCs/>
          <w:sz w:val="24"/>
          <w:szCs w:val="24"/>
          <w:rtl/>
        </w:rPr>
        <w:t xml:space="preserve"> החצוצרות על המטבעות</w:t>
      </w:r>
      <w:r w:rsidR="003074AF">
        <w:rPr>
          <w:rFonts w:cs="David" w:hint="cs"/>
          <w:b/>
          <w:bCs/>
          <w:sz w:val="24"/>
          <w:szCs w:val="24"/>
          <w:rtl/>
        </w:rPr>
        <w:t xml:space="preserve"> </w:t>
      </w:r>
    </w:p>
    <w:p w14:paraId="1DEB342E" w14:textId="77777777" w:rsidR="003074AF" w:rsidRDefault="003074AF" w:rsidP="003074AF">
      <w:pPr>
        <w:spacing w:after="80" w:line="480" w:lineRule="auto"/>
        <w:jc w:val="both"/>
        <w:rPr>
          <w:rFonts w:cs="David"/>
          <w:sz w:val="24"/>
          <w:szCs w:val="24"/>
          <w:rtl/>
        </w:rPr>
      </w:pPr>
      <w:r>
        <w:rPr>
          <w:rFonts w:cs="David" w:hint="cs"/>
          <w:sz w:val="24"/>
          <w:szCs w:val="24"/>
          <w:rtl/>
        </w:rPr>
        <w:t>שאלת מהימנותו של דגם החצוצרות שעל מטבעות בר-כוכבא, קשורה לשאלת מהימנותם של כלל הדגמים שעל אותם מטבעות, והיא נידונה במחקר בהרחבה. הדגם שזכה לתשומת הלב המחקרית הרבה ביותר מופיע על גבי סלעי ושקלי הכסף שטבעו המורדים, והוא מציג חזית של מבנה בעל ארבעה עמודים ובמרכזו מופיע חפץ שזהותו אינה ברורה.</w:t>
      </w:r>
      <w:r w:rsidRPr="003A351A">
        <w:rPr>
          <w:rFonts w:cs="David" w:hint="cs"/>
          <w:sz w:val="24"/>
          <w:szCs w:val="24"/>
          <w:rtl/>
        </w:rPr>
        <w:t xml:space="preserve"> </w:t>
      </w:r>
      <w:r>
        <w:rPr>
          <w:rFonts w:cs="David" w:hint="cs"/>
          <w:sz w:val="24"/>
          <w:szCs w:val="24"/>
          <w:rtl/>
        </w:rPr>
        <w:t>קיימות דעות רבות באשר למשמעותו של תיאור זה, אשר לא ניתן יהיה להכריע ביניהן.</w:t>
      </w:r>
      <w:r>
        <w:rPr>
          <w:rStyle w:val="a5"/>
          <w:rFonts w:cs="David"/>
          <w:sz w:val="24"/>
          <w:szCs w:val="24"/>
          <w:rtl/>
        </w:rPr>
        <w:footnoteReference w:id="34"/>
      </w:r>
    </w:p>
    <w:p w14:paraId="633D8AF3" w14:textId="77777777" w:rsidR="003074AF" w:rsidRDefault="003074AF" w:rsidP="003074AF">
      <w:pPr>
        <w:spacing w:after="0" w:line="480" w:lineRule="auto"/>
        <w:jc w:val="center"/>
        <w:rPr>
          <w:rFonts w:cs="David"/>
          <w:sz w:val="24"/>
          <w:szCs w:val="24"/>
          <w:rtl/>
        </w:rPr>
      </w:pPr>
      <w:r>
        <w:rPr>
          <w:rFonts w:cs="David"/>
          <w:noProof/>
          <w:sz w:val="24"/>
          <w:szCs w:val="24"/>
          <w:rtl/>
          <w:lang w:val="he-IL"/>
        </w:rPr>
        <w:drawing>
          <wp:inline distT="0" distB="0" distL="0" distR="0" wp14:anchorId="24C958C5" wp14:editId="5B5F3743">
            <wp:extent cx="1377906" cy="1200760"/>
            <wp:effectExtent l="0" t="0" r="0" b="0"/>
            <wp:docPr id="74" name="תמונה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kedיייי_LI.jpg"/>
                    <pic:cNvPicPr/>
                  </pic:nvPicPr>
                  <pic:blipFill rotWithShape="1">
                    <a:blip r:embed="rId10" cstate="print">
                      <a:extLst>
                        <a:ext uri="{28A0092B-C50C-407E-A947-70E740481C1C}">
                          <a14:useLocalDpi xmlns:a14="http://schemas.microsoft.com/office/drawing/2010/main" val="0"/>
                        </a:ext>
                      </a:extLst>
                    </a:blip>
                    <a:srcRect t="4156" b="2545"/>
                    <a:stretch/>
                  </pic:blipFill>
                  <pic:spPr bwMode="auto">
                    <a:xfrm>
                      <a:off x="0" y="0"/>
                      <a:ext cx="1406120" cy="1225346"/>
                    </a:xfrm>
                    <a:prstGeom prst="rect">
                      <a:avLst/>
                    </a:prstGeom>
                    <a:ln>
                      <a:noFill/>
                    </a:ln>
                    <a:extLst>
                      <a:ext uri="{53640926-AAD7-44D8-BBD7-CCE9431645EC}">
                        <a14:shadowObscured xmlns:a14="http://schemas.microsoft.com/office/drawing/2010/main"/>
                      </a:ext>
                    </a:extLst>
                  </pic:spPr>
                </pic:pic>
              </a:graphicData>
            </a:graphic>
          </wp:inline>
        </w:drawing>
      </w:r>
    </w:p>
    <w:p w14:paraId="4B086CA3" w14:textId="77777777" w:rsidR="003074AF" w:rsidRDefault="003074AF" w:rsidP="008D1DDE">
      <w:pPr>
        <w:spacing w:after="120" w:line="480" w:lineRule="auto"/>
        <w:jc w:val="center"/>
        <w:rPr>
          <w:rFonts w:cs="David"/>
          <w:sz w:val="24"/>
          <w:szCs w:val="24"/>
          <w:rtl/>
        </w:rPr>
      </w:pPr>
      <w:r w:rsidRPr="00C363DE">
        <w:rPr>
          <w:rFonts w:cs="David" w:hint="cs"/>
          <w:sz w:val="20"/>
          <w:szCs w:val="20"/>
          <w:rtl/>
        </w:rPr>
        <w:t>סלע כסף מן השנה הראשונה למרד.</w:t>
      </w:r>
      <w:r>
        <w:rPr>
          <w:rStyle w:val="a5"/>
          <w:rFonts w:cs="David"/>
          <w:sz w:val="24"/>
          <w:szCs w:val="24"/>
          <w:rtl/>
        </w:rPr>
        <w:footnoteReference w:id="35"/>
      </w:r>
    </w:p>
    <w:p w14:paraId="1D3C7352" w14:textId="0C98CF26" w:rsidR="003074AF" w:rsidRDefault="003074AF" w:rsidP="003074AF">
      <w:pPr>
        <w:spacing w:line="480" w:lineRule="auto"/>
        <w:jc w:val="both"/>
        <w:rPr>
          <w:rFonts w:cs="David"/>
          <w:sz w:val="24"/>
          <w:szCs w:val="24"/>
          <w:rtl/>
        </w:rPr>
      </w:pPr>
      <w:r>
        <w:rPr>
          <w:rFonts w:cs="David" w:hint="cs"/>
          <w:sz w:val="24"/>
          <w:szCs w:val="24"/>
          <w:rtl/>
        </w:rPr>
        <w:t xml:space="preserve">לדעת </w:t>
      </w:r>
      <w:r w:rsidR="00DD6775">
        <w:rPr>
          <w:rFonts w:cs="David" w:hint="cs"/>
          <w:sz w:val="24"/>
          <w:szCs w:val="24"/>
          <w:rtl/>
        </w:rPr>
        <w:t>ז</w:t>
      </w:r>
      <w:r w:rsidR="00DD6775">
        <w:rPr>
          <w:rFonts w:ascii="David" w:hAnsi="David" w:cs="David"/>
          <w:sz w:val="24"/>
          <w:szCs w:val="24"/>
          <w:rtl/>
        </w:rPr>
        <w:t>ֹ</w:t>
      </w:r>
      <w:r w:rsidR="00DD6775">
        <w:rPr>
          <w:rFonts w:cs="David" w:hint="cs"/>
          <w:sz w:val="24"/>
          <w:szCs w:val="24"/>
          <w:rtl/>
        </w:rPr>
        <w:t xml:space="preserve">הר </w:t>
      </w:r>
      <w:r>
        <w:rPr>
          <w:rFonts w:cs="David" w:hint="cs"/>
          <w:sz w:val="24"/>
          <w:szCs w:val="24"/>
          <w:rtl/>
        </w:rPr>
        <w:t xml:space="preserve">עמר, דגם חזית המקדש ודגמי כלי הנגינה הינם תיאורים סכמטיים שאינם משקפים זיכרון היסטורי מימי המקדש. לעומת זאת, הדגמים הקשורים למצוות שהמשיכו להתקיים לאחר חורבן </w:t>
      </w:r>
      <w:r w:rsidRPr="00223017">
        <w:rPr>
          <w:rFonts w:cs="David" w:hint="cs"/>
          <w:spacing w:val="-2"/>
          <w:sz w:val="24"/>
          <w:szCs w:val="24"/>
          <w:rtl/>
        </w:rPr>
        <w:t>הבית כמו נטילת ארבעת המינים, נעשו בדייקנות רבה</w:t>
      </w:r>
      <w:r>
        <w:rPr>
          <w:rFonts w:cs="David" w:hint="cs"/>
          <w:sz w:val="24"/>
          <w:szCs w:val="24"/>
          <w:rtl/>
        </w:rPr>
        <w:t>.</w:t>
      </w:r>
      <w:r>
        <w:rPr>
          <w:rStyle w:val="a5"/>
          <w:rFonts w:cs="David"/>
          <w:sz w:val="24"/>
          <w:szCs w:val="24"/>
          <w:rtl/>
        </w:rPr>
        <w:footnoteReference w:id="36"/>
      </w:r>
      <w:r>
        <w:rPr>
          <w:rFonts w:cs="David" w:hint="cs"/>
          <w:sz w:val="24"/>
          <w:szCs w:val="24"/>
          <w:rtl/>
        </w:rPr>
        <w:t xml:space="preserve"> </w:t>
      </w:r>
      <w:r w:rsidRPr="00C053C6">
        <w:rPr>
          <w:rFonts w:cs="David" w:hint="cs"/>
          <w:spacing w:val="-2"/>
          <w:sz w:val="24"/>
          <w:szCs w:val="24"/>
          <w:rtl/>
        </w:rPr>
        <w:t xml:space="preserve">אם נקבל טענה זו, יתכן שתיאור החצוצרות שעל המטבעות אינו משקף את צורת החצוצרות ששמשו במקדש, אלא את צורת החצוצרות </w:t>
      </w:r>
      <w:r>
        <w:rPr>
          <w:rFonts w:cs="David" w:hint="cs"/>
          <w:sz w:val="24"/>
          <w:szCs w:val="24"/>
          <w:rtl/>
        </w:rPr>
        <w:t xml:space="preserve">שרווחו במרחב הארץ ישראלי במאה השנייה </w:t>
      </w:r>
      <w:r w:rsidR="00F9033D">
        <w:rPr>
          <w:rFonts w:cs="David" w:hint="cs"/>
          <w:sz w:val="24"/>
          <w:szCs w:val="24"/>
          <w:rtl/>
        </w:rPr>
        <w:t>לסה"נ</w:t>
      </w:r>
      <w:r>
        <w:rPr>
          <w:rFonts w:cs="David" w:hint="cs"/>
          <w:sz w:val="24"/>
          <w:szCs w:val="24"/>
          <w:rtl/>
        </w:rPr>
        <w:t xml:space="preserve"> והיו מוכרות למורדים ממציאות חייהם. הצעה זו מקבלת חיזוק מטענתו של </w:t>
      </w:r>
      <w:r w:rsidR="00E8672C">
        <w:rPr>
          <w:rFonts w:cs="David" w:hint="cs"/>
          <w:sz w:val="24"/>
          <w:szCs w:val="24"/>
          <w:rtl/>
        </w:rPr>
        <w:t xml:space="preserve">בו </w:t>
      </w:r>
      <w:r>
        <w:rPr>
          <w:rFonts w:cs="David" w:hint="cs"/>
          <w:sz w:val="24"/>
          <w:szCs w:val="24"/>
          <w:rtl/>
        </w:rPr>
        <w:t xml:space="preserve">לוורגרן, לפיה דגמי הנבל והכינור שעל המטבעות דומים לתיאורים של כלי פריטה שונים המופיעים על גבי </w:t>
      </w:r>
      <w:r>
        <w:rPr>
          <w:rFonts w:asciiTheme="minorBidi" w:hAnsiTheme="minorBidi" w:cs="David" w:hint="cs"/>
          <w:sz w:val="24"/>
          <w:szCs w:val="24"/>
          <w:rtl/>
        </w:rPr>
        <w:t xml:space="preserve">ארונות קבורה רומיים מן המאה השנייה והמאה השלישית </w:t>
      </w:r>
      <w:r w:rsidR="00F9033D">
        <w:rPr>
          <w:rFonts w:asciiTheme="minorBidi" w:hAnsiTheme="minorBidi" w:cs="David" w:hint="cs"/>
          <w:sz w:val="24"/>
          <w:szCs w:val="24"/>
          <w:rtl/>
        </w:rPr>
        <w:t>לסה"נ</w:t>
      </w:r>
      <w:r>
        <w:rPr>
          <w:rFonts w:cs="David" w:hint="cs"/>
          <w:sz w:val="24"/>
          <w:szCs w:val="24"/>
          <w:rtl/>
        </w:rPr>
        <w:t>.</w:t>
      </w:r>
      <w:r>
        <w:rPr>
          <w:rStyle w:val="a5"/>
          <w:rFonts w:cs="David"/>
          <w:sz w:val="24"/>
          <w:szCs w:val="24"/>
          <w:rtl/>
        </w:rPr>
        <w:footnoteReference w:id="37"/>
      </w:r>
      <w:r>
        <w:rPr>
          <w:rFonts w:cs="David" w:hint="cs"/>
          <w:sz w:val="24"/>
          <w:szCs w:val="24"/>
          <w:rtl/>
        </w:rPr>
        <w:t xml:space="preserve"> כפי שאראה להלן, על גבי אותם ארונות מופיעים גם תיאורים של כלי נשיפה שיש לזהותם מבחינה מורפולוגית כחצוצרות</w:t>
      </w:r>
      <w:r w:rsidR="00715D72">
        <w:rPr>
          <w:rFonts w:cs="David" w:hint="cs"/>
          <w:sz w:val="24"/>
          <w:szCs w:val="24"/>
          <w:rtl/>
        </w:rPr>
        <w:t xml:space="preserve"> טבעיות</w:t>
      </w:r>
      <w:r>
        <w:rPr>
          <w:rFonts w:cs="David" w:hint="cs"/>
          <w:sz w:val="24"/>
          <w:szCs w:val="24"/>
          <w:rtl/>
        </w:rPr>
        <w:t xml:space="preserve">, הדומות מאוד בצורתן לאלו המתוארות על גבי המטבעות. </w:t>
      </w:r>
    </w:p>
    <w:p w14:paraId="3320DCEB" w14:textId="5064EF55" w:rsidR="003074AF" w:rsidRDefault="003074AF" w:rsidP="003074AF">
      <w:pPr>
        <w:spacing w:line="480" w:lineRule="auto"/>
        <w:jc w:val="both"/>
        <w:rPr>
          <w:rFonts w:cs="David"/>
          <w:sz w:val="24"/>
          <w:szCs w:val="24"/>
          <w:rtl/>
        </w:rPr>
      </w:pPr>
      <w:r>
        <w:rPr>
          <w:rFonts w:cs="David" w:hint="cs"/>
          <w:sz w:val="24"/>
          <w:szCs w:val="24"/>
          <w:rtl/>
        </w:rPr>
        <w:lastRenderedPageBreak/>
        <w:t xml:space="preserve">החצוצרות שעל הארונות מורכבות משלושה חלקים. בחלק הצר ניתן להבחין בפיה. בסמוך לפיה קיימת הרחבה מעוגלת. </w:t>
      </w:r>
      <w:r>
        <w:rPr>
          <w:rFonts w:asciiTheme="majorBidi" w:hAnsiTheme="majorBidi" w:cs="David" w:hint="cs"/>
          <w:sz w:val="24"/>
          <w:szCs w:val="24"/>
          <w:rtl/>
        </w:rPr>
        <w:t>חיבור חלקי כלי הנשיפה בעת ההיא לא נעשה באמצעות הלחמה, אלא באמצעות טבעות מתכת (</w:t>
      </w:r>
      <w:r>
        <w:rPr>
          <w:rFonts w:asciiTheme="majorBidi" w:hAnsiTheme="majorBidi" w:cs="David"/>
          <w:sz w:val="24"/>
          <w:szCs w:val="24"/>
        </w:rPr>
        <w:t>"Ring Anchor"</w:t>
      </w:r>
      <w:r>
        <w:rPr>
          <w:rFonts w:asciiTheme="majorBidi" w:hAnsiTheme="majorBidi" w:cs="David" w:hint="cs"/>
          <w:sz w:val="24"/>
          <w:szCs w:val="24"/>
          <w:rtl/>
        </w:rPr>
        <w:t xml:space="preserve">), או באמצעות רצועות מתכת שהצמידו את החלקים זה לזה. לעיתים, בשלב שני כיסו בעלי המלאכה את אזור החיבור באמצעות אלמנט עיטורי חלול בעל צורה עגולה העשוי ממתכת, המכונה </w:t>
      </w:r>
      <w:r w:rsidRPr="005F0610">
        <w:rPr>
          <w:rFonts w:asciiTheme="majorBidi" w:hAnsiTheme="majorBidi" w:cstheme="majorBidi"/>
          <w:sz w:val="24"/>
          <w:szCs w:val="24"/>
          <w:rtl/>
        </w:rPr>
        <w:t>"</w:t>
      </w:r>
      <w:r w:rsidRPr="005F0610">
        <w:rPr>
          <w:rFonts w:asciiTheme="majorBidi" w:hAnsiTheme="majorBidi" w:cstheme="majorBidi"/>
          <w:sz w:val="24"/>
          <w:szCs w:val="24"/>
        </w:rPr>
        <w:t>Ball</w:t>
      </w:r>
      <w:r w:rsidRPr="005F0610">
        <w:rPr>
          <w:rFonts w:asciiTheme="majorBidi" w:hAnsiTheme="majorBidi" w:cstheme="majorBidi"/>
          <w:sz w:val="24"/>
          <w:szCs w:val="24"/>
          <w:rtl/>
        </w:rPr>
        <w:t>"</w:t>
      </w:r>
      <w:r>
        <w:rPr>
          <w:rFonts w:asciiTheme="majorBidi" w:hAnsiTheme="majorBidi" w:cs="David" w:hint="cs"/>
          <w:sz w:val="24"/>
          <w:szCs w:val="24"/>
          <w:rtl/>
        </w:rPr>
        <w:t xml:space="preserve"> או </w:t>
      </w:r>
      <w:r w:rsidRPr="005F0610">
        <w:rPr>
          <w:rFonts w:asciiTheme="majorBidi" w:hAnsiTheme="majorBidi" w:cstheme="majorBidi"/>
          <w:sz w:val="24"/>
          <w:szCs w:val="24"/>
          <w:rtl/>
        </w:rPr>
        <w:t>"</w:t>
      </w:r>
      <w:r w:rsidRPr="005F0610">
        <w:rPr>
          <w:rFonts w:asciiTheme="majorBidi" w:hAnsiTheme="majorBidi" w:cstheme="majorBidi"/>
          <w:sz w:val="24"/>
          <w:szCs w:val="24"/>
        </w:rPr>
        <w:t>Pommel</w:t>
      </w:r>
      <w:r w:rsidRPr="005F0610">
        <w:rPr>
          <w:rFonts w:asciiTheme="majorBidi" w:hAnsiTheme="majorBidi" w:cstheme="majorBidi"/>
          <w:sz w:val="24"/>
          <w:szCs w:val="24"/>
          <w:rtl/>
        </w:rPr>
        <w:t>"</w:t>
      </w:r>
      <w:r>
        <w:rPr>
          <w:rFonts w:asciiTheme="majorBidi" w:hAnsiTheme="majorBidi" w:cs="David" w:hint="cs"/>
          <w:sz w:val="24"/>
          <w:szCs w:val="24"/>
          <w:rtl/>
        </w:rPr>
        <w:t>. על אף שלאלמנט זה לא היה תפקיד אקוסטי, יתכן והוא הקל על האחיזה בכלי בעת הנשיפה.</w:t>
      </w:r>
      <w:r>
        <w:rPr>
          <w:rStyle w:val="a5"/>
          <w:rFonts w:asciiTheme="majorBidi" w:hAnsiTheme="majorBidi" w:cs="David"/>
          <w:sz w:val="24"/>
          <w:szCs w:val="24"/>
          <w:rtl/>
        </w:rPr>
        <w:footnoteReference w:id="38"/>
      </w:r>
      <w:r>
        <w:rPr>
          <w:rFonts w:cs="David" w:hint="cs"/>
          <w:sz w:val="24"/>
          <w:szCs w:val="24"/>
          <w:rtl/>
        </w:rPr>
        <w:t xml:space="preserve"> לדעתי, ההרחבה המעוגלת המופיעה בתיאורי החצוצרות שעל אותם ארונות קבורה היא אותו אלמנט עיטורי אשר שמש לכיסוי מקום החיבור בין הפיה לבין גוף הכלי. החלק השלישי של אותן חצוצרות הינו גוף הכלי שנעשה מצינור צילינדרי ההולך ומתרחב בהדרגה לקראת קצהו לכדי צורת פעמון.   </w:t>
      </w:r>
    </w:p>
    <w:p w14:paraId="0EC7EBD5" w14:textId="77777777" w:rsidR="003074AF" w:rsidRDefault="003074AF" w:rsidP="003074AF">
      <w:pPr>
        <w:spacing w:after="120" w:line="480" w:lineRule="auto"/>
        <w:jc w:val="center"/>
        <w:rPr>
          <w:rFonts w:cs="David"/>
          <w:sz w:val="20"/>
          <w:szCs w:val="20"/>
        </w:rPr>
      </w:pPr>
      <w:r w:rsidRPr="00065B90">
        <w:rPr>
          <w:noProof/>
          <w:rtl/>
        </w:rPr>
        <w:drawing>
          <wp:inline distT="0" distB="0" distL="0" distR="0" wp14:anchorId="6ED7D9EE" wp14:editId="69D0826F">
            <wp:extent cx="4976252" cy="1433579"/>
            <wp:effectExtent l="0" t="0" r="0" b="0"/>
            <wp:docPr id="75" name="Picture 14" descr="C:\Users\libg1\Desktop\2017-11 (נוב)\scan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bg1\Desktop\2017-11 (נוב)\scan001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87" t="3758" r="1320" b="4952"/>
                    <a:stretch/>
                  </pic:blipFill>
                  <pic:spPr bwMode="auto">
                    <a:xfrm>
                      <a:off x="0" y="0"/>
                      <a:ext cx="5399745" cy="1555581"/>
                    </a:xfrm>
                    <a:prstGeom prst="rect">
                      <a:avLst/>
                    </a:prstGeom>
                    <a:noFill/>
                    <a:ln>
                      <a:noFill/>
                    </a:ln>
                    <a:extLst>
                      <a:ext uri="{53640926-AAD7-44D8-BBD7-CCE9431645EC}">
                        <a14:shadowObscured xmlns:a14="http://schemas.microsoft.com/office/drawing/2010/main"/>
                      </a:ext>
                    </a:extLst>
                  </pic:spPr>
                </pic:pic>
              </a:graphicData>
            </a:graphic>
          </wp:inline>
        </w:drawing>
      </w:r>
    </w:p>
    <w:p w14:paraId="26AEF04B" w14:textId="06C6EC82" w:rsidR="003074AF" w:rsidRDefault="003074AF" w:rsidP="00701900">
      <w:pPr>
        <w:spacing w:line="480" w:lineRule="auto"/>
        <w:ind w:left="284" w:right="284"/>
        <w:jc w:val="center"/>
        <w:rPr>
          <w:rFonts w:cs="David"/>
          <w:sz w:val="24"/>
          <w:szCs w:val="24"/>
          <w:rtl/>
        </w:rPr>
      </w:pPr>
      <w:r w:rsidRPr="006C382C">
        <w:rPr>
          <w:rFonts w:cs="David" w:hint="cs"/>
          <w:sz w:val="20"/>
          <w:szCs w:val="20"/>
          <w:rtl/>
        </w:rPr>
        <w:t xml:space="preserve">ארון קבורה רומי המתוארך למאה השנייה או למאה השלישית </w:t>
      </w:r>
      <w:r w:rsidR="00F9033D">
        <w:rPr>
          <w:rFonts w:cs="David" w:hint="cs"/>
          <w:sz w:val="20"/>
          <w:szCs w:val="20"/>
          <w:rtl/>
        </w:rPr>
        <w:t>לסה"נ</w:t>
      </w:r>
      <w:r>
        <w:rPr>
          <w:rFonts w:cs="David" w:hint="cs"/>
          <w:sz w:val="20"/>
          <w:szCs w:val="20"/>
          <w:rtl/>
        </w:rPr>
        <w:t>,</w:t>
      </w:r>
      <w:r w:rsidRPr="006C382C">
        <w:rPr>
          <w:rFonts w:cs="David" w:hint="cs"/>
          <w:sz w:val="20"/>
          <w:szCs w:val="20"/>
          <w:rtl/>
        </w:rPr>
        <w:t xml:space="preserve"> ועליו תיאור תשע המוזות. הארון נמצא במוזיאון </w:t>
      </w:r>
      <w:r w:rsidRPr="006C382C">
        <w:rPr>
          <w:rFonts w:asciiTheme="majorBidi" w:hAnsiTheme="majorBidi" w:cstheme="majorBidi"/>
          <w:sz w:val="20"/>
          <w:szCs w:val="20"/>
        </w:rPr>
        <w:t>Ermitage</w:t>
      </w:r>
      <w:r w:rsidRPr="006C382C">
        <w:rPr>
          <w:rFonts w:cs="David" w:hint="cs"/>
          <w:sz w:val="20"/>
          <w:szCs w:val="20"/>
          <w:rtl/>
        </w:rPr>
        <w:t>, שבעיר לנינגרד</w:t>
      </w:r>
      <w:r>
        <w:rPr>
          <w:rFonts w:cs="David" w:hint="cs"/>
          <w:sz w:val="20"/>
          <w:szCs w:val="20"/>
          <w:rtl/>
        </w:rPr>
        <w:t>.</w:t>
      </w:r>
      <w:r>
        <w:rPr>
          <w:rStyle w:val="a5"/>
          <w:rFonts w:cs="David"/>
          <w:sz w:val="20"/>
          <w:szCs w:val="20"/>
          <w:rtl/>
        </w:rPr>
        <w:footnoteReference w:id="39"/>
      </w:r>
      <w:r>
        <w:rPr>
          <w:rFonts w:cs="David" w:hint="cs"/>
          <w:sz w:val="20"/>
          <w:szCs w:val="20"/>
          <w:rtl/>
        </w:rPr>
        <w:t xml:space="preserve"> המוזה השלישית מצד שמאל אוחזת בשתי חצוצרות זהות.</w:t>
      </w:r>
    </w:p>
    <w:p w14:paraId="204543A4" w14:textId="77777777" w:rsidR="003074AF" w:rsidRDefault="003074AF" w:rsidP="003074AF">
      <w:pPr>
        <w:spacing w:after="120" w:line="480" w:lineRule="auto"/>
        <w:jc w:val="center"/>
        <w:rPr>
          <w:rFonts w:cs="David"/>
          <w:sz w:val="24"/>
          <w:szCs w:val="24"/>
          <w:rtl/>
        </w:rPr>
      </w:pPr>
      <w:r w:rsidRPr="00065B90">
        <w:rPr>
          <w:noProof/>
          <w:rtl/>
        </w:rPr>
        <w:drawing>
          <wp:inline distT="0" distB="0" distL="0" distR="0" wp14:anchorId="7F28C9A4" wp14:editId="5ACC994E">
            <wp:extent cx="2631440" cy="1604513"/>
            <wp:effectExtent l="0" t="0" r="0" b="0"/>
            <wp:docPr id="76" name="Picture 14" descr="C:\Users\libg1\Desktop\2017-11 (נוב)\scan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bg1\Desktop\2017-11 (נוב)\scan001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366" t="39880" r="63156" b="37368"/>
                    <a:stretch/>
                  </pic:blipFill>
                  <pic:spPr bwMode="auto">
                    <a:xfrm>
                      <a:off x="0" y="0"/>
                      <a:ext cx="2883425" cy="1758160"/>
                    </a:xfrm>
                    <a:prstGeom prst="rect">
                      <a:avLst/>
                    </a:prstGeom>
                    <a:noFill/>
                    <a:ln>
                      <a:noFill/>
                    </a:ln>
                    <a:extLst>
                      <a:ext uri="{53640926-AAD7-44D8-BBD7-CCE9431645EC}">
                        <a14:shadowObscured xmlns:a14="http://schemas.microsoft.com/office/drawing/2010/main"/>
                      </a:ext>
                    </a:extLst>
                  </pic:spPr>
                </pic:pic>
              </a:graphicData>
            </a:graphic>
          </wp:inline>
        </w:drawing>
      </w:r>
    </w:p>
    <w:p w14:paraId="1C40AE9E" w14:textId="77777777" w:rsidR="003074AF" w:rsidRPr="00552DCF" w:rsidRDefault="003074AF" w:rsidP="003074AF">
      <w:pPr>
        <w:spacing w:line="480" w:lineRule="auto"/>
        <w:ind w:left="964" w:right="964"/>
        <w:jc w:val="both"/>
        <w:rPr>
          <w:rFonts w:cs="David"/>
          <w:sz w:val="20"/>
          <w:szCs w:val="20"/>
          <w:rtl/>
        </w:rPr>
      </w:pPr>
      <w:r w:rsidRPr="00552DCF">
        <w:rPr>
          <w:rFonts w:cs="David" w:hint="cs"/>
          <w:sz w:val="20"/>
          <w:szCs w:val="20"/>
          <w:rtl/>
        </w:rPr>
        <w:t xml:space="preserve">במבט מקרוב ניתן להבחין בצורתה של הפיה, בהרחבה </w:t>
      </w:r>
      <w:r>
        <w:rPr>
          <w:rFonts w:cs="David" w:hint="cs"/>
          <w:sz w:val="20"/>
          <w:szCs w:val="20"/>
          <w:rtl/>
        </w:rPr>
        <w:t xml:space="preserve">העיטורית </w:t>
      </w:r>
      <w:r w:rsidRPr="00552DCF">
        <w:rPr>
          <w:rFonts w:cs="David" w:hint="cs"/>
          <w:sz w:val="20"/>
          <w:szCs w:val="20"/>
          <w:rtl/>
        </w:rPr>
        <w:t>המעוגלת</w:t>
      </w:r>
      <w:r>
        <w:rPr>
          <w:rFonts w:cs="David" w:hint="cs"/>
          <w:sz w:val="20"/>
          <w:szCs w:val="20"/>
          <w:rtl/>
        </w:rPr>
        <w:t xml:space="preserve"> הסמוכה לה ("</w:t>
      </w:r>
      <w:r w:rsidRPr="00C04F4B">
        <w:rPr>
          <w:rFonts w:asciiTheme="majorBidi" w:hAnsiTheme="majorBidi" w:cstheme="majorBidi"/>
          <w:sz w:val="20"/>
          <w:szCs w:val="20"/>
        </w:rPr>
        <w:t>Ball</w:t>
      </w:r>
      <w:r>
        <w:rPr>
          <w:rFonts w:cs="David" w:hint="cs"/>
          <w:sz w:val="20"/>
          <w:szCs w:val="20"/>
          <w:rtl/>
        </w:rPr>
        <w:t>")</w:t>
      </w:r>
      <w:r w:rsidRPr="00552DCF">
        <w:rPr>
          <w:rFonts w:cs="David" w:hint="cs"/>
          <w:sz w:val="20"/>
          <w:szCs w:val="20"/>
          <w:rtl/>
        </w:rPr>
        <w:t>,</w:t>
      </w:r>
      <w:r>
        <w:rPr>
          <w:rFonts w:cs="David" w:hint="cs"/>
          <w:sz w:val="20"/>
          <w:szCs w:val="20"/>
          <w:rtl/>
        </w:rPr>
        <w:t xml:space="preserve"> </w:t>
      </w:r>
      <w:r>
        <w:rPr>
          <w:rFonts w:asciiTheme="minorBidi" w:hAnsiTheme="minorBidi" w:cs="David" w:hint="cs"/>
          <w:sz w:val="20"/>
          <w:szCs w:val="20"/>
          <w:rtl/>
        </w:rPr>
        <w:t xml:space="preserve">המשמשת ככל הנראה לכסות את אזור החיבור בין חלק הפיה לבין החלק הצר של גוף הכלי, ובגוף הכלי עצמו (וכך גם בכל התמונות שיובאו להלן). </w:t>
      </w:r>
    </w:p>
    <w:p w14:paraId="7877942C" w14:textId="77777777" w:rsidR="003074AF" w:rsidRDefault="003074AF" w:rsidP="003074AF">
      <w:pPr>
        <w:spacing w:after="120" w:line="480" w:lineRule="auto"/>
        <w:jc w:val="center"/>
        <w:rPr>
          <w:rFonts w:cs="David"/>
          <w:sz w:val="24"/>
          <w:szCs w:val="24"/>
          <w:rtl/>
        </w:rPr>
      </w:pPr>
      <w:r w:rsidRPr="004A470D">
        <w:rPr>
          <w:noProof/>
          <w:rtl/>
        </w:rPr>
        <w:lastRenderedPageBreak/>
        <w:drawing>
          <wp:inline distT="0" distB="0" distL="0" distR="0" wp14:anchorId="76222192" wp14:editId="166ECEE2">
            <wp:extent cx="3964158" cy="1733909"/>
            <wp:effectExtent l="0" t="0" r="0" b="0"/>
            <wp:docPr id="77" name="Picture 15" descr="C:\Users\libg1\Desktop\2017-11 (נוב)\sca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bg1\Desktop\2017-11 (נוב)\scan000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931" b="6905"/>
                    <a:stretch/>
                  </pic:blipFill>
                  <pic:spPr bwMode="auto">
                    <a:xfrm>
                      <a:off x="0" y="0"/>
                      <a:ext cx="4101437" cy="1793954"/>
                    </a:xfrm>
                    <a:prstGeom prst="rect">
                      <a:avLst/>
                    </a:prstGeom>
                    <a:noFill/>
                    <a:ln>
                      <a:noFill/>
                    </a:ln>
                    <a:extLst>
                      <a:ext uri="{53640926-AAD7-44D8-BBD7-CCE9431645EC}">
                        <a14:shadowObscured xmlns:a14="http://schemas.microsoft.com/office/drawing/2010/main"/>
                      </a:ext>
                    </a:extLst>
                  </pic:spPr>
                </pic:pic>
              </a:graphicData>
            </a:graphic>
          </wp:inline>
        </w:drawing>
      </w:r>
    </w:p>
    <w:p w14:paraId="1E7C65B4" w14:textId="4F124C07" w:rsidR="003074AF" w:rsidRDefault="003074AF" w:rsidP="003074AF">
      <w:pPr>
        <w:spacing w:line="480" w:lineRule="auto"/>
        <w:ind w:left="964" w:right="964"/>
        <w:jc w:val="both"/>
        <w:rPr>
          <w:rFonts w:cs="David"/>
          <w:sz w:val="20"/>
          <w:szCs w:val="20"/>
          <w:rtl/>
        </w:rPr>
      </w:pPr>
      <w:r w:rsidRPr="002B60D2">
        <w:rPr>
          <w:rFonts w:cs="David" w:hint="cs"/>
          <w:sz w:val="20"/>
          <w:szCs w:val="20"/>
          <w:rtl/>
        </w:rPr>
        <w:t xml:space="preserve">ארון קבורה רומי המתוארך למאה השלישית </w:t>
      </w:r>
      <w:r w:rsidR="00F9033D">
        <w:rPr>
          <w:rFonts w:cs="David" w:hint="cs"/>
          <w:sz w:val="20"/>
          <w:szCs w:val="20"/>
          <w:rtl/>
        </w:rPr>
        <w:t>לסה"נ</w:t>
      </w:r>
      <w:r w:rsidRPr="002B60D2">
        <w:rPr>
          <w:rFonts w:cs="David" w:hint="cs"/>
          <w:sz w:val="20"/>
          <w:szCs w:val="20"/>
          <w:rtl/>
        </w:rPr>
        <w:t xml:space="preserve"> ועליו תיאור </w:t>
      </w:r>
      <w:r>
        <w:rPr>
          <w:rFonts w:cs="David" w:hint="cs"/>
          <w:sz w:val="20"/>
          <w:szCs w:val="20"/>
          <w:rtl/>
        </w:rPr>
        <w:t xml:space="preserve">חמש מבין תשע </w:t>
      </w:r>
      <w:r w:rsidRPr="002B60D2">
        <w:rPr>
          <w:rFonts w:cs="David" w:hint="cs"/>
          <w:sz w:val="20"/>
          <w:szCs w:val="20"/>
          <w:rtl/>
        </w:rPr>
        <w:t xml:space="preserve">המוזות. הארון נמצא בוילה </w:t>
      </w:r>
      <w:r w:rsidRPr="002B60D2">
        <w:rPr>
          <w:rFonts w:asciiTheme="majorBidi" w:hAnsiTheme="majorBidi" w:cstheme="majorBidi"/>
          <w:sz w:val="20"/>
          <w:szCs w:val="20"/>
        </w:rPr>
        <w:t>Borghese</w:t>
      </w:r>
      <w:r w:rsidRPr="002B60D2">
        <w:rPr>
          <w:rFonts w:cs="David" w:hint="cs"/>
          <w:sz w:val="20"/>
          <w:szCs w:val="20"/>
          <w:rtl/>
        </w:rPr>
        <w:t xml:space="preserve"> שבעיר רומא.</w:t>
      </w:r>
      <w:r w:rsidRPr="002B60D2">
        <w:rPr>
          <w:rStyle w:val="a5"/>
          <w:rFonts w:cs="David"/>
          <w:sz w:val="20"/>
          <w:szCs w:val="20"/>
          <w:rtl/>
        </w:rPr>
        <w:footnoteReference w:id="40"/>
      </w:r>
      <w:r w:rsidRPr="002B60D2">
        <w:rPr>
          <w:rFonts w:cs="David" w:hint="cs"/>
          <w:sz w:val="20"/>
          <w:szCs w:val="20"/>
          <w:rtl/>
        </w:rPr>
        <w:t xml:space="preserve"> המוזה השנייה מצד שמאל אוחזת </w:t>
      </w:r>
      <w:r>
        <w:rPr>
          <w:rFonts w:cs="David" w:hint="cs"/>
          <w:sz w:val="20"/>
          <w:szCs w:val="20"/>
          <w:rtl/>
        </w:rPr>
        <w:t xml:space="preserve">בשתי חצוצרות זהות בצורתן. </w:t>
      </w:r>
    </w:p>
    <w:p w14:paraId="25567ED6" w14:textId="77777777" w:rsidR="003074AF" w:rsidRPr="002B60D2" w:rsidRDefault="003074AF" w:rsidP="003074AF">
      <w:pPr>
        <w:spacing w:after="120" w:line="480" w:lineRule="auto"/>
        <w:ind w:left="964" w:right="964"/>
        <w:jc w:val="center"/>
        <w:rPr>
          <w:rFonts w:cs="David"/>
          <w:sz w:val="20"/>
          <w:szCs w:val="20"/>
          <w:rtl/>
        </w:rPr>
      </w:pPr>
      <w:r w:rsidRPr="004A470D">
        <w:rPr>
          <w:noProof/>
          <w:rtl/>
        </w:rPr>
        <w:drawing>
          <wp:inline distT="0" distB="0" distL="0" distR="0" wp14:anchorId="34037CDC" wp14:editId="04D9C5B6">
            <wp:extent cx="2334488" cy="2365258"/>
            <wp:effectExtent l="0" t="0" r="8890" b="0"/>
            <wp:docPr id="78" name="Picture 15" descr="C:\Users\libg1\Desktop\2017-11 (נוב)\sca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bg1\Desktop\2017-11 (נוב)\scan000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035" t="33003" r="57990" b="26664"/>
                    <a:stretch/>
                  </pic:blipFill>
                  <pic:spPr bwMode="auto">
                    <a:xfrm>
                      <a:off x="0" y="0"/>
                      <a:ext cx="2451320" cy="2483630"/>
                    </a:xfrm>
                    <a:prstGeom prst="rect">
                      <a:avLst/>
                    </a:prstGeom>
                    <a:noFill/>
                    <a:ln>
                      <a:noFill/>
                    </a:ln>
                    <a:extLst>
                      <a:ext uri="{53640926-AAD7-44D8-BBD7-CCE9431645EC}">
                        <a14:shadowObscured xmlns:a14="http://schemas.microsoft.com/office/drawing/2010/main"/>
                      </a:ext>
                    </a:extLst>
                  </pic:spPr>
                </pic:pic>
              </a:graphicData>
            </a:graphic>
          </wp:inline>
        </w:drawing>
      </w:r>
    </w:p>
    <w:p w14:paraId="024CA66C" w14:textId="77777777" w:rsidR="003074AF" w:rsidRPr="00324C36" w:rsidRDefault="003074AF" w:rsidP="00B81022">
      <w:pPr>
        <w:spacing w:line="480" w:lineRule="auto"/>
        <w:ind w:left="964" w:right="964"/>
        <w:jc w:val="center"/>
        <w:rPr>
          <w:rFonts w:cs="David"/>
          <w:sz w:val="20"/>
          <w:szCs w:val="20"/>
          <w:rtl/>
        </w:rPr>
      </w:pPr>
      <w:r>
        <w:rPr>
          <w:rFonts w:cs="David" w:hint="cs"/>
          <w:sz w:val="20"/>
          <w:szCs w:val="20"/>
          <w:rtl/>
        </w:rPr>
        <w:t xml:space="preserve">צמד החצוצרות </w:t>
      </w:r>
      <w:r w:rsidRPr="00552DCF">
        <w:rPr>
          <w:rFonts w:cs="David" w:hint="cs"/>
          <w:sz w:val="20"/>
          <w:szCs w:val="20"/>
          <w:rtl/>
        </w:rPr>
        <w:t>במבט מקרוב</w:t>
      </w:r>
      <w:r>
        <w:rPr>
          <w:rFonts w:cs="David" w:hint="cs"/>
          <w:sz w:val="20"/>
          <w:szCs w:val="20"/>
          <w:rtl/>
        </w:rPr>
        <w:t>.</w:t>
      </w:r>
    </w:p>
    <w:p w14:paraId="51992612" w14:textId="77777777" w:rsidR="003074AF" w:rsidRDefault="003074AF" w:rsidP="003074AF">
      <w:pPr>
        <w:spacing w:after="0"/>
        <w:jc w:val="center"/>
        <w:rPr>
          <w:b/>
          <w:bCs/>
          <w:u w:val="single"/>
          <w:rtl/>
        </w:rPr>
      </w:pPr>
      <w:r>
        <w:rPr>
          <w:rFonts w:asciiTheme="minorBidi" w:hAnsiTheme="minorBidi" w:cs="David"/>
          <w:i/>
          <w:iCs/>
          <w:noProof/>
          <w:sz w:val="24"/>
          <w:szCs w:val="24"/>
        </w:rPr>
        <w:drawing>
          <wp:inline distT="0" distB="0" distL="0" distR="0" wp14:anchorId="31829D07" wp14:editId="7ACEDB13">
            <wp:extent cx="5092794" cy="1300556"/>
            <wp:effectExtent l="0" t="0" r="0" b="0"/>
            <wp:docPr id="79" name="Picture 15" descr="baths of diocletian 160 - 180 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ths of diocletian 160 - 180 c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56" t="20737" r="1185" b="6340"/>
                    <a:stretch/>
                  </pic:blipFill>
                  <pic:spPr bwMode="auto">
                    <a:xfrm>
                      <a:off x="0" y="0"/>
                      <a:ext cx="5104820" cy="1303627"/>
                    </a:xfrm>
                    <a:prstGeom prst="rect">
                      <a:avLst/>
                    </a:prstGeom>
                    <a:noFill/>
                    <a:ln>
                      <a:noFill/>
                    </a:ln>
                    <a:extLst>
                      <a:ext uri="{53640926-AAD7-44D8-BBD7-CCE9431645EC}">
                        <a14:shadowObscured xmlns:a14="http://schemas.microsoft.com/office/drawing/2010/main"/>
                      </a:ext>
                    </a:extLst>
                  </pic:spPr>
                </pic:pic>
              </a:graphicData>
            </a:graphic>
          </wp:inline>
        </w:drawing>
      </w:r>
    </w:p>
    <w:p w14:paraId="7B565A27" w14:textId="62D061CE" w:rsidR="003074AF" w:rsidRDefault="003074AF" w:rsidP="003074AF">
      <w:pPr>
        <w:spacing w:line="480" w:lineRule="auto"/>
        <w:ind w:left="454" w:right="454"/>
        <w:jc w:val="both"/>
        <w:rPr>
          <w:rFonts w:asciiTheme="minorBidi" w:hAnsiTheme="minorBidi" w:cs="David"/>
          <w:sz w:val="20"/>
          <w:szCs w:val="20"/>
          <w:rtl/>
        </w:rPr>
      </w:pPr>
      <w:r>
        <w:rPr>
          <w:rFonts w:asciiTheme="minorBidi" w:hAnsiTheme="minorBidi" w:cs="David"/>
          <w:sz w:val="20"/>
          <w:szCs w:val="20"/>
          <w:rtl/>
        </w:rPr>
        <w:br/>
      </w:r>
      <w:r>
        <w:rPr>
          <w:rFonts w:asciiTheme="minorBidi" w:hAnsiTheme="minorBidi" w:cs="David" w:hint="cs"/>
          <w:sz w:val="20"/>
          <w:szCs w:val="20"/>
          <w:rtl/>
        </w:rPr>
        <w:t>ארון קבורה רומי המתוארך לסוף המאה השניי</w:t>
      </w:r>
      <w:r>
        <w:rPr>
          <w:rFonts w:asciiTheme="minorBidi" w:hAnsiTheme="minorBidi" w:cs="David" w:hint="eastAsia"/>
          <w:sz w:val="20"/>
          <w:szCs w:val="20"/>
          <w:rtl/>
        </w:rPr>
        <w:t>ה</w:t>
      </w:r>
      <w:r>
        <w:rPr>
          <w:rFonts w:asciiTheme="minorBidi" w:hAnsiTheme="minorBidi" w:cs="David" w:hint="cs"/>
          <w:sz w:val="20"/>
          <w:szCs w:val="20"/>
          <w:rtl/>
        </w:rPr>
        <w:t xml:space="preserve"> </w:t>
      </w:r>
      <w:r w:rsidR="00F9033D">
        <w:rPr>
          <w:rFonts w:asciiTheme="minorBidi" w:hAnsiTheme="minorBidi" w:cs="David" w:hint="cs"/>
          <w:sz w:val="20"/>
          <w:szCs w:val="20"/>
          <w:rtl/>
        </w:rPr>
        <w:t>לסה"נ</w:t>
      </w:r>
      <w:r>
        <w:rPr>
          <w:rFonts w:asciiTheme="minorBidi" w:hAnsiTheme="minorBidi" w:cs="David" w:hint="cs"/>
          <w:sz w:val="20"/>
          <w:szCs w:val="20"/>
          <w:rtl/>
        </w:rPr>
        <w:t xml:space="preserve">, עליו מתוארת תהלוכה דיוניסית. הארון הוצג בארמון </w:t>
      </w:r>
      <w:r>
        <w:rPr>
          <w:rFonts w:asciiTheme="majorBidi" w:hAnsiTheme="majorBidi" w:cs="David"/>
          <w:sz w:val="20"/>
          <w:szCs w:val="20"/>
        </w:rPr>
        <w:t>Belvedere</w:t>
      </w:r>
      <w:r>
        <w:rPr>
          <w:rFonts w:asciiTheme="minorBidi" w:hAnsiTheme="minorBidi" w:cs="David" w:hint="cs"/>
          <w:sz w:val="20"/>
          <w:szCs w:val="20"/>
          <w:rtl/>
        </w:rPr>
        <w:t xml:space="preserve"> שבוותיק</w:t>
      </w:r>
      <w:r>
        <w:rPr>
          <w:rFonts w:asciiTheme="minorBidi" w:hAnsiTheme="minorBidi" w:cs="David" w:hint="eastAsia"/>
          <w:sz w:val="20"/>
          <w:szCs w:val="20"/>
          <w:rtl/>
        </w:rPr>
        <w:t>ן</w:t>
      </w:r>
      <w:r>
        <w:rPr>
          <w:rFonts w:asciiTheme="minorBidi" w:hAnsiTheme="minorBidi" w:cs="David" w:hint="cs"/>
          <w:sz w:val="20"/>
          <w:szCs w:val="20"/>
          <w:rtl/>
        </w:rPr>
        <w:t xml:space="preserve"> ברומא.</w:t>
      </w:r>
      <w:r>
        <w:rPr>
          <w:rStyle w:val="a5"/>
          <w:rFonts w:asciiTheme="minorBidi" w:hAnsiTheme="minorBidi" w:cs="David"/>
          <w:sz w:val="20"/>
          <w:szCs w:val="20"/>
          <w:rtl/>
        </w:rPr>
        <w:footnoteReference w:id="41"/>
      </w:r>
      <w:r>
        <w:rPr>
          <w:rFonts w:asciiTheme="minorBidi" w:hAnsiTheme="minorBidi" w:cs="David" w:hint="cs"/>
          <w:sz w:val="20"/>
          <w:szCs w:val="20"/>
          <w:rtl/>
        </w:rPr>
        <w:t xml:space="preserve"> במרכז התהלוכה עומדת דמות נשית הנושפת בחצוצרה. </w:t>
      </w:r>
    </w:p>
    <w:p w14:paraId="3ACD844D" w14:textId="77777777" w:rsidR="003074AF" w:rsidRDefault="003074AF" w:rsidP="003074AF">
      <w:pPr>
        <w:spacing w:after="120" w:line="480" w:lineRule="auto"/>
        <w:jc w:val="center"/>
        <w:rPr>
          <w:rFonts w:asciiTheme="minorBidi" w:hAnsiTheme="minorBidi" w:cs="David"/>
          <w:sz w:val="24"/>
          <w:szCs w:val="24"/>
          <w:rtl/>
        </w:rPr>
      </w:pPr>
      <w:r>
        <w:rPr>
          <w:rFonts w:asciiTheme="minorBidi" w:hAnsiTheme="minorBidi" w:cs="David"/>
          <w:noProof/>
          <w:sz w:val="24"/>
          <w:szCs w:val="24"/>
        </w:rPr>
        <w:lastRenderedPageBreak/>
        <w:drawing>
          <wp:inline distT="0" distB="0" distL="0" distR="0" wp14:anchorId="6CB75751" wp14:editId="509DC286">
            <wp:extent cx="3034449" cy="1327027"/>
            <wp:effectExtent l="0" t="0" r="0" b="6985"/>
            <wp:docPr id="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a:extLst>
                        <a:ext uri="{28A0092B-C50C-407E-A947-70E740481C1C}">
                          <a14:useLocalDpi xmlns:a14="http://schemas.microsoft.com/office/drawing/2010/main" val="0"/>
                        </a:ext>
                      </a:extLst>
                    </a:blip>
                    <a:srcRect l="7948" t="18826" r="11236" b="2034"/>
                    <a:stretch/>
                  </pic:blipFill>
                  <pic:spPr bwMode="auto">
                    <a:xfrm>
                      <a:off x="0" y="0"/>
                      <a:ext cx="3050718" cy="1334142"/>
                    </a:xfrm>
                    <a:prstGeom prst="rect">
                      <a:avLst/>
                    </a:prstGeom>
                    <a:noFill/>
                    <a:ln>
                      <a:noFill/>
                    </a:ln>
                    <a:extLst>
                      <a:ext uri="{53640926-AAD7-44D8-BBD7-CCE9431645EC}">
                        <a14:shadowObscured xmlns:a14="http://schemas.microsoft.com/office/drawing/2010/main"/>
                      </a:ext>
                    </a:extLst>
                  </pic:spPr>
                </pic:pic>
              </a:graphicData>
            </a:graphic>
          </wp:inline>
        </w:drawing>
      </w:r>
    </w:p>
    <w:p w14:paraId="79595ACE" w14:textId="77777777" w:rsidR="003074AF" w:rsidRDefault="003074AF" w:rsidP="003074AF">
      <w:pPr>
        <w:spacing w:line="480" w:lineRule="auto"/>
        <w:ind w:left="1020" w:right="1020"/>
        <w:jc w:val="center"/>
        <w:rPr>
          <w:rFonts w:asciiTheme="minorBidi" w:hAnsiTheme="minorBidi" w:cs="David"/>
          <w:sz w:val="20"/>
          <w:szCs w:val="20"/>
          <w:rtl/>
        </w:rPr>
      </w:pPr>
      <w:r>
        <w:rPr>
          <w:rFonts w:asciiTheme="minorBidi" w:hAnsiTheme="minorBidi" w:cs="David" w:hint="cs"/>
          <w:sz w:val="20"/>
          <w:szCs w:val="20"/>
          <w:rtl/>
        </w:rPr>
        <w:t xml:space="preserve">הדמות הנושפת בחצוצרה </w:t>
      </w:r>
      <w:r w:rsidRPr="00552DCF">
        <w:rPr>
          <w:rFonts w:cs="David" w:hint="cs"/>
          <w:sz w:val="20"/>
          <w:szCs w:val="20"/>
          <w:rtl/>
        </w:rPr>
        <w:t>במבט מקרוב</w:t>
      </w:r>
      <w:r>
        <w:rPr>
          <w:rFonts w:cs="David" w:hint="cs"/>
          <w:sz w:val="20"/>
          <w:szCs w:val="20"/>
          <w:rtl/>
        </w:rPr>
        <w:t>.</w:t>
      </w:r>
    </w:p>
    <w:p w14:paraId="73FD930F" w14:textId="77777777" w:rsidR="003074AF" w:rsidRDefault="003074AF" w:rsidP="003074AF">
      <w:pPr>
        <w:spacing w:after="120" w:line="480" w:lineRule="auto"/>
        <w:jc w:val="center"/>
        <w:rPr>
          <w:rFonts w:asciiTheme="minorBidi" w:hAnsiTheme="minorBidi" w:cs="David"/>
          <w:sz w:val="24"/>
          <w:szCs w:val="24"/>
          <w:u w:val="single"/>
          <w:rtl/>
        </w:rPr>
      </w:pPr>
      <w:r>
        <w:rPr>
          <w:rFonts w:asciiTheme="minorBidi" w:hAnsiTheme="minorBidi" w:cs="David"/>
          <w:noProof/>
          <w:sz w:val="24"/>
          <w:szCs w:val="24"/>
        </w:rPr>
        <w:drawing>
          <wp:inline distT="0" distB="0" distL="0" distR="0" wp14:anchorId="4F3C7182" wp14:editId="5CDB7878">
            <wp:extent cx="4395390" cy="1428750"/>
            <wp:effectExtent l="0" t="0" r="5715" b="0"/>
            <wp:docPr id="81" name="Picture 11" descr="sc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0246"/>
                    <pic:cNvPicPr>
                      <a:picLocks noChangeAspect="1" noChangeArrowheads="1"/>
                    </pic:cNvPicPr>
                  </pic:nvPicPr>
                  <pic:blipFill rotWithShape="1">
                    <a:blip r:embed="rId17">
                      <a:extLst>
                        <a:ext uri="{28A0092B-C50C-407E-A947-70E740481C1C}">
                          <a14:useLocalDpi xmlns:a14="http://schemas.microsoft.com/office/drawing/2010/main" val="0"/>
                        </a:ext>
                      </a:extLst>
                    </a:blip>
                    <a:srcRect t="30497" b="228"/>
                    <a:stretch/>
                  </pic:blipFill>
                  <pic:spPr bwMode="auto">
                    <a:xfrm>
                      <a:off x="0" y="0"/>
                      <a:ext cx="4413280" cy="1434565"/>
                    </a:xfrm>
                    <a:prstGeom prst="rect">
                      <a:avLst/>
                    </a:prstGeom>
                    <a:noFill/>
                    <a:ln>
                      <a:noFill/>
                    </a:ln>
                    <a:extLst>
                      <a:ext uri="{53640926-AAD7-44D8-BBD7-CCE9431645EC}">
                        <a14:shadowObscured xmlns:a14="http://schemas.microsoft.com/office/drawing/2010/main"/>
                      </a:ext>
                    </a:extLst>
                  </pic:spPr>
                </pic:pic>
              </a:graphicData>
            </a:graphic>
          </wp:inline>
        </w:drawing>
      </w:r>
    </w:p>
    <w:p w14:paraId="61FF9AF6" w14:textId="3DEAC902" w:rsidR="003074AF" w:rsidRDefault="003074AF" w:rsidP="003074AF">
      <w:pPr>
        <w:spacing w:line="480" w:lineRule="auto"/>
        <w:ind w:left="737" w:right="737"/>
        <w:jc w:val="both"/>
        <w:rPr>
          <w:rFonts w:asciiTheme="minorBidi" w:hAnsiTheme="minorBidi" w:cs="David"/>
          <w:sz w:val="24"/>
          <w:szCs w:val="24"/>
          <w:rtl/>
        </w:rPr>
      </w:pPr>
      <w:r>
        <w:rPr>
          <w:rFonts w:asciiTheme="minorBidi" w:hAnsiTheme="minorBidi" w:cs="David" w:hint="cs"/>
          <w:sz w:val="20"/>
          <w:szCs w:val="20"/>
          <w:rtl/>
        </w:rPr>
        <w:t xml:space="preserve">ארון קבורה רומי המתוארך לאמצע המאה השלישית </w:t>
      </w:r>
      <w:r w:rsidR="00F9033D">
        <w:rPr>
          <w:rFonts w:asciiTheme="minorBidi" w:hAnsiTheme="minorBidi" w:cs="David" w:hint="cs"/>
          <w:sz w:val="20"/>
          <w:szCs w:val="20"/>
          <w:rtl/>
        </w:rPr>
        <w:t>לסה"נ</w:t>
      </w:r>
      <w:r>
        <w:rPr>
          <w:rFonts w:asciiTheme="minorBidi" w:hAnsiTheme="minorBidi" w:cs="David" w:hint="cs"/>
          <w:sz w:val="20"/>
          <w:szCs w:val="20"/>
          <w:rtl/>
        </w:rPr>
        <w:t>, המציג סצנה מיתולוגית. הארון הוצג במוזיאון הלובר שבפאריס.</w:t>
      </w:r>
      <w:r>
        <w:rPr>
          <w:rStyle w:val="a5"/>
          <w:rFonts w:asciiTheme="minorBidi" w:hAnsiTheme="minorBidi" w:cs="David"/>
          <w:sz w:val="20"/>
          <w:szCs w:val="20"/>
          <w:rtl/>
        </w:rPr>
        <w:footnoteReference w:id="42"/>
      </w:r>
      <w:r>
        <w:rPr>
          <w:rFonts w:asciiTheme="minorBidi" w:hAnsiTheme="minorBidi" w:cs="David" w:hint="cs"/>
          <w:sz w:val="20"/>
          <w:szCs w:val="20"/>
          <w:rtl/>
        </w:rPr>
        <w:t xml:space="preserve"> במרכז עומדת דמות נשית הנושפת בחצוצרה. </w:t>
      </w:r>
    </w:p>
    <w:p w14:paraId="25E8BA97" w14:textId="77777777" w:rsidR="003074AF" w:rsidRDefault="003074AF" w:rsidP="003074AF">
      <w:pPr>
        <w:spacing w:after="120" w:line="480" w:lineRule="auto"/>
        <w:jc w:val="center"/>
        <w:rPr>
          <w:rFonts w:asciiTheme="minorBidi" w:hAnsiTheme="minorBidi" w:cs="David"/>
          <w:sz w:val="24"/>
          <w:szCs w:val="24"/>
          <w:rtl/>
        </w:rPr>
      </w:pPr>
      <w:r>
        <w:rPr>
          <w:rFonts w:asciiTheme="minorBidi" w:hAnsiTheme="minorBidi" w:cs="David"/>
          <w:noProof/>
          <w:sz w:val="24"/>
          <w:szCs w:val="24"/>
        </w:rPr>
        <w:drawing>
          <wp:inline distT="0" distB="0" distL="0" distR="0" wp14:anchorId="6AA9712D" wp14:editId="0167C689">
            <wp:extent cx="2963418" cy="1186731"/>
            <wp:effectExtent l="0" t="0" r="0" b="0"/>
            <wp:docPr id="8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3418" cy="1186731"/>
                    </a:xfrm>
                    <a:prstGeom prst="rect">
                      <a:avLst/>
                    </a:prstGeom>
                    <a:noFill/>
                    <a:ln>
                      <a:noFill/>
                    </a:ln>
                  </pic:spPr>
                </pic:pic>
              </a:graphicData>
            </a:graphic>
          </wp:inline>
        </w:drawing>
      </w:r>
    </w:p>
    <w:p w14:paraId="6C4B09EB" w14:textId="77777777" w:rsidR="003074AF" w:rsidRPr="00DD67B4" w:rsidRDefault="003074AF" w:rsidP="003074AF">
      <w:pPr>
        <w:spacing w:after="0" w:line="480" w:lineRule="auto"/>
        <w:ind w:left="1021" w:right="1021"/>
        <w:jc w:val="center"/>
        <w:rPr>
          <w:b/>
          <w:bCs/>
          <w:u w:val="single"/>
          <w:rtl/>
        </w:rPr>
      </w:pPr>
      <w:r>
        <w:rPr>
          <w:rFonts w:asciiTheme="minorBidi" w:hAnsiTheme="minorBidi" w:cs="David" w:hint="cs"/>
          <w:sz w:val="20"/>
          <w:szCs w:val="20"/>
          <w:rtl/>
        </w:rPr>
        <w:t xml:space="preserve">הדמות הנושפת בחצוצרה במבט </w:t>
      </w:r>
      <w:r w:rsidRPr="00552DCF">
        <w:rPr>
          <w:rFonts w:cs="David" w:hint="cs"/>
          <w:sz w:val="20"/>
          <w:szCs w:val="20"/>
          <w:rtl/>
        </w:rPr>
        <w:t>מקרוב</w:t>
      </w:r>
      <w:r>
        <w:rPr>
          <w:rFonts w:cs="David" w:hint="cs"/>
          <w:sz w:val="20"/>
          <w:szCs w:val="20"/>
          <w:rtl/>
        </w:rPr>
        <w:t>.</w:t>
      </w:r>
    </w:p>
    <w:p w14:paraId="15C87F20" w14:textId="77777777" w:rsidR="003074AF" w:rsidRDefault="003074AF" w:rsidP="003074AF">
      <w:pPr>
        <w:spacing w:after="120" w:line="480" w:lineRule="auto"/>
        <w:jc w:val="center"/>
        <w:rPr>
          <w:rFonts w:cs="David"/>
          <w:sz w:val="24"/>
          <w:szCs w:val="24"/>
          <w:rtl/>
        </w:rPr>
      </w:pPr>
      <w:r w:rsidRPr="00FC4931">
        <w:rPr>
          <w:noProof/>
          <w:rtl/>
        </w:rPr>
        <w:lastRenderedPageBreak/>
        <w:drawing>
          <wp:inline distT="0" distB="0" distL="0" distR="0" wp14:anchorId="05381A90" wp14:editId="545FC0E8">
            <wp:extent cx="1508151" cy="2346385"/>
            <wp:effectExtent l="0" t="0" r="0" b="0"/>
            <wp:docPr id="83" name="Picture 16" descr="C:\Users\libg1\Desktop\2017-11 (נוב)\scan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bg1\Desktop\2017-11 (נוב)\scan001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028" t="5229" b="1190"/>
                    <a:stretch/>
                  </pic:blipFill>
                  <pic:spPr bwMode="auto">
                    <a:xfrm>
                      <a:off x="0" y="0"/>
                      <a:ext cx="1508151" cy="2346385"/>
                    </a:xfrm>
                    <a:prstGeom prst="rect">
                      <a:avLst/>
                    </a:prstGeom>
                    <a:noFill/>
                    <a:ln>
                      <a:noFill/>
                    </a:ln>
                    <a:extLst>
                      <a:ext uri="{53640926-AAD7-44D8-BBD7-CCE9431645EC}">
                        <a14:shadowObscured xmlns:a14="http://schemas.microsoft.com/office/drawing/2010/main"/>
                      </a:ext>
                    </a:extLst>
                  </pic:spPr>
                </pic:pic>
              </a:graphicData>
            </a:graphic>
          </wp:inline>
        </w:drawing>
      </w:r>
    </w:p>
    <w:p w14:paraId="47C1A0C0" w14:textId="6E6BF23B" w:rsidR="003074AF" w:rsidRDefault="003074AF" w:rsidP="003074AF">
      <w:pPr>
        <w:spacing w:line="480" w:lineRule="auto"/>
        <w:ind w:left="964" w:right="1077"/>
        <w:jc w:val="both"/>
        <w:rPr>
          <w:rFonts w:asciiTheme="minorBidi" w:hAnsiTheme="minorBidi" w:cs="David"/>
          <w:sz w:val="24"/>
          <w:szCs w:val="24"/>
          <w:rtl/>
        </w:rPr>
      </w:pPr>
      <w:r>
        <w:rPr>
          <w:rFonts w:asciiTheme="minorBidi" w:hAnsiTheme="minorBidi" w:cs="David" w:hint="cs"/>
          <w:sz w:val="20"/>
          <w:szCs w:val="20"/>
          <w:rtl/>
        </w:rPr>
        <w:t xml:space="preserve">חלק מארון קבורה רומי המתוארך למאה השלישית </w:t>
      </w:r>
      <w:r w:rsidR="00F9033D">
        <w:rPr>
          <w:rFonts w:asciiTheme="minorBidi" w:hAnsiTheme="minorBidi" w:cs="David" w:hint="cs"/>
          <w:sz w:val="20"/>
          <w:szCs w:val="20"/>
          <w:rtl/>
        </w:rPr>
        <w:t>לסה"נ</w:t>
      </w:r>
      <w:r>
        <w:rPr>
          <w:rFonts w:asciiTheme="minorBidi" w:hAnsiTheme="minorBidi" w:cs="David" w:hint="cs"/>
          <w:sz w:val="20"/>
          <w:szCs w:val="20"/>
          <w:rtl/>
        </w:rPr>
        <w:t>, המציג שתיים מבין תשע המוזות. הארון מוצג ב</w:t>
      </w:r>
      <w:r w:rsidRPr="008911BD">
        <w:rPr>
          <w:rFonts w:asciiTheme="minorBidi" w:hAnsiTheme="minorBidi" w:cs="David" w:hint="cs"/>
          <w:sz w:val="20"/>
          <w:szCs w:val="20"/>
          <w:rtl/>
        </w:rPr>
        <w:t xml:space="preserve">טירת </w:t>
      </w:r>
      <w:r w:rsidRPr="008911BD">
        <w:rPr>
          <w:rFonts w:asciiTheme="majorBidi" w:hAnsiTheme="majorBidi" w:cstheme="majorBidi"/>
          <w:sz w:val="20"/>
          <w:szCs w:val="20"/>
        </w:rPr>
        <w:t>Gia dei Duchi</w:t>
      </w:r>
      <w:r w:rsidRPr="008911BD">
        <w:rPr>
          <w:rFonts w:asciiTheme="minorBidi" w:hAnsiTheme="minorBidi" w:cs="David" w:hint="cs"/>
          <w:sz w:val="20"/>
          <w:szCs w:val="20"/>
          <w:rtl/>
        </w:rPr>
        <w:t>, ב</w:t>
      </w:r>
      <w:r>
        <w:rPr>
          <w:rFonts w:asciiTheme="minorBidi" w:hAnsiTheme="minorBidi" w:cs="David" w:hint="cs"/>
          <w:sz w:val="20"/>
          <w:szCs w:val="20"/>
          <w:rtl/>
        </w:rPr>
        <w:t>עיר גנואה שבאיטליה.</w:t>
      </w:r>
      <w:r>
        <w:rPr>
          <w:rStyle w:val="a5"/>
          <w:rFonts w:asciiTheme="minorBidi" w:hAnsiTheme="minorBidi" w:cs="David"/>
          <w:sz w:val="20"/>
          <w:szCs w:val="20"/>
          <w:rtl/>
        </w:rPr>
        <w:footnoteReference w:id="43"/>
      </w:r>
      <w:r>
        <w:rPr>
          <w:rFonts w:asciiTheme="minorBidi" w:hAnsiTheme="minorBidi" w:cs="David" w:hint="cs"/>
          <w:sz w:val="20"/>
          <w:szCs w:val="20"/>
          <w:rtl/>
        </w:rPr>
        <w:t xml:space="preserve"> המוזה הימנית אוחזת בחצוצרה שחלקה הרחב לא שרד. </w:t>
      </w:r>
    </w:p>
    <w:p w14:paraId="6A40D371" w14:textId="77777777" w:rsidR="003074AF" w:rsidRPr="004754F3" w:rsidRDefault="003074AF" w:rsidP="003074AF">
      <w:pPr>
        <w:spacing w:after="120" w:line="480" w:lineRule="auto"/>
        <w:jc w:val="center"/>
        <w:rPr>
          <w:noProof/>
          <w:rtl/>
        </w:rPr>
      </w:pPr>
      <w:r w:rsidRPr="00FC4931">
        <w:rPr>
          <w:noProof/>
          <w:rtl/>
        </w:rPr>
        <w:drawing>
          <wp:inline distT="0" distB="0" distL="0" distR="0" wp14:anchorId="78786B43" wp14:editId="3EB7E845">
            <wp:extent cx="2644382" cy="2162175"/>
            <wp:effectExtent l="0" t="0" r="3810" b="0"/>
            <wp:docPr id="84" name="Picture 16" descr="C:\Users\libg1\Desktop\2017-11 (נוב)\scan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bg1\Desktop\2017-11 (נוב)\scan001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5165" t="40728" r="14087" b="43348"/>
                    <a:stretch/>
                  </pic:blipFill>
                  <pic:spPr bwMode="auto">
                    <a:xfrm>
                      <a:off x="0" y="0"/>
                      <a:ext cx="2710512" cy="2216246"/>
                    </a:xfrm>
                    <a:prstGeom prst="rect">
                      <a:avLst/>
                    </a:prstGeom>
                    <a:noFill/>
                    <a:ln>
                      <a:noFill/>
                    </a:ln>
                    <a:extLst>
                      <a:ext uri="{53640926-AAD7-44D8-BBD7-CCE9431645EC}">
                        <a14:shadowObscured xmlns:a14="http://schemas.microsoft.com/office/drawing/2010/main"/>
                      </a:ext>
                    </a:extLst>
                  </pic:spPr>
                </pic:pic>
              </a:graphicData>
            </a:graphic>
          </wp:inline>
        </w:drawing>
      </w:r>
    </w:p>
    <w:p w14:paraId="53FC9341" w14:textId="77777777" w:rsidR="003074AF" w:rsidRPr="0068710F" w:rsidRDefault="003074AF" w:rsidP="003074AF">
      <w:pPr>
        <w:spacing w:after="0" w:line="480" w:lineRule="auto"/>
        <w:ind w:left="1021" w:right="1021"/>
        <w:jc w:val="center"/>
        <w:rPr>
          <w:b/>
          <w:bCs/>
          <w:sz w:val="12"/>
          <w:szCs w:val="12"/>
          <w:u w:val="single"/>
          <w:rtl/>
        </w:rPr>
      </w:pPr>
      <w:r>
        <w:rPr>
          <w:rFonts w:asciiTheme="minorBidi" w:hAnsiTheme="minorBidi" w:cs="David" w:hint="cs"/>
          <w:sz w:val="20"/>
          <w:szCs w:val="20"/>
          <w:rtl/>
        </w:rPr>
        <w:t xml:space="preserve">החצוצרה במבט </w:t>
      </w:r>
      <w:r w:rsidRPr="00552DCF">
        <w:rPr>
          <w:rFonts w:cs="David" w:hint="cs"/>
          <w:sz w:val="20"/>
          <w:szCs w:val="20"/>
          <w:rtl/>
        </w:rPr>
        <w:t>מקרוב</w:t>
      </w:r>
      <w:r>
        <w:rPr>
          <w:rFonts w:cs="David" w:hint="cs"/>
          <w:sz w:val="20"/>
          <w:szCs w:val="20"/>
          <w:rtl/>
        </w:rPr>
        <w:t>.</w:t>
      </w:r>
      <w:r>
        <w:rPr>
          <w:b/>
          <w:bCs/>
          <w:u w:val="single"/>
          <w:rtl/>
        </w:rPr>
        <w:br/>
      </w:r>
    </w:p>
    <w:p w14:paraId="1BAA1276" w14:textId="71C396C6" w:rsidR="003074AF" w:rsidRDefault="003074AF" w:rsidP="003074AF">
      <w:pPr>
        <w:spacing w:line="480" w:lineRule="auto"/>
        <w:jc w:val="both"/>
        <w:rPr>
          <w:rFonts w:cs="David"/>
          <w:sz w:val="24"/>
          <w:szCs w:val="24"/>
          <w:rtl/>
        </w:rPr>
      </w:pPr>
      <w:r>
        <w:rPr>
          <w:rFonts w:cs="David" w:hint="cs"/>
          <w:sz w:val="24"/>
          <w:szCs w:val="24"/>
          <w:rtl/>
        </w:rPr>
        <w:t>השוואת צורת החצוצרות המתוארות על גבי מטבעות בר-כוכבא</w:t>
      </w:r>
      <w:r w:rsidRPr="00590174">
        <w:rPr>
          <w:rFonts w:cs="David" w:hint="cs"/>
          <w:sz w:val="24"/>
          <w:szCs w:val="24"/>
          <w:rtl/>
        </w:rPr>
        <w:t xml:space="preserve"> </w:t>
      </w:r>
      <w:r>
        <w:rPr>
          <w:rFonts w:cs="David" w:hint="cs"/>
          <w:sz w:val="24"/>
          <w:szCs w:val="24"/>
          <w:rtl/>
        </w:rPr>
        <w:t xml:space="preserve">לצורת החצוצרות המופיעות על גבי ארונות הקבורה הרומיים שהובאו לעיל, העלתה דמיון רב. כמו כן, בדומה לדגם שעל המטבעות המציג כאמור שתי חצוצרות, חלק מן התיאורים שעל הארונות מציגים גם הם צמד חצוצרות. נקודות דמיון אלו מחזקות לדעתי את הטענה לפיה צורת החצוצרות שעל המטבעות הושפעה מצורת החצוצרות שרווחו במרחב הארץ ישראלי במאה השנייה </w:t>
      </w:r>
      <w:r w:rsidR="00F9033D">
        <w:rPr>
          <w:rFonts w:cs="David" w:hint="cs"/>
          <w:sz w:val="24"/>
          <w:szCs w:val="24"/>
          <w:rtl/>
        </w:rPr>
        <w:t>לסה"נ</w:t>
      </w:r>
      <w:r>
        <w:rPr>
          <w:rFonts w:cs="David" w:hint="cs"/>
          <w:sz w:val="24"/>
          <w:szCs w:val="24"/>
          <w:rtl/>
        </w:rPr>
        <w:t xml:space="preserve"> והיו מוכרות למורדים ממציאות חייהם.</w:t>
      </w:r>
      <w:r>
        <w:rPr>
          <w:rStyle w:val="a5"/>
          <w:rFonts w:cs="David"/>
          <w:sz w:val="24"/>
          <w:szCs w:val="24"/>
          <w:rtl/>
        </w:rPr>
        <w:footnoteReference w:id="44"/>
      </w:r>
      <w:r>
        <w:rPr>
          <w:rFonts w:cs="David" w:hint="cs"/>
          <w:sz w:val="24"/>
          <w:szCs w:val="24"/>
          <w:rtl/>
        </w:rPr>
        <w:t xml:space="preserve"> בנוסף לכך, תיאור החצוצרות על ארונות הקבורה הרומיים נעשה ברמה אומנותית גבוהה </w:t>
      </w:r>
      <w:r>
        <w:rPr>
          <w:rFonts w:cs="David" w:hint="cs"/>
          <w:sz w:val="24"/>
          <w:szCs w:val="24"/>
          <w:rtl/>
        </w:rPr>
        <w:lastRenderedPageBreak/>
        <w:t xml:space="preserve">המציגה ככל הנראה את צורת החצוצרות הרומיות במדויק. אם האומן שיצר את דגם החצוצרות שעל מטבעות בר-כוכבא אכן הושפע מצורתן של החצוצרות שהיו נפוצות במרחב הרומי, הדמיון הרב בין התיאור שעל הארונות לבין צורת החצוצרות שעל המטבעות מעיד ככל הנראה שהתיאור על המטבעות מדויק גם הוא מבחינה אורגנולוגית (ולא כפי שטענה וינר, לעיל). </w:t>
      </w:r>
    </w:p>
    <w:p w14:paraId="6FFB2E3D" w14:textId="0A679815" w:rsidR="00573635" w:rsidRPr="000805A2" w:rsidRDefault="00573635" w:rsidP="009B2886">
      <w:pPr>
        <w:spacing w:line="480" w:lineRule="auto"/>
        <w:jc w:val="both"/>
        <w:rPr>
          <w:rFonts w:cs="David"/>
          <w:sz w:val="24"/>
          <w:szCs w:val="24"/>
        </w:rPr>
      </w:pPr>
      <w:r w:rsidRPr="000805A2">
        <w:rPr>
          <w:rFonts w:cs="David" w:hint="cs"/>
          <w:sz w:val="24"/>
          <w:szCs w:val="24"/>
          <w:rtl/>
        </w:rPr>
        <w:t xml:space="preserve">בנוסף לכך, </w:t>
      </w:r>
      <w:r w:rsidR="004A173B" w:rsidRPr="000805A2">
        <w:rPr>
          <w:rFonts w:cs="David" w:hint="cs"/>
          <w:sz w:val="24"/>
          <w:szCs w:val="24"/>
          <w:rtl/>
        </w:rPr>
        <w:t>במקום אחר</w:t>
      </w:r>
      <w:r w:rsidR="00873D10" w:rsidRPr="000805A2">
        <w:rPr>
          <w:rFonts w:cs="David" w:hint="cs"/>
          <w:sz w:val="24"/>
          <w:szCs w:val="24"/>
          <w:rtl/>
        </w:rPr>
        <w:t xml:space="preserve"> </w:t>
      </w:r>
      <w:r w:rsidR="00EF6D27" w:rsidRPr="000805A2">
        <w:rPr>
          <w:rFonts w:cs="David" w:hint="cs"/>
          <w:sz w:val="24"/>
          <w:szCs w:val="24"/>
          <w:rtl/>
        </w:rPr>
        <w:t>ביססתי את הטענה</w:t>
      </w:r>
      <w:r w:rsidRPr="000805A2">
        <w:rPr>
          <w:rFonts w:cs="David" w:hint="cs"/>
          <w:sz w:val="24"/>
          <w:szCs w:val="24"/>
          <w:rtl/>
        </w:rPr>
        <w:t xml:space="preserve"> כי יש לזהות את "הקרן העגולה" </w:t>
      </w:r>
      <w:r w:rsidR="009B2886" w:rsidRPr="000805A2">
        <w:rPr>
          <w:rFonts w:cs="David" w:hint="cs"/>
          <w:sz w:val="24"/>
          <w:szCs w:val="24"/>
          <w:rtl/>
        </w:rPr>
        <w:t xml:space="preserve">ואת </w:t>
      </w:r>
      <w:r w:rsidRPr="000805A2">
        <w:rPr>
          <w:rFonts w:cs="David" w:hint="cs"/>
          <w:sz w:val="24"/>
          <w:szCs w:val="24"/>
          <w:rtl/>
        </w:rPr>
        <w:t xml:space="preserve">"הקרן הישרה" הנזכרות במשנה כלים </w:t>
      </w:r>
      <w:r w:rsidR="00FB7561" w:rsidRPr="000805A2">
        <w:rPr>
          <w:rFonts w:cs="David" w:hint="cs"/>
          <w:sz w:val="24"/>
          <w:szCs w:val="24"/>
          <w:rtl/>
        </w:rPr>
        <w:t>י</w:t>
      </w:r>
      <w:r w:rsidRPr="000805A2">
        <w:rPr>
          <w:rFonts w:cs="David" w:hint="cs"/>
          <w:sz w:val="24"/>
          <w:szCs w:val="24"/>
          <w:rtl/>
        </w:rPr>
        <w:t>א, ז</w:t>
      </w:r>
      <w:r w:rsidR="009B2886" w:rsidRPr="000805A2">
        <w:rPr>
          <w:rFonts w:cs="David" w:hint="cs"/>
          <w:sz w:val="24"/>
          <w:szCs w:val="24"/>
          <w:rtl/>
        </w:rPr>
        <w:t>,</w:t>
      </w:r>
      <w:r w:rsidRPr="000805A2">
        <w:rPr>
          <w:rFonts w:cs="David" w:hint="cs"/>
          <w:sz w:val="24"/>
          <w:szCs w:val="24"/>
          <w:rtl/>
        </w:rPr>
        <w:t xml:space="preserve"> ובתוספתא שבת יב, יד</w:t>
      </w:r>
      <w:r w:rsidR="009B2886" w:rsidRPr="000805A2">
        <w:rPr>
          <w:rFonts w:cs="David" w:hint="cs"/>
          <w:sz w:val="24"/>
          <w:szCs w:val="24"/>
          <w:rtl/>
        </w:rPr>
        <w:t>,</w:t>
      </w:r>
      <w:r w:rsidRPr="000805A2">
        <w:rPr>
          <w:rFonts w:cs="David" w:hint="cs"/>
          <w:sz w:val="24"/>
          <w:szCs w:val="24"/>
          <w:rtl/>
        </w:rPr>
        <w:t xml:space="preserve"> עם </w:t>
      </w:r>
      <w:r w:rsidR="009B2886" w:rsidRPr="000805A2">
        <w:rPr>
          <w:rFonts w:cs="David" w:hint="cs"/>
          <w:sz w:val="24"/>
          <w:szCs w:val="24"/>
          <w:rtl/>
        </w:rPr>
        <w:t>סוג החצוצרה הרומי המכונה "בוקינה" (</w:t>
      </w:r>
      <w:r w:rsidR="009B2886" w:rsidRPr="000805A2">
        <w:rPr>
          <w:rFonts w:asciiTheme="majorBidi" w:hAnsiTheme="majorBidi" w:cstheme="majorBidi"/>
          <w:sz w:val="24"/>
          <w:szCs w:val="24"/>
        </w:rPr>
        <w:t>Buccina</w:t>
      </w:r>
      <w:r w:rsidR="009B2886" w:rsidRPr="000805A2">
        <w:rPr>
          <w:rFonts w:cs="David" w:hint="cs"/>
          <w:sz w:val="24"/>
          <w:szCs w:val="24"/>
          <w:rtl/>
        </w:rPr>
        <w:t>)</w:t>
      </w:r>
      <w:r w:rsidR="00EF6D27" w:rsidRPr="000805A2">
        <w:rPr>
          <w:rFonts w:cs="David" w:hint="cs"/>
          <w:sz w:val="24"/>
          <w:szCs w:val="24"/>
          <w:rtl/>
        </w:rPr>
        <w:t>, שנעשה לעיתים בצורה ישרה ולעיתים בצורה עגולה</w:t>
      </w:r>
      <w:r w:rsidR="009B2886" w:rsidRPr="000805A2">
        <w:rPr>
          <w:rFonts w:cs="David" w:hint="cs"/>
          <w:sz w:val="24"/>
          <w:szCs w:val="24"/>
          <w:rtl/>
        </w:rPr>
        <w:t>. כמו כן, הצעתי כי אם אכן קיימת זהות בין הקרן העגולה לבין "חצוצרות של פרקי" הנזכרות ב</w:t>
      </w:r>
      <w:r w:rsidRPr="000805A2">
        <w:rPr>
          <w:rFonts w:cs="David" w:hint="cs"/>
          <w:sz w:val="24"/>
          <w:szCs w:val="24"/>
          <w:rtl/>
        </w:rPr>
        <w:t xml:space="preserve">תוספתא, כלים </w:t>
      </w:r>
      <w:r w:rsidR="00FB7561" w:rsidRPr="000805A2">
        <w:rPr>
          <w:rFonts w:cs="David" w:hint="cs"/>
          <w:sz w:val="24"/>
          <w:szCs w:val="24"/>
          <w:rtl/>
        </w:rPr>
        <w:t>(</w:t>
      </w:r>
      <w:r w:rsidRPr="000805A2">
        <w:rPr>
          <w:rFonts w:cs="David" w:hint="cs"/>
          <w:sz w:val="24"/>
          <w:szCs w:val="24"/>
          <w:rtl/>
        </w:rPr>
        <w:t>בבא מציעא</w:t>
      </w:r>
      <w:r w:rsidR="00FB7561" w:rsidRPr="000805A2">
        <w:rPr>
          <w:rFonts w:cs="David" w:hint="cs"/>
          <w:sz w:val="24"/>
          <w:szCs w:val="24"/>
          <w:rtl/>
        </w:rPr>
        <w:t>)</w:t>
      </w:r>
      <w:r w:rsidRPr="000805A2">
        <w:rPr>
          <w:rFonts w:cs="David" w:hint="cs"/>
          <w:sz w:val="24"/>
          <w:szCs w:val="24"/>
          <w:rtl/>
        </w:rPr>
        <w:t xml:space="preserve"> א</w:t>
      </w:r>
      <w:r w:rsidR="00FB7561" w:rsidRPr="000805A2">
        <w:rPr>
          <w:rFonts w:cs="David" w:hint="cs"/>
          <w:sz w:val="24"/>
          <w:szCs w:val="24"/>
          <w:rtl/>
        </w:rPr>
        <w:t xml:space="preserve">, </w:t>
      </w:r>
      <w:r w:rsidRPr="000805A2">
        <w:rPr>
          <w:rFonts w:cs="David" w:hint="cs"/>
          <w:sz w:val="24"/>
          <w:szCs w:val="24"/>
          <w:rtl/>
        </w:rPr>
        <w:t>ח, הרי שאפשר שיש לזהות גם סוג חצוצרה זה עם הבוקינה העגולה.</w:t>
      </w:r>
      <w:r w:rsidR="0062291A" w:rsidRPr="000805A2">
        <w:rPr>
          <w:rStyle w:val="a5"/>
          <w:rFonts w:cs="David"/>
          <w:sz w:val="24"/>
          <w:szCs w:val="24"/>
          <w:rtl/>
        </w:rPr>
        <w:footnoteReference w:id="45"/>
      </w:r>
      <w:r w:rsidRPr="000805A2">
        <w:rPr>
          <w:rFonts w:cs="David" w:hint="cs"/>
          <w:sz w:val="24"/>
          <w:szCs w:val="24"/>
          <w:rtl/>
        </w:rPr>
        <w:t xml:space="preserve"> </w:t>
      </w:r>
    </w:p>
    <w:p w14:paraId="70275251" w14:textId="0A954D28" w:rsidR="00A93F7F" w:rsidRPr="00294C70" w:rsidRDefault="00A93F7F" w:rsidP="00EF6D27">
      <w:pPr>
        <w:spacing w:line="480" w:lineRule="auto"/>
        <w:jc w:val="both"/>
        <w:rPr>
          <w:rFonts w:cs="David"/>
          <w:sz w:val="24"/>
          <w:szCs w:val="24"/>
        </w:rPr>
      </w:pPr>
      <w:r w:rsidRPr="00294C70">
        <w:rPr>
          <w:rFonts w:cs="David" w:hint="cs"/>
          <w:sz w:val="24"/>
          <w:szCs w:val="24"/>
          <w:rtl/>
        </w:rPr>
        <w:t xml:space="preserve">אם </w:t>
      </w:r>
      <w:r w:rsidR="00C13B2F" w:rsidRPr="00294C70">
        <w:rPr>
          <w:rFonts w:cs="David" w:hint="cs"/>
          <w:sz w:val="24"/>
          <w:szCs w:val="24"/>
          <w:rtl/>
        </w:rPr>
        <w:t xml:space="preserve">דגם </w:t>
      </w:r>
      <w:r w:rsidRPr="00294C70">
        <w:rPr>
          <w:rFonts w:cs="David" w:hint="cs"/>
          <w:sz w:val="24"/>
          <w:szCs w:val="24"/>
          <w:rtl/>
        </w:rPr>
        <w:t>החצוצרות שעל מטבעות</w:t>
      </w:r>
      <w:r w:rsidR="00294C70" w:rsidRPr="00294C70">
        <w:rPr>
          <w:rFonts w:cs="David" w:hint="cs"/>
          <w:sz w:val="24"/>
          <w:szCs w:val="24"/>
          <w:rtl/>
        </w:rPr>
        <w:t xml:space="preserve"> בר-כוכבא</w:t>
      </w:r>
      <w:r w:rsidRPr="00294C70">
        <w:rPr>
          <w:rFonts w:cs="David" w:hint="cs"/>
          <w:sz w:val="24"/>
          <w:szCs w:val="24"/>
          <w:rtl/>
        </w:rPr>
        <w:t xml:space="preserve"> </w:t>
      </w:r>
      <w:r w:rsidR="00C13B2F" w:rsidRPr="00294C70">
        <w:rPr>
          <w:rFonts w:cs="David" w:hint="cs"/>
          <w:sz w:val="24"/>
          <w:szCs w:val="24"/>
          <w:rtl/>
        </w:rPr>
        <w:t xml:space="preserve">אכן </w:t>
      </w:r>
      <w:r w:rsidRPr="00294C70">
        <w:rPr>
          <w:rFonts w:cs="David" w:hint="cs"/>
          <w:sz w:val="24"/>
          <w:szCs w:val="24"/>
          <w:rtl/>
        </w:rPr>
        <w:t xml:space="preserve">מתאר סוג חצוצרות שרווח </w:t>
      </w:r>
      <w:r w:rsidR="00F92294" w:rsidRPr="00294C70">
        <w:rPr>
          <w:rFonts w:cs="David" w:hint="cs"/>
          <w:sz w:val="24"/>
          <w:szCs w:val="24"/>
          <w:rtl/>
        </w:rPr>
        <w:t>במרחב הארץ ישראלי</w:t>
      </w:r>
      <w:r w:rsidRPr="00294C70">
        <w:rPr>
          <w:rFonts w:cs="David" w:hint="cs"/>
          <w:sz w:val="24"/>
          <w:szCs w:val="24"/>
          <w:rtl/>
        </w:rPr>
        <w:t xml:space="preserve"> בתקופה הרומית ו</w:t>
      </w:r>
      <w:r w:rsidR="00F92294" w:rsidRPr="00294C70">
        <w:rPr>
          <w:rFonts w:cs="David" w:hint="cs"/>
          <w:sz w:val="24"/>
          <w:szCs w:val="24"/>
          <w:rtl/>
        </w:rPr>
        <w:t xml:space="preserve">בנוסף, </w:t>
      </w:r>
      <w:r w:rsidRPr="00294C70">
        <w:rPr>
          <w:rFonts w:cs="David" w:hint="cs"/>
          <w:sz w:val="24"/>
          <w:szCs w:val="24"/>
          <w:rtl/>
        </w:rPr>
        <w:t xml:space="preserve">אם </w:t>
      </w:r>
      <w:r w:rsidR="00C13B2F" w:rsidRPr="00294C70">
        <w:rPr>
          <w:rFonts w:cs="David" w:hint="cs"/>
          <w:sz w:val="24"/>
          <w:szCs w:val="24"/>
          <w:rtl/>
        </w:rPr>
        <w:t xml:space="preserve">נכונה הטענה כי </w:t>
      </w:r>
      <w:r w:rsidR="00EF6D27" w:rsidRPr="00294C70">
        <w:rPr>
          <w:rFonts w:cs="David" w:hint="cs"/>
          <w:sz w:val="24"/>
          <w:szCs w:val="24"/>
          <w:rtl/>
        </w:rPr>
        <w:t xml:space="preserve">כלי הנשיפה הנזכרים במשנה ובתוספתא (קרן עגולה, קרן ישרה ו- חצוצרות של פרקי), מתייחסים </w:t>
      </w:r>
      <w:r w:rsidRPr="00294C70">
        <w:rPr>
          <w:rFonts w:cs="David" w:hint="cs"/>
          <w:sz w:val="24"/>
          <w:szCs w:val="24"/>
          <w:rtl/>
        </w:rPr>
        <w:t>לבוקינה הרומית</w:t>
      </w:r>
      <w:r w:rsidR="004F6D87" w:rsidRPr="00294C70">
        <w:rPr>
          <w:rFonts w:cs="David" w:hint="cs"/>
          <w:sz w:val="24"/>
          <w:szCs w:val="24"/>
          <w:rtl/>
        </w:rPr>
        <w:t>,</w:t>
      </w:r>
      <w:r w:rsidRPr="00294C70">
        <w:rPr>
          <w:rFonts w:cs="David" w:hint="cs"/>
          <w:sz w:val="24"/>
          <w:szCs w:val="24"/>
          <w:rtl/>
        </w:rPr>
        <w:t xml:space="preserve"> הרי שיש בכך להרחיב את הבנתנו בדבר השפעת כלי הנ</w:t>
      </w:r>
      <w:r w:rsidR="00F92294" w:rsidRPr="00294C70">
        <w:rPr>
          <w:rFonts w:cs="David" w:hint="cs"/>
          <w:sz w:val="24"/>
          <w:szCs w:val="24"/>
          <w:rtl/>
        </w:rPr>
        <w:t>שיפ</w:t>
      </w:r>
      <w:r w:rsidRPr="00294C70">
        <w:rPr>
          <w:rFonts w:cs="David" w:hint="cs"/>
          <w:sz w:val="24"/>
          <w:szCs w:val="24"/>
          <w:rtl/>
        </w:rPr>
        <w:t xml:space="preserve">ה הרומיים </w:t>
      </w:r>
      <w:r w:rsidR="00F92294" w:rsidRPr="00294C70">
        <w:rPr>
          <w:rFonts w:cs="David" w:hint="cs"/>
          <w:sz w:val="24"/>
          <w:szCs w:val="24"/>
          <w:rtl/>
        </w:rPr>
        <w:t xml:space="preserve">על כלי הנשיפה שהיו בשימוש היהודים </w:t>
      </w:r>
      <w:r w:rsidR="00EF6D27" w:rsidRPr="00294C70">
        <w:rPr>
          <w:rFonts w:cs="David" w:hint="cs"/>
          <w:sz w:val="24"/>
          <w:szCs w:val="24"/>
          <w:rtl/>
        </w:rPr>
        <w:t xml:space="preserve">שחיו בארץ ישראל </w:t>
      </w:r>
      <w:r w:rsidR="00F92294" w:rsidRPr="00294C70">
        <w:rPr>
          <w:rFonts w:cs="David" w:hint="cs"/>
          <w:sz w:val="24"/>
          <w:szCs w:val="24"/>
          <w:rtl/>
        </w:rPr>
        <w:t xml:space="preserve">בתקופה הרומית.  </w:t>
      </w:r>
    </w:p>
    <w:p w14:paraId="6692F748" w14:textId="6EBA8B66" w:rsidR="003074AF" w:rsidRDefault="00432FED" w:rsidP="00D8508F">
      <w:pPr>
        <w:spacing w:line="480" w:lineRule="auto"/>
        <w:jc w:val="both"/>
        <w:rPr>
          <w:rFonts w:cs="David"/>
          <w:b/>
          <w:bCs/>
          <w:sz w:val="24"/>
          <w:szCs w:val="24"/>
          <w:rtl/>
        </w:rPr>
      </w:pPr>
      <w:r>
        <w:rPr>
          <w:rFonts w:cs="David" w:hint="cs"/>
          <w:b/>
          <w:bCs/>
          <w:sz w:val="24"/>
          <w:szCs w:val="24"/>
          <w:rtl/>
        </w:rPr>
        <w:t xml:space="preserve">ג. </w:t>
      </w:r>
      <w:r w:rsidR="003074AF" w:rsidRPr="00CF710A">
        <w:rPr>
          <w:rFonts w:cs="David" w:hint="cs"/>
          <w:b/>
          <w:bCs/>
          <w:sz w:val="24"/>
          <w:szCs w:val="24"/>
          <w:rtl/>
        </w:rPr>
        <w:t>החצוצרות שעל מטבעות</w:t>
      </w:r>
      <w:r w:rsidR="003074AF">
        <w:rPr>
          <w:rFonts w:cs="David" w:hint="cs"/>
          <w:b/>
          <w:bCs/>
          <w:sz w:val="24"/>
          <w:szCs w:val="24"/>
          <w:rtl/>
        </w:rPr>
        <w:t xml:space="preserve"> בר-כוכבא</w:t>
      </w:r>
      <w:r w:rsidR="003074AF" w:rsidRPr="00CF710A">
        <w:rPr>
          <w:rFonts w:cs="David" w:hint="cs"/>
          <w:b/>
          <w:bCs/>
          <w:sz w:val="24"/>
          <w:szCs w:val="24"/>
          <w:rtl/>
        </w:rPr>
        <w:t xml:space="preserve"> </w:t>
      </w:r>
      <w:r w:rsidR="00D8508F">
        <w:rPr>
          <w:rFonts w:cs="David"/>
          <w:b/>
          <w:bCs/>
          <w:sz w:val="24"/>
          <w:szCs w:val="24"/>
          <w:rtl/>
        </w:rPr>
        <w:t>–</w:t>
      </w:r>
      <w:r w:rsidR="003074AF" w:rsidRPr="00CF710A">
        <w:rPr>
          <w:rFonts w:cs="David" w:hint="cs"/>
          <w:b/>
          <w:bCs/>
          <w:sz w:val="24"/>
          <w:szCs w:val="24"/>
          <w:rtl/>
        </w:rPr>
        <w:t xml:space="preserve"> היבטים סימבוליים</w:t>
      </w:r>
    </w:p>
    <w:p w14:paraId="2F256AC3" w14:textId="4B79B209" w:rsidR="003074AF" w:rsidRPr="00471567" w:rsidRDefault="003074AF" w:rsidP="003074AF">
      <w:pPr>
        <w:spacing w:line="480" w:lineRule="auto"/>
        <w:jc w:val="both"/>
        <w:rPr>
          <w:rFonts w:cs="David"/>
          <w:sz w:val="24"/>
          <w:szCs w:val="24"/>
          <w:rtl/>
        </w:rPr>
      </w:pPr>
      <w:r>
        <w:rPr>
          <w:rFonts w:cs="David" w:hint="cs"/>
          <w:sz w:val="24"/>
          <w:szCs w:val="24"/>
          <w:rtl/>
        </w:rPr>
        <w:t xml:space="preserve">עולה השאלה מדוע בחרו המורדים דווקא בכלי נגינה זה, והאם יש בבחירה זו כדי ללמד על האופן שבו ראו את תפקידן של החצוצרות ואת משמעותן? קיימות מספר אפשרויות, שלא ניתן יהיה להכריע ביניהן: </w:t>
      </w:r>
    </w:p>
    <w:p w14:paraId="497D7A01" w14:textId="19A81C14" w:rsidR="003074AF" w:rsidRDefault="003074AF" w:rsidP="003074AF">
      <w:pPr>
        <w:spacing w:line="480" w:lineRule="auto"/>
        <w:jc w:val="both"/>
        <w:rPr>
          <w:rFonts w:asciiTheme="minorBidi" w:hAnsiTheme="minorBidi" w:cs="David"/>
          <w:sz w:val="24"/>
          <w:szCs w:val="24"/>
          <w:rtl/>
        </w:rPr>
      </w:pPr>
      <w:r>
        <w:rPr>
          <w:rFonts w:cs="David" w:hint="cs"/>
          <w:sz w:val="24"/>
          <w:szCs w:val="24"/>
          <w:rtl/>
        </w:rPr>
        <w:t>א)</w:t>
      </w:r>
      <w:r>
        <w:rPr>
          <w:rFonts w:cs="David" w:hint="cs"/>
          <w:sz w:val="24"/>
          <w:szCs w:val="24"/>
        </w:rPr>
        <w:t xml:space="preserve"> </w:t>
      </w:r>
      <w:r>
        <w:rPr>
          <w:rFonts w:cs="David" w:hint="cs"/>
          <w:sz w:val="24"/>
          <w:szCs w:val="24"/>
          <w:rtl/>
        </w:rPr>
        <w:t>כאמור, לדעת כמה מן החוקרים, הסמלים המופיעים על המטבעות קשורים לפולחן שנערך במקדש באופן כללי, ומטרתם לבטא את שאיפת המורדים להקמת המקדש מחדש ולחידוש הפולחן בו.</w:t>
      </w:r>
      <w:r w:rsidR="00D17529">
        <w:rPr>
          <w:rStyle w:val="a5"/>
          <w:rFonts w:cs="David"/>
          <w:sz w:val="24"/>
          <w:szCs w:val="24"/>
          <w:rtl/>
        </w:rPr>
        <w:footnoteReference w:id="46"/>
      </w:r>
      <w:r w:rsidR="00D17529">
        <w:rPr>
          <w:rFonts w:cs="David" w:hint="cs"/>
          <w:sz w:val="24"/>
          <w:szCs w:val="24"/>
          <w:rtl/>
        </w:rPr>
        <w:t xml:space="preserve"> </w:t>
      </w:r>
      <w:r>
        <w:rPr>
          <w:rFonts w:cs="David" w:hint="cs"/>
          <w:sz w:val="24"/>
          <w:szCs w:val="24"/>
          <w:rtl/>
        </w:rPr>
        <w:t>אם הסבר זה נכון, יתכן שהסיבה שבגללה נבחר דגם צמד החצוצרות כאחד מן הדגמים שיופיעו על המטבעות קשורה לתיאור המופיע במשנה סוכה ה</w:t>
      </w:r>
      <w:r w:rsidR="004A173B">
        <w:rPr>
          <w:rFonts w:cs="David" w:hint="cs"/>
          <w:sz w:val="24"/>
          <w:szCs w:val="24"/>
          <w:rtl/>
        </w:rPr>
        <w:t xml:space="preserve">, </w:t>
      </w:r>
      <w:r>
        <w:rPr>
          <w:rFonts w:cs="David" w:hint="cs"/>
          <w:sz w:val="24"/>
          <w:szCs w:val="24"/>
          <w:rtl/>
        </w:rPr>
        <w:t>ה באשר לשימוש בשתי חצוצרות בטקס קרבן התמיד ("</w:t>
      </w:r>
      <w:r w:rsidRPr="007968EE">
        <w:rPr>
          <w:rFonts w:asciiTheme="minorBidi" w:hAnsiTheme="minorBidi" w:cs="David" w:hint="cs"/>
          <w:sz w:val="24"/>
          <w:szCs w:val="24"/>
          <w:rtl/>
        </w:rPr>
        <w:t>ושני כהנים עומדים על שלחן החלבים, ושתי חצוצרות בידן, תקעו והריעו ותקעו</w:t>
      </w:r>
      <w:r>
        <w:rPr>
          <w:rFonts w:asciiTheme="minorBidi" w:hAnsiTheme="minorBidi" w:cs="David" w:hint="cs"/>
          <w:sz w:val="24"/>
          <w:szCs w:val="24"/>
          <w:rtl/>
        </w:rPr>
        <w:t xml:space="preserve">"). </w:t>
      </w:r>
    </w:p>
    <w:p w14:paraId="6DBE56EC" w14:textId="5F5A679C" w:rsidR="003074AF" w:rsidRPr="00E81202" w:rsidRDefault="003074AF" w:rsidP="003074AF">
      <w:pPr>
        <w:spacing w:line="480" w:lineRule="auto"/>
        <w:jc w:val="both"/>
        <w:rPr>
          <w:rFonts w:cs="David"/>
          <w:spacing w:val="-2"/>
          <w:sz w:val="24"/>
          <w:szCs w:val="24"/>
        </w:rPr>
      </w:pPr>
      <w:r>
        <w:rPr>
          <w:rFonts w:asciiTheme="minorBidi" w:hAnsiTheme="minorBidi" w:cs="David" w:hint="cs"/>
          <w:sz w:val="24"/>
          <w:szCs w:val="24"/>
          <w:rtl/>
        </w:rPr>
        <w:lastRenderedPageBreak/>
        <w:t>ב) כפי שצוין לעיל</w:t>
      </w:r>
      <w:r>
        <w:rPr>
          <w:rFonts w:cs="David" w:hint="cs"/>
          <w:sz w:val="24"/>
          <w:szCs w:val="24"/>
          <w:rtl/>
        </w:rPr>
        <w:t xml:space="preserve">, לדעת בר"ג וטנדלר, יש לראות בדגמים שעל המטבעות סמלים הקשורים בעיקר </w:t>
      </w:r>
      <w:r w:rsidRPr="00B202C5">
        <w:rPr>
          <w:rFonts w:cs="David" w:hint="cs"/>
          <w:spacing w:val="-2"/>
          <w:sz w:val="24"/>
          <w:szCs w:val="24"/>
          <w:rtl/>
        </w:rPr>
        <w:t>לעליה לרגל לבית המקדש, בשלושת הרגלים</w:t>
      </w:r>
      <w:r>
        <w:rPr>
          <w:rFonts w:cs="David" w:hint="cs"/>
          <w:sz w:val="24"/>
          <w:szCs w:val="24"/>
          <w:rtl/>
        </w:rPr>
        <w:t>.</w:t>
      </w:r>
      <w:r>
        <w:rPr>
          <w:rStyle w:val="a5"/>
          <w:rFonts w:cs="David"/>
          <w:sz w:val="24"/>
          <w:szCs w:val="24"/>
          <w:rtl/>
        </w:rPr>
        <w:footnoteReference w:id="47"/>
      </w:r>
      <w:r>
        <w:rPr>
          <w:rFonts w:cs="David" w:hint="cs"/>
          <w:sz w:val="24"/>
          <w:szCs w:val="24"/>
          <w:rtl/>
        </w:rPr>
        <w:t xml:space="preserve"> אם טענה זו נכונה, יתכן שהבחירה בדגם החצוצרות קשורה לתיאור המופיע במשנה </w:t>
      </w:r>
      <w:r w:rsidRPr="007968EE">
        <w:rPr>
          <w:rFonts w:cs="David" w:hint="cs"/>
          <w:sz w:val="24"/>
          <w:szCs w:val="24"/>
          <w:rtl/>
        </w:rPr>
        <w:t>פסחים ה</w:t>
      </w:r>
      <w:r w:rsidR="004A173B">
        <w:rPr>
          <w:rFonts w:cs="David" w:hint="cs"/>
          <w:sz w:val="24"/>
          <w:szCs w:val="24"/>
          <w:rtl/>
        </w:rPr>
        <w:t>,</w:t>
      </w:r>
      <w:r w:rsidRPr="007968EE">
        <w:rPr>
          <w:rFonts w:cs="David" w:hint="cs"/>
          <w:sz w:val="24"/>
          <w:szCs w:val="24"/>
          <w:rtl/>
        </w:rPr>
        <w:t xml:space="preserve"> ה</w:t>
      </w:r>
      <w:r>
        <w:rPr>
          <w:rFonts w:cs="David" w:hint="cs"/>
          <w:sz w:val="24"/>
          <w:szCs w:val="24"/>
          <w:rtl/>
        </w:rPr>
        <w:t xml:space="preserve"> באשר לשימוש בחצוצרות על קורבנות הפסח ("</w:t>
      </w:r>
      <w:r w:rsidRPr="007968EE">
        <w:rPr>
          <w:rFonts w:cs="David" w:hint="cs"/>
          <w:sz w:val="24"/>
          <w:szCs w:val="24"/>
          <w:rtl/>
        </w:rPr>
        <w:t>הפסח נשחט בשלוש כיתים...</w:t>
      </w:r>
      <w:r w:rsidRPr="00AD30DF">
        <w:rPr>
          <w:rFonts w:cs="David" w:hint="cs"/>
          <w:sz w:val="24"/>
          <w:szCs w:val="24"/>
          <w:rtl/>
        </w:rPr>
        <w:t>תקעו הריעו ותקעו</w:t>
      </w:r>
      <w:r>
        <w:rPr>
          <w:rFonts w:cs="David" w:hint="cs"/>
          <w:sz w:val="24"/>
          <w:szCs w:val="24"/>
          <w:rtl/>
        </w:rPr>
        <w:t>").</w:t>
      </w:r>
      <w:r>
        <w:rPr>
          <w:rFonts w:asciiTheme="minorBidi" w:hAnsiTheme="minorBidi" w:cs="David" w:hint="cs"/>
          <w:sz w:val="24"/>
          <w:szCs w:val="24"/>
          <w:rtl/>
        </w:rPr>
        <w:t xml:space="preserve"> </w:t>
      </w:r>
      <w:r>
        <w:rPr>
          <w:rFonts w:cs="David" w:hint="cs"/>
          <w:sz w:val="24"/>
          <w:szCs w:val="24"/>
          <w:rtl/>
        </w:rPr>
        <w:t xml:space="preserve">כאמור, חוקרים אחרים סברו שמדובר דווקא </w:t>
      </w:r>
      <w:r w:rsidRPr="006D7D3A">
        <w:rPr>
          <w:rFonts w:cs="David" w:hint="cs"/>
          <w:spacing w:val="-2"/>
          <w:sz w:val="24"/>
          <w:szCs w:val="24"/>
          <w:rtl/>
        </w:rPr>
        <w:t>בעליה לרגל בחג הסוכות.</w:t>
      </w:r>
      <w:r w:rsidRPr="006D7D3A">
        <w:rPr>
          <w:rStyle w:val="a5"/>
          <w:rFonts w:cs="David"/>
          <w:spacing w:val="-2"/>
          <w:sz w:val="24"/>
          <w:szCs w:val="24"/>
          <w:rtl/>
        </w:rPr>
        <w:footnoteReference w:id="48"/>
      </w:r>
      <w:r w:rsidRPr="006D7D3A">
        <w:rPr>
          <w:rFonts w:asciiTheme="minorBidi" w:hAnsiTheme="minorBidi" w:cs="David" w:hint="cs"/>
          <w:spacing w:val="-2"/>
          <w:sz w:val="24"/>
          <w:szCs w:val="24"/>
          <w:rtl/>
        </w:rPr>
        <w:t xml:space="preserve"> אם הסבר זה נכון, </w:t>
      </w:r>
      <w:r w:rsidRPr="006D7D3A">
        <w:rPr>
          <w:rFonts w:cs="David" w:hint="cs"/>
          <w:spacing w:val="-2"/>
          <w:sz w:val="24"/>
          <w:szCs w:val="24"/>
          <w:rtl/>
        </w:rPr>
        <w:t>יתכן שקיים קשר בין דגם החצוצרות שעל</w:t>
      </w:r>
      <w:r>
        <w:rPr>
          <w:rFonts w:cs="David" w:hint="cs"/>
          <w:spacing w:val="-2"/>
          <w:sz w:val="24"/>
          <w:szCs w:val="24"/>
          <w:rtl/>
        </w:rPr>
        <w:t xml:space="preserve"> המטבעות, לבין תיאור השימוש בשתי חצוצרות בתהלוכת שמחת בית השואבה המופיע במשנה סוכה ה</w:t>
      </w:r>
      <w:r w:rsidR="004A173B">
        <w:rPr>
          <w:rFonts w:cs="David" w:hint="cs"/>
          <w:spacing w:val="-2"/>
          <w:sz w:val="24"/>
          <w:szCs w:val="24"/>
          <w:rtl/>
        </w:rPr>
        <w:t>,</w:t>
      </w:r>
      <w:r>
        <w:rPr>
          <w:rFonts w:cs="David" w:hint="cs"/>
          <w:spacing w:val="-2"/>
          <w:sz w:val="24"/>
          <w:szCs w:val="24"/>
          <w:rtl/>
        </w:rPr>
        <w:t xml:space="preserve"> ד ("</w:t>
      </w:r>
      <w:r w:rsidRPr="007968EE">
        <w:rPr>
          <w:rFonts w:cs="David" w:hint="cs"/>
          <w:sz w:val="24"/>
          <w:szCs w:val="24"/>
          <w:rtl/>
        </w:rPr>
        <w:t>עמדו שני כהנים</w:t>
      </w:r>
      <w:r>
        <w:rPr>
          <w:rFonts w:cs="David" w:hint="cs"/>
          <w:sz w:val="24"/>
          <w:szCs w:val="24"/>
          <w:rtl/>
        </w:rPr>
        <w:t>...</w:t>
      </w:r>
      <w:r w:rsidRPr="007968EE">
        <w:rPr>
          <w:rFonts w:cs="David" w:hint="cs"/>
          <w:sz w:val="24"/>
          <w:szCs w:val="24"/>
          <w:rtl/>
        </w:rPr>
        <w:t>ושתי חצוצרות בידם.</w:t>
      </w:r>
      <w:r>
        <w:rPr>
          <w:rFonts w:cs="David" w:hint="cs"/>
          <w:sz w:val="24"/>
          <w:szCs w:val="24"/>
          <w:rtl/>
        </w:rPr>
        <w:t>..</w:t>
      </w:r>
      <w:r w:rsidRPr="007968EE">
        <w:rPr>
          <w:rFonts w:cs="David" w:hint="cs"/>
          <w:sz w:val="24"/>
          <w:szCs w:val="24"/>
          <w:rtl/>
        </w:rPr>
        <w:t>תקעו והריעו ותקעו</w:t>
      </w:r>
      <w:r>
        <w:rPr>
          <w:rFonts w:cs="David" w:hint="cs"/>
          <w:sz w:val="24"/>
          <w:szCs w:val="24"/>
          <w:rtl/>
        </w:rPr>
        <w:t>"), וכן אולי גם</w:t>
      </w:r>
      <w:r>
        <w:rPr>
          <w:rFonts w:cs="David" w:hint="cs"/>
          <w:spacing w:val="-2"/>
          <w:sz w:val="24"/>
          <w:szCs w:val="24"/>
          <w:rtl/>
        </w:rPr>
        <w:t xml:space="preserve"> בטקס מצוות הערבה המתואר במשנה סוכה ד</w:t>
      </w:r>
      <w:r w:rsidR="004A173B">
        <w:rPr>
          <w:rFonts w:cs="David" w:hint="cs"/>
          <w:spacing w:val="-2"/>
          <w:sz w:val="24"/>
          <w:szCs w:val="24"/>
          <w:rtl/>
        </w:rPr>
        <w:t xml:space="preserve">, </w:t>
      </w:r>
      <w:r>
        <w:rPr>
          <w:rFonts w:cs="David" w:hint="cs"/>
          <w:spacing w:val="-2"/>
          <w:sz w:val="24"/>
          <w:szCs w:val="24"/>
          <w:rtl/>
        </w:rPr>
        <w:t>ה ("</w:t>
      </w:r>
      <w:r>
        <w:rPr>
          <w:rFonts w:cs="David" w:hint="cs"/>
          <w:sz w:val="24"/>
          <w:szCs w:val="24"/>
          <w:rtl/>
        </w:rPr>
        <w:t>...</w:t>
      </w:r>
      <w:r w:rsidRPr="007968EE">
        <w:rPr>
          <w:rFonts w:cs="David" w:hint="cs"/>
          <w:sz w:val="24"/>
          <w:szCs w:val="24"/>
          <w:rtl/>
        </w:rPr>
        <w:t>וזוקפים אותם לצדדי המזבח</w:t>
      </w:r>
      <w:r>
        <w:rPr>
          <w:rFonts w:cs="David" w:hint="cs"/>
          <w:sz w:val="24"/>
          <w:szCs w:val="24"/>
          <w:rtl/>
        </w:rPr>
        <w:t>...</w:t>
      </w:r>
      <w:r w:rsidRPr="00875075">
        <w:rPr>
          <w:rFonts w:cs="David" w:hint="cs"/>
          <w:sz w:val="24"/>
          <w:szCs w:val="24"/>
          <w:rtl/>
        </w:rPr>
        <w:t>תקעו והריעו ותקעו</w:t>
      </w:r>
      <w:r>
        <w:rPr>
          <w:rFonts w:cs="David" w:hint="cs"/>
          <w:sz w:val="24"/>
          <w:szCs w:val="24"/>
          <w:rtl/>
        </w:rPr>
        <w:t xml:space="preserve">"), </w:t>
      </w:r>
      <w:r>
        <w:rPr>
          <w:rFonts w:cs="David" w:hint="cs"/>
          <w:spacing w:val="-2"/>
          <w:sz w:val="24"/>
          <w:szCs w:val="24"/>
          <w:rtl/>
        </w:rPr>
        <w:t>ובטקס ניסוך המים המתואר במשנה סוכה פ"ד מ"ט ("</w:t>
      </w:r>
      <w:r w:rsidRPr="007968EE">
        <w:rPr>
          <w:rFonts w:cs="David" w:hint="cs"/>
          <w:sz w:val="24"/>
          <w:szCs w:val="24"/>
          <w:rtl/>
        </w:rPr>
        <w:t xml:space="preserve">היגיעו לשער המים, </w:t>
      </w:r>
      <w:r w:rsidRPr="00875075">
        <w:rPr>
          <w:rFonts w:cs="David" w:hint="cs"/>
          <w:sz w:val="24"/>
          <w:szCs w:val="24"/>
          <w:rtl/>
        </w:rPr>
        <w:t>תקעו והריעו ותקעו</w:t>
      </w:r>
      <w:r>
        <w:rPr>
          <w:rFonts w:cs="David" w:hint="cs"/>
          <w:sz w:val="24"/>
          <w:szCs w:val="24"/>
          <w:rtl/>
        </w:rPr>
        <w:t>").</w:t>
      </w:r>
    </w:p>
    <w:p w14:paraId="3A197E6A" w14:textId="6ECCC8ED" w:rsidR="003074AF" w:rsidRDefault="003074AF" w:rsidP="003074AF">
      <w:pPr>
        <w:spacing w:line="480" w:lineRule="auto"/>
        <w:jc w:val="both"/>
        <w:rPr>
          <w:rFonts w:cs="David"/>
          <w:sz w:val="24"/>
          <w:szCs w:val="24"/>
          <w:rtl/>
        </w:rPr>
      </w:pPr>
      <w:r>
        <w:rPr>
          <w:rFonts w:cs="David" w:hint="cs"/>
          <w:sz w:val="24"/>
          <w:szCs w:val="24"/>
          <w:rtl/>
        </w:rPr>
        <w:t>ג) על פי ספר במדבר י</w:t>
      </w:r>
      <w:r w:rsidR="008B2F57">
        <w:rPr>
          <w:rFonts w:cs="David" w:hint="cs"/>
          <w:sz w:val="24"/>
          <w:szCs w:val="24"/>
          <w:rtl/>
        </w:rPr>
        <w:t>,</w:t>
      </w:r>
      <w:r>
        <w:rPr>
          <w:rFonts w:cs="David" w:hint="cs"/>
          <w:sz w:val="24"/>
          <w:szCs w:val="24"/>
          <w:rtl/>
        </w:rPr>
        <w:t xml:space="preserve"> </w:t>
      </w:r>
      <w:r w:rsidR="008B2F57">
        <w:rPr>
          <w:rFonts w:cs="David" w:hint="cs"/>
          <w:sz w:val="24"/>
          <w:szCs w:val="24"/>
          <w:rtl/>
        </w:rPr>
        <w:t>ח</w:t>
      </w:r>
      <w:r>
        <w:rPr>
          <w:rFonts w:cs="David" w:hint="cs"/>
          <w:sz w:val="24"/>
          <w:szCs w:val="24"/>
          <w:rtl/>
        </w:rPr>
        <w:t xml:space="preserve">, השימוש בחצוצרות הינו נחלתם הבלעדית של הכוהנים: </w:t>
      </w:r>
      <w:r w:rsidRPr="00D94C36">
        <w:rPr>
          <w:rFonts w:cs="David" w:hint="cs"/>
          <w:sz w:val="24"/>
          <w:szCs w:val="24"/>
          <w:rtl/>
        </w:rPr>
        <w:t>"ובני אהרן הכהנים יתקעו בחצצרות והיו לכם לחקת עולם לדרותיכם". בלעדיות זו באה לידי ביטוי גם בספרות ימי בית שני,</w:t>
      </w:r>
      <w:r w:rsidRPr="00D94C36">
        <w:rPr>
          <w:rStyle w:val="a5"/>
          <w:rFonts w:cs="David"/>
          <w:sz w:val="24"/>
          <w:szCs w:val="24"/>
          <w:rtl/>
        </w:rPr>
        <w:footnoteReference w:id="49"/>
      </w:r>
      <w:r w:rsidRPr="00D94C36">
        <w:rPr>
          <w:rFonts w:cs="David" w:hint="cs"/>
          <w:sz w:val="24"/>
          <w:szCs w:val="24"/>
          <w:rtl/>
        </w:rPr>
        <w:t xml:space="preserve"> וכן ב</w:t>
      </w:r>
      <w:r>
        <w:rPr>
          <w:rFonts w:cs="David" w:hint="cs"/>
          <w:sz w:val="24"/>
          <w:szCs w:val="24"/>
          <w:rtl/>
        </w:rPr>
        <w:t>מקורות שונים ב</w:t>
      </w:r>
      <w:r w:rsidRPr="00D94C36">
        <w:rPr>
          <w:rFonts w:cs="David" w:hint="cs"/>
          <w:sz w:val="24"/>
          <w:szCs w:val="24"/>
          <w:rtl/>
        </w:rPr>
        <w:t>ספרות התנאים</w:t>
      </w:r>
      <w:r>
        <w:rPr>
          <w:rFonts w:cs="David" w:hint="cs"/>
          <w:sz w:val="24"/>
          <w:szCs w:val="24"/>
          <w:rtl/>
        </w:rPr>
        <w:t>.</w:t>
      </w:r>
      <w:r w:rsidRPr="00D94C36">
        <w:rPr>
          <w:rStyle w:val="a5"/>
          <w:rFonts w:cs="David"/>
          <w:sz w:val="24"/>
          <w:szCs w:val="24"/>
          <w:rtl/>
        </w:rPr>
        <w:footnoteReference w:id="50"/>
      </w:r>
      <w:r>
        <w:rPr>
          <w:rFonts w:cs="David" w:hint="cs"/>
          <w:sz w:val="24"/>
          <w:szCs w:val="24"/>
          <w:rtl/>
        </w:rPr>
        <w:t xml:space="preserve"> לדברי כמה מן החוקרים, הופעת שמו של אלעזר הכוהן על הכתובות שעל חלק מן המטבעות, מעידה על תמיכתן של קבוצות כוהניות מסוימות במרד שקיוו להקמת המקדש וחידוש הפולחן, ואולי אף על השתתפותן במרד באופן פעיל.</w:t>
      </w:r>
      <w:r w:rsidR="00D215C1">
        <w:rPr>
          <w:rStyle w:val="a5"/>
          <w:rFonts w:cs="David"/>
          <w:sz w:val="24"/>
          <w:szCs w:val="24"/>
          <w:rtl/>
        </w:rPr>
        <w:footnoteReference w:id="51"/>
      </w:r>
      <w:r>
        <w:rPr>
          <w:rFonts w:cs="David" w:hint="cs"/>
          <w:sz w:val="24"/>
          <w:szCs w:val="24"/>
          <w:rtl/>
        </w:rPr>
        <w:t xml:space="preserve"> אם טענה זו נכונה, יתכן שגם הבחירה בדגם החצוצרות (שהינן סמל כוהני מובהק), כאחד מן הסמלים שיופיעו על המטבעות נובעת מהשפעתן של אותן קבוצות כוהניות.   </w:t>
      </w:r>
    </w:p>
    <w:p w14:paraId="7F138AE3" w14:textId="4AE2201F" w:rsidR="003074AF" w:rsidRDefault="003074AF" w:rsidP="003074AF">
      <w:pPr>
        <w:spacing w:line="480" w:lineRule="auto"/>
        <w:jc w:val="both"/>
        <w:rPr>
          <w:rFonts w:cs="David"/>
          <w:sz w:val="24"/>
          <w:szCs w:val="24"/>
          <w:rtl/>
        </w:rPr>
      </w:pPr>
      <w:r>
        <w:rPr>
          <w:rFonts w:cs="David" w:hint="cs"/>
          <w:sz w:val="24"/>
          <w:szCs w:val="24"/>
          <w:rtl/>
        </w:rPr>
        <w:t>ד) בספר במדבר י</w:t>
      </w:r>
      <w:r w:rsidR="008B34AD">
        <w:rPr>
          <w:rFonts w:cs="David" w:hint="cs"/>
          <w:sz w:val="24"/>
          <w:szCs w:val="24"/>
          <w:rtl/>
        </w:rPr>
        <w:t>, ב</w:t>
      </w:r>
      <w:r>
        <w:rPr>
          <w:rFonts w:cs="David" w:hint="cs"/>
          <w:sz w:val="24"/>
          <w:szCs w:val="24"/>
          <w:rtl/>
        </w:rPr>
        <w:t xml:space="preserve"> נכתב: </w:t>
      </w:r>
      <w:r>
        <w:rPr>
          <w:rFonts w:cs="David" w:hint="cs"/>
          <w:spacing w:val="-2"/>
          <w:sz w:val="24"/>
          <w:szCs w:val="24"/>
          <w:rtl/>
        </w:rPr>
        <w:t>"</w:t>
      </w:r>
      <w:r w:rsidRPr="007968EE">
        <w:rPr>
          <w:rFonts w:cs="David"/>
          <w:spacing w:val="-2"/>
          <w:sz w:val="24"/>
          <w:szCs w:val="24"/>
          <w:rtl/>
        </w:rPr>
        <w:t xml:space="preserve">עשה לך שתי </w:t>
      </w:r>
      <w:r w:rsidRPr="007968EE">
        <w:rPr>
          <w:rFonts w:cs="David" w:hint="eastAsia"/>
          <w:spacing w:val="-2"/>
          <w:sz w:val="24"/>
          <w:szCs w:val="24"/>
          <w:rtl/>
        </w:rPr>
        <w:t>חצצרות</w:t>
      </w:r>
      <w:r w:rsidRPr="007968EE">
        <w:rPr>
          <w:rFonts w:cs="David"/>
          <w:spacing w:val="-2"/>
          <w:sz w:val="24"/>
          <w:szCs w:val="24"/>
          <w:rtl/>
        </w:rPr>
        <w:t>"</w:t>
      </w:r>
      <w:r>
        <w:rPr>
          <w:rFonts w:cs="David" w:hint="cs"/>
          <w:spacing w:val="-2"/>
          <w:sz w:val="24"/>
          <w:szCs w:val="24"/>
          <w:rtl/>
        </w:rPr>
        <w:t xml:space="preserve">. בנוסף, </w:t>
      </w:r>
      <w:r>
        <w:rPr>
          <w:rFonts w:cs="David" w:hint="cs"/>
          <w:sz w:val="24"/>
          <w:szCs w:val="24"/>
          <w:rtl/>
        </w:rPr>
        <w:t xml:space="preserve">על פי הציווי המופיע בפסוק  </w:t>
      </w:r>
      <w:r w:rsidR="008B34AD">
        <w:rPr>
          <w:rFonts w:cs="David" w:hint="cs"/>
          <w:sz w:val="24"/>
          <w:szCs w:val="24"/>
          <w:rtl/>
        </w:rPr>
        <w:t>ט</w:t>
      </w:r>
      <w:r>
        <w:rPr>
          <w:rFonts w:cs="David" w:hint="cs"/>
          <w:sz w:val="24"/>
          <w:szCs w:val="24"/>
          <w:rtl/>
        </w:rPr>
        <w:t>, השימוש בשתי חצוצרות אלו במלחמה נעשה כמעין קריאה לאל להושיע את העם מאויביו (</w:t>
      </w:r>
      <w:r w:rsidRPr="007968EE">
        <w:rPr>
          <w:rFonts w:cs="David" w:hint="cs"/>
          <w:sz w:val="24"/>
          <w:szCs w:val="24"/>
          <w:rtl/>
        </w:rPr>
        <w:t xml:space="preserve">"וכי תבאו מלחמה בארצכם על הצר הצרר אתכם </w:t>
      </w:r>
      <w:r w:rsidRPr="00740324">
        <w:rPr>
          <w:rFonts w:cs="David" w:hint="cs"/>
          <w:sz w:val="24"/>
          <w:szCs w:val="24"/>
          <w:rtl/>
        </w:rPr>
        <w:t>והרעתם</w:t>
      </w:r>
      <w:r w:rsidRPr="007968EE">
        <w:rPr>
          <w:rFonts w:cs="David" w:hint="cs"/>
          <w:sz w:val="24"/>
          <w:szCs w:val="24"/>
          <w:rtl/>
        </w:rPr>
        <w:t xml:space="preserve"> בחצצרת </w:t>
      </w:r>
      <w:r w:rsidRPr="009C1290">
        <w:rPr>
          <w:rFonts w:cs="David" w:hint="cs"/>
          <w:sz w:val="24"/>
          <w:szCs w:val="24"/>
          <w:rtl/>
        </w:rPr>
        <w:t>ונזכרתם</w:t>
      </w:r>
      <w:r w:rsidRPr="00480572">
        <w:rPr>
          <w:rFonts w:cs="David" w:hint="cs"/>
          <w:sz w:val="24"/>
          <w:szCs w:val="24"/>
          <w:rtl/>
        </w:rPr>
        <w:t xml:space="preserve"> לפני ה' אלהיכם</w:t>
      </w:r>
      <w:r w:rsidRPr="007968EE">
        <w:rPr>
          <w:rFonts w:cs="David" w:hint="cs"/>
          <w:sz w:val="24"/>
          <w:szCs w:val="24"/>
          <w:rtl/>
        </w:rPr>
        <w:t xml:space="preserve"> </w:t>
      </w:r>
      <w:r w:rsidRPr="0071182A">
        <w:rPr>
          <w:rFonts w:cs="David" w:hint="cs"/>
          <w:sz w:val="24"/>
          <w:szCs w:val="24"/>
          <w:rtl/>
        </w:rPr>
        <w:t>ונושעתם</w:t>
      </w:r>
      <w:r w:rsidRPr="007968EE">
        <w:rPr>
          <w:rFonts w:cs="David" w:hint="cs"/>
          <w:sz w:val="24"/>
          <w:szCs w:val="24"/>
          <w:rtl/>
        </w:rPr>
        <w:t xml:space="preserve"> מאיביכם"</w:t>
      </w:r>
      <w:r>
        <w:rPr>
          <w:rFonts w:cs="David" w:hint="cs"/>
          <w:sz w:val="24"/>
          <w:szCs w:val="24"/>
          <w:rtl/>
        </w:rPr>
        <w:t>).</w:t>
      </w:r>
      <w:r>
        <w:rPr>
          <w:rStyle w:val="a5"/>
          <w:rFonts w:cs="David"/>
          <w:sz w:val="24"/>
          <w:szCs w:val="24"/>
          <w:rtl/>
        </w:rPr>
        <w:footnoteReference w:id="52"/>
      </w:r>
      <w:r>
        <w:rPr>
          <w:rFonts w:cs="David" w:hint="cs"/>
          <w:sz w:val="24"/>
          <w:szCs w:val="24"/>
          <w:rtl/>
        </w:rPr>
        <w:t xml:space="preserve"> לפיכך, יתכן שהטבעת דגם צמד החצוצרות על מטבעות בר-כוכבא שמשה כאמצעי סימבולי המבטא את שאיפתם של המורדים לזכות בישועתו של האל ובניצחון במלחמה.  </w:t>
      </w:r>
    </w:p>
    <w:p w14:paraId="2BC41343" w14:textId="4B26D43D" w:rsidR="003074AF" w:rsidRPr="004C4B92" w:rsidRDefault="003074AF" w:rsidP="00B24BEC">
      <w:pPr>
        <w:spacing w:line="480" w:lineRule="auto"/>
        <w:jc w:val="both"/>
        <w:rPr>
          <w:rFonts w:cs="David"/>
          <w:sz w:val="24"/>
          <w:szCs w:val="24"/>
          <w:rtl/>
        </w:rPr>
      </w:pPr>
      <w:r>
        <w:rPr>
          <w:rFonts w:cs="David" w:hint="cs"/>
          <w:sz w:val="24"/>
          <w:szCs w:val="24"/>
          <w:rtl/>
        </w:rPr>
        <w:lastRenderedPageBreak/>
        <w:t>בנוסף, יתכן שהטבעת דגם החצוצרות על המטבעות נעשתה בהשפעת תפיסתו ההלכתית של רבי עקיבא. שאלת תמיכתו של רבי עקיבא במרד בר-כוכבא נידונה במחקרים שונים. במרכז הדיון עמדה המסורת המופיעה בירושלמי תענית ד ו (סח ע"ד): "תני ר' שמעון בן יוחי. עקיבה (ר') [רבי] היה דורש 'דרך כוכב מיעקב'. דרך כוזבא מיעקב. ר' עקיבה כד הוה חמי בר כוזבה הוה אמ'. דין הוא מלכא משיחא. אמ' ליה ר' יוחנן בן תורתא. עקיבה, יעלו עשבים בלחייך וא[ע]דיין בן דוד [לא] יבא".</w:t>
      </w:r>
      <w:r>
        <w:rPr>
          <w:rStyle w:val="a5"/>
          <w:rFonts w:cs="David"/>
          <w:sz w:val="24"/>
          <w:szCs w:val="24"/>
          <w:rtl/>
        </w:rPr>
        <w:footnoteReference w:id="53"/>
      </w:r>
      <w:r>
        <w:rPr>
          <w:rFonts w:cs="David" w:hint="cs"/>
          <w:sz w:val="24"/>
          <w:szCs w:val="24"/>
          <w:rtl/>
        </w:rPr>
        <w:t xml:space="preserve"> לפי ברייתא זו, רבי עקיבה כינה את בר-כוכבא "מלכא משיחא", ואילו רבי יוחנן בן תורתא פסל אמירה זו באופן נחרץ. לדעת רוב החוקרים, תמיכתו של רבי עקיבא בבר-כוכבא הנזכרת בירושלמי מלמדת גם על תמיכתם של מרבית החכמים במרד.</w:t>
      </w:r>
      <w:r>
        <w:rPr>
          <w:rStyle w:val="a5"/>
          <w:rFonts w:cs="David"/>
          <w:sz w:val="24"/>
          <w:szCs w:val="24"/>
          <w:rtl/>
        </w:rPr>
        <w:footnoteReference w:id="54"/>
      </w:r>
      <w:r>
        <w:rPr>
          <w:rFonts w:cs="David" w:hint="cs"/>
          <w:sz w:val="24"/>
          <w:szCs w:val="24"/>
          <w:rtl/>
        </w:rPr>
        <w:t xml:space="preserve"> אחרים, סברו שאין לראות בכך ראיה לתמיכתם של שאר החכמים במרד,</w:t>
      </w:r>
      <w:r>
        <w:rPr>
          <w:rStyle w:val="a5"/>
          <w:rFonts w:cs="David"/>
          <w:sz w:val="24"/>
          <w:szCs w:val="24"/>
          <w:rtl/>
        </w:rPr>
        <w:footnoteReference w:id="55"/>
      </w:r>
      <w:r>
        <w:rPr>
          <w:rFonts w:cs="David" w:hint="cs"/>
          <w:sz w:val="24"/>
          <w:szCs w:val="24"/>
          <w:rtl/>
        </w:rPr>
        <w:t xml:space="preserve"> והיו אף שהטילו ספק במהימנות ההיסטורית של מסורת זו.</w:t>
      </w:r>
      <w:r>
        <w:rPr>
          <w:rStyle w:val="a5"/>
          <w:rFonts w:cs="David"/>
          <w:sz w:val="24"/>
          <w:szCs w:val="24"/>
          <w:rtl/>
        </w:rPr>
        <w:footnoteReference w:id="56"/>
      </w:r>
      <w:r>
        <w:rPr>
          <w:rFonts w:cs="David" w:hint="cs"/>
          <w:sz w:val="24"/>
          <w:szCs w:val="24"/>
          <w:rtl/>
        </w:rPr>
        <w:t xml:space="preserve"> לדעת </w:t>
      </w:r>
      <w:r w:rsidR="00F31C8B">
        <w:rPr>
          <w:rFonts w:cs="David" w:hint="cs"/>
          <w:sz w:val="24"/>
          <w:szCs w:val="24"/>
          <w:rtl/>
        </w:rPr>
        <w:t xml:space="preserve">מנחם </w:t>
      </w:r>
      <w:r w:rsidRPr="000E5087">
        <w:rPr>
          <w:rFonts w:cs="David" w:hint="cs"/>
          <w:sz w:val="24"/>
          <w:szCs w:val="24"/>
          <w:rtl/>
        </w:rPr>
        <w:t>מור</w:t>
      </w:r>
      <w:r>
        <w:rPr>
          <w:rFonts w:cs="David" w:hint="cs"/>
          <w:sz w:val="24"/>
          <w:szCs w:val="24"/>
          <w:rtl/>
        </w:rPr>
        <w:t xml:space="preserve">, וכן לדעת </w:t>
      </w:r>
      <w:r w:rsidR="000E5087" w:rsidRPr="000E5087">
        <w:rPr>
          <w:rFonts w:cs="David" w:hint="cs"/>
          <w:sz w:val="24"/>
          <w:szCs w:val="24"/>
          <w:rtl/>
        </w:rPr>
        <w:t xml:space="preserve">מנחם </w:t>
      </w:r>
      <w:r w:rsidRPr="000E5087">
        <w:rPr>
          <w:rFonts w:cs="David" w:hint="cs"/>
          <w:sz w:val="24"/>
          <w:szCs w:val="24"/>
          <w:rtl/>
        </w:rPr>
        <w:t xml:space="preserve">כהנא, </w:t>
      </w:r>
      <w:r>
        <w:rPr>
          <w:rFonts w:cs="David" w:hint="cs"/>
          <w:sz w:val="24"/>
          <w:szCs w:val="24"/>
          <w:rtl/>
        </w:rPr>
        <w:t>האמור בירושלמי משמר זיכרון היסטורי אודות מחלוקת שהייתה בין החכמים בזמן מרד בר-כוכבא. לדעתם, דברי רבי עקיבא מלמדים על תמיכתו במרד. ואילו דבריו של רבי יוחנן בן תורתא מייצגים את עמדתם של חכמים אחרים שהתנגדו למרד, כיוון שלדעתם בר-כוכבא אינו המשיח.</w:t>
      </w:r>
      <w:r>
        <w:rPr>
          <w:rStyle w:val="a5"/>
          <w:rFonts w:cs="David"/>
          <w:sz w:val="24"/>
          <w:szCs w:val="24"/>
          <w:rtl/>
        </w:rPr>
        <w:footnoteReference w:id="57"/>
      </w:r>
      <w:r>
        <w:rPr>
          <w:rFonts w:cs="David" w:hint="cs"/>
          <w:sz w:val="24"/>
          <w:szCs w:val="24"/>
          <w:rtl/>
        </w:rPr>
        <w:t xml:space="preserve"> הצעה זו, מקבלת חיזוק מן האמור בספרי במדבר עו 1</w:t>
      </w:r>
      <w:r w:rsidR="00B24BEC">
        <w:rPr>
          <w:rFonts w:cs="David"/>
          <w:sz w:val="24"/>
          <w:szCs w:val="24"/>
          <w:rtl/>
        </w:rPr>
        <w:t>–</w:t>
      </w:r>
      <w:r>
        <w:rPr>
          <w:rFonts w:cs="David" w:hint="cs"/>
          <w:sz w:val="24"/>
          <w:szCs w:val="24"/>
          <w:rtl/>
        </w:rPr>
        <w:t>7 (מהדורת כהנא, עמ' 180</w:t>
      </w:r>
      <w:r w:rsidR="00B24BEC">
        <w:rPr>
          <w:rFonts w:cs="David"/>
          <w:sz w:val="24"/>
          <w:szCs w:val="24"/>
          <w:rtl/>
        </w:rPr>
        <w:t>–</w:t>
      </w:r>
      <w:r>
        <w:rPr>
          <w:rFonts w:cs="David" w:hint="cs"/>
          <w:sz w:val="24"/>
          <w:szCs w:val="24"/>
          <w:rtl/>
        </w:rPr>
        <w:t xml:space="preserve">181), הדורש את הכתוב בספר במדבר י </w:t>
      </w:r>
      <w:r w:rsidR="00DA0416">
        <w:rPr>
          <w:rFonts w:cs="David" w:hint="cs"/>
          <w:sz w:val="24"/>
          <w:szCs w:val="24"/>
          <w:rtl/>
        </w:rPr>
        <w:t>ט</w:t>
      </w:r>
      <w:r>
        <w:rPr>
          <w:rFonts w:cs="David" w:hint="cs"/>
          <w:sz w:val="24"/>
          <w:szCs w:val="24"/>
          <w:rtl/>
        </w:rPr>
        <w:t xml:space="preserve"> (</w:t>
      </w:r>
      <w:r w:rsidRPr="007968EE">
        <w:rPr>
          <w:rFonts w:cs="David" w:hint="cs"/>
          <w:sz w:val="24"/>
          <w:szCs w:val="24"/>
          <w:rtl/>
        </w:rPr>
        <w:t xml:space="preserve">"וכי תבאו מלחמה בארצכם על הצר הצרר אתכם </w:t>
      </w:r>
      <w:r w:rsidRPr="00740324">
        <w:rPr>
          <w:rFonts w:cs="David" w:hint="cs"/>
          <w:sz w:val="24"/>
          <w:szCs w:val="24"/>
          <w:rtl/>
        </w:rPr>
        <w:t>והרעתם</w:t>
      </w:r>
      <w:r w:rsidRPr="007968EE">
        <w:rPr>
          <w:rFonts w:cs="David" w:hint="cs"/>
          <w:sz w:val="24"/>
          <w:szCs w:val="24"/>
          <w:rtl/>
        </w:rPr>
        <w:t xml:space="preserve"> בחצצרת </w:t>
      </w:r>
      <w:r w:rsidRPr="00FD26C6">
        <w:rPr>
          <w:rFonts w:cs="David" w:hint="cs"/>
          <w:sz w:val="24"/>
          <w:szCs w:val="24"/>
          <w:rtl/>
        </w:rPr>
        <w:t>ונזכרתם</w:t>
      </w:r>
      <w:r w:rsidRPr="00480572">
        <w:rPr>
          <w:rFonts w:cs="David" w:hint="cs"/>
          <w:sz w:val="24"/>
          <w:szCs w:val="24"/>
          <w:rtl/>
        </w:rPr>
        <w:t xml:space="preserve"> לפני ה' אלהיכם</w:t>
      </w:r>
      <w:r w:rsidRPr="007968EE">
        <w:rPr>
          <w:rFonts w:cs="David" w:hint="cs"/>
          <w:sz w:val="24"/>
          <w:szCs w:val="24"/>
          <w:rtl/>
        </w:rPr>
        <w:t xml:space="preserve"> </w:t>
      </w:r>
      <w:r w:rsidRPr="0071182A">
        <w:rPr>
          <w:rFonts w:cs="David" w:hint="cs"/>
          <w:sz w:val="24"/>
          <w:szCs w:val="24"/>
          <w:rtl/>
        </w:rPr>
        <w:t>ונושעתם</w:t>
      </w:r>
      <w:r w:rsidRPr="007968EE">
        <w:rPr>
          <w:rFonts w:cs="David" w:hint="cs"/>
          <w:sz w:val="24"/>
          <w:szCs w:val="24"/>
          <w:rtl/>
        </w:rPr>
        <w:t xml:space="preserve"> מאיביכם"</w:t>
      </w:r>
      <w:r>
        <w:rPr>
          <w:rFonts w:cs="David" w:hint="cs"/>
          <w:sz w:val="24"/>
          <w:szCs w:val="24"/>
          <w:rtl/>
        </w:rPr>
        <w:t>):</w:t>
      </w:r>
    </w:p>
    <w:p w14:paraId="1C23C14A" w14:textId="77777777" w:rsidR="003074AF" w:rsidRPr="004C4B92" w:rsidRDefault="003074AF" w:rsidP="003074AF">
      <w:pPr>
        <w:spacing w:after="0" w:line="480" w:lineRule="auto"/>
        <w:ind w:left="510" w:right="794"/>
        <w:jc w:val="both"/>
        <w:rPr>
          <w:rFonts w:ascii="David" w:hAnsi="David" w:cs="David"/>
          <w:sz w:val="24"/>
          <w:szCs w:val="24"/>
          <w:rtl/>
        </w:rPr>
      </w:pPr>
      <w:r>
        <w:rPr>
          <w:rFonts w:ascii="David" w:hAnsi="David" w:cs="David" w:hint="cs"/>
          <w:sz w:val="24"/>
          <w:szCs w:val="24"/>
          <w:rtl/>
        </w:rPr>
        <w:t xml:space="preserve">1  </w:t>
      </w:r>
      <w:r w:rsidRPr="004C4B92">
        <w:rPr>
          <w:rFonts w:ascii="David" w:hAnsi="David" w:cs="David"/>
          <w:sz w:val="24"/>
          <w:szCs w:val="24"/>
          <w:rtl/>
        </w:rPr>
        <w:t xml:space="preserve">וכי תבאו מלחמה </w:t>
      </w:r>
      <w:r>
        <w:rPr>
          <w:rFonts w:ascii="David" w:hAnsi="David" w:cs="David" w:hint="cs"/>
          <w:sz w:val="24"/>
          <w:szCs w:val="24"/>
          <w:rtl/>
        </w:rPr>
        <w:t>-</w:t>
      </w:r>
      <w:r w:rsidRPr="004C4B92">
        <w:rPr>
          <w:rFonts w:ascii="David" w:hAnsi="David" w:cs="David"/>
          <w:sz w:val="24"/>
          <w:szCs w:val="24"/>
          <w:rtl/>
        </w:rPr>
        <w:t xml:space="preserve"> משמע בין שאתם יוצאין עליהן בין שהן באין עליכם.</w:t>
      </w:r>
    </w:p>
    <w:p w14:paraId="22BB0675" w14:textId="77777777" w:rsidR="003074AF" w:rsidRPr="004C4B92" w:rsidRDefault="003074AF" w:rsidP="003074AF">
      <w:pPr>
        <w:spacing w:after="0" w:line="480" w:lineRule="auto"/>
        <w:ind w:left="510" w:right="794"/>
        <w:jc w:val="both"/>
        <w:rPr>
          <w:rFonts w:ascii="David" w:hAnsi="David" w:cs="David"/>
          <w:sz w:val="24"/>
          <w:szCs w:val="24"/>
          <w:rtl/>
        </w:rPr>
      </w:pPr>
      <w:r>
        <w:rPr>
          <w:rFonts w:ascii="David" w:hAnsi="David" w:cs="David" w:hint="cs"/>
          <w:sz w:val="24"/>
          <w:szCs w:val="24"/>
          <w:rtl/>
        </w:rPr>
        <w:t xml:space="preserve">2  </w:t>
      </w:r>
      <w:r w:rsidRPr="004C4B92">
        <w:rPr>
          <w:rFonts w:ascii="David" w:hAnsi="David" w:cs="David"/>
          <w:sz w:val="24"/>
          <w:szCs w:val="24"/>
          <w:rtl/>
        </w:rPr>
        <w:t xml:space="preserve">במלחמת גוג הכתוב מדבר. אתה או' במלחמת גוג הכת' מד' או אינו מדבר אלא </w:t>
      </w:r>
      <w:r w:rsidRPr="004C4B92">
        <w:rPr>
          <w:rFonts w:ascii="David" w:hAnsi="David" w:cs="David"/>
          <w:sz w:val="24"/>
          <w:szCs w:val="24"/>
          <w:rtl/>
        </w:rPr>
        <w:br/>
      </w:r>
      <w:r>
        <w:rPr>
          <w:rFonts w:ascii="David" w:hAnsi="David" w:cs="David" w:hint="cs"/>
          <w:sz w:val="24"/>
          <w:szCs w:val="24"/>
          <w:rtl/>
        </w:rPr>
        <w:t xml:space="preserve">3  </w:t>
      </w:r>
      <w:r w:rsidRPr="004C4B92">
        <w:rPr>
          <w:rFonts w:ascii="David" w:hAnsi="David" w:cs="David"/>
          <w:sz w:val="24"/>
          <w:szCs w:val="24"/>
          <w:rtl/>
        </w:rPr>
        <w:t>מכל מלחמות שבתו'. תל' לו' ונושעתם מאיביכם. אמרת צא וראה אי זו היא</w:t>
      </w:r>
    </w:p>
    <w:p w14:paraId="7BF3706C" w14:textId="77777777" w:rsidR="003074AF" w:rsidRPr="004C4B92" w:rsidRDefault="003074AF" w:rsidP="003074AF">
      <w:pPr>
        <w:spacing w:after="0" w:line="480" w:lineRule="auto"/>
        <w:ind w:left="510" w:right="794"/>
        <w:jc w:val="both"/>
        <w:rPr>
          <w:rFonts w:ascii="David" w:hAnsi="David" w:cs="David"/>
          <w:sz w:val="24"/>
          <w:szCs w:val="24"/>
          <w:rtl/>
        </w:rPr>
      </w:pPr>
      <w:r>
        <w:rPr>
          <w:rFonts w:ascii="David" w:hAnsi="David" w:cs="David" w:hint="cs"/>
          <w:sz w:val="24"/>
          <w:szCs w:val="24"/>
          <w:rtl/>
        </w:rPr>
        <w:t xml:space="preserve">4  </w:t>
      </w:r>
      <w:r w:rsidRPr="004C4B92">
        <w:rPr>
          <w:rFonts w:ascii="David" w:hAnsi="David" w:cs="David"/>
          <w:sz w:val="24"/>
          <w:szCs w:val="24"/>
          <w:rtl/>
        </w:rPr>
        <w:t>מלחמה שיש' נושעין ממנה ואין אחריה שעבוד, אין את מוצא אלא מלחמת גוג.</w:t>
      </w:r>
    </w:p>
    <w:p w14:paraId="452CC8BC" w14:textId="77777777" w:rsidR="003074AF" w:rsidRPr="004C4B92" w:rsidRDefault="003074AF" w:rsidP="003074AF">
      <w:pPr>
        <w:spacing w:after="0" w:line="480" w:lineRule="auto"/>
        <w:ind w:left="510" w:right="794"/>
        <w:jc w:val="both"/>
        <w:rPr>
          <w:rFonts w:ascii="David" w:hAnsi="David" w:cs="David"/>
          <w:sz w:val="24"/>
          <w:szCs w:val="24"/>
          <w:rtl/>
        </w:rPr>
      </w:pPr>
      <w:r>
        <w:rPr>
          <w:rFonts w:ascii="David" w:hAnsi="David" w:cs="David" w:hint="cs"/>
          <w:sz w:val="24"/>
          <w:szCs w:val="24"/>
          <w:rtl/>
        </w:rPr>
        <w:t xml:space="preserve">5  </w:t>
      </w:r>
      <w:r w:rsidRPr="004C4B92">
        <w:rPr>
          <w:rFonts w:ascii="David" w:hAnsi="David" w:cs="David"/>
          <w:sz w:val="24"/>
          <w:szCs w:val="24"/>
          <w:rtl/>
        </w:rPr>
        <w:t>וכן הוא או' ויצא יי ונלחם בגוים ההם. מהו או' והיה יי למלך.  ר' עקיבה או' אין</w:t>
      </w:r>
    </w:p>
    <w:p w14:paraId="621DA48B" w14:textId="77777777" w:rsidR="003074AF" w:rsidRPr="004C4B92" w:rsidRDefault="003074AF" w:rsidP="003074AF">
      <w:pPr>
        <w:spacing w:after="0" w:line="480" w:lineRule="auto"/>
        <w:ind w:left="510" w:right="737"/>
        <w:jc w:val="both"/>
        <w:rPr>
          <w:rFonts w:ascii="David" w:hAnsi="David" w:cs="David"/>
          <w:sz w:val="24"/>
          <w:szCs w:val="24"/>
          <w:rtl/>
        </w:rPr>
      </w:pPr>
      <w:r>
        <w:rPr>
          <w:rFonts w:ascii="David" w:hAnsi="David" w:cs="David" w:hint="cs"/>
          <w:sz w:val="24"/>
          <w:szCs w:val="24"/>
          <w:rtl/>
        </w:rPr>
        <w:lastRenderedPageBreak/>
        <w:t xml:space="preserve">6  </w:t>
      </w:r>
      <w:r w:rsidRPr="004C4B92">
        <w:rPr>
          <w:rFonts w:ascii="David" w:hAnsi="David" w:cs="David"/>
          <w:sz w:val="24"/>
          <w:szCs w:val="24"/>
          <w:rtl/>
        </w:rPr>
        <w:t>לי אלא מלחמה, שדפון וירקון ואשה מקשה לילד וספינה המיטרפת בים מנ'. ת"ל</w:t>
      </w:r>
    </w:p>
    <w:p w14:paraId="263E56F1" w14:textId="77777777" w:rsidR="003074AF" w:rsidRDefault="003074AF" w:rsidP="003074AF">
      <w:pPr>
        <w:spacing w:line="480" w:lineRule="auto"/>
        <w:ind w:left="510" w:right="794"/>
        <w:jc w:val="both"/>
        <w:rPr>
          <w:rFonts w:ascii="David" w:hAnsi="David" w:cs="David"/>
          <w:sz w:val="24"/>
          <w:szCs w:val="24"/>
          <w:rtl/>
        </w:rPr>
      </w:pPr>
      <w:r>
        <w:rPr>
          <w:rFonts w:ascii="David" w:hAnsi="David" w:cs="David" w:hint="cs"/>
          <w:sz w:val="24"/>
          <w:szCs w:val="24"/>
          <w:rtl/>
        </w:rPr>
        <w:t xml:space="preserve">7  </w:t>
      </w:r>
      <w:r w:rsidRPr="004C4B92">
        <w:rPr>
          <w:rFonts w:ascii="David" w:hAnsi="David" w:cs="David"/>
          <w:sz w:val="24"/>
          <w:szCs w:val="24"/>
          <w:rtl/>
        </w:rPr>
        <w:t>על הצר הצרר אתכ', על כל הצרה שלא תבוא על הצבור</w:t>
      </w:r>
      <w:r>
        <w:rPr>
          <w:rFonts w:ascii="David" w:hAnsi="David" w:cs="David" w:hint="cs"/>
          <w:sz w:val="24"/>
          <w:szCs w:val="24"/>
          <w:rtl/>
        </w:rPr>
        <w:t>.</w:t>
      </w:r>
    </w:p>
    <w:p w14:paraId="409A2B5A" w14:textId="2B92F383" w:rsidR="003074AF" w:rsidRPr="0020041F" w:rsidRDefault="003074AF" w:rsidP="00314AB7">
      <w:pPr>
        <w:spacing w:line="480" w:lineRule="auto"/>
        <w:jc w:val="both"/>
        <w:rPr>
          <w:rFonts w:ascii="David" w:hAnsi="David" w:cs="David"/>
          <w:sz w:val="24"/>
          <w:szCs w:val="24"/>
          <w:rtl/>
        </w:rPr>
      </w:pPr>
      <w:r w:rsidRPr="0020041F">
        <w:rPr>
          <w:rFonts w:ascii="David" w:hAnsi="David" w:cs="David" w:hint="cs"/>
          <w:sz w:val="24"/>
          <w:szCs w:val="24"/>
          <w:rtl/>
        </w:rPr>
        <w:t>שורות אלו כוללות שלוש דרשות שונות ביחס לשימוש בחצוצרות במלחמה. לדעת תנא קמא (בשורה 1), יש להריע בחצוצרות הן במלחמה התקפית והן במלחמת מגן. לעומת זאת, לדעת רבי עקיבא (בשורות 5 - 7), יש להריע בחצוצרות לא רק במלחמה אלא "על כל הצרה שלא תבוא על הצבור". לדברי כהנא, הדרשה המופיעה בשורות 2</w:t>
      </w:r>
      <w:r w:rsidR="00170380">
        <w:rPr>
          <w:rFonts w:ascii="David" w:hAnsi="David" w:cs="David"/>
          <w:sz w:val="24"/>
          <w:szCs w:val="24"/>
          <w:rtl/>
        </w:rPr>
        <w:t>–</w:t>
      </w:r>
      <w:r w:rsidRPr="0020041F">
        <w:rPr>
          <w:rFonts w:ascii="David" w:hAnsi="David" w:cs="David" w:hint="cs"/>
          <w:sz w:val="24"/>
          <w:szCs w:val="24"/>
          <w:rtl/>
        </w:rPr>
        <w:t xml:space="preserve">5 סותרת מבחינה תוכנית את הדרשות הסמוכות לה מלפנים ומאחור, ושילובה הספרותי צורם. זאת בשל הזיקה הבעייתית שבינה </w:t>
      </w:r>
      <w:r>
        <w:rPr>
          <w:rFonts w:ascii="David" w:hAnsi="David" w:cs="David" w:hint="cs"/>
          <w:sz w:val="24"/>
          <w:szCs w:val="24"/>
          <w:rtl/>
        </w:rPr>
        <w:t>ל</w:t>
      </w:r>
      <w:r w:rsidRPr="0020041F">
        <w:rPr>
          <w:rFonts w:ascii="David" w:hAnsi="David" w:cs="David" w:hint="cs"/>
          <w:sz w:val="24"/>
          <w:szCs w:val="24"/>
          <w:rtl/>
        </w:rPr>
        <w:t>בין דברי רבי עקיבה המובאים לאחריה, שאינם מתייחסים אליה, ואפשר להבינם כהמשך לדרשה המופיעה בשורה 1. לדעתו, מדובר בדרשה שמקורה בעורך ממקור אחר של דבי רבי ישמעאל.</w:t>
      </w:r>
      <w:r w:rsidRPr="0020041F">
        <w:rPr>
          <w:rStyle w:val="a5"/>
          <w:rFonts w:ascii="David" w:hAnsi="David" w:cs="David"/>
          <w:sz w:val="24"/>
          <w:szCs w:val="24"/>
          <w:rtl/>
        </w:rPr>
        <w:footnoteReference w:id="58"/>
      </w:r>
      <w:r w:rsidRPr="0020041F">
        <w:rPr>
          <w:rFonts w:ascii="David" w:hAnsi="David" w:cs="David" w:hint="cs"/>
          <w:sz w:val="24"/>
          <w:szCs w:val="24"/>
          <w:rtl/>
        </w:rPr>
        <w:t xml:space="preserve"> לפי דרשה זו, חובת התקיעה הנזכרת בתורה תחול רק במלחמת גוג ומגוג, באחרית הימים</w:t>
      </w:r>
      <w:r>
        <w:rPr>
          <w:rFonts w:ascii="David" w:hAnsi="David" w:cs="David" w:hint="cs"/>
          <w:sz w:val="24"/>
          <w:szCs w:val="24"/>
          <w:rtl/>
        </w:rPr>
        <w:t>,</w:t>
      </w:r>
      <w:r w:rsidRPr="0020041F">
        <w:rPr>
          <w:rFonts w:ascii="David" w:hAnsi="David" w:cs="David" w:hint="cs"/>
          <w:sz w:val="24"/>
          <w:szCs w:val="24"/>
          <w:rtl/>
        </w:rPr>
        <w:t xml:space="preserve"> שכן רק אז תתקיים במלואה ההבטחה "ונושעתם  </w:t>
      </w:r>
      <w:r w:rsidRPr="0020041F">
        <w:rPr>
          <w:rFonts w:cs="David" w:hint="cs"/>
          <w:sz w:val="24"/>
          <w:szCs w:val="24"/>
          <w:rtl/>
        </w:rPr>
        <w:t>מאיביכם".</w:t>
      </w:r>
      <w:r w:rsidRPr="0020041F">
        <w:rPr>
          <w:rFonts w:ascii="David" w:hAnsi="David" w:cs="David" w:hint="cs"/>
          <w:sz w:val="24"/>
          <w:szCs w:val="24"/>
          <w:rtl/>
        </w:rPr>
        <w:t xml:space="preserve"> לדברי כהנא, זוהי עמדה מרחיקת לכת המבטלת את מצוות התורה </w:t>
      </w:r>
      <w:r w:rsidRPr="004640D3">
        <w:rPr>
          <w:rFonts w:ascii="David" w:hAnsi="David" w:cs="David" w:hint="cs"/>
          <w:spacing w:val="-2"/>
          <w:sz w:val="24"/>
          <w:szCs w:val="24"/>
          <w:rtl/>
        </w:rPr>
        <w:t>להריע בחצוצרות במלחמות הזמן הזה. לדעתו, אפשר שמקור דרשה זו בהתנגדות לשימוש בחצוצרות במלחמות בעלות אופי "חילוני" לדעת הדרשן,</w:t>
      </w:r>
      <w:r w:rsidRPr="0020041F">
        <w:rPr>
          <w:rFonts w:ascii="David" w:hAnsi="David" w:cs="David" w:hint="cs"/>
          <w:sz w:val="24"/>
          <w:szCs w:val="24"/>
          <w:rtl/>
        </w:rPr>
        <w:t xml:space="preserve"> בשל החשש שהן עלולות להסתיים בכישלון, כפי שאירע לפני חורבן הבית ולאחריו</w:t>
      </w:r>
      <w:r>
        <w:rPr>
          <w:rFonts w:ascii="David" w:hAnsi="David" w:cs="David" w:hint="cs"/>
          <w:sz w:val="24"/>
          <w:szCs w:val="24"/>
          <w:rtl/>
        </w:rPr>
        <w:t xml:space="preserve">, </w:t>
      </w:r>
      <w:r w:rsidRPr="0020041F">
        <w:rPr>
          <w:rFonts w:ascii="David" w:hAnsi="David" w:cs="David" w:hint="cs"/>
          <w:sz w:val="24"/>
          <w:szCs w:val="24"/>
          <w:rtl/>
        </w:rPr>
        <w:t>ויתכן אף שמדובר במרד בר-כוכבא.</w:t>
      </w:r>
      <w:r w:rsidRPr="0020041F">
        <w:rPr>
          <w:rStyle w:val="a5"/>
          <w:rFonts w:ascii="David" w:hAnsi="David" w:cs="David"/>
          <w:sz w:val="24"/>
          <w:szCs w:val="24"/>
          <w:rtl/>
        </w:rPr>
        <w:footnoteReference w:id="59"/>
      </w:r>
      <w:r w:rsidRPr="0020041F">
        <w:rPr>
          <w:rFonts w:ascii="David" w:hAnsi="David" w:cs="David" w:hint="cs"/>
          <w:sz w:val="24"/>
          <w:szCs w:val="24"/>
          <w:rtl/>
        </w:rPr>
        <w:t xml:space="preserve"> ואילו דרשתו של רבי עקיבא </w:t>
      </w:r>
      <w:r>
        <w:rPr>
          <w:rFonts w:ascii="David" w:hAnsi="David" w:cs="David" w:hint="cs"/>
          <w:sz w:val="24"/>
          <w:szCs w:val="24"/>
          <w:rtl/>
        </w:rPr>
        <w:t>(</w:t>
      </w:r>
      <w:r w:rsidRPr="0020041F">
        <w:rPr>
          <w:rFonts w:ascii="David" w:hAnsi="David" w:cs="David" w:hint="cs"/>
          <w:sz w:val="24"/>
          <w:szCs w:val="24"/>
          <w:rtl/>
        </w:rPr>
        <w:t>בשורות 5</w:t>
      </w:r>
      <w:r w:rsidR="00314AB7">
        <w:rPr>
          <w:rFonts w:ascii="David" w:hAnsi="David" w:cs="David"/>
          <w:sz w:val="24"/>
          <w:szCs w:val="24"/>
          <w:rtl/>
        </w:rPr>
        <w:t>–</w:t>
      </w:r>
      <w:r w:rsidRPr="0020041F">
        <w:rPr>
          <w:rFonts w:ascii="David" w:hAnsi="David" w:cs="David" w:hint="cs"/>
          <w:sz w:val="24"/>
          <w:szCs w:val="24"/>
          <w:rtl/>
        </w:rPr>
        <w:t xml:space="preserve">7), מבטאת את התנגדותו לביטול מצווה מפורשת בתורה בשל החשש מכישלון. לכן הרחיב את חובת התקיעה בחצוצרות אף מעבר לזמן מלחמה גם בעת מצוקות נוספות, לאומיות </w:t>
      </w:r>
      <w:r w:rsidRPr="00047772">
        <w:rPr>
          <w:rFonts w:ascii="David" w:hAnsi="David" w:cs="David" w:hint="cs"/>
          <w:spacing w:val="-2"/>
          <w:sz w:val="24"/>
          <w:szCs w:val="24"/>
          <w:rtl/>
        </w:rPr>
        <w:t>ופרטיות, מתוך תקווה שבזכות השמעת החצוצרות תקוים ההבטחה "ונזכרתם לפני ה' אלהיכם".</w:t>
      </w:r>
      <w:r w:rsidRPr="00047772">
        <w:rPr>
          <w:rStyle w:val="a5"/>
          <w:rFonts w:ascii="David" w:hAnsi="David" w:cs="David"/>
          <w:spacing w:val="-2"/>
          <w:sz w:val="24"/>
          <w:szCs w:val="24"/>
          <w:rtl/>
        </w:rPr>
        <w:footnoteReference w:id="60"/>
      </w:r>
    </w:p>
    <w:p w14:paraId="757DE054" w14:textId="518D6B13" w:rsidR="003074AF" w:rsidRDefault="003074AF" w:rsidP="00227313">
      <w:pPr>
        <w:spacing w:line="480" w:lineRule="auto"/>
        <w:jc w:val="both"/>
        <w:rPr>
          <w:rFonts w:ascii="David" w:hAnsi="David" w:cs="David"/>
          <w:sz w:val="24"/>
          <w:szCs w:val="24"/>
          <w:rtl/>
        </w:rPr>
      </w:pPr>
      <w:r>
        <w:rPr>
          <w:rFonts w:ascii="David" w:hAnsi="David" w:cs="David" w:hint="cs"/>
          <w:sz w:val="24"/>
          <w:szCs w:val="24"/>
          <w:rtl/>
        </w:rPr>
        <w:t>לדברי כהנא, אם הדרשות המופיעות בספרי במדבר שורות 2</w:t>
      </w:r>
      <w:r w:rsidR="00E32DD1">
        <w:rPr>
          <w:rFonts w:ascii="David" w:hAnsi="David" w:cs="David"/>
          <w:sz w:val="24"/>
          <w:szCs w:val="24"/>
          <w:rtl/>
        </w:rPr>
        <w:t>–</w:t>
      </w:r>
      <w:r>
        <w:rPr>
          <w:rFonts w:ascii="David" w:hAnsi="David" w:cs="David" w:hint="cs"/>
          <w:sz w:val="24"/>
          <w:szCs w:val="24"/>
          <w:rtl/>
        </w:rPr>
        <w:t>7 אכן משקפות מחלוקת בין רבי עקיבא לבין תנאים אחרים ביחס למרד בר-כוכבא, הרי שיש בכך כדי לחזק את מהימנות עדותו של רבי שמעון בר יוחאי בירושלמי (שהובאה לעיל), על תמיכת רבי עקיבא בבר-כוכבא, וכן כדי להוסיף תומכים נוספים לעמדתו החולקת של רבי יוחנן בן תורתא.</w:t>
      </w:r>
      <w:r>
        <w:rPr>
          <w:rStyle w:val="a5"/>
          <w:rFonts w:ascii="David" w:hAnsi="David" w:cs="David"/>
          <w:sz w:val="24"/>
          <w:szCs w:val="24"/>
          <w:rtl/>
        </w:rPr>
        <w:footnoteReference w:id="61"/>
      </w:r>
      <w:r>
        <w:rPr>
          <w:rFonts w:ascii="David" w:hAnsi="David" w:cs="David" w:hint="cs"/>
          <w:sz w:val="24"/>
          <w:szCs w:val="24"/>
          <w:rtl/>
        </w:rPr>
        <w:t xml:space="preserve"> יתרה מכך, אם הדרשה המופיעה בשורות 2</w:t>
      </w:r>
      <w:r w:rsidR="0061269A">
        <w:rPr>
          <w:rFonts w:ascii="David" w:hAnsi="David" w:cs="David"/>
          <w:sz w:val="24"/>
          <w:szCs w:val="24"/>
          <w:rtl/>
        </w:rPr>
        <w:t>–</w:t>
      </w:r>
      <w:r>
        <w:rPr>
          <w:rFonts w:ascii="David" w:hAnsi="David" w:cs="David" w:hint="cs"/>
          <w:sz w:val="24"/>
          <w:szCs w:val="24"/>
          <w:rtl/>
        </w:rPr>
        <w:t>5 אכן יוצאת כנגד השימוש בחצוצרות בזמן המרד, יתכן שיש לראות בדרשתו של רבי עקיבא (בשורות 5</w:t>
      </w:r>
      <w:r w:rsidR="0061269A">
        <w:rPr>
          <w:rFonts w:ascii="David" w:hAnsi="David" w:cs="David"/>
          <w:sz w:val="24"/>
          <w:szCs w:val="24"/>
          <w:rtl/>
        </w:rPr>
        <w:t>–</w:t>
      </w:r>
      <w:r w:rsidR="0061269A">
        <w:rPr>
          <w:rFonts w:ascii="David" w:hAnsi="David" w:cs="David" w:hint="cs"/>
          <w:sz w:val="24"/>
          <w:szCs w:val="24"/>
          <w:rtl/>
        </w:rPr>
        <w:t>7</w:t>
      </w:r>
      <w:r>
        <w:rPr>
          <w:rFonts w:ascii="David" w:hAnsi="David" w:cs="David" w:hint="cs"/>
          <w:sz w:val="24"/>
          <w:szCs w:val="24"/>
          <w:rtl/>
        </w:rPr>
        <w:t xml:space="preserve">), גישה מנוגדת הסוברת שיש חובה לעשות שימוש בחצוצרות בזמן המרד על מנת להיזכר לפני האל. הצעה זו מקבלת חיזוק מדרשתו של רבי עקיבא המופיעה מיד לאחר מכן, </w:t>
      </w:r>
      <w:r>
        <w:rPr>
          <w:rFonts w:ascii="David" w:hAnsi="David" w:cs="David" w:hint="cs"/>
          <w:sz w:val="24"/>
          <w:szCs w:val="24"/>
          <w:rtl/>
        </w:rPr>
        <w:lastRenderedPageBreak/>
        <w:t>בשורות 8</w:t>
      </w:r>
      <w:r w:rsidR="00227313">
        <w:rPr>
          <w:rFonts w:ascii="David" w:hAnsi="David" w:cs="David"/>
          <w:sz w:val="24"/>
          <w:szCs w:val="24"/>
          <w:rtl/>
        </w:rPr>
        <w:t>–</w:t>
      </w:r>
      <w:r>
        <w:rPr>
          <w:rFonts w:ascii="David" w:hAnsi="David" w:cs="David" w:hint="cs"/>
          <w:sz w:val="24"/>
          <w:szCs w:val="24"/>
          <w:rtl/>
        </w:rPr>
        <w:t>9, המדגישה את חובת התרועה במלחמה על מנת להיזכר לפני האל (מהדורת כהנא, עמ' 181): "שאם יכולין להריע ולא הריעו מעלה אני עליהם כילו לא הוזכרו לפני המק' ".</w:t>
      </w:r>
      <w:r>
        <w:rPr>
          <w:rStyle w:val="a5"/>
          <w:rFonts w:ascii="David" w:hAnsi="David" w:cs="David"/>
          <w:sz w:val="24"/>
          <w:szCs w:val="24"/>
          <w:rtl/>
        </w:rPr>
        <w:footnoteReference w:id="62"/>
      </w:r>
      <w:r>
        <w:rPr>
          <w:rFonts w:ascii="David" w:hAnsi="David" w:cs="David" w:hint="cs"/>
          <w:sz w:val="24"/>
          <w:szCs w:val="24"/>
          <w:rtl/>
        </w:rPr>
        <w:t xml:space="preserve"> </w:t>
      </w:r>
    </w:p>
    <w:p w14:paraId="0A606B76" w14:textId="45A4E458" w:rsidR="005A25A2" w:rsidRDefault="003074AF" w:rsidP="00277887">
      <w:pPr>
        <w:spacing w:line="480" w:lineRule="auto"/>
        <w:jc w:val="both"/>
        <w:rPr>
          <w:rFonts w:ascii="David" w:hAnsi="David" w:cs="David"/>
          <w:sz w:val="24"/>
          <w:szCs w:val="24"/>
          <w:rtl/>
        </w:rPr>
      </w:pPr>
      <w:r>
        <w:rPr>
          <w:rFonts w:ascii="David" w:hAnsi="David" w:cs="David" w:hint="cs"/>
          <w:sz w:val="24"/>
          <w:szCs w:val="24"/>
          <w:rtl/>
        </w:rPr>
        <w:t>אם נקבל טענה זו, ניתן גם להציע שעמדתו של רבי עקיבא ביחס לשימוש בחצוצרות במרד כאמצעי על מנת להיזכר לפני האל, היא זו שהשפיעה על הטבעת דגם החצוצרות על מטבעות בר-כוכבא. הצעה זו מקבלת חיזוק מטענתם של חוקרים שונים,</w:t>
      </w:r>
      <w:r>
        <w:rPr>
          <w:rStyle w:val="a5"/>
          <w:rFonts w:ascii="David" w:hAnsi="David" w:cs="David"/>
          <w:sz w:val="24"/>
          <w:szCs w:val="24"/>
          <w:rtl/>
        </w:rPr>
        <w:footnoteReference w:id="63"/>
      </w:r>
      <w:r>
        <w:rPr>
          <w:rFonts w:ascii="David" w:hAnsi="David" w:cs="David" w:hint="cs"/>
          <w:sz w:val="24"/>
          <w:szCs w:val="24"/>
          <w:rtl/>
        </w:rPr>
        <w:t xml:space="preserve"> שראו באמור במשנה סוכה ג</w:t>
      </w:r>
      <w:r w:rsidR="005A19A7">
        <w:rPr>
          <w:rFonts w:ascii="David" w:hAnsi="David" w:cs="David" w:hint="cs"/>
          <w:sz w:val="24"/>
          <w:szCs w:val="24"/>
          <w:rtl/>
        </w:rPr>
        <w:t>,</w:t>
      </w:r>
      <w:r>
        <w:rPr>
          <w:rFonts w:ascii="David" w:hAnsi="David" w:cs="David" w:hint="cs"/>
          <w:sz w:val="24"/>
          <w:szCs w:val="24"/>
          <w:rtl/>
        </w:rPr>
        <w:t xml:space="preserve"> ד: "ר' עקיבה אומר כשם שלולב אחד ואתרוג אחד כן הדס אחד וערבה אחת", וכן בעובדה שדגמי ארבעת המינים המופיעים על מטבעות המרד מציגים רק פריט אחד מכל מין, עדות להשפעתו של רבי עקיבא על עיצוב הדגמים שעל המטבעות. בנוסף, אם תפיסתו ההלכתית של רבי עקיבא באשר לחשיבות השימוש בחצוצרות במלחמה אכן השפיעה על הופעת דגם החצוצרות על המטבעות, יתכן שהדבר נעשה כאמצעי סימבולי בלבד שמטרתו לבטא את שאיפת המורדים לזכות בישועת האל במלחמה.</w:t>
      </w:r>
      <w:r w:rsidRPr="00DD483E">
        <w:rPr>
          <w:rFonts w:ascii="David" w:hAnsi="David" w:cs="David" w:hint="cs"/>
          <w:sz w:val="24"/>
          <w:szCs w:val="24"/>
          <w:rtl/>
        </w:rPr>
        <w:t xml:space="preserve"> </w:t>
      </w:r>
      <w:r>
        <w:rPr>
          <w:rFonts w:ascii="David" w:hAnsi="David" w:cs="David" w:hint="cs"/>
          <w:sz w:val="24"/>
          <w:szCs w:val="24"/>
          <w:rtl/>
        </w:rPr>
        <w:t>אולם, יתכן שהופעת דגם זה על המטבעות מצביעה דווקא על השפעה ממשית של גישתו ההלכתית של רבי עקיבא על המרד, שבאה לידי ביטוי בשימוש מעשי בחצוצרות בצבאותיו של בר-כוכבא.</w:t>
      </w:r>
      <w:r>
        <w:rPr>
          <w:rStyle w:val="a5"/>
          <w:rFonts w:ascii="David" w:hAnsi="David" w:cs="David"/>
          <w:sz w:val="24"/>
          <w:szCs w:val="24"/>
          <w:rtl/>
        </w:rPr>
        <w:footnoteReference w:id="64"/>
      </w:r>
    </w:p>
    <w:p w14:paraId="4D532191" w14:textId="34BD2699" w:rsidR="0036500E" w:rsidRDefault="0036500E" w:rsidP="008F270A">
      <w:pPr>
        <w:spacing w:line="480" w:lineRule="auto"/>
        <w:jc w:val="both"/>
        <w:rPr>
          <w:rFonts w:ascii="David" w:hAnsi="David" w:cs="David"/>
          <w:b/>
          <w:bCs/>
          <w:sz w:val="24"/>
          <w:szCs w:val="24"/>
          <w:rtl/>
        </w:rPr>
      </w:pPr>
      <w:r w:rsidRPr="0036500E">
        <w:rPr>
          <w:rFonts w:ascii="David" w:hAnsi="David" w:cs="David" w:hint="cs"/>
          <w:b/>
          <w:bCs/>
          <w:sz w:val="24"/>
          <w:szCs w:val="24"/>
          <w:rtl/>
        </w:rPr>
        <w:t>סיכום</w:t>
      </w:r>
    </w:p>
    <w:p w14:paraId="1B8EFF28" w14:textId="48361790" w:rsidR="008C747F" w:rsidRPr="00072D99" w:rsidRDefault="00AA7D69" w:rsidP="00295662">
      <w:pPr>
        <w:spacing w:after="0" w:line="480" w:lineRule="auto"/>
        <w:jc w:val="both"/>
        <w:rPr>
          <w:rFonts w:cs="David"/>
          <w:sz w:val="24"/>
          <w:szCs w:val="24"/>
        </w:rPr>
      </w:pPr>
      <w:r>
        <w:rPr>
          <w:rFonts w:cs="David" w:hint="cs"/>
          <w:sz w:val="24"/>
          <w:szCs w:val="24"/>
          <w:rtl/>
        </w:rPr>
        <w:t>לאחר ניתוח המאפיינים הצורניים של צמד הכלים המוטבעים על מטבעות בר-כוכבא, טענתי כי אין לקבל את הטענה שמדובר באבובים, אלא מדובר בחצוצרות</w:t>
      </w:r>
      <w:r w:rsidR="00A93F7F">
        <w:rPr>
          <w:rFonts w:cs="David" w:hint="cs"/>
          <w:sz w:val="24"/>
          <w:szCs w:val="24"/>
          <w:rtl/>
        </w:rPr>
        <w:t xml:space="preserve"> מן הסוג המכונה "חצוצרות טבעיות"</w:t>
      </w:r>
      <w:r>
        <w:rPr>
          <w:rFonts w:cs="David" w:hint="cs"/>
          <w:sz w:val="24"/>
          <w:szCs w:val="24"/>
          <w:rtl/>
        </w:rPr>
        <w:t>. בשל הדמיון הקיים בין דגם החצוצרות שעל המטבעות לבין דגמים המופיעים על ארונות קבורה רומיים, טענתי כי התיאור שעל המטבעות משקף את צורת החצוצרות שרווחו במרחב הארץ ישראלי בזמן המרד</w:t>
      </w:r>
      <w:r w:rsidR="00274400">
        <w:rPr>
          <w:rFonts w:cs="David" w:hint="cs"/>
          <w:sz w:val="24"/>
          <w:szCs w:val="24"/>
          <w:rtl/>
        </w:rPr>
        <w:t>.</w:t>
      </w:r>
      <w:r w:rsidR="008F270A">
        <w:rPr>
          <w:rFonts w:cs="David" w:hint="cs"/>
          <w:sz w:val="24"/>
          <w:szCs w:val="24"/>
          <w:rtl/>
        </w:rPr>
        <w:t xml:space="preserve"> אם טענה זו נכונה, הרי שמסקנה זו מרחיבה את הבנתנו בדבר הקשרים התרבותיים והחומריים שהתקיימו במאה השנייה ובמאה השלישית לסה"נ בין התרבות היהודית לבין התרבות הרומית ששלטה בסביבה. בנוסף לכך, </w:t>
      </w:r>
      <w:r w:rsidR="00A93F7F">
        <w:rPr>
          <w:rFonts w:cs="David" w:hint="cs"/>
          <w:sz w:val="24"/>
          <w:szCs w:val="24"/>
          <w:rtl/>
        </w:rPr>
        <w:t xml:space="preserve">כאמור, שאלת מהימנותם של שאר הדגמים שעל המטבעות נידונה עד כה בהרחבה במחקר וקיימות דעות שונות באשר לסיבות שבגללן בחרו המורדים דווקא סמלים אלו. </w:t>
      </w:r>
      <w:r w:rsidR="005A5946">
        <w:rPr>
          <w:rFonts w:cs="David" w:hint="cs"/>
          <w:sz w:val="24"/>
          <w:szCs w:val="24"/>
          <w:rtl/>
        </w:rPr>
        <w:t>אפשר כי הדיון הממוקד שנערך במאמר זה ב</w:t>
      </w:r>
      <w:r w:rsidR="0011261B">
        <w:rPr>
          <w:rFonts w:cs="David" w:hint="cs"/>
          <w:sz w:val="24"/>
          <w:szCs w:val="24"/>
          <w:rtl/>
        </w:rPr>
        <w:t xml:space="preserve">שאלת </w:t>
      </w:r>
      <w:r w:rsidR="005A5946">
        <w:rPr>
          <w:rFonts w:cs="David" w:hint="cs"/>
          <w:sz w:val="24"/>
          <w:szCs w:val="24"/>
          <w:rtl/>
        </w:rPr>
        <w:t xml:space="preserve">מהימנותו ובמקורותיו של דגם החצוצרות יוכל לשמש מעין "מקרה מבחן" </w:t>
      </w:r>
      <w:r w:rsidR="008F270A">
        <w:rPr>
          <w:rFonts w:cs="David" w:hint="cs"/>
          <w:sz w:val="24"/>
          <w:szCs w:val="24"/>
          <w:rtl/>
        </w:rPr>
        <w:t>התורם</w:t>
      </w:r>
      <w:r w:rsidR="005A5946">
        <w:rPr>
          <w:rFonts w:cs="David" w:hint="cs"/>
          <w:sz w:val="24"/>
          <w:szCs w:val="24"/>
          <w:rtl/>
        </w:rPr>
        <w:t xml:space="preserve"> </w:t>
      </w:r>
      <w:r w:rsidR="008F270A">
        <w:rPr>
          <w:rFonts w:cs="David" w:hint="cs"/>
          <w:sz w:val="24"/>
          <w:szCs w:val="24"/>
          <w:rtl/>
        </w:rPr>
        <w:t>ל</w:t>
      </w:r>
      <w:r w:rsidR="005A5946">
        <w:rPr>
          <w:rFonts w:cs="David" w:hint="cs"/>
          <w:sz w:val="24"/>
          <w:szCs w:val="24"/>
          <w:rtl/>
        </w:rPr>
        <w:t>שאלה הרחבה בדבר מהימנותם של כלל הדגמים המופיעים על החצוצרות</w:t>
      </w:r>
      <w:r w:rsidR="008F270A">
        <w:rPr>
          <w:rFonts w:cs="David" w:hint="cs"/>
          <w:sz w:val="24"/>
          <w:szCs w:val="24"/>
          <w:rtl/>
        </w:rPr>
        <w:t>.</w:t>
      </w:r>
      <w:r w:rsidR="00271906">
        <w:rPr>
          <w:rFonts w:cs="David" w:hint="cs"/>
          <w:sz w:val="24"/>
          <w:szCs w:val="24"/>
          <w:rtl/>
        </w:rPr>
        <w:t xml:space="preserve"> </w:t>
      </w:r>
      <w:r w:rsidR="008F270A">
        <w:rPr>
          <w:rFonts w:cs="David" w:hint="cs"/>
          <w:sz w:val="24"/>
          <w:szCs w:val="24"/>
          <w:rtl/>
        </w:rPr>
        <w:t>לבסוף</w:t>
      </w:r>
      <w:r w:rsidR="00072D99" w:rsidRPr="00295B39">
        <w:rPr>
          <w:rFonts w:ascii="David" w:hAnsi="David" w:cs="David" w:hint="cs"/>
          <w:sz w:val="24"/>
          <w:szCs w:val="24"/>
          <w:rtl/>
        </w:rPr>
        <w:t xml:space="preserve">, לאחר בחינת ההסברים שהועלו עד כה במחקר ביחס לסיבת הופעת החצוצרות על המטבעות, הצעתי הסבר נוסף לפיו הדבר נעשה אולי </w:t>
      </w:r>
      <w:r w:rsidR="00072D99" w:rsidRPr="00295B39">
        <w:rPr>
          <w:rFonts w:ascii="David" w:hAnsi="David" w:cs="David" w:hint="cs"/>
          <w:sz w:val="24"/>
          <w:szCs w:val="24"/>
          <w:rtl/>
        </w:rPr>
        <w:lastRenderedPageBreak/>
        <w:t xml:space="preserve">בהשפעת </w:t>
      </w:r>
      <w:r w:rsidR="00271906">
        <w:rPr>
          <w:rFonts w:ascii="David" w:hAnsi="David" w:cs="David" w:hint="cs"/>
          <w:sz w:val="24"/>
          <w:szCs w:val="24"/>
          <w:rtl/>
        </w:rPr>
        <w:t>עמדתו</w:t>
      </w:r>
      <w:r w:rsidR="00072D99" w:rsidRPr="00295B39">
        <w:rPr>
          <w:rFonts w:ascii="David" w:hAnsi="David" w:cs="David" w:hint="cs"/>
          <w:sz w:val="24"/>
          <w:szCs w:val="24"/>
          <w:rtl/>
        </w:rPr>
        <w:t xml:space="preserve"> ההלכתית של רבי עקיבא</w:t>
      </w:r>
      <w:r w:rsidR="00072D99">
        <w:rPr>
          <w:rFonts w:ascii="David" w:hAnsi="David" w:cs="David" w:hint="cs"/>
          <w:sz w:val="24"/>
          <w:szCs w:val="24"/>
          <w:rtl/>
        </w:rPr>
        <w:t xml:space="preserve"> באשר </w:t>
      </w:r>
      <w:r w:rsidR="008C747F">
        <w:rPr>
          <w:rFonts w:cs="David" w:hint="cs"/>
          <w:sz w:val="24"/>
          <w:szCs w:val="24"/>
          <w:rtl/>
        </w:rPr>
        <w:t>לחשיבות השימוש בחצוצרות במלחמה</w:t>
      </w:r>
      <w:r w:rsidR="00271906">
        <w:rPr>
          <w:rFonts w:cs="David" w:hint="cs"/>
          <w:sz w:val="24"/>
          <w:szCs w:val="24"/>
          <w:rtl/>
        </w:rPr>
        <w:t xml:space="preserve"> על מנת להיזכר לפני האל</w:t>
      </w:r>
      <w:r w:rsidR="008C747F">
        <w:rPr>
          <w:rFonts w:cs="David" w:hint="cs"/>
          <w:sz w:val="24"/>
          <w:szCs w:val="24"/>
          <w:rtl/>
        </w:rPr>
        <w:t xml:space="preserve">, וכביטוי לשאיפת המורדים לזכות בישועת האל </w:t>
      </w:r>
      <w:r w:rsidR="00271906">
        <w:rPr>
          <w:rFonts w:cs="David" w:hint="cs"/>
          <w:sz w:val="24"/>
          <w:szCs w:val="24"/>
          <w:rtl/>
        </w:rPr>
        <w:t xml:space="preserve">ובניצחון </w:t>
      </w:r>
      <w:r w:rsidR="008C747F">
        <w:rPr>
          <w:rFonts w:cs="David" w:hint="cs"/>
          <w:sz w:val="24"/>
          <w:szCs w:val="24"/>
          <w:rtl/>
        </w:rPr>
        <w:t xml:space="preserve">במלחמה. </w:t>
      </w:r>
    </w:p>
    <w:sectPr w:rsidR="008C747F" w:rsidRPr="00072D99" w:rsidSect="00373CDD">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7765F" w14:textId="77777777" w:rsidR="00473426" w:rsidRDefault="00473426" w:rsidP="003074AF">
      <w:pPr>
        <w:spacing w:after="0" w:line="240" w:lineRule="auto"/>
      </w:pPr>
      <w:r>
        <w:separator/>
      </w:r>
    </w:p>
  </w:endnote>
  <w:endnote w:type="continuationSeparator" w:id="0">
    <w:p w14:paraId="3D24105F" w14:textId="77777777" w:rsidR="00473426" w:rsidRDefault="00473426" w:rsidP="00307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F3D80" w14:textId="77777777" w:rsidR="00473426" w:rsidRDefault="00473426" w:rsidP="003074AF">
      <w:pPr>
        <w:spacing w:after="0" w:line="240" w:lineRule="auto"/>
      </w:pPr>
      <w:r>
        <w:separator/>
      </w:r>
    </w:p>
  </w:footnote>
  <w:footnote w:type="continuationSeparator" w:id="0">
    <w:p w14:paraId="1AD5E477" w14:textId="77777777" w:rsidR="00473426" w:rsidRDefault="00473426" w:rsidP="003074AF">
      <w:pPr>
        <w:spacing w:after="0" w:line="240" w:lineRule="auto"/>
      </w:pPr>
      <w:r>
        <w:continuationSeparator/>
      </w:r>
    </w:p>
  </w:footnote>
  <w:footnote w:id="1">
    <w:p w14:paraId="5D2DEBD0" w14:textId="77777777" w:rsidR="00A25547" w:rsidRDefault="00A25547" w:rsidP="003F6876">
      <w:pPr>
        <w:pStyle w:val="a3"/>
        <w:spacing w:after="0"/>
        <w:jc w:val="both"/>
        <w:rPr>
          <w:rFonts w:cs="David"/>
          <w:rtl/>
        </w:rPr>
      </w:pPr>
      <w:r>
        <w:rPr>
          <w:rStyle w:val="a5"/>
          <w:rtl/>
        </w:rPr>
        <w:t>*</w:t>
      </w:r>
      <w:r w:rsidRPr="00485204">
        <w:rPr>
          <w:rFonts w:asciiTheme="majorBidi" w:hAnsiTheme="majorBidi" w:cstheme="majorBidi" w:hint="cs"/>
          <w:rtl/>
        </w:rPr>
        <w:t xml:space="preserve"> </w:t>
      </w:r>
      <w:r w:rsidRPr="00485204">
        <w:rPr>
          <w:rFonts w:ascii="David" w:hAnsi="David" w:cs="David"/>
          <w:rtl/>
        </w:rPr>
        <w:t xml:space="preserve">המאמר מבוסס על </w:t>
      </w:r>
      <w:r>
        <w:rPr>
          <w:rFonts w:ascii="David" w:hAnsi="David" w:cs="David" w:hint="cs"/>
          <w:rtl/>
        </w:rPr>
        <w:t>פרק</w:t>
      </w:r>
      <w:r w:rsidRPr="00485204">
        <w:rPr>
          <w:rFonts w:ascii="David" w:hAnsi="David" w:cs="David"/>
          <w:rtl/>
        </w:rPr>
        <w:t xml:space="preserve"> מתוך עבודת דוקטורט שנעשתה במחלקה למוזיקה באוניברסיטת בר-אילן, בהנחיית פרופ' אהרן שמש ז"ל, ד"ר ברק כהן וד"ר רחל קולנדר ואושרה בשנת </w:t>
      </w:r>
      <w:r>
        <w:rPr>
          <w:rFonts w:ascii="David" w:hAnsi="David" w:cs="David" w:hint="cs"/>
          <w:rtl/>
        </w:rPr>
        <w:t>2020</w:t>
      </w:r>
      <w:r w:rsidRPr="00485204">
        <w:rPr>
          <w:rFonts w:ascii="David" w:hAnsi="David" w:cs="David"/>
          <w:rtl/>
        </w:rPr>
        <w:t>:</w:t>
      </w:r>
      <w:r>
        <w:rPr>
          <w:rFonts w:cs="David" w:hint="cs"/>
          <w:rtl/>
        </w:rPr>
        <w:t xml:space="preserve"> החצוצרה מן המקרא עד לסוף תקופת התנאים: עיון ארכיאו-מוזיקולוגי בתפקודה, בצורתה, בצליליה ובמשמעותה הסמלית. אבקש להודות...</w:t>
      </w:r>
    </w:p>
    <w:p w14:paraId="3E63008F" w14:textId="45BC71F7" w:rsidR="00D6334C" w:rsidRPr="00A25547" w:rsidRDefault="00D6334C" w:rsidP="003F6876">
      <w:pPr>
        <w:pStyle w:val="a3"/>
        <w:spacing w:after="0"/>
        <w:jc w:val="both"/>
        <w:rPr>
          <w:rFonts w:cs="David"/>
        </w:rPr>
      </w:pPr>
      <w:r>
        <w:rPr>
          <w:rStyle w:val="a5"/>
        </w:rPr>
        <w:footnoteRef/>
      </w:r>
      <w:r>
        <w:rPr>
          <w:rtl/>
        </w:rPr>
        <w:t xml:space="preserve"> </w:t>
      </w:r>
      <w:r>
        <w:rPr>
          <w:rFonts w:ascii="David" w:hAnsi="David" w:cs="David" w:hint="cs"/>
          <w:rtl/>
        </w:rPr>
        <w:t xml:space="preserve">כוונתי למקרא, מגילות מדבר יהודה ומקורות שונים בספרות התנאים (כגון המשנה, התוספתא, מדרשי ההלכה ועוד), וכן לחיבורים שונים מימי הבית השני (כגון ספר בן סירא, כתביו של יוסף בן-מתתיהו ועוד). </w:t>
      </w:r>
    </w:p>
  </w:footnote>
  <w:footnote w:id="2">
    <w:p w14:paraId="77193906" w14:textId="77777777" w:rsidR="00D6334C" w:rsidRPr="00A32CAF" w:rsidRDefault="00D6334C" w:rsidP="003F6876">
      <w:pPr>
        <w:spacing w:after="0"/>
        <w:jc w:val="both"/>
        <w:rPr>
          <w:rFonts w:ascii="David" w:hAnsi="David" w:cs="David"/>
          <w:sz w:val="20"/>
          <w:szCs w:val="20"/>
          <w:rtl/>
        </w:rPr>
      </w:pPr>
      <w:r>
        <w:rPr>
          <w:rStyle w:val="a5"/>
        </w:rPr>
        <w:footnoteRef/>
      </w:r>
      <w:r>
        <w:rPr>
          <w:rtl/>
        </w:rPr>
        <w:t xml:space="preserve"> </w:t>
      </w:r>
      <w:r w:rsidRPr="00A32CAF">
        <w:rPr>
          <w:rFonts w:asciiTheme="majorBidi" w:hAnsiTheme="majorBidi" w:cs="David" w:hint="cs"/>
          <w:sz w:val="20"/>
          <w:szCs w:val="20"/>
          <w:rtl/>
        </w:rPr>
        <w:t>מירה וינר, תרבות המוסיקה בארץ ישראל בתקופות ההלניסטית, הרומית והביזנטית - ייחודיות מול סינקרטיזם דתי/אתני (עבודת דוקטורט, אוניברסיטת בר-אילן</w:t>
      </w:r>
      <w:r>
        <w:rPr>
          <w:rFonts w:asciiTheme="majorBidi" w:hAnsiTheme="majorBidi" w:cs="David" w:hint="cs"/>
          <w:sz w:val="20"/>
          <w:szCs w:val="20"/>
          <w:rtl/>
        </w:rPr>
        <w:t>,</w:t>
      </w:r>
      <w:r w:rsidRPr="00A32CAF">
        <w:rPr>
          <w:rFonts w:asciiTheme="majorBidi" w:hAnsiTheme="majorBidi" w:cs="David" w:hint="cs"/>
          <w:sz w:val="20"/>
          <w:szCs w:val="20"/>
          <w:rtl/>
        </w:rPr>
        <w:t xml:space="preserve"> 2007</w:t>
      </w:r>
      <w:r w:rsidRPr="00A32CAF">
        <w:rPr>
          <w:rFonts w:ascii="David" w:hAnsi="David" w:cs="David" w:hint="cs"/>
          <w:sz w:val="20"/>
          <w:szCs w:val="20"/>
          <w:rtl/>
        </w:rPr>
        <w:t>),</w:t>
      </w:r>
      <w:r w:rsidRPr="00A32CAF">
        <w:rPr>
          <w:rFonts w:ascii="David" w:hAnsi="David" w:cs="David"/>
          <w:sz w:val="20"/>
          <w:szCs w:val="20"/>
          <w:rtl/>
        </w:rPr>
        <w:t xml:space="preserve"> תקציר א.</w:t>
      </w:r>
      <w:r w:rsidRPr="00E52E18">
        <w:rPr>
          <w:rFonts w:hint="cs"/>
          <w:sz w:val="20"/>
          <w:szCs w:val="20"/>
          <w:rtl/>
        </w:rPr>
        <w:t xml:space="preserve"> </w:t>
      </w:r>
      <w:r w:rsidRPr="00E52E18">
        <w:rPr>
          <w:rFonts w:asciiTheme="majorBidi" w:hAnsiTheme="majorBidi" w:cs="David" w:hint="cs"/>
          <w:sz w:val="20"/>
          <w:szCs w:val="20"/>
          <w:rtl/>
        </w:rPr>
        <w:t xml:space="preserve">בשנת 2009, הוקמה במוזיאון ארצות המקרא בירושלים התערוכה "צלילי מוזיקה עתיקה". </w:t>
      </w:r>
      <w:r w:rsidRPr="00E52E18">
        <w:rPr>
          <w:rFonts w:asciiTheme="minorBidi" w:hAnsiTheme="minorBidi" w:cs="David" w:hint="cs"/>
          <w:sz w:val="20"/>
          <w:szCs w:val="20"/>
          <w:rtl/>
        </w:rPr>
        <w:t xml:space="preserve">התערוכה כללה ממצאים ארכיאולוגיים הקשורים למוזיקה של המזרח הקדום, ובכלל זה ממצאים השייכים לתרבות היהודית הקדומה מתקופת המקרא עד לתקופת התנאים (שרידי כלי נגינה וממצאים המתארים באופן וויזואלי שימוש בכלי נגינה, שירה ומחול). </w:t>
      </w:r>
      <w:r w:rsidRPr="00E52E18">
        <w:rPr>
          <w:rFonts w:ascii="David" w:hAnsi="David" w:cs="David" w:hint="cs"/>
          <w:sz w:val="20"/>
          <w:szCs w:val="20"/>
          <w:rtl/>
        </w:rPr>
        <w:t xml:space="preserve">הקמת </w:t>
      </w:r>
      <w:r w:rsidRPr="00E52E18">
        <w:rPr>
          <w:rFonts w:ascii="David" w:hAnsi="David" w:cs="David"/>
          <w:sz w:val="20"/>
          <w:szCs w:val="20"/>
          <w:rtl/>
        </w:rPr>
        <w:t>התערוכה נוהלה בידי אוצרת המוזיאון, ג'ון גודניק ווסטנהולץ ז"ל. זכיתי להשתתף בהקמת התערוכה ובכתיבת מרבית הקטלוג לממצאים המוצגים בה (</w:t>
      </w:r>
      <w:r w:rsidRPr="00A47B82">
        <w:rPr>
          <w:rFonts w:asciiTheme="majorBidi" w:hAnsiTheme="majorBidi" w:cstheme="majorBidi"/>
          <w:sz w:val="20"/>
          <w:szCs w:val="20"/>
        </w:rPr>
        <w:t>J</w:t>
      </w:r>
      <w:r>
        <w:rPr>
          <w:rFonts w:asciiTheme="majorBidi" w:hAnsiTheme="majorBidi" w:cstheme="majorBidi"/>
          <w:sz w:val="20"/>
          <w:szCs w:val="20"/>
        </w:rPr>
        <w:t>oan</w:t>
      </w:r>
      <w:r w:rsidRPr="00A47B82">
        <w:rPr>
          <w:rFonts w:asciiTheme="majorBidi" w:hAnsiTheme="majorBidi" w:cstheme="majorBidi"/>
          <w:sz w:val="20"/>
          <w:szCs w:val="20"/>
        </w:rPr>
        <w:t xml:space="preserve"> G</w:t>
      </w:r>
      <w:r>
        <w:rPr>
          <w:rFonts w:asciiTheme="majorBidi" w:hAnsiTheme="majorBidi" w:cstheme="majorBidi"/>
          <w:sz w:val="20"/>
          <w:szCs w:val="20"/>
        </w:rPr>
        <w:t>oodnick</w:t>
      </w:r>
      <w:r w:rsidRPr="00A47B82">
        <w:rPr>
          <w:rFonts w:asciiTheme="majorBidi" w:hAnsiTheme="majorBidi" w:cstheme="majorBidi"/>
          <w:sz w:val="20"/>
          <w:szCs w:val="20"/>
        </w:rPr>
        <w:t xml:space="preserve"> Westenholz, </w:t>
      </w:r>
      <w:r w:rsidRPr="00A47B82">
        <w:rPr>
          <w:rFonts w:asciiTheme="majorBidi" w:hAnsiTheme="majorBidi" w:cstheme="majorBidi"/>
          <w:i/>
          <w:iCs/>
          <w:sz w:val="20"/>
          <w:szCs w:val="20"/>
        </w:rPr>
        <w:t>Sounds of Ancient Music</w:t>
      </w:r>
      <w:r w:rsidRPr="00A47B82">
        <w:rPr>
          <w:rFonts w:asciiTheme="majorBidi" w:hAnsiTheme="majorBidi" w:cstheme="majorBidi"/>
          <w:sz w:val="20"/>
          <w:szCs w:val="20"/>
        </w:rPr>
        <w:t>,</w:t>
      </w:r>
      <w:r>
        <w:rPr>
          <w:rFonts w:asciiTheme="majorBidi" w:hAnsiTheme="majorBidi" w:cstheme="majorBidi"/>
          <w:sz w:val="20"/>
          <w:szCs w:val="20"/>
        </w:rPr>
        <w:t xml:space="preserve"> [Jerusalem:</w:t>
      </w:r>
      <w:r w:rsidRPr="00A47B82">
        <w:rPr>
          <w:rFonts w:asciiTheme="majorBidi" w:hAnsiTheme="majorBidi" w:cstheme="majorBidi"/>
          <w:sz w:val="20"/>
          <w:szCs w:val="20"/>
        </w:rPr>
        <w:t xml:space="preserve"> Bible Lands Museum, 200</w:t>
      </w:r>
      <w:r>
        <w:rPr>
          <w:rFonts w:asciiTheme="majorBidi" w:hAnsiTheme="majorBidi" w:cstheme="majorBidi"/>
          <w:sz w:val="20"/>
          <w:szCs w:val="20"/>
        </w:rPr>
        <w:t>7]</w:t>
      </w:r>
      <w:r>
        <w:rPr>
          <w:rFonts w:ascii="David" w:hAnsi="David" w:cs="David" w:hint="cs"/>
          <w:sz w:val="20"/>
          <w:szCs w:val="20"/>
          <w:rtl/>
        </w:rPr>
        <w:t>).</w:t>
      </w:r>
      <w:r w:rsidRPr="00E52E18">
        <w:rPr>
          <w:rFonts w:ascii="David" w:hAnsi="David" w:cs="David"/>
          <w:sz w:val="20"/>
          <w:szCs w:val="20"/>
          <w:rtl/>
        </w:rPr>
        <w:t xml:space="preserve"> </w:t>
      </w:r>
    </w:p>
  </w:footnote>
  <w:footnote w:id="3">
    <w:p w14:paraId="1DAD9B89" w14:textId="77777777" w:rsidR="00D6334C" w:rsidRPr="006F7E51" w:rsidRDefault="00D6334C" w:rsidP="003F6876">
      <w:pPr>
        <w:pStyle w:val="a3"/>
        <w:spacing w:after="0"/>
        <w:jc w:val="both"/>
        <w:rPr>
          <w:rFonts w:ascii="David" w:hAnsi="David" w:cs="David"/>
          <w:rtl/>
        </w:rPr>
      </w:pPr>
      <w:r>
        <w:rPr>
          <w:rStyle w:val="a5"/>
        </w:rPr>
        <w:footnoteRef/>
      </w:r>
      <w:r>
        <w:rPr>
          <w:rtl/>
        </w:rPr>
        <w:t xml:space="preserve"> </w:t>
      </w:r>
      <w:r w:rsidRPr="006F7E51">
        <w:rPr>
          <w:rFonts w:asciiTheme="majorBidi" w:hAnsiTheme="majorBidi" w:cs="David"/>
        </w:rPr>
        <w:t>;J</w:t>
      </w:r>
      <w:r>
        <w:rPr>
          <w:rFonts w:asciiTheme="majorBidi" w:hAnsiTheme="majorBidi" w:cs="David"/>
        </w:rPr>
        <w:t>oachim</w:t>
      </w:r>
      <w:r w:rsidRPr="006F7E51">
        <w:rPr>
          <w:rFonts w:asciiTheme="majorBidi" w:hAnsiTheme="majorBidi" w:cs="David"/>
        </w:rPr>
        <w:t xml:space="preserve"> Braun, </w:t>
      </w:r>
      <w:r w:rsidRPr="006F7E51">
        <w:rPr>
          <w:rFonts w:asciiTheme="majorBidi" w:hAnsiTheme="majorBidi" w:cs="David"/>
          <w:i/>
          <w:iCs/>
        </w:rPr>
        <w:t>On Jewish Music: Past and Present</w:t>
      </w:r>
      <w:r w:rsidRPr="006F7E51">
        <w:rPr>
          <w:rFonts w:asciiTheme="majorBidi" w:hAnsiTheme="majorBidi" w:cs="David"/>
        </w:rPr>
        <w:t xml:space="preserve"> (Frankfurt</w:t>
      </w:r>
      <w:r>
        <w:rPr>
          <w:rFonts w:asciiTheme="majorBidi" w:hAnsiTheme="majorBidi" w:cs="David"/>
        </w:rPr>
        <w:t xml:space="preserve"> am Mein: Lang</w:t>
      </w:r>
      <w:r w:rsidRPr="006F7E51">
        <w:rPr>
          <w:rFonts w:asciiTheme="majorBidi" w:hAnsiTheme="majorBidi" w:cs="David"/>
        </w:rPr>
        <w:t>, 2006), 42 – 43</w:t>
      </w:r>
      <w:r w:rsidRPr="006F7E51">
        <w:rPr>
          <w:rFonts w:ascii="David" w:hAnsi="David" w:cs="David" w:hint="cs"/>
          <w:rtl/>
        </w:rPr>
        <w:t xml:space="preserve"> וינר, תרבות המוזיקה, 26.</w:t>
      </w:r>
    </w:p>
  </w:footnote>
  <w:footnote w:id="4">
    <w:p w14:paraId="50347FD2" w14:textId="645AAACB" w:rsidR="0076566B" w:rsidRPr="00DE6BDC" w:rsidRDefault="0076566B" w:rsidP="009A0C22">
      <w:pPr>
        <w:pStyle w:val="a3"/>
        <w:spacing w:after="0"/>
        <w:jc w:val="both"/>
        <w:rPr>
          <w:rFonts w:asciiTheme="majorBidi" w:hAnsiTheme="majorBidi" w:cstheme="majorBidi"/>
          <w:shd w:val="clear" w:color="auto" w:fill="FBFBFB"/>
          <w:rtl/>
          <w:lang w:val="en-US"/>
        </w:rPr>
      </w:pPr>
      <w:r w:rsidRPr="00E305F9">
        <w:rPr>
          <w:rStyle w:val="a5"/>
        </w:rPr>
        <w:footnoteRef/>
      </w:r>
      <w:r w:rsidRPr="00E305F9">
        <w:rPr>
          <w:rtl/>
        </w:rPr>
        <w:t xml:space="preserve"> </w:t>
      </w:r>
      <w:r w:rsidRPr="00E305F9">
        <w:rPr>
          <w:rFonts w:ascii="David" w:hAnsi="David" w:cs="David"/>
          <w:rtl/>
        </w:rPr>
        <w:t>גודבלאט, נשיא, עמ' 127</w:t>
      </w:r>
      <w:r w:rsidRPr="00E305F9">
        <w:rPr>
          <w:rFonts w:ascii="David" w:hAnsi="David" w:cs="David"/>
        </w:rPr>
        <w:t>;</w:t>
      </w:r>
      <w:r w:rsidRPr="00E305F9">
        <w:rPr>
          <w:rFonts w:ascii="David" w:hAnsi="David" w:cs="David" w:hint="cs"/>
          <w:rtl/>
        </w:rPr>
        <w:t xml:space="preserve"> גודינף, סמלים, עמ' 81</w:t>
      </w:r>
      <w:r w:rsidRPr="00E305F9">
        <w:rPr>
          <w:rFonts w:ascii="David" w:hAnsi="David" w:cs="David"/>
        </w:rPr>
        <w:t>;</w:t>
      </w:r>
      <w:r w:rsidRPr="00E305F9">
        <w:rPr>
          <w:rFonts w:ascii="David" w:hAnsi="David" w:cs="David" w:hint="cs"/>
          <w:rtl/>
        </w:rPr>
        <w:t xml:space="preserve"> ספראי, ראש השנה, עמ' 374. </w:t>
      </w:r>
      <w:r w:rsidR="00195CB0">
        <w:rPr>
          <w:rFonts w:ascii="David" w:hAnsi="David" w:cs="David" w:hint="cs"/>
          <w:rtl/>
        </w:rPr>
        <w:t xml:space="preserve">בבית הכנסת </w:t>
      </w:r>
      <w:r w:rsidR="009A0C22">
        <w:rPr>
          <w:rFonts w:ascii="David" w:hAnsi="David" w:cs="David" w:hint="cs"/>
          <w:rtl/>
        </w:rPr>
        <w:t xml:space="preserve">שנתגלה </w:t>
      </w:r>
      <w:r w:rsidR="00195CB0">
        <w:rPr>
          <w:rFonts w:ascii="David" w:hAnsi="David" w:cs="David" w:hint="cs"/>
          <w:rtl/>
        </w:rPr>
        <w:t xml:space="preserve">בעיר ציפורי, נחשפה רצפת פסיפס המתוארכת למאה החמישית לסה"נ ועליה תיאור צמד חצוצרות </w:t>
      </w:r>
      <w:r w:rsidR="00195CB0" w:rsidRPr="00DE6BDC">
        <w:rPr>
          <w:rFonts w:asciiTheme="majorBidi" w:hAnsiTheme="majorBidi" w:cstheme="majorBidi"/>
          <w:rtl/>
        </w:rPr>
        <w:t>(</w:t>
      </w:r>
      <w:r w:rsidR="00195CB0" w:rsidRPr="00DE6BDC">
        <w:rPr>
          <w:rFonts w:asciiTheme="majorBidi" w:hAnsiTheme="majorBidi" w:cstheme="majorBidi"/>
          <w:lang w:val="en-US"/>
        </w:rPr>
        <w:t xml:space="preserve">Zeev </w:t>
      </w:r>
      <w:r w:rsidR="00DE6BDC" w:rsidRPr="00DE6BDC">
        <w:rPr>
          <w:rFonts w:asciiTheme="majorBidi" w:hAnsiTheme="majorBidi" w:cstheme="majorBidi"/>
          <w:lang w:val="en-US"/>
        </w:rPr>
        <w:t xml:space="preserve">Weiss, </w:t>
      </w:r>
      <w:r w:rsidR="00DE6BDC" w:rsidRPr="00DE6BDC">
        <w:rPr>
          <w:rFonts w:asciiTheme="majorBidi" w:hAnsiTheme="majorBidi" w:cstheme="majorBidi"/>
          <w:i/>
          <w:iCs/>
          <w:lang w:val="en-US"/>
        </w:rPr>
        <w:t>The Sepphoris Synagogue</w:t>
      </w:r>
      <w:r w:rsidR="009A0C22">
        <w:rPr>
          <w:rFonts w:asciiTheme="majorBidi" w:hAnsiTheme="majorBidi" w:cstheme="majorBidi"/>
          <w:shd w:val="clear" w:color="auto" w:fill="FBFBFB"/>
          <w:lang w:val="en-US"/>
        </w:rPr>
        <w:t xml:space="preserve">, </w:t>
      </w:r>
      <w:r w:rsidR="006370CF">
        <w:rPr>
          <w:rFonts w:asciiTheme="majorBidi" w:hAnsiTheme="majorBidi" w:cstheme="majorBidi"/>
          <w:shd w:val="clear" w:color="auto" w:fill="FBFBFB"/>
          <w:lang w:val="en-US"/>
        </w:rPr>
        <w:t>pp. 8</w:t>
      </w:r>
      <w:r w:rsidR="009A0C22">
        <w:rPr>
          <w:rFonts w:asciiTheme="majorBidi" w:hAnsiTheme="majorBidi" w:cstheme="majorBidi"/>
          <w:shd w:val="clear" w:color="auto" w:fill="FBFBFB"/>
          <w:lang w:val="en-US"/>
        </w:rPr>
        <w:t>1 – 82</w:t>
      </w:r>
      <w:r w:rsidR="00267E46">
        <w:rPr>
          <w:rFonts w:asciiTheme="majorBidi" w:hAnsiTheme="majorBidi" w:cstheme="majorBidi"/>
          <w:shd w:val="clear" w:color="auto" w:fill="FBFBFB"/>
          <w:lang w:val="en-US"/>
        </w:rPr>
        <w:t>).</w:t>
      </w:r>
    </w:p>
  </w:footnote>
  <w:footnote w:id="5">
    <w:p w14:paraId="58AC75D9" w14:textId="77777777" w:rsidR="003074AF" w:rsidRPr="007A1287" w:rsidRDefault="003074AF" w:rsidP="003074AF">
      <w:pPr>
        <w:pStyle w:val="a3"/>
        <w:spacing w:after="0"/>
        <w:jc w:val="both"/>
        <w:rPr>
          <w:rtl/>
        </w:rPr>
      </w:pPr>
      <w:r w:rsidRPr="007A1287">
        <w:rPr>
          <w:rStyle w:val="a5"/>
        </w:rPr>
        <w:footnoteRef/>
      </w:r>
      <w:r w:rsidRPr="007A1287">
        <w:rPr>
          <w:rtl/>
        </w:rPr>
        <w:t xml:space="preserve"> </w:t>
      </w:r>
      <w:r w:rsidRPr="007A1287">
        <w:rPr>
          <w:rFonts w:ascii="David" w:hAnsi="David" w:cs="David"/>
          <w:rtl/>
        </w:rPr>
        <w:t>אופנהיימר, מרד בר-כוכבא, עמ' 9</w:t>
      </w:r>
      <w:r>
        <w:rPr>
          <w:rFonts w:ascii="David" w:hAnsi="David" w:cs="David"/>
        </w:rPr>
        <w:t>;</w:t>
      </w:r>
      <w:r w:rsidRPr="007A1287">
        <w:rPr>
          <w:rFonts w:ascii="David" w:hAnsi="David" w:cs="David" w:hint="cs"/>
          <w:rtl/>
        </w:rPr>
        <w:t xml:space="preserve"> הנ"ל, התמורות, עמ' 65</w:t>
      </w:r>
      <w:r w:rsidRPr="007A1287">
        <w:rPr>
          <w:rFonts w:ascii="David" w:hAnsi="David" w:cs="David"/>
        </w:rPr>
        <w:t>;</w:t>
      </w:r>
      <w:r w:rsidRPr="007A1287">
        <w:rPr>
          <w:rFonts w:ascii="David" w:hAnsi="David" w:cs="David"/>
          <w:rtl/>
        </w:rPr>
        <w:t xml:space="preserve"> </w:t>
      </w:r>
      <w:r w:rsidRPr="007A1287">
        <w:rPr>
          <w:rFonts w:ascii="David" w:hAnsi="David" w:cs="David" w:hint="cs"/>
          <w:rtl/>
        </w:rPr>
        <w:t>דוד הר, מלחמת בן כוסבה, עמ' 350 - 351</w:t>
      </w:r>
      <w:r w:rsidRPr="007A1287">
        <w:rPr>
          <w:rFonts w:ascii="David" w:hAnsi="David" w:cs="David"/>
        </w:rPr>
        <w:t>;</w:t>
      </w:r>
      <w:r w:rsidRPr="007A1287">
        <w:rPr>
          <w:rFonts w:ascii="David" w:hAnsi="David" w:cs="David" w:hint="cs"/>
          <w:rtl/>
        </w:rPr>
        <w:t xml:space="preserve"> מור, מרד בר-כוכבא, עמ' 227</w:t>
      </w:r>
      <w:r>
        <w:rPr>
          <w:rFonts w:ascii="David" w:hAnsi="David" w:cs="David"/>
          <w:lang w:val="en-US"/>
        </w:rPr>
        <w:t>;</w:t>
      </w:r>
      <w:r w:rsidRPr="007A1287">
        <w:rPr>
          <w:rFonts w:ascii="David" w:hAnsi="David" w:cs="David" w:hint="cs"/>
          <w:rtl/>
        </w:rPr>
        <w:t xml:space="preserve"> </w:t>
      </w:r>
      <w:r w:rsidRPr="007A1287">
        <w:rPr>
          <w:rFonts w:ascii="David" w:hAnsi="David" w:cs="David"/>
          <w:rtl/>
        </w:rPr>
        <w:t>אשל וזיסו,</w:t>
      </w:r>
      <w:r w:rsidRPr="007A1287">
        <w:rPr>
          <w:rFonts w:ascii="David" w:hAnsi="David" w:cs="David" w:hint="cs"/>
          <w:rtl/>
        </w:rPr>
        <w:t xml:space="preserve"> העדות הארכיאולוגית,</w:t>
      </w:r>
      <w:r w:rsidRPr="007A1287">
        <w:rPr>
          <w:rFonts w:ascii="David" w:hAnsi="David" w:cs="David"/>
          <w:rtl/>
        </w:rPr>
        <w:t xml:space="preserve"> עמ' 8</w:t>
      </w:r>
      <w:r w:rsidRPr="007A1287">
        <w:rPr>
          <w:rFonts w:ascii="David" w:hAnsi="David" w:cs="David"/>
        </w:rPr>
        <w:t>;</w:t>
      </w:r>
      <w:r w:rsidRPr="007A1287">
        <w:rPr>
          <w:rFonts w:ascii="David" w:hAnsi="David" w:cs="David"/>
          <w:rtl/>
        </w:rPr>
        <w:t xml:space="preserve"> גיחון, דרך כוכב מיעקב, עמ' 11.</w:t>
      </w:r>
      <w:r w:rsidRPr="007A1287">
        <w:rPr>
          <w:rFonts w:hint="cs"/>
          <w:rtl/>
        </w:rPr>
        <w:t xml:space="preserve"> </w:t>
      </w:r>
    </w:p>
  </w:footnote>
  <w:footnote w:id="6">
    <w:p w14:paraId="6B31EDFB" w14:textId="77777777" w:rsidR="003074AF" w:rsidRPr="007A1287" w:rsidRDefault="003074AF" w:rsidP="003074AF">
      <w:pPr>
        <w:pStyle w:val="a3"/>
        <w:spacing w:after="0"/>
        <w:jc w:val="both"/>
        <w:rPr>
          <w:rtl/>
        </w:rPr>
      </w:pPr>
      <w:r w:rsidRPr="007A1287">
        <w:rPr>
          <w:rStyle w:val="a5"/>
        </w:rPr>
        <w:footnoteRef/>
      </w:r>
      <w:r w:rsidRPr="007A1287">
        <w:rPr>
          <w:rtl/>
        </w:rPr>
        <w:t xml:space="preserve"> </w:t>
      </w:r>
      <w:r w:rsidRPr="007A1287">
        <w:rPr>
          <w:rFonts w:ascii="David" w:hAnsi="David" w:cs="David"/>
          <w:rtl/>
        </w:rPr>
        <w:t xml:space="preserve">אופנהיימר, </w:t>
      </w:r>
      <w:r w:rsidRPr="007A1287">
        <w:rPr>
          <w:rFonts w:ascii="David" w:hAnsi="David" w:cs="David" w:hint="cs"/>
          <w:rtl/>
        </w:rPr>
        <w:t>מרד בר-כוכבא</w:t>
      </w:r>
      <w:r w:rsidRPr="007A1287">
        <w:rPr>
          <w:rFonts w:ascii="David" w:hAnsi="David" w:cs="David"/>
          <w:rtl/>
        </w:rPr>
        <w:t xml:space="preserve">, </w:t>
      </w:r>
      <w:r w:rsidRPr="007A1287">
        <w:rPr>
          <w:rFonts w:ascii="David" w:hAnsi="David" w:cs="David" w:hint="cs"/>
          <w:rtl/>
        </w:rPr>
        <w:t>שם</w:t>
      </w:r>
      <w:r w:rsidRPr="007A1287">
        <w:rPr>
          <w:rFonts w:ascii="David" w:hAnsi="David" w:cs="David"/>
        </w:rPr>
        <w:t>;</w:t>
      </w:r>
      <w:r w:rsidRPr="007A1287">
        <w:rPr>
          <w:rFonts w:ascii="David" w:hAnsi="David" w:cs="David"/>
          <w:rtl/>
        </w:rPr>
        <w:t xml:space="preserve"> </w:t>
      </w:r>
      <w:r w:rsidRPr="007A1287">
        <w:rPr>
          <w:rFonts w:ascii="David" w:hAnsi="David" w:cs="David" w:hint="cs"/>
          <w:rtl/>
        </w:rPr>
        <w:t>שוורץ, ארץ יהודה, עמ' 217 - 223</w:t>
      </w:r>
      <w:r w:rsidRPr="007A1287">
        <w:rPr>
          <w:rFonts w:ascii="David" w:hAnsi="David" w:cs="David"/>
        </w:rPr>
        <w:t>;</w:t>
      </w:r>
      <w:r w:rsidRPr="007A1287">
        <w:rPr>
          <w:rFonts w:ascii="David" w:hAnsi="David" w:cs="David" w:hint="cs"/>
          <w:rtl/>
        </w:rPr>
        <w:t xml:space="preserve"> דוד הר, שם, עמ' 363 - 368</w:t>
      </w:r>
      <w:r w:rsidRPr="007A1287">
        <w:rPr>
          <w:rFonts w:ascii="David" w:hAnsi="David" w:cs="David"/>
        </w:rPr>
        <w:t>;</w:t>
      </w:r>
      <w:r w:rsidRPr="007A1287">
        <w:rPr>
          <w:rFonts w:ascii="David" w:hAnsi="David" w:cs="David" w:hint="cs"/>
          <w:rtl/>
        </w:rPr>
        <w:t xml:space="preserve"> מור, שם, עמ' 238 - 243</w:t>
      </w:r>
      <w:r w:rsidRPr="007A1287">
        <w:rPr>
          <w:rFonts w:ascii="David" w:hAnsi="David" w:cs="David"/>
        </w:rPr>
        <w:t>;</w:t>
      </w:r>
      <w:r w:rsidRPr="007A1287">
        <w:rPr>
          <w:rFonts w:ascii="David" w:hAnsi="David" w:cs="David" w:hint="cs"/>
          <w:rtl/>
        </w:rPr>
        <w:t xml:space="preserve"> </w:t>
      </w:r>
      <w:r w:rsidRPr="007A1287">
        <w:rPr>
          <w:rFonts w:ascii="David" w:hAnsi="David" w:cs="David"/>
          <w:rtl/>
        </w:rPr>
        <w:t>אשל וזיסו, שם, עמ' 9</w:t>
      </w:r>
      <w:r w:rsidRPr="007A1287">
        <w:rPr>
          <w:rFonts w:ascii="David" w:hAnsi="David" w:cs="David"/>
        </w:rPr>
        <w:t>;</w:t>
      </w:r>
      <w:r w:rsidRPr="007A1287">
        <w:rPr>
          <w:rFonts w:ascii="David" w:hAnsi="David" w:cs="David"/>
          <w:rtl/>
        </w:rPr>
        <w:t xml:space="preserve"> גיחון, שם, עמ' 14 </w:t>
      </w:r>
      <w:r w:rsidRPr="007A1287">
        <w:rPr>
          <w:rFonts w:ascii="David" w:hAnsi="David" w:cs="David" w:hint="cs"/>
          <w:rtl/>
        </w:rPr>
        <w:t>-</w:t>
      </w:r>
      <w:r w:rsidRPr="007A1287">
        <w:rPr>
          <w:rFonts w:ascii="David" w:hAnsi="David" w:cs="David"/>
          <w:rtl/>
        </w:rPr>
        <w:t xml:space="preserve"> 15</w:t>
      </w:r>
      <w:r w:rsidRPr="007A1287">
        <w:rPr>
          <w:rFonts w:ascii="David" w:hAnsi="David" w:cs="David" w:hint="cs"/>
          <w:rtl/>
        </w:rPr>
        <w:t>, 367 - 373</w:t>
      </w:r>
      <w:r w:rsidRPr="007A1287">
        <w:rPr>
          <w:rFonts w:ascii="David" w:hAnsi="David" w:cs="David"/>
        </w:rPr>
        <w:t>;</w:t>
      </w:r>
      <w:r w:rsidRPr="007A1287">
        <w:rPr>
          <w:rFonts w:ascii="David" w:hAnsi="David" w:cs="David" w:hint="cs"/>
          <w:rtl/>
        </w:rPr>
        <w:t xml:space="preserve"> שפק-ליסק, התפוצה היהודית, עמ' 140 - 142.</w:t>
      </w:r>
    </w:p>
  </w:footnote>
  <w:footnote w:id="7">
    <w:p w14:paraId="7583A274" w14:textId="77777777" w:rsidR="003074AF" w:rsidRDefault="003074AF" w:rsidP="003074AF">
      <w:pPr>
        <w:pStyle w:val="a3"/>
        <w:spacing w:after="0"/>
        <w:jc w:val="both"/>
      </w:pPr>
      <w:r>
        <w:rPr>
          <w:rStyle w:val="a5"/>
        </w:rPr>
        <w:footnoteRef/>
      </w:r>
      <w:r>
        <w:rPr>
          <w:rtl/>
        </w:rPr>
        <w:t xml:space="preserve"> </w:t>
      </w:r>
      <w:r w:rsidRPr="006702B4">
        <w:rPr>
          <w:rFonts w:cs="David" w:hint="cs"/>
          <w:rtl/>
        </w:rPr>
        <w:t>מטבעות הכסף כללו שלושה עריכים: סלעים (שכונו גם "טטרדרכמות", משקלם היה יותר משנים-עשר גרם), שקלים ("דידרכמות", משקלם היה כשישה גרם), ו- זוזים ("דינרים", משקלם היה מעט יותר משלושה גרם). מטבעות הברונזה כללו כנראה ארבעה עריכים</w:t>
      </w:r>
      <w:r>
        <w:rPr>
          <w:rFonts w:ascii="David" w:hAnsi="David" w:cs="David" w:hint="cs"/>
          <w:rtl/>
        </w:rPr>
        <w:t>,</w:t>
      </w:r>
      <w:r w:rsidRPr="006702B4">
        <w:rPr>
          <w:rFonts w:ascii="David" w:hAnsi="David" w:cs="David" w:hint="cs"/>
          <w:rtl/>
        </w:rPr>
        <w:t xml:space="preserve"> בהתבסס</w:t>
      </w:r>
      <w:r>
        <w:rPr>
          <w:rFonts w:ascii="David" w:hAnsi="David" w:cs="David" w:hint="cs"/>
          <w:rtl/>
        </w:rPr>
        <w:t xml:space="preserve"> על סוגי הדגמים שעליהם: </w:t>
      </w:r>
      <w:r w:rsidRPr="006702B4">
        <w:rPr>
          <w:rFonts w:cs="David" w:hint="cs"/>
          <w:rtl/>
        </w:rPr>
        <w:t>גדול (משקלו היה כ- 20 גרם), שני עריכים במשקל בינוני (האחד, במשקל שישה גרם ועשרה גרם. השני במשקל אחד-עשר עד שנים-עשר גרם), וקטן (משקלו היה כחמישה גרם)</w:t>
      </w:r>
      <w:r>
        <w:rPr>
          <w:rFonts w:cs="David" w:hint="cs"/>
          <w:rtl/>
        </w:rPr>
        <w:t>, (</w:t>
      </w:r>
      <w:r w:rsidRPr="00770ABA">
        <w:rPr>
          <w:rFonts w:ascii="David" w:hAnsi="David" w:cs="David"/>
          <w:rtl/>
        </w:rPr>
        <w:t>קינדלר, מטבעות, עמ' 162</w:t>
      </w:r>
      <w:r>
        <w:rPr>
          <w:rFonts w:ascii="David" w:hAnsi="David" w:cs="David"/>
        </w:rPr>
        <w:t>;</w:t>
      </w:r>
      <w:r w:rsidRPr="00770ABA">
        <w:rPr>
          <w:rFonts w:ascii="David" w:hAnsi="David" w:cs="David"/>
          <w:rtl/>
        </w:rPr>
        <w:t xml:space="preserve"> הנ"ל, מיטבעה ניידת, עמ' 172</w:t>
      </w:r>
      <w:r w:rsidRPr="00770ABA">
        <w:rPr>
          <w:rFonts w:ascii="David" w:hAnsi="David" w:cs="David"/>
        </w:rPr>
        <w:t>;</w:t>
      </w:r>
      <w:r w:rsidRPr="00770ABA">
        <w:rPr>
          <w:rFonts w:ascii="David" w:hAnsi="David" w:cs="David"/>
          <w:rtl/>
        </w:rPr>
        <w:t xml:space="preserve"> משורר, מטבעות היהודים, עמ' 123, 136</w:t>
      </w:r>
      <w:r w:rsidRPr="00770ABA">
        <w:rPr>
          <w:rFonts w:ascii="David" w:hAnsi="David" w:cs="David"/>
        </w:rPr>
        <w:t>;</w:t>
      </w:r>
      <w:r w:rsidRPr="00770ABA">
        <w:rPr>
          <w:rFonts w:ascii="David" w:hAnsi="David" w:cs="David"/>
          <w:rtl/>
        </w:rPr>
        <w:t xml:space="preserve"> אשל, נבל וכינור, עמ' 38 - 40</w:t>
      </w:r>
      <w:r w:rsidRPr="00770ABA">
        <w:rPr>
          <w:rFonts w:ascii="David" w:hAnsi="David" w:cs="David"/>
        </w:rPr>
        <w:t>;</w:t>
      </w:r>
      <w:r w:rsidRPr="00770ABA">
        <w:rPr>
          <w:rFonts w:ascii="David" w:hAnsi="David" w:cs="David"/>
          <w:rtl/>
        </w:rPr>
        <w:t xml:space="preserve"> אשל וזיסו, שם, עמ' 110 - 113</w:t>
      </w:r>
      <w:r w:rsidRPr="00770ABA">
        <w:rPr>
          <w:rFonts w:ascii="David" w:hAnsi="David" w:cs="David"/>
        </w:rPr>
        <w:t>;</w:t>
      </w:r>
      <w:r w:rsidRPr="00770ABA">
        <w:rPr>
          <w:rFonts w:ascii="David" w:hAnsi="David" w:cs="David"/>
          <w:rtl/>
        </w:rPr>
        <w:t xml:space="preserve"> ליק, איקונוגרפיה, עמ' 150</w:t>
      </w:r>
      <w:r>
        <w:rPr>
          <w:rFonts w:ascii="David" w:hAnsi="David" w:cs="David" w:hint="cs"/>
          <w:rtl/>
        </w:rPr>
        <w:t>)</w:t>
      </w:r>
      <w:r w:rsidRPr="00770ABA">
        <w:rPr>
          <w:rFonts w:ascii="David" w:hAnsi="David" w:cs="David"/>
          <w:rtl/>
        </w:rPr>
        <w:t>.</w:t>
      </w:r>
    </w:p>
  </w:footnote>
  <w:footnote w:id="8">
    <w:p w14:paraId="55FC281C" w14:textId="77777777" w:rsidR="003074AF" w:rsidRPr="007B6A34" w:rsidRDefault="003074AF" w:rsidP="003074AF">
      <w:pPr>
        <w:pStyle w:val="a3"/>
        <w:spacing w:after="0"/>
        <w:jc w:val="both"/>
        <w:rPr>
          <w:rtl/>
        </w:rPr>
      </w:pPr>
      <w:r w:rsidRPr="007B6A34">
        <w:rPr>
          <w:rStyle w:val="a5"/>
        </w:rPr>
        <w:footnoteRef/>
      </w:r>
      <w:r w:rsidRPr="007B6A34">
        <w:rPr>
          <w:rtl/>
        </w:rPr>
        <w:t xml:space="preserve"> </w:t>
      </w:r>
      <w:r w:rsidRPr="007B6A34">
        <w:rPr>
          <w:rFonts w:ascii="David" w:hAnsi="David" w:cs="David"/>
          <w:rtl/>
        </w:rPr>
        <w:t xml:space="preserve">קינדלר, </w:t>
      </w:r>
      <w:r>
        <w:rPr>
          <w:rFonts w:ascii="David" w:hAnsi="David" w:cs="David" w:hint="cs"/>
          <w:rtl/>
        </w:rPr>
        <w:t>שם</w:t>
      </w:r>
      <w:r w:rsidRPr="007B6A34">
        <w:rPr>
          <w:rFonts w:ascii="David" w:hAnsi="David" w:cs="David"/>
          <w:rtl/>
        </w:rPr>
        <w:t>, עמ' 58</w:t>
      </w:r>
      <w:r w:rsidRPr="007B6A34">
        <w:rPr>
          <w:rFonts w:ascii="David" w:hAnsi="David" w:cs="David"/>
        </w:rPr>
        <w:t>;</w:t>
      </w:r>
      <w:r w:rsidRPr="007B6A34">
        <w:rPr>
          <w:rFonts w:ascii="David" w:hAnsi="David" w:cs="David"/>
          <w:rtl/>
        </w:rPr>
        <w:t xml:space="preserve"> ידין, בר-כוכבא, עמ' 26</w:t>
      </w:r>
      <w:r w:rsidRPr="007B6A34">
        <w:rPr>
          <w:rFonts w:ascii="David" w:hAnsi="David" w:cs="David"/>
        </w:rPr>
        <w:t>;</w:t>
      </w:r>
      <w:r w:rsidRPr="007B6A34">
        <w:rPr>
          <w:rFonts w:ascii="David" w:hAnsi="David" w:cs="David"/>
          <w:rtl/>
        </w:rPr>
        <w:t xml:space="preserve"> מילדנברג, מטבעות, עמ' 22</w:t>
      </w:r>
      <w:r w:rsidRPr="007B6A34">
        <w:rPr>
          <w:rFonts w:ascii="David" w:hAnsi="David" w:cs="David"/>
        </w:rPr>
        <w:t>;</w:t>
      </w:r>
      <w:r w:rsidRPr="007B6A34">
        <w:rPr>
          <w:rFonts w:ascii="David" w:hAnsi="David" w:cs="David"/>
          <w:rtl/>
        </w:rPr>
        <w:t xml:space="preserve"> מאיר, מטבעות, עמ' 91.</w:t>
      </w:r>
      <w:r w:rsidRPr="007B6A34">
        <w:rPr>
          <w:rFonts w:hint="cs"/>
          <w:rtl/>
        </w:rPr>
        <w:t xml:space="preserve">  </w:t>
      </w:r>
    </w:p>
  </w:footnote>
  <w:footnote w:id="9">
    <w:p w14:paraId="459BB0A2" w14:textId="731B317E" w:rsidR="003074AF" w:rsidRDefault="003074AF" w:rsidP="003074AF">
      <w:pPr>
        <w:pStyle w:val="a3"/>
        <w:spacing w:after="0"/>
        <w:jc w:val="both"/>
      </w:pPr>
      <w:r>
        <w:rPr>
          <w:rStyle w:val="a5"/>
        </w:rPr>
        <w:footnoteRef/>
      </w:r>
      <w:r>
        <w:rPr>
          <w:rtl/>
        </w:rPr>
        <w:t xml:space="preserve"> </w:t>
      </w:r>
      <w:r w:rsidRPr="004A4D4C">
        <w:rPr>
          <w:rFonts w:cs="David" w:hint="cs"/>
          <w:rtl/>
        </w:rPr>
        <w:t>זאת על אף שהשפות העיקריות שהיו שגורות בפיהם של המורדים היו הארמית והיוונית. הבחירה דווקא בשפה העברית עבור אותן כתובות נעשתה ככל הנראה גם היא על מנת לסמל את תחייתה של הריבונות היהודית בארץ ישראל וכדי לעורר במורדים תחושות של גאווה לאומית, חרות ואף גאולה</w:t>
      </w:r>
      <w:r>
        <w:rPr>
          <w:rFonts w:cs="David" w:hint="cs"/>
          <w:rtl/>
        </w:rPr>
        <w:t xml:space="preserve"> (</w:t>
      </w:r>
      <w:r w:rsidRPr="007B6A34">
        <w:rPr>
          <w:rFonts w:ascii="David" w:hAnsi="David" w:cs="David"/>
          <w:rtl/>
        </w:rPr>
        <w:t>קדמן, כתב המטבעות, עמ' 102</w:t>
      </w:r>
      <w:r w:rsidRPr="007B6A34">
        <w:rPr>
          <w:rFonts w:ascii="David" w:hAnsi="David" w:cs="David"/>
        </w:rPr>
        <w:t>;</w:t>
      </w:r>
      <w:r w:rsidRPr="007B6A34">
        <w:rPr>
          <w:rFonts w:ascii="David" w:hAnsi="David" w:cs="David"/>
          <w:rtl/>
        </w:rPr>
        <w:t xml:space="preserve"> קוטון, השפות, עמ' 225</w:t>
      </w:r>
      <w:r w:rsidRPr="007B6A34">
        <w:rPr>
          <w:rFonts w:ascii="David" w:hAnsi="David" w:cs="David"/>
        </w:rPr>
        <w:t>;</w:t>
      </w:r>
      <w:r w:rsidRPr="007B6A34">
        <w:rPr>
          <w:rFonts w:ascii="David" w:hAnsi="David" w:cs="David"/>
          <w:rtl/>
        </w:rPr>
        <w:t xml:space="preserve"> טנדלר, הדגמים, עמ' 286</w:t>
      </w:r>
      <w:r>
        <w:rPr>
          <w:rFonts w:ascii="David" w:hAnsi="David" w:cs="David" w:hint="cs"/>
          <w:rtl/>
        </w:rPr>
        <w:t>)</w:t>
      </w:r>
      <w:r w:rsidRPr="007B6A34">
        <w:rPr>
          <w:rFonts w:ascii="David" w:hAnsi="David" w:cs="David"/>
          <w:rtl/>
        </w:rPr>
        <w:t>.</w:t>
      </w:r>
      <w:r w:rsidRPr="007B6A34">
        <w:rPr>
          <w:rFonts w:hint="cs"/>
          <w:rtl/>
        </w:rPr>
        <w:t xml:space="preserve"> </w:t>
      </w:r>
      <w:r w:rsidRPr="00B01CF8">
        <w:rPr>
          <w:rFonts w:cs="David" w:hint="cs"/>
          <w:rtl/>
        </w:rPr>
        <w:t>זאת עולה מן הנוסח של אותן כתובות. על צדו האחד של המטבעות שנטבעו בשנה הראשונה למרד מופיעה הכתובת: "שנת אחת לגאלת ישראל". על מטבעות השנה השנייה נכתבה הכתובת המקוצרת: "ש ב לחר ישראל". ואילו על מטבעות השנה השלישית נכתב: "לחרות ירושלם". בצדם השני של המטבעות הופיעו כתובות אחרות. על גבי המטבעות שנטבעו בשנה הראשונה למרד מופיעות הכתובות: "ירושלם",</w:t>
      </w:r>
      <w:r>
        <w:rPr>
          <w:rFonts w:cs="David" w:hint="cs"/>
          <w:rtl/>
        </w:rPr>
        <w:t xml:space="preserve"> </w:t>
      </w:r>
      <w:r w:rsidRPr="002B757F">
        <w:rPr>
          <w:rFonts w:cs="David" w:hint="cs"/>
          <w:rtl/>
        </w:rPr>
        <w:t>"אלעזר הכהן\הכוהן"</w:t>
      </w:r>
      <w:r>
        <w:rPr>
          <w:rFonts w:cs="David" w:hint="cs"/>
          <w:rtl/>
        </w:rPr>
        <w:t xml:space="preserve">, </w:t>
      </w:r>
      <w:r w:rsidRPr="002B757F">
        <w:rPr>
          <w:rFonts w:cs="David" w:hint="cs"/>
          <w:rtl/>
        </w:rPr>
        <w:t>"שמע</w:t>
      </w:r>
      <w:r>
        <w:rPr>
          <w:rFonts w:cs="David" w:hint="cs"/>
          <w:rtl/>
        </w:rPr>
        <w:t xml:space="preserve">", וכן </w:t>
      </w:r>
      <w:r w:rsidRPr="002B757F">
        <w:rPr>
          <w:rFonts w:cs="David" w:hint="cs"/>
          <w:rtl/>
        </w:rPr>
        <w:t>"שמעון נשיא ישראל". ואילו בשנה השנייה ובשנה השלישית נכתב: "שמע", "שמעון"</w:t>
      </w:r>
      <w:r>
        <w:rPr>
          <w:rFonts w:cs="David" w:hint="cs"/>
          <w:rtl/>
        </w:rPr>
        <w:t xml:space="preserve"> (</w:t>
      </w:r>
      <w:r w:rsidRPr="007B6A34">
        <w:rPr>
          <w:rFonts w:ascii="David" w:hAnsi="David" w:cs="David" w:hint="cs"/>
          <w:rtl/>
        </w:rPr>
        <w:t>באיאר, שרידים, עמ' 16 - 17, 29 - 31</w:t>
      </w:r>
      <w:r w:rsidRPr="007B6A34">
        <w:rPr>
          <w:rFonts w:ascii="David" w:hAnsi="David" w:cs="David"/>
        </w:rPr>
        <w:t>;</w:t>
      </w:r>
      <w:r w:rsidRPr="007B6A34">
        <w:rPr>
          <w:rFonts w:ascii="David" w:hAnsi="David" w:cs="David" w:hint="cs"/>
          <w:rtl/>
        </w:rPr>
        <w:t xml:space="preserve"> </w:t>
      </w:r>
      <w:r w:rsidRPr="007B6A34">
        <w:rPr>
          <w:rFonts w:ascii="David" w:hAnsi="David" w:cs="David"/>
          <w:rtl/>
        </w:rPr>
        <w:t>קינדלר, מטבעות, עמ' 61</w:t>
      </w:r>
      <w:r>
        <w:rPr>
          <w:rFonts w:ascii="David" w:hAnsi="David" w:cs="David"/>
        </w:rPr>
        <w:t>;</w:t>
      </w:r>
      <w:r w:rsidRPr="007B6A34">
        <w:rPr>
          <w:rFonts w:ascii="David" w:hAnsi="David" w:cs="David" w:hint="cs"/>
          <w:rtl/>
        </w:rPr>
        <w:t xml:space="preserve"> הנ"ל, מיטבעה ניידת, עמ' 174 - 177</w:t>
      </w:r>
      <w:r w:rsidRPr="007B6A34">
        <w:rPr>
          <w:rFonts w:ascii="David" w:hAnsi="David" w:cs="David"/>
        </w:rPr>
        <w:t>;</w:t>
      </w:r>
      <w:r w:rsidRPr="007B6A34">
        <w:rPr>
          <w:rFonts w:ascii="David" w:hAnsi="David" w:cs="David"/>
          <w:rtl/>
        </w:rPr>
        <w:t xml:space="preserve"> </w:t>
      </w:r>
      <w:r w:rsidRPr="007B6A34">
        <w:rPr>
          <w:rFonts w:ascii="David" w:hAnsi="David" w:cs="David" w:hint="cs"/>
          <w:rtl/>
        </w:rPr>
        <w:t xml:space="preserve">אשל, </w:t>
      </w:r>
      <w:r>
        <w:rPr>
          <w:rFonts w:ascii="David" w:hAnsi="David" w:cs="David" w:hint="cs"/>
          <w:rtl/>
        </w:rPr>
        <w:t>נבל וכינור</w:t>
      </w:r>
      <w:r w:rsidRPr="007B6A34">
        <w:rPr>
          <w:rFonts w:ascii="David" w:hAnsi="David" w:cs="David" w:hint="cs"/>
          <w:rtl/>
        </w:rPr>
        <w:t>, עמ' 34 - 35</w:t>
      </w:r>
      <w:r w:rsidRPr="007B6A34">
        <w:rPr>
          <w:rFonts w:ascii="David" w:hAnsi="David" w:cs="David"/>
        </w:rPr>
        <w:t>;</w:t>
      </w:r>
      <w:r w:rsidRPr="007B6A34">
        <w:rPr>
          <w:rFonts w:ascii="David" w:hAnsi="David" w:cs="David" w:hint="cs"/>
          <w:rtl/>
        </w:rPr>
        <w:t xml:space="preserve"> </w:t>
      </w:r>
      <w:r w:rsidRPr="007B6A34">
        <w:rPr>
          <w:rFonts w:ascii="David" w:hAnsi="David" w:cs="David"/>
          <w:rtl/>
        </w:rPr>
        <w:t xml:space="preserve">סמואלס, רינרסון ומשורר, </w:t>
      </w:r>
      <w:r>
        <w:rPr>
          <w:rFonts w:ascii="David" w:hAnsi="David" w:cs="David" w:hint="cs"/>
          <w:rtl/>
        </w:rPr>
        <w:t>המורשת הנומיסטית</w:t>
      </w:r>
      <w:r w:rsidRPr="007B6A34">
        <w:rPr>
          <w:rFonts w:ascii="David" w:hAnsi="David" w:cs="David"/>
          <w:rtl/>
        </w:rPr>
        <w:t>, עמ' 85</w:t>
      </w:r>
      <w:r w:rsidRPr="007B6A34">
        <w:rPr>
          <w:rFonts w:ascii="David" w:hAnsi="David" w:cs="David"/>
        </w:rPr>
        <w:t>;</w:t>
      </w:r>
      <w:r w:rsidRPr="007B6A34">
        <w:rPr>
          <w:rFonts w:ascii="David" w:hAnsi="David" w:cs="David"/>
          <w:rtl/>
        </w:rPr>
        <w:t xml:space="preserve"> אשל</w:t>
      </w:r>
      <w:r w:rsidRPr="007B6A34">
        <w:rPr>
          <w:rFonts w:ascii="David" w:hAnsi="David" w:cs="David" w:hint="cs"/>
          <w:rtl/>
        </w:rPr>
        <w:t xml:space="preserve"> וזיסו</w:t>
      </w:r>
      <w:r w:rsidRPr="007B6A34">
        <w:rPr>
          <w:rFonts w:ascii="David" w:hAnsi="David" w:cs="David"/>
          <w:rtl/>
        </w:rPr>
        <w:t xml:space="preserve">, </w:t>
      </w:r>
      <w:r>
        <w:rPr>
          <w:rFonts w:ascii="David" w:hAnsi="David" w:cs="David" w:hint="cs"/>
          <w:rtl/>
        </w:rPr>
        <w:t>העדות הארכיאולוגית</w:t>
      </w:r>
      <w:r w:rsidRPr="007B6A34">
        <w:rPr>
          <w:rFonts w:ascii="David" w:hAnsi="David" w:cs="David"/>
          <w:rtl/>
        </w:rPr>
        <w:t>, עמ' 110</w:t>
      </w:r>
      <w:r w:rsidRPr="007B6A34">
        <w:rPr>
          <w:rFonts w:ascii="David" w:hAnsi="David" w:cs="David" w:hint="cs"/>
          <w:rtl/>
        </w:rPr>
        <w:t xml:space="preserve"> </w:t>
      </w:r>
      <w:r>
        <w:rPr>
          <w:rFonts w:ascii="David" w:hAnsi="David" w:cs="David" w:hint="cs"/>
          <w:rtl/>
        </w:rPr>
        <w:t>-</w:t>
      </w:r>
      <w:r w:rsidRPr="007B6A34">
        <w:rPr>
          <w:rFonts w:ascii="David" w:hAnsi="David" w:cs="David" w:hint="cs"/>
          <w:rtl/>
        </w:rPr>
        <w:t xml:space="preserve"> 118</w:t>
      </w:r>
      <w:r>
        <w:rPr>
          <w:rFonts w:ascii="David" w:hAnsi="David" w:cs="David" w:hint="cs"/>
          <w:rtl/>
        </w:rPr>
        <w:t xml:space="preserve">). </w:t>
      </w:r>
      <w:r w:rsidRPr="007B6A34">
        <w:rPr>
          <w:rFonts w:ascii="David" w:hAnsi="David" w:cs="David" w:hint="cs"/>
          <w:rtl/>
        </w:rPr>
        <w:t>זהותו של</w:t>
      </w:r>
      <w:r w:rsidRPr="007B6A34">
        <w:rPr>
          <w:rFonts w:ascii="David" w:hAnsi="David" w:cs="David"/>
          <w:rtl/>
        </w:rPr>
        <w:t xml:space="preserve"> אלעזר הכוהן</w:t>
      </w:r>
      <w:r w:rsidRPr="007B6A34">
        <w:rPr>
          <w:rFonts w:ascii="David" w:hAnsi="David" w:cs="David" w:hint="cs"/>
          <w:rtl/>
        </w:rPr>
        <w:t xml:space="preserve"> אינה ידועה</w:t>
      </w:r>
      <w:r w:rsidRPr="007B6A34">
        <w:rPr>
          <w:rFonts w:ascii="David" w:hAnsi="David" w:cs="David"/>
          <w:rtl/>
        </w:rPr>
        <w:t>. היו מי שהציעו שמדובר</w:t>
      </w:r>
      <w:r w:rsidRPr="007B6A34">
        <w:rPr>
          <w:rFonts w:ascii="David" w:hAnsi="David" w:cs="David" w:hint="cs"/>
          <w:rtl/>
        </w:rPr>
        <w:t xml:space="preserve"> </w:t>
      </w:r>
      <w:r w:rsidRPr="007B6A34">
        <w:rPr>
          <w:rFonts w:ascii="David" w:hAnsi="David" w:cs="David"/>
          <w:rtl/>
        </w:rPr>
        <w:t xml:space="preserve">באלעזר המודעי הנזכר במספר מקומות בספרות חז"ל. אחרים הציעו שמדובר ברבי אלעזר בן עזריה. </w:t>
      </w:r>
      <w:r>
        <w:rPr>
          <w:rFonts w:ascii="David" w:hAnsi="David" w:cs="David" w:hint="cs"/>
          <w:rtl/>
        </w:rPr>
        <w:t>טענה</w:t>
      </w:r>
      <w:r w:rsidRPr="007B6A34">
        <w:rPr>
          <w:rFonts w:ascii="David" w:hAnsi="David" w:cs="David"/>
          <w:rtl/>
        </w:rPr>
        <w:t xml:space="preserve"> נוספת היא שמדובר באלעזר בן חרסום (ראו בהרחבה אצל מילדנברג, מטבעות אלעזר, עמ' 77</w:t>
      </w:r>
      <w:r w:rsidR="005A13B9">
        <w:rPr>
          <w:rFonts w:ascii="David" w:hAnsi="David" w:cs="David"/>
          <w:rtl/>
        </w:rPr>
        <w:t>–</w:t>
      </w:r>
      <w:r w:rsidRPr="007B6A34">
        <w:rPr>
          <w:rFonts w:ascii="David" w:hAnsi="David" w:cs="David"/>
          <w:rtl/>
        </w:rPr>
        <w:t>10</w:t>
      </w:r>
      <w:r w:rsidR="00C55C52">
        <w:rPr>
          <w:rFonts w:ascii="David" w:hAnsi="David" w:cs="David" w:hint="cs"/>
          <w:rtl/>
        </w:rPr>
        <w:t>8</w:t>
      </w:r>
      <w:r w:rsidR="005A13B9">
        <w:rPr>
          <w:rFonts w:ascii="David" w:hAnsi="David" w:cs="David"/>
          <w:lang w:val="en-US"/>
        </w:rPr>
        <w:t>;</w:t>
      </w:r>
      <w:r w:rsidRPr="007B6A34">
        <w:rPr>
          <w:rFonts w:ascii="David" w:hAnsi="David" w:cs="David"/>
          <w:rtl/>
        </w:rPr>
        <w:t xml:space="preserve"> אשל וזיסו, </w:t>
      </w:r>
      <w:r w:rsidRPr="007B6A34">
        <w:rPr>
          <w:rFonts w:ascii="David" w:hAnsi="David" w:cs="David" w:hint="cs"/>
          <w:rtl/>
        </w:rPr>
        <w:t>שם</w:t>
      </w:r>
      <w:r w:rsidRPr="007B6A34">
        <w:rPr>
          <w:rFonts w:ascii="David" w:hAnsi="David" w:cs="David"/>
          <w:rtl/>
        </w:rPr>
        <w:t>, עמ' 119)</w:t>
      </w:r>
      <w:r>
        <w:rPr>
          <w:rFonts w:ascii="David" w:hAnsi="David" w:cs="David" w:hint="cs"/>
          <w:rtl/>
        </w:rPr>
        <w:t xml:space="preserve">. בנוסף, הכתובות "שמע", "שמעון...", מתייחסות ככל הנראה לשמעון בר-כוכבא, ששמו המקורי היה כנראה כוסבא או כוסבה. </w:t>
      </w:r>
      <w:r w:rsidRPr="007B6A34">
        <w:rPr>
          <w:rFonts w:ascii="David" w:hAnsi="David" w:cs="David"/>
          <w:rtl/>
        </w:rPr>
        <w:t>זאת על פי תעודות שנמצאו "במערת האיגרות", בנחל חבר שבמדבר יהודה, הנושאות את שמו של מפקד המרד: "שמעון בר-כוסבא\כוסבה" (</w:t>
      </w:r>
      <w:r w:rsidRPr="007B6A34">
        <w:rPr>
          <w:rFonts w:ascii="David" w:hAnsi="David" w:cs="David" w:hint="cs"/>
          <w:rtl/>
        </w:rPr>
        <w:t xml:space="preserve">ידין, </w:t>
      </w:r>
      <w:r w:rsidRPr="007B6A34">
        <w:rPr>
          <w:rFonts w:ascii="David" w:hAnsi="David" w:cs="David"/>
          <w:rtl/>
        </w:rPr>
        <w:t>בר-כוכבא</w:t>
      </w:r>
      <w:r w:rsidRPr="007B6A34">
        <w:rPr>
          <w:rFonts w:ascii="David" w:hAnsi="David" w:cs="David" w:hint="cs"/>
          <w:rtl/>
        </w:rPr>
        <w:t>, עמ' 120 - 139</w:t>
      </w:r>
      <w:r w:rsidRPr="007B6A34">
        <w:rPr>
          <w:rFonts w:ascii="David" w:hAnsi="David" w:cs="David"/>
        </w:rPr>
        <w:t>;</w:t>
      </w:r>
      <w:r w:rsidRPr="007B6A34">
        <w:rPr>
          <w:rFonts w:ascii="David" w:hAnsi="David" w:cs="David" w:hint="cs"/>
          <w:rtl/>
        </w:rPr>
        <w:t xml:space="preserve"> </w:t>
      </w:r>
      <w:r w:rsidRPr="007B6A34">
        <w:rPr>
          <w:rFonts w:ascii="David" w:hAnsi="David" w:cs="David"/>
          <w:rtl/>
        </w:rPr>
        <w:t>הירשפלד, הכמיהה, עמ' 14</w:t>
      </w:r>
      <w:r w:rsidRPr="007B6A34">
        <w:rPr>
          <w:rFonts w:ascii="David" w:hAnsi="David" w:cs="David"/>
        </w:rPr>
        <w:t>;</w:t>
      </w:r>
      <w:r w:rsidRPr="007B6A34">
        <w:rPr>
          <w:rFonts w:ascii="David" w:hAnsi="David" w:cs="David"/>
          <w:rtl/>
        </w:rPr>
        <w:t xml:space="preserve"> קלונר וזיסו, מערכות המסתור, עמ' 144).</w:t>
      </w:r>
    </w:p>
  </w:footnote>
  <w:footnote w:id="10">
    <w:p w14:paraId="00D4175D" w14:textId="16FA4F52" w:rsidR="003074AF" w:rsidRPr="007B6A34" w:rsidRDefault="003074AF" w:rsidP="00516317">
      <w:pPr>
        <w:spacing w:after="0"/>
        <w:jc w:val="both"/>
        <w:rPr>
          <w:rFonts w:ascii="David" w:hAnsi="David" w:cs="David"/>
          <w:sz w:val="20"/>
          <w:szCs w:val="20"/>
          <w:rtl/>
        </w:rPr>
      </w:pPr>
      <w:r w:rsidRPr="007B6A34">
        <w:rPr>
          <w:rStyle w:val="a5"/>
        </w:rPr>
        <w:footnoteRef/>
      </w:r>
      <w:r w:rsidRPr="007B6A34">
        <w:rPr>
          <w:rtl/>
        </w:rPr>
        <w:t xml:space="preserve"> </w:t>
      </w:r>
      <w:r w:rsidR="00516317">
        <w:rPr>
          <w:rFonts w:ascii="David" w:hAnsi="David" w:cs="David" w:hint="cs"/>
          <w:sz w:val="20"/>
          <w:szCs w:val="20"/>
          <w:rtl/>
        </w:rPr>
        <w:t xml:space="preserve">פיאמנטה, החצוצרה, עמ'  251 הערה 1041 והספרות הנזכרת שם. </w:t>
      </w:r>
      <w:r w:rsidRPr="007B6A34">
        <w:rPr>
          <w:rFonts w:ascii="David" w:hAnsi="David" w:cs="David" w:hint="cs"/>
          <w:sz w:val="20"/>
          <w:szCs w:val="20"/>
          <w:rtl/>
        </w:rPr>
        <w:t>רוב המטבעות הוחלקו באמצעות</w:t>
      </w:r>
      <w:r w:rsidRPr="007B6A34">
        <w:rPr>
          <w:rFonts w:ascii="David" w:hAnsi="David" w:cs="David"/>
          <w:sz w:val="20"/>
          <w:szCs w:val="20"/>
          <w:rtl/>
        </w:rPr>
        <w:t xml:space="preserve"> הכאה בפטיש</w:t>
      </w:r>
      <w:r w:rsidRPr="007B6A34">
        <w:rPr>
          <w:rFonts w:ascii="David" w:hAnsi="David" w:cs="David" w:hint="cs"/>
          <w:sz w:val="20"/>
          <w:szCs w:val="20"/>
          <w:rtl/>
        </w:rPr>
        <w:t>, על מנת שלא להפחית מכמות המתכת שבהם. שאר המטבעות הוחלקו באמצעות</w:t>
      </w:r>
      <w:r w:rsidRPr="007B6A34">
        <w:rPr>
          <w:rFonts w:ascii="David" w:hAnsi="David" w:cs="David"/>
          <w:sz w:val="20"/>
          <w:szCs w:val="20"/>
          <w:rtl/>
        </w:rPr>
        <w:t xml:space="preserve"> </w:t>
      </w:r>
      <w:r w:rsidRPr="007B6A34">
        <w:rPr>
          <w:rFonts w:ascii="David" w:hAnsi="David" w:cs="David" w:hint="cs"/>
          <w:sz w:val="20"/>
          <w:szCs w:val="20"/>
          <w:rtl/>
        </w:rPr>
        <w:t xml:space="preserve">פצירה או אבן משחזת. </w:t>
      </w:r>
      <w:r w:rsidRPr="007B6A34">
        <w:rPr>
          <w:rFonts w:ascii="David" w:hAnsi="David" w:cs="David"/>
          <w:sz w:val="20"/>
          <w:szCs w:val="20"/>
          <w:rtl/>
        </w:rPr>
        <w:t xml:space="preserve">בשלב שני </w:t>
      </w:r>
      <w:r w:rsidRPr="007B6A34">
        <w:rPr>
          <w:rFonts w:ascii="David" w:hAnsi="David" w:cs="David" w:hint="cs"/>
          <w:sz w:val="20"/>
          <w:szCs w:val="20"/>
          <w:rtl/>
        </w:rPr>
        <w:t>נט</w:t>
      </w:r>
      <w:r w:rsidRPr="007B6A34">
        <w:rPr>
          <w:rFonts w:ascii="David" w:hAnsi="David" w:cs="David"/>
          <w:sz w:val="20"/>
          <w:szCs w:val="20"/>
          <w:rtl/>
        </w:rPr>
        <w:t xml:space="preserve">בעו על אותם מטבעות </w:t>
      </w:r>
      <w:r w:rsidRPr="007B6A34">
        <w:rPr>
          <w:rFonts w:ascii="David" w:hAnsi="David" w:cs="David" w:hint="cs"/>
          <w:sz w:val="20"/>
          <w:szCs w:val="20"/>
          <w:rtl/>
        </w:rPr>
        <w:t>כתובות ו</w:t>
      </w:r>
      <w:r w:rsidRPr="007B6A34">
        <w:rPr>
          <w:rFonts w:ascii="David" w:hAnsi="David" w:cs="David"/>
          <w:sz w:val="20"/>
          <w:szCs w:val="20"/>
          <w:rtl/>
        </w:rPr>
        <w:t>דגמים חדשים</w:t>
      </w:r>
      <w:r w:rsidRPr="007B6A34">
        <w:rPr>
          <w:rFonts w:ascii="David" w:hAnsi="David" w:cs="David" w:hint="cs"/>
          <w:sz w:val="20"/>
          <w:szCs w:val="20"/>
          <w:rtl/>
        </w:rPr>
        <w:t xml:space="preserve"> (משורר, שם, עמ' 123</w:t>
      </w:r>
      <w:r w:rsidRPr="007B6A34">
        <w:rPr>
          <w:rFonts w:ascii="David" w:hAnsi="David" w:cs="David"/>
          <w:sz w:val="20"/>
          <w:szCs w:val="20"/>
        </w:rPr>
        <w:t>;</w:t>
      </w:r>
      <w:r w:rsidRPr="007B6A34">
        <w:rPr>
          <w:rFonts w:ascii="David" w:hAnsi="David" w:cs="David" w:hint="cs"/>
          <w:sz w:val="20"/>
          <w:szCs w:val="20"/>
          <w:rtl/>
        </w:rPr>
        <w:t xml:space="preserve"> קינדלר, מיטבעה ניידת, עמ' 172 - 173</w:t>
      </w:r>
      <w:r w:rsidRPr="007B6A34">
        <w:rPr>
          <w:rFonts w:ascii="David" w:hAnsi="David" w:cs="David"/>
          <w:sz w:val="20"/>
          <w:szCs w:val="20"/>
        </w:rPr>
        <w:t>;</w:t>
      </w:r>
      <w:r w:rsidRPr="007B6A34">
        <w:rPr>
          <w:rFonts w:ascii="David" w:hAnsi="David" w:cs="David" w:hint="cs"/>
          <w:sz w:val="20"/>
          <w:szCs w:val="20"/>
          <w:rtl/>
        </w:rPr>
        <w:t xml:space="preserve"> אשל, </w:t>
      </w:r>
      <w:r>
        <w:rPr>
          <w:rFonts w:ascii="David" w:hAnsi="David" w:cs="David" w:hint="cs"/>
          <w:sz w:val="20"/>
          <w:szCs w:val="20"/>
          <w:rtl/>
        </w:rPr>
        <w:t>שם</w:t>
      </w:r>
      <w:r w:rsidRPr="007B6A34">
        <w:rPr>
          <w:rFonts w:ascii="David" w:hAnsi="David" w:cs="David" w:hint="cs"/>
          <w:sz w:val="20"/>
          <w:szCs w:val="20"/>
          <w:rtl/>
        </w:rPr>
        <w:t>, עמ' 30</w:t>
      </w:r>
      <w:r w:rsidRPr="007B6A34">
        <w:rPr>
          <w:rFonts w:ascii="David" w:hAnsi="David" w:cs="David"/>
          <w:sz w:val="20"/>
          <w:szCs w:val="20"/>
        </w:rPr>
        <w:t>;</w:t>
      </w:r>
      <w:r w:rsidRPr="007B6A34">
        <w:rPr>
          <w:rFonts w:ascii="David" w:hAnsi="David" w:cs="David" w:hint="cs"/>
          <w:sz w:val="20"/>
          <w:szCs w:val="20"/>
          <w:rtl/>
        </w:rPr>
        <w:t xml:space="preserve"> אשל וזיסו, העדות הארכיאולוגית, עמ' 109).  </w:t>
      </w:r>
    </w:p>
  </w:footnote>
  <w:footnote w:id="11">
    <w:p w14:paraId="6390FC76" w14:textId="4FB6FE5A" w:rsidR="003074AF" w:rsidRPr="004F0999" w:rsidRDefault="003074AF" w:rsidP="00516317">
      <w:pPr>
        <w:pStyle w:val="a3"/>
        <w:spacing w:after="0"/>
        <w:jc w:val="both"/>
        <w:rPr>
          <w:rFonts w:ascii="David" w:hAnsi="David" w:cs="David"/>
          <w:rtl/>
        </w:rPr>
      </w:pPr>
      <w:r w:rsidRPr="004F0999">
        <w:rPr>
          <w:rStyle w:val="a5"/>
        </w:rPr>
        <w:footnoteRef/>
      </w:r>
      <w:r w:rsidRPr="004F0999">
        <w:rPr>
          <w:rtl/>
        </w:rPr>
        <w:t xml:space="preserve"> </w:t>
      </w:r>
      <w:r w:rsidR="00516317">
        <w:rPr>
          <w:rFonts w:ascii="David" w:hAnsi="David" w:cs="David" w:hint="cs"/>
          <w:rtl/>
        </w:rPr>
        <w:t xml:space="preserve">פיאמנטה, החצוצרה, עמ' 251 הערה 1042 והספרות הנזכרת שם. </w:t>
      </w:r>
    </w:p>
  </w:footnote>
  <w:footnote w:id="12">
    <w:p w14:paraId="4C32251E" w14:textId="77777777" w:rsidR="003074AF" w:rsidRPr="004F0999" w:rsidRDefault="003074AF" w:rsidP="003074AF">
      <w:pPr>
        <w:pStyle w:val="a3"/>
        <w:spacing w:after="0"/>
        <w:rPr>
          <w:rtl/>
        </w:rPr>
      </w:pPr>
      <w:r w:rsidRPr="004F0999">
        <w:rPr>
          <w:rStyle w:val="a5"/>
        </w:rPr>
        <w:footnoteRef/>
      </w:r>
      <w:r w:rsidRPr="004F0999">
        <w:rPr>
          <w:rtl/>
        </w:rPr>
        <w:t xml:space="preserve"> </w:t>
      </w:r>
      <w:r w:rsidRPr="004F0999">
        <w:rPr>
          <w:rFonts w:ascii="David" w:hAnsi="David" w:cs="David"/>
          <w:rtl/>
        </w:rPr>
        <w:t xml:space="preserve">אדלר, טקס, עמ' </w:t>
      </w:r>
      <w:r w:rsidRPr="004F0999">
        <w:rPr>
          <w:rFonts w:ascii="David" w:hAnsi="David" w:cs="David" w:hint="cs"/>
          <w:rtl/>
        </w:rPr>
        <w:t>1</w:t>
      </w:r>
      <w:r w:rsidRPr="004F0999">
        <w:rPr>
          <w:rFonts w:ascii="David" w:hAnsi="David" w:cs="David"/>
          <w:rtl/>
        </w:rPr>
        <w:t xml:space="preserve">31 </w:t>
      </w:r>
      <w:r w:rsidRPr="004F0999">
        <w:rPr>
          <w:rFonts w:ascii="David" w:hAnsi="David" w:cs="David" w:hint="cs"/>
          <w:rtl/>
        </w:rPr>
        <w:t>-</w:t>
      </w:r>
      <w:r w:rsidRPr="004F0999">
        <w:rPr>
          <w:rFonts w:ascii="David" w:hAnsi="David" w:cs="David"/>
          <w:rtl/>
        </w:rPr>
        <w:t xml:space="preserve"> 35</w:t>
      </w:r>
      <w:r w:rsidRPr="004F0999">
        <w:rPr>
          <w:rFonts w:ascii="David" w:hAnsi="David" w:cs="David"/>
        </w:rPr>
        <w:t>;1</w:t>
      </w:r>
      <w:r w:rsidRPr="004F0999">
        <w:rPr>
          <w:rFonts w:ascii="David" w:hAnsi="David" w:cs="David" w:hint="cs"/>
          <w:rtl/>
        </w:rPr>
        <w:t xml:space="preserve"> טנדלר, שם, עמ' 300 - 301. </w:t>
      </w:r>
    </w:p>
  </w:footnote>
  <w:footnote w:id="13">
    <w:p w14:paraId="3AC6C491" w14:textId="77777777" w:rsidR="003074AF" w:rsidRPr="004F0999" w:rsidRDefault="003074AF" w:rsidP="003074AF">
      <w:pPr>
        <w:pStyle w:val="a3"/>
        <w:spacing w:after="0"/>
        <w:jc w:val="both"/>
        <w:rPr>
          <w:rFonts w:ascii="David" w:hAnsi="David" w:cs="David"/>
        </w:rPr>
      </w:pPr>
      <w:r w:rsidRPr="004F0999">
        <w:rPr>
          <w:rStyle w:val="a5"/>
        </w:rPr>
        <w:footnoteRef/>
      </w:r>
      <w:r w:rsidRPr="004F0999">
        <w:rPr>
          <w:rtl/>
        </w:rPr>
        <w:t xml:space="preserve"> </w:t>
      </w:r>
      <w:r w:rsidRPr="004F0999">
        <w:rPr>
          <w:rFonts w:ascii="David" w:hAnsi="David" w:cs="David"/>
          <w:rtl/>
        </w:rPr>
        <w:t>לדעת משורר</w:t>
      </w:r>
      <w:r w:rsidRPr="004F0999">
        <w:rPr>
          <w:rFonts w:ascii="David" w:hAnsi="David" w:cs="David" w:hint="cs"/>
          <w:rtl/>
        </w:rPr>
        <w:t xml:space="preserve"> (שם, עמ' 129), תיאור הצלוחית והאמפורה על המטבעות מתייחס</w:t>
      </w:r>
      <w:r w:rsidRPr="004F0999">
        <w:rPr>
          <w:rFonts w:ascii="David" w:hAnsi="David" w:cs="David"/>
          <w:rtl/>
        </w:rPr>
        <w:t xml:space="preserve"> </w:t>
      </w:r>
      <w:r w:rsidRPr="004F0999">
        <w:rPr>
          <w:rFonts w:ascii="David" w:hAnsi="David" w:cs="David" w:hint="cs"/>
          <w:rtl/>
        </w:rPr>
        <w:t>ל</w:t>
      </w:r>
      <w:r w:rsidRPr="004F0999">
        <w:rPr>
          <w:rFonts w:ascii="David" w:hAnsi="David" w:cs="David"/>
          <w:rtl/>
        </w:rPr>
        <w:t>כלים אשר שמשו בפולחן בבית המקדש</w:t>
      </w:r>
      <w:r w:rsidRPr="004F0999">
        <w:rPr>
          <w:rFonts w:ascii="David" w:hAnsi="David" w:cs="David" w:hint="cs"/>
          <w:rtl/>
        </w:rPr>
        <w:t xml:space="preserve"> </w:t>
      </w:r>
      <w:r w:rsidRPr="004F0999">
        <w:rPr>
          <w:rFonts w:ascii="David" w:hAnsi="David" w:cs="David"/>
          <w:rtl/>
        </w:rPr>
        <w:t>לשם יציקת נוזלים, לניסוך על המזבח וכו'</w:t>
      </w:r>
      <w:r w:rsidRPr="004F0999">
        <w:rPr>
          <w:rFonts w:ascii="David" w:hAnsi="David" w:cs="David" w:hint="cs"/>
          <w:rtl/>
        </w:rPr>
        <w:t xml:space="preserve"> (על הצלוחית ראו עוד להלן). </w:t>
      </w:r>
    </w:p>
  </w:footnote>
  <w:footnote w:id="14">
    <w:p w14:paraId="766FD241" w14:textId="77777777" w:rsidR="003074AF" w:rsidRPr="004F0999" w:rsidRDefault="003074AF" w:rsidP="003074AF">
      <w:pPr>
        <w:pStyle w:val="a3"/>
        <w:spacing w:after="0"/>
        <w:jc w:val="both"/>
        <w:rPr>
          <w:rFonts w:ascii="David" w:hAnsi="David" w:cs="David"/>
          <w:rtl/>
        </w:rPr>
      </w:pPr>
      <w:r w:rsidRPr="004F0999">
        <w:rPr>
          <w:rStyle w:val="a5"/>
        </w:rPr>
        <w:footnoteRef/>
      </w:r>
      <w:r w:rsidRPr="004F0999">
        <w:rPr>
          <w:rtl/>
        </w:rPr>
        <w:t xml:space="preserve"> </w:t>
      </w:r>
      <w:r w:rsidRPr="004F0999">
        <w:rPr>
          <w:rFonts w:ascii="David" w:hAnsi="David" w:cs="David"/>
          <w:rtl/>
        </w:rPr>
        <w:t xml:space="preserve">ראו בהרחבה אצל משורר, </w:t>
      </w:r>
      <w:r w:rsidRPr="004F0999">
        <w:rPr>
          <w:rFonts w:ascii="David" w:hAnsi="David" w:cs="David" w:hint="cs"/>
          <w:rtl/>
        </w:rPr>
        <w:t>שם</w:t>
      </w:r>
      <w:r w:rsidRPr="004F0999">
        <w:rPr>
          <w:rFonts w:ascii="David" w:hAnsi="David" w:cs="David"/>
          <w:rtl/>
        </w:rPr>
        <w:t>, עמ' 128</w:t>
      </w:r>
      <w:r w:rsidRPr="004F0999">
        <w:rPr>
          <w:rFonts w:ascii="David" w:hAnsi="David" w:cs="David" w:hint="cs"/>
          <w:rtl/>
        </w:rPr>
        <w:t xml:space="preserve"> - 129</w:t>
      </w:r>
      <w:r w:rsidRPr="004F0999">
        <w:rPr>
          <w:rFonts w:ascii="David" w:hAnsi="David" w:cs="David"/>
        </w:rPr>
        <w:t>;</w:t>
      </w:r>
      <w:r w:rsidRPr="004F0999">
        <w:rPr>
          <w:rFonts w:ascii="David" w:hAnsi="David" w:cs="David" w:hint="cs"/>
          <w:rtl/>
        </w:rPr>
        <w:t xml:space="preserve"> עמר, ארבעת המינים, עמ' 7 - 8, 11</w:t>
      </w:r>
      <w:r w:rsidRPr="004F0999">
        <w:rPr>
          <w:rFonts w:ascii="David" w:hAnsi="David" w:cs="David"/>
        </w:rPr>
        <w:t>;</w:t>
      </w:r>
      <w:r w:rsidRPr="004F0999">
        <w:rPr>
          <w:rFonts w:ascii="David" w:hAnsi="David" w:cs="David"/>
          <w:rtl/>
        </w:rPr>
        <w:t xml:space="preserve"> </w:t>
      </w:r>
      <w:r w:rsidRPr="004F0999">
        <w:rPr>
          <w:rFonts w:ascii="David" w:hAnsi="David" w:cs="David" w:hint="cs"/>
          <w:rtl/>
        </w:rPr>
        <w:t>רייס, ארבעת המינים, עמ' 206 - 207</w:t>
      </w:r>
      <w:r w:rsidRPr="004F0999">
        <w:rPr>
          <w:rFonts w:ascii="David" w:hAnsi="David" w:cs="David"/>
        </w:rPr>
        <w:t>;</w:t>
      </w:r>
      <w:r w:rsidRPr="004F0999">
        <w:rPr>
          <w:rFonts w:ascii="David" w:hAnsi="David" w:cs="David" w:hint="cs"/>
          <w:rtl/>
        </w:rPr>
        <w:t xml:space="preserve"> </w:t>
      </w:r>
      <w:r w:rsidRPr="004F0999">
        <w:rPr>
          <w:rFonts w:ascii="David" w:hAnsi="David" w:cs="David"/>
          <w:rtl/>
        </w:rPr>
        <w:t xml:space="preserve">טנדלר, </w:t>
      </w:r>
      <w:r w:rsidRPr="004F0999">
        <w:rPr>
          <w:rFonts w:ascii="David" w:hAnsi="David" w:cs="David" w:hint="cs"/>
          <w:rtl/>
        </w:rPr>
        <w:t>שם</w:t>
      </w:r>
      <w:r w:rsidRPr="004F0999">
        <w:rPr>
          <w:rFonts w:ascii="David" w:hAnsi="David" w:cs="David"/>
          <w:rtl/>
        </w:rPr>
        <w:t xml:space="preserve">, עמ' 293 </w:t>
      </w:r>
      <w:r w:rsidRPr="004F0999">
        <w:rPr>
          <w:rFonts w:ascii="David" w:hAnsi="David" w:cs="David" w:hint="cs"/>
          <w:rtl/>
        </w:rPr>
        <w:t>-</w:t>
      </w:r>
      <w:r w:rsidRPr="004F0999">
        <w:rPr>
          <w:rFonts w:ascii="David" w:hAnsi="David" w:cs="David"/>
          <w:rtl/>
        </w:rPr>
        <w:t xml:space="preserve"> 297 (והספרות המחקרית הנזכרת שם)</w:t>
      </w:r>
      <w:r w:rsidRPr="004F0999">
        <w:rPr>
          <w:rFonts w:ascii="David" w:hAnsi="David" w:cs="David"/>
        </w:rPr>
        <w:t>;</w:t>
      </w:r>
      <w:r w:rsidRPr="004F0999">
        <w:rPr>
          <w:rFonts w:ascii="David" w:hAnsi="David" w:cs="David"/>
          <w:rtl/>
        </w:rPr>
        <w:t xml:space="preserve"> אשל</w:t>
      </w:r>
      <w:r w:rsidRPr="004F0999">
        <w:rPr>
          <w:rFonts w:ascii="David" w:hAnsi="David" w:cs="David" w:hint="cs"/>
          <w:rtl/>
        </w:rPr>
        <w:t xml:space="preserve"> וזיסו</w:t>
      </w:r>
      <w:r w:rsidRPr="004F0999">
        <w:rPr>
          <w:rFonts w:ascii="David" w:hAnsi="David" w:cs="David"/>
          <w:rtl/>
        </w:rPr>
        <w:t xml:space="preserve">, </w:t>
      </w:r>
      <w:r w:rsidRPr="004F0999">
        <w:rPr>
          <w:rFonts w:ascii="David" w:hAnsi="David" w:cs="David" w:hint="cs"/>
          <w:rtl/>
        </w:rPr>
        <w:t>שם</w:t>
      </w:r>
      <w:r w:rsidRPr="004F0999">
        <w:rPr>
          <w:rFonts w:ascii="David" w:hAnsi="David" w:cs="David"/>
          <w:rtl/>
        </w:rPr>
        <w:t xml:space="preserve">, עמ' 113 </w:t>
      </w:r>
      <w:r w:rsidRPr="004F0999">
        <w:rPr>
          <w:rFonts w:ascii="David" w:hAnsi="David" w:cs="David" w:hint="cs"/>
          <w:rtl/>
        </w:rPr>
        <w:t>-</w:t>
      </w:r>
      <w:r w:rsidRPr="004F0999">
        <w:rPr>
          <w:rFonts w:ascii="David" w:hAnsi="David" w:cs="David"/>
          <w:rtl/>
        </w:rPr>
        <w:t xml:space="preserve"> 117</w:t>
      </w:r>
      <w:r w:rsidRPr="004F0999">
        <w:rPr>
          <w:rFonts w:ascii="David" w:hAnsi="David" w:cs="David" w:hint="cs"/>
          <w:rtl/>
        </w:rPr>
        <w:t>,</w:t>
      </w:r>
      <w:r w:rsidRPr="004F0999">
        <w:rPr>
          <w:rFonts w:ascii="David" w:hAnsi="David" w:cs="David"/>
          <w:rtl/>
        </w:rPr>
        <w:t xml:space="preserve"> 120. </w:t>
      </w:r>
    </w:p>
  </w:footnote>
  <w:footnote w:id="15">
    <w:p w14:paraId="3AE1F0D0" w14:textId="77777777" w:rsidR="003074AF" w:rsidRPr="00672310" w:rsidRDefault="003074AF" w:rsidP="003074AF">
      <w:pPr>
        <w:pStyle w:val="a3"/>
        <w:spacing w:after="0"/>
        <w:jc w:val="both"/>
        <w:rPr>
          <w:rFonts w:ascii="David" w:hAnsi="David" w:cs="David"/>
          <w:rtl/>
        </w:rPr>
      </w:pPr>
      <w:r w:rsidRPr="004F0999">
        <w:rPr>
          <w:rStyle w:val="a5"/>
        </w:rPr>
        <w:footnoteRef/>
      </w:r>
      <w:r w:rsidRPr="004F0999">
        <w:rPr>
          <w:rtl/>
        </w:rPr>
        <w:t xml:space="preserve"> </w:t>
      </w:r>
      <w:r w:rsidRPr="004F0999">
        <w:rPr>
          <w:rFonts w:ascii="David" w:hAnsi="David" w:cs="David"/>
          <w:rtl/>
        </w:rPr>
        <w:t xml:space="preserve">הופעת </w:t>
      </w:r>
      <w:r w:rsidRPr="004F0999">
        <w:rPr>
          <w:rFonts w:ascii="David" w:hAnsi="David" w:cs="David" w:hint="cs"/>
          <w:rtl/>
        </w:rPr>
        <w:t>שני ה</w:t>
      </w:r>
      <w:r w:rsidRPr="004F0999">
        <w:rPr>
          <w:rFonts w:ascii="David" w:hAnsi="David" w:cs="David"/>
          <w:rtl/>
        </w:rPr>
        <w:t xml:space="preserve">כלים </w:t>
      </w:r>
      <w:r w:rsidRPr="004F0999">
        <w:rPr>
          <w:rFonts w:ascii="David" w:hAnsi="David" w:cs="David" w:hint="cs"/>
          <w:rtl/>
        </w:rPr>
        <w:t>הל</w:t>
      </w:r>
      <w:r w:rsidRPr="004F0999">
        <w:rPr>
          <w:rFonts w:ascii="David" w:hAnsi="David" w:cs="David"/>
          <w:rtl/>
        </w:rPr>
        <w:t xml:space="preserve">לו על גבי המטבעות </w:t>
      </w:r>
      <w:r w:rsidRPr="004F0999">
        <w:rPr>
          <w:rFonts w:ascii="David" w:hAnsi="David" w:cs="David" w:hint="cs"/>
          <w:rtl/>
        </w:rPr>
        <w:t xml:space="preserve">וניתוחם מבחינה אורגנולוגית נידונו כבר בהרחבה בידי חוקרים רבים:  </w:t>
      </w:r>
      <w:r w:rsidRPr="004F0999">
        <w:rPr>
          <w:rFonts w:ascii="David" w:hAnsi="David" w:cs="David"/>
          <w:rtl/>
        </w:rPr>
        <w:t>באי</w:t>
      </w:r>
      <w:r w:rsidRPr="004F0999">
        <w:rPr>
          <w:rFonts w:ascii="David" w:hAnsi="David" w:cs="David" w:hint="cs"/>
          <w:rtl/>
        </w:rPr>
        <w:t>א</w:t>
      </w:r>
      <w:r w:rsidRPr="004F0999">
        <w:rPr>
          <w:rFonts w:ascii="David" w:hAnsi="David" w:cs="David"/>
          <w:rtl/>
        </w:rPr>
        <w:t xml:space="preserve">ר, </w:t>
      </w:r>
      <w:r>
        <w:rPr>
          <w:rFonts w:ascii="David" w:hAnsi="David" w:cs="David" w:hint="cs"/>
          <w:rtl/>
        </w:rPr>
        <w:t>שם</w:t>
      </w:r>
      <w:r w:rsidRPr="004F0999">
        <w:rPr>
          <w:rFonts w:ascii="David" w:hAnsi="David" w:cs="David" w:hint="cs"/>
          <w:rtl/>
        </w:rPr>
        <w:t xml:space="preserve">, עמ' 29 </w:t>
      </w:r>
      <w:r>
        <w:rPr>
          <w:rFonts w:ascii="David" w:hAnsi="David" w:cs="David" w:hint="cs"/>
          <w:rtl/>
        </w:rPr>
        <w:t>-</w:t>
      </w:r>
      <w:r w:rsidRPr="004F0999">
        <w:rPr>
          <w:rFonts w:ascii="David" w:hAnsi="David" w:cs="David" w:hint="cs"/>
          <w:rtl/>
        </w:rPr>
        <w:t xml:space="preserve"> 31</w:t>
      </w:r>
      <w:r>
        <w:rPr>
          <w:rFonts w:ascii="David" w:hAnsi="David" w:cs="David"/>
        </w:rPr>
        <w:t>;</w:t>
      </w:r>
      <w:r w:rsidRPr="004F0999">
        <w:rPr>
          <w:rFonts w:ascii="David" w:hAnsi="David" w:cs="David" w:hint="cs"/>
          <w:rtl/>
        </w:rPr>
        <w:t xml:space="preserve"> הנ"ל, הנבל, עמ' 130 - 131</w:t>
      </w:r>
      <w:r w:rsidRPr="004F0999">
        <w:rPr>
          <w:rFonts w:ascii="David" w:hAnsi="David" w:cs="David"/>
        </w:rPr>
        <w:t>;</w:t>
      </w:r>
      <w:r w:rsidRPr="004F0999">
        <w:rPr>
          <w:rFonts w:ascii="David" w:hAnsi="David" w:cs="David"/>
          <w:rtl/>
        </w:rPr>
        <w:t xml:space="preserve"> לוורגרן, לירות, עמ' 56</w:t>
      </w:r>
      <w:r w:rsidRPr="004F0999">
        <w:rPr>
          <w:rFonts w:ascii="David" w:hAnsi="David" w:cs="David"/>
        </w:rPr>
        <w:t>;</w:t>
      </w:r>
      <w:r w:rsidRPr="004F0999">
        <w:rPr>
          <w:rFonts w:ascii="David" w:hAnsi="David" w:cs="David" w:hint="cs"/>
          <w:rtl/>
        </w:rPr>
        <w:t xml:space="preserve"> </w:t>
      </w:r>
      <w:r w:rsidRPr="004F0999">
        <w:rPr>
          <w:rFonts w:ascii="David" w:hAnsi="David" w:cs="David"/>
          <w:rtl/>
        </w:rPr>
        <w:t xml:space="preserve">מילדנברג, </w:t>
      </w:r>
      <w:r w:rsidRPr="004F0999">
        <w:rPr>
          <w:rFonts w:ascii="David" w:hAnsi="David" w:cs="David" w:hint="cs"/>
          <w:rtl/>
        </w:rPr>
        <w:t>שם</w:t>
      </w:r>
      <w:r w:rsidRPr="004F0999">
        <w:rPr>
          <w:rFonts w:ascii="David" w:hAnsi="David" w:cs="David"/>
          <w:rtl/>
        </w:rPr>
        <w:t>, עמ' 46</w:t>
      </w:r>
      <w:r w:rsidRPr="004F0999">
        <w:rPr>
          <w:rFonts w:ascii="David" w:hAnsi="David" w:cs="David"/>
        </w:rPr>
        <w:t>;</w:t>
      </w:r>
      <w:r w:rsidRPr="004F0999">
        <w:rPr>
          <w:rFonts w:ascii="David" w:hAnsi="David" w:cs="David"/>
          <w:rtl/>
        </w:rPr>
        <w:t xml:space="preserve"> משורר, </w:t>
      </w:r>
      <w:r w:rsidRPr="004F0999">
        <w:rPr>
          <w:rFonts w:ascii="David" w:hAnsi="David" w:cs="David" w:hint="cs"/>
          <w:rtl/>
        </w:rPr>
        <w:t>שם</w:t>
      </w:r>
      <w:r w:rsidRPr="004F0999">
        <w:rPr>
          <w:rFonts w:ascii="David" w:hAnsi="David" w:cs="David"/>
          <w:rtl/>
        </w:rPr>
        <w:t xml:space="preserve">, עמ' 130 </w:t>
      </w:r>
      <w:r w:rsidRPr="004F0999">
        <w:rPr>
          <w:rFonts w:ascii="David" w:hAnsi="David" w:cs="David" w:hint="cs"/>
          <w:rtl/>
        </w:rPr>
        <w:t>-</w:t>
      </w:r>
      <w:r w:rsidRPr="004F0999">
        <w:rPr>
          <w:rFonts w:ascii="David" w:hAnsi="David" w:cs="David"/>
          <w:rtl/>
        </w:rPr>
        <w:t xml:space="preserve"> 131</w:t>
      </w:r>
      <w:r w:rsidRPr="004F0999">
        <w:rPr>
          <w:rFonts w:ascii="David" w:hAnsi="David" w:cs="David"/>
        </w:rPr>
        <w:t>;</w:t>
      </w:r>
      <w:r w:rsidRPr="004F0999">
        <w:rPr>
          <w:rFonts w:ascii="David" w:hAnsi="David" w:cs="David"/>
          <w:rtl/>
        </w:rPr>
        <w:t xml:space="preserve"> </w:t>
      </w:r>
      <w:r w:rsidRPr="004F0999">
        <w:rPr>
          <w:rFonts w:ascii="David" w:hAnsi="David" w:cs="David" w:hint="cs"/>
          <w:rtl/>
        </w:rPr>
        <w:t>פיאמנטה, מטבעות, עמ' 170 - 171</w:t>
      </w:r>
      <w:r w:rsidRPr="004F0999">
        <w:rPr>
          <w:rFonts w:ascii="David" w:hAnsi="David" w:cs="David"/>
        </w:rPr>
        <w:t>;</w:t>
      </w:r>
      <w:r w:rsidRPr="004F0999">
        <w:rPr>
          <w:rFonts w:ascii="David" w:hAnsi="David" w:cs="David" w:hint="cs"/>
          <w:rtl/>
        </w:rPr>
        <w:t xml:space="preserve"> </w:t>
      </w:r>
      <w:r w:rsidRPr="004F0999">
        <w:rPr>
          <w:rFonts w:ascii="David" w:hAnsi="David" w:cs="David"/>
          <w:rtl/>
        </w:rPr>
        <w:t xml:space="preserve">טנדלר, </w:t>
      </w:r>
      <w:r w:rsidRPr="004F0999">
        <w:rPr>
          <w:rFonts w:ascii="David" w:hAnsi="David" w:cs="David" w:hint="cs"/>
          <w:rtl/>
        </w:rPr>
        <w:t>שם</w:t>
      </w:r>
      <w:r w:rsidRPr="004F0999">
        <w:rPr>
          <w:rFonts w:ascii="David" w:hAnsi="David" w:cs="David"/>
          <w:rtl/>
        </w:rPr>
        <w:t>, עמ' 297</w:t>
      </w:r>
      <w:r w:rsidRPr="004F0999">
        <w:rPr>
          <w:rFonts w:ascii="David" w:hAnsi="David" w:cs="David"/>
        </w:rPr>
        <w:t>;</w:t>
      </w:r>
      <w:r w:rsidRPr="004F0999">
        <w:rPr>
          <w:rFonts w:ascii="David" w:hAnsi="David" w:cs="David"/>
          <w:rtl/>
        </w:rPr>
        <w:t xml:space="preserve"> אשל</w:t>
      </w:r>
      <w:r w:rsidRPr="004F0999">
        <w:rPr>
          <w:rFonts w:ascii="David" w:hAnsi="David" w:cs="David" w:hint="cs"/>
          <w:rtl/>
        </w:rPr>
        <w:t xml:space="preserve"> וזיסו</w:t>
      </w:r>
      <w:r w:rsidRPr="004F0999">
        <w:rPr>
          <w:rFonts w:ascii="David" w:hAnsi="David" w:cs="David"/>
          <w:rtl/>
        </w:rPr>
        <w:t>,</w:t>
      </w:r>
      <w:r w:rsidRPr="004F0999">
        <w:rPr>
          <w:rFonts w:ascii="David" w:hAnsi="David" w:cs="David" w:hint="cs"/>
          <w:rtl/>
        </w:rPr>
        <w:t xml:space="preserve"> שם,</w:t>
      </w:r>
      <w:r w:rsidRPr="004F0999">
        <w:rPr>
          <w:rFonts w:ascii="David" w:hAnsi="David" w:cs="David"/>
          <w:rtl/>
        </w:rPr>
        <w:t xml:space="preserve"> עמ' 113</w:t>
      </w:r>
      <w:r w:rsidRPr="004F0999">
        <w:rPr>
          <w:rFonts w:ascii="David" w:hAnsi="David" w:cs="David" w:hint="cs"/>
          <w:rtl/>
        </w:rPr>
        <w:t>.</w:t>
      </w:r>
      <w:r w:rsidRPr="004F0999">
        <w:rPr>
          <w:rFonts w:ascii="David" w:hAnsi="David" w:cs="David"/>
          <w:rtl/>
        </w:rPr>
        <w:t xml:space="preserve"> </w:t>
      </w:r>
    </w:p>
  </w:footnote>
  <w:footnote w:id="16">
    <w:p w14:paraId="08E0364E" w14:textId="77777777" w:rsidR="003074AF" w:rsidRPr="004F0999" w:rsidRDefault="003074AF" w:rsidP="003074AF">
      <w:pPr>
        <w:spacing w:after="0"/>
        <w:jc w:val="both"/>
        <w:rPr>
          <w:rFonts w:cs="David"/>
          <w:sz w:val="20"/>
          <w:szCs w:val="20"/>
          <w:rtl/>
        </w:rPr>
      </w:pPr>
      <w:r w:rsidRPr="004F0999">
        <w:rPr>
          <w:rStyle w:val="a5"/>
        </w:rPr>
        <w:footnoteRef/>
      </w:r>
      <w:r w:rsidRPr="004F0999">
        <w:rPr>
          <w:rtl/>
        </w:rPr>
        <w:t xml:space="preserve"> </w:t>
      </w:r>
      <w:r w:rsidRPr="004F0999">
        <w:rPr>
          <w:rFonts w:cs="David" w:hint="cs"/>
          <w:sz w:val="20"/>
          <w:szCs w:val="20"/>
          <w:rtl/>
        </w:rPr>
        <w:t>קינדלר, מטבעות, עמ' 163</w:t>
      </w:r>
      <w:r w:rsidRPr="004F0999">
        <w:rPr>
          <w:rFonts w:cs="David"/>
          <w:sz w:val="20"/>
          <w:szCs w:val="20"/>
        </w:rPr>
        <w:t>;</w:t>
      </w:r>
      <w:r w:rsidRPr="004F0999">
        <w:rPr>
          <w:rFonts w:cs="David" w:hint="cs"/>
          <w:sz w:val="20"/>
          <w:szCs w:val="20"/>
          <w:rtl/>
        </w:rPr>
        <w:t xml:space="preserve"> באיאר, הממצאים, עמ' 25</w:t>
      </w:r>
      <w:r w:rsidRPr="004F0999">
        <w:rPr>
          <w:rFonts w:cs="David"/>
          <w:sz w:val="20"/>
          <w:szCs w:val="20"/>
        </w:rPr>
        <w:t>;</w:t>
      </w:r>
      <w:r w:rsidRPr="004F0999">
        <w:rPr>
          <w:rFonts w:cs="David" w:hint="cs"/>
          <w:sz w:val="20"/>
          <w:szCs w:val="20"/>
          <w:rtl/>
        </w:rPr>
        <w:t xml:space="preserve"> מילדנברג, שם, שם</w:t>
      </w:r>
      <w:r w:rsidRPr="004F0999">
        <w:rPr>
          <w:rFonts w:cs="David"/>
          <w:sz w:val="20"/>
          <w:szCs w:val="20"/>
        </w:rPr>
        <w:t>;</w:t>
      </w:r>
      <w:r w:rsidRPr="004F0999">
        <w:rPr>
          <w:rFonts w:cs="David" w:hint="cs"/>
          <w:sz w:val="20"/>
          <w:szCs w:val="20"/>
          <w:rtl/>
        </w:rPr>
        <w:t xml:space="preserve"> גודבלאט, נשיא, עמ' 127</w:t>
      </w:r>
      <w:r w:rsidRPr="004F0999">
        <w:rPr>
          <w:rFonts w:cs="David"/>
          <w:sz w:val="20"/>
          <w:szCs w:val="20"/>
        </w:rPr>
        <w:t>;</w:t>
      </w:r>
      <w:r w:rsidRPr="004F0999">
        <w:rPr>
          <w:rFonts w:cs="David" w:hint="cs"/>
          <w:sz w:val="20"/>
          <w:szCs w:val="20"/>
          <w:rtl/>
        </w:rPr>
        <w:t xml:space="preserve"> צפריר, שם, שם</w:t>
      </w:r>
      <w:r w:rsidRPr="004F0999">
        <w:rPr>
          <w:rFonts w:cs="David"/>
          <w:sz w:val="20"/>
          <w:szCs w:val="20"/>
        </w:rPr>
        <w:t>;</w:t>
      </w:r>
      <w:r w:rsidRPr="004F0999">
        <w:rPr>
          <w:rFonts w:cs="David" w:hint="cs"/>
          <w:sz w:val="20"/>
          <w:szCs w:val="20"/>
          <w:rtl/>
        </w:rPr>
        <w:t xml:space="preserve"> פטריך, גפן הזהב, עמ' 10</w:t>
      </w:r>
      <w:r w:rsidRPr="004F0999">
        <w:rPr>
          <w:rFonts w:cs="David"/>
          <w:sz w:val="20"/>
          <w:szCs w:val="20"/>
        </w:rPr>
        <w:t>;</w:t>
      </w:r>
      <w:r w:rsidRPr="004F0999">
        <w:rPr>
          <w:rFonts w:cs="David" w:hint="cs"/>
          <w:sz w:val="20"/>
          <w:szCs w:val="20"/>
          <w:rtl/>
        </w:rPr>
        <w:t xml:space="preserve"> משורר, שם, עמ' 130</w:t>
      </w:r>
      <w:r w:rsidRPr="004F0999">
        <w:rPr>
          <w:rFonts w:cs="David"/>
          <w:sz w:val="20"/>
          <w:szCs w:val="20"/>
        </w:rPr>
        <w:t>;</w:t>
      </w:r>
      <w:r w:rsidRPr="004F0999">
        <w:rPr>
          <w:rFonts w:cs="David" w:hint="cs"/>
          <w:sz w:val="20"/>
          <w:szCs w:val="20"/>
          <w:rtl/>
        </w:rPr>
        <w:t xml:space="preserve"> פרידהיים, לשאלת ההתמודדות, עמ' 60</w:t>
      </w:r>
      <w:r w:rsidRPr="004F0999">
        <w:rPr>
          <w:rFonts w:cs="David"/>
          <w:sz w:val="20"/>
          <w:szCs w:val="20"/>
        </w:rPr>
        <w:t>;</w:t>
      </w:r>
      <w:r w:rsidRPr="004F0999">
        <w:rPr>
          <w:rFonts w:cs="David" w:hint="cs"/>
          <w:sz w:val="20"/>
          <w:szCs w:val="20"/>
          <w:rtl/>
        </w:rPr>
        <w:t xml:space="preserve"> וינר, תרבות המוזיקה, עמ' 49</w:t>
      </w:r>
      <w:r w:rsidRPr="004F0999">
        <w:rPr>
          <w:rFonts w:cs="David"/>
          <w:sz w:val="20"/>
          <w:szCs w:val="20"/>
        </w:rPr>
        <w:t>;</w:t>
      </w:r>
      <w:r w:rsidRPr="004F0999">
        <w:rPr>
          <w:rFonts w:cs="David" w:hint="cs"/>
          <w:sz w:val="20"/>
          <w:szCs w:val="20"/>
          <w:rtl/>
        </w:rPr>
        <w:t xml:space="preserve"> עמר, שולחן לחם הפנים, עמ' 93</w:t>
      </w:r>
      <w:r w:rsidRPr="004F0999">
        <w:rPr>
          <w:rFonts w:cs="David"/>
          <w:sz w:val="20"/>
          <w:szCs w:val="20"/>
        </w:rPr>
        <w:t>;</w:t>
      </w:r>
      <w:r w:rsidRPr="004F0999">
        <w:rPr>
          <w:rFonts w:cs="David" w:hint="cs"/>
          <w:sz w:val="20"/>
          <w:szCs w:val="20"/>
          <w:rtl/>
        </w:rPr>
        <w:t xml:space="preserve"> ליק, איקונוגרפיה, עמ' 154, 160. </w:t>
      </w:r>
    </w:p>
  </w:footnote>
  <w:footnote w:id="17">
    <w:p w14:paraId="1C90008A" w14:textId="77777777" w:rsidR="003074AF" w:rsidRPr="004F0999" w:rsidRDefault="003074AF" w:rsidP="003074AF">
      <w:pPr>
        <w:pStyle w:val="a3"/>
        <w:spacing w:after="0"/>
        <w:jc w:val="both"/>
      </w:pPr>
      <w:r w:rsidRPr="004F0999">
        <w:rPr>
          <w:rStyle w:val="a5"/>
        </w:rPr>
        <w:footnoteRef/>
      </w:r>
      <w:r w:rsidRPr="004F0999">
        <w:rPr>
          <w:rtl/>
        </w:rPr>
        <w:t xml:space="preserve"> </w:t>
      </w:r>
      <w:r w:rsidRPr="004F0999">
        <w:rPr>
          <w:rFonts w:cs="David" w:hint="cs"/>
          <w:rtl/>
        </w:rPr>
        <w:t xml:space="preserve">בר"ג, </w:t>
      </w:r>
      <w:r>
        <w:rPr>
          <w:rFonts w:cs="David" w:hint="cs"/>
          <w:rtl/>
        </w:rPr>
        <w:t>שם</w:t>
      </w:r>
      <w:r w:rsidRPr="004F0999">
        <w:rPr>
          <w:rFonts w:cs="David" w:hint="cs"/>
          <w:rtl/>
        </w:rPr>
        <w:t>, עמ' 25</w:t>
      </w:r>
      <w:r w:rsidRPr="004F0999">
        <w:rPr>
          <w:rFonts w:cs="David"/>
        </w:rPr>
        <w:t>;</w:t>
      </w:r>
      <w:r w:rsidRPr="004F0999">
        <w:rPr>
          <w:rFonts w:cs="David" w:hint="cs"/>
          <w:rtl/>
        </w:rPr>
        <w:t xml:space="preserve"> </w:t>
      </w:r>
      <w:r w:rsidRPr="004F0999">
        <w:rPr>
          <w:rFonts w:ascii="David" w:hAnsi="David" w:cs="David"/>
          <w:rtl/>
        </w:rPr>
        <w:t xml:space="preserve">טנדלר, </w:t>
      </w:r>
      <w:r>
        <w:rPr>
          <w:rFonts w:ascii="David" w:hAnsi="David" w:cs="David" w:hint="cs"/>
          <w:rtl/>
        </w:rPr>
        <w:t>שם</w:t>
      </w:r>
      <w:r w:rsidRPr="004F0999">
        <w:rPr>
          <w:rFonts w:ascii="David" w:hAnsi="David" w:cs="David"/>
          <w:rtl/>
        </w:rPr>
        <w:t>, עמ' 287, 314.</w:t>
      </w:r>
      <w:r w:rsidRPr="004F0999">
        <w:rPr>
          <w:rFonts w:hint="cs"/>
          <w:rtl/>
        </w:rPr>
        <w:t xml:space="preserve"> </w:t>
      </w:r>
    </w:p>
  </w:footnote>
  <w:footnote w:id="18">
    <w:p w14:paraId="5B717C6E" w14:textId="590C763B" w:rsidR="003074AF" w:rsidRPr="00625806" w:rsidRDefault="003074AF" w:rsidP="003074AF">
      <w:pPr>
        <w:pStyle w:val="a3"/>
        <w:spacing w:after="0"/>
        <w:jc w:val="both"/>
        <w:rPr>
          <w:rFonts w:cs="David"/>
          <w:spacing w:val="-2"/>
        </w:rPr>
      </w:pPr>
      <w:r>
        <w:rPr>
          <w:rStyle w:val="a5"/>
        </w:rPr>
        <w:footnoteRef/>
      </w:r>
      <w:r>
        <w:rPr>
          <w:rtl/>
        </w:rPr>
        <w:t xml:space="preserve"> </w:t>
      </w:r>
      <w:r w:rsidRPr="00EB78CA">
        <w:rPr>
          <w:rFonts w:cs="David" w:hint="cs"/>
          <w:rtl/>
        </w:rPr>
        <w:t>זאת בעיקר בשל דגמי ארבעת המינים המופיעים על המטבעות</w:t>
      </w:r>
      <w:r>
        <w:rPr>
          <w:rFonts w:cs="David" w:hint="cs"/>
          <w:rtl/>
        </w:rPr>
        <w:t xml:space="preserve"> (</w:t>
      </w:r>
      <w:r w:rsidRPr="004F0999">
        <w:rPr>
          <w:rFonts w:ascii="David" w:hAnsi="David" w:cs="David"/>
          <w:rtl/>
        </w:rPr>
        <w:t xml:space="preserve">רומנוף, </w:t>
      </w:r>
      <w:r>
        <w:rPr>
          <w:rFonts w:ascii="David" w:hAnsi="David" w:cs="David" w:hint="cs"/>
          <w:rtl/>
        </w:rPr>
        <w:t>שם</w:t>
      </w:r>
      <w:r w:rsidRPr="004F0999">
        <w:rPr>
          <w:rFonts w:ascii="David" w:hAnsi="David" w:cs="David"/>
          <w:rtl/>
        </w:rPr>
        <w:t>, עמ' 61</w:t>
      </w:r>
      <w:r w:rsidRPr="004F0999">
        <w:rPr>
          <w:rFonts w:ascii="David" w:hAnsi="David" w:cs="David"/>
        </w:rPr>
        <w:t>;</w:t>
      </w:r>
      <w:r w:rsidRPr="004F0999">
        <w:rPr>
          <w:rFonts w:ascii="David" w:hAnsi="David" w:cs="David"/>
          <w:rtl/>
        </w:rPr>
        <w:t xml:space="preserve"> רייפנברג, מטבעות, עמ' 32</w:t>
      </w:r>
      <w:r w:rsidRPr="004F0999">
        <w:rPr>
          <w:rFonts w:ascii="David" w:hAnsi="David" w:cs="David"/>
        </w:rPr>
        <w:t>;</w:t>
      </w:r>
      <w:r w:rsidRPr="004F0999">
        <w:rPr>
          <w:rFonts w:ascii="David" w:hAnsi="David" w:cs="David"/>
          <w:rtl/>
        </w:rPr>
        <w:t xml:space="preserve"> משורר, </w:t>
      </w:r>
      <w:r>
        <w:rPr>
          <w:rFonts w:ascii="David" w:hAnsi="David" w:cs="David" w:hint="cs"/>
          <w:rtl/>
        </w:rPr>
        <w:t>שם</w:t>
      </w:r>
      <w:r w:rsidRPr="004F0999">
        <w:rPr>
          <w:rFonts w:ascii="David" w:hAnsi="David" w:cs="David" w:hint="cs"/>
          <w:rtl/>
        </w:rPr>
        <w:t xml:space="preserve">, </w:t>
      </w:r>
      <w:r w:rsidRPr="004F0999">
        <w:rPr>
          <w:rFonts w:ascii="David" w:hAnsi="David" w:cs="David"/>
          <w:rtl/>
        </w:rPr>
        <w:t>עמ' 128</w:t>
      </w:r>
      <w:r w:rsidRPr="004F0999">
        <w:rPr>
          <w:rFonts w:ascii="David" w:hAnsi="David" w:cs="David"/>
        </w:rPr>
        <w:t>;</w:t>
      </w:r>
      <w:r w:rsidRPr="004F0999">
        <w:rPr>
          <w:rFonts w:ascii="David" w:hAnsi="David" w:cs="David"/>
          <w:rtl/>
        </w:rPr>
        <w:t xml:space="preserve"> סמואלס, רינרסון ומשורר, </w:t>
      </w:r>
      <w:r>
        <w:rPr>
          <w:rFonts w:cs="David" w:hint="cs"/>
          <w:rtl/>
        </w:rPr>
        <w:t>שם</w:t>
      </w:r>
      <w:r w:rsidRPr="004F0999">
        <w:rPr>
          <w:rFonts w:cs="David" w:hint="cs"/>
          <w:rtl/>
        </w:rPr>
        <w:t xml:space="preserve">, </w:t>
      </w:r>
      <w:r w:rsidRPr="004F0999">
        <w:rPr>
          <w:rFonts w:ascii="David" w:hAnsi="David" w:cs="David"/>
          <w:rtl/>
        </w:rPr>
        <w:t xml:space="preserve">עמ' 91 </w:t>
      </w:r>
      <w:r w:rsidRPr="004F0999">
        <w:rPr>
          <w:rFonts w:ascii="David" w:hAnsi="David" w:cs="David" w:hint="cs"/>
          <w:rtl/>
        </w:rPr>
        <w:t>-</w:t>
      </w:r>
      <w:r w:rsidRPr="004F0999">
        <w:rPr>
          <w:rFonts w:ascii="David" w:hAnsi="David" w:cs="David"/>
          <w:rtl/>
        </w:rPr>
        <w:t xml:space="preserve"> 92</w:t>
      </w:r>
      <w:r w:rsidRPr="004F0999">
        <w:rPr>
          <w:rFonts w:ascii="David" w:hAnsi="David" w:cs="David"/>
        </w:rPr>
        <w:t>;</w:t>
      </w:r>
      <w:r w:rsidRPr="004F0999">
        <w:rPr>
          <w:rFonts w:ascii="David" w:hAnsi="David" w:cs="David"/>
          <w:rtl/>
        </w:rPr>
        <w:t xml:space="preserve"> רייס, </w:t>
      </w:r>
      <w:r>
        <w:rPr>
          <w:rFonts w:ascii="David" w:hAnsi="David" w:cs="David" w:hint="cs"/>
          <w:rtl/>
        </w:rPr>
        <w:t>שם</w:t>
      </w:r>
      <w:r w:rsidRPr="004F0999">
        <w:rPr>
          <w:rFonts w:ascii="David" w:hAnsi="David" w:cs="David"/>
          <w:rtl/>
        </w:rPr>
        <w:t xml:space="preserve">, </w:t>
      </w:r>
      <w:r>
        <w:rPr>
          <w:rFonts w:ascii="David" w:hAnsi="David" w:cs="David" w:hint="cs"/>
          <w:rtl/>
        </w:rPr>
        <w:t>שם</w:t>
      </w:r>
      <w:r w:rsidRPr="004F0999">
        <w:rPr>
          <w:rFonts w:ascii="David" w:hAnsi="David" w:cs="David"/>
        </w:rPr>
        <w:t>;</w:t>
      </w:r>
      <w:r w:rsidRPr="004F0999">
        <w:rPr>
          <w:rFonts w:ascii="David" w:hAnsi="David" w:cs="David"/>
          <w:rtl/>
        </w:rPr>
        <w:t xml:space="preserve"> </w:t>
      </w:r>
      <w:r w:rsidRPr="004F0999">
        <w:rPr>
          <w:rFonts w:ascii="David" w:hAnsi="David" w:cs="David" w:hint="cs"/>
          <w:rtl/>
        </w:rPr>
        <w:t>טנדלר, שם, עמ' 293 - 297</w:t>
      </w:r>
      <w:r w:rsidRPr="004F0999">
        <w:rPr>
          <w:rFonts w:ascii="David" w:hAnsi="David" w:cs="David"/>
        </w:rPr>
        <w:t>;</w:t>
      </w:r>
      <w:r w:rsidRPr="004F0999">
        <w:rPr>
          <w:rFonts w:ascii="David" w:hAnsi="David" w:cs="David" w:hint="cs"/>
          <w:rtl/>
        </w:rPr>
        <w:t xml:space="preserve"> אשל וזיסו</w:t>
      </w:r>
      <w:r w:rsidRPr="004F0999">
        <w:rPr>
          <w:rFonts w:ascii="David" w:hAnsi="David" w:cs="David"/>
          <w:rtl/>
        </w:rPr>
        <w:t xml:space="preserve">, </w:t>
      </w:r>
      <w:r>
        <w:rPr>
          <w:rFonts w:ascii="David" w:hAnsi="David" w:cs="David" w:hint="cs"/>
          <w:rtl/>
        </w:rPr>
        <w:t>העדות הארכיאולוגית</w:t>
      </w:r>
      <w:r w:rsidRPr="004F0999">
        <w:rPr>
          <w:rFonts w:ascii="David" w:hAnsi="David" w:cs="David"/>
          <w:rtl/>
        </w:rPr>
        <w:t>, עמ' 120</w:t>
      </w:r>
      <w:r>
        <w:rPr>
          <w:rFonts w:ascii="David" w:hAnsi="David" w:cs="David" w:hint="cs"/>
          <w:rtl/>
        </w:rPr>
        <w:t>)</w:t>
      </w:r>
      <w:r w:rsidRPr="004F0999">
        <w:rPr>
          <w:rFonts w:ascii="David" w:hAnsi="David" w:cs="David"/>
          <w:rtl/>
        </w:rPr>
        <w:t>.</w:t>
      </w:r>
      <w:r w:rsidRPr="00EB78CA">
        <w:rPr>
          <w:rFonts w:cs="David" w:hint="cs"/>
          <w:rtl/>
        </w:rPr>
        <w:t xml:space="preserve"> כמו כן, יתכן שתיאור הצלוחית המופיע על המטבעות, קשור לטקס ניסוך המים המתואר במשנה סוכה ד</w:t>
      </w:r>
      <w:r w:rsidR="005A08A7">
        <w:rPr>
          <w:rFonts w:cs="David" w:hint="cs"/>
          <w:rtl/>
        </w:rPr>
        <w:t xml:space="preserve">, </w:t>
      </w:r>
      <w:r w:rsidRPr="00EB78CA">
        <w:rPr>
          <w:rFonts w:cs="David" w:hint="cs"/>
          <w:rtl/>
        </w:rPr>
        <w:t>ט</w:t>
      </w:r>
      <w:r>
        <w:rPr>
          <w:rFonts w:cs="David" w:hint="cs"/>
          <w:rtl/>
        </w:rPr>
        <w:t xml:space="preserve"> (</w:t>
      </w:r>
      <w:r w:rsidRPr="00C37603">
        <w:rPr>
          <w:rFonts w:ascii="David" w:hAnsi="David" w:cs="David"/>
          <w:rtl/>
        </w:rPr>
        <w:t xml:space="preserve">רומנוף, </w:t>
      </w:r>
      <w:r>
        <w:rPr>
          <w:rFonts w:ascii="David" w:hAnsi="David" w:cs="David" w:hint="cs"/>
          <w:rtl/>
        </w:rPr>
        <w:t>סמלים יהודיים, עמ' 61</w:t>
      </w:r>
      <w:r w:rsidRPr="00C37603">
        <w:rPr>
          <w:rFonts w:ascii="David" w:hAnsi="David" w:cs="David"/>
        </w:rPr>
        <w:t>;</w:t>
      </w:r>
      <w:r w:rsidRPr="00C37603">
        <w:rPr>
          <w:rFonts w:hint="cs"/>
          <w:rtl/>
        </w:rPr>
        <w:t xml:space="preserve"> </w:t>
      </w:r>
      <w:r w:rsidRPr="00C37603">
        <w:rPr>
          <w:rFonts w:ascii="David" w:hAnsi="David" w:cs="David" w:hint="cs"/>
          <w:rtl/>
        </w:rPr>
        <w:t xml:space="preserve">רייפנברג, </w:t>
      </w:r>
      <w:r>
        <w:rPr>
          <w:rFonts w:ascii="David" w:hAnsi="David" w:cs="David" w:hint="cs"/>
          <w:rtl/>
        </w:rPr>
        <w:t>מטבעות</w:t>
      </w:r>
      <w:r w:rsidRPr="00C37603">
        <w:rPr>
          <w:rFonts w:ascii="David" w:hAnsi="David" w:cs="David" w:hint="cs"/>
          <w:rtl/>
        </w:rPr>
        <w:t xml:space="preserve">, </w:t>
      </w:r>
      <w:r>
        <w:rPr>
          <w:rFonts w:ascii="David" w:hAnsi="David" w:cs="David" w:hint="cs"/>
          <w:rtl/>
        </w:rPr>
        <w:t>עמ' 32</w:t>
      </w:r>
      <w:r w:rsidRPr="00C37603">
        <w:rPr>
          <w:rFonts w:ascii="David" w:hAnsi="David" w:cs="David"/>
        </w:rPr>
        <w:t>;</w:t>
      </w:r>
      <w:r w:rsidRPr="00C37603">
        <w:rPr>
          <w:rFonts w:ascii="David" w:hAnsi="David" w:cs="David" w:hint="cs"/>
          <w:rtl/>
        </w:rPr>
        <w:t xml:space="preserve"> משורר, </w:t>
      </w:r>
      <w:r>
        <w:rPr>
          <w:rFonts w:ascii="David" w:hAnsi="David" w:cs="David" w:hint="cs"/>
          <w:rtl/>
        </w:rPr>
        <w:t>מטבעות היהודים</w:t>
      </w:r>
      <w:r w:rsidRPr="00C37603">
        <w:rPr>
          <w:rFonts w:ascii="David" w:hAnsi="David" w:cs="David" w:hint="cs"/>
          <w:rtl/>
        </w:rPr>
        <w:t>, עמ' 129</w:t>
      </w:r>
      <w:r w:rsidRPr="00C37603">
        <w:rPr>
          <w:rFonts w:ascii="David" w:hAnsi="David" w:cs="David"/>
        </w:rPr>
        <w:t>;</w:t>
      </w:r>
      <w:r w:rsidRPr="00C37603">
        <w:rPr>
          <w:rFonts w:ascii="David" w:hAnsi="David" w:cs="David" w:hint="cs"/>
          <w:rtl/>
        </w:rPr>
        <w:t xml:space="preserve"> אדלר, טקס, עמ' 131 - 135</w:t>
      </w:r>
      <w:r w:rsidRPr="00C37603">
        <w:rPr>
          <w:rFonts w:ascii="David" w:hAnsi="David" w:cs="David"/>
        </w:rPr>
        <w:t>;</w:t>
      </w:r>
      <w:r w:rsidRPr="00C37603">
        <w:rPr>
          <w:rFonts w:ascii="David" w:hAnsi="David" w:cs="David" w:hint="cs"/>
          <w:rtl/>
        </w:rPr>
        <w:t xml:space="preserve"> טנדלר, </w:t>
      </w:r>
      <w:r>
        <w:rPr>
          <w:rFonts w:ascii="David" w:hAnsi="David" w:cs="David" w:hint="cs"/>
          <w:rtl/>
        </w:rPr>
        <w:t>הדגמים</w:t>
      </w:r>
      <w:r w:rsidRPr="00C37603">
        <w:rPr>
          <w:rFonts w:ascii="David" w:hAnsi="David" w:cs="David" w:hint="cs"/>
          <w:rtl/>
        </w:rPr>
        <w:t>, עמ' 300</w:t>
      </w:r>
      <w:r w:rsidRPr="00C37603">
        <w:rPr>
          <w:rFonts w:ascii="David" w:hAnsi="David" w:cs="David"/>
        </w:rPr>
        <w:t>;</w:t>
      </w:r>
      <w:r w:rsidRPr="00C37603">
        <w:rPr>
          <w:rFonts w:ascii="David" w:hAnsi="David" w:cs="David" w:hint="cs"/>
          <w:rtl/>
        </w:rPr>
        <w:t xml:space="preserve"> עמר, ארבעת המינים, עמ' 11</w:t>
      </w:r>
      <w:r w:rsidRPr="00C37603">
        <w:rPr>
          <w:rFonts w:ascii="David" w:hAnsi="David" w:cs="David"/>
        </w:rPr>
        <w:t>;</w:t>
      </w:r>
      <w:r w:rsidRPr="00C37603">
        <w:rPr>
          <w:rFonts w:ascii="David" w:hAnsi="David" w:cs="David" w:hint="cs"/>
          <w:rtl/>
        </w:rPr>
        <w:t xml:space="preserve"> ליק, איקונוגרפיה, עמ' 154 </w:t>
      </w:r>
      <w:r>
        <w:rPr>
          <w:rFonts w:ascii="David" w:hAnsi="David" w:cs="David" w:hint="cs"/>
          <w:rtl/>
        </w:rPr>
        <w:t>-</w:t>
      </w:r>
      <w:r w:rsidRPr="00C37603">
        <w:rPr>
          <w:rFonts w:ascii="David" w:hAnsi="David" w:cs="David" w:hint="cs"/>
          <w:rtl/>
        </w:rPr>
        <w:t xml:space="preserve"> 155</w:t>
      </w:r>
      <w:r>
        <w:rPr>
          <w:rFonts w:ascii="David" w:hAnsi="David" w:cs="David" w:hint="cs"/>
          <w:rtl/>
        </w:rPr>
        <w:t xml:space="preserve">). </w:t>
      </w:r>
      <w:r w:rsidRPr="00EB78CA">
        <w:rPr>
          <w:rFonts w:cs="David" w:hint="cs"/>
          <w:rtl/>
        </w:rPr>
        <w:t>בהמשך לכך, אפשר שהופעת כלי הנגינה על המטבעות קשורה אף היא לטקסים שונים המתוארים במשנה שנערכו במקדש בחג הסוכות. לפי טענה זו</w:t>
      </w:r>
      <w:r>
        <w:rPr>
          <w:rFonts w:cs="David" w:hint="cs"/>
          <w:rtl/>
        </w:rPr>
        <w:t>,</w:t>
      </w:r>
      <w:r w:rsidRPr="00EB78CA">
        <w:rPr>
          <w:rFonts w:cs="David" w:hint="cs"/>
          <w:rtl/>
        </w:rPr>
        <w:t xml:space="preserve"> יתכן שקיים קשר בין הכינור והנבל המופיעים על המטבעות </w:t>
      </w:r>
      <w:r>
        <w:rPr>
          <w:rFonts w:cs="David" w:hint="cs"/>
          <w:rtl/>
        </w:rPr>
        <w:t>ל</w:t>
      </w:r>
      <w:r w:rsidRPr="00EB78CA">
        <w:rPr>
          <w:rFonts w:cs="David" w:hint="cs"/>
          <w:rtl/>
        </w:rPr>
        <w:t>בין האמור במשנה סוכה ה</w:t>
      </w:r>
      <w:r w:rsidR="00030DD4">
        <w:rPr>
          <w:rFonts w:cs="David" w:hint="cs"/>
          <w:rtl/>
        </w:rPr>
        <w:t xml:space="preserve">, </w:t>
      </w:r>
      <w:r w:rsidRPr="00EB78CA">
        <w:rPr>
          <w:rFonts w:cs="David" w:hint="cs"/>
          <w:rtl/>
        </w:rPr>
        <w:t>ד אודות השימוש שנעשה בכלים אלו בשמחת בית השואבה</w:t>
      </w:r>
      <w:r>
        <w:rPr>
          <w:rFonts w:cs="David" w:hint="cs"/>
          <w:spacing w:val="-2"/>
          <w:rtl/>
        </w:rPr>
        <w:t xml:space="preserve"> (</w:t>
      </w:r>
      <w:r w:rsidRPr="00C37603">
        <w:rPr>
          <w:rFonts w:ascii="David" w:hAnsi="David" w:cs="David"/>
          <w:rtl/>
        </w:rPr>
        <w:t>רייפנברג, שם, שם</w:t>
      </w:r>
      <w:r w:rsidRPr="00C37603">
        <w:rPr>
          <w:rFonts w:ascii="David" w:hAnsi="David" w:cs="David"/>
        </w:rPr>
        <w:t>;</w:t>
      </w:r>
      <w:r w:rsidRPr="00C37603">
        <w:rPr>
          <w:rFonts w:ascii="David" w:hAnsi="David" w:cs="David"/>
          <w:rtl/>
        </w:rPr>
        <w:t xml:space="preserve"> סמואלס, רינרסון ומשורר, </w:t>
      </w:r>
      <w:r>
        <w:rPr>
          <w:rFonts w:ascii="David" w:hAnsi="David" w:cs="David" w:hint="cs"/>
          <w:rtl/>
        </w:rPr>
        <w:t>המורשת הנומיסטית</w:t>
      </w:r>
      <w:r w:rsidRPr="00C37603">
        <w:rPr>
          <w:rFonts w:ascii="David" w:hAnsi="David" w:cs="David"/>
          <w:rtl/>
        </w:rPr>
        <w:t>, עמ' 93</w:t>
      </w:r>
      <w:r w:rsidRPr="00C37603">
        <w:rPr>
          <w:rFonts w:ascii="David" w:hAnsi="David" w:cs="David"/>
        </w:rPr>
        <w:t>;</w:t>
      </w:r>
      <w:r w:rsidRPr="00C37603">
        <w:rPr>
          <w:rFonts w:ascii="David" w:hAnsi="David" w:cs="David"/>
          <w:rtl/>
        </w:rPr>
        <w:t xml:space="preserve"> טנדלר, שם, עמ' 299</w:t>
      </w:r>
      <w:r w:rsidRPr="00C37603">
        <w:rPr>
          <w:rFonts w:ascii="David" w:hAnsi="David" w:cs="David"/>
        </w:rPr>
        <w:t>;</w:t>
      </w:r>
      <w:r w:rsidRPr="00C37603">
        <w:rPr>
          <w:rFonts w:ascii="David" w:hAnsi="David" w:cs="David"/>
          <w:rtl/>
        </w:rPr>
        <w:t xml:space="preserve"> אשל וזיסו, </w:t>
      </w:r>
      <w:r>
        <w:rPr>
          <w:rFonts w:ascii="David" w:hAnsi="David" w:cs="David" w:hint="cs"/>
          <w:rtl/>
        </w:rPr>
        <w:t>שם</w:t>
      </w:r>
      <w:r w:rsidRPr="00C37603">
        <w:rPr>
          <w:rFonts w:ascii="David" w:hAnsi="David" w:cs="David"/>
          <w:rtl/>
        </w:rPr>
        <w:t xml:space="preserve">, </w:t>
      </w:r>
      <w:r>
        <w:rPr>
          <w:rFonts w:ascii="David" w:hAnsi="David" w:cs="David" w:hint="cs"/>
          <w:rtl/>
        </w:rPr>
        <w:t xml:space="preserve">שם). </w:t>
      </w:r>
      <w:r>
        <w:rPr>
          <w:rFonts w:cs="David" w:hint="cs"/>
          <w:spacing w:val="-2"/>
          <w:rtl/>
        </w:rPr>
        <w:t>לדעת חוקרים שונים (</w:t>
      </w:r>
      <w:r w:rsidRPr="00C37603">
        <w:rPr>
          <w:rFonts w:ascii="David" w:hAnsi="David" w:cs="David"/>
          <w:rtl/>
        </w:rPr>
        <w:t>רומנוף, שם, עמ' 55 - 56</w:t>
      </w:r>
      <w:r w:rsidRPr="00C37603">
        <w:rPr>
          <w:rFonts w:ascii="David" w:hAnsi="David" w:cs="David"/>
        </w:rPr>
        <w:t>;</w:t>
      </w:r>
      <w:r w:rsidRPr="00C37603">
        <w:rPr>
          <w:rFonts w:ascii="David" w:hAnsi="David" w:cs="David"/>
          <w:rtl/>
        </w:rPr>
        <w:t xml:space="preserve"> סמואלס, רינרסון ומשורר, שם, עמ' 92</w:t>
      </w:r>
      <w:r w:rsidRPr="00C37603">
        <w:rPr>
          <w:rFonts w:ascii="David" w:hAnsi="David" w:cs="David"/>
        </w:rPr>
        <w:t>;</w:t>
      </w:r>
      <w:r w:rsidRPr="00C37603">
        <w:rPr>
          <w:rFonts w:ascii="David" w:hAnsi="David" w:cs="David"/>
          <w:rtl/>
        </w:rPr>
        <w:t xml:space="preserve"> טנדלר, שם, שם</w:t>
      </w:r>
      <w:r>
        <w:rPr>
          <w:rFonts w:cs="David" w:hint="cs"/>
          <w:spacing w:val="-2"/>
          <w:rtl/>
        </w:rPr>
        <w:t xml:space="preserve">), </w:t>
      </w:r>
      <w:r w:rsidRPr="00625806">
        <w:rPr>
          <w:rFonts w:cs="David" w:hint="cs"/>
          <w:spacing w:val="-2"/>
          <w:rtl/>
        </w:rPr>
        <w:t xml:space="preserve">יתכן גם שקיים קשר בין תיאור צמד החצוצרות המופיע על המטבעות, </w:t>
      </w:r>
      <w:r>
        <w:rPr>
          <w:rFonts w:cs="David" w:hint="cs"/>
          <w:spacing w:val="-2"/>
          <w:rtl/>
        </w:rPr>
        <w:t>ל</w:t>
      </w:r>
      <w:r w:rsidRPr="00625806">
        <w:rPr>
          <w:rFonts w:cs="David" w:hint="cs"/>
          <w:spacing w:val="-2"/>
          <w:rtl/>
        </w:rPr>
        <w:t xml:space="preserve">בין </w:t>
      </w:r>
      <w:r>
        <w:rPr>
          <w:rFonts w:cs="David" w:hint="cs"/>
          <w:spacing w:val="-2"/>
          <w:rtl/>
        </w:rPr>
        <w:t>האמור</w:t>
      </w:r>
      <w:r w:rsidRPr="00625806">
        <w:rPr>
          <w:rFonts w:cs="David" w:hint="cs"/>
          <w:spacing w:val="-2"/>
          <w:rtl/>
        </w:rPr>
        <w:t xml:space="preserve"> במשנה סוכה ה</w:t>
      </w:r>
      <w:r w:rsidR="00030DD4">
        <w:rPr>
          <w:rFonts w:cs="David" w:hint="cs"/>
          <w:spacing w:val="-2"/>
          <w:rtl/>
        </w:rPr>
        <w:t xml:space="preserve">, </w:t>
      </w:r>
      <w:r w:rsidRPr="00625806">
        <w:rPr>
          <w:rFonts w:cs="David" w:hint="cs"/>
          <w:spacing w:val="-2"/>
          <w:rtl/>
        </w:rPr>
        <w:t xml:space="preserve">ד אודות השמעת </w:t>
      </w:r>
      <w:r>
        <w:rPr>
          <w:rFonts w:cs="David" w:hint="cs"/>
          <w:spacing w:val="-2"/>
          <w:rtl/>
        </w:rPr>
        <w:t>ה</w:t>
      </w:r>
      <w:r w:rsidRPr="00625806">
        <w:rPr>
          <w:rFonts w:cs="David" w:hint="cs"/>
          <w:spacing w:val="-2"/>
          <w:rtl/>
        </w:rPr>
        <w:t>חצוצרות בשמחת בית השואבה</w:t>
      </w:r>
      <w:r w:rsidRPr="00625806">
        <w:rPr>
          <w:rFonts w:cs="David" w:hint="cs"/>
          <w:rtl/>
        </w:rPr>
        <w:t>, וכן אולי גם</w:t>
      </w:r>
      <w:r w:rsidRPr="00625806">
        <w:rPr>
          <w:rFonts w:cs="David" w:hint="cs"/>
          <w:spacing w:val="-2"/>
          <w:rtl/>
        </w:rPr>
        <w:t xml:space="preserve"> במצוות הערבה</w:t>
      </w:r>
      <w:r>
        <w:rPr>
          <w:rFonts w:cs="David" w:hint="cs"/>
          <w:spacing w:val="-2"/>
          <w:rtl/>
        </w:rPr>
        <w:t xml:space="preserve"> ובניסוך המים</w:t>
      </w:r>
      <w:r w:rsidRPr="00625806">
        <w:rPr>
          <w:rFonts w:cs="David" w:hint="cs"/>
          <w:spacing w:val="-2"/>
          <w:rtl/>
        </w:rPr>
        <w:t xml:space="preserve"> המתואר</w:t>
      </w:r>
      <w:r>
        <w:rPr>
          <w:rFonts w:cs="David" w:hint="cs"/>
          <w:spacing w:val="-2"/>
          <w:rtl/>
        </w:rPr>
        <w:t>ים</w:t>
      </w:r>
      <w:r w:rsidRPr="00625806">
        <w:rPr>
          <w:rFonts w:cs="David" w:hint="cs"/>
          <w:spacing w:val="-2"/>
          <w:rtl/>
        </w:rPr>
        <w:t xml:space="preserve"> במשנה סוכה ד</w:t>
      </w:r>
      <w:r w:rsidR="00030DD4">
        <w:rPr>
          <w:rFonts w:cs="David" w:hint="cs"/>
          <w:spacing w:val="-2"/>
          <w:rtl/>
        </w:rPr>
        <w:t>,</w:t>
      </w:r>
      <w:r w:rsidRPr="00625806">
        <w:rPr>
          <w:rFonts w:cs="David" w:hint="cs"/>
          <w:spacing w:val="-2"/>
          <w:rtl/>
        </w:rPr>
        <w:t xml:space="preserve"> ה</w:t>
      </w:r>
      <w:r w:rsidRPr="00625806">
        <w:rPr>
          <w:rFonts w:cs="David" w:hint="cs"/>
          <w:rtl/>
        </w:rPr>
        <w:t xml:space="preserve"> </w:t>
      </w:r>
      <w:r w:rsidR="00030DD4">
        <w:rPr>
          <w:rFonts w:cs="David" w:hint="cs"/>
          <w:spacing w:val="-2"/>
          <w:rtl/>
        </w:rPr>
        <w:t>ו</w:t>
      </w:r>
      <w:r w:rsidR="00C70FB7">
        <w:rPr>
          <w:rFonts w:cs="David" w:hint="cs"/>
          <w:spacing w:val="-2"/>
          <w:rtl/>
        </w:rPr>
        <w:t>ב</w:t>
      </w:r>
      <w:r w:rsidR="00030DD4">
        <w:rPr>
          <w:rFonts w:cs="David" w:hint="cs"/>
          <w:spacing w:val="-2"/>
          <w:rtl/>
        </w:rPr>
        <w:t>משנה</w:t>
      </w:r>
      <w:r w:rsidR="00EE0221">
        <w:rPr>
          <w:rFonts w:cs="David" w:hint="cs"/>
          <w:spacing w:val="-2"/>
          <w:rtl/>
        </w:rPr>
        <w:t xml:space="preserve"> סוכה ד,</w:t>
      </w:r>
      <w:r w:rsidR="00030DD4">
        <w:rPr>
          <w:rFonts w:cs="David" w:hint="cs"/>
          <w:spacing w:val="-2"/>
          <w:rtl/>
        </w:rPr>
        <w:t xml:space="preserve"> </w:t>
      </w:r>
      <w:r w:rsidRPr="00625806">
        <w:rPr>
          <w:rFonts w:cs="David" w:hint="cs"/>
          <w:spacing w:val="-2"/>
          <w:rtl/>
        </w:rPr>
        <w:t>ט</w:t>
      </w:r>
      <w:r>
        <w:rPr>
          <w:rFonts w:cs="David" w:hint="cs"/>
          <w:spacing w:val="-2"/>
          <w:rtl/>
        </w:rPr>
        <w:t xml:space="preserve">. </w:t>
      </w:r>
    </w:p>
  </w:footnote>
  <w:footnote w:id="19">
    <w:p w14:paraId="2BBF810C" w14:textId="77777777" w:rsidR="003074AF" w:rsidRPr="00C37603" w:rsidRDefault="003074AF" w:rsidP="003074AF">
      <w:pPr>
        <w:pStyle w:val="a3"/>
        <w:spacing w:after="0"/>
        <w:rPr>
          <w:rtl/>
        </w:rPr>
      </w:pPr>
      <w:r w:rsidRPr="00C37603">
        <w:rPr>
          <w:rStyle w:val="a5"/>
        </w:rPr>
        <w:footnoteRef/>
      </w:r>
      <w:r w:rsidRPr="00C37603">
        <w:rPr>
          <w:rtl/>
        </w:rPr>
        <w:t xml:space="preserve"> </w:t>
      </w:r>
      <w:r w:rsidRPr="00C37603">
        <w:rPr>
          <w:rFonts w:ascii="David" w:hAnsi="David" w:cs="David"/>
          <w:rtl/>
        </w:rPr>
        <w:t>קינדלר, מטבעות, עמ' 61</w:t>
      </w:r>
      <w:r w:rsidRPr="00C37603">
        <w:rPr>
          <w:rFonts w:ascii="David" w:hAnsi="David" w:cs="David"/>
        </w:rPr>
        <w:t>;</w:t>
      </w:r>
      <w:r w:rsidRPr="00C37603">
        <w:rPr>
          <w:rFonts w:ascii="David" w:hAnsi="David" w:cs="David"/>
          <w:rtl/>
        </w:rPr>
        <w:t xml:space="preserve"> משורר, </w:t>
      </w:r>
      <w:r w:rsidRPr="00C37603">
        <w:rPr>
          <w:rFonts w:ascii="David" w:hAnsi="David" w:cs="David" w:hint="cs"/>
          <w:rtl/>
        </w:rPr>
        <w:t>שם</w:t>
      </w:r>
      <w:r w:rsidRPr="00C37603">
        <w:rPr>
          <w:rFonts w:ascii="David" w:hAnsi="David" w:cs="David"/>
          <w:rtl/>
        </w:rPr>
        <w:t>, עמ' 134.</w:t>
      </w:r>
      <w:r w:rsidRPr="00C37603">
        <w:rPr>
          <w:rFonts w:hint="cs"/>
          <w:rtl/>
        </w:rPr>
        <w:t xml:space="preserve"> </w:t>
      </w:r>
    </w:p>
  </w:footnote>
  <w:footnote w:id="20">
    <w:p w14:paraId="6CC67137" w14:textId="77777777" w:rsidR="003074AF" w:rsidRPr="00C37603" w:rsidRDefault="003074AF" w:rsidP="003074AF">
      <w:pPr>
        <w:pStyle w:val="a3"/>
        <w:spacing w:after="0"/>
        <w:rPr>
          <w:rtl/>
        </w:rPr>
      </w:pPr>
      <w:r w:rsidRPr="00C37603">
        <w:rPr>
          <w:rStyle w:val="a5"/>
        </w:rPr>
        <w:footnoteRef/>
      </w:r>
      <w:r w:rsidRPr="00C37603">
        <w:rPr>
          <w:rtl/>
        </w:rPr>
        <w:t xml:space="preserve"> </w:t>
      </w:r>
      <w:r w:rsidRPr="00C37603">
        <w:rPr>
          <w:rFonts w:ascii="David" w:hAnsi="David" w:cs="David"/>
          <w:rtl/>
        </w:rPr>
        <w:t>משורר, שם, שם</w:t>
      </w:r>
      <w:r w:rsidRPr="00C37603">
        <w:rPr>
          <w:rFonts w:ascii="David" w:hAnsi="David" w:cs="David"/>
        </w:rPr>
        <w:t>;</w:t>
      </w:r>
      <w:r w:rsidRPr="00C37603">
        <w:rPr>
          <w:rFonts w:ascii="David" w:hAnsi="David" w:cs="David" w:hint="cs"/>
          <w:rtl/>
        </w:rPr>
        <w:t xml:space="preserve"> אשל וזיסו, שם, עמ' 115.</w:t>
      </w:r>
    </w:p>
  </w:footnote>
  <w:footnote w:id="21">
    <w:p w14:paraId="13F22C3E" w14:textId="77777777" w:rsidR="003074AF" w:rsidRPr="00C37603" w:rsidRDefault="003074AF" w:rsidP="003074AF">
      <w:pPr>
        <w:pStyle w:val="a3"/>
        <w:spacing w:after="0"/>
      </w:pPr>
      <w:r w:rsidRPr="00C37603">
        <w:rPr>
          <w:rStyle w:val="a5"/>
        </w:rPr>
        <w:footnoteRef/>
      </w:r>
      <w:r w:rsidRPr="00C37603">
        <w:rPr>
          <w:rtl/>
        </w:rPr>
        <w:t xml:space="preserve"> </w:t>
      </w:r>
      <w:r w:rsidRPr="00C37603">
        <w:rPr>
          <w:rFonts w:ascii="David" w:hAnsi="David" w:cs="David"/>
          <w:rtl/>
        </w:rPr>
        <w:t>אשל</w:t>
      </w:r>
      <w:r w:rsidRPr="00C37603">
        <w:rPr>
          <w:rFonts w:ascii="David" w:hAnsi="David" w:cs="David" w:hint="cs"/>
          <w:rtl/>
        </w:rPr>
        <w:t xml:space="preserve"> וזיסו</w:t>
      </w:r>
      <w:r w:rsidRPr="00C37603">
        <w:rPr>
          <w:rFonts w:ascii="David" w:hAnsi="David" w:cs="David"/>
          <w:rtl/>
        </w:rPr>
        <w:t xml:space="preserve">, </w:t>
      </w:r>
      <w:r>
        <w:rPr>
          <w:rFonts w:ascii="David" w:hAnsi="David" w:cs="David" w:hint="cs"/>
          <w:rtl/>
        </w:rPr>
        <w:t>שם</w:t>
      </w:r>
      <w:r w:rsidRPr="00C37603">
        <w:rPr>
          <w:rFonts w:ascii="David" w:hAnsi="David" w:cs="David"/>
          <w:rtl/>
        </w:rPr>
        <w:t>, עמ' 117 - 118.</w:t>
      </w:r>
      <w:r w:rsidRPr="00C37603">
        <w:rPr>
          <w:rFonts w:hint="cs"/>
          <w:rtl/>
        </w:rPr>
        <w:t xml:space="preserve"> </w:t>
      </w:r>
    </w:p>
  </w:footnote>
  <w:footnote w:id="22">
    <w:p w14:paraId="4C97F14F" w14:textId="22C12EF2" w:rsidR="003074AF" w:rsidRDefault="003074AF" w:rsidP="003074AF">
      <w:pPr>
        <w:pStyle w:val="a3"/>
        <w:spacing w:after="0"/>
        <w:rPr>
          <w:rtl/>
        </w:rPr>
      </w:pPr>
      <w:r w:rsidRPr="00C37603">
        <w:rPr>
          <w:rStyle w:val="a5"/>
        </w:rPr>
        <w:footnoteRef/>
      </w:r>
      <w:r w:rsidRPr="00C37603">
        <w:rPr>
          <w:rtl/>
        </w:rPr>
        <w:t xml:space="preserve"> </w:t>
      </w:r>
      <w:r w:rsidR="00483071" w:rsidRPr="00483071">
        <w:rPr>
          <w:rFonts w:ascii="David" w:hAnsi="David" w:cs="David" w:hint="cs"/>
          <w:rtl/>
        </w:rPr>
        <w:t>תוספתא חולין א, יט</w:t>
      </w:r>
      <w:r w:rsidR="00483071" w:rsidRPr="00483071">
        <w:rPr>
          <w:rFonts w:ascii="David" w:hAnsi="David" w:cs="David"/>
          <w:lang w:val="en-US"/>
        </w:rPr>
        <w:t>;</w:t>
      </w:r>
      <w:r w:rsidR="00483071" w:rsidRPr="00483071">
        <w:rPr>
          <w:rFonts w:ascii="David" w:hAnsi="David" w:cs="David" w:hint="cs"/>
          <w:rtl/>
          <w:lang w:val="en-US"/>
        </w:rPr>
        <w:t xml:space="preserve"> ספרי זוטא י, ב</w:t>
      </w:r>
      <w:r w:rsidR="00483071" w:rsidRPr="00483071">
        <w:rPr>
          <w:rFonts w:ascii="David" w:hAnsi="David" w:cs="David"/>
          <w:lang w:val="en-US"/>
        </w:rPr>
        <w:t>;</w:t>
      </w:r>
      <w:r w:rsidR="00483071" w:rsidRPr="00483071">
        <w:rPr>
          <w:rFonts w:ascii="David" w:hAnsi="David" w:cs="David" w:hint="cs"/>
          <w:rtl/>
          <w:lang w:val="en-US"/>
        </w:rPr>
        <w:t xml:space="preserve"> ספרי במדבר ח, ד ועוד</w:t>
      </w:r>
      <w:r w:rsidR="002955C0" w:rsidRPr="00483071">
        <w:rPr>
          <w:rFonts w:ascii="David" w:hAnsi="David" w:cs="David" w:hint="cs"/>
          <w:rtl/>
        </w:rPr>
        <w:t xml:space="preserve"> </w:t>
      </w:r>
      <w:r w:rsidR="00483071" w:rsidRPr="00483071">
        <w:rPr>
          <w:rFonts w:ascii="David" w:hAnsi="David" w:cs="David" w:hint="cs"/>
          <w:rtl/>
        </w:rPr>
        <w:t>(</w:t>
      </w:r>
      <w:r w:rsidR="00A402D8" w:rsidRPr="00483071">
        <w:rPr>
          <w:rFonts w:ascii="David" w:hAnsi="David" w:cs="David" w:hint="cs"/>
          <w:rtl/>
        </w:rPr>
        <w:t>פיאמנטה, החצוצרה, עמ' 215</w:t>
      </w:r>
      <w:r w:rsidR="00483071" w:rsidRPr="00483071">
        <w:rPr>
          <w:rFonts w:ascii="David" w:hAnsi="David" w:cs="David" w:hint="cs"/>
          <w:rtl/>
        </w:rPr>
        <w:t>)</w:t>
      </w:r>
      <w:r w:rsidR="00A402D8" w:rsidRPr="00483071">
        <w:rPr>
          <w:rFonts w:ascii="David" w:hAnsi="David" w:cs="David" w:hint="cs"/>
          <w:rtl/>
        </w:rPr>
        <w:t xml:space="preserve">. </w:t>
      </w:r>
      <w:r w:rsidRPr="00483071">
        <w:rPr>
          <w:rFonts w:hint="cs"/>
          <w:rtl/>
        </w:rPr>
        <w:t xml:space="preserve"> </w:t>
      </w:r>
    </w:p>
  </w:footnote>
  <w:footnote w:id="23">
    <w:p w14:paraId="7C1132AC" w14:textId="77777777" w:rsidR="003074AF" w:rsidRPr="00C37603" w:rsidRDefault="003074AF" w:rsidP="003074AF">
      <w:pPr>
        <w:spacing w:after="0"/>
        <w:jc w:val="both"/>
        <w:rPr>
          <w:rFonts w:ascii="David" w:hAnsi="David" w:cs="David"/>
          <w:sz w:val="20"/>
          <w:szCs w:val="20"/>
          <w:rtl/>
        </w:rPr>
      </w:pPr>
      <w:r w:rsidRPr="00C37603">
        <w:rPr>
          <w:rStyle w:val="a5"/>
        </w:rPr>
        <w:footnoteRef/>
      </w:r>
      <w:r w:rsidRPr="00C37603">
        <w:rPr>
          <w:rtl/>
        </w:rPr>
        <w:t xml:space="preserve"> </w:t>
      </w:r>
      <w:r w:rsidRPr="00C37603">
        <w:rPr>
          <w:rFonts w:ascii="David" w:hAnsi="David" w:cs="David"/>
          <w:sz w:val="20"/>
          <w:szCs w:val="20"/>
          <w:rtl/>
        </w:rPr>
        <w:t xml:space="preserve">רומנוף, </w:t>
      </w:r>
      <w:r>
        <w:rPr>
          <w:rFonts w:ascii="David" w:hAnsi="David" w:cs="David" w:hint="cs"/>
          <w:sz w:val="20"/>
          <w:szCs w:val="20"/>
          <w:rtl/>
        </w:rPr>
        <w:t>שם</w:t>
      </w:r>
      <w:r w:rsidRPr="00C37603">
        <w:rPr>
          <w:rFonts w:ascii="David" w:hAnsi="David" w:cs="David"/>
          <w:sz w:val="20"/>
          <w:szCs w:val="20"/>
          <w:rtl/>
        </w:rPr>
        <w:t>, עמ' 54 - 56</w:t>
      </w:r>
      <w:r w:rsidRPr="00C37603">
        <w:rPr>
          <w:rFonts w:ascii="David" w:hAnsi="David" w:cs="David"/>
          <w:sz w:val="20"/>
          <w:szCs w:val="20"/>
        </w:rPr>
        <w:t>;</w:t>
      </w:r>
      <w:r w:rsidRPr="00C37603">
        <w:rPr>
          <w:rFonts w:ascii="David" w:hAnsi="David" w:cs="David"/>
          <w:sz w:val="20"/>
          <w:szCs w:val="20"/>
          <w:rtl/>
        </w:rPr>
        <w:t xml:space="preserve"> קינדלר, </w:t>
      </w:r>
      <w:r>
        <w:rPr>
          <w:rFonts w:ascii="David" w:hAnsi="David" w:cs="David" w:hint="cs"/>
          <w:sz w:val="20"/>
          <w:szCs w:val="20"/>
          <w:rtl/>
        </w:rPr>
        <w:t>שם</w:t>
      </w:r>
      <w:r w:rsidRPr="00C37603">
        <w:rPr>
          <w:rFonts w:ascii="David" w:hAnsi="David" w:cs="David"/>
          <w:sz w:val="20"/>
          <w:szCs w:val="20"/>
          <w:rtl/>
        </w:rPr>
        <w:t xml:space="preserve">, </w:t>
      </w:r>
      <w:r>
        <w:rPr>
          <w:rFonts w:ascii="David" w:hAnsi="David" w:cs="David" w:hint="cs"/>
          <w:sz w:val="20"/>
          <w:szCs w:val="20"/>
          <w:rtl/>
        </w:rPr>
        <w:t>שם</w:t>
      </w:r>
      <w:r w:rsidRPr="00C37603">
        <w:rPr>
          <w:rFonts w:ascii="David" w:hAnsi="David" w:cs="David"/>
          <w:sz w:val="20"/>
          <w:szCs w:val="20"/>
        </w:rPr>
        <w:t>;</w:t>
      </w:r>
      <w:r w:rsidRPr="00C37603">
        <w:rPr>
          <w:rFonts w:ascii="David" w:hAnsi="David" w:cs="David"/>
          <w:sz w:val="20"/>
          <w:szCs w:val="20"/>
          <w:rtl/>
        </w:rPr>
        <w:t xml:space="preserve"> ידין, בר-כוכבא, עמ' 26</w:t>
      </w:r>
      <w:r w:rsidRPr="00C37603">
        <w:rPr>
          <w:rFonts w:ascii="David" w:hAnsi="David" w:cs="David"/>
          <w:sz w:val="20"/>
          <w:szCs w:val="20"/>
        </w:rPr>
        <w:t>;</w:t>
      </w:r>
      <w:r w:rsidRPr="00C37603">
        <w:rPr>
          <w:rFonts w:ascii="David" w:hAnsi="David" w:cs="David"/>
          <w:sz w:val="20"/>
          <w:szCs w:val="20"/>
          <w:rtl/>
        </w:rPr>
        <w:t xml:space="preserve"> באי</w:t>
      </w:r>
      <w:r w:rsidRPr="00C37603">
        <w:rPr>
          <w:rFonts w:ascii="David" w:hAnsi="David" w:cs="David" w:hint="cs"/>
          <w:sz w:val="20"/>
          <w:szCs w:val="20"/>
          <w:rtl/>
        </w:rPr>
        <w:t>א</w:t>
      </w:r>
      <w:r w:rsidRPr="00C37603">
        <w:rPr>
          <w:rFonts w:ascii="David" w:hAnsi="David" w:cs="David"/>
          <w:sz w:val="20"/>
          <w:szCs w:val="20"/>
          <w:rtl/>
        </w:rPr>
        <w:t>ר, הממצאים, עמ' 25</w:t>
      </w:r>
      <w:r w:rsidRPr="00C37603">
        <w:rPr>
          <w:rFonts w:ascii="David" w:hAnsi="David" w:cs="David"/>
          <w:sz w:val="20"/>
          <w:szCs w:val="20"/>
        </w:rPr>
        <w:t>;</w:t>
      </w:r>
      <w:r w:rsidRPr="00C37603">
        <w:rPr>
          <w:rFonts w:ascii="David" w:hAnsi="David" w:cs="David"/>
          <w:sz w:val="20"/>
          <w:szCs w:val="20"/>
          <w:rtl/>
        </w:rPr>
        <w:t xml:space="preserve"> </w:t>
      </w:r>
      <w:r w:rsidRPr="00C37603">
        <w:rPr>
          <w:rFonts w:ascii="David" w:hAnsi="David" w:cs="David" w:hint="cs"/>
          <w:sz w:val="20"/>
          <w:szCs w:val="20"/>
          <w:rtl/>
        </w:rPr>
        <w:t>גודינף, סמלים, עמ' 81</w:t>
      </w:r>
      <w:r w:rsidRPr="00C37603">
        <w:rPr>
          <w:rFonts w:ascii="David" w:hAnsi="David" w:cs="David"/>
          <w:sz w:val="20"/>
          <w:szCs w:val="20"/>
        </w:rPr>
        <w:t>;</w:t>
      </w:r>
      <w:r w:rsidRPr="00C37603">
        <w:rPr>
          <w:rFonts w:ascii="David" w:hAnsi="David" w:cs="David" w:hint="cs"/>
          <w:sz w:val="20"/>
          <w:szCs w:val="20"/>
          <w:rtl/>
        </w:rPr>
        <w:t xml:space="preserve"> </w:t>
      </w:r>
      <w:r w:rsidRPr="00C37603">
        <w:rPr>
          <w:rFonts w:ascii="David" w:hAnsi="David" w:cs="David"/>
          <w:sz w:val="20"/>
          <w:szCs w:val="20"/>
          <w:rtl/>
        </w:rPr>
        <w:t>מילדנברג, מטבעות, עמ' 46</w:t>
      </w:r>
      <w:r w:rsidRPr="00C37603">
        <w:rPr>
          <w:rFonts w:ascii="David" w:hAnsi="David" w:cs="David"/>
          <w:sz w:val="20"/>
          <w:szCs w:val="20"/>
        </w:rPr>
        <w:t>;</w:t>
      </w:r>
      <w:r w:rsidRPr="00C37603">
        <w:rPr>
          <w:rFonts w:ascii="David" w:hAnsi="David" w:cs="David"/>
          <w:sz w:val="20"/>
          <w:szCs w:val="20"/>
          <w:rtl/>
        </w:rPr>
        <w:t xml:space="preserve"> משורר, </w:t>
      </w:r>
      <w:r>
        <w:rPr>
          <w:rFonts w:ascii="David" w:hAnsi="David" w:cs="David" w:hint="cs"/>
          <w:sz w:val="20"/>
          <w:szCs w:val="20"/>
          <w:rtl/>
        </w:rPr>
        <w:t>שם</w:t>
      </w:r>
      <w:r w:rsidRPr="00C37603">
        <w:rPr>
          <w:rFonts w:ascii="David" w:hAnsi="David" w:cs="David"/>
          <w:sz w:val="20"/>
          <w:szCs w:val="20"/>
          <w:rtl/>
        </w:rPr>
        <w:t>, עמ' 135</w:t>
      </w:r>
      <w:r w:rsidRPr="00C37603">
        <w:rPr>
          <w:rFonts w:ascii="David" w:hAnsi="David" w:cs="David"/>
          <w:sz w:val="20"/>
          <w:szCs w:val="20"/>
        </w:rPr>
        <w:t>;</w:t>
      </w:r>
      <w:r w:rsidRPr="00C37603">
        <w:rPr>
          <w:rFonts w:ascii="David" w:hAnsi="David" w:cs="David"/>
          <w:sz w:val="20"/>
          <w:szCs w:val="20"/>
          <w:rtl/>
        </w:rPr>
        <w:t xml:space="preserve"> סמואלס, רינרסון ומשורר, </w:t>
      </w:r>
      <w:r>
        <w:rPr>
          <w:rFonts w:ascii="David" w:hAnsi="David" w:cs="David" w:hint="cs"/>
          <w:sz w:val="20"/>
          <w:szCs w:val="20"/>
          <w:rtl/>
        </w:rPr>
        <w:t>שם</w:t>
      </w:r>
      <w:r w:rsidRPr="00C37603">
        <w:rPr>
          <w:rFonts w:ascii="David" w:hAnsi="David" w:cs="David"/>
          <w:sz w:val="20"/>
          <w:szCs w:val="20"/>
          <w:rtl/>
        </w:rPr>
        <w:t xml:space="preserve">, </w:t>
      </w:r>
      <w:r>
        <w:rPr>
          <w:rFonts w:ascii="David" w:hAnsi="David" w:cs="David" w:hint="cs"/>
          <w:sz w:val="20"/>
          <w:szCs w:val="20"/>
          <w:rtl/>
        </w:rPr>
        <w:t>שם</w:t>
      </w:r>
      <w:r w:rsidRPr="00C37603">
        <w:rPr>
          <w:rFonts w:ascii="David" w:hAnsi="David" w:cs="David"/>
          <w:sz w:val="20"/>
          <w:szCs w:val="20"/>
        </w:rPr>
        <w:t>;</w:t>
      </w:r>
      <w:r w:rsidRPr="00C37603">
        <w:rPr>
          <w:rFonts w:ascii="David" w:hAnsi="David" w:cs="David"/>
          <w:sz w:val="20"/>
          <w:szCs w:val="20"/>
          <w:rtl/>
        </w:rPr>
        <w:t xml:space="preserve"> מונטגו, כלי נגינה, עמ' 42</w:t>
      </w:r>
      <w:r w:rsidRPr="00C37603">
        <w:rPr>
          <w:rFonts w:ascii="David" w:hAnsi="David" w:cs="David"/>
          <w:sz w:val="20"/>
          <w:szCs w:val="20"/>
        </w:rPr>
        <w:t>;</w:t>
      </w:r>
      <w:r w:rsidRPr="00C37603">
        <w:rPr>
          <w:rFonts w:ascii="David" w:hAnsi="David" w:cs="David"/>
          <w:sz w:val="20"/>
          <w:szCs w:val="20"/>
          <w:rtl/>
        </w:rPr>
        <w:t xml:space="preserve"> אשל</w:t>
      </w:r>
      <w:r w:rsidRPr="00C37603">
        <w:rPr>
          <w:rFonts w:ascii="David" w:hAnsi="David" w:cs="David" w:hint="cs"/>
          <w:sz w:val="20"/>
          <w:szCs w:val="20"/>
          <w:rtl/>
        </w:rPr>
        <w:t xml:space="preserve"> וזיסו</w:t>
      </w:r>
      <w:r w:rsidRPr="00C37603">
        <w:rPr>
          <w:rFonts w:ascii="David" w:hAnsi="David" w:cs="David"/>
          <w:sz w:val="20"/>
          <w:szCs w:val="20"/>
          <w:rtl/>
        </w:rPr>
        <w:t xml:space="preserve">, </w:t>
      </w:r>
      <w:r>
        <w:rPr>
          <w:rFonts w:ascii="David" w:hAnsi="David" w:cs="David" w:hint="cs"/>
          <w:sz w:val="20"/>
          <w:szCs w:val="20"/>
          <w:rtl/>
        </w:rPr>
        <w:t>שם</w:t>
      </w:r>
      <w:r w:rsidRPr="00C37603">
        <w:rPr>
          <w:rFonts w:ascii="David" w:hAnsi="David" w:cs="David"/>
          <w:sz w:val="20"/>
          <w:szCs w:val="20"/>
          <w:rtl/>
        </w:rPr>
        <w:t xml:space="preserve">, עמ' 116, 120. </w:t>
      </w:r>
    </w:p>
  </w:footnote>
  <w:footnote w:id="24">
    <w:p w14:paraId="210595F4" w14:textId="77777777" w:rsidR="000E424D" w:rsidRPr="00B87D19" w:rsidRDefault="003074AF" w:rsidP="000E424D">
      <w:pPr>
        <w:spacing w:after="0"/>
        <w:jc w:val="both"/>
        <w:rPr>
          <w:rFonts w:cs="David"/>
          <w:sz w:val="20"/>
          <w:szCs w:val="20"/>
          <w:rtl/>
        </w:rPr>
      </w:pPr>
      <w:r w:rsidRPr="00C37603">
        <w:rPr>
          <w:rStyle w:val="a5"/>
        </w:rPr>
        <w:footnoteRef/>
      </w:r>
      <w:r w:rsidRPr="00C37603">
        <w:rPr>
          <w:rtl/>
        </w:rPr>
        <w:t xml:space="preserve"> </w:t>
      </w:r>
      <w:r w:rsidR="000E424D" w:rsidRPr="008864AC">
        <w:rPr>
          <w:rFonts w:cs="David" w:hint="cs"/>
          <w:sz w:val="20"/>
          <w:szCs w:val="20"/>
          <w:rtl/>
        </w:rPr>
        <w:t>החצוצרה (</w:t>
      </w:r>
      <w:r w:rsidR="000E424D" w:rsidRPr="008864AC">
        <w:rPr>
          <w:rFonts w:asciiTheme="majorBidi" w:hAnsiTheme="majorBidi" w:cstheme="majorBidi"/>
          <w:sz w:val="20"/>
          <w:szCs w:val="20"/>
        </w:rPr>
        <w:t>Trumpet</w:t>
      </w:r>
      <w:r w:rsidR="000E424D" w:rsidRPr="008864AC">
        <w:rPr>
          <w:rFonts w:cs="David" w:hint="cs"/>
          <w:sz w:val="20"/>
          <w:szCs w:val="20"/>
          <w:rtl/>
        </w:rPr>
        <w:t>)</w:t>
      </w:r>
      <w:r w:rsidR="000E424D">
        <w:rPr>
          <w:rFonts w:cs="David" w:hint="cs"/>
          <w:sz w:val="20"/>
          <w:szCs w:val="20"/>
          <w:rtl/>
        </w:rPr>
        <w:t xml:space="preserve">, </w:t>
      </w:r>
      <w:r w:rsidR="000E424D" w:rsidRPr="008864AC">
        <w:rPr>
          <w:rFonts w:cs="David" w:hint="cs"/>
          <w:sz w:val="20"/>
          <w:szCs w:val="20"/>
          <w:rtl/>
        </w:rPr>
        <w:t xml:space="preserve">הינה כלי ממשפחת כלי הנשיפה </w:t>
      </w:r>
      <w:r w:rsidR="000E424D" w:rsidRPr="008864AC">
        <w:rPr>
          <w:rFonts w:asciiTheme="majorBidi" w:hAnsiTheme="majorBidi" w:cstheme="majorBidi"/>
          <w:sz w:val="20"/>
          <w:szCs w:val="20"/>
        </w:rPr>
        <w:t>Aerophones</w:t>
      </w:r>
      <w:r w:rsidR="000E424D" w:rsidRPr="008864AC">
        <w:rPr>
          <w:rFonts w:cs="David"/>
          <w:sz w:val="20"/>
          <w:szCs w:val="20"/>
        </w:rPr>
        <w:t>)</w:t>
      </w:r>
      <w:r w:rsidR="000E424D" w:rsidRPr="008864AC">
        <w:rPr>
          <w:rFonts w:cs="David" w:hint="cs"/>
          <w:sz w:val="20"/>
          <w:szCs w:val="20"/>
          <w:rtl/>
        </w:rPr>
        <w:t xml:space="preserve">). בשנת 1914, הגדירו הורנבוסטל וזאקס לראשונה את סוג הכלי </w:t>
      </w:r>
      <w:r w:rsidR="000E424D">
        <w:rPr>
          <w:rFonts w:cs="David" w:hint="cs"/>
          <w:sz w:val="20"/>
          <w:szCs w:val="20"/>
          <w:rtl/>
        </w:rPr>
        <w:t xml:space="preserve">הזה </w:t>
      </w:r>
      <w:r w:rsidR="000E424D" w:rsidRPr="008864AC">
        <w:rPr>
          <w:rFonts w:cs="David" w:hint="cs"/>
          <w:sz w:val="20"/>
          <w:szCs w:val="20"/>
          <w:rtl/>
        </w:rPr>
        <w:t xml:space="preserve">במאמרם החלוצי: </w:t>
      </w:r>
      <w:r w:rsidR="000E424D" w:rsidRPr="008864AC">
        <w:rPr>
          <w:rFonts w:asciiTheme="majorBidi" w:hAnsiTheme="majorBidi" w:cstheme="majorBidi"/>
          <w:sz w:val="20"/>
          <w:szCs w:val="20"/>
        </w:rPr>
        <w:t>"Classification of Musical Instruments"</w:t>
      </w:r>
      <w:r w:rsidR="000E424D" w:rsidRPr="008864AC">
        <w:rPr>
          <w:rFonts w:hint="cs"/>
          <w:sz w:val="20"/>
          <w:szCs w:val="20"/>
          <w:rtl/>
        </w:rPr>
        <w:t xml:space="preserve">, </w:t>
      </w:r>
      <w:r w:rsidR="000E424D" w:rsidRPr="008864AC">
        <w:rPr>
          <w:rFonts w:asciiTheme="majorBidi" w:hAnsiTheme="majorBidi" w:cs="David" w:hint="cs"/>
          <w:sz w:val="20"/>
          <w:szCs w:val="20"/>
          <w:rtl/>
        </w:rPr>
        <w:t>כ</w:t>
      </w:r>
      <w:r w:rsidR="000E424D" w:rsidRPr="008864AC">
        <w:rPr>
          <w:rFonts w:cs="David" w:hint="cs"/>
          <w:sz w:val="20"/>
          <w:szCs w:val="20"/>
          <w:rtl/>
        </w:rPr>
        <w:t>כלי שבו:</w:t>
      </w:r>
      <w:r w:rsidR="000E424D" w:rsidRPr="008864AC">
        <w:rPr>
          <w:rFonts w:asciiTheme="majorBidi" w:hAnsiTheme="majorBidi" w:cstheme="majorBidi"/>
          <w:sz w:val="20"/>
          <w:szCs w:val="20"/>
        </w:rPr>
        <w:t>"The airstream passes through the player's vibrating lips, so gaining intermittent access to the air column which is to be made to vibrate"</w:t>
      </w:r>
      <w:r w:rsidR="000E424D" w:rsidRPr="008864AC">
        <w:rPr>
          <w:rFonts w:hint="cs"/>
          <w:sz w:val="20"/>
          <w:szCs w:val="20"/>
          <w:rtl/>
        </w:rPr>
        <w:t xml:space="preserve"> (</w:t>
      </w:r>
      <w:r w:rsidR="000E424D" w:rsidRPr="008864AC">
        <w:rPr>
          <w:rFonts w:cs="David" w:hint="cs"/>
          <w:sz w:val="20"/>
          <w:szCs w:val="20"/>
          <w:rtl/>
        </w:rPr>
        <w:t>הורנבוסטל וזאקס, כלי נגינה, עמ' 588</w:t>
      </w:r>
      <w:r w:rsidR="000E424D" w:rsidRPr="008864AC">
        <w:rPr>
          <w:rFonts w:cs="David"/>
          <w:sz w:val="20"/>
          <w:szCs w:val="20"/>
        </w:rPr>
        <w:t>;</w:t>
      </w:r>
      <w:r w:rsidR="000E424D" w:rsidRPr="008864AC">
        <w:rPr>
          <w:rFonts w:cs="David" w:hint="cs"/>
          <w:sz w:val="20"/>
          <w:szCs w:val="20"/>
          <w:rtl/>
        </w:rPr>
        <w:t xml:space="preserve"> בראון ופאלמר, כלי נשיפה, עמ' 178).</w:t>
      </w:r>
      <w:r w:rsidR="000E424D">
        <w:rPr>
          <w:rFonts w:cs="David" w:hint="cs"/>
          <w:rtl/>
        </w:rPr>
        <w:t xml:space="preserve"> </w:t>
      </w:r>
      <w:r w:rsidR="000E424D" w:rsidRPr="00BE1003">
        <w:rPr>
          <w:rFonts w:cs="David" w:hint="cs"/>
          <w:sz w:val="20"/>
          <w:szCs w:val="20"/>
          <w:rtl/>
        </w:rPr>
        <w:t xml:space="preserve">הורנבוסטל וזאקס חילקו את הכלים מסוג חצוצרה לשתי קבוצות, בהתבסס על מספר הצלילים שניתן היה </w:t>
      </w:r>
      <w:r w:rsidR="000E424D" w:rsidRPr="00B87D19">
        <w:rPr>
          <w:rFonts w:cs="David" w:hint="cs"/>
          <w:sz w:val="20"/>
          <w:szCs w:val="20"/>
          <w:rtl/>
        </w:rPr>
        <w:t>להפיק מהן:</w:t>
      </w:r>
    </w:p>
    <w:p w14:paraId="6E566F9B" w14:textId="77777777" w:rsidR="000E424D" w:rsidRPr="00B87D19" w:rsidRDefault="000E424D" w:rsidP="000E424D">
      <w:pPr>
        <w:spacing w:after="0"/>
        <w:jc w:val="both"/>
        <w:rPr>
          <w:rFonts w:cs="David"/>
          <w:sz w:val="20"/>
          <w:szCs w:val="20"/>
          <w:rtl/>
        </w:rPr>
      </w:pPr>
      <w:r w:rsidRPr="00B87D19">
        <w:rPr>
          <w:rFonts w:cs="David" w:hint="cs"/>
          <w:sz w:val="20"/>
          <w:szCs w:val="20"/>
          <w:rtl/>
        </w:rPr>
        <w:t>1) חצוצרות טבעיות - אלו הן חצוצרות שאינן כוללות מכניזם המשנה את גובה הצליל שניתן להפיק מהן. מסיבה זו ניתן להפיק מהן מספר קטן יחסית של צלילים הנוצרים באמצעות שינוי במידת הלחץ שמפעיל הנגן על שפתיו וכן בעוצמת האווי</w:t>
      </w:r>
      <w:r w:rsidRPr="00B87D19">
        <w:rPr>
          <w:rFonts w:cs="David" w:hint="eastAsia"/>
          <w:sz w:val="20"/>
          <w:szCs w:val="20"/>
          <w:rtl/>
        </w:rPr>
        <w:t>ר</w:t>
      </w:r>
      <w:r w:rsidRPr="00B87D19">
        <w:rPr>
          <w:rFonts w:cs="David" w:hint="cs"/>
          <w:sz w:val="20"/>
          <w:szCs w:val="20"/>
          <w:rtl/>
        </w:rPr>
        <w:t xml:space="preserve"> הננשף. השימוש בחצוצרות טבעיות החל ככל הנראה במסופוטמיה באלף השלישי </w:t>
      </w:r>
      <w:r w:rsidRPr="007E3488">
        <w:rPr>
          <w:rFonts w:cs="David" w:hint="cs"/>
          <w:sz w:val="20"/>
          <w:szCs w:val="20"/>
          <w:rtl/>
        </w:rPr>
        <w:t>לפסה"נ ונמשך עד לאמצע המאה ה - 19 לסה"נ (ביינס, כלי נשיפה, עמ' 53 - 55</w:t>
      </w:r>
      <w:r w:rsidRPr="007E3488">
        <w:rPr>
          <w:rFonts w:cs="David"/>
          <w:sz w:val="20"/>
          <w:szCs w:val="20"/>
        </w:rPr>
        <w:t>;</w:t>
      </w:r>
      <w:r w:rsidRPr="007E3488">
        <w:rPr>
          <w:rFonts w:cs="David" w:hint="cs"/>
          <w:sz w:val="20"/>
          <w:szCs w:val="20"/>
          <w:rtl/>
        </w:rPr>
        <w:t xml:space="preserve"> טאר, החצוצרה, עמ' 15, 20 - 21, 146</w:t>
      </w:r>
      <w:r w:rsidRPr="007E3488">
        <w:rPr>
          <w:rFonts w:cs="David"/>
          <w:sz w:val="20"/>
          <w:szCs w:val="20"/>
        </w:rPr>
        <w:t>;</w:t>
      </w:r>
      <w:r w:rsidRPr="007E3488">
        <w:rPr>
          <w:rFonts w:cs="David" w:hint="cs"/>
          <w:sz w:val="20"/>
          <w:szCs w:val="20"/>
          <w:rtl/>
        </w:rPr>
        <w:t xml:space="preserve"> סארקיסיאן</w:t>
      </w:r>
      <w:r w:rsidRPr="00B87D19">
        <w:rPr>
          <w:rFonts w:cs="David" w:hint="cs"/>
          <w:sz w:val="20"/>
          <w:szCs w:val="20"/>
          <w:rtl/>
        </w:rPr>
        <w:t xml:space="preserve"> וטאר, חצוצרה, עמ' 828 - 835</w:t>
      </w:r>
      <w:r w:rsidRPr="00B87D19">
        <w:rPr>
          <w:rFonts w:cs="David"/>
          <w:sz w:val="20"/>
          <w:szCs w:val="20"/>
        </w:rPr>
        <w:t>;</w:t>
      </w:r>
      <w:r w:rsidRPr="00B87D19">
        <w:rPr>
          <w:rFonts w:cs="David" w:hint="cs"/>
          <w:sz w:val="20"/>
          <w:szCs w:val="20"/>
          <w:rtl/>
        </w:rPr>
        <w:t xml:space="preserve"> קמפבל, גריטד ומיירס, כלי נגינה, עמ' 187).</w:t>
      </w:r>
    </w:p>
    <w:p w14:paraId="3AD1DB8F" w14:textId="05046F78" w:rsidR="003074AF" w:rsidRPr="00C37603" w:rsidRDefault="000E424D" w:rsidP="000E424D">
      <w:pPr>
        <w:pStyle w:val="a3"/>
        <w:spacing w:after="0"/>
        <w:jc w:val="both"/>
        <w:rPr>
          <w:rtl/>
        </w:rPr>
      </w:pPr>
      <w:r w:rsidRPr="00B87D19">
        <w:rPr>
          <w:rFonts w:cs="David" w:hint="cs"/>
          <w:rtl/>
        </w:rPr>
        <w:t>2) חצוצרות כרומטיות - אלו הן חצוצרות הכוללות מכניזם המסייע להאריך ולקצר באופן מלאכותי את החלק המכונה "גוף הכלי", ובכך ליצור צלילים רבים, בגבהים שונים</w:t>
      </w:r>
      <w:r>
        <w:rPr>
          <w:rFonts w:cs="David" w:hint="cs"/>
          <w:rtl/>
        </w:rPr>
        <w:t>. חצוצרות אלו הופיעו רק בתקופת הרנסאנס</w:t>
      </w:r>
      <w:r w:rsidRPr="00B87D19">
        <w:rPr>
          <w:rFonts w:hint="cs"/>
          <w:rtl/>
        </w:rPr>
        <w:t xml:space="preserve"> (</w:t>
      </w:r>
      <w:r w:rsidRPr="00B87D19">
        <w:rPr>
          <w:rFonts w:cs="David" w:hint="cs"/>
          <w:rtl/>
        </w:rPr>
        <w:t>הורנבוסטל וזאקס, שם, עמ' 589 - 590</w:t>
      </w:r>
      <w:r w:rsidRPr="00B87D19">
        <w:rPr>
          <w:rFonts w:cs="David"/>
        </w:rPr>
        <w:t>;</w:t>
      </w:r>
      <w:r w:rsidRPr="00B87D19">
        <w:rPr>
          <w:rFonts w:cs="David" w:hint="cs"/>
          <w:rtl/>
        </w:rPr>
        <w:t xml:space="preserve"> סארקיסיאן, כלי נגינה, עמ' 5</w:t>
      </w:r>
      <w:r w:rsidRPr="00B87D19">
        <w:rPr>
          <w:rFonts w:cs="David"/>
        </w:rPr>
        <w:t>;</w:t>
      </w:r>
      <w:r w:rsidRPr="00B87D19">
        <w:rPr>
          <w:rFonts w:cs="David" w:hint="cs"/>
          <w:rtl/>
        </w:rPr>
        <w:t xml:space="preserve"> סארקיסיאן וטאר, חצוצרה, עמ' 823</w:t>
      </w:r>
      <w:r w:rsidRPr="00B87D19">
        <w:rPr>
          <w:rFonts w:cs="David"/>
        </w:rPr>
        <w:t>;</w:t>
      </w:r>
      <w:r w:rsidRPr="00B87D19">
        <w:rPr>
          <w:rFonts w:cs="David" w:hint="cs"/>
          <w:rtl/>
        </w:rPr>
        <w:t xml:space="preserve"> בראון ופאלמר, שם, שם).</w:t>
      </w:r>
    </w:p>
  </w:footnote>
  <w:footnote w:id="25">
    <w:p w14:paraId="1FE0C628" w14:textId="77777777" w:rsidR="003074AF" w:rsidRPr="00C37603" w:rsidRDefault="003074AF" w:rsidP="003074AF">
      <w:pPr>
        <w:pStyle w:val="a3"/>
        <w:spacing w:after="0"/>
        <w:rPr>
          <w:rtl/>
        </w:rPr>
      </w:pPr>
      <w:r w:rsidRPr="00C37603">
        <w:rPr>
          <w:rStyle w:val="a5"/>
        </w:rPr>
        <w:footnoteRef/>
      </w:r>
      <w:r w:rsidRPr="00C37603">
        <w:rPr>
          <w:rtl/>
        </w:rPr>
        <w:t xml:space="preserve"> </w:t>
      </w:r>
      <w:r w:rsidRPr="00C37603">
        <w:rPr>
          <w:rFonts w:ascii="David" w:hAnsi="David" w:cs="David"/>
          <w:rtl/>
        </w:rPr>
        <w:t xml:space="preserve">התמונה נדלתה מאתר מוזיאון ישראל: </w:t>
      </w:r>
      <w:hyperlink r:id="rId1" w:history="1">
        <w:r w:rsidRPr="00C37603">
          <w:rPr>
            <w:rStyle w:val="Hyperlink"/>
            <w:rFonts w:asciiTheme="majorBidi" w:hAnsiTheme="majorBidi" w:cstheme="majorBidi"/>
          </w:rPr>
          <w:t>https://www.imj.org.il/en/collections/539254</w:t>
        </w:r>
      </w:hyperlink>
      <w:r w:rsidRPr="00C37603">
        <w:rPr>
          <w:rFonts w:ascii="David" w:hAnsi="David" w:cs="David"/>
          <w:rtl/>
        </w:rPr>
        <w:t>, בתאריך 28.3.2019.</w:t>
      </w:r>
    </w:p>
  </w:footnote>
  <w:footnote w:id="26">
    <w:p w14:paraId="0D1EB1C5" w14:textId="77777777" w:rsidR="003074AF" w:rsidRPr="00C37603" w:rsidRDefault="003074AF" w:rsidP="003074AF">
      <w:pPr>
        <w:pStyle w:val="a3"/>
        <w:spacing w:after="0"/>
        <w:rPr>
          <w:rtl/>
        </w:rPr>
      </w:pPr>
      <w:r w:rsidRPr="00C37603">
        <w:rPr>
          <w:rStyle w:val="a5"/>
        </w:rPr>
        <w:footnoteRef/>
      </w:r>
      <w:r w:rsidRPr="00C37603">
        <w:rPr>
          <w:rtl/>
        </w:rPr>
        <w:t xml:space="preserve"> </w:t>
      </w:r>
      <w:r w:rsidRPr="00C37603">
        <w:rPr>
          <w:rFonts w:ascii="David" w:hAnsi="David" w:cs="David"/>
          <w:rtl/>
        </w:rPr>
        <w:t xml:space="preserve">התמונה נדלתה מאתר מוזיאון ישראל: </w:t>
      </w:r>
      <w:hyperlink r:id="rId2" w:history="1">
        <w:r w:rsidRPr="00C37603">
          <w:rPr>
            <w:rStyle w:val="Hyperlink"/>
            <w:rFonts w:asciiTheme="majorBidi" w:hAnsiTheme="majorBidi" w:cstheme="majorBidi"/>
          </w:rPr>
          <w:t>https://www.imj.org.il/en/collections/539256</w:t>
        </w:r>
      </w:hyperlink>
      <w:r w:rsidRPr="00C37603">
        <w:rPr>
          <w:rFonts w:ascii="David" w:hAnsi="David" w:cs="David" w:hint="cs"/>
          <w:rtl/>
        </w:rPr>
        <w:t xml:space="preserve">, </w:t>
      </w:r>
      <w:r w:rsidRPr="00C37603">
        <w:rPr>
          <w:rFonts w:ascii="David" w:hAnsi="David" w:cs="David"/>
          <w:rtl/>
        </w:rPr>
        <w:t>בתאריך 28.3.2019.</w:t>
      </w:r>
    </w:p>
  </w:footnote>
  <w:footnote w:id="27">
    <w:p w14:paraId="6D967FBF" w14:textId="77777777" w:rsidR="003074AF" w:rsidRPr="00FE5D22" w:rsidRDefault="003074AF" w:rsidP="003074AF">
      <w:pPr>
        <w:pStyle w:val="a3"/>
        <w:spacing w:after="0"/>
        <w:rPr>
          <w:rtl/>
        </w:rPr>
      </w:pPr>
      <w:r w:rsidRPr="00FE5D22">
        <w:rPr>
          <w:rStyle w:val="a5"/>
        </w:rPr>
        <w:footnoteRef/>
      </w:r>
      <w:r w:rsidRPr="00FE5D22">
        <w:rPr>
          <w:rtl/>
        </w:rPr>
        <w:t xml:space="preserve"> </w:t>
      </w:r>
      <w:r w:rsidRPr="00FE5D22">
        <w:rPr>
          <w:rFonts w:ascii="David" w:hAnsi="David" w:cs="David"/>
          <w:rtl/>
        </w:rPr>
        <w:t>זאקס, ההיסטוריה, עמ' 120.</w:t>
      </w:r>
      <w:r w:rsidRPr="00FE5D22">
        <w:rPr>
          <w:rFonts w:hint="cs"/>
          <w:rtl/>
        </w:rPr>
        <w:t xml:space="preserve"> </w:t>
      </w:r>
    </w:p>
  </w:footnote>
  <w:footnote w:id="28">
    <w:p w14:paraId="41AFB088" w14:textId="77777777" w:rsidR="003074AF" w:rsidRPr="00FE5D22" w:rsidRDefault="003074AF" w:rsidP="003074AF">
      <w:pPr>
        <w:pStyle w:val="a3"/>
        <w:spacing w:after="0"/>
        <w:rPr>
          <w:rtl/>
        </w:rPr>
      </w:pPr>
      <w:r w:rsidRPr="00FE5D22">
        <w:rPr>
          <w:rStyle w:val="a5"/>
        </w:rPr>
        <w:footnoteRef/>
      </w:r>
      <w:r w:rsidRPr="00FE5D22">
        <w:rPr>
          <w:rtl/>
        </w:rPr>
        <w:t xml:space="preserve"> </w:t>
      </w:r>
      <w:r w:rsidRPr="00FE5D22">
        <w:rPr>
          <w:rFonts w:ascii="David" w:hAnsi="David" w:cs="David"/>
          <w:rtl/>
        </w:rPr>
        <w:t>פושה וסולטנובה, זורנה, עמ' 726</w:t>
      </w:r>
      <w:r w:rsidRPr="00FE5D22">
        <w:rPr>
          <w:rFonts w:ascii="David" w:hAnsi="David" w:cs="David"/>
        </w:rPr>
        <w:t>;</w:t>
      </w:r>
      <w:r w:rsidRPr="00FE5D22">
        <w:rPr>
          <w:rFonts w:ascii="David" w:hAnsi="David" w:cs="David"/>
          <w:rtl/>
        </w:rPr>
        <w:t xml:space="preserve"> מונטגו, מקורות והתפתחות, עמ' 78.</w:t>
      </w:r>
      <w:r w:rsidRPr="00FE5D22">
        <w:rPr>
          <w:rFonts w:hint="cs"/>
          <w:rtl/>
        </w:rPr>
        <w:t xml:space="preserve"> </w:t>
      </w:r>
    </w:p>
  </w:footnote>
  <w:footnote w:id="29">
    <w:p w14:paraId="0C142BD9" w14:textId="77777777" w:rsidR="003074AF" w:rsidRPr="00FE5D22" w:rsidRDefault="003074AF" w:rsidP="003074AF">
      <w:pPr>
        <w:pStyle w:val="a3"/>
        <w:spacing w:after="0"/>
      </w:pPr>
      <w:r w:rsidRPr="00FE5D22">
        <w:rPr>
          <w:rStyle w:val="a5"/>
        </w:rPr>
        <w:footnoteRef/>
      </w:r>
      <w:r w:rsidRPr="00FE5D22">
        <w:rPr>
          <w:rtl/>
        </w:rPr>
        <w:t xml:space="preserve"> </w:t>
      </w:r>
      <w:r w:rsidRPr="00FE5D22">
        <w:rPr>
          <w:rFonts w:ascii="David" w:hAnsi="David" w:cs="David"/>
          <w:rtl/>
        </w:rPr>
        <w:t xml:space="preserve">פושה וסולטנובה, </w:t>
      </w:r>
      <w:r w:rsidRPr="00FE5D22">
        <w:rPr>
          <w:rFonts w:ascii="David" w:hAnsi="David" w:cs="David" w:hint="cs"/>
          <w:rtl/>
        </w:rPr>
        <w:t>שם</w:t>
      </w:r>
      <w:r w:rsidRPr="00FE5D22">
        <w:rPr>
          <w:rFonts w:ascii="David" w:hAnsi="David" w:cs="David"/>
          <w:rtl/>
        </w:rPr>
        <w:t>, עמ' 726</w:t>
      </w:r>
      <w:r w:rsidRPr="00FE5D22">
        <w:rPr>
          <w:rFonts w:ascii="David" w:hAnsi="David" w:cs="David" w:hint="cs"/>
          <w:rtl/>
        </w:rPr>
        <w:t xml:space="preserve"> - 727</w:t>
      </w:r>
      <w:r w:rsidRPr="00FE5D22">
        <w:rPr>
          <w:rFonts w:ascii="David" w:hAnsi="David" w:cs="David"/>
        </w:rPr>
        <w:t>;</w:t>
      </w:r>
      <w:r w:rsidRPr="00FE5D22">
        <w:rPr>
          <w:rFonts w:ascii="David" w:hAnsi="David" w:cs="David"/>
          <w:rtl/>
        </w:rPr>
        <w:t xml:space="preserve"> מונטגו, </w:t>
      </w:r>
      <w:r w:rsidRPr="00FE5D22">
        <w:rPr>
          <w:rFonts w:ascii="David" w:hAnsi="David" w:cs="David" w:hint="cs"/>
          <w:rtl/>
        </w:rPr>
        <w:t xml:space="preserve">שם, שם. </w:t>
      </w:r>
    </w:p>
  </w:footnote>
  <w:footnote w:id="30">
    <w:p w14:paraId="7CE2E085" w14:textId="77777777" w:rsidR="003074AF" w:rsidRDefault="003074AF" w:rsidP="003074AF">
      <w:pPr>
        <w:pStyle w:val="a3"/>
        <w:spacing w:after="0"/>
        <w:jc w:val="both"/>
      </w:pPr>
      <w:r w:rsidRPr="00FE5D22">
        <w:rPr>
          <w:rStyle w:val="a5"/>
        </w:rPr>
        <w:footnoteRef/>
      </w:r>
      <w:r w:rsidRPr="00FE5D22">
        <w:rPr>
          <w:rtl/>
        </w:rPr>
        <w:t xml:space="preserve"> </w:t>
      </w:r>
      <w:r w:rsidRPr="00FE5D22">
        <w:rPr>
          <w:rFonts w:ascii="David" w:hAnsi="David" w:cs="David" w:hint="cs"/>
          <w:rtl/>
        </w:rPr>
        <w:t>התמונה נדלתה מאתר ה- "</w:t>
      </w:r>
      <w:r w:rsidRPr="00FE5D22">
        <w:rPr>
          <w:rFonts w:ascii="David" w:hAnsi="David" w:cs="David"/>
        </w:rPr>
        <w:t>British Museum</w:t>
      </w:r>
      <w:r w:rsidRPr="00FE5D22">
        <w:rPr>
          <w:rFonts w:ascii="David" w:hAnsi="David" w:cs="David" w:hint="cs"/>
          <w:rtl/>
        </w:rPr>
        <w:t xml:space="preserve">": </w:t>
      </w:r>
      <w:r>
        <w:t xml:space="preserve"> </w:t>
      </w:r>
    </w:p>
    <w:p w14:paraId="26CC5377" w14:textId="77777777" w:rsidR="003074AF" w:rsidRDefault="00000000" w:rsidP="003074AF">
      <w:pPr>
        <w:pStyle w:val="a3"/>
        <w:spacing w:after="0"/>
        <w:jc w:val="both"/>
        <w:rPr>
          <w:rtl/>
        </w:rPr>
      </w:pPr>
      <w:hyperlink r:id="rId3" w:history="1">
        <w:r w:rsidR="003074AF" w:rsidRPr="00971BEB">
          <w:rPr>
            <w:rStyle w:val="Hyperlink"/>
            <w:rFonts w:asciiTheme="majorBidi" w:hAnsiTheme="majorBidi" w:cstheme="majorBidi"/>
          </w:rPr>
          <w:t>https://www.britishmuseum.org/research/collection_online/collection_object_details.aspx?objectId=669847&amp;partId=1</w:t>
        </w:r>
      </w:hyperlink>
      <w:r w:rsidR="003074AF" w:rsidRPr="004C57D7">
        <w:rPr>
          <w:rFonts w:ascii="David" w:hAnsi="David" w:cs="David"/>
          <w:rtl/>
        </w:rPr>
        <w:t>,</w:t>
      </w:r>
      <w:r w:rsidR="003074AF" w:rsidRPr="00FE5D22">
        <w:rPr>
          <w:rFonts w:hint="cs"/>
          <w:rtl/>
        </w:rPr>
        <w:t xml:space="preserve"> </w:t>
      </w:r>
      <w:r w:rsidR="003074AF" w:rsidRPr="00FE5D22">
        <w:rPr>
          <w:rFonts w:ascii="David" w:hAnsi="David" w:cs="David"/>
          <w:rtl/>
        </w:rPr>
        <w:t>בתאריך 28.3.2019.</w:t>
      </w:r>
      <w:r w:rsidR="003074AF" w:rsidRPr="006118ED">
        <w:rPr>
          <w:rFonts w:ascii="David" w:hAnsi="David" w:cs="David"/>
          <w:rtl/>
        </w:rPr>
        <w:t xml:space="preserve"> </w:t>
      </w:r>
    </w:p>
  </w:footnote>
  <w:footnote w:id="31">
    <w:p w14:paraId="07AACD88" w14:textId="77777777" w:rsidR="003074AF" w:rsidRPr="005D2CB3" w:rsidRDefault="003074AF" w:rsidP="003074AF">
      <w:pPr>
        <w:pStyle w:val="a3"/>
        <w:spacing w:after="0"/>
        <w:rPr>
          <w:rtl/>
        </w:rPr>
      </w:pPr>
      <w:r w:rsidRPr="005D2CB3">
        <w:rPr>
          <w:rStyle w:val="a5"/>
        </w:rPr>
        <w:footnoteRef/>
      </w:r>
      <w:r w:rsidRPr="005D2CB3">
        <w:rPr>
          <w:rtl/>
        </w:rPr>
        <w:t xml:space="preserve"> </w:t>
      </w:r>
      <w:r w:rsidRPr="005D2CB3">
        <w:rPr>
          <w:rFonts w:ascii="David" w:hAnsi="David" w:cs="David"/>
          <w:rtl/>
        </w:rPr>
        <w:t>זאקס, ההיסטוריה, עמ' 120, 148.</w:t>
      </w:r>
      <w:r w:rsidRPr="005D2CB3">
        <w:rPr>
          <w:rFonts w:hint="cs"/>
          <w:rtl/>
        </w:rPr>
        <w:t xml:space="preserve"> </w:t>
      </w:r>
    </w:p>
  </w:footnote>
  <w:footnote w:id="32">
    <w:p w14:paraId="3E9B90F4" w14:textId="77777777" w:rsidR="003074AF" w:rsidRDefault="003074AF" w:rsidP="003074AF">
      <w:pPr>
        <w:pStyle w:val="a3"/>
        <w:spacing w:after="0"/>
        <w:rPr>
          <w:rtl/>
        </w:rPr>
      </w:pPr>
      <w:r w:rsidRPr="005D2CB3">
        <w:rPr>
          <w:rStyle w:val="a5"/>
        </w:rPr>
        <w:footnoteRef/>
      </w:r>
      <w:r w:rsidRPr="005D2CB3">
        <w:rPr>
          <w:rtl/>
        </w:rPr>
        <w:t xml:space="preserve"> </w:t>
      </w:r>
      <w:r w:rsidRPr="005D2CB3">
        <w:rPr>
          <w:rFonts w:ascii="David" w:hAnsi="David" w:cs="David"/>
          <w:rtl/>
        </w:rPr>
        <w:t>בראון, מוזיקה בישראל, עמ' 290</w:t>
      </w:r>
      <w:r w:rsidRPr="005D2CB3">
        <w:rPr>
          <w:rFonts w:ascii="David" w:hAnsi="David" w:cs="David"/>
        </w:rPr>
        <w:t>;</w:t>
      </w:r>
      <w:r w:rsidRPr="005D2CB3">
        <w:rPr>
          <w:rFonts w:ascii="David" w:hAnsi="David" w:cs="David"/>
          <w:rtl/>
        </w:rPr>
        <w:t xml:space="preserve"> וינר, תרבות המוזיקה, עמ' 49.</w:t>
      </w:r>
      <w:r>
        <w:rPr>
          <w:rFonts w:hint="cs"/>
          <w:rtl/>
        </w:rPr>
        <w:t xml:space="preserve"> </w:t>
      </w:r>
    </w:p>
  </w:footnote>
  <w:footnote w:id="33">
    <w:p w14:paraId="56562799" w14:textId="6A73CCEA" w:rsidR="008864AC" w:rsidRPr="00A73340" w:rsidRDefault="008864AC" w:rsidP="00A73340">
      <w:pPr>
        <w:spacing w:after="0"/>
        <w:jc w:val="both"/>
        <w:rPr>
          <w:rFonts w:cs="David"/>
          <w:sz w:val="20"/>
          <w:szCs w:val="20"/>
          <w:rtl/>
        </w:rPr>
      </w:pPr>
      <w:r>
        <w:rPr>
          <w:rStyle w:val="a5"/>
        </w:rPr>
        <w:footnoteRef/>
      </w:r>
      <w:r>
        <w:rPr>
          <w:rtl/>
        </w:rPr>
        <w:t xml:space="preserve"> </w:t>
      </w:r>
      <w:r w:rsidR="00A73340" w:rsidRPr="00A73340">
        <w:rPr>
          <w:rFonts w:ascii="David" w:hAnsi="David" w:cs="David"/>
          <w:sz w:val="20"/>
          <w:szCs w:val="20"/>
          <w:rtl/>
        </w:rPr>
        <w:t xml:space="preserve">ראו לעיל הערה מספר </w:t>
      </w:r>
      <w:r w:rsidR="00A73340" w:rsidRPr="000910C7">
        <w:rPr>
          <w:rFonts w:ascii="David" w:hAnsi="David" w:cs="David"/>
          <w:sz w:val="20"/>
          <w:szCs w:val="20"/>
          <w:rtl/>
        </w:rPr>
        <w:t>24</w:t>
      </w:r>
      <w:r w:rsidR="00A73340" w:rsidRPr="00A73340">
        <w:rPr>
          <w:rFonts w:ascii="David" w:hAnsi="David" w:cs="David"/>
          <w:sz w:val="20"/>
          <w:szCs w:val="20"/>
          <w:rtl/>
        </w:rPr>
        <w:t>.</w:t>
      </w:r>
      <w:r w:rsidR="00A73340">
        <w:rPr>
          <w:rFonts w:hint="cs"/>
          <w:rtl/>
        </w:rPr>
        <w:t xml:space="preserve"> </w:t>
      </w:r>
      <w:r w:rsidR="00BE1003" w:rsidRPr="00B87D19">
        <w:rPr>
          <w:rFonts w:cs="David" w:hint="cs"/>
          <w:rtl/>
        </w:rPr>
        <w:t xml:space="preserve"> </w:t>
      </w:r>
    </w:p>
  </w:footnote>
  <w:footnote w:id="34">
    <w:p w14:paraId="7114C378" w14:textId="1C836EC1" w:rsidR="003074AF" w:rsidRDefault="003074AF" w:rsidP="003074AF">
      <w:pPr>
        <w:pStyle w:val="a3"/>
        <w:spacing w:after="0"/>
        <w:jc w:val="both"/>
        <w:rPr>
          <w:rtl/>
        </w:rPr>
      </w:pPr>
      <w:r>
        <w:rPr>
          <w:rStyle w:val="a5"/>
        </w:rPr>
        <w:footnoteRef/>
      </w:r>
      <w:r>
        <w:rPr>
          <w:rtl/>
        </w:rPr>
        <w:t xml:space="preserve"> </w:t>
      </w:r>
      <w:r w:rsidRPr="003A351A">
        <w:rPr>
          <w:rFonts w:cs="David" w:hint="cs"/>
          <w:rtl/>
        </w:rPr>
        <w:t>היו חוקרים שהציעו שמדובר במקדש שבנו בני ישראל במדבר והחפץ שבתוכו הינו ארון הברית</w:t>
      </w:r>
      <w:r>
        <w:rPr>
          <w:rFonts w:hint="cs"/>
          <w:rtl/>
        </w:rPr>
        <w:t xml:space="preserve"> (</w:t>
      </w:r>
      <w:r w:rsidRPr="005D2CB3">
        <w:rPr>
          <w:rFonts w:ascii="David" w:hAnsi="David" w:cs="David"/>
          <w:rtl/>
        </w:rPr>
        <w:t>משורר, מטבעות, עמ' 139</w:t>
      </w:r>
      <w:r>
        <w:rPr>
          <w:rFonts w:ascii="David" w:hAnsi="David" w:cs="David" w:hint="cs"/>
          <w:rtl/>
        </w:rPr>
        <w:t xml:space="preserve">). </w:t>
      </w:r>
      <w:r w:rsidRPr="003A351A">
        <w:rPr>
          <w:rFonts w:cs="David" w:hint="cs"/>
          <w:rtl/>
        </w:rPr>
        <w:t>קוודוני</w:t>
      </w:r>
      <w:r>
        <w:rPr>
          <w:rFonts w:cs="David" w:hint="cs"/>
          <w:rtl/>
        </w:rPr>
        <w:t xml:space="preserve"> (</w:t>
      </w:r>
      <w:r w:rsidRPr="005D2CB3">
        <w:rPr>
          <w:rFonts w:ascii="David" w:hAnsi="David" w:cs="David"/>
          <w:rtl/>
        </w:rPr>
        <w:t>נומיסמטיקה, עמ' 34</w:t>
      </w:r>
      <w:r>
        <w:rPr>
          <w:rFonts w:ascii="David" w:hAnsi="David" w:cs="David" w:hint="cs"/>
          <w:rtl/>
        </w:rPr>
        <w:t>)</w:t>
      </w:r>
      <w:r w:rsidRPr="003A351A">
        <w:rPr>
          <w:rFonts w:cs="David" w:hint="cs"/>
          <w:rtl/>
        </w:rPr>
        <w:t>, זיהה את המבנה כבית כנסת ובמרכזו ארון קודש ובו ספרי תורה</w:t>
      </w:r>
      <w:r>
        <w:rPr>
          <w:rFonts w:cs="David" w:hint="cs"/>
          <w:rtl/>
        </w:rPr>
        <w:t xml:space="preserve">. </w:t>
      </w:r>
      <w:r w:rsidRPr="003A351A">
        <w:rPr>
          <w:rFonts w:cs="David" w:hint="cs"/>
          <w:rtl/>
        </w:rPr>
        <w:t xml:space="preserve">אחרים, טענו שמדובר </w:t>
      </w:r>
      <w:r>
        <w:rPr>
          <w:rFonts w:cs="David" w:hint="cs"/>
          <w:rtl/>
        </w:rPr>
        <w:t xml:space="preserve">בחזית </w:t>
      </w:r>
      <w:r w:rsidRPr="003A351A">
        <w:rPr>
          <w:rFonts w:cs="David" w:hint="cs"/>
          <w:rtl/>
        </w:rPr>
        <w:t xml:space="preserve">המקדש </w:t>
      </w:r>
      <w:r>
        <w:rPr>
          <w:rFonts w:cs="David" w:hint="cs"/>
          <w:rtl/>
        </w:rPr>
        <w:t>השני (</w:t>
      </w:r>
      <w:r w:rsidRPr="005D2CB3">
        <w:rPr>
          <w:rFonts w:ascii="David" w:hAnsi="David" w:cs="David"/>
          <w:rtl/>
        </w:rPr>
        <w:t>אבי -יונה, חזית מקדש הורדוס, עמ' 32</w:t>
      </w:r>
      <w:r w:rsidRPr="005D2CB3">
        <w:rPr>
          <w:rFonts w:ascii="David" w:hAnsi="David" w:cs="David" w:hint="cs"/>
          <w:rtl/>
        </w:rPr>
        <w:t>7</w:t>
      </w:r>
      <w:r w:rsidRPr="005D2CB3">
        <w:rPr>
          <w:rFonts w:ascii="David" w:hAnsi="David" w:cs="David"/>
          <w:rtl/>
        </w:rPr>
        <w:t xml:space="preserve"> </w:t>
      </w:r>
      <w:r w:rsidRPr="005D2CB3">
        <w:rPr>
          <w:rFonts w:ascii="David" w:hAnsi="David" w:cs="David" w:hint="cs"/>
          <w:rtl/>
        </w:rPr>
        <w:t>-</w:t>
      </w:r>
      <w:r w:rsidRPr="005D2CB3">
        <w:rPr>
          <w:rFonts w:ascii="David" w:hAnsi="David" w:cs="David"/>
          <w:rtl/>
        </w:rPr>
        <w:t xml:space="preserve"> 335</w:t>
      </w:r>
      <w:r w:rsidRPr="005D2CB3">
        <w:rPr>
          <w:rFonts w:ascii="David" w:hAnsi="David" w:cs="David"/>
        </w:rPr>
        <w:t>;</w:t>
      </w:r>
      <w:r w:rsidRPr="005D2CB3">
        <w:rPr>
          <w:rFonts w:ascii="David" w:hAnsi="David" w:cs="David"/>
          <w:rtl/>
        </w:rPr>
        <w:t xml:space="preserve"> פטריך, מבנה בית המקדש, עמ' 32 </w:t>
      </w:r>
      <w:r>
        <w:rPr>
          <w:rFonts w:ascii="David" w:hAnsi="David" w:cs="David" w:hint="cs"/>
          <w:rtl/>
        </w:rPr>
        <w:t>-</w:t>
      </w:r>
      <w:r w:rsidRPr="005D2CB3">
        <w:rPr>
          <w:rFonts w:ascii="David" w:hAnsi="David" w:cs="David"/>
          <w:rtl/>
        </w:rPr>
        <w:t xml:space="preserve"> 40</w:t>
      </w:r>
      <w:r>
        <w:rPr>
          <w:rFonts w:ascii="David" w:hAnsi="David" w:cs="David" w:hint="cs"/>
          <w:rtl/>
        </w:rPr>
        <w:t>).</w:t>
      </w:r>
      <w:r w:rsidRPr="003A351A">
        <w:rPr>
          <w:rFonts w:cs="David" w:hint="cs"/>
          <w:rtl/>
        </w:rPr>
        <w:t xml:space="preserve"> מילדנברג</w:t>
      </w:r>
      <w:r>
        <w:rPr>
          <w:rFonts w:cs="David" w:hint="cs"/>
          <w:rtl/>
        </w:rPr>
        <w:t xml:space="preserve"> (</w:t>
      </w:r>
      <w:r w:rsidRPr="005D2CB3">
        <w:rPr>
          <w:rFonts w:ascii="David" w:hAnsi="David" w:cs="David"/>
          <w:rtl/>
        </w:rPr>
        <w:t xml:space="preserve">מטבעות, עמ' 33 </w:t>
      </w:r>
      <w:r>
        <w:rPr>
          <w:rFonts w:ascii="David" w:hAnsi="David" w:cs="David" w:hint="cs"/>
          <w:rtl/>
        </w:rPr>
        <w:t>-</w:t>
      </w:r>
      <w:r w:rsidRPr="005D2CB3">
        <w:rPr>
          <w:rFonts w:ascii="David" w:hAnsi="David" w:cs="David"/>
          <w:rtl/>
        </w:rPr>
        <w:t xml:space="preserve"> 43</w:t>
      </w:r>
      <w:r>
        <w:rPr>
          <w:rFonts w:ascii="David" w:hAnsi="David" w:cs="David" w:hint="cs"/>
          <w:rtl/>
        </w:rPr>
        <w:t>)</w:t>
      </w:r>
      <w:r w:rsidRPr="003A351A">
        <w:rPr>
          <w:rFonts w:cs="David" w:hint="cs"/>
          <w:rtl/>
        </w:rPr>
        <w:t xml:space="preserve">, הציע שהחפץ שבתוך המבנה הינו ארון הברית והמבנה עצמו הוא המקדש שחרב בשנת 70 </w:t>
      </w:r>
      <w:r w:rsidR="00F9033D">
        <w:rPr>
          <w:rFonts w:cs="David" w:hint="cs"/>
          <w:rtl/>
        </w:rPr>
        <w:t>לסה"נ</w:t>
      </w:r>
      <w:r w:rsidRPr="003A351A">
        <w:rPr>
          <w:rFonts w:cs="David" w:hint="cs"/>
          <w:rtl/>
        </w:rPr>
        <w:t>, או המקדש</w:t>
      </w:r>
      <w:r>
        <w:rPr>
          <w:rFonts w:cs="David" w:hint="cs"/>
          <w:rtl/>
        </w:rPr>
        <w:t xml:space="preserve"> </w:t>
      </w:r>
      <w:r w:rsidRPr="003A351A">
        <w:rPr>
          <w:rFonts w:cs="David" w:hint="cs"/>
          <w:rtl/>
        </w:rPr>
        <w:t>ששאפו המורדים להקים</w:t>
      </w:r>
      <w:r>
        <w:rPr>
          <w:rFonts w:cs="David" w:hint="cs"/>
          <w:rtl/>
        </w:rPr>
        <w:t xml:space="preserve">. </w:t>
      </w:r>
      <w:r w:rsidRPr="003A351A">
        <w:rPr>
          <w:rFonts w:cs="David" w:hint="cs"/>
          <w:rtl/>
        </w:rPr>
        <w:t>גם לדעת בר"ג</w:t>
      </w:r>
      <w:r>
        <w:rPr>
          <w:rFonts w:cs="David" w:hint="cs"/>
          <w:rtl/>
        </w:rPr>
        <w:t xml:space="preserve"> (שולחן, עמ' 24)</w:t>
      </w:r>
      <w:r w:rsidRPr="003A351A">
        <w:rPr>
          <w:rFonts w:cs="David" w:hint="cs"/>
          <w:rtl/>
        </w:rPr>
        <w:t>, המבנה  הינו המקדש ששאפו המורדים להקים, אולם החפץ שנמצא בתוכו הינו שולחן לחם הפנים</w:t>
      </w:r>
      <w:r>
        <w:rPr>
          <w:rFonts w:ascii="David" w:hAnsi="David" w:cs="David" w:hint="cs"/>
          <w:rtl/>
        </w:rPr>
        <w:t xml:space="preserve">. </w:t>
      </w:r>
      <w:r>
        <w:rPr>
          <w:rFonts w:cs="David" w:hint="cs"/>
          <w:rtl/>
        </w:rPr>
        <w:t>כמו כן</w:t>
      </w:r>
      <w:r w:rsidRPr="003A351A">
        <w:rPr>
          <w:rFonts w:cs="David" w:hint="cs"/>
          <w:rtl/>
        </w:rPr>
        <w:t>, קיימת אי בהירות גם באשר למהימנות התיאור שעל המטבעות</w:t>
      </w:r>
      <w:r>
        <w:rPr>
          <w:rFonts w:cs="David" w:hint="cs"/>
          <w:rtl/>
        </w:rPr>
        <w:t xml:space="preserve"> (</w:t>
      </w:r>
      <w:r w:rsidRPr="005D2CB3">
        <w:rPr>
          <w:rFonts w:ascii="David" w:hAnsi="David" w:cs="David"/>
          <w:rtl/>
        </w:rPr>
        <w:t>אשל וזיסו, העדות הארכיאולוגית, עמ' 119</w:t>
      </w:r>
      <w:r>
        <w:rPr>
          <w:rFonts w:ascii="David" w:hAnsi="David" w:cs="David" w:hint="cs"/>
          <w:rtl/>
        </w:rPr>
        <w:t xml:space="preserve">). </w:t>
      </w:r>
      <w:r w:rsidRPr="003A351A">
        <w:rPr>
          <w:rFonts w:cs="David" w:hint="cs"/>
          <w:rtl/>
        </w:rPr>
        <w:t xml:space="preserve">לדעת משורר, </w:t>
      </w:r>
      <w:r>
        <w:rPr>
          <w:rFonts w:cs="David" w:hint="cs"/>
          <w:rtl/>
        </w:rPr>
        <w:t xml:space="preserve">מטבעות היהודים, עמ' 127, </w:t>
      </w:r>
      <w:r w:rsidRPr="003A351A">
        <w:rPr>
          <w:rFonts w:cs="David" w:hint="cs"/>
          <w:rtl/>
        </w:rPr>
        <w:t xml:space="preserve">מדובר בתיאור חזית </w:t>
      </w:r>
      <w:r>
        <w:rPr>
          <w:rFonts w:cs="David" w:hint="cs"/>
          <w:rtl/>
        </w:rPr>
        <w:t xml:space="preserve">בית </w:t>
      </w:r>
      <w:r w:rsidRPr="003A351A">
        <w:rPr>
          <w:rFonts w:cs="David" w:hint="cs"/>
          <w:rtl/>
        </w:rPr>
        <w:t>המקדש</w:t>
      </w:r>
      <w:r>
        <w:rPr>
          <w:rFonts w:cs="David" w:hint="cs"/>
          <w:rtl/>
        </w:rPr>
        <w:t xml:space="preserve"> השני</w:t>
      </w:r>
      <w:r w:rsidRPr="003A351A">
        <w:rPr>
          <w:rFonts w:cs="David" w:hint="cs"/>
          <w:rtl/>
        </w:rPr>
        <w:t>, אולם אין לראות בו תיאור מדויק מבחינה היסטורית. לעומת זאת, לדעת טנדלר,</w:t>
      </w:r>
      <w:r>
        <w:rPr>
          <w:rFonts w:cs="David" w:hint="cs"/>
          <w:rtl/>
        </w:rPr>
        <w:t xml:space="preserve"> הדגמים, עמ', 293,</w:t>
      </w:r>
      <w:r w:rsidRPr="003A351A">
        <w:rPr>
          <w:rFonts w:cs="David" w:hint="cs"/>
          <w:rtl/>
        </w:rPr>
        <w:t xml:space="preserve"> המבנה המתואר על המטבעות משמר את מראה חזית המקדש שנחקק בזיכרונם של המורדים</w:t>
      </w:r>
      <w:r>
        <w:rPr>
          <w:rFonts w:ascii="David" w:hAnsi="David" w:cs="David" w:hint="cs"/>
          <w:rtl/>
        </w:rPr>
        <w:t xml:space="preserve">. </w:t>
      </w:r>
    </w:p>
  </w:footnote>
  <w:footnote w:id="35">
    <w:p w14:paraId="449BC2D6" w14:textId="77777777" w:rsidR="003074AF" w:rsidRPr="005D2CB3" w:rsidRDefault="003074AF" w:rsidP="003074AF">
      <w:pPr>
        <w:pStyle w:val="a3"/>
        <w:spacing w:after="0"/>
        <w:rPr>
          <w:rtl/>
        </w:rPr>
      </w:pPr>
      <w:r w:rsidRPr="005D2CB3">
        <w:rPr>
          <w:rStyle w:val="a5"/>
        </w:rPr>
        <w:footnoteRef/>
      </w:r>
      <w:r w:rsidRPr="005D2CB3">
        <w:rPr>
          <w:rtl/>
        </w:rPr>
        <w:t xml:space="preserve"> </w:t>
      </w:r>
      <w:r w:rsidRPr="005D2CB3">
        <w:rPr>
          <w:rFonts w:ascii="David" w:hAnsi="David" w:cs="David"/>
          <w:rtl/>
        </w:rPr>
        <w:t xml:space="preserve">בר"ג, </w:t>
      </w:r>
      <w:r>
        <w:rPr>
          <w:rFonts w:ascii="David" w:hAnsi="David" w:cs="David" w:hint="cs"/>
          <w:rtl/>
        </w:rPr>
        <w:t>שם</w:t>
      </w:r>
      <w:r w:rsidRPr="005D2CB3">
        <w:rPr>
          <w:rFonts w:ascii="David" w:hAnsi="David" w:cs="David"/>
          <w:rtl/>
        </w:rPr>
        <w:t>, עמ' 23.</w:t>
      </w:r>
      <w:r w:rsidRPr="005D2CB3">
        <w:rPr>
          <w:rFonts w:hint="cs"/>
          <w:rtl/>
        </w:rPr>
        <w:t xml:space="preserve"> </w:t>
      </w:r>
    </w:p>
  </w:footnote>
  <w:footnote w:id="36">
    <w:p w14:paraId="268E697B" w14:textId="77777777" w:rsidR="003074AF" w:rsidRPr="005D2CB3" w:rsidRDefault="003074AF" w:rsidP="003074AF">
      <w:pPr>
        <w:pStyle w:val="a3"/>
        <w:spacing w:after="0"/>
      </w:pPr>
      <w:r w:rsidRPr="005D2CB3">
        <w:rPr>
          <w:rStyle w:val="a5"/>
        </w:rPr>
        <w:footnoteRef/>
      </w:r>
      <w:r w:rsidRPr="005D2CB3">
        <w:rPr>
          <w:rtl/>
        </w:rPr>
        <w:t xml:space="preserve"> </w:t>
      </w:r>
      <w:r w:rsidRPr="005D2CB3">
        <w:rPr>
          <w:rFonts w:ascii="David" w:hAnsi="David" w:cs="David"/>
          <w:rtl/>
        </w:rPr>
        <w:t>עמר, ארבעת המינים, עמ' 7</w:t>
      </w:r>
      <w:r>
        <w:rPr>
          <w:rFonts w:ascii="David" w:hAnsi="David" w:cs="David"/>
        </w:rPr>
        <w:t>;</w:t>
      </w:r>
      <w:r w:rsidRPr="005D2CB3">
        <w:rPr>
          <w:rFonts w:ascii="David" w:hAnsi="David" w:cs="David"/>
          <w:rtl/>
        </w:rPr>
        <w:t xml:space="preserve"> </w:t>
      </w:r>
      <w:r w:rsidRPr="005D2CB3">
        <w:rPr>
          <w:rFonts w:ascii="David" w:hAnsi="David" w:cs="David" w:hint="cs"/>
          <w:rtl/>
        </w:rPr>
        <w:t>הנ"ל, שולחן לחם הפנים</w:t>
      </w:r>
      <w:r w:rsidRPr="005D2CB3">
        <w:rPr>
          <w:rFonts w:ascii="David" w:hAnsi="David" w:cs="David"/>
          <w:rtl/>
        </w:rPr>
        <w:t>, עמ' 93 - 95.</w:t>
      </w:r>
      <w:r w:rsidRPr="005D2CB3">
        <w:rPr>
          <w:rFonts w:hint="cs"/>
          <w:rtl/>
        </w:rPr>
        <w:t xml:space="preserve"> </w:t>
      </w:r>
    </w:p>
  </w:footnote>
  <w:footnote w:id="37">
    <w:p w14:paraId="40715013" w14:textId="77777777" w:rsidR="003074AF" w:rsidRPr="005D2CB3" w:rsidRDefault="003074AF" w:rsidP="003074AF">
      <w:pPr>
        <w:pStyle w:val="a3"/>
        <w:spacing w:after="0"/>
        <w:rPr>
          <w:rtl/>
        </w:rPr>
      </w:pPr>
      <w:r w:rsidRPr="005D2CB3">
        <w:rPr>
          <w:rStyle w:val="a5"/>
        </w:rPr>
        <w:footnoteRef/>
      </w:r>
      <w:r w:rsidRPr="005D2CB3">
        <w:rPr>
          <w:rtl/>
        </w:rPr>
        <w:t xml:space="preserve"> </w:t>
      </w:r>
      <w:r w:rsidRPr="005D2CB3">
        <w:rPr>
          <w:rFonts w:ascii="David" w:hAnsi="David" w:cs="David"/>
          <w:rtl/>
        </w:rPr>
        <w:t>לוורגרן, לירות, עמ' 56.</w:t>
      </w:r>
      <w:r w:rsidRPr="005D2CB3">
        <w:rPr>
          <w:rFonts w:hint="cs"/>
          <w:rtl/>
        </w:rPr>
        <w:t xml:space="preserve"> </w:t>
      </w:r>
    </w:p>
  </w:footnote>
  <w:footnote w:id="38">
    <w:p w14:paraId="5619D22D" w14:textId="211DE232" w:rsidR="003074AF" w:rsidRDefault="003074AF" w:rsidP="003074AF">
      <w:pPr>
        <w:pStyle w:val="a3"/>
        <w:spacing w:after="0"/>
        <w:jc w:val="both"/>
        <w:rPr>
          <w:rtl/>
        </w:rPr>
      </w:pPr>
      <w:r w:rsidRPr="005D2CB3">
        <w:rPr>
          <w:rStyle w:val="a5"/>
        </w:rPr>
        <w:footnoteRef/>
      </w:r>
      <w:r w:rsidRPr="005D2CB3">
        <w:rPr>
          <w:rFonts w:asciiTheme="majorBidi" w:hAnsiTheme="majorBidi" w:cs="David" w:hint="cs"/>
          <w:rtl/>
        </w:rPr>
        <w:t xml:space="preserve"> אינדריאס, חצוצרת הרועים, עמ' 9</w:t>
      </w:r>
      <w:r w:rsidRPr="000A3464">
        <w:rPr>
          <w:rFonts w:ascii="David" w:hAnsi="David" w:cs="David"/>
        </w:rPr>
        <w:t>;</w:t>
      </w:r>
      <w:r w:rsidRPr="000A3464">
        <w:rPr>
          <w:rFonts w:ascii="David" w:hAnsi="David" w:cs="David"/>
          <w:rtl/>
        </w:rPr>
        <w:t xml:space="preserve"> </w:t>
      </w:r>
      <w:r w:rsidRPr="005D2CB3">
        <w:rPr>
          <w:rFonts w:asciiTheme="majorBidi" w:hAnsiTheme="majorBidi" w:cs="David" w:hint="cs"/>
          <w:rtl/>
        </w:rPr>
        <w:t xml:space="preserve">קולר, מילון, עמ' </w:t>
      </w:r>
      <w:r w:rsidRPr="005D2CB3">
        <w:rPr>
          <w:rFonts w:cs="David" w:hint="cs"/>
          <w:rtl/>
        </w:rPr>
        <w:t>15</w:t>
      </w:r>
      <w:r w:rsidR="00D204D8">
        <w:rPr>
          <w:rFonts w:cs="David"/>
          <w:lang w:val="en-US"/>
        </w:rPr>
        <w:t>;</w:t>
      </w:r>
      <w:r w:rsidR="00D204D8">
        <w:rPr>
          <w:rFonts w:cs="David" w:hint="cs"/>
          <w:rtl/>
          <w:lang w:val="en-US"/>
        </w:rPr>
        <w:t xml:space="preserve"> פיאמנטה, החצוצרה</w:t>
      </w:r>
      <w:r w:rsidR="00D204D8">
        <w:rPr>
          <w:rFonts w:cs="David" w:hint="cs"/>
          <w:rtl/>
        </w:rPr>
        <w:t xml:space="preserve">, </w:t>
      </w:r>
      <w:r w:rsidRPr="0026293E">
        <w:rPr>
          <w:rFonts w:cs="David" w:hint="cs"/>
          <w:rtl/>
        </w:rPr>
        <w:t>עמ' 123 - 124.</w:t>
      </w:r>
    </w:p>
  </w:footnote>
  <w:footnote w:id="39">
    <w:p w14:paraId="37A0EA0E" w14:textId="77777777" w:rsidR="003074AF" w:rsidRPr="005D2CB3" w:rsidRDefault="003074AF" w:rsidP="003074AF">
      <w:pPr>
        <w:pStyle w:val="a3"/>
        <w:spacing w:after="0"/>
      </w:pPr>
      <w:r w:rsidRPr="005D2CB3">
        <w:rPr>
          <w:rStyle w:val="a5"/>
        </w:rPr>
        <w:footnoteRef/>
      </w:r>
      <w:r w:rsidRPr="005D2CB3">
        <w:rPr>
          <w:rtl/>
        </w:rPr>
        <w:t xml:space="preserve"> </w:t>
      </w:r>
      <w:r w:rsidRPr="005D2CB3">
        <w:rPr>
          <w:rFonts w:ascii="David" w:hAnsi="David" w:cs="David"/>
          <w:rtl/>
        </w:rPr>
        <w:t xml:space="preserve">ווגנר, סרקופגים, </w:t>
      </w:r>
      <w:r w:rsidRPr="005D2CB3">
        <w:rPr>
          <w:rFonts w:ascii="David" w:hAnsi="David" w:cs="David" w:hint="cs"/>
          <w:rtl/>
        </w:rPr>
        <w:t>לוח 2,</w:t>
      </w:r>
      <w:r w:rsidRPr="005D2CB3">
        <w:rPr>
          <w:rFonts w:ascii="David" w:hAnsi="David" w:cs="David"/>
          <w:rtl/>
        </w:rPr>
        <w:t xml:space="preserve"> עמ' 21 - 22.</w:t>
      </w:r>
      <w:r w:rsidRPr="005D2CB3">
        <w:rPr>
          <w:rFonts w:hint="cs"/>
          <w:rtl/>
        </w:rPr>
        <w:t xml:space="preserve"> </w:t>
      </w:r>
    </w:p>
  </w:footnote>
  <w:footnote w:id="40">
    <w:p w14:paraId="333FEF88" w14:textId="77777777" w:rsidR="003074AF" w:rsidRDefault="003074AF" w:rsidP="003074AF">
      <w:pPr>
        <w:pStyle w:val="a3"/>
        <w:spacing w:after="0"/>
      </w:pPr>
      <w:r w:rsidRPr="005D2CB3">
        <w:rPr>
          <w:rStyle w:val="a5"/>
        </w:rPr>
        <w:footnoteRef/>
      </w:r>
      <w:r w:rsidRPr="005D2CB3">
        <w:rPr>
          <w:rtl/>
        </w:rPr>
        <w:t xml:space="preserve"> </w:t>
      </w:r>
      <w:r w:rsidRPr="005D2CB3">
        <w:rPr>
          <w:rFonts w:ascii="David" w:hAnsi="David" w:cs="David"/>
          <w:rtl/>
        </w:rPr>
        <w:t xml:space="preserve">ווגנר, </w:t>
      </w:r>
      <w:r>
        <w:rPr>
          <w:rFonts w:ascii="David" w:hAnsi="David" w:cs="David" w:hint="cs"/>
          <w:rtl/>
        </w:rPr>
        <w:t>סרקופגים</w:t>
      </w:r>
      <w:r w:rsidRPr="005D2CB3">
        <w:rPr>
          <w:rFonts w:ascii="David" w:hAnsi="David" w:cs="David"/>
          <w:rtl/>
        </w:rPr>
        <w:t>, לוח 17, עמ' 78 - 79.</w:t>
      </w:r>
      <w:r>
        <w:rPr>
          <w:rFonts w:hint="cs"/>
          <w:rtl/>
        </w:rPr>
        <w:t xml:space="preserve"> </w:t>
      </w:r>
    </w:p>
  </w:footnote>
  <w:footnote w:id="41">
    <w:p w14:paraId="36D50315" w14:textId="77777777" w:rsidR="003074AF" w:rsidRDefault="003074AF" w:rsidP="003074AF">
      <w:pPr>
        <w:pStyle w:val="a3"/>
        <w:spacing w:after="0"/>
        <w:jc w:val="both"/>
      </w:pPr>
      <w:r w:rsidRPr="00E305F9">
        <w:rPr>
          <w:rStyle w:val="a5"/>
        </w:rPr>
        <w:footnoteRef/>
      </w:r>
      <w:r w:rsidRPr="00E305F9">
        <w:rPr>
          <w:rFonts w:cs="David" w:hint="cs"/>
          <w:rtl/>
        </w:rPr>
        <w:t xml:space="preserve"> מאץ, סרקופגים, עמ' 248 - 249, וכן בלוח מספר 134.</w:t>
      </w:r>
      <w:r>
        <w:rPr>
          <w:rFonts w:cs="David" w:hint="cs"/>
          <w:rtl/>
        </w:rPr>
        <w:t xml:space="preserve"> </w:t>
      </w:r>
    </w:p>
  </w:footnote>
  <w:footnote w:id="42">
    <w:p w14:paraId="24E40BD5" w14:textId="77777777" w:rsidR="003074AF" w:rsidRPr="00E305F9" w:rsidRDefault="003074AF" w:rsidP="003074AF">
      <w:pPr>
        <w:pStyle w:val="a3"/>
        <w:spacing w:after="0"/>
      </w:pPr>
      <w:r w:rsidRPr="00E305F9">
        <w:rPr>
          <w:rStyle w:val="a5"/>
        </w:rPr>
        <w:footnoteRef/>
      </w:r>
      <w:r w:rsidRPr="00E305F9">
        <w:rPr>
          <w:rFonts w:cs="David" w:hint="cs"/>
          <w:rtl/>
        </w:rPr>
        <w:t xml:space="preserve"> באראט ומצגר, סרקופגים, עמ' 138 - 139.</w:t>
      </w:r>
    </w:p>
  </w:footnote>
  <w:footnote w:id="43">
    <w:p w14:paraId="5BA69DA1" w14:textId="77777777" w:rsidR="003074AF" w:rsidRDefault="003074AF" w:rsidP="003074AF">
      <w:pPr>
        <w:pStyle w:val="a3"/>
        <w:spacing w:after="0"/>
      </w:pPr>
      <w:r w:rsidRPr="00E305F9">
        <w:rPr>
          <w:rStyle w:val="a5"/>
        </w:rPr>
        <w:footnoteRef/>
      </w:r>
      <w:r w:rsidRPr="00E305F9">
        <w:rPr>
          <w:rFonts w:cs="David" w:hint="cs"/>
          <w:rtl/>
        </w:rPr>
        <w:t xml:space="preserve"> ווגנר, סרקופגים, לוח 47, עמ' 9 - 10.</w:t>
      </w:r>
      <w:r>
        <w:rPr>
          <w:rFonts w:cs="David" w:hint="cs"/>
          <w:rtl/>
        </w:rPr>
        <w:t xml:space="preserve"> </w:t>
      </w:r>
    </w:p>
  </w:footnote>
  <w:footnote w:id="44">
    <w:p w14:paraId="21FA0C9F" w14:textId="096E0F45" w:rsidR="003074AF" w:rsidRDefault="003074AF" w:rsidP="003074AF">
      <w:pPr>
        <w:pStyle w:val="a3"/>
        <w:spacing w:after="0"/>
      </w:pPr>
      <w:r>
        <w:rPr>
          <w:rStyle w:val="a5"/>
        </w:rPr>
        <w:footnoteRef/>
      </w:r>
      <w:r>
        <w:rPr>
          <w:rtl/>
        </w:rPr>
        <w:t xml:space="preserve"> </w:t>
      </w:r>
      <w:r w:rsidRPr="00B60344">
        <w:rPr>
          <w:rFonts w:cs="David" w:hint="cs"/>
          <w:rtl/>
        </w:rPr>
        <w:t>בדומה לצורת הנבל והכינור המתוארים על המטבעות, המגלים אף הם דמיון לצורת כלי הפריטה המופיעים על גבי ארונות הקבורה הרומיים, כפי שטען לוורגרן, לעיל</w:t>
      </w:r>
      <w:r>
        <w:rPr>
          <w:rFonts w:cs="David" w:hint="cs"/>
          <w:rtl/>
        </w:rPr>
        <w:t>.</w:t>
      </w:r>
      <w:r w:rsidR="00253711">
        <w:rPr>
          <w:rFonts w:hint="cs"/>
          <w:rtl/>
        </w:rPr>
        <w:t xml:space="preserve"> </w:t>
      </w:r>
    </w:p>
  </w:footnote>
  <w:footnote w:id="45">
    <w:p w14:paraId="57E4BFE4" w14:textId="2DB846E6" w:rsidR="0062291A" w:rsidRDefault="0062291A" w:rsidP="0062291A">
      <w:pPr>
        <w:pStyle w:val="a3"/>
        <w:spacing w:after="0"/>
        <w:rPr>
          <w:rFonts w:hint="cs"/>
        </w:rPr>
      </w:pPr>
      <w:r>
        <w:rPr>
          <w:rStyle w:val="a5"/>
        </w:rPr>
        <w:footnoteRef/>
      </w:r>
      <w:r>
        <w:rPr>
          <w:rtl/>
        </w:rPr>
        <w:t xml:space="preserve"> </w:t>
      </w:r>
      <w:r w:rsidRPr="0062291A">
        <w:rPr>
          <w:rFonts w:ascii="David" w:hAnsi="David" w:cs="David"/>
          <w:rtl/>
        </w:rPr>
        <w:t>פיאמנטה, החצוצרה, עמ' 111 – 141.</w:t>
      </w:r>
      <w:r>
        <w:rPr>
          <w:rFonts w:hint="cs"/>
          <w:rtl/>
        </w:rPr>
        <w:t xml:space="preserve"> </w:t>
      </w:r>
    </w:p>
  </w:footnote>
  <w:footnote w:id="46">
    <w:p w14:paraId="4FBD0048" w14:textId="77777777" w:rsidR="00D17529" w:rsidRPr="00E305F9" w:rsidRDefault="00D17529" w:rsidP="00D17529">
      <w:pPr>
        <w:pStyle w:val="a3"/>
        <w:spacing w:after="0"/>
      </w:pPr>
      <w:r w:rsidRPr="00E305F9">
        <w:rPr>
          <w:rStyle w:val="a5"/>
        </w:rPr>
        <w:footnoteRef/>
      </w:r>
      <w:r w:rsidRPr="00E305F9">
        <w:rPr>
          <w:rtl/>
        </w:rPr>
        <w:t xml:space="preserve"> </w:t>
      </w:r>
      <w:r w:rsidRPr="007065EC">
        <w:rPr>
          <w:rFonts w:ascii="David" w:hAnsi="David" w:cs="David"/>
          <w:rtl/>
        </w:rPr>
        <w:t xml:space="preserve">ראו לעיל </w:t>
      </w:r>
      <w:r w:rsidRPr="007065EC">
        <w:rPr>
          <w:rFonts w:ascii="David" w:hAnsi="David" w:cs="David" w:hint="cs"/>
          <w:rtl/>
        </w:rPr>
        <w:t>הערה 16.</w:t>
      </w:r>
      <w:r w:rsidRPr="007065EC">
        <w:rPr>
          <w:rFonts w:hint="cs"/>
          <w:rtl/>
        </w:rPr>
        <w:t xml:space="preserve"> </w:t>
      </w:r>
    </w:p>
  </w:footnote>
  <w:footnote w:id="47">
    <w:p w14:paraId="19DBC563" w14:textId="688867B1" w:rsidR="003074AF" w:rsidRPr="00E305F9" w:rsidRDefault="003074AF" w:rsidP="003074AF">
      <w:pPr>
        <w:pStyle w:val="a3"/>
        <w:spacing w:after="0"/>
        <w:jc w:val="both"/>
        <w:rPr>
          <w:rtl/>
        </w:rPr>
      </w:pPr>
      <w:r w:rsidRPr="00E305F9">
        <w:rPr>
          <w:rStyle w:val="a5"/>
        </w:rPr>
        <w:footnoteRef/>
      </w:r>
      <w:r w:rsidRPr="00E305F9">
        <w:rPr>
          <w:rtl/>
        </w:rPr>
        <w:t xml:space="preserve"> </w:t>
      </w:r>
      <w:r w:rsidRPr="005C303E">
        <w:rPr>
          <w:rFonts w:ascii="David" w:hAnsi="David" w:cs="David"/>
          <w:rtl/>
        </w:rPr>
        <w:t xml:space="preserve">ראו לעיל </w:t>
      </w:r>
      <w:r w:rsidRPr="005C303E">
        <w:rPr>
          <w:rFonts w:ascii="David" w:hAnsi="David" w:cs="David" w:hint="cs"/>
          <w:rtl/>
        </w:rPr>
        <w:t xml:space="preserve">הערה </w:t>
      </w:r>
      <w:r w:rsidR="005C303E" w:rsidRPr="005C303E">
        <w:rPr>
          <w:rFonts w:ascii="David" w:hAnsi="David" w:cs="David" w:hint="cs"/>
          <w:rtl/>
        </w:rPr>
        <w:t>17</w:t>
      </w:r>
      <w:r w:rsidRPr="005C303E">
        <w:rPr>
          <w:rFonts w:ascii="David" w:hAnsi="David" w:cs="David" w:hint="cs"/>
          <w:rtl/>
        </w:rPr>
        <w:t>.</w:t>
      </w:r>
      <w:r w:rsidRPr="005C303E">
        <w:rPr>
          <w:rFonts w:ascii="David" w:hAnsi="David" w:cs="David"/>
          <w:rtl/>
        </w:rPr>
        <w:t xml:space="preserve"> </w:t>
      </w:r>
      <w:r w:rsidRPr="00E305F9">
        <w:rPr>
          <w:rFonts w:ascii="David" w:hAnsi="David" w:cs="David"/>
          <w:rtl/>
        </w:rPr>
        <w:t>המקורות התנאיים וכן המקורות בספרות בית שני שבידינו אינם מתארים שימוש שנעשה בחצוצרות בחג השבועות. לפיכך, אין באפשרותנו לדון באפשרות שמדובר ב</w:t>
      </w:r>
      <w:r w:rsidRPr="00E305F9">
        <w:rPr>
          <w:rFonts w:ascii="David" w:hAnsi="David" w:cs="David" w:hint="cs"/>
          <w:rtl/>
        </w:rPr>
        <w:t xml:space="preserve">תיאור הקשור לחג </w:t>
      </w:r>
      <w:r w:rsidRPr="00E305F9">
        <w:rPr>
          <w:rFonts w:ascii="David" w:hAnsi="David" w:cs="David"/>
          <w:rtl/>
        </w:rPr>
        <w:t>זה.</w:t>
      </w:r>
    </w:p>
  </w:footnote>
  <w:footnote w:id="48">
    <w:p w14:paraId="1F302409" w14:textId="39370DDF" w:rsidR="003074AF" w:rsidRDefault="003074AF" w:rsidP="003074AF">
      <w:pPr>
        <w:pStyle w:val="a3"/>
        <w:spacing w:after="0"/>
        <w:jc w:val="both"/>
      </w:pPr>
      <w:r w:rsidRPr="00E305F9">
        <w:rPr>
          <w:rStyle w:val="a5"/>
        </w:rPr>
        <w:footnoteRef/>
      </w:r>
      <w:r w:rsidRPr="00E305F9">
        <w:rPr>
          <w:rtl/>
        </w:rPr>
        <w:t xml:space="preserve"> </w:t>
      </w:r>
      <w:r w:rsidRPr="00E305F9">
        <w:rPr>
          <w:rFonts w:ascii="David" w:hAnsi="David" w:cs="David"/>
          <w:rtl/>
        </w:rPr>
        <w:t>זאת כאמור, בשל דגמי ארבעת המינים וכן אולי גם דגם הצלוחית המופיעים על המטבעות</w:t>
      </w:r>
      <w:r w:rsidR="00B25494">
        <w:rPr>
          <w:rFonts w:ascii="David" w:hAnsi="David" w:cs="David" w:hint="cs"/>
          <w:rtl/>
        </w:rPr>
        <w:t xml:space="preserve"> (ראו לעיל הערה 18). </w:t>
      </w:r>
      <w:r w:rsidRPr="00E305F9">
        <w:rPr>
          <w:rFonts w:hint="cs"/>
          <w:rtl/>
        </w:rPr>
        <w:t xml:space="preserve"> </w:t>
      </w:r>
    </w:p>
  </w:footnote>
  <w:footnote w:id="49">
    <w:p w14:paraId="14E3222C" w14:textId="056DE532" w:rsidR="003074AF" w:rsidRPr="00E305F9" w:rsidRDefault="003074AF" w:rsidP="003074AF">
      <w:pPr>
        <w:pStyle w:val="a3"/>
        <w:spacing w:after="0"/>
        <w:jc w:val="both"/>
      </w:pPr>
      <w:r w:rsidRPr="00E305F9">
        <w:rPr>
          <w:rStyle w:val="a5"/>
        </w:rPr>
        <w:footnoteRef/>
      </w:r>
      <w:r w:rsidRPr="00E305F9">
        <w:rPr>
          <w:rtl/>
        </w:rPr>
        <w:t xml:space="preserve"> </w:t>
      </w:r>
      <w:r w:rsidRPr="00E305F9">
        <w:rPr>
          <w:rFonts w:ascii="David" w:hAnsi="David" w:cs="David"/>
          <w:rtl/>
        </w:rPr>
        <w:t>ספר בן סירא נ</w:t>
      </w:r>
      <w:r w:rsidR="00D75FC3">
        <w:rPr>
          <w:rFonts w:ascii="David" w:hAnsi="David" w:cs="David" w:hint="cs"/>
          <w:rtl/>
        </w:rPr>
        <w:t>, נ</w:t>
      </w:r>
      <w:r>
        <w:rPr>
          <w:rFonts w:ascii="David" w:hAnsi="David" w:cs="David"/>
        </w:rPr>
        <w:t>;</w:t>
      </w:r>
      <w:r w:rsidRPr="00E305F9">
        <w:rPr>
          <w:rFonts w:ascii="David" w:hAnsi="David" w:cs="David"/>
          <w:rtl/>
        </w:rPr>
        <w:t xml:space="preserve"> מגילת המלחמה ממגילות מדבר יהודה טורים ז - ט, טז </w:t>
      </w:r>
      <w:r>
        <w:rPr>
          <w:rFonts w:ascii="David" w:hAnsi="David" w:cs="David" w:hint="cs"/>
          <w:rtl/>
        </w:rPr>
        <w:t>-</w:t>
      </w:r>
      <w:r w:rsidRPr="00E305F9">
        <w:rPr>
          <w:rFonts w:ascii="David" w:hAnsi="David" w:cs="David"/>
          <w:rtl/>
        </w:rPr>
        <w:t xml:space="preserve"> יח</w:t>
      </w:r>
      <w:r>
        <w:rPr>
          <w:rFonts w:ascii="David" w:hAnsi="David" w:cs="David"/>
        </w:rPr>
        <w:t>;</w:t>
      </w:r>
      <w:r w:rsidRPr="00E305F9">
        <w:rPr>
          <w:rFonts w:ascii="David" w:hAnsi="David" w:cs="David"/>
          <w:rtl/>
        </w:rPr>
        <w:t xml:space="preserve"> יוספוס</w:t>
      </w:r>
      <w:r w:rsidRPr="00E305F9">
        <w:rPr>
          <w:rFonts w:ascii="David" w:hAnsi="David" w:cs="David" w:hint="cs"/>
          <w:rtl/>
        </w:rPr>
        <w:t>,</w:t>
      </w:r>
      <w:r w:rsidRPr="00E305F9">
        <w:rPr>
          <w:rFonts w:ascii="David" w:hAnsi="David" w:cs="David"/>
          <w:spacing w:val="-2"/>
          <w:rtl/>
        </w:rPr>
        <w:t xml:space="preserve"> "תולדות מלחמת היהודים ברומאים", </w:t>
      </w:r>
      <w:r>
        <w:rPr>
          <w:rFonts w:ascii="David" w:hAnsi="David" w:cs="David" w:hint="cs"/>
          <w:spacing w:val="-2"/>
          <w:rtl/>
        </w:rPr>
        <w:t>ד</w:t>
      </w:r>
      <w:r w:rsidRPr="00E305F9">
        <w:rPr>
          <w:rFonts w:ascii="David" w:hAnsi="David" w:cs="David"/>
          <w:spacing w:val="-2"/>
          <w:rtl/>
        </w:rPr>
        <w:t xml:space="preserve">, </w:t>
      </w:r>
      <w:r>
        <w:rPr>
          <w:rFonts w:ascii="David" w:hAnsi="David" w:cs="David" w:hint="cs"/>
          <w:spacing w:val="-2"/>
          <w:rtl/>
        </w:rPr>
        <w:t>ט</w:t>
      </w:r>
      <w:r w:rsidRPr="00E305F9">
        <w:rPr>
          <w:rFonts w:ascii="David" w:hAnsi="David" w:cs="David"/>
          <w:spacing w:val="-2"/>
          <w:rtl/>
        </w:rPr>
        <w:t>, יב 582</w:t>
      </w:r>
      <w:r w:rsidRPr="00E305F9">
        <w:rPr>
          <w:rFonts w:ascii="David" w:hAnsi="David" w:cs="David" w:hint="cs"/>
          <w:rtl/>
        </w:rPr>
        <w:t>.</w:t>
      </w:r>
      <w:r w:rsidRPr="00E305F9">
        <w:rPr>
          <w:rFonts w:ascii="David" w:hAnsi="David" w:cs="David"/>
          <w:rtl/>
        </w:rPr>
        <w:t xml:space="preserve"> </w:t>
      </w:r>
    </w:p>
  </w:footnote>
  <w:footnote w:id="50">
    <w:p w14:paraId="68A2AE99" w14:textId="63FE6509" w:rsidR="003074AF" w:rsidRPr="00E305F9" w:rsidRDefault="003074AF" w:rsidP="003074AF">
      <w:pPr>
        <w:pStyle w:val="a3"/>
        <w:spacing w:after="0"/>
        <w:jc w:val="both"/>
        <w:rPr>
          <w:rtl/>
        </w:rPr>
      </w:pPr>
      <w:r w:rsidRPr="00E305F9">
        <w:rPr>
          <w:rStyle w:val="a5"/>
        </w:rPr>
        <w:footnoteRef/>
      </w:r>
      <w:r w:rsidRPr="00E305F9">
        <w:rPr>
          <w:rtl/>
        </w:rPr>
        <w:t xml:space="preserve"> </w:t>
      </w:r>
      <w:r w:rsidRPr="00E305F9">
        <w:rPr>
          <w:rFonts w:ascii="David" w:hAnsi="David" w:cs="David"/>
          <w:rtl/>
        </w:rPr>
        <w:t>משנה תמיד פ"ז מ"ג, משנה סוכה פ"ה מ"ד (וכאמור, אולי גם במשנה סוכה פ"ד מ"ה ומ"ט, משנה פסחים פ"ה מ"ה</w:t>
      </w:r>
      <w:r w:rsidRPr="00E305F9">
        <w:rPr>
          <w:rFonts w:ascii="David" w:hAnsi="David" w:cs="David" w:hint="cs"/>
          <w:rtl/>
        </w:rPr>
        <w:t xml:space="preserve"> </w:t>
      </w:r>
      <w:r w:rsidRPr="00E305F9">
        <w:rPr>
          <w:rFonts w:ascii="David" w:hAnsi="David" w:cs="David"/>
          <w:rtl/>
        </w:rPr>
        <w:t xml:space="preserve">ומשנה ראש השנה פ"ג מ"ג), תוספתא סוטה פ"ז הט"ו, תוספתא תענית פ"א הי"ב - הי"ג, ספרי במדבר פיסקה עה שורות 1 </w:t>
      </w:r>
      <w:r w:rsidRPr="00E305F9">
        <w:rPr>
          <w:rFonts w:ascii="David" w:hAnsi="David" w:cs="David" w:hint="cs"/>
          <w:rtl/>
        </w:rPr>
        <w:t>-</w:t>
      </w:r>
      <w:r w:rsidRPr="00E305F9">
        <w:rPr>
          <w:rFonts w:ascii="David" w:hAnsi="David" w:cs="David"/>
          <w:rtl/>
        </w:rPr>
        <w:t xml:space="preserve"> 10, ספרי זוטא במדבר י ח.</w:t>
      </w:r>
      <w:r w:rsidRPr="00E305F9">
        <w:rPr>
          <w:rFonts w:hint="cs"/>
          <w:rtl/>
        </w:rPr>
        <w:t xml:space="preserve"> </w:t>
      </w:r>
    </w:p>
  </w:footnote>
  <w:footnote w:id="51">
    <w:p w14:paraId="145606A3" w14:textId="77777777" w:rsidR="00D215C1" w:rsidRPr="00E305F9" w:rsidRDefault="00D215C1" w:rsidP="00D215C1">
      <w:pPr>
        <w:pStyle w:val="a3"/>
        <w:spacing w:after="0"/>
        <w:rPr>
          <w:rtl/>
        </w:rPr>
      </w:pPr>
      <w:r w:rsidRPr="00E305F9">
        <w:rPr>
          <w:rStyle w:val="a5"/>
        </w:rPr>
        <w:footnoteRef/>
      </w:r>
      <w:r w:rsidRPr="00E305F9">
        <w:rPr>
          <w:rtl/>
        </w:rPr>
        <w:t xml:space="preserve"> </w:t>
      </w:r>
      <w:r w:rsidRPr="00E305F9">
        <w:rPr>
          <w:rFonts w:ascii="David" w:hAnsi="David" w:cs="David"/>
          <w:rtl/>
        </w:rPr>
        <w:t xml:space="preserve">גודבלאט, השפעת הכוהנים, עמ' 10 </w:t>
      </w:r>
      <w:r>
        <w:rPr>
          <w:rFonts w:ascii="David" w:hAnsi="David" w:cs="David" w:hint="cs"/>
          <w:rtl/>
        </w:rPr>
        <w:t>-</w:t>
      </w:r>
      <w:r w:rsidRPr="00E305F9">
        <w:rPr>
          <w:rFonts w:ascii="David" w:hAnsi="David" w:cs="David"/>
          <w:rtl/>
        </w:rPr>
        <w:t xml:space="preserve"> 12</w:t>
      </w:r>
      <w:r>
        <w:rPr>
          <w:rFonts w:ascii="David" w:hAnsi="David" w:cs="David"/>
        </w:rPr>
        <w:t>;</w:t>
      </w:r>
      <w:r w:rsidRPr="00E305F9">
        <w:rPr>
          <w:rFonts w:ascii="David" w:hAnsi="David" w:cs="David"/>
          <w:rtl/>
        </w:rPr>
        <w:t xml:space="preserve"> הנ"ל, נשיא, עמ' 127</w:t>
      </w:r>
      <w:r w:rsidRPr="00E305F9">
        <w:rPr>
          <w:rFonts w:ascii="David" w:hAnsi="David" w:cs="David"/>
        </w:rPr>
        <w:t>;</w:t>
      </w:r>
      <w:r w:rsidRPr="00E305F9">
        <w:rPr>
          <w:rFonts w:ascii="David" w:hAnsi="David" w:cs="David"/>
          <w:rtl/>
        </w:rPr>
        <w:t xml:space="preserve"> טריפון, הרקע הפוליטי, עמ' 24 - 26.</w:t>
      </w:r>
      <w:r w:rsidRPr="00E305F9">
        <w:rPr>
          <w:rFonts w:hint="cs"/>
          <w:rtl/>
        </w:rPr>
        <w:t xml:space="preserve"> </w:t>
      </w:r>
    </w:p>
  </w:footnote>
  <w:footnote w:id="52">
    <w:p w14:paraId="60490B2E" w14:textId="645B095D" w:rsidR="003074AF" w:rsidRPr="00E305F9" w:rsidRDefault="003074AF" w:rsidP="003074AF">
      <w:pPr>
        <w:pStyle w:val="a3"/>
        <w:spacing w:after="0"/>
        <w:jc w:val="both"/>
        <w:rPr>
          <w:rtl/>
        </w:rPr>
      </w:pPr>
      <w:r w:rsidRPr="00E305F9">
        <w:rPr>
          <w:rStyle w:val="a5"/>
        </w:rPr>
        <w:footnoteRef/>
      </w:r>
      <w:r w:rsidRPr="00E305F9">
        <w:rPr>
          <w:rtl/>
        </w:rPr>
        <w:t xml:space="preserve"> </w:t>
      </w:r>
      <w:r w:rsidRPr="00E305F9">
        <w:rPr>
          <w:rFonts w:cs="David" w:hint="cs"/>
          <w:rtl/>
        </w:rPr>
        <w:t xml:space="preserve">התפיסה המקראית באשר </w:t>
      </w:r>
      <w:r w:rsidRPr="00B32395">
        <w:rPr>
          <w:rFonts w:cs="David" w:hint="cs"/>
          <w:rtl/>
        </w:rPr>
        <w:t>למטרת השמעת החצוצרות במלחמה מופיעה כפי הנראה גם במדרשי ההלכה</w:t>
      </w:r>
      <w:r w:rsidR="006E75B2">
        <w:rPr>
          <w:rFonts w:cs="David" w:hint="cs"/>
          <w:rtl/>
        </w:rPr>
        <w:t xml:space="preserve">: </w:t>
      </w:r>
      <w:r w:rsidRPr="00B32395">
        <w:rPr>
          <w:rFonts w:cs="David" w:hint="cs"/>
          <w:rtl/>
        </w:rPr>
        <w:t>ספרי במדבר פיסקה עו שורה 10 וספרי זוטא י י</w:t>
      </w:r>
      <w:r w:rsidR="006E75B2">
        <w:rPr>
          <w:rFonts w:cs="David" w:hint="cs"/>
          <w:rtl/>
        </w:rPr>
        <w:t xml:space="preserve"> (פיאמנטה, החצוצרה, </w:t>
      </w:r>
      <w:r w:rsidRPr="00B32395">
        <w:rPr>
          <w:rFonts w:cs="David" w:hint="cs"/>
          <w:rtl/>
        </w:rPr>
        <w:t>עמ'</w:t>
      </w:r>
      <w:r>
        <w:rPr>
          <w:rFonts w:cs="David" w:hint="cs"/>
          <w:rtl/>
        </w:rPr>
        <w:t xml:space="preserve"> </w:t>
      </w:r>
      <w:r w:rsidRPr="00B32395">
        <w:rPr>
          <w:rFonts w:cs="David" w:hint="cs"/>
          <w:rtl/>
        </w:rPr>
        <w:t>145)</w:t>
      </w:r>
      <w:r w:rsidR="00EF73DF">
        <w:rPr>
          <w:rFonts w:cs="David" w:hint="cs"/>
          <w:rtl/>
        </w:rPr>
        <w:t xml:space="preserve">. תפיסה זו השפיעה </w:t>
      </w:r>
      <w:r w:rsidR="00254E09">
        <w:rPr>
          <w:rFonts w:cs="David" w:hint="cs"/>
          <w:rtl/>
        </w:rPr>
        <w:t xml:space="preserve">ככל הנראה </w:t>
      </w:r>
      <w:r w:rsidR="00EF73DF">
        <w:rPr>
          <w:rFonts w:cs="David" w:hint="cs"/>
          <w:rtl/>
        </w:rPr>
        <w:t xml:space="preserve">גם על תיאור השימוש בחצוצרות במלחמת אחרית הימים המתוארת במגילת המלחמה ממגילות מדבר יהודה (פיאמנטה, החצוצרה, עמ' 75 </w:t>
      </w:r>
      <w:r w:rsidR="00EF73DF">
        <w:rPr>
          <w:rFonts w:cs="David"/>
          <w:rtl/>
        </w:rPr>
        <w:t>–</w:t>
      </w:r>
      <w:r w:rsidR="00EF73DF">
        <w:rPr>
          <w:rFonts w:cs="David" w:hint="cs"/>
          <w:rtl/>
        </w:rPr>
        <w:t xml:space="preserve"> 79). </w:t>
      </w:r>
      <w:r w:rsidRPr="00E305F9">
        <w:rPr>
          <w:rFonts w:cs="David" w:hint="cs"/>
          <w:rtl/>
        </w:rPr>
        <w:t xml:space="preserve"> </w:t>
      </w:r>
    </w:p>
  </w:footnote>
  <w:footnote w:id="53">
    <w:p w14:paraId="6D3EDFA4" w14:textId="77777777" w:rsidR="003074AF" w:rsidRPr="0003175D" w:rsidRDefault="003074AF" w:rsidP="003074AF">
      <w:pPr>
        <w:pStyle w:val="a3"/>
        <w:spacing w:after="0"/>
        <w:jc w:val="both"/>
        <w:rPr>
          <w:rFonts w:ascii="David" w:hAnsi="David" w:cs="David"/>
        </w:rPr>
      </w:pPr>
      <w:r w:rsidRPr="00E305F9">
        <w:rPr>
          <w:rStyle w:val="a5"/>
        </w:rPr>
        <w:footnoteRef/>
      </w:r>
      <w:r w:rsidRPr="00E305F9">
        <w:rPr>
          <w:rtl/>
        </w:rPr>
        <w:t xml:space="preserve"> </w:t>
      </w:r>
      <w:r>
        <w:rPr>
          <w:rFonts w:ascii="David" w:hAnsi="David" w:cs="David" w:hint="cs"/>
          <w:rtl/>
        </w:rPr>
        <w:t xml:space="preserve">על פי כ"י ליידן. </w:t>
      </w:r>
      <w:r w:rsidRPr="00E305F9">
        <w:rPr>
          <w:rFonts w:ascii="David" w:hAnsi="David" w:cs="David"/>
          <w:rtl/>
        </w:rPr>
        <w:t>סיפור זה מופיע גם באיכה רבה ב, ד</w:t>
      </w:r>
      <w:r>
        <w:rPr>
          <w:rFonts w:ascii="David" w:hAnsi="David" w:cs="David" w:hint="cs"/>
          <w:rtl/>
        </w:rPr>
        <w:t xml:space="preserve"> (מהדורת בובר, עמ' 101): "א"ר יוחנן כד הוה חזי ר' עקיבה לבן כוזבא הוה אומר דרך כוכב מיעקב, דרך כוכבא מיעקב, זה מלך המשיח. א"ר יוחנן בן תורתא עקיבא יעלו עשבים בלחייך, ועדיין בן דוד אינו בא". </w:t>
      </w:r>
    </w:p>
  </w:footnote>
  <w:footnote w:id="54">
    <w:p w14:paraId="2016810E" w14:textId="77777777" w:rsidR="003074AF" w:rsidRPr="007B0C26" w:rsidRDefault="003074AF" w:rsidP="003074AF">
      <w:pPr>
        <w:pStyle w:val="a3"/>
        <w:spacing w:after="0"/>
      </w:pPr>
      <w:r w:rsidRPr="007B0C26">
        <w:rPr>
          <w:rStyle w:val="a5"/>
        </w:rPr>
        <w:footnoteRef/>
      </w:r>
      <w:r w:rsidRPr="007B0C26">
        <w:rPr>
          <w:rtl/>
        </w:rPr>
        <w:t xml:space="preserve"> </w:t>
      </w:r>
      <w:r w:rsidRPr="007B0C26">
        <w:rPr>
          <w:rFonts w:ascii="David" w:hAnsi="David" w:cs="David"/>
          <w:rtl/>
        </w:rPr>
        <w:t>ראו אצל כהנא, כי תבאו, עמ' 162 הערה 91 והספרות המחקרית המפורטת שם.</w:t>
      </w:r>
      <w:r w:rsidRPr="007B0C26">
        <w:rPr>
          <w:rFonts w:hint="cs"/>
          <w:rtl/>
        </w:rPr>
        <w:t xml:space="preserve"> </w:t>
      </w:r>
    </w:p>
  </w:footnote>
  <w:footnote w:id="55">
    <w:p w14:paraId="1A61ADE9" w14:textId="77777777" w:rsidR="003074AF" w:rsidRPr="007B0C26" w:rsidRDefault="003074AF" w:rsidP="003074AF">
      <w:pPr>
        <w:pStyle w:val="a3"/>
        <w:spacing w:after="0"/>
        <w:rPr>
          <w:rtl/>
        </w:rPr>
      </w:pPr>
      <w:r w:rsidRPr="007B0C26">
        <w:rPr>
          <w:rStyle w:val="a5"/>
        </w:rPr>
        <w:footnoteRef/>
      </w:r>
      <w:r w:rsidRPr="007B0C26">
        <w:rPr>
          <w:rtl/>
        </w:rPr>
        <w:t xml:space="preserve"> </w:t>
      </w:r>
      <w:r w:rsidRPr="007B0C26">
        <w:rPr>
          <w:rFonts w:ascii="David" w:hAnsi="David" w:cs="David"/>
          <w:rtl/>
        </w:rPr>
        <w:t xml:space="preserve">גודבלאט, </w:t>
      </w:r>
      <w:r w:rsidRPr="007B0C26">
        <w:rPr>
          <w:rFonts w:ascii="David" w:hAnsi="David" w:cs="David" w:hint="cs"/>
          <w:rtl/>
        </w:rPr>
        <w:t>השפעת הכוהנים</w:t>
      </w:r>
      <w:r w:rsidRPr="007B0C26">
        <w:rPr>
          <w:rFonts w:ascii="David" w:hAnsi="David" w:cs="David"/>
          <w:rtl/>
        </w:rPr>
        <w:t>, עמ' 6 - 12</w:t>
      </w:r>
      <w:r w:rsidRPr="007B0C26">
        <w:rPr>
          <w:rFonts w:ascii="David" w:hAnsi="David" w:cs="David"/>
        </w:rPr>
        <w:t>;</w:t>
      </w:r>
      <w:r w:rsidRPr="007B0C26">
        <w:rPr>
          <w:rFonts w:ascii="David" w:hAnsi="David" w:cs="David"/>
          <w:rtl/>
        </w:rPr>
        <w:t xml:space="preserve"> טריפון, </w:t>
      </w:r>
      <w:r>
        <w:rPr>
          <w:rFonts w:ascii="David" w:hAnsi="David" w:cs="David" w:hint="cs"/>
          <w:rtl/>
        </w:rPr>
        <w:t>שם</w:t>
      </w:r>
      <w:r w:rsidRPr="007B0C26">
        <w:rPr>
          <w:rFonts w:ascii="David" w:hAnsi="David" w:cs="David"/>
          <w:rtl/>
        </w:rPr>
        <w:t>, עמ' 21 - 26.</w:t>
      </w:r>
      <w:r w:rsidRPr="007B0C26">
        <w:rPr>
          <w:rFonts w:hint="cs"/>
          <w:rtl/>
        </w:rPr>
        <w:t xml:space="preserve"> </w:t>
      </w:r>
    </w:p>
  </w:footnote>
  <w:footnote w:id="56">
    <w:p w14:paraId="3059837C" w14:textId="77777777" w:rsidR="003074AF" w:rsidRPr="007B0C26" w:rsidRDefault="003074AF" w:rsidP="003074AF">
      <w:pPr>
        <w:pStyle w:val="a3"/>
        <w:spacing w:after="0"/>
      </w:pPr>
      <w:r w:rsidRPr="007B0C26">
        <w:rPr>
          <w:rStyle w:val="a5"/>
        </w:rPr>
        <w:footnoteRef/>
      </w:r>
      <w:r w:rsidRPr="007B0C26">
        <w:rPr>
          <w:rtl/>
        </w:rPr>
        <w:t xml:space="preserve"> </w:t>
      </w:r>
      <w:r w:rsidRPr="007B0C26">
        <w:rPr>
          <w:rFonts w:ascii="David" w:hAnsi="David" w:cs="David"/>
          <w:rtl/>
        </w:rPr>
        <w:t xml:space="preserve">ראו אצל כהנא, </w:t>
      </w:r>
      <w:r>
        <w:rPr>
          <w:rFonts w:ascii="David" w:hAnsi="David" w:cs="David" w:hint="cs"/>
          <w:rtl/>
        </w:rPr>
        <w:t>כי תבאו</w:t>
      </w:r>
      <w:r w:rsidRPr="007B0C26">
        <w:rPr>
          <w:rFonts w:ascii="David" w:hAnsi="David" w:cs="David" w:hint="cs"/>
          <w:rtl/>
        </w:rPr>
        <w:t>,</w:t>
      </w:r>
      <w:r w:rsidRPr="007B0C26">
        <w:rPr>
          <w:rFonts w:ascii="David" w:hAnsi="David" w:cs="David"/>
          <w:rtl/>
        </w:rPr>
        <w:t xml:space="preserve"> עמ' 16</w:t>
      </w:r>
      <w:r w:rsidRPr="007B0C26">
        <w:rPr>
          <w:rFonts w:ascii="David" w:hAnsi="David" w:cs="David" w:hint="cs"/>
          <w:rtl/>
        </w:rPr>
        <w:t>3</w:t>
      </w:r>
      <w:r w:rsidRPr="007B0C26">
        <w:rPr>
          <w:rFonts w:ascii="David" w:hAnsi="David" w:cs="David"/>
          <w:rtl/>
        </w:rPr>
        <w:t xml:space="preserve"> הערה </w:t>
      </w:r>
      <w:r w:rsidRPr="007B0C26">
        <w:rPr>
          <w:rFonts w:ascii="David" w:hAnsi="David" w:cs="David" w:hint="cs"/>
          <w:rtl/>
        </w:rPr>
        <w:t>93</w:t>
      </w:r>
      <w:r w:rsidRPr="007B0C26">
        <w:rPr>
          <w:rFonts w:ascii="David" w:hAnsi="David" w:cs="David"/>
          <w:rtl/>
        </w:rPr>
        <w:t xml:space="preserve"> והספרות המחקרית המפורטת שם.</w:t>
      </w:r>
      <w:r w:rsidRPr="007B0C26">
        <w:rPr>
          <w:rFonts w:hint="cs"/>
          <w:rtl/>
        </w:rPr>
        <w:t xml:space="preserve"> </w:t>
      </w:r>
    </w:p>
  </w:footnote>
  <w:footnote w:id="57">
    <w:p w14:paraId="7515FC98" w14:textId="77777777" w:rsidR="003074AF" w:rsidRDefault="003074AF" w:rsidP="003074AF">
      <w:pPr>
        <w:pStyle w:val="a3"/>
        <w:spacing w:after="0"/>
        <w:jc w:val="both"/>
        <w:rPr>
          <w:rtl/>
        </w:rPr>
      </w:pPr>
      <w:r w:rsidRPr="007B0C26">
        <w:rPr>
          <w:rStyle w:val="a5"/>
        </w:rPr>
        <w:footnoteRef/>
      </w:r>
      <w:r w:rsidRPr="007B0C26">
        <w:rPr>
          <w:rtl/>
        </w:rPr>
        <w:t xml:space="preserve"> </w:t>
      </w:r>
      <w:r w:rsidRPr="007B0C26">
        <w:rPr>
          <w:rFonts w:ascii="David" w:hAnsi="David" w:cs="David"/>
          <w:rtl/>
        </w:rPr>
        <w:t>מור, מרד בר-כוכבא, עמ' 228 - 229</w:t>
      </w:r>
      <w:r w:rsidRPr="007B0C26">
        <w:rPr>
          <w:rFonts w:ascii="David" w:hAnsi="David" w:cs="David"/>
        </w:rPr>
        <w:t>;</w:t>
      </w:r>
      <w:r w:rsidRPr="007B0C26">
        <w:rPr>
          <w:rFonts w:ascii="David" w:hAnsi="David" w:cs="David"/>
          <w:rtl/>
        </w:rPr>
        <w:t xml:space="preserve"> כהנא, </w:t>
      </w:r>
      <w:r>
        <w:rPr>
          <w:rFonts w:ascii="David" w:hAnsi="David" w:cs="David" w:hint="cs"/>
          <w:rtl/>
        </w:rPr>
        <w:t>שם</w:t>
      </w:r>
      <w:r w:rsidRPr="007B0C26">
        <w:rPr>
          <w:rFonts w:ascii="David" w:hAnsi="David" w:cs="David"/>
          <w:rtl/>
        </w:rPr>
        <w:t>, עמ' 163 - 164.</w:t>
      </w:r>
      <w:r w:rsidRPr="007B0C26">
        <w:rPr>
          <w:rFonts w:hint="cs"/>
          <w:rtl/>
        </w:rPr>
        <w:t xml:space="preserve"> </w:t>
      </w:r>
      <w:r w:rsidRPr="007B0C26">
        <w:rPr>
          <w:rFonts w:ascii="David" w:hAnsi="David" w:cs="David" w:hint="cs"/>
          <w:rtl/>
        </w:rPr>
        <w:t xml:space="preserve">לדעת </w:t>
      </w:r>
      <w:r w:rsidRPr="007B0C26">
        <w:rPr>
          <w:rFonts w:ascii="David" w:hAnsi="David" w:cs="David"/>
          <w:rtl/>
        </w:rPr>
        <w:t>מור</w:t>
      </w:r>
      <w:r>
        <w:rPr>
          <w:rFonts w:ascii="David" w:hAnsi="David" w:cs="David" w:hint="cs"/>
          <w:rtl/>
        </w:rPr>
        <w:t xml:space="preserve"> (שם, שם), </w:t>
      </w:r>
      <w:r w:rsidRPr="007B0C26">
        <w:rPr>
          <w:rFonts w:cs="David" w:hint="cs"/>
          <w:rtl/>
        </w:rPr>
        <w:t>עמדתו של רבי עקיבא מייצגת לא רק את עמדת החכמים שתמכו במרד, אלא גם את עמדתם של המורדים שהאמינו שניתן להשתחרר מעולה של רומא באמצעות מאבק מזוין, ואולי אף ראו בבר-כוכבא משיח. ואילו עמדתו של רבי יוחנן בן תורתא, מייצגת את עמדת החכמים שהתנגדו למרד וכן את עמדת הפלג האחר בעם שטען שהגאולה והשחרור יקרו רק באחרית הימים, עת יתגלה משיח בן-דוד. לכן בשלב זה יש לנקוט בגישה פאסיבית ולקבל את השלטון הרומי.</w:t>
      </w:r>
    </w:p>
  </w:footnote>
  <w:footnote w:id="58">
    <w:p w14:paraId="6788372C" w14:textId="77777777" w:rsidR="003074AF" w:rsidRPr="007B0C26" w:rsidRDefault="003074AF" w:rsidP="003074AF">
      <w:pPr>
        <w:pStyle w:val="a3"/>
        <w:spacing w:after="0"/>
      </w:pPr>
      <w:r w:rsidRPr="007B0C26">
        <w:rPr>
          <w:rStyle w:val="a5"/>
        </w:rPr>
        <w:footnoteRef/>
      </w:r>
      <w:r w:rsidRPr="007B0C26">
        <w:rPr>
          <w:rtl/>
        </w:rPr>
        <w:t xml:space="preserve"> </w:t>
      </w:r>
      <w:r w:rsidRPr="007B0C26">
        <w:rPr>
          <w:rFonts w:ascii="David" w:hAnsi="David" w:cs="David"/>
          <w:rtl/>
        </w:rPr>
        <w:t>כהנא, ספרי במדבר, ג, עמ'</w:t>
      </w:r>
      <w:r w:rsidRPr="007B0C26">
        <w:rPr>
          <w:rFonts w:ascii="David" w:hAnsi="David" w:cs="David" w:hint="cs"/>
          <w:rtl/>
        </w:rPr>
        <w:t xml:space="preserve"> 516 - 518. להוכחת טענתו ראו בעמ' 518 </w:t>
      </w:r>
      <w:r w:rsidRPr="007B0C26">
        <w:rPr>
          <w:rFonts w:ascii="David" w:hAnsi="David" w:cs="David"/>
          <w:rtl/>
        </w:rPr>
        <w:t>הערה 17.</w:t>
      </w:r>
      <w:r w:rsidRPr="007B0C26">
        <w:rPr>
          <w:rFonts w:hint="cs"/>
          <w:rtl/>
        </w:rPr>
        <w:t xml:space="preserve"> </w:t>
      </w:r>
    </w:p>
  </w:footnote>
  <w:footnote w:id="59">
    <w:p w14:paraId="6FB978CF" w14:textId="681D2A81" w:rsidR="003074AF" w:rsidRPr="008E59B3" w:rsidRDefault="003074AF" w:rsidP="003074AF">
      <w:pPr>
        <w:pStyle w:val="a3"/>
        <w:spacing w:after="0"/>
        <w:jc w:val="both"/>
        <w:rPr>
          <w:rFonts w:hint="cs"/>
          <w:rtl/>
          <w:lang w:val="en-US"/>
        </w:rPr>
      </w:pPr>
      <w:r w:rsidRPr="007B0C26">
        <w:rPr>
          <w:rStyle w:val="a5"/>
        </w:rPr>
        <w:footnoteRef/>
      </w:r>
      <w:r w:rsidRPr="007B0C26">
        <w:rPr>
          <w:rtl/>
        </w:rPr>
        <w:t xml:space="preserve"> </w:t>
      </w:r>
      <w:r w:rsidRPr="008E59B3">
        <w:rPr>
          <w:rFonts w:ascii="David" w:hAnsi="David" w:cs="David" w:hint="cs"/>
          <w:rtl/>
        </w:rPr>
        <w:t>לדעת</w:t>
      </w:r>
      <w:r w:rsidRPr="008E59B3">
        <w:rPr>
          <w:rFonts w:ascii="David" w:hAnsi="David" w:cs="David"/>
          <w:rtl/>
        </w:rPr>
        <w:t xml:space="preserve"> כהנא, ספרי במדבר, ג, עמ' 517,</w:t>
      </w:r>
      <w:r w:rsidRPr="008E59B3">
        <w:rPr>
          <w:rFonts w:ascii="David" w:hAnsi="David" w:cs="David" w:hint="cs"/>
          <w:rtl/>
        </w:rPr>
        <w:t xml:space="preserve"> אף </w:t>
      </w:r>
      <w:r w:rsidRPr="008E59B3">
        <w:rPr>
          <w:rFonts w:ascii="David" w:hAnsi="David" w:cs="David"/>
          <w:rtl/>
        </w:rPr>
        <w:t>לא מן הנמנע שדרשה זו משקפת התנגדות לשימוש הנרחב בחצוצרות במלחמת אחרית הימים המתואר</w:t>
      </w:r>
      <w:r w:rsidRPr="008E59B3">
        <w:rPr>
          <w:rFonts w:ascii="David" w:hAnsi="David" w:cs="David" w:hint="cs"/>
          <w:rtl/>
        </w:rPr>
        <w:t xml:space="preserve"> כאמור </w:t>
      </w:r>
      <w:r w:rsidRPr="008E59B3">
        <w:rPr>
          <w:rFonts w:ascii="David" w:hAnsi="David" w:cs="David"/>
          <w:rtl/>
        </w:rPr>
        <w:t>במגילת המלחמה ממגילות מדבר יהודה.</w:t>
      </w:r>
      <w:r w:rsidRPr="008E59B3">
        <w:rPr>
          <w:rFonts w:hint="cs"/>
          <w:rtl/>
        </w:rPr>
        <w:t xml:space="preserve"> </w:t>
      </w:r>
      <w:r w:rsidR="000A4081" w:rsidRPr="008E59B3">
        <w:rPr>
          <w:rFonts w:ascii="David" w:hAnsi="David" w:cs="David"/>
          <w:rtl/>
        </w:rPr>
        <w:t>על השימוש בחצוצרות במגילת המלחמה ראו:</w:t>
      </w:r>
      <w:r w:rsidR="008E59B3" w:rsidRPr="008E59B3">
        <w:rPr>
          <w:rFonts w:asciiTheme="majorBidi" w:hAnsiTheme="majorBidi" w:cstheme="majorBidi"/>
          <w:lang w:val="en-US"/>
        </w:rPr>
        <w:t xml:space="preserve">M. Piamenta, 'Trumpets and Shofarot in the War Scroll (1QM): Musical and Terminological Insights', </w:t>
      </w:r>
      <w:r w:rsidR="008E59B3" w:rsidRPr="008E59B3">
        <w:rPr>
          <w:rFonts w:asciiTheme="majorBidi" w:hAnsiTheme="majorBidi" w:cstheme="majorBidi"/>
          <w:i/>
          <w:iCs/>
          <w:lang w:val="en-US"/>
        </w:rPr>
        <w:t>HUCA</w:t>
      </w:r>
      <w:r w:rsidR="008E59B3" w:rsidRPr="008E59B3">
        <w:rPr>
          <w:rFonts w:asciiTheme="majorBidi" w:hAnsiTheme="majorBidi" w:cstheme="majorBidi"/>
          <w:lang w:val="en-US"/>
        </w:rPr>
        <w:t xml:space="preserve"> 92 (2022), pp. 15–45.</w:t>
      </w:r>
    </w:p>
  </w:footnote>
  <w:footnote w:id="60">
    <w:p w14:paraId="395C97A2" w14:textId="77777777" w:rsidR="003074AF" w:rsidRPr="008E59B3" w:rsidRDefault="003074AF" w:rsidP="003074AF">
      <w:pPr>
        <w:pStyle w:val="a3"/>
        <w:spacing w:after="0"/>
        <w:rPr>
          <w:rFonts w:ascii="David" w:hAnsi="David" w:cs="David"/>
        </w:rPr>
      </w:pPr>
      <w:r w:rsidRPr="008E59B3">
        <w:rPr>
          <w:rStyle w:val="a5"/>
        </w:rPr>
        <w:footnoteRef/>
      </w:r>
      <w:r w:rsidRPr="008E59B3">
        <w:rPr>
          <w:rtl/>
        </w:rPr>
        <w:t xml:space="preserve"> </w:t>
      </w:r>
      <w:r w:rsidRPr="008E59B3">
        <w:rPr>
          <w:rFonts w:ascii="David" w:hAnsi="David" w:cs="David"/>
          <w:rtl/>
        </w:rPr>
        <w:t xml:space="preserve">כהנא, כי תבאו, עמ' 160. </w:t>
      </w:r>
    </w:p>
  </w:footnote>
  <w:footnote w:id="61">
    <w:p w14:paraId="3031F433" w14:textId="77777777" w:rsidR="003074AF" w:rsidRPr="007B0C26" w:rsidRDefault="003074AF" w:rsidP="003074AF">
      <w:pPr>
        <w:pStyle w:val="a3"/>
        <w:spacing w:after="0"/>
        <w:rPr>
          <w:rFonts w:ascii="David" w:hAnsi="David" w:cs="David"/>
          <w:rtl/>
        </w:rPr>
      </w:pPr>
      <w:r w:rsidRPr="008E59B3">
        <w:rPr>
          <w:rStyle w:val="a5"/>
        </w:rPr>
        <w:footnoteRef/>
      </w:r>
      <w:r w:rsidRPr="008E59B3">
        <w:rPr>
          <w:rtl/>
        </w:rPr>
        <w:t xml:space="preserve"> </w:t>
      </w:r>
      <w:r w:rsidRPr="008E59B3">
        <w:rPr>
          <w:rFonts w:ascii="David" w:hAnsi="David" w:cs="David"/>
          <w:rtl/>
        </w:rPr>
        <w:t xml:space="preserve">כהנא, שם, עמ' 163. </w:t>
      </w:r>
    </w:p>
  </w:footnote>
  <w:footnote w:id="62">
    <w:p w14:paraId="077213E9" w14:textId="77777777" w:rsidR="003074AF" w:rsidRPr="007B0C26" w:rsidRDefault="003074AF" w:rsidP="003074AF">
      <w:pPr>
        <w:pStyle w:val="a3"/>
        <w:spacing w:after="0"/>
      </w:pPr>
      <w:r w:rsidRPr="007B0C26">
        <w:rPr>
          <w:rStyle w:val="a5"/>
        </w:rPr>
        <w:footnoteRef/>
      </w:r>
      <w:r w:rsidRPr="007B0C26">
        <w:rPr>
          <w:rtl/>
        </w:rPr>
        <w:t xml:space="preserve"> </w:t>
      </w:r>
      <w:r w:rsidRPr="007B0C26">
        <w:rPr>
          <w:rFonts w:ascii="David" w:hAnsi="David" w:cs="David"/>
          <w:rtl/>
        </w:rPr>
        <w:t>כהנא, ספרי במדבר, ג, עמ' 519.</w:t>
      </w:r>
      <w:r w:rsidRPr="007B0C26">
        <w:rPr>
          <w:rFonts w:hint="cs"/>
          <w:rtl/>
        </w:rPr>
        <w:t xml:space="preserve"> </w:t>
      </w:r>
    </w:p>
  </w:footnote>
  <w:footnote w:id="63">
    <w:p w14:paraId="3E727AC8" w14:textId="77777777" w:rsidR="003074AF" w:rsidRDefault="003074AF" w:rsidP="003074AF">
      <w:pPr>
        <w:pStyle w:val="a3"/>
        <w:spacing w:after="0"/>
        <w:jc w:val="both"/>
        <w:rPr>
          <w:rtl/>
        </w:rPr>
      </w:pPr>
      <w:r w:rsidRPr="007B0C26">
        <w:rPr>
          <w:rStyle w:val="a5"/>
        </w:rPr>
        <w:footnoteRef/>
      </w:r>
      <w:r w:rsidRPr="007B0C26">
        <w:rPr>
          <w:rtl/>
        </w:rPr>
        <w:t xml:space="preserve"> </w:t>
      </w:r>
      <w:r w:rsidRPr="004C4F96">
        <w:rPr>
          <w:rFonts w:ascii="David" w:hAnsi="David" w:cs="David"/>
          <w:spacing w:val="-2"/>
          <w:rtl/>
        </w:rPr>
        <w:t>שפרבר, עיונים, עמ' לח</w:t>
      </w:r>
      <w:r w:rsidRPr="004C4F96">
        <w:rPr>
          <w:rFonts w:ascii="David" w:hAnsi="David" w:cs="David"/>
          <w:spacing w:val="-2"/>
        </w:rPr>
        <w:t>;</w:t>
      </w:r>
      <w:r w:rsidRPr="004C4F96">
        <w:rPr>
          <w:rFonts w:ascii="David" w:hAnsi="David" w:cs="David"/>
          <w:spacing w:val="-2"/>
          <w:rtl/>
        </w:rPr>
        <w:t xml:space="preserve"> רייס, ארבעת המינים, עמ' 203</w:t>
      </w:r>
      <w:r w:rsidRPr="004C4F96">
        <w:rPr>
          <w:rFonts w:ascii="David" w:hAnsi="David" w:cs="David"/>
          <w:spacing w:val="-2"/>
        </w:rPr>
        <w:t>;</w:t>
      </w:r>
      <w:r w:rsidRPr="004C4F96">
        <w:rPr>
          <w:rFonts w:ascii="David" w:hAnsi="David" w:cs="David"/>
          <w:spacing w:val="-2"/>
          <w:rtl/>
        </w:rPr>
        <w:t xml:space="preserve"> נגן, חג הסוכות, עמ' 103</w:t>
      </w:r>
      <w:r w:rsidRPr="004C4F96">
        <w:rPr>
          <w:rFonts w:ascii="David" w:hAnsi="David" w:cs="David"/>
          <w:spacing w:val="-2"/>
        </w:rPr>
        <w:t>;</w:t>
      </w:r>
      <w:r w:rsidRPr="004C4F96">
        <w:rPr>
          <w:rFonts w:ascii="David" w:hAnsi="David" w:cs="David"/>
          <w:spacing w:val="-2"/>
          <w:rtl/>
        </w:rPr>
        <w:t xml:space="preserve"> שחר, חורבן הבית, עמ' 148 </w:t>
      </w:r>
      <w:r w:rsidRPr="004C4F96">
        <w:rPr>
          <w:rFonts w:ascii="David" w:hAnsi="David" w:cs="David" w:hint="cs"/>
          <w:spacing w:val="-2"/>
          <w:rtl/>
        </w:rPr>
        <w:t>-</w:t>
      </w:r>
      <w:r w:rsidRPr="004C4F96">
        <w:rPr>
          <w:rFonts w:ascii="David" w:hAnsi="David" w:cs="David"/>
          <w:spacing w:val="-2"/>
          <w:rtl/>
        </w:rPr>
        <w:t xml:space="preserve"> 149.</w:t>
      </w:r>
      <w:r w:rsidRPr="00984862">
        <w:rPr>
          <w:rFonts w:ascii="David" w:hAnsi="David" w:cs="David"/>
          <w:rtl/>
        </w:rPr>
        <w:t xml:space="preserve">  </w:t>
      </w:r>
    </w:p>
  </w:footnote>
  <w:footnote w:id="64">
    <w:p w14:paraId="48DD19C8" w14:textId="347F02FA" w:rsidR="003074AF" w:rsidRPr="0002460F" w:rsidRDefault="003074AF" w:rsidP="0002460F">
      <w:pPr>
        <w:spacing w:after="0"/>
        <w:jc w:val="both"/>
        <w:rPr>
          <w:rFonts w:ascii="David" w:hAnsi="David" w:cs="David"/>
          <w:color w:val="FF0000"/>
          <w:sz w:val="20"/>
          <w:szCs w:val="20"/>
        </w:rPr>
      </w:pPr>
      <w:r>
        <w:rPr>
          <w:rStyle w:val="a5"/>
        </w:rPr>
        <w:footnoteRef/>
      </w:r>
      <w:r>
        <w:rPr>
          <w:rtl/>
        </w:rPr>
        <w:t xml:space="preserve"> </w:t>
      </w:r>
      <w:r w:rsidRPr="00294B62">
        <w:rPr>
          <w:rFonts w:ascii="David" w:hAnsi="David" w:cs="David" w:hint="cs"/>
          <w:sz w:val="20"/>
          <w:szCs w:val="20"/>
          <w:rtl/>
        </w:rPr>
        <w:t>בדומה אולי לשימוש שנעשה בחצוצרות בצבאות הרומיים</w:t>
      </w:r>
      <w:r w:rsidR="004A173B">
        <w:rPr>
          <w:rFonts w:ascii="David" w:hAnsi="David" w:cs="David" w:hint="cs"/>
          <w:sz w:val="20"/>
          <w:szCs w:val="20"/>
          <w:rtl/>
        </w:rPr>
        <w:t xml:space="preserve"> (פיאמנטה</w:t>
      </w:r>
      <w:r w:rsidR="004A173B" w:rsidRPr="0002460F">
        <w:rPr>
          <w:rFonts w:ascii="David" w:hAnsi="David" w:cs="David" w:hint="cs"/>
          <w:sz w:val="20"/>
          <w:szCs w:val="20"/>
          <w:rtl/>
        </w:rPr>
        <w:t xml:space="preserve">, החצוצרה, עמ' </w:t>
      </w:r>
      <w:r w:rsidR="0002460F" w:rsidRPr="0002460F">
        <w:rPr>
          <w:rFonts w:ascii="David" w:hAnsi="David" w:cs="David" w:hint="cs"/>
          <w:sz w:val="20"/>
          <w:szCs w:val="20"/>
          <w:rtl/>
        </w:rPr>
        <w:t>87</w:t>
      </w:r>
      <w:r w:rsidR="0002460F" w:rsidRPr="0002460F">
        <w:rPr>
          <w:rFonts w:ascii="David" w:hAnsi="David" w:cs="David"/>
          <w:sz w:val="20"/>
          <w:szCs w:val="20"/>
          <w:rtl/>
        </w:rPr>
        <w:t>–</w:t>
      </w:r>
      <w:r w:rsidR="0002460F" w:rsidRPr="0002460F">
        <w:rPr>
          <w:rFonts w:ascii="David" w:hAnsi="David" w:cs="David" w:hint="cs"/>
          <w:sz w:val="20"/>
          <w:szCs w:val="20"/>
          <w:rtl/>
        </w:rPr>
        <w:t>100)</w:t>
      </w:r>
      <w:r w:rsidRPr="0002460F">
        <w:rPr>
          <w:rFonts w:ascii="David" w:hAnsi="David" w:cs="David" w:hint="cs"/>
          <w:sz w:val="20"/>
          <w:szCs w:val="20"/>
          <w:rtl/>
        </w:rPr>
        <w:t xml:space="preserve">. </w:t>
      </w:r>
      <w:r>
        <w:rPr>
          <w:rFonts w:ascii="David" w:hAnsi="David" w:cs="David" w:hint="cs"/>
          <w:sz w:val="20"/>
          <w:szCs w:val="20"/>
          <w:rtl/>
        </w:rPr>
        <w:t xml:space="preserve">על אף היתכנותה של אפשרות זו, אין בידינו עדות לשימוש בחצוצרות בצבאות המורדים.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4AF"/>
    <w:rsid w:val="000048A5"/>
    <w:rsid w:val="00004BC0"/>
    <w:rsid w:val="000201BE"/>
    <w:rsid w:val="0002460F"/>
    <w:rsid w:val="0003055E"/>
    <w:rsid w:val="00030DD4"/>
    <w:rsid w:val="0003566D"/>
    <w:rsid w:val="00052EB4"/>
    <w:rsid w:val="00054691"/>
    <w:rsid w:val="00055CC6"/>
    <w:rsid w:val="000575F8"/>
    <w:rsid w:val="00063EBB"/>
    <w:rsid w:val="000642F0"/>
    <w:rsid w:val="00072D99"/>
    <w:rsid w:val="000805A2"/>
    <w:rsid w:val="000910C7"/>
    <w:rsid w:val="000A4081"/>
    <w:rsid w:val="000A40F8"/>
    <w:rsid w:val="000E424D"/>
    <w:rsid w:val="000E5087"/>
    <w:rsid w:val="0011261B"/>
    <w:rsid w:val="00142A92"/>
    <w:rsid w:val="00170380"/>
    <w:rsid w:val="00195CB0"/>
    <w:rsid w:val="001C17F3"/>
    <w:rsid w:val="001F2FF0"/>
    <w:rsid w:val="00227313"/>
    <w:rsid w:val="00252F42"/>
    <w:rsid w:val="00253711"/>
    <w:rsid w:val="00254E09"/>
    <w:rsid w:val="00267E46"/>
    <w:rsid w:val="00271906"/>
    <w:rsid w:val="00274400"/>
    <w:rsid w:val="00277887"/>
    <w:rsid w:val="00294C70"/>
    <w:rsid w:val="002955C0"/>
    <w:rsid w:val="00295662"/>
    <w:rsid w:val="002E7615"/>
    <w:rsid w:val="002F0A61"/>
    <w:rsid w:val="003074AF"/>
    <w:rsid w:val="00314AB7"/>
    <w:rsid w:val="00350946"/>
    <w:rsid w:val="0036500E"/>
    <w:rsid w:val="00373CDD"/>
    <w:rsid w:val="003F6876"/>
    <w:rsid w:val="00421AE2"/>
    <w:rsid w:val="0042764F"/>
    <w:rsid w:val="00432FED"/>
    <w:rsid w:val="00436BA3"/>
    <w:rsid w:val="004476E0"/>
    <w:rsid w:val="004675BE"/>
    <w:rsid w:val="004679F4"/>
    <w:rsid w:val="00473426"/>
    <w:rsid w:val="00483071"/>
    <w:rsid w:val="00484BEC"/>
    <w:rsid w:val="004A173B"/>
    <w:rsid w:val="004A7F05"/>
    <w:rsid w:val="004C01EE"/>
    <w:rsid w:val="004F6D87"/>
    <w:rsid w:val="0051054E"/>
    <w:rsid w:val="0051600B"/>
    <w:rsid w:val="00516317"/>
    <w:rsid w:val="00530260"/>
    <w:rsid w:val="00534BB5"/>
    <w:rsid w:val="00573635"/>
    <w:rsid w:val="005A08A7"/>
    <w:rsid w:val="005A13B9"/>
    <w:rsid w:val="005A19A7"/>
    <w:rsid w:val="005A25A2"/>
    <w:rsid w:val="005A5946"/>
    <w:rsid w:val="005B7510"/>
    <w:rsid w:val="005C303E"/>
    <w:rsid w:val="005D25C5"/>
    <w:rsid w:val="005D5A22"/>
    <w:rsid w:val="0060475E"/>
    <w:rsid w:val="0061269A"/>
    <w:rsid w:val="0062291A"/>
    <w:rsid w:val="006370CF"/>
    <w:rsid w:val="0068194A"/>
    <w:rsid w:val="0069270F"/>
    <w:rsid w:val="006A6ED9"/>
    <w:rsid w:val="006A7FB9"/>
    <w:rsid w:val="006E75B2"/>
    <w:rsid w:val="006F5858"/>
    <w:rsid w:val="006F6D49"/>
    <w:rsid w:val="007014C2"/>
    <w:rsid w:val="00701900"/>
    <w:rsid w:val="007065EC"/>
    <w:rsid w:val="00715D72"/>
    <w:rsid w:val="00761A91"/>
    <w:rsid w:val="0076566B"/>
    <w:rsid w:val="00785C42"/>
    <w:rsid w:val="007C19B1"/>
    <w:rsid w:val="007E3488"/>
    <w:rsid w:val="00822E8F"/>
    <w:rsid w:val="00832465"/>
    <w:rsid w:val="00873D10"/>
    <w:rsid w:val="00873D66"/>
    <w:rsid w:val="008864AC"/>
    <w:rsid w:val="00897500"/>
    <w:rsid w:val="008B2F57"/>
    <w:rsid w:val="008B34AD"/>
    <w:rsid w:val="008C15DF"/>
    <w:rsid w:val="008C747F"/>
    <w:rsid w:val="008C74B8"/>
    <w:rsid w:val="008D0EE6"/>
    <w:rsid w:val="008D1DDE"/>
    <w:rsid w:val="008E59B3"/>
    <w:rsid w:val="008F270A"/>
    <w:rsid w:val="00936054"/>
    <w:rsid w:val="00943CD0"/>
    <w:rsid w:val="00945F86"/>
    <w:rsid w:val="009629BE"/>
    <w:rsid w:val="009662DA"/>
    <w:rsid w:val="009A0C22"/>
    <w:rsid w:val="009B2886"/>
    <w:rsid w:val="009C6635"/>
    <w:rsid w:val="00A25547"/>
    <w:rsid w:val="00A402D8"/>
    <w:rsid w:val="00A442C1"/>
    <w:rsid w:val="00A677C7"/>
    <w:rsid w:val="00A73340"/>
    <w:rsid w:val="00A93119"/>
    <w:rsid w:val="00A93F7F"/>
    <w:rsid w:val="00A9581A"/>
    <w:rsid w:val="00AA7D69"/>
    <w:rsid w:val="00AF56A0"/>
    <w:rsid w:val="00B00BCC"/>
    <w:rsid w:val="00B0710C"/>
    <w:rsid w:val="00B24BEC"/>
    <w:rsid w:val="00B25494"/>
    <w:rsid w:val="00B30531"/>
    <w:rsid w:val="00B763C4"/>
    <w:rsid w:val="00B81022"/>
    <w:rsid w:val="00B87D19"/>
    <w:rsid w:val="00B90E09"/>
    <w:rsid w:val="00B919EA"/>
    <w:rsid w:val="00BE1003"/>
    <w:rsid w:val="00C0475E"/>
    <w:rsid w:val="00C13B2F"/>
    <w:rsid w:val="00C51E38"/>
    <w:rsid w:val="00C55C52"/>
    <w:rsid w:val="00C62852"/>
    <w:rsid w:val="00C70FB7"/>
    <w:rsid w:val="00C75FEC"/>
    <w:rsid w:val="00CA1698"/>
    <w:rsid w:val="00CC5906"/>
    <w:rsid w:val="00D17529"/>
    <w:rsid w:val="00D204D8"/>
    <w:rsid w:val="00D215C1"/>
    <w:rsid w:val="00D258DF"/>
    <w:rsid w:val="00D33FC2"/>
    <w:rsid w:val="00D6334C"/>
    <w:rsid w:val="00D71BE0"/>
    <w:rsid w:val="00D75FC3"/>
    <w:rsid w:val="00D8508F"/>
    <w:rsid w:val="00DA0416"/>
    <w:rsid w:val="00DB6244"/>
    <w:rsid w:val="00DD6775"/>
    <w:rsid w:val="00DE6BDC"/>
    <w:rsid w:val="00E2275E"/>
    <w:rsid w:val="00E25089"/>
    <w:rsid w:val="00E32DD1"/>
    <w:rsid w:val="00E64DAD"/>
    <w:rsid w:val="00E777DC"/>
    <w:rsid w:val="00E8672C"/>
    <w:rsid w:val="00ED0068"/>
    <w:rsid w:val="00EE0221"/>
    <w:rsid w:val="00EF6D27"/>
    <w:rsid w:val="00EF73DF"/>
    <w:rsid w:val="00F127E4"/>
    <w:rsid w:val="00F20E39"/>
    <w:rsid w:val="00F262BC"/>
    <w:rsid w:val="00F31C8B"/>
    <w:rsid w:val="00F4139E"/>
    <w:rsid w:val="00F708C5"/>
    <w:rsid w:val="00F9033D"/>
    <w:rsid w:val="00F92294"/>
    <w:rsid w:val="00FB7561"/>
    <w:rsid w:val="00FC146F"/>
    <w:rsid w:val="00FE21B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77EAC"/>
  <w15:chartTrackingRefBased/>
  <w15:docId w15:val="{70127F3E-B8DA-408F-A367-30B3DE2BC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074AF"/>
    <w:pPr>
      <w:bidi/>
    </w:pPr>
    <w:rPr>
      <w:rFonts w:ascii="Calibri" w:eastAsia="Calibri" w:hAnsi="Calibri"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3074AF"/>
    <w:rPr>
      <w:rFonts w:cs="Times New Roman"/>
      <w:sz w:val="20"/>
      <w:szCs w:val="20"/>
      <w:lang w:val="x-none" w:eastAsia="x-none"/>
    </w:rPr>
  </w:style>
  <w:style w:type="character" w:customStyle="1" w:styleId="a4">
    <w:name w:val="טקסט הערת שוליים תו"/>
    <w:basedOn w:val="a0"/>
    <w:link w:val="a3"/>
    <w:uiPriority w:val="99"/>
    <w:rsid w:val="003074AF"/>
    <w:rPr>
      <w:rFonts w:ascii="Calibri" w:eastAsia="Calibri" w:hAnsi="Calibri" w:cs="Times New Roman"/>
      <w:sz w:val="20"/>
      <w:szCs w:val="20"/>
      <w:lang w:val="x-none" w:eastAsia="x-none"/>
    </w:rPr>
  </w:style>
  <w:style w:type="character" w:styleId="a5">
    <w:name w:val="footnote reference"/>
    <w:uiPriority w:val="99"/>
    <w:semiHidden/>
    <w:unhideWhenUsed/>
    <w:rsid w:val="003074AF"/>
    <w:rPr>
      <w:vertAlign w:val="superscript"/>
    </w:rPr>
  </w:style>
  <w:style w:type="character" w:styleId="Hyperlink">
    <w:name w:val="Hyperlink"/>
    <w:basedOn w:val="a0"/>
    <w:uiPriority w:val="99"/>
    <w:unhideWhenUsed/>
    <w:rsid w:val="003074AF"/>
    <w:rPr>
      <w:color w:val="0000FF" w:themeColor="hyperlink"/>
      <w:u w:val="single"/>
    </w:rPr>
  </w:style>
  <w:style w:type="character" w:styleId="FollowedHyperlink">
    <w:name w:val="FollowedHyperlink"/>
    <w:basedOn w:val="a0"/>
    <w:uiPriority w:val="99"/>
    <w:semiHidden/>
    <w:unhideWhenUsed/>
    <w:rsid w:val="006A7FB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britishmuseum.org/research/collection_online/collection_object_details.aspx?objectId=669847&amp;partId=1" TargetMode="External"/><Relationship Id="rId2" Type="http://schemas.openxmlformats.org/officeDocument/2006/relationships/hyperlink" Target="https://www.imj.org.il/en/collections/539256" TargetMode="External"/><Relationship Id="rId1" Type="http://schemas.openxmlformats.org/officeDocument/2006/relationships/hyperlink" Target="https://www.imj.org.il/en/collections/539254"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86CAB-A693-478E-8A3B-C48CAF45C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3398</TotalTime>
  <Pages>18</Pages>
  <Words>3549</Words>
  <Characters>17747</Characters>
  <Application>Microsoft Office Word</Application>
  <DocSecurity>0</DocSecurity>
  <Lines>147</Lines>
  <Paragraphs>42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משה פיאמנטה</dc:creator>
  <cp:keywords/>
  <dc:description/>
  <cp:lastModifiedBy>משה פיאמנטה</cp:lastModifiedBy>
  <cp:revision>345</cp:revision>
  <dcterms:created xsi:type="dcterms:W3CDTF">2023-01-27T09:06:00Z</dcterms:created>
  <dcterms:modified xsi:type="dcterms:W3CDTF">2023-02-04T22:49:00Z</dcterms:modified>
</cp:coreProperties>
</file>