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62A002" w14:textId="1BE99153" w:rsidR="00C16823" w:rsidRDefault="003B733F" w:rsidP="004F4103">
      <w:pPr>
        <w:spacing w:after="120" w:line="300" w:lineRule="auto"/>
        <w:ind w:left="5760"/>
        <w:rPr>
          <w:rFonts w:asciiTheme="majorBidi" w:hAnsiTheme="majorBidi" w:cstheme="majorBidi"/>
          <w:sz w:val="24"/>
          <w:szCs w:val="24"/>
        </w:rPr>
      </w:pPr>
      <w:bookmarkStart w:id="0" w:name="_GoBack"/>
      <w:bookmarkEnd w:id="0"/>
      <w:r>
        <w:rPr>
          <w:rFonts w:asciiTheme="majorBidi" w:hAnsiTheme="majorBidi" w:cstheme="majorBidi"/>
          <w:sz w:val="24"/>
          <w:szCs w:val="24"/>
        </w:rPr>
        <w:t>Working Draft, February 6, 2023</w:t>
      </w:r>
    </w:p>
    <w:p w14:paraId="051F2DC8" w14:textId="77777777" w:rsidR="003B733F" w:rsidRPr="008A2792" w:rsidRDefault="003B733F" w:rsidP="008A2792">
      <w:pPr>
        <w:spacing w:after="120" w:line="300" w:lineRule="auto"/>
        <w:rPr>
          <w:rFonts w:asciiTheme="majorBidi" w:hAnsiTheme="majorBidi" w:cstheme="majorBidi"/>
          <w:sz w:val="24"/>
          <w:szCs w:val="24"/>
        </w:rPr>
      </w:pPr>
    </w:p>
    <w:p w14:paraId="29005B8C" w14:textId="77777777" w:rsidR="00C16823" w:rsidRPr="008A2792" w:rsidRDefault="00C16823" w:rsidP="008A2792">
      <w:pPr>
        <w:spacing w:after="120" w:line="300" w:lineRule="auto"/>
        <w:rPr>
          <w:rFonts w:asciiTheme="majorBidi" w:hAnsiTheme="majorBidi" w:cstheme="majorBidi"/>
          <w:sz w:val="24"/>
          <w:szCs w:val="24"/>
        </w:rPr>
      </w:pPr>
    </w:p>
    <w:p w14:paraId="15CE6953" w14:textId="1B5E1512" w:rsidR="003602A1" w:rsidRPr="00C948BD" w:rsidRDefault="009C1570" w:rsidP="006B753B">
      <w:pPr>
        <w:spacing w:after="120" w:line="300" w:lineRule="auto"/>
        <w:jc w:val="center"/>
        <w:rPr>
          <w:rFonts w:asciiTheme="majorBidi" w:hAnsiTheme="majorBidi" w:cstheme="majorBidi"/>
          <w:sz w:val="32"/>
          <w:szCs w:val="32"/>
        </w:rPr>
      </w:pPr>
      <w:r w:rsidRPr="00C948BD">
        <w:rPr>
          <w:rFonts w:asciiTheme="majorBidi" w:hAnsiTheme="majorBidi" w:cstheme="majorBidi"/>
          <w:sz w:val="32"/>
          <w:szCs w:val="32"/>
        </w:rPr>
        <w:t xml:space="preserve">Political </w:t>
      </w:r>
      <w:r w:rsidR="00746290" w:rsidRPr="00C948BD">
        <w:rPr>
          <w:rFonts w:asciiTheme="majorBidi" w:hAnsiTheme="majorBidi" w:cstheme="majorBidi"/>
          <w:sz w:val="32"/>
          <w:szCs w:val="32"/>
        </w:rPr>
        <w:t>D</w:t>
      </w:r>
      <w:r w:rsidRPr="00C948BD">
        <w:rPr>
          <w:rFonts w:asciiTheme="majorBidi" w:hAnsiTheme="majorBidi" w:cstheme="majorBidi"/>
          <w:sz w:val="32"/>
          <w:szCs w:val="32"/>
        </w:rPr>
        <w:t>isparities in</w:t>
      </w:r>
      <w:r w:rsidR="00225868" w:rsidRPr="00C948BD">
        <w:rPr>
          <w:rFonts w:asciiTheme="majorBidi" w:hAnsiTheme="majorBidi" w:cstheme="majorBidi"/>
          <w:sz w:val="32"/>
          <w:szCs w:val="32"/>
        </w:rPr>
        <w:t xml:space="preserve"> </w:t>
      </w:r>
      <w:r w:rsidR="00B56C82" w:rsidRPr="00C948BD">
        <w:rPr>
          <w:rFonts w:asciiTheme="majorBidi" w:hAnsiTheme="majorBidi" w:cstheme="majorBidi"/>
          <w:sz w:val="32"/>
          <w:szCs w:val="32"/>
        </w:rPr>
        <w:t xml:space="preserve">Federal </w:t>
      </w:r>
      <w:r w:rsidR="006361C7" w:rsidRPr="00C948BD">
        <w:rPr>
          <w:rFonts w:asciiTheme="majorBidi" w:hAnsiTheme="majorBidi" w:cstheme="majorBidi"/>
          <w:sz w:val="32"/>
          <w:szCs w:val="32"/>
        </w:rPr>
        <w:t xml:space="preserve">Criminal </w:t>
      </w:r>
      <w:r w:rsidR="003602A1" w:rsidRPr="00C948BD">
        <w:rPr>
          <w:rFonts w:asciiTheme="majorBidi" w:hAnsiTheme="majorBidi" w:cstheme="majorBidi"/>
          <w:sz w:val="32"/>
          <w:szCs w:val="32"/>
        </w:rPr>
        <w:t>Appeals</w:t>
      </w:r>
    </w:p>
    <w:p w14:paraId="3BC8A8A0" w14:textId="0C73C47F" w:rsidR="003618C6" w:rsidRDefault="006B753B" w:rsidP="006B753B">
      <w:pPr>
        <w:spacing w:after="120" w:line="300" w:lineRule="auto"/>
        <w:jc w:val="center"/>
        <w:rPr>
          <w:rFonts w:asciiTheme="majorBidi" w:hAnsiTheme="majorBidi" w:cstheme="majorBidi"/>
          <w:sz w:val="24"/>
          <w:szCs w:val="24"/>
        </w:rPr>
      </w:pPr>
      <w:r>
        <w:rPr>
          <w:rFonts w:asciiTheme="majorBidi" w:hAnsiTheme="majorBidi" w:cstheme="majorBidi"/>
          <w:sz w:val="24"/>
          <w:szCs w:val="24"/>
        </w:rPr>
        <w:t>Alma Cohen</w:t>
      </w:r>
      <w:r w:rsidRPr="006B753B">
        <w:rPr>
          <w:rStyle w:val="FootnoteReference"/>
          <w:rFonts w:asciiTheme="majorBidi" w:hAnsiTheme="majorBidi" w:cstheme="majorBidi"/>
          <w:sz w:val="24"/>
          <w:szCs w:val="24"/>
        </w:rPr>
        <w:footnoteReference w:customMarkFollows="1" w:id="1"/>
        <w:sym w:font="Symbol" w:char="F0A6"/>
      </w:r>
    </w:p>
    <w:p w14:paraId="7FBEA6EC" w14:textId="5016B946" w:rsidR="006B753B" w:rsidRDefault="006B753B" w:rsidP="006B753B">
      <w:pPr>
        <w:spacing w:after="120" w:line="300" w:lineRule="auto"/>
        <w:jc w:val="center"/>
        <w:rPr>
          <w:rFonts w:asciiTheme="majorBidi" w:hAnsiTheme="majorBidi" w:cstheme="majorBidi"/>
          <w:sz w:val="24"/>
          <w:szCs w:val="24"/>
        </w:rPr>
      </w:pPr>
    </w:p>
    <w:p w14:paraId="12CE90EB" w14:textId="5A40B115" w:rsidR="006B753B" w:rsidRPr="006B753B" w:rsidRDefault="006B753B" w:rsidP="006B753B">
      <w:pPr>
        <w:spacing w:after="120" w:line="300" w:lineRule="auto"/>
        <w:jc w:val="center"/>
        <w:rPr>
          <w:rFonts w:asciiTheme="majorBidi" w:hAnsiTheme="majorBidi" w:cstheme="majorBidi"/>
          <w:b/>
          <w:bCs/>
          <w:sz w:val="24"/>
          <w:szCs w:val="24"/>
        </w:rPr>
      </w:pPr>
      <w:r w:rsidRPr="006B753B">
        <w:rPr>
          <w:rFonts w:asciiTheme="majorBidi" w:hAnsiTheme="majorBidi" w:cstheme="majorBidi"/>
          <w:b/>
          <w:bCs/>
          <w:sz w:val="24"/>
          <w:szCs w:val="24"/>
        </w:rPr>
        <w:t>Abstract</w:t>
      </w:r>
    </w:p>
    <w:p w14:paraId="4D9D2612" w14:textId="5294A75C" w:rsidR="0085544E" w:rsidRDefault="003618C6" w:rsidP="00C948BD">
      <w:pPr>
        <w:spacing w:after="120" w:line="300" w:lineRule="auto"/>
        <w:ind w:firstLine="720"/>
        <w:jc w:val="both"/>
        <w:rPr>
          <w:rFonts w:asciiTheme="majorBidi" w:hAnsiTheme="majorBidi" w:cstheme="majorBidi"/>
          <w:sz w:val="24"/>
          <w:szCs w:val="24"/>
        </w:rPr>
      </w:pPr>
      <w:r w:rsidRPr="008A2792">
        <w:rPr>
          <w:rFonts w:asciiTheme="majorBidi" w:hAnsiTheme="majorBidi" w:cstheme="majorBidi"/>
          <w:sz w:val="24"/>
          <w:szCs w:val="24"/>
        </w:rPr>
        <w:t xml:space="preserve">We </w:t>
      </w:r>
      <w:r w:rsidR="003A1253">
        <w:rPr>
          <w:rFonts w:asciiTheme="majorBidi" w:hAnsiTheme="majorBidi" w:cstheme="majorBidi"/>
          <w:sz w:val="24"/>
          <w:szCs w:val="24"/>
        </w:rPr>
        <w:t xml:space="preserve">conduct the first empirical investigation of the </w:t>
      </w:r>
      <w:r w:rsidR="00126A07">
        <w:rPr>
          <w:rFonts w:asciiTheme="majorBidi" w:hAnsiTheme="majorBidi" w:cstheme="majorBidi"/>
          <w:sz w:val="24"/>
          <w:szCs w:val="24"/>
        </w:rPr>
        <w:t xml:space="preserve">close to all </w:t>
      </w:r>
      <w:r w:rsidR="003A1253">
        <w:rPr>
          <w:rFonts w:asciiTheme="majorBidi" w:hAnsiTheme="majorBidi" w:cstheme="majorBidi"/>
          <w:sz w:val="24"/>
          <w:szCs w:val="24"/>
        </w:rPr>
        <w:t xml:space="preserve">universe of criminal appeals in the Circuit Courts, both published and unpublished, examining a </w:t>
      </w:r>
      <w:r w:rsidRPr="008A2792">
        <w:rPr>
          <w:rFonts w:asciiTheme="majorBidi" w:hAnsiTheme="majorBidi" w:cstheme="majorBidi"/>
          <w:sz w:val="24"/>
          <w:szCs w:val="24"/>
        </w:rPr>
        <w:t xml:space="preserve">dataset of about two hundred thousand </w:t>
      </w:r>
      <w:r w:rsidR="002C4893" w:rsidRPr="008A2792">
        <w:rPr>
          <w:rFonts w:asciiTheme="majorBidi" w:hAnsiTheme="majorBidi" w:cstheme="majorBidi"/>
          <w:sz w:val="24"/>
          <w:szCs w:val="24"/>
        </w:rPr>
        <w:t xml:space="preserve">criminal </w:t>
      </w:r>
      <w:r w:rsidRPr="008A2792">
        <w:rPr>
          <w:rFonts w:asciiTheme="majorBidi" w:hAnsiTheme="majorBidi" w:cstheme="majorBidi"/>
          <w:sz w:val="24"/>
          <w:szCs w:val="24"/>
        </w:rPr>
        <w:t xml:space="preserve">appeals during the period 1980-2020. We find </w:t>
      </w:r>
      <w:r w:rsidR="00EC444C">
        <w:rPr>
          <w:rFonts w:asciiTheme="majorBidi" w:hAnsiTheme="majorBidi" w:cstheme="majorBidi"/>
          <w:sz w:val="24"/>
          <w:szCs w:val="24"/>
        </w:rPr>
        <w:t xml:space="preserve">that panels with more Democratic judges (i.e., judges appointed by Democratic Presidents) are associated with </w:t>
      </w:r>
      <w:r w:rsidR="000A150A">
        <w:rPr>
          <w:rFonts w:asciiTheme="majorBidi" w:hAnsiTheme="majorBidi" w:cstheme="majorBidi"/>
          <w:sz w:val="24"/>
          <w:szCs w:val="24"/>
        </w:rPr>
        <w:t xml:space="preserve">outcomes that are more prodefendant. </w:t>
      </w:r>
      <w:r w:rsidR="00043553">
        <w:rPr>
          <w:rFonts w:asciiTheme="majorBidi" w:hAnsiTheme="majorBidi" w:cstheme="majorBidi"/>
          <w:sz w:val="24"/>
          <w:szCs w:val="24"/>
        </w:rPr>
        <w:t xml:space="preserve">I also </w:t>
      </w:r>
      <w:r w:rsidR="00292BBC">
        <w:rPr>
          <w:rFonts w:asciiTheme="majorBidi" w:hAnsiTheme="majorBidi" w:cstheme="majorBidi"/>
          <w:sz w:val="24"/>
          <w:szCs w:val="24"/>
        </w:rPr>
        <w:t xml:space="preserve">find that </w:t>
      </w:r>
      <w:r w:rsidR="00464831">
        <w:rPr>
          <w:rFonts w:asciiTheme="majorBidi" w:hAnsiTheme="majorBidi" w:cstheme="majorBidi"/>
          <w:sz w:val="24"/>
          <w:szCs w:val="24"/>
        </w:rPr>
        <w:t xml:space="preserve">this association is driven by </w:t>
      </w:r>
      <w:r w:rsidR="00292BBC">
        <w:rPr>
          <w:rFonts w:asciiTheme="majorBidi" w:hAnsiTheme="majorBidi" w:cstheme="majorBidi"/>
          <w:sz w:val="24"/>
          <w:szCs w:val="24"/>
        </w:rPr>
        <w:t xml:space="preserve">both </w:t>
      </w:r>
      <w:r w:rsidR="00464831">
        <w:rPr>
          <w:rFonts w:asciiTheme="majorBidi" w:hAnsiTheme="majorBidi" w:cstheme="majorBidi"/>
          <w:sz w:val="24"/>
          <w:szCs w:val="24"/>
        </w:rPr>
        <w:t xml:space="preserve">the stand-alone preferences of judges </w:t>
      </w:r>
      <w:r w:rsidR="00AA6D33">
        <w:rPr>
          <w:rFonts w:asciiTheme="majorBidi" w:hAnsiTheme="majorBidi" w:cstheme="majorBidi"/>
          <w:sz w:val="24"/>
          <w:szCs w:val="24"/>
        </w:rPr>
        <w:t xml:space="preserve">and the peer effect </w:t>
      </w:r>
      <w:r w:rsidR="00292BBC">
        <w:rPr>
          <w:rFonts w:asciiTheme="majorBidi" w:hAnsiTheme="majorBidi" w:cstheme="majorBidi"/>
          <w:sz w:val="24"/>
          <w:szCs w:val="24"/>
        </w:rPr>
        <w:t xml:space="preserve">due to which </w:t>
      </w:r>
      <w:r w:rsidR="00AA6D33">
        <w:rPr>
          <w:rFonts w:asciiTheme="majorBidi" w:hAnsiTheme="majorBidi" w:cstheme="majorBidi"/>
          <w:sz w:val="24"/>
          <w:szCs w:val="24"/>
        </w:rPr>
        <w:t>judges</w:t>
      </w:r>
      <w:r w:rsidR="00292BBC">
        <w:rPr>
          <w:rFonts w:asciiTheme="majorBidi" w:hAnsiTheme="majorBidi" w:cstheme="majorBidi"/>
          <w:sz w:val="24"/>
          <w:szCs w:val="24"/>
        </w:rPr>
        <w:t xml:space="preserve"> are influenced by the preferences of the other judges on their panel. </w:t>
      </w:r>
    </w:p>
    <w:p w14:paraId="7E3A8CAA" w14:textId="6FBBB6A4" w:rsidR="003618C6" w:rsidRDefault="003618C6" w:rsidP="00C948BD">
      <w:pPr>
        <w:spacing w:after="120" w:line="300" w:lineRule="auto"/>
        <w:ind w:firstLine="720"/>
        <w:jc w:val="both"/>
        <w:rPr>
          <w:rFonts w:asciiTheme="majorBidi" w:hAnsiTheme="majorBidi" w:cstheme="majorBidi"/>
          <w:sz w:val="24"/>
          <w:szCs w:val="24"/>
        </w:rPr>
      </w:pPr>
      <w:r w:rsidRPr="008A2792">
        <w:rPr>
          <w:rFonts w:asciiTheme="majorBidi" w:hAnsiTheme="majorBidi" w:cstheme="majorBidi"/>
          <w:sz w:val="24"/>
          <w:szCs w:val="24"/>
        </w:rPr>
        <w:t xml:space="preserve">The pattern we identify is pervasive </w:t>
      </w:r>
      <w:r w:rsidR="008F75F5" w:rsidRPr="008A2792">
        <w:rPr>
          <w:rFonts w:asciiTheme="majorBidi" w:hAnsiTheme="majorBidi" w:cstheme="majorBidi"/>
          <w:sz w:val="24"/>
          <w:szCs w:val="24"/>
        </w:rPr>
        <w:t>across c</w:t>
      </w:r>
      <w:r w:rsidRPr="008A2792">
        <w:rPr>
          <w:rFonts w:asciiTheme="majorBidi" w:hAnsiTheme="majorBidi" w:cstheme="majorBidi"/>
          <w:sz w:val="24"/>
          <w:szCs w:val="24"/>
        </w:rPr>
        <w:t>riminal offenses</w:t>
      </w:r>
      <w:r w:rsidR="009245F8">
        <w:rPr>
          <w:rFonts w:asciiTheme="majorBidi" w:hAnsiTheme="majorBidi" w:cstheme="majorBidi"/>
          <w:sz w:val="24"/>
          <w:szCs w:val="24"/>
        </w:rPr>
        <w:t>,</w:t>
      </w:r>
      <w:r w:rsidR="00C249AE" w:rsidRPr="008A2792">
        <w:rPr>
          <w:rFonts w:asciiTheme="majorBidi" w:hAnsiTheme="majorBidi" w:cstheme="majorBidi"/>
          <w:sz w:val="24"/>
          <w:szCs w:val="24"/>
        </w:rPr>
        <w:t xml:space="preserve"> </w:t>
      </w:r>
      <w:r w:rsidR="009245F8">
        <w:rPr>
          <w:rFonts w:asciiTheme="majorBidi" w:hAnsiTheme="majorBidi" w:cstheme="majorBidi"/>
          <w:sz w:val="24"/>
          <w:szCs w:val="24"/>
        </w:rPr>
        <w:t xml:space="preserve">as well as </w:t>
      </w:r>
      <w:r w:rsidRPr="008A2792">
        <w:rPr>
          <w:rFonts w:asciiTheme="majorBidi" w:hAnsiTheme="majorBidi" w:cstheme="majorBidi"/>
          <w:sz w:val="24"/>
          <w:szCs w:val="24"/>
        </w:rPr>
        <w:t>decades within our examined period</w:t>
      </w:r>
      <w:r w:rsidR="00214FBC">
        <w:rPr>
          <w:rFonts w:asciiTheme="majorBidi" w:hAnsiTheme="majorBidi" w:cstheme="majorBidi"/>
          <w:sz w:val="24"/>
          <w:szCs w:val="24"/>
        </w:rPr>
        <w:t xml:space="preserve">. The pattern is </w:t>
      </w:r>
      <w:r w:rsidR="00840325">
        <w:rPr>
          <w:rFonts w:asciiTheme="majorBidi" w:hAnsiTheme="majorBidi" w:cstheme="majorBidi"/>
          <w:sz w:val="24"/>
          <w:szCs w:val="24"/>
        </w:rPr>
        <w:t xml:space="preserve">also </w:t>
      </w:r>
      <w:r w:rsidR="00214FBC">
        <w:rPr>
          <w:rFonts w:asciiTheme="majorBidi" w:hAnsiTheme="majorBidi" w:cstheme="majorBidi"/>
          <w:sz w:val="24"/>
          <w:szCs w:val="24"/>
        </w:rPr>
        <w:t>present in both appeals brought by the criminal defendant and appeals brought by the government</w:t>
      </w:r>
      <w:r w:rsidR="0085544E">
        <w:rPr>
          <w:rFonts w:asciiTheme="majorBidi" w:hAnsiTheme="majorBidi" w:cstheme="majorBidi"/>
          <w:sz w:val="24"/>
          <w:szCs w:val="24"/>
        </w:rPr>
        <w:t xml:space="preserve">. </w:t>
      </w:r>
      <w:r w:rsidR="00840325">
        <w:rPr>
          <w:rFonts w:asciiTheme="majorBidi" w:hAnsiTheme="majorBidi" w:cstheme="majorBidi"/>
          <w:sz w:val="24"/>
          <w:szCs w:val="24"/>
        </w:rPr>
        <w:t>Finally</w:t>
      </w:r>
      <w:r w:rsidR="002D7634">
        <w:rPr>
          <w:rFonts w:asciiTheme="majorBidi" w:hAnsiTheme="majorBidi" w:cstheme="majorBidi"/>
          <w:sz w:val="24"/>
          <w:szCs w:val="24"/>
        </w:rPr>
        <w:t>,</w:t>
      </w:r>
      <w:r w:rsidR="00840325">
        <w:rPr>
          <w:rFonts w:asciiTheme="majorBidi" w:hAnsiTheme="majorBidi" w:cstheme="majorBidi"/>
          <w:sz w:val="24"/>
          <w:szCs w:val="24"/>
        </w:rPr>
        <w:t xml:space="preserve"> this pattern is found in </w:t>
      </w:r>
      <w:r w:rsidR="009245F8">
        <w:rPr>
          <w:rFonts w:asciiTheme="majorBidi" w:hAnsiTheme="majorBidi" w:cstheme="majorBidi"/>
          <w:sz w:val="24"/>
          <w:szCs w:val="24"/>
        </w:rPr>
        <w:t xml:space="preserve">both </w:t>
      </w:r>
      <w:r w:rsidR="00C249AE" w:rsidRPr="008A2792">
        <w:rPr>
          <w:rFonts w:asciiTheme="majorBidi" w:hAnsiTheme="majorBidi" w:cstheme="majorBidi"/>
          <w:sz w:val="24"/>
          <w:szCs w:val="24"/>
        </w:rPr>
        <w:t xml:space="preserve">cases with </w:t>
      </w:r>
      <w:r w:rsidRPr="008A2792">
        <w:rPr>
          <w:rFonts w:asciiTheme="majorBidi" w:hAnsiTheme="majorBidi" w:cstheme="majorBidi"/>
          <w:sz w:val="24"/>
          <w:szCs w:val="24"/>
        </w:rPr>
        <w:t xml:space="preserve">published </w:t>
      </w:r>
      <w:r w:rsidR="008F75F5" w:rsidRPr="008A2792">
        <w:rPr>
          <w:rFonts w:asciiTheme="majorBidi" w:hAnsiTheme="majorBidi" w:cstheme="majorBidi"/>
          <w:sz w:val="24"/>
          <w:szCs w:val="24"/>
        </w:rPr>
        <w:t>opinions</w:t>
      </w:r>
      <w:r w:rsidR="00C249AE" w:rsidRPr="008A2792">
        <w:rPr>
          <w:rFonts w:asciiTheme="majorBidi" w:hAnsiTheme="majorBidi" w:cstheme="majorBidi"/>
          <w:sz w:val="24"/>
          <w:szCs w:val="24"/>
        </w:rPr>
        <w:t xml:space="preserve"> and cases with </w:t>
      </w:r>
      <w:r w:rsidRPr="008A2792">
        <w:rPr>
          <w:rFonts w:asciiTheme="majorBidi" w:hAnsiTheme="majorBidi" w:cstheme="majorBidi"/>
          <w:sz w:val="24"/>
          <w:szCs w:val="24"/>
        </w:rPr>
        <w:t>unpublished opinions</w:t>
      </w:r>
      <w:r w:rsidR="00C249AE" w:rsidRPr="008A2792">
        <w:rPr>
          <w:rFonts w:asciiTheme="majorBidi" w:hAnsiTheme="majorBidi" w:cstheme="majorBidi"/>
          <w:sz w:val="24"/>
          <w:szCs w:val="24"/>
        </w:rPr>
        <w:t xml:space="preserve">, though it is more pronounced in the former. </w:t>
      </w:r>
      <w:r w:rsidRPr="008A2792">
        <w:rPr>
          <w:rFonts w:asciiTheme="majorBidi" w:hAnsiTheme="majorBidi" w:cstheme="majorBidi"/>
          <w:sz w:val="24"/>
          <w:szCs w:val="24"/>
        </w:rPr>
        <w:t xml:space="preserve">Our results identify a significant way in which the political appointments of federal judges affect outcomes in the federal criminal justice system.  </w:t>
      </w:r>
    </w:p>
    <w:p w14:paraId="605715B5" w14:textId="2EC838E5" w:rsidR="006B753B" w:rsidRDefault="006B753B" w:rsidP="008A2792">
      <w:pPr>
        <w:spacing w:after="120" w:line="300" w:lineRule="auto"/>
        <w:rPr>
          <w:rFonts w:asciiTheme="majorBidi" w:hAnsiTheme="majorBidi" w:cstheme="majorBidi"/>
          <w:sz w:val="24"/>
          <w:szCs w:val="24"/>
        </w:rPr>
      </w:pPr>
      <w:r>
        <w:rPr>
          <w:rFonts w:asciiTheme="majorBidi" w:hAnsiTheme="majorBidi" w:cstheme="majorBidi"/>
          <w:sz w:val="24"/>
          <w:szCs w:val="24"/>
        </w:rPr>
        <w:t xml:space="preserve">Keywords: </w:t>
      </w:r>
      <w:r w:rsidR="0033073B">
        <w:rPr>
          <w:rFonts w:asciiTheme="majorBidi" w:hAnsiTheme="majorBidi" w:cstheme="majorBidi"/>
          <w:sz w:val="24"/>
          <w:szCs w:val="24"/>
        </w:rPr>
        <w:t xml:space="preserve">Circuit Courts, criminal appeals, federal courts, </w:t>
      </w:r>
      <w:r w:rsidR="00804BB3">
        <w:rPr>
          <w:rFonts w:asciiTheme="majorBidi" w:hAnsiTheme="majorBidi" w:cstheme="majorBidi"/>
          <w:sz w:val="24"/>
          <w:szCs w:val="24"/>
        </w:rPr>
        <w:t xml:space="preserve">courts of appeals, </w:t>
      </w:r>
      <w:r w:rsidR="0033073B">
        <w:rPr>
          <w:rFonts w:asciiTheme="majorBidi" w:hAnsiTheme="majorBidi" w:cstheme="majorBidi"/>
          <w:sz w:val="24"/>
          <w:szCs w:val="24"/>
        </w:rPr>
        <w:t xml:space="preserve">judicial decisions, </w:t>
      </w:r>
      <w:r w:rsidR="006939EF">
        <w:rPr>
          <w:rFonts w:asciiTheme="majorBidi" w:hAnsiTheme="majorBidi" w:cstheme="majorBidi"/>
          <w:sz w:val="24"/>
          <w:szCs w:val="24"/>
        </w:rPr>
        <w:t xml:space="preserve">political </w:t>
      </w:r>
      <w:r w:rsidR="00804BB3">
        <w:rPr>
          <w:rFonts w:asciiTheme="majorBidi" w:hAnsiTheme="majorBidi" w:cstheme="majorBidi"/>
          <w:sz w:val="24"/>
          <w:szCs w:val="24"/>
        </w:rPr>
        <w:t xml:space="preserve">appointment of judges. </w:t>
      </w:r>
    </w:p>
    <w:p w14:paraId="4313E1C3" w14:textId="523B65E2" w:rsidR="00E24758" w:rsidRPr="008A2792" w:rsidRDefault="00E24758" w:rsidP="008A2792">
      <w:pPr>
        <w:spacing w:after="120" w:line="300" w:lineRule="auto"/>
        <w:rPr>
          <w:rFonts w:asciiTheme="majorBidi" w:hAnsiTheme="majorBidi" w:cstheme="majorBidi"/>
          <w:sz w:val="24"/>
          <w:szCs w:val="24"/>
        </w:rPr>
      </w:pPr>
      <w:r>
        <w:rPr>
          <w:rFonts w:asciiTheme="majorBidi" w:hAnsiTheme="majorBidi" w:cstheme="majorBidi"/>
          <w:sz w:val="24"/>
          <w:szCs w:val="24"/>
        </w:rPr>
        <w:t xml:space="preserve">JEL Classification: </w:t>
      </w:r>
      <w:r w:rsidR="00C948BD" w:rsidRPr="00C948BD">
        <w:rPr>
          <w:rFonts w:asciiTheme="majorBidi" w:hAnsiTheme="majorBidi" w:cstheme="majorBidi"/>
          <w:sz w:val="24"/>
          <w:szCs w:val="24"/>
        </w:rPr>
        <w:t>D72, J15, J16, K41, K42</w:t>
      </w:r>
    </w:p>
    <w:p w14:paraId="6EE01EBA" w14:textId="1927CC21" w:rsidR="00C16823" w:rsidRPr="008A2792" w:rsidRDefault="00C16823" w:rsidP="008A2792">
      <w:pPr>
        <w:spacing w:after="120" w:line="300" w:lineRule="auto"/>
        <w:rPr>
          <w:rFonts w:asciiTheme="majorBidi" w:hAnsiTheme="majorBidi" w:cstheme="majorBidi"/>
          <w:sz w:val="24"/>
          <w:szCs w:val="24"/>
        </w:rPr>
      </w:pPr>
      <w:r w:rsidRPr="008A2792">
        <w:rPr>
          <w:rFonts w:asciiTheme="majorBidi" w:hAnsiTheme="majorBidi" w:cstheme="majorBidi"/>
          <w:sz w:val="24"/>
          <w:szCs w:val="24"/>
        </w:rPr>
        <w:br w:type="page"/>
      </w:r>
    </w:p>
    <w:p w14:paraId="41D3EA6B" w14:textId="4491D69E" w:rsidR="009E2ED1" w:rsidRPr="00A13C7B" w:rsidRDefault="00996DD9" w:rsidP="008A2792">
      <w:pPr>
        <w:spacing w:after="120" w:line="300" w:lineRule="auto"/>
        <w:jc w:val="center"/>
        <w:rPr>
          <w:rFonts w:asciiTheme="majorBidi" w:hAnsiTheme="majorBidi" w:cstheme="majorBidi"/>
          <w:sz w:val="28"/>
          <w:szCs w:val="28"/>
        </w:rPr>
      </w:pPr>
      <w:r w:rsidRPr="00A13C7B">
        <w:rPr>
          <w:rFonts w:asciiTheme="majorBidi" w:hAnsiTheme="majorBidi" w:cstheme="majorBidi"/>
          <w:sz w:val="28"/>
          <w:szCs w:val="28"/>
        </w:rPr>
        <w:lastRenderedPageBreak/>
        <w:t xml:space="preserve">I. </w:t>
      </w:r>
      <w:r w:rsidR="00382D37" w:rsidRPr="00A13C7B">
        <w:rPr>
          <w:rFonts w:asciiTheme="majorBidi" w:hAnsiTheme="majorBidi" w:cstheme="majorBidi"/>
          <w:sz w:val="28"/>
          <w:szCs w:val="28"/>
        </w:rPr>
        <w:t>Introduction</w:t>
      </w:r>
    </w:p>
    <w:p w14:paraId="4FC915B9" w14:textId="32E3E9ED" w:rsidR="004C0D3D" w:rsidRPr="008A2792" w:rsidRDefault="00682F55" w:rsidP="00A02F77">
      <w:pPr>
        <w:spacing w:after="120" w:line="360" w:lineRule="auto"/>
        <w:ind w:firstLine="450"/>
        <w:jc w:val="both"/>
        <w:rPr>
          <w:rFonts w:asciiTheme="majorBidi" w:hAnsiTheme="majorBidi" w:cstheme="majorBidi"/>
          <w:sz w:val="24"/>
          <w:szCs w:val="24"/>
        </w:rPr>
      </w:pPr>
      <w:r w:rsidRPr="008A2792">
        <w:rPr>
          <w:rFonts w:asciiTheme="majorBidi" w:hAnsiTheme="majorBidi" w:cstheme="majorBidi"/>
          <w:sz w:val="24"/>
          <w:szCs w:val="24"/>
        </w:rPr>
        <w:t xml:space="preserve">This study </w:t>
      </w:r>
      <w:r w:rsidR="00E61BEA" w:rsidRPr="008A2792">
        <w:rPr>
          <w:rFonts w:asciiTheme="majorBidi" w:hAnsiTheme="majorBidi" w:cstheme="majorBidi"/>
          <w:sz w:val="24"/>
          <w:szCs w:val="24"/>
        </w:rPr>
        <w:t>empirical</w:t>
      </w:r>
      <w:r w:rsidR="00504972">
        <w:rPr>
          <w:rFonts w:asciiTheme="majorBidi" w:hAnsiTheme="majorBidi" w:cstheme="majorBidi"/>
          <w:sz w:val="24"/>
          <w:szCs w:val="24"/>
        </w:rPr>
        <w:t xml:space="preserve">ly investigates </w:t>
      </w:r>
      <w:r w:rsidRPr="008A2792">
        <w:rPr>
          <w:rFonts w:asciiTheme="majorBidi" w:hAnsiTheme="majorBidi" w:cstheme="majorBidi"/>
          <w:sz w:val="24"/>
          <w:szCs w:val="24"/>
        </w:rPr>
        <w:t xml:space="preserve">how the </w:t>
      </w:r>
      <w:r w:rsidR="00AE3530" w:rsidRPr="008A2792">
        <w:rPr>
          <w:rFonts w:asciiTheme="majorBidi" w:hAnsiTheme="majorBidi" w:cstheme="majorBidi"/>
          <w:sz w:val="24"/>
          <w:szCs w:val="24"/>
        </w:rPr>
        <w:t xml:space="preserve">political </w:t>
      </w:r>
      <w:r w:rsidR="00E61BEA" w:rsidRPr="008A2792">
        <w:rPr>
          <w:rFonts w:asciiTheme="majorBidi" w:hAnsiTheme="majorBidi" w:cstheme="majorBidi"/>
          <w:sz w:val="24"/>
          <w:szCs w:val="24"/>
        </w:rPr>
        <w:t xml:space="preserve">composition </w:t>
      </w:r>
      <w:r w:rsidR="00AE3530" w:rsidRPr="008A2792">
        <w:rPr>
          <w:rFonts w:asciiTheme="majorBidi" w:hAnsiTheme="majorBidi" w:cstheme="majorBidi"/>
          <w:sz w:val="24"/>
          <w:szCs w:val="24"/>
        </w:rPr>
        <w:t xml:space="preserve">of </w:t>
      </w:r>
      <w:r w:rsidR="00E61BEA" w:rsidRPr="008A2792">
        <w:rPr>
          <w:rFonts w:asciiTheme="majorBidi" w:hAnsiTheme="majorBidi" w:cstheme="majorBidi"/>
          <w:sz w:val="24"/>
          <w:szCs w:val="24"/>
        </w:rPr>
        <w:t>C</w:t>
      </w:r>
      <w:r w:rsidR="00AE3530" w:rsidRPr="008A2792">
        <w:rPr>
          <w:rFonts w:asciiTheme="majorBidi" w:hAnsiTheme="majorBidi" w:cstheme="majorBidi"/>
          <w:sz w:val="24"/>
          <w:szCs w:val="24"/>
        </w:rPr>
        <w:t xml:space="preserve">ircuit </w:t>
      </w:r>
      <w:r w:rsidR="00E61BEA" w:rsidRPr="008A2792">
        <w:rPr>
          <w:rFonts w:asciiTheme="majorBidi" w:hAnsiTheme="majorBidi" w:cstheme="majorBidi"/>
          <w:sz w:val="24"/>
          <w:szCs w:val="24"/>
        </w:rPr>
        <w:t>C</w:t>
      </w:r>
      <w:r w:rsidR="00AE3530" w:rsidRPr="008A2792">
        <w:rPr>
          <w:rFonts w:asciiTheme="majorBidi" w:hAnsiTheme="majorBidi" w:cstheme="majorBidi"/>
          <w:sz w:val="24"/>
          <w:szCs w:val="24"/>
        </w:rPr>
        <w:t xml:space="preserve">ourt </w:t>
      </w:r>
      <w:r w:rsidR="00913845">
        <w:rPr>
          <w:rFonts w:asciiTheme="majorBidi" w:hAnsiTheme="majorBidi" w:cstheme="majorBidi"/>
          <w:sz w:val="24"/>
          <w:szCs w:val="24"/>
        </w:rPr>
        <w:t xml:space="preserve">panels </w:t>
      </w:r>
      <w:r w:rsidR="00E61BEA" w:rsidRPr="008A2792">
        <w:rPr>
          <w:rFonts w:asciiTheme="majorBidi" w:hAnsiTheme="majorBidi" w:cstheme="majorBidi"/>
          <w:sz w:val="24"/>
          <w:szCs w:val="24"/>
        </w:rPr>
        <w:t xml:space="preserve">is </w:t>
      </w:r>
      <w:r w:rsidR="00AE3530" w:rsidRPr="008A2792">
        <w:rPr>
          <w:rFonts w:asciiTheme="majorBidi" w:hAnsiTheme="majorBidi" w:cstheme="majorBidi"/>
          <w:sz w:val="24"/>
          <w:szCs w:val="24"/>
        </w:rPr>
        <w:t>associated with their decision</w:t>
      </w:r>
      <w:r w:rsidR="00913845">
        <w:rPr>
          <w:rFonts w:asciiTheme="majorBidi" w:hAnsiTheme="majorBidi" w:cstheme="majorBidi"/>
          <w:sz w:val="24"/>
          <w:szCs w:val="24"/>
        </w:rPr>
        <w:t>s</w:t>
      </w:r>
      <w:r w:rsidR="00AE3530" w:rsidRPr="008A2792">
        <w:rPr>
          <w:rFonts w:asciiTheme="majorBidi" w:hAnsiTheme="majorBidi" w:cstheme="majorBidi"/>
          <w:sz w:val="24"/>
          <w:szCs w:val="24"/>
        </w:rPr>
        <w:t xml:space="preserve"> in criminal </w:t>
      </w:r>
      <w:r w:rsidR="00913845">
        <w:rPr>
          <w:rFonts w:asciiTheme="majorBidi" w:hAnsiTheme="majorBidi" w:cstheme="majorBidi"/>
          <w:sz w:val="24"/>
          <w:szCs w:val="24"/>
        </w:rPr>
        <w:t xml:space="preserve">appeals. </w:t>
      </w:r>
      <w:r w:rsidR="00D57DF0" w:rsidRPr="008A2792">
        <w:rPr>
          <w:rFonts w:asciiTheme="majorBidi" w:hAnsiTheme="majorBidi" w:cstheme="majorBidi"/>
          <w:sz w:val="24"/>
          <w:szCs w:val="24"/>
        </w:rPr>
        <w:t xml:space="preserve">Our investigation uses </w:t>
      </w:r>
      <w:r w:rsidR="00913845">
        <w:rPr>
          <w:rFonts w:asciiTheme="majorBidi" w:hAnsiTheme="majorBidi" w:cstheme="majorBidi"/>
          <w:sz w:val="24"/>
          <w:szCs w:val="24"/>
        </w:rPr>
        <w:t xml:space="preserve">a large and </w:t>
      </w:r>
      <w:r w:rsidR="00D57DF0" w:rsidRPr="008A2792">
        <w:rPr>
          <w:rFonts w:asciiTheme="majorBidi" w:hAnsiTheme="majorBidi" w:cstheme="majorBidi"/>
          <w:sz w:val="24"/>
          <w:szCs w:val="24"/>
        </w:rPr>
        <w:t>rich data</w:t>
      </w:r>
      <w:r w:rsidR="00913845">
        <w:rPr>
          <w:rFonts w:asciiTheme="majorBidi" w:hAnsiTheme="majorBidi" w:cstheme="majorBidi"/>
          <w:sz w:val="24"/>
          <w:szCs w:val="24"/>
        </w:rPr>
        <w:t>set</w:t>
      </w:r>
      <w:r w:rsidR="00D57DF0" w:rsidRPr="008A2792">
        <w:rPr>
          <w:rFonts w:asciiTheme="majorBidi" w:hAnsiTheme="majorBidi" w:cstheme="majorBidi"/>
          <w:sz w:val="24"/>
          <w:szCs w:val="24"/>
        </w:rPr>
        <w:t xml:space="preserve"> on </w:t>
      </w:r>
      <w:r w:rsidR="00E41278" w:rsidRPr="008A2792">
        <w:rPr>
          <w:rFonts w:asciiTheme="majorBidi" w:hAnsiTheme="majorBidi" w:cstheme="majorBidi"/>
          <w:sz w:val="24"/>
          <w:szCs w:val="24"/>
        </w:rPr>
        <w:t xml:space="preserve">more than </w:t>
      </w:r>
      <w:r w:rsidR="00E81CED" w:rsidRPr="008A2792">
        <w:rPr>
          <w:rFonts w:asciiTheme="majorBidi" w:hAnsiTheme="majorBidi" w:cstheme="majorBidi"/>
          <w:sz w:val="24"/>
          <w:szCs w:val="24"/>
        </w:rPr>
        <w:t>2</w:t>
      </w:r>
      <w:r w:rsidR="00E41278" w:rsidRPr="008A2792">
        <w:rPr>
          <w:rFonts w:asciiTheme="majorBidi" w:hAnsiTheme="majorBidi" w:cstheme="majorBidi"/>
          <w:sz w:val="24"/>
          <w:szCs w:val="24"/>
        </w:rPr>
        <w:t xml:space="preserve">00,000 Circuit Court decisions in </w:t>
      </w:r>
      <w:r w:rsidR="00913845">
        <w:rPr>
          <w:rFonts w:asciiTheme="majorBidi" w:hAnsiTheme="majorBidi" w:cstheme="majorBidi"/>
          <w:sz w:val="24"/>
          <w:szCs w:val="24"/>
        </w:rPr>
        <w:t xml:space="preserve">criminal </w:t>
      </w:r>
      <w:r w:rsidR="00E41278" w:rsidRPr="008A2792">
        <w:rPr>
          <w:rFonts w:asciiTheme="majorBidi" w:hAnsiTheme="majorBidi" w:cstheme="majorBidi"/>
          <w:sz w:val="24"/>
          <w:szCs w:val="24"/>
        </w:rPr>
        <w:t xml:space="preserve">appeals </w:t>
      </w:r>
      <w:r w:rsidR="00913845">
        <w:rPr>
          <w:rFonts w:asciiTheme="majorBidi" w:hAnsiTheme="majorBidi" w:cstheme="majorBidi"/>
          <w:sz w:val="24"/>
          <w:szCs w:val="24"/>
        </w:rPr>
        <w:t xml:space="preserve">from </w:t>
      </w:r>
      <w:r w:rsidR="00E41278" w:rsidRPr="008A2792">
        <w:rPr>
          <w:rFonts w:asciiTheme="majorBidi" w:hAnsiTheme="majorBidi" w:cstheme="majorBidi"/>
          <w:sz w:val="24"/>
          <w:szCs w:val="24"/>
        </w:rPr>
        <w:t xml:space="preserve">District Court decisions during the </w:t>
      </w:r>
      <w:r w:rsidR="00FF6D87" w:rsidRPr="008A2792">
        <w:rPr>
          <w:rFonts w:asciiTheme="majorBidi" w:hAnsiTheme="majorBidi" w:cstheme="majorBidi"/>
          <w:sz w:val="24"/>
          <w:szCs w:val="24"/>
        </w:rPr>
        <w:t>years 1980 to 2020 (including)</w:t>
      </w:r>
      <w:r w:rsidR="00E41278" w:rsidRPr="008A2792">
        <w:rPr>
          <w:rFonts w:asciiTheme="majorBidi" w:hAnsiTheme="majorBidi" w:cstheme="majorBidi"/>
          <w:sz w:val="24"/>
          <w:szCs w:val="24"/>
        </w:rPr>
        <w:t xml:space="preserve">. </w:t>
      </w:r>
    </w:p>
    <w:p w14:paraId="7F108DFE" w14:textId="3D96D0E7" w:rsidR="001D75DB" w:rsidRDefault="00504972" w:rsidP="00A02F77">
      <w:pPr>
        <w:spacing w:after="120" w:line="360" w:lineRule="auto"/>
        <w:ind w:firstLine="450"/>
        <w:jc w:val="both"/>
        <w:rPr>
          <w:rFonts w:asciiTheme="majorBidi" w:hAnsiTheme="majorBidi" w:cstheme="majorBidi"/>
          <w:sz w:val="24"/>
          <w:szCs w:val="24"/>
        </w:rPr>
      </w:pPr>
      <w:r>
        <w:rPr>
          <w:rFonts w:asciiTheme="majorBidi" w:hAnsiTheme="majorBidi" w:cstheme="majorBidi"/>
          <w:sz w:val="24"/>
          <w:szCs w:val="24"/>
        </w:rPr>
        <w:t xml:space="preserve">I find that political composition is indeed associated with how Circuit Court panels </w:t>
      </w:r>
      <w:r w:rsidR="008D7173">
        <w:rPr>
          <w:rFonts w:asciiTheme="majorBidi" w:hAnsiTheme="majorBidi" w:cstheme="majorBidi"/>
          <w:sz w:val="24"/>
          <w:szCs w:val="24"/>
        </w:rPr>
        <w:t>decide criminal appeals.</w:t>
      </w:r>
      <w:r w:rsidR="00C11642">
        <w:rPr>
          <w:rFonts w:asciiTheme="majorBidi" w:hAnsiTheme="majorBidi" w:cstheme="majorBidi"/>
          <w:sz w:val="24"/>
          <w:szCs w:val="24"/>
        </w:rPr>
        <w:t xml:space="preserve"> Democratic judges (judges appointed a Democratic President) di</w:t>
      </w:r>
      <w:r w:rsidR="00E97F69">
        <w:rPr>
          <w:rFonts w:asciiTheme="majorBidi" w:hAnsiTheme="majorBidi" w:cstheme="majorBidi"/>
          <w:sz w:val="24"/>
          <w:szCs w:val="24"/>
        </w:rPr>
        <w:t xml:space="preserve">splay different tendencies than Republican judges (judges appointed a Democratic President). </w:t>
      </w:r>
      <w:r w:rsidR="00913845">
        <w:rPr>
          <w:rFonts w:asciiTheme="majorBidi" w:hAnsiTheme="majorBidi" w:cstheme="majorBidi"/>
          <w:sz w:val="24"/>
          <w:szCs w:val="24"/>
        </w:rPr>
        <w:t xml:space="preserve">The more Democratic judges (judges appointed </w:t>
      </w:r>
      <w:r>
        <w:rPr>
          <w:rFonts w:asciiTheme="majorBidi" w:hAnsiTheme="majorBidi" w:cstheme="majorBidi"/>
          <w:sz w:val="24"/>
          <w:szCs w:val="24"/>
        </w:rPr>
        <w:t>a Democratic President</w:t>
      </w:r>
      <w:r w:rsidR="00C11642">
        <w:rPr>
          <w:rFonts w:asciiTheme="majorBidi" w:hAnsiTheme="majorBidi" w:cstheme="majorBidi"/>
          <w:sz w:val="24"/>
          <w:szCs w:val="24"/>
        </w:rPr>
        <w:t>)</w:t>
      </w:r>
      <w:r>
        <w:rPr>
          <w:rFonts w:asciiTheme="majorBidi" w:hAnsiTheme="majorBidi" w:cstheme="majorBidi"/>
          <w:sz w:val="24"/>
          <w:szCs w:val="24"/>
        </w:rPr>
        <w:t xml:space="preserve">, </w:t>
      </w:r>
      <w:r w:rsidR="008D7173">
        <w:rPr>
          <w:rFonts w:asciiTheme="majorBidi" w:hAnsiTheme="majorBidi" w:cstheme="majorBidi"/>
          <w:sz w:val="24"/>
          <w:szCs w:val="24"/>
        </w:rPr>
        <w:t>the more likely a prodefendant outcome of the appeal – i.e., approval in the event that the appeal is initiated by the individual criminal defendant or reject</w:t>
      </w:r>
      <w:r w:rsidR="00643D52">
        <w:rPr>
          <w:rFonts w:asciiTheme="majorBidi" w:hAnsiTheme="majorBidi" w:cstheme="majorBidi"/>
          <w:sz w:val="24"/>
          <w:szCs w:val="24"/>
        </w:rPr>
        <w:t>i</w:t>
      </w:r>
      <w:r w:rsidR="008D7173">
        <w:rPr>
          <w:rFonts w:asciiTheme="majorBidi" w:hAnsiTheme="majorBidi" w:cstheme="majorBidi"/>
          <w:sz w:val="24"/>
          <w:szCs w:val="24"/>
        </w:rPr>
        <w:t xml:space="preserve">on </w:t>
      </w:r>
      <w:r w:rsidR="00643D52">
        <w:rPr>
          <w:rFonts w:asciiTheme="majorBidi" w:hAnsiTheme="majorBidi" w:cstheme="majorBidi"/>
          <w:sz w:val="24"/>
          <w:szCs w:val="24"/>
        </w:rPr>
        <w:t xml:space="preserve">in the event that the appeal is initiated by the government. This association is present across types of offenses, </w:t>
      </w:r>
      <w:r w:rsidR="00725DAF">
        <w:rPr>
          <w:rFonts w:asciiTheme="majorBidi" w:hAnsiTheme="majorBidi" w:cstheme="majorBidi"/>
          <w:sz w:val="24"/>
          <w:szCs w:val="24"/>
        </w:rPr>
        <w:t xml:space="preserve">across </w:t>
      </w:r>
      <w:r w:rsidR="00643D52">
        <w:rPr>
          <w:rFonts w:asciiTheme="majorBidi" w:hAnsiTheme="majorBidi" w:cstheme="majorBidi"/>
          <w:sz w:val="24"/>
          <w:szCs w:val="24"/>
        </w:rPr>
        <w:t xml:space="preserve">the four decades </w:t>
      </w:r>
      <w:r w:rsidR="004F46B2">
        <w:rPr>
          <w:rFonts w:asciiTheme="majorBidi" w:hAnsiTheme="majorBidi" w:cstheme="majorBidi"/>
          <w:sz w:val="24"/>
          <w:szCs w:val="24"/>
        </w:rPr>
        <w:t>in the examined period</w:t>
      </w:r>
      <w:r w:rsidR="00725DAF">
        <w:rPr>
          <w:rFonts w:asciiTheme="majorBidi" w:hAnsiTheme="majorBidi" w:cstheme="majorBidi"/>
          <w:sz w:val="24"/>
          <w:szCs w:val="24"/>
        </w:rPr>
        <w:t>, in bot</w:t>
      </w:r>
      <w:r w:rsidR="001D75DB">
        <w:rPr>
          <w:rFonts w:asciiTheme="majorBidi" w:hAnsiTheme="majorBidi" w:cstheme="majorBidi"/>
          <w:sz w:val="24"/>
          <w:szCs w:val="24"/>
        </w:rPr>
        <w:t xml:space="preserve">h cases with published and unpublished opinions, and in both cases in which the criminal defendant and the government initiate the appeal. </w:t>
      </w:r>
    </w:p>
    <w:p w14:paraId="4D06B8B6" w14:textId="380F8193" w:rsidR="00DA3D21" w:rsidRDefault="00D80A7C" w:rsidP="00A02F77">
      <w:pPr>
        <w:spacing w:after="120" w:line="360" w:lineRule="auto"/>
        <w:ind w:firstLine="450"/>
        <w:jc w:val="both"/>
        <w:rPr>
          <w:rFonts w:asciiTheme="majorBidi" w:hAnsiTheme="majorBidi" w:cstheme="majorBidi"/>
          <w:sz w:val="24"/>
          <w:szCs w:val="24"/>
        </w:rPr>
      </w:pPr>
      <w:r w:rsidRPr="008A2792">
        <w:rPr>
          <w:rFonts w:asciiTheme="majorBidi" w:hAnsiTheme="majorBidi" w:cstheme="majorBidi"/>
          <w:sz w:val="24"/>
          <w:szCs w:val="24"/>
        </w:rPr>
        <w:t xml:space="preserve">The paper seeks to contribute to </w:t>
      </w:r>
      <w:r w:rsidR="009A5479">
        <w:rPr>
          <w:rFonts w:asciiTheme="majorBidi" w:hAnsiTheme="majorBidi" w:cstheme="majorBidi"/>
          <w:sz w:val="24"/>
          <w:szCs w:val="24"/>
        </w:rPr>
        <w:t xml:space="preserve">the large literature on </w:t>
      </w:r>
      <w:r w:rsidR="004F46B2">
        <w:rPr>
          <w:rFonts w:asciiTheme="majorBidi" w:hAnsiTheme="majorBidi" w:cstheme="majorBidi"/>
          <w:sz w:val="24"/>
          <w:szCs w:val="24"/>
        </w:rPr>
        <w:t xml:space="preserve">how political affiliations are associated with judicial outcomes. </w:t>
      </w:r>
      <w:r w:rsidR="0050619F" w:rsidRPr="008A2792">
        <w:rPr>
          <w:rFonts w:asciiTheme="majorBidi" w:hAnsiTheme="majorBidi" w:cstheme="majorBidi"/>
          <w:sz w:val="24"/>
          <w:szCs w:val="24"/>
        </w:rPr>
        <w:t xml:space="preserve">Two early and influential </w:t>
      </w:r>
      <w:r w:rsidR="00DD1219" w:rsidRPr="008A2792">
        <w:rPr>
          <w:rFonts w:asciiTheme="majorBidi" w:hAnsiTheme="majorBidi" w:cstheme="majorBidi"/>
          <w:sz w:val="24"/>
          <w:szCs w:val="24"/>
        </w:rPr>
        <w:t xml:space="preserve">studies are by </w:t>
      </w:r>
      <w:r w:rsidR="009A69C4" w:rsidRPr="008A2792">
        <w:rPr>
          <w:rFonts w:asciiTheme="majorBidi" w:hAnsiTheme="majorBidi" w:cstheme="majorBidi"/>
          <w:sz w:val="24"/>
          <w:szCs w:val="24"/>
        </w:rPr>
        <w:t>Sunstein</w:t>
      </w:r>
      <w:r w:rsidR="009E250F" w:rsidRPr="008A2792">
        <w:rPr>
          <w:rFonts w:asciiTheme="majorBidi" w:hAnsiTheme="majorBidi" w:cstheme="majorBidi"/>
          <w:sz w:val="24"/>
          <w:szCs w:val="24"/>
        </w:rPr>
        <w:t xml:space="preserve"> et al.</w:t>
      </w:r>
      <w:r w:rsidR="009A69C4" w:rsidRPr="008A2792">
        <w:rPr>
          <w:rFonts w:asciiTheme="majorBidi" w:hAnsiTheme="majorBidi" w:cstheme="majorBidi"/>
          <w:sz w:val="24"/>
          <w:szCs w:val="24"/>
        </w:rPr>
        <w:t xml:space="preserve"> </w:t>
      </w:r>
      <w:r w:rsidR="00E13EB3" w:rsidRPr="008A2792">
        <w:rPr>
          <w:rFonts w:asciiTheme="majorBidi" w:hAnsiTheme="majorBidi" w:cstheme="majorBidi"/>
          <w:sz w:val="24"/>
          <w:szCs w:val="24"/>
        </w:rPr>
        <w:t>(2004)</w:t>
      </w:r>
      <w:r w:rsidR="00DD1219" w:rsidRPr="008A2792">
        <w:rPr>
          <w:rFonts w:asciiTheme="majorBidi" w:hAnsiTheme="majorBidi" w:cstheme="majorBidi"/>
          <w:sz w:val="24"/>
          <w:szCs w:val="24"/>
        </w:rPr>
        <w:t xml:space="preserve"> and Sunstein et al. (200</w:t>
      </w:r>
      <w:r w:rsidR="00BA44BF">
        <w:rPr>
          <w:rFonts w:asciiTheme="majorBidi" w:hAnsiTheme="majorBidi" w:cstheme="majorBidi"/>
          <w:sz w:val="24"/>
          <w:szCs w:val="24"/>
        </w:rPr>
        <w:t>6</w:t>
      </w:r>
      <w:r w:rsidR="00DD1219" w:rsidRPr="008A2792">
        <w:rPr>
          <w:rFonts w:asciiTheme="majorBidi" w:hAnsiTheme="majorBidi" w:cstheme="majorBidi"/>
          <w:sz w:val="24"/>
          <w:szCs w:val="24"/>
        </w:rPr>
        <w:t>)</w:t>
      </w:r>
      <w:r w:rsidR="00FC63E0">
        <w:rPr>
          <w:rFonts w:asciiTheme="majorBidi" w:hAnsiTheme="majorBidi" w:cstheme="majorBidi"/>
          <w:sz w:val="24"/>
          <w:szCs w:val="24"/>
        </w:rPr>
        <w:t>, both of which focused on Circuit Courts</w:t>
      </w:r>
      <w:r w:rsidR="00DD1219" w:rsidRPr="008A2792">
        <w:rPr>
          <w:rFonts w:asciiTheme="majorBidi" w:hAnsiTheme="majorBidi" w:cstheme="majorBidi"/>
          <w:sz w:val="24"/>
          <w:szCs w:val="24"/>
        </w:rPr>
        <w:t xml:space="preserve">. </w:t>
      </w:r>
      <w:r w:rsidR="00FC63E0">
        <w:rPr>
          <w:rFonts w:asciiTheme="majorBidi" w:hAnsiTheme="majorBidi" w:cstheme="majorBidi"/>
          <w:sz w:val="24"/>
          <w:szCs w:val="24"/>
        </w:rPr>
        <w:t>Subsequent s</w:t>
      </w:r>
      <w:r w:rsidR="00CA2F0A">
        <w:rPr>
          <w:rFonts w:asciiTheme="majorBidi" w:hAnsiTheme="majorBidi" w:cstheme="majorBidi"/>
          <w:sz w:val="24"/>
          <w:szCs w:val="24"/>
        </w:rPr>
        <w:t>tudies</w:t>
      </w:r>
      <w:r w:rsidR="00126A07">
        <w:rPr>
          <w:rFonts w:asciiTheme="majorBidi" w:hAnsiTheme="majorBidi" w:cstheme="majorBidi"/>
          <w:sz w:val="24"/>
          <w:szCs w:val="24"/>
        </w:rPr>
        <w:t>,</w:t>
      </w:r>
      <w:r w:rsidR="00CA2F0A">
        <w:rPr>
          <w:rFonts w:asciiTheme="majorBidi" w:hAnsiTheme="majorBidi" w:cstheme="majorBidi"/>
          <w:sz w:val="24"/>
          <w:szCs w:val="24"/>
        </w:rPr>
        <w:t xml:space="preserve"> that focused on the association between the political affiliations of </w:t>
      </w:r>
      <w:r w:rsidR="009E250F" w:rsidRPr="008A2792">
        <w:rPr>
          <w:rFonts w:asciiTheme="majorBidi" w:hAnsiTheme="majorBidi" w:cstheme="majorBidi"/>
          <w:sz w:val="24"/>
          <w:szCs w:val="24"/>
        </w:rPr>
        <w:t>Circuit</w:t>
      </w:r>
      <w:r w:rsidR="00CA2F0A">
        <w:rPr>
          <w:rFonts w:asciiTheme="majorBidi" w:hAnsiTheme="majorBidi" w:cstheme="majorBidi"/>
          <w:sz w:val="24"/>
          <w:szCs w:val="24"/>
        </w:rPr>
        <w:t xml:space="preserve"> and their decisions</w:t>
      </w:r>
      <w:r w:rsidR="00126A07">
        <w:rPr>
          <w:rFonts w:asciiTheme="majorBidi" w:hAnsiTheme="majorBidi" w:cstheme="majorBidi"/>
          <w:sz w:val="24"/>
          <w:szCs w:val="24"/>
        </w:rPr>
        <w:t>,</w:t>
      </w:r>
      <w:r w:rsidR="00CA2F0A">
        <w:rPr>
          <w:rFonts w:asciiTheme="majorBidi" w:hAnsiTheme="majorBidi" w:cstheme="majorBidi"/>
          <w:sz w:val="24"/>
          <w:szCs w:val="24"/>
        </w:rPr>
        <w:t xml:space="preserve"> include</w:t>
      </w:r>
      <w:r w:rsidR="00FC63E0">
        <w:rPr>
          <w:rFonts w:asciiTheme="majorBidi" w:hAnsiTheme="majorBidi" w:cstheme="majorBidi"/>
          <w:sz w:val="24"/>
          <w:szCs w:val="24"/>
        </w:rPr>
        <w:t xml:space="preserve"> </w:t>
      </w:r>
      <w:proofErr w:type="spellStart"/>
      <w:r w:rsidR="00FC63E0" w:rsidRPr="00C948BD">
        <w:rPr>
          <w:rFonts w:asciiTheme="majorBidi" w:hAnsiTheme="majorBidi" w:cstheme="majorBidi"/>
        </w:rPr>
        <w:t>Farhang</w:t>
      </w:r>
      <w:proofErr w:type="spellEnd"/>
      <w:r w:rsidR="00FC63E0" w:rsidRPr="00C948BD">
        <w:rPr>
          <w:rFonts w:asciiTheme="majorBidi" w:hAnsiTheme="majorBidi" w:cstheme="majorBidi"/>
        </w:rPr>
        <w:t xml:space="preserve"> and Wawro (2004)</w:t>
      </w:r>
      <w:r w:rsidR="00FC63E0">
        <w:rPr>
          <w:rFonts w:asciiTheme="majorBidi" w:hAnsiTheme="majorBidi" w:cstheme="majorBidi"/>
        </w:rPr>
        <w:t xml:space="preserve">, </w:t>
      </w:r>
      <w:r w:rsidR="00EA49BE" w:rsidRPr="00C948BD">
        <w:rPr>
          <w:rFonts w:asciiTheme="majorBidi" w:hAnsiTheme="majorBidi" w:cstheme="majorBidi"/>
        </w:rPr>
        <w:t xml:space="preserve">Cox and Miles (2008), Chew and Kelley </w:t>
      </w:r>
      <w:r w:rsidR="0027351B">
        <w:rPr>
          <w:rFonts w:asciiTheme="majorBidi" w:hAnsiTheme="majorBidi" w:cstheme="majorBidi"/>
        </w:rPr>
        <w:t>(</w:t>
      </w:r>
      <w:r w:rsidR="00EA49BE" w:rsidRPr="00C948BD">
        <w:rPr>
          <w:rFonts w:asciiTheme="majorBidi" w:hAnsiTheme="majorBidi" w:cstheme="majorBidi"/>
        </w:rPr>
        <w:t>2009</w:t>
      </w:r>
      <w:r w:rsidR="0027351B">
        <w:rPr>
          <w:rFonts w:asciiTheme="majorBidi" w:hAnsiTheme="majorBidi" w:cstheme="majorBidi"/>
        </w:rPr>
        <w:t>)</w:t>
      </w:r>
      <w:r w:rsidR="00EA49BE" w:rsidRPr="00C948BD">
        <w:rPr>
          <w:rFonts w:asciiTheme="majorBidi" w:hAnsiTheme="majorBidi" w:cstheme="majorBidi"/>
        </w:rPr>
        <w:t>,</w:t>
      </w:r>
      <w:r w:rsidR="00EA49BE">
        <w:rPr>
          <w:rFonts w:asciiTheme="majorBidi" w:hAnsiTheme="majorBidi" w:cstheme="majorBidi"/>
        </w:rPr>
        <w:t xml:space="preserve"> </w:t>
      </w:r>
      <w:r w:rsidR="00FC63E0" w:rsidRPr="00C948BD">
        <w:rPr>
          <w:rFonts w:asciiTheme="majorBidi" w:hAnsiTheme="majorBidi" w:cstheme="majorBidi"/>
        </w:rPr>
        <w:t>Boyd et al (2010),</w:t>
      </w:r>
      <w:r w:rsidR="00FC63E0">
        <w:rPr>
          <w:rFonts w:asciiTheme="majorBidi" w:hAnsiTheme="majorBidi" w:cstheme="majorBidi"/>
        </w:rPr>
        <w:t xml:space="preserve"> </w:t>
      </w:r>
      <w:r w:rsidR="00EA49BE">
        <w:rPr>
          <w:rFonts w:asciiTheme="majorBidi" w:hAnsiTheme="majorBidi" w:cstheme="majorBidi"/>
        </w:rPr>
        <w:t xml:space="preserve">and </w:t>
      </w:r>
      <w:r w:rsidR="00FC63E0" w:rsidRPr="00C948BD">
        <w:rPr>
          <w:rFonts w:asciiTheme="majorBidi" w:hAnsiTheme="majorBidi" w:cstheme="majorBidi"/>
        </w:rPr>
        <w:t>Hall (2010)</w:t>
      </w:r>
      <w:r w:rsidR="00EA49BE">
        <w:rPr>
          <w:rFonts w:asciiTheme="majorBidi" w:hAnsiTheme="majorBidi" w:cstheme="majorBidi"/>
        </w:rPr>
        <w:t>.</w:t>
      </w:r>
      <w:r w:rsidR="00CA2F0A">
        <w:rPr>
          <w:rFonts w:asciiTheme="majorBidi" w:hAnsiTheme="majorBidi" w:cstheme="majorBidi"/>
          <w:sz w:val="24"/>
          <w:szCs w:val="24"/>
        </w:rPr>
        <w:t xml:space="preserve"> </w:t>
      </w:r>
      <w:r w:rsidR="001F50FF">
        <w:rPr>
          <w:rFonts w:asciiTheme="majorBidi" w:hAnsiTheme="majorBidi" w:cstheme="majorBidi"/>
          <w:sz w:val="24"/>
          <w:szCs w:val="24"/>
        </w:rPr>
        <w:t xml:space="preserve">Studies that focused on the association between the political affiliations of District Court judges </w:t>
      </w:r>
      <w:r w:rsidR="001F50FF" w:rsidRPr="008A2792">
        <w:rPr>
          <w:rFonts w:asciiTheme="majorBidi" w:hAnsiTheme="majorBidi" w:cstheme="majorBidi"/>
          <w:sz w:val="24"/>
          <w:szCs w:val="24"/>
        </w:rPr>
        <w:t>Circuit</w:t>
      </w:r>
      <w:r w:rsidR="001F50FF">
        <w:rPr>
          <w:rFonts w:asciiTheme="majorBidi" w:hAnsiTheme="majorBidi" w:cstheme="majorBidi"/>
          <w:sz w:val="24"/>
          <w:szCs w:val="24"/>
        </w:rPr>
        <w:t xml:space="preserve"> and their decisions include </w:t>
      </w:r>
      <w:r w:rsidR="00722F22" w:rsidRPr="008A2792">
        <w:rPr>
          <w:rFonts w:asciiTheme="majorBidi" w:hAnsiTheme="majorBidi" w:cstheme="majorBidi"/>
          <w:noProof/>
          <w:sz w:val="24"/>
          <w:szCs w:val="24"/>
        </w:rPr>
        <w:t>Kulik et al (2003),</w:t>
      </w:r>
      <w:r w:rsidR="00B11151">
        <w:rPr>
          <w:rFonts w:asciiTheme="majorBidi" w:hAnsiTheme="majorBidi" w:cstheme="majorBidi"/>
          <w:noProof/>
          <w:sz w:val="24"/>
          <w:szCs w:val="24"/>
        </w:rPr>
        <w:t xml:space="preserve"> </w:t>
      </w:r>
      <w:r w:rsidR="00722F22" w:rsidRPr="008A2792">
        <w:rPr>
          <w:rFonts w:asciiTheme="majorBidi" w:hAnsiTheme="majorBidi" w:cstheme="majorBidi"/>
          <w:sz w:val="24"/>
          <w:szCs w:val="24"/>
        </w:rPr>
        <w:t xml:space="preserve">Schanzenbach and Tiller (2007, 2008), </w:t>
      </w:r>
      <w:proofErr w:type="spellStart"/>
      <w:r w:rsidR="00722F22" w:rsidRPr="008A2792">
        <w:rPr>
          <w:rFonts w:asciiTheme="majorBidi" w:hAnsiTheme="majorBidi" w:cstheme="majorBidi"/>
          <w:sz w:val="24"/>
          <w:szCs w:val="24"/>
        </w:rPr>
        <w:t>Tiede</w:t>
      </w:r>
      <w:proofErr w:type="spellEnd"/>
      <w:r w:rsidR="00722F22" w:rsidRPr="008A2792">
        <w:rPr>
          <w:rFonts w:asciiTheme="majorBidi" w:hAnsiTheme="majorBidi" w:cstheme="majorBidi"/>
          <w:sz w:val="24"/>
          <w:szCs w:val="24"/>
        </w:rPr>
        <w:t>, Carp, and Manning (2010))</w:t>
      </w:r>
      <w:r w:rsidR="00722F22">
        <w:rPr>
          <w:rFonts w:asciiTheme="majorBidi" w:hAnsiTheme="majorBidi" w:cstheme="majorBidi"/>
          <w:sz w:val="24"/>
          <w:szCs w:val="24"/>
        </w:rPr>
        <w:t xml:space="preserve">, </w:t>
      </w:r>
      <w:proofErr w:type="spellStart"/>
      <w:r w:rsidR="00722F22" w:rsidRPr="008A2792">
        <w:rPr>
          <w:rFonts w:asciiTheme="majorBidi" w:hAnsiTheme="majorBidi" w:cstheme="majorBidi"/>
          <w:sz w:val="24"/>
          <w:szCs w:val="24"/>
        </w:rPr>
        <w:t>Fischman</w:t>
      </w:r>
      <w:proofErr w:type="spellEnd"/>
      <w:r w:rsidR="00722F22" w:rsidRPr="008A2792">
        <w:rPr>
          <w:rFonts w:asciiTheme="majorBidi" w:hAnsiTheme="majorBidi" w:cstheme="majorBidi"/>
          <w:sz w:val="24"/>
          <w:szCs w:val="24"/>
        </w:rPr>
        <w:t xml:space="preserve"> and </w:t>
      </w:r>
      <w:proofErr w:type="spellStart"/>
      <w:r w:rsidR="00722F22" w:rsidRPr="008A2792">
        <w:rPr>
          <w:rFonts w:asciiTheme="majorBidi" w:hAnsiTheme="majorBidi" w:cstheme="majorBidi"/>
          <w:sz w:val="24"/>
          <w:szCs w:val="24"/>
        </w:rPr>
        <w:t>Schanzenbach</w:t>
      </w:r>
      <w:proofErr w:type="spellEnd"/>
      <w:r w:rsidR="00722F22" w:rsidRPr="008A2792">
        <w:rPr>
          <w:rFonts w:asciiTheme="majorBidi" w:hAnsiTheme="majorBidi" w:cstheme="majorBidi"/>
          <w:sz w:val="24"/>
          <w:szCs w:val="24"/>
        </w:rPr>
        <w:t xml:space="preserve"> (2011), Schanzenbach (2015), </w:t>
      </w:r>
      <w:r w:rsidR="00B11151">
        <w:rPr>
          <w:rFonts w:asciiTheme="majorBidi" w:hAnsiTheme="majorBidi" w:cstheme="majorBidi"/>
          <w:sz w:val="24"/>
          <w:szCs w:val="24"/>
        </w:rPr>
        <w:t xml:space="preserve">and </w:t>
      </w:r>
      <w:r w:rsidR="00722F22" w:rsidRPr="008A2792">
        <w:rPr>
          <w:rFonts w:asciiTheme="majorBidi" w:hAnsiTheme="majorBidi" w:cstheme="majorBidi"/>
          <w:sz w:val="24"/>
          <w:szCs w:val="24"/>
        </w:rPr>
        <w:t>Cohen and Yang (2019)</w:t>
      </w:r>
      <w:r w:rsidR="00B11151">
        <w:rPr>
          <w:rFonts w:asciiTheme="majorBidi" w:hAnsiTheme="majorBidi" w:cstheme="majorBidi"/>
          <w:sz w:val="24"/>
          <w:szCs w:val="24"/>
        </w:rPr>
        <w:t>.</w:t>
      </w:r>
      <w:r w:rsidR="006518F2" w:rsidRPr="008A2792">
        <w:rPr>
          <w:rStyle w:val="FootnoteReference"/>
          <w:rFonts w:asciiTheme="majorBidi" w:hAnsiTheme="majorBidi" w:cstheme="majorBidi"/>
          <w:sz w:val="24"/>
          <w:szCs w:val="24"/>
        </w:rPr>
        <w:footnoteReference w:id="2"/>
      </w:r>
    </w:p>
    <w:p w14:paraId="5B2E66E9" w14:textId="66743BF4" w:rsidR="00F60393" w:rsidRDefault="00661552" w:rsidP="00A02F77">
      <w:pPr>
        <w:spacing w:after="120" w:line="360" w:lineRule="auto"/>
        <w:jc w:val="both"/>
        <w:rPr>
          <w:rFonts w:asciiTheme="majorBidi" w:hAnsiTheme="majorBidi" w:cstheme="majorBidi"/>
          <w:sz w:val="24"/>
          <w:szCs w:val="24"/>
        </w:rPr>
      </w:pPr>
      <w:r>
        <w:rPr>
          <w:rFonts w:asciiTheme="majorBidi" w:hAnsiTheme="majorBidi" w:cstheme="majorBidi"/>
          <w:sz w:val="24"/>
          <w:szCs w:val="24"/>
        </w:rPr>
        <w:tab/>
      </w:r>
      <w:r w:rsidR="0002056A">
        <w:rPr>
          <w:rFonts w:asciiTheme="majorBidi" w:hAnsiTheme="majorBidi" w:cstheme="majorBidi"/>
          <w:sz w:val="24"/>
          <w:szCs w:val="24"/>
        </w:rPr>
        <w:t xml:space="preserve">Within this literature, </w:t>
      </w:r>
      <w:r w:rsidR="00B066EF">
        <w:rPr>
          <w:rFonts w:asciiTheme="majorBidi" w:hAnsiTheme="majorBidi" w:cstheme="majorBidi"/>
          <w:sz w:val="24"/>
          <w:szCs w:val="24"/>
        </w:rPr>
        <w:t>two studies</w:t>
      </w:r>
      <w:r w:rsidR="00033CC1">
        <w:rPr>
          <w:rFonts w:asciiTheme="majorBidi" w:hAnsiTheme="majorBidi" w:cstheme="majorBidi"/>
          <w:sz w:val="24"/>
          <w:szCs w:val="24"/>
        </w:rPr>
        <w:t xml:space="preserve">, </w:t>
      </w:r>
      <w:r w:rsidR="00033CC1" w:rsidRPr="008A2792">
        <w:rPr>
          <w:rFonts w:asciiTheme="majorBidi" w:hAnsiTheme="majorBidi" w:cstheme="majorBidi"/>
          <w:sz w:val="24"/>
          <w:szCs w:val="24"/>
        </w:rPr>
        <w:t>Sunstein et al. (200</w:t>
      </w:r>
      <w:r w:rsidR="00126A07">
        <w:rPr>
          <w:rFonts w:asciiTheme="majorBidi" w:hAnsiTheme="majorBidi" w:cstheme="majorBidi"/>
          <w:sz w:val="24"/>
          <w:szCs w:val="24"/>
        </w:rPr>
        <w:t>6</w:t>
      </w:r>
      <w:r w:rsidR="00033CC1" w:rsidRPr="008A2792">
        <w:rPr>
          <w:rFonts w:asciiTheme="majorBidi" w:hAnsiTheme="majorBidi" w:cstheme="majorBidi"/>
          <w:sz w:val="24"/>
          <w:szCs w:val="24"/>
        </w:rPr>
        <w:t xml:space="preserve">) </w:t>
      </w:r>
      <w:r w:rsidR="00033CC1">
        <w:rPr>
          <w:rFonts w:asciiTheme="majorBidi" w:hAnsiTheme="majorBidi" w:cstheme="majorBidi"/>
          <w:sz w:val="24"/>
          <w:szCs w:val="24"/>
        </w:rPr>
        <w:t xml:space="preserve">and </w:t>
      </w:r>
      <w:r w:rsidR="008A3B3E">
        <w:rPr>
          <w:rFonts w:asciiTheme="majorBidi" w:hAnsiTheme="majorBidi" w:cstheme="majorBidi"/>
          <w:sz w:val="24"/>
          <w:szCs w:val="24"/>
        </w:rPr>
        <w:t>Hall (2010) examined cri</w:t>
      </w:r>
      <w:r w:rsidR="00126A07">
        <w:rPr>
          <w:rFonts w:asciiTheme="majorBidi" w:hAnsiTheme="majorBidi" w:cstheme="majorBidi"/>
          <w:sz w:val="24"/>
          <w:szCs w:val="24"/>
        </w:rPr>
        <w:t>min</w:t>
      </w:r>
      <w:r w:rsidR="008A3B3E">
        <w:rPr>
          <w:rFonts w:asciiTheme="majorBidi" w:hAnsiTheme="majorBidi" w:cstheme="majorBidi"/>
          <w:sz w:val="24"/>
          <w:szCs w:val="24"/>
        </w:rPr>
        <w:t xml:space="preserve">al appeals </w:t>
      </w:r>
      <w:r w:rsidR="00C92E0E">
        <w:rPr>
          <w:rFonts w:asciiTheme="majorBidi" w:hAnsiTheme="majorBidi" w:cstheme="majorBidi"/>
          <w:sz w:val="24"/>
          <w:szCs w:val="24"/>
        </w:rPr>
        <w:t xml:space="preserve">using </w:t>
      </w:r>
      <w:r w:rsidR="00E60895">
        <w:rPr>
          <w:rFonts w:asciiTheme="majorBidi" w:hAnsiTheme="majorBidi" w:cstheme="majorBidi"/>
          <w:sz w:val="24"/>
          <w:szCs w:val="24"/>
        </w:rPr>
        <w:t xml:space="preserve">the same </w:t>
      </w:r>
      <w:r w:rsidR="00C92E0E">
        <w:rPr>
          <w:rFonts w:asciiTheme="majorBidi" w:hAnsiTheme="majorBidi" w:cstheme="majorBidi"/>
          <w:sz w:val="24"/>
          <w:szCs w:val="24"/>
        </w:rPr>
        <w:t xml:space="preserve">small </w:t>
      </w:r>
      <w:r w:rsidR="00E60895">
        <w:rPr>
          <w:rFonts w:asciiTheme="majorBidi" w:hAnsiTheme="majorBidi" w:cstheme="majorBidi"/>
          <w:sz w:val="24"/>
          <w:szCs w:val="24"/>
        </w:rPr>
        <w:t xml:space="preserve">sample of </w:t>
      </w:r>
      <w:r w:rsidR="00126A07">
        <w:rPr>
          <w:rFonts w:asciiTheme="majorBidi" w:hAnsiTheme="majorBidi" w:cstheme="majorBidi"/>
          <w:sz w:val="24"/>
          <w:szCs w:val="24"/>
        </w:rPr>
        <w:t>5</w:t>
      </w:r>
      <w:r w:rsidR="00E60895">
        <w:rPr>
          <w:rFonts w:asciiTheme="majorBidi" w:hAnsiTheme="majorBidi" w:cstheme="majorBidi"/>
          <w:sz w:val="24"/>
          <w:szCs w:val="24"/>
        </w:rPr>
        <w:t>,000 cases with published opinions</w:t>
      </w:r>
      <w:r w:rsidR="008C114E">
        <w:rPr>
          <w:rFonts w:asciiTheme="majorBidi" w:hAnsiTheme="majorBidi" w:cstheme="majorBidi"/>
          <w:sz w:val="24"/>
          <w:szCs w:val="24"/>
        </w:rPr>
        <w:t xml:space="preserve"> from the years</w:t>
      </w:r>
      <w:r w:rsidR="00126A07">
        <w:rPr>
          <w:rFonts w:asciiTheme="majorBidi" w:hAnsiTheme="majorBidi" w:cstheme="majorBidi"/>
          <w:sz w:val="24"/>
          <w:szCs w:val="24"/>
        </w:rPr>
        <w:t xml:space="preserve"> 1995-</w:t>
      </w:r>
      <w:r w:rsidR="00126A07">
        <w:rPr>
          <w:rFonts w:asciiTheme="majorBidi" w:hAnsiTheme="majorBidi" w:cstheme="majorBidi"/>
          <w:sz w:val="24"/>
          <w:szCs w:val="24"/>
        </w:rPr>
        <w:lastRenderedPageBreak/>
        <w:t>2004</w:t>
      </w:r>
      <w:r w:rsidR="001F5B6A">
        <w:rPr>
          <w:rFonts w:asciiTheme="majorBidi" w:hAnsiTheme="majorBidi" w:cstheme="majorBidi"/>
          <w:sz w:val="24"/>
          <w:szCs w:val="24"/>
        </w:rPr>
        <w:t xml:space="preserve"> and without controls for judge characteristics other than their politica</w:t>
      </w:r>
      <w:r w:rsidR="004A2FF7">
        <w:rPr>
          <w:rFonts w:asciiTheme="majorBidi" w:hAnsiTheme="majorBidi" w:cstheme="majorBidi"/>
          <w:sz w:val="24"/>
          <w:szCs w:val="24"/>
        </w:rPr>
        <w:t>l</w:t>
      </w:r>
      <w:r w:rsidR="001F5B6A">
        <w:rPr>
          <w:rFonts w:asciiTheme="majorBidi" w:hAnsiTheme="majorBidi" w:cstheme="majorBidi"/>
          <w:sz w:val="24"/>
          <w:szCs w:val="24"/>
        </w:rPr>
        <w:t xml:space="preserve"> affi</w:t>
      </w:r>
      <w:r w:rsidR="004A2FF7">
        <w:rPr>
          <w:rFonts w:asciiTheme="majorBidi" w:hAnsiTheme="majorBidi" w:cstheme="majorBidi"/>
          <w:sz w:val="24"/>
          <w:szCs w:val="24"/>
        </w:rPr>
        <w:t>l</w:t>
      </w:r>
      <w:r w:rsidR="001F5B6A">
        <w:rPr>
          <w:rFonts w:asciiTheme="majorBidi" w:hAnsiTheme="majorBidi" w:cstheme="majorBidi"/>
          <w:sz w:val="24"/>
          <w:szCs w:val="24"/>
        </w:rPr>
        <w:t>iations</w:t>
      </w:r>
      <w:r w:rsidR="008A3B3E">
        <w:rPr>
          <w:rFonts w:asciiTheme="majorBidi" w:hAnsiTheme="majorBidi" w:cstheme="majorBidi"/>
          <w:sz w:val="24"/>
          <w:szCs w:val="24"/>
        </w:rPr>
        <w:t xml:space="preserve">. The dataset </w:t>
      </w:r>
      <w:r w:rsidR="00C71229">
        <w:rPr>
          <w:rFonts w:asciiTheme="majorBidi" w:hAnsiTheme="majorBidi" w:cstheme="majorBidi"/>
          <w:sz w:val="24"/>
          <w:szCs w:val="24"/>
        </w:rPr>
        <w:t>that I have put together enable me to carry out an analysis that goes substantially beyond what was done in those papers. First, because my dataset includes</w:t>
      </w:r>
      <w:r w:rsidR="008C114E">
        <w:rPr>
          <w:rFonts w:asciiTheme="majorBidi" w:hAnsiTheme="majorBidi" w:cstheme="majorBidi"/>
          <w:sz w:val="24"/>
          <w:szCs w:val="24"/>
        </w:rPr>
        <w:t xml:space="preserve"> about 50,000 </w:t>
      </w:r>
      <w:r w:rsidR="001F5B6A">
        <w:rPr>
          <w:rFonts w:asciiTheme="majorBidi" w:hAnsiTheme="majorBidi" w:cstheme="majorBidi"/>
          <w:sz w:val="24"/>
          <w:szCs w:val="24"/>
        </w:rPr>
        <w:t>published cases</w:t>
      </w:r>
      <w:r w:rsidR="00F60393">
        <w:rPr>
          <w:rFonts w:asciiTheme="majorBidi" w:hAnsiTheme="majorBidi" w:cstheme="majorBidi"/>
          <w:sz w:val="24"/>
          <w:szCs w:val="24"/>
        </w:rPr>
        <w:t xml:space="preserve"> from 1980-2020 and contains information about the individual characteristics of all panel members, I am able </w:t>
      </w:r>
      <w:r w:rsidR="001D18C4">
        <w:rPr>
          <w:rFonts w:asciiTheme="majorBidi" w:hAnsiTheme="majorBidi" w:cstheme="majorBidi"/>
          <w:sz w:val="24"/>
          <w:szCs w:val="24"/>
        </w:rPr>
        <w:t xml:space="preserve">to </w:t>
      </w:r>
      <w:r w:rsidR="00CD0DD1">
        <w:rPr>
          <w:rFonts w:asciiTheme="majorBidi" w:hAnsiTheme="majorBidi" w:cstheme="majorBidi"/>
          <w:sz w:val="24"/>
          <w:szCs w:val="24"/>
        </w:rPr>
        <w:t xml:space="preserve">carry out an analysis of </w:t>
      </w:r>
      <w:r w:rsidR="00854A66">
        <w:rPr>
          <w:rFonts w:asciiTheme="majorBidi" w:hAnsiTheme="majorBidi" w:cstheme="majorBidi"/>
          <w:sz w:val="24"/>
          <w:szCs w:val="24"/>
        </w:rPr>
        <w:t>the association in published cases between political compositio</w:t>
      </w:r>
      <w:r w:rsidR="00CD0DD1">
        <w:rPr>
          <w:rFonts w:asciiTheme="majorBidi" w:hAnsiTheme="majorBidi" w:cstheme="majorBidi"/>
          <w:sz w:val="24"/>
          <w:szCs w:val="24"/>
        </w:rPr>
        <w:t xml:space="preserve">n </w:t>
      </w:r>
      <w:r w:rsidR="00854A66">
        <w:rPr>
          <w:rFonts w:asciiTheme="majorBidi" w:hAnsiTheme="majorBidi" w:cstheme="majorBidi"/>
          <w:sz w:val="24"/>
          <w:szCs w:val="24"/>
        </w:rPr>
        <w:t xml:space="preserve">and outcomes </w:t>
      </w:r>
      <w:r w:rsidR="001A2FC1">
        <w:rPr>
          <w:rFonts w:asciiTheme="majorBidi" w:hAnsiTheme="majorBidi" w:cstheme="majorBidi"/>
          <w:sz w:val="24"/>
          <w:szCs w:val="24"/>
        </w:rPr>
        <w:t xml:space="preserve">that is empirically more adequate, reliable, and comprehensive. Second, </w:t>
      </w:r>
      <w:r w:rsidR="00555EA8">
        <w:rPr>
          <w:rFonts w:asciiTheme="majorBidi" w:hAnsiTheme="majorBidi" w:cstheme="majorBidi"/>
          <w:sz w:val="24"/>
          <w:szCs w:val="24"/>
        </w:rPr>
        <w:t>while th</w:t>
      </w:r>
      <w:r w:rsidR="009B4809">
        <w:rPr>
          <w:rFonts w:asciiTheme="majorBidi" w:hAnsiTheme="majorBidi" w:cstheme="majorBidi"/>
          <w:sz w:val="24"/>
          <w:szCs w:val="24"/>
        </w:rPr>
        <w:t>e</w:t>
      </w:r>
      <w:r w:rsidR="00555EA8">
        <w:rPr>
          <w:rFonts w:asciiTheme="majorBidi" w:hAnsiTheme="majorBidi" w:cstheme="majorBidi"/>
          <w:sz w:val="24"/>
          <w:szCs w:val="24"/>
        </w:rPr>
        <w:t xml:space="preserve"> literature has long suggested that the published cases might well be unrepresentative of all cases, the use of samples with only published cases did not enable the literature to study empirically in what ways exactly do unpublished cases differ. </w:t>
      </w:r>
      <w:r w:rsidR="006038E9">
        <w:rPr>
          <w:rFonts w:asciiTheme="majorBidi" w:hAnsiTheme="majorBidi" w:cstheme="majorBidi"/>
          <w:sz w:val="24"/>
          <w:szCs w:val="24"/>
        </w:rPr>
        <w:t xml:space="preserve">Because my dataset includes about 150,000 unpublished cases, I am able to </w:t>
      </w:r>
      <w:r w:rsidR="008A68A8">
        <w:rPr>
          <w:rFonts w:asciiTheme="majorBidi" w:hAnsiTheme="majorBidi" w:cstheme="majorBidi"/>
          <w:sz w:val="24"/>
          <w:szCs w:val="24"/>
        </w:rPr>
        <w:t xml:space="preserve">shed light on unpublished cases, conducting </w:t>
      </w:r>
      <w:r w:rsidR="006038E9">
        <w:rPr>
          <w:rFonts w:asciiTheme="majorBidi" w:hAnsiTheme="majorBidi" w:cstheme="majorBidi"/>
          <w:sz w:val="24"/>
          <w:szCs w:val="24"/>
        </w:rPr>
        <w:t xml:space="preserve">a full empirical analysis of such cases and to identify how they differ and not differ from published cases. </w:t>
      </w:r>
    </w:p>
    <w:p w14:paraId="1300963A" w14:textId="39A0F28B" w:rsidR="00574FDB" w:rsidRDefault="001E32BB" w:rsidP="00A02F77">
      <w:pPr>
        <w:spacing w:after="120" w:line="360" w:lineRule="auto"/>
        <w:ind w:firstLine="450"/>
        <w:jc w:val="both"/>
        <w:rPr>
          <w:rFonts w:asciiTheme="majorBidi" w:hAnsiTheme="majorBidi" w:cstheme="majorBidi"/>
          <w:sz w:val="24"/>
          <w:szCs w:val="24"/>
        </w:rPr>
      </w:pPr>
      <w:r w:rsidRPr="008A2792">
        <w:rPr>
          <w:rFonts w:asciiTheme="majorBidi" w:hAnsiTheme="majorBidi" w:cstheme="majorBidi"/>
          <w:sz w:val="24"/>
          <w:szCs w:val="24"/>
        </w:rPr>
        <w:t xml:space="preserve">The remainder of this paper is organized as follows. </w:t>
      </w:r>
      <w:r w:rsidR="0033695A" w:rsidRPr="008A2792">
        <w:rPr>
          <w:rFonts w:asciiTheme="majorBidi" w:hAnsiTheme="majorBidi" w:cstheme="majorBidi"/>
          <w:sz w:val="24"/>
          <w:szCs w:val="24"/>
        </w:rPr>
        <w:t>Section II discusses the institutional</w:t>
      </w:r>
      <w:r w:rsidR="00341B9E">
        <w:rPr>
          <w:rFonts w:asciiTheme="majorBidi" w:hAnsiTheme="majorBidi" w:cstheme="majorBidi"/>
          <w:sz w:val="24"/>
          <w:szCs w:val="24"/>
        </w:rPr>
        <w:t xml:space="preserve"> </w:t>
      </w:r>
      <w:r w:rsidR="00655E50">
        <w:rPr>
          <w:rFonts w:asciiTheme="majorBidi" w:hAnsiTheme="majorBidi" w:cstheme="majorBidi"/>
          <w:sz w:val="24"/>
          <w:szCs w:val="24"/>
        </w:rPr>
        <w:t>b</w:t>
      </w:r>
      <w:r w:rsidR="00341B9E">
        <w:rPr>
          <w:rFonts w:asciiTheme="majorBidi" w:hAnsiTheme="majorBidi" w:cstheme="majorBidi"/>
          <w:sz w:val="24"/>
          <w:szCs w:val="24"/>
        </w:rPr>
        <w:t>ackground. Section III discuss</w:t>
      </w:r>
      <w:r w:rsidR="00655E50">
        <w:rPr>
          <w:rFonts w:asciiTheme="majorBidi" w:hAnsiTheme="majorBidi" w:cstheme="majorBidi"/>
          <w:sz w:val="24"/>
          <w:szCs w:val="24"/>
        </w:rPr>
        <w:t>es</w:t>
      </w:r>
      <w:r w:rsidR="00341B9E">
        <w:rPr>
          <w:rFonts w:asciiTheme="majorBidi" w:hAnsiTheme="majorBidi" w:cstheme="majorBidi"/>
          <w:sz w:val="24"/>
          <w:szCs w:val="24"/>
        </w:rPr>
        <w:t xml:space="preserve"> </w:t>
      </w:r>
      <w:r w:rsidR="0033695A" w:rsidRPr="008A2792">
        <w:rPr>
          <w:rFonts w:asciiTheme="majorBidi" w:hAnsiTheme="majorBidi" w:cstheme="majorBidi"/>
          <w:sz w:val="24"/>
          <w:szCs w:val="24"/>
        </w:rPr>
        <w:t xml:space="preserve">my data sources, </w:t>
      </w:r>
      <w:r w:rsidR="00655E50">
        <w:rPr>
          <w:rFonts w:asciiTheme="majorBidi" w:hAnsiTheme="majorBidi" w:cstheme="majorBidi"/>
          <w:sz w:val="24"/>
          <w:szCs w:val="24"/>
        </w:rPr>
        <w:t xml:space="preserve">and provides </w:t>
      </w:r>
      <w:r w:rsidR="0033695A" w:rsidRPr="008A2792">
        <w:rPr>
          <w:rFonts w:asciiTheme="majorBidi" w:hAnsiTheme="majorBidi" w:cstheme="majorBidi"/>
          <w:sz w:val="24"/>
          <w:szCs w:val="24"/>
        </w:rPr>
        <w:t>summary statis</w:t>
      </w:r>
      <w:r w:rsidR="005248A3" w:rsidRPr="008A2792">
        <w:rPr>
          <w:rFonts w:asciiTheme="majorBidi" w:hAnsiTheme="majorBidi" w:cstheme="majorBidi"/>
          <w:sz w:val="24"/>
          <w:szCs w:val="24"/>
        </w:rPr>
        <w:t>tics.</w:t>
      </w:r>
      <w:r w:rsidR="00341B9E">
        <w:rPr>
          <w:rFonts w:asciiTheme="majorBidi" w:hAnsiTheme="majorBidi" w:cstheme="majorBidi"/>
          <w:sz w:val="24"/>
          <w:szCs w:val="24"/>
        </w:rPr>
        <w:t xml:space="preserve"> Section IV </w:t>
      </w:r>
      <w:r w:rsidR="00655E50">
        <w:rPr>
          <w:rFonts w:asciiTheme="majorBidi" w:hAnsiTheme="majorBidi" w:cstheme="majorBidi"/>
          <w:sz w:val="24"/>
          <w:szCs w:val="24"/>
        </w:rPr>
        <w:t xml:space="preserve">presents my empirical analysis. </w:t>
      </w:r>
      <w:r w:rsidR="000246CD">
        <w:rPr>
          <w:rFonts w:asciiTheme="majorBidi" w:hAnsiTheme="majorBidi" w:cstheme="majorBidi"/>
          <w:sz w:val="24"/>
          <w:szCs w:val="24"/>
        </w:rPr>
        <w:t>Section V concludes</w:t>
      </w:r>
      <w:r w:rsidR="009E70D5">
        <w:rPr>
          <w:rFonts w:asciiTheme="majorBidi" w:hAnsiTheme="majorBidi" w:cstheme="majorBidi"/>
          <w:sz w:val="24"/>
          <w:szCs w:val="24"/>
        </w:rPr>
        <w:t>.</w:t>
      </w:r>
      <w:r w:rsidR="00341B9E">
        <w:rPr>
          <w:rFonts w:asciiTheme="majorBidi" w:hAnsiTheme="majorBidi" w:cstheme="majorBidi"/>
          <w:sz w:val="24"/>
          <w:szCs w:val="24"/>
        </w:rPr>
        <w:t xml:space="preserve"> </w:t>
      </w:r>
      <w:r w:rsidR="005248A3" w:rsidRPr="008A2792">
        <w:rPr>
          <w:rFonts w:asciiTheme="majorBidi" w:hAnsiTheme="majorBidi" w:cstheme="majorBidi"/>
          <w:sz w:val="24"/>
          <w:szCs w:val="24"/>
        </w:rPr>
        <w:t xml:space="preserve"> </w:t>
      </w:r>
    </w:p>
    <w:p w14:paraId="6E85A200" w14:textId="77777777" w:rsidR="00A02F77" w:rsidRPr="008A2792" w:rsidRDefault="00A02F77" w:rsidP="00A02F77">
      <w:pPr>
        <w:spacing w:after="120" w:line="360" w:lineRule="auto"/>
        <w:ind w:firstLine="450"/>
        <w:jc w:val="both"/>
        <w:rPr>
          <w:rFonts w:asciiTheme="majorBidi" w:hAnsiTheme="majorBidi" w:cstheme="majorBidi"/>
          <w:sz w:val="24"/>
          <w:szCs w:val="24"/>
        </w:rPr>
      </w:pPr>
    </w:p>
    <w:p w14:paraId="192CFBC5" w14:textId="068CDA28" w:rsidR="004F6D71" w:rsidRPr="00A13C7B" w:rsidRDefault="00FE5846" w:rsidP="00A02F77">
      <w:pPr>
        <w:spacing w:after="120" w:line="360" w:lineRule="auto"/>
        <w:jc w:val="center"/>
        <w:rPr>
          <w:rFonts w:asciiTheme="majorBidi" w:hAnsiTheme="majorBidi" w:cstheme="majorBidi"/>
          <w:sz w:val="28"/>
          <w:szCs w:val="28"/>
        </w:rPr>
      </w:pPr>
      <w:r w:rsidRPr="00A13C7B">
        <w:rPr>
          <w:rFonts w:asciiTheme="majorBidi" w:hAnsiTheme="majorBidi" w:cstheme="majorBidi"/>
          <w:sz w:val="28"/>
          <w:szCs w:val="28"/>
        </w:rPr>
        <w:t xml:space="preserve">II. </w:t>
      </w:r>
      <w:r w:rsidR="00494DD3" w:rsidRPr="00A13C7B">
        <w:rPr>
          <w:rFonts w:asciiTheme="majorBidi" w:hAnsiTheme="majorBidi" w:cstheme="majorBidi"/>
          <w:sz w:val="28"/>
          <w:szCs w:val="28"/>
        </w:rPr>
        <w:t xml:space="preserve">Institutional </w:t>
      </w:r>
      <w:r w:rsidR="004F6D71" w:rsidRPr="00A13C7B">
        <w:rPr>
          <w:rFonts w:asciiTheme="majorBidi" w:hAnsiTheme="majorBidi" w:cstheme="majorBidi"/>
          <w:sz w:val="28"/>
          <w:szCs w:val="28"/>
        </w:rPr>
        <w:t>Background</w:t>
      </w:r>
    </w:p>
    <w:p w14:paraId="6499E1E8" w14:textId="00FF0E25" w:rsidR="00584B40" w:rsidRPr="00A13C7B" w:rsidRDefault="00A253DE" w:rsidP="00A02F77">
      <w:pPr>
        <w:pStyle w:val="ListParagraph"/>
        <w:numPr>
          <w:ilvl w:val="0"/>
          <w:numId w:val="34"/>
        </w:numPr>
        <w:spacing w:after="120" w:line="360" w:lineRule="auto"/>
        <w:contextualSpacing w:val="0"/>
        <w:jc w:val="center"/>
        <w:rPr>
          <w:rFonts w:asciiTheme="majorBidi" w:hAnsiTheme="majorBidi" w:cstheme="majorBidi"/>
          <w:i/>
          <w:iCs/>
          <w:sz w:val="24"/>
          <w:szCs w:val="24"/>
        </w:rPr>
      </w:pPr>
      <w:r w:rsidRPr="00A13C7B">
        <w:rPr>
          <w:rFonts w:asciiTheme="majorBidi" w:hAnsiTheme="majorBidi" w:cstheme="majorBidi"/>
          <w:i/>
          <w:iCs/>
          <w:sz w:val="24"/>
          <w:szCs w:val="24"/>
        </w:rPr>
        <w:t xml:space="preserve">The </w:t>
      </w:r>
      <w:r w:rsidR="00A837B9" w:rsidRPr="00A13C7B">
        <w:rPr>
          <w:rFonts w:asciiTheme="majorBidi" w:hAnsiTheme="majorBidi" w:cstheme="majorBidi"/>
          <w:i/>
          <w:iCs/>
          <w:sz w:val="24"/>
          <w:szCs w:val="24"/>
        </w:rPr>
        <w:t xml:space="preserve">Circuit Courts of Appeal </w:t>
      </w:r>
    </w:p>
    <w:p w14:paraId="492AC911" w14:textId="09F7138D" w:rsidR="00B95ACC" w:rsidRDefault="00732A3D" w:rsidP="00A02F77">
      <w:pPr>
        <w:spacing w:after="120" w:line="360" w:lineRule="auto"/>
        <w:ind w:firstLine="450"/>
        <w:jc w:val="both"/>
        <w:rPr>
          <w:rFonts w:asciiTheme="majorBidi" w:hAnsiTheme="majorBidi" w:cstheme="majorBidi"/>
          <w:sz w:val="24"/>
          <w:szCs w:val="24"/>
        </w:rPr>
      </w:pPr>
      <w:r>
        <w:rPr>
          <w:rFonts w:asciiTheme="majorBidi" w:hAnsiTheme="majorBidi" w:cstheme="majorBidi"/>
          <w:sz w:val="24"/>
          <w:szCs w:val="24"/>
        </w:rPr>
        <w:t>The federal cour</w:t>
      </w:r>
      <w:r w:rsidR="00D721C0">
        <w:rPr>
          <w:rFonts w:asciiTheme="majorBidi" w:hAnsiTheme="majorBidi" w:cstheme="majorBidi"/>
          <w:sz w:val="24"/>
          <w:szCs w:val="24"/>
        </w:rPr>
        <w:t xml:space="preserve">ts </w:t>
      </w:r>
      <w:r>
        <w:rPr>
          <w:rFonts w:asciiTheme="majorBidi" w:hAnsiTheme="majorBidi" w:cstheme="majorBidi"/>
          <w:sz w:val="24"/>
          <w:szCs w:val="24"/>
        </w:rPr>
        <w:t>system</w:t>
      </w:r>
      <w:r w:rsidR="00D721C0">
        <w:rPr>
          <w:rFonts w:asciiTheme="majorBidi" w:hAnsiTheme="majorBidi" w:cstheme="majorBidi"/>
          <w:sz w:val="24"/>
          <w:szCs w:val="24"/>
        </w:rPr>
        <w:t xml:space="preserve">, which </w:t>
      </w:r>
      <w:r>
        <w:rPr>
          <w:rFonts w:asciiTheme="majorBidi" w:hAnsiTheme="majorBidi" w:cstheme="majorBidi"/>
          <w:sz w:val="24"/>
          <w:szCs w:val="24"/>
        </w:rPr>
        <w:t>adjudicat</w:t>
      </w:r>
      <w:r w:rsidR="00923801">
        <w:rPr>
          <w:rFonts w:asciiTheme="majorBidi" w:hAnsiTheme="majorBidi" w:cstheme="majorBidi"/>
          <w:sz w:val="24"/>
          <w:szCs w:val="24"/>
        </w:rPr>
        <w:t xml:space="preserve">es </w:t>
      </w:r>
      <w:r>
        <w:rPr>
          <w:rFonts w:asciiTheme="majorBidi" w:hAnsiTheme="majorBidi" w:cstheme="majorBidi"/>
          <w:sz w:val="24"/>
          <w:szCs w:val="24"/>
        </w:rPr>
        <w:t xml:space="preserve">all criminal cases brought by the government </w:t>
      </w:r>
      <w:r w:rsidR="00923801">
        <w:rPr>
          <w:rFonts w:asciiTheme="majorBidi" w:hAnsiTheme="majorBidi" w:cstheme="majorBidi"/>
          <w:sz w:val="24"/>
          <w:szCs w:val="24"/>
        </w:rPr>
        <w:t>under federal law</w:t>
      </w:r>
      <w:r w:rsidR="00D721C0">
        <w:rPr>
          <w:rFonts w:asciiTheme="majorBidi" w:hAnsiTheme="majorBidi" w:cstheme="majorBidi"/>
          <w:sz w:val="24"/>
          <w:szCs w:val="24"/>
        </w:rPr>
        <w:t xml:space="preserve">, has three </w:t>
      </w:r>
      <w:r w:rsidR="00F61F4C" w:rsidRPr="008A2792">
        <w:rPr>
          <w:rFonts w:asciiTheme="majorBidi" w:hAnsiTheme="majorBidi" w:cstheme="majorBidi"/>
          <w:sz w:val="24"/>
          <w:szCs w:val="24"/>
        </w:rPr>
        <w:t>main levels</w:t>
      </w:r>
      <w:r w:rsidR="00FB3B9A">
        <w:rPr>
          <w:rFonts w:asciiTheme="majorBidi" w:hAnsiTheme="majorBidi" w:cstheme="majorBidi"/>
          <w:sz w:val="24"/>
          <w:szCs w:val="24"/>
        </w:rPr>
        <w:t xml:space="preserve">. </w:t>
      </w:r>
      <w:r w:rsidR="00655A8A">
        <w:rPr>
          <w:rFonts w:asciiTheme="majorBidi" w:hAnsiTheme="majorBidi" w:cstheme="majorBidi"/>
          <w:sz w:val="24"/>
          <w:szCs w:val="24"/>
        </w:rPr>
        <w:t xml:space="preserve">The first level is </w:t>
      </w:r>
      <w:r w:rsidR="00D721C0">
        <w:rPr>
          <w:rFonts w:asciiTheme="majorBidi" w:hAnsiTheme="majorBidi" w:cstheme="majorBidi"/>
          <w:sz w:val="24"/>
          <w:szCs w:val="24"/>
        </w:rPr>
        <w:t xml:space="preserve">made of </w:t>
      </w:r>
      <w:r w:rsidR="00655A8A">
        <w:rPr>
          <w:rFonts w:asciiTheme="majorBidi" w:hAnsiTheme="majorBidi" w:cstheme="majorBidi"/>
          <w:sz w:val="24"/>
          <w:szCs w:val="24"/>
        </w:rPr>
        <w:t xml:space="preserve">the </w:t>
      </w:r>
      <w:r w:rsidR="00D721C0">
        <w:rPr>
          <w:rFonts w:asciiTheme="majorBidi" w:hAnsiTheme="majorBidi" w:cstheme="majorBidi"/>
          <w:sz w:val="24"/>
          <w:szCs w:val="24"/>
        </w:rPr>
        <w:t>D</w:t>
      </w:r>
      <w:r w:rsidR="00655A8A">
        <w:rPr>
          <w:rFonts w:asciiTheme="majorBidi" w:hAnsiTheme="majorBidi" w:cstheme="majorBidi"/>
          <w:sz w:val="24"/>
          <w:szCs w:val="24"/>
        </w:rPr>
        <w:t xml:space="preserve">istrict </w:t>
      </w:r>
      <w:r w:rsidR="00D721C0">
        <w:rPr>
          <w:rFonts w:asciiTheme="majorBidi" w:hAnsiTheme="majorBidi" w:cstheme="majorBidi"/>
          <w:sz w:val="24"/>
          <w:szCs w:val="24"/>
        </w:rPr>
        <w:t>C</w:t>
      </w:r>
      <w:r w:rsidR="00655A8A">
        <w:rPr>
          <w:rFonts w:asciiTheme="majorBidi" w:hAnsiTheme="majorBidi" w:cstheme="majorBidi"/>
          <w:sz w:val="24"/>
          <w:szCs w:val="24"/>
        </w:rPr>
        <w:t xml:space="preserve">ourts in which criminal trials are conducted. As of the end of 2020, there were </w:t>
      </w:r>
      <w:r w:rsidR="00C948BD">
        <w:rPr>
          <w:rFonts w:asciiTheme="majorBidi" w:hAnsiTheme="majorBidi" w:cstheme="majorBidi"/>
          <w:sz w:val="24"/>
          <w:szCs w:val="24"/>
        </w:rPr>
        <w:t>670</w:t>
      </w:r>
      <w:r w:rsidR="00655A8A">
        <w:rPr>
          <w:rFonts w:asciiTheme="majorBidi" w:hAnsiTheme="majorBidi" w:cstheme="majorBidi"/>
          <w:sz w:val="24"/>
          <w:szCs w:val="24"/>
        </w:rPr>
        <w:t xml:space="preserve"> district court </w:t>
      </w:r>
      <w:r w:rsidR="00B95ACC">
        <w:rPr>
          <w:rFonts w:asciiTheme="majorBidi" w:hAnsiTheme="majorBidi" w:cstheme="majorBidi"/>
          <w:sz w:val="24"/>
          <w:szCs w:val="24"/>
        </w:rPr>
        <w:t xml:space="preserve">judges holding trials in </w:t>
      </w:r>
      <w:r w:rsidR="00C948BD">
        <w:rPr>
          <w:rFonts w:asciiTheme="majorBidi" w:hAnsiTheme="majorBidi" w:cstheme="majorBidi"/>
          <w:sz w:val="24"/>
          <w:szCs w:val="24"/>
        </w:rPr>
        <w:t>94</w:t>
      </w:r>
      <w:r w:rsidR="00B95ACC">
        <w:rPr>
          <w:rFonts w:asciiTheme="majorBidi" w:hAnsiTheme="majorBidi" w:cstheme="majorBidi"/>
          <w:sz w:val="24"/>
          <w:szCs w:val="24"/>
        </w:rPr>
        <w:t xml:space="preserve"> districts. </w:t>
      </w:r>
    </w:p>
    <w:p w14:paraId="200811B9" w14:textId="0563DC7A" w:rsidR="00BC53B2" w:rsidRDefault="00B95ACC" w:rsidP="00A02F77">
      <w:pPr>
        <w:spacing w:after="120" w:line="360" w:lineRule="auto"/>
        <w:ind w:firstLine="360"/>
        <w:jc w:val="both"/>
        <w:rPr>
          <w:rFonts w:asciiTheme="majorBidi" w:hAnsiTheme="majorBidi" w:cstheme="majorBidi"/>
          <w:sz w:val="24"/>
          <w:szCs w:val="24"/>
        </w:rPr>
      </w:pPr>
      <w:r>
        <w:rPr>
          <w:rFonts w:asciiTheme="majorBidi" w:hAnsiTheme="majorBidi" w:cstheme="majorBidi"/>
          <w:sz w:val="24"/>
          <w:szCs w:val="24"/>
        </w:rPr>
        <w:t xml:space="preserve">The second level is that </w:t>
      </w:r>
      <w:r w:rsidR="003659DD">
        <w:rPr>
          <w:rFonts w:asciiTheme="majorBidi" w:hAnsiTheme="majorBidi" w:cstheme="majorBidi"/>
          <w:sz w:val="24"/>
          <w:szCs w:val="24"/>
        </w:rPr>
        <w:t xml:space="preserve">of the Circuit Courts, the federal courts of appeal. </w:t>
      </w:r>
      <w:r w:rsidR="00934BCA" w:rsidRPr="00C948BD">
        <w:rPr>
          <w:rFonts w:asciiTheme="majorBidi" w:hAnsiTheme="majorBidi" w:cstheme="majorBidi"/>
          <w:sz w:val="24"/>
          <w:szCs w:val="24"/>
        </w:rPr>
        <w:t xml:space="preserve">The 94 districts courts are organized into </w:t>
      </w:r>
      <w:r w:rsidR="00DF4EA1" w:rsidRPr="00C948BD">
        <w:rPr>
          <w:rFonts w:asciiTheme="majorBidi" w:hAnsiTheme="majorBidi" w:cstheme="majorBidi"/>
          <w:sz w:val="24"/>
          <w:szCs w:val="24"/>
        </w:rPr>
        <w:t>1</w:t>
      </w:r>
      <w:r w:rsidR="00934BCA" w:rsidRPr="00C948BD">
        <w:rPr>
          <w:rFonts w:asciiTheme="majorBidi" w:hAnsiTheme="majorBidi" w:cstheme="majorBidi"/>
          <w:sz w:val="24"/>
          <w:szCs w:val="24"/>
        </w:rPr>
        <w:t xml:space="preserve">2 regional </w:t>
      </w:r>
      <w:r w:rsidR="00BC53B2">
        <w:rPr>
          <w:rFonts w:asciiTheme="majorBidi" w:hAnsiTheme="majorBidi" w:cstheme="majorBidi"/>
          <w:sz w:val="24"/>
          <w:szCs w:val="24"/>
        </w:rPr>
        <w:t xml:space="preserve">Circuit </w:t>
      </w:r>
      <w:r w:rsidR="00934BCA" w:rsidRPr="00C948BD">
        <w:rPr>
          <w:rFonts w:asciiTheme="majorBidi" w:hAnsiTheme="majorBidi" w:cstheme="majorBidi"/>
          <w:sz w:val="24"/>
          <w:szCs w:val="24"/>
        </w:rPr>
        <w:t xml:space="preserve">courts of appeal. In addition, the court of appeal for the Federal </w:t>
      </w:r>
      <w:r w:rsidR="00DF4EA1" w:rsidRPr="00C948BD">
        <w:rPr>
          <w:rFonts w:asciiTheme="majorBidi" w:hAnsiTheme="majorBidi" w:cstheme="majorBidi"/>
          <w:sz w:val="24"/>
          <w:szCs w:val="24"/>
        </w:rPr>
        <w:t>circuit</w:t>
      </w:r>
      <w:r w:rsidR="00934BCA" w:rsidRPr="00C948BD">
        <w:rPr>
          <w:rFonts w:asciiTheme="majorBidi" w:hAnsiTheme="majorBidi" w:cstheme="majorBidi"/>
          <w:sz w:val="24"/>
          <w:szCs w:val="24"/>
        </w:rPr>
        <w:t xml:space="preserve"> has nationwide jurisdiction to hear appeals in </w:t>
      </w:r>
      <w:r w:rsidR="007D1B6A">
        <w:rPr>
          <w:rFonts w:asciiTheme="majorBidi" w:hAnsiTheme="majorBidi" w:cstheme="majorBidi"/>
          <w:sz w:val="24"/>
          <w:szCs w:val="24"/>
        </w:rPr>
        <w:t xml:space="preserve">certain types of </w:t>
      </w:r>
      <w:r w:rsidR="00934BCA" w:rsidRPr="00C948BD">
        <w:rPr>
          <w:rFonts w:asciiTheme="majorBidi" w:hAnsiTheme="majorBidi" w:cstheme="majorBidi"/>
          <w:sz w:val="24"/>
          <w:szCs w:val="24"/>
        </w:rPr>
        <w:t>cases</w:t>
      </w:r>
      <w:r w:rsidR="00DA67AF" w:rsidRPr="00C948BD">
        <w:rPr>
          <w:rFonts w:asciiTheme="majorBidi" w:hAnsiTheme="majorBidi" w:cstheme="majorBidi"/>
          <w:sz w:val="24"/>
          <w:szCs w:val="24"/>
        </w:rPr>
        <w:t xml:space="preserve">. </w:t>
      </w:r>
      <w:r w:rsidR="00BC53B2">
        <w:rPr>
          <w:rFonts w:asciiTheme="majorBidi" w:hAnsiTheme="majorBidi" w:cstheme="majorBidi"/>
          <w:sz w:val="24"/>
          <w:szCs w:val="24"/>
        </w:rPr>
        <w:t xml:space="preserve">As of the end of 2020, there were </w:t>
      </w:r>
      <w:r w:rsidR="00F61F4C" w:rsidRPr="00C948BD">
        <w:rPr>
          <w:rFonts w:asciiTheme="majorBidi" w:hAnsiTheme="majorBidi" w:cstheme="majorBidi"/>
          <w:sz w:val="24"/>
          <w:szCs w:val="24"/>
        </w:rPr>
        <w:t xml:space="preserve">180 active </w:t>
      </w:r>
      <w:r w:rsidR="00DA67AF" w:rsidRPr="00C948BD">
        <w:rPr>
          <w:rFonts w:asciiTheme="majorBidi" w:hAnsiTheme="majorBidi" w:cstheme="majorBidi"/>
          <w:sz w:val="24"/>
          <w:szCs w:val="24"/>
        </w:rPr>
        <w:t xml:space="preserve">and 120 </w:t>
      </w:r>
      <w:r w:rsidR="007D1B6A">
        <w:rPr>
          <w:rFonts w:asciiTheme="majorBidi" w:hAnsiTheme="majorBidi" w:cstheme="majorBidi"/>
          <w:sz w:val="24"/>
          <w:szCs w:val="24"/>
        </w:rPr>
        <w:t>S</w:t>
      </w:r>
      <w:r w:rsidR="00DA67AF" w:rsidRPr="00C948BD">
        <w:rPr>
          <w:rFonts w:asciiTheme="majorBidi" w:hAnsiTheme="majorBidi" w:cstheme="majorBidi"/>
          <w:sz w:val="24"/>
          <w:szCs w:val="24"/>
        </w:rPr>
        <w:t xml:space="preserve">enior </w:t>
      </w:r>
      <w:r w:rsidR="007D1B6A">
        <w:rPr>
          <w:rFonts w:asciiTheme="majorBidi" w:hAnsiTheme="majorBidi" w:cstheme="majorBidi"/>
          <w:sz w:val="24"/>
          <w:szCs w:val="24"/>
        </w:rPr>
        <w:t>C</w:t>
      </w:r>
      <w:r w:rsidR="00F61F4C" w:rsidRPr="00C948BD">
        <w:rPr>
          <w:rFonts w:asciiTheme="majorBidi" w:hAnsiTheme="majorBidi" w:cstheme="majorBidi"/>
          <w:sz w:val="24"/>
          <w:szCs w:val="24"/>
        </w:rPr>
        <w:t>ircuit</w:t>
      </w:r>
      <w:r w:rsidR="00DA67AF" w:rsidRPr="00C948BD">
        <w:rPr>
          <w:rFonts w:asciiTheme="majorBidi" w:hAnsiTheme="majorBidi" w:cstheme="majorBidi"/>
          <w:sz w:val="24"/>
          <w:szCs w:val="24"/>
        </w:rPr>
        <w:t xml:space="preserve"> </w:t>
      </w:r>
      <w:r w:rsidR="007D1B6A">
        <w:rPr>
          <w:rFonts w:asciiTheme="majorBidi" w:hAnsiTheme="majorBidi" w:cstheme="majorBidi"/>
          <w:sz w:val="24"/>
          <w:szCs w:val="24"/>
        </w:rPr>
        <w:t>C</w:t>
      </w:r>
      <w:r w:rsidR="00F61F4C" w:rsidRPr="00C948BD">
        <w:rPr>
          <w:rFonts w:asciiTheme="majorBidi" w:hAnsiTheme="majorBidi" w:cstheme="majorBidi"/>
          <w:sz w:val="24"/>
          <w:szCs w:val="24"/>
        </w:rPr>
        <w:t>ourt judges.</w:t>
      </w:r>
      <w:r w:rsidR="00AC0BDB">
        <w:rPr>
          <w:rFonts w:asciiTheme="majorBidi" w:hAnsiTheme="majorBidi" w:cstheme="majorBidi"/>
          <w:sz w:val="24"/>
          <w:szCs w:val="24"/>
        </w:rPr>
        <w:t xml:space="preserve"> The Circuit Courts hear all appeals on criminal trials held at the federal </w:t>
      </w:r>
      <w:r w:rsidR="00217E22">
        <w:rPr>
          <w:rFonts w:asciiTheme="majorBidi" w:hAnsiTheme="majorBidi" w:cstheme="majorBidi"/>
          <w:sz w:val="24"/>
          <w:szCs w:val="24"/>
        </w:rPr>
        <w:t>D</w:t>
      </w:r>
      <w:r w:rsidR="00AC0BDB">
        <w:rPr>
          <w:rFonts w:asciiTheme="majorBidi" w:hAnsiTheme="majorBidi" w:cstheme="majorBidi"/>
          <w:sz w:val="24"/>
          <w:szCs w:val="24"/>
        </w:rPr>
        <w:t xml:space="preserve">istrict </w:t>
      </w:r>
      <w:r w:rsidR="00217E22">
        <w:rPr>
          <w:rFonts w:asciiTheme="majorBidi" w:hAnsiTheme="majorBidi" w:cstheme="majorBidi"/>
          <w:sz w:val="24"/>
          <w:szCs w:val="24"/>
        </w:rPr>
        <w:t>C</w:t>
      </w:r>
      <w:r w:rsidR="00AC0BDB">
        <w:rPr>
          <w:rFonts w:asciiTheme="majorBidi" w:hAnsiTheme="majorBidi" w:cstheme="majorBidi"/>
          <w:sz w:val="24"/>
          <w:szCs w:val="24"/>
        </w:rPr>
        <w:t xml:space="preserve">ourts. </w:t>
      </w:r>
    </w:p>
    <w:p w14:paraId="21763F97" w14:textId="068CA2EE" w:rsidR="002E28B2" w:rsidRDefault="00AC0BDB" w:rsidP="00A02F77">
      <w:pPr>
        <w:spacing w:after="120" w:line="360" w:lineRule="auto"/>
        <w:ind w:firstLine="360"/>
        <w:jc w:val="both"/>
        <w:rPr>
          <w:rFonts w:asciiTheme="majorBidi" w:hAnsiTheme="majorBidi" w:cstheme="majorBidi"/>
          <w:sz w:val="24"/>
          <w:szCs w:val="24"/>
        </w:rPr>
      </w:pPr>
      <w:r>
        <w:rPr>
          <w:rFonts w:asciiTheme="majorBidi" w:hAnsiTheme="majorBidi" w:cstheme="majorBidi"/>
          <w:sz w:val="24"/>
          <w:szCs w:val="24"/>
        </w:rPr>
        <w:t xml:space="preserve">The third level is that of the </w:t>
      </w:r>
      <w:r w:rsidR="00F61F4C" w:rsidRPr="008A2792">
        <w:rPr>
          <w:rFonts w:asciiTheme="majorBidi" w:hAnsiTheme="majorBidi" w:cstheme="majorBidi"/>
          <w:sz w:val="24"/>
          <w:szCs w:val="24"/>
        </w:rPr>
        <w:t xml:space="preserve">Supreme </w:t>
      </w:r>
      <w:r>
        <w:rPr>
          <w:rFonts w:asciiTheme="majorBidi" w:hAnsiTheme="majorBidi" w:cstheme="majorBidi"/>
          <w:sz w:val="24"/>
          <w:szCs w:val="24"/>
        </w:rPr>
        <w:t>Co</w:t>
      </w:r>
      <w:r w:rsidR="00F61F4C" w:rsidRPr="008A2792">
        <w:rPr>
          <w:rFonts w:asciiTheme="majorBidi" w:hAnsiTheme="majorBidi" w:cstheme="majorBidi"/>
          <w:sz w:val="24"/>
          <w:szCs w:val="24"/>
        </w:rPr>
        <w:t>urt</w:t>
      </w:r>
      <w:r w:rsidR="00E14B94">
        <w:rPr>
          <w:rFonts w:asciiTheme="majorBidi" w:hAnsiTheme="majorBidi" w:cstheme="majorBidi"/>
          <w:sz w:val="24"/>
          <w:szCs w:val="24"/>
        </w:rPr>
        <w:t xml:space="preserve">, the highest court of the land. </w:t>
      </w:r>
      <w:r w:rsidR="00F61F4C" w:rsidRPr="008A2792">
        <w:rPr>
          <w:rFonts w:asciiTheme="majorBidi" w:hAnsiTheme="majorBidi" w:cstheme="majorBidi"/>
          <w:sz w:val="24"/>
          <w:szCs w:val="24"/>
        </w:rPr>
        <w:t>The</w:t>
      </w:r>
      <w:r w:rsidR="00E14B94">
        <w:rPr>
          <w:rFonts w:asciiTheme="majorBidi" w:hAnsiTheme="majorBidi" w:cstheme="majorBidi"/>
          <w:sz w:val="24"/>
          <w:szCs w:val="24"/>
        </w:rPr>
        <w:t xml:space="preserve"> Supreme Court h</w:t>
      </w:r>
      <w:r w:rsidR="00217E22">
        <w:rPr>
          <w:rFonts w:asciiTheme="majorBidi" w:hAnsiTheme="majorBidi" w:cstheme="majorBidi"/>
          <w:sz w:val="24"/>
          <w:szCs w:val="24"/>
        </w:rPr>
        <w:t xml:space="preserve">ears </w:t>
      </w:r>
      <w:r w:rsidR="00CA39FB">
        <w:rPr>
          <w:rFonts w:asciiTheme="majorBidi" w:hAnsiTheme="majorBidi" w:cstheme="majorBidi"/>
          <w:sz w:val="24"/>
          <w:szCs w:val="24"/>
        </w:rPr>
        <w:t xml:space="preserve">some selected </w:t>
      </w:r>
      <w:r w:rsidR="00217E22">
        <w:rPr>
          <w:rFonts w:asciiTheme="majorBidi" w:hAnsiTheme="majorBidi" w:cstheme="majorBidi"/>
          <w:sz w:val="24"/>
          <w:szCs w:val="24"/>
        </w:rPr>
        <w:t xml:space="preserve">appeals on </w:t>
      </w:r>
      <w:r w:rsidR="00FD7B33">
        <w:rPr>
          <w:rFonts w:asciiTheme="majorBidi" w:hAnsiTheme="majorBidi" w:cstheme="majorBidi"/>
          <w:sz w:val="24"/>
          <w:szCs w:val="24"/>
        </w:rPr>
        <w:t>decisions of Circuit Courts</w:t>
      </w:r>
      <w:r w:rsidR="00217E22">
        <w:rPr>
          <w:rFonts w:asciiTheme="majorBidi" w:hAnsiTheme="majorBidi" w:cstheme="majorBidi"/>
          <w:sz w:val="24"/>
          <w:szCs w:val="24"/>
        </w:rPr>
        <w:t xml:space="preserve">. </w:t>
      </w:r>
      <w:r w:rsidR="00CA39FB">
        <w:rPr>
          <w:rFonts w:asciiTheme="majorBidi" w:hAnsiTheme="majorBidi" w:cstheme="majorBidi"/>
          <w:sz w:val="24"/>
          <w:szCs w:val="24"/>
        </w:rPr>
        <w:t xml:space="preserve">Only a very tiny number of criminal </w:t>
      </w:r>
      <w:r w:rsidR="00CA39FB">
        <w:rPr>
          <w:rFonts w:asciiTheme="majorBidi" w:hAnsiTheme="majorBidi" w:cstheme="majorBidi"/>
          <w:sz w:val="24"/>
          <w:szCs w:val="24"/>
        </w:rPr>
        <w:lastRenderedPageBreak/>
        <w:t>cases</w:t>
      </w:r>
      <w:r w:rsidR="003A6EE8">
        <w:rPr>
          <w:rFonts w:asciiTheme="majorBidi" w:hAnsiTheme="majorBidi" w:cstheme="majorBidi"/>
          <w:sz w:val="24"/>
          <w:szCs w:val="24"/>
        </w:rPr>
        <w:t xml:space="preserve"> reach the Supreme Court each year. </w:t>
      </w:r>
      <w:r w:rsidR="00765B1A">
        <w:rPr>
          <w:rFonts w:asciiTheme="majorBidi" w:hAnsiTheme="majorBidi" w:cstheme="majorBidi"/>
          <w:sz w:val="24"/>
          <w:szCs w:val="24"/>
        </w:rPr>
        <w:t xml:space="preserve">Thus, the vast number of criminal appeals are decided at the Circuit Courts, and the focus of this paper is on these appeals. </w:t>
      </w:r>
    </w:p>
    <w:p w14:paraId="5100CC20" w14:textId="13C491CA" w:rsidR="002E28B2" w:rsidRPr="00A13C7B" w:rsidRDefault="002E28B2" w:rsidP="00A02F77">
      <w:pPr>
        <w:pStyle w:val="ListParagraph"/>
        <w:numPr>
          <w:ilvl w:val="0"/>
          <w:numId w:val="34"/>
        </w:numPr>
        <w:spacing w:after="120" w:line="360" w:lineRule="auto"/>
        <w:contextualSpacing w:val="0"/>
        <w:jc w:val="center"/>
        <w:rPr>
          <w:rFonts w:asciiTheme="majorBidi" w:hAnsiTheme="majorBidi" w:cstheme="majorBidi"/>
          <w:i/>
          <w:iCs/>
          <w:sz w:val="24"/>
          <w:szCs w:val="24"/>
        </w:rPr>
      </w:pPr>
      <w:r w:rsidRPr="00A13C7B">
        <w:rPr>
          <w:rFonts w:asciiTheme="majorBidi" w:hAnsiTheme="majorBidi" w:cstheme="majorBidi"/>
          <w:i/>
          <w:iCs/>
          <w:sz w:val="24"/>
          <w:szCs w:val="24"/>
        </w:rPr>
        <w:t>Criminal Appeals</w:t>
      </w:r>
    </w:p>
    <w:p w14:paraId="3E614DF5" w14:textId="5F4AC2DB" w:rsidR="002E28B2" w:rsidRDefault="00CA4B6B" w:rsidP="00A02F77">
      <w:pPr>
        <w:spacing w:after="120" w:line="360" w:lineRule="auto"/>
        <w:ind w:firstLine="450"/>
        <w:jc w:val="both"/>
        <w:rPr>
          <w:rFonts w:asciiTheme="majorBidi" w:hAnsiTheme="majorBidi" w:cstheme="majorBidi"/>
          <w:sz w:val="24"/>
          <w:szCs w:val="24"/>
        </w:rPr>
      </w:pPr>
      <w:r w:rsidRPr="008A2792">
        <w:rPr>
          <w:rFonts w:asciiTheme="majorBidi" w:hAnsiTheme="majorBidi" w:cstheme="majorBidi"/>
          <w:sz w:val="24"/>
          <w:szCs w:val="24"/>
        </w:rPr>
        <w:t>The</w:t>
      </w:r>
      <w:r>
        <w:rPr>
          <w:rFonts w:asciiTheme="majorBidi" w:hAnsiTheme="majorBidi" w:cstheme="majorBidi"/>
          <w:sz w:val="24"/>
          <w:szCs w:val="24"/>
        </w:rPr>
        <w:t xml:space="preserve"> Circuit Courts handle several types of cases, with civil cases and criminal cases being the larger group. This paper focuses only on criminal cases, which represents about one-fifth of the cases </w:t>
      </w:r>
      <w:r w:rsidR="002E28B2">
        <w:rPr>
          <w:rFonts w:asciiTheme="majorBidi" w:hAnsiTheme="majorBidi" w:cstheme="majorBidi"/>
          <w:sz w:val="24"/>
          <w:szCs w:val="24"/>
        </w:rPr>
        <w:t xml:space="preserve">handled by the Circuit Courts. </w:t>
      </w:r>
    </w:p>
    <w:p w14:paraId="085A5804" w14:textId="765681CA" w:rsidR="00670F4A" w:rsidRDefault="00805EC0" w:rsidP="00A02F77">
      <w:pPr>
        <w:spacing w:after="120" w:line="360" w:lineRule="auto"/>
        <w:ind w:firstLine="450"/>
        <w:jc w:val="both"/>
        <w:rPr>
          <w:rFonts w:asciiTheme="majorBidi" w:hAnsiTheme="majorBidi" w:cstheme="majorBidi"/>
          <w:sz w:val="24"/>
          <w:szCs w:val="24"/>
        </w:rPr>
      </w:pPr>
      <w:r>
        <w:rPr>
          <w:rFonts w:asciiTheme="majorBidi" w:hAnsiTheme="majorBidi" w:cstheme="majorBidi"/>
          <w:sz w:val="24"/>
          <w:szCs w:val="24"/>
        </w:rPr>
        <w:t xml:space="preserve">When a criminal case is concluded at the District Court, the defendant may be found guilty or not guilty. </w:t>
      </w:r>
      <w:r w:rsidR="0025198E">
        <w:rPr>
          <w:rFonts w:asciiTheme="majorBidi" w:hAnsiTheme="majorBidi" w:cstheme="majorBidi"/>
          <w:sz w:val="24"/>
          <w:szCs w:val="24"/>
        </w:rPr>
        <w:t xml:space="preserve">If the defendant is found not guilty, the government may not appeal, and the defendant has no reasons to appeal, so all the criminal cases reaching the Circuit Courts are ones where the criminal defendant was found guilty at the District Court. </w:t>
      </w:r>
      <w:r w:rsidR="00DB3C66">
        <w:rPr>
          <w:rFonts w:asciiTheme="majorBidi" w:hAnsiTheme="majorBidi" w:cstheme="majorBidi"/>
          <w:sz w:val="24"/>
          <w:szCs w:val="24"/>
        </w:rPr>
        <w:t>In such cases, the criminal defendant may appeal the conviction. In addition, both the criminal defendant and the government may appeal the sentenc</w:t>
      </w:r>
      <w:r w:rsidR="007D6F09">
        <w:rPr>
          <w:rFonts w:asciiTheme="majorBidi" w:hAnsiTheme="majorBidi" w:cstheme="majorBidi"/>
          <w:sz w:val="24"/>
          <w:szCs w:val="24"/>
        </w:rPr>
        <w:t xml:space="preserve">e; the defendant may appeal seeking </w:t>
      </w:r>
      <w:r w:rsidR="00FF6785">
        <w:rPr>
          <w:rFonts w:asciiTheme="majorBidi" w:hAnsiTheme="majorBidi" w:cstheme="majorBidi"/>
          <w:sz w:val="24"/>
          <w:szCs w:val="24"/>
        </w:rPr>
        <w:t xml:space="preserve">a lighter sentence, and the government may appeal seeking a more sever sentence. In cases with plea bargaining, </w:t>
      </w:r>
      <w:r w:rsidR="000A4A0E">
        <w:rPr>
          <w:rFonts w:asciiTheme="majorBidi" w:hAnsiTheme="majorBidi" w:cstheme="majorBidi"/>
          <w:sz w:val="24"/>
          <w:szCs w:val="24"/>
        </w:rPr>
        <w:t>the defendants agrees to a conviction at the District Court, and thus the conviction may not be appealed by the defendant, but both sides may appeal with respect to the sentence set by the District Court.</w:t>
      </w:r>
      <w:r w:rsidR="00670F4A">
        <w:rPr>
          <w:rFonts w:asciiTheme="majorBidi" w:hAnsiTheme="majorBidi" w:cstheme="majorBidi"/>
          <w:sz w:val="24"/>
          <w:szCs w:val="24"/>
        </w:rPr>
        <w:t xml:space="preserve"> </w:t>
      </w:r>
      <w:r w:rsidR="00670F4A" w:rsidRPr="008A2792">
        <w:rPr>
          <w:rFonts w:asciiTheme="majorBidi" w:hAnsiTheme="majorBidi" w:cstheme="majorBidi"/>
          <w:sz w:val="24"/>
          <w:szCs w:val="24"/>
        </w:rPr>
        <w:t xml:space="preserve">The party who initiates the appeal is known as the </w:t>
      </w:r>
      <w:r w:rsidR="00670F4A" w:rsidRPr="004F4103">
        <w:rPr>
          <w:rFonts w:asciiTheme="majorBidi" w:hAnsiTheme="majorBidi" w:cstheme="majorBidi"/>
          <w:sz w:val="24"/>
          <w:szCs w:val="24"/>
        </w:rPr>
        <w:t>appellant</w:t>
      </w:r>
      <w:r w:rsidR="00670F4A">
        <w:rPr>
          <w:rFonts w:asciiTheme="majorBidi" w:hAnsiTheme="majorBidi" w:cstheme="majorBidi"/>
          <w:b/>
          <w:bCs/>
          <w:sz w:val="24"/>
          <w:szCs w:val="24"/>
        </w:rPr>
        <w:t xml:space="preserve">, </w:t>
      </w:r>
      <w:r w:rsidR="00670F4A" w:rsidRPr="004F4103">
        <w:rPr>
          <w:rFonts w:asciiTheme="majorBidi" w:hAnsiTheme="majorBidi" w:cstheme="majorBidi"/>
          <w:sz w:val="24"/>
          <w:szCs w:val="24"/>
        </w:rPr>
        <w:t>and</w:t>
      </w:r>
      <w:r w:rsidR="00670F4A">
        <w:rPr>
          <w:rFonts w:asciiTheme="majorBidi" w:hAnsiTheme="majorBidi" w:cstheme="majorBidi"/>
          <w:sz w:val="24"/>
          <w:szCs w:val="24"/>
        </w:rPr>
        <w:t xml:space="preserve"> the other party </w:t>
      </w:r>
      <w:r w:rsidR="00B326A1">
        <w:rPr>
          <w:rFonts w:asciiTheme="majorBidi" w:hAnsiTheme="majorBidi" w:cstheme="majorBidi"/>
          <w:sz w:val="24"/>
          <w:szCs w:val="24"/>
        </w:rPr>
        <w:t xml:space="preserve">opposing the appeal is referred to as </w:t>
      </w:r>
      <w:r w:rsidR="00670F4A" w:rsidRPr="008A2792">
        <w:rPr>
          <w:rFonts w:asciiTheme="majorBidi" w:hAnsiTheme="majorBidi" w:cstheme="majorBidi"/>
          <w:sz w:val="24"/>
          <w:szCs w:val="24"/>
        </w:rPr>
        <w:t xml:space="preserve">the </w:t>
      </w:r>
      <w:r w:rsidR="00670F4A" w:rsidRPr="004F4103">
        <w:rPr>
          <w:rFonts w:asciiTheme="majorBidi" w:hAnsiTheme="majorBidi" w:cstheme="majorBidi"/>
          <w:sz w:val="24"/>
          <w:szCs w:val="24"/>
        </w:rPr>
        <w:t>appellee</w:t>
      </w:r>
      <w:r w:rsidR="00B326A1">
        <w:rPr>
          <w:rFonts w:asciiTheme="majorBidi" w:hAnsiTheme="majorBidi" w:cstheme="majorBidi"/>
          <w:sz w:val="24"/>
          <w:szCs w:val="24"/>
        </w:rPr>
        <w:t>.</w:t>
      </w:r>
    </w:p>
    <w:p w14:paraId="66188E40" w14:textId="20F2C4F5" w:rsidR="00C35BDA" w:rsidRPr="00A13C7B" w:rsidRDefault="00C35BDA" w:rsidP="00A02F77">
      <w:pPr>
        <w:pStyle w:val="ListParagraph"/>
        <w:numPr>
          <w:ilvl w:val="0"/>
          <w:numId w:val="34"/>
        </w:numPr>
        <w:spacing w:after="120" w:line="360" w:lineRule="auto"/>
        <w:contextualSpacing w:val="0"/>
        <w:jc w:val="center"/>
        <w:rPr>
          <w:rFonts w:asciiTheme="majorBidi" w:hAnsiTheme="majorBidi" w:cstheme="majorBidi"/>
          <w:i/>
          <w:iCs/>
          <w:sz w:val="24"/>
          <w:szCs w:val="24"/>
        </w:rPr>
      </w:pPr>
      <w:r w:rsidRPr="00A13C7B">
        <w:rPr>
          <w:rFonts w:asciiTheme="majorBidi" w:hAnsiTheme="majorBidi" w:cstheme="majorBidi"/>
          <w:i/>
          <w:iCs/>
          <w:sz w:val="24"/>
          <w:szCs w:val="24"/>
        </w:rPr>
        <w:t>Panels</w:t>
      </w:r>
    </w:p>
    <w:p w14:paraId="39A994A5" w14:textId="7C7E0132" w:rsidR="00DE3AB0" w:rsidRDefault="00C35BDA" w:rsidP="00A02F77">
      <w:pPr>
        <w:spacing w:after="120" w:line="360" w:lineRule="auto"/>
        <w:ind w:firstLine="450"/>
        <w:jc w:val="both"/>
        <w:rPr>
          <w:rFonts w:asciiTheme="majorBidi" w:hAnsiTheme="majorBidi" w:cstheme="majorBidi"/>
          <w:sz w:val="24"/>
          <w:szCs w:val="24"/>
        </w:rPr>
      </w:pPr>
      <w:r w:rsidRPr="008A2792">
        <w:rPr>
          <w:rFonts w:asciiTheme="majorBidi" w:hAnsiTheme="majorBidi" w:cstheme="majorBidi"/>
          <w:sz w:val="24"/>
          <w:szCs w:val="24"/>
        </w:rPr>
        <w:t>Most of the cases in the court of appeals are heard by a panel of three judges</w:t>
      </w:r>
      <w:r w:rsidR="00DE3AB0">
        <w:rPr>
          <w:rFonts w:asciiTheme="majorBidi" w:hAnsiTheme="majorBidi" w:cstheme="majorBidi"/>
          <w:sz w:val="24"/>
          <w:szCs w:val="24"/>
        </w:rPr>
        <w:t xml:space="preserve">. </w:t>
      </w:r>
      <w:r w:rsidRPr="008A2792">
        <w:rPr>
          <w:rFonts w:asciiTheme="majorBidi" w:hAnsiTheme="majorBidi" w:cstheme="majorBidi"/>
          <w:sz w:val="24"/>
          <w:szCs w:val="24"/>
        </w:rPr>
        <w:t xml:space="preserve">In rare cases, appeals cases </w:t>
      </w:r>
      <w:r w:rsidR="00DE3AB0">
        <w:rPr>
          <w:rFonts w:asciiTheme="majorBidi" w:hAnsiTheme="majorBidi" w:cstheme="majorBidi"/>
          <w:sz w:val="24"/>
          <w:szCs w:val="24"/>
        </w:rPr>
        <w:t xml:space="preserve">are </w:t>
      </w:r>
      <w:r w:rsidRPr="008A2792">
        <w:rPr>
          <w:rFonts w:asciiTheme="majorBidi" w:hAnsiTheme="majorBidi" w:cstheme="majorBidi"/>
          <w:sz w:val="24"/>
          <w:szCs w:val="24"/>
        </w:rPr>
        <w:t xml:space="preserve">heard </w:t>
      </w:r>
      <w:r w:rsidR="00DE3AB0">
        <w:rPr>
          <w:rFonts w:asciiTheme="majorBidi" w:hAnsiTheme="majorBidi" w:cstheme="majorBidi"/>
          <w:sz w:val="24"/>
          <w:szCs w:val="24"/>
        </w:rPr>
        <w:t xml:space="preserve">at the outset or reheard after a panel decision </w:t>
      </w:r>
      <w:r w:rsidRPr="008A2792">
        <w:rPr>
          <w:rFonts w:asciiTheme="majorBidi" w:hAnsiTheme="majorBidi" w:cstheme="majorBidi"/>
          <w:sz w:val="24"/>
          <w:szCs w:val="24"/>
        </w:rPr>
        <w:t>by the entire circuit court (</w:t>
      </w:r>
      <w:proofErr w:type="spellStart"/>
      <w:r w:rsidRPr="004F4103">
        <w:rPr>
          <w:rFonts w:asciiTheme="majorBidi" w:hAnsiTheme="majorBidi" w:cstheme="majorBidi"/>
          <w:i/>
          <w:iCs/>
          <w:sz w:val="24"/>
          <w:szCs w:val="24"/>
        </w:rPr>
        <w:t>en</w:t>
      </w:r>
      <w:proofErr w:type="spellEnd"/>
      <w:r w:rsidR="00DE3AB0" w:rsidRPr="004F4103">
        <w:rPr>
          <w:rFonts w:asciiTheme="majorBidi" w:hAnsiTheme="majorBidi" w:cstheme="majorBidi"/>
          <w:i/>
          <w:iCs/>
          <w:sz w:val="24"/>
          <w:szCs w:val="24"/>
        </w:rPr>
        <w:t xml:space="preserve"> </w:t>
      </w:r>
      <w:r w:rsidRPr="004F4103">
        <w:rPr>
          <w:rFonts w:asciiTheme="majorBidi" w:hAnsiTheme="majorBidi" w:cstheme="majorBidi"/>
          <w:i/>
          <w:iCs/>
          <w:sz w:val="24"/>
          <w:szCs w:val="24"/>
        </w:rPr>
        <w:t>banc</w:t>
      </w:r>
      <w:r w:rsidRPr="008A2792">
        <w:rPr>
          <w:rFonts w:asciiTheme="majorBidi" w:hAnsiTheme="majorBidi" w:cstheme="majorBidi"/>
          <w:sz w:val="24"/>
          <w:szCs w:val="24"/>
        </w:rPr>
        <w:t>)</w:t>
      </w:r>
      <w:r w:rsidR="0090405B">
        <w:rPr>
          <w:rFonts w:asciiTheme="majorBidi" w:hAnsiTheme="majorBidi" w:cstheme="majorBidi"/>
          <w:sz w:val="24"/>
          <w:szCs w:val="24"/>
        </w:rPr>
        <w:t xml:space="preserve">, that is, by all the </w:t>
      </w:r>
      <w:r w:rsidR="004A7A37">
        <w:rPr>
          <w:rFonts w:asciiTheme="majorBidi" w:hAnsiTheme="majorBidi" w:cstheme="majorBidi"/>
          <w:sz w:val="24"/>
          <w:szCs w:val="24"/>
        </w:rPr>
        <w:t xml:space="preserve">active </w:t>
      </w:r>
      <w:r w:rsidR="0090405B">
        <w:rPr>
          <w:rFonts w:asciiTheme="majorBidi" w:hAnsiTheme="majorBidi" w:cstheme="majorBidi"/>
          <w:sz w:val="24"/>
          <w:szCs w:val="24"/>
        </w:rPr>
        <w:t>judges that serve at the Circuit Court</w:t>
      </w:r>
      <w:r w:rsidRPr="008A2792">
        <w:rPr>
          <w:rFonts w:asciiTheme="majorBidi" w:hAnsiTheme="majorBidi" w:cstheme="majorBidi"/>
          <w:sz w:val="24"/>
          <w:szCs w:val="24"/>
        </w:rPr>
        <w:t>.</w:t>
      </w:r>
      <w:r>
        <w:rPr>
          <w:rFonts w:asciiTheme="majorBidi" w:hAnsiTheme="majorBidi" w:cstheme="majorBidi"/>
          <w:sz w:val="24"/>
          <w:szCs w:val="24"/>
        </w:rPr>
        <w:t xml:space="preserve"> </w:t>
      </w:r>
      <w:r w:rsidR="00DE3AB0">
        <w:rPr>
          <w:rFonts w:asciiTheme="majorBidi" w:hAnsiTheme="majorBidi" w:cstheme="majorBidi"/>
          <w:sz w:val="24"/>
          <w:szCs w:val="24"/>
        </w:rPr>
        <w:t>This study focuses only</w:t>
      </w:r>
      <w:r w:rsidR="00F57766">
        <w:rPr>
          <w:rFonts w:asciiTheme="majorBidi" w:hAnsiTheme="majorBidi" w:cstheme="majorBidi"/>
          <w:sz w:val="24"/>
          <w:szCs w:val="24"/>
        </w:rPr>
        <w:t xml:space="preserve"> on </w:t>
      </w:r>
      <w:r w:rsidR="0090405B">
        <w:rPr>
          <w:rFonts w:asciiTheme="majorBidi" w:hAnsiTheme="majorBidi" w:cstheme="majorBidi"/>
          <w:sz w:val="24"/>
          <w:szCs w:val="24"/>
        </w:rPr>
        <w:t xml:space="preserve">decisions made by three-judge panels, which represent the vast majority of Circuit Court cases. </w:t>
      </w:r>
    </w:p>
    <w:p w14:paraId="51A66C6F" w14:textId="08B084B7" w:rsidR="00025AA9" w:rsidRPr="00955F56" w:rsidRDefault="004A7A37" w:rsidP="00A02F77">
      <w:pPr>
        <w:spacing w:after="120" w:line="360" w:lineRule="auto"/>
        <w:ind w:firstLine="450"/>
        <w:jc w:val="both"/>
        <w:rPr>
          <w:rFonts w:asciiTheme="majorBidi" w:hAnsiTheme="majorBidi" w:cstheme="majorBidi"/>
          <w:sz w:val="24"/>
          <w:szCs w:val="24"/>
        </w:rPr>
      </w:pPr>
      <w:r>
        <w:rPr>
          <w:rFonts w:asciiTheme="majorBidi" w:hAnsiTheme="majorBidi" w:cstheme="majorBidi"/>
          <w:sz w:val="24"/>
          <w:szCs w:val="24"/>
        </w:rPr>
        <w:t>The working premise of the empirical literature on Circuit Court</w:t>
      </w:r>
      <w:r w:rsidR="00025AA9">
        <w:rPr>
          <w:rFonts w:asciiTheme="majorBidi" w:hAnsiTheme="majorBidi" w:cstheme="majorBidi"/>
          <w:sz w:val="24"/>
          <w:szCs w:val="24"/>
        </w:rPr>
        <w:t>, as well as of my analysis,</w:t>
      </w:r>
      <w:r>
        <w:rPr>
          <w:rFonts w:asciiTheme="majorBidi" w:hAnsiTheme="majorBidi" w:cstheme="majorBidi"/>
          <w:sz w:val="24"/>
          <w:szCs w:val="24"/>
        </w:rPr>
        <w:t xml:space="preserve"> is that </w:t>
      </w:r>
      <w:r w:rsidR="00CD5AA5">
        <w:rPr>
          <w:rFonts w:asciiTheme="majorBidi" w:hAnsiTheme="majorBidi" w:cstheme="majorBidi"/>
          <w:sz w:val="24"/>
          <w:szCs w:val="24"/>
        </w:rPr>
        <w:t>judges are randomly assigned to panels, and cases are randomly assigned to panels.</w:t>
      </w:r>
      <w:r w:rsidR="00FF3BE0">
        <w:rPr>
          <w:rFonts w:asciiTheme="majorBidi" w:hAnsiTheme="majorBidi" w:cstheme="majorBidi"/>
          <w:sz w:val="24"/>
          <w:szCs w:val="24"/>
        </w:rPr>
        <w:t xml:space="preserve"> Examples of the many studies that are based on this working premise are </w:t>
      </w:r>
      <w:r w:rsidR="003E7A49" w:rsidRPr="00955F56">
        <w:rPr>
          <w:rFonts w:asciiTheme="majorBidi" w:hAnsiTheme="majorBidi" w:cstheme="majorBidi"/>
          <w:sz w:val="24"/>
          <w:szCs w:val="24"/>
        </w:rPr>
        <w:t>Tiller and Cross (1999)</w:t>
      </w:r>
      <w:r w:rsidR="003E7A49">
        <w:rPr>
          <w:rFonts w:asciiTheme="majorBidi" w:hAnsiTheme="majorBidi" w:cstheme="majorBidi"/>
          <w:sz w:val="24"/>
          <w:szCs w:val="24"/>
        </w:rPr>
        <w:t xml:space="preserve">, </w:t>
      </w:r>
      <w:r w:rsidR="003E7A49" w:rsidRPr="00955F56">
        <w:rPr>
          <w:rFonts w:asciiTheme="majorBidi" w:hAnsiTheme="majorBidi" w:cstheme="majorBidi"/>
          <w:sz w:val="24"/>
          <w:szCs w:val="24"/>
        </w:rPr>
        <w:t>Sunstein et al (2004, 2006), Sunstein and Miles (2009),</w:t>
      </w:r>
      <w:r w:rsidR="003E7A49">
        <w:rPr>
          <w:rFonts w:asciiTheme="majorBidi" w:hAnsiTheme="majorBidi" w:cstheme="majorBidi"/>
          <w:sz w:val="24"/>
          <w:szCs w:val="24"/>
        </w:rPr>
        <w:t xml:space="preserve"> </w:t>
      </w:r>
      <w:r w:rsidR="00227C8F" w:rsidRPr="00955F56">
        <w:rPr>
          <w:rFonts w:asciiTheme="majorBidi" w:hAnsiTheme="majorBidi" w:cstheme="majorBidi"/>
          <w:sz w:val="24"/>
          <w:szCs w:val="24"/>
        </w:rPr>
        <w:t xml:space="preserve">Epstein et al (2011), </w:t>
      </w:r>
      <w:proofErr w:type="spellStart"/>
      <w:r w:rsidR="00227C8F" w:rsidRPr="00955F56">
        <w:rPr>
          <w:rFonts w:asciiTheme="majorBidi" w:hAnsiTheme="majorBidi" w:cstheme="majorBidi"/>
          <w:sz w:val="24"/>
          <w:szCs w:val="24"/>
        </w:rPr>
        <w:t>Kastellec</w:t>
      </w:r>
      <w:proofErr w:type="spellEnd"/>
      <w:r w:rsidR="00227C8F" w:rsidRPr="00955F56">
        <w:rPr>
          <w:rFonts w:asciiTheme="majorBidi" w:hAnsiTheme="majorBidi" w:cstheme="majorBidi"/>
          <w:sz w:val="24"/>
          <w:szCs w:val="24"/>
        </w:rPr>
        <w:t xml:space="preserve"> (2011), </w:t>
      </w:r>
      <w:r w:rsidR="003E7A49">
        <w:rPr>
          <w:rFonts w:asciiTheme="majorBidi" w:hAnsiTheme="majorBidi" w:cstheme="majorBidi"/>
          <w:sz w:val="24"/>
          <w:szCs w:val="24"/>
        </w:rPr>
        <w:t xml:space="preserve">and </w:t>
      </w:r>
      <w:r w:rsidR="00FF3BE0" w:rsidRPr="00955F56">
        <w:rPr>
          <w:rFonts w:asciiTheme="majorBidi" w:hAnsiTheme="majorBidi" w:cstheme="majorBidi"/>
          <w:sz w:val="24"/>
          <w:szCs w:val="24"/>
        </w:rPr>
        <w:t>Chen and Sethi (2018)</w:t>
      </w:r>
      <w:r w:rsidR="003E7A49">
        <w:rPr>
          <w:rFonts w:asciiTheme="majorBidi" w:hAnsiTheme="majorBidi" w:cstheme="majorBidi"/>
          <w:sz w:val="24"/>
          <w:szCs w:val="24"/>
        </w:rPr>
        <w:t>.</w:t>
      </w:r>
      <w:r w:rsidR="00275E59">
        <w:rPr>
          <w:rFonts w:asciiTheme="majorBidi" w:hAnsiTheme="majorBidi" w:cstheme="majorBidi"/>
          <w:sz w:val="24"/>
          <w:szCs w:val="24"/>
        </w:rPr>
        <w:t xml:space="preserve"> J</w:t>
      </w:r>
      <w:r w:rsidR="00025AA9" w:rsidRPr="00955F56">
        <w:rPr>
          <w:rFonts w:asciiTheme="majorBidi" w:hAnsiTheme="majorBidi" w:cstheme="majorBidi"/>
          <w:sz w:val="24"/>
          <w:szCs w:val="24"/>
        </w:rPr>
        <w:t>udges</w:t>
      </w:r>
      <w:r w:rsidR="00275E59">
        <w:rPr>
          <w:rFonts w:asciiTheme="majorBidi" w:hAnsiTheme="majorBidi" w:cstheme="majorBidi"/>
          <w:sz w:val="24"/>
          <w:szCs w:val="24"/>
        </w:rPr>
        <w:t xml:space="preserve"> and practitioners also commonly view the assignment </w:t>
      </w:r>
      <w:r w:rsidR="009B4809">
        <w:rPr>
          <w:rFonts w:asciiTheme="majorBidi" w:hAnsiTheme="majorBidi" w:cstheme="majorBidi"/>
          <w:sz w:val="24"/>
          <w:szCs w:val="24"/>
        </w:rPr>
        <w:t xml:space="preserve">to </w:t>
      </w:r>
      <w:r w:rsidR="00275E59">
        <w:rPr>
          <w:rFonts w:asciiTheme="majorBidi" w:hAnsiTheme="majorBidi" w:cstheme="majorBidi"/>
          <w:sz w:val="24"/>
          <w:szCs w:val="24"/>
        </w:rPr>
        <w:t xml:space="preserve">cases and panel members as random. </w:t>
      </w:r>
    </w:p>
    <w:p w14:paraId="29C02092" w14:textId="6A80C900" w:rsidR="00227C8F" w:rsidRPr="00955F56" w:rsidRDefault="00AE12CA" w:rsidP="00A02F77">
      <w:pPr>
        <w:pStyle w:val="ListParagraph"/>
        <w:spacing w:after="120" w:line="360" w:lineRule="auto"/>
        <w:ind w:left="90" w:firstLine="360"/>
        <w:contextualSpacing w:val="0"/>
        <w:jc w:val="both"/>
        <w:rPr>
          <w:rFonts w:asciiTheme="majorBidi" w:hAnsiTheme="majorBidi" w:cstheme="majorBidi"/>
          <w:sz w:val="24"/>
          <w:szCs w:val="24"/>
        </w:rPr>
      </w:pPr>
      <w:r w:rsidRPr="00431D90">
        <w:rPr>
          <w:rFonts w:asciiTheme="majorBidi" w:hAnsiTheme="majorBidi" w:cstheme="majorBidi"/>
          <w:sz w:val="24"/>
          <w:szCs w:val="24"/>
        </w:rPr>
        <w:lastRenderedPageBreak/>
        <w:t xml:space="preserve">Some recent papers have sought to </w:t>
      </w:r>
      <w:r w:rsidR="001669B4" w:rsidRPr="00431D90">
        <w:rPr>
          <w:rFonts w:asciiTheme="majorBidi" w:hAnsiTheme="majorBidi" w:cstheme="majorBidi"/>
          <w:sz w:val="24"/>
          <w:szCs w:val="24"/>
        </w:rPr>
        <w:t xml:space="preserve">examine whether case and panel assignments are strictly random. </w:t>
      </w:r>
      <w:r w:rsidR="001669B4" w:rsidRPr="004F4103">
        <w:rPr>
          <w:rFonts w:asciiTheme="majorBidi" w:hAnsiTheme="majorBidi" w:cstheme="majorBidi"/>
          <w:sz w:val="24"/>
          <w:szCs w:val="24"/>
        </w:rPr>
        <w:t xml:space="preserve">Chilton and Levy (2015) suggest several legitimate technical, practical factors that </w:t>
      </w:r>
      <w:r w:rsidR="00B23993" w:rsidRPr="004F4103">
        <w:rPr>
          <w:rFonts w:asciiTheme="majorBidi" w:hAnsiTheme="majorBidi" w:cstheme="majorBidi"/>
          <w:sz w:val="24"/>
          <w:szCs w:val="24"/>
        </w:rPr>
        <w:t xml:space="preserve">could cause deviations from </w:t>
      </w:r>
      <w:r w:rsidR="001669B4" w:rsidRPr="004F4103">
        <w:rPr>
          <w:rFonts w:asciiTheme="majorBidi" w:hAnsiTheme="majorBidi" w:cstheme="majorBidi"/>
          <w:sz w:val="24"/>
          <w:szCs w:val="24"/>
        </w:rPr>
        <w:t>a strictly randomized process.</w:t>
      </w:r>
      <w:r w:rsidR="00F261FB" w:rsidRPr="004F4103">
        <w:rPr>
          <w:rStyle w:val="FootnoteReference"/>
          <w:rFonts w:asciiTheme="majorBidi" w:hAnsiTheme="majorBidi" w:cstheme="majorBidi"/>
          <w:sz w:val="24"/>
          <w:szCs w:val="24"/>
        </w:rPr>
        <w:footnoteReference w:id="3"/>
      </w:r>
      <w:r w:rsidR="00D90B14" w:rsidRPr="004F4103">
        <w:rPr>
          <w:rFonts w:asciiTheme="majorBidi" w:hAnsiTheme="majorBidi" w:cstheme="majorBidi"/>
          <w:sz w:val="24"/>
          <w:szCs w:val="24"/>
        </w:rPr>
        <w:t xml:space="preserve"> </w:t>
      </w:r>
      <w:r w:rsidR="00227C8F" w:rsidRPr="00431D90">
        <w:rPr>
          <w:rFonts w:asciiTheme="majorBidi" w:hAnsiTheme="majorBidi" w:cstheme="majorBidi"/>
          <w:sz w:val="24"/>
          <w:szCs w:val="24"/>
        </w:rPr>
        <w:t xml:space="preserve">Levy and Chilton (2015) and Levy (2017) </w:t>
      </w:r>
      <w:r w:rsidR="00D90B14" w:rsidRPr="00431D90">
        <w:rPr>
          <w:rFonts w:asciiTheme="majorBidi" w:hAnsiTheme="majorBidi" w:cstheme="majorBidi"/>
          <w:sz w:val="24"/>
          <w:szCs w:val="24"/>
        </w:rPr>
        <w:t xml:space="preserve">test random assignments empirically and find </w:t>
      </w:r>
      <w:r w:rsidR="00F23688" w:rsidRPr="00431D90">
        <w:rPr>
          <w:rFonts w:asciiTheme="majorBidi" w:hAnsiTheme="majorBidi" w:cstheme="majorBidi"/>
          <w:sz w:val="24"/>
          <w:szCs w:val="24"/>
        </w:rPr>
        <w:t>small deviations in four out of the twelve Circuits.</w:t>
      </w:r>
      <w:r w:rsidR="005045B5" w:rsidRPr="00431D90">
        <w:rPr>
          <w:rFonts w:asciiTheme="majorBidi" w:hAnsiTheme="majorBidi" w:cstheme="majorBidi"/>
          <w:sz w:val="24"/>
          <w:szCs w:val="24"/>
        </w:rPr>
        <w:t xml:space="preserve"> Note that for random assignment to be an adequate working premise, </w:t>
      </w:r>
      <w:r w:rsidR="0011590B" w:rsidRPr="00431D90">
        <w:rPr>
          <w:rFonts w:asciiTheme="majorBidi" w:hAnsiTheme="majorBidi" w:cstheme="majorBidi"/>
          <w:sz w:val="24"/>
          <w:szCs w:val="24"/>
        </w:rPr>
        <w:t xml:space="preserve">deviations from strict randomly are acceptable as long as they are due to technical factors that are generally independent </w:t>
      </w:r>
      <w:r w:rsidR="00871083" w:rsidRPr="00431D90">
        <w:rPr>
          <w:rFonts w:asciiTheme="majorBidi" w:hAnsiTheme="majorBidi" w:cstheme="majorBidi"/>
          <w:sz w:val="24"/>
          <w:szCs w:val="24"/>
        </w:rPr>
        <w:t xml:space="preserve">of the political affiliations of judges. </w:t>
      </w:r>
      <w:r w:rsidR="000364E2" w:rsidRPr="00431D90">
        <w:rPr>
          <w:rFonts w:asciiTheme="majorBidi" w:hAnsiTheme="majorBidi" w:cstheme="majorBidi"/>
          <w:sz w:val="24"/>
          <w:szCs w:val="24"/>
        </w:rPr>
        <w:t xml:space="preserve">Studying some of the assignment practices in the Ninth Circuit, </w:t>
      </w:r>
      <w:proofErr w:type="spellStart"/>
      <w:r w:rsidR="00227C8F" w:rsidRPr="00431D90">
        <w:rPr>
          <w:rFonts w:asciiTheme="majorBidi" w:hAnsiTheme="majorBidi" w:cstheme="majorBidi"/>
          <w:sz w:val="24"/>
          <w:szCs w:val="24"/>
        </w:rPr>
        <w:t>Fischman</w:t>
      </w:r>
      <w:proofErr w:type="spellEnd"/>
      <w:r w:rsidR="00227C8F" w:rsidRPr="00431D90">
        <w:rPr>
          <w:rFonts w:asciiTheme="majorBidi" w:hAnsiTheme="majorBidi" w:cstheme="majorBidi"/>
          <w:sz w:val="24"/>
          <w:szCs w:val="24"/>
        </w:rPr>
        <w:t xml:space="preserve"> (2011) concludes that “the characteristics of the cases assigned to a particular panel [are] independent of the [preferences] of the judges on that panel,” </w:t>
      </w:r>
      <w:r w:rsidR="00A876FE" w:rsidRPr="00431D90">
        <w:rPr>
          <w:rFonts w:asciiTheme="majorBidi" w:hAnsiTheme="majorBidi" w:cstheme="majorBidi"/>
          <w:sz w:val="24"/>
          <w:szCs w:val="24"/>
        </w:rPr>
        <w:t xml:space="preserve">and as long as this is the case random assignment is an adequate working premise to allow </w:t>
      </w:r>
      <w:r w:rsidR="00227C8F" w:rsidRPr="00431D90">
        <w:rPr>
          <w:rFonts w:asciiTheme="majorBidi" w:hAnsiTheme="majorBidi" w:cstheme="majorBidi"/>
          <w:sz w:val="24"/>
          <w:szCs w:val="24"/>
        </w:rPr>
        <w:t>causal inference</w:t>
      </w:r>
      <w:r w:rsidR="00A876FE" w:rsidRPr="00431D90">
        <w:rPr>
          <w:rFonts w:asciiTheme="majorBidi" w:hAnsiTheme="majorBidi" w:cstheme="majorBidi"/>
          <w:sz w:val="24"/>
          <w:szCs w:val="24"/>
        </w:rPr>
        <w:t xml:space="preserve">. </w:t>
      </w:r>
    </w:p>
    <w:p w14:paraId="061144AF" w14:textId="14B29C0B" w:rsidR="002211A3" w:rsidRPr="004F4103" w:rsidRDefault="002211A3" w:rsidP="00A02F77">
      <w:pPr>
        <w:pStyle w:val="ListParagraph"/>
        <w:numPr>
          <w:ilvl w:val="0"/>
          <w:numId w:val="34"/>
        </w:numPr>
        <w:spacing w:after="120" w:line="360" w:lineRule="auto"/>
        <w:contextualSpacing w:val="0"/>
        <w:jc w:val="center"/>
        <w:rPr>
          <w:rFonts w:asciiTheme="majorBidi" w:hAnsiTheme="majorBidi" w:cstheme="majorBidi"/>
          <w:i/>
          <w:iCs/>
          <w:sz w:val="24"/>
          <w:szCs w:val="24"/>
          <w:rtl/>
        </w:rPr>
      </w:pPr>
      <w:r w:rsidRPr="004F4103">
        <w:rPr>
          <w:rFonts w:asciiTheme="majorBidi" w:hAnsiTheme="majorBidi" w:cstheme="majorBidi"/>
          <w:i/>
          <w:iCs/>
          <w:sz w:val="24"/>
          <w:szCs w:val="24"/>
        </w:rPr>
        <w:t>Panel Members and Decisions</w:t>
      </w:r>
    </w:p>
    <w:p w14:paraId="3D02B057" w14:textId="77777777" w:rsidR="00DA2A84" w:rsidRDefault="00631987" w:rsidP="00A02F77">
      <w:pPr>
        <w:spacing w:after="120" w:line="360" w:lineRule="auto"/>
        <w:ind w:firstLine="360"/>
        <w:jc w:val="both"/>
        <w:rPr>
          <w:rFonts w:asciiTheme="majorBidi" w:hAnsiTheme="majorBidi" w:cstheme="majorBidi"/>
          <w:sz w:val="24"/>
          <w:szCs w:val="24"/>
        </w:rPr>
      </w:pPr>
      <w:r>
        <w:rPr>
          <w:rFonts w:asciiTheme="majorBidi" w:hAnsiTheme="majorBidi" w:cstheme="majorBidi"/>
          <w:sz w:val="24"/>
          <w:szCs w:val="24"/>
        </w:rPr>
        <w:t>All f</w:t>
      </w:r>
      <w:r w:rsidRPr="008A2792">
        <w:rPr>
          <w:rFonts w:asciiTheme="majorBidi" w:hAnsiTheme="majorBidi" w:cstheme="majorBidi"/>
          <w:sz w:val="24"/>
          <w:szCs w:val="24"/>
        </w:rPr>
        <w:t>ederal</w:t>
      </w:r>
      <w:r>
        <w:rPr>
          <w:rFonts w:asciiTheme="majorBidi" w:hAnsiTheme="majorBidi" w:cstheme="majorBidi"/>
          <w:sz w:val="24"/>
          <w:szCs w:val="24"/>
        </w:rPr>
        <w:t xml:space="preserve"> judges, including judges of the Circuit Courts,</w:t>
      </w:r>
      <w:r w:rsidRPr="008A2792">
        <w:rPr>
          <w:rFonts w:asciiTheme="majorBidi" w:hAnsiTheme="majorBidi" w:cstheme="majorBidi"/>
          <w:sz w:val="24"/>
          <w:szCs w:val="24"/>
        </w:rPr>
        <w:t xml:space="preserve"> are </w:t>
      </w:r>
      <w:r>
        <w:rPr>
          <w:rFonts w:asciiTheme="majorBidi" w:hAnsiTheme="majorBidi" w:cstheme="majorBidi"/>
          <w:sz w:val="24"/>
          <w:szCs w:val="24"/>
        </w:rPr>
        <w:t xml:space="preserve">nominated </w:t>
      </w:r>
      <w:r w:rsidRPr="008A2792">
        <w:rPr>
          <w:rFonts w:asciiTheme="majorBidi" w:hAnsiTheme="majorBidi" w:cstheme="majorBidi"/>
          <w:sz w:val="24"/>
          <w:szCs w:val="24"/>
        </w:rPr>
        <w:t>by the President and confirmed by the Senate</w:t>
      </w:r>
      <w:r>
        <w:rPr>
          <w:rFonts w:asciiTheme="majorBidi" w:hAnsiTheme="majorBidi" w:cstheme="majorBidi"/>
          <w:sz w:val="24"/>
          <w:szCs w:val="24"/>
        </w:rPr>
        <w:t xml:space="preserve">. </w:t>
      </w:r>
      <w:r w:rsidR="003A57A9">
        <w:rPr>
          <w:rFonts w:asciiTheme="majorBidi" w:hAnsiTheme="majorBidi" w:cstheme="majorBidi"/>
          <w:sz w:val="24"/>
          <w:szCs w:val="24"/>
        </w:rPr>
        <w:t xml:space="preserve">Federal judges are appointed for life. They serve until they resign or retire (or in rare cases removed by </w:t>
      </w:r>
      <w:r w:rsidRPr="008A2792">
        <w:rPr>
          <w:rFonts w:asciiTheme="majorBidi" w:hAnsiTheme="majorBidi" w:cstheme="majorBidi"/>
          <w:sz w:val="24"/>
          <w:szCs w:val="24"/>
        </w:rPr>
        <w:t xml:space="preserve">impeachment). </w:t>
      </w:r>
      <w:r w:rsidR="003A57A9">
        <w:rPr>
          <w:rFonts w:asciiTheme="majorBidi" w:hAnsiTheme="majorBidi" w:cstheme="majorBidi"/>
          <w:sz w:val="24"/>
          <w:szCs w:val="24"/>
        </w:rPr>
        <w:t xml:space="preserve">When judges retire, </w:t>
      </w:r>
      <w:r w:rsidR="001C2F8B">
        <w:rPr>
          <w:rFonts w:asciiTheme="majorBidi" w:hAnsiTheme="majorBidi" w:cstheme="majorBidi"/>
          <w:sz w:val="24"/>
          <w:szCs w:val="24"/>
        </w:rPr>
        <w:t xml:space="preserve">in many circumstances </w:t>
      </w:r>
      <w:r w:rsidR="003A57A9">
        <w:rPr>
          <w:rFonts w:asciiTheme="majorBidi" w:hAnsiTheme="majorBidi" w:cstheme="majorBidi"/>
          <w:sz w:val="24"/>
          <w:szCs w:val="24"/>
        </w:rPr>
        <w:t xml:space="preserve">they may and often choose to </w:t>
      </w:r>
      <w:r w:rsidR="005D2FA9">
        <w:rPr>
          <w:rFonts w:asciiTheme="majorBidi" w:hAnsiTheme="majorBidi" w:cstheme="majorBidi"/>
          <w:sz w:val="24"/>
          <w:szCs w:val="24"/>
        </w:rPr>
        <w:t xml:space="preserve">become Senior judges, </w:t>
      </w:r>
      <w:r w:rsidR="00D90EC5">
        <w:rPr>
          <w:rFonts w:asciiTheme="majorBidi" w:hAnsiTheme="majorBidi" w:cstheme="majorBidi"/>
          <w:sz w:val="24"/>
          <w:szCs w:val="24"/>
        </w:rPr>
        <w:t>continu</w:t>
      </w:r>
      <w:r w:rsidR="005D2FA9">
        <w:rPr>
          <w:rFonts w:asciiTheme="majorBidi" w:hAnsiTheme="majorBidi" w:cstheme="majorBidi"/>
          <w:sz w:val="24"/>
          <w:szCs w:val="24"/>
        </w:rPr>
        <w:t xml:space="preserve">ing part-time </w:t>
      </w:r>
      <w:r w:rsidR="00D90EC5">
        <w:rPr>
          <w:rFonts w:asciiTheme="majorBidi" w:hAnsiTheme="majorBidi" w:cstheme="majorBidi"/>
          <w:sz w:val="24"/>
          <w:szCs w:val="24"/>
        </w:rPr>
        <w:t>to participate in panels</w:t>
      </w:r>
      <w:r w:rsidR="005D2FA9">
        <w:rPr>
          <w:rFonts w:asciiTheme="majorBidi" w:hAnsiTheme="majorBidi" w:cstheme="majorBidi"/>
          <w:sz w:val="24"/>
          <w:szCs w:val="24"/>
        </w:rPr>
        <w:t>.</w:t>
      </w:r>
      <w:r w:rsidR="003D05F7">
        <w:rPr>
          <w:rStyle w:val="FootnoteReference"/>
          <w:rFonts w:asciiTheme="majorBidi" w:hAnsiTheme="majorBidi" w:cstheme="majorBidi"/>
          <w:sz w:val="24"/>
          <w:szCs w:val="24"/>
        </w:rPr>
        <w:footnoteReference w:id="4"/>
      </w:r>
    </w:p>
    <w:p w14:paraId="79ECCE1D" w14:textId="23CC9920" w:rsidR="005D2FA9" w:rsidRDefault="00DA2A84" w:rsidP="00A02F77">
      <w:pPr>
        <w:spacing w:after="120" w:line="360" w:lineRule="auto"/>
        <w:ind w:firstLine="360"/>
        <w:jc w:val="both"/>
        <w:rPr>
          <w:rFonts w:asciiTheme="majorBidi" w:hAnsiTheme="majorBidi" w:cstheme="majorBidi"/>
          <w:sz w:val="24"/>
          <w:szCs w:val="24"/>
        </w:rPr>
      </w:pPr>
      <w:r>
        <w:rPr>
          <w:rFonts w:asciiTheme="majorBidi" w:hAnsiTheme="majorBidi" w:cstheme="majorBidi"/>
          <w:sz w:val="24"/>
          <w:szCs w:val="24"/>
        </w:rPr>
        <w:t xml:space="preserve">Circuit Court panels are </w:t>
      </w:r>
      <w:r w:rsidR="00784451">
        <w:rPr>
          <w:rFonts w:asciiTheme="majorBidi" w:hAnsiTheme="majorBidi" w:cstheme="majorBidi"/>
          <w:sz w:val="24"/>
          <w:szCs w:val="24"/>
        </w:rPr>
        <w:t xml:space="preserve">in many cases </w:t>
      </w:r>
      <w:r>
        <w:rPr>
          <w:rFonts w:asciiTheme="majorBidi" w:hAnsiTheme="majorBidi" w:cstheme="majorBidi"/>
          <w:sz w:val="24"/>
          <w:szCs w:val="24"/>
        </w:rPr>
        <w:t xml:space="preserve">not fully filled with active Circuit </w:t>
      </w:r>
      <w:r w:rsidR="00784451">
        <w:rPr>
          <w:rFonts w:asciiTheme="majorBidi" w:hAnsiTheme="majorBidi" w:cstheme="majorBidi"/>
          <w:sz w:val="24"/>
          <w:szCs w:val="24"/>
        </w:rPr>
        <w:t xml:space="preserve">Court </w:t>
      </w:r>
      <w:r>
        <w:rPr>
          <w:rFonts w:asciiTheme="majorBidi" w:hAnsiTheme="majorBidi" w:cstheme="majorBidi"/>
          <w:sz w:val="24"/>
          <w:szCs w:val="24"/>
        </w:rPr>
        <w:t>judges</w:t>
      </w:r>
      <w:r w:rsidR="00784451">
        <w:rPr>
          <w:rFonts w:asciiTheme="majorBidi" w:hAnsiTheme="majorBidi" w:cstheme="majorBidi"/>
          <w:sz w:val="24"/>
          <w:szCs w:val="24"/>
        </w:rPr>
        <w:t xml:space="preserve">, but rather with such judges supplemented </w:t>
      </w:r>
      <w:r w:rsidR="00E82B16">
        <w:rPr>
          <w:rFonts w:asciiTheme="majorBidi" w:hAnsiTheme="majorBidi" w:cstheme="majorBidi"/>
          <w:sz w:val="24"/>
          <w:szCs w:val="24"/>
        </w:rPr>
        <w:t xml:space="preserve">by </w:t>
      </w:r>
      <w:r w:rsidR="00784451">
        <w:rPr>
          <w:rFonts w:asciiTheme="majorBidi" w:hAnsiTheme="majorBidi" w:cstheme="majorBidi"/>
          <w:sz w:val="24"/>
          <w:szCs w:val="24"/>
        </w:rPr>
        <w:t>Senior Circuit Court judges</w:t>
      </w:r>
      <w:r w:rsidR="00E82B16">
        <w:rPr>
          <w:rFonts w:asciiTheme="majorBidi" w:hAnsiTheme="majorBidi" w:cstheme="majorBidi"/>
          <w:sz w:val="24"/>
          <w:szCs w:val="24"/>
        </w:rPr>
        <w:t xml:space="preserve"> and in some cases also by </w:t>
      </w:r>
      <w:r w:rsidR="00460650">
        <w:rPr>
          <w:rFonts w:asciiTheme="majorBidi" w:hAnsiTheme="majorBidi" w:cstheme="majorBidi"/>
          <w:sz w:val="24"/>
          <w:szCs w:val="24"/>
        </w:rPr>
        <w:t>judges sitting by designation and coming from either the different District Courts or from other special trial courts</w:t>
      </w:r>
      <w:r w:rsidR="00C80AD9">
        <w:rPr>
          <w:rFonts w:asciiTheme="majorBidi" w:hAnsiTheme="majorBidi" w:cstheme="majorBidi"/>
          <w:sz w:val="24"/>
          <w:szCs w:val="24"/>
        </w:rPr>
        <w:t xml:space="preserve">, </w:t>
      </w:r>
      <w:r w:rsidR="00581C80">
        <w:rPr>
          <w:rFonts w:asciiTheme="majorBidi" w:hAnsiTheme="majorBidi" w:cstheme="majorBidi"/>
          <w:sz w:val="24"/>
          <w:szCs w:val="24"/>
        </w:rPr>
        <w:t xml:space="preserve">After the number of </w:t>
      </w:r>
      <w:r w:rsidR="008C341B">
        <w:rPr>
          <w:rFonts w:asciiTheme="majorBidi" w:hAnsiTheme="majorBidi" w:cstheme="majorBidi"/>
          <w:sz w:val="24"/>
          <w:szCs w:val="24"/>
        </w:rPr>
        <w:t xml:space="preserve">active </w:t>
      </w:r>
      <w:r w:rsidR="005D2FA9">
        <w:rPr>
          <w:rFonts w:asciiTheme="majorBidi" w:hAnsiTheme="majorBidi" w:cstheme="majorBidi"/>
          <w:sz w:val="24"/>
          <w:szCs w:val="24"/>
        </w:rPr>
        <w:t>C</w:t>
      </w:r>
      <w:r w:rsidR="008C341B">
        <w:rPr>
          <w:rFonts w:asciiTheme="majorBidi" w:hAnsiTheme="majorBidi" w:cstheme="majorBidi"/>
          <w:sz w:val="24"/>
          <w:szCs w:val="24"/>
        </w:rPr>
        <w:t xml:space="preserve">ircuit Court judges </w:t>
      </w:r>
      <w:r w:rsidR="005D2FA9">
        <w:rPr>
          <w:rFonts w:asciiTheme="majorBidi" w:hAnsiTheme="majorBidi" w:cstheme="majorBidi"/>
          <w:sz w:val="24"/>
          <w:szCs w:val="24"/>
        </w:rPr>
        <w:t xml:space="preserve">stopped </w:t>
      </w:r>
      <w:r w:rsidR="00581C80">
        <w:rPr>
          <w:rFonts w:asciiTheme="majorBidi" w:hAnsiTheme="majorBidi" w:cstheme="majorBidi"/>
          <w:sz w:val="24"/>
          <w:szCs w:val="24"/>
        </w:rPr>
        <w:t xml:space="preserve">expanding </w:t>
      </w:r>
      <w:r w:rsidR="005D2FA9">
        <w:rPr>
          <w:rFonts w:asciiTheme="majorBidi" w:hAnsiTheme="majorBidi" w:cstheme="majorBidi"/>
          <w:sz w:val="24"/>
          <w:szCs w:val="24"/>
        </w:rPr>
        <w:t xml:space="preserve">around 1990, </w:t>
      </w:r>
      <w:r w:rsidR="008C341B">
        <w:rPr>
          <w:rFonts w:asciiTheme="majorBidi" w:hAnsiTheme="majorBidi" w:cstheme="majorBidi"/>
          <w:sz w:val="24"/>
          <w:szCs w:val="24"/>
        </w:rPr>
        <w:t xml:space="preserve">Circuit Courts </w:t>
      </w:r>
      <w:r w:rsidR="003049D1">
        <w:rPr>
          <w:rFonts w:asciiTheme="majorBidi" w:hAnsiTheme="majorBidi" w:cstheme="majorBidi"/>
          <w:sz w:val="24"/>
          <w:szCs w:val="24"/>
        </w:rPr>
        <w:t xml:space="preserve">have sought to </w:t>
      </w:r>
      <w:r w:rsidR="00647DB0">
        <w:rPr>
          <w:rFonts w:asciiTheme="majorBidi" w:hAnsiTheme="majorBidi" w:cstheme="majorBidi"/>
          <w:sz w:val="24"/>
          <w:szCs w:val="24"/>
        </w:rPr>
        <w:t xml:space="preserve">encourage </w:t>
      </w:r>
      <w:r w:rsidR="007C6D07">
        <w:rPr>
          <w:rFonts w:asciiTheme="majorBidi" w:hAnsiTheme="majorBidi" w:cstheme="majorBidi"/>
          <w:sz w:val="24"/>
          <w:szCs w:val="24"/>
        </w:rPr>
        <w:t xml:space="preserve">older judges to </w:t>
      </w:r>
      <w:r w:rsidR="005D2FA9">
        <w:rPr>
          <w:rFonts w:asciiTheme="majorBidi" w:hAnsiTheme="majorBidi" w:cstheme="majorBidi"/>
          <w:sz w:val="24"/>
          <w:szCs w:val="24"/>
        </w:rPr>
        <w:t xml:space="preserve">take </w:t>
      </w:r>
      <w:r w:rsidR="00A70799">
        <w:rPr>
          <w:rFonts w:asciiTheme="majorBidi" w:hAnsiTheme="majorBidi" w:cstheme="majorBidi"/>
          <w:sz w:val="24"/>
          <w:szCs w:val="24"/>
        </w:rPr>
        <w:t xml:space="preserve">on </w:t>
      </w:r>
      <w:r w:rsidR="005D2FA9">
        <w:rPr>
          <w:rFonts w:asciiTheme="majorBidi" w:hAnsiTheme="majorBidi" w:cstheme="majorBidi"/>
          <w:sz w:val="24"/>
          <w:szCs w:val="24"/>
        </w:rPr>
        <w:t>a senior status</w:t>
      </w:r>
      <w:r w:rsidR="00581C80">
        <w:rPr>
          <w:rFonts w:asciiTheme="majorBidi" w:hAnsiTheme="majorBidi" w:cstheme="majorBidi"/>
          <w:sz w:val="24"/>
          <w:szCs w:val="24"/>
        </w:rPr>
        <w:t xml:space="preserve"> to increase the number of judges that can hear cases</w:t>
      </w:r>
      <w:r w:rsidR="005D2FA9">
        <w:rPr>
          <w:rFonts w:asciiTheme="majorBidi" w:hAnsiTheme="majorBidi" w:cstheme="majorBidi"/>
          <w:sz w:val="24"/>
          <w:szCs w:val="24"/>
        </w:rPr>
        <w:t xml:space="preserve">. Judges who </w:t>
      </w:r>
      <w:r w:rsidR="00A70799">
        <w:rPr>
          <w:rFonts w:asciiTheme="majorBidi" w:hAnsiTheme="majorBidi" w:cstheme="majorBidi"/>
          <w:sz w:val="24"/>
          <w:szCs w:val="24"/>
        </w:rPr>
        <w:t xml:space="preserve">take on a senior status have to </w:t>
      </w:r>
      <w:r w:rsidR="005D2FA9">
        <w:rPr>
          <w:rFonts w:asciiTheme="majorBidi" w:hAnsiTheme="majorBidi" w:cstheme="majorBidi"/>
          <w:sz w:val="24"/>
          <w:szCs w:val="24"/>
        </w:rPr>
        <w:t>work at least a quarter of an active judge’s workload</w:t>
      </w:r>
      <w:r w:rsidR="00A70799">
        <w:rPr>
          <w:rFonts w:asciiTheme="majorBidi" w:hAnsiTheme="majorBidi" w:cstheme="majorBidi"/>
          <w:sz w:val="24"/>
          <w:szCs w:val="24"/>
        </w:rPr>
        <w:t xml:space="preserve">, </w:t>
      </w:r>
      <w:r w:rsidR="005D2FA9">
        <w:rPr>
          <w:rFonts w:asciiTheme="majorBidi" w:hAnsiTheme="majorBidi" w:cstheme="majorBidi"/>
          <w:sz w:val="24"/>
          <w:szCs w:val="24"/>
        </w:rPr>
        <w:t>are eligible to maintain their chambers and staff, and are provided considerable financial benefits.</w:t>
      </w:r>
      <w:r w:rsidR="005D2FA9">
        <w:rPr>
          <w:rStyle w:val="FootnoteReference"/>
          <w:rFonts w:asciiTheme="majorBidi" w:hAnsiTheme="majorBidi" w:cstheme="majorBidi"/>
          <w:sz w:val="24"/>
          <w:szCs w:val="24"/>
        </w:rPr>
        <w:footnoteReference w:id="5"/>
      </w:r>
      <w:r w:rsidR="005D2FA9">
        <w:rPr>
          <w:rFonts w:asciiTheme="majorBidi" w:hAnsiTheme="majorBidi" w:cstheme="majorBidi"/>
          <w:sz w:val="24"/>
          <w:szCs w:val="24"/>
        </w:rPr>
        <w:t xml:space="preserve"> </w:t>
      </w:r>
    </w:p>
    <w:p w14:paraId="2065F6B1" w14:textId="491C1782" w:rsidR="009A3884" w:rsidRDefault="00660BE8" w:rsidP="00A02F77">
      <w:pPr>
        <w:spacing w:after="120" w:line="360" w:lineRule="auto"/>
        <w:ind w:firstLine="450"/>
        <w:jc w:val="both"/>
        <w:rPr>
          <w:rFonts w:asciiTheme="majorBidi" w:hAnsiTheme="majorBidi" w:cstheme="majorBidi"/>
          <w:sz w:val="24"/>
          <w:szCs w:val="24"/>
        </w:rPr>
      </w:pPr>
      <w:r>
        <w:rPr>
          <w:rFonts w:asciiTheme="majorBidi" w:hAnsiTheme="majorBidi" w:cstheme="majorBidi"/>
          <w:sz w:val="24"/>
          <w:szCs w:val="24"/>
        </w:rPr>
        <w:lastRenderedPageBreak/>
        <w:t xml:space="preserve">Parties in criminal appeals may not introduce new evidence, and </w:t>
      </w:r>
      <w:r w:rsidR="009A3884">
        <w:rPr>
          <w:rFonts w:asciiTheme="majorBidi" w:hAnsiTheme="majorBidi" w:cstheme="majorBidi"/>
          <w:sz w:val="24"/>
          <w:szCs w:val="24"/>
        </w:rPr>
        <w:t xml:space="preserve">Circuit court panels make their decisions solely based on </w:t>
      </w:r>
      <w:r w:rsidR="009A3884" w:rsidRPr="008A2792">
        <w:rPr>
          <w:rFonts w:asciiTheme="majorBidi" w:hAnsiTheme="majorBidi" w:cstheme="majorBidi"/>
          <w:sz w:val="24"/>
          <w:szCs w:val="24"/>
        </w:rPr>
        <w:t>the trial court’s record</w:t>
      </w:r>
      <w:r>
        <w:rPr>
          <w:rFonts w:asciiTheme="majorBidi" w:hAnsiTheme="majorBidi" w:cstheme="majorBidi"/>
          <w:sz w:val="24"/>
          <w:szCs w:val="24"/>
        </w:rPr>
        <w:t xml:space="preserve">. </w:t>
      </w:r>
      <w:r w:rsidR="009A3884" w:rsidRPr="008A2792">
        <w:rPr>
          <w:rFonts w:asciiTheme="majorBidi" w:hAnsiTheme="majorBidi" w:cstheme="majorBidi"/>
          <w:sz w:val="24"/>
          <w:szCs w:val="24"/>
        </w:rPr>
        <w:t>The burden of showing that a legal error affected the district court’s decision</w:t>
      </w:r>
      <w:r w:rsidR="009A3884">
        <w:rPr>
          <w:rFonts w:asciiTheme="majorBidi" w:hAnsiTheme="majorBidi" w:cstheme="majorBidi"/>
          <w:sz w:val="24"/>
          <w:szCs w:val="24"/>
        </w:rPr>
        <w:t xml:space="preserve"> is borne by the </w:t>
      </w:r>
      <w:r w:rsidR="009A3884" w:rsidRPr="008A2792">
        <w:rPr>
          <w:rFonts w:asciiTheme="majorBidi" w:hAnsiTheme="majorBidi" w:cstheme="majorBidi"/>
          <w:sz w:val="24"/>
          <w:szCs w:val="24"/>
        </w:rPr>
        <w:t>appellant.</w:t>
      </w:r>
      <w:r w:rsidR="009A3884">
        <w:rPr>
          <w:rFonts w:asciiTheme="majorBidi" w:hAnsiTheme="majorBidi" w:cstheme="majorBidi"/>
          <w:sz w:val="24"/>
          <w:szCs w:val="24"/>
        </w:rPr>
        <w:t xml:space="preserve"> </w:t>
      </w:r>
      <w:r w:rsidR="009A3884" w:rsidRPr="008A2792">
        <w:rPr>
          <w:rFonts w:asciiTheme="majorBidi" w:hAnsiTheme="majorBidi" w:cstheme="majorBidi"/>
          <w:sz w:val="24"/>
          <w:szCs w:val="24"/>
        </w:rPr>
        <w:t xml:space="preserve">The appellant </w:t>
      </w:r>
      <w:r w:rsidR="00C95F67">
        <w:rPr>
          <w:rFonts w:asciiTheme="majorBidi" w:hAnsiTheme="majorBidi" w:cstheme="majorBidi"/>
          <w:sz w:val="24"/>
          <w:szCs w:val="24"/>
        </w:rPr>
        <w:t xml:space="preserve">makes a legal argument in </w:t>
      </w:r>
      <w:r w:rsidR="009A3884" w:rsidRPr="008A2792">
        <w:rPr>
          <w:rFonts w:asciiTheme="majorBidi" w:hAnsiTheme="majorBidi" w:cstheme="majorBidi"/>
          <w:sz w:val="24"/>
          <w:szCs w:val="24"/>
        </w:rPr>
        <w:t xml:space="preserve">written brief and the </w:t>
      </w:r>
      <w:r w:rsidR="00C95F67">
        <w:rPr>
          <w:rFonts w:asciiTheme="majorBidi" w:hAnsiTheme="majorBidi" w:cstheme="majorBidi"/>
          <w:sz w:val="24"/>
          <w:szCs w:val="24"/>
        </w:rPr>
        <w:t xml:space="preserve">appellee </w:t>
      </w:r>
      <w:r w:rsidR="00B6644F">
        <w:rPr>
          <w:rFonts w:asciiTheme="majorBidi" w:hAnsiTheme="majorBidi" w:cstheme="majorBidi"/>
          <w:sz w:val="24"/>
          <w:szCs w:val="24"/>
        </w:rPr>
        <w:t xml:space="preserve">makes such an argument in </w:t>
      </w:r>
      <w:r w:rsidR="009A3884" w:rsidRPr="008A2792">
        <w:rPr>
          <w:rFonts w:asciiTheme="majorBidi" w:hAnsiTheme="majorBidi" w:cstheme="majorBidi"/>
          <w:sz w:val="24"/>
          <w:szCs w:val="24"/>
        </w:rPr>
        <w:t xml:space="preserve">a reply brief. </w:t>
      </w:r>
      <w:r w:rsidR="00206EBA">
        <w:rPr>
          <w:rFonts w:asciiTheme="majorBidi" w:hAnsiTheme="majorBidi" w:cstheme="majorBidi"/>
          <w:sz w:val="24"/>
          <w:szCs w:val="24"/>
        </w:rPr>
        <w:t xml:space="preserve">A substantial majority of </w:t>
      </w:r>
      <w:r w:rsidR="009A3884" w:rsidRPr="008A2792">
        <w:rPr>
          <w:rFonts w:asciiTheme="majorBidi" w:hAnsiTheme="majorBidi" w:cstheme="majorBidi"/>
          <w:sz w:val="24"/>
          <w:szCs w:val="24"/>
        </w:rPr>
        <w:t xml:space="preserve">cases are decided solely on the basis of the </w:t>
      </w:r>
      <w:r w:rsidR="00B6644F">
        <w:rPr>
          <w:rFonts w:asciiTheme="majorBidi" w:hAnsiTheme="majorBidi" w:cstheme="majorBidi"/>
          <w:sz w:val="24"/>
          <w:szCs w:val="24"/>
        </w:rPr>
        <w:t xml:space="preserve">submitted </w:t>
      </w:r>
      <w:r w:rsidR="009A3884" w:rsidRPr="008A2792">
        <w:rPr>
          <w:rFonts w:asciiTheme="majorBidi" w:hAnsiTheme="majorBidi" w:cstheme="majorBidi"/>
          <w:sz w:val="24"/>
          <w:szCs w:val="24"/>
        </w:rPr>
        <w:t>written briefs</w:t>
      </w:r>
      <w:r w:rsidR="00206EBA">
        <w:rPr>
          <w:rFonts w:asciiTheme="majorBidi" w:hAnsiTheme="majorBidi" w:cstheme="majorBidi"/>
          <w:sz w:val="24"/>
          <w:szCs w:val="24"/>
        </w:rPr>
        <w:t xml:space="preserve"> and the remaining minority </w:t>
      </w:r>
      <w:r w:rsidR="009A3884" w:rsidRPr="008A2792">
        <w:rPr>
          <w:rFonts w:asciiTheme="majorBidi" w:hAnsiTheme="majorBidi" w:cstheme="majorBidi"/>
          <w:sz w:val="24"/>
          <w:szCs w:val="24"/>
        </w:rPr>
        <w:t xml:space="preserve">are decided following </w:t>
      </w:r>
      <w:r w:rsidR="00240129">
        <w:rPr>
          <w:rFonts w:asciiTheme="majorBidi" w:hAnsiTheme="majorBidi" w:cstheme="majorBidi"/>
          <w:sz w:val="24"/>
          <w:szCs w:val="24"/>
        </w:rPr>
        <w:t xml:space="preserve">an </w:t>
      </w:r>
      <w:r w:rsidR="009A3884" w:rsidRPr="008A2792">
        <w:rPr>
          <w:rFonts w:asciiTheme="majorBidi" w:hAnsiTheme="majorBidi" w:cstheme="majorBidi"/>
          <w:sz w:val="24"/>
          <w:szCs w:val="24"/>
        </w:rPr>
        <w:t>oral argument.</w:t>
      </w:r>
      <w:r w:rsidR="009A3884">
        <w:rPr>
          <w:rFonts w:asciiTheme="majorBidi" w:hAnsiTheme="majorBidi" w:cstheme="majorBidi"/>
          <w:sz w:val="24"/>
          <w:szCs w:val="24"/>
        </w:rPr>
        <w:t xml:space="preserve"> </w:t>
      </w:r>
      <w:r w:rsidR="002B0B43">
        <w:rPr>
          <w:rFonts w:asciiTheme="majorBidi" w:hAnsiTheme="majorBidi" w:cstheme="majorBidi"/>
          <w:sz w:val="24"/>
          <w:szCs w:val="24"/>
        </w:rPr>
        <w:t xml:space="preserve">The panel issues a written decision, which is in many cases </w:t>
      </w:r>
      <w:r w:rsidR="002B0B43" w:rsidRPr="008A2792">
        <w:rPr>
          <w:rFonts w:asciiTheme="majorBidi" w:hAnsiTheme="majorBidi" w:cstheme="majorBidi"/>
          <w:sz w:val="24"/>
          <w:szCs w:val="24"/>
        </w:rPr>
        <w:t xml:space="preserve">accompanied by an opinion explains </w:t>
      </w:r>
      <w:r w:rsidR="002B0B43">
        <w:rPr>
          <w:rFonts w:asciiTheme="majorBidi" w:hAnsiTheme="majorBidi" w:cstheme="majorBidi"/>
          <w:sz w:val="24"/>
          <w:szCs w:val="24"/>
        </w:rPr>
        <w:t>the reasons for the decision.</w:t>
      </w:r>
    </w:p>
    <w:p w14:paraId="7B1B246F" w14:textId="7BA61181" w:rsidR="00FA487D" w:rsidRPr="008A2792" w:rsidRDefault="00FA487D" w:rsidP="00A02F77">
      <w:pPr>
        <w:spacing w:after="120" w:line="360" w:lineRule="auto"/>
        <w:ind w:firstLine="360"/>
        <w:jc w:val="both"/>
        <w:rPr>
          <w:rFonts w:asciiTheme="majorBidi" w:hAnsiTheme="majorBidi" w:cstheme="majorBidi"/>
          <w:sz w:val="24"/>
          <w:szCs w:val="24"/>
        </w:rPr>
      </w:pPr>
      <w:r>
        <w:rPr>
          <w:rFonts w:asciiTheme="majorBidi" w:hAnsiTheme="majorBidi" w:cstheme="majorBidi"/>
          <w:sz w:val="24"/>
          <w:szCs w:val="24"/>
        </w:rPr>
        <w:t xml:space="preserve">The panel’s decision is determined by a majority rule. </w:t>
      </w:r>
      <w:r w:rsidR="002B0B43">
        <w:rPr>
          <w:rFonts w:asciiTheme="majorBidi" w:hAnsiTheme="majorBidi" w:cstheme="majorBidi"/>
          <w:sz w:val="24"/>
          <w:szCs w:val="24"/>
        </w:rPr>
        <w:t>Most cases are 3-0, with</w:t>
      </w:r>
      <w:r w:rsidR="00A10F22">
        <w:rPr>
          <w:rFonts w:asciiTheme="majorBidi" w:hAnsiTheme="majorBidi" w:cstheme="majorBidi"/>
          <w:sz w:val="24"/>
          <w:szCs w:val="24"/>
        </w:rPr>
        <w:t xml:space="preserve"> all three members of the panel join the decision of the panel. </w:t>
      </w:r>
      <w:r w:rsidR="002B0B43">
        <w:rPr>
          <w:rFonts w:asciiTheme="majorBidi" w:hAnsiTheme="majorBidi" w:cstheme="majorBidi"/>
          <w:sz w:val="24"/>
          <w:szCs w:val="24"/>
        </w:rPr>
        <w:t xml:space="preserve">A minority of cases is 2-1, with one </w:t>
      </w:r>
      <w:r w:rsidR="00BF09D8">
        <w:rPr>
          <w:rFonts w:asciiTheme="majorBidi" w:hAnsiTheme="majorBidi" w:cstheme="majorBidi"/>
          <w:sz w:val="24"/>
          <w:szCs w:val="24"/>
        </w:rPr>
        <w:t>member of the panel oppose</w:t>
      </w:r>
      <w:r w:rsidR="009A3884">
        <w:rPr>
          <w:rFonts w:asciiTheme="majorBidi" w:hAnsiTheme="majorBidi" w:cstheme="majorBidi"/>
          <w:sz w:val="24"/>
          <w:szCs w:val="24"/>
        </w:rPr>
        <w:t>s</w:t>
      </w:r>
      <w:r w:rsidR="00BF09D8">
        <w:rPr>
          <w:rFonts w:asciiTheme="majorBidi" w:hAnsiTheme="majorBidi" w:cstheme="majorBidi"/>
          <w:sz w:val="24"/>
          <w:szCs w:val="24"/>
        </w:rPr>
        <w:t xml:space="preserve"> the </w:t>
      </w:r>
      <w:r w:rsidR="002B0B43">
        <w:rPr>
          <w:rFonts w:asciiTheme="majorBidi" w:hAnsiTheme="majorBidi" w:cstheme="majorBidi"/>
          <w:sz w:val="24"/>
          <w:szCs w:val="24"/>
        </w:rPr>
        <w:t xml:space="preserve">panel’s </w:t>
      </w:r>
      <w:r w:rsidR="00BF09D8">
        <w:rPr>
          <w:rFonts w:asciiTheme="majorBidi" w:hAnsiTheme="majorBidi" w:cstheme="majorBidi"/>
          <w:sz w:val="24"/>
          <w:szCs w:val="24"/>
        </w:rPr>
        <w:t xml:space="preserve">decision and </w:t>
      </w:r>
      <w:r w:rsidR="006348AC">
        <w:rPr>
          <w:rFonts w:asciiTheme="majorBidi" w:hAnsiTheme="majorBidi" w:cstheme="majorBidi"/>
          <w:sz w:val="24"/>
          <w:szCs w:val="24"/>
        </w:rPr>
        <w:t xml:space="preserve">such a judge may </w:t>
      </w:r>
      <w:r w:rsidR="00BF09D8">
        <w:rPr>
          <w:rFonts w:asciiTheme="majorBidi" w:hAnsiTheme="majorBidi" w:cstheme="majorBidi"/>
          <w:sz w:val="24"/>
          <w:szCs w:val="24"/>
        </w:rPr>
        <w:t>writ</w:t>
      </w:r>
      <w:r w:rsidR="006348AC">
        <w:rPr>
          <w:rFonts w:asciiTheme="majorBidi" w:hAnsiTheme="majorBidi" w:cstheme="majorBidi"/>
          <w:sz w:val="24"/>
          <w:szCs w:val="24"/>
        </w:rPr>
        <w:t xml:space="preserve">e </w:t>
      </w:r>
      <w:r w:rsidR="00BF09D8">
        <w:rPr>
          <w:rFonts w:asciiTheme="majorBidi" w:hAnsiTheme="majorBidi" w:cstheme="majorBidi"/>
          <w:sz w:val="24"/>
          <w:szCs w:val="24"/>
        </w:rPr>
        <w:t xml:space="preserve">a dissenting opinion. </w:t>
      </w:r>
    </w:p>
    <w:p w14:paraId="21CB572B" w14:textId="58163D8E" w:rsidR="00B277FA" w:rsidRDefault="00D0111C" w:rsidP="00A02F77">
      <w:pPr>
        <w:spacing w:after="12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DF4EA1" w:rsidRPr="008A2792">
        <w:rPr>
          <w:rFonts w:asciiTheme="majorBidi" w:hAnsiTheme="majorBidi" w:cstheme="majorBidi"/>
          <w:sz w:val="24"/>
          <w:szCs w:val="24"/>
        </w:rPr>
        <w:t xml:space="preserve">Once a panel has ruled on an issue, the panel decides whether to “publish” or not </w:t>
      </w:r>
      <w:r w:rsidR="00206EBA">
        <w:rPr>
          <w:rFonts w:asciiTheme="majorBidi" w:hAnsiTheme="majorBidi" w:cstheme="majorBidi"/>
          <w:sz w:val="24"/>
          <w:szCs w:val="24"/>
        </w:rPr>
        <w:t>t</w:t>
      </w:r>
      <w:r w:rsidR="00DF4EA1" w:rsidRPr="008A2792">
        <w:rPr>
          <w:rFonts w:asciiTheme="majorBidi" w:hAnsiTheme="majorBidi" w:cstheme="majorBidi"/>
          <w:sz w:val="24"/>
          <w:szCs w:val="24"/>
        </w:rPr>
        <w:t xml:space="preserve">o “published” its opinion. </w:t>
      </w:r>
      <w:r>
        <w:rPr>
          <w:rFonts w:asciiTheme="majorBidi" w:hAnsiTheme="majorBidi" w:cstheme="majorBidi"/>
          <w:sz w:val="24"/>
          <w:szCs w:val="24"/>
        </w:rPr>
        <w:t xml:space="preserve">In early years almost of cases heard by the Federal Court of Appeal issued a published opinion. However, responding to a growing </w:t>
      </w:r>
      <w:r w:rsidRPr="00720D2C">
        <w:rPr>
          <w:rFonts w:asciiTheme="majorBidi" w:hAnsiTheme="majorBidi" w:cstheme="majorBidi"/>
          <w:sz w:val="24"/>
          <w:szCs w:val="24"/>
        </w:rPr>
        <w:t>case load</w:t>
      </w:r>
      <w:r w:rsidR="00B277FA">
        <w:rPr>
          <w:rFonts w:asciiTheme="majorBidi" w:hAnsiTheme="majorBidi" w:cstheme="majorBidi"/>
          <w:sz w:val="24"/>
          <w:szCs w:val="24"/>
        </w:rPr>
        <w:t>,</w:t>
      </w:r>
      <w:r>
        <w:rPr>
          <w:rFonts w:asciiTheme="majorBidi" w:hAnsiTheme="majorBidi" w:cstheme="majorBidi"/>
          <w:sz w:val="24"/>
          <w:szCs w:val="24"/>
        </w:rPr>
        <w:t xml:space="preserve"> i</w:t>
      </w:r>
      <w:r w:rsidRPr="00720D2C">
        <w:rPr>
          <w:rFonts w:asciiTheme="majorBidi" w:hAnsiTheme="majorBidi" w:cstheme="majorBidi"/>
          <w:sz w:val="24"/>
          <w:szCs w:val="24"/>
        </w:rPr>
        <w:t xml:space="preserve">n 1964 the Judicial Conference of the US decided that </w:t>
      </w:r>
      <w:r>
        <w:rPr>
          <w:rFonts w:asciiTheme="majorBidi" w:hAnsiTheme="majorBidi" w:cstheme="majorBidi"/>
          <w:sz w:val="24"/>
          <w:szCs w:val="24"/>
        </w:rPr>
        <w:t xml:space="preserve">Circuit Courts </w:t>
      </w:r>
      <w:r w:rsidRPr="00720D2C">
        <w:rPr>
          <w:rFonts w:asciiTheme="majorBidi" w:hAnsiTheme="majorBidi" w:cstheme="majorBidi"/>
          <w:sz w:val="24"/>
          <w:szCs w:val="24"/>
        </w:rPr>
        <w:t>should publish only opinions that are of general precedential value.</w:t>
      </w:r>
      <w:r w:rsidRPr="008A2792">
        <w:rPr>
          <w:rStyle w:val="FootnoteReference"/>
          <w:rFonts w:asciiTheme="majorBidi" w:hAnsiTheme="majorBidi" w:cstheme="majorBidi"/>
          <w:sz w:val="24"/>
          <w:szCs w:val="24"/>
        </w:rPr>
        <w:footnoteReference w:id="6"/>
      </w:r>
      <w:r w:rsidRPr="00720D2C">
        <w:rPr>
          <w:rFonts w:asciiTheme="majorBidi" w:hAnsiTheme="majorBidi" w:cstheme="majorBidi"/>
          <w:sz w:val="24"/>
          <w:szCs w:val="24"/>
        </w:rPr>
        <w:t xml:space="preserve"> In 1972, the Conference fortified its mandate and required each circuit to develop a publication plan.</w:t>
      </w:r>
      <w:r w:rsidRPr="008A2792">
        <w:rPr>
          <w:rStyle w:val="FootnoteReference"/>
          <w:rFonts w:asciiTheme="majorBidi" w:hAnsiTheme="majorBidi" w:cstheme="majorBidi"/>
          <w:sz w:val="24"/>
          <w:szCs w:val="24"/>
        </w:rPr>
        <w:footnoteReference w:id="7"/>
      </w:r>
      <w:r w:rsidRPr="00720D2C">
        <w:rPr>
          <w:rFonts w:asciiTheme="majorBidi" w:hAnsiTheme="majorBidi" w:cstheme="majorBidi"/>
          <w:sz w:val="24"/>
          <w:szCs w:val="24"/>
        </w:rPr>
        <w:t xml:space="preserve"> </w:t>
      </w:r>
    </w:p>
    <w:p w14:paraId="0376611A" w14:textId="328DB2EB" w:rsidR="00002849" w:rsidRPr="008A2792" w:rsidRDefault="006123E1" w:rsidP="00A02F77">
      <w:pPr>
        <w:pStyle w:val="ListParagraph"/>
        <w:spacing w:after="120" w:line="360" w:lineRule="auto"/>
        <w:ind w:left="0" w:firstLine="446"/>
        <w:contextualSpacing w:val="0"/>
        <w:jc w:val="both"/>
        <w:rPr>
          <w:rFonts w:asciiTheme="majorBidi" w:hAnsiTheme="majorBidi" w:cstheme="majorBidi"/>
          <w:sz w:val="24"/>
          <w:szCs w:val="24"/>
        </w:rPr>
      </w:pPr>
      <w:r>
        <w:rPr>
          <w:rFonts w:asciiTheme="majorBidi" w:hAnsiTheme="majorBidi" w:cstheme="majorBidi"/>
          <w:sz w:val="24"/>
          <w:szCs w:val="24"/>
        </w:rPr>
        <w:t xml:space="preserve">Only a minority of decisions in the four decades of my study were published, with a substantial majority unpublished. </w:t>
      </w:r>
      <w:r w:rsidR="00F90336">
        <w:rPr>
          <w:rFonts w:asciiTheme="majorBidi" w:hAnsiTheme="majorBidi" w:cstheme="majorBidi"/>
          <w:sz w:val="24"/>
          <w:szCs w:val="24"/>
        </w:rPr>
        <w:t xml:space="preserve">Many studies in the literature have </w:t>
      </w:r>
      <w:r>
        <w:rPr>
          <w:rFonts w:asciiTheme="majorBidi" w:hAnsiTheme="majorBidi" w:cstheme="majorBidi"/>
          <w:sz w:val="24"/>
          <w:szCs w:val="24"/>
        </w:rPr>
        <w:t xml:space="preserve">suggested that </w:t>
      </w:r>
      <w:r w:rsidR="000F33BB">
        <w:rPr>
          <w:rFonts w:asciiTheme="majorBidi" w:hAnsiTheme="majorBidi" w:cstheme="majorBidi"/>
          <w:sz w:val="24"/>
          <w:szCs w:val="24"/>
        </w:rPr>
        <w:t xml:space="preserve">cases with published opinions are likely to be unrepresentative sample of all cases (see, e.g., </w:t>
      </w:r>
      <w:r w:rsidR="001A1A77">
        <w:rPr>
          <w:rFonts w:asciiTheme="majorBidi" w:hAnsiTheme="majorBidi" w:cstheme="majorBidi"/>
          <w:sz w:val="24"/>
          <w:szCs w:val="24"/>
        </w:rPr>
        <w:t>Carlson et al. (2020)</w:t>
      </w:r>
      <w:r w:rsidR="000F33BB">
        <w:rPr>
          <w:rFonts w:asciiTheme="majorBidi" w:hAnsiTheme="majorBidi" w:cstheme="majorBidi"/>
          <w:sz w:val="24"/>
          <w:szCs w:val="24"/>
        </w:rPr>
        <w:t>).</w:t>
      </w:r>
      <w:r w:rsidR="00F90336">
        <w:rPr>
          <w:rStyle w:val="FootnoteReference"/>
          <w:rFonts w:asciiTheme="majorBidi" w:hAnsiTheme="majorBidi" w:cstheme="majorBidi"/>
          <w:sz w:val="24"/>
          <w:szCs w:val="24"/>
        </w:rPr>
        <w:footnoteReference w:id="8"/>
      </w:r>
      <w:r w:rsidR="000F33BB">
        <w:rPr>
          <w:rFonts w:asciiTheme="majorBidi" w:hAnsiTheme="majorBidi" w:cstheme="majorBidi"/>
          <w:sz w:val="24"/>
          <w:szCs w:val="24"/>
        </w:rPr>
        <w:t xml:space="preserve"> The </w:t>
      </w:r>
      <w:r w:rsidR="000A2F34">
        <w:rPr>
          <w:rFonts w:asciiTheme="majorBidi" w:hAnsiTheme="majorBidi" w:cstheme="majorBidi"/>
          <w:sz w:val="24"/>
          <w:szCs w:val="24"/>
        </w:rPr>
        <w:lastRenderedPageBreak/>
        <w:t xml:space="preserve">empirical literature </w:t>
      </w:r>
      <w:r w:rsidR="000F33BB">
        <w:rPr>
          <w:rFonts w:asciiTheme="majorBidi" w:hAnsiTheme="majorBidi" w:cstheme="majorBidi"/>
          <w:sz w:val="24"/>
          <w:szCs w:val="24"/>
        </w:rPr>
        <w:t xml:space="preserve">on the association between political affiliations and decisions on Circuit Courts has thus examined only cases with </w:t>
      </w:r>
      <w:r w:rsidR="00F1626F">
        <w:rPr>
          <w:rFonts w:asciiTheme="majorBidi" w:hAnsiTheme="majorBidi" w:cstheme="majorBidi"/>
          <w:sz w:val="24"/>
          <w:szCs w:val="24"/>
        </w:rPr>
        <w:t>published opinions (indeed, only a small subset of such cases). Thus</w:t>
      </w:r>
      <w:r w:rsidR="00CC4059">
        <w:rPr>
          <w:rFonts w:asciiTheme="majorBidi" w:hAnsiTheme="majorBidi" w:cstheme="majorBidi"/>
          <w:sz w:val="24"/>
          <w:szCs w:val="24"/>
        </w:rPr>
        <w:t>,</w:t>
      </w:r>
      <w:r w:rsidR="00F1626F">
        <w:rPr>
          <w:rFonts w:asciiTheme="majorBidi" w:hAnsiTheme="majorBidi" w:cstheme="majorBidi"/>
          <w:sz w:val="24"/>
          <w:szCs w:val="24"/>
        </w:rPr>
        <w:t xml:space="preserve"> a significant advantage of the dataset that I put together is that it includes </w:t>
      </w:r>
      <w:r w:rsidR="00B47A16">
        <w:rPr>
          <w:rFonts w:asciiTheme="majorBidi" w:hAnsiTheme="majorBidi" w:cstheme="majorBidi"/>
          <w:sz w:val="24"/>
          <w:szCs w:val="24"/>
        </w:rPr>
        <w:t>the full universe of Circuit Court decision in criminal appeals</w:t>
      </w:r>
      <w:r w:rsidR="00F1626F">
        <w:rPr>
          <w:rFonts w:asciiTheme="majorBidi" w:hAnsiTheme="majorBidi" w:cstheme="majorBidi"/>
          <w:sz w:val="24"/>
          <w:szCs w:val="24"/>
        </w:rPr>
        <w:t xml:space="preserve">, including all </w:t>
      </w:r>
      <w:r w:rsidR="00B47A16">
        <w:rPr>
          <w:rFonts w:asciiTheme="majorBidi" w:hAnsiTheme="majorBidi" w:cstheme="majorBidi"/>
          <w:sz w:val="24"/>
          <w:szCs w:val="24"/>
        </w:rPr>
        <w:t>unpublished</w:t>
      </w:r>
      <w:r w:rsidR="00F1626F">
        <w:rPr>
          <w:rFonts w:asciiTheme="majorBidi" w:hAnsiTheme="majorBidi" w:cstheme="majorBidi"/>
          <w:sz w:val="24"/>
          <w:szCs w:val="24"/>
        </w:rPr>
        <w:t xml:space="preserve"> cases</w:t>
      </w:r>
      <w:r w:rsidR="00B47A16">
        <w:rPr>
          <w:rFonts w:asciiTheme="majorBidi" w:hAnsiTheme="majorBidi" w:cstheme="majorBidi"/>
          <w:sz w:val="24"/>
          <w:szCs w:val="24"/>
        </w:rPr>
        <w:t xml:space="preserve">. </w:t>
      </w:r>
      <w:r w:rsidR="00F1626F">
        <w:rPr>
          <w:rFonts w:asciiTheme="majorBidi" w:hAnsiTheme="majorBidi" w:cstheme="majorBidi"/>
          <w:sz w:val="24"/>
          <w:szCs w:val="24"/>
        </w:rPr>
        <w:t>The use of this data</w:t>
      </w:r>
      <w:r w:rsidR="001A1A77">
        <w:rPr>
          <w:rFonts w:asciiTheme="majorBidi" w:hAnsiTheme="majorBidi" w:cstheme="majorBidi"/>
          <w:sz w:val="24"/>
          <w:szCs w:val="24"/>
        </w:rPr>
        <w:t>set</w:t>
      </w:r>
      <w:r w:rsidR="00F1626F">
        <w:rPr>
          <w:rFonts w:asciiTheme="majorBidi" w:hAnsiTheme="majorBidi" w:cstheme="majorBidi"/>
          <w:sz w:val="24"/>
          <w:szCs w:val="24"/>
        </w:rPr>
        <w:t xml:space="preserve"> thus enables </w:t>
      </w:r>
      <w:r w:rsidR="001A1A77">
        <w:rPr>
          <w:rFonts w:asciiTheme="majorBidi" w:hAnsiTheme="majorBidi" w:cstheme="majorBidi"/>
          <w:sz w:val="24"/>
          <w:szCs w:val="24"/>
        </w:rPr>
        <w:t xml:space="preserve">obtaining an improved picture of what happens in the universe of criminal appeals in the Circuit Courts. </w:t>
      </w:r>
    </w:p>
    <w:p w14:paraId="1BC2F79C" w14:textId="77777777" w:rsidR="00955F56" w:rsidRPr="007705FE" w:rsidRDefault="00955F56" w:rsidP="004F4103">
      <w:pPr>
        <w:pStyle w:val="ListParagraph"/>
        <w:spacing w:after="120" w:line="300" w:lineRule="auto"/>
        <w:ind w:left="0" w:firstLine="446"/>
        <w:contextualSpacing w:val="0"/>
        <w:jc w:val="both"/>
        <w:rPr>
          <w:rFonts w:asciiTheme="majorBidi" w:hAnsiTheme="majorBidi" w:cstheme="majorBidi"/>
          <w:sz w:val="24"/>
          <w:szCs w:val="24"/>
        </w:rPr>
      </w:pPr>
    </w:p>
    <w:p w14:paraId="7E58EDE1" w14:textId="6B00B04A" w:rsidR="004F6D71" w:rsidRPr="00A13C7B" w:rsidRDefault="004F6D71" w:rsidP="004F4103">
      <w:pPr>
        <w:spacing w:after="120" w:line="300" w:lineRule="auto"/>
        <w:jc w:val="center"/>
        <w:rPr>
          <w:rFonts w:asciiTheme="majorBidi" w:hAnsiTheme="majorBidi" w:cstheme="majorBidi"/>
          <w:sz w:val="28"/>
          <w:szCs w:val="28"/>
        </w:rPr>
      </w:pPr>
      <w:r w:rsidRPr="00A13C7B">
        <w:rPr>
          <w:rFonts w:asciiTheme="majorBidi" w:hAnsiTheme="majorBidi" w:cstheme="majorBidi"/>
          <w:sz w:val="28"/>
          <w:szCs w:val="28"/>
        </w:rPr>
        <w:t>III. Data Sources and Summary Statistics</w:t>
      </w:r>
    </w:p>
    <w:p w14:paraId="59574813" w14:textId="5C27F746" w:rsidR="00B3200A" w:rsidRPr="00A13C7B" w:rsidRDefault="00B3200A" w:rsidP="004F4103">
      <w:pPr>
        <w:pStyle w:val="ListParagraph"/>
        <w:numPr>
          <w:ilvl w:val="0"/>
          <w:numId w:val="35"/>
        </w:numPr>
        <w:spacing w:after="120" w:line="300" w:lineRule="auto"/>
        <w:jc w:val="center"/>
        <w:rPr>
          <w:rFonts w:asciiTheme="majorBidi" w:hAnsiTheme="majorBidi" w:cstheme="majorBidi"/>
          <w:i/>
          <w:iCs/>
          <w:sz w:val="24"/>
          <w:szCs w:val="24"/>
        </w:rPr>
      </w:pPr>
      <w:r w:rsidRPr="00A13C7B">
        <w:rPr>
          <w:rFonts w:asciiTheme="majorBidi" w:hAnsiTheme="majorBidi" w:cstheme="majorBidi"/>
          <w:i/>
          <w:iCs/>
          <w:sz w:val="24"/>
          <w:szCs w:val="24"/>
        </w:rPr>
        <w:t>Data</w:t>
      </w:r>
    </w:p>
    <w:p w14:paraId="1C4086B4" w14:textId="1AAF9D02" w:rsidR="00FF25B4" w:rsidRDefault="00FF25B4" w:rsidP="00A13C7B">
      <w:pPr>
        <w:spacing w:after="120" w:line="360" w:lineRule="auto"/>
        <w:ind w:firstLine="450"/>
        <w:jc w:val="both"/>
        <w:rPr>
          <w:rFonts w:asciiTheme="majorBidi" w:hAnsiTheme="majorBidi" w:cstheme="majorBidi"/>
          <w:sz w:val="24"/>
          <w:szCs w:val="24"/>
        </w:rPr>
      </w:pPr>
      <w:r w:rsidRPr="008A2792">
        <w:rPr>
          <w:rFonts w:asciiTheme="majorBidi" w:hAnsiTheme="majorBidi" w:cstheme="majorBidi"/>
          <w:sz w:val="24"/>
          <w:szCs w:val="24"/>
        </w:rPr>
        <w:t xml:space="preserve">Although there </w:t>
      </w:r>
      <w:r w:rsidR="00B3200A">
        <w:rPr>
          <w:rFonts w:asciiTheme="majorBidi" w:hAnsiTheme="majorBidi" w:cstheme="majorBidi"/>
          <w:sz w:val="24"/>
          <w:szCs w:val="24"/>
        </w:rPr>
        <w:t>is literature on Circuit Court decisions, this literature has largely focused on analyzing samples with a small subset of published cases</w:t>
      </w:r>
      <w:r w:rsidR="007907AB">
        <w:rPr>
          <w:rFonts w:asciiTheme="majorBidi" w:hAnsiTheme="majorBidi" w:cstheme="majorBidi"/>
          <w:sz w:val="24"/>
          <w:szCs w:val="24"/>
        </w:rPr>
        <w:t xml:space="preserve"> put together by hand coding.</w:t>
      </w:r>
      <w:r w:rsidR="00DA22B1">
        <w:rPr>
          <w:rStyle w:val="FootnoteReference"/>
          <w:rFonts w:asciiTheme="majorBidi" w:hAnsiTheme="majorBidi" w:cstheme="majorBidi"/>
          <w:sz w:val="24"/>
          <w:szCs w:val="24"/>
        </w:rPr>
        <w:footnoteReference w:id="9"/>
      </w:r>
      <w:r w:rsidR="007907AB">
        <w:rPr>
          <w:rFonts w:asciiTheme="majorBidi" w:hAnsiTheme="majorBidi" w:cstheme="majorBidi"/>
          <w:sz w:val="24"/>
          <w:szCs w:val="24"/>
        </w:rPr>
        <w:t xml:space="preserve"> </w:t>
      </w:r>
      <w:r w:rsidR="00E639DA">
        <w:rPr>
          <w:rFonts w:asciiTheme="majorBidi" w:hAnsiTheme="majorBidi" w:cstheme="majorBidi"/>
          <w:sz w:val="24"/>
          <w:szCs w:val="24"/>
        </w:rPr>
        <w:t xml:space="preserve">Some of the studies have used the </w:t>
      </w:r>
      <w:r w:rsidR="0053177A">
        <w:rPr>
          <w:rFonts w:asciiTheme="majorBidi" w:hAnsiTheme="majorBidi" w:cstheme="majorBidi"/>
          <w:sz w:val="24"/>
          <w:szCs w:val="24"/>
        </w:rPr>
        <w:t>dataset put together by Sunstein et al. (2006), which contains about 6000 published cases.</w:t>
      </w:r>
      <w:r w:rsidR="0053177A">
        <w:rPr>
          <w:rStyle w:val="FootnoteReference"/>
          <w:rFonts w:asciiTheme="majorBidi" w:hAnsiTheme="majorBidi" w:cstheme="majorBidi"/>
          <w:sz w:val="24"/>
          <w:szCs w:val="24"/>
        </w:rPr>
        <w:footnoteReference w:id="10"/>
      </w:r>
      <w:r w:rsidR="0053177A">
        <w:rPr>
          <w:rFonts w:asciiTheme="majorBidi" w:hAnsiTheme="majorBidi" w:cstheme="majorBidi"/>
          <w:sz w:val="24"/>
          <w:szCs w:val="24"/>
        </w:rPr>
        <w:t xml:space="preserve"> Some other studies in the literature have used the dataset put together by </w:t>
      </w:r>
      <w:r>
        <w:rPr>
          <w:rFonts w:asciiTheme="majorBidi" w:hAnsiTheme="majorBidi" w:cstheme="majorBidi"/>
          <w:sz w:val="24"/>
          <w:szCs w:val="24"/>
        </w:rPr>
        <w:t xml:space="preserve">the </w:t>
      </w:r>
      <w:proofErr w:type="spellStart"/>
      <w:r>
        <w:rPr>
          <w:rFonts w:asciiTheme="majorBidi" w:hAnsiTheme="majorBidi" w:cstheme="majorBidi"/>
          <w:sz w:val="24"/>
          <w:szCs w:val="24"/>
        </w:rPr>
        <w:t>Songer</w:t>
      </w:r>
      <w:proofErr w:type="spellEnd"/>
      <w:r>
        <w:rPr>
          <w:rFonts w:asciiTheme="majorBidi" w:hAnsiTheme="majorBidi" w:cstheme="majorBidi"/>
          <w:sz w:val="24"/>
          <w:szCs w:val="24"/>
        </w:rPr>
        <w:t xml:space="preserve"> Project,</w:t>
      </w:r>
      <w:r w:rsidR="0053177A">
        <w:rPr>
          <w:rFonts w:asciiTheme="majorBidi" w:hAnsiTheme="majorBidi" w:cstheme="majorBidi"/>
          <w:sz w:val="24"/>
          <w:szCs w:val="24"/>
        </w:rPr>
        <w:t xml:space="preserve"> which contains about </w:t>
      </w:r>
      <w:r w:rsidR="0055777D">
        <w:rPr>
          <w:rFonts w:asciiTheme="majorBidi" w:hAnsiTheme="majorBidi" w:cstheme="majorBidi"/>
          <w:sz w:val="24"/>
          <w:szCs w:val="24"/>
        </w:rPr>
        <w:t>22,000 published cases.</w:t>
      </w:r>
      <w:r w:rsidRPr="008A2792">
        <w:rPr>
          <w:rStyle w:val="FootnoteReference"/>
          <w:rFonts w:asciiTheme="majorBidi" w:hAnsiTheme="majorBidi" w:cstheme="majorBidi"/>
          <w:sz w:val="24"/>
          <w:szCs w:val="24"/>
        </w:rPr>
        <w:footnoteReference w:id="11"/>
      </w:r>
      <w:r w:rsidR="00DA22B1">
        <w:rPr>
          <w:rFonts w:asciiTheme="majorBidi" w:hAnsiTheme="majorBidi" w:cstheme="majorBidi"/>
          <w:sz w:val="24"/>
          <w:szCs w:val="24"/>
        </w:rPr>
        <w:t xml:space="preserve"> </w:t>
      </w:r>
      <w:r w:rsidR="0055777D">
        <w:rPr>
          <w:rFonts w:asciiTheme="majorBidi" w:hAnsiTheme="majorBidi" w:cstheme="majorBidi"/>
          <w:sz w:val="24"/>
          <w:szCs w:val="24"/>
        </w:rPr>
        <w:t xml:space="preserve"> Two recent exceptions are the studies by </w:t>
      </w:r>
      <w:r w:rsidRPr="008A2792">
        <w:rPr>
          <w:rFonts w:asciiTheme="majorBidi" w:hAnsiTheme="majorBidi" w:cstheme="majorBidi"/>
          <w:sz w:val="24"/>
          <w:szCs w:val="24"/>
        </w:rPr>
        <w:t>Carlson et al. (2020) and Ash et al. (2020)</w:t>
      </w:r>
      <w:r w:rsidR="0055777D">
        <w:rPr>
          <w:rFonts w:asciiTheme="majorBidi" w:hAnsiTheme="majorBidi" w:cstheme="majorBidi"/>
          <w:sz w:val="24"/>
          <w:szCs w:val="24"/>
        </w:rPr>
        <w:t>, which put together much large datasets but none of them focused on</w:t>
      </w:r>
      <w:r w:rsidR="007907AB">
        <w:rPr>
          <w:rFonts w:asciiTheme="majorBidi" w:hAnsiTheme="majorBidi" w:cstheme="majorBidi"/>
          <w:sz w:val="24"/>
          <w:szCs w:val="24"/>
        </w:rPr>
        <w:t xml:space="preserve"> the questions examined by this paper.</w:t>
      </w:r>
    </w:p>
    <w:p w14:paraId="7D7944A7" w14:textId="5E270EE5" w:rsidR="00DB6316" w:rsidRPr="008A2792" w:rsidRDefault="005D41BD" w:rsidP="00A13C7B">
      <w:pPr>
        <w:spacing w:after="120" w:line="360" w:lineRule="auto"/>
        <w:ind w:firstLine="450"/>
        <w:jc w:val="both"/>
        <w:rPr>
          <w:rFonts w:asciiTheme="majorBidi" w:hAnsiTheme="majorBidi" w:cstheme="majorBidi"/>
          <w:sz w:val="24"/>
          <w:szCs w:val="24"/>
        </w:rPr>
      </w:pPr>
      <w:r>
        <w:rPr>
          <w:rFonts w:asciiTheme="majorBidi" w:hAnsiTheme="majorBidi" w:cstheme="majorBidi"/>
          <w:sz w:val="24"/>
          <w:szCs w:val="24"/>
        </w:rPr>
        <w:t xml:space="preserve">I use in this paper a new large-scale dataset of Circuit Court decisions. </w:t>
      </w:r>
      <w:r w:rsidR="00DB6316">
        <w:rPr>
          <w:rFonts w:asciiTheme="majorBidi" w:hAnsiTheme="majorBidi" w:cstheme="majorBidi"/>
          <w:sz w:val="24"/>
          <w:szCs w:val="24"/>
        </w:rPr>
        <w:t xml:space="preserve">In putting together this dataset, I used three data sources. </w:t>
      </w:r>
      <w:r>
        <w:rPr>
          <w:rFonts w:asciiTheme="majorBidi" w:hAnsiTheme="majorBidi" w:cstheme="majorBidi"/>
          <w:sz w:val="24"/>
          <w:szCs w:val="24"/>
        </w:rPr>
        <w:t xml:space="preserve"> </w:t>
      </w:r>
    </w:p>
    <w:p w14:paraId="0FED1F39" w14:textId="44A404F4" w:rsidR="00BE00CB" w:rsidRDefault="00DB6316" w:rsidP="00A13C7B">
      <w:pPr>
        <w:spacing w:after="120" w:line="360" w:lineRule="auto"/>
        <w:ind w:firstLine="450"/>
        <w:jc w:val="both"/>
        <w:rPr>
          <w:rFonts w:asciiTheme="majorBidi" w:hAnsiTheme="majorBidi" w:cstheme="majorBidi"/>
          <w:sz w:val="24"/>
          <w:szCs w:val="24"/>
        </w:rPr>
      </w:pPr>
      <w:r>
        <w:rPr>
          <w:rFonts w:asciiTheme="majorBidi" w:hAnsiTheme="majorBidi" w:cstheme="majorBidi"/>
          <w:sz w:val="24"/>
          <w:szCs w:val="24"/>
        </w:rPr>
        <w:t xml:space="preserve">The first source is </w:t>
      </w:r>
      <w:r w:rsidR="00BE00CB" w:rsidRPr="008A2792">
        <w:rPr>
          <w:rFonts w:asciiTheme="majorBidi" w:hAnsiTheme="majorBidi" w:cstheme="majorBidi"/>
          <w:sz w:val="24"/>
          <w:szCs w:val="24"/>
        </w:rPr>
        <w:t>PACER (Public Access to Court Electronic Records)</w:t>
      </w:r>
      <w:r>
        <w:rPr>
          <w:rFonts w:asciiTheme="majorBidi" w:hAnsiTheme="majorBidi" w:cstheme="majorBidi"/>
          <w:sz w:val="24"/>
          <w:szCs w:val="24"/>
        </w:rPr>
        <w:t>. PACER is</w:t>
      </w:r>
      <w:r w:rsidR="00BE00CB" w:rsidRPr="008A2792">
        <w:rPr>
          <w:rFonts w:asciiTheme="majorBidi" w:hAnsiTheme="majorBidi" w:cstheme="majorBidi"/>
          <w:sz w:val="24"/>
          <w:szCs w:val="24"/>
        </w:rPr>
        <w:t xml:space="preserve"> an electronic public access service for US Federal Court documents, managed by the Administrative Office of the United States Courts. </w:t>
      </w:r>
      <w:r w:rsidR="004F7D96">
        <w:rPr>
          <w:rFonts w:asciiTheme="majorBidi" w:hAnsiTheme="majorBidi" w:cstheme="majorBidi"/>
          <w:sz w:val="24"/>
          <w:szCs w:val="24"/>
        </w:rPr>
        <w:t xml:space="preserve">This dataset </w:t>
      </w:r>
      <w:r w:rsidR="00BE00CB" w:rsidRPr="008A2792">
        <w:rPr>
          <w:rFonts w:asciiTheme="majorBidi" w:hAnsiTheme="majorBidi" w:cstheme="majorBidi"/>
          <w:sz w:val="24"/>
          <w:szCs w:val="24"/>
        </w:rPr>
        <w:t xml:space="preserve">includes detailed information on most of the cases </w:t>
      </w:r>
      <w:r w:rsidR="004F7D96">
        <w:rPr>
          <w:rFonts w:asciiTheme="majorBidi" w:hAnsiTheme="majorBidi" w:cstheme="majorBidi"/>
          <w:sz w:val="24"/>
          <w:szCs w:val="24"/>
        </w:rPr>
        <w:t xml:space="preserve">considered </w:t>
      </w:r>
      <w:r w:rsidR="00BE00CB" w:rsidRPr="008A2792">
        <w:rPr>
          <w:rFonts w:asciiTheme="majorBidi" w:hAnsiTheme="majorBidi" w:cstheme="majorBidi"/>
          <w:sz w:val="24"/>
          <w:szCs w:val="24"/>
        </w:rPr>
        <w:t xml:space="preserve">the different US </w:t>
      </w:r>
      <w:r w:rsidR="004F7D96">
        <w:rPr>
          <w:rFonts w:asciiTheme="majorBidi" w:hAnsiTheme="majorBidi" w:cstheme="majorBidi"/>
          <w:sz w:val="24"/>
          <w:szCs w:val="24"/>
        </w:rPr>
        <w:t xml:space="preserve">federal courts. For Circuit Court decisions, this dataset </w:t>
      </w:r>
      <w:r w:rsidR="00BA3A65">
        <w:rPr>
          <w:rFonts w:asciiTheme="majorBidi" w:hAnsiTheme="majorBidi" w:cstheme="majorBidi"/>
          <w:sz w:val="24"/>
          <w:szCs w:val="24"/>
        </w:rPr>
        <w:t xml:space="preserve">provides rich </w:t>
      </w:r>
      <w:r w:rsidR="00BA3A65">
        <w:rPr>
          <w:rFonts w:asciiTheme="majorBidi" w:hAnsiTheme="majorBidi" w:cstheme="majorBidi"/>
          <w:sz w:val="24"/>
          <w:szCs w:val="24"/>
        </w:rPr>
        <w:lastRenderedPageBreak/>
        <w:t xml:space="preserve">information including </w:t>
      </w:r>
      <w:r w:rsidR="00BE00CB" w:rsidRPr="008A2792">
        <w:rPr>
          <w:rFonts w:asciiTheme="majorBidi" w:hAnsiTheme="majorBidi" w:cstheme="majorBidi"/>
          <w:sz w:val="24"/>
          <w:szCs w:val="24"/>
        </w:rPr>
        <w:t xml:space="preserve">docket number, circuit, district court, dates, outcome, case type, </w:t>
      </w:r>
      <w:r w:rsidR="00BA3A65">
        <w:rPr>
          <w:rFonts w:asciiTheme="majorBidi" w:hAnsiTheme="majorBidi" w:cstheme="majorBidi"/>
          <w:sz w:val="24"/>
          <w:szCs w:val="24"/>
        </w:rPr>
        <w:t xml:space="preserve">whether </w:t>
      </w:r>
      <w:r w:rsidR="00BE00CB" w:rsidRPr="008A2792">
        <w:rPr>
          <w:rFonts w:asciiTheme="majorBidi" w:hAnsiTheme="majorBidi" w:cstheme="majorBidi"/>
          <w:sz w:val="24"/>
          <w:szCs w:val="24"/>
        </w:rPr>
        <w:t xml:space="preserve">there was a dissent or concurring opinion, </w:t>
      </w:r>
      <w:r w:rsidR="00BA3A65">
        <w:rPr>
          <w:rFonts w:asciiTheme="majorBidi" w:hAnsiTheme="majorBidi" w:cstheme="majorBidi"/>
          <w:sz w:val="24"/>
          <w:szCs w:val="24"/>
        </w:rPr>
        <w:t xml:space="preserve">whether there was an </w:t>
      </w:r>
      <w:proofErr w:type="spellStart"/>
      <w:r w:rsidR="00BE00CB" w:rsidRPr="004F4103">
        <w:rPr>
          <w:rFonts w:asciiTheme="majorBidi" w:hAnsiTheme="majorBidi" w:cstheme="majorBidi"/>
          <w:i/>
          <w:iCs/>
          <w:sz w:val="24"/>
          <w:szCs w:val="24"/>
        </w:rPr>
        <w:t>en</w:t>
      </w:r>
      <w:proofErr w:type="spellEnd"/>
      <w:r w:rsidR="00BA3A65" w:rsidRPr="004F4103">
        <w:rPr>
          <w:rFonts w:asciiTheme="majorBidi" w:hAnsiTheme="majorBidi" w:cstheme="majorBidi"/>
          <w:i/>
          <w:iCs/>
          <w:sz w:val="24"/>
          <w:szCs w:val="24"/>
        </w:rPr>
        <w:t xml:space="preserve"> </w:t>
      </w:r>
      <w:r w:rsidR="00BE00CB" w:rsidRPr="004F4103">
        <w:rPr>
          <w:rFonts w:asciiTheme="majorBidi" w:hAnsiTheme="majorBidi" w:cstheme="majorBidi"/>
          <w:i/>
          <w:iCs/>
          <w:sz w:val="24"/>
          <w:szCs w:val="24"/>
        </w:rPr>
        <w:t>banc</w:t>
      </w:r>
      <w:r w:rsidR="00BE00CB" w:rsidRPr="008A2792">
        <w:rPr>
          <w:rFonts w:asciiTheme="majorBidi" w:hAnsiTheme="majorBidi" w:cstheme="majorBidi"/>
          <w:sz w:val="24"/>
          <w:szCs w:val="24"/>
        </w:rPr>
        <w:t xml:space="preserve">, etc. </w:t>
      </w:r>
      <w:r w:rsidR="00BA3A65">
        <w:rPr>
          <w:rFonts w:asciiTheme="majorBidi" w:hAnsiTheme="majorBidi" w:cstheme="majorBidi"/>
          <w:sz w:val="24"/>
          <w:szCs w:val="24"/>
        </w:rPr>
        <w:t xml:space="preserve">However, although PACER provides </w:t>
      </w:r>
      <w:r w:rsidR="00C87F1E">
        <w:rPr>
          <w:rFonts w:asciiTheme="majorBidi" w:hAnsiTheme="majorBidi" w:cstheme="majorBidi"/>
          <w:sz w:val="24"/>
          <w:szCs w:val="24"/>
        </w:rPr>
        <w:t xml:space="preserve">such detailed information about cases, it does not </w:t>
      </w:r>
      <w:r w:rsidR="00BE00CB" w:rsidRPr="00A22FD8">
        <w:rPr>
          <w:rFonts w:asciiTheme="majorBidi" w:hAnsiTheme="majorBidi" w:cstheme="majorBidi"/>
          <w:sz w:val="24"/>
          <w:szCs w:val="24"/>
        </w:rPr>
        <w:t>provide information on</w:t>
      </w:r>
      <w:r w:rsidR="00A22FD8" w:rsidRPr="00A22FD8">
        <w:rPr>
          <w:rFonts w:asciiTheme="majorBidi" w:hAnsiTheme="majorBidi" w:cstheme="majorBidi"/>
          <w:sz w:val="24"/>
          <w:szCs w:val="24"/>
        </w:rPr>
        <w:t xml:space="preserve"> who were the three</w:t>
      </w:r>
      <w:r w:rsidR="00C87F1E">
        <w:rPr>
          <w:rFonts w:asciiTheme="majorBidi" w:hAnsiTheme="majorBidi" w:cstheme="majorBidi"/>
          <w:sz w:val="24"/>
          <w:szCs w:val="24"/>
        </w:rPr>
        <w:t xml:space="preserve"> </w:t>
      </w:r>
      <w:r w:rsidR="00A22FD8" w:rsidRPr="00A22FD8">
        <w:rPr>
          <w:rFonts w:asciiTheme="majorBidi" w:hAnsiTheme="majorBidi" w:cstheme="majorBidi"/>
          <w:sz w:val="24"/>
          <w:szCs w:val="24"/>
        </w:rPr>
        <w:t>judge</w:t>
      </w:r>
      <w:r w:rsidR="00C87F1E">
        <w:rPr>
          <w:rFonts w:asciiTheme="majorBidi" w:hAnsiTheme="majorBidi" w:cstheme="majorBidi"/>
          <w:sz w:val="24"/>
          <w:szCs w:val="24"/>
        </w:rPr>
        <w:t>s</w:t>
      </w:r>
      <w:r w:rsidR="00A22FD8" w:rsidRPr="00A22FD8">
        <w:rPr>
          <w:rFonts w:asciiTheme="majorBidi" w:hAnsiTheme="majorBidi" w:cstheme="majorBidi"/>
          <w:sz w:val="24"/>
          <w:szCs w:val="24"/>
        </w:rPr>
        <w:t xml:space="preserve"> </w:t>
      </w:r>
      <w:r w:rsidR="00C87F1E">
        <w:rPr>
          <w:rFonts w:asciiTheme="majorBidi" w:hAnsiTheme="majorBidi" w:cstheme="majorBidi"/>
          <w:sz w:val="24"/>
          <w:szCs w:val="24"/>
        </w:rPr>
        <w:t xml:space="preserve">that made up each judge. </w:t>
      </w:r>
    </w:p>
    <w:p w14:paraId="6D11DF09" w14:textId="73DD0435" w:rsidR="00CB31E3" w:rsidRPr="00A22FD8" w:rsidRDefault="00CB31E3" w:rsidP="00A13C7B">
      <w:pPr>
        <w:spacing w:after="120" w:line="360" w:lineRule="auto"/>
        <w:ind w:firstLine="450"/>
        <w:jc w:val="both"/>
        <w:rPr>
          <w:rFonts w:asciiTheme="majorBidi" w:hAnsiTheme="majorBidi" w:cstheme="majorBidi"/>
          <w:sz w:val="24"/>
          <w:szCs w:val="24"/>
        </w:rPr>
      </w:pPr>
      <w:r>
        <w:rPr>
          <w:rFonts w:asciiTheme="majorBidi" w:hAnsiTheme="majorBidi" w:cstheme="majorBidi"/>
          <w:sz w:val="24"/>
          <w:szCs w:val="24"/>
        </w:rPr>
        <w:t xml:space="preserve">Because this paper focuses on criminal appeals, I extracted from PACER only the cases that were coded in it </w:t>
      </w:r>
      <w:r w:rsidRPr="000D448C">
        <w:rPr>
          <w:rFonts w:asciiTheme="majorBidi" w:hAnsiTheme="majorBidi" w:cstheme="majorBidi"/>
          <w:sz w:val="24"/>
          <w:szCs w:val="24"/>
        </w:rPr>
        <w:t>as Criminal</w:t>
      </w:r>
      <w:r>
        <w:rPr>
          <w:rFonts w:asciiTheme="majorBidi" w:hAnsiTheme="majorBidi" w:cstheme="majorBidi"/>
          <w:sz w:val="24"/>
          <w:szCs w:val="24"/>
        </w:rPr>
        <w:t xml:space="preserve">. </w:t>
      </w:r>
    </w:p>
    <w:p w14:paraId="5A3E958B" w14:textId="0C02E18D" w:rsidR="003D1E83" w:rsidRPr="004F4103" w:rsidRDefault="00C87F1E" w:rsidP="00A13C7B">
      <w:pPr>
        <w:spacing w:after="120" w:line="360" w:lineRule="auto"/>
        <w:ind w:firstLine="360"/>
        <w:jc w:val="both"/>
        <w:rPr>
          <w:rFonts w:asciiTheme="majorBidi" w:hAnsiTheme="majorBidi" w:cstheme="majorBidi"/>
          <w:sz w:val="24"/>
          <w:szCs w:val="24"/>
        </w:rPr>
      </w:pPr>
      <w:r w:rsidRPr="004F4103">
        <w:rPr>
          <w:rFonts w:asciiTheme="majorBidi" w:hAnsiTheme="majorBidi" w:cstheme="majorBidi"/>
          <w:sz w:val="24"/>
          <w:szCs w:val="24"/>
        </w:rPr>
        <w:t xml:space="preserve">The second source </w:t>
      </w:r>
      <w:r w:rsidR="00CB31E3">
        <w:rPr>
          <w:rFonts w:asciiTheme="majorBidi" w:hAnsiTheme="majorBidi" w:cstheme="majorBidi"/>
          <w:sz w:val="24"/>
          <w:szCs w:val="24"/>
        </w:rPr>
        <w:t xml:space="preserve">of data that </w:t>
      </w:r>
      <w:r w:rsidRPr="004F4103">
        <w:rPr>
          <w:rFonts w:asciiTheme="majorBidi" w:hAnsiTheme="majorBidi" w:cstheme="majorBidi"/>
          <w:sz w:val="24"/>
          <w:szCs w:val="24"/>
        </w:rPr>
        <w:t xml:space="preserve">I used is </w:t>
      </w:r>
      <w:r w:rsidR="003D1E83" w:rsidRPr="004F4103">
        <w:rPr>
          <w:rFonts w:asciiTheme="majorBidi" w:hAnsiTheme="majorBidi" w:cstheme="majorBidi"/>
          <w:sz w:val="24"/>
          <w:szCs w:val="24"/>
        </w:rPr>
        <w:t>LexisNexis</w:t>
      </w:r>
      <w:r w:rsidRPr="004F4103">
        <w:rPr>
          <w:rFonts w:asciiTheme="majorBidi" w:hAnsiTheme="majorBidi" w:cstheme="majorBidi"/>
          <w:sz w:val="24"/>
          <w:szCs w:val="24"/>
        </w:rPr>
        <w:t xml:space="preserve">, which I used to obtain information about the </w:t>
      </w:r>
      <w:r w:rsidR="0055719E" w:rsidRPr="004F4103">
        <w:rPr>
          <w:rFonts w:asciiTheme="majorBidi" w:hAnsiTheme="majorBidi" w:cstheme="majorBidi"/>
          <w:sz w:val="24"/>
          <w:szCs w:val="24"/>
        </w:rPr>
        <w:t xml:space="preserve">judges that </w:t>
      </w:r>
      <w:r w:rsidR="0055719E">
        <w:rPr>
          <w:rFonts w:asciiTheme="majorBidi" w:hAnsiTheme="majorBidi" w:cstheme="majorBidi"/>
          <w:sz w:val="24"/>
          <w:szCs w:val="24"/>
        </w:rPr>
        <w:t xml:space="preserve">served on the panel in each Circuit Court case. </w:t>
      </w:r>
      <w:r w:rsidR="00A22FD8" w:rsidRPr="004F4103">
        <w:rPr>
          <w:rFonts w:asciiTheme="majorBidi" w:hAnsiTheme="majorBidi" w:cstheme="majorBidi"/>
          <w:sz w:val="24"/>
          <w:szCs w:val="24"/>
        </w:rPr>
        <w:t xml:space="preserve">LexisNexis is </w:t>
      </w:r>
      <w:r w:rsidR="007305A0">
        <w:rPr>
          <w:rFonts w:asciiTheme="majorBidi" w:hAnsiTheme="majorBidi" w:cstheme="majorBidi"/>
          <w:sz w:val="24"/>
          <w:szCs w:val="24"/>
        </w:rPr>
        <w:t xml:space="preserve">provided by the </w:t>
      </w:r>
      <w:r w:rsidR="00A22FD8" w:rsidRPr="004F4103">
        <w:rPr>
          <w:rFonts w:asciiTheme="majorBidi" w:hAnsiTheme="majorBidi" w:cstheme="majorBidi"/>
          <w:sz w:val="24"/>
          <w:szCs w:val="24"/>
        </w:rPr>
        <w:t>RELX corporation that sells data analytics products and databases</w:t>
      </w:r>
      <w:r w:rsidR="00180548" w:rsidRPr="004F4103">
        <w:rPr>
          <w:rFonts w:asciiTheme="majorBidi" w:hAnsiTheme="majorBidi" w:cstheme="majorBidi"/>
          <w:sz w:val="24"/>
          <w:szCs w:val="24"/>
        </w:rPr>
        <w:t xml:space="preserve">. As of 2006, the company had the world’s largest electronic database for </w:t>
      </w:r>
      <w:r w:rsidR="00A22FD8" w:rsidRPr="004F4103">
        <w:rPr>
          <w:rFonts w:asciiTheme="majorBidi" w:hAnsiTheme="majorBidi" w:cstheme="majorBidi"/>
          <w:sz w:val="24"/>
          <w:szCs w:val="24"/>
        </w:rPr>
        <w:t xml:space="preserve">legal </w:t>
      </w:r>
      <w:r w:rsidR="00180548" w:rsidRPr="004F4103">
        <w:rPr>
          <w:rFonts w:asciiTheme="majorBidi" w:hAnsiTheme="majorBidi" w:cstheme="majorBidi"/>
          <w:sz w:val="24"/>
          <w:szCs w:val="24"/>
        </w:rPr>
        <w:t>and public-records-related information.</w:t>
      </w:r>
      <w:r w:rsidR="007305A0">
        <w:rPr>
          <w:rFonts w:asciiTheme="majorBidi" w:hAnsiTheme="majorBidi" w:cstheme="majorBidi"/>
          <w:sz w:val="24"/>
          <w:szCs w:val="24"/>
        </w:rPr>
        <w:t xml:space="preserve"> I obtained from </w:t>
      </w:r>
      <w:r w:rsidR="00A22FD8" w:rsidRPr="004F4103">
        <w:rPr>
          <w:rFonts w:asciiTheme="majorBidi" w:hAnsiTheme="majorBidi" w:cstheme="majorBidi"/>
          <w:sz w:val="24"/>
          <w:szCs w:val="24"/>
        </w:rPr>
        <w:t xml:space="preserve">LexisNexis all </w:t>
      </w:r>
      <w:r w:rsidR="007305A0">
        <w:rPr>
          <w:rFonts w:asciiTheme="majorBidi" w:hAnsiTheme="majorBidi" w:cstheme="majorBidi"/>
          <w:sz w:val="24"/>
          <w:szCs w:val="24"/>
        </w:rPr>
        <w:t xml:space="preserve">Circuit Court cases that were considered during </w:t>
      </w:r>
      <w:r w:rsidR="00180548" w:rsidRPr="004F4103">
        <w:rPr>
          <w:rFonts w:asciiTheme="majorBidi" w:hAnsiTheme="majorBidi" w:cstheme="majorBidi"/>
          <w:sz w:val="24"/>
          <w:szCs w:val="24"/>
        </w:rPr>
        <w:t>the past four decades</w:t>
      </w:r>
      <w:r w:rsidR="007305A0">
        <w:rPr>
          <w:rFonts w:asciiTheme="majorBidi" w:hAnsiTheme="majorBidi" w:cstheme="majorBidi"/>
          <w:sz w:val="24"/>
          <w:szCs w:val="24"/>
        </w:rPr>
        <w:t xml:space="preserve">. </w:t>
      </w:r>
    </w:p>
    <w:p w14:paraId="3DACB891" w14:textId="1C8E2C43" w:rsidR="00116347" w:rsidRDefault="00CE7FD7" w:rsidP="00A13C7B">
      <w:pPr>
        <w:spacing w:after="120" w:line="360" w:lineRule="auto"/>
        <w:ind w:firstLine="360"/>
        <w:jc w:val="both"/>
        <w:rPr>
          <w:rFonts w:asciiTheme="majorBidi" w:hAnsiTheme="majorBidi" w:cstheme="majorBidi"/>
          <w:sz w:val="24"/>
          <w:szCs w:val="24"/>
        </w:rPr>
      </w:pPr>
      <w:r>
        <w:rPr>
          <w:rFonts w:asciiTheme="majorBidi" w:hAnsiTheme="majorBidi" w:cstheme="majorBidi"/>
          <w:sz w:val="24"/>
          <w:szCs w:val="24"/>
        </w:rPr>
        <w:t xml:space="preserve">The third source was data from the </w:t>
      </w:r>
      <w:r w:rsidR="003D1E83" w:rsidRPr="004F4103">
        <w:rPr>
          <w:rFonts w:asciiTheme="majorBidi" w:hAnsiTheme="majorBidi" w:cstheme="majorBidi"/>
          <w:sz w:val="24"/>
          <w:szCs w:val="24"/>
        </w:rPr>
        <w:t>FJC (Federal Judicial Center)</w:t>
      </w:r>
      <w:r>
        <w:rPr>
          <w:rFonts w:asciiTheme="majorBidi" w:hAnsiTheme="majorBidi" w:cstheme="majorBidi"/>
          <w:sz w:val="24"/>
          <w:szCs w:val="24"/>
        </w:rPr>
        <w:t xml:space="preserve">. Although </w:t>
      </w:r>
      <w:r w:rsidRPr="000D448C">
        <w:rPr>
          <w:rFonts w:asciiTheme="majorBidi" w:hAnsiTheme="majorBidi" w:cstheme="majorBidi"/>
          <w:sz w:val="24"/>
          <w:szCs w:val="24"/>
        </w:rPr>
        <w:t>LexisNexis</w:t>
      </w:r>
      <w:r w:rsidRPr="00CE7FD7">
        <w:rPr>
          <w:rFonts w:asciiTheme="majorBidi" w:hAnsiTheme="majorBidi" w:cstheme="majorBidi"/>
          <w:sz w:val="24"/>
          <w:szCs w:val="24"/>
        </w:rPr>
        <w:t xml:space="preserve"> </w:t>
      </w:r>
      <w:r>
        <w:rPr>
          <w:rFonts w:asciiTheme="majorBidi" w:hAnsiTheme="majorBidi" w:cstheme="majorBidi"/>
          <w:sz w:val="24"/>
          <w:szCs w:val="24"/>
        </w:rPr>
        <w:t>provided me with information about the names of the members of each panel, I used FJC data to obtain information about the characteristics of these judges. T</w:t>
      </w:r>
      <w:r w:rsidR="003D1E83" w:rsidRPr="004F4103">
        <w:rPr>
          <w:rFonts w:asciiTheme="majorBidi" w:hAnsiTheme="majorBidi" w:cstheme="majorBidi"/>
          <w:sz w:val="24"/>
          <w:szCs w:val="24"/>
        </w:rPr>
        <w:t xml:space="preserve">he FJC </w:t>
      </w:r>
      <w:r w:rsidR="00116347" w:rsidRPr="004F4103">
        <w:rPr>
          <w:rFonts w:asciiTheme="majorBidi" w:hAnsiTheme="majorBidi" w:cstheme="majorBidi"/>
          <w:sz w:val="24"/>
          <w:szCs w:val="24"/>
        </w:rPr>
        <w:t xml:space="preserve">provides </w:t>
      </w:r>
      <w:r>
        <w:rPr>
          <w:rFonts w:asciiTheme="majorBidi" w:hAnsiTheme="majorBidi" w:cstheme="majorBidi"/>
          <w:sz w:val="24"/>
          <w:szCs w:val="24"/>
        </w:rPr>
        <w:t xml:space="preserve">significant </w:t>
      </w:r>
      <w:r w:rsidR="003D1E83" w:rsidRPr="004F4103">
        <w:rPr>
          <w:rFonts w:asciiTheme="majorBidi" w:hAnsiTheme="majorBidi" w:cstheme="majorBidi"/>
          <w:sz w:val="24"/>
          <w:szCs w:val="24"/>
        </w:rPr>
        <w:t xml:space="preserve">information </w:t>
      </w:r>
      <w:r w:rsidR="002D0AF4">
        <w:rPr>
          <w:rFonts w:asciiTheme="majorBidi" w:hAnsiTheme="majorBidi" w:cstheme="majorBidi"/>
          <w:sz w:val="24"/>
          <w:szCs w:val="24"/>
        </w:rPr>
        <w:t xml:space="preserve">on </w:t>
      </w:r>
      <w:r>
        <w:rPr>
          <w:rFonts w:asciiTheme="majorBidi" w:hAnsiTheme="majorBidi" w:cstheme="majorBidi"/>
          <w:sz w:val="24"/>
          <w:szCs w:val="24"/>
        </w:rPr>
        <w:t xml:space="preserve">judge </w:t>
      </w:r>
      <w:r w:rsidR="00A65C31">
        <w:rPr>
          <w:rFonts w:asciiTheme="majorBidi" w:hAnsiTheme="majorBidi" w:cstheme="majorBidi"/>
          <w:sz w:val="24"/>
          <w:szCs w:val="24"/>
        </w:rPr>
        <w:t>characteristics, including i</w:t>
      </w:r>
      <w:r w:rsidR="003D1E83" w:rsidRPr="004F4103">
        <w:rPr>
          <w:rFonts w:asciiTheme="majorBidi" w:hAnsiTheme="majorBidi" w:cstheme="majorBidi"/>
          <w:sz w:val="24"/>
          <w:szCs w:val="24"/>
        </w:rPr>
        <w:t xml:space="preserve">nformation </w:t>
      </w:r>
      <w:r w:rsidR="00A65C31">
        <w:rPr>
          <w:rFonts w:asciiTheme="majorBidi" w:hAnsiTheme="majorBidi" w:cstheme="majorBidi"/>
          <w:sz w:val="24"/>
          <w:szCs w:val="24"/>
        </w:rPr>
        <w:t xml:space="preserve">about </w:t>
      </w:r>
      <w:r w:rsidR="003D1E83" w:rsidRPr="004F4103">
        <w:rPr>
          <w:rFonts w:asciiTheme="majorBidi" w:hAnsiTheme="majorBidi" w:cstheme="majorBidi"/>
          <w:sz w:val="24"/>
          <w:szCs w:val="24"/>
        </w:rPr>
        <w:t xml:space="preserve">gender, </w:t>
      </w:r>
      <w:r w:rsidR="00116347" w:rsidRPr="004F4103">
        <w:rPr>
          <w:rFonts w:asciiTheme="majorBidi" w:hAnsiTheme="majorBidi" w:cstheme="majorBidi"/>
          <w:sz w:val="24"/>
          <w:szCs w:val="24"/>
        </w:rPr>
        <w:t xml:space="preserve">race, </w:t>
      </w:r>
      <w:r w:rsidR="003D1E83" w:rsidRPr="004F4103">
        <w:rPr>
          <w:rFonts w:asciiTheme="majorBidi" w:hAnsiTheme="majorBidi" w:cstheme="majorBidi"/>
          <w:sz w:val="24"/>
          <w:szCs w:val="24"/>
        </w:rPr>
        <w:t xml:space="preserve">age, tenure, </w:t>
      </w:r>
      <w:r w:rsidR="00A65C31">
        <w:rPr>
          <w:rFonts w:asciiTheme="majorBidi" w:hAnsiTheme="majorBidi" w:cstheme="majorBidi"/>
          <w:sz w:val="24"/>
          <w:szCs w:val="24"/>
        </w:rPr>
        <w:t xml:space="preserve">President who nominated the judge, and </w:t>
      </w:r>
      <w:r w:rsidR="00116347" w:rsidRPr="004F4103">
        <w:rPr>
          <w:rFonts w:asciiTheme="majorBidi" w:hAnsiTheme="majorBidi" w:cstheme="majorBidi"/>
          <w:sz w:val="24"/>
          <w:szCs w:val="24"/>
        </w:rPr>
        <w:t>date of nomination</w:t>
      </w:r>
      <w:r w:rsidR="00A65C31">
        <w:rPr>
          <w:rFonts w:asciiTheme="majorBidi" w:hAnsiTheme="majorBidi" w:cstheme="majorBidi"/>
          <w:sz w:val="24"/>
          <w:szCs w:val="24"/>
        </w:rPr>
        <w:t xml:space="preserve">. I matched the information from the </w:t>
      </w:r>
      <w:r w:rsidR="00116347" w:rsidRPr="004F4103">
        <w:rPr>
          <w:rFonts w:asciiTheme="majorBidi" w:hAnsiTheme="majorBidi" w:cstheme="majorBidi"/>
          <w:sz w:val="24"/>
          <w:szCs w:val="24"/>
        </w:rPr>
        <w:t xml:space="preserve">FJC data </w:t>
      </w:r>
      <w:r w:rsidR="00A65C31">
        <w:rPr>
          <w:rFonts w:asciiTheme="majorBidi" w:hAnsiTheme="majorBidi" w:cstheme="majorBidi"/>
          <w:sz w:val="24"/>
          <w:szCs w:val="24"/>
        </w:rPr>
        <w:t xml:space="preserve">with the judge names </w:t>
      </w:r>
      <w:r w:rsidR="00116347" w:rsidRPr="004F4103">
        <w:rPr>
          <w:rFonts w:asciiTheme="majorBidi" w:hAnsiTheme="majorBidi" w:cstheme="majorBidi"/>
          <w:sz w:val="24"/>
          <w:szCs w:val="24"/>
        </w:rPr>
        <w:t>obtained from LexisNexis</w:t>
      </w:r>
      <w:r w:rsidR="00A65C31">
        <w:rPr>
          <w:rFonts w:asciiTheme="majorBidi" w:hAnsiTheme="majorBidi" w:cstheme="majorBidi"/>
          <w:sz w:val="24"/>
          <w:szCs w:val="24"/>
        </w:rPr>
        <w:t>.</w:t>
      </w:r>
      <w:r w:rsidR="00C3181A">
        <w:rPr>
          <w:rStyle w:val="FootnoteReference"/>
          <w:rFonts w:asciiTheme="majorBidi" w:hAnsiTheme="majorBidi" w:cstheme="majorBidi"/>
          <w:sz w:val="24"/>
          <w:szCs w:val="24"/>
        </w:rPr>
        <w:footnoteReference w:id="12"/>
      </w:r>
      <w:r w:rsidR="00C3181A">
        <w:rPr>
          <w:rFonts w:asciiTheme="majorBidi" w:hAnsiTheme="majorBidi" w:cstheme="majorBidi"/>
          <w:sz w:val="24"/>
          <w:szCs w:val="24"/>
        </w:rPr>
        <w:t xml:space="preserve"> </w:t>
      </w:r>
      <w:r w:rsidR="00116347">
        <w:rPr>
          <w:rFonts w:asciiTheme="majorBidi" w:hAnsiTheme="majorBidi" w:cstheme="majorBidi"/>
          <w:sz w:val="24"/>
          <w:szCs w:val="24"/>
        </w:rPr>
        <w:t xml:space="preserve"> </w:t>
      </w:r>
    </w:p>
    <w:p w14:paraId="5CF073C3" w14:textId="1544C0F0" w:rsidR="000141D4" w:rsidRPr="008A2792" w:rsidRDefault="00044731" w:rsidP="00A13C7B">
      <w:pPr>
        <w:spacing w:after="120" w:line="360" w:lineRule="auto"/>
        <w:ind w:firstLine="450"/>
        <w:jc w:val="both"/>
        <w:rPr>
          <w:rFonts w:asciiTheme="majorBidi" w:hAnsiTheme="majorBidi" w:cstheme="majorBidi"/>
          <w:sz w:val="24"/>
          <w:szCs w:val="24"/>
        </w:rPr>
      </w:pPr>
      <w:r>
        <w:rPr>
          <w:rFonts w:asciiTheme="majorBidi" w:hAnsiTheme="majorBidi" w:cstheme="majorBidi"/>
          <w:sz w:val="24"/>
          <w:szCs w:val="24"/>
        </w:rPr>
        <w:t xml:space="preserve">Merging PACER </w:t>
      </w:r>
      <w:r w:rsidR="001E3389">
        <w:rPr>
          <w:rFonts w:asciiTheme="majorBidi" w:hAnsiTheme="majorBidi" w:cstheme="majorBidi"/>
          <w:sz w:val="24"/>
          <w:szCs w:val="24"/>
        </w:rPr>
        <w:t xml:space="preserve">with </w:t>
      </w:r>
      <w:r>
        <w:rPr>
          <w:rFonts w:asciiTheme="majorBidi" w:hAnsiTheme="majorBidi" w:cstheme="majorBidi"/>
          <w:sz w:val="24"/>
          <w:szCs w:val="24"/>
        </w:rPr>
        <w:t xml:space="preserve">LexisNexis </w:t>
      </w:r>
      <w:r w:rsidR="00696AF1">
        <w:rPr>
          <w:rFonts w:asciiTheme="majorBidi" w:hAnsiTheme="majorBidi" w:cstheme="majorBidi"/>
          <w:sz w:val="24"/>
          <w:szCs w:val="24"/>
        </w:rPr>
        <w:t xml:space="preserve">had </w:t>
      </w:r>
      <w:r>
        <w:rPr>
          <w:rFonts w:asciiTheme="majorBidi" w:hAnsiTheme="majorBidi" w:cstheme="majorBidi"/>
          <w:sz w:val="24"/>
          <w:szCs w:val="24"/>
        </w:rPr>
        <w:t xml:space="preserve">a success of about </w:t>
      </w:r>
      <w:r w:rsidR="003110C7">
        <w:rPr>
          <w:rFonts w:asciiTheme="majorBidi" w:hAnsiTheme="majorBidi" w:cstheme="majorBidi"/>
          <w:sz w:val="24"/>
          <w:szCs w:val="24"/>
        </w:rPr>
        <w:t>5</w:t>
      </w:r>
      <w:r>
        <w:rPr>
          <w:rFonts w:asciiTheme="majorBidi" w:hAnsiTheme="majorBidi" w:cstheme="majorBidi"/>
          <w:sz w:val="24"/>
          <w:szCs w:val="24"/>
        </w:rPr>
        <w:t xml:space="preserve">0% match. The </w:t>
      </w:r>
      <w:r w:rsidR="003110C7">
        <w:rPr>
          <w:rFonts w:asciiTheme="majorBidi" w:hAnsiTheme="majorBidi" w:cstheme="majorBidi"/>
          <w:sz w:val="24"/>
          <w:szCs w:val="24"/>
        </w:rPr>
        <w:t>5</w:t>
      </w:r>
      <w:r>
        <w:rPr>
          <w:rFonts w:asciiTheme="majorBidi" w:hAnsiTheme="majorBidi" w:cstheme="majorBidi"/>
          <w:sz w:val="24"/>
          <w:szCs w:val="24"/>
        </w:rPr>
        <w:t xml:space="preserve">0% of cases appearing in PACER </w:t>
      </w:r>
      <w:r w:rsidR="000846A4">
        <w:rPr>
          <w:rFonts w:asciiTheme="majorBidi" w:hAnsiTheme="majorBidi" w:cstheme="majorBidi"/>
          <w:sz w:val="24"/>
          <w:szCs w:val="24"/>
        </w:rPr>
        <w:t xml:space="preserve">that I was not able to match with data from </w:t>
      </w:r>
      <w:r>
        <w:rPr>
          <w:rFonts w:asciiTheme="majorBidi" w:hAnsiTheme="majorBidi" w:cstheme="majorBidi"/>
          <w:sz w:val="24"/>
          <w:szCs w:val="24"/>
        </w:rPr>
        <w:t>LexisNexis</w:t>
      </w:r>
      <w:r w:rsidR="003110C7">
        <w:rPr>
          <w:rFonts w:asciiTheme="majorBidi" w:hAnsiTheme="majorBidi" w:cstheme="majorBidi"/>
          <w:sz w:val="24"/>
          <w:szCs w:val="24"/>
        </w:rPr>
        <w:t xml:space="preserve"> </w:t>
      </w:r>
      <w:r w:rsidR="000846A4">
        <w:rPr>
          <w:rFonts w:asciiTheme="majorBidi" w:hAnsiTheme="majorBidi" w:cstheme="majorBidi"/>
          <w:sz w:val="24"/>
          <w:szCs w:val="24"/>
        </w:rPr>
        <w:t xml:space="preserve">were </w:t>
      </w:r>
      <w:r w:rsidR="003110C7">
        <w:rPr>
          <w:rFonts w:asciiTheme="majorBidi" w:hAnsiTheme="majorBidi" w:cstheme="majorBidi"/>
          <w:sz w:val="24"/>
          <w:szCs w:val="24"/>
        </w:rPr>
        <w:t>mostly cases for which the termination of the appeal was on procedural grounds</w:t>
      </w:r>
      <w:r w:rsidR="000846A4">
        <w:rPr>
          <w:rFonts w:asciiTheme="majorBidi" w:hAnsiTheme="majorBidi" w:cstheme="majorBidi"/>
          <w:sz w:val="24"/>
          <w:szCs w:val="24"/>
        </w:rPr>
        <w:t xml:space="preserve"> (e.g., late filing)</w:t>
      </w:r>
      <w:r w:rsidR="003110C7">
        <w:rPr>
          <w:rFonts w:asciiTheme="majorBidi" w:hAnsiTheme="majorBidi" w:cstheme="majorBidi"/>
          <w:sz w:val="24"/>
          <w:szCs w:val="24"/>
        </w:rPr>
        <w:t xml:space="preserve">. </w:t>
      </w:r>
      <w:r w:rsidR="000846A4">
        <w:rPr>
          <w:rFonts w:asciiTheme="majorBidi" w:hAnsiTheme="majorBidi" w:cstheme="majorBidi"/>
          <w:sz w:val="24"/>
          <w:szCs w:val="24"/>
        </w:rPr>
        <w:t>T</w:t>
      </w:r>
      <w:r w:rsidR="003110C7">
        <w:rPr>
          <w:rFonts w:asciiTheme="majorBidi" w:hAnsiTheme="majorBidi" w:cstheme="majorBidi"/>
          <w:sz w:val="24"/>
          <w:szCs w:val="24"/>
        </w:rPr>
        <w:t xml:space="preserve">hese </w:t>
      </w:r>
      <w:r w:rsidR="000846A4">
        <w:rPr>
          <w:rFonts w:asciiTheme="majorBidi" w:hAnsiTheme="majorBidi" w:cstheme="majorBidi"/>
          <w:sz w:val="24"/>
          <w:szCs w:val="24"/>
        </w:rPr>
        <w:t xml:space="preserve">are largely cases for which </w:t>
      </w:r>
      <w:r>
        <w:rPr>
          <w:rFonts w:asciiTheme="majorBidi" w:hAnsiTheme="majorBidi" w:cstheme="majorBidi"/>
          <w:sz w:val="24"/>
          <w:szCs w:val="24"/>
        </w:rPr>
        <w:t xml:space="preserve">PACER </w:t>
      </w:r>
      <w:r w:rsidR="000846A4">
        <w:rPr>
          <w:rFonts w:asciiTheme="majorBidi" w:hAnsiTheme="majorBidi" w:cstheme="majorBidi"/>
          <w:sz w:val="24"/>
          <w:szCs w:val="24"/>
        </w:rPr>
        <w:t xml:space="preserve">also does not have </w:t>
      </w:r>
      <w:r w:rsidR="003110C7">
        <w:rPr>
          <w:rFonts w:asciiTheme="majorBidi" w:hAnsiTheme="majorBidi" w:cstheme="majorBidi"/>
          <w:sz w:val="24"/>
          <w:szCs w:val="24"/>
        </w:rPr>
        <w:t>information on the decision</w:t>
      </w:r>
      <w:r w:rsidR="000846A4">
        <w:rPr>
          <w:rFonts w:asciiTheme="majorBidi" w:hAnsiTheme="majorBidi" w:cstheme="majorBidi"/>
          <w:sz w:val="24"/>
          <w:szCs w:val="24"/>
        </w:rPr>
        <w:t xml:space="preserve"> in the case and the opinion. </w:t>
      </w:r>
      <w:r w:rsidR="003110C7">
        <w:rPr>
          <w:rFonts w:asciiTheme="majorBidi" w:hAnsiTheme="majorBidi" w:cstheme="majorBidi"/>
          <w:sz w:val="24"/>
          <w:szCs w:val="24"/>
        </w:rPr>
        <w:t>For the cases</w:t>
      </w:r>
      <w:r w:rsidR="00123BEB">
        <w:rPr>
          <w:rFonts w:asciiTheme="majorBidi" w:hAnsiTheme="majorBidi" w:cstheme="majorBidi"/>
          <w:sz w:val="24"/>
          <w:szCs w:val="24"/>
        </w:rPr>
        <w:t xml:space="preserve"> in which PACER reported decisions, I was able to merge about </w:t>
      </w:r>
      <w:r w:rsidR="003110C7">
        <w:rPr>
          <w:rFonts w:asciiTheme="majorBidi" w:hAnsiTheme="majorBidi" w:cstheme="majorBidi"/>
          <w:sz w:val="24"/>
          <w:szCs w:val="24"/>
        </w:rPr>
        <w:t xml:space="preserve">85% of </w:t>
      </w:r>
      <w:r w:rsidR="00123BEB">
        <w:rPr>
          <w:rFonts w:asciiTheme="majorBidi" w:hAnsiTheme="majorBidi" w:cstheme="majorBidi"/>
          <w:sz w:val="24"/>
          <w:szCs w:val="24"/>
        </w:rPr>
        <w:t>them with LexisNexis data.</w:t>
      </w:r>
    </w:p>
    <w:p w14:paraId="20F796B0" w14:textId="6A0A0A95" w:rsidR="003D1E83" w:rsidRPr="008A2792" w:rsidRDefault="004D6306" w:rsidP="00A13C7B">
      <w:pPr>
        <w:spacing w:after="120" w:line="360" w:lineRule="auto"/>
        <w:ind w:firstLine="450"/>
        <w:jc w:val="both"/>
        <w:rPr>
          <w:rFonts w:asciiTheme="majorBidi" w:hAnsiTheme="majorBidi" w:cstheme="majorBidi"/>
          <w:sz w:val="24"/>
          <w:szCs w:val="24"/>
        </w:rPr>
      </w:pPr>
      <w:r>
        <w:rPr>
          <w:rFonts w:asciiTheme="majorBidi" w:hAnsiTheme="majorBidi" w:cstheme="majorBidi"/>
          <w:sz w:val="24"/>
          <w:szCs w:val="24"/>
        </w:rPr>
        <w:lastRenderedPageBreak/>
        <w:t xml:space="preserve">Altogether, I started with </w:t>
      </w:r>
      <w:r w:rsidR="009F4041" w:rsidRPr="008A2792">
        <w:rPr>
          <w:rFonts w:asciiTheme="majorBidi" w:hAnsiTheme="majorBidi" w:cstheme="majorBidi"/>
          <w:sz w:val="24"/>
          <w:szCs w:val="24"/>
        </w:rPr>
        <w:t xml:space="preserve">254,403 </w:t>
      </w:r>
      <w:r>
        <w:rPr>
          <w:rFonts w:asciiTheme="majorBidi" w:hAnsiTheme="majorBidi" w:cstheme="majorBidi"/>
          <w:sz w:val="24"/>
          <w:szCs w:val="24"/>
        </w:rPr>
        <w:t>criminal appeals fr</w:t>
      </w:r>
      <w:r w:rsidR="00E64A89">
        <w:rPr>
          <w:rFonts w:asciiTheme="majorBidi" w:hAnsiTheme="majorBidi" w:cstheme="majorBidi"/>
          <w:sz w:val="24"/>
          <w:szCs w:val="24"/>
        </w:rPr>
        <w:t>o</w:t>
      </w:r>
      <w:r>
        <w:rPr>
          <w:rFonts w:asciiTheme="majorBidi" w:hAnsiTheme="majorBidi" w:cstheme="majorBidi"/>
          <w:sz w:val="24"/>
          <w:szCs w:val="24"/>
        </w:rPr>
        <w:t>m PACER during the examined period 1</w:t>
      </w:r>
      <w:r w:rsidR="002D0AF4">
        <w:rPr>
          <w:rFonts w:asciiTheme="majorBidi" w:hAnsiTheme="majorBidi" w:cstheme="majorBidi"/>
          <w:sz w:val="24"/>
          <w:szCs w:val="24"/>
        </w:rPr>
        <w:t>9</w:t>
      </w:r>
      <w:r>
        <w:rPr>
          <w:rFonts w:asciiTheme="majorBidi" w:hAnsiTheme="majorBidi" w:cstheme="majorBidi"/>
          <w:sz w:val="24"/>
          <w:szCs w:val="24"/>
        </w:rPr>
        <w:t xml:space="preserve">80-2020. </w:t>
      </w:r>
      <w:r w:rsidR="00B82358">
        <w:rPr>
          <w:rFonts w:asciiTheme="majorBidi" w:hAnsiTheme="majorBidi" w:cstheme="majorBidi"/>
          <w:sz w:val="24"/>
          <w:szCs w:val="24"/>
        </w:rPr>
        <w:t>F</w:t>
      </w:r>
      <w:r w:rsidR="009F4041" w:rsidRPr="008A2792">
        <w:rPr>
          <w:rFonts w:asciiTheme="majorBidi" w:hAnsiTheme="majorBidi" w:cstheme="majorBidi"/>
          <w:sz w:val="24"/>
          <w:szCs w:val="24"/>
        </w:rPr>
        <w:t xml:space="preserve">or 83% </w:t>
      </w:r>
      <w:r w:rsidR="00B82358">
        <w:rPr>
          <w:rFonts w:asciiTheme="majorBidi" w:hAnsiTheme="majorBidi" w:cstheme="majorBidi"/>
          <w:sz w:val="24"/>
          <w:szCs w:val="24"/>
        </w:rPr>
        <w:t>of these cases I was able to identify the three judges on the panel.</w:t>
      </w:r>
      <w:r w:rsidR="00B82358">
        <w:rPr>
          <w:rStyle w:val="FootnoteReference"/>
          <w:rFonts w:asciiTheme="majorBidi" w:hAnsiTheme="majorBidi" w:cstheme="majorBidi"/>
          <w:sz w:val="24"/>
          <w:szCs w:val="24"/>
        </w:rPr>
        <w:footnoteReference w:id="13"/>
      </w:r>
      <w:r w:rsidR="00B82358">
        <w:rPr>
          <w:rFonts w:asciiTheme="majorBidi" w:hAnsiTheme="majorBidi" w:cstheme="majorBidi"/>
          <w:sz w:val="24"/>
          <w:szCs w:val="24"/>
        </w:rPr>
        <w:t xml:space="preserve"> </w:t>
      </w:r>
    </w:p>
    <w:p w14:paraId="7B92998A" w14:textId="34CDE893" w:rsidR="000C35DD" w:rsidRDefault="00D94AF6" w:rsidP="00A13C7B">
      <w:pPr>
        <w:spacing w:after="120" w:line="360" w:lineRule="auto"/>
        <w:ind w:firstLine="450"/>
        <w:jc w:val="both"/>
        <w:rPr>
          <w:rFonts w:asciiTheme="majorBidi" w:hAnsiTheme="majorBidi" w:cstheme="majorBidi"/>
          <w:sz w:val="24"/>
          <w:szCs w:val="24"/>
        </w:rPr>
      </w:pPr>
      <w:r>
        <w:rPr>
          <w:rFonts w:asciiTheme="majorBidi" w:hAnsiTheme="majorBidi" w:cstheme="majorBidi"/>
          <w:sz w:val="24"/>
          <w:szCs w:val="24"/>
        </w:rPr>
        <w:t xml:space="preserve">The </w:t>
      </w:r>
      <w:r w:rsidR="001207D3" w:rsidRPr="008A2792">
        <w:rPr>
          <w:rFonts w:asciiTheme="majorBidi" w:hAnsiTheme="majorBidi" w:cstheme="majorBidi"/>
          <w:sz w:val="24"/>
          <w:szCs w:val="24"/>
        </w:rPr>
        <w:t xml:space="preserve">paper focuses on cases </w:t>
      </w:r>
      <w:r>
        <w:rPr>
          <w:rFonts w:asciiTheme="majorBidi" w:hAnsiTheme="majorBidi" w:cstheme="majorBidi"/>
          <w:sz w:val="24"/>
          <w:szCs w:val="24"/>
        </w:rPr>
        <w:t>decided</w:t>
      </w:r>
      <w:r w:rsidR="001207D3" w:rsidRPr="008A2792">
        <w:rPr>
          <w:rFonts w:asciiTheme="majorBidi" w:hAnsiTheme="majorBidi" w:cstheme="majorBidi"/>
          <w:sz w:val="24"/>
          <w:szCs w:val="24"/>
        </w:rPr>
        <w:t xml:space="preserve"> by </w:t>
      </w:r>
      <w:r>
        <w:rPr>
          <w:rFonts w:asciiTheme="majorBidi" w:hAnsiTheme="majorBidi" w:cstheme="majorBidi"/>
          <w:sz w:val="24"/>
          <w:szCs w:val="24"/>
        </w:rPr>
        <w:t>a panel of three judges.</w:t>
      </w:r>
      <w:r>
        <w:rPr>
          <w:rStyle w:val="FootnoteReference"/>
          <w:rFonts w:asciiTheme="majorBidi" w:hAnsiTheme="majorBidi" w:cstheme="majorBidi"/>
          <w:sz w:val="24"/>
          <w:szCs w:val="24"/>
        </w:rPr>
        <w:footnoteReference w:id="14"/>
      </w:r>
      <w:r w:rsidR="00E22E65">
        <w:rPr>
          <w:rFonts w:asciiTheme="majorBidi" w:hAnsiTheme="majorBidi" w:cstheme="majorBidi"/>
          <w:sz w:val="24"/>
          <w:szCs w:val="24"/>
        </w:rPr>
        <w:t xml:space="preserve"> </w:t>
      </w:r>
      <w:r w:rsidR="000C35DD" w:rsidRPr="008A2792">
        <w:rPr>
          <w:rFonts w:asciiTheme="majorBidi" w:hAnsiTheme="majorBidi" w:cstheme="majorBidi"/>
          <w:sz w:val="24"/>
          <w:szCs w:val="24"/>
        </w:rPr>
        <w:t xml:space="preserve">Our final data contains 209,544 circuit court criminal decisions for which we have information on </w:t>
      </w:r>
      <w:r w:rsidR="00521A50">
        <w:rPr>
          <w:rFonts w:asciiTheme="majorBidi" w:hAnsiTheme="majorBidi" w:cstheme="majorBidi"/>
          <w:sz w:val="24"/>
          <w:szCs w:val="24"/>
        </w:rPr>
        <w:t xml:space="preserve">each of the three judges of the panel. Because I focus on </w:t>
      </w:r>
      <w:r w:rsidR="0093593E">
        <w:rPr>
          <w:rFonts w:asciiTheme="majorBidi" w:hAnsiTheme="majorBidi" w:cstheme="majorBidi"/>
          <w:sz w:val="24"/>
          <w:szCs w:val="24"/>
        </w:rPr>
        <w:t xml:space="preserve">decisions by three-member panels, these are the cases that I examine below. </w:t>
      </w:r>
    </w:p>
    <w:p w14:paraId="61249C5E" w14:textId="77777777" w:rsidR="0093593E" w:rsidRPr="00A13C7B" w:rsidRDefault="0093593E" w:rsidP="00A13C7B">
      <w:pPr>
        <w:pStyle w:val="ListParagraph"/>
        <w:numPr>
          <w:ilvl w:val="0"/>
          <w:numId w:val="35"/>
        </w:numPr>
        <w:spacing w:after="120" w:line="360" w:lineRule="auto"/>
        <w:contextualSpacing w:val="0"/>
        <w:jc w:val="center"/>
        <w:rPr>
          <w:rFonts w:asciiTheme="majorBidi" w:hAnsiTheme="majorBidi" w:cstheme="majorBidi"/>
          <w:i/>
          <w:iCs/>
          <w:sz w:val="24"/>
          <w:szCs w:val="24"/>
        </w:rPr>
      </w:pPr>
      <w:r w:rsidRPr="00A13C7B">
        <w:rPr>
          <w:rFonts w:asciiTheme="majorBidi" w:hAnsiTheme="majorBidi" w:cstheme="majorBidi"/>
          <w:i/>
          <w:iCs/>
          <w:sz w:val="24"/>
          <w:szCs w:val="24"/>
        </w:rPr>
        <w:t>Summary Statistics</w:t>
      </w:r>
    </w:p>
    <w:p w14:paraId="3727DC69" w14:textId="3E0EF21C" w:rsidR="0093593E" w:rsidRPr="00A02F77" w:rsidRDefault="001E33B8" w:rsidP="00A13C7B">
      <w:pPr>
        <w:pStyle w:val="ListParagraph"/>
        <w:numPr>
          <w:ilvl w:val="0"/>
          <w:numId w:val="38"/>
        </w:numPr>
        <w:spacing w:after="120" w:line="360" w:lineRule="auto"/>
        <w:ind w:left="360"/>
        <w:contextualSpacing w:val="0"/>
        <w:rPr>
          <w:rFonts w:asciiTheme="majorBidi" w:hAnsiTheme="majorBidi" w:cstheme="majorBidi"/>
          <w:i/>
          <w:iCs/>
          <w:sz w:val="24"/>
          <w:szCs w:val="24"/>
        </w:rPr>
      </w:pPr>
      <w:r w:rsidRPr="00A02F77">
        <w:rPr>
          <w:rFonts w:asciiTheme="majorBidi" w:hAnsiTheme="majorBidi" w:cstheme="majorBidi"/>
          <w:i/>
          <w:iCs/>
          <w:sz w:val="24"/>
          <w:szCs w:val="24"/>
        </w:rPr>
        <w:t>Political Composition</w:t>
      </w:r>
    </w:p>
    <w:p w14:paraId="4B752A16" w14:textId="2962B114" w:rsidR="00D170F7" w:rsidRDefault="00261802" w:rsidP="00A13C7B">
      <w:pPr>
        <w:spacing w:after="120" w:line="360" w:lineRule="auto"/>
        <w:ind w:firstLine="446"/>
        <w:jc w:val="both"/>
        <w:rPr>
          <w:rFonts w:asciiTheme="majorBidi" w:hAnsiTheme="majorBidi" w:cstheme="majorBidi"/>
          <w:sz w:val="24"/>
          <w:szCs w:val="24"/>
        </w:rPr>
      </w:pPr>
      <w:r>
        <w:rPr>
          <w:rFonts w:asciiTheme="majorBidi" w:hAnsiTheme="majorBidi" w:cstheme="majorBidi"/>
          <w:sz w:val="24"/>
          <w:szCs w:val="24"/>
        </w:rPr>
        <w:t xml:space="preserve">Table 1 </w:t>
      </w:r>
      <w:r w:rsidR="001E33B8">
        <w:rPr>
          <w:rFonts w:asciiTheme="majorBidi" w:hAnsiTheme="majorBidi" w:cstheme="majorBidi"/>
          <w:sz w:val="24"/>
          <w:szCs w:val="24"/>
        </w:rPr>
        <w:t xml:space="preserve">reports </w:t>
      </w:r>
      <w:r>
        <w:rPr>
          <w:rFonts w:asciiTheme="majorBidi" w:hAnsiTheme="majorBidi" w:cstheme="majorBidi"/>
          <w:sz w:val="24"/>
          <w:szCs w:val="24"/>
        </w:rPr>
        <w:t xml:space="preserve">the number of judges </w:t>
      </w:r>
      <w:r w:rsidR="00D170F7">
        <w:rPr>
          <w:rFonts w:asciiTheme="majorBidi" w:hAnsiTheme="majorBidi" w:cstheme="majorBidi"/>
          <w:sz w:val="24"/>
          <w:szCs w:val="24"/>
        </w:rPr>
        <w:t>and the percentages of Republican and Democrat</w:t>
      </w:r>
      <w:r w:rsidR="001E33B8">
        <w:rPr>
          <w:rFonts w:asciiTheme="majorBidi" w:hAnsiTheme="majorBidi" w:cstheme="majorBidi"/>
          <w:sz w:val="24"/>
          <w:szCs w:val="24"/>
        </w:rPr>
        <w:t xml:space="preserve">ic </w:t>
      </w:r>
      <w:r w:rsidR="00D170F7">
        <w:rPr>
          <w:rFonts w:asciiTheme="majorBidi" w:hAnsiTheme="majorBidi" w:cstheme="majorBidi"/>
          <w:sz w:val="24"/>
          <w:szCs w:val="24"/>
        </w:rPr>
        <w:t xml:space="preserve">judges </w:t>
      </w:r>
      <w:r>
        <w:rPr>
          <w:rFonts w:asciiTheme="majorBidi" w:hAnsiTheme="majorBidi" w:cstheme="majorBidi"/>
          <w:sz w:val="24"/>
          <w:szCs w:val="24"/>
        </w:rPr>
        <w:t xml:space="preserve">in all circuits </w:t>
      </w:r>
      <w:r w:rsidR="001E33B8">
        <w:rPr>
          <w:rFonts w:asciiTheme="majorBidi" w:hAnsiTheme="majorBidi" w:cstheme="majorBidi"/>
          <w:sz w:val="24"/>
          <w:szCs w:val="24"/>
        </w:rPr>
        <w:t xml:space="preserve">at the start of each of the decades in my period and at the end of the period. </w:t>
      </w:r>
      <w:r w:rsidR="00D170F7">
        <w:rPr>
          <w:rFonts w:asciiTheme="majorBidi" w:hAnsiTheme="majorBidi" w:cstheme="majorBidi"/>
          <w:sz w:val="24"/>
          <w:szCs w:val="24"/>
        </w:rPr>
        <w:t xml:space="preserve">The first three Columns of Table 1 provides this information for active judges, and the last three columns provide this information for senior judges. </w:t>
      </w:r>
    </w:p>
    <w:p w14:paraId="6B2982A3" w14:textId="3BEC6837" w:rsidR="00E22E65" w:rsidRDefault="00261802" w:rsidP="00A13C7B">
      <w:pPr>
        <w:spacing w:after="120" w:line="360" w:lineRule="auto"/>
        <w:ind w:firstLine="446"/>
        <w:jc w:val="both"/>
        <w:rPr>
          <w:rFonts w:asciiTheme="majorBidi" w:hAnsiTheme="majorBidi" w:cstheme="majorBidi"/>
          <w:sz w:val="24"/>
          <w:szCs w:val="24"/>
        </w:rPr>
      </w:pPr>
      <w:r>
        <w:rPr>
          <w:rFonts w:asciiTheme="majorBidi" w:hAnsiTheme="majorBidi" w:cstheme="majorBidi"/>
          <w:sz w:val="24"/>
          <w:szCs w:val="24"/>
        </w:rPr>
        <w:t xml:space="preserve">As </w:t>
      </w:r>
      <w:r w:rsidR="004F142B">
        <w:rPr>
          <w:rFonts w:asciiTheme="majorBidi" w:hAnsiTheme="majorBidi" w:cstheme="majorBidi"/>
          <w:sz w:val="24"/>
          <w:szCs w:val="24"/>
        </w:rPr>
        <w:t xml:space="preserve">noted above, </w:t>
      </w:r>
      <w:r>
        <w:rPr>
          <w:rFonts w:asciiTheme="majorBidi" w:hAnsiTheme="majorBidi" w:cstheme="majorBidi"/>
          <w:sz w:val="24"/>
          <w:szCs w:val="24"/>
        </w:rPr>
        <w:t xml:space="preserve">both active </w:t>
      </w:r>
      <w:r w:rsidR="004F142B">
        <w:rPr>
          <w:rFonts w:asciiTheme="majorBidi" w:hAnsiTheme="majorBidi" w:cstheme="majorBidi"/>
          <w:sz w:val="24"/>
          <w:szCs w:val="24"/>
        </w:rPr>
        <w:t xml:space="preserve">judges </w:t>
      </w:r>
      <w:r>
        <w:rPr>
          <w:rFonts w:asciiTheme="majorBidi" w:hAnsiTheme="majorBidi" w:cstheme="majorBidi"/>
          <w:sz w:val="24"/>
          <w:szCs w:val="24"/>
        </w:rPr>
        <w:t xml:space="preserve">and senior judges </w:t>
      </w:r>
      <w:r w:rsidR="00E9388D">
        <w:rPr>
          <w:rFonts w:asciiTheme="majorBidi" w:hAnsiTheme="majorBidi" w:cstheme="majorBidi"/>
          <w:sz w:val="24"/>
          <w:szCs w:val="24"/>
        </w:rPr>
        <w:t xml:space="preserve">participate in Circuit Court panels. As </w:t>
      </w:r>
      <w:r w:rsidR="007E6851">
        <w:rPr>
          <w:rFonts w:asciiTheme="majorBidi" w:hAnsiTheme="majorBidi" w:cstheme="majorBidi"/>
          <w:sz w:val="24"/>
          <w:szCs w:val="24"/>
        </w:rPr>
        <w:t>Column</w:t>
      </w:r>
      <w:r w:rsidR="00E9388D">
        <w:rPr>
          <w:rFonts w:asciiTheme="majorBidi" w:hAnsiTheme="majorBidi" w:cstheme="majorBidi"/>
          <w:sz w:val="24"/>
          <w:szCs w:val="24"/>
        </w:rPr>
        <w:t>s</w:t>
      </w:r>
      <w:r w:rsidR="007E6851">
        <w:rPr>
          <w:rFonts w:asciiTheme="majorBidi" w:hAnsiTheme="majorBidi" w:cstheme="majorBidi"/>
          <w:sz w:val="24"/>
          <w:szCs w:val="24"/>
        </w:rPr>
        <w:t xml:space="preserve"> (1) and (3)</w:t>
      </w:r>
      <w:r w:rsidR="00E9388D">
        <w:rPr>
          <w:rFonts w:asciiTheme="majorBidi" w:hAnsiTheme="majorBidi" w:cstheme="majorBidi"/>
          <w:sz w:val="24"/>
          <w:szCs w:val="24"/>
        </w:rPr>
        <w:t xml:space="preserve"> of the Table indicate, while the </w:t>
      </w:r>
      <w:r>
        <w:rPr>
          <w:rFonts w:asciiTheme="majorBidi" w:hAnsiTheme="majorBidi" w:cstheme="majorBidi"/>
          <w:sz w:val="24"/>
          <w:szCs w:val="24"/>
        </w:rPr>
        <w:t xml:space="preserve">number of </w:t>
      </w:r>
      <w:r w:rsidR="007E6851">
        <w:rPr>
          <w:rFonts w:asciiTheme="majorBidi" w:hAnsiTheme="majorBidi" w:cstheme="majorBidi"/>
          <w:sz w:val="24"/>
          <w:szCs w:val="24"/>
        </w:rPr>
        <w:t xml:space="preserve">active </w:t>
      </w:r>
      <w:r>
        <w:rPr>
          <w:rFonts w:asciiTheme="majorBidi" w:hAnsiTheme="majorBidi" w:cstheme="majorBidi"/>
          <w:sz w:val="24"/>
          <w:szCs w:val="24"/>
        </w:rPr>
        <w:t>judges</w:t>
      </w:r>
      <w:r w:rsidR="00280B60">
        <w:rPr>
          <w:rFonts w:asciiTheme="majorBidi" w:hAnsiTheme="majorBidi" w:cstheme="majorBidi"/>
          <w:sz w:val="24"/>
          <w:szCs w:val="24"/>
        </w:rPr>
        <w:t xml:space="preserve"> </w:t>
      </w:r>
      <w:r w:rsidR="00E9388D">
        <w:rPr>
          <w:rFonts w:asciiTheme="majorBidi" w:hAnsiTheme="majorBidi" w:cstheme="majorBidi"/>
          <w:sz w:val="24"/>
          <w:szCs w:val="24"/>
        </w:rPr>
        <w:t xml:space="preserve">was stable </w:t>
      </w:r>
      <w:r>
        <w:rPr>
          <w:rFonts w:asciiTheme="majorBidi" w:hAnsiTheme="majorBidi" w:cstheme="majorBidi"/>
          <w:sz w:val="24"/>
          <w:szCs w:val="24"/>
        </w:rPr>
        <w:t xml:space="preserve">over the </w:t>
      </w:r>
      <w:r w:rsidR="00280B60">
        <w:rPr>
          <w:rFonts w:asciiTheme="majorBidi" w:hAnsiTheme="majorBidi" w:cstheme="majorBidi"/>
          <w:sz w:val="24"/>
          <w:szCs w:val="24"/>
        </w:rPr>
        <w:t xml:space="preserve">past 30 </w:t>
      </w:r>
      <w:r>
        <w:rPr>
          <w:rFonts w:asciiTheme="majorBidi" w:hAnsiTheme="majorBidi" w:cstheme="majorBidi"/>
          <w:sz w:val="24"/>
          <w:szCs w:val="24"/>
        </w:rPr>
        <w:t>years, the number of senior judges has almost triple itself.</w:t>
      </w:r>
      <w:r w:rsidR="001813D1">
        <w:rPr>
          <w:rStyle w:val="FootnoteReference"/>
          <w:rFonts w:asciiTheme="majorBidi" w:hAnsiTheme="majorBidi" w:cstheme="majorBidi"/>
          <w:sz w:val="24"/>
          <w:szCs w:val="24"/>
        </w:rPr>
        <w:footnoteReference w:id="15"/>
      </w:r>
    </w:p>
    <w:p w14:paraId="15B1B732" w14:textId="6209B9E3" w:rsidR="000F7B0E" w:rsidRDefault="000F7B0E">
      <w:pPr>
        <w:rPr>
          <w:rFonts w:asciiTheme="majorBidi" w:hAnsiTheme="majorBidi" w:cstheme="majorBidi"/>
          <w:sz w:val="24"/>
          <w:szCs w:val="24"/>
        </w:rPr>
      </w:pPr>
      <w:r>
        <w:rPr>
          <w:rFonts w:asciiTheme="majorBidi" w:hAnsiTheme="majorBidi" w:cstheme="majorBidi"/>
          <w:sz w:val="24"/>
          <w:szCs w:val="24"/>
        </w:rPr>
        <w:br w:type="page"/>
      </w:r>
    </w:p>
    <w:p w14:paraId="736722E1" w14:textId="63882EFF" w:rsidR="00F66DDF" w:rsidRPr="00A13C7B" w:rsidRDefault="00512854" w:rsidP="00866391">
      <w:pPr>
        <w:jc w:val="center"/>
        <w:rPr>
          <w:rFonts w:asciiTheme="majorBidi" w:hAnsiTheme="majorBidi" w:cstheme="majorBidi"/>
          <w:sz w:val="24"/>
          <w:szCs w:val="24"/>
        </w:rPr>
      </w:pPr>
      <w:r w:rsidRPr="00A13C7B">
        <w:rPr>
          <w:rFonts w:asciiTheme="majorBidi" w:hAnsiTheme="majorBidi" w:cstheme="majorBidi"/>
          <w:sz w:val="24"/>
          <w:szCs w:val="24"/>
        </w:rPr>
        <w:lastRenderedPageBreak/>
        <w:t>Table 1: P</w:t>
      </w:r>
      <w:r w:rsidR="00F66DDF" w:rsidRPr="00A13C7B">
        <w:rPr>
          <w:rFonts w:asciiTheme="majorBidi" w:hAnsiTheme="majorBidi" w:cstheme="majorBidi"/>
          <w:sz w:val="24"/>
          <w:szCs w:val="24"/>
        </w:rPr>
        <w:t xml:space="preserve">olitical composition </w:t>
      </w:r>
      <w:r w:rsidR="00E1743A" w:rsidRPr="00A13C7B">
        <w:rPr>
          <w:rFonts w:asciiTheme="majorBidi" w:hAnsiTheme="majorBidi" w:cstheme="majorBidi"/>
          <w:sz w:val="24"/>
          <w:szCs w:val="24"/>
        </w:rPr>
        <w:t>of the circuit courts</w:t>
      </w:r>
    </w:p>
    <w:tbl>
      <w:tblPr>
        <w:tblW w:w="8160"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20"/>
        <w:gridCol w:w="990"/>
        <w:gridCol w:w="1012"/>
        <w:gridCol w:w="1058"/>
        <w:gridCol w:w="990"/>
        <w:gridCol w:w="1012"/>
        <w:gridCol w:w="1058"/>
        <w:gridCol w:w="1020"/>
      </w:tblGrid>
      <w:tr w:rsidR="00E1743A" w:rsidRPr="00E1743A" w14:paraId="5521CFBE" w14:textId="77777777" w:rsidTr="00866391">
        <w:trPr>
          <w:trHeight w:val="292"/>
          <w:jc w:val="center"/>
        </w:trPr>
        <w:tc>
          <w:tcPr>
            <w:tcW w:w="1020" w:type="dxa"/>
            <w:tcBorders>
              <w:top w:val="single" w:sz="4" w:space="0" w:color="auto"/>
              <w:bottom w:val="nil"/>
              <w:right w:val="single" w:sz="4" w:space="0" w:color="auto"/>
            </w:tcBorders>
            <w:shd w:val="clear" w:color="auto" w:fill="auto"/>
            <w:noWrap/>
            <w:vAlign w:val="bottom"/>
            <w:hideMark/>
          </w:tcPr>
          <w:p w14:paraId="333C1FF8" w14:textId="77777777" w:rsidR="00E1743A" w:rsidRPr="00E1743A" w:rsidRDefault="00E1743A" w:rsidP="00E1743A">
            <w:pPr>
              <w:spacing w:after="0" w:line="240" w:lineRule="auto"/>
              <w:rPr>
                <w:rFonts w:ascii="Times New Roman" w:eastAsia="Times New Roman" w:hAnsi="Times New Roman" w:cs="Times New Roman"/>
                <w:sz w:val="24"/>
                <w:szCs w:val="24"/>
              </w:rPr>
            </w:pPr>
          </w:p>
        </w:tc>
        <w:tc>
          <w:tcPr>
            <w:tcW w:w="30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338B3"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Active</w:t>
            </w:r>
          </w:p>
        </w:tc>
        <w:tc>
          <w:tcPr>
            <w:tcW w:w="30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2E912"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 xml:space="preserve">Senior </w:t>
            </w:r>
          </w:p>
        </w:tc>
        <w:tc>
          <w:tcPr>
            <w:tcW w:w="1020" w:type="dxa"/>
            <w:tcBorders>
              <w:left w:val="single" w:sz="4" w:space="0" w:color="auto"/>
              <w:bottom w:val="nil"/>
            </w:tcBorders>
            <w:shd w:val="clear" w:color="auto" w:fill="auto"/>
            <w:noWrap/>
            <w:vAlign w:val="bottom"/>
            <w:hideMark/>
          </w:tcPr>
          <w:p w14:paraId="64741A4C" w14:textId="77777777" w:rsidR="00E1743A" w:rsidRPr="00E1743A" w:rsidRDefault="00E1743A" w:rsidP="00E1743A">
            <w:pPr>
              <w:spacing w:after="0" w:line="240" w:lineRule="auto"/>
              <w:jc w:val="center"/>
              <w:rPr>
                <w:rFonts w:ascii="Calibri" w:eastAsia="Times New Roman" w:hAnsi="Calibri" w:cs="Calibri"/>
                <w:color w:val="000000"/>
              </w:rPr>
            </w:pPr>
          </w:p>
        </w:tc>
      </w:tr>
      <w:tr w:rsidR="00E1743A" w:rsidRPr="00E1743A" w14:paraId="59FB88BB" w14:textId="77777777" w:rsidTr="00866391">
        <w:trPr>
          <w:trHeight w:val="292"/>
          <w:jc w:val="center"/>
        </w:trPr>
        <w:tc>
          <w:tcPr>
            <w:tcW w:w="1020" w:type="dxa"/>
            <w:tcBorders>
              <w:top w:val="nil"/>
              <w:bottom w:val="single" w:sz="4" w:space="0" w:color="auto"/>
              <w:right w:val="single" w:sz="4" w:space="0" w:color="auto"/>
            </w:tcBorders>
            <w:shd w:val="clear" w:color="auto" w:fill="auto"/>
            <w:noWrap/>
            <w:vAlign w:val="bottom"/>
            <w:hideMark/>
          </w:tcPr>
          <w:p w14:paraId="0D2B88B7"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Year</w:t>
            </w:r>
          </w:p>
        </w:tc>
        <w:tc>
          <w:tcPr>
            <w:tcW w:w="990" w:type="dxa"/>
            <w:tcBorders>
              <w:top w:val="single" w:sz="4" w:space="0" w:color="auto"/>
              <w:left w:val="single" w:sz="4" w:space="0" w:color="auto"/>
              <w:bottom w:val="single" w:sz="4" w:space="0" w:color="auto"/>
            </w:tcBorders>
            <w:shd w:val="clear" w:color="auto" w:fill="auto"/>
            <w:noWrap/>
            <w:vAlign w:val="bottom"/>
            <w:hideMark/>
          </w:tcPr>
          <w:p w14:paraId="5A287C0B"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Count</w:t>
            </w:r>
          </w:p>
        </w:tc>
        <w:tc>
          <w:tcPr>
            <w:tcW w:w="1012" w:type="dxa"/>
            <w:tcBorders>
              <w:top w:val="single" w:sz="4" w:space="0" w:color="auto"/>
              <w:bottom w:val="single" w:sz="4" w:space="0" w:color="auto"/>
            </w:tcBorders>
            <w:shd w:val="clear" w:color="auto" w:fill="auto"/>
            <w:noWrap/>
            <w:vAlign w:val="bottom"/>
            <w:hideMark/>
          </w:tcPr>
          <w:p w14:paraId="5E2B883D"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 Rep</w:t>
            </w:r>
          </w:p>
        </w:tc>
        <w:tc>
          <w:tcPr>
            <w:tcW w:w="1058" w:type="dxa"/>
            <w:tcBorders>
              <w:top w:val="single" w:sz="4" w:space="0" w:color="auto"/>
              <w:bottom w:val="single" w:sz="4" w:space="0" w:color="auto"/>
              <w:right w:val="single" w:sz="4" w:space="0" w:color="auto"/>
            </w:tcBorders>
            <w:shd w:val="clear" w:color="auto" w:fill="auto"/>
            <w:noWrap/>
            <w:vAlign w:val="bottom"/>
            <w:hideMark/>
          </w:tcPr>
          <w:p w14:paraId="4716689F"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%Dem</w:t>
            </w:r>
          </w:p>
        </w:tc>
        <w:tc>
          <w:tcPr>
            <w:tcW w:w="990" w:type="dxa"/>
            <w:tcBorders>
              <w:top w:val="single" w:sz="4" w:space="0" w:color="auto"/>
              <w:left w:val="single" w:sz="4" w:space="0" w:color="auto"/>
              <w:bottom w:val="single" w:sz="4" w:space="0" w:color="auto"/>
            </w:tcBorders>
            <w:shd w:val="clear" w:color="auto" w:fill="auto"/>
            <w:noWrap/>
            <w:vAlign w:val="bottom"/>
            <w:hideMark/>
          </w:tcPr>
          <w:p w14:paraId="41B87B25"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Count</w:t>
            </w:r>
          </w:p>
        </w:tc>
        <w:tc>
          <w:tcPr>
            <w:tcW w:w="1012" w:type="dxa"/>
            <w:tcBorders>
              <w:top w:val="single" w:sz="4" w:space="0" w:color="auto"/>
              <w:bottom w:val="single" w:sz="4" w:space="0" w:color="auto"/>
            </w:tcBorders>
            <w:shd w:val="clear" w:color="auto" w:fill="auto"/>
            <w:noWrap/>
            <w:vAlign w:val="bottom"/>
            <w:hideMark/>
          </w:tcPr>
          <w:p w14:paraId="5D591D0C"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 Rep</w:t>
            </w:r>
          </w:p>
        </w:tc>
        <w:tc>
          <w:tcPr>
            <w:tcW w:w="1058" w:type="dxa"/>
            <w:tcBorders>
              <w:top w:val="single" w:sz="4" w:space="0" w:color="auto"/>
              <w:bottom w:val="single" w:sz="4" w:space="0" w:color="auto"/>
              <w:right w:val="single" w:sz="4" w:space="0" w:color="auto"/>
            </w:tcBorders>
            <w:shd w:val="clear" w:color="auto" w:fill="auto"/>
            <w:noWrap/>
            <w:vAlign w:val="bottom"/>
            <w:hideMark/>
          </w:tcPr>
          <w:p w14:paraId="3EBC30B3"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%Dem</w:t>
            </w:r>
          </w:p>
        </w:tc>
        <w:tc>
          <w:tcPr>
            <w:tcW w:w="1020" w:type="dxa"/>
            <w:tcBorders>
              <w:top w:val="nil"/>
              <w:left w:val="single" w:sz="4" w:space="0" w:color="auto"/>
              <w:bottom w:val="single" w:sz="4" w:space="0" w:color="auto"/>
            </w:tcBorders>
            <w:shd w:val="clear" w:color="auto" w:fill="auto"/>
            <w:noWrap/>
            <w:vAlign w:val="bottom"/>
            <w:hideMark/>
          </w:tcPr>
          <w:p w14:paraId="54A5069D"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Total</w:t>
            </w:r>
          </w:p>
        </w:tc>
      </w:tr>
      <w:tr w:rsidR="00E1743A" w:rsidRPr="00E1743A" w14:paraId="2A009912" w14:textId="77777777" w:rsidTr="00866391">
        <w:trPr>
          <w:trHeight w:val="292"/>
          <w:jc w:val="center"/>
        </w:trPr>
        <w:tc>
          <w:tcPr>
            <w:tcW w:w="1020" w:type="dxa"/>
            <w:tcBorders>
              <w:top w:val="single" w:sz="4" w:space="0" w:color="auto"/>
              <w:bottom w:val="nil"/>
              <w:right w:val="single" w:sz="4" w:space="0" w:color="auto"/>
            </w:tcBorders>
            <w:shd w:val="clear" w:color="auto" w:fill="auto"/>
            <w:noWrap/>
            <w:vAlign w:val="bottom"/>
            <w:hideMark/>
          </w:tcPr>
          <w:p w14:paraId="21B943A7"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1980</w:t>
            </w:r>
          </w:p>
        </w:tc>
        <w:tc>
          <w:tcPr>
            <w:tcW w:w="990" w:type="dxa"/>
            <w:tcBorders>
              <w:top w:val="single" w:sz="4" w:space="0" w:color="auto"/>
              <w:left w:val="single" w:sz="4" w:space="0" w:color="auto"/>
            </w:tcBorders>
            <w:shd w:val="clear" w:color="auto" w:fill="auto"/>
            <w:noWrap/>
            <w:vAlign w:val="bottom"/>
            <w:hideMark/>
          </w:tcPr>
          <w:p w14:paraId="5B652FB7"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128</w:t>
            </w:r>
          </w:p>
        </w:tc>
        <w:tc>
          <w:tcPr>
            <w:tcW w:w="1012" w:type="dxa"/>
            <w:tcBorders>
              <w:top w:val="single" w:sz="4" w:space="0" w:color="auto"/>
            </w:tcBorders>
            <w:shd w:val="clear" w:color="auto" w:fill="auto"/>
            <w:noWrap/>
            <w:vAlign w:val="bottom"/>
            <w:hideMark/>
          </w:tcPr>
          <w:p w14:paraId="53E45559"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35%</w:t>
            </w:r>
          </w:p>
        </w:tc>
        <w:tc>
          <w:tcPr>
            <w:tcW w:w="1058" w:type="dxa"/>
            <w:tcBorders>
              <w:top w:val="single" w:sz="4" w:space="0" w:color="auto"/>
              <w:right w:val="single" w:sz="4" w:space="0" w:color="auto"/>
            </w:tcBorders>
            <w:shd w:val="clear" w:color="auto" w:fill="auto"/>
            <w:noWrap/>
            <w:vAlign w:val="bottom"/>
            <w:hideMark/>
          </w:tcPr>
          <w:p w14:paraId="79AB1750"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65%</w:t>
            </w:r>
          </w:p>
        </w:tc>
        <w:tc>
          <w:tcPr>
            <w:tcW w:w="990" w:type="dxa"/>
            <w:tcBorders>
              <w:top w:val="single" w:sz="4" w:space="0" w:color="auto"/>
              <w:left w:val="single" w:sz="4" w:space="0" w:color="auto"/>
            </w:tcBorders>
            <w:shd w:val="clear" w:color="auto" w:fill="auto"/>
            <w:noWrap/>
            <w:vAlign w:val="bottom"/>
            <w:hideMark/>
          </w:tcPr>
          <w:p w14:paraId="33AA4C0D"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49</w:t>
            </w:r>
          </w:p>
        </w:tc>
        <w:tc>
          <w:tcPr>
            <w:tcW w:w="1012" w:type="dxa"/>
            <w:tcBorders>
              <w:top w:val="single" w:sz="4" w:space="0" w:color="auto"/>
            </w:tcBorders>
            <w:shd w:val="clear" w:color="auto" w:fill="auto"/>
            <w:noWrap/>
            <w:vAlign w:val="bottom"/>
            <w:hideMark/>
          </w:tcPr>
          <w:p w14:paraId="27346F75"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49%</w:t>
            </w:r>
          </w:p>
        </w:tc>
        <w:tc>
          <w:tcPr>
            <w:tcW w:w="1058" w:type="dxa"/>
            <w:tcBorders>
              <w:top w:val="single" w:sz="4" w:space="0" w:color="auto"/>
              <w:right w:val="single" w:sz="4" w:space="0" w:color="auto"/>
            </w:tcBorders>
            <w:shd w:val="clear" w:color="auto" w:fill="auto"/>
            <w:noWrap/>
            <w:vAlign w:val="bottom"/>
            <w:hideMark/>
          </w:tcPr>
          <w:p w14:paraId="21A4A217"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51%</w:t>
            </w:r>
          </w:p>
        </w:tc>
        <w:tc>
          <w:tcPr>
            <w:tcW w:w="1020" w:type="dxa"/>
            <w:tcBorders>
              <w:top w:val="single" w:sz="4" w:space="0" w:color="auto"/>
              <w:left w:val="single" w:sz="4" w:space="0" w:color="auto"/>
            </w:tcBorders>
            <w:shd w:val="clear" w:color="auto" w:fill="auto"/>
            <w:noWrap/>
            <w:vAlign w:val="bottom"/>
            <w:hideMark/>
          </w:tcPr>
          <w:p w14:paraId="43EB03E1"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177</w:t>
            </w:r>
          </w:p>
        </w:tc>
      </w:tr>
      <w:tr w:rsidR="00E1743A" w:rsidRPr="00E1743A" w14:paraId="2D53AED8" w14:textId="77777777" w:rsidTr="00866391">
        <w:trPr>
          <w:trHeight w:val="292"/>
          <w:jc w:val="center"/>
        </w:trPr>
        <w:tc>
          <w:tcPr>
            <w:tcW w:w="1020" w:type="dxa"/>
            <w:tcBorders>
              <w:top w:val="nil"/>
              <w:bottom w:val="nil"/>
              <w:right w:val="single" w:sz="4" w:space="0" w:color="auto"/>
            </w:tcBorders>
            <w:shd w:val="clear" w:color="auto" w:fill="auto"/>
            <w:noWrap/>
            <w:vAlign w:val="bottom"/>
            <w:hideMark/>
          </w:tcPr>
          <w:p w14:paraId="73FD0234"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1985</w:t>
            </w:r>
          </w:p>
        </w:tc>
        <w:tc>
          <w:tcPr>
            <w:tcW w:w="990" w:type="dxa"/>
            <w:tcBorders>
              <w:left w:val="single" w:sz="4" w:space="0" w:color="auto"/>
            </w:tcBorders>
            <w:shd w:val="clear" w:color="auto" w:fill="auto"/>
            <w:noWrap/>
            <w:vAlign w:val="bottom"/>
            <w:hideMark/>
          </w:tcPr>
          <w:p w14:paraId="4C4A8DB6"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160</w:t>
            </w:r>
          </w:p>
        </w:tc>
        <w:tc>
          <w:tcPr>
            <w:tcW w:w="1012" w:type="dxa"/>
            <w:shd w:val="clear" w:color="auto" w:fill="auto"/>
            <w:noWrap/>
            <w:vAlign w:val="bottom"/>
            <w:hideMark/>
          </w:tcPr>
          <w:p w14:paraId="632B4CAB"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53%</w:t>
            </w:r>
          </w:p>
        </w:tc>
        <w:tc>
          <w:tcPr>
            <w:tcW w:w="1058" w:type="dxa"/>
            <w:tcBorders>
              <w:right w:val="single" w:sz="4" w:space="0" w:color="auto"/>
            </w:tcBorders>
            <w:shd w:val="clear" w:color="auto" w:fill="auto"/>
            <w:noWrap/>
            <w:vAlign w:val="bottom"/>
            <w:hideMark/>
          </w:tcPr>
          <w:p w14:paraId="0F2915E3"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47%</w:t>
            </w:r>
          </w:p>
        </w:tc>
        <w:tc>
          <w:tcPr>
            <w:tcW w:w="990" w:type="dxa"/>
            <w:tcBorders>
              <w:left w:val="single" w:sz="4" w:space="0" w:color="auto"/>
            </w:tcBorders>
            <w:shd w:val="clear" w:color="auto" w:fill="auto"/>
            <w:noWrap/>
            <w:vAlign w:val="bottom"/>
            <w:hideMark/>
          </w:tcPr>
          <w:p w14:paraId="3639702B"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62</w:t>
            </w:r>
          </w:p>
        </w:tc>
        <w:tc>
          <w:tcPr>
            <w:tcW w:w="1012" w:type="dxa"/>
            <w:shd w:val="clear" w:color="auto" w:fill="auto"/>
            <w:noWrap/>
            <w:vAlign w:val="bottom"/>
            <w:hideMark/>
          </w:tcPr>
          <w:p w14:paraId="5490FF21"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52%</w:t>
            </w:r>
          </w:p>
        </w:tc>
        <w:tc>
          <w:tcPr>
            <w:tcW w:w="1058" w:type="dxa"/>
            <w:tcBorders>
              <w:right w:val="single" w:sz="4" w:space="0" w:color="auto"/>
            </w:tcBorders>
            <w:shd w:val="clear" w:color="auto" w:fill="auto"/>
            <w:noWrap/>
            <w:vAlign w:val="bottom"/>
            <w:hideMark/>
          </w:tcPr>
          <w:p w14:paraId="59988933"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48%</w:t>
            </w:r>
          </w:p>
        </w:tc>
        <w:tc>
          <w:tcPr>
            <w:tcW w:w="1020" w:type="dxa"/>
            <w:tcBorders>
              <w:left w:val="single" w:sz="4" w:space="0" w:color="auto"/>
            </w:tcBorders>
            <w:shd w:val="clear" w:color="auto" w:fill="auto"/>
            <w:noWrap/>
            <w:vAlign w:val="bottom"/>
            <w:hideMark/>
          </w:tcPr>
          <w:p w14:paraId="4BD45F2A"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222</w:t>
            </w:r>
          </w:p>
        </w:tc>
      </w:tr>
      <w:tr w:rsidR="00E1743A" w:rsidRPr="00E1743A" w14:paraId="7C35928F" w14:textId="77777777" w:rsidTr="00866391">
        <w:trPr>
          <w:trHeight w:val="292"/>
          <w:jc w:val="center"/>
        </w:trPr>
        <w:tc>
          <w:tcPr>
            <w:tcW w:w="1020" w:type="dxa"/>
            <w:tcBorders>
              <w:top w:val="nil"/>
              <w:bottom w:val="nil"/>
              <w:right w:val="single" w:sz="4" w:space="0" w:color="auto"/>
            </w:tcBorders>
            <w:shd w:val="clear" w:color="auto" w:fill="auto"/>
            <w:noWrap/>
            <w:vAlign w:val="bottom"/>
            <w:hideMark/>
          </w:tcPr>
          <w:p w14:paraId="7E674D1C"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1990</w:t>
            </w:r>
          </w:p>
        </w:tc>
        <w:tc>
          <w:tcPr>
            <w:tcW w:w="990" w:type="dxa"/>
            <w:tcBorders>
              <w:left w:val="single" w:sz="4" w:space="0" w:color="auto"/>
            </w:tcBorders>
            <w:shd w:val="clear" w:color="auto" w:fill="auto"/>
            <w:noWrap/>
            <w:vAlign w:val="bottom"/>
            <w:hideMark/>
          </w:tcPr>
          <w:p w14:paraId="5C0637A9"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163</w:t>
            </w:r>
          </w:p>
        </w:tc>
        <w:tc>
          <w:tcPr>
            <w:tcW w:w="1012" w:type="dxa"/>
            <w:shd w:val="clear" w:color="auto" w:fill="auto"/>
            <w:noWrap/>
            <w:vAlign w:val="bottom"/>
            <w:hideMark/>
          </w:tcPr>
          <w:p w14:paraId="75923E69"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69%</w:t>
            </w:r>
          </w:p>
        </w:tc>
        <w:tc>
          <w:tcPr>
            <w:tcW w:w="1058" w:type="dxa"/>
            <w:tcBorders>
              <w:right w:val="single" w:sz="4" w:space="0" w:color="auto"/>
            </w:tcBorders>
            <w:shd w:val="clear" w:color="auto" w:fill="auto"/>
            <w:noWrap/>
            <w:vAlign w:val="bottom"/>
            <w:hideMark/>
          </w:tcPr>
          <w:p w14:paraId="06713131"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31%</w:t>
            </w:r>
          </w:p>
        </w:tc>
        <w:tc>
          <w:tcPr>
            <w:tcW w:w="990" w:type="dxa"/>
            <w:tcBorders>
              <w:left w:val="single" w:sz="4" w:space="0" w:color="auto"/>
            </w:tcBorders>
            <w:shd w:val="clear" w:color="auto" w:fill="auto"/>
            <w:noWrap/>
            <w:vAlign w:val="bottom"/>
            <w:hideMark/>
          </w:tcPr>
          <w:p w14:paraId="3F78DFC5"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76</w:t>
            </w:r>
          </w:p>
        </w:tc>
        <w:tc>
          <w:tcPr>
            <w:tcW w:w="1012" w:type="dxa"/>
            <w:shd w:val="clear" w:color="auto" w:fill="auto"/>
            <w:noWrap/>
            <w:vAlign w:val="bottom"/>
            <w:hideMark/>
          </w:tcPr>
          <w:p w14:paraId="1B2D6089"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49%</w:t>
            </w:r>
          </w:p>
        </w:tc>
        <w:tc>
          <w:tcPr>
            <w:tcW w:w="1058" w:type="dxa"/>
            <w:tcBorders>
              <w:right w:val="single" w:sz="4" w:space="0" w:color="auto"/>
            </w:tcBorders>
            <w:shd w:val="clear" w:color="auto" w:fill="auto"/>
            <w:noWrap/>
            <w:vAlign w:val="bottom"/>
            <w:hideMark/>
          </w:tcPr>
          <w:p w14:paraId="36DD24B0"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51%</w:t>
            </w:r>
          </w:p>
        </w:tc>
        <w:tc>
          <w:tcPr>
            <w:tcW w:w="1020" w:type="dxa"/>
            <w:tcBorders>
              <w:left w:val="single" w:sz="4" w:space="0" w:color="auto"/>
            </w:tcBorders>
            <w:shd w:val="clear" w:color="auto" w:fill="auto"/>
            <w:noWrap/>
            <w:vAlign w:val="bottom"/>
            <w:hideMark/>
          </w:tcPr>
          <w:p w14:paraId="5CD54143"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239</w:t>
            </w:r>
          </w:p>
        </w:tc>
      </w:tr>
      <w:tr w:rsidR="00E1743A" w:rsidRPr="00E1743A" w14:paraId="5BBC6047" w14:textId="77777777" w:rsidTr="00866391">
        <w:trPr>
          <w:trHeight w:val="292"/>
          <w:jc w:val="center"/>
        </w:trPr>
        <w:tc>
          <w:tcPr>
            <w:tcW w:w="1020" w:type="dxa"/>
            <w:tcBorders>
              <w:top w:val="nil"/>
              <w:bottom w:val="nil"/>
              <w:right w:val="single" w:sz="4" w:space="0" w:color="auto"/>
            </w:tcBorders>
            <w:shd w:val="clear" w:color="auto" w:fill="auto"/>
            <w:noWrap/>
            <w:vAlign w:val="bottom"/>
            <w:hideMark/>
          </w:tcPr>
          <w:p w14:paraId="2E447561"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1995</w:t>
            </w:r>
          </w:p>
        </w:tc>
        <w:tc>
          <w:tcPr>
            <w:tcW w:w="990" w:type="dxa"/>
            <w:tcBorders>
              <w:left w:val="single" w:sz="4" w:space="0" w:color="auto"/>
            </w:tcBorders>
            <w:shd w:val="clear" w:color="auto" w:fill="auto"/>
            <w:noWrap/>
            <w:vAlign w:val="bottom"/>
            <w:hideMark/>
          </w:tcPr>
          <w:p w14:paraId="1357E6C7"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168</w:t>
            </w:r>
          </w:p>
        </w:tc>
        <w:tc>
          <w:tcPr>
            <w:tcW w:w="1012" w:type="dxa"/>
            <w:shd w:val="clear" w:color="auto" w:fill="auto"/>
            <w:noWrap/>
            <w:vAlign w:val="bottom"/>
            <w:hideMark/>
          </w:tcPr>
          <w:p w14:paraId="2E3D2048"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66%</w:t>
            </w:r>
          </w:p>
        </w:tc>
        <w:tc>
          <w:tcPr>
            <w:tcW w:w="1058" w:type="dxa"/>
            <w:tcBorders>
              <w:right w:val="single" w:sz="4" w:space="0" w:color="auto"/>
            </w:tcBorders>
            <w:shd w:val="clear" w:color="auto" w:fill="auto"/>
            <w:noWrap/>
            <w:vAlign w:val="bottom"/>
            <w:hideMark/>
          </w:tcPr>
          <w:p w14:paraId="7A0C48A3"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34%</w:t>
            </w:r>
          </w:p>
        </w:tc>
        <w:tc>
          <w:tcPr>
            <w:tcW w:w="990" w:type="dxa"/>
            <w:tcBorders>
              <w:left w:val="single" w:sz="4" w:space="0" w:color="auto"/>
            </w:tcBorders>
            <w:shd w:val="clear" w:color="auto" w:fill="auto"/>
            <w:noWrap/>
            <w:vAlign w:val="bottom"/>
            <w:hideMark/>
          </w:tcPr>
          <w:p w14:paraId="444B974A"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91</w:t>
            </w:r>
          </w:p>
        </w:tc>
        <w:tc>
          <w:tcPr>
            <w:tcW w:w="1012" w:type="dxa"/>
            <w:shd w:val="clear" w:color="auto" w:fill="auto"/>
            <w:noWrap/>
            <w:vAlign w:val="bottom"/>
            <w:hideMark/>
          </w:tcPr>
          <w:p w14:paraId="22F7D850"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46%</w:t>
            </w:r>
          </w:p>
        </w:tc>
        <w:tc>
          <w:tcPr>
            <w:tcW w:w="1058" w:type="dxa"/>
            <w:tcBorders>
              <w:right w:val="single" w:sz="4" w:space="0" w:color="auto"/>
            </w:tcBorders>
            <w:shd w:val="clear" w:color="auto" w:fill="auto"/>
            <w:noWrap/>
            <w:vAlign w:val="bottom"/>
            <w:hideMark/>
          </w:tcPr>
          <w:p w14:paraId="19323428"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54%</w:t>
            </w:r>
          </w:p>
        </w:tc>
        <w:tc>
          <w:tcPr>
            <w:tcW w:w="1020" w:type="dxa"/>
            <w:tcBorders>
              <w:left w:val="single" w:sz="4" w:space="0" w:color="auto"/>
            </w:tcBorders>
            <w:shd w:val="clear" w:color="auto" w:fill="auto"/>
            <w:noWrap/>
            <w:vAlign w:val="bottom"/>
            <w:hideMark/>
          </w:tcPr>
          <w:p w14:paraId="360793C3"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259</w:t>
            </w:r>
          </w:p>
        </w:tc>
      </w:tr>
      <w:tr w:rsidR="00E1743A" w:rsidRPr="00E1743A" w14:paraId="239B99AD" w14:textId="77777777" w:rsidTr="00866391">
        <w:trPr>
          <w:trHeight w:val="292"/>
          <w:jc w:val="center"/>
        </w:trPr>
        <w:tc>
          <w:tcPr>
            <w:tcW w:w="1020" w:type="dxa"/>
            <w:tcBorders>
              <w:top w:val="nil"/>
              <w:bottom w:val="nil"/>
              <w:right w:val="single" w:sz="4" w:space="0" w:color="auto"/>
            </w:tcBorders>
            <w:shd w:val="clear" w:color="auto" w:fill="auto"/>
            <w:noWrap/>
            <w:vAlign w:val="bottom"/>
            <w:hideMark/>
          </w:tcPr>
          <w:p w14:paraId="64C665B9"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2000</w:t>
            </w:r>
          </w:p>
        </w:tc>
        <w:tc>
          <w:tcPr>
            <w:tcW w:w="990" w:type="dxa"/>
            <w:tcBorders>
              <w:left w:val="single" w:sz="4" w:space="0" w:color="auto"/>
            </w:tcBorders>
            <w:shd w:val="clear" w:color="auto" w:fill="auto"/>
            <w:noWrap/>
            <w:vAlign w:val="bottom"/>
            <w:hideMark/>
          </w:tcPr>
          <w:p w14:paraId="2A39538F"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154</w:t>
            </w:r>
          </w:p>
        </w:tc>
        <w:tc>
          <w:tcPr>
            <w:tcW w:w="1012" w:type="dxa"/>
            <w:shd w:val="clear" w:color="auto" w:fill="auto"/>
            <w:noWrap/>
            <w:vAlign w:val="bottom"/>
            <w:hideMark/>
          </w:tcPr>
          <w:p w14:paraId="74475742"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49%</w:t>
            </w:r>
          </w:p>
        </w:tc>
        <w:tc>
          <w:tcPr>
            <w:tcW w:w="1058" w:type="dxa"/>
            <w:tcBorders>
              <w:right w:val="single" w:sz="4" w:space="0" w:color="auto"/>
            </w:tcBorders>
            <w:shd w:val="clear" w:color="auto" w:fill="auto"/>
            <w:noWrap/>
            <w:vAlign w:val="bottom"/>
            <w:hideMark/>
          </w:tcPr>
          <w:p w14:paraId="6FEB75A9"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51%</w:t>
            </w:r>
          </w:p>
        </w:tc>
        <w:tc>
          <w:tcPr>
            <w:tcW w:w="990" w:type="dxa"/>
            <w:tcBorders>
              <w:left w:val="single" w:sz="4" w:space="0" w:color="auto"/>
            </w:tcBorders>
            <w:shd w:val="clear" w:color="auto" w:fill="auto"/>
            <w:noWrap/>
            <w:vAlign w:val="bottom"/>
            <w:hideMark/>
          </w:tcPr>
          <w:p w14:paraId="370DC9CF"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101</w:t>
            </w:r>
          </w:p>
        </w:tc>
        <w:tc>
          <w:tcPr>
            <w:tcW w:w="1012" w:type="dxa"/>
            <w:shd w:val="clear" w:color="auto" w:fill="auto"/>
            <w:noWrap/>
            <w:vAlign w:val="bottom"/>
            <w:hideMark/>
          </w:tcPr>
          <w:p w14:paraId="2703D5F4"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60%</w:t>
            </w:r>
          </w:p>
        </w:tc>
        <w:tc>
          <w:tcPr>
            <w:tcW w:w="1058" w:type="dxa"/>
            <w:tcBorders>
              <w:right w:val="single" w:sz="4" w:space="0" w:color="auto"/>
            </w:tcBorders>
            <w:shd w:val="clear" w:color="auto" w:fill="auto"/>
            <w:noWrap/>
            <w:vAlign w:val="bottom"/>
            <w:hideMark/>
          </w:tcPr>
          <w:p w14:paraId="5933BD9E"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40%</w:t>
            </w:r>
          </w:p>
        </w:tc>
        <w:tc>
          <w:tcPr>
            <w:tcW w:w="1020" w:type="dxa"/>
            <w:tcBorders>
              <w:left w:val="single" w:sz="4" w:space="0" w:color="auto"/>
            </w:tcBorders>
            <w:shd w:val="clear" w:color="auto" w:fill="auto"/>
            <w:noWrap/>
            <w:vAlign w:val="bottom"/>
            <w:hideMark/>
          </w:tcPr>
          <w:p w14:paraId="30FE3748"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255</w:t>
            </w:r>
          </w:p>
        </w:tc>
      </w:tr>
      <w:tr w:rsidR="00E1743A" w:rsidRPr="00E1743A" w14:paraId="60C1A96F" w14:textId="77777777" w:rsidTr="00866391">
        <w:trPr>
          <w:trHeight w:val="292"/>
          <w:jc w:val="center"/>
        </w:trPr>
        <w:tc>
          <w:tcPr>
            <w:tcW w:w="1020" w:type="dxa"/>
            <w:tcBorders>
              <w:top w:val="nil"/>
              <w:bottom w:val="nil"/>
              <w:right w:val="single" w:sz="4" w:space="0" w:color="auto"/>
            </w:tcBorders>
            <w:shd w:val="clear" w:color="auto" w:fill="auto"/>
            <w:noWrap/>
            <w:vAlign w:val="bottom"/>
            <w:hideMark/>
          </w:tcPr>
          <w:p w14:paraId="2363577E"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2005</w:t>
            </w:r>
          </w:p>
        </w:tc>
        <w:tc>
          <w:tcPr>
            <w:tcW w:w="990" w:type="dxa"/>
            <w:tcBorders>
              <w:left w:val="single" w:sz="4" w:space="0" w:color="auto"/>
            </w:tcBorders>
            <w:shd w:val="clear" w:color="auto" w:fill="auto"/>
            <w:noWrap/>
            <w:vAlign w:val="bottom"/>
            <w:hideMark/>
          </w:tcPr>
          <w:p w14:paraId="352047DA"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166</w:t>
            </w:r>
          </w:p>
        </w:tc>
        <w:tc>
          <w:tcPr>
            <w:tcW w:w="1012" w:type="dxa"/>
            <w:shd w:val="clear" w:color="auto" w:fill="auto"/>
            <w:noWrap/>
            <w:vAlign w:val="bottom"/>
            <w:hideMark/>
          </w:tcPr>
          <w:p w14:paraId="3271502F"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58%</w:t>
            </w:r>
          </w:p>
        </w:tc>
        <w:tc>
          <w:tcPr>
            <w:tcW w:w="1058" w:type="dxa"/>
            <w:tcBorders>
              <w:right w:val="single" w:sz="4" w:space="0" w:color="auto"/>
            </w:tcBorders>
            <w:shd w:val="clear" w:color="auto" w:fill="auto"/>
            <w:noWrap/>
            <w:vAlign w:val="bottom"/>
            <w:hideMark/>
          </w:tcPr>
          <w:p w14:paraId="401DFAAF"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42%</w:t>
            </w:r>
          </w:p>
        </w:tc>
        <w:tc>
          <w:tcPr>
            <w:tcW w:w="990" w:type="dxa"/>
            <w:tcBorders>
              <w:left w:val="single" w:sz="4" w:space="0" w:color="auto"/>
            </w:tcBorders>
            <w:shd w:val="clear" w:color="auto" w:fill="auto"/>
            <w:noWrap/>
            <w:vAlign w:val="bottom"/>
            <w:hideMark/>
          </w:tcPr>
          <w:p w14:paraId="5926DCB8"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107</w:t>
            </w:r>
          </w:p>
        </w:tc>
        <w:tc>
          <w:tcPr>
            <w:tcW w:w="1012" w:type="dxa"/>
            <w:shd w:val="clear" w:color="auto" w:fill="auto"/>
            <w:noWrap/>
            <w:vAlign w:val="bottom"/>
            <w:hideMark/>
          </w:tcPr>
          <w:p w14:paraId="42EE742E"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64%</w:t>
            </w:r>
          </w:p>
        </w:tc>
        <w:tc>
          <w:tcPr>
            <w:tcW w:w="1058" w:type="dxa"/>
            <w:tcBorders>
              <w:right w:val="single" w:sz="4" w:space="0" w:color="auto"/>
            </w:tcBorders>
            <w:shd w:val="clear" w:color="auto" w:fill="auto"/>
            <w:noWrap/>
            <w:vAlign w:val="bottom"/>
            <w:hideMark/>
          </w:tcPr>
          <w:p w14:paraId="50EBF3C8"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36%</w:t>
            </w:r>
          </w:p>
        </w:tc>
        <w:tc>
          <w:tcPr>
            <w:tcW w:w="1020" w:type="dxa"/>
            <w:tcBorders>
              <w:left w:val="single" w:sz="4" w:space="0" w:color="auto"/>
            </w:tcBorders>
            <w:shd w:val="clear" w:color="auto" w:fill="auto"/>
            <w:noWrap/>
            <w:vAlign w:val="bottom"/>
            <w:hideMark/>
          </w:tcPr>
          <w:p w14:paraId="06F42F27"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273</w:t>
            </w:r>
          </w:p>
        </w:tc>
      </w:tr>
      <w:tr w:rsidR="00E1743A" w:rsidRPr="00E1743A" w14:paraId="5D75A455" w14:textId="77777777" w:rsidTr="00866391">
        <w:trPr>
          <w:trHeight w:val="292"/>
          <w:jc w:val="center"/>
        </w:trPr>
        <w:tc>
          <w:tcPr>
            <w:tcW w:w="1020" w:type="dxa"/>
            <w:tcBorders>
              <w:top w:val="nil"/>
              <w:bottom w:val="nil"/>
              <w:right w:val="single" w:sz="4" w:space="0" w:color="auto"/>
            </w:tcBorders>
            <w:shd w:val="clear" w:color="auto" w:fill="auto"/>
            <w:noWrap/>
            <w:vAlign w:val="bottom"/>
            <w:hideMark/>
          </w:tcPr>
          <w:p w14:paraId="008DDEFF"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2010</w:t>
            </w:r>
          </w:p>
        </w:tc>
        <w:tc>
          <w:tcPr>
            <w:tcW w:w="990" w:type="dxa"/>
            <w:tcBorders>
              <w:left w:val="single" w:sz="4" w:space="0" w:color="auto"/>
            </w:tcBorders>
            <w:shd w:val="clear" w:color="auto" w:fill="auto"/>
            <w:noWrap/>
            <w:vAlign w:val="bottom"/>
            <w:hideMark/>
          </w:tcPr>
          <w:p w14:paraId="5DB07DAE"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165</w:t>
            </w:r>
          </w:p>
        </w:tc>
        <w:tc>
          <w:tcPr>
            <w:tcW w:w="1012" w:type="dxa"/>
            <w:shd w:val="clear" w:color="auto" w:fill="auto"/>
            <w:noWrap/>
            <w:vAlign w:val="bottom"/>
            <w:hideMark/>
          </w:tcPr>
          <w:p w14:paraId="56D25A05"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55%</w:t>
            </w:r>
          </w:p>
        </w:tc>
        <w:tc>
          <w:tcPr>
            <w:tcW w:w="1058" w:type="dxa"/>
            <w:tcBorders>
              <w:right w:val="single" w:sz="4" w:space="0" w:color="auto"/>
            </w:tcBorders>
            <w:shd w:val="clear" w:color="auto" w:fill="auto"/>
            <w:noWrap/>
            <w:vAlign w:val="bottom"/>
            <w:hideMark/>
          </w:tcPr>
          <w:p w14:paraId="5ED46701"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45%</w:t>
            </w:r>
          </w:p>
        </w:tc>
        <w:tc>
          <w:tcPr>
            <w:tcW w:w="990" w:type="dxa"/>
            <w:tcBorders>
              <w:left w:val="single" w:sz="4" w:space="0" w:color="auto"/>
            </w:tcBorders>
            <w:shd w:val="clear" w:color="auto" w:fill="auto"/>
            <w:noWrap/>
            <w:vAlign w:val="bottom"/>
            <w:hideMark/>
          </w:tcPr>
          <w:p w14:paraId="15806E81"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115</w:t>
            </w:r>
          </w:p>
        </w:tc>
        <w:tc>
          <w:tcPr>
            <w:tcW w:w="1012" w:type="dxa"/>
            <w:shd w:val="clear" w:color="auto" w:fill="auto"/>
            <w:noWrap/>
            <w:vAlign w:val="bottom"/>
            <w:hideMark/>
          </w:tcPr>
          <w:p w14:paraId="7B1BF5DE"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68%</w:t>
            </w:r>
          </w:p>
        </w:tc>
        <w:tc>
          <w:tcPr>
            <w:tcW w:w="1058" w:type="dxa"/>
            <w:tcBorders>
              <w:right w:val="single" w:sz="4" w:space="0" w:color="auto"/>
            </w:tcBorders>
            <w:shd w:val="clear" w:color="auto" w:fill="auto"/>
            <w:noWrap/>
            <w:vAlign w:val="bottom"/>
            <w:hideMark/>
          </w:tcPr>
          <w:p w14:paraId="7AB44FE3"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32%</w:t>
            </w:r>
          </w:p>
        </w:tc>
        <w:tc>
          <w:tcPr>
            <w:tcW w:w="1020" w:type="dxa"/>
            <w:tcBorders>
              <w:left w:val="single" w:sz="4" w:space="0" w:color="auto"/>
            </w:tcBorders>
            <w:shd w:val="clear" w:color="auto" w:fill="auto"/>
            <w:noWrap/>
            <w:vAlign w:val="bottom"/>
            <w:hideMark/>
          </w:tcPr>
          <w:p w14:paraId="7269BC9C"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280</w:t>
            </w:r>
          </w:p>
        </w:tc>
      </w:tr>
      <w:tr w:rsidR="00E1743A" w:rsidRPr="00E1743A" w14:paraId="455495A7" w14:textId="77777777" w:rsidTr="00866391">
        <w:trPr>
          <w:trHeight w:val="292"/>
          <w:jc w:val="center"/>
        </w:trPr>
        <w:tc>
          <w:tcPr>
            <w:tcW w:w="1020" w:type="dxa"/>
            <w:tcBorders>
              <w:top w:val="nil"/>
              <w:bottom w:val="nil"/>
              <w:right w:val="single" w:sz="4" w:space="0" w:color="auto"/>
            </w:tcBorders>
            <w:shd w:val="clear" w:color="auto" w:fill="auto"/>
            <w:noWrap/>
            <w:vAlign w:val="bottom"/>
            <w:hideMark/>
          </w:tcPr>
          <w:p w14:paraId="052E2DDE"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2015</w:t>
            </w:r>
          </w:p>
        </w:tc>
        <w:tc>
          <w:tcPr>
            <w:tcW w:w="990" w:type="dxa"/>
            <w:tcBorders>
              <w:left w:val="single" w:sz="4" w:space="0" w:color="auto"/>
            </w:tcBorders>
            <w:shd w:val="clear" w:color="auto" w:fill="auto"/>
            <w:noWrap/>
            <w:vAlign w:val="bottom"/>
            <w:hideMark/>
          </w:tcPr>
          <w:p w14:paraId="57A26115"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169</w:t>
            </w:r>
          </w:p>
        </w:tc>
        <w:tc>
          <w:tcPr>
            <w:tcW w:w="1012" w:type="dxa"/>
            <w:shd w:val="clear" w:color="auto" w:fill="auto"/>
            <w:noWrap/>
            <w:vAlign w:val="bottom"/>
            <w:hideMark/>
          </w:tcPr>
          <w:p w14:paraId="0B734EC1"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45%</w:t>
            </w:r>
          </w:p>
        </w:tc>
        <w:tc>
          <w:tcPr>
            <w:tcW w:w="1058" w:type="dxa"/>
            <w:tcBorders>
              <w:right w:val="single" w:sz="4" w:space="0" w:color="auto"/>
            </w:tcBorders>
            <w:shd w:val="clear" w:color="auto" w:fill="auto"/>
            <w:noWrap/>
            <w:vAlign w:val="bottom"/>
            <w:hideMark/>
          </w:tcPr>
          <w:p w14:paraId="61A0F9B5"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55%</w:t>
            </w:r>
          </w:p>
        </w:tc>
        <w:tc>
          <w:tcPr>
            <w:tcW w:w="990" w:type="dxa"/>
            <w:tcBorders>
              <w:left w:val="single" w:sz="4" w:space="0" w:color="auto"/>
            </w:tcBorders>
            <w:shd w:val="clear" w:color="auto" w:fill="auto"/>
            <w:noWrap/>
            <w:vAlign w:val="bottom"/>
            <w:hideMark/>
          </w:tcPr>
          <w:p w14:paraId="77988C69"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112</w:t>
            </w:r>
          </w:p>
        </w:tc>
        <w:tc>
          <w:tcPr>
            <w:tcW w:w="1012" w:type="dxa"/>
            <w:shd w:val="clear" w:color="auto" w:fill="auto"/>
            <w:noWrap/>
            <w:vAlign w:val="bottom"/>
            <w:hideMark/>
          </w:tcPr>
          <w:p w14:paraId="324F9B6C"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63%</w:t>
            </w:r>
          </w:p>
        </w:tc>
        <w:tc>
          <w:tcPr>
            <w:tcW w:w="1058" w:type="dxa"/>
            <w:tcBorders>
              <w:right w:val="single" w:sz="4" w:space="0" w:color="auto"/>
            </w:tcBorders>
            <w:shd w:val="clear" w:color="auto" w:fill="auto"/>
            <w:noWrap/>
            <w:vAlign w:val="bottom"/>
            <w:hideMark/>
          </w:tcPr>
          <w:p w14:paraId="330A3AB4"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38%</w:t>
            </w:r>
          </w:p>
        </w:tc>
        <w:tc>
          <w:tcPr>
            <w:tcW w:w="1020" w:type="dxa"/>
            <w:tcBorders>
              <w:left w:val="single" w:sz="4" w:space="0" w:color="auto"/>
            </w:tcBorders>
            <w:shd w:val="clear" w:color="auto" w:fill="auto"/>
            <w:noWrap/>
            <w:vAlign w:val="bottom"/>
            <w:hideMark/>
          </w:tcPr>
          <w:p w14:paraId="2A7AD546"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281</w:t>
            </w:r>
          </w:p>
        </w:tc>
      </w:tr>
      <w:tr w:rsidR="00E1743A" w:rsidRPr="00E1743A" w14:paraId="1AF142BB" w14:textId="77777777" w:rsidTr="00866391">
        <w:trPr>
          <w:trHeight w:val="292"/>
          <w:jc w:val="center"/>
        </w:trPr>
        <w:tc>
          <w:tcPr>
            <w:tcW w:w="1020" w:type="dxa"/>
            <w:tcBorders>
              <w:top w:val="nil"/>
              <w:bottom w:val="single" w:sz="4" w:space="0" w:color="auto"/>
              <w:right w:val="single" w:sz="4" w:space="0" w:color="auto"/>
            </w:tcBorders>
            <w:shd w:val="clear" w:color="auto" w:fill="auto"/>
            <w:noWrap/>
            <w:vAlign w:val="bottom"/>
            <w:hideMark/>
          </w:tcPr>
          <w:p w14:paraId="58FDFC7C"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2020</w:t>
            </w:r>
          </w:p>
        </w:tc>
        <w:tc>
          <w:tcPr>
            <w:tcW w:w="990" w:type="dxa"/>
            <w:tcBorders>
              <w:left w:val="single" w:sz="4" w:space="0" w:color="auto"/>
            </w:tcBorders>
            <w:shd w:val="clear" w:color="auto" w:fill="auto"/>
            <w:noWrap/>
            <w:vAlign w:val="bottom"/>
            <w:hideMark/>
          </w:tcPr>
          <w:p w14:paraId="22CC1291"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180</w:t>
            </w:r>
          </w:p>
        </w:tc>
        <w:tc>
          <w:tcPr>
            <w:tcW w:w="1012" w:type="dxa"/>
            <w:shd w:val="clear" w:color="auto" w:fill="auto"/>
            <w:noWrap/>
            <w:vAlign w:val="bottom"/>
            <w:hideMark/>
          </w:tcPr>
          <w:p w14:paraId="09F0FF46"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55%</w:t>
            </w:r>
          </w:p>
        </w:tc>
        <w:tc>
          <w:tcPr>
            <w:tcW w:w="1058" w:type="dxa"/>
            <w:tcBorders>
              <w:bottom w:val="single" w:sz="4" w:space="0" w:color="auto"/>
              <w:right w:val="single" w:sz="4" w:space="0" w:color="auto"/>
            </w:tcBorders>
            <w:shd w:val="clear" w:color="auto" w:fill="auto"/>
            <w:noWrap/>
            <w:vAlign w:val="bottom"/>
            <w:hideMark/>
          </w:tcPr>
          <w:p w14:paraId="7D7DD58D"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45%</w:t>
            </w:r>
          </w:p>
        </w:tc>
        <w:tc>
          <w:tcPr>
            <w:tcW w:w="990" w:type="dxa"/>
            <w:tcBorders>
              <w:left w:val="single" w:sz="4" w:space="0" w:color="auto"/>
              <w:bottom w:val="single" w:sz="4" w:space="0" w:color="auto"/>
            </w:tcBorders>
            <w:shd w:val="clear" w:color="auto" w:fill="auto"/>
            <w:noWrap/>
            <w:vAlign w:val="bottom"/>
            <w:hideMark/>
          </w:tcPr>
          <w:p w14:paraId="5F767A1B"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120</w:t>
            </w:r>
          </w:p>
        </w:tc>
        <w:tc>
          <w:tcPr>
            <w:tcW w:w="1012" w:type="dxa"/>
            <w:tcBorders>
              <w:bottom w:val="single" w:sz="4" w:space="0" w:color="auto"/>
            </w:tcBorders>
            <w:shd w:val="clear" w:color="auto" w:fill="auto"/>
            <w:noWrap/>
            <w:vAlign w:val="bottom"/>
            <w:hideMark/>
          </w:tcPr>
          <w:p w14:paraId="5F374FA0"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67%</w:t>
            </w:r>
          </w:p>
        </w:tc>
        <w:tc>
          <w:tcPr>
            <w:tcW w:w="1058" w:type="dxa"/>
            <w:tcBorders>
              <w:bottom w:val="single" w:sz="4" w:space="0" w:color="auto"/>
              <w:right w:val="single" w:sz="4" w:space="0" w:color="auto"/>
            </w:tcBorders>
            <w:shd w:val="clear" w:color="auto" w:fill="auto"/>
            <w:noWrap/>
            <w:vAlign w:val="bottom"/>
            <w:hideMark/>
          </w:tcPr>
          <w:p w14:paraId="67F68397"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33%</w:t>
            </w:r>
          </w:p>
        </w:tc>
        <w:tc>
          <w:tcPr>
            <w:tcW w:w="1020" w:type="dxa"/>
            <w:tcBorders>
              <w:left w:val="single" w:sz="4" w:space="0" w:color="auto"/>
            </w:tcBorders>
            <w:shd w:val="clear" w:color="auto" w:fill="auto"/>
            <w:noWrap/>
            <w:vAlign w:val="bottom"/>
            <w:hideMark/>
          </w:tcPr>
          <w:p w14:paraId="77232938" w14:textId="77777777" w:rsidR="00E1743A" w:rsidRPr="00E1743A" w:rsidRDefault="00E1743A" w:rsidP="00E1743A">
            <w:pPr>
              <w:spacing w:after="0" w:line="240" w:lineRule="auto"/>
              <w:jc w:val="center"/>
              <w:rPr>
                <w:rFonts w:ascii="Calibri" w:eastAsia="Times New Roman" w:hAnsi="Calibri" w:cs="Calibri"/>
                <w:color w:val="000000"/>
              </w:rPr>
            </w:pPr>
            <w:r w:rsidRPr="00E1743A">
              <w:rPr>
                <w:rFonts w:ascii="Calibri" w:eastAsia="Times New Roman" w:hAnsi="Calibri" w:cs="Calibri"/>
                <w:color w:val="000000"/>
              </w:rPr>
              <w:t>300</w:t>
            </w:r>
          </w:p>
        </w:tc>
      </w:tr>
    </w:tbl>
    <w:p w14:paraId="05CEB8BC" w14:textId="46893E75" w:rsidR="00E1743A" w:rsidRDefault="00E1743A" w:rsidP="00F66DDF">
      <w:pPr>
        <w:rPr>
          <w:rFonts w:asciiTheme="majorBidi" w:hAnsiTheme="majorBidi" w:cstheme="majorBidi"/>
          <w:b/>
          <w:bCs/>
          <w:sz w:val="24"/>
          <w:szCs w:val="24"/>
        </w:rPr>
      </w:pPr>
    </w:p>
    <w:p w14:paraId="4B6BA4DD" w14:textId="128B1B31" w:rsidR="00280B60" w:rsidRDefault="0050175C" w:rsidP="00A13C7B">
      <w:pPr>
        <w:spacing w:after="120" w:line="360" w:lineRule="auto"/>
        <w:ind w:firstLine="446"/>
        <w:jc w:val="both"/>
        <w:rPr>
          <w:rFonts w:asciiTheme="majorBidi" w:hAnsiTheme="majorBidi" w:cstheme="majorBidi"/>
          <w:sz w:val="24"/>
          <w:szCs w:val="24"/>
        </w:rPr>
      </w:pPr>
      <w:r>
        <w:rPr>
          <w:rFonts w:asciiTheme="majorBidi" w:hAnsiTheme="majorBidi" w:cstheme="majorBidi"/>
          <w:sz w:val="24"/>
          <w:szCs w:val="24"/>
        </w:rPr>
        <w:t xml:space="preserve">As Table </w:t>
      </w:r>
      <w:r w:rsidR="00F25635">
        <w:rPr>
          <w:rFonts w:asciiTheme="majorBidi" w:hAnsiTheme="majorBidi" w:cstheme="majorBidi"/>
          <w:sz w:val="24"/>
          <w:szCs w:val="24"/>
        </w:rPr>
        <w:t xml:space="preserve">1 </w:t>
      </w:r>
      <w:r>
        <w:rPr>
          <w:rFonts w:asciiTheme="majorBidi" w:hAnsiTheme="majorBidi" w:cstheme="majorBidi"/>
          <w:sz w:val="24"/>
          <w:szCs w:val="24"/>
        </w:rPr>
        <w:t xml:space="preserve">indicates, </w:t>
      </w:r>
      <w:r w:rsidR="001813D1" w:rsidRPr="004F4103">
        <w:rPr>
          <w:rFonts w:asciiTheme="majorBidi" w:hAnsiTheme="majorBidi" w:cstheme="majorBidi"/>
          <w:sz w:val="24"/>
          <w:szCs w:val="24"/>
        </w:rPr>
        <w:t>there are</w:t>
      </w:r>
      <w:r w:rsidR="007E6851" w:rsidRPr="004F4103">
        <w:rPr>
          <w:rFonts w:asciiTheme="majorBidi" w:hAnsiTheme="majorBidi" w:cstheme="majorBidi"/>
          <w:sz w:val="24"/>
          <w:szCs w:val="24"/>
        </w:rPr>
        <w:t xml:space="preserve"> large </w:t>
      </w:r>
      <w:r w:rsidR="001813D1" w:rsidRPr="004F4103">
        <w:rPr>
          <w:rFonts w:asciiTheme="majorBidi" w:hAnsiTheme="majorBidi" w:cstheme="majorBidi"/>
          <w:sz w:val="24"/>
          <w:szCs w:val="24"/>
        </w:rPr>
        <w:t>fluctuations in the</w:t>
      </w:r>
      <w:r>
        <w:rPr>
          <w:rFonts w:asciiTheme="majorBidi" w:hAnsiTheme="majorBidi" w:cstheme="majorBidi"/>
          <w:sz w:val="24"/>
          <w:szCs w:val="24"/>
        </w:rPr>
        <w:t xml:space="preserve"> political composition of the Circuit Courts over time. </w:t>
      </w:r>
      <w:r w:rsidR="001813D1" w:rsidRPr="004F4103">
        <w:rPr>
          <w:rFonts w:asciiTheme="majorBidi" w:hAnsiTheme="majorBidi" w:cstheme="majorBidi"/>
          <w:sz w:val="24"/>
          <w:szCs w:val="24"/>
        </w:rPr>
        <w:t xml:space="preserve">For </w:t>
      </w:r>
      <w:r>
        <w:rPr>
          <w:rFonts w:asciiTheme="majorBidi" w:hAnsiTheme="majorBidi" w:cstheme="majorBidi"/>
          <w:sz w:val="24"/>
          <w:szCs w:val="24"/>
        </w:rPr>
        <w:t xml:space="preserve">active judges, the percentage of </w:t>
      </w:r>
      <w:r w:rsidR="00A07786">
        <w:rPr>
          <w:rFonts w:asciiTheme="majorBidi" w:hAnsiTheme="majorBidi" w:cstheme="majorBidi"/>
          <w:sz w:val="24"/>
          <w:szCs w:val="24"/>
        </w:rPr>
        <w:t xml:space="preserve">Republicans was 35% in 1980, rose to 69% at 1990, and </w:t>
      </w:r>
      <w:r w:rsidR="009B4809">
        <w:rPr>
          <w:rFonts w:asciiTheme="majorBidi" w:hAnsiTheme="majorBidi" w:cstheme="majorBidi"/>
          <w:sz w:val="24"/>
          <w:szCs w:val="24"/>
        </w:rPr>
        <w:t>subsequently</w:t>
      </w:r>
      <w:r w:rsidR="00A07786">
        <w:rPr>
          <w:rFonts w:asciiTheme="majorBidi" w:hAnsiTheme="majorBidi" w:cstheme="majorBidi"/>
          <w:sz w:val="24"/>
          <w:szCs w:val="24"/>
        </w:rPr>
        <w:t xml:space="preserve"> declined somewhat</w:t>
      </w:r>
      <w:r w:rsidR="00780C16">
        <w:rPr>
          <w:rFonts w:asciiTheme="majorBidi" w:hAnsiTheme="majorBidi" w:cstheme="majorBidi"/>
          <w:sz w:val="24"/>
          <w:szCs w:val="24"/>
        </w:rPr>
        <w:t xml:space="preserve">, fluctuating between 45% and 58% in this decade, </w:t>
      </w:r>
      <w:r w:rsidR="00B50933">
        <w:rPr>
          <w:rFonts w:asciiTheme="majorBidi" w:hAnsiTheme="majorBidi" w:cstheme="majorBidi"/>
          <w:sz w:val="24"/>
          <w:szCs w:val="24"/>
        </w:rPr>
        <w:t xml:space="preserve">and ending the examined period at 55%. As to senior judges, </w:t>
      </w:r>
      <w:r w:rsidR="00912A42">
        <w:rPr>
          <w:rFonts w:asciiTheme="majorBidi" w:hAnsiTheme="majorBidi" w:cstheme="majorBidi"/>
          <w:sz w:val="24"/>
          <w:szCs w:val="24"/>
        </w:rPr>
        <w:t xml:space="preserve">the percentage of republicans has been trending upward during the examined period, reaching 60% in 2000 and 67% in 2020. </w:t>
      </w:r>
    </w:p>
    <w:p w14:paraId="39F0C921" w14:textId="7FBB7666" w:rsidR="00EC65D8" w:rsidRDefault="00912A42" w:rsidP="00A13C7B">
      <w:pPr>
        <w:spacing w:after="120" w:line="360" w:lineRule="auto"/>
        <w:ind w:firstLine="446"/>
        <w:jc w:val="both"/>
        <w:rPr>
          <w:rFonts w:asciiTheme="majorBidi" w:hAnsiTheme="majorBidi" w:cstheme="majorBidi"/>
          <w:sz w:val="24"/>
          <w:szCs w:val="24"/>
        </w:rPr>
      </w:pPr>
      <w:r>
        <w:rPr>
          <w:rFonts w:asciiTheme="majorBidi" w:hAnsiTheme="majorBidi" w:cstheme="majorBidi"/>
          <w:sz w:val="24"/>
          <w:szCs w:val="24"/>
        </w:rPr>
        <w:t>Turning from the political affiliation of individual judge</w:t>
      </w:r>
      <w:r w:rsidR="00EC65D8">
        <w:rPr>
          <w:rFonts w:asciiTheme="majorBidi" w:hAnsiTheme="majorBidi" w:cstheme="majorBidi"/>
          <w:sz w:val="24"/>
          <w:szCs w:val="24"/>
        </w:rPr>
        <w:t xml:space="preserve">s to the political composition of panels, Table 2 provide information about the political composition of the panels during the examined period. </w:t>
      </w:r>
      <w:r w:rsidR="00417A3D">
        <w:rPr>
          <w:rFonts w:asciiTheme="majorBidi" w:hAnsiTheme="majorBidi" w:cstheme="majorBidi"/>
          <w:sz w:val="24"/>
          <w:szCs w:val="24"/>
        </w:rPr>
        <w:t xml:space="preserve">I </w:t>
      </w:r>
      <w:r w:rsidR="00EC65D8">
        <w:rPr>
          <w:rFonts w:asciiTheme="majorBidi" w:hAnsiTheme="majorBidi" w:cstheme="majorBidi"/>
          <w:sz w:val="24"/>
          <w:szCs w:val="24"/>
        </w:rPr>
        <w:t xml:space="preserve">denote a panel of three Republican judges </w:t>
      </w:r>
      <w:r w:rsidR="00417A3D">
        <w:rPr>
          <w:rFonts w:asciiTheme="majorBidi" w:hAnsiTheme="majorBidi" w:cstheme="majorBidi"/>
          <w:sz w:val="24"/>
          <w:szCs w:val="24"/>
        </w:rPr>
        <w:t xml:space="preserve">by </w:t>
      </w:r>
      <w:r w:rsidR="00EC65D8">
        <w:rPr>
          <w:rFonts w:asciiTheme="majorBidi" w:hAnsiTheme="majorBidi" w:cstheme="majorBidi"/>
          <w:sz w:val="24"/>
          <w:szCs w:val="24"/>
        </w:rPr>
        <w:t xml:space="preserve">RRR, a panel with two Republican judges and one Democratic judge as RRD, a panel with one Republican Judge and two Democratic judges </w:t>
      </w:r>
      <w:r w:rsidR="00417A3D">
        <w:rPr>
          <w:rFonts w:asciiTheme="majorBidi" w:hAnsiTheme="majorBidi" w:cstheme="majorBidi"/>
          <w:sz w:val="24"/>
          <w:szCs w:val="24"/>
        </w:rPr>
        <w:t xml:space="preserve">by </w:t>
      </w:r>
      <w:r w:rsidR="00EC65D8">
        <w:rPr>
          <w:rFonts w:asciiTheme="majorBidi" w:hAnsiTheme="majorBidi" w:cstheme="majorBidi"/>
          <w:sz w:val="24"/>
          <w:szCs w:val="24"/>
        </w:rPr>
        <w:t xml:space="preserve">RDD, and a panel consisting of only Democratic judges </w:t>
      </w:r>
      <w:r w:rsidR="00417A3D">
        <w:rPr>
          <w:rFonts w:asciiTheme="majorBidi" w:hAnsiTheme="majorBidi" w:cstheme="majorBidi"/>
          <w:sz w:val="24"/>
          <w:szCs w:val="24"/>
        </w:rPr>
        <w:t xml:space="preserve">by </w:t>
      </w:r>
      <w:r w:rsidR="00EC65D8">
        <w:rPr>
          <w:rFonts w:asciiTheme="majorBidi" w:hAnsiTheme="majorBidi" w:cstheme="majorBidi"/>
          <w:sz w:val="24"/>
          <w:szCs w:val="24"/>
        </w:rPr>
        <w:t>DDD.</w:t>
      </w:r>
    </w:p>
    <w:p w14:paraId="0EB60179" w14:textId="1763F721" w:rsidR="00912A42" w:rsidRPr="004F4103" w:rsidRDefault="00417A3D" w:rsidP="00A13C7B">
      <w:pPr>
        <w:spacing w:after="120" w:line="360" w:lineRule="auto"/>
        <w:ind w:firstLine="446"/>
        <w:jc w:val="both"/>
        <w:rPr>
          <w:rFonts w:asciiTheme="majorBidi" w:hAnsiTheme="majorBidi" w:cstheme="majorBidi"/>
          <w:sz w:val="24"/>
          <w:szCs w:val="24"/>
        </w:rPr>
      </w:pPr>
      <w:r>
        <w:rPr>
          <w:rFonts w:asciiTheme="majorBidi" w:hAnsiTheme="majorBidi" w:cstheme="majorBidi"/>
          <w:sz w:val="24"/>
          <w:szCs w:val="24"/>
        </w:rPr>
        <w:t>As the Table indicates</w:t>
      </w:r>
      <w:r w:rsidR="009B19E1">
        <w:rPr>
          <w:rFonts w:asciiTheme="majorBidi" w:hAnsiTheme="majorBidi" w:cstheme="majorBidi"/>
          <w:sz w:val="24"/>
          <w:szCs w:val="24"/>
        </w:rPr>
        <w:t>,</w:t>
      </w:r>
      <w:r>
        <w:rPr>
          <w:rFonts w:asciiTheme="majorBidi" w:hAnsiTheme="majorBidi" w:cstheme="majorBidi"/>
          <w:sz w:val="24"/>
          <w:szCs w:val="24"/>
        </w:rPr>
        <w:t xml:space="preserve"> </w:t>
      </w:r>
      <w:r w:rsidR="009B19E1">
        <w:rPr>
          <w:rFonts w:asciiTheme="majorBidi" w:hAnsiTheme="majorBidi" w:cstheme="majorBidi"/>
          <w:sz w:val="24"/>
          <w:szCs w:val="24"/>
        </w:rPr>
        <w:t xml:space="preserve">“mixed panels” – panels with both </w:t>
      </w:r>
      <w:r w:rsidR="00EC65D8">
        <w:rPr>
          <w:rFonts w:asciiTheme="majorBidi" w:hAnsiTheme="majorBidi" w:cstheme="majorBidi"/>
          <w:sz w:val="24"/>
          <w:szCs w:val="24"/>
        </w:rPr>
        <w:t>Republican and Democratic judges</w:t>
      </w:r>
      <w:r w:rsidR="009B19E1">
        <w:rPr>
          <w:rFonts w:asciiTheme="majorBidi" w:hAnsiTheme="majorBidi" w:cstheme="majorBidi"/>
          <w:sz w:val="24"/>
          <w:szCs w:val="24"/>
        </w:rPr>
        <w:t xml:space="preserve"> are present </w:t>
      </w:r>
      <w:r w:rsidR="00EC65D8">
        <w:rPr>
          <w:rFonts w:asciiTheme="majorBidi" w:hAnsiTheme="majorBidi" w:cstheme="majorBidi"/>
          <w:sz w:val="24"/>
          <w:szCs w:val="24"/>
        </w:rPr>
        <w:t xml:space="preserve">in 70% of </w:t>
      </w:r>
      <w:r w:rsidR="009B19E1">
        <w:rPr>
          <w:rFonts w:asciiTheme="majorBidi" w:hAnsiTheme="majorBidi" w:cstheme="majorBidi"/>
          <w:sz w:val="24"/>
          <w:szCs w:val="24"/>
        </w:rPr>
        <w:t xml:space="preserve">all the cases during the examined period. </w:t>
      </w:r>
      <w:r w:rsidR="00A26F88">
        <w:rPr>
          <w:rFonts w:asciiTheme="majorBidi" w:hAnsiTheme="majorBidi" w:cstheme="majorBidi"/>
          <w:sz w:val="24"/>
          <w:szCs w:val="24"/>
        </w:rPr>
        <w:t>“</w:t>
      </w:r>
      <w:r w:rsidR="00EC65D8">
        <w:rPr>
          <w:rFonts w:asciiTheme="majorBidi" w:hAnsiTheme="majorBidi" w:cstheme="majorBidi"/>
          <w:sz w:val="24"/>
          <w:szCs w:val="24"/>
        </w:rPr>
        <w:t>Pure panel</w:t>
      </w:r>
      <w:r w:rsidR="00A26F88">
        <w:rPr>
          <w:rFonts w:asciiTheme="majorBidi" w:hAnsiTheme="majorBidi" w:cstheme="majorBidi"/>
          <w:sz w:val="24"/>
          <w:szCs w:val="24"/>
        </w:rPr>
        <w:t>s”</w:t>
      </w:r>
      <w:r w:rsidR="00EC65D8">
        <w:rPr>
          <w:rFonts w:asciiTheme="majorBidi" w:hAnsiTheme="majorBidi" w:cstheme="majorBidi"/>
          <w:sz w:val="24"/>
          <w:szCs w:val="24"/>
        </w:rPr>
        <w:t xml:space="preserve"> of </w:t>
      </w:r>
      <w:r w:rsidR="007054C2">
        <w:rPr>
          <w:rFonts w:asciiTheme="majorBidi" w:hAnsiTheme="majorBidi" w:cstheme="majorBidi"/>
          <w:sz w:val="24"/>
          <w:szCs w:val="24"/>
        </w:rPr>
        <w:t xml:space="preserve">Republic-only or </w:t>
      </w:r>
      <w:r w:rsidR="00EC65D8">
        <w:rPr>
          <w:rFonts w:asciiTheme="majorBidi" w:hAnsiTheme="majorBidi" w:cstheme="majorBidi"/>
          <w:sz w:val="24"/>
          <w:szCs w:val="24"/>
        </w:rPr>
        <w:t>Democratic</w:t>
      </w:r>
      <w:r w:rsidR="007054C2">
        <w:rPr>
          <w:rFonts w:asciiTheme="majorBidi" w:hAnsiTheme="majorBidi" w:cstheme="majorBidi"/>
          <w:sz w:val="24"/>
          <w:szCs w:val="24"/>
        </w:rPr>
        <w:t xml:space="preserve">-only judges were present in </w:t>
      </w:r>
      <w:r w:rsidR="00EC65D8">
        <w:rPr>
          <w:rFonts w:asciiTheme="majorBidi" w:hAnsiTheme="majorBidi" w:cstheme="majorBidi"/>
          <w:sz w:val="24"/>
          <w:szCs w:val="24"/>
        </w:rPr>
        <w:t xml:space="preserve">21% and 9% </w:t>
      </w:r>
      <w:r w:rsidR="007054C2">
        <w:rPr>
          <w:rFonts w:asciiTheme="majorBidi" w:hAnsiTheme="majorBidi" w:cstheme="majorBidi"/>
          <w:sz w:val="24"/>
          <w:szCs w:val="24"/>
        </w:rPr>
        <w:t xml:space="preserve">of the cases, </w:t>
      </w:r>
      <w:r w:rsidR="00EC65D8">
        <w:rPr>
          <w:rFonts w:asciiTheme="majorBidi" w:hAnsiTheme="majorBidi" w:cstheme="majorBidi"/>
          <w:sz w:val="24"/>
          <w:szCs w:val="24"/>
        </w:rPr>
        <w:t xml:space="preserve">respectively. Overall, </w:t>
      </w:r>
      <w:r w:rsidR="005224DE">
        <w:rPr>
          <w:rFonts w:asciiTheme="majorBidi" w:hAnsiTheme="majorBidi" w:cstheme="majorBidi"/>
          <w:sz w:val="24"/>
          <w:szCs w:val="24"/>
        </w:rPr>
        <w:t xml:space="preserve">61% of the cases during the examined period had a majority-Republican panel (RRR or RRD) and 31% had a majority-Democratic panel. </w:t>
      </w:r>
    </w:p>
    <w:p w14:paraId="7072795F" w14:textId="77777777" w:rsidR="001A4CB1" w:rsidRPr="00A13C7B" w:rsidRDefault="001A4CB1" w:rsidP="00866391">
      <w:pPr>
        <w:jc w:val="center"/>
        <w:rPr>
          <w:rFonts w:asciiTheme="majorBidi" w:hAnsiTheme="majorBidi" w:cstheme="majorBidi"/>
          <w:sz w:val="24"/>
          <w:szCs w:val="24"/>
        </w:rPr>
      </w:pPr>
      <w:r w:rsidRPr="00A13C7B">
        <w:rPr>
          <w:rFonts w:asciiTheme="majorBidi" w:hAnsiTheme="majorBidi" w:cstheme="majorBidi"/>
          <w:sz w:val="24"/>
          <w:szCs w:val="24"/>
        </w:rPr>
        <w:t>Table 2: Political composition of Circuit Court Panels</w:t>
      </w:r>
    </w:p>
    <w:tbl>
      <w:tblPr>
        <w:tblW w:w="7211"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76"/>
        <w:gridCol w:w="1427"/>
        <w:gridCol w:w="1102"/>
        <w:gridCol w:w="1102"/>
        <w:gridCol w:w="1102"/>
        <w:gridCol w:w="1102"/>
      </w:tblGrid>
      <w:tr w:rsidR="001A4CB1" w:rsidRPr="001A4CB1" w14:paraId="4608B23A" w14:textId="77777777" w:rsidTr="00866391">
        <w:trPr>
          <w:trHeight w:val="137"/>
          <w:jc w:val="center"/>
        </w:trPr>
        <w:tc>
          <w:tcPr>
            <w:tcW w:w="1376" w:type="dxa"/>
            <w:tcBorders>
              <w:top w:val="single" w:sz="4" w:space="0" w:color="auto"/>
              <w:bottom w:val="single" w:sz="4" w:space="0" w:color="auto"/>
              <w:right w:val="single" w:sz="4" w:space="0" w:color="auto"/>
            </w:tcBorders>
            <w:shd w:val="clear" w:color="auto" w:fill="auto"/>
            <w:noWrap/>
            <w:vAlign w:val="bottom"/>
            <w:hideMark/>
          </w:tcPr>
          <w:p w14:paraId="1552EAB7" w14:textId="77777777" w:rsidR="001A4CB1" w:rsidRPr="001A4CB1" w:rsidRDefault="001A4CB1" w:rsidP="001A4CB1">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Period</w:t>
            </w:r>
          </w:p>
        </w:tc>
        <w:tc>
          <w:tcPr>
            <w:tcW w:w="1427" w:type="dxa"/>
            <w:tcBorders>
              <w:top w:val="single" w:sz="4" w:space="0" w:color="auto"/>
              <w:left w:val="single" w:sz="4" w:space="0" w:color="auto"/>
              <w:bottom w:val="single" w:sz="4" w:space="0" w:color="auto"/>
            </w:tcBorders>
            <w:shd w:val="clear" w:color="auto" w:fill="auto"/>
            <w:noWrap/>
            <w:vAlign w:val="bottom"/>
            <w:hideMark/>
          </w:tcPr>
          <w:p w14:paraId="2903282E" w14:textId="77777777" w:rsidR="001A4CB1" w:rsidRPr="001A4CB1" w:rsidRDefault="001A4CB1" w:rsidP="00EF16BF">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Count</w:t>
            </w:r>
          </w:p>
        </w:tc>
        <w:tc>
          <w:tcPr>
            <w:tcW w:w="1102" w:type="dxa"/>
            <w:tcBorders>
              <w:top w:val="single" w:sz="4" w:space="0" w:color="auto"/>
              <w:bottom w:val="single" w:sz="4" w:space="0" w:color="auto"/>
            </w:tcBorders>
            <w:shd w:val="clear" w:color="auto" w:fill="auto"/>
            <w:noWrap/>
            <w:vAlign w:val="bottom"/>
            <w:hideMark/>
          </w:tcPr>
          <w:p w14:paraId="792931F1" w14:textId="77777777" w:rsidR="001A4CB1" w:rsidRPr="001A4CB1" w:rsidRDefault="001A4CB1" w:rsidP="00EF16BF">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RRR</w:t>
            </w:r>
          </w:p>
        </w:tc>
        <w:tc>
          <w:tcPr>
            <w:tcW w:w="1102" w:type="dxa"/>
            <w:tcBorders>
              <w:top w:val="single" w:sz="4" w:space="0" w:color="auto"/>
              <w:bottom w:val="single" w:sz="4" w:space="0" w:color="auto"/>
            </w:tcBorders>
            <w:shd w:val="clear" w:color="auto" w:fill="auto"/>
            <w:noWrap/>
            <w:vAlign w:val="bottom"/>
            <w:hideMark/>
          </w:tcPr>
          <w:p w14:paraId="3C6DE476" w14:textId="77777777" w:rsidR="001A4CB1" w:rsidRPr="001A4CB1" w:rsidRDefault="001A4CB1" w:rsidP="00EF16BF">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RRD</w:t>
            </w:r>
          </w:p>
        </w:tc>
        <w:tc>
          <w:tcPr>
            <w:tcW w:w="1102" w:type="dxa"/>
            <w:tcBorders>
              <w:top w:val="single" w:sz="4" w:space="0" w:color="auto"/>
              <w:bottom w:val="single" w:sz="4" w:space="0" w:color="auto"/>
            </w:tcBorders>
            <w:shd w:val="clear" w:color="auto" w:fill="auto"/>
            <w:noWrap/>
            <w:vAlign w:val="bottom"/>
            <w:hideMark/>
          </w:tcPr>
          <w:p w14:paraId="5EE24AB9" w14:textId="77777777" w:rsidR="001A4CB1" w:rsidRPr="001A4CB1" w:rsidRDefault="001A4CB1" w:rsidP="00EF16BF">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RDD</w:t>
            </w:r>
          </w:p>
        </w:tc>
        <w:tc>
          <w:tcPr>
            <w:tcW w:w="1102" w:type="dxa"/>
            <w:tcBorders>
              <w:top w:val="single" w:sz="4" w:space="0" w:color="auto"/>
              <w:bottom w:val="single" w:sz="4" w:space="0" w:color="auto"/>
            </w:tcBorders>
            <w:shd w:val="clear" w:color="auto" w:fill="auto"/>
            <w:noWrap/>
            <w:vAlign w:val="bottom"/>
            <w:hideMark/>
          </w:tcPr>
          <w:p w14:paraId="2A597C77" w14:textId="77777777" w:rsidR="001A4CB1" w:rsidRPr="001A4CB1" w:rsidRDefault="001A4CB1" w:rsidP="00EF16BF">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DDD</w:t>
            </w:r>
          </w:p>
        </w:tc>
      </w:tr>
      <w:tr w:rsidR="001A4CB1" w:rsidRPr="001A4CB1" w14:paraId="1C285F09" w14:textId="77777777" w:rsidTr="00866391">
        <w:trPr>
          <w:trHeight w:val="137"/>
          <w:jc w:val="center"/>
        </w:trPr>
        <w:tc>
          <w:tcPr>
            <w:tcW w:w="1376" w:type="dxa"/>
            <w:tcBorders>
              <w:top w:val="single" w:sz="4" w:space="0" w:color="auto"/>
              <w:right w:val="single" w:sz="4" w:space="0" w:color="auto"/>
            </w:tcBorders>
            <w:shd w:val="clear" w:color="auto" w:fill="auto"/>
            <w:noWrap/>
            <w:vAlign w:val="bottom"/>
            <w:hideMark/>
          </w:tcPr>
          <w:p w14:paraId="56AA4278" w14:textId="77777777" w:rsidR="001A4CB1" w:rsidRPr="001A4CB1" w:rsidRDefault="001A4CB1" w:rsidP="001A4CB1">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1980-1990</w:t>
            </w:r>
          </w:p>
        </w:tc>
        <w:tc>
          <w:tcPr>
            <w:tcW w:w="1427" w:type="dxa"/>
            <w:tcBorders>
              <w:top w:val="single" w:sz="4" w:space="0" w:color="auto"/>
              <w:left w:val="single" w:sz="4" w:space="0" w:color="auto"/>
            </w:tcBorders>
            <w:shd w:val="clear" w:color="auto" w:fill="auto"/>
            <w:noWrap/>
            <w:vAlign w:val="bottom"/>
            <w:hideMark/>
          </w:tcPr>
          <w:p w14:paraId="5CC4E8E8" w14:textId="703199C0" w:rsidR="001A4CB1" w:rsidRPr="001A4CB1" w:rsidRDefault="001A4CB1" w:rsidP="00EF16BF">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16,906</w:t>
            </w:r>
          </w:p>
        </w:tc>
        <w:tc>
          <w:tcPr>
            <w:tcW w:w="1102" w:type="dxa"/>
            <w:tcBorders>
              <w:top w:val="single" w:sz="4" w:space="0" w:color="auto"/>
            </w:tcBorders>
            <w:shd w:val="clear" w:color="auto" w:fill="auto"/>
            <w:noWrap/>
            <w:vAlign w:val="bottom"/>
            <w:hideMark/>
          </w:tcPr>
          <w:p w14:paraId="0927FB07" w14:textId="77777777" w:rsidR="001A4CB1" w:rsidRPr="001A4CB1" w:rsidRDefault="001A4CB1" w:rsidP="00EF16BF">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15%</w:t>
            </w:r>
          </w:p>
        </w:tc>
        <w:tc>
          <w:tcPr>
            <w:tcW w:w="1102" w:type="dxa"/>
            <w:tcBorders>
              <w:top w:val="single" w:sz="4" w:space="0" w:color="auto"/>
            </w:tcBorders>
            <w:shd w:val="clear" w:color="auto" w:fill="auto"/>
            <w:noWrap/>
            <w:vAlign w:val="bottom"/>
            <w:hideMark/>
          </w:tcPr>
          <w:p w14:paraId="5DD600DA" w14:textId="77777777" w:rsidR="001A4CB1" w:rsidRPr="001A4CB1" w:rsidRDefault="001A4CB1" w:rsidP="00EF16BF">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38%</w:t>
            </w:r>
          </w:p>
        </w:tc>
        <w:tc>
          <w:tcPr>
            <w:tcW w:w="1102" w:type="dxa"/>
            <w:tcBorders>
              <w:top w:val="single" w:sz="4" w:space="0" w:color="auto"/>
            </w:tcBorders>
            <w:shd w:val="clear" w:color="auto" w:fill="auto"/>
            <w:noWrap/>
            <w:vAlign w:val="bottom"/>
            <w:hideMark/>
          </w:tcPr>
          <w:p w14:paraId="75EB85B5" w14:textId="77777777" w:rsidR="001A4CB1" w:rsidRPr="001A4CB1" w:rsidRDefault="001A4CB1" w:rsidP="00EF16BF">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35%</w:t>
            </w:r>
          </w:p>
        </w:tc>
        <w:tc>
          <w:tcPr>
            <w:tcW w:w="1102" w:type="dxa"/>
            <w:tcBorders>
              <w:top w:val="single" w:sz="4" w:space="0" w:color="auto"/>
            </w:tcBorders>
            <w:shd w:val="clear" w:color="auto" w:fill="auto"/>
            <w:noWrap/>
            <w:vAlign w:val="bottom"/>
            <w:hideMark/>
          </w:tcPr>
          <w:p w14:paraId="67755AC6" w14:textId="77777777" w:rsidR="001A4CB1" w:rsidRPr="001A4CB1" w:rsidRDefault="001A4CB1" w:rsidP="00EF16BF">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12%</w:t>
            </w:r>
          </w:p>
        </w:tc>
      </w:tr>
      <w:tr w:rsidR="001A4CB1" w:rsidRPr="001A4CB1" w14:paraId="26087F46" w14:textId="77777777" w:rsidTr="00866391">
        <w:trPr>
          <w:trHeight w:val="137"/>
          <w:jc w:val="center"/>
        </w:trPr>
        <w:tc>
          <w:tcPr>
            <w:tcW w:w="1376" w:type="dxa"/>
            <w:tcBorders>
              <w:right w:val="single" w:sz="4" w:space="0" w:color="auto"/>
            </w:tcBorders>
            <w:shd w:val="clear" w:color="auto" w:fill="auto"/>
            <w:noWrap/>
            <w:vAlign w:val="bottom"/>
            <w:hideMark/>
          </w:tcPr>
          <w:p w14:paraId="53D28E78" w14:textId="77777777" w:rsidR="001A4CB1" w:rsidRPr="001A4CB1" w:rsidRDefault="001A4CB1" w:rsidP="001A4CB1">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1991-2000</w:t>
            </w:r>
          </w:p>
        </w:tc>
        <w:tc>
          <w:tcPr>
            <w:tcW w:w="1427" w:type="dxa"/>
            <w:tcBorders>
              <w:left w:val="single" w:sz="4" w:space="0" w:color="auto"/>
            </w:tcBorders>
            <w:shd w:val="clear" w:color="auto" w:fill="auto"/>
            <w:noWrap/>
            <w:vAlign w:val="bottom"/>
            <w:hideMark/>
          </w:tcPr>
          <w:p w14:paraId="4FB08642" w14:textId="071224F2" w:rsidR="001A4CB1" w:rsidRPr="001A4CB1" w:rsidRDefault="001A4CB1" w:rsidP="00EF16BF">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55,854</w:t>
            </w:r>
          </w:p>
        </w:tc>
        <w:tc>
          <w:tcPr>
            <w:tcW w:w="1102" w:type="dxa"/>
            <w:shd w:val="clear" w:color="auto" w:fill="auto"/>
            <w:noWrap/>
            <w:vAlign w:val="bottom"/>
            <w:hideMark/>
          </w:tcPr>
          <w:p w14:paraId="421B64B3" w14:textId="77777777" w:rsidR="001A4CB1" w:rsidRPr="001A4CB1" w:rsidRDefault="001A4CB1" w:rsidP="00EF16BF">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25%</w:t>
            </w:r>
          </w:p>
        </w:tc>
        <w:tc>
          <w:tcPr>
            <w:tcW w:w="1102" w:type="dxa"/>
            <w:shd w:val="clear" w:color="auto" w:fill="auto"/>
            <w:noWrap/>
            <w:vAlign w:val="bottom"/>
            <w:hideMark/>
          </w:tcPr>
          <w:p w14:paraId="2FF2EEE3" w14:textId="77777777" w:rsidR="001A4CB1" w:rsidRPr="001A4CB1" w:rsidRDefault="001A4CB1" w:rsidP="00EF16BF">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45%</w:t>
            </w:r>
          </w:p>
        </w:tc>
        <w:tc>
          <w:tcPr>
            <w:tcW w:w="1102" w:type="dxa"/>
            <w:shd w:val="clear" w:color="auto" w:fill="auto"/>
            <w:noWrap/>
            <w:vAlign w:val="bottom"/>
            <w:hideMark/>
          </w:tcPr>
          <w:p w14:paraId="15C3355D" w14:textId="77777777" w:rsidR="001A4CB1" w:rsidRPr="001A4CB1" w:rsidRDefault="001A4CB1" w:rsidP="00EF16BF">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25%</w:t>
            </w:r>
          </w:p>
        </w:tc>
        <w:tc>
          <w:tcPr>
            <w:tcW w:w="1102" w:type="dxa"/>
            <w:shd w:val="clear" w:color="auto" w:fill="auto"/>
            <w:noWrap/>
            <w:vAlign w:val="bottom"/>
            <w:hideMark/>
          </w:tcPr>
          <w:p w14:paraId="7CE2DB6A" w14:textId="77777777" w:rsidR="001A4CB1" w:rsidRPr="001A4CB1" w:rsidRDefault="001A4CB1" w:rsidP="00EF16BF">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5%</w:t>
            </w:r>
          </w:p>
        </w:tc>
      </w:tr>
      <w:tr w:rsidR="001A4CB1" w:rsidRPr="001A4CB1" w14:paraId="26CDEE92" w14:textId="77777777" w:rsidTr="00866391">
        <w:trPr>
          <w:trHeight w:val="137"/>
          <w:jc w:val="center"/>
        </w:trPr>
        <w:tc>
          <w:tcPr>
            <w:tcW w:w="1376" w:type="dxa"/>
            <w:tcBorders>
              <w:bottom w:val="nil"/>
              <w:right w:val="single" w:sz="4" w:space="0" w:color="auto"/>
            </w:tcBorders>
            <w:shd w:val="clear" w:color="auto" w:fill="auto"/>
            <w:noWrap/>
            <w:vAlign w:val="bottom"/>
            <w:hideMark/>
          </w:tcPr>
          <w:p w14:paraId="2F076D62" w14:textId="77777777" w:rsidR="001A4CB1" w:rsidRPr="001A4CB1" w:rsidRDefault="001A4CB1" w:rsidP="001A4CB1">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2001-2010</w:t>
            </w:r>
          </w:p>
        </w:tc>
        <w:tc>
          <w:tcPr>
            <w:tcW w:w="1427" w:type="dxa"/>
            <w:tcBorders>
              <w:left w:val="single" w:sz="4" w:space="0" w:color="auto"/>
              <w:bottom w:val="nil"/>
            </w:tcBorders>
            <w:shd w:val="clear" w:color="auto" w:fill="auto"/>
            <w:noWrap/>
            <w:vAlign w:val="bottom"/>
            <w:hideMark/>
          </w:tcPr>
          <w:p w14:paraId="4AFC10FB" w14:textId="0DEBF24E" w:rsidR="001A4CB1" w:rsidRPr="001A4CB1" w:rsidRDefault="001A4CB1" w:rsidP="00EF16BF">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71,504</w:t>
            </w:r>
          </w:p>
        </w:tc>
        <w:tc>
          <w:tcPr>
            <w:tcW w:w="1102" w:type="dxa"/>
            <w:tcBorders>
              <w:bottom w:val="nil"/>
            </w:tcBorders>
            <w:shd w:val="clear" w:color="auto" w:fill="auto"/>
            <w:noWrap/>
            <w:vAlign w:val="bottom"/>
            <w:hideMark/>
          </w:tcPr>
          <w:p w14:paraId="432458DB" w14:textId="77777777" w:rsidR="001A4CB1" w:rsidRPr="001A4CB1" w:rsidRDefault="001A4CB1" w:rsidP="00EF16BF">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24%</w:t>
            </w:r>
          </w:p>
        </w:tc>
        <w:tc>
          <w:tcPr>
            <w:tcW w:w="1102" w:type="dxa"/>
            <w:tcBorders>
              <w:bottom w:val="nil"/>
            </w:tcBorders>
            <w:shd w:val="clear" w:color="auto" w:fill="auto"/>
            <w:noWrap/>
            <w:vAlign w:val="bottom"/>
            <w:hideMark/>
          </w:tcPr>
          <w:p w14:paraId="6471A412" w14:textId="77777777" w:rsidR="001A4CB1" w:rsidRPr="001A4CB1" w:rsidRDefault="001A4CB1" w:rsidP="00EF16BF">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41%</w:t>
            </w:r>
          </w:p>
        </w:tc>
        <w:tc>
          <w:tcPr>
            <w:tcW w:w="1102" w:type="dxa"/>
            <w:tcBorders>
              <w:bottom w:val="nil"/>
            </w:tcBorders>
            <w:shd w:val="clear" w:color="auto" w:fill="auto"/>
            <w:noWrap/>
            <w:vAlign w:val="bottom"/>
            <w:hideMark/>
          </w:tcPr>
          <w:p w14:paraId="76B0308F" w14:textId="77777777" w:rsidR="001A4CB1" w:rsidRPr="001A4CB1" w:rsidRDefault="001A4CB1" w:rsidP="00EF16BF">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29%</w:t>
            </w:r>
          </w:p>
        </w:tc>
        <w:tc>
          <w:tcPr>
            <w:tcW w:w="1102" w:type="dxa"/>
            <w:tcBorders>
              <w:bottom w:val="nil"/>
            </w:tcBorders>
            <w:shd w:val="clear" w:color="auto" w:fill="auto"/>
            <w:noWrap/>
            <w:vAlign w:val="bottom"/>
            <w:hideMark/>
          </w:tcPr>
          <w:p w14:paraId="6043DEF9" w14:textId="77777777" w:rsidR="001A4CB1" w:rsidRPr="001A4CB1" w:rsidRDefault="001A4CB1" w:rsidP="00EF16BF">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7%</w:t>
            </w:r>
          </w:p>
        </w:tc>
      </w:tr>
      <w:tr w:rsidR="001A4CB1" w:rsidRPr="001A4CB1" w14:paraId="52D69C93" w14:textId="77777777" w:rsidTr="00866391">
        <w:trPr>
          <w:trHeight w:val="137"/>
          <w:jc w:val="center"/>
        </w:trPr>
        <w:tc>
          <w:tcPr>
            <w:tcW w:w="1376" w:type="dxa"/>
            <w:tcBorders>
              <w:top w:val="nil"/>
              <w:bottom w:val="single" w:sz="4" w:space="0" w:color="auto"/>
              <w:right w:val="single" w:sz="4" w:space="0" w:color="auto"/>
            </w:tcBorders>
            <w:shd w:val="clear" w:color="auto" w:fill="auto"/>
            <w:noWrap/>
            <w:vAlign w:val="bottom"/>
            <w:hideMark/>
          </w:tcPr>
          <w:p w14:paraId="45461109" w14:textId="77777777" w:rsidR="001A4CB1" w:rsidRPr="001A4CB1" w:rsidRDefault="001A4CB1" w:rsidP="001A4CB1">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2011-2020</w:t>
            </w:r>
          </w:p>
        </w:tc>
        <w:tc>
          <w:tcPr>
            <w:tcW w:w="1427" w:type="dxa"/>
            <w:tcBorders>
              <w:top w:val="nil"/>
              <w:left w:val="single" w:sz="4" w:space="0" w:color="auto"/>
              <w:bottom w:val="single" w:sz="4" w:space="0" w:color="auto"/>
            </w:tcBorders>
            <w:shd w:val="clear" w:color="auto" w:fill="auto"/>
            <w:noWrap/>
            <w:vAlign w:val="bottom"/>
            <w:hideMark/>
          </w:tcPr>
          <w:p w14:paraId="2C085060" w14:textId="41E6BC3D" w:rsidR="001A4CB1" w:rsidRPr="001A4CB1" w:rsidRDefault="001A4CB1" w:rsidP="00EF16BF">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65,280</w:t>
            </w:r>
          </w:p>
        </w:tc>
        <w:tc>
          <w:tcPr>
            <w:tcW w:w="1102" w:type="dxa"/>
            <w:tcBorders>
              <w:top w:val="nil"/>
              <w:bottom w:val="single" w:sz="4" w:space="0" w:color="auto"/>
            </w:tcBorders>
            <w:shd w:val="clear" w:color="auto" w:fill="auto"/>
            <w:noWrap/>
            <w:vAlign w:val="bottom"/>
            <w:hideMark/>
          </w:tcPr>
          <w:p w14:paraId="56003F00" w14:textId="77777777" w:rsidR="001A4CB1" w:rsidRPr="001A4CB1" w:rsidRDefault="001A4CB1" w:rsidP="00EF16BF">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20%</w:t>
            </w:r>
          </w:p>
        </w:tc>
        <w:tc>
          <w:tcPr>
            <w:tcW w:w="1102" w:type="dxa"/>
            <w:tcBorders>
              <w:top w:val="nil"/>
              <w:bottom w:val="single" w:sz="4" w:space="0" w:color="auto"/>
            </w:tcBorders>
            <w:shd w:val="clear" w:color="auto" w:fill="auto"/>
            <w:noWrap/>
            <w:vAlign w:val="bottom"/>
            <w:hideMark/>
          </w:tcPr>
          <w:p w14:paraId="627DD1D1" w14:textId="77777777" w:rsidR="001A4CB1" w:rsidRPr="001A4CB1" w:rsidRDefault="001A4CB1" w:rsidP="00EF16BF">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36%</w:t>
            </w:r>
          </w:p>
        </w:tc>
        <w:tc>
          <w:tcPr>
            <w:tcW w:w="1102" w:type="dxa"/>
            <w:tcBorders>
              <w:top w:val="nil"/>
              <w:bottom w:val="single" w:sz="4" w:space="0" w:color="auto"/>
            </w:tcBorders>
            <w:shd w:val="clear" w:color="auto" w:fill="auto"/>
            <w:noWrap/>
            <w:vAlign w:val="bottom"/>
            <w:hideMark/>
          </w:tcPr>
          <w:p w14:paraId="0FE73192" w14:textId="77777777" w:rsidR="001A4CB1" w:rsidRPr="001A4CB1" w:rsidRDefault="001A4CB1" w:rsidP="00EF16BF">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32%</w:t>
            </w:r>
          </w:p>
        </w:tc>
        <w:tc>
          <w:tcPr>
            <w:tcW w:w="1102" w:type="dxa"/>
            <w:tcBorders>
              <w:top w:val="nil"/>
              <w:bottom w:val="single" w:sz="4" w:space="0" w:color="auto"/>
            </w:tcBorders>
            <w:shd w:val="clear" w:color="auto" w:fill="auto"/>
            <w:noWrap/>
            <w:vAlign w:val="bottom"/>
            <w:hideMark/>
          </w:tcPr>
          <w:p w14:paraId="33655E12" w14:textId="77777777" w:rsidR="001A4CB1" w:rsidRPr="001A4CB1" w:rsidRDefault="001A4CB1" w:rsidP="00EF16BF">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12%</w:t>
            </w:r>
          </w:p>
        </w:tc>
      </w:tr>
      <w:tr w:rsidR="001A4CB1" w:rsidRPr="001A4CB1" w14:paraId="50B9A609" w14:textId="77777777" w:rsidTr="00866391">
        <w:trPr>
          <w:trHeight w:val="137"/>
          <w:jc w:val="center"/>
        </w:trPr>
        <w:tc>
          <w:tcPr>
            <w:tcW w:w="1376" w:type="dxa"/>
            <w:tcBorders>
              <w:top w:val="single" w:sz="4" w:space="0" w:color="auto"/>
              <w:bottom w:val="single" w:sz="4" w:space="0" w:color="auto"/>
              <w:right w:val="single" w:sz="4" w:space="0" w:color="auto"/>
            </w:tcBorders>
            <w:shd w:val="clear" w:color="auto" w:fill="auto"/>
            <w:noWrap/>
            <w:vAlign w:val="bottom"/>
            <w:hideMark/>
          </w:tcPr>
          <w:p w14:paraId="0E418A8C" w14:textId="77777777" w:rsidR="001A4CB1" w:rsidRPr="001A4CB1" w:rsidRDefault="001A4CB1" w:rsidP="001A4CB1">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Total/Mean</w:t>
            </w:r>
          </w:p>
        </w:tc>
        <w:tc>
          <w:tcPr>
            <w:tcW w:w="1427" w:type="dxa"/>
            <w:tcBorders>
              <w:top w:val="single" w:sz="4" w:space="0" w:color="auto"/>
              <w:left w:val="single" w:sz="4" w:space="0" w:color="auto"/>
            </w:tcBorders>
            <w:shd w:val="clear" w:color="auto" w:fill="auto"/>
            <w:noWrap/>
            <w:vAlign w:val="bottom"/>
            <w:hideMark/>
          </w:tcPr>
          <w:p w14:paraId="036CD9DB" w14:textId="12FB396C" w:rsidR="001A4CB1" w:rsidRPr="001A4CB1" w:rsidRDefault="001A4CB1" w:rsidP="00EF16BF">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209,544</w:t>
            </w:r>
          </w:p>
        </w:tc>
        <w:tc>
          <w:tcPr>
            <w:tcW w:w="1102" w:type="dxa"/>
            <w:tcBorders>
              <w:top w:val="single" w:sz="4" w:space="0" w:color="auto"/>
            </w:tcBorders>
            <w:shd w:val="clear" w:color="auto" w:fill="auto"/>
            <w:noWrap/>
            <w:vAlign w:val="bottom"/>
            <w:hideMark/>
          </w:tcPr>
          <w:p w14:paraId="01EE547E" w14:textId="77777777" w:rsidR="001A4CB1" w:rsidRPr="001A4CB1" w:rsidRDefault="001A4CB1" w:rsidP="00EF16BF">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21%</w:t>
            </w:r>
          </w:p>
        </w:tc>
        <w:tc>
          <w:tcPr>
            <w:tcW w:w="1102" w:type="dxa"/>
            <w:tcBorders>
              <w:top w:val="single" w:sz="4" w:space="0" w:color="auto"/>
            </w:tcBorders>
            <w:shd w:val="clear" w:color="auto" w:fill="auto"/>
            <w:noWrap/>
            <w:vAlign w:val="bottom"/>
            <w:hideMark/>
          </w:tcPr>
          <w:p w14:paraId="2F2C2683" w14:textId="77777777" w:rsidR="001A4CB1" w:rsidRPr="001A4CB1" w:rsidRDefault="001A4CB1" w:rsidP="00EF16BF">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40%</w:t>
            </w:r>
          </w:p>
        </w:tc>
        <w:tc>
          <w:tcPr>
            <w:tcW w:w="1102" w:type="dxa"/>
            <w:tcBorders>
              <w:top w:val="single" w:sz="4" w:space="0" w:color="auto"/>
            </w:tcBorders>
            <w:shd w:val="clear" w:color="auto" w:fill="auto"/>
            <w:noWrap/>
            <w:vAlign w:val="bottom"/>
            <w:hideMark/>
          </w:tcPr>
          <w:p w14:paraId="4BCE4708" w14:textId="77777777" w:rsidR="001A4CB1" w:rsidRPr="001A4CB1" w:rsidRDefault="001A4CB1" w:rsidP="00EF16BF">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30%</w:t>
            </w:r>
          </w:p>
        </w:tc>
        <w:tc>
          <w:tcPr>
            <w:tcW w:w="1102" w:type="dxa"/>
            <w:tcBorders>
              <w:top w:val="single" w:sz="4" w:space="0" w:color="auto"/>
            </w:tcBorders>
            <w:shd w:val="clear" w:color="auto" w:fill="auto"/>
            <w:noWrap/>
            <w:vAlign w:val="bottom"/>
            <w:hideMark/>
          </w:tcPr>
          <w:p w14:paraId="4387EDC6" w14:textId="77777777" w:rsidR="001A4CB1" w:rsidRPr="001A4CB1" w:rsidRDefault="001A4CB1" w:rsidP="00EF16BF">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9%</w:t>
            </w:r>
          </w:p>
        </w:tc>
      </w:tr>
    </w:tbl>
    <w:p w14:paraId="7D25C0C1" w14:textId="4D78EB86" w:rsidR="00EF16BF" w:rsidRPr="00A02F77" w:rsidRDefault="004A1F8D" w:rsidP="00A13C7B">
      <w:pPr>
        <w:pStyle w:val="ListParagraph"/>
        <w:numPr>
          <w:ilvl w:val="0"/>
          <w:numId w:val="38"/>
        </w:numPr>
        <w:spacing w:after="120" w:line="360" w:lineRule="auto"/>
        <w:ind w:left="360"/>
        <w:contextualSpacing w:val="0"/>
        <w:rPr>
          <w:rFonts w:asciiTheme="majorBidi" w:hAnsiTheme="majorBidi" w:cstheme="majorBidi"/>
          <w:i/>
          <w:iCs/>
          <w:sz w:val="24"/>
          <w:szCs w:val="24"/>
        </w:rPr>
      </w:pPr>
      <w:r w:rsidRPr="00A02F77">
        <w:rPr>
          <w:rFonts w:asciiTheme="majorBidi" w:hAnsiTheme="majorBidi" w:cstheme="majorBidi"/>
          <w:i/>
          <w:iCs/>
          <w:sz w:val="24"/>
          <w:szCs w:val="24"/>
        </w:rPr>
        <w:lastRenderedPageBreak/>
        <w:t xml:space="preserve"> </w:t>
      </w:r>
      <w:r w:rsidR="00C117C4" w:rsidRPr="00A02F77">
        <w:rPr>
          <w:rFonts w:asciiTheme="majorBidi" w:hAnsiTheme="majorBidi" w:cstheme="majorBidi"/>
          <w:i/>
          <w:iCs/>
          <w:sz w:val="24"/>
          <w:szCs w:val="24"/>
        </w:rPr>
        <w:t xml:space="preserve">Other Judge Characteristics </w:t>
      </w:r>
    </w:p>
    <w:p w14:paraId="279C76E4" w14:textId="6197F17D" w:rsidR="007B2C73" w:rsidRDefault="00A058B3" w:rsidP="00A13C7B">
      <w:pPr>
        <w:pStyle w:val="ListParagraph"/>
        <w:spacing w:after="120" w:line="360" w:lineRule="auto"/>
        <w:ind w:left="0" w:firstLine="450"/>
        <w:contextualSpacing w:val="0"/>
        <w:jc w:val="both"/>
        <w:rPr>
          <w:rFonts w:asciiTheme="majorBidi" w:hAnsiTheme="majorBidi" w:cstheme="majorBidi"/>
          <w:sz w:val="24"/>
          <w:szCs w:val="24"/>
        </w:rPr>
      </w:pPr>
      <w:r>
        <w:rPr>
          <w:rFonts w:asciiTheme="majorBidi" w:hAnsiTheme="majorBidi" w:cstheme="majorBidi"/>
          <w:sz w:val="24"/>
          <w:szCs w:val="24"/>
        </w:rPr>
        <w:t>Table 3 reports on whether and how panels with differen</w:t>
      </w:r>
      <w:r w:rsidR="007B2C73">
        <w:rPr>
          <w:rFonts w:asciiTheme="majorBidi" w:hAnsiTheme="majorBidi" w:cstheme="majorBidi"/>
          <w:sz w:val="24"/>
          <w:szCs w:val="24"/>
        </w:rPr>
        <w:t xml:space="preserve">t </w:t>
      </w:r>
      <w:r w:rsidR="008752DA">
        <w:rPr>
          <w:rFonts w:asciiTheme="majorBidi" w:hAnsiTheme="majorBidi" w:cstheme="majorBidi"/>
          <w:sz w:val="24"/>
          <w:szCs w:val="24"/>
        </w:rPr>
        <w:t xml:space="preserve">types of </w:t>
      </w:r>
      <w:r w:rsidR="007B2C73">
        <w:rPr>
          <w:rFonts w:asciiTheme="majorBidi" w:hAnsiTheme="majorBidi" w:cstheme="majorBidi"/>
          <w:sz w:val="24"/>
          <w:szCs w:val="24"/>
        </w:rPr>
        <w:t xml:space="preserve">political composition – RRR, RRD, RDD, and DDD </w:t>
      </w:r>
      <w:r w:rsidR="004A1F8D">
        <w:rPr>
          <w:rFonts w:asciiTheme="majorBidi" w:hAnsiTheme="majorBidi" w:cstheme="majorBidi"/>
          <w:sz w:val="24"/>
          <w:szCs w:val="24"/>
        </w:rPr>
        <w:t>–</w:t>
      </w:r>
      <w:r w:rsidR="007B2C73">
        <w:rPr>
          <w:rFonts w:asciiTheme="majorBidi" w:hAnsiTheme="majorBidi" w:cstheme="majorBidi"/>
          <w:sz w:val="24"/>
          <w:szCs w:val="24"/>
        </w:rPr>
        <w:t xml:space="preserve"> differ in terms of gender, race, and age. </w:t>
      </w:r>
      <w:r w:rsidR="00384A85">
        <w:rPr>
          <w:rFonts w:asciiTheme="majorBidi" w:hAnsiTheme="majorBidi" w:cstheme="majorBidi"/>
          <w:sz w:val="24"/>
          <w:szCs w:val="24"/>
        </w:rPr>
        <w:t xml:space="preserve">Column (1) </w:t>
      </w:r>
      <w:r w:rsidR="007B2C73">
        <w:rPr>
          <w:rFonts w:asciiTheme="majorBidi" w:hAnsiTheme="majorBidi" w:cstheme="majorBidi"/>
          <w:sz w:val="24"/>
          <w:szCs w:val="24"/>
        </w:rPr>
        <w:t xml:space="preserve">indicates that the percentage of panels </w:t>
      </w:r>
      <w:r w:rsidR="008752DA">
        <w:rPr>
          <w:rFonts w:asciiTheme="majorBidi" w:hAnsiTheme="majorBidi" w:cstheme="majorBidi"/>
          <w:sz w:val="24"/>
          <w:szCs w:val="24"/>
        </w:rPr>
        <w:t xml:space="preserve">with no female members is related to the panel type. The percentage of such panels </w:t>
      </w:r>
      <w:r w:rsidR="001D2C85">
        <w:rPr>
          <w:rFonts w:asciiTheme="majorBidi" w:hAnsiTheme="majorBidi" w:cstheme="majorBidi"/>
          <w:sz w:val="24"/>
          <w:szCs w:val="24"/>
        </w:rPr>
        <w:t xml:space="preserve">is at a high level of 60% in RRR panels and at a much lower of 32% in DDD panels. </w:t>
      </w:r>
      <w:r w:rsidR="000D17A1">
        <w:rPr>
          <w:rFonts w:asciiTheme="majorBidi" w:hAnsiTheme="majorBidi" w:cstheme="majorBidi"/>
          <w:sz w:val="24"/>
          <w:szCs w:val="24"/>
        </w:rPr>
        <w:t>Column (2) displays a similar pattern with regard to the percentage of panels with no minority judge (by minority I refer to either Africa-American or Hispanic ju</w:t>
      </w:r>
      <w:r w:rsidR="00B00591">
        <w:rPr>
          <w:rFonts w:asciiTheme="majorBidi" w:hAnsiTheme="majorBidi" w:cstheme="majorBidi"/>
          <w:sz w:val="24"/>
          <w:szCs w:val="24"/>
        </w:rPr>
        <w:t>d</w:t>
      </w:r>
      <w:r w:rsidR="000D17A1">
        <w:rPr>
          <w:rFonts w:asciiTheme="majorBidi" w:hAnsiTheme="majorBidi" w:cstheme="majorBidi"/>
          <w:sz w:val="24"/>
          <w:szCs w:val="24"/>
        </w:rPr>
        <w:t>ges</w:t>
      </w:r>
      <w:r w:rsidR="00B00591">
        <w:rPr>
          <w:rFonts w:asciiTheme="majorBidi" w:hAnsiTheme="majorBidi" w:cstheme="majorBidi"/>
          <w:sz w:val="24"/>
          <w:szCs w:val="24"/>
        </w:rPr>
        <w:t xml:space="preserve">. The percentage of panels with no minority representation is at a high level of 81% in RRR panels but at a much low level of 46% in DDD panels. Finally, </w:t>
      </w:r>
      <w:r w:rsidR="00AA47B6">
        <w:rPr>
          <w:rFonts w:asciiTheme="majorBidi" w:hAnsiTheme="majorBidi" w:cstheme="majorBidi"/>
          <w:sz w:val="24"/>
          <w:szCs w:val="24"/>
        </w:rPr>
        <w:t xml:space="preserve">with respect to the mean age of the members of a panel, Column (3) </w:t>
      </w:r>
      <w:r w:rsidR="00DA1F32">
        <w:rPr>
          <w:rFonts w:asciiTheme="majorBidi" w:hAnsiTheme="majorBidi" w:cstheme="majorBidi"/>
          <w:sz w:val="24"/>
          <w:szCs w:val="24"/>
        </w:rPr>
        <w:t xml:space="preserve">finds no significant differences among the </w:t>
      </w:r>
      <w:r w:rsidR="00AA47B6">
        <w:rPr>
          <w:rFonts w:asciiTheme="majorBidi" w:hAnsiTheme="majorBidi" w:cstheme="majorBidi"/>
          <w:sz w:val="24"/>
          <w:szCs w:val="24"/>
        </w:rPr>
        <w:t>four types of panels</w:t>
      </w:r>
      <w:r w:rsidR="004A1F8D">
        <w:rPr>
          <w:rFonts w:asciiTheme="majorBidi" w:hAnsiTheme="majorBidi" w:cstheme="majorBidi"/>
          <w:sz w:val="24"/>
          <w:szCs w:val="24"/>
        </w:rPr>
        <w:t>.</w:t>
      </w:r>
      <w:r w:rsidR="00AA47B6">
        <w:rPr>
          <w:rFonts w:asciiTheme="majorBidi" w:hAnsiTheme="majorBidi" w:cstheme="majorBidi"/>
          <w:sz w:val="24"/>
          <w:szCs w:val="24"/>
        </w:rPr>
        <w:t xml:space="preserve"> </w:t>
      </w:r>
    </w:p>
    <w:p w14:paraId="4CC3E246" w14:textId="358A096C" w:rsidR="009E7213" w:rsidRPr="00A13C7B" w:rsidRDefault="009E7213" w:rsidP="00A13C7B">
      <w:pPr>
        <w:pStyle w:val="ListParagraph"/>
        <w:ind w:left="0"/>
        <w:jc w:val="center"/>
        <w:rPr>
          <w:rFonts w:asciiTheme="majorBidi" w:hAnsiTheme="majorBidi" w:cstheme="majorBidi"/>
          <w:sz w:val="24"/>
          <w:szCs w:val="24"/>
        </w:rPr>
      </w:pPr>
      <w:r w:rsidRPr="00A13C7B">
        <w:rPr>
          <w:rFonts w:asciiTheme="majorBidi" w:hAnsiTheme="majorBidi" w:cstheme="majorBidi"/>
          <w:sz w:val="24"/>
          <w:szCs w:val="24"/>
        </w:rPr>
        <w:t xml:space="preserve">Table 3: </w:t>
      </w:r>
      <w:r w:rsidR="00AA47B6" w:rsidRPr="00A13C7B">
        <w:rPr>
          <w:rFonts w:asciiTheme="majorBidi" w:hAnsiTheme="majorBidi" w:cstheme="majorBidi"/>
          <w:sz w:val="24"/>
          <w:szCs w:val="24"/>
        </w:rPr>
        <w:t xml:space="preserve">Gender, Race, and Age Characteristics </w:t>
      </w:r>
    </w:p>
    <w:tbl>
      <w:tblPr>
        <w:tblW w:w="5039"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76"/>
        <w:gridCol w:w="1427"/>
        <w:gridCol w:w="1134"/>
        <w:gridCol w:w="1102"/>
      </w:tblGrid>
      <w:tr w:rsidR="009E7213" w:rsidRPr="001A4CB1" w14:paraId="00CA4EAD" w14:textId="77777777" w:rsidTr="009E7213">
        <w:trPr>
          <w:trHeight w:val="137"/>
          <w:jc w:val="center"/>
        </w:trPr>
        <w:tc>
          <w:tcPr>
            <w:tcW w:w="1376" w:type="dxa"/>
            <w:tcBorders>
              <w:top w:val="single" w:sz="4" w:space="0" w:color="auto"/>
              <w:bottom w:val="single" w:sz="4" w:space="0" w:color="auto"/>
              <w:right w:val="single" w:sz="4" w:space="0" w:color="auto"/>
            </w:tcBorders>
            <w:shd w:val="clear" w:color="auto" w:fill="auto"/>
            <w:noWrap/>
            <w:vAlign w:val="bottom"/>
            <w:hideMark/>
          </w:tcPr>
          <w:p w14:paraId="11CC7CD9" w14:textId="1C0FD839" w:rsidR="009E7213" w:rsidRPr="001A4CB1" w:rsidRDefault="009E7213" w:rsidP="00270DB5">
            <w:pPr>
              <w:spacing w:after="0" w:line="240" w:lineRule="auto"/>
              <w:jc w:val="center"/>
              <w:rPr>
                <w:rFonts w:ascii="Calibri" w:eastAsia="Times New Roman" w:hAnsi="Calibri" w:cs="Calibri"/>
                <w:color w:val="000000"/>
              </w:rPr>
            </w:pPr>
            <w:r>
              <w:rPr>
                <w:rFonts w:ascii="Calibri" w:eastAsia="Times New Roman" w:hAnsi="Calibri" w:cs="Calibri"/>
                <w:color w:val="000000"/>
              </w:rPr>
              <w:t>Panel</w:t>
            </w:r>
          </w:p>
        </w:tc>
        <w:tc>
          <w:tcPr>
            <w:tcW w:w="1427" w:type="dxa"/>
            <w:tcBorders>
              <w:top w:val="single" w:sz="4" w:space="0" w:color="auto"/>
              <w:left w:val="single" w:sz="4" w:space="0" w:color="auto"/>
              <w:bottom w:val="single" w:sz="4" w:space="0" w:color="auto"/>
            </w:tcBorders>
            <w:shd w:val="clear" w:color="auto" w:fill="auto"/>
            <w:noWrap/>
            <w:vAlign w:val="bottom"/>
            <w:hideMark/>
          </w:tcPr>
          <w:p w14:paraId="6CDE51B8" w14:textId="1AE693F5" w:rsidR="009E7213" w:rsidRPr="001A4CB1" w:rsidRDefault="009E7213" w:rsidP="00270DB5">
            <w:pPr>
              <w:spacing w:after="0" w:line="240" w:lineRule="auto"/>
              <w:jc w:val="center"/>
              <w:rPr>
                <w:rFonts w:ascii="Calibri" w:eastAsia="Times New Roman" w:hAnsi="Calibri" w:cs="Calibri"/>
                <w:color w:val="000000"/>
              </w:rPr>
            </w:pPr>
            <w:r>
              <w:rPr>
                <w:rFonts w:ascii="Calibri" w:eastAsia="Times New Roman" w:hAnsi="Calibri" w:cs="Calibri"/>
                <w:color w:val="000000"/>
              </w:rPr>
              <w:t>No Female</w:t>
            </w:r>
          </w:p>
        </w:tc>
        <w:tc>
          <w:tcPr>
            <w:tcW w:w="1134" w:type="dxa"/>
            <w:tcBorders>
              <w:top w:val="single" w:sz="4" w:space="0" w:color="auto"/>
              <w:bottom w:val="single" w:sz="4" w:space="0" w:color="auto"/>
            </w:tcBorders>
            <w:shd w:val="clear" w:color="auto" w:fill="auto"/>
            <w:noWrap/>
            <w:vAlign w:val="bottom"/>
            <w:hideMark/>
          </w:tcPr>
          <w:p w14:paraId="27F1E539" w14:textId="3E58E9F3" w:rsidR="009E7213" w:rsidRPr="001A4CB1" w:rsidRDefault="009E7213" w:rsidP="00270DB5">
            <w:pPr>
              <w:spacing w:after="0" w:line="240" w:lineRule="auto"/>
              <w:jc w:val="center"/>
              <w:rPr>
                <w:rFonts w:ascii="Calibri" w:eastAsia="Times New Roman" w:hAnsi="Calibri" w:cs="Calibri"/>
                <w:color w:val="000000"/>
              </w:rPr>
            </w:pPr>
            <w:r>
              <w:rPr>
                <w:rFonts w:ascii="Calibri" w:eastAsia="Times New Roman" w:hAnsi="Calibri" w:cs="Calibri"/>
                <w:color w:val="000000"/>
              </w:rPr>
              <w:t>No Minorities</w:t>
            </w:r>
          </w:p>
        </w:tc>
        <w:tc>
          <w:tcPr>
            <w:tcW w:w="1102" w:type="dxa"/>
            <w:tcBorders>
              <w:top w:val="single" w:sz="4" w:space="0" w:color="auto"/>
              <w:bottom w:val="single" w:sz="4" w:space="0" w:color="auto"/>
            </w:tcBorders>
            <w:shd w:val="clear" w:color="auto" w:fill="auto"/>
            <w:noWrap/>
            <w:vAlign w:val="bottom"/>
            <w:hideMark/>
          </w:tcPr>
          <w:p w14:paraId="05F38C69" w14:textId="0E4DD2E1" w:rsidR="009E7213" w:rsidRPr="001A4CB1" w:rsidRDefault="009E7213" w:rsidP="00270DB5">
            <w:pPr>
              <w:spacing w:after="0" w:line="240" w:lineRule="auto"/>
              <w:jc w:val="center"/>
              <w:rPr>
                <w:rFonts w:ascii="Calibri" w:eastAsia="Times New Roman" w:hAnsi="Calibri" w:cs="Calibri"/>
                <w:color w:val="000000"/>
              </w:rPr>
            </w:pPr>
            <w:r>
              <w:rPr>
                <w:rFonts w:ascii="Calibri" w:eastAsia="Times New Roman" w:hAnsi="Calibri" w:cs="Calibri"/>
                <w:color w:val="000000"/>
              </w:rPr>
              <w:t>Mean Age</w:t>
            </w:r>
          </w:p>
        </w:tc>
      </w:tr>
      <w:tr w:rsidR="009E7213" w:rsidRPr="001A4CB1" w14:paraId="039C0D80" w14:textId="77777777" w:rsidTr="009E7213">
        <w:trPr>
          <w:trHeight w:val="137"/>
          <w:jc w:val="center"/>
        </w:trPr>
        <w:tc>
          <w:tcPr>
            <w:tcW w:w="1376" w:type="dxa"/>
            <w:tcBorders>
              <w:top w:val="single" w:sz="4" w:space="0" w:color="auto"/>
              <w:right w:val="single" w:sz="4" w:space="0" w:color="auto"/>
            </w:tcBorders>
            <w:shd w:val="clear" w:color="auto" w:fill="auto"/>
            <w:noWrap/>
            <w:vAlign w:val="bottom"/>
            <w:hideMark/>
          </w:tcPr>
          <w:p w14:paraId="6C38F6D8" w14:textId="41980696" w:rsidR="009E7213" w:rsidRPr="001A4CB1" w:rsidRDefault="009E7213" w:rsidP="00270DB5">
            <w:pPr>
              <w:spacing w:after="0" w:line="240" w:lineRule="auto"/>
              <w:jc w:val="center"/>
              <w:rPr>
                <w:rFonts w:ascii="Calibri" w:eastAsia="Times New Roman" w:hAnsi="Calibri" w:cs="Calibri"/>
                <w:color w:val="000000"/>
              </w:rPr>
            </w:pPr>
            <w:r>
              <w:rPr>
                <w:rFonts w:ascii="Calibri" w:eastAsia="Times New Roman" w:hAnsi="Calibri" w:cs="Calibri"/>
                <w:color w:val="000000"/>
              </w:rPr>
              <w:t>RRR</w:t>
            </w:r>
          </w:p>
        </w:tc>
        <w:tc>
          <w:tcPr>
            <w:tcW w:w="1427" w:type="dxa"/>
            <w:tcBorders>
              <w:top w:val="single" w:sz="4" w:space="0" w:color="auto"/>
              <w:left w:val="single" w:sz="4" w:space="0" w:color="auto"/>
            </w:tcBorders>
            <w:shd w:val="clear" w:color="auto" w:fill="auto"/>
            <w:noWrap/>
            <w:vAlign w:val="bottom"/>
            <w:hideMark/>
          </w:tcPr>
          <w:p w14:paraId="6062BEEB" w14:textId="5C3DF2A0" w:rsidR="009E7213" w:rsidRPr="001A4CB1" w:rsidRDefault="009E7213" w:rsidP="00270DB5">
            <w:pPr>
              <w:spacing w:after="0" w:line="240" w:lineRule="auto"/>
              <w:jc w:val="center"/>
              <w:rPr>
                <w:rFonts w:ascii="Calibri" w:eastAsia="Times New Roman" w:hAnsi="Calibri" w:cs="Calibri"/>
                <w:color w:val="000000"/>
              </w:rPr>
            </w:pPr>
            <w:r>
              <w:rPr>
                <w:rFonts w:ascii="Calibri" w:eastAsia="Times New Roman" w:hAnsi="Calibri" w:cs="Calibri"/>
                <w:color w:val="000000"/>
              </w:rPr>
              <w:t>60%</w:t>
            </w:r>
          </w:p>
        </w:tc>
        <w:tc>
          <w:tcPr>
            <w:tcW w:w="1134" w:type="dxa"/>
            <w:tcBorders>
              <w:top w:val="single" w:sz="4" w:space="0" w:color="auto"/>
            </w:tcBorders>
            <w:shd w:val="clear" w:color="auto" w:fill="auto"/>
            <w:noWrap/>
            <w:vAlign w:val="bottom"/>
            <w:hideMark/>
          </w:tcPr>
          <w:p w14:paraId="47432BE4" w14:textId="6B2781C5" w:rsidR="009E7213" w:rsidRPr="001A4CB1" w:rsidRDefault="009E7213" w:rsidP="00270DB5">
            <w:pPr>
              <w:spacing w:after="0" w:line="240" w:lineRule="auto"/>
              <w:jc w:val="center"/>
              <w:rPr>
                <w:rFonts w:ascii="Calibri" w:eastAsia="Times New Roman" w:hAnsi="Calibri" w:cs="Calibri"/>
                <w:color w:val="000000"/>
              </w:rPr>
            </w:pPr>
            <w:r>
              <w:rPr>
                <w:rFonts w:ascii="Calibri" w:eastAsia="Times New Roman" w:hAnsi="Calibri" w:cs="Calibri"/>
                <w:color w:val="000000"/>
              </w:rPr>
              <w:t>81%</w:t>
            </w:r>
          </w:p>
        </w:tc>
        <w:tc>
          <w:tcPr>
            <w:tcW w:w="1102" w:type="dxa"/>
            <w:tcBorders>
              <w:top w:val="single" w:sz="4" w:space="0" w:color="auto"/>
            </w:tcBorders>
            <w:shd w:val="clear" w:color="auto" w:fill="auto"/>
            <w:noWrap/>
            <w:vAlign w:val="bottom"/>
            <w:hideMark/>
          </w:tcPr>
          <w:p w14:paraId="76F7A098" w14:textId="76085DD1" w:rsidR="009E7213" w:rsidRPr="001A4CB1" w:rsidRDefault="009E7213" w:rsidP="00270DB5">
            <w:pPr>
              <w:spacing w:after="0" w:line="240" w:lineRule="auto"/>
              <w:jc w:val="center"/>
              <w:rPr>
                <w:rFonts w:ascii="Calibri" w:eastAsia="Times New Roman" w:hAnsi="Calibri" w:cs="Calibri"/>
                <w:color w:val="000000"/>
              </w:rPr>
            </w:pPr>
            <w:r>
              <w:rPr>
                <w:rFonts w:ascii="Calibri" w:eastAsia="Times New Roman" w:hAnsi="Calibri" w:cs="Calibri"/>
                <w:color w:val="000000"/>
              </w:rPr>
              <w:t>63</w:t>
            </w:r>
          </w:p>
        </w:tc>
      </w:tr>
      <w:tr w:rsidR="009E7213" w:rsidRPr="001A4CB1" w14:paraId="7788C8B9" w14:textId="77777777" w:rsidTr="009E7213">
        <w:trPr>
          <w:trHeight w:val="137"/>
          <w:jc w:val="center"/>
        </w:trPr>
        <w:tc>
          <w:tcPr>
            <w:tcW w:w="1376" w:type="dxa"/>
            <w:tcBorders>
              <w:right w:val="single" w:sz="4" w:space="0" w:color="auto"/>
            </w:tcBorders>
            <w:shd w:val="clear" w:color="auto" w:fill="auto"/>
            <w:noWrap/>
            <w:vAlign w:val="bottom"/>
            <w:hideMark/>
          </w:tcPr>
          <w:p w14:paraId="14BEA611" w14:textId="04FC2028" w:rsidR="009E7213" w:rsidRPr="001A4CB1" w:rsidRDefault="009E7213" w:rsidP="00270DB5">
            <w:pPr>
              <w:spacing w:after="0" w:line="240" w:lineRule="auto"/>
              <w:jc w:val="center"/>
              <w:rPr>
                <w:rFonts w:ascii="Calibri" w:eastAsia="Times New Roman" w:hAnsi="Calibri" w:cs="Calibri"/>
                <w:color w:val="000000"/>
              </w:rPr>
            </w:pPr>
            <w:r>
              <w:rPr>
                <w:rFonts w:ascii="Calibri" w:eastAsia="Times New Roman" w:hAnsi="Calibri" w:cs="Calibri"/>
                <w:color w:val="000000"/>
              </w:rPr>
              <w:t>RRD</w:t>
            </w:r>
          </w:p>
        </w:tc>
        <w:tc>
          <w:tcPr>
            <w:tcW w:w="1427" w:type="dxa"/>
            <w:tcBorders>
              <w:left w:val="single" w:sz="4" w:space="0" w:color="auto"/>
            </w:tcBorders>
            <w:shd w:val="clear" w:color="auto" w:fill="auto"/>
            <w:noWrap/>
            <w:vAlign w:val="bottom"/>
            <w:hideMark/>
          </w:tcPr>
          <w:p w14:paraId="70F5A759" w14:textId="0BDC29EA" w:rsidR="009E7213" w:rsidRPr="001A4CB1" w:rsidRDefault="009E7213" w:rsidP="00270DB5">
            <w:pPr>
              <w:spacing w:after="0" w:line="240" w:lineRule="auto"/>
              <w:jc w:val="center"/>
              <w:rPr>
                <w:rFonts w:ascii="Calibri" w:eastAsia="Times New Roman" w:hAnsi="Calibri" w:cs="Calibri"/>
                <w:color w:val="000000"/>
              </w:rPr>
            </w:pPr>
            <w:r>
              <w:rPr>
                <w:rFonts w:ascii="Calibri" w:eastAsia="Times New Roman" w:hAnsi="Calibri" w:cs="Calibri"/>
                <w:color w:val="000000"/>
              </w:rPr>
              <w:t>51%</w:t>
            </w:r>
          </w:p>
        </w:tc>
        <w:tc>
          <w:tcPr>
            <w:tcW w:w="1134" w:type="dxa"/>
            <w:shd w:val="clear" w:color="auto" w:fill="auto"/>
            <w:noWrap/>
            <w:vAlign w:val="bottom"/>
            <w:hideMark/>
          </w:tcPr>
          <w:p w14:paraId="1B2204FC" w14:textId="0523EDD0" w:rsidR="009E7213" w:rsidRPr="001A4CB1" w:rsidRDefault="009E7213" w:rsidP="00270DB5">
            <w:pPr>
              <w:spacing w:after="0" w:line="240" w:lineRule="auto"/>
              <w:jc w:val="center"/>
              <w:rPr>
                <w:rFonts w:ascii="Calibri" w:eastAsia="Times New Roman" w:hAnsi="Calibri" w:cs="Calibri"/>
                <w:color w:val="000000"/>
              </w:rPr>
            </w:pPr>
            <w:r>
              <w:rPr>
                <w:rFonts w:ascii="Calibri" w:eastAsia="Times New Roman" w:hAnsi="Calibri" w:cs="Calibri"/>
                <w:color w:val="000000"/>
              </w:rPr>
              <w:t>66%</w:t>
            </w:r>
          </w:p>
        </w:tc>
        <w:tc>
          <w:tcPr>
            <w:tcW w:w="1102" w:type="dxa"/>
            <w:shd w:val="clear" w:color="auto" w:fill="auto"/>
            <w:noWrap/>
            <w:vAlign w:val="bottom"/>
            <w:hideMark/>
          </w:tcPr>
          <w:p w14:paraId="0325F092" w14:textId="35E1B91A" w:rsidR="009E7213" w:rsidRPr="001A4CB1" w:rsidRDefault="009E7213" w:rsidP="00270DB5">
            <w:pPr>
              <w:spacing w:after="0" w:line="240" w:lineRule="auto"/>
              <w:jc w:val="center"/>
              <w:rPr>
                <w:rFonts w:ascii="Calibri" w:eastAsia="Times New Roman" w:hAnsi="Calibri" w:cs="Calibri"/>
                <w:color w:val="000000"/>
              </w:rPr>
            </w:pPr>
            <w:r>
              <w:rPr>
                <w:rFonts w:ascii="Calibri" w:eastAsia="Times New Roman" w:hAnsi="Calibri" w:cs="Calibri"/>
                <w:color w:val="000000"/>
              </w:rPr>
              <w:t>64</w:t>
            </w:r>
          </w:p>
        </w:tc>
      </w:tr>
      <w:tr w:rsidR="009E7213" w:rsidRPr="001A4CB1" w14:paraId="537B7C25" w14:textId="77777777" w:rsidTr="009E7213">
        <w:trPr>
          <w:trHeight w:val="137"/>
          <w:jc w:val="center"/>
        </w:trPr>
        <w:tc>
          <w:tcPr>
            <w:tcW w:w="1376" w:type="dxa"/>
            <w:tcBorders>
              <w:bottom w:val="nil"/>
              <w:right w:val="single" w:sz="4" w:space="0" w:color="auto"/>
            </w:tcBorders>
            <w:shd w:val="clear" w:color="auto" w:fill="auto"/>
            <w:noWrap/>
            <w:vAlign w:val="bottom"/>
            <w:hideMark/>
          </w:tcPr>
          <w:p w14:paraId="55895233" w14:textId="35D2CEA7" w:rsidR="009E7213" w:rsidRPr="001A4CB1" w:rsidRDefault="009E7213" w:rsidP="00270DB5">
            <w:pPr>
              <w:spacing w:after="0" w:line="240" w:lineRule="auto"/>
              <w:jc w:val="center"/>
              <w:rPr>
                <w:rFonts w:ascii="Calibri" w:eastAsia="Times New Roman" w:hAnsi="Calibri" w:cs="Calibri"/>
                <w:color w:val="000000"/>
              </w:rPr>
            </w:pPr>
            <w:r>
              <w:rPr>
                <w:rFonts w:ascii="Calibri" w:eastAsia="Times New Roman" w:hAnsi="Calibri" w:cs="Calibri"/>
                <w:color w:val="000000"/>
              </w:rPr>
              <w:t>RDD</w:t>
            </w:r>
          </w:p>
        </w:tc>
        <w:tc>
          <w:tcPr>
            <w:tcW w:w="1427" w:type="dxa"/>
            <w:tcBorders>
              <w:left w:val="single" w:sz="4" w:space="0" w:color="auto"/>
              <w:bottom w:val="nil"/>
            </w:tcBorders>
            <w:shd w:val="clear" w:color="auto" w:fill="auto"/>
            <w:noWrap/>
            <w:vAlign w:val="bottom"/>
            <w:hideMark/>
          </w:tcPr>
          <w:p w14:paraId="10234513" w14:textId="543C4810" w:rsidR="009E7213" w:rsidRPr="001A4CB1" w:rsidRDefault="009E7213" w:rsidP="00270DB5">
            <w:pPr>
              <w:spacing w:after="0" w:line="240" w:lineRule="auto"/>
              <w:jc w:val="center"/>
              <w:rPr>
                <w:rFonts w:ascii="Calibri" w:eastAsia="Times New Roman" w:hAnsi="Calibri" w:cs="Calibri"/>
                <w:color w:val="000000"/>
              </w:rPr>
            </w:pPr>
            <w:r>
              <w:rPr>
                <w:rFonts w:ascii="Calibri" w:eastAsia="Times New Roman" w:hAnsi="Calibri" w:cs="Calibri"/>
                <w:color w:val="000000"/>
              </w:rPr>
              <w:t>42%</w:t>
            </w:r>
          </w:p>
        </w:tc>
        <w:tc>
          <w:tcPr>
            <w:tcW w:w="1134" w:type="dxa"/>
            <w:tcBorders>
              <w:bottom w:val="nil"/>
            </w:tcBorders>
            <w:shd w:val="clear" w:color="auto" w:fill="auto"/>
            <w:noWrap/>
            <w:vAlign w:val="bottom"/>
            <w:hideMark/>
          </w:tcPr>
          <w:p w14:paraId="341D9583" w14:textId="0FCAF5D6" w:rsidR="009E7213" w:rsidRPr="001A4CB1" w:rsidRDefault="009E7213" w:rsidP="00270DB5">
            <w:pPr>
              <w:spacing w:after="0" w:line="240" w:lineRule="auto"/>
              <w:jc w:val="center"/>
              <w:rPr>
                <w:rFonts w:ascii="Calibri" w:eastAsia="Times New Roman" w:hAnsi="Calibri" w:cs="Calibri"/>
                <w:color w:val="000000"/>
              </w:rPr>
            </w:pPr>
            <w:r>
              <w:rPr>
                <w:rFonts w:ascii="Calibri" w:eastAsia="Times New Roman" w:hAnsi="Calibri" w:cs="Calibri"/>
                <w:color w:val="000000"/>
              </w:rPr>
              <w:t>53%</w:t>
            </w:r>
          </w:p>
        </w:tc>
        <w:tc>
          <w:tcPr>
            <w:tcW w:w="1102" w:type="dxa"/>
            <w:tcBorders>
              <w:bottom w:val="nil"/>
            </w:tcBorders>
            <w:shd w:val="clear" w:color="auto" w:fill="auto"/>
            <w:noWrap/>
            <w:vAlign w:val="bottom"/>
            <w:hideMark/>
          </w:tcPr>
          <w:p w14:paraId="6DFD917D" w14:textId="69C239B8" w:rsidR="009E7213" w:rsidRPr="001A4CB1" w:rsidRDefault="009E7213" w:rsidP="00270DB5">
            <w:pPr>
              <w:spacing w:after="0" w:line="240" w:lineRule="auto"/>
              <w:jc w:val="center"/>
              <w:rPr>
                <w:rFonts w:ascii="Calibri" w:eastAsia="Times New Roman" w:hAnsi="Calibri" w:cs="Calibri"/>
                <w:color w:val="000000"/>
              </w:rPr>
            </w:pPr>
            <w:r>
              <w:rPr>
                <w:rFonts w:ascii="Calibri" w:eastAsia="Times New Roman" w:hAnsi="Calibri" w:cs="Calibri"/>
                <w:color w:val="000000"/>
              </w:rPr>
              <w:t>64</w:t>
            </w:r>
          </w:p>
        </w:tc>
      </w:tr>
      <w:tr w:rsidR="009E7213" w:rsidRPr="001A4CB1" w14:paraId="5D2C1B0E" w14:textId="77777777" w:rsidTr="009E7213">
        <w:trPr>
          <w:trHeight w:val="137"/>
          <w:jc w:val="center"/>
        </w:trPr>
        <w:tc>
          <w:tcPr>
            <w:tcW w:w="1376" w:type="dxa"/>
            <w:tcBorders>
              <w:top w:val="nil"/>
              <w:bottom w:val="single" w:sz="4" w:space="0" w:color="auto"/>
              <w:right w:val="single" w:sz="4" w:space="0" w:color="auto"/>
            </w:tcBorders>
            <w:shd w:val="clear" w:color="auto" w:fill="auto"/>
            <w:noWrap/>
            <w:vAlign w:val="bottom"/>
            <w:hideMark/>
          </w:tcPr>
          <w:p w14:paraId="435672A1" w14:textId="2ECD7290" w:rsidR="009E7213" w:rsidRPr="001A4CB1" w:rsidRDefault="009E7213" w:rsidP="00270DB5">
            <w:pPr>
              <w:spacing w:after="0" w:line="240" w:lineRule="auto"/>
              <w:jc w:val="center"/>
              <w:rPr>
                <w:rFonts w:ascii="Calibri" w:eastAsia="Times New Roman" w:hAnsi="Calibri" w:cs="Calibri"/>
                <w:color w:val="000000"/>
              </w:rPr>
            </w:pPr>
            <w:r>
              <w:rPr>
                <w:rFonts w:ascii="Calibri" w:eastAsia="Times New Roman" w:hAnsi="Calibri" w:cs="Calibri"/>
                <w:color w:val="000000"/>
              </w:rPr>
              <w:t>DDD</w:t>
            </w:r>
          </w:p>
        </w:tc>
        <w:tc>
          <w:tcPr>
            <w:tcW w:w="1427" w:type="dxa"/>
            <w:tcBorders>
              <w:top w:val="nil"/>
              <w:left w:val="single" w:sz="4" w:space="0" w:color="auto"/>
              <w:bottom w:val="single" w:sz="4" w:space="0" w:color="auto"/>
            </w:tcBorders>
            <w:shd w:val="clear" w:color="auto" w:fill="auto"/>
            <w:noWrap/>
            <w:vAlign w:val="bottom"/>
            <w:hideMark/>
          </w:tcPr>
          <w:p w14:paraId="66786680" w14:textId="20F056CC" w:rsidR="009E7213" w:rsidRPr="001A4CB1" w:rsidRDefault="009E7213" w:rsidP="00270DB5">
            <w:pPr>
              <w:spacing w:after="0" w:line="240" w:lineRule="auto"/>
              <w:jc w:val="center"/>
              <w:rPr>
                <w:rFonts w:ascii="Calibri" w:eastAsia="Times New Roman" w:hAnsi="Calibri" w:cs="Calibri"/>
                <w:color w:val="000000"/>
              </w:rPr>
            </w:pPr>
            <w:r>
              <w:rPr>
                <w:rFonts w:ascii="Calibri" w:eastAsia="Times New Roman" w:hAnsi="Calibri" w:cs="Calibri"/>
                <w:color w:val="000000"/>
              </w:rPr>
              <w:t>32%</w:t>
            </w:r>
          </w:p>
        </w:tc>
        <w:tc>
          <w:tcPr>
            <w:tcW w:w="1134" w:type="dxa"/>
            <w:tcBorders>
              <w:top w:val="nil"/>
              <w:bottom w:val="single" w:sz="4" w:space="0" w:color="auto"/>
            </w:tcBorders>
            <w:shd w:val="clear" w:color="auto" w:fill="auto"/>
            <w:noWrap/>
            <w:vAlign w:val="bottom"/>
            <w:hideMark/>
          </w:tcPr>
          <w:p w14:paraId="34011870" w14:textId="19B9FC36" w:rsidR="009E7213" w:rsidRPr="001A4CB1" w:rsidRDefault="009E7213" w:rsidP="00270DB5">
            <w:pPr>
              <w:spacing w:after="0" w:line="240" w:lineRule="auto"/>
              <w:jc w:val="center"/>
              <w:rPr>
                <w:rFonts w:ascii="Calibri" w:eastAsia="Times New Roman" w:hAnsi="Calibri" w:cs="Calibri"/>
                <w:color w:val="000000"/>
              </w:rPr>
            </w:pPr>
            <w:r>
              <w:rPr>
                <w:rFonts w:ascii="Calibri" w:eastAsia="Times New Roman" w:hAnsi="Calibri" w:cs="Calibri"/>
                <w:color w:val="000000"/>
              </w:rPr>
              <w:t>46%</w:t>
            </w:r>
          </w:p>
        </w:tc>
        <w:tc>
          <w:tcPr>
            <w:tcW w:w="1102" w:type="dxa"/>
            <w:tcBorders>
              <w:top w:val="nil"/>
              <w:bottom w:val="single" w:sz="4" w:space="0" w:color="auto"/>
            </w:tcBorders>
            <w:shd w:val="clear" w:color="auto" w:fill="auto"/>
            <w:noWrap/>
            <w:vAlign w:val="bottom"/>
            <w:hideMark/>
          </w:tcPr>
          <w:p w14:paraId="291355A8" w14:textId="1DD8F2E7" w:rsidR="009E7213" w:rsidRPr="001A4CB1" w:rsidRDefault="009E7213" w:rsidP="00270DB5">
            <w:pPr>
              <w:spacing w:after="0" w:line="240" w:lineRule="auto"/>
              <w:jc w:val="center"/>
              <w:rPr>
                <w:rFonts w:ascii="Calibri" w:eastAsia="Times New Roman" w:hAnsi="Calibri" w:cs="Calibri"/>
                <w:color w:val="000000"/>
              </w:rPr>
            </w:pPr>
            <w:r>
              <w:rPr>
                <w:rFonts w:ascii="Calibri" w:eastAsia="Times New Roman" w:hAnsi="Calibri" w:cs="Calibri"/>
                <w:color w:val="000000"/>
              </w:rPr>
              <w:t>65</w:t>
            </w:r>
          </w:p>
        </w:tc>
      </w:tr>
      <w:tr w:rsidR="009E7213" w:rsidRPr="001A4CB1" w14:paraId="3F22764A" w14:textId="77777777" w:rsidTr="009E7213">
        <w:trPr>
          <w:trHeight w:val="137"/>
          <w:jc w:val="center"/>
        </w:trPr>
        <w:tc>
          <w:tcPr>
            <w:tcW w:w="1376" w:type="dxa"/>
            <w:tcBorders>
              <w:top w:val="single" w:sz="4" w:space="0" w:color="auto"/>
              <w:bottom w:val="single" w:sz="4" w:space="0" w:color="auto"/>
              <w:right w:val="single" w:sz="4" w:space="0" w:color="auto"/>
            </w:tcBorders>
            <w:shd w:val="clear" w:color="auto" w:fill="auto"/>
            <w:noWrap/>
            <w:vAlign w:val="bottom"/>
            <w:hideMark/>
          </w:tcPr>
          <w:p w14:paraId="0016D8EF" w14:textId="1BAED35D" w:rsidR="009E7213" w:rsidRPr="001A4CB1" w:rsidRDefault="009E7213" w:rsidP="00270DB5">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Total</w:t>
            </w:r>
          </w:p>
        </w:tc>
        <w:tc>
          <w:tcPr>
            <w:tcW w:w="1427" w:type="dxa"/>
            <w:tcBorders>
              <w:top w:val="single" w:sz="4" w:space="0" w:color="auto"/>
              <w:left w:val="single" w:sz="4" w:space="0" w:color="auto"/>
            </w:tcBorders>
            <w:shd w:val="clear" w:color="auto" w:fill="auto"/>
            <w:noWrap/>
            <w:vAlign w:val="bottom"/>
            <w:hideMark/>
          </w:tcPr>
          <w:p w14:paraId="078CEB12" w14:textId="66FF9259" w:rsidR="009E7213" w:rsidRPr="001A4CB1" w:rsidRDefault="009E7213" w:rsidP="00270DB5">
            <w:pPr>
              <w:spacing w:after="0" w:line="240" w:lineRule="auto"/>
              <w:jc w:val="center"/>
              <w:rPr>
                <w:rFonts w:ascii="Calibri" w:eastAsia="Times New Roman" w:hAnsi="Calibri" w:cs="Calibri"/>
                <w:color w:val="000000"/>
              </w:rPr>
            </w:pPr>
            <w:r>
              <w:rPr>
                <w:rFonts w:ascii="Calibri" w:eastAsia="Times New Roman" w:hAnsi="Calibri" w:cs="Calibri"/>
                <w:color w:val="000000"/>
              </w:rPr>
              <w:t>49%</w:t>
            </w:r>
          </w:p>
        </w:tc>
        <w:tc>
          <w:tcPr>
            <w:tcW w:w="1134" w:type="dxa"/>
            <w:tcBorders>
              <w:top w:val="single" w:sz="4" w:space="0" w:color="auto"/>
            </w:tcBorders>
            <w:shd w:val="clear" w:color="auto" w:fill="auto"/>
            <w:noWrap/>
            <w:vAlign w:val="bottom"/>
            <w:hideMark/>
          </w:tcPr>
          <w:p w14:paraId="4422C564" w14:textId="6F3473A0" w:rsidR="009E7213" w:rsidRPr="001A4CB1" w:rsidRDefault="009E7213" w:rsidP="00270DB5">
            <w:pPr>
              <w:spacing w:after="0" w:line="240" w:lineRule="auto"/>
              <w:jc w:val="center"/>
              <w:rPr>
                <w:rFonts w:ascii="Calibri" w:eastAsia="Times New Roman" w:hAnsi="Calibri" w:cs="Calibri"/>
                <w:color w:val="000000"/>
              </w:rPr>
            </w:pPr>
            <w:r>
              <w:rPr>
                <w:rFonts w:ascii="Calibri" w:eastAsia="Times New Roman" w:hAnsi="Calibri" w:cs="Calibri"/>
                <w:color w:val="000000"/>
              </w:rPr>
              <w:t>64%</w:t>
            </w:r>
          </w:p>
        </w:tc>
        <w:tc>
          <w:tcPr>
            <w:tcW w:w="1102" w:type="dxa"/>
            <w:tcBorders>
              <w:top w:val="single" w:sz="4" w:space="0" w:color="auto"/>
            </w:tcBorders>
            <w:shd w:val="clear" w:color="auto" w:fill="auto"/>
            <w:noWrap/>
            <w:vAlign w:val="bottom"/>
            <w:hideMark/>
          </w:tcPr>
          <w:p w14:paraId="04FB6923" w14:textId="0A123207" w:rsidR="009E7213" w:rsidRPr="001A4CB1" w:rsidRDefault="009E7213" w:rsidP="00270DB5">
            <w:pPr>
              <w:spacing w:after="0" w:line="240" w:lineRule="auto"/>
              <w:jc w:val="center"/>
              <w:rPr>
                <w:rFonts w:ascii="Calibri" w:eastAsia="Times New Roman" w:hAnsi="Calibri" w:cs="Calibri"/>
                <w:color w:val="000000"/>
              </w:rPr>
            </w:pPr>
            <w:r>
              <w:rPr>
                <w:rFonts w:ascii="Calibri" w:eastAsia="Times New Roman" w:hAnsi="Calibri" w:cs="Calibri"/>
                <w:color w:val="000000"/>
              </w:rPr>
              <w:t>64</w:t>
            </w:r>
          </w:p>
        </w:tc>
      </w:tr>
    </w:tbl>
    <w:p w14:paraId="2820D744" w14:textId="77777777" w:rsidR="009E7213" w:rsidRPr="009E7213" w:rsidRDefault="009E7213" w:rsidP="009E7213">
      <w:pPr>
        <w:pStyle w:val="ListParagraph"/>
        <w:rPr>
          <w:rFonts w:asciiTheme="majorBidi" w:hAnsiTheme="majorBidi" w:cstheme="majorBidi"/>
          <w:b/>
          <w:bCs/>
          <w:sz w:val="24"/>
          <w:szCs w:val="24"/>
        </w:rPr>
      </w:pPr>
    </w:p>
    <w:p w14:paraId="58976853" w14:textId="254D4F25" w:rsidR="007C3E81" w:rsidRPr="00A02F77" w:rsidRDefault="00390E41" w:rsidP="00A02F77">
      <w:pPr>
        <w:pStyle w:val="ListParagraph"/>
        <w:numPr>
          <w:ilvl w:val="0"/>
          <w:numId w:val="38"/>
        </w:numPr>
        <w:ind w:left="360"/>
        <w:rPr>
          <w:rFonts w:asciiTheme="majorBidi" w:hAnsiTheme="majorBidi" w:cstheme="majorBidi"/>
          <w:i/>
          <w:iCs/>
          <w:sz w:val="24"/>
          <w:szCs w:val="24"/>
        </w:rPr>
      </w:pPr>
      <w:r w:rsidRPr="00A02F77">
        <w:rPr>
          <w:rFonts w:asciiTheme="majorBidi" w:hAnsiTheme="majorBidi" w:cstheme="majorBidi"/>
          <w:i/>
          <w:iCs/>
          <w:sz w:val="24"/>
          <w:szCs w:val="24"/>
        </w:rPr>
        <w:t xml:space="preserve">Political Composition and Prodefendant Outcomes </w:t>
      </w:r>
    </w:p>
    <w:p w14:paraId="099E2D69" w14:textId="289A0687" w:rsidR="009E1B61" w:rsidRDefault="00390E41" w:rsidP="00E22772">
      <w:pPr>
        <w:spacing w:after="120" w:line="300" w:lineRule="auto"/>
        <w:ind w:firstLine="450"/>
        <w:jc w:val="both"/>
        <w:rPr>
          <w:rFonts w:asciiTheme="majorBidi" w:hAnsiTheme="majorBidi" w:cstheme="majorBidi"/>
          <w:sz w:val="24"/>
          <w:szCs w:val="24"/>
        </w:rPr>
      </w:pPr>
      <w:r>
        <w:rPr>
          <w:rFonts w:asciiTheme="majorBidi" w:hAnsiTheme="majorBidi" w:cstheme="majorBidi"/>
          <w:sz w:val="24"/>
          <w:szCs w:val="24"/>
        </w:rPr>
        <w:t>Sunstein et al. (200</w:t>
      </w:r>
      <w:r w:rsidR="004A1F8D">
        <w:rPr>
          <w:rFonts w:asciiTheme="majorBidi" w:hAnsiTheme="majorBidi" w:cstheme="majorBidi"/>
          <w:sz w:val="24"/>
          <w:szCs w:val="24"/>
        </w:rPr>
        <w:t>6</w:t>
      </w:r>
      <w:r>
        <w:rPr>
          <w:rFonts w:asciiTheme="majorBidi" w:hAnsiTheme="majorBidi" w:cstheme="majorBidi"/>
          <w:sz w:val="24"/>
          <w:szCs w:val="24"/>
        </w:rPr>
        <w:t xml:space="preserve">) hypothesized that panels with more Democratic judges </w:t>
      </w:r>
      <w:r w:rsidR="009E1B61">
        <w:rPr>
          <w:rFonts w:asciiTheme="majorBidi" w:hAnsiTheme="majorBidi" w:cstheme="majorBidi"/>
          <w:sz w:val="24"/>
          <w:szCs w:val="24"/>
        </w:rPr>
        <w:t xml:space="preserve">should be expected to be more likely to side with the criminal defendant – that is, produce a prodefendant outcome – but found that the hypothesis was not supported by the evidence in the small sample of </w:t>
      </w:r>
      <w:r w:rsidR="004A1F8D">
        <w:rPr>
          <w:rFonts w:asciiTheme="majorBidi" w:hAnsiTheme="majorBidi" w:cstheme="majorBidi"/>
          <w:sz w:val="24"/>
          <w:szCs w:val="24"/>
        </w:rPr>
        <w:t>1</w:t>
      </w:r>
      <w:r w:rsidR="009E1B61">
        <w:rPr>
          <w:rFonts w:asciiTheme="majorBidi" w:hAnsiTheme="majorBidi" w:cstheme="majorBidi"/>
          <w:sz w:val="24"/>
          <w:szCs w:val="24"/>
        </w:rPr>
        <w:t xml:space="preserve">,000 cases this study examined. Table 3 below provides </w:t>
      </w:r>
      <w:r w:rsidR="00686122">
        <w:rPr>
          <w:rFonts w:asciiTheme="majorBidi" w:hAnsiTheme="majorBidi" w:cstheme="majorBidi"/>
          <w:sz w:val="24"/>
          <w:szCs w:val="24"/>
        </w:rPr>
        <w:t xml:space="preserve">summary statistics on how the four types of </w:t>
      </w:r>
      <w:r w:rsidR="00F05B14">
        <w:rPr>
          <w:rFonts w:asciiTheme="majorBidi" w:hAnsiTheme="majorBidi" w:cstheme="majorBidi"/>
          <w:sz w:val="24"/>
          <w:szCs w:val="24"/>
        </w:rPr>
        <w:t xml:space="preserve">panels differ in terms of the percentage of prodefendant outcomes. </w:t>
      </w:r>
    </w:p>
    <w:p w14:paraId="230EF8DF" w14:textId="0363BB23" w:rsidR="008829F7" w:rsidRDefault="003202CB" w:rsidP="004F4103">
      <w:pPr>
        <w:spacing w:after="120" w:line="300" w:lineRule="auto"/>
        <w:ind w:firstLine="450"/>
        <w:jc w:val="both"/>
        <w:rPr>
          <w:rFonts w:asciiTheme="majorBidi" w:hAnsiTheme="majorBidi" w:cstheme="majorBidi"/>
          <w:sz w:val="24"/>
          <w:szCs w:val="24"/>
        </w:rPr>
      </w:pPr>
      <w:r>
        <w:rPr>
          <w:rFonts w:asciiTheme="majorBidi" w:hAnsiTheme="majorBidi" w:cstheme="majorBidi"/>
          <w:sz w:val="24"/>
          <w:szCs w:val="24"/>
        </w:rPr>
        <w:t>I defined outcome as prodefendant in the following way. If the criminal defendant is the appellant</w:t>
      </w:r>
      <w:r w:rsidR="00B53363">
        <w:rPr>
          <w:rFonts w:asciiTheme="majorBidi" w:hAnsiTheme="majorBidi" w:cstheme="majorBidi"/>
          <w:sz w:val="24"/>
          <w:szCs w:val="24"/>
        </w:rPr>
        <w:t xml:space="preserve">, whether the appeal is over the conviction and/or sentence, a prodefendant outcome is one in which the defendant’s appeal is accepted. If the government is the </w:t>
      </w:r>
      <w:r w:rsidR="0055165C">
        <w:rPr>
          <w:rFonts w:asciiTheme="majorBidi" w:hAnsiTheme="majorBidi" w:cstheme="majorBidi"/>
          <w:sz w:val="24"/>
          <w:szCs w:val="24"/>
        </w:rPr>
        <w:t>appellant</w:t>
      </w:r>
      <w:r w:rsidR="00B53363">
        <w:rPr>
          <w:rFonts w:asciiTheme="majorBidi" w:hAnsiTheme="majorBidi" w:cstheme="majorBidi"/>
          <w:sz w:val="24"/>
          <w:szCs w:val="24"/>
        </w:rPr>
        <w:t xml:space="preserve">, </w:t>
      </w:r>
      <w:r w:rsidR="0055165C">
        <w:rPr>
          <w:rFonts w:asciiTheme="majorBidi" w:hAnsiTheme="majorBidi" w:cstheme="majorBidi"/>
          <w:sz w:val="24"/>
          <w:szCs w:val="24"/>
        </w:rPr>
        <w:t xml:space="preserve">which is the case when the government seeks to overturn the sentencing decision of the trial court, a prodefendant outcome is one in which the government’s appeal is accepted. </w:t>
      </w:r>
      <w:r w:rsidR="00091EC0">
        <w:rPr>
          <w:rStyle w:val="FootnoteReference"/>
          <w:rFonts w:asciiTheme="majorBidi" w:hAnsiTheme="majorBidi" w:cstheme="majorBidi"/>
          <w:sz w:val="24"/>
          <w:szCs w:val="24"/>
        </w:rPr>
        <w:footnoteReference w:id="16"/>
      </w:r>
    </w:p>
    <w:p w14:paraId="340A1F49" w14:textId="5B7F7E6D" w:rsidR="00F87E69" w:rsidRDefault="009D70C4" w:rsidP="00A13C7B">
      <w:pPr>
        <w:spacing w:after="120" w:line="360" w:lineRule="auto"/>
        <w:ind w:firstLine="446"/>
        <w:jc w:val="both"/>
        <w:rPr>
          <w:rFonts w:asciiTheme="majorBidi" w:hAnsiTheme="majorBidi" w:cstheme="majorBidi"/>
          <w:sz w:val="24"/>
          <w:szCs w:val="24"/>
        </w:rPr>
      </w:pPr>
      <w:r>
        <w:rPr>
          <w:rFonts w:asciiTheme="majorBidi" w:hAnsiTheme="majorBidi" w:cstheme="majorBidi"/>
          <w:sz w:val="24"/>
          <w:szCs w:val="24"/>
        </w:rPr>
        <w:lastRenderedPageBreak/>
        <w:t xml:space="preserve">Table 4 provides summary statistics on how the four types of panels differ </w:t>
      </w:r>
      <w:r w:rsidR="0085674D">
        <w:rPr>
          <w:rFonts w:asciiTheme="majorBidi" w:hAnsiTheme="majorBidi" w:cstheme="majorBidi"/>
          <w:sz w:val="24"/>
          <w:szCs w:val="24"/>
        </w:rPr>
        <w:t xml:space="preserve">with respect to the percentage of prodefendant outcomes. </w:t>
      </w:r>
      <w:r w:rsidR="00971FB4">
        <w:rPr>
          <w:rFonts w:asciiTheme="majorBidi" w:hAnsiTheme="majorBidi" w:cstheme="majorBidi"/>
          <w:sz w:val="24"/>
          <w:szCs w:val="24"/>
        </w:rPr>
        <w:t xml:space="preserve">Panel A of the Table reports such summary statistics for all the cases in our large sample. </w:t>
      </w:r>
      <w:r w:rsidR="004B7185">
        <w:rPr>
          <w:rFonts w:asciiTheme="majorBidi" w:hAnsiTheme="majorBidi" w:cstheme="majorBidi"/>
          <w:sz w:val="24"/>
          <w:szCs w:val="24"/>
        </w:rPr>
        <w:t xml:space="preserve">The Table indicates that, during the examined period as a whole as well as in each of the four examined decades, </w:t>
      </w:r>
      <w:r w:rsidR="00DA5FDF">
        <w:rPr>
          <w:rFonts w:asciiTheme="majorBidi" w:hAnsiTheme="majorBidi" w:cstheme="majorBidi"/>
          <w:sz w:val="24"/>
          <w:szCs w:val="24"/>
        </w:rPr>
        <w:t xml:space="preserve">the percentage of prodefendant outcomes is higher for panels with more democratic judges. Indeed, for the whole period, the percentage of prodefendant outcomes in DDD panels, 14%, is much higher than the percentage of such outcomes in RRR cases, 8%. </w:t>
      </w:r>
      <w:r w:rsidR="00971FB4">
        <w:rPr>
          <w:rFonts w:asciiTheme="majorBidi" w:hAnsiTheme="majorBidi" w:cstheme="majorBidi"/>
          <w:sz w:val="24"/>
          <w:szCs w:val="24"/>
        </w:rPr>
        <w:t xml:space="preserve"> </w:t>
      </w:r>
      <w:r w:rsidR="0065582F">
        <w:rPr>
          <w:rFonts w:asciiTheme="majorBidi" w:hAnsiTheme="majorBidi" w:cstheme="majorBidi"/>
          <w:sz w:val="24"/>
          <w:szCs w:val="24"/>
        </w:rPr>
        <w:t xml:space="preserve">Panel A also indicates the possible presence of a time trend: for all types of panels, the percentage of prodefendant outcomes </w:t>
      </w:r>
      <w:r w:rsidR="004A1F8D">
        <w:rPr>
          <w:rFonts w:asciiTheme="majorBidi" w:hAnsiTheme="majorBidi" w:cstheme="majorBidi"/>
          <w:sz w:val="24"/>
          <w:szCs w:val="24"/>
        </w:rPr>
        <w:t>decreases</w:t>
      </w:r>
      <w:r w:rsidR="0065582F">
        <w:rPr>
          <w:rFonts w:asciiTheme="majorBidi" w:hAnsiTheme="majorBidi" w:cstheme="majorBidi"/>
          <w:sz w:val="24"/>
          <w:szCs w:val="24"/>
        </w:rPr>
        <w:t xml:space="preserve"> over time. </w:t>
      </w:r>
      <w:r w:rsidR="00C96D3E">
        <w:rPr>
          <w:rFonts w:asciiTheme="majorBidi" w:hAnsiTheme="majorBidi" w:cstheme="majorBidi"/>
          <w:sz w:val="24"/>
          <w:szCs w:val="24"/>
        </w:rPr>
        <w:t xml:space="preserve">Therefore, in the empirical analysis of the subsequent Section </w:t>
      </w:r>
      <w:r w:rsidR="00EC093D">
        <w:rPr>
          <w:rFonts w:asciiTheme="majorBidi" w:hAnsiTheme="majorBidi" w:cstheme="majorBidi"/>
          <w:sz w:val="24"/>
          <w:szCs w:val="24"/>
        </w:rPr>
        <w:t xml:space="preserve">I control for time trends. </w:t>
      </w:r>
    </w:p>
    <w:p w14:paraId="2A1DF334" w14:textId="38400252" w:rsidR="009D70C4" w:rsidRDefault="00F87E69" w:rsidP="00A13C7B">
      <w:pPr>
        <w:spacing w:after="120"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Panels </w:t>
      </w:r>
      <w:r w:rsidR="00923E9A">
        <w:rPr>
          <w:rFonts w:asciiTheme="majorBidi" w:hAnsiTheme="majorBidi" w:cstheme="majorBidi"/>
          <w:sz w:val="24"/>
          <w:szCs w:val="24"/>
        </w:rPr>
        <w:t xml:space="preserve">B and C of the Table </w:t>
      </w:r>
      <w:r w:rsidR="00EC093D">
        <w:rPr>
          <w:rFonts w:asciiTheme="majorBidi" w:hAnsiTheme="majorBidi" w:cstheme="majorBidi"/>
          <w:sz w:val="24"/>
          <w:szCs w:val="24"/>
        </w:rPr>
        <w:t xml:space="preserve">4 provide such summary statistics separately for cases with published opinions and cases with </w:t>
      </w:r>
      <w:r w:rsidR="000414FD">
        <w:rPr>
          <w:rFonts w:asciiTheme="majorBidi" w:hAnsiTheme="majorBidi" w:cstheme="majorBidi"/>
          <w:sz w:val="24"/>
          <w:szCs w:val="24"/>
        </w:rPr>
        <w:t xml:space="preserve">unpublished opinions. These Panels B and C indicate that the </w:t>
      </w:r>
      <w:r w:rsidR="006B4E41">
        <w:rPr>
          <w:rFonts w:asciiTheme="majorBidi" w:hAnsiTheme="majorBidi" w:cstheme="majorBidi"/>
          <w:sz w:val="24"/>
          <w:szCs w:val="24"/>
        </w:rPr>
        <w:t xml:space="preserve">in both published and unpublished there is a presence of the first pattern discussed above – that the percentage of prodefendant outcomes is higher </w:t>
      </w:r>
      <w:r w:rsidR="00FE05A1">
        <w:rPr>
          <w:rFonts w:asciiTheme="majorBidi" w:hAnsiTheme="majorBidi" w:cstheme="majorBidi"/>
          <w:sz w:val="24"/>
          <w:szCs w:val="24"/>
        </w:rPr>
        <w:t xml:space="preserve">for types of cases with more Democratic judges. However, the time trend with respect to the fraction of prodefendant outcomes are different for </w:t>
      </w:r>
      <w:r w:rsidR="00873D7E">
        <w:rPr>
          <w:rFonts w:asciiTheme="majorBidi" w:hAnsiTheme="majorBidi" w:cstheme="majorBidi"/>
          <w:sz w:val="24"/>
          <w:szCs w:val="24"/>
        </w:rPr>
        <w:t xml:space="preserve">published </w:t>
      </w:r>
      <w:r w:rsidR="0081681F">
        <w:rPr>
          <w:rFonts w:asciiTheme="majorBidi" w:hAnsiTheme="majorBidi" w:cstheme="majorBidi"/>
          <w:sz w:val="24"/>
          <w:szCs w:val="24"/>
        </w:rPr>
        <w:t xml:space="preserve">cases </w:t>
      </w:r>
      <w:r w:rsidR="00873D7E">
        <w:rPr>
          <w:rFonts w:asciiTheme="majorBidi" w:hAnsiTheme="majorBidi" w:cstheme="majorBidi"/>
          <w:sz w:val="24"/>
          <w:szCs w:val="24"/>
        </w:rPr>
        <w:t xml:space="preserve">and unpublished cases. </w:t>
      </w:r>
      <w:r w:rsidR="0081681F">
        <w:rPr>
          <w:rFonts w:asciiTheme="majorBidi" w:hAnsiTheme="majorBidi" w:cstheme="majorBidi"/>
          <w:sz w:val="24"/>
          <w:szCs w:val="24"/>
        </w:rPr>
        <w:t xml:space="preserve">In particular, </w:t>
      </w:r>
      <w:r w:rsidR="00367F33">
        <w:rPr>
          <w:rFonts w:asciiTheme="majorBidi" w:hAnsiTheme="majorBidi" w:cstheme="majorBidi"/>
          <w:sz w:val="24"/>
          <w:szCs w:val="24"/>
        </w:rPr>
        <w:t xml:space="preserve">for the different types of panels, </w:t>
      </w:r>
      <w:r w:rsidR="00C96413">
        <w:rPr>
          <w:rFonts w:asciiTheme="majorBidi" w:hAnsiTheme="majorBidi" w:cstheme="majorBidi"/>
          <w:sz w:val="24"/>
          <w:szCs w:val="24"/>
        </w:rPr>
        <w:t>while the fraction of prodefendant</w:t>
      </w:r>
      <w:r w:rsidR="00367F33">
        <w:rPr>
          <w:rFonts w:asciiTheme="majorBidi" w:hAnsiTheme="majorBidi" w:cstheme="majorBidi"/>
          <w:sz w:val="24"/>
          <w:szCs w:val="24"/>
        </w:rPr>
        <w:t xml:space="preserve"> outcomes declines over time in the set of all cases , it substantially increases over time in the </w:t>
      </w:r>
      <w:r w:rsidR="00B96C1F">
        <w:rPr>
          <w:rFonts w:asciiTheme="majorBidi" w:hAnsiTheme="majorBidi" w:cstheme="majorBidi"/>
          <w:sz w:val="24"/>
          <w:szCs w:val="24"/>
        </w:rPr>
        <w:t xml:space="preserve">subset of published cases. </w:t>
      </w:r>
      <w:r w:rsidR="00C96413">
        <w:rPr>
          <w:rFonts w:asciiTheme="majorBidi" w:hAnsiTheme="majorBidi" w:cstheme="majorBidi"/>
          <w:sz w:val="24"/>
          <w:szCs w:val="24"/>
        </w:rPr>
        <w:t xml:space="preserve"> </w:t>
      </w:r>
    </w:p>
    <w:p w14:paraId="6B99B679" w14:textId="6D9034C3" w:rsidR="005C1513" w:rsidRPr="00A13C7B" w:rsidRDefault="005C1513" w:rsidP="00866391">
      <w:pPr>
        <w:jc w:val="center"/>
        <w:rPr>
          <w:rFonts w:asciiTheme="majorBidi" w:hAnsiTheme="majorBidi" w:cstheme="majorBidi"/>
          <w:sz w:val="24"/>
          <w:szCs w:val="24"/>
        </w:rPr>
      </w:pPr>
      <w:r w:rsidRPr="00A13C7B">
        <w:rPr>
          <w:rFonts w:asciiTheme="majorBidi" w:hAnsiTheme="majorBidi" w:cstheme="majorBidi"/>
          <w:sz w:val="24"/>
          <w:szCs w:val="24"/>
        </w:rPr>
        <w:t xml:space="preserve">Table </w:t>
      </w:r>
      <w:r w:rsidR="009E7213" w:rsidRPr="00A13C7B">
        <w:rPr>
          <w:rFonts w:asciiTheme="majorBidi" w:hAnsiTheme="majorBidi" w:cstheme="majorBidi"/>
          <w:sz w:val="24"/>
          <w:szCs w:val="24"/>
        </w:rPr>
        <w:t>4</w:t>
      </w:r>
      <w:r w:rsidRPr="00A13C7B">
        <w:rPr>
          <w:rFonts w:asciiTheme="majorBidi" w:hAnsiTheme="majorBidi" w:cstheme="majorBidi"/>
          <w:sz w:val="24"/>
          <w:szCs w:val="24"/>
        </w:rPr>
        <w:t xml:space="preserve">: Politics and odds of </w:t>
      </w:r>
      <w:r w:rsidR="00857CB2" w:rsidRPr="00A13C7B">
        <w:rPr>
          <w:rFonts w:asciiTheme="majorBidi" w:hAnsiTheme="majorBidi" w:cstheme="majorBidi"/>
          <w:sz w:val="24"/>
          <w:szCs w:val="24"/>
        </w:rPr>
        <w:t>Defendant Win</w:t>
      </w:r>
    </w:p>
    <w:p w14:paraId="1B550B6D" w14:textId="5C515938" w:rsidR="00512854" w:rsidRPr="00A13C7B" w:rsidRDefault="00512854" w:rsidP="004A1F8D">
      <w:pPr>
        <w:ind w:left="1080"/>
        <w:rPr>
          <w:rFonts w:asciiTheme="majorBidi" w:hAnsiTheme="majorBidi" w:cstheme="majorBidi"/>
          <w:sz w:val="24"/>
          <w:szCs w:val="24"/>
        </w:rPr>
      </w:pPr>
      <w:r w:rsidRPr="00A13C7B">
        <w:rPr>
          <w:rFonts w:asciiTheme="majorBidi" w:hAnsiTheme="majorBidi" w:cstheme="majorBidi"/>
          <w:sz w:val="24"/>
          <w:szCs w:val="24"/>
        </w:rPr>
        <w:t>Panel A: All Cases</w:t>
      </w:r>
    </w:p>
    <w:tbl>
      <w:tblPr>
        <w:tblW w:w="7211"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76"/>
        <w:gridCol w:w="1427"/>
        <w:gridCol w:w="1102"/>
        <w:gridCol w:w="1102"/>
        <w:gridCol w:w="1102"/>
        <w:gridCol w:w="1102"/>
      </w:tblGrid>
      <w:tr w:rsidR="00765AD4" w:rsidRPr="001A4CB1" w14:paraId="039199CA" w14:textId="77777777" w:rsidTr="00866391">
        <w:trPr>
          <w:trHeight w:val="137"/>
          <w:jc w:val="center"/>
        </w:trPr>
        <w:tc>
          <w:tcPr>
            <w:tcW w:w="1376" w:type="dxa"/>
            <w:tcBorders>
              <w:top w:val="single" w:sz="4" w:space="0" w:color="auto"/>
              <w:bottom w:val="single" w:sz="4" w:space="0" w:color="auto"/>
              <w:right w:val="single" w:sz="4" w:space="0" w:color="auto"/>
            </w:tcBorders>
            <w:shd w:val="clear" w:color="auto" w:fill="auto"/>
            <w:noWrap/>
            <w:vAlign w:val="bottom"/>
            <w:hideMark/>
          </w:tcPr>
          <w:p w14:paraId="1BF36878" w14:textId="77777777" w:rsidR="00765AD4" w:rsidRPr="001A4CB1" w:rsidRDefault="00765AD4" w:rsidP="00866391">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Period</w:t>
            </w:r>
          </w:p>
        </w:tc>
        <w:tc>
          <w:tcPr>
            <w:tcW w:w="1427" w:type="dxa"/>
            <w:tcBorders>
              <w:top w:val="single" w:sz="4" w:space="0" w:color="auto"/>
              <w:left w:val="single" w:sz="4" w:space="0" w:color="auto"/>
              <w:bottom w:val="single" w:sz="4" w:space="0" w:color="auto"/>
            </w:tcBorders>
            <w:shd w:val="clear" w:color="auto" w:fill="auto"/>
            <w:noWrap/>
            <w:vAlign w:val="bottom"/>
            <w:hideMark/>
          </w:tcPr>
          <w:p w14:paraId="63FB8095" w14:textId="00E6679D" w:rsidR="00765AD4" w:rsidRPr="001A4CB1" w:rsidRDefault="00765AD4" w:rsidP="00866391">
            <w:pPr>
              <w:spacing w:after="0" w:line="240" w:lineRule="auto"/>
              <w:jc w:val="center"/>
              <w:rPr>
                <w:rFonts w:ascii="Calibri" w:eastAsia="Times New Roman" w:hAnsi="Calibri" w:cs="Calibri"/>
                <w:color w:val="000000"/>
              </w:rPr>
            </w:pPr>
            <w:r>
              <w:rPr>
                <w:rFonts w:ascii="Calibri" w:eastAsia="Times New Roman" w:hAnsi="Calibri" w:cs="Calibri"/>
                <w:color w:val="000000"/>
              </w:rPr>
              <w:t>All</w:t>
            </w:r>
          </w:p>
        </w:tc>
        <w:tc>
          <w:tcPr>
            <w:tcW w:w="1102" w:type="dxa"/>
            <w:tcBorders>
              <w:top w:val="single" w:sz="4" w:space="0" w:color="auto"/>
              <w:bottom w:val="single" w:sz="4" w:space="0" w:color="auto"/>
            </w:tcBorders>
            <w:shd w:val="clear" w:color="auto" w:fill="auto"/>
            <w:noWrap/>
            <w:vAlign w:val="bottom"/>
            <w:hideMark/>
          </w:tcPr>
          <w:p w14:paraId="4280CEC9" w14:textId="77777777" w:rsidR="00765AD4" w:rsidRPr="001A4CB1" w:rsidRDefault="00765AD4" w:rsidP="00866391">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RRR</w:t>
            </w:r>
          </w:p>
        </w:tc>
        <w:tc>
          <w:tcPr>
            <w:tcW w:w="1102" w:type="dxa"/>
            <w:tcBorders>
              <w:top w:val="single" w:sz="4" w:space="0" w:color="auto"/>
              <w:bottom w:val="single" w:sz="4" w:space="0" w:color="auto"/>
            </w:tcBorders>
            <w:shd w:val="clear" w:color="auto" w:fill="auto"/>
            <w:noWrap/>
            <w:vAlign w:val="bottom"/>
            <w:hideMark/>
          </w:tcPr>
          <w:p w14:paraId="6289DC1E" w14:textId="77777777" w:rsidR="00765AD4" w:rsidRPr="001A4CB1" w:rsidRDefault="00765AD4" w:rsidP="00866391">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RRD</w:t>
            </w:r>
          </w:p>
        </w:tc>
        <w:tc>
          <w:tcPr>
            <w:tcW w:w="1102" w:type="dxa"/>
            <w:tcBorders>
              <w:top w:val="single" w:sz="4" w:space="0" w:color="auto"/>
              <w:bottom w:val="single" w:sz="4" w:space="0" w:color="auto"/>
            </w:tcBorders>
            <w:shd w:val="clear" w:color="auto" w:fill="auto"/>
            <w:noWrap/>
            <w:vAlign w:val="bottom"/>
            <w:hideMark/>
          </w:tcPr>
          <w:p w14:paraId="5DCE68B4" w14:textId="77777777" w:rsidR="00765AD4" w:rsidRPr="001A4CB1" w:rsidRDefault="00765AD4" w:rsidP="00866391">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RDD</w:t>
            </w:r>
          </w:p>
        </w:tc>
        <w:tc>
          <w:tcPr>
            <w:tcW w:w="1102" w:type="dxa"/>
            <w:tcBorders>
              <w:top w:val="single" w:sz="4" w:space="0" w:color="auto"/>
              <w:bottom w:val="single" w:sz="4" w:space="0" w:color="auto"/>
            </w:tcBorders>
            <w:shd w:val="clear" w:color="auto" w:fill="auto"/>
            <w:noWrap/>
            <w:vAlign w:val="bottom"/>
            <w:hideMark/>
          </w:tcPr>
          <w:p w14:paraId="52939A41" w14:textId="77777777" w:rsidR="00765AD4" w:rsidRPr="001A4CB1" w:rsidRDefault="00765AD4" w:rsidP="00866391">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DDD</w:t>
            </w:r>
          </w:p>
        </w:tc>
      </w:tr>
      <w:tr w:rsidR="00765AD4" w:rsidRPr="001A4CB1" w14:paraId="47A48128" w14:textId="77777777" w:rsidTr="00866391">
        <w:trPr>
          <w:trHeight w:val="137"/>
          <w:jc w:val="center"/>
        </w:trPr>
        <w:tc>
          <w:tcPr>
            <w:tcW w:w="1376" w:type="dxa"/>
            <w:tcBorders>
              <w:top w:val="single" w:sz="4" w:space="0" w:color="auto"/>
              <w:right w:val="single" w:sz="4" w:space="0" w:color="auto"/>
            </w:tcBorders>
            <w:shd w:val="clear" w:color="auto" w:fill="auto"/>
            <w:noWrap/>
            <w:vAlign w:val="bottom"/>
            <w:hideMark/>
          </w:tcPr>
          <w:p w14:paraId="03C59CA0" w14:textId="77777777" w:rsidR="00765AD4" w:rsidRPr="001A4CB1" w:rsidRDefault="00765AD4" w:rsidP="00866391">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1980-1990</w:t>
            </w:r>
          </w:p>
        </w:tc>
        <w:tc>
          <w:tcPr>
            <w:tcW w:w="1427" w:type="dxa"/>
            <w:tcBorders>
              <w:top w:val="single" w:sz="4" w:space="0" w:color="auto"/>
              <w:left w:val="single" w:sz="4" w:space="0" w:color="auto"/>
            </w:tcBorders>
            <w:shd w:val="clear" w:color="auto" w:fill="auto"/>
            <w:noWrap/>
            <w:vAlign w:val="bottom"/>
            <w:hideMark/>
          </w:tcPr>
          <w:p w14:paraId="4F16491E" w14:textId="28E47C0B"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18%</w:t>
            </w:r>
          </w:p>
        </w:tc>
        <w:tc>
          <w:tcPr>
            <w:tcW w:w="1102" w:type="dxa"/>
            <w:tcBorders>
              <w:top w:val="single" w:sz="4" w:space="0" w:color="auto"/>
            </w:tcBorders>
            <w:shd w:val="clear" w:color="auto" w:fill="auto"/>
            <w:noWrap/>
            <w:vAlign w:val="bottom"/>
            <w:hideMark/>
          </w:tcPr>
          <w:p w14:paraId="24FFD712" w14:textId="63A434C7"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18%</w:t>
            </w:r>
          </w:p>
        </w:tc>
        <w:tc>
          <w:tcPr>
            <w:tcW w:w="1102" w:type="dxa"/>
            <w:tcBorders>
              <w:top w:val="single" w:sz="4" w:space="0" w:color="auto"/>
            </w:tcBorders>
            <w:shd w:val="clear" w:color="auto" w:fill="auto"/>
            <w:noWrap/>
            <w:vAlign w:val="bottom"/>
            <w:hideMark/>
          </w:tcPr>
          <w:p w14:paraId="05EA98D9" w14:textId="12CFA9FD"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17%</w:t>
            </w:r>
          </w:p>
        </w:tc>
        <w:tc>
          <w:tcPr>
            <w:tcW w:w="1102" w:type="dxa"/>
            <w:tcBorders>
              <w:top w:val="single" w:sz="4" w:space="0" w:color="auto"/>
            </w:tcBorders>
            <w:shd w:val="clear" w:color="auto" w:fill="auto"/>
            <w:noWrap/>
            <w:vAlign w:val="bottom"/>
            <w:hideMark/>
          </w:tcPr>
          <w:p w14:paraId="13F65F01" w14:textId="2F747569"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19%</w:t>
            </w:r>
          </w:p>
        </w:tc>
        <w:tc>
          <w:tcPr>
            <w:tcW w:w="1102" w:type="dxa"/>
            <w:tcBorders>
              <w:top w:val="single" w:sz="4" w:space="0" w:color="auto"/>
            </w:tcBorders>
            <w:shd w:val="clear" w:color="auto" w:fill="auto"/>
            <w:noWrap/>
            <w:vAlign w:val="bottom"/>
            <w:hideMark/>
          </w:tcPr>
          <w:p w14:paraId="6DA7563E" w14:textId="3633C4E1"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21%</w:t>
            </w:r>
          </w:p>
        </w:tc>
      </w:tr>
      <w:tr w:rsidR="00765AD4" w:rsidRPr="001A4CB1" w14:paraId="009B11BE" w14:textId="77777777" w:rsidTr="00866391">
        <w:trPr>
          <w:trHeight w:val="137"/>
          <w:jc w:val="center"/>
        </w:trPr>
        <w:tc>
          <w:tcPr>
            <w:tcW w:w="1376" w:type="dxa"/>
            <w:tcBorders>
              <w:right w:val="single" w:sz="4" w:space="0" w:color="auto"/>
            </w:tcBorders>
            <w:shd w:val="clear" w:color="auto" w:fill="auto"/>
            <w:noWrap/>
            <w:vAlign w:val="bottom"/>
            <w:hideMark/>
          </w:tcPr>
          <w:p w14:paraId="0CFBC675" w14:textId="77777777" w:rsidR="00765AD4" w:rsidRPr="001A4CB1" w:rsidRDefault="00765AD4" w:rsidP="00866391">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1991-2000</w:t>
            </w:r>
          </w:p>
        </w:tc>
        <w:tc>
          <w:tcPr>
            <w:tcW w:w="1427" w:type="dxa"/>
            <w:tcBorders>
              <w:left w:val="single" w:sz="4" w:space="0" w:color="auto"/>
            </w:tcBorders>
            <w:shd w:val="clear" w:color="auto" w:fill="auto"/>
            <w:noWrap/>
            <w:vAlign w:val="bottom"/>
            <w:hideMark/>
          </w:tcPr>
          <w:p w14:paraId="31F931B3" w14:textId="684B40A8"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13%</w:t>
            </w:r>
          </w:p>
        </w:tc>
        <w:tc>
          <w:tcPr>
            <w:tcW w:w="1102" w:type="dxa"/>
            <w:shd w:val="clear" w:color="auto" w:fill="auto"/>
            <w:noWrap/>
            <w:vAlign w:val="bottom"/>
            <w:hideMark/>
          </w:tcPr>
          <w:p w14:paraId="3FF46689" w14:textId="534AF03A"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12%</w:t>
            </w:r>
          </w:p>
        </w:tc>
        <w:tc>
          <w:tcPr>
            <w:tcW w:w="1102" w:type="dxa"/>
            <w:shd w:val="clear" w:color="auto" w:fill="auto"/>
            <w:noWrap/>
            <w:vAlign w:val="bottom"/>
            <w:hideMark/>
          </w:tcPr>
          <w:p w14:paraId="1E0E6CB0" w14:textId="7003719A"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12%</w:t>
            </w:r>
          </w:p>
        </w:tc>
        <w:tc>
          <w:tcPr>
            <w:tcW w:w="1102" w:type="dxa"/>
            <w:shd w:val="clear" w:color="auto" w:fill="auto"/>
            <w:noWrap/>
            <w:vAlign w:val="bottom"/>
            <w:hideMark/>
          </w:tcPr>
          <w:p w14:paraId="2A6C6A64" w14:textId="1F15773E"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14%</w:t>
            </w:r>
          </w:p>
        </w:tc>
        <w:tc>
          <w:tcPr>
            <w:tcW w:w="1102" w:type="dxa"/>
            <w:shd w:val="clear" w:color="auto" w:fill="auto"/>
            <w:noWrap/>
            <w:vAlign w:val="bottom"/>
            <w:hideMark/>
          </w:tcPr>
          <w:p w14:paraId="1C3A38A0" w14:textId="41F489D5"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18%</w:t>
            </w:r>
          </w:p>
        </w:tc>
      </w:tr>
      <w:tr w:rsidR="00765AD4" w:rsidRPr="001A4CB1" w14:paraId="2A6E4E0A" w14:textId="77777777" w:rsidTr="00866391">
        <w:trPr>
          <w:trHeight w:val="137"/>
          <w:jc w:val="center"/>
        </w:trPr>
        <w:tc>
          <w:tcPr>
            <w:tcW w:w="1376" w:type="dxa"/>
            <w:tcBorders>
              <w:bottom w:val="nil"/>
              <w:right w:val="single" w:sz="4" w:space="0" w:color="auto"/>
            </w:tcBorders>
            <w:shd w:val="clear" w:color="auto" w:fill="auto"/>
            <w:noWrap/>
            <w:vAlign w:val="bottom"/>
            <w:hideMark/>
          </w:tcPr>
          <w:p w14:paraId="580461AA" w14:textId="77777777" w:rsidR="00765AD4" w:rsidRPr="001A4CB1" w:rsidRDefault="00765AD4" w:rsidP="00866391">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2001-2010</w:t>
            </w:r>
          </w:p>
        </w:tc>
        <w:tc>
          <w:tcPr>
            <w:tcW w:w="1427" w:type="dxa"/>
            <w:tcBorders>
              <w:left w:val="single" w:sz="4" w:space="0" w:color="auto"/>
              <w:bottom w:val="nil"/>
            </w:tcBorders>
            <w:shd w:val="clear" w:color="auto" w:fill="auto"/>
            <w:noWrap/>
            <w:vAlign w:val="bottom"/>
            <w:hideMark/>
          </w:tcPr>
          <w:p w14:paraId="3B23A714" w14:textId="28EC35D2"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13%</w:t>
            </w:r>
          </w:p>
        </w:tc>
        <w:tc>
          <w:tcPr>
            <w:tcW w:w="1102" w:type="dxa"/>
            <w:tcBorders>
              <w:bottom w:val="nil"/>
            </w:tcBorders>
            <w:shd w:val="clear" w:color="auto" w:fill="auto"/>
            <w:noWrap/>
            <w:vAlign w:val="bottom"/>
            <w:hideMark/>
          </w:tcPr>
          <w:p w14:paraId="61CD73EB" w14:textId="191D0225"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11%</w:t>
            </w:r>
          </w:p>
        </w:tc>
        <w:tc>
          <w:tcPr>
            <w:tcW w:w="1102" w:type="dxa"/>
            <w:tcBorders>
              <w:bottom w:val="nil"/>
            </w:tcBorders>
            <w:shd w:val="clear" w:color="auto" w:fill="auto"/>
            <w:noWrap/>
            <w:vAlign w:val="bottom"/>
            <w:hideMark/>
          </w:tcPr>
          <w:p w14:paraId="21E4ED6B" w14:textId="46AF7C42"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12%</w:t>
            </w:r>
          </w:p>
        </w:tc>
        <w:tc>
          <w:tcPr>
            <w:tcW w:w="1102" w:type="dxa"/>
            <w:tcBorders>
              <w:bottom w:val="nil"/>
            </w:tcBorders>
            <w:shd w:val="clear" w:color="auto" w:fill="auto"/>
            <w:noWrap/>
            <w:vAlign w:val="bottom"/>
            <w:hideMark/>
          </w:tcPr>
          <w:p w14:paraId="6674DCB0" w14:textId="64E547B1"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14%</w:t>
            </w:r>
          </w:p>
        </w:tc>
        <w:tc>
          <w:tcPr>
            <w:tcW w:w="1102" w:type="dxa"/>
            <w:tcBorders>
              <w:bottom w:val="nil"/>
            </w:tcBorders>
            <w:shd w:val="clear" w:color="auto" w:fill="auto"/>
            <w:noWrap/>
            <w:vAlign w:val="bottom"/>
            <w:hideMark/>
          </w:tcPr>
          <w:p w14:paraId="2C433C55" w14:textId="486BA61A"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16%</w:t>
            </w:r>
          </w:p>
        </w:tc>
      </w:tr>
      <w:tr w:rsidR="00765AD4" w:rsidRPr="001A4CB1" w14:paraId="34A6C8F1" w14:textId="77777777" w:rsidTr="00866391">
        <w:trPr>
          <w:trHeight w:val="137"/>
          <w:jc w:val="center"/>
        </w:trPr>
        <w:tc>
          <w:tcPr>
            <w:tcW w:w="1376" w:type="dxa"/>
            <w:tcBorders>
              <w:top w:val="nil"/>
              <w:bottom w:val="single" w:sz="4" w:space="0" w:color="auto"/>
              <w:right w:val="single" w:sz="4" w:space="0" w:color="auto"/>
            </w:tcBorders>
            <w:shd w:val="clear" w:color="auto" w:fill="auto"/>
            <w:noWrap/>
            <w:vAlign w:val="bottom"/>
            <w:hideMark/>
          </w:tcPr>
          <w:p w14:paraId="64B4A235" w14:textId="77777777" w:rsidR="00765AD4" w:rsidRPr="001A4CB1" w:rsidRDefault="00765AD4" w:rsidP="00866391">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2011-2020</w:t>
            </w:r>
          </w:p>
        </w:tc>
        <w:tc>
          <w:tcPr>
            <w:tcW w:w="1427" w:type="dxa"/>
            <w:tcBorders>
              <w:top w:val="nil"/>
              <w:left w:val="single" w:sz="4" w:space="0" w:color="auto"/>
              <w:bottom w:val="single" w:sz="4" w:space="0" w:color="auto"/>
            </w:tcBorders>
            <w:shd w:val="clear" w:color="auto" w:fill="auto"/>
            <w:noWrap/>
            <w:vAlign w:val="bottom"/>
            <w:hideMark/>
          </w:tcPr>
          <w:p w14:paraId="00BFBD86" w14:textId="1C8C1BD7"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11%</w:t>
            </w:r>
          </w:p>
        </w:tc>
        <w:tc>
          <w:tcPr>
            <w:tcW w:w="1102" w:type="dxa"/>
            <w:tcBorders>
              <w:top w:val="nil"/>
              <w:bottom w:val="single" w:sz="4" w:space="0" w:color="auto"/>
            </w:tcBorders>
            <w:shd w:val="clear" w:color="auto" w:fill="auto"/>
            <w:noWrap/>
            <w:vAlign w:val="bottom"/>
            <w:hideMark/>
          </w:tcPr>
          <w:p w14:paraId="56D6713B" w14:textId="274BF504"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8%</w:t>
            </w:r>
          </w:p>
        </w:tc>
        <w:tc>
          <w:tcPr>
            <w:tcW w:w="1102" w:type="dxa"/>
            <w:tcBorders>
              <w:top w:val="nil"/>
              <w:bottom w:val="single" w:sz="4" w:space="0" w:color="auto"/>
            </w:tcBorders>
            <w:shd w:val="clear" w:color="auto" w:fill="auto"/>
            <w:noWrap/>
            <w:vAlign w:val="bottom"/>
            <w:hideMark/>
          </w:tcPr>
          <w:p w14:paraId="7BC2BD12" w14:textId="22588F0E"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10%</w:t>
            </w:r>
          </w:p>
        </w:tc>
        <w:tc>
          <w:tcPr>
            <w:tcW w:w="1102" w:type="dxa"/>
            <w:tcBorders>
              <w:top w:val="nil"/>
              <w:bottom w:val="single" w:sz="4" w:space="0" w:color="auto"/>
            </w:tcBorders>
            <w:shd w:val="clear" w:color="auto" w:fill="auto"/>
            <w:noWrap/>
            <w:vAlign w:val="bottom"/>
            <w:hideMark/>
          </w:tcPr>
          <w:p w14:paraId="78DC62A2" w14:textId="314C6AC8"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12%</w:t>
            </w:r>
          </w:p>
        </w:tc>
        <w:tc>
          <w:tcPr>
            <w:tcW w:w="1102" w:type="dxa"/>
            <w:tcBorders>
              <w:top w:val="nil"/>
              <w:bottom w:val="single" w:sz="4" w:space="0" w:color="auto"/>
            </w:tcBorders>
            <w:shd w:val="clear" w:color="auto" w:fill="auto"/>
            <w:noWrap/>
            <w:vAlign w:val="bottom"/>
            <w:hideMark/>
          </w:tcPr>
          <w:p w14:paraId="39C0CDDF" w14:textId="06302AF2"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14%</w:t>
            </w:r>
          </w:p>
        </w:tc>
      </w:tr>
      <w:tr w:rsidR="00765AD4" w:rsidRPr="001A4CB1" w14:paraId="6631267A" w14:textId="77777777" w:rsidTr="00866391">
        <w:trPr>
          <w:trHeight w:val="137"/>
          <w:jc w:val="center"/>
        </w:trPr>
        <w:tc>
          <w:tcPr>
            <w:tcW w:w="1376" w:type="dxa"/>
            <w:tcBorders>
              <w:top w:val="single" w:sz="4" w:space="0" w:color="auto"/>
              <w:bottom w:val="single" w:sz="4" w:space="0" w:color="auto"/>
              <w:right w:val="single" w:sz="4" w:space="0" w:color="auto"/>
            </w:tcBorders>
            <w:shd w:val="clear" w:color="auto" w:fill="auto"/>
            <w:noWrap/>
            <w:vAlign w:val="bottom"/>
            <w:hideMark/>
          </w:tcPr>
          <w:p w14:paraId="7D7792B9" w14:textId="662FCB56" w:rsidR="00765AD4" w:rsidRPr="001A4CB1" w:rsidRDefault="00512854" w:rsidP="00866391">
            <w:pPr>
              <w:spacing w:after="0" w:line="240" w:lineRule="auto"/>
              <w:jc w:val="center"/>
              <w:rPr>
                <w:rFonts w:ascii="Calibri" w:eastAsia="Times New Roman" w:hAnsi="Calibri" w:cs="Calibri"/>
                <w:color w:val="000000"/>
              </w:rPr>
            </w:pPr>
            <w:r>
              <w:rPr>
                <w:rFonts w:ascii="Calibri" w:eastAsia="Times New Roman" w:hAnsi="Calibri" w:cs="Calibri"/>
                <w:color w:val="000000"/>
              </w:rPr>
              <w:t>All</w:t>
            </w:r>
          </w:p>
        </w:tc>
        <w:tc>
          <w:tcPr>
            <w:tcW w:w="1427" w:type="dxa"/>
            <w:tcBorders>
              <w:top w:val="single" w:sz="4" w:space="0" w:color="auto"/>
              <w:left w:val="single" w:sz="4" w:space="0" w:color="auto"/>
            </w:tcBorders>
            <w:shd w:val="clear" w:color="auto" w:fill="auto"/>
            <w:noWrap/>
            <w:vAlign w:val="bottom"/>
            <w:hideMark/>
          </w:tcPr>
          <w:p w14:paraId="6F44C6DA" w14:textId="0422C352"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14%</w:t>
            </w:r>
          </w:p>
        </w:tc>
        <w:tc>
          <w:tcPr>
            <w:tcW w:w="1102" w:type="dxa"/>
            <w:tcBorders>
              <w:top w:val="single" w:sz="4" w:space="0" w:color="auto"/>
            </w:tcBorders>
            <w:shd w:val="clear" w:color="auto" w:fill="auto"/>
            <w:noWrap/>
            <w:vAlign w:val="bottom"/>
            <w:hideMark/>
          </w:tcPr>
          <w:p w14:paraId="3C8D9EF1" w14:textId="0D1547BB"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12%</w:t>
            </w:r>
          </w:p>
        </w:tc>
        <w:tc>
          <w:tcPr>
            <w:tcW w:w="1102" w:type="dxa"/>
            <w:tcBorders>
              <w:top w:val="single" w:sz="4" w:space="0" w:color="auto"/>
            </w:tcBorders>
            <w:shd w:val="clear" w:color="auto" w:fill="auto"/>
            <w:noWrap/>
            <w:vAlign w:val="bottom"/>
            <w:hideMark/>
          </w:tcPr>
          <w:p w14:paraId="2017663C" w14:textId="7A5D8C37"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13%</w:t>
            </w:r>
          </w:p>
        </w:tc>
        <w:tc>
          <w:tcPr>
            <w:tcW w:w="1102" w:type="dxa"/>
            <w:tcBorders>
              <w:top w:val="single" w:sz="4" w:space="0" w:color="auto"/>
            </w:tcBorders>
            <w:shd w:val="clear" w:color="auto" w:fill="auto"/>
            <w:noWrap/>
            <w:vAlign w:val="bottom"/>
            <w:hideMark/>
          </w:tcPr>
          <w:p w14:paraId="3CB9C7BD" w14:textId="31162B84"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15%</w:t>
            </w:r>
          </w:p>
        </w:tc>
        <w:tc>
          <w:tcPr>
            <w:tcW w:w="1102" w:type="dxa"/>
            <w:tcBorders>
              <w:top w:val="single" w:sz="4" w:space="0" w:color="auto"/>
            </w:tcBorders>
            <w:shd w:val="clear" w:color="auto" w:fill="auto"/>
            <w:noWrap/>
            <w:vAlign w:val="bottom"/>
            <w:hideMark/>
          </w:tcPr>
          <w:p w14:paraId="3E30837D" w14:textId="47132B75"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18%</w:t>
            </w:r>
          </w:p>
        </w:tc>
      </w:tr>
    </w:tbl>
    <w:p w14:paraId="70837815" w14:textId="77777777" w:rsidR="004111C5" w:rsidRDefault="004111C5" w:rsidP="00866391">
      <w:pPr>
        <w:jc w:val="center"/>
        <w:rPr>
          <w:rFonts w:asciiTheme="majorBidi" w:hAnsiTheme="majorBidi" w:cstheme="majorBidi"/>
          <w:b/>
          <w:bCs/>
          <w:sz w:val="24"/>
          <w:szCs w:val="24"/>
        </w:rPr>
      </w:pPr>
    </w:p>
    <w:p w14:paraId="29C4670C" w14:textId="61C8D440" w:rsidR="00765AD4" w:rsidRPr="00A13C7B" w:rsidRDefault="00512854" w:rsidP="004A1F8D">
      <w:pPr>
        <w:ind w:left="1080"/>
        <w:rPr>
          <w:rFonts w:asciiTheme="majorBidi" w:hAnsiTheme="majorBidi" w:cstheme="majorBidi"/>
          <w:sz w:val="24"/>
          <w:szCs w:val="24"/>
        </w:rPr>
      </w:pPr>
      <w:r w:rsidRPr="00A13C7B">
        <w:rPr>
          <w:rFonts w:asciiTheme="majorBidi" w:hAnsiTheme="majorBidi" w:cstheme="majorBidi"/>
          <w:sz w:val="24"/>
          <w:szCs w:val="24"/>
        </w:rPr>
        <w:lastRenderedPageBreak/>
        <w:t xml:space="preserve">Panel B: </w:t>
      </w:r>
      <w:r w:rsidR="00765AD4" w:rsidRPr="00A13C7B">
        <w:rPr>
          <w:rFonts w:asciiTheme="majorBidi" w:hAnsiTheme="majorBidi" w:cstheme="majorBidi"/>
          <w:sz w:val="24"/>
          <w:szCs w:val="24"/>
        </w:rPr>
        <w:t>Unpublished cases</w:t>
      </w:r>
    </w:p>
    <w:tbl>
      <w:tblPr>
        <w:tblW w:w="7211"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76"/>
        <w:gridCol w:w="1427"/>
        <w:gridCol w:w="1102"/>
        <w:gridCol w:w="1102"/>
        <w:gridCol w:w="1102"/>
        <w:gridCol w:w="1102"/>
      </w:tblGrid>
      <w:tr w:rsidR="00765AD4" w:rsidRPr="001A4CB1" w14:paraId="504DF6EC" w14:textId="77777777" w:rsidTr="00866391">
        <w:trPr>
          <w:trHeight w:val="137"/>
          <w:jc w:val="center"/>
        </w:trPr>
        <w:tc>
          <w:tcPr>
            <w:tcW w:w="1376" w:type="dxa"/>
            <w:tcBorders>
              <w:top w:val="single" w:sz="4" w:space="0" w:color="auto"/>
              <w:bottom w:val="single" w:sz="4" w:space="0" w:color="auto"/>
              <w:right w:val="single" w:sz="4" w:space="0" w:color="auto"/>
            </w:tcBorders>
            <w:shd w:val="clear" w:color="auto" w:fill="auto"/>
            <w:noWrap/>
            <w:vAlign w:val="bottom"/>
            <w:hideMark/>
          </w:tcPr>
          <w:p w14:paraId="00DCF4AC" w14:textId="77777777" w:rsidR="00765AD4" w:rsidRPr="001A4CB1" w:rsidRDefault="00765AD4" w:rsidP="00866391">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Period</w:t>
            </w:r>
          </w:p>
        </w:tc>
        <w:tc>
          <w:tcPr>
            <w:tcW w:w="1427" w:type="dxa"/>
            <w:tcBorders>
              <w:top w:val="single" w:sz="4" w:space="0" w:color="auto"/>
              <w:left w:val="single" w:sz="4" w:space="0" w:color="auto"/>
              <w:bottom w:val="single" w:sz="4" w:space="0" w:color="auto"/>
            </w:tcBorders>
            <w:shd w:val="clear" w:color="auto" w:fill="auto"/>
            <w:noWrap/>
            <w:vAlign w:val="bottom"/>
            <w:hideMark/>
          </w:tcPr>
          <w:p w14:paraId="37A3290D" w14:textId="77777777" w:rsidR="00765AD4" w:rsidRPr="001A4CB1" w:rsidRDefault="00765AD4" w:rsidP="00866391">
            <w:pPr>
              <w:spacing w:after="0" w:line="240" w:lineRule="auto"/>
              <w:jc w:val="center"/>
              <w:rPr>
                <w:rFonts w:ascii="Calibri" w:eastAsia="Times New Roman" w:hAnsi="Calibri" w:cs="Calibri"/>
                <w:color w:val="000000"/>
              </w:rPr>
            </w:pPr>
            <w:r>
              <w:rPr>
                <w:rFonts w:ascii="Calibri" w:eastAsia="Times New Roman" w:hAnsi="Calibri" w:cs="Calibri"/>
                <w:color w:val="000000"/>
              </w:rPr>
              <w:t>All</w:t>
            </w:r>
          </w:p>
        </w:tc>
        <w:tc>
          <w:tcPr>
            <w:tcW w:w="1102" w:type="dxa"/>
            <w:tcBorders>
              <w:top w:val="single" w:sz="4" w:space="0" w:color="auto"/>
              <w:bottom w:val="single" w:sz="4" w:space="0" w:color="auto"/>
            </w:tcBorders>
            <w:shd w:val="clear" w:color="auto" w:fill="auto"/>
            <w:noWrap/>
            <w:vAlign w:val="bottom"/>
            <w:hideMark/>
          </w:tcPr>
          <w:p w14:paraId="096AA4E7" w14:textId="77777777" w:rsidR="00765AD4" w:rsidRPr="001A4CB1" w:rsidRDefault="00765AD4" w:rsidP="00866391">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RRR</w:t>
            </w:r>
          </w:p>
        </w:tc>
        <w:tc>
          <w:tcPr>
            <w:tcW w:w="1102" w:type="dxa"/>
            <w:tcBorders>
              <w:top w:val="single" w:sz="4" w:space="0" w:color="auto"/>
              <w:bottom w:val="single" w:sz="4" w:space="0" w:color="auto"/>
            </w:tcBorders>
            <w:shd w:val="clear" w:color="auto" w:fill="auto"/>
            <w:noWrap/>
            <w:vAlign w:val="bottom"/>
            <w:hideMark/>
          </w:tcPr>
          <w:p w14:paraId="5B44F44E" w14:textId="77777777" w:rsidR="00765AD4" w:rsidRPr="001A4CB1" w:rsidRDefault="00765AD4" w:rsidP="00866391">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RRD</w:t>
            </w:r>
          </w:p>
        </w:tc>
        <w:tc>
          <w:tcPr>
            <w:tcW w:w="1102" w:type="dxa"/>
            <w:tcBorders>
              <w:top w:val="single" w:sz="4" w:space="0" w:color="auto"/>
              <w:bottom w:val="single" w:sz="4" w:space="0" w:color="auto"/>
            </w:tcBorders>
            <w:shd w:val="clear" w:color="auto" w:fill="auto"/>
            <w:noWrap/>
            <w:vAlign w:val="bottom"/>
            <w:hideMark/>
          </w:tcPr>
          <w:p w14:paraId="7F5D2BA0" w14:textId="77777777" w:rsidR="00765AD4" w:rsidRPr="001A4CB1" w:rsidRDefault="00765AD4" w:rsidP="00866391">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RDD</w:t>
            </w:r>
          </w:p>
        </w:tc>
        <w:tc>
          <w:tcPr>
            <w:tcW w:w="1102" w:type="dxa"/>
            <w:tcBorders>
              <w:top w:val="single" w:sz="4" w:space="0" w:color="auto"/>
              <w:bottom w:val="single" w:sz="4" w:space="0" w:color="auto"/>
            </w:tcBorders>
            <w:shd w:val="clear" w:color="auto" w:fill="auto"/>
            <w:noWrap/>
            <w:vAlign w:val="bottom"/>
            <w:hideMark/>
          </w:tcPr>
          <w:p w14:paraId="345F8A6B" w14:textId="77777777" w:rsidR="00765AD4" w:rsidRPr="001A4CB1" w:rsidRDefault="00765AD4" w:rsidP="00866391">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DDD</w:t>
            </w:r>
          </w:p>
        </w:tc>
      </w:tr>
      <w:tr w:rsidR="00765AD4" w:rsidRPr="001A4CB1" w14:paraId="1186707D" w14:textId="77777777" w:rsidTr="00866391">
        <w:trPr>
          <w:trHeight w:val="137"/>
          <w:jc w:val="center"/>
        </w:trPr>
        <w:tc>
          <w:tcPr>
            <w:tcW w:w="1376" w:type="dxa"/>
            <w:tcBorders>
              <w:top w:val="single" w:sz="4" w:space="0" w:color="auto"/>
              <w:right w:val="single" w:sz="4" w:space="0" w:color="auto"/>
            </w:tcBorders>
            <w:shd w:val="clear" w:color="auto" w:fill="auto"/>
            <w:noWrap/>
            <w:vAlign w:val="bottom"/>
            <w:hideMark/>
          </w:tcPr>
          <w:p w14:paraId="5A06A395" w14:textId="77777777" w:rsidR="00765AD4" w:rsidRPr="001A4CB1" w:rsidRDefault="00765AD4" w:rsidP="00866391">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1980-1990</w:t>
            </w:r>
          </w:p>
        </w:tc>
        <w:tc>
          <w:tcPr>
            <w:tcW w:w="1427" w:type="dxa"/>
            <w:tcBorders>
              <w:top w:val="single" w:sz="4" w:space="0" w:color="auto"/>
              <w:left w:val="single" w:sz="4" w:space="0" w:color="auto"/>
            </w:tcBorders>
            <w:shd w:val="clear" w:color="auto" w:fill="auto"/>
            <w:noWrap/>
            <w:vAlign w:val="bottom"/>
            <w:hideMark/>
          </w:tcPr>
          <w:p w14:paraId="4BBE81E4" w14:textId="49BFDC03"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9%</w:t>
            </w:r>
          </w:p>
        </w:tc>
        <w:tc>
          <w:tcPr>
            <w:tcW w:w="1102" w:type="dxa"/>
            <w:tcBorders>
              <w:top w:val="single" w:sz="4" w:space="0" w:color="auto"/>
            </w:tcBorders>
            <w:shd w:val="clear" w:color="auto" w:fill="auto"/>
            <w:noWrap/>
            <w:vAlign w:val="bottom"/>
            <w:hideMark/>
          </w:tcPr>
          <w:p w14:paraId="6689DDD8" w14:textId="1879BE5A"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11%</w:t>
            </w:r>
          </w:p>
        </w:tc>
        <w:tc>
          <w:tcPr>
            <w:tcW w:w="1102" w:type="dxa"/>
            <w:tcBorders>
              <w:top w:val="single" w:sz="4" w:space="0" w:color="auto"/>
            </w:tcBorders>
            <w:shd w:val="clear" w:color="auto" w:fill="auto"/>
            <w:noWrap/>
            <w:vAlign w:val="bottom"/>
            <w:hideMark/>
          </w:tcPr>
          <w:p w14:paraId="52109563" w14:textId="344D883B"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8%</w:t>
            </w:r>
          </w:p>
        </w:tc>
        <w:tc>
          <w:tcPr>
            <w:tcW w:w="1102" w:type="dxa"/>
            <w:tcBorders>
              <w:top w:val="single" w:sz="4" w:space="0" w:color="auto"/>
            </w:tcBorders>
            <w:shd w:val="clear" w:color="auto" w:fill="auto"/>
            <w:noWrap/>
            <w:vAlign w:val="bottom"/>
            <w:hideMark/>
          </w:tcPr>
          <w:p w14:paraId="613FE2B6" w14:textId="6FDCCBBB"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9%</w:t>
            </w:r>
          </w:p>
        </w:tc>
        <w:tc>
          <w:tcPr>
            <w:tcW w:w="1102" w:type="dxa"/>
            <w:tcBorders>
              <w:top w:val="single" w:sz="4" w:space="0" w:color="auto"/>
            </w:tcBorders>
            <w:shd w:val="clear" w:color="auto" w:fill="auto"/>
            <w:noWrap/>
            <w:vAlign w:val="bottom"/>
            <w:hideMark/>
          </w:tcPr>
          <w:p w14:paraId="6AE94199" w14:textId="5737EE27"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11%</w:t>
            </w:r>
          </w:p>
        </w:tc>
      </w:tr>
      <w:tr w:rsidR="00765AD4" w:rsidRPr="001A4CB1" w14:paraId="07112DA0" w14:textId="77777777" w:rsidTr="00866391">
        <w:trPr>
          <w:trHeight w:val="137"/>
          <w:jc w:val="center"/>
        </w:trPr>
        <w:tc>
          <w:tcPr>
            <w:tcW w:w="1376" w:type="dxa"/>
            <w:tcBorders>
              <w:right w:val="single" w:sz="4" w:space="0" w:color="auto"/>
            </w:tcBorders>
            <w:shd w:val="clear" w:color="auto" w:fill="auto"/>
            <w:noWrap/>
            <w:vAlign w:val="bottom"/>
            <w:hideMark/>
          </w:tcPr>
          <w:p w14:paraId="6D962015" w14:textId="77777777" w:rsidR="00765AD4" w:rsidRPr="001A4CB1" w:rsidRDefault="00765AD4" w:rsidP="00866391">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1991-2000</w:t>
            </w:r>
          </w:p>
        </w:tc>
        <w:tc>
          <w:tcPr>
            <w:tcW w:w="1427" w:type="dxa"/>
            <w:tcBorders>
              <w:left w:val="single" w:sz="4" w:space="0" w:color="auto"/>
            </w:tcBorders>
            <w:shd w:val="clear" w:color="auto" w:fill="auto"/>
            <w:noWrap/>
            <w:vAlign w:val="bottom"/>
            <w:hideMark/>
          </w:tcPr>
          <w:p w14:paraId="3359BA12" w14:textId="11422B1D"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8%</w:t>
            </w:r>
          </w:p>
        </w:tc>
        <w:tc>
          <w:tcPr>
            <w:tcW w:w="1102" w:type="dxa"/>
            <w:shd w:val="clear" w:color="auto" w:fill="auto"/>
            <w:noWrap/>
            <w:vAlign w:val="bottom"/>
            <w:hideMark/>
          </w:tcPr>
          <w:p w14:paraId="14440282" w14:textId="7593AE6C"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7%</w:t>
            </w:r>
          </w:p>
        </w:tc>
        <w:tc>
          <w:tcPr>
            <w:tcW w:w="1102" w:type="dxa"/>
            <w:shd w:val="clear" w:color="auto" w:fill="auto"/>
            <w:noWrap/>
            <w:vAlign w:val="bottom"/>
            <w:hideMark/>
          </w:tcPr>
          <w:p w14:paraId="1020F106" w14:textId="6FDF9C43"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7%</w:t>
            </w:r>
          </w:p>
        </w:tc>
        <w:tc>
          <w:tcPr>
            <w:tcW w:w="1102" w:type="dxa"/>
            <w:shd w:val="clear" w:color="auto" w:fill="auto"/>
            <w:noWrap/>
            <w:vAlign w:val="bottom"/>
            <w:hideMark/>
          </w:tcPr>
          <w:p w14:paraId="5ACB24B5" w14:textId="2DDC6E47"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8%</w:t>
            </w:r>
          </w:p>
        </w:tc>
        <w:tc>
          <w:tcPr>
            <w:tcW w:w="1102" w:type="dxa"/>
            <w:shd w:val="clear" w:color="auto" w:fill="auto"/>
            <w:noWrap/>
            <w:vAlign w:val="bottom"/>
            <w:hideMark/>
          </w:tcPr>
          <w:p w14:paraId="3E4C1011" w14:textId="3E5BF85B"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11%</w:t>
            </w:r>
          </w:p>
        </w:tc>
      </w:tr>
      <w:tr w:rsidR="00765AD4" w:rsidRPr="001A4CB1" w14:paraId="0D29305A" w14:textId="77777777" w:rsidTr="00866391">
        <w:trPr>
          <w:trHeight w:val="137"/>
          <w:jc w:val="center"/>
        </w:trPr>
        <w:tc>
          <w:tcPr>
            <w:tcW w:w="1376" w:type="dxa"/>
            <w:tcBorders>
              <w:bottom w:val="nil"/>
              <w:right w:val="single" w:sz="4" w:space="0" w:color="auto"/>
            </w:tcBorders>
            <w:shd w:val="clear" w:color="auto" w:fill="auto"/>
            <w:noWrap/>
            <w:vAlign w:val="bottom"/>
            <w:hideMark/>
          </w:tcPr>
          <w:p w14:paraId="3910179C" w14:textId="77777777" w:rsidR="00765AD4" w:rsidRPr="001A4CB1" w:rsidRDefault="00765AD4" w:rsidP="00866391">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2001-2010</w:t>
            </w:r>
          </w:p>
        </w:tc>
        <w:tc>
          <w:tcPr>
            <w:tcW w:w="1427" w:type="dxa"/>
            <w:tcBorders>
              <w:left w:val="single" w:sz="4" w:space="0" w:color="auto"/>
              <w:bottom w:val="nil"/>
            </w:tcBorders>
            <w:shd w:val="clear" w:color="auto" w:fill="auto"/>
            <w:noWrap/>
            <w:vAlign w:val="bottom"/>
            <w:hideMark/>
          </w:tcPr>
          <w:p w14:paraId="39669643" w14:textId="4450A693"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10%</w:t>
            </w:r>
          </w:p>
        </w:tc>
        <w:tc>
          <w:tcPr>
            <w:tcW w:w="1102" w:type="dxa"/>
            <w:tcBorders>
              <w:bottom w:val="nil"/>
            </w:tcBorders>
            <w:shd w:val="clear" w:color="auto" w:fill="auto"/>
            <w:noWrap/>
            <w:vAlign w:val="bottom"/>
            <w:hideMark/>
          </w:tcPr>
          <w:p w14:paraId="2F9F52F8" w14:textId="2C476C5A"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9%</w:t>
            </w:r>
          </w:p>
        </w:tc>
        <w:tc>
          <w:tcPr>
            <w:tcW w:w="1102" w:type="dxa"/>
            <w:tcBorders>
              <w:bottom w:val="nil"/>
            </w:tcBorders>
            <w:shd w:val="clear" w:color="auto" w:fill="auto"/>
            <w:noWrap/>
            <w:vAlign w:val="bottom"/>
            <w:hideMark/>
          </w:tcPr>
          <w:p w14:paraId="0E3ECAA4" w14:textId="6D1E7C45"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9%</w:t>
            </w:r>
          </w:p>
        </w:tc>
        <w:tc>
          <w:tcPr>
            <w:tcW w:w="1102" w:type="dxa"/>
            <w:tcBorders>
              <w:bottom w:val="nil"/>
            </w:tcBorders>
            <w:shd w:val="clear" w:color="auto" w:fill="auto"/>
            <w:noWrap/>
            <w:vAlign w:val="bottom"/>
            <w:hideMark/>
          </w:tcPr>
          <w:p w14:paraId="19F0A130" w14:textId="19BDF96C"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11%</w:t>
            </w:r>
          </w:p>
        </w:tc>
        <w:tc>
          <w:tcPr>
            <w:tcW w:w="1102" w:type="dxa"/>
            <w:tcBorders>
              <w:bottom w:val="nil"/>
            </w:tcBorders>
            <w:shd w:val="clear" w:color="auto" w:fill="auto"/>
            <w:noWrap/>
            <w:vAlign w:val="bottom"/>
            <w:hideMark/>
          </w:tcPr>
          <w:p w14:paraId="3F647D56" w14:textId="7EB675B0"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12%</w:t>
            </w:r>
          </w:p>
        </w:tc>
      </w:tr>
      <w:tr w:rsidR="00765AD4" w:rsidRPr="001A4CB1" w14:paraId="2D307987" w14:textId="77777777" w:rsidTr="00866391">
        <w:trPr>
          <w:trHeight w:val="137"/>
          <w:jc w:val="center"/>
        </w:trPr>
        <w:tc>
          <w:tcPr>
            <w:tcW w:w="1376" w:type="dxa"/>
            <w:tcBorders>
              <w:top w:val="nil"/>
              <w:bottom w:val="single" w:sz="4" w:space="0" w:color="auto"/>
              <w:right w:val="single" w:sz="4" w:space="0" w:color="auto"/>
            </w:tcBorders>
            <w:shd w:val="clear" w:color="auto" w:fill="auto"/>
            <w:noWrap/>
            <w:vAlign w:val="bottom"/>
            <w:hideMark/>
          </w:tcPr>
          <w:p w14:paraId="00309396" w14:textId="77777777" w:rsidR="00765AD4" w:rsidRPr="001A4CB1" w:rsidRDefault="00765AD4" w:rsidP="00866391">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2011-2020</w:t>
            </w:r>
          </w:p>
        </w:tc>
        <w:tc>
          <w:tcPr>
            <w:tcW w:w="1427" w:type="dxa"/>
            <w:tcBorders>
              <w:top w:val="nil"/>
              <w:left w:val="single" w:sz="4" w:space="0" w:color="auto"/>
              <w:bottom w:val="single" w:sz="4" w:space="0" w:color="auto"/>
            </w:tcBorders>
            <w:shd w:val="clear" w:color="auto" w:fill="auto"/>
            <w:noWrap/>
            <w:vAlign w:val="bottom"/>
            <w:hideMark/>
          </w:tcPr>
          <w:p w14:paraId="629A9F62" w14:textId="4C379FED"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8%</w:t>
            </w:r>
          </w:p>
        </w:tc>
        <w:tc>
          <w:tcPr>
            <w:tcW w:w="1102" w:type="dxa"/>
            <w:tcBorders>
              <w:top w:val="nil"/>
              <w:bottom w:val="single" w:sz="4" w:space="0" w:color="auto"/>
            </w:tcBorders>
            <w:shd w:val="clear" w:color="auto" w:fill="auto"/>
            <w:noWrap/>
            <w:vAlign w:val="bottom"/>
            <w:hideMark/>
          </w:tcPr>
          <w:p w14:paraId="60E14DCA" w14:textId="3496723A"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6%</w:t>
            </w:r>
          </w:p>
        </w:tc>
        <w:tc>
          <w:tcPr>
            <w:tcW w:w="1102" w:type="dxa"/>
            <w:tcBorders>
              <w:top w:val="nil"/>
              <w:bottom w:val="single" w:sz="4" w:space="0" w:color="auto"/>
            </w:tcBorders>
            <w:shd w:val="clear" w:color="auto" w:fill="auto"/>
            <w:noWrap/>
            <w:vAlign w:val="bottom"/>
            <w:hideMark/>
          </w:tcPr>
          <w:p w14:paraId="3E7228C8" w14:textId="0FDF33C6"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7%</w:t>
            </w:r>
          </w:p>
        </w:tc>
        <w:tc>
          <w:tcPr>
            <w:tcW w:w="1102" w:type="dxa"/>
            <w:tcBorders>
              <w:top w:val="nil"/>
              <w:bottom w:val="single" w:sz="4" w:space="0" w:color="auto"/>
            </w:tcBorders>
            <w:shd w:val="clear" w:color="auto" w:fill="auto"/>
            <w:noWrap/>
            <w:vAlign w:val="bottom"/>
            <w:hideMark/>
          </w:tcPr>
          <w:p w14:paraId="3C9357CC" w14:textId="12C56FD3"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9%</w:t>
            </w:r>
          </w:p>
        </w:tc>
        <w:tc>
          <w:tcPr>
            <w:tcW w:w="1102" w:type="dxa"/>
            <w:tcBorders>
              <w:top w:val="nil"/>
              <w:bottom w:val="single" w:sz="4" w:space="0" w:color="auto"/>
            </w:tcBorders>
            <w:shd w:val="clear" w:color="auto" w:fill="auto"/>
            <w:noWrap/>
            <w:vAlign w:val="bottom"/>
            <w:hideMark/>
          </w:tcPr>
          <w:p w14:paraId="7B9C1076" w14:textId="5DBF3223"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11%</w:t>
            </w:r>
          </w:p>
        </w:tc>
      </w:tr>
      <w:tr w:rsidR="00765AD4" w:rsidRPr="001A4CB1" w14:paraId="39ADEBBA" w14:textId="77777777" w:rsidTr="00866391">
        <w:trPr>
          <w:trHeight w:val="137"/>
          <w:jc w:val="center"/>
        </w:trPr>
        <w:tc>
          <w:tcPr>
            <w:tcW w:w="1376" w:type="dxa"/>
            <w:tcBorders>
              <w:top w:val="single" w:sz="4" w:space="0" w:color="auto"/>
              <w:bottom w:val="single" w:sz="4" w:space="0" w:color="auto"/>
              <w:right w:val="single" w:sz="4" w:space="0" w:color="auto"/>
            </w:tcBorders>
            <w:shd w:val="clear" w:color="auto" w:fill="auto"/>
            <w:noWrap/>
            <w:vAlign w:val="bottom"/>
            <w:hideMark/>
          </w:tcPr>
          <w:p w14:paraId="37B2F0DB" w14:textId="43A02B01" w:rsidR="00765AD4" w:rsidRPr="001A4CB1" w:rsidRDefault="00512854" w:rsidP="00866391">
            <w:pPr>
              <w:spacing w:after="0" w:line="240" w:lineRule="auto"/>
              <w:jc w:val="center"/>
              <w:rPr>
                <w:rFonts w:ascii="Calibri" w:eastAsia="Times New Roman" w:hAnsi="Calibri" w:cs="Calibri"/>
                <w:color w:val="000000"/>
              </w:rPr>
            </w:pPr>
            <w:r>
              <w:rPr>
                <w:rFonts w:ascii="Calibri" w:eastAsia="Times New Roman" w:hAnsi="Calibri" w:cs="Calibri"/>
                <w:color w:val="000000"/>
              </w:rPr>
              <w:t>All</w:t>
            </w:r>
          </w:p>
        </w:tc>
        <w:tc>
          <w:tcPr>
            <w:tcW w:w="1427" w:type="dxa"/>
            <w:tcBorders>
              <w:top w:val="single" w:sz="4" w:space="0" w:color="auto"/>
              <w:left w:val="single" w:sz="4" w:space="0" w:color="auto"/>
            </w:tcBorders>
            <w:shd w:val="clear" w:color="auto" w:fill="auto"/>
            <w:noWrap/>
            <w:vAlign w:val="bottom"/>
            <w:hideMark/>
          </w:tcPr>
          <w:p w14:paraId="66CEDFF7" w14:textId="330A9F37"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9%</w:t>
            </w:r>
          </w:p>
        </w:tc>
        <w:tc>
          <w:tcPr>
            <w:tcW w:w="1102" w:type="dxa"/>
            <w:tcBorders>
              <w:top w:val="single" w:sz="4" w:space="0" w:color="auto"/>
            </w:tcBorders>
            <w:shd w:val="clear" w:color="auto" w:fill="auto"/>
            <w:noWrap/>
            <w:vAlign w:val="bottom"/>
            <w:hideMark/>
          </w:tcPr>
          <w:p w14:paraId="297301D7" w14:textId="1B2B07CE"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8%</w:t>
            </w:r>
          </w:p>
        </w:tc>
        <w:tc>
          <w:tcPr>
            <w:tcW w:w="1102" w:type="dxa"/>
            <w:tcBorders>
              <w:top w:val="single" w:sz="4" w:space="0" w:color="auto"/>
            </w:tcBorders>
            <w:shd w:val="clear" w:color="auto" w:fill="auto"/>
            <w:noWrap/>
            <w:vAlign w:val="bottom"/>
            <w:hideMark/>
          </w:tcPr>
          <w:p w14:paraId="3C1A594A" w14:textId="45DF5CF7"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8%</w:t>
            </w:r>
          </w:p>
        </w:tc>
        <w:tc>
          <w:tcPr>
            <w:tcW w:w="1102" w:type="dxa"/>
            <w:tcBorders>
              <w:top w:val="single" w:sz="4" w:space="0" w:color="auto"/>
            </w:tcBorders>
            <w:shd w:val="clear" w:color="auto" w:fill="auto"/>
            <w:noWrap/>
            <w:vAlign w:val="bottom"/>
            <w:hideMark/>
          </w:tcPr>
          <w:p w14:paraId="59E050F6" w14:textId="48EC2823"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9%</w:t>
            </w:r>
          </w:p>
        </w:tc>
        <w:tc>
          <w:tcPr>
            <w:tcW w:w="1102" w:type="dxa"/>
            <w:tcBorders>
              <w:top w:val="single" w:sz="4" w:space="0" w:color="auto"/>
            </w:tcBorders>
            <w:shd w:val="clear" w:color="auto" w:fill="auto"/>
            <w:noWrap/>
            <w:vAlign w:val="bottom"/>
            <w:hideMark/>
          </w:tcPr>
          <w:p w14:paraId="0D8EC87C" w14:textId="1118F1B4"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11%</w:t>
            </w:r>
          </w:p>
        </w:tc>
      </w:tr>
    </w:tbl>
    <w:p w14:paraId="754BA6F5" w14:textId="77777777" w:rsidR="004111C5" w:rsidRDefault="004111C5" w:rsidP="00866391">
      <w:pPr>
        <w:jc w:val="center"/>
        <w:rPr>
          <w:rFonts w:asciiTheme="majorBidi" w:hAnsiTheme="majorBidi" w:cstheme="majorBidi"/>
          <w:b/>
          <w:bCs/>
          <w:sz w:val="24"/>
          <w:szCs w:val="24"/>
        </w:rPr>
      </w:pPr>
    </w:p>
    <w:p w14:paraId="5C2A89FB" w14:textId="64BB0214" w:rsidR="00765AD4" w:rsidRPr="00A13C7B" w:rsidRDefault="00512854" w:rsidP="004A1F8D">
      <w:pPr>
        <w:tabs>
          <w:tab w:val="left" w:pos="1080"/>
        </w:tabs>
        <w:ind w:left="1080"/>
        <w:rPr>
          <w:rFonts w:asciiTheme="majorBidi" w:hAnsiTheme="majorBidi" w:cstheme="majorBidi"/>
          <w:sz w:val="24"/>
          <w:szCs w:val="24"/>
        </w:rPr>
      </w:pPr>
      <w:r w:rsidRPr="00A13C7B">
        <w:rPr>
          <w:rFonts w:asciiTheme="majorBidi" w:hAnsiTheme="majorBidi" w:cstheme="majorBidi"/>
          <w:sz w:val="24"/>
          <w:szCs w:val="24"/>
        </w:rPr>
        <w:t xml:space="preserve">Panel C: </w:t>
      </w:r>
      <w:r w:rsidR="00765AD4" w:rsidRPr="00A13C7B">
        <w:rPr>
          <w:rFonts w:asciiTheme="majorBidi" w:hAnsiTheme="majorBidi" w:cstheme="majorBidi"/>
          <w:sz w:val="24"/>
          <w:szCs w:val="24"/>
        </w:rPr>
        <w:t>Published cases</w:t>
      </w:r>
    </w:p>
    <w:tbl>
      <w:tblPr>
        <w:tblW w:w="7211"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76"/>
        <w:gridCol w:w="1427"/>
        <w:gridCol w:w="1102"/>
        <w:gridCol w:w="1102"/>
        <w:gridCol w:w="1102"/>
        <w:gridCol w:w="1102"/>
      </w:tblGrid>
      <w:tr w:rsidR="00765AD4" w:rsidRPr="001A4CB1" w14:paraId="3EC3D816" w14:textId="77777777" w:rsidTr="00866391">
        <w:trPr>
          <w:trHeight w:val="137"/>
          <w:jc w:val="center"/>
        </w:trPr>
        <w:tc>
          <w:tcPr>
            <w:tcW w:w="1376" w:type="dxa"/>
            <w:tcBorders>
              <w:top w:val="single" w:sz="4" w:space="0" w:color="auto"/>
              <w:bottom w:val="single" w:sz="4" w:space="0" w:color="auto"/>
              <w:right w:val="single" w:sz="4" w:space="0" w:color="auto"/>
            </w:tcBorders>
            <w:shd w:val="clear" w:color="auto" w:fill="auto"/>
            <w:noWrap/>
            <w:vAlign w:val="bottom"/>
            <w:hideMark/>
          </w:tcPr>
          <w:p w14:paraId="0DD9913E" w14:textId="77777777" w:rsidR="00765AD4" w:rsidRPr="001A4CB1" w:rsidRDefault="00765AD4" w:rsidP="00866391">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Period</w:t>
            </w:r>
          </w:p>
        </w:tc>
        <w:tc>
          <w:tcPr>
            <w:tcW w:w="1427" w:type="dxa"/>
            <w:tcBorders>
              <w:top w:val="single" w:sz="4" w:space="0" w:color="auto"/>
              <w:left w:val="single" w:sz="4" w:space="0" w:color="auto"/>
              <w:bottom w:val="single" w:sz="4" w:space="0" w:color="auto"/>
            </w:tcBorders>
            <w:shd w:val="clear" w:color="auto" w:fill="auto"/>
            <w:noWrap/>
            <w:vAlign w:val="bottom"/>
            <w:hideMark/>
          </w:tcPr>
          <w:p w14:paraId="6EA5BE7A" w14:textId="77777777" w:rsidR="00765AD4" w:rsidRPr="001A4CB1" w:rsidRDefault="00765AD4" w:rsidP="00866391">
            <w:pPr>
              <w:spacing w:after="0" w:line="240" w:lineRule="auto"/>
              <w:jc w:val="center"/>
              <w:rPr>
                <w:rFonts w:ascii="Calibri" w:eastAsia="Times New Roman" w:hAnsi="Calibri" w:cs="Calibri"/>
                <w:color w:val="000000"/>
              </w:rPr>
            </w:pPr>
            <w:r>
              <w:rPr>
                <w:rFonts w:ascii="Calibri" w:eastAsia="Times New Roman" w:hAnsi="Calibri" w:cs="Calibri"/>
                <w:color w:val="000000"/>
              </w:rPr>
              <w:t>All</w:t>
            </w:r>
          </w:p>
        </w:tc>
        <w:tc>
          <w:tcPr>
            <w:tcW w:w="1102" w:type="dxa"/>
            <w:tcBorders>
              <w:top w:val="single" w:sz="4" w:space="0" w:color="auto"/>
              <w:bottom w:val="single" w:sz="4" w:space="0" w:color="auto"/>
            </w:tcBorders>
            <w:shd w:val="clear" w:color="auto" w:fill="auto"/>
            <w:noWrap/>
            <w:vAlign w:val="bottom"/>
            <w:hideMark/>
          </w:tcPr>
          <w:p w14:paraId="67894F0C" w14:textId="77777777" w:rsidR="00765AD4" w:rsidRPr="001A4CB1" w:rsidRDefault="00765AD4" w:rsidP="00866391">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RRR</w:t>
            </w:r>
          </w:p>
        </w:tc>
        <w:tc>
          <w:tcPr>
            <w:tcW w:w="1102" w:type="dxa"/>
            <w:tcBorders>
              <w:top w:val="single" w:sz="4" w:space="0" w:color="auto"/>
              <w:bottom w:val="single" w:sz="4" w:space="0" w:color="auto"/>
            </w:tcBorders>
            <w:shd w:val="clear" w:color="auto" w:fill="auto"/>
            <w:noWrap/>
            <w:vAlign w:val="bottom"/>
            <w:hideMark/>
          </w:tcPr>
          <w:p w14:paraId="19AA5B99" w14:textId="77777777" w:rsidR="00765AD4" w:rsidRPr="001A4CB1" w:rsidRDefault="00765AD4" w:rsidP="00866391">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RRD</w:t>
            </w:r>
          </w:p>
        </w:tc>
        <w:tc>
          <w:tcPr>
            <w:tcW w:w="1102" w:type="dxa"/>
            <w:tcBorders>
              <w:top w:val="single" w:sz="4" w:space="0" w:color="auto"/>
              <w:bottom w:val="single" w:sz="4" w:space="0" w:color="auto"/>
            </w:tcBorders>
            <w:shd w:val="clear" w:color="auto" w:fill="auto"/>
            <w:noWrap/>
            <w:vAlign w:val="bottom"/>
            <w:hideMark/>
          </w:tcPr>
          <w:p w14:paraId="3788C710" w14:textId="77777777" w:rsidR="00765AD4" w:rsidRPr="001A4CB1" w:rsidRDefault="00765AD4" w:rsidP="00866391">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RDD</w:t>
            </w:r>
          </w:p>
        </w:tc>
        <w:tc>
          <w:tcPr>
            <w:tcW w:w="1102" w:type="dxa"/>
            <w:tcBorders>
              <w:top w:val="single" w:sz="4" w:space="0" w:color="auto"/>
              <w:bottom w:val="single" w:sz="4" w:space="0" w:color="auto"/>
            </w:tcBorders>
            <w:shd w:val="clear" w:color="auto" w:fill="auto"/>
            <w:noWrap/>
            <w:vAlign w:val="bottom"/>
            <w:hideMark/>
          </w:tcPr>
          <w:p w14:paraId="1549796C" w14:textId="77777777" w:rsidR="00765AD4" w:rsidRPr="001A4CB1" w:rsidRDefault="00765AD4" w:rsidP="00866391">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DDD</w:t>
            </w:r>
          </w:p>
        </w:tc>
      </w:tr>
      <w:tr w:rsidR="00765AD4" w:rsidRPr="001A4CB1" w14:paraId="51AEEC78" w14:textId="77777777" w:rsidTr="00866391">
        <w:trPr>
          <w:trHeight w:val="137"/>
          <w:jc w:val="center"/>
        </w:trPr>
        <w:tc>
          <w:tcPr>
            <w:tcW w:w="1376" w:type="dxa"/>
            <w:tcBorders>
              <w:top w:val="single" w:sz="4" w:space="0" w:color="auto"/>
              <w:right w:val="single" w:sz="4" w:space="0" w:color="auto"/>
            </w:tcBorders>
            <w:shd w:val="clear" w:color="auto" w:fill="auto"/>
            <w:noWrap/>
            <w:vAlign w:val="bottom"/>
            <w:hideMark/>
          </w:tcPr>
          <w:p w14:paraId="7A459224" w14:textId="77777777" w:rsidR="00765AD4" w:rsidRPr="001A4CB1" w:rsidRDefault="00765AD4" w:rsidP="00866391">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1980-1990</w:t>
            </w:r>
          </w:p>
        </w:tc>
        <w:tc>
          <w:tcPr>
            <w:tcW w:w="1427" w:type="dxa"/>
            <w:tcBorders>
              <w:top w:val="single" w:sz="4" w:space="0" w:color="auto"/>
              <w:left w:val="single" w:sz="4" w:space="0" w:color="auto"/>
            </w:tcBorders>
            <w:shd w:val="clear" w:color="auto" w:fill="auto"/>
            <w:noWrap/>
            <w:vAlign w:val="bottom"/>
            <w:hideMark/>
          </w:tcPr>
          <w:p w14:paraId="5A045A39" w14:textId="59A8046B"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22%</w:t>
            </w:r>
          </w:p>
        </w:tc>
        <w:tc>
          <w:tcPr>
            <w:tcW w:w="1102" w:type="dxa"/>
            <w:tcBorders>
              <w:top w:val="single" w:sz="4" w:space="0" w:color="auto"/>
            </w:tcBorders>
            <w:shd w:val="clear" w:color="auto" w:fill="auto"/>
            <w:noWrap/>
            <w:vAlign w:val="bottom"/>
            <w:hideMark/>
          </w:tcPr>
          <w:p w14:paraId="74063351" w14:textId="2DC5EB1D"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21%</w:t>
            </w:r>
          </w:p>
        </w:tc>
        <w:tc>
          <w:tcPr>
            <w:tcW w:w="1102" w:type="dxa"/>
            <w:tcBorders>
              <w:top w:val="single" w:sz="4" w:space="0" w:color="auto"/>
            </w:tcBorders>
            <w:shd w:val="clear" w:color="auto" w:fill="auto"/>
            <w:noWrap/>
            <w:vAlign w:val="bottom"/>
            <w:hideMark/>
          </w:tcPr>
          <w:p w14:paraId="2CEB98DF" w14:textId="5F048011"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21%</w:t>
            </w:r>
          </w:p>
        </w:tc>
        <w:tc>
          <w:tcPr>
            <w:tcW w:w="1102" w:type="dxa"/>
            <w:tcBorders>
              <w:top w:val="single" w:sz="4" w:space="0" w:color="auto"/>
            </w:tcBorders>
            <w:shd w:val="clear" w:color="auto" w:fill="auto"/>
            <w:noWrap/>
            <w:vAlign w:val="bottom"/>
            <w:hideMark/>
          </w:tcPr>
          <w:p w14:paraId="655472F5" w14:textId="27C622A0"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23%</w:t>
            </w:r>
          </w:p>
        </w:tc>
        <w:tc>
          <w:tcPr>
            <w:tcW w:w="1102" w:type="dxa"/>
            <w:tcBorders>
              <w:top w:val="single" w:sz="4" w:space="0" w:color="auto"/>
            </w:tcBorders>
            <w:shd w:val="clear" w:color="auto" w:fill="auto"/>
            <w:noWrap/>
            <w:vAlign w:val="bottom"/>
            <w:hideMark/>
          </w:tcPr>
          <w:p w14:paraId="73CB19EF" w14:textId="4A845CF6"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25%</w:t>
            </w:r>
          </w:p>
        </w:tc>
      </w:tr>
      <w:tr w:rsidR="00765AD4" w:rsidRPr="001A4CB1" w14:paraId="5B1E0C85" w14:textId="77777777" w:rsidTr="00866391">
        <w:trPr>
          <w:trHeight w:val="137"/>
          <w:jc w:val="center"/>
        </w:trPr>
        <w:tc>
          <w:tcPr>
            <w:tcW w:w="1376" w:type="dxa"/>
            <w:tcBorders>
              <w:right w:val="single" w:sz="4" w:space="0" w:color="auto"/>
            </w:tcBorders>
            <w:shd w:val="clear" w:color="auto" w:fill="auto"/>
            <w:noWrap/>
            <w:vAlign w:val="bottom"/>
            <w:hideMark/>
          </w:tcPr>
          <w:p w14:paraId="3EB2A12B" w14:textId="77777777" w:rsidR="00765AD4" w:rsidRPr="001A4CB1" w:rsidRDefault="00765AD4" w:rsidP="00866391">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1991-2000</w:t>
            </w:r>
          </w:p>
        </w:tc>
        <w:tc>
          <w:tcPr>
            <w:tcW w:w="1427" w:type="dxa"/>
            <w:tcBorders>
              <w:left w:val="single" w:sz="4" w:space="0" w:color="auto"/>
            </w:tcBorders>
            <w:shd w:val="clear" w:color="auto" w:fill="auto"/>
            <w:noWrap/>
            <w:vAlign w:val="bottom"/>
            <w:hideMark/>
          </w:tcPr>
          <w:p w14:paraId="65DDC5D6" w14:textId="3938102C"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27%</w:t>
            </w:r>
          </w:p>
        </w:tc>
        <w:tc>
          <w:tcPr>
            <w:tcW w:w="1102" w:type="dxa"/>
            <w:shd w:val="clear" w:color="auto" w:fill="auto"/>
            <w:noWrap/>
            <w:vAlign w:val="bottom"/>
            <w:hideMark/>
          </w:tcPr>
          <w:p w14:paraId="07FB8D12" w14:textId="11C370C3"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23%</w:t>
            </w:r>
          </w:p>
        </w:tc>
        <w:tc>
          <w:tcPr>
            <w:tcW w:w="1102" w:type="dxa"/>
            <w:shd w:val="clear" w:color="auto" w:fill="auto"/>
            <w:noWrap/>
            <w:vAlign w:val="bottom"/>
            <w:hideMark/>
          </w:tcPr>
          <w:p w14:paraId="585F9559" w14:textId="00EB852B"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25%</w:t>
            </w:r>
          </w:p>
        </w:tc>
        <w:tc>
          <w:tcPr>
            <w:tcW w:w="1102" w:type="dxa"/>
            <w:shd w:val="clear" w:color="auto" w:fill="auto"/>
            <w:noWrap/>
            <w:vAlign w:val="bottom"/>
            <w:hideMark/>
          </w:tcPr>
          <w:p w14:paraId="65F15ECE" w14:textId="1C633CFC"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31%</w:t>
            </w:r>
          </w:p>
        </w:tc>
        <w:tc>
          <w:tcPr>
            <w:tcW w:w="1102" w:type="dxa"/>
            <w:shd w:val="clear" w:color="auto" w:fill="auto"/>
            <w:noWrap/>
            <w:vAlign w:val="bottom"/>
            <w:hideMark/>
          </w:tcPr>
          <w:p w14:paraId="77CEFF1E" w14:textId="4BDB67FF"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37%</w:t>
            </w:r>
          </w:p>
        </w:tc>
      </w:tr>
      <w:tr w:rsidR="00765AD4" w:rsidRPr="001A4CB1" w14:paraId="606415B5" w14:textId="77777777" w:rsidTr="00866391">
        <w:trPr>
          <w:trHeight w:val="137"/>
          <w:jc w:val="center"/>
        </w:trPr>
        <w:tc>
          <w:tcPr>
            <w:tcW w:w="1376" w:type="dxa"/>
            <w:tcBorders>
              <w:bottom w:val="nil"/>
              <w:right w:val="single" w:sz="4" w:space="0" w:color="auto"/>
            </w:tcBorders>
            <w:shd w:val="clear" w:color="auto" w:fill="auto"/>
            <w:noWrap/>
            <w:vAlign w:val="bottom"/>
            <w:hideMark/>
          </w:tcPr>
          <w:p w14:paraId="2AD33671" w14:textId="77777777" w:rsidR="00765AD4" w:rsidRPr="001A4CB1" w:rsidRDefault="00765AD4" w:rsidP="00866391">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2001-2010</w:t>
            </w:r>
          </w:p>
        </w:tc>
        <w:tc>
          <w:tcPr>
            <w:tcW w:w="1427" w:type="dxa"/>
            <w:tcBorders>
              <w:left w:val="single" w:sz="4" w:space="0" w:color="auto"/>
              <w:bottom w:val="nil"/>
            </w:tcBorders>
            <w:shd w:val="clear" w:color="auto" w:fill="auto"/>
            <w:noWrap/>
            <w:vAlign w:val="bottom"/>
            <w:hideMark/>
          </w:tcPr>
          <w:p w14:paraId="03DC44A7" w14:textId="760CD576"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25%</w:t>
            </w:r>
          </w:p>
        </w:tc>
        <w:tc>
          <w:tcPr>
            <w:tcW w:w="1102" w:type="dxa"/>
            <w:tcBorders>
              <w:bottom w:val="nil"/>
            </w:tcBorders>
            <w:shd w:val="clear" w:color="auto" w:fill="auto"/>
            <w:noWrap/>
            <w:vAlign w:val="bottom"/>
            <w:hideMark/>
          </w:tcPr>
          <w:p w14:paraId="3442659A" w14:textId="162D439B"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21%</w:t>
            </w:r>
          </w:p>
        </w:tc>
        <w:tc>
          <w:tcPr>
            <w:tcW w:w="1102" w:type="dxa"/>
            <w:tcBorders>
              <w:bottom w:val="nil"/>
            </w:tcBorders>
            <w:shd w:val="clear" w:color="auto" w:fill="auto"/>
            <w:noWrap/>
            <w:vAlign w:val="bottom"/>
            <w:hideMark/>
          </w:tcPr>
          <w:p w14:paraId="7240A1DB" w14:textId="1C1653D3"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23%</w:t>
            </w:r>
          </w:p>
        </w:tc>
        <w:tc>
          <w:tcPr>
            <w:tcW w:w="1102" w:type="dxa"/>
            <w:tcBorders>
              <w:bottom w:val="nil"/>
            </w:tcBorders>
            <w:shd w:val="clear" w:color="auto" w:fill="auto"/>
            <w:noWrap/>
            <w:vAlign w:val="bottom"/>
            <w:hideMark/>
          </w:tcPr>
          <w:p w14:paraId="348E3164" w14:textId="0758F3CE"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30%</w:t>
            </w:r>
          </w:p>
        </w:tc>
        <w:tc>
          <w:tcPr>
            <w:tcW w:w="1102" w:type="dxa"/>
            <w:tcBorders>
              <w:bottom w:val="nil"/>
            </w:tcBorders>
            <w:shd w:val="clear" w:color="auto" w:fill="auto"/>
            <w:noWrap/>
            <w:vAlign w:val="bottom"/>
            <w:hideMark/>
          </w:tcPr>
          <w:p w14:paraId="4E099348" w14:textId="30FBAB09"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36%</w:t>
            </w:r>
          </w:p>
        </w:tc>
      </w:tr>
      <w:tr w:rsidR="00765AD4" w:rsidRPr="001A4CB1" w14:paraId="65CB5D53" w14:textId="77777777" w:rsidTr="00866391">
        <w:trPr>
          <w:trHeight w:val="137"/>
          <w:jc w:val="center"/>
        </w:trPr>
        <w:tc>
          <w:tcPr>
            <w:tcW w:w="1376" w:type="dxa"/>
            <w:tcBorders>
              <w:top w:val="nil"/>
              <w:bottom w:val="single" w:sz="4" w:space="0" w:color="auto"/>
              <w:right w:val="single" w:sz="4" w:space="0" w:color="auto"/>
            </w:tcBorders>
            <w:shd w:val="clear" w:color="auto" w:fill="auto"/>
            <w:noWrap/>
            <w:vAlign w:val="bottom"/>
            <w:hideMark/>
          </w:tcPr>
          <w:p w14:paraId="7AA1B7D0" w14:textId="77777777" w:rsidR="00765AD4" w:rsidRPr="001A4CB1" w:rsidRDefault="00765AD4" w:rsidP="00866391">
            <w:pPr>
              <w:spacing w:after="0" w:line="240" w:lineRule="auto"/>
              <w:jc w:val="center"/>
              <w:rPr>
                <w:rFonts w:ascii="Calibri" w:eastAsia="Times New Roman" w:hAnsi="Calibri" w:cs="Calibri"/>
                <w:color w:val="000000"/>
              </w:rPr>
            </w:pPr>
            <w:r w:rsidRPr="001A4CB1">
              <w:rPr>
                <w:rFonts w:ascii="Calibri" w:eastAsia="Times New Roman" w:hAnsi="Calibri" w:cs="Calibri"/>
                <w:color w:val="000000"/>
              </w:rPr>
              <w:t>2011-2020</w:t>
            </w:r>
          </w:p>
        </w:tc>
        <w:tc>
          <w:tcPr>
            <w:tcW w:w="1427" w:type="dxa"/>
            <w:tcBorders>
              <w:top w:val="nil"/>
              <w:left w:val="single" w:sz="4" w:space="0" w:color="auto"/>
              <w:bottom w:val="single" w:sz="4" w:space="0" w:color="auto"/>
            </w:tcBorders>
            <w:shd w:val="clear" w:color="auto" w:fill="auto"/>
            <w:noWrap/>
            <w:vAlign w:val="bottom"/>
            <w:hideMark/>
          </w:tcPr>
          <w:p w14:paraId="29159875" w14:textId="5F9BB0C3"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26%</w:t>
            </w:r>
          </w:p>
        </w:tc>
        <w:tc>
          <w:tcPr>
            <w:tcW w:w="1102" w:type="dxa"/>
            <w:tcBorders>
              <w:top w:val="nil"/>
              <w:bottom w:val="single" w:sz="4" w:space="0" w:color="auto"/>
            </w:tcBorders>
            <w:shd w:val="clear" w:color="auto" w:fill="auto"/>
            <w:noWrap/>
            <w:vAlign w:val="bottom"/>
            <w:hideMark/>
          </w:tcPr>
          <w:p w14:paraId="3C867794" w14:textId="0A3D1F67"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18%</w:t>
            </w:r>
          </w:p>
        </w:tc>
        <w:tc>
          <w:tcPr>
            <w:tcW w:w="1102" w:type="dxa"/>
            <w:tcBorders>
              <w:top w:val="nil"/>
              <w:bottom w:val="single" w:sz="4" w:space="0" w:color="auto"/>
            </w:tcBorders>
            <w:shd w:val="clear" w:color="auto" w:fill="auto"/>
            <w:noWrap/>
            <w:vAlign w:val="bottom"/>
            <w:hideMark/>
          </w:tcPr>
          <w:p w14:paraId="0DA62FA7" w14:textId="6EC0B7ED"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23%</w:t>
            </w:r>
          </w:p>
        </w:tc>
        <w:tc>
          <w:tcPr>
            <w:tcW w:w="1102" w:type="dxa"/>
            <w:tcBorders>
              <w:top w:val="nil"/>
              <w:bottom w:val="single" w:sz="4" w:space="0" w:color="auto"/>
            </w:tcBorders>
            <w:shd w:val="clear" w:color="auto" w:fill="auto"/>
            <w:noWrap/>
            <w:vAlign w:val="bottom"/>
            <w:hideMark/>
          </w:tcPr>
          <w:p w14:paraId="3B7EC6B3" w14:textId="737ECCF1"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31%</w:t>
            </w:r>
          </w:p>
        </w:tc>
        <w:tc>
          <w:tcPr>
            <w:tcW w:w="1102" w:type="dxa"/>
            <w:tcBorders>
              <w:top w:val="nil"/>
              <w:bottom w:val="single" w:sz="4" w:space="0" w:color="auto"/>
            </w:tcBorders>
            <w:shd w:val="clear" w:color="auto" w:fill="auto"/>
            <w:noWrap/>
            <w:vAlign w:val="bottom"/>
            <w:hideMark/>
          </w:tcPr>
          <w:p w14:paraId="0999A13D" w14:textId="456833A3" w:rsidR="00765AD4" w:rsidRPr="001A4CB1" w:rsidRDefault="00765AD4" w:rsidP="00866391">
            <w:pPr>
              <w:spacing w:after="0" w:line="240" w:lineRule="auto"/>
              <w:jc w:val="center"/>
              <w:rPr>
                <w:rFonts w:ascii="Calibri" w:eastAsia="Times New Roman" w:hAnsi="Calibri" w:cs="Calibri"/>
                <w:color w:val="000000"/>
              </w:rPr>
            </w:pPr>
            <w:r>
              <w:rPr>
                <w:rFonts w:ascii="Calibri" w:hAnsi="Calibri" w:cs="Calibri"/>
                <w:color w:val="000000"/>
              </w:rPr>
              <w:t>41%</w:t>
            </w:r>
          </w:p>
        </w:tc>
      </w:tr>
      <w:tr w:rsidR="00765AD4" w:rsidRPr="001A4CB1" w14:paraId="6256C6DB" w14:textId="77777777" w:rsidTr="00866391">
        <w:trPr>
          <w:trHeight w:val="137"/>
          <w:jc w:val="center"/>
        </w:trPr>
        <w:tc>
          <w:tcPr>
            <w:tcW w:w="1376" w:type="dxa"/>
            <w:tcBorders>
              <w:top w:val="single" w:sz="4" w:space="0" w:color="auto"/>
              <w:bottom w:val="single" w:sz="4" w:space="0" w:color="auto"/>
              <w:right w:val="single" w:sz="4" w:space="0" w:color="auto"/>
            </w:tcBorders>
            <w:shd w:val="clear" w:color="auto" w:fill="auto"/>
            <w:noWrap/>
            <w:vAlign w:val="bottom"/>
            <w:hideMark/>
          </w:tcPr>
          <w:p w14:paraId="45C833E3" w14:textId="7CA4611D" w:rsidR="00765AD4" w:rsidRPr="001A4CB1" w:rsidRDefault="00512854" w:rsidP="00866391">
            <w:pPr>
              <w:spacing w:after="0" w:line="240" w:lineRule="auto"/>
              <w:jc w:val="center"/>
              <w:rPr>
                <w:rFonts w:ascii="Calibri" w:eastAsia="Times New Roman" w:hAnsi="Calibri" w:cs="Calibri"/>
                <w:color w:val="000000"/>
              </w:rPr>
            </w:pPr>
            <w:r>
              <w:rPr>
                <w:rFonts w:ascii="Calibri" w:eastAsia="Times New Roman" w:hAnsi="Calibri" w:cs="Calibri"/>
                <w:color w:val="000000"/>
              </w:rPr>
              <w:t>All</w:t>
            </w:r>
          </w:p>
        </w:tc>
        <w:tc>
          <w:tcPr>
            <w:tcW w:w="1427" w:type="dxa"/>
            <w:tcBorders>
              <w:top w:val="single" w:sz="4" w:space="0" w:color="auto"/>
              <w:left w:val="single" w:sz="4" w:space="0" w:color="auto"/>
            </w:tcBorders>
            <w:shd w:val="clear" w:color="auto" w:fill="auto"/>
            <w:noWrap/>
            <w:vAlign w:val="bottom"/>
            <w:hideMark/>
          </w:tcPr>
          <w:p w14:paraId="2C7B532C" w14:textId="7889AD0A" w:rsidR="00765AD4" w:rsidRPr="001A4CB1" w:rsidRDefault="00765AD4" w:rsidP="00765AD4">
            <w:pPr>
              <w:spacing w:after="0" w:line="240" w:lineRule="auto"/>
              <w:jc w:val="center"/>
              <w:rPr>
                <w:rFonts w:ascii="Calibri" w:eastAsia="Times New Roman" w:hAnsi="Calibri" w:cs="Calibri"/>
                <w:color w:val="000000"/>
              </w:rPr>
            </w:pPr>
            <w:r>
              <w:rPr>
                <w:rFonts w:ascii="Calibri" w:hAnsi="Calibri" w:cs="Calibri"/>
                <w:color w:val="000000"/>
              </w:rPr>
              <w:t>25%</w:t>
            </w:r>
          </w:p>
        </w:tc>
        <w:tc>
          <w:tcPr>
            <w:tcW w:w="1102" w:type="dxa"/>
            <w:tcBorders>
              <w:top w:val="single" w:sz="4" w:space="0" w:color="auto"/>
            </w:tcBorders>
            <w:shd w:val="clear" w:color="auto" w:fill="auto"/>
            <w:noWrap/>
            <w:vAlign w:val="bottom"/>
            <w:hideMark/>
          </w:tcPr>
          <w:p w14:paraId="1232924F" w14:textId="73396EC2" w:rsidR="00765AD4" w:rsidRPr="001A4CB1" w:rsidRDefault="00765AD4" w:rsidP="00765AD4">
            <w:pPr>
              <w:spacing w:after="0" w:line="240" w:lineRule="auto"/>
              <w:jc w:val="center"/>
              <w:rPr>
                <w:rFonts w:ascii="Calibri" w:eastAsia="Times New Roman" w:hAnsi="Calibri" w:cs="Calibri"/>
                <w:color w:val="000000"/>
              </w:rPr>
            </w:pPr>
            <w:r>
              <w:rPr>
                <w:rFonts w:ascii="Calibri" w:hAnsi="Calibri" w:cs="Calibri"/>
                <w:color w:val="000000"/>
              </w:rPr>
              <w:t>21%</w:t>
            </w:r>
          </w:p>
        </w:tc>
        <w:tc>
          <w:tcPr>
            <w:tcW w:w="1102" w:type="dxa"/>
            <w:tcBorders>
              <w:top w:val="single" w:sz="4" w:space="0" w:color="auto"/>
            </w:tcBorders>
            <w:shd w:val="clear" w:color="auto" w:fill="auto"/>
            <w:noWrap/>
            <w:vAlign w:val="bottom"/>
            <w:hideMark/>
          </w:tcPr>
          <w:p w14:paraId="39239394" w14:textId="26C7FFC9" w:rsidR="00765AD4" w:rsidRPr="001A4CB1" w:rsidRDefault="00765AD4" w:rsidP="00765AD4">
            <w:pPr>
              <w:spacing w:after="0" w:line="240" w:lineRule="auto"/>
              <w:jc w:val="center"/>
              <w:rPr>
                <w:rFonts w:ascii="Calibri" w:eastAsia="Times New Roman" w:hAnsi="Calibri" w:cs="Calibri"/>
                <w:color w:val="000000"/>
              </w:rPr>
            </w:pPr>
            <w:r>
              <w:rPr>
                <w:rFonts w:ascii="Calibri" w:hAnsi="Calibri" w:cs="Calibri"/>
                <w:color w:val="000000"/>
              </w:rPr>
              <w:t>23%</w:t>
            </w:r>
          </w:p>
        </w:tc>
        <w:tc>
          <w:tcPr>
            <w:tcW w:w="1102" w:type="dxa"/>
            <w:tcBorders>
              <w:top w:val="single" w:sz="4" w:space="0" w:color="auto"/>
            </w:tcBorders>
            <w:shd w:val="clear" w:color="auto" w:fill="auto"/>
            <w:noWrap/>
            <w:vAlign w:val="bottom"/>
            <w:hideMark/>
          </w:tcPr>
          <w:p w14:paraId="24E1550E" w14:textId="357C9D40" w:rsidR="00765AD4" w:rsidRPr="001A4CB1" w:rsidRDefault="00765AD4" w:rsidP="00765AD4">
            <w:pPr>
              <w:spacing w:after="0" w:line="240" w:lineRule="auto"/>
              <w:jc w:val="center"/>
              <w:rPr>
                <w:rFonts w:ascii="Calibri" w:eastAsia="Times New Roman" w:hAnsi="Calibri" w:cs="Calibri"/>
                <w:color w:val="000000"/>
              </w:rPr>
            </w:pPr>
            <w:r>
              <w:rPr>
                <w:rFonts w:ascii="Calibri" w:hAnsi="Calibri" w:cs="Calibri"/>
                <w:color w:val="000000"/>
              </w:rPr>
              <w:t>29%</w:t>
            </w:r>
          </w:p>
        </w:tc>
        <w:tc>
          <w:tcPr>
            <w:tcW w:w="1102" w:type="dxa"/>
            <w:tcBorders>
              <w:top w:val="single" w:sz="4" w:space="0" w:color="auto"/>
            </w:tcBorders>
            <w:shd w:val="clear" w:color="auto" w:fill="auto"/>
            <w:noWrap/>
            <w:vAlign w:val="bottom"/>
            <w:hideMark/>
          </w:tcPr>
          <w:p w14:paraId="7388CE14" w14:textId="67E8DF98" w:rsidR="00765AD4" w:rsidRPr="001A4CB1" w:rsidRDefault="00765AD4" w:rsidP="00765AD4">
            <w:pPr>
              <w:spacing w:after="0" w:line="240" w:lineRule="auto"/>
              <w:jc w:val="center"/>
              <w:rPr>
                <w:rFonts w:ascii="Calibri" w:eastAsia="Times New Roman" w:hAnsi="Calibri" w:cs="Calibri"/>
                <w:color w:val="000000"/>
              </w:rPr>
            </w:pPr>
            <w:r>
              <w:rPr>
                <w:rFonts w:ascii="Calibri" w:hAnsi="Calibri" w:cs="Calibri"/>
                <w:color w:val="000000"/>
              </w:rPr>
              <w:t>35%</w:t>
            </w:r>
          </w:p>
        </w:tc>
      </w:tr>
    </w:tbl>
    <w:p w14:paraId="28BE1A02" w14:textId="72ACCEB4" w:rsidR="00B96C1F" w:rsidRDefault="00B96C1F">
      <w:pPr>
        <w:rPr>
          <w:rFonts w:asciiTheme="majorBidi" w:hAnsiTheme="majorBidi" w:cstheme="majorBidi"/>
          <w:sz w:val="24"/>
          <w:szCs w:val="24"/>
        </w:rPr>
      </w:pPr>
    </w:p>
    <w:p w14:paraId="2F99B801" w14:textId="35A53FF0" w:rsidR="00675D54" w:rsidRPr="00A13C7B" w:rsidRDefault="00D65415" w:rsidP="00A13C7B">
      <w:pPr>
        <w:spacing w:after="120" w:line="360" w:lineRule="auto"/>
        <w:jc w:val="center"/>
        <w:rPr>
          <w:rFonts w:asciiTheme="majorBidi" w:hAnsiTheme="majorBidi" w:cstheme="majorBidi"/>
          <w:sz w:val="28"/>
          <w:szCs w:val="28"/>
        </w:rPr>
      </w:pPr>
      <w:r w:rsidRPr="00A13C7B">
        <w:rPr>
          <w:rFonts w:asciiTheme="majorBidi" w:hAnsiTheme="majorBidi" w:cstheme="majorBidi"/>
          <w:sz w:val="28"/>
          <w:szCs w:val="28"/>
        </w:rPr>
        <w:t>I</w:t>
      </w:r>
      <w:r w:rsidR="00A13C7B" w:rsidRPr="00A13C7B">
        <w:rPr>
          <w:rFonts w:asciiTheme="majorBidi" w:hAnsiTheme="majorBidi" w:cstheme="majorBidi"/>
          <w:sz w:val="28"/>
          <w:szCs w:val="28"/>
        </w:rPr>
        <w:t>V</w:t>
      </w:r>
      <w:r w:rsidRPr="00A13C7B">
        <w:rPr>
          <w:rFonts w:asciiTheme="majorBidi" w:hAnsiTheme="majorBidi" w:cstheme="majorBidi"/>
          <w:sz w:val="28"/>
          <w:szCs w:val="28"/>
        </w:rPr>
        <w:t>. Empirical Analysis</w:t>
      </w:r>
    </w:p>
    <w:p w14:paraId="408A8B7F" w14:textId="6E881F8B" w:rsidR="00F146EC" w:rsidRPr="00A13C7B" w:rsidRDefault="00B96C1F" w:rsidP="00A13C7B">
      <w:pPr>
        <w:pStyle w:val="ListParagraph"/>
        <w:numPr>
          <w:ilvl w:val="0"/>
          <w:numId w:val="31"/>
        </w:numPr>
        <w:spacing w:after="120" w:line="360" w:lineRule="auto"/>
        <w:contextualSpacing w:val="0"/>
        <w:jc w:val="center"/>
        <w:rPr>
          <w:rFonts w:asciiTheme="majorBidi" w:hAnsiTheme="majorBidi" w:cstheme="majorBidi"/>
          <w:i/>
          <w:iCs/>
          <w:sz w:val="24"/>
          <w:szCs w:val="24"/>
        </w:rPr>
      </w:pPr>
      <w:r w:rsidRPr="00A13C7B">
        <w:rPr>
          <w:rFonts w:asciiTheme="majorBidi" w:hAnsiTheme="majorBidi" w:cstheme="majorBidi"/>
          <w:i/>
          <w:iCs/>
          <w:sz w:val="24"/>
          <w:szCs w:val="24"/>
        </w:rPr>
        <w:t xml:space="preserve">The Universe of </w:t>
      </w:r>
      <w:r w:rsidR="00F146EC" w:rsidRPr="00A13C7B">
        <w:rPr>
          <w:rFonts w:asciiTheme="majorBidi" w:hAnsiTheme="majorBidi" w:cstheme="majorBidi"/>
          <w:i/>
          <w:iCs/>
          <w:sz w:val="24"/>
          <w:szCs w:val="24"/>
        </w:rPr>
        <w:t>All cases</w:t>
      </w:r>
    </w:p>
    <w:p w14:paraId="692DFF2F" w14:textId="248210B4" w:rsidR="00C94EF9" w:rsidRDefault="00BD1C17" w:rsidP="00A13C7B">
      <w:pPr>
        <w:spacing w:after="120" w:line="360" w:lineRule="auto"/>
        <w:ind w:firstLine="450"/>
        <w:jc w:val="both"/>
        <w:rPr>
          <w:rFonts w:asciiTheme="majorBidi" w:hAnsiTheme="majorBidi" w:cstheme="majorBidi"/>
          <w:sz w:val="24"/>
          <w:szCs w:val="24"/>
        </w:rPr>
      </w:pPr>
      <w:r w:rsidRPr="00866391">
        <w:rPr>
          <w:rFonts w:asciiTheme="majorBidi" w:hAnsiTheme="majorBidi" w:cstheme="majorBidi"/>
          <w:sz w:val="24"/>
          <w:szCs w:val="24"/>
        </w:rPr>
        <w:t xml:space="preserve">Table </w:t>
      </w:r>
      <w:r w:rsidR="00B96C1F">
        <w:rPr>
          <w:rFonts w:asciiTheme="majorBidi" w:hAnsiTheme="majorBidi" w:cstheme="majorBidi"/>
          <w:sz w:val="24"/>
          <w:szCs w:val="24"/>
        </w:rPr>
        <w:t>5</w:t>
      </w:r>
      <w:r w:rsidRPr="00866391">
        <w:rPr>
          <w:rFonts w:asciiTheme="majorBidi" w:hAnsiTheme="majorBidi" w:cstheme="majorBidi"/>
          <w:sz w:val="24"/>
          <w:szCs w:val="24"/>
        </w:rPr>
        <w:t xml:space="preserve"> </w:t>
      </w:r>
      <w:r w:rsidR="00694A37">
        <w:rPr>
          <w:rFonts w:asciiTheme="majorBidi" w:hAnsiTheme="majorBidi" w:cstheme="majorBidi"/>
          <w:sz w:val="24"/>
          <w:szCs w:val="24"/>
        </w:rPr>
        <w:t>presents</w:t>
      </w:r>
      <w:r w:rsidR="00694A37" w:rsidRPr="00866391">
        <w:rPr>
          <w:rFonts w:asciiTheme="majorBidi" w:hAnsiTheme="majorBidi" w:cstheme="majorBidi"/>
          <w:sz w:val="24"/>
          <w:szCs w:val="24"/>
        </w:rPr>
        <w:t xml:space="preserve"> </w:t>
      </w:r>
      <w:r w:rsidRPr="00866391">
        <w:rPr>
          <w:rFonts w:asciiTheme="majorBidi" w:hAnsiTheme="majorBidi" w:cstheme="majorBidi"/>
          <w:sz w:val="24"/>
          <w:szCs w:val="24"/>
        </w:rPr>
        <w:t xml:space="preserve">the results </w:t>
      </w:r>
      <w:r w:rsidR="00694A37">
        <w:rPr>
          <w:rFonts w:asciiTheme="majorBidi" w:hAnsiTheme="majorBidi" w:cstheme="majorBidi"/>
          <w:sz w:val="24"/>
          <w:szCs w:val="24"/>
        </w:rPr>
        <w:t>of</w:t>
      </w:r>
      <w:r w:rsidRPr="00866391">
        <w:rPr>
          <w:rFonts w:asciiTheme="majorBidi" w:hAnsiTheme="majorBidi" w:cstheme="majorBidi"/>
          <w:sz w:val="24"/>
          <w:szCs w:val="24"/>
        </w:rPr>
        <w:t xml:space="preserve"> OLS regressions </w:t>
      </w:r>
      <w:r w:rsidR="00A545B3">
        <w:rPr>
          <w:rFonts w:asciiTheme="majorBidi" w:hAnsiTheme="majorBidi" w:cstheme="majorBidi"/>
          <w:sz w:val="24"/>
          <w:szCs w:val="24"/>
        </w:rPr>
        <w:t>on all observations in my sample of all criminal appeals. T</w:t>
      </w:r>
      <w:r w:rsidRPr="00866391">
        <w:rPr>
          <w:rFonts w:asciiTheme="majorBidi" w:hAnsiTheme="majorBidi" w:cstheme="majorBidi"/>
          <w:sz w:val="24"/>
          <w:szCs w:val="24"/>
        </w:rPr>
        <w:t xml:space="preserve">he dependent variable </w:t>
      </w:r>
      <w:r w:rsidR="00A545B3">
        <w:rPr>
          <w:rFonts w:asciiTheme="majorBidi" w:hAnsiTheme="majorBidi" w:cstheme="majorBidi"/>
          <w:sz w:val="24"/>
          <w:szCs w:val="24"/>
        </w:rPr>
        <w:t>(</w:t>
      </w:r>
      <m:oMath>
        <m:r>
          <w:rPr>
            <w:rFonts w:ascii="Cambria Math" w:hAnsi="Cambria Math" w:cstheme="majorBidi"/>
            <w:sz w:val="24"/>
            <w:szCs w:val="24"/>
          </w:rPr>
          <m:t>PRODEFENDANT</m:t>
        </m:r>
      </m:oMath>
      <w:r w:rsidR="002C622F">
        <w:rPr>
          <w:rFonts w:asciiTheme="majorBidi" w:hAnsiTheme="majorBidi" w:cstheme="majorBidi"/>
          <w:sz w:val="24"/>
          <w:szCs w:val="24"/>
        </w:rPr>
        <w:t xml:space="preserve">) is a dummy </w:t>
      </w:r>
      <w:r w:rsidR="00C94EF9">
        <w:rPr>
          <w:rFonts w:asciiTheme="majorBidi" w:hAnsiTheme="majorBidi" w:cstheme="majorBidi"/>
          <w:sz w:val="24"/>
          <w:szCs w:val="24"/>
        </w:rPr>
        <w:t xml:space="preserve">equal to 1 if the panel sides with the defendant and to 0 otherwise. </w:t>
      </w:r>
    </w:p>
    <w:p w14:paraId="43A4E75D" w14:textId="6F148632" w:rsidR="00725EA9" w:rsidRDefault="00C94EF9" w:rsidP="00A13C7B">
      <w:pPr>
        <w:spacing w:after="120" w:line="360" w:lineRule="auto"/>
        <w:ind w:firstLine="450"/>
        <w:jc w:val="both"/>
        <w:rPr>
          <w:rFonts w:asciiTheme="majorBidi" w:hAnsiTheme="majorBidi" w:cstheme="majorBidi"/>
          <w:sz w:val="24"/>
          <w:szCs w:val="24"/>
        </w:rPr>
      </w:pPr>
      <w:r>
        <w:rPr>
          <w:rFonts w:asciiTheme="majorBidi" w:hAnsiTheme="majorBidi" w:cstheme="majorBidi"/>
          <w:sz w:val="24"/>
          <w:szCs w:val="24"/>
        </w:rPr>
        <w:t xml:space="preserve">As to the independent, explanatory variables, </w:t>
      </w:r>
      <w:r w:rsidR="00781447">
        <w:rPr>
          <w:rFonts w:asciiTheme="majorBidi" w:hAnsiTheme="majorBidi" w:cstheme="majorBidi"/>
          <w:sz w:val="24"/>
          <w:szCs w:val="24"/>
        </w:rPr>
        <w:t xml:space="preserve">all </w:t>
      </w:r>
      <w:r>
        <w:rPr>
          <w:rFonts w:asciiTheme="majorBidi" w:hAnsiTheme="majorBidi" w:cstheme="majorBidi"/>
          <w:sz w:val="24"/>
          <w:szCs w:val="24"/>
        </w:rPr>
        <w:t xml:space="preserve">the key variables of interests </w:t>
      </w:r>
      <w:r w:rsidR="00781447">
        <w:rPr>
          <w:rFonts w:asciiTheme="majorBidi" w:hAnsiTheme="majorBidi" w:cstheme="majorBidi"/>
          <w:sz w:val="24"/>
          <w:szCs w:val="24"/>
        </w:rPr>
        <w:t xml:space="preserve">reflect ways of measuring the extent to which the panel leans democratic. In </w:t>
      </w:r>
      <w:r w:rsidR="00B3211B" w:rsidRPr="00866391">
        <w:rPr>
          <w:rFonts w:asciiTheme="majorBidi" w:hAnsiTheme="majorBidi" w:cstheme="majorBidi"/>
          <w:sz w:val="24"/>
          <w:szCs w:val="24"/>
        </w:rPr>
        <w:t xml:space="preserve">Column (1) </w:t>
      </w:r>
      <w:r w:rsidR="00781447">
        <w:rPr>
          <w:rFonts w:asciiTheme="majorBidi" w:hAnsiTheme="majorBidi" w:cstheme="majorBidi"/>
          <w:sz w:val="24"/>
          <w:szCs w:val="24"/>
        </w:rPr>
        <w:t xml:space="preserve">of </w:t>
      </w:r>
      <w:r w:rsidR="00781447" w:rsidRPr="00866391">
        <w:rPr>
          <w:rFonts w:asciiTheme="majorBidi" w:hAnsiTheme="majorBidi" w:cstheme="majorBidi"/>
          <w:sz w:val="24"/>
          <w:szCs w:val="24"/>
        </w:rPr>
        <w:t>Table 4</w:t>
      </w:r>
      <w:r w:rsidR="00781447">
        <w:rPr>
          <w:rFonts w:asciiTheme="majorBidi" w:hAnsiTheme="majorBidi" w:cstheme="majorBidi"/>
          <w:sz w:val="24"/>
          <w:szCs w:val="24"/>
        </w:rPr>
        <w:t xml:space="preserve">, </w:t>
      </w:r>
      <w:r w:rsidR="00B3211B" w:rsidRPr="00866391">
        <w:rPr>
          <w:rFonts w:asciiTheme="majorBidi" w:hAnsiTheme="majorBidi" w:cstheme="majorBidi"/>
          <w:sz w:val="24"/>
          <w:szCs w:val="24"/>
        </w:rPr>
        <w:t xml:space="preserve">the </w:t>
      </w:r>
      <w:r w:rsidR="00134F91" w:rsidRPr="00866391">
        <w:rPr>
          <w:rFonts w:asciiTheme="majorBidi" w:hAnsiTheme="majorBidi" w:cstheme="majorBidi"/>
          <w:sz w:val="24"/>
          <w:szCs w:val="24"/>
        </w:rPr>
        <w:t>in</w:t>
      </w:r>
      <w:r w:rsidR="00B3211B" w:rsidRPr="00866391">
        <w:rPr>
          <w:rFonts w:asciiTheme="majorBidi" w:hAnsiTheme="majorBidi" w:cstheme="majorBidi"/>
          <w:sz w:val="24"/>
          <w:szCs w:val="24"/>
        </w:rPr>
        <w:t xml:space="preserve">dependent variable </w:t>
      </w:r>
      <w:r w:rsidR="00E76BDF">
        <w:rPr>
          <w:rFonts w:asciiTheme="majorBidi" w:hAnsiTheme="majorBidi" w:cstheme="majorBidi"/>
          <w:sz w:val="24"/>
          <w:szCs w:val="24"/>
        </w:rPr>
        <w:t xml:space="preserve">of interest </w:t>
      </w:r>
      <w:r w:rsidR="00B3211B" w:rsidRPr="00866391">
        <w:rPr>
          <w:rFonts w:asciiTheme="majorBidi" w:hAnsiTheme="majorBidi" w:cstheme="majorBidi"/>
          <w:sz w:val="24"/>
          <w:szCs w:val="24"/>
        </w:rPr>
        <w:t xml:space="preserve">is the number of </w:t>
      </w:r>
      <w:r w:rsidR="00781447">
        <w:rPr>
          <w:rFonts w:asciiTheme="majorBidi" w:hAnsiTheme="majorBidi" w:cstheme="majorBidi"/>
          <w:sz w:val="24"/>
          <w:szCs w:val="24"/>
        </w:rPr>
        <w:t>D</w:t>
      </w:r>
      <w:r w:rsidR="00B3211B" w:rsidRPr="00866391">
        <w:rPr>
          <w:rFonts w:asciiTheme="majorBidi" w:hAnsiTheme="majorBidi" w:cstheme="majorBidi"/>
          <w:sz w:val="24"/>
          <w:szCs w:val="24"/>
        </w:rPr>
        <w:t>emocrat judges in the panel. In Column (2)</w:t>
      </w:r>
      <w:r w:rsidR="00781447">
        <w:rPr>
          <w:rFonts w:asciiTheme="majorBidi" w:hAnsiTheme="majorBidi" w:cstheme="majorBidi"/>
          <w:sz w:val="24"/>
          <w:szCs w:val="24"/>
        </w:rPr>
        <w:t>,</w:t>
      </w:r>
      <w:r w:rsidR="00B3211B" w:rsidRPr="00866391">
        <w:rPr>
          <w:rFonts w:asciiTheme="majorBidi" w:hAnsiTheme="majorBidi" w:cstheme="majorBidi"/>
          <w:sz w:val="24"/>
          <w:szCs w:val="24"/>
        </w:rPr>
        <w:t xml:space="preserve"> the </w:t>
      </w:r>
      <w:r w:rsidR="00134F91" w:rsidRPr="00866391">
        <w:rPr>
          <w:rFonts w:asciiTheme="majorBidi" w:hAnsiTheme="majorBidi" w:cstheme="majorBidi"/>
          <w:sz w:val="24"/>
          <w:szCs w:val="24"/>
        </w:rPr>
        <w:t>in</w:t>
      </w:r>
      <w:r w:rsidR="00B3211B" w:rsidRPr="00866391">
        <w:rPr>
          <w:rFonts w:asciiTheme="majorBidi" w:hAnsiTheme="majorBidi" w:cstheme="majorBidi"/>
          <w:sz w:val="24"/>
          <w:szCs w:val="24"/>
        </w:rPr>
        <w:t xml:space="preserve">dependent variable </w:t>
      </w:r>
      <w:r w:rsidR="00E76BDF">
        <w:rPr>
          <w:rFonts w:asciiTheme="majorBidi" w:hAnsiTheme="majorBidi" w:cstheme="majorBidi"/>
          <w:sz w:val="24"/>
          <w:szCs w:val="24"/>
        </w:rPr>
        <w:t xml:space="preserve">of interest </w:t>
      </w:r>
      <w:r w:rsidR="00B3211B" w:rsidRPr="00866391">
        <w:rPr>
          <w:rFonts w:asciiTheme="majorBidi" w:hAnsiTheme="majorBidi" w:cstheme="majorBidi"/>
          <w:sz w:val="24"/>
          <w:szCs w:val="24"/>
        </w:rPr>
        <w:t xml:space="preserve">is </w:t>
      </w:r>
      <w:r w:rsidR="00781447">
        <w:rPr>
          <w:rFonts w:asciiTheme="majorBidi" w:hAnsiTheme="majorBidi" w:cstheme="majorBidi"/>
          <w:sz w:val="24"/>
          <w:szCs w:val="24"/>
        </w:rPr>
        <w:t xml:space="preserve">a dummy equal to 1 if the panel has a </w:t>
      </w:r>
      <w:r w:rsidR="00EA20F1">
        <w:rPr>
          <w:rFonts w:asciiTheme="majorBidi" w:hAnsiTheme="majorBidi" w:cstheme="majorBidi"/>
          <w:sz w:val="24"/>
          <w:szCs w:val="24"/>
        </w:rPr>
        <w:t xml:space="preserve">Democratic majority and to 0 otherwise. In Column (3), </w:t>
      </w:r>
      <w:r w:rsidR="00E76BDF">
        <w:rPr>
          <w:rFonts w:asciiTheme="majorBidi" w:hAnsiTheme="majorBidi" w:cstheme="majorBidi"/>
          <w:sz w:val="24"/>
          <w:szCs w:val="24"/>
        </w:rPr>
        <w:t xml:space="preserve">the independent variables of interest are </w:t>
      </w:r>
      <w:r w:rsidR="003320E1">
        <w:rPr>
          <w:rFonts w:asciiTheme="majorBidi" w:hAnsiTheme="majorBidi" w:cstheme="majorBidi"/>
          <w:sz w:val="24"/>
          <w:szCs w:val="24"/>
        </w:rPr>
        <w:t xml:space="preserve">three dummies: </w:t>
      </w:r>
      <w:r w:rsidR="00B3211B" w:rsidRPr="00866391">
        <w:rPr>
          <w:rFonts w:asciiTheme="majorBidi" w:hAnsiTheme="majorBidi" w:cstheme="majorBidi"/>
          <w:sz w:val="24"/>
          <w:szCs w:val="24"/>
        </w:rPr>
        <w:t>RR</w:t>
      </w:r>
      <w:r w:rsidR="003320E1">
        <w:rPr>
          <w:rFonts w:asciiTheme="majorBidi" w:hAnsiTheme="majorBidi" w:cstheme="majorBidi"/>
          <w:sz w:val="24"/>
          <w:szCs w:val="24"/>
        </w:rPr>
        <w:t>D</w:t>
      </w:r>
      <w:r w:rsidR="004A1F8D">
        <w:rPr>
          <w:rFonts w:asciiTheme="majorBidi" w:hAnsiTheme="majorBidi" w:cstheme="majorBidi"/>
          <w:sz w:val="24"/>
          <w:szCs w:val="24"/>
        </w:rPr>
        <w:t xml:space="preserve"> which</w:t>
      </w:r>
      <w:r w:rsidR="003320E1">
        <w:rPr>
          <w:rFonts w:asciiTheme="majorBidi" w:hAnsiTheme="majorBidi" w:cstheme="majorBidi"/>
          <w:sz w:val="24"/>
          <w:szCs w:val="24"/>
        </w:rPr>
        <w:t xml:space="preserve"> </w:t>
      </w:r>
      <w:r w:rsidR="00B3211B" w:rsidRPr="00866391">
        <w:rPr>
          <w:rFonts w:asciiTheme="majorBidi" w:hAnsiTheme="majorBidi" w:cstheme="majorBidi"/>
          <w:sz w:val="24"/>
          <w:szCs w:val="24"/>
        </w:rPr>
        <w:t xml:space="preserve">is equal to 1 if </w:t>
      </w:r>
      <w:r w:rsidR="003320E1">
        <w:rPr>
          <w:rFonts w:asciiTheme="majorBidi" w:hAnsiTheme="majorBidi" w:cstheme="majorBidi"/>
          <w:sz w:val="24"/>
          <w:szCs w:val="24"/>
        </w:rPr>
        <w:t>the panel has 1 Democratic member and 2 Republicans</w:t>
      </w:r>
      <w:r w:rsidR="00720943">
        <w:rPr>
          <w:rFonts w:asciiTheme="majorBidi" w:hAnsiTheme="majorBidi" w:cstheme="majorBidi"/>
          <w:sz w:val="24"/>
          <w:szCs w:val="24"/>
        </w:rPr>
        <w:t xml:space="preserve"> and 0 otherwise</w:t>
      </w:r>
      <w:r w:rsidR="003320E1">
        <w:rPr>
          <w:rFonts w:asciiTheme="majorBidi" w:hAnsiTheme="majorBidi" w:cstheme="majorBidi"/>
          <w:sz w:val="24"/>
          <w:szCs w:val="24"/>
        </w:rPr>
        <w:t xml:space="preserve">; </w:t>
      </w:r>
      <w:r w:rsidR="00720943">
        <w:rPr>
          <w:rFonts w:asciiTheme="majorBidi" w:hAnsiTheme="majorBidi" w:cstheme="majorBidi"/>
          <w:sz w:val="24"/>
          <w:szCs w:val="24"/>
        </w:rPr>
        <w:t xml:space="preserve">RDD </w:t>
      </w:r>
      <w:r w:rsidR="004A1F8D">
        <w:rPr>
          <w:rFonts w:asciiTheme="majorBidi" w:hAnsiTheme="majorBidi" w:cstheme="majorBidi"/>
          <w:sz w:val="24"/>
          <w:szCs w:val="24"/>
        </w:rPr>
        <w:t xml:space="preserve">which </w:t>
      </w:r>
      <w:r w:rsidR="004B4809">
        <w:rPr>
          <w:rFonts w:asciiTheme="majorBidi" w:hAnsiTheme="majorBidi" w:cstheme="majorBidi"/>
          <w:sz w:val="24"/>
          <w:szCs w:val="24"/>
        </w:rPr>
        <w:t xml:space="preserve">is equal to 1 if the panel has 2 Democratic judges and 1 Republican judge and to 0 otherwise; and DDD </w:t>
      </w:r>
      <w:r w:rsidR="004A1F8D">
        <w:rPr>
          <w:rFonts w:asciiTheme="majorBidi" w:hAnsiTheme="majorBidi" w:cstheme="majorBidi"/>
          <w:sz w:val="24"/>
          <w:szCs w:val="24"/>
        </w:rPr>
        <w:t xml:space="preserve">which is equal to 1 </w:t>
      </w:r>
      <w:r w:rsidR="004B4809">
        <w:rPr>
          <w:rFonts w:asciiTheme="majorBidi" w:hAnsiTheme="majorBidi" w:cstheme="majorBidi"/>
          <w:sz w:val="24"/>
          <w:szCs w:val="24"/>
        </w:rPr>
        <w:t xml:space="preserve">if the panel has 3 Democratic judges and no Republicans and to 0 otherwise. </w:t>
      </w:r>
    </w:p>
    <w:p w14:paraId="22116188" w14:textId="5ECC5FD9" w:rsidR="00B3211B" w:rsidRDefault="00725EA9" w:rsidP="00A13C7B">
      <w:pPr>
        <w:spacing w:after="120" w:line="360" w:lineRule="auto"/>
        <w:ind w:firstLine="450"/>
        <w:jc w:val="both"/>
        <w:rPr>
          <w:rFonts w:asciiTheme="majorBidi" w:hAnsiTheme="majorBidi" w:cstheme="majorBidi"/>
          <w:sz w:val="24"/>
          <w:szCs w:val="24"/>
        </w:rPr>
      </w:pPr>
      <w:r>
        <w:rPr>
          <w:rFonts w:asciiTheme="majorBidi" w:hAnsiTheme="majorBidi" w:cstheme="majorBidi"/>
          <w:sz w:val="24"/>
          <w:szCs w:val="24"/>
        </w:rPr>
        <w:t xml:space="preserve">Columns (4) and (5) </w:t>
      </w:r>
      <w:r w:rsidR="00985A99">
        <w:rPr>
          <w:rFonts w:asciiTheme="majorBidi" w:hAnsiTheme="majorBidi" w:cstheme="majorBidi"/>
          <w:sz w:val="24"/>
          <w:szCs w:val="24"/>
        </w:rPr>
        <w:t xml:space="preserve">use the same specification as column (3) but each applies it just to a subset of all cases. </w:t>
      </w:r>
      <w:r w:rsidR="00B3211B" w:rsidRPr="00866391">
        <w:rPr>
          <w:rFonts w:asciiTheme="majorBidi" w:hAnsiTheme="majorBidi" w:cstheme="majorBidi"/>
          <w:sz w:val="24"/>
          <w:szCs w:val="24"/>
        </w:rPr>
        <w:t>Column (4) restrict</w:t>
      </w:r>
      <w:r w:rsidR="00134F91" w:rsidRPr="00866391">
        <w:rPr>
          <w:rFonts w:asciiTheme="majorBidi" w:hAnsiTheme="majorBidi" w:cstheme="majorBidi"/>
          <w:sz w:val="24"/>
          <w:szCs w:val="24"/>
        </w:rPr>
        <w:t>s</w:t>
      </w:r>
      <w:r w:rsidR="00B3211B" w:rsidRPr="00866391">
        <w:rPr>
          <w:rFonts w:asciiTheme="majorBidi" w:hAnsiTheme="majorBidi" w:cstheme="majorBidi"/>
          <w:sz w:val="24"/>
          <w:szCs w:val="24"/>
        </w:rPr>
        <w:t xml:space="preserve"> the data to include </w:t>
      </w:r>
      <w:r w:rsidR="00134F91" w:rsidRPr="00866391">
        <w:rPr>
          <w:rFonts w:asciiTheme="majorBidi" w:hAnsiTheme="majorBidi" w:cstheme="majorBidi"/>
          <w:sz w:val="24"/>
          <w:szCs w:val="24"/>
        </w:rPr>
        <w:t xml:space="preserve">only </w:t>
      </w:r>
      <w:r w:rsidR="00B3211B" w:rsidRPr="00866391">
        <w:rPr>
          <w:rFonts w:asciiTheme="majorBidi" w:hAnsiTheme="majorBidi" w:cstheme="majorBidi"/>
          <w:sz w:val="24"/>
          <w:szCs w:val="24"/>
        </w:rPr>
        <w:t xml:space="preserve">cases </w:t>
      </w:r>
      <w:r w:rsidR="00985A99">
        <w:rPr>
          <w:rFonts w:asciiTheme="majorBidi" w:hAnsiTheme="majorBidi" w:cstheme="majorBidi"/>
          <w:sz w:val="24"/>
          <w:szCs w:val="24"/>
        </w:rPr>
        <w:t xml:space="preserve">in which </w:t>
      </w:r>
      <w:r w:rsidR="00B3211B" w:rsidRPr="00866391">
        <w:rPr>
          <w:rFonts w:asciiTheme="majorBidi" w:hAnsiTheme="majorBidi" w:cstheme="majorBidi"/>
          <w:sz w:val="24"/>
          <w:szCs w:val="24"/>
        </w:rPr>
        <w:t xml:space="preserve">the defendant </w:t>
      </w:r>
      <w:r w:rsidR="00985A99">
        <w:rPr>
          <w:rFonts w:asciiTheme="majorBidi" w:hAnsiTheme="majorBidi" w:cstheme="majorBidi"/>
          <w:sz w:val="24"/>
          <w:szCs w:val="24"/>
        </w:rPr>
        <w:t xml:space="preserve">is the appellant </w:t>
      </w:r>
      <w:r w:rsidR="00B3211B" w:rsidRPr="00866391">
        <w:rPr>
          <w:rFonts w:asciiTheme="majorBidi" w:hAnsiTheme="majorBidi" w:cstheme="majorBidi"/>
          <w:sz w:val="24"/>
          <w:szCs w:val="24"/>
        </w:rPr>
        <w:t>initiat</w:t>
      </w:r>
      <w:r w:rsidR="00985A99">
        <w:rPr>
          <w:rFonts w:asciiTheme="majorBidi" w:hAnsiTheme="majorBidi" w:cstheme="majorBidi"/>
          <w:sz w:val="24"/>
          <w:szCs w:val="24"/>
        </w:rPr>
        <w:t xml:space="preserve">ing </w:t>
      </w:r>
      <w:r w:rsidR="00B3211B" w:rsidRPr="00866391">
        <w:rPr>
          <w:rFonts w:asciiTheme="majorBidi" w:hAnsiTheme="majorBidi" w:cstheme="majorBidi"/>
          <w:sz w:val="24"/>
          <w:szCs w:val="24"/>
        </w:rPr>
        <w:t>the appeal</w:t>
      </w:r>
      <w:r w:rsidR="00985A99">
        <w:rPr>
          <w:rFonts w:asciiTheme="majorBidi" w:hAnsiTheme="majorBidi" w:cstheme="majorBidi"/>
          <w:sz w:val="24"/>
          <w:szCs w:val="24"/>
        </w:rPr>
        <w:t xml:space="preserve"> (and in which </w:t>
      </w:r>
      <w:r w:rsidR="00C60D17">
        <w:rPr>
          <w:rFonts w:asciiTheme="majorBidi" w:hAnsiTheme="majorBidi" w:cstheme="majorBidi"/>
          <w:sz w:val="24"/>
          <w:szCs w:val="24"/>
        </w:rPr>
        <w:t xml:space="preserve">a prodefendant outcome is a full or partial </w:t>
      </w:r>
      <w:r w:rsidR="00C60D17">
        <w:rPr>
          <w:rFonts w:asciiTheme="majorBidi" w:hAnsiTheme="majorBidi" w:cstheme="majorBidi"/>
          <w:sz w:val="24"/>
          <w:szCs w:val="24"/>
        </w:rPr>
        <w:lastRenderedPageBreak/>
        <w:t>overturning of the decision below</w:t>
      </w:r>
      <w:r w:rsidR="003B733F">
        <w:rPr>
          <w:rFonts w:asciiTheme="majorBidi" w:hAnsiTheme="majorBidi" w:cstheme="majorBidi"/>
          <w:sz w:val="24"/>
          <w:szCs w:val="24"/>
        </w:rPr>
        <w:t>)</w:t>
      </w:r>
      <w:r w:rsidR="00C60D17">
        <w:rPr>
          <w:rFonts w:asciiTheme="majorBidi" w:hAnsiTheme="majorBidi" w:cstheme="majorBidi"/>
          <w:sz w:val="24"/>
          <w:szCs w:val="24"/>
        </w:rPr>
        <w:t xml:space="preserve">. By contrast, </w:t>
      </w:r>
      <w:r w:rsidR="00B3211B" w:rsidRPr="00866391">
        <w:rPr>
          <w:rFonts w:asciiTheme="majorBidi" w:hAnsiTheme="majorBidi" w:cstheme="majorBidi"/>
          <w:sz w:val="24"/>
          <w:szCs w:val="24"/>
        </w:rPr>
        <w:t xml:space="preserve">Column (5) restricts the data to include </w:t>
      </w:r>
      <w:r w:rsidR="00134F91" w:rsidRPr="00866391">
        <w:rPr>
          <w:rFonts w:asciiTheme="majorBidi" w:hAnsiTheme="majorBidi" w:cstheme="majorBidi"/>
          <w:sz w:val="24"/>
          <w:szCs w:val="24"/>
        </w:rPr>
        <w:t xml:space="preserve">only </w:t>
      </w:r>
      <w:r w:rsidR="00B3211B" w:rsidRPr="00866391">
        <w:rPr>
          <w:rFonts w:asciiTheme="majorBidi" w:hAnsiTheme="majorBidi" w:cstheme="majorBidi"/>
          <w:sz w:val="24"/>
          <w:szCs w:val="24"/>
        </w:rPr>
        <w:t xml:space="preserve">cases </w:t>
      </w:r>
      <w:r w:rsidR="00C60D17">
        <w:rPr>
          <w:rFonts w:asciiTheme="majorBidi" w:hAnsiTheme="majorBidi" w:cstheme="majorBidi"/>
          <w:sz w:val="24"/>
          <w:szCs w:val="24"/>
        </w:rPr>
        <w:t xml:space="preserve">in which the </w:t>
      </w:r>
      <w:r w:rsidR="00B3211B" w:rsidRPr="00866391">
        <w:rPr>
          <w:rFonts w:asciiTheme="majorBidi" w:hAnsiTheme="majorBidi" w:cstheme="majorBidi"/>
          <w:sz w:val="24"/>
          <w:szCs w:val="24"/>
        </w:rPr>
        <w:t>government is the one who initiated the appeal</w:t>
      </w:r>
      <w:r w:rsidR="00C60D17">
        <w:rPr>
          <w:rFonts w:asciiTheme="majorBidi" w:hAnsiTheme="majorBidi" w:cstheme="majorBidi"/>
          <w:sz w:val="24"/>
          <w:szCs w:val="24"/>
        </w:rPr>
        <w:t xml:space="preserve"> the appellant </w:t>
      </w:r>
      <w:r w:rsidR="00C60D17" w:rsidRPr="00866391">
        <w:rPr>
          <w:rFonts w:asciiTheme="majorBidi" w:hAnsiTheme="majorBidi" w:cstheme="majorBidi"/>
          <w:sz w:val="24"/>
          <w:szCs w:val="24"/>
        </w:rPr>
        <w:t>initiat</w:t>
      </w:r>
      <w:r w:rsidR="00C60D17">
        <w:rPr>
          <w:rFonts w:asciiTheme="majorBidi" w:hAnsiTheme="majorBidi" w:cstheme="majorBidi"/>
          <w:sz w:val="24"/>
          <w:szCs w:val="24"/>
        </w:rPr>
        <w:t xml:space="preserve">ing </w:t>
      </w:r>
      <w:r w:rsidR="00C60D17" w:rsidRPr="00866391">
        <w:rPr>
          <w:rFonts w:asciiTheme="majorBidi" w:hAnsiTheme="majorBidi" w:cstheme="majorBidi"/>
          <w:sz w:val="24"/>
          <w:szCs w:val="24"/>
        </w:rPr>
        <w:t>the appeal</w:t>
      </w:r>
      <w:r w:rsidR="00C60D17">
        <w:rPr>
          <w:rFonts w:asciiTheme="majorBidi" w:hAnsiTheme="majorBidi" w:cstheme="majorBidi"/>
          <w:sz w:val="24"/>
          <w:szCs w:val="24"/>
        </w:rPr>
        <w:t xml:space="preserve"> (and in which a prodefendant outcome is a full or partial overturning of the decision below</w:t>
      </w:r>
      <w:r w:rsidR="00B3211B" w:rsidRPr="00866391">
        <w:rPr>
          <w:rFonts w:asciiTheme="majorBidi" w:hAnsiTheme="majorBidi" w:cstheme="majorBidi"/>
          <w:sz w:val="24"/>
          <w:szCs w:val="24"/>
        </w:rPr>
        <w:t xml:space="preserve">. </w:t>
      </w:r>
    </w:p>
    <w:p w14:paraId="1C385F6A" w14:textId="4C20CDD5" w:rsidR="00E76BDF" w:rsidRDefault="00E76BDF" w:rsidP="00A13C7B">
      <w:pPr>
        <w:spacing w:after="120" w:line="360" w:lineRule="auto"/>
        <w:ind w:firstLine="450"/>
        <w:jc w:val="both"/>
        <w:rPr>
          <w:rFonts w:asciiTheme="majorBidi" w:hAnsiTheme="majorBidi" w:cstheme="majorBidi"/>
          <w:sz w:val="24"/>
          <w:szCs w:val="24"/>
        </w:rPr>
      </w:pPr>
      <w:r>
        <w:rPr>
          <w:rFonts w:asciiTheme="majorBidi" w:hAnsiTheme="majorBidi" w:cstheme="majorBidi"/>
          <w:sz w:val="24"/>
          <w:szCs w:val="24"/>
        </w:rPr>
        <w:t xml:space="preserve">In all columns, we also use additional variables as controls. </w:t>
      </w:r>
      <w:r w:rsidR="00C40A08">
        <w:rPr>
          <w:rFonts w:asciiTheme="majorBidi" w:hAnsiTheme="majorBidi" w:cstheme="majorBidi"/>
          <w:sz w:val="24"/>
          <w:szCs w:val="24"/>
        </w:rPr>
        <w:t xml:space="preserve">Such variables are the number of women on the panel, the number of minority </w:t>
      </w:r>
      <w:r w:rsidR="00466826">
        <w:rPr>
          <w:rFonts w:asciiTheme="majorBidi" w:hAnsiTheme="majorBidi" w:cstheme="majorBidi"/>
          <w:sz w:val="24"/>
          <w:szCs w:val="24"/>
        </w:rPr>
        <w:t xml:space="preserve">judges on the panel, </w:t>
      </w:r>
      <w:r w:rsidR="00C40A08">
        <w:rPr>
          <w:rFonts w:asciiTheme="majorBidi" w:hAnsiTheme="majorBidi" w:cstheme="majorBidi"/>
          <w:sz w:val="24"/>
          <w:szCs w:val="24"/>
        </w:rPr>
        <w:t xml:space="preserve"> </w:t>
      </w:r>
    </w:p>
    <w:p w14:paraId="56CC324C" w14:textId="5CBDC27A" w:rsidR="00E3722D" w:rsidRDefault="00280594" w:rsidP="00A13C7B">
      <w:pPr>
        <w:spacing w:after="120" w:line="360" w:lineRule="auto"/>
        <w:ind w:firstLine="450"/>
        <w:jc w:val="both"/>
        <w:rPr>
          <w:rFonts w:asciiTheme="majorBidi" w:hAnsiTheme="majorBidi" w:cstheme="majorBidi"/>
          <w:sz w:val="24"/>
          <w:szCs w:val="24"/>
        </w:rPr>
      </w:pPr>
      <w:r>
        <w:rPr>
          <w:rFonts w:asciiTheme="majorBidi" w:hAnsiTheme="majorBidi" w:cstheme="majorBidi"/>
          <w:sz w:val="24"/>
          <w:szCs w:val="24"/>
        </w:rPr>
        <w:t xml:space="preserve">The results of Table 5 are largely consistent with the hypothesis that panels with more Democratic judges are more likely to side with the defendant and produce a prodefendant outcome. In Column (1), </w:t>
      </w:r>
      <w:r w:rsidR="00E94832">
        <w:rPr>
          <w:rFonts w:asciiTheme="majorBidi" w:hAnsiTheme="majorBidi" w:cstheme="majorBidi"/>
          <w:sz w:val="24"/>
          <w:szCs w:val="24"/>
        </w:rPr>
        <w:t>t</w:t>
      </w:r>
      <w:r>
        <w:rPr>
          <w:rFonts w:asciiTheme="majorBidi" w:hAnsiTheme="majorBidi" w:cstheme="majorBidi"/>
          <w:sz w:val="24"/>
          <w:szCs w:val="24"/>
        </w:rPr>
        <w:t xml:space="preserve">he coefficient </w:t>
      </w:r>
      <w:r w:rsidR="00E94832">
        <w:rPr>
          <w:rFonts w:asciiTheme="majorBidi" w:hAnsiTheme="majorBidi" w:cstheme="majorBidi"/>
          <w:sz w:val="24"/>
          <w:szCs w:val="24"/>
        </w:rPr>
        <w:t xml:space="preserve">of the key variable of interest – the number of Democratic judges -- </w:t>
      </w:r>
      <w:r>
        <w:rPr>
          <w:rFonts w:asciiTheme="majorBidi" w:hAnsiTheme="majorBidi" w:cstheme="majorBidi"/>
          <w:sz w:val="24"/>
          <w:szCs w:val="24"/>
        </w:rPr>
        <w:t xml:space="preserve">is positive and statistically significant </w:t>
      </w:r>
      <w:r w:rsidR="00E94832">
        <w:rPr>
          <w:rFonts w:asciiTheme="majorBidi" w:hAnsiTheme="majorBidi" w:cstheme="majorBidi"/>
          <w:sz w:val="24"/>
          <w:szCs w:val="24"/>
        </w:rPr>
        <w:t xml:space="preserve">at </w:t>
      </w:r>
      <w:r>
        <w:rPr>
          <w:rFonts w:asciiTheme="majorBidi" w:hAnsiTheme="majorBidi" w:cstheme="majorBidi"/>
          <w:sz w:val="24"/>
          <w:szCs w:val="24"/>
        </w:rPr>
        <w:t xml:space="preserve">the </w:t>
      </w:r>
      <w:r w:rsidR="007E0FF1">
        <w:rPr>
          <w:rFonts w:asciiTheme="majorBidi" w:hAnsiTheme="majorBidi" w:cstheme="majorBidi"/>
          <w:sz w:val="24"/>
          <w:szCs w:val="24"/>
        </w:rPr>
        <w:t>1%</w:t>
      </w:r>
      <w:r>
        <w:rPr>
          <w:rFonts w:asciiTheme="majorBidi" w:hAnsiTheme="majorBidi" w:cstheme="majorBidi"/>
          <w:sz w:val="24"/>
          <w:szCs w:val="24"/>
        </w:rPr>
        <w:t xml:space="preserve"> significan</w:t>
      </w:r>
      <w:r w:rsidR="00075CAA">
        <w:rPr>
          <w:rFonts w:asciiTheme="majorBidi" w:hAnsiTheme="majorBidi" w:cstheme="majorBidi"/>
          <w:sz w:val="24"/>
          <w:szCs w:val="24"/>
        </w:rPr>
        <w:t xml:space="preserve">ce </w:t>
      </w:r>
      <w:r>
        <w:rPr>
          <w:rFonts w:asciiTheme="majorBidi" w:hAnsiTheme="majorBidi" w:cstheme="majorBidi"/>
          <w:sz w:val="24"/>
          <w:szCs w:val="24"/>
        </w:rPr>
        <w:t xml:space="preserve">level. </w:t>
      </w:r>
      <w:r w:rsidR="003F6C4F">
        <w:rPr>
          <w:rFonts w:asciiTheme="majorBidi" w:hAnsiTheme="majorBidi" w:cstheme="majorBidi"/>
          <w:sz w:val="24"/>
          <w:szCs w:val="24"/>
        </w:rPr>
        <w:t xml:space="preserve">The magnitude of the coefficient is 0.015. Compared to the level of </w:t>
      </w:r>
      <w:r w:rsidR="00A20925">
        <w:rPr>
          <w:rFonts w:asciiTheme="majorBidi" w:hAnsiTheme="majorBidi" w:cstheme="majorBidi"/>
          <w:sz w:val="24"/>
          <w:szCs w:val="24"/>
        </w:rPr>
        <w:t>1</w:t>
      </w:r>
      <w:r w:rsidR="00FE0706">
        <w:rPr>
          <w:rFonts w:asciiTheme="majorBidi" w:hAnsiTheme="majorBidi" w:cstheme="majorBidi"/>
          <w:sz w:val="24"/>
          <w:szCs w:val="24"/>
        </w:rPr>
        <w:t>1</w:t>
      </w:r>
      <w:r w:rsidR="00A20925">
        <w:rPr>
          <w:rFonts w:asciiTheme="majorBidi" w:hAnsiTheme="majorBidi" w:cstheme="majorBidi"/>
          <w:sz w:val="24"/>
          <w:szCs w:val="24"/>
        </w:rPr>
        <w:t>% (0.</w:t>
      </w:r>
      <w:r w:rsidR="00FE0706">
        <w:rPr>
          <w:rFonts w:asciiTheme="majorBidi" w:hAnsiTheme="majorBidi" w:cstheme="majorBidi"/>
          <w:sz w:val="24"/>
          <w:szCs w:val="24"/>
        </w:rPr>
        <w:t>11</w:t>
      </w:r>
      <w:r w:rsidR="00A20925">
        <w:rPr>
          <w:rFonts w:asciiTheme="majorBidi" w:hAnsiTheme="majorBidi" w:cstheme="majorBidi"/>
          <w:sz w:val="24"/>
          <w:szCs w:val="24"/>
        </w:rPr>
        <w:t xml:space="preserve">) of prodefendant outcomes in RRR panels, each additional democratic judge increases the odds of a prodefendant outcome by </w:t>
      </w:r>
      <w:r w:rsidR="00392B0D">
        <w:rPr>
          <w:rFonts w:asciiTheme="majorBidi" w:hAnsiTheme="majorBidi" w:cstheme="majorBidi"/>
          <w:sz w:val="24"/>
          <w:szCs w:val="24"/>
        </w:rPr>
        <w:t>a meaningful 1</w:t>
      </w:r>
      <w:r w:rsidR="00FE0706">
        <w:rPr>
          <w:rFonts w:asciiTheme="majorBidi" w:hAnsiTheme="majorBidi" w:cstheme="majorBidi"/>
          <w:sz w:val="24"/>
          <w:szCs w:val="24"/>
        </w:rPr>
        <w:t>4</w:t>
      </w:r>
      <w:r w:rsidR="00392B0D">
        <w:rPr>
          <w:rFonts w:asciiTheme="majorBidi" w:hAnsiTheme="majorBidi" w:cstheme="majorBidi"/>
          <w:sz w:val="24"/>
          <w:szCs w:val="24"/>
        </w:rPr>
        <w:t xml:space="preserve">%. </w:t>
      </w:r>
    </w:p>
    <w:p w14:paraId="6A1AD062" w14:textId="001D9759" w:rsidR="005762E7" w:rsidRDefault="00280594" w:rsidP="00A13C7B">
      <w:pPr>
        <w:spacing w:after="120" w:line="360" w:lineRule="auto"/>
        <w:ind w:firstLine="450"/>
        <w:jc w:val="both"/>
        <w:rPr>
          <w:rFonts w:asciiTheme="majorBidi" w:hAnsiTheme="majorBidi" w:cstheme="majorBidi"/>
          <w:sz w:val="24"/>
          <w:szCs w:val="24"/>
        </w:rPr>
      </w:pPr>
      <w:r>
        <w:rPr>
          <w:rFonts w:asciiTheme="majorBidi" w:hAnsiTheme="majorBidi" w:cstheme="majorBidi"/>
          <w:sz w:val="24"/>
          <w:szCs w:val="24"/>
        </w:rPr>
        <w:t xml:space="preserve">Similar results are obtained in Column (2) </w:t>
      </w:r>
      <w:r w:rsidR="00392B0D">
        <w:rPr>
          <w:rFonts w:asciiTheme="majorBidi" w:hAnsiTheme="majorBidi" w:cstheme="majorBidi"/>
          <w:sz w:val="24"/>
          <w:szCs w:val="24"/>
        </w:rPr>
        <w:t xml:space="preserve">in which the key variable of interest is a dummy indicating whether the panel </w:t>
      </w:r>
      <w:r w:rsidR="00075CAA">
        <w:rPr>
          <w:rFonts w:asciiTheme="majorBidi" w:hAnsiTheme="majorBidi" w:cstheme="majorBidi"/>
          <w:sz w:val="24"/>
          <w:szCs w:val="24"/>
        </w:rPr>
        <w:t xml:space="preserve">has </w:t>
      </w:r>
      <w:r w:rsidR="00392B0D">
        <w:rPr>
          <w:rFonts w:asciiTheme="majorBidi" w:hAnsiTheme="majorBidi" w:cstheme="majorBidi"/>
          <w:sz w:val="24"/>
          <w:szCs w:val="24"/>
        </w:rPr>
        <w:t xml:space="preserve">a Democratic majority. </w:t>
      </w:r>
      <w:r w:rsidR="00075CAA">
        <w:rPr>
          <w:rFonts w:asciiTheme="majorBidi" w:hAnsiTheme="majorBidi" w:cstheme="majorBidi"/>
          <w:sz w:val="24"/>
          <w:szCs w:val="24"/>
        </w:rPr>
        <w:t>The coefficient has a magnitude of 0.024 and is again statis</w:t>
      </w:r>
      <w:r w:rsidR="00E3722D">
        <w:rPr>
          <w:rFonts w:asciiTheme="majorBidi" w:hAnsiTheme="majorBidi" w:cstheme="majorBidi"/>
          <w:sz w:val="24"/>
          <w:szCs w:val="24"/>
        </w:rPr>
        <w:t>ti</w:t>
      </w:r>
      <w:r w:rsidR="00075CAA">
        <w:rPr>
          <w:rFonts w:asciiTheme="majorBidi" w:hAnsiTheme="majorBidi" w:cstheme="majorBidi"/>
          <w:sz w:val="24"/>
          <w:szCs w:val="24"/>
        </w:rPr>
        <w:t xml:space="preserve">cally significant at the 1% level. </w:t>
      </w:r>
      <w:r w:rsidR="00E3722D">
        <w:rPr>
          <w:rFonts w:asciiTheme="majorBidi" w:hAnsiTheme="majorBidi" w:cstheme="majorBidi"/>
          <w:sz w:val="24"/>
          <w:szCs w:val="24"/>
        </w:rPr>
        <w:t>Compared with a level of 0.</w:t>
      </w:r>
      <w:r w:rsidR="00FE0706">
        <w:rPr>
          <w:rFonts w:asciiTheme="majorBidi" w:hAnsiTheme="majorBidi" w:cstheme="majorBidi"/>
          <w:sz w:val="24"/>
          <w:szCs w:val="24"/>
        </w:rPr>
        <w:t>11</w:t>
      </w:r>
      <w:r w:rsidR="00E3722D">
        <w:rPr>
          <w:rFonts w:asciiTheme="majorBidi" w:hAnsiTheme="majorBidi" w:cstheme="majorBidi"/>
          <w:sz w:val="24"/>
          <w:szCs w:val="24"/>
        </w:rPr>
        <w:t xml:space="preserve"> for prodefendant outcomes in </w:t>
      </w:r>
      <w:r w:rsidR="005762E7">
        <w:rPr>
          <w:rFonts w:asciiTheme="majorBidi" w:hAnsiTheme="majorBidi" w:cstheme="majorBidi"/>
          <w:sz w:val="24"/>
          <w:szCs w:val="24"/>
        </w:rPr>
        <w:t xml:space="preserve">Republican-majority panels, a switch to a Democratic-majority panel from a Republican-majority panel increases the odds of a prodefendant outcome by a large </w:t>
      </w:r>
      <w:r w:rsidR="00FE0706">
        <w:rPr>
          <w:rFonts w:asciiTheme="majorBidi" w:hAnsiTheme="majorBidi" w:cstheme="majorBidi"/>
          <w:sz w:val="24"/>
          <w:szCs w:val="24"/>
        </w:rPr>
        <w:t>22</w:t>
      </w:r>
      <w:r w:rsidR="005762E7">
        <w:rPr>
          <w:rFonts w:asciiTheme="majorBidi" w:hAnsiTheme="majorBidi" w:cstheme="majorBidi"/>
          <w:sz w:val="24"/>
          <w:szCs w:val="24"/>
        </w:rPr>
        <w:t>%.</w:t>
      </w:r>
    </w:p>
    <w:p w14:paraId="17799E85" w14:textId="45F9443B" w:rsidR="00792D33" w:rsidRDefault="005762E7" w:rsidP="00A13C7B">
      <w:pPr>
        <w:spacing w:after="120" w:line="360" w:lineRule="auto"/>
        <w:ind w:firstLine="450"/>
        <w:jc w:val="both"/>
        <w:rPr>
          <w:rFonts w:asciiTheme="majorBidi" w:hAnsiTheme="majorBidi" w:cstheme="majorBidi"/>
          <w:sz w:val="24"/>
          <w:szCs w:val="24"/>
        </w:rPr>
      </w:pPr>
      <w:r>
        <w:rPr>
          <w:rFonts w:asciiTheme="majorBidi" w:hAnsiTheme="majorBidi" w:cstheme="majorBidi"/>
          <w:sz w:val="24"/>
          <w:szCs w:val="24"/>
        </w:rPr>
        <w:t xml:space="preserve"> </w:t>
      </w:r>
      <w:r w:rsidR="00280594">
        <w:rPr>
          <w:rFonts w:asciiTheme="majorBidi" w:hAnsiTheme="majorBidi" w:cstheme="majorBidi"/>
          <w:sz w:val="24"/>
          <w:szCs w:val="24"/>
        </w:rPr>
        <w:t>Column (3) provides</w:t>
      </w:r>
      <w:r w:rsidR="002D1053">
        <w:rPr>
          <w:rFonts w:asciiTheme="majorBidi" w:hAnsiTheme="majorBidi" w:cstheme="majorBidi"/>
          <w:sz w:val="24"/>
          <w:szCs w:val="24"/>
        </w:rPr>
        <w:t xml:space="preserve"> similar but more detailed results as to how the odds of prodefendant outcome</w:t>
      </w:r>
      <w:r w:rsidR="0084772D">
        <w:rPr>
          <w:rFonts w:asciiTheme="majorBidi" w:hAnsiTheme="majorBidi" w:cstheme="majorBidi"/>
          <w:sz w:val="24"/>
          <w:szCs w:val="24"/>
        </w:rPr>
        <w:t xml:space="preserve"> increases as Democratic judges are added to the panel. Compared to the default of Column (3) which is an RRR panel, </w:t>
      </w:r>
      <w:r w:rsidR="000728E6">
        <w:rPr>
          <w:rFonts w:asciiTheme="majorBidi" w:hAnsiTheme="majorBidi" w:cstheme="majorBidi"/>
          <w:sz w:val="24"/>
          <w:szCs w:val="24"/>
        </w:rPr>
        <w:t xml:space="preserve">a move to RRD </w:t>
      </w:r>
      <w:r w:rsidR="00460CCF">
        <w:rPr>
          <w:rFonts w:asciiTheme="majorBidi" w:hAnsiTheme="majorBidi" w:cstheme="majorBidi"/>
          <w:sz w:val="24"/>
          <w:szCs w:val="24"/>
        </w:rPr>
        <w:t xml:space="preserve">panel </w:t>
      </w:r>
      <w:r w:rsidR="000728E6">
        <w:rPr>
          <w:rFonts w:asciiTheme="majorBidi" w:hAnsiTheme="majorBidi" w:cstheme="majorBidi"/>
          <w:sz w:val="24"/>
          <w:szCs w:val="24"/>
        </w:rPr>
        <w:t xml:space="preserve">(adding just one Democratic judge and retaining a Republican majority) the coefficient </w:t>
      </w:r>
      <w:r w:rsidR="00BC73F4">
        <w:rPr>
          <w:rFonts w:asciiTheme="majorBidi" w:hAnsiTheme="majorBidi" w:cstheme="majorBidi"/>
          <w:sz w:val="24"/>
          <w:szCs w:val="24"/>
        </w:rPr>
        <w:t xml:space="preserve">is positive but is small and not statistically significant; </w:t>
      </w:r>
      <w:r w:rsidR="00460CCF">
        <w:rPr>
          <w:rFonts w:asciiTheme="majorBidi" w:hAnsiTheme="majorBidi" w:cstheme="majorBidi"/>
          <w:sz w:val="24"/>
          <w:szCs w:val="24"/>
        </w:rPr>
        <w:t xml:space="preserve">a move to an RDD panel (adding two Democratic judges and shifting the panel to Democratic majority) has a </w:t>
      </w:r>
      <w:r w:rsidR="00436461">
        <w:rPr>
          <w:rFonts w:asciiTheme="majorBidi" w:hAnsiTheme="majorBidi" w:cstheme="majorBidi"/>
          <w:sz w:val="24"/>
          <w:szCs w:val="24"/>
        </w:rPr>
        <w:t xml:space="preserve">much larger coefficient of 0.024 that is statistically significant at the 1% level; and a move to a DDD panel (shifting the panel to Democratic-judges-only) </w:t>
      </w:r>
      <w:r w:rsidR="00011847">
        <w:rPr>
          <w:rFonts w:asciiTheme="majorBidi" w:hAnsiTheme="majorBidi" w:cstheme="majorBidi"/>
          <w:sz w:val="24"/>
          <w:szCs w:val="24"/>
        </w:rPr>
        <w:t xml:space="preserve">further doubles the coefficient to 0.048% and retains a 1% significance level. </w:t>
      </w:r>
      <w:r w:rsidR="00F061A7">
        <w:rPr>
          <w:rFonts w:asciiTheme="majorBidi" w:hAnsiTheme="majorBidi" w:cstheme="majorBidi"/>
          <w:sz w:val="24"/>
          <w:szCs w:val="24"/>
        </w:rPr>
        <w:t xml:space="preserve">To get a sense of the magnitude, compared to </w:t>
      </w:r>
      <w:r w:rsidR="00792D33">
        <w:rPr>
          <w:rFonts w:asciiTheme="majorBidi" w:hAnsiTheme="majorBidi" w:cstheme="majorBidi"/>
          <w:sz w:val="24"/>
          <w:szCs w:val="24"/>
        </w:rPr>
        <w:t xml:space="preserve">the level of </w:t>
      </w:r>
      <w:r w:rsidR="00F061A7">
        <w:rPr>
          <w:rFonts w:asciiTheme="majorBidi" w:hAnsiTheme="majorBidi" w:cstheme="majorBidi"/>
          <w:sz w:val="24"/>
          <w:szCs w:val="24"/>
        </w:rPr>
        <w:t xml:space="preserve">a </w:t>
      </w:r>
      <w:r w:rsidR="00792D33">
        <w:rPr>
          <w:rFonts w:asciiTheme="majorBidi" w:hAnsiTheme="majorBidi" w:cstheme="majorBidi"/>
          <w:sz w:val="24"/>
          <w:szCs w:val="24"/>
        </w:rPr>
        <w:t>0.1</w:t>
      </w:r>
      <w:r w:rsidR="00FE0706">
        <w:rPr>
          <w:rFonts w:asciiTheme="majorBidi" w:hAnsiTheme="majorBidi" w:cstheme="majorBidi"/>
          <w:sz w:val="24"/>
          <w:szCs w:val="24"/>
        </w:rPr>
        <w:t>1</w:t>
      </w:r>
      <w:r w:rsidR="00792D33">
        <w:rPr>
          <w:rFonts w:asciiTheme="majorBidi" w:hAnsiTheme="majorBidi" w:cstheme="majorBidi"/>
          <w:sz w:val="24"/>
          <w:szCs w:val="24"/>
        </w:rPr>
        <w:t xml:space="preserve"> </w:t>
      </w:r>
      <w:r w:rsidR="00F061A7">
        <w:rPr>
          <w:rFonts w:asciiTheme="majorBidi" w:hAnsiTheme="majorBidi" w:cstheme="majorBidi"/>
          <w:sz w:val="24"/>
          <w:szCs w:val="24"/>
        </w:rPr>
        <w:t>fraction of</w:t>
      </w:r>
      <w:r w:rsidR="00792D33">
        <w:rPr>
          <w:rFonts w:asciiTheme="majorBidi" w:hAnsiTheme="majorBidi" w:cstheme="majorBidi"/>
          <w:sz w:val="24"/>
          <w:szCs w:val="24"/>
        </w:rPr>
        <w:t xml:space="preserve"> prodefendant outcomes RRR panels, a switch to a DDD panel increases the odds of a prodefendant outcome by a very large </w:t>
      </w:r>
      <w:r w:rsidR="00FE0706">
        <w:rPr>
          <w:rFonts w:asciiTheme="majorBidi" w:hAnsiTheme="majorBidi" w:cstheme="majorBidi"/>
          <w:sz w:val="24"/>
          <w:szCs w:val="24"/>
        </w:rPr>
        <w:t>44</w:t>
      </w:r>
      <w:r w:rsidR="00792D33">
        <w:rPr>
          <w:rFonts w:asciiTheme="majorBidi" w:hAnsiTheme="majorBidi" w:cstheme="majorBidi"/>
          <w:sz w:val="24"/>
          <w:szCs w:val="24"/>
        </w:rPr>
        <w:t>%.</w:t>
      </w:r>
    </w:p>
    <w:p w14:paraId="66ED95BA" w14:textId="0D800174" w:rsidR="004F6D71" w:rsidRPr="00866391" w:rsidRDefault="004F6D71" w:rsidP="00A13C7B">
      <w:pPr>
        <w:spacing w:after="120" w:line="360" w:lineRule="auto"/>
        <w:ind w:firstLine="450"/>
        <w:jc w:val="both"/>
        <w:rPr>
          <w:rFonts w:asciiTheme="majorBidi" w:hAnsiTheme="majorBidi" w:cstheme="majorBidi"/>
          <w:sz w:val="17"/>
          <w:szCs w:val="17"/>
        </w:rPr>
      </w:pPr>
      <w:r w:rsidRPr="00866391">
        <w:rPr>
          <w:rFonts w:asciiTheme="majorBidi" w:hAnsiTheme="majorBidi" w:cstheme="majorBidi"/>
          <w:sz w:val="17"/>
          <w:szCs w:val="17"/>
        </w:rPr>
        <w:br w:type="page"/>
      </w:r>
    </w:p>
    <w:p w14:paraId="02C47518" w14:textId="77777777" w:rsidR="00134F91" w:rsidRDefault="00134F91" w:rsidP="00BD1C17">
      <w:pPr>
        <w:kinsoku w:val="0"/>
        <w:overflowPunct w:val="0"/>
        <w:autoSpaceDE w:val="0"/>
        <w:autoSpaceDN w:val="0"/>
        <w:adjustRightInd w:val="0"/>
        <w:spacing w:before="1" w:after="0" w:line="240" w:lineRule="auto"/>
        <w:rPr>
          <w:rFonts w:ascii="Times New Roman" w:hAnsi="Times New Roman" w:cs="Times New Roman"/>
          <w:sz w:val="17"/>
          <w:szCs w:val="17"/>
        </w:rPr>
      </w:pPr>
    </w:p>
    <w:p w14:paraId="010654DD" w14:textId="7E6B9A29" w:rsidR="00BD1C17" w:rsidRPr="00BD1C17" w:rsidRDefault="00BD1C17" w:rsidP="00BD1C17">
      <w:pPr>
        <w:kinsoku w:val="0"/>
        <w:overflowPunct w:val="0"/>
        <w:autoSpaceDE w:val="0"/>
        <w:autoSpaceDN w:val="0"/>
        <w:adjustRightInd w:val="0"/>
        <w:spacing w:after="0" w:line="311" w:lineRule="exact"/>
        <w:ind w:left="1765"/>
        <w:rPr>
          <w:rFonts w:asciiTheme="majorBidi" w:hAnsiTheme="majorBidi" w:cstheme="majorBidi"/>
          <w:sz w:val="24"/>
          <w:szCs w:val="24"/>
        </w:rPr>
      </w:pPr>
      <w:r w:rsidRPr="00BD1C17">
        <w:rPr>
          <w:rFonts w:asciiTheme="majorBidi" w:hAnsiTheme="majorBidi" w:cstheme="majorBidi"/>
          <w:sz w:val="24"/>
          <w:szCs w:val="24"/>
        </w:rPr>
        <w:t xml:space="preserve">Table </w:t>
      </w:r>
      <w:r w:rsidR="0076188D">
        <w:rPr>
          <w:rFonts w:asciiTheme="majorBidi" w:hAnsiTheme="majorBidi" w:cstheme="majorBidi"/>
          <w:sz w:val="24"/>
          <w:szCs w:val="24"/>
        </w:rPr>
        <w:t>5</w:t>
      </w:r>
      <w:r w:rsidRPr="00BD1C17">
        <w:rPr>
          <w:rFonts w:asciiTheme="majorBidi" w:hAnsiTheme="majorBidi" w:cstheme="majorBidi"/>
          <w:sz w:val="24"/>
          <w:szCs w:val="24"/>
        </w:rPr>
        <w:t>: Defendant Win and Panel Political Composition</w:t>
      </w:r>
    </w:p>
    <w:p w14:paraId="6AF25575" w14:textId="77777777" w:rsidR="00BD1C17" w:rsidRPr="00BD1C17" w:rsidRDefault="00BD1C17" w:rsidP="00BD1C17">
      <w:pPr>
        <w:kinsoku w:val="0"/>
        <w:overflowPunct w:val="0"/>
        <w:autoSpaceDE w:val="0"/>
        <w:autoSpaceDN w:val="0"/>
        <w:adjustRightInd w:val="0"/>
        <w:spacing w:before="14" w:after="0" w:line="240" w:lineRule="auto"/>
        <w:rPr>
          <w:rFonts w:ascii="Euclid" w:hAnsi="Euclid" w:cs="Euclid"/>
          <w:sz w:val="11"/>
          <w:szCs w:val="11"/>
        </w:rPr>
      </w:pPr>
    </w:p>
    <w:tbl>
      <w:tblPr>
        <w:tblW w:w="0" w:type="auto"/>
        <w:tblInd w:w="791" w:type="dxa"/>
        <w:tblLayout w:type="fixed"/>
        <w:tblCellMar>
          <w:left w:w="0" w:type="dxa"/>
          <w:right w:w="0" w:type="dxa"/>
        </w:tblCellMar>
        <w:tblLook w:val="0000" w:firstRow="0" w:lastRow="0" w:firstColumn="0" w:lastColumn="0" w:noHBand="0" w:noVBand="0"/>
      </w:tblPr>
      <w:tblGrid>
        <w:gridCol w:w="1902"/>
        <w:gridCol w:w="1174"/>
        <w:gridCol w:w="951"/>
        <w:gridCol w:w="1230"/>
        <w:gridCol w:w="1134"/>
        <w:gridCol w:w="1304"/>
      </w:tblGrid>
      <w:tr w:rsidR="00BD1C17" w:rsidRPr="00BD1C17" w14:paraId="6CAEC6AB" w14:textId="77777777">
        <w:trPr>
          <w:trHeight w:val="388"/>
        </w:trPr>
        <w:tc>
          <w:tcPr>
            <w:tcW w:w="1902" w:type="dxa"/>
            <w:vMerge w:val="restart"/>
            <w:tcBorders>
              <w:top w:val="double" w:sz="2" w:space="0" w:color="000000"/>
              <w:left w:val="none" w:sz="6" w:space="0" w:color="auto"/>
              <w:bottom w:val="single" w:sz="4" w:space="0" w:color="000000"/>
              <w:right w:val="none" w:sz="6" w:space="0" w:color="auto"/>
            </w:tcBorders>
          </w:tcPr>
          <w:p w14:paraId="6DC56C07"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c>
          <w:tcPr>
            <w:tcW w:w="1174" w:type="dxa"/>
            <w:tcBorders>
              <w:top w:val="double" w:sz="2" w:space="0" w:color="000000"/>
              <w:left w:val="none" w:sz="6" w:space="0" w:color="auto"/>
              <w:bottom w:val="none" w:sz="6" w:space="0" w:color="auto"/>
              <w:right w:val="none" w:sz="6" w:space="0" w:color="auto"/>
            </w:tcBorders>
          </w:tcPr>
          <w:p w14:paraId="49CE3DF5" w14:textId="77777777" w:rsidR="00BD1C17" w:rsidRPr="00BD1C17" w:rsidRDefault="00BD1C17" w:rsidP="00BD1C17">
            <w:pPr>
              <w:kinsoku w:val="0"/>
              <w:overflowPunct w:val="0"/>
              <w:autoSpaceDE w:val="0"/>
              <w:autoSpaceDN w:val="0"/>
              <w:adjustRightInd w:val="0"/>
              <w:spacing w:before="33" w:after="0" w:line="240" w:lineRule="auto"/>
              <w:ind w:left="100" w:right="100"/>
              <w:jc w:val="center"/>
              <w:rPr>
                <w:rFonts w:ascii="Euclid" w:hAnsi="Euclid" w:cs="Euclid"/>
                <w:spacing w:val="-4"/>
                <w:sz w:val="20"/>
                <w:szCs w:val="20"/>
              </w:rPr>
            </w:pPr>
            <w:r w:rsidRPr="00BD1C17">
              <w:rPr>
                <w:rFonts w:ascii="Euclid" w:hAnsi="Euclid" w:cs="Euclid"/>
                <w:spacing w:val="-4"/>
                <w:sz w:val="20"/>
                <w:szCs w:val="20"/>
              </w:rPr>
              <w:t>(1)</w:t>
            </w:r>
          </w:p>
        </w:tc>
        <w:tc>
          <w:tcPr>
            <w:tcW w:w="951" w:type="dxa"/>
            <w:tcBorders>
              <w:top w:val="double" w:sz="2" w:space="0" w:color="000000"/>
              <w:left w:val="none" w:sz="6" w:space="0" w:color="auto"/>
              <w:bottom w:val="none" w:sz="6" w:space="0" w:color="auto"/>
              <w:right w:val="none" w:sz="6" w:space="0" w:color="auto"/>
            </w:tcBorders>
          </w:tcPr>
          <w:p w14:paraId="082BABC3" w14:textId="77777777" w:rsidR="00BD1C17" w:rsidRPr="00BD1C17" w:rsidRDefault="00BD1C17" w:rsidP="00BD1C17">
            <w:pPr>
              <w:kinsoku w:val="0"/>
              <w:overflowPunct w:val="0"/>
              <w:autoSpaceDE w:val="0"/>
              <w:autoSpaceDN w:val="0"/>
              <w:adjustRightInd w:val="0"/>
              <w:spacing w:before="33" w:after="0" w:line="240" w:lineRule="auto"/>
              <w:ind w:left="333" w:right="333"/>
              <w:jc w:val="center"/>
              <w:rPr>
                <w:rFonts w:ascii="Euclid" w:hAnsi="Euclid" w:cs="Euclid"/>
                <w:spacing w:val="-4"/>
                <w:sz w:val="20"/>
                <w:szCs w:val="20"/>
              </w:rPr>
            </w:pPr>
            <w:r w:rsidRPr="00BD1C17">
              <w:rPr>
                <w:rFonts w:ascii="Euclid" w:hAnsi="Euclid" w:cs="Euclid"/>
                <w:spacing w:val="-4"/>
                <w:sz w:val="20"/>
                <w:szCs w:val="20"/>
              </w:rPr>
              <w:t>(2)</w:t>
            </w:r>
          </w:p>
        </w:tc>
        <w:tc>
          <w:tcPr>
            <w:tcW w:w="1230" w:type="dxa"/>
            <w:tcBorders>
              <w:top w:val="double" w:sz="2" w:space="0" w:color="000000"/>
              <w:left w:val="none" w:sz="6" w:space="0" w:color="auto"/>
              <w:bottom w:val="none" w:sz="6" w:space="0" w:color="auto"/>
              <w:right w:val="none" w:sz="6" w:space="0" w:color="auto"/>
            </w:tcBorders>
          </w:tcPr>
          <w:p w14:paraId="0E68FD75" w14:textId="77777777" w:rsidR="00BD1C17" w:rsidRPr="00BD1C17" w:rsidRDefault="00BD1C17" w:rsidP="00BD1C17">
            <w:pPr>
              <w:kinsoku w:val="0"/>
              <w:overflowPunct w:val="0"/>
              <w:autoSpaceDE w:val="0"/>
              <w:autoSpaceDN w:val="0"/>
              <w:adjustRightInd w:val="0"/>
              <w:spacing w:before="33" w:after="0" w:line="240" w:lineRule="auto"/>
              <w:ind w:left="100" w:right="99"/>
              <w:jc w:val="center"/>
              <w:rPr>
                <w:rFonts w:ascii="Euclid" w:hAnsi="Euclid" w:cs="Euclid"/>
                <w:spacing w:val="-4"/>
                <w:sz w:val="20"/>
                <w:szCs w:val="20"/>
              </w:rPr>
            </w:pPr>
            <w:r w:rsidRPr="00BD1C17">
              <w:rPr>
                <w:rFonts w:ascii="Euclid" w:hAnsi="Euclid" w:cs="Euclid"/>
                <w:spacing w:val="-4"/>
                <w:sz w:val="20"/>
                <w:szCs w:val="20"/>
              </w:rPr>
              <w:t>(3)</w:t>
            </w:r>
          </w:p>
        </w:tc>
        <w:tc>
          <w:tcPr>
            <w:tcW w:w="1134" w:type="dxa"/>
            <w:tcBorders>
              <w:top w:val="double" w:sz="2" w:space="0" w:color="000000"/>
              <w:left w:val="none" w:sz="6" w:space="0" w:color="auto"/>
              <w:bottom w:val="none" w:sz="6" w:space="0" w:color="auto"/>
              <w:right w:val="none" w:sz="6" w:space="0" w:color="auto"/>
            </w:tcBorders>
          </w:tcPr>
          <w:p w14:paraId="6CD02C05" w14:textId="77777777" w:rsidR="00BD1C17" w:rsidRPr="00BD1C17" w:rsidRDefault="00BD1C17" w:rsidP="00BD1C17">
            <w:pPr>
              <w:kinsoku w:val="0"/>
              <w:overflowPunct w:val="0"/>
              <w:autoSpaceDE w:val="0"/>
              <w:autoSpaceDN w:val="0"/>
              <w:adjustRightInd w:val="0"/>
              <w:spacing w:before="33" w:after="0" w:line="240" w:lineRule="auto"/>
              <w:ind w:left="104" w:right="103"/>
              <w:jc w:val="center"/>
              <w:rPr>
                <w:rFonts w:ascii="Euclid" w:hAnsi="Euclid" w:cs="Euclid"/>
                <w:spacing w:val="-4"/>
                <w:sz w:val="20"/>
                <w:szCs w:val="20"/>
              </w:rPr>
            </w:pPr>
            <w:r w:rsidRPr="00BD1C17">
              <w:rPr>
                <w:rFonts w:ascii="Euclid" w:hAnsi="Euclid" w:cs="Euclid"/>
                <w:spacing w:val="-4"/>
                <w:sz w:val="20"/>
                <w:szCs w:val="20"/>
              </w:rPr>
              <w:t>(4)</w:t>
            </w:r>
          </w:p>
        </w:tc>
        <w:tc>
          <w:tcPr>
            <w:tcW w:w="1304" w:type="dxa"/>
            <w:tcBorders>
              <w:top w:val="double" w:sz="2" w:space="0" w:color="000000"/>
              <w:left w:val="none" w:sz="6" w:space="0" w:color="auto"/>
              <w:bottom w:val="none" w:sz="6" w:space="0" w:color="auto"/>
              <w:right w:val="none" w:sz="6" w:space="0" w:color="auto"/>
            </w:tcBorders>
          </w:tcPr>
          <w:p w14:paraId="0935B6B4" w14:textId="77777777" w:rsidR="00BD1C17" w:rsidRPr="00BD1C17" w:rsidRDefault="00BD1C17" w:rsidP="00BD1C17">
            <w:pPr>
              <w:kinsoku w:val="0"/>
              <w:overflowPunct w:val="0"/>
              <w:autoSpaceDE w:val="0"/>
              <w:autoSpaceDN w:val="0"/>
              <w:adjustRightInd w:val="0"/>
              <w:spacing w:before="33" w:after="0" w:line="240" w:lineRule="auto"/>
              <w:ind w:left="99" w:right="99"/>
              <w:jc w:val="center"/>
              <w:rPr>
                <w:rFonts w:ascii="Euclid" w:hAnsi="Euclid" w:cs="Euclid"/>
                <w:spacing w:val="-4"/>
                <w:sz w:val="20"/>
                <w:szCs w:val="20"/>
              </w:rPr>
            </w:pPr>
            <w:r w:rsidRPr="00BD1C17">
              <w:rPr>
                <w:rFonts w:ascii="Euclid" w:hAnsi="Euclid" w:cs="Euclid"/>
                <w:spacing w:val="-4"/>
                <w:sz w:val="20"/>
                <w:szCs w:val="20"/>
              </w:rPr>
              <w:t>(5)</w:t>
            </w:r>
          </w:p>
        </w:tc>
      </w:tr>
      <w:tr w:rsidR="00BD1C17" w:rsidRPr="00BD1C17" w14:paraId="574005BC" w14:textId="77777777">
        <w:trPr>
          <w:trHeight w:val="348"/>
        </w:trPr>
        <w:tc>
          <w:tcPr>
            <w:tcW w:w="1902" w:type="dxa"/>
            <w:vMerge/>
            <w:tcBorders>
              <w:top w:val="nil"/>
              <w:left w:val="none" w:sz="6" w:space="0" w:color="auto"/>
              <w:bottom w:val="single" w:sz="4" w:space="0" w:color="000000"/>
              <w:right w:val="none" w:sz="6" w:space="0" w:color="auto"/>
            </w:tcBorders>
          </w:tcPr>
          <w:p w14:paraId="08087F91" w14:textId="77777777" w:rsidR="00BD1C17" w:rsidRPr="00BD1C17" w:rsidRDefault="00BD1C17" w:rsidP="00BD1C17">
            <w:pPr>
              <w:kinsoku w:val="0"/>
              <w:overflowPunct w:val="0"/>
              <w:autoSpaceDE w:val="0"/>
              <w:autoSpaceDN w:val="0"/>
              <w:adjustRightInd w:val="0"/>
              <w:spacing w:before="14" w:after="0" w:line="240" w:lineRule="auto"/>
              <w:rPr>
                <w:rFonts w:ascii="Euclid" w:hAnsi="Euclid" w:cs="Euclid"/>
                <w:sz w:val="2"/>
                <w:szCs w:val="2"/>
              </w:rPr>
            </w:pPr>
          </w:p>
        </w:tc>
        <w:tc>
          <w:tcPr>
            <w:tcW w:w="1174" w:type="dxa"/>
            <w:tcBorders>
              <w:top w:val="none" w:sz="6" w:space="0" w:color="auto"/>
              <w:left w:val="none" w:sz="6" w:space="0" w:color="auto"/>
              <w:bottom w:val="none" w:sz="6" w:space="0" w:color="auto"/>
              <w:right w:val="none" w:sz="6" w:space="0" w:color="auto"/>
            </w:tcBorders>
          </w:tcPr>
          <w:p w14:paraId="49129173" w14:textId="7619CBFF" w:rsidR="00BD1C17" w:rsidRPr="00BD1C17" w:rsidRDefault="00BD1C17" w:rsidP="00BD1C17">
            <w:pPr>
              <w:kinsoku w:val="0"/>
              <w:overflowPunct w:val="0"/>
              <w:autoSpaceDE w:val="0"/>
              <w:autoSpaceDN w:val="0"/>
              <w:adjustRightInd w:val="0"/>
              <w:spacing w:after="0" w:line="326" w:lineRule="exact"/>
              <w:ind w:left="100" w:right="100"/>
              <w:jc w:val="center"/>
              <w:rPr>
                <w:rFonts w:ascii="Euclid" w:hAnsi="Euclid" w:cs="Euclid"/>
                <w:sz w:val="20"/>
                <w:szCs w:val="20"/>
              </w:rPr>
            </w:pPr>
          </w:p>
        </w:tc>
        <w:tc>
          <w:tcPr>
            <w:tcW w:w="951" w:type="dxa"/>
            <w:tcBorders>
              <w:top w:val="none" w:sz="6" w:space="0" w:color="auto"/>
              <w:left w:val="none" w:sz="6" w:space="0" w:color="auto"/>
              <w:bottom w:val="none" w:sz="6" w:space="0" w:color="auto"/>
              <w:right w:val="none" w:sz="6" w:space="0" w:color="auto"/>
            </w:tcBorders>
          </w:tcPr>
          <w:p w14:paraId="6862D652"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c>
          <w:tcPr>
            <w:tcW w:w="1230" w:type="dxa"/>
            <w:tcBorders>
              <w:top w:val="none" w:sz="6" w:space="0" w:color="auto"/>
              <w:left w:val="none" w:sz="6" w:space="0" w:color="auto"/>
              <w:bottom w:val="none" w:sz="6" w:space="0" w:color="auto"/>
              <w:right w:val="none" w:sz="6" w:space="0" w:color="auto"/>
            </w:tcBorders>
          </w:tcPr>
          <w:p w14:paraId="32C4F70F" w14:textId="38991027" w:rsidR="00BD1C17" w:rsidRPr="00BD1C17" w:rsidRDefault="00BD1C17" w:rsidP="00BD1C17">
            <w:pPr>
              <w:kinsoku w:val="0"/>
              <w:overflowPunct w:val="0"/>
              <w:autoSpaceDE w:val="0"/>
              <w:autoSpaceDN w:val="0"/>
              <w:adjustRightInd w:val="0"/>
              <w:spacing w:after="0" w:line="326" w:lineRule="exact"/>
              <w:ind w:left="100" w:right="100"/>
              <w:jc w:val="center"/>
              <w:rPr>
                <w:rFonts w:ascii="Euclid" w:hAnsi="Euclid" w:cs="Euclid"/>
                <w:sz w:val="20"/>
                <w:szCs w:val="20"/>
              </w:rPr>
            </w:pPr>
          </w:p>
        </w:tc>
        <w:tc>
          <w:tcPr>
            <w:tcW w:w="1134" w:type="dxa"/>
            <w:tcBorders>
              <w:top w:val="none" w:sz="6" w:space="0" w:color="auto"/>
              <w:left w:val="none" w:sz="6" w:space="0" w:color="auto"/>
              <w:bottom w:val="none" w:sz="6" w:space="0" w:color="auto"/>
              <w:right w:val="none" w:sz="6" w:space="0" w:color="auto"/>
            </w:tcBorders>
          </w:tcPr>
          <w:p w14:paraId="4946CA2C" w14:textId="77777777" w:rsidR="00BD1C17" w:rsidRPr="00BD1C17" w:rsidRDefault="00BD1C17" w:rsidP="00BD1C17">
            <w:pPr>
              <w:kinsoku w:val="0"/>
              <w:overflowPunct w:val="0"/>
              <w:autoSpaceDE w:val="0"/>
              <w:autoSpaceDN w:val="0"/>
              <w:adjustRightInd w:val="0"/>
              <w:spacing w:after="0" w:line="326" w:lineRule="exact"/>
              <w:ind w:left="104" w:right="104"/>
              <w:jc w:val="center"/>
              <w:rPr>
                <w:rFonts w:ascii="Euclid" w:hAnsi="Euclid" w:cs="Euclid"/>
                <w:spacing w:val="-2"/>
                <w:sz w:val="20"/>
                <w:szCs w:val="20"/>
              </w:rPr>
            </w:pPr>
            <w:r w:rsidRPr="00BD1C17">
              <w:rPr>
                <w:rFonts w:ascii="Euclid" w:hAnsi="Euclid" w:cs="Euclid"/>
                <w:spacing w:val="-2"/>
                <w:sz w:val="20"/>
                <w:szCs w:val="20"/>
              </w:rPr>
              <w:t>Defendant</w:t>
            </w:r>
          </w:p>
        </w:tc>
        <w:tc>
          <w:tcPr>
            <w:tcW w:w="1304" w:type="dxa"/>
            <w:tcBorders>
              <w:top w:val="none" w:sz="6" w:space="0" w:color="auto"/>
              <w:left w:val="none" w:sz="6" w:space="0" w:color="auto"/>
              <w:bottom w:val="none" w:sz="6" w:space="0" w:color="auto"/>
              <w:right w:val="none" w:sz="6" w:space="0" w:color="auto"/>
            </w:tcBorders>
          </w:tcPr>
          <w:p w14:paraId="3BC6DE04" w14:textId="77777777" w:rsidR="00BD1C17" w:rsidRPr="00BD1C17" w:rsidRDefault="00BD1C17" w:rsidP="00BD1C17">
            <w:pPr>
              <w:kinsoku w:val="0"/>
              <w:overflowPunct w:val="0"/>
              <w:autoSpaceDE w:val="0"/>
              <w:autoSpaceDN w:val="0"/>
              <w:adjustRightInd w:val="0"/>
              <w:spacing w:after="0" w:line="326" w:lineRule="exact"/>
              <w:ind w:left="99" w:right="99"/>
              <w:jc w:val="center"/>
              <w:rPr>
                <w:rFonts w:ascii="Euclid" w:hAnsi="Euclid" w:cs="Euclid"/>
                <w:spacing w:val="-2"/>
                <w:sz w:val="20"/>
                <w:szCs w:val="20"/>
              </w:rPr>
            </w:pPr>
            <w:r w:rsidRPr="00BD1C17">
              <w:rPr>
                <w:rFonts w:ascii="Euclid" w:hAnsi="Euclid" w:cs="Euclid"/>
                <w:spacing w:val="-2"/>
                <w:sz w:val="20"/>
                <w:szCs w:val="20"/>
              </w:rPr>
              <w:t>Government</w:t>
            </w:r>
          </w:p>
        </w:tc>
      </w:tr>
      <w:tr w:rsidR="00BD1C17" w:rsidRPr="00BD1C17" w14:paraId="6B8518A0" w14:textId="77777777">
        <w:trPr>
          <w:trHeight w:val="330"/>
        </w:trPr>
        <w:tc>
          <w:tcPr>
            <w:tcW w:w="1902" w:type="dxa"/>
            <w:vMerge/>
            <w:tcBorders>
              <w:top w:val="nil"/>
              <w:left w:val="none" w:sz="6" w:space="0" w:color="auto"/>
              <w:bottom w:val="single" w:sz="4" w:space="0" w:color="000000"/>
              <w:right w:val="none" w:sz="6" w:space="0" w:color="auto"/>
            </w:tcBorders>
          </w:tcPr>
          <w:p w14:paraId="4E28E5AC" w14:textId="77777777" w:rsidR="00BD1C17" w:rsidRPr="00BD1C17" w:rsidRDefault="00BD1C17" w:rsidP="00BD1C17">
            <w:pPr>
              <w:kinsoku w:val="0"/>
              <w:overflowPunct w:val="0"/>
              <w:autoSpaceDE w:val="0"/>
              <w:autoSpaceDN w:val="0"/>
              <w:adjustRightInd w:val="0"/>
              <w:spacing w:before="14" w:after="0" w:line="240" w:lineRule="auto"/>
              <w:rPr>
                <w:rFonts w:ascii="Euclid" w:hAnsi="Euclid" w:cs="Euclid"/>
                <w:sz w:val="2"/>
                <w:szCs w:val="2"/>
              </w:rPr>
            </w:pPr>
          </w:p>
        </w:tc>
        <w:tc>
          <w:tcPr>
            <w:tcW w:w="1174" w:type="dxa"/>
            <w:tcBorders>
              <w:top w:val="none" w:sz="6" w:space="0" w:color="auto"/>
              <w:left w:val="none" w:sz="6" w:space="0" w:color="auto"/>
              <w:bottom w:val="single" w:sz="4" w:space="0" w:color="000000"/>
              <w:right w:val="none" w:sz="6" w:space="0" w:color="auto"/>
            </w:tcBorders>
          </w:tcPr>
          <w:p w14:paraId="11FFD24D" w14:textId="6409FCDB" w:rsidR="00BD1C17" w:rsidRPr="00BD1C17" w:rsidRDefault="000520D7" w:rsidP="00BD1C17">
            <w:pPr>
              <w:kinsoku w:val="0"/>
              <w:overflowPunct w:val="0"/>
              <w:autoSpaceDE w:val="0"/>
              <w:autoSpaceDN w:val="0"/>
              <w:adjustRightInd w:val="0"/>
              <w:spacing w:after="0" w:line="311" w:lineRule="exact"/>
              <w:ind w:left="100" w:right="100"/>
              <w:jc w:val="center"/>
              <w:rPr>
                <w:rFonts w:ascii="Euclid" w:hAnsi="Euclid" w:cs="Euclid"/>
                <w:spacing w:val="-2"/>
                <w:sz w:val="20"/>
                <w:szCs w:val="20"/>
              </w:rPr>
            </w:pPr>
            <w:r>
              <w:rPr>
                <w:rFonts w:ascii="Euclid" w:hAnsi="Euclid" w:cs="Euclid"/>
                <w:spacing w:val="-2"/>
                <w:sz w:val="20"/>
                <w:szCs w:val="20"/>
              </w:rPr>
              <w:t>All Cases</w:t>
            </w:r>
          </w:p>
        </w:tc>
        <w:tc>
          <w:tcPr>
            <w:tcW w:w="951" w:type="dxa"/>
            <w:tcBorders>
              <w:top w:val="none" w:sz="6" w:space="0" w:color="auto"/>
              <w:left w:val="none" w:sz="6" w:space="0" w:color="auto"/>
              <w:bottom w:val="single" w:sz="4" w:space="0" w:color="000000"/>
              <w:right w:val="none" w:sz="6" w:space="0" w:color="auto"/>
            </w:tcBorders>
          </w:tcPr>
          <w:p w14:paraId="1E338D25" w14:textId="11311BB1" w:rsidR="00BD1C17" w:rsidRPr="00BD1C17" w:rsidRDefault="000520D7" w:rsidP="00BD1C17">
            <w:pPr>
              <w:kinsoku w:val="0"/>
              <w:overflowPunct w:val="0"/>
              <w:autoSpaceDE w:val="0"/>
              <w:autoSpaceDN w:val="0"/>
              <w:adjustRightInd w:val="0"/>
              <w:spacing w:after="0" w:line="311" w:lineRule="exact"/>
              <w:ind w:right="116"/>
              <w:jc w:val="right"/>
              <w:rPr>
                <w:rFonts w:ascii="Euclid" w:hAnsi="Euclid" w:cs="Euclid"/>
                <w:spacing w:val="-2"/>
                <w:sz w:val="20"/>
                <w:szCs w:val="20"/>
              </w:rPr>
            </w:pPr>
            <w:r>
              <w:rPr>
                <w:rFonts w:ascii="Euclid" w:hAnsi="Euclid" w:cs="Euclid"/>
                <w:spacing w:val="-2"/>
                <w:sz w:val="20"/>
                <w:szCs w:val="20"/>
              </w:rPr>
              <w:t>All Cases</w:t>
            </w:r>
          </w:p>
        </w:tc>
        <w:tc>
          <w:tcPr>
            <w:tcW w:w="1230" w:type="dxa"/>
            <w:tcBorders>
              <w:top w:val="none" w:sz="6" w:space="0" w:color="auto"/>
              <w:left w:val="none" w:sz="6" w:space="0" w:color="auto"/>
              <w:bottom w:val="single" w:sz="4" w:space="0" w:color="000000"/>
              <w:right w:val="none" w:sz="6" w:space="0" w:color="auto"/>
            </w:tcBorders>
          </w:tcPr>
          <w:p w14:paraId="3ABA8E9F" w14:textId="71D2A1E0" w:rsidR="00BD1C17" w:rsidRPr="00BD1C17" w:rsidRDefault="000520D7" w:rsidP="00BD1C17">
            <w:pPr>
              <w:kinsoku w:val="0"/>
              <w:overflowPunct w:val="0"/>
              <w:autoSpaceDE w:val="0"/>
              <w:autoSpaceDN w:val="0"/>
              <w:adjustRightInd w:val="0"/>
              <w:spacing w:after="0" w:line="311" w:lineRule="exact"/>
              <w:ind w:left="100" w:right="98"/>
              <w:jc w:val="center"/>
              <w:rPr>
                <w:rFonts w:ascii="Euclid" w:hAnsi="Euclid" w:cs="Euclid"/>
                <w:spacing w:val="-2"/>
                <w:sz w:val="20"/>
                <w:szCs w:val="20"/>
              </w:rPr>
            </w:pPr>
            <w:r>
              <w:rPr>
                <w:rFonts w:ascii="Euclid" w:hAnsi="Euclid" w:cs="Euclid"/>
                <w:spacing w:val="-2"/>
                <w:sz w:val="20"/>
                <w:szCs w:val="20"/>
              </w:rPr>
              <w:t>All Cases</w:t>
            </w:r>
          </w:p>
        </w:tc>
        <w:tc>
          <w:tcPr>
            <w:tcW w:w="1134" w:type="dxa"/>
            <w:tcBorders>
              <w:top w:val="none" w:sz="6" w:space="0" w:color="auto"/>
              <w:left w:val="none" w:sz="6" w:space="0" w:color="auto"/>
              <w:bottom w:val="single" w:sz="4" w:space="0" w:color="000000"/>
              <w:right w:val="none" w:sz="6" w:space="0" w:color="auto"/>
            </w:tcBorders>
          </w:tcPr>
          <w:p w14:paraId="21FE3CDC" w14:textId="77777777" w:rsidR="00BD1C17" w:rsidRPr="00BD1C17" w:rsidRDefault="00BD1C17" w:rsidP="00BD1C17">
            <w:pPr>
              <w:kinsoku w:val="0"/>
              <w:overflowPunct w:val="0"/>
              <w:autoSpaceDE w:val="0"/>
              <w:autoSpaceDN w:val="0"/>
              <w:adjustRightInd w:val="0"/>
              <w:spacing w:after="0" w:line="311" w:lineRule="exact"/>
              <w:ind w:left="104" w:right="103"/>
              <w:jc w:val="center"/>
              <w:rPr>
                <w:rFonts w:ascii="Euclid" w:hAnsi="Euclid" w:cs="Euclid"/>
                <w:spacing w:val="-2"/>
                <w:sz w:val="20"/>
                <w:szCs w:val="20"/>
              </w:rPr>
            </w:pPr>
            <w:r w:rsidRPr="00BD1C17">
              <w:rPr>
                <w:rFonts w:ascii="Euclid" w:hAnsi="Euclid" w:cs="Euclid"/>
                <w:spacing w:val="-2"/>
                <w:sz w:val="20"/>
                <w:szCs w:val="20"/>
              </w:rPr>
              <w:t>Initiated</w:t>
            </w:r>
          </w:p>
        </w:tc>
        <w:tc>
          <w:tcPr>
            <w:tcW w:w="1304" w:type="dxa"/>
            <w:tcBorders>
              <w:top w:val="none" w:sz="6" w:space="0" w:color="auto"/>
              <w:left w:val="none" w:sz="6" w:space="0" w:color="auto"/>
              <w:bottom w:val="single" w:sz="4" w:space="0" w:color="000000"/>
              <w:right w:val="none" w:sz="6" w:space="0" w:color="auto"/>
            </w:tcBorders>
          </w:tcPr>
          <w:p w14:paraId="31718842" w14:textId="4126F253" w:rsidR="00BD1C17" w:rsidRPr="00BD1C17" w:rsidRDefault="00BD1C17" w:rsidP="00BD1C17">
            <w:pPr>
              <w:kinsoku w:val="0"/>
              <w:overflowPunct w:val="0"/>
              <w:autoSpaceDE w:val="0"/>
              <w:autoSpaceDN w:val="0"/>
              <w:adjustRightInd w:val="0"/>
              <w:spacing w:after="0" w:line="311" w:lineRule="exact"/>
              <w:ind w:left="98" w:right="99"/>
              <w:jc w:val="center"/>
              <w:rPr>
                <w:rFonts w:ascii="Euclid" w:hAnsi="Euclid" w:cs="Euclid"/>
                <w:spacing w:val="-2"/>
                <w:sz w:val="20"/>
                <w:szCs w:val="20"/>
              </w:rPr>
            </w:pPr>
            <w:r w:rsidRPr="00BD1C17">
              <w:rPr>
                <w:rFonts w:ascii="Euclid" w:hAnsi="Euclid" w:cs="Euclid"/>
                <w:spacing w:val="-2"/>
                <w:sz w:val="20"/>
                <w:szCs w:val="20"/>
              </w:rPr>
              <w:t>Initiated</w:t>
            </w:r>
          </w:p>
        </w:tc>
      </w:tr>
      <w:tr w:rsidR="00BD1C17" w:rsidRPr="00BD1C17" w14:paraId="20AE5845" w14:textId="77777777">
        <w:trPr>
          <w:trHeight w:val="379"/>
        </w:trPr>
        <w:tc>
          <w:tcPr>
            <w:tcW w:w="1902" w:type="dxa"/>
            <w:tcBorders>
              <w:top w:val="single" w:sz="4" w:space="0" w:color="000000"/>
              <w:left w:val="none" w:sz="6" w:space="0" w:color="auto"/>
              <w:bottom w:val="none" w:sz="6" w:space="0" w:color="auto"/>
              <w:right w:val="none" w:sz="6" w:space="0" w:color="auto"/>
            </w:tcBorders>
          </w:tcPr>
          <w:p w14:paraId="6C0EAB5B" w14:textId="527A06FC" w:rsidR="00BD1C17" w:rsidRPr="00BD1C17" w:rsidRDefault="00BD1C17" w:rsidP="00BD1C17">
            <w:pPr>
              <w:kinsoku w:val="0"/>
              <w:overflowPunct w:val="0"/>
              <w:autoSpaceDE w:val="0"/>
              <w:autoSpaceDN w:val="0"/>
              <w:adjustRightInd w:val="0"/>
              <w:spacing w:before="19" w:after="0" w:line="240" w:lineRule="auto"/>
              <w:ind w:left="119"/>
              <w:rPr>
                <w:rFonts w:ascii="Euclid" w:hAnsi="Euclid" w:cs="Euclid"/>
                <w:spacing w:val="-2"/>
                <w:sz w:val="20"/>
                <w:szCs w:val="20"/>
              </w:rPr>
            </w:pPr>
            <w:r w:rsidRPr="00BD1C17">
              <w:rPr>
                <w:rFonts w:ascii="Euclid" w:hAnsi="Euclid" w:cs="Euclid"/>
                <w:spacing w:val="-2"/>
                <w:sz w:val="20"/>
                <w:szCs w:val="20"/>
              </w:rPr>
              <w:t>N</w:t>
            </w:r>
            <w:r w:rsidR="000520D7">
              <w:rPr>
                <w:rFonts w:ascii="Euclid" w:hAnsi="Euclid" w:cs="Euclid"/>
                <w:spacing w:val="-2"/>
                <w:sz w:val="20"/>
                <w:szCs w:val="20"/>
              </w:rPr>
              <w:t xml:space="preserve">umber </w:t>
            </w:r>
            <w:r w:rsidRPr="00BD1C17">
              <w:rPr>
                <w:rFonts w:ascii="Euclid" w:hAnsi="Euclid" w:cs="Euclid"/>
                <w:spacing w:val="-2"/>
                <w:sz w:val="20"/>
                <w:szCs w:val="20"/>
              </w:rPr>
              <w:t>Dem</w:t>
            </w:r>
            <w:r w:rsidR="000520D7">
              <w:rPr>
                <w:rFonts w:ascii="Euclid" w:hAnsi="Euclid" w:cs="Euclid"/>
                <w:spacing w:val="-2"/>
                <w:sz w:val="20"/>
                <w:szCs w:val="20"/>
              </w:rPr>
              <w:t>ocrats</w:t>
            </w:r>
          </w:p>
        </w:tc>
        <w:tc>
          <w:tcPr>
            <w:tcW w:w="1174" w:type="dxa"/>
            <w:tcBorders>
              <w:top w:val="single" w:sz="4" w:space="0" w:color="000000"/>
              <w:left w:val="none" w:sz="6" w:space="0" w:color="auto"/>
              <w:bottom w:val="none" w:sz="6" w:space="0" w:color="auto"/>
              <w:right w:val="none" w:sz="6" w:space="0" w:color="auto"/>
            </w:tcBorders>
          </w:tcPr>
          <w:p w14:paraId="09D0BE5E" w14:textId="77777777" w:rsidR="00BD1C17" w:rsidRPr="00BD1C17" w:rsidRDefault="00BD1C17" w:rsidP="00BD1C17">
            <w:pPr>
              <w:kinsoku w:val="0"/>
              <w:overflowPunct w:val="0"/>
              <w:autoSpaceDE w:val="0"/>
              <w:autoSpaceDN w:val="0"/>
              <w:adjustRightInd w:val="0"/>
              <w:spacing w:before="19" w:after="0" w:line="240" w:lineRule="auto"/>
              <w:ind w:left="92" w:right="100"/>
              <w:jc w:val="center"/>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0.015</w:t>
            </w:r>
            <w:r w:rsidRPr="00BD1C17">
              <w:rPr>
                <w:rFonts w:ascii="Lucida Sans Unicode" w:hAnsi="Lucida Sans Unicode" w:cs="Lucida Sans Unicode"/>
                <w:spacing w:val="-2"/>
                <w:sz w:val="20"/>
                <w:szCs w:val="20"/>
                <w:vertAlign w:val="superscript"/>
              </w:rPr>
              <w:t>∗∗∗</w:t>
            </w:r>
          </w:p>
        </w:tc>
        <w:tc>
          <w:tcPr>
            <w:tcW w:w="951" w:type="dxa"/>
            <w:tcBorders>
              <w:top w:val="single" w:sz="4" w:space="0" w:color="000000"/>
              <w:left w:val="none" w:sz="6" w:space="0" w:color="auto"/>
              <w:bottom w:val="none" w:sz="6" w:space="0" w:color="auto"/>
              <w:right w:val="none" w:sz="6" w:space="0" w:color="auto"/>
            </w:tcBorders>
          </w:tcPr>
          <w:p w14:paraId="2823DCD0"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c>
          <w:tcPr>
            <w:tcW w:w="1230" w:type="dxa"/>
            <w:tcBorders>
              <w:top w:val="single" w:sz="4" w:space="0" w:color="000000"/>
              <w:left w:val="none" w:sz="6" w:space="0" w:color="auto"/>
              <w:bottom w:val="none" w:sz="6" w:space="0" w:color="auto"/>
              <w:right w:val="none" w:sz="6" w:space="0" w:color="auto"/>
            </w:tcBorders>
          </w:tcPr>
          <w:p w14:paraId="02DAE80A"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c>
          <w:tcPr>
            <w:tcW w:w="1134" w:type="dxa"/>
            <w:tcBorders>
              <w:top w:val="single" w:sz="4" w:space="0" w:color="000000"/>
              <w:left w:val="none" w:sz="6" w:space="0" w:color="auto"/>
              <w:bottom w:val="none" w:sz="6" w:space="0" w:color="auto"/>
              <w:right w:val="none" w:sz="6" w:space="0" w:color="auto"/>
            </w:tcBorders>
          </w:tcPr>
          <w:p w14:paraId="23047E42"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c>
          <w:tcPr>
            <w:tcW w:w="1304" w:type="dxa"/>
            <w:tcBorders>
              <w:top w:val="single" w:sz="4" w:space="0" w:color="000000"/>
              <w:left w:val="none" w:sz="6" w:space="0" w:color="auto"/>
              <w:bottom w:val="none" w:sz="6" w:space="0" w:color="auto"/>
              <w:right w:val="none" w:sz="6" w:space="0" w:color="auto"/>
            </w:tcBorders>
          </w:tcPr>
          <w:p w14:paraId="7E6C6D69"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r>
      <w:tr w:rsidR="00BD1C17" w:rsidRPr="00BD1C17" w14:paraId="2AECCD39" w14:textId="77777777">
        <w:trPr>
          <w:trHeight w:val="441"/>
        </w:trPr>
        <w:tc>
          <w:tcPr>
            <w:tcW w:w="1902" w:type="dxa"/>
            <w:tcBorders>
              <w:top w:val="none" w:sz="6" w:space="0" w:color="auto"/>
              <w:left w:val="none" w:sz="6" w:space="0" w:color="auto"/>
              <w:bottom w:val="none" w:sz="6" w:space="0" w:color="auto"/>
              <w:right w:val="none" w:sz="6" w:space="0" w:color="auto"/>
            </w:tcBorders>
          </w:tcPr>
          <w:p w14:paraId="5B7D241C"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c>
          <w:tcPr>
            <w:tcW w:w="1174" w:type="dxa"/>
            <w:tcBorders>
              <w:top w:val="none" w:sz="6" w:space="0" w:color="auto"/>
              <w:left w:val="none" w:sz="6" w:space="0" w:color="auto"/>
              <w:bottom w:val="none" w:sz="6" w:space="0" w:color="auto"/>
              <w:right w:val="none" w:sz="6" w:space="0" w:color="auto"/>
            </w:tcBorders>
          </w:tcPr>
          <w:p w14:paraId="6ADF263A" w14:textId="77777777" w:rsidR="00BD1C17" w:rsidRPr="00BD1C17" w:rsidRDefault="00BD1C17" w:rsidP="00BD1C17">
            <w:pPr>
              <w:kinsoku w:val="0"/>
              <w:overflowPunct w:val="0"/>
              <w:autoSpaceDE w:val="0"/>
              <w:autoSpaceDN w:val="0"/>
              <w:adjustRightInd w:val="0"/>
              <w:spacing w:after="0" w:line="331" w:lineRule="exact"/>
              <w:ind w:left="100" w:right="100"/>
              <w:jc w:val="center"/>
              <w:rPr>
                <w:rFonts w:ascii="Euclid" w:hAnsi="Euclid" w:cs="Euclid"/>
                <w:spacing w:val="-2"/>
                <w:sz w:val="20"/>
                <w:szCs w:val="20"/>
              </w:rPr>
            </w:pPr>
            <w:r w:rsidRPr="00BD1C17">
              <w:rPr>
                <w:rFonts w:ascii="Euclid" w:hAnsi="Euclid" w:cs="Euclid"/>
                <w:spacing w:val="-2"/>
                <w:sz w:val="20"/>
                <w:szCs w:val="20"/>
              </w:rPr>
              <w:t>(0.002)</w:t>
            </w:r>
          </w:p>
        </w:tc>
        <w:tc>
          <w:tcPr>
            <w:tcW w:w="951" w:type="dxa"/>
            <w:tcBorders>
              <w:top w:val="none" w:sz="6" w:space="0" w:color="auto"/>
              <w:left w:val="none" w:sz="6" w:space="0" w:color="auto"/>
              <w:bottom w:val="none" w:sz="6" w:space="0" w:color="auto"/>
              <w:right w:val="none" w:sz="6" w:space="0" w:color="auto"/>
            </w:tcBorders>
          </w:tcPr>
          <w:p w14:paraId="0DCA7A08"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c>
          <w:tcPr>
            <w:tcW w:w="1230" w:type="dxa"/>
            <w:tcBorders>
              <w:top w:val="none" w:sz="6" w:space="0" w:color="auto"/>
              <w:left w:val="none" w:sz="6" w:space="0" w:color="auto"/>
              <w:bottom w:val="none" w:sz="6" w:space="0" w:color="auto"/>
              <w:right w:val="none" w:sz="6" w:space="0" w:color="auto"/>
            </w:tcBorders>
          </w:tcPr>
          <w:p w14:paraId="2BB83B3B"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c>
          <w:tcPr>
            <w:tcW w:w="1134" w:type="dxa"/>
            <w:tcBorders>
              <w:top w:val="none" w:sz="6" w:space="0" w:color="auto"/>
              <w:left w:val="none" w:sz="6" w:space="0" w:color="auto"/>
              <w:bottom w:val="none" w:sz="6" w:space="0" w:color="auto"/>
              <w:right w:val="none" w:sz="6" w:space="0" w:color="auto"/>
            </w:tcBorders>
          </w:tcPr>
          <w:p w14:paraId="55C5145C"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c>
          <w:tcPr>
            <w:tcW w:w="1304" w:type="dxa"/>
            <w:tcBorders>
              <w:top w:val="none" w:sz="6" w:space="0" w:color="auto"/>
              <w:left w:val="none" w:sz="6" w:space="0" w:color="auto"/>
              <w:bottom w:val="none" w:sz="6" w:space="0" w:color="auto"/>
              <w:right w:val="none" w:sz="6" w:space="0" w:color="auto"/>
            </w:tcBorders>
          </w:tcPr>
          <w:p w14:paraId="04AAE3AB"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r>
      <w:tr w:rsidR="00BD1C17" w:rsidRPr="00BD1C17" w14:paraId="0286A745" w14:textId="77777777">
        <w:trPr>
          <w:trHeight w:val="474"/>
        </w:trPr>
        <w:tc>
          <w:tcPr>
            <w:tcW w:w="1902" w:type="dxa"/>
            <w:tcBorders>
              <w:top w:val="none" w:sz="6" w:space="0" w:color="auto"/>
              <w:left w:val="none" w:sz="6" w:space="0" w:color="auto"/>
              <w:bottom w:val="none" w:sz="6" w:space="0" w:color="auto"/>
              <w:right w:val="none" w:sz="6" w:space="0" w:color="auto"/>
            </w:tcBorders>
          </w:tcPr>
          <w:p w14:paraId="5989BCBA" w14:textId="77777777" w:rsidR="00BD1C17" w:rsidRPr="00BD1C17" w:rsidRDefault="00BD1C17" w:rsidP="00BD1C17">
            <w:pPr>
              <w:kinsoku w:val="0"/>
              <w:overflowPunct w:val="0"/>
              <w:autoSpaceDE w:val="0"/>
              <w:autoSpaceDN w:val="0"/>
              <w:adjustRightInd w:val="0"/>
              <w:spacing w:before="114" w:after="0" w:line="240" w:lineRule="auto"/>
              <w:ind w:left="119"/>
              <w:rPr>
                <w:rFonts w:ascii="Euclid" w:hAnsi="Euclid" w:cs="Euclid"/>
                <w:sz w:val="20"/>
                <w:szCs w:val="20"/>
              </w:rPr>
            </w:pPr>
            <w:r w:rsidRPr="00BD1C17">
              <w:rPr>
                <w:rFonts w:ascii="Euclid" w:hAnsi="Euclid" w:cs="Euclid"/>
                <w:sz w:val="20"/>
                <w:szCs w:val="20"/>
              </w:rPr>
              <w:t>Majority Dem</w:t>
            </w:r>
          </w:p>
        </w:tc>
        <w:tc>
          <w:tcPr>
            <w:tcW w:w="1174" w:type="dxa"/>
            <w:tcBorders>
              <w:top w:val="none" w:sz="6" w:space="0" w:color="auto"/>
              <w:left w:val="none" w:sz="6" w:space="0" w:color="auto"/>
              <w:bottom w:val="none" w:sz="6" w:space="0" w:color="auto"/>
              <w:right w:val="none" w:sz="6" w:space="0" w:color="auto"/>
            </w:tcBorders>
          </w:tcPr>
          <w:p w14:paraId="141A0E2E"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c>
          <w:tcPr>
            <w:tcW w:w="951" w:type="dxa"/>
            <w:tcBorders>
              <w:top w:val="none" w:sz="6" w:space="0" w:color="auto"/>
              <w:left w:val="none" w:sz="6" w:space="0" w:color="auto"/>
              <w:bottom w:val="none" w:sz="6" w:space="0" w:color="auto"/>
              <w:right w:val="none" w:sz="6" w:space="0" w:color="auto"/>
            </w:tcBorders>
          </w:tcPr>
          <w:p w14:paraId="469EAFAF" w14:textId="77777777" w:rsidR="00BD1C17" w:rsidRPr="00BD1C17" w:rsidRDefault="00BD1C17" w:rsidP="00BD1C17">
            <w:pPr>
              <w:kinsoku w:val="0"/>
              <w:overflowPunct w:val="0"/>
              <w:autoSpaceDE w:val="0"/>
              <w:autoSpaceDN w:val="0"/>
              <w:adjustRightInd w:val="0"/>
              <w:spacing w:before="114" w:after="0" w:line="240" w:lineRule="auto"/>
              <w:ind w:right="129"/>
              <w:jc w:val="right"/>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0.024</w:t>
            </w:r>
            <w:r w:rsidRPr="00BD1C17">
              <w:rPr>
                <w:rFonts w:ascii="Lucida Sans Unicode" w:hAnsi="Lucida Sans Unicode" w:cs="Lucida Sans Unicode"/>
                <w:spacing w:val="-2"/>
                <w:sz w:val="20"/>
                <w:szCs w:val="20"/>
                <w:vertAlign w:val="superscript"/>
              </w:rPr>
              <w:t>∗∗∗</w:t>
            </w:r>
          </w:p>
        </w:tc>
        <w:tc>
          <w:tcPr>
            <w:tcW w:w="1230" w:type="dxa"/>
            <w:tcBorders>
              <w:top w:val="none" w:sz="6" w:space="0" w:color="auto"/>
              <w:left w:val="none" w:sz="6" w:space="0" w:color="auto"/>
              <w:bottom w:val="none" w:sz="6" w:space="0" w:color="auto"/>
              <w:right w:val="none" w:sz="6" w:space="0" w:color="auto"/>
            </w:tcBorders>
          </w:tcPr>
          <w:p w14:paraId="50C6B686"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c>
          <w:tcPr>
            <w:tcW w:w="1134" w:type="dxa"/>
            <w:tcBorders>
              <w:top w:val="none" w:sz="6" w:space="0" w:color="auto"/>
              <w:left w:val="none" w:sz="6" w:space="0" w:color="auto"/>
              <w:bottom w:val="none" w:sz="6" w:space="0" w:color="auto"/>
              <w:right w:val="none" w:sz="6" w:space="0" w:color="auto"/>
            </w:tcBorders>
          </w:tcPr>
          <w:p w14:paraId="7255065F"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c>
          <w:tcPr>
            <w:tcW w:w="1304" w:type="dxa"/>
            <w:tcBorders>
              <w:top w:val="none" w:sz="6" w:space="0" w:color="auto"/>
              <w:left w:val="none" w:sz="6" w:space="0" w:color="auto"/>
              <w:bottom w:val="none" w:sz="6" w:space="0" w:color="auto"/>
              <w:right w:val="none" w:sz="6" w:space="0" w:color="auto"/>
            </w:tcBorders>
          </w:tcPr>
          <w:p w14:paraId="42E26698"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r>
      <w:tr w:rsidR="00BD1C17" w:rsidRPr="00BD1C17" w14:paraId="18FDD46B" w14:textId="77777777">
        <w:trPr>
          <w:trHeight w:val="458"/>
        </w:trPr>
        <w:tc>
          <w:tcPr>
            <w:tcW w:w="1902" w:type="dxa"/>
            <w:tcBorders>
              <w:top w:val="none" w:sz="6" w:space="0" w:color="auto"/>
              <w:left w:val="none" w:sz="6" w:space="0" w:color="auto"/>
              <w:bottom w:val="none" w:sz="6" w:space="0" w:color="auto"/>
              <w:right w:val="none" w:sz="6" w:space="0" w:color="auto"/>
            </w:tcBorders>
          </w:tcPr>
          <w:p w14:paraId="02CBB193"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c>
          <w:tcPr>
            <w:tcW w:w="1174" w:type="dxa"/>
            <w:tcBorders>
              <w:top w:val="none" w:sz="6" w:space="0" w:color="auto"/>
              <w:left w:val="none" w:sz="6" w:space="0" w:color="auto"/>
              <w:bottom w:val="none" w:sz="6" w:space="0" w:color="auto"/>
              <w:right w:val="none" w:sz="6" w:space="0" w:color="auto"/>
            </w:tcBorders>
          </w:tcPr>
          <w:p w14:paraId="5B680E06"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c>
          <w:tcPr>
            <w:tcW w:w="951" w:type="dxa"/>
            <w:tcBorders>
              <w:top w:val="none" w:sz="6" w:space="0" w:color="auto"/>
              <w:left w:val="none" w:sz="6" w:space="0" w:color="auto"/>
              <w:bottom w:val="none" w:sz="6" w:space="0" w:color="auto"/>
              <w:right w:val="none" w:sz="6" w:space="0" w:color="auto"/>
            </w:tcBorders>
          </w:tcPr>
          <w:p w14:paraId="41EEE0CE" w14:textId="77777777" w:rsidR="00BD1C17" w:rsidRPr="00BD1C17" w:rsidRDefault="00BD1C17" w:rsidP="00BD1C17">
            <w:pPr>
              <w:kinsoku w:val="0"/>
              <w:overflowPunct w:val="0"/>
              <w:autoSpaceDE w:val="0"/>
              <w:autoSpaceDN w:val="0"/>
              <w:adjustRightInd w:val="0"/>
              <w:spacing w:after="0" w:line="331" w:lineRule="exact"/>
              <w:ind w:right="168"/>
              <w:jc w:val="right"/>
              <w:rPr>
                <w:rFonts w:ascii="Euclid" w:hAnsi="Euclid" w:cs="Euclid"/>
                <w:spacing w:val="-2"/>
                <w:sz w:val="20"/>
                <w:szCs w:val="20"/>
              </w:rPr>
            </w:pPr>
            <w:r w:rsidRPr="00BD1C17">
              <w:rPr>
                <w:rFonts w:ascii="Euclid" w:hAnsi="Euclid" w:cs="Euclid"/>
                <w:spacing w:val="-2"/>
                <w:sz w:val="20"/>
                <w:szCs w:val="20"/>
              </w:rPr>
              <w:t>(0.003)</w:t>
            </w:r>
          </w:p>
        </w:tc>
        <w:tc>
          <w:tcPr>
            <w:tcW w:w="1230" w:type="dxa"/>
            <w:tcBorders>
              <w:top w:val="none" w:sz="6" w:space="0" w:color="auto"/>
              <w:left w:val="none" w:sz="6" w:space="0" w:color="auto"/>
              <w:bottom w:val="none" w:sz="6" w:space="0" w:color="auto"/>
              <w:right w:val="none" w:sz="6" w:space="0" w:color="auto"/>
            </w:tcBorders>
          </w:tcPr>
          <w:p w14:paraId="04330EDD"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c>
          <w:tcPr>
            <w:tcW w:w="1134" w:type="dxa"/>
            <w:tcBorders>
              <w:top w:val="none" w:sz="6" w:space="0" w:color="auto"/>
              <w:left w:val="none" w:sz="6" w:space="0" w:color="auto"/>
              <w:bottom w:val="none" w:sz="6" w:space="0" w:color="auto"/>
              <w:right w:val="none" w:sz="6" w:space="0" w:color="auto"/>
            </w:tcBorders>
          </w:tcPr>
          <w:p w14:paraId="35CDE776"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c>
          <w:tcPr>
            <w:tcW w:w="1304" w:type="dxa"/>
            <w:tcBorders>
              <w:top w:val="none" w:sz="6" w:space="0" w:color="auto"/>
              <w:left w:val="none" w:sz="6" w:space="0" w:color="auto"/>
              <w:bottom w:val="none" w:sz="6" w:space="0" w:color="auto"/>
              <w:right w:val="none" w:sz="6" w:space="0" w:color="auto"/>
            </w:tcBorders>
          </w:tcPr>
          <w:p w14:paraId="37357608"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r>
      <w:tr w:rsidR="00BD1C17" w:rsidRPr="00BD1C17" w14:paraId="5F0EB565" w14:textId="77777777">
        <w:trPr>
          <w:trHeight w:val="458"/>
        </w:trPr>
        <w:tc>
          <w:tcPr>
            <w:tcW w:w="1902" w:type="dxa"/>
            <w:tcBorders>
              <w:top w:val="none" w:sz="6" w:space="0" w:color="auto"/>
              <w:left w:val="none" w:sz="6" w:space="0" w:color="auto"/>
              <w:bottom w:val="none" w:sz="6" w:space="0" w:color="auto"/>
              <w:right w:val="none" w:sz="6" w:space="0" w:color="auto"/>
            </w:tcBorders>
          </w:tcPr>
          <w:p w14:paraId="5CCAD999" w14:textId="77777777" w:rsidR="00BD1C17" w:rsidRPr="00BD1C17" w:rsidRDefault="00BD1C17" w:rsidP="00BD1C17">
            <w:pPr>
              <w:kinsoku w:val="0"/>
              <w:overflowPunct w:val="0"/>
              <w:autoSpaceDE w:val="0"/>
              <w:autoSpaceDN w:val="0"/>
              <w:adjustRightInd w:val="0"/>
              <w:spacing w:before="98" w:after="0" w:line="240" w:lineRule="auto"/>
              <w:ind w:left="119"/>
              <w:rPr>
                <w:rFonts w:ascii="Euclid" w:hAnsi="Euclid" w:cs="Euclid"/>
                <w:spacing w:val="-4"/>
                <w:sz w:val="20"/>
                <w:szCs w:val="20"/>
              </w:rPr>
            </w:pPr>
            <w:r w:rsidRPr="00BD1C17">
              <w:rPr>
                <w:rFonts w:ascii="Euclid" w:hAnsi="Euclid" w:cs="Euclid"/>
                <w:spacing w:val="-4"/>
                <w:sz w:val="20"/>
                <w:szCs w:val="20"/>
              </w:rPr>
              <w:t>RRD</w:t>
            </w:r>
          </w:p>
        </w:tc>
        <w:tc>
          <w:tcPr>
            <w:tcW w:w="1174" w:type="dxa"/>
            <w:tcBorders>
              <w:top w:val="none" w:sz="6" w:space="0" w:color="auto"/>
              <w:left w:val="none" w:sz="6" w:space="0" w:color="auto"/>
              <w:bottom w:val="none" w:sz="6" w:space="0" w:color="auto"/>
              <w:right w:val="none" w:sz="6" w:space="0" w:color="auto"/>
            </w:tcBorders>
          </w:tcPr>
          <w:p w14:paraId="6D0A9C6B"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c>
          <w:tcPr>
            <w:tcW w:w="951" w:type="dxa"/>
            <w:tcBorders>
              <w:top w:val="none" w:sz="6" w:space="0" w:color="auto"/>
              <w:left w:val="none" w:sz="6" w:space="0" w:color="auto"/>
              <w:bottom w:val="none" w:sz="6" w:space="0" w:color="auto"/>
              <w:right w:val="none" w:sz="6" w:space="0" w:color="auto"/>
            </w:tcBorders>
          </w:tcPr>
          <w:p w14:paraId="4B1FACE8"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c>
          <w:tcPr>
            <w:tcW w:w="1230" w:type="dxa"/>
            <w:tcBorders>
              <w:top w:val="none" w:sz="6" w:space="0" w:color="auto"/>
              <w:left w:val="none" w:sz="6" w:space="0" w:color="auto"/>
              <w:bottom w:val="none" w:sz="6" w:space="0" w:color="auto"/>
              <w:right w:val="none" w:sz="6" w:space="0" w:color="auto"/>
            </w:tcBorders>
          </w:tcPr>
          <w:p w14:paraId="193919D3" w14:textId="77777777" w:rsidR="00BD1C17" w:rsidRPr="00BD1C17" w:rsidRDefault="00BD1C17" w:rsidP="00BD1C17">
            <w:pPr>
              <w:kinsoku w:val="0"/>
              <w:overflowPunct w:val="0"/>
              <w:autoSpaceDE w:val="0"/>
              <w:autoSpaceDN w:val="0"/>
              <w:adjustRightInd w:val="0"/>
              <w:spacing w:before="98" w:after="0" w:line="240" w:lineRule="auto"/>
              <w:ind w:left="100" w:right="100"/>
              <w:jc w:val="center"/>
              <w:rPr>
                <w:rFonts w:ascii="Euclid" w:hAnsi="Euclid" w:cs="Euclid"/>
                <w:spacing w:val="-2"/>
                <w:sz w:val="20"/>
                <w:szCs w:val="20"/>
              </w:rPr>
            </w:pPr>
            <w:r w:rsidRPr="00BD1C17">
              <w:rPr>
                <w:rFonts w:ascii="Euclid" w:hAnsi="Euclid" w:cs="Euclid"/>
                <w:spacing w:val="-2"/>
                <w:sz w:val="20"/>
                <w:szCs w:val="20"/>
              </w:rPr>
              <w:t>0.005</w:t>
            </w:r>
          </w:p>
        </w:tc>
        <w:tc>
          <w:tcPr>
            <w:tcW w:w="1134" w:type="dxa"/>
            <w:tcBorders>
              <w:top w:val="none" w:sz="6" w:space="0" w:color="auto"/>
              <w:left w:val="none" w:sz="6" w:space="0" w:color="auto"/>
              <w:bottom w:val="none" w:sz="6" w:space="0" w:color="auto"/>
              <w:right w:val="none" w:sz="6" w:space="0" w:color="auto"/>
            </w:tcBorders>
          </w:tcPr>
          <w:p w14:paraId="3EA06974" w14:textId="77777777" w:rsidR="00BD1C17" w:rsidRPr="00BD1C17" w:rsidRDefault="00BD1C17" w:rsidP="00BD1C17">
            <w:pPr>
              <w:kinsoku w:val="0"/>
              <w:overflowPunct w:val="0"/>
              <w:autoSpaceDE w:val="0"/>
              <w:autoSpaceDN w:val="0"/>
              <w:adjustRightInd w:val="0"/>
              <w:spacing w:before="98" w:after="0" w:line="240" w:lineRule="auto"/>
              <w:ind w:left="104" w:right="104"/>
              <w:jc w:val="center"/>
              <w:rPr>
                <w:rFonts w:ascii="Euclid" w:hAnsi="Euclid" w:cs="Euclid"/>
                <w:spacing w:val="-2"/>
                <w:sz w:val="20"/>
                <w:szCs w:val="20"/>
              </w:rPr>
            </w:pPr>
            <w:r w:rsidRPr="00BD1C17">
              <w:rPr>
                <w:rFonts w:ascii="Euclid" w:hAnsi="Euclid" w:cs="Euclid"/>
                <w:spacing w:val="-2"/>
                <w:sz w:val="20"/>
                <w:szCs w:val="20"/>
              </w:rPr>
              <w:t>0.005</w:t>
            </w:r>
          </w:p>
        </w:tc>
        <w:tc>
          <w:tcPr>
            <w:tcW w:w="1304" w:type="dxa"/>
            <w:tcBorders>
              <w:top w:val="none" w:sz="6" w:space="0" w:color="auto"/>
              <w:left w:val="none" w:sz="6" w:space="0" w:color="auto"/>
              <w:bottom w:val="none" w:sz="6" w:space="0" w:color="auto"/>
              <w:right w:val="none" w:sz="6" w:space="0" w:color="auto"/>
            </w:tcBorders>
          </w:tcPr>
          <w:p w14:paraId="2AFA4AA7" w14:textId="77777777" w:rsidR="00BD1C17" w:rsidRPr="00BD1C17" w:rsidRDefault="00BD1C17" w:rsidP="00BD1C17">
            <w:pPr>
              <w:kinsoku w:val="0"/>
              <w:overflowPunct w:val="0"/>
              <w:autoSpaceDE w:val="0"/>
              <w:autoSpaceDN w:val="0"/>
              <w:adjustRightInd w:val="0"/>
              <w:spacing w:before="98" w:after="0" w:line="240" w:lineRule="auto"/>
              <w:ind w:left="99" w:right="99"/>
              <w:jc w:val="center"/>
              <w:rPr>
                <w:rFonts w:ascii="Euclid" w:hAnsi="Euclid" w:cs="Euclid"/>
                <w:spacing w:val="-2"/>
                <w:sz w:val="20"/>
                <w:szCs w:val="20"/>
              </w:rPr>
            </w:pPr>
            <w:r w:rsidRPr="00BD1C17">
              <w:rPr>
                <w:rFonts w:ascii="Euclid" w:hAnsi="Euclid" w:cs="Euclid"/>
                <w:spacing w:val="-2"/>
                <w:sz w:val="20"/>
                <w:szCs w:val="20"/>
              </w:rPr>
              <w:t>0.014</w:t>
            </w:r>
          </w:p>
        </w:tc>
      </w:tr>
      <w:tr w:rsidR="00BD1C17" w:rsidRPr="00BD1C17" w14:paraId="77750AAC" w14:textId="77777777">
        <w:trPr>
          <w:trHeight w:val="441"/>
        </w:trPr>
        <w:tc>
          <w:tcPr>
            <w:tcW w:w="1902" w:type="dxa"/>
            <w:tcBorders>
              <w:top w:val="none" w:sz="6" w:space="0" w:color="auto"/>
              <w:left w:val="none" w:sz="6" w:space="0" w:color="auto"/>
              <w:bottom w:val="none" w:sz="6" w:space="0" w:color="auto"/>
              <w:right w:val="none" w:sz="6" w:space="0" w:color="auto"/>
            </w:tcBorders>
          </w:tcPr>
          <w:p w14:paraId="5251BD88"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c>
          <w:tcPr>
            <w:tcW w:w="1174" w:type="dxa"/>
            <w:tcBorders>
              <w:top w:val="none" w:sz="6" w:space="0" w:color="auto"/>
              <w:left w:val="none" w:sz="6" w:space="0" w:color="auto"/>
              <w:bottom w:val="none" w:sz="6" w:space="0" w:color="auto"/>
              <w:right w:val="none" w:sz="6" w:space="0" w:color="auto"/>
            </w:tcBorders>
          </w:tcPr>
          <w:p w14:paraId="24E0DC14"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c>
          <w:tcPr>
            <w:tcW w:w="951" w:type="dxa"/>
            <w:tcBorders>
              <w:top w:val="none" w:sz="6" w:space="0" w:color="auto"/>
              <w:left w:val="none" w:sz="6" w:space="0" w:color="auto"/>
              <w:bottom w:val="none" w:sz="6" w:space="0" w:color="auto"/>
              <w:right w:val="none" w:sz="6" w:space="0" w:color="auto"/>
            </w:tcBorders>
          </w:tcPr>
          <w:p w14:paraId="6167C4A7"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c>
          <w:tcPr>
            <w:tcW w:w="1230" w:type="dxa"/>
            <w:tcBorders>
              <w:top w:val="none" w:sz="6" w:space="0" w:color="auto"/>
              <w:left w:val="none" w:sz="6" w:space="0" w:color="auto"/>
              <w:bottom w:val="none" w:sz="6" w:space="0" w:color="auto"/>
              <w:right w:val="none" w:sz="6" w:space="0" w:color="auto"/>
            </w:tcBorders>
          </w:tcPr>
          <w:p w14:paraId="64F02F41" w14:textId="77777777" w:rsidR="00BD1C17" w:rsidRPr="00BD1C17" w:rsidRDefault="00BD1C17" w:rsidP="00BD1C17">
            <w:pPr>
              <w:kinsoku w:val="0"/>
              <w:overflowPunct w:val="0"/>
              <w:autoSpaceDE w:val="0"/>
              <w:autoSpaceDN w:val="0"/>
              <w:adjustRightInd w:val="0"/>
              <w:spacing w:after="0" w:line="331" w:lineRule="exact"/>
              <w:ind w:left="100" w:right="99"/>
              <w:jc w:val="center"/>
              <w:rPr>
                <w:rFonts w:ascii="Euclid" w:hAnsi="Euclid" w:cs="Euclid"/>
                <w:spacing w:val="-2"/>
                <w:sz w:val="20"/>
                <w:szCs w:val="20"/>
              </w:rPr>
            </w:pPr>
            <w:r w:rsidRPr="00BD1C17">
              <w:rPr>
                <w:rFonts w:ascii="Euclid" w:hAnsi="Euclid" w:cs="Euclid"/>
                <w:spacing w:val="-2"/>
                <w:sz w:val="20"/>
                <w:szCs w:val="20"/>
              </w:rPr>
              <w:t>(0.004)</w:t>
            </w:r>
          </w:p>
        </w:tc>
        <w:tc>
          <w:tcPr>
            <w:tcW w:w="1134" w:type="dxa"/>
            <w:tcBorders>
              <w:top w:val="none" w:sz="6" w:space="0" w:color="auto"/>
              <w:left w:val="none" w:sz="6" w:space="0" w:color="auto"/>
              <w:bottom w:val="none" w:sz="6" w:space="0" w:color="auto"/>
              <w:right w:val="none" w:sz="6" w:space="0" w:color="auto"/>
            </w:tcBorders>
          </w:tcPr>
          <w:p w14:paraId="6D51C2BA" w14:textId="77777777" w:rsidR="00BD1C17" w:rsidRPr="00BD1C17" w:rsidRDefault="00BD1C17" w:rsidP="00BD1C17">
            <w:pPr>
              <w:kinsoku w:val="0"/>
              <w:overflowPunct w:val="0"/>
              <w:autoSpaceDE w:val="0"/>
              <w:autoSpaceDN w:val="0"/>
              <w:adjustRightInd w:val="0"/>
              <w:spacing w:after="0" w:line="331" w:lineRule="exact"/>
              <w:ind w:left="104" w:right="102"/>
              <w:jc w:val="center"/>
              <w:rPr>
                <w:rFonts w:ascii="Euclid" w:hAnsi="Euclid" w:cs="Euclid"/>
                <w:spacing w:val="-2"/>
                <w:sz w:val="20"/>
                <w:szCs w:val="20"/>
              </w:rPr>
            </w:pPr>
            <w:r w:rsidRPr="00BD1C17">
              <w:rPr>
                <w:rFonts w:ascii="Euclid" w:hAnsi="Euclid" w:cs="Euclid"/>
                <w:spacing w:val="-2"/>
                <w:sz w:val="20"/>
                <w:szCs w:val="20"/>
              </w:rPr>
              <w:t>(0.004)</w:t>
            </w:r>
          </w:p>
        </w:tc>
        <w:tc>
          <w:tcPr>
            <w:tcW w:w="1304" w:type="dxa"/>
            <w:tcBorders>
              <w:top w:val="none" w:sz="6" w:space="0" w:color="auto"/>
              <w:left w:val="none" w:sz="6" w:space="0" w:color="auto"/>
              <w:bottom w:val="none" w:sz="6" w:space="0" w:color="auto"/>
              <w:right w:val="none" w:sz="6" w:space="0" w:color="auto"/>
            </w:tcBorders>
          </w:tcPr>
          <w:p w14:paraId="74A84BE8" w14:textId="77777777" w:rsidR="00BD1C17" w:rsidRPr="00BD1C17" w:rsidRDefault="00BD1C17" w:rsidP="00BD1C17">
            <w:pPr>
              <w:kinsoku w:val="0"/>
              <w:overflowPunct w:val="0"/>
              <w:autoSpaceDE w:val="0"/>
              <w:autoSpaceDN w:val="0"/>
              <w:adjustRightInd w:val="0"/>
              <w:spacing w:after="0" w:line="331" w:lineRule="exact"/>
              <w:ind w:left="99" w:right="97"/>
              <w:jc w:val="center"/>
              <w:rPr>
                <w:rFonts w:ascii="Euclid" w:hAnsi="Euclid" w:cs="Euclid"/>
                <w:spacing w:val="-2"/>
                <w:sz w:val="20"/>
                <w:szCs w:val="20"/>
              </w:rPr>
            </w:pPr>
            <w:r w:rsidRPr="00BD1C17">
              <w:rPr>
                <w:rFonts w:ascii="Euclid" w:hAnsi="Euclid" w:cs="Euclid"/>
                <w:spacing w:val="-2"/>
                <w:sz w:val="20"/>
                <w:szCs w:val="20"/>
              </w:rPr>
              <w:t>(0.021)</w:t>
            </w:r>
          </w:p>
        </w:tc>
      </w:tr>
      <w:tr w:rsidR="00BD1C17" w:rsidRPr="00BD1C17" w14:paraId="3441E018" w14:textId="77777777">
        <w:trPr>
          <w:trHeight w:val="474"/>
        </w:trPr>
        <w:tc>
          <w:tcPr>
            <w:tcW w:w="1902" w:type="dxa"/>
            <w:tcBorders>
              <w:top w:val="none" w:sz="6" w:space="0" w:color="auto"/>
              <w:left w:val="none" w:sz="6" w:space="0" w:color="auto"/>
              <w:bottom w:val="none" w:sz="6" w:space="0" w:color="auto"/>
              <w:right w:val="none" w:sz="6" w:space="0" w:color="auto"/>
            </w:tcBorders>
          </w:tcPr>
          <w:p w14:paraId="60277160" w14:textId="77777777" w:rsidR="00BD1C17" w:rsidRPr="00BD1C17" w:rsidRDefault="00BD1C17" w:rsidP="00BD1C17">
            <w:pPr>
              <w:kinsoku w:val="0"/>
              <w:overflowPunct w:val="0"/>
              <w:autoSpaceDE w:val="0"/>
              <w:autoSpaceDN w:val="0"/>
              <w:adjustRightInd w:val="0"/>
              <w:spacing w:before="114" w:after="0" w:line="240" w:lineRule="auto"/>
              <w:ind w:left="119"/>
              <w:rPr>
                <w:rFonts w:ascii="Euclid" w:hAnsi="Euclid" w:cs="Euclid"/>
                <w:spacing w:val="-4"/>
                <w:sz w:val="20"/>
                <w:szCs w:val="20"/>
              </w:rPr>
            </w:pPr>
            <w:r w:rsidRPr="00BD1C17">
              <w:rPr>
                <w:rFonts w:ascii="Euclid" w:hAnsi="Euclid" w:cs="Euclid"/>
                <w:spacing w:val="-4"/>
                <w:sz w:val="20"/>
                <w:szCs w:val="20"/>
              </w:rPr>
              <w:t>RDD</w:t>
            </w:r>
          </w:p>
        </w:tc>
        <w:tc>
          <w:tcPr>
            <w:tcW w:w="1174" w:type="dxa"/>
            <w:tcBorders>
              <w:top w:val="none" w:sz="6" w:space="0" w:color="auto"/>
              <w:left w:val="none" w:sz="6" w:space="0" w:color="auto"/>
              <w:bottom w:val="none" w:sz="6" w:space="0" w:color="auto"/>
              <w:right w:val="none" w:sz="6" w:space="0" w:color="auto"/>
            </w:tcBorders>
          </w:tcPr>
          <w:p w14:paraId="64356AAE"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c>
          <w:tcPr>
            <w:tcW w:w="951" w:type="dxa"/>
            <w:tcBorders>
              <w:top w:val="none" w:sz="6" w:space="0" w:color="auto"/>
              <w:left w:val="none" w:sz="6" w:space="0" w:color="auto"/>
              <w:bottom w:val="none" w:sz="6" w:space="0" w:color="auto"/>
              <w:right w:val="none" w:sz="6" w:space="0" w:color="auto"/>
            </w:tcBorders>
          </w:tcPr>
          <w:p w14:paraId="704A8A3F"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c>
          <w:tcPr>
            <w:tcW w:w="1230" w:type="dxa"/>
            <w:tcBorders>
              <w:top w:val="none" w:sz="6" w:space="0" w:color="auto"/>
              <w:left w:val="none" w:sz="6" w:space="0" w:color="auto"/>
              <w:bottom w:val="none" w:sz="6" w:space="0" w:color="auto"/>
              <w:right w:val="none" w:sz="6" w:space="0" w:color="auto"/>
            </w:tcBorders>
          </w:tcPr>
          <w:p w14:paraId="76A68872" w14:textId="77777777" w:rsidR="00BD1C17" w:rsidRPr="00BD1C17" w:rsidRDefault="00BD1C17" w:rsidP="00BD1C17">
            <w:pPr>
              <w:kinsoku w:val="0"/>
              <w:overflowPunct w:val="0"/>
              <w:autoSpaceDE w:val="0"/>
              <w:autoSpaceDN w:val="0"/>
              <w:adjustRightInd w:val="0"/>
              <w:spacing w:before="114" w:after="0" w:line="240" w:lineRule="auto"/>
              <w:ind w:left="93" w:right="100"/>
              <w:jc w:val="center"/>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0.024</w:t>
            </w:r>
            <w:r w:rsidRPr="00BD1C17">
              <w:rPr>
                <w:rFonts w:ascii="Lucida Sans Unicode" w:hAnsi="Lucida Sans Unicode" w:cs="Lucida Sans Unicode"/>
                <w:spacing w:val="-2"/>
                <w:sz w:val="20"/>
                <w:szCs w:val="20"/>
                <w:vertAlign w:val="superscript"/>
              </w:rPr>
              <w:t>∗∗∗</w:t>
            </w:r>
          </w:p>
        </w:tc>
        <w:tc>
          <w:tcPr>
            <w:tcW w:w="1134" w:type="dxa"/>
            <w:tcBorders>
              <w:top w:val="none" w:sz="6" w:space="0" w:color="auto"/>
              <w:left w:val="none" w:sz="6" w:space="0" w:color="auto"/>
              <w:bottom w:val="none" w:sz="6" w:space="0" w:color="auto"/>
              <w:right w:val="none" w:sz="6" w:space="0" w:color="auto"/>
            </w:tcBorders>
          </w:tcPr>
          <w:p w14:paraId="6DCD7D77" w14:textId="77777777" w:rsidR="00BD1C17" w:rsidRPr="00BD1C17" w:rsidRDefault="00BD1C17" w:rsidP="00BD1C17">
            <w:pPr>
              <w:kinsoku w:val="0"/>
              <w:overflowPunct w:val="0"/>
              <w:autoSpaceDE w:val="0"/>
              <w:autoSpaceDN w:val="0"/>
              <w:adjustRightInd w:val="0"/>
              <w:spacing w:before="114" w:after="0" w:line="240" w:lineRule="auto"/>
              <w:ind w:left="97" w:right="104"/>
              <w:jc w:val="center"/>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0.022</w:t>
            </w:r>
            <w:r w:rsidRPr="00BD1C17">
              <w:rPr>
                <w:rFonts w:ascii="Lucida Sans Unicode" w:hAnsi="Lucida Sans Unicode" w:cs="Lucida Sans Unicode"/>
                <w:spacing w:val="-2"/>
                <w:sz w:val="20"/>
                <w:szCs w:val="20"/>
                <w:vertAlign w:val="superscript"/>
              </w:rPr>
              <w:t>∗∗∗</w:t>
            </w:r>
          </w:p>
        </w:tc>
        <w:tc>
          <w:tcPr>
            <w:tcW w:w="1304" w:type="dxa"/>
            <w:tcBorders>
              <w:top w:val="none" w:sz="6" w:space="0" w:color="auto"/>
              <w:left w:val="none" w:sz="6" w:space="0" w:color="auto"/>
              <w:bottom w:val="none" w:sz="6" w:space="0" w:color="auto"/>
              <w:right w:val="none" w:sz="6" w:space="0" w:color="auto"/>
            </w:tcBorders>
          </w:tcPr>
          <w:p w14:paraId="7F532866" w14:textId="77777777" w:rsidR="00BD1C17" w:rsidRPr="00BD1C17" w:rsidRDefault="00BD1C17" w:rsidP="00BD1C17">
            <w:pPr>
              <w:kinsoku w:val="0"/>
              <w:overflowPunct w:val="0"/>
              <w:autoSpaceDE w:val="0"/>
              <w:autoSpaceDN w:val="0"/>
              <w:adjustRightInd w:val="0"/>
              <w:spacing w:before="114" w:after="0" w:line="240" w:lineRule="auto"/>
              <w:ind w:left="90" w:right="99"/>
              <w:jc w:val="center"/>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0.074</w:t>
            </w:r>
            <w:r w:rsidRPr="00BD1C17">
              <w:rPr>
                <w:rFonts w:ascii="Lucida Sans Unicode" w:hAnsi="Lucida Sans Unicode" w:cs="Lucida Sans Unicode"/>
                <w:spacing w:val="-2"/>
                <w:sz w:val="20"/>
                <w:szCs w:val="20"/>
                <w:vertAlign w:val="superscript"/>
              </w:rPr>
              <w:t>∗∗∗</w:t>
            </w:r>
          </w:p>
        </w:tc>
      </w:tr>
      <w:tr w:rsidR="00BD1C17" w:rsidRPr="00BD1C17" w14:paraId="2F1E34C0" w14:textId="77777777">
        <w:trPr>
          <w:trHeight w:val="441"/>
        </w:trPr>
        <w:tc>
          <w:tcPr>
            <w:tcW w:w="1902" w:type="dxa"/>
            <w:tcBorders>
              <w:top w:val="none" w:sz="6" w:space="0" w:color="auto"/>
              <w:left w:val="none" w:sz="6" w:space="0" w:color="auto"/>
              <w:bottom w:val="none" w:sz="6" w:space="0" w:color="auto"/>
              <w:right w:val="none" w:sz="6" w:space="0" w:color="auto"/>
            </w:tcBorders>
          </w:tcPr>
          <w:p w14:paraId="5E3EC91E"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c>
          <w:tcPr>
            <w:tcW w:w="1174" w:type="dxa"/>
            <w:tcBorders>
              <w:top w:val="none" w:sz="6" w:space="0" w:color="auto"/>
              <w:left w:val="none" w:sz="6" w:space="0" w:color="auto"/>
              <w:bottom w:val="none" w:sz="6" w:space="0" w:color="auto"/>
              <w:right w:val="none" w:sz="6" w:space="0" w:color="auto"/>
            </w:tcBorders>
          </w:tcPr>
          <w:p w14:paraId="29B659EB"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c>
          <w:tcPr>
            <w:tcW w:w="951" w:type="dxa"/>
            <w:tcBorders>
              <w:top w:val="none" w:sz="6" w:space="0" w:color="auto"/>
              <w:left w:val="none" w:sz="6" w:space="0" w:color="auto"/>
              <w:bottom w:val="none" w:sz="6" w:space="0" w:color="auto"/>
              <w:right w:val="none" w:sz="6" w:space="0" w:color="auto"/>
            </w:tcBorders>
          </w:tcPr>
          <w:p w14:paraId="53A453ED"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c>
          <w:tcPr>
            <w:tcW w:w="1230" w:type="dxa"/>
            <w:tcBorders>
              <w:top w:val="none" w:sz="6" w:space="0" w:color="auto"/>
              <w:left w:val="none" w:sz="6" w:space="0" w:color="auto"/>
              <w:bottom w:val="none" w:sz="6" w:space="0" w:color="auto"/>
              <w:right w:val="none" w:sz="6" w:space="0" w:color="auto"/>
            </w:tcBorders>
          </w:tcPr>
          <w:p w14:paraId="623496D8" w14:textId="77777777" w:rsidR="00BD1C17" w:rsidRPr="00BD1C17" w:rsidRDefault="00BD1C17" w:rsidP="00BD1C17">
            <w:pPr>
              <w:kinsoku w:val="0"/>
              <w:overflowPunct w:val="0"/>
              <w:autoSpaceDE w:val="0"/>
              <w:autoSpaceDN w:val="0"/>
              <w:adjustRightInd w:val="0"/>
              <w:spacing w:after="0" w:line="331" w:lineRule="exact"/>
              <w:ind w:left="100" w:right="99"/>
              <w:jc w:val="center"/>
              <w:rPr>
                <w:rFonts w:ascii="Euclid" w:hAnsi="Euclid" w:cs="Euclid"/>
                <w:spacing w:val="-2"/>
                <w:sz w:val="20"/>
                <w:szCs w:val="20"/>
              </w:rPr>
            </w:pPr>
            <w:r w:rsidRPr="00BD1C17">
              <w:rPr>
                <w:rFonts w:ascii="Euclid" w:hAnsi="Euclid" w:cs="Euclid"/>
                <w:spacing w:val="-2"/>
                <w:sz w:val="20"/>
                <w:szCs w:val="20"/>
              </w:rPr>
              <w:t>(0.004)</w:t>
            </w:r>
          </w:p>
        </w:tc>
        <w:tc>
          <w:tcPr>
            <w:tcW w:w="1134" w:type="dxa"/>
            <w:tcBorders>
              <w:top w:val="none" w:sz="6" w:space="0" w:color="auto"/>
              <w:left w:val="none" w:sz="6" w:space="0" w:color="auto"/>
              <w:bottom w:val="none" w:sz="6" w:space="0" w:color="auto"/>
              <w:right w:val="none" w:sz="6" w:space="0" w:color="auto"/>
            </w:tcBorders>
          </w:tcPr>
          <w:p w14:paraId="168BBDF4" w14:textId="77777777" w:rsidR="00BD1C17" w:rsidRPr="00BD1C17" w:rsidRDefault="00BD1C17" w:rsidP="00BD1C17">
            <w:pPr>
              <w:kinsoku w:val="0"/>
              <w:overflowPunct w:val="0"/>
              <w:autoSpaceDE w:val="0"/>
              <w:autoSpaceDN w:val="0"/>
              <w:adjustRightInd w:val="0"/>
              <w:spacing w:after="0" w:line="331" w:lineRule="exact"/>
              <w:ind w:left="104" w:right="102"/>
              <w:jc w:val="center"/>
              <w:rPr>
                <w:rFonts w:ascii="Euclid" w:hAnsi="Euclid" w:cs="Euclid"/>
                <w:spacing w:val="-2"/>
                <w:sz w:val="20"/>
                <w:szCs w:val="20"/>
              </w:rPr>
            </w:pPr>
            <w:r w:rsidRPr="00BD1C17">
              <w:rPr>
                <w:rFonts w:ascii="Euclid" w:hAnsi="Euclid" w:cs="Euclid"/>
                <w:spacing w:val="-2"/>
                <w:sz w:val="20"/>
                <w:szCs w:val="20"/>
              </w:rPr>
              <w:t>(0.005)</w:t>
            </w:r>
          </w:p>
        </w:tc>
        <w:tc>
          <w:tcPr>
            <w:tcW w:w="1304" w:type="dxa"/>
            <w:tcBorders>
              <w:top w:val="none" w:sz="6" w:space="0" w:color="auto"/>
              <w:left w:val="none" w:sz="6" w:space="0" w:color="auto"/>
              <w:bottom w:val="none" w:sz="6" w:space="0" w:color="auto"/>
              <w:right w:val="none" w:sz="6" w:space="0" w:color="auto"/>
            </w:tcBorders>
          </w:tcPr>
          <w:p w14:paraId="0A02F92F" w14:textId="77777777" w:rsidR="00BD1C17" w:rsidRPr="00BD1C17" w:rsidRDefault="00BD1C17" w:rsidP="00BD1C17">
            <w:pPr>
              <w:kinsoku w:val="0"/>
              <w:overflowPunct w:val="0"/>
              <w:autoSpaceDE w:val="0"/>
              <w:autoSpaceDN w:val="0"/>
              <w:adjustRightInd w:val="0"/>
              <w:spacing w:after="0" w:line="331" w:lineRule="exact"/>
              <w:ind w:left="99" w:right="97"/>
              <w:jc w:val="center"/>
              <w:rPr>
                <w:rFonts w:ascii="Euclid" w:hAnsi="Euclid" w:cs="Euclid"/>
                <w:spacing w:val="-2"/>
                <w:sz w:val="20"/>
                <w:szCs w:val="20"/>
              </w:rPr>
            </w:pPr>
            <w:r w:rsidRPr="00BD1C17">
              <w:rPr>
                <w:rFonts w:ascii="Euclid" w:hAnsi="Euclid" w:cs="Euclid"/>
                <w:spacing w:val="-2"/>
                <w:sz w:val="20"/>
                <w:szCs w:val="20"/>
              </w:rPr>
              <w:t>(0.023)</w:t>
            </w:r>
          </w:p>
        </w:tc>
      </w:tr>
      <w:tr w:rsidR="00BD1C17" w:rsidRPr="00BD1C17" w14:paraId="15CDB9BF" w14:textId="77777777">
        <w:trPr>
          <w:trHeight w:val="474"/>
        </w:trPr>
        <w:tc>
          <w:tcPr>
            <w:tcW w:w="1902" w:type="dxa"/>
            <w:tcBorders>
              <w:top w:val="none" w:sz="6" w:space="0" w:color="auto"/>
              <w:left w:val="none" w:sz="6" w:space="0" w:color="auto"/>
              <w:bottom w:val="none" w:sz="6" w:space="0" w:color="auto"/>
              <w:right w:val="none" w:sz="6" w:space="0" w:color="auto"/>
            </w:tcBorders>
          </w:tcPr>
          <w:p w14:paraId="34DA77D4" w14:textId="77777777" w:rsidR="00BD1C17" w:rsidRPr="00BD1C17" w:rsidRDefault="00BD1C17" w:rsidP="00BD1C17">
            <w:pPr>
              <w:kinsoku w:val="0"/>
              <w:overflowPunct w:val="0"/>
              <w:autoSpaceDE w:val="0"/>
              <w:autoSpaceDN w:val="0"/>
              <w:adjustRightInd w:val="0"/>
              <w:spacing w:before="114" w:after="0" w:line="240" w:lineRule="auto"/>
              <w:ind w:left="119"/>
              <w:rPr>
                <w:rFonts w:ascii="Euclid" w:hAnsi="Euclid" w:cs="Euclid"/>
                <w:spacing w:val="-4"/>
                <w:sz w:val="20"/>
                <w:szCs w:val="20"/>
              </w:rPr>
            </w:pPr>
            <w:r w:rsidRPr="00BD1C17">
              <w:rPr>
                <w:rFonts w:ascii="Euclid" w:hAnsi="Euclid" w:cs="Euclid"/>
                <w:spacing w:val="-4"/>
                <w:sz w:val="20"/>
                <w:szCs w:val="20"/>
              </w:rPr>
              <w:t>DDD</w:t>
            </w:r>
          </w:p>
        </w:tc>
        <w:tc>
          <w:tcPr>
            <w:tcW w:w="1174" w:type="dxa"/>
            <w:tcBorders>
              <w:top w:val="none" w:sz="6" w:space="0" w:color="auto"/>
              <w:left w:val="none" w:sz="6" w:space="0" w:color="auto"/>
              <w:bottom w:val="none" w:sz="6" w:space="0" w:color="auto"/>
              <w:right w:val="none" w:sz="6" w:space="0" w:color="auto"/>
            </w:tcBorders>
          </w:tcPr>
          <w:p w14:paraId="3C33BDD5"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c>
          <w:tcPr>
            <w:tcW w:w="951" w:type="dxa"/>
            <w:tcBorders>
              <w:top w:val="none" w:sz="6" w:space="0" w:color="auto"/>
              <w:left w:val="none" w:sz="6" w:space="0" w:color="auto"/>
              <w:bottom w:val="none" w:sz="6" w:space="0" w:color="auto"/>
              <w:right w:val="none" w:sz="6" w:space="0" w:color="auto"/>
            </w:tcBorders>
          </w:tcPr>
          <w:p w14:paraId="2806689A"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c>
          <w:tcPr>
            <w:tcW w:w="1230" w:type="dxa"/>
            <w:tcBorders>
              <w:top w:val="none" w:sz="6" w:space="0" w:color="auto"/>
              <w:left w:val="none" w:sz="6" w:space="0" w:color="auto"/>
              <w:bottom w:val="none" w:sz="6" w:space="0" w:color="auto"/>
              <w:right w:val="none" w:sz="6" w:space="0" w:color="auto"/>
            </w:tcBorders>
          </w:tcPr>
          <w:p w14:paraId="18E795B8" w14:textId="77777777" w:rsidR="00BD1C17" w:rsidRPr="00BD1C17" w:rsidRDefault="00BD1C17" w:rsidP="00BD1C17">
            <w:pPr>
              <w:kinsoku w:val="0"/>
              <w:overflowPunct w:val="0"/>
              <w:autoSpaceDE w:val="0"/>
              <w:autoSpaceDN w:val="0"/>
              <w:adjustRightInd w:val="0"/>
              <w:spacing w:before="114" w:after="0" w:line="240" w:lineRule="auto"/>
              <w:ind w:left="93" w:right="100"/>
              <w:jc w:val="center"/>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0.048</w:t>
            </w:r>
            <w:r w:rsidRPr="00BD1C17">
              <w:rPr>
                <w:rFonts w:ascii="Lucida Sans Unicode" w:hAnsi="Lucida Sans Unicode" w:cs="Lucida Sans Unicode"/>
                <w:spacing w:val="-2"/>
                <w:sz w:val="20"/>
                <w:szCs w:val="20"/>
                <w:vertAlign w:val="superscript"/>
              </w:rPr>
              <w:t>∗∗∗</w:t>
            </w:r>
          </w:p>
        </w:tc>
        <w:tc>
          <w:tcPr>
            <w:tcW w:w="1134" w:type="dxa"/>
            <w:tcBorders>
              <w:top w:val="none" w:sz="6" w:space="0" w:color="auto"/>
              <w:left w:val="none" w:sz="6" w:space="0" w:color="auto"/>
              <w:bottom w:val="none" w:sz="6" w:space="0" w:color="auto"/>
              <w:right w:val="none" w:sz="6" w:space="0" w:color="auto"/>
            </w:tcBorders>
          </w:tcPr>
          <w:p w14:paraId="0767690C" w14:textId="77777777" w:rsidR="00BD1C17" w:rsidRPr="00BD1C17" w:rsidRDefault="00BD1C17" w:rsidP="00BD1C17">
            <w:pPr>
              <w:kinsoku w:val="0"/>
              <w:overflowPunct w:val="0"/>
              <w:autoSpaceDE w:val="0"/>
              <w:autoSpaceDN w:val="0"/>
              <w:adjustRightInd w:val="0"/>
              <w:spacing w:before="114" w:after="0" w:line="240" w:lineRule="auto"/>
              <w:ind w:left="97" w:right="104"/>
              <w:jc w:val="center"/>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0.047</w:t>
            </w:r>
            <w:r w:rsidRPr="00BD1C17">
              <w:rPr>
                <w:rFonts w:ascii="Lucida Sans Unicode" w:hAnsi="Lucida Sans Unicode" w:cs="Lucida Sans Unicode"/>
                <w:spacing w:val="-2"/>
                <w:sz w:val="20"/>
                <w:szCs w:val="20"/>
                <w:vertAlign w:val="superscript"/>
              </w:rPr>
              <w:t>∗∗∗</w:t>
            </w:r>
          </w:p>
        </w:tc>
        <w:tc>
          <w:tcPr>
            <w:tcW w:w="1304" w:type="dxa"/>
            <w:tcBorders>
              <w:top w:val="none" w:sz="6" w:space="0" w:color="auto"/>
              <w:left w:val="none" w:sz="6" w:space="0" w:color="auto"/>
              <w:bottom w:val="none" w:sz="6" w:space="0" w:color="auto"/>
              <w:right w:val="none" w:sz="6" w:space="0" w:color="auto"/>
            </w:tcBorders>
          </w:tcPr>
          <w:p w14:paraId="2535A37D" w14:textId="77777777" w:rsidR="00BD1C17" w:rsidRPr="00BD1C17" w:rsidRDefault="00BD1C17" w:rsidP="00BD1C17">
            <w:pPr>
              <w:kinsoku w:val="0"/>
              <w:overflowPunct w:val="0"/>
              <w:autoSpaceDE w:val="0"/>
              <w:autoSpaceDN w:val="0"/>
              <w:adjustRightInd w:val="0"/>
              <w:spacing w:before="114" w:after="0" w:line="240" w:lineRule="auto"/>
              <w:ind w:left="90" w:right="99"/>
              <w:jc w:val="center"/>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0.075</w:t>
            </w:r>
            <w:r w:rsidRPr="00BD1C17">
              <w:rPr>
                <w:rFonts w:ascii="Lucida Sans Unicode" w:hAnsi="Lucida Sans Unicode" w:cs="Lucida Sans Unicode"/>
                <w:spacing w:val="-2"/>
                <w:sz w:val="20"/>
                <w:szCs w:val="20"/>
                <w:vertAlign w:val="superscript"/>
              </w:rPr>
              <w:t>∗</w:t>
            </w:r>
          </w:p>
        </w:tc>
      </w:tr>
      <w:tr w:rsidR="00BD1C17" w:rsidRPr="00BD1C17" w14:paraId="19BCB686" w14:textId="77777777">
        <w:trPr>
          <w:trHeight w:val="441"/>
        </w:trPr>
        <w:tc>
          <w:tcPr>
            <w:tcW w:w="1902" w:type="dxa"/>
            <w:tcBorders>
              <w:top w:val="none" w:sz="6" w:space="0" w:color="auto"/>
              <w:left w:val="none" w:sz="6" w:space="0" w:color="auto"/>
              <w:bottom w:val="none" w:sz="6" w:space="0" w:color="auto"/>
              <w:right w:val="none" w:sz="6" w:space="0" w:color="auto"/>
            </w:tcBorders>
          </w:tcPr>
          <w:p w14:paraId="105B84DE"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c>
          <w:tcPr>
            <w:tcW w:w="1174" w:type="dxa"/>
            <w:tcBorders>
              <w:top w:val="none" w:sz="6" w:space="0" w:color="auto"/>
              <w:left w:val="none" w:sz="6" w:space="0" w:color="auto"/>
              <w:bottom w:val="none" w:sz="6" w:space="0" w:color="auto"/>
              <w:right w:val="none" w:sz="6" w:space="0" w:color="auto"/>
            </w:tcBorders>
          </w:tcPr>
          <w:p w14:paraId="22050022"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c>
          <w:tcPr>
            <w:tcW w:w="951" w:type="dxa"/>
            <w:tcBorders>
              <w:top w:val="none" w:sz="6" w:space="0" w:color="auto"/>
              <w:left w:val="none" w:sz="6" w:space="0" w:color="auto"/>
              <w:bottom w:val="none" w:sz="6" w:space="0" w:color="auto"/>
              <w:right w:val="none" w:sz="6" w:space="0" w:color="auto"/>
            </w:tcBorders>
          </w:tcPr>
          <w:p w14:paraId="34E2D6C5"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c>
          <w:tcPr>
            <w:tcW w:w="1230" w:type="dxa"/>
            <w:tcBorders>
              <w:top w:val="none" w:sz="6" w:space="0" w:color="auto"/>
              <w:left w:val="none" w:sz="6" w:space="0" w:color="auto"/>
              <w:bottom w:val="none" w:sz="6" w:space="0" w:color="auto"/>
              <w:right w:val="none" w:sz="6" w:space="0" w:color="auto"/>
            </w:tcBorders>
          </w:tcPr>
          <w:p w14:paraId="7D5602CD" w14:textId="77777777" w:rsidR="00BD1C17" w:rsidRPr="00BD1C17" w:rsidRDefault="00BD1C17" w:rsidP="00BD1C17">
            <w:pPr>
              <w:kinsoku w:val="0"/>
              <w:overflowPunct w:val="0"/>
              <w:autoSpaceDE w:val="0"/>
              <w:autoSpaceDN w:val="0"/>
              <w:adjustRightInd w:val="0"/>
              <w:spacing w:after="0" w:line="331" w:lineRule="exact"/>
              <w:ind w:left="100" w:right="99"/>
              <w:jc w:val="center"/>
              <w:rPr>
                <w:rFonts w:ascii="Euclid" w:hAnsi="Euclid" w:cs="Euclid"/>
                <w:spacing w:val="-2"/>
                <w:sz w:val="20"/>
                <w:szCs w:val="20"/>
              </w:rPr>
            </w:pPr>
            <w:r w:rsidRPr="00BD1C17">
              <w:rPr>
                <w:rFonts w:ascii="Euclid" w:hAnsi="Euclid" w:cs="Euclid"/>
                <w:spacing w:val="-2"/>
                <w:sz w:val="20"/>
                <w:szCs w:val="20"/>
              </w:rPr>
              <w:t>(0.007)</w:t>
            </w:r>
          </w:p>
        </w:tc>
        <w:tc>
          <w:tcPr>
            <w:tcW w:w="1134" w:type="dxa"/>
            <w:tcBorders>
              <w:top w:val="none" w:sz="6" w:space="0" w:color="auto"/>
              <w:left w:val="none" w:sz="6" w:space="0" w:color="auto"/>
              <w:bottom w:val="none" w:sz="6" w:space="0" w:color="auto"/>
              <w:right w:val="none" w:sz="6" w:space="0" w:color="auto"/>
            </w:tcBorders>
          </w:tcPr>
          <w:p w14:paraId="67B67E5D" w14:textId="77777777" w:rsidR="00BD1C17" w:rsidRPr="00BD1C17" w:rsidRDefault="00BD1C17" w:rsidP="00BD1C17">
            <w:pPr>
              <w:kinsoku w:val="0"/>
              <w:overflowPunct w:val="0"/>
              <w:autoSpaceDE w:val="0"/>
              <w:autoSpaceDN w:val="0"/>
              <w:adjustRightInd w:val="0"/>
              <w:spacing w:after="0" w:line="331" w:lineRule="exact"/>
              <w:ind w:left="104" w:right="102"/>
              <w:jc w:val="center"/>
              <w:rPr>
                <w:rFonts w:ascii="Euclid" w:hAnsi="Euclid" w:cs="Euclid"/>
                <w:spacing w:val="-2"/>
                <w:sz w:val="20"/>
                <w:szCs w:val="20"/>
              </w:rPr>
            </w:pPr>
            <w:r w:rsidRPr="00BD1C17">
              <w:rPr>
                <w:rFonts w:ascii="Euclid" w:hAnsi="Euclid" w:cs="Euclid"/>
                <w:spacing w:val="-2"/>
                <w:sz w:val="20"/>
                <w:szCs w:val="20"/>
              </w:rPr>
              <w:t>(0.007)</w:t>
            </w:r>
          </w:p>
        </w:tc>
        <w:tc>
          <w:tcPr>
            <w:tcW w:w="1304" w:type="dxa"/>
            <w:tcBorders>
              <w:top w:val="none" w:sz="6" w:space="0" w:color="auto"/>
              <w:left w:val="none" w:sz="6" w:space="0" w:color="auto"/>
              <w:bottom w:val="none" w:sz="6" w:space="0" w:color="auto"/>
              <w:right w:val="none" w:sz="6" w:space="0" w:color="auto"/>
            </w:tcBorders>
          </w:tcPr>
          <w:p w14:paraId="5F1A946B" w14:textId="77777777" w:rsidR="00BD1C17" w:rsidRPr="00BD1C17" w:rsidRDefault="00BD1C17" w:rsidP="00BD1C17">
            <w:pPr>
              <w:kinsoku w:val="0"/>
              <w:overflowPunct w:val="0"/>
              <w:autoSpaceDE w:val="0"/>
              <w:autoSpaceDN w:val="0"/>
              <w:adjustRightInd w:val="0"/>
              <w:spacing w:after="0" w:line="331" w:lineRule="exact"/>
              <w:ind w:left="99" w:right="97"/>
              <w:jc w:val="center"/>
              <w:rPr>
                <w:rFonts w:ascii="Euclid" w:hAnsi="Euclid" w:cs="Euclid"/>
                <w:spacing w:val="-2"/>
                <w:sz w:val="20"/>
                <w:szCs w:val="20"/>
              </w:rPr>
            </w:pPr>
            <w:r w:rsidRPr="00BD1C17">
              <w:rPr>
                <w:rFonts w:ascii="Euclid" w:hAnsi="Euclid" w:cs="Euclid"/>
                <w:spacing w:val="-2"/>
                <w:sz w:val="20"/>
                <w:szCs w:val="20"/>
              </w:rPr>
              <w:t>(0.038)</w:t>
            </w:r>
          </w:p>
        </w:tc>
      </w:tr>
      <w:tr w:rsidR="00BD1C17" w:rsidRPr="00BD1C17" w14:paraId="0CC78B1D" w14:textId="77777777">
        <w:trPr>
          <w:trHeight w:val="474"/>
        </w:trPr>
        <w:tc>
          <w:tcPr>
            <w:tcW w:w="1902" w:type="dxa"/>
            <w:tcBorders>
              <w:top w:val="none" w:sz="6" w:space="0" w:color="auto"/>
              <w:left w:val="none" w:sz="6" w:space="0" w:color="auto"/>
              <w:bottom w:val="none" w:sz="6" w:space="0" w:color="auto"/>
              <w:right w:val="none" w:sz="6" w:space="0" w:color="auto"/>
            </w:tcBorders>
          </w:tcPr>
          <w:p w14:paraId="77B2EA80" w14:textId="77777777" w:rsidR="00BD1C17" w:rsidRPr="00BD1C17" w:rsidRDefault="00BD1C17" w:rsidP="00BD1C17">
            <w:pPr>
              <w:kinsoku w:val="0"/>
              <w:overflowPunct w:val="0"/>
              <w:autoSpaceDE w:val="0"/>
              <w:autoSpaceDN w:val="0"/>
              <w:adjustRightInd w:val="0"/>
              <w:spacing w:before="114" w:after="0" w:line="240" w:lineRule="auto"/>
              <w:ind w:left="119"/>
              <w:rPr>
                <w:rFonts w:ascii="Euclid" w:hAnsi="Euclid" w:cs="Euclid"/>
                <w:sz w:val="20"/>
                <w:szCs w:val="20"/>
              </w:rPr>
            </w:pPr>
            <w:r w:rsidRPr="00BD1C17">
              <w:rPr>
                <w:rFonts w:ascii="Euclid" w:hAnsi="Euclid" w:cs="Euclid"/>
                <w:sz w:val="20"/>
                <w:szCs w:val="20"/>
              </w:rPr>
              <w:t>No. Female</w:t>
            </w:r>
          </w:p>
        </w:tc>
        <w:tc>
          <w:tcPr>
            <w:tcW w:w="1174" w:type="dxa"/>
            <w:tcBorders>
              <w:top w:val="none" w:sz="6" w:space="0" w:color="auto"/>
              <w:left w:val="none" w:sz="6" w:space="0" w:color="auto"/>
              <w:bottom w:val="none" w:sz="6" w:space="0" w:color="auto"/>
              <w:right w:val="none" w:sz="6" w:space="0" w:color="auto"/>
            </w:tcBorders>
          </w:tcPr>
          <w:p w14:paraId="25DB16B4" w14:textId="77777777" w:rsidR="00BD1C17" w:rsidRPr="00BD1C17" w:rsidRDefault="00BD1C17" w:rsidP="00BD1C17">
            <w:pPr>
              <w:kinsoku w:val="0"/>
              <w:overflowPunct w:val="0"/>
              <w:autoSpaceDE w:val="0"/>
              <w:autoSpaceDN w:val="0"/>
              <w:adjustRightInd w:val="0"/>
              <w:spacing w:before="114" w:after="0" w:line="240" w:lineRule="auto"/>
              <w:ind w:left="92" w:right="100"/>
              <w:jc w:val="center"/>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-0.004</w:t>
            </w:r>
            <w:r w:rsidRPr="00BD1C17">
              <w:rPr>
                <w:rFonts w:ascii="Lucida Sans Unicode" w:hAnsi="Lucida Sans Unicode" w:cs="Lucida Sans Unicode"/>
                <w:spacing w:val="-2"/>
                <w:sz w:val="20"/>
                <w:szCs w:val="20"/>
                <w:vertAlign w:val="superscript"/>
              </w:rPr>
              <w:t>∗∗</w:t>
            </w:r>
          </w:p>
        </w:tc>
        <w:tc>
          <w:tcPr>
            <w:tcW w:w="951" w:type="dxa"/>
            <w:tcBorders>
              <w:top w:val="none" w:sz="6" w:space="0" w:color="auto"/>
              <w:left w:val="none" w:sz="6" w:space="0" w:color="auto"/>
              <w:bottom w:val="none" w:sz="6" w:space="0" w:color="auto"/>
              <w:right w:val="none" w:sz="6" w:space="0" w:color="auto"/>
            </w:tcBorders>
          </w:tcPr>
          <w:p w14:paraId="6102C7F0" w14:textId="77777777" w:rsidR="00BD1C17" w:rsidRPr="00BD1C17" w:rsidRDefault="00BD1C17" w:rsidP="00BD1C17">
            <w:pPr>
              <w:kinsoku w:val="0"/>
              <w:overflowPunct w:val="0"/>
              <w:autoSpaceDE w:val="0"/>
              <w:autoSpaceDN w:val="0"/>
              <w:adjustRightInd w:val="0"/>
              <w:spacing w:before="114" w:after="0" w:line="240" w:lineRule="auto"/>
              <w:ind w:left="180"/>
              <w:rPr>
                <w:rFonts w:ascii="Sitka Small" w:hAnsi="Sitka Small" w:cs="Sitka Small"/>
                <w:i/>
                <w:iCs/>
                <w:spacing w:val="-2"/>
                <w:sz w:val="20"/>
                <w:szCs w:val="20"/>
                <w:vertAlign w:val="superscript"/>
              </w:rPr>
            </w:pPr>
            <w:r w:rsidRPr="00BD1C17">
              <w:rPr>
                <w:rFonts w:ascii="Euclid" w:hAnsi="Euclid" w:cs="Euclid"/>
                <w:spacing w:val="-2"/>
                <w:sz w:val="20"/>
                <w:szCs w:val="20"/>
              </w:rPr>
              <w:t>-0.003</w:t>
            </w:r>
            <w:r w:rsidRPr="00BD1C17">
              <w:rPr>
                <w:rFonts w:ascii="Sitka Small" w:hAnsi="Sitka Small" w:cs="Sitka Small"/>
                <w:i/>
                <w:iCs/>
                <w:spacing w:val="-2"/>
                <w:sz w:val="20"/>
                <w:szCs w:val="20"/>
                <w:vertAlign w:val="superscript"/>
              </w:rPr>
              <w:t>t</w:t>
            </w:r>
          </w:p>
        </w:tc>
        <w:tc>
          <w:tcPr>
            <w:tcW w:w="1230" w:type="dxa"/>
            <w:tcBorders>
              <w:top w:val="none" w:sz="6" w:space="0" w:color="auto"/>
              <w:left w:val="none" w:sz="6" w:space="0" w:color="auto"/>
              <w:bottom w:val="none" w:sz="6" w:space="0" w:color="auto"/>
              <w:right w:val="none" w:sz="6" w:space="0" w:color="auto"/>
            </w:tcBorders>
          </w:tcPr>
          <w:p w14:paraId="42BD2624" w14:textId="77777777" w:rsidR="00BD1C17" w:rsidRPr="00BD1C17" w:rsidRDefault="00BD1C17" w:rsidP="00BD1C17">
            <w:pPr>
              <w:kinsoku w:val="0"/>
              <w:overflowPunct w:val="0"/>
              <w:autoSpaceDE w:val="0"/>
              <w:autoSpaceDN w:val="0"/>
              <w:adjustRightInd w:val="0"/>
              <w:spacing w:before="114" w:after="0" w:line="240" w:lineRule="auto"/>
              <w:ind w:left="93" w:right="100"/>
              <w:jc w:val="center"/>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-0.004</w:t>
            </w:r>
            <w:r w:rsidRPr="00BD1C17">
              <w:rPr>
                <w:rFonts w:ascii="Lucida Sans Unicode" w:hAnsi="Lucida Sans Unicode" w:cs="Lucida Sans Unicode"/>
                <w:spacing w:val="-2"/>
                <w:sz w:val="20"/>
                <w:szCs w:val="20"/>
                <w:vertAlign w:val="superscript"/>
              </w:rPr>
              <w:t>∗∗</w:t>
            </w:r>
          </w:p>
        </w:tc>
        <w:tc>
          <w:tcPr>
            <w:tcW w:w="1134" w:type="dxa"/>
            <w:tcBorders>
              <w:top w:val="none" w:sz="6" w:space="0" w:color="auto"/>
              <w:left w:val="none" w:sz="6" w:space="0" w:color="auto"/>
              <w:bottom w:val="none" w:sz="6" w:space="0" w:color="auto"/>
              <w:right w:val="none" w:sz="6" w:space="0" w:color="auto"/>
            </w:tcBorders>
          </w:tcPr>
          <w:p w14:paraId="6D6D18C1" w14:textId="77777777" w:rsidR="00BD1C17" w:rsidRPr="00BD1C17" w:rsidRDefault="00BD1C17" w:rsidP="00BD1C17">
            <w:pPr>
              <w:kinsoku w:val="0"/>
              <w:overflowPunct w:val="0"/>
              <w:autoSpaceDE w:val="0"/>
              <w:autoSpaceDN w:val="0"/>
              <w:adjustRightInd w:val="0"/>
              <w:spacing w:before="114" w:after="0" w:line="240" w:lineRule="auto"/>
              <w:ind w:left="96" w:right="104"/>
              <w:jc w:val="center"/>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-0.004</w:t>
            </w:r>
            <w:r w:rsidRPr="00BD1C17">
              <w:rPr>
                <w:rFonts w:ascii="Lucida Sans Unicode" w:hAnsi="Lucida Sans Unicode" w:cs="Lucida Sans Unicode"/>
                <w:spacing w:val="-2"/>
                <w:sz w:val="20"/>
                <w:szCs w:val="20"/>
                <w:vertAlign w:val="superscript"/>
              </w:rPr>
              <w:t>∗</w:t>
            </w:r>
          </w:p>
        </w:tc>
        <w:tc>
          <w:tcPr>
            <w:tcW w:w="1304" w:type="dxa"/>
            <w:tcBorders>
              <w:top w:val="none" w:sz="6" w:space="0" w:color="auto"/>
              <w:left w:val="none" w:sz="6" w:space="0" w:color="auto"/>
              <w:bottom w:val="none" w:sz="6" w:space="0" w:color="auto"/>
              <w:right w:val="none" w:sz="6" w:space="0" w:color="auto"/>
            </w:tcBorders>
          </w:tcPr>
          <w:p w14:paraId="0D5B909D" w14:textId="77777777" w:rsidR="00BD1C17" w:rsidRPr="00BD1C17" w:rsidRDefault="00BD1C17" w:rsidP="00BD1C17">
            <w:pPr>
              <w:kinsoku w:val="0"/>
              <w:overflowPunct w:val="0"/>
              <w:autoSpaceDE w:val="0"/>
              <w:autoSpaceDN w:val="0"/>
              <w:adjustRightInd w:val="0"/>
              <w:spacing w:before="114" w:after="0" w:line="240" w:lineRule="auto"/>
              <w:ind w:left="98" w:right="99"/>
              <w:jc w:val="center"/>
              <w:rPr>
                <w:rFonts w:ascii="Euclid" w:hAnsi="Euclid" w:cs="Euclid"/>
                <w:spacing w:val="-2"/>
                <w:sz w:val="20"/>
                <w:szCs w:val="20"/>
              </w:rPr>
            </w:pPr>
            <w:r w:rsidRPr="00BD1C17">
              <w:rPr>
                <w:rFonts w:ascii="Euclid" w:hAnsi="Euclid" w:cs="Euclid"/>
                <w:spacing w:val="-2"/>
                <w:sz w:val="20"/>
                <w:szCs w:val="20"/>
              </w:rPr>
              <w:t>-0.005</w:t>
            </w:r>
          </w:p>
        </w:tc>
      </w:tr>
      <w:tr w:rsidR="00BD1C17" w:rsidRPr="00BD1C17" w14:paraId="0F0A5E8A" w14:textId="77777777">
        <w:trPr>
          <w:trHeight w:val="441"/>
        </w:trPr>
        <w:tc>
          <w:tcPr>
            <w:tcW w:w="1902" w:type="dxa"/>
            <w:tcBorders>
              <w:top w:val="none" w:sz="6" w:space="0" w:color="auto"/>
              <w:left w:val="none" w:sz="6" w:space="0" w:color="auto"/>
              <w:bottom w:val="none" w:sz="6" w:space="0" w:color="auto"/>
              <w:right w:val="none" w:sz="6" w:space="0" w:color="auto"/>
            </w:tcBorders>
          </w:tcPr>
          <w:p w14:paraId="5E30943A"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c>
          <w:tcPr>
            <w:tcW w:w="1174" w:type="dxa"/>
            <w:tcBorders>
              <w:top w:val="none" w:sz="6" w:space="0" w:color="auto"/>
              <w:left w:val="none" w:sz="6" w:space="0" w:color="auto"/>
              <w:bottom w:val="none" w:sz="6" w:space="0" w:color="auto"/>
              <w:right w:val="none" w:sz="6" w:space="0" w:color="auto"/>
            </w:tcBorders>
          </w:tcPr>
          <w:p w14:paraId="08B353DC" w14:textId="77777777" w:rsidR="00BD1C17" w:rsidRPr="00BD1C17" w:rsidRDefault="00BD1C17" w:rsidP="00BD1C17">
            <w:pPr>
              <w:kinsoku w:val="0"/>
              <w:overflowPunct w:val="0"/>
              <w:autoSpaceDE w:val="0"/>
              <w:autoSpaceDN w:val="0"/>
              <w:adjustRightInd w:val="0"/>
              <w:spacing w:after="0" w:line="331" w:lineRule="exact"/>
              <w:ind w:left="100" w:right="100"/>
              <w:jc w:val="center"/>
              <w:rPr>
                <w:rFonts w:ascii="Euclid" w:hAnsi="Euclid" w:cs="Euclid"/>
                <w:spacing w:val="-2"/>
                <w:sz w:val="20"/>
                <w:szCs w:val="20"/>
              </w:rPr>
            </w:pPr>
            <w:r w:rsidRPr="00BD1C17">
              <w:rPr>
                <w:rFonts w:ascii="Euclid" w:hAnsi="Euclid" w:cs="Euclid"/>
                <w:spacing w:val="-2"/>
                <w:sz w:val="20"/>
                <w:szCs w:val="20"/>
              </w:rPr>
              <w:t>(0.002)</w:t>
            </w:r>
          </w:p>
        </w:tc>
        <w:tc>
          <w:tcPr>
            <w:tcW w:w="951" w:type="dxa"/>
            <w:tcBorders>
              <w:top w:val="none" w:sz="6" w:space="0" w:color="auto"/>
              <w:left w:val="none" w:sz="6" w:space="0" w:color="auto"/>
              <w:bottom w:val="none" w:sz="6" w:space="0" w:color="auto"/>
              <w:right w:val="none" w:sz="6" w:space="0" w:color="auto"/>
            </w:tcBorders>
          </w:tcPr>
          <w:p w14:paraId="62A4C9C7" w14:textId="77777777" w:rsidR="00BD1C17" w:rsidRPr="00BD1C17" w:rsidRDefault="00BD1C17" w:rsidP="00BD1C17">
            <w:pPr>
              <w:kinsoku w:val="0"/>
              <w:overflowPunct w:val="0"/>
              <w:autoSpaceDE w:val="0"/>
              <w:autoSpaceDN w:val="0"/>
              <w:adjustRightInd w:val="0"/>
              <w:spacing w:after="0" w:line="331" w:lineRule="exact"/>
              <w:ind w:right="167"/>
              <w:jc w:val="right"/>
              <w:rPr>
                <w:rFonts w:ascii="Euclid" w:hAnsi="Euclid" w:cs="Euclid"/>
                <w:spacing w:val="-2"/>
                <w:sz w:val="20"/>
                <w:szCs w:val="20"/>
              </w:rPr>
            </w:pPr>
            <w:r w:rsidRPr="00BD1C17">
              <w:rPr>
                <w:rFonts w:ascii="Euclid" w:hAnsi="Euclid" w:cs="Euclid"/>
                <w:spacing w:val="-2"/>
                <w:sz w:val="20"/>
                <w:szCs w:val="20"/>
              </w:rPr>
              <w:t>(0.002)</w:t>
            </w:r>
          </w:p>
        </w:tc>
        <w:tc>
          <w:tcPr>
            <w:tcW w:w="1230" w:type="dxa"/>
            <w:tcBorders>
              <w:top w:val="none" w:sz="6" w:space="0" w:color="auto"/>
              <w:left w:val="none" w:sz="6" w:space="0" w:color="auto"/>
              <w:bottom w:val="none" w:sz="6" w:space="0" w:color="auto"/>
              <w:right w:val="none" w:sz="6" w:space="0" w:color="auto"/>
            </w:tcBorders>
          </w:tcPr>
          <w:p w14:paraId="66DDD399" w14:textId="77777777" w:rsidR="00BD1C17" w:rsidRPr="00BD1C17" w:rsidRDefault="00BD1C17" w:rsidP="00BD1C17">
            <w:pPr>
              <w:kinsoku w:val="0"/>
              <w:overflowPunct w:val="0"/>
              <w:autoSpaceDE w:val="0"/>
              <w:autoSpaceDN w:val="0"/>
              <w:adjustRightInd w:val="0"/>
              <w:spacing w:after="0" w:line="331" w:lineRule="exact"/>
              <w:ind w:left="100" w:right="96"/>
              <w:jc w:val="center"/>
              <w:rPr>
                <w:rFonts w:ascii="Euclid" w:hAnsi="Euclid" w:cs="Euclid"/>
                <w:spacing w:val="-2"/>
                <w:sz w:val="20"/>
                <w:szCs w:val="20"/>
              </w:rPr>
            </w:pPr>
            <w:r w:rsidRPr="00BD1C17">
              <w:rPr>
                <w:rFonts w:ascii="Euclid" w:hAnsi="Euclid" w:cs="Euclid"/>
                <w:spacing w:val="-2"/>
                <w:sz w:val="20"/>
                <w:szCs w:val="20"/>
              </w:rPr>
              <w:t>(0.002)</w:t>
            </w:r>
          </w:p>
        </w:tc>
        <w:tc>
          <w:tcPr>
            <w:tcW w:w="1134" w:type="dxa"/>
            <w:tcBorders>
              <w:top w:val="none" w:sz="6" w:space="0" w:color="auto"/>
              <w:left w:val="none" w:sz="6" w:space="0" w:color="auto"/>
              <w:bottom w:val="none" w:sz="6" w:space="0" w:color="auto"/>
              <w:right w:val="none" w:sz="6" w:space="0" w:color="auto"/>
            </w:tcBorders>
          </w:tcPr>
          <w:p w14:paraId="670B7B88" w14:textId="77777777" w:rsidR="00BD1C17" w:rsidRPr="00BD1C17" w:rsidRDefault="00BD1C17" w:rsidP="00BD1C17">
            <w:pPr>
              <w:kinsoku w:val="0"/>
              <w:overflowPunct w:val="0"/>
              <w:autoSpaceDE w:val="0"/>
              <w:autoSpaceDN w:val="0"/>
              <w:adjustRightInd w:val="0"/>
              <w:spacing w:after="0" w:line="331" w:lineRule="exact"/>
              <w:ind w:left="104" w:right="99"/>
              <w:jc w:val="center"/>
              <w:rPr>
                <w:rFonts w:ascii="Euclid" w:hAnsi="Euclid" w:cs="Euclid"/>
                <w:spacing w:val="-2"/>
                <w:sz w:val="20"/>
                <w:szCs w:val="20"/>
              </w:rPr>
            </w:pPr>
            <w:r w:rsidRPr="00BD1C17">
              <w:rPr>
                <w:rFonts w:ascii="Euclid" w:hAnsi="Euclid" w:cs="Euclid"/>
                <w:spacing w:val="-2"/>
                <w:sz w:val="20"/>
                <w:szCs w:val="20"/>
              </w:rPr>
              <w:t>(0.002)</w:t>
            </w:r>
          </w:p>
        </w:tc>
        <w:tc>
          <w:tcPr>
            <w:tcW w:w="1304" w:type="dxa"/>
            <w:tcBorders>
              <w:top w:val="none" w:sz="6" w:space="0" w:color="auto"/>
              <w:left w:val="none" w:sz="6" w:space="0" w:color="auto"/>
              <w:bottom w:val="none" w:sz="6" w:space="0" w:color="auto"/>
              <w:right w:val="none" w:sz="6" w:space="0" w:color="auto"/>
            </w:tcBorders>
          </w:tcPr>
          <w:p w14:paraId="3E8F0046" w14:textId="77777777" w:rsidR="00BD1C17" w:rsidRPr="00BD1C17" w:rsidRDefault="00BD1C17" w:rsidP="00BD1C17">
            <w:pPr>
              <w:kinsoku w:val="0"/>
              <w:overflowPunct w:val="0"/>
              <w:autoSpaceDE w:val="0"/>
              <w:autoSpaceDN w:val="0"/>
              <w:adjustRightInd w:val="0"/>
              <w:spacing w:after="0" w:line="331" w:lineRule="exact"/>
              <w:ind w:left="99" w:right="94"/>
              <w:jc w:val="center"/>
              <w:rPr>
                <w:rFonts w:ascii="Euclid" w:hAnsi="Euclid" w:cs="Euclid"/>
                <w:spacing w:val="-2"/>
                <w:sz w:val="20"/>
                <w:szCs w:val="20"/>
              </w:rPr>
            </w:pPr>
            <w:r w:rsidRPr="00BD1C17">
              <w:rPr>
                <w:rFonts w:ascii="Euclid" w:hAnsi="Euclid" w:cs="Euclid"/>
                <w:spacing w:val="-2"/>
                <w:sz w:val="20"/>
                <w:szCs w:val="20"/>
              </w:rPr>
              <w:t>(0.013)</w:t>
            </w:r>
          </w:p>
        </w:tc>
      </w:tr>
      <w:tr w:rsidR="00BD1C17" w:rsidRPr="00BD1C17" w14:paraId="6728269B" w14:textId="77777777">
        <w:trPr>
          <w:trHeight w:val="474"/>
        </w:trPr>
        <w:tc>
          <w:tcPr>
            <w:tcW w:w="1902" w:type="dxa"/>
            <w:tcBorders>
              <w:top w:val="none" w:sz="6" w:space="0" w:color="auto"/>
              <w:left w:val="none" w:sz="6" w:space="0" w:color="auto"/>
              <w:bottom w:val="none" w:sz="6" w:space="0" w:color="auto"/>
              <w:right w:val="none" w:sz="6" w:space="0" w:color="auto"/>
            </w:tcBorders>
          </w:tcPr>
          <w:p w14:paraId="1BD99732" w14:textId="77777777" w:rsidR="00BD1C17" w:rsidRPr="00BD1C17" w:rsidRDefault="00BD1C17" w:rsidP="00BD1C17">
            <w:pPr>
              <w:kinsoku w:val="0"/>
              <w:overflowPunct w:val="0"/>
              <w:autoSpaceDE w:val="0"/>
              <w:autoSpaceDN w:val="0"/>
              <w:adjustRightInd w:val="0"/>
              <w:spacing w:before="114" w:after="0" w:line="240" w:lineRule="auto"/>
              <w:ind w:left="119"/>
              <w:rPr>
                <w:rFonts w:ascii="Euclid" w:hAnsi="Euclid" w:cs="Euclid"/>
                <w:sz w:val="20"/>
                <w:szCs w:val="20"/>
              </w:rPr>
            </w:pPr>
            <w:r w:rsidRPr="00BD1C17">
              <w:rPr>
                <w:rFonts w:ascii="Euclid" w:hAnsi="Euclid" w:cs="Euclid"/>
                <w:sz w:val="20"/>
                <w:szCs w:val="20"/>
              </w:rPr>
              <w:t>No. Minority</w:t>
            </w:r>
          </w:p>
        </w:tc>
        <w:tc>
          <w:tcPr>
            <w:tcW w:w="1174" w:type="dxa"/>
            <w:tcBorders>
              <w:top w:val="none" w:sz="6" w:space="0" w:color="auto"/>
              <w:left w:val="none" w:sz="6" w:space="0" w:color="auto"/>
              <w:bottom w:val="none" w:sz="6" w:space="0" w:color="auto"/>
              <w:right w:val="none" w:sz="6" w:space="0" w:color="auto"/>
            </w:tcBorders>
          </w:tcPr>
          <w:p w14:paraId="058A2273" w14:textId="77777777" w:rsidR="00BD1C17" w:rsidRPr="00BD1C17" w:rsidRDefault="00BD1C17" w:rsidP="00BD1C17">
            <w:pPr>
              <w:kinsoku w:val="0"/>
              <w:overflowPunct w:val="0"/>
              <w:autoSpaceDE w:val="0"/>
              <w:autoSpaceDN w:val="0"/>
              <w:adjustRightInd w:val="0"/>
              <w:spacing w:before="114" w:after="0" w:line="240" w:lineRule="auto"/>
              <w:ind w:left="100" w:right="100"/>
              <w:jc w:val="center"/>
              <w:rPr>
                <w:rFonts w:ascii="Euclid" w:hAnsi="Euclid" w:cs="Euclid"/>
                <w:spacing w:val="-2"/>
                <w:sz w:val="20"/>
                <w:szCs w:val="20"/>
              </w:rPr>
            </w:pPr>
            <w:r w:rsidRPr="00BD1C17">
              <w:rPr>
                <w:rFonts w:ascii="Euclid" w:hAnsi="Euclid" w:cs="Euclid"/>
                <w:spacing w:val="-2"/>
                <w:sz w:val="20"/>
                <w:szCs w:val="20"/>
              </w:rPr>
              <w:t>0.002</w:t>
            </w:r>
          </w:p>
        </w:tc>
        <w:tc>
          <w:tcPr>
            <w:tcW w:w="951" w:type="dxa"/>
            <w:tcBorders>
              <w:top w:val="none" w:sz="6" w:space="0" w:color="auto"/>
              <w:left w:val="none" w:sz="6" w:space="0" w:color="auto"/>
              <w:bottom w:val="none" w:sz="6" w:space="0" w:color="auto"/>
              <w:right w:val="none" w:sz="6" w:space="0" w:color="auto"/>
            </w:tcBorders>
          </w:tcPr>
          <w:p w14:paraId="1F583B9E" w14:textId="77777777" w:rsidR="00BD1C17" w:rsidRPr="00BD1C17" w:rsidRDefault="00BD1C17" w:rsidP="00BD1C17">
            <w:pPr>
              <w:kinsoku w:val="0"/>
              <w:overflowPunct w:val="0"/>
              <w:autoSpaceDE w:val="0"/>
              <w:autoSpaceDN w:val="0"/>
              <w:adjustRightInd w:val="0"/>
              <w:spacing w:before="114" w:after="0" w:line="240" w:lineRule="auto"/>
              <w:ind w:left="202"/>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0.004</w:t>
            </w:r>
            <w:r w:rsidRPr="00BD1C17">
              <w:rPr>
                <w:rFonts w:ascii="Lucida Sans Unicode" w:hAnsi="Lucida Sans Unicode" w:cs="Lucida Sans Unicode"/>
                <w:spacing w:val="-2"/>
                <w:sz w:val="20"/>
                <w:szCs w:val="20"/>
                <w:vertAlign w:val="superscript"/>
              </w:rPr>
              <w:t>∗</w:t>
            </w:r>
          </w:p>
        </w:tc>
        <w:tc>
          <w:tcPr>
            <w:tcW w:w="1230" w:type="dxa"/>
            <w:tcBorders>
              <w:top w:val="none" w:sz="6" w:space="0" w:color="auto"/>
              <w:left w:val="none" w:sz="6" w:space="0" w:color="auto"/>
              <w:bottom w:val="none" w:sz="6" w:space="0" w:color="auto"/>
              <w:right w:val="none" w:sz="6" w:space="0" w:color="auto"/>
            </w:tcBorders>
          </w:tcPr>
          <w:p w14:paraId="16F3EBD3" w14:textId="77777777" w:rsidR="00BD1C17" w:rsidRPr="00BD1C17" w:rsidRDefault="00BD1C17" w:rsidP="00BD1C17">
            <w:pPr>
              <w:kinsoku w:val="0"/>
              <w:overflowPunct w:val="0"/>
              <w:autoSpaceDE w:val="0"/>
              <w:autoSpaceDN w:val="0"/>
              <w:adjustRightInd w:val="0"/>
              <w:spacing w:before="114" w:after="0" w:line="240" w:lineRule="auto"/>
              <w:ind w:left="100" w:right="100"/>
              <w:jc w:val="center"/>
              <w:rPr>
                <w:rFonts w:ascii="Euclid" w:hAnsi="Euclid" w:cs="Euclid"/>
                <w:spacing w:val="-2"/>
                <w:sz w:val="20"/>
                <w:szCs w:val="20"/>
              </w:rPr>
            </w:pPr>
            <w:r w:rsidRPr="00BD1C17">
              <w:rPr>
                <w:rFonts w:ascii="Euclid" w:hAnsi="Euclid" w:cs="Euclid"/>
                <w:spacing w:val="-2"/>
                <w:sz w:val="20"/>
                <w:szCs w:val="20"/>
              </w:rPr>
              <w:t>0.002</w:t>
            </w:r>
          </w:p>
        </w:tc>
        <w:tc>
          <w:tcPr>
            <w:tcW w:w="1134" w:type="dxa"/>
            <w:tcBorders>
              <w:top w:val="none" w:sz="6" w:space="0" w:color="auto"/>
              <w:left w:val="none" w:sz="6" w:space="0" w:color="auto"/>
              <w:bottom w:val="none" w:sz="6" w:space="0" w:color="auto"/>
              <w:right w:val="none" w:sz="6" w:space="0" w:color="auto"/>
            </w:tcBorders>
          </w:tcPr>
          <w:p w14:paraId="26AAC5CF" w14:textId="77777777" w:rsidR="00BD1C17" w:rsidRPr="00BD1C17" w:rsidRDefault="00BD1C17" w:rsidP="00BD1C17">
            <w:pPr>
              <w:kinsoku w:val="0"/>
              <w:overflowPunct w:val="0"/>
              <w:autoSpaceDE w:val="0"/>
              <w:autoSpaceDN w:val="0"/>
              <w:adjustRightInd w:val="0"/>
              <w:spacing w:before="114" w:after="0" w:line="240" w:lineRule="auto"/>
              <w:ind w:left="104" w:right="104"/>
              <w:jc w:val="center"/>
              <w:rPr>
                <w:rFonts w:ascii="Euclid" w:hAnsi="Euclid" w:cs="Euclid"/>
                <w:spacing w:val="-2"/>
                <w:sz w:val="20"/>
                <w:szCs w:val="20"/>
              </w:rPr>
            </w:pPr>
            <w:r w:rsidRPr="00BD1C17">
              <w:rPr>
                <w:rFonts w:ascii="Euclid" w:hAnsi="Euclid" w:cs="Euclid"/>
                <w:spacing w:val="-2"/>
                <w:sz w:val="20"/>
                <w:szCs w:val="20"/>
              </w:rPr>
              <w:t>0.003</w:t>
            </w:r>
          </w:p>
        </w:tc>
        <w:tc>
          <w:tcPr>
            <w:tcW w:w="1304" w:type="dxa"/>
            <w:tcBorders>
              <w:top w:val="none" w:sz="6" w:space="0" w:color="auto"/>
              <w:left w:val="none" w:sz="6" w:space="0" w:color="auto"/>
              <w:bottom w:val="none" w:sz="6" w:space="0" w:color="auto"/>
              <w:right w:val="none" w:sz="6" w:space="0" w:color="auto"/>
            </w:tcBorders>
          </w:tcPr>
          <w:p w14:paraId="00736CF8" w14:textId="77777777" w:rsidR="00BD1C17" w:rsidRPr="00BD1C17" w:rsidRDefault="00BD1C17" w:rsidP="00BD1C17">
            <w:pPr>
              <w:kinsoku w:val="0"/>
              <w:overflowPunct w:val="0"/>
              <w:autoSpaceDE w:val="0"/>
              <w:autoSpaceDN w:val="0"/>
              <w:adjustRightInd w:val="0"/>
              <w:spacing w:before="114" w:after="0" w:line="240" w:lineRule="auto"/>
              <w:ind w:left="98" w:right="99"/>
              <w:jc w:val="center"/>
              <w:rPr>
                <w:rFonts w:ascii="Euclid" w:hAnsi="Euclid" w:cs="Euclid"/>
                <w:spacing w:val="-2"/>
                <w:sz w:val="20"/>
                <w:szCs w:val="20"/>
              </w:rPr>
            </w:pPr>
            <w:r w:rsidRPr="00BD1C17">
              <w:rPr>
                <w:rFonts w:ascii="Euclid" w:hAnsi="Euclid" w:cs="Euclid"/>
                <w:spacing w:val="-2"/>
                <w:sz w:val="20"/>
                <w:szCs w:val="20"/>
              </w:rPr>
              <w:t>-0.003</w:t>
            </w:r>
          </w:p>
        </w:tc>
      </w:tr>
      <w:tr w:rsidR="00BD1C17" w:rsidRPr="00BD1C17" w14:paraId="24E3D9B1" w14:textId="77777777">
        <w:trPr>
          <w:trHeight w:val="441"/>
        </w:trPr>
        <w:tc>
          <w:tcPr>
            <w:tcW w:w="1902" w:type="dxa"/>
            <w:tcBorders>
              <w:top w:val="none" w:sz="6" w:space="0" w:color="auto"/>
              <w:left w:val="none" w:sz="6" w:space="0" w:color="auto"/>
              <w:bottom w:val="none" w:sz="6" w:space="0" w:color="auto"/>
              <w:right w:val="none" w:sz="6" w:space="0" w:color="auto"/>
            </w:tcBorders>
          </w:tcPr>
          <w:p w14:paraId="0A5DF137"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c>
          <w:tcPr>
            <w:tcW w:w="1174" w:type="dxa"/>
            <w:tcBorders>
              <w:top w:val="none" w:sz="6" w:space="0" w:color="auto"/>
              <w:left w:val="none" w:sz="6" w:space="0" w:color="auto"/>
              <w:bottom w:val="none" w:sz="6" w:space="0" w:color="auto"/>
              <w:right w:val="none" w:sz="6" w:space="0" w:color="auto"/>
            </w:tcBorders>
          </w:tcPr>
          <w:p w14:paraId="50FB6EF2" w14:textId="77777777" w:rsidR="00BD1C17" w:rsidRPr="00BD1C17" w:rsidRDefault="00BD1C17" w:rsidP="00BD1C17">
            <w:pPr>
              <w:kinsoku w:val="0"/>
              <w:overflowPunct w:val="0"/>
              <w:autoSpaceDE w:val="0"/>
              <w:autoSpaceDN w:val="0"/>
              <w:adjustRightInd w:val="0"/>
              <w:spacing w:after="0" w:line="331" w:lineRule="exact"/>
              <w:ind w:left="100" w:right="100"/>
              <w:jc w:val="center"/>
              <w:rPr>
                <w:rFonts w:ascii="Euclid" w:hAnsi="Euclid" w:cs="Euclid"/>
                <w:spacing w:val="-2"/>
                <w:sz w:val="20"/>
                <w:szCs w:val="20"/>
              </w:rPr>
            </w:pPr>
            <w:r w:rsidRPr="00BD1C17">
              <w:rPr>
                <w:rFonts w:ascii="Euclid" w:hAnsi="Euclid" w:cs="Euclid"/>
                <w:spacing w:val="-2"/>
                <w:sz w:val="20"/>
                <w:szCs w:val="20"/>
              </w:rPr>
              <w:t>(0.002)</w:t>
            </w:r>
          </w:p>
        </w:tc>
        <w:tc>
          <w:tcPr>
            <w:tcW w:w="951" w:type="dxa"/>
            <w:tcBorders>
              <w:top w:val="none" w:sz="6" w:space="0" w:color="auto"/>
              <w:left w:val="none" w:sz="6" w:space="0" w:color="auto"/>
              <w:bottom w:val="none" w:sz="6" w:space="0" w:color="auto"/>
              <w:right w:val="none" w:sz="6" w:space="0" w:color="auto"/>
            </w:tcBorders>
          </w:tcPr>
          <w:p w14:paraId="58DC1AF2" w14:textId="77777777" w:rsidR="00BD1C17" w:rsidRPr="00BD1C17" w:rsidRDefault="00BD1C17" w:rsidP="00BD1C17">
            <w:pPr>
              <w:kinsoku w:val="0"/>
              <w:overflowPunct w:val="0"/>
              <w:autoSpaceDE w:val="0"/>
              <w:autoSpaceDN w:val="0"/>
              <w:adjustRightInd w:val="0"/>
              <w:spacing w:after="0" w:line="331" w:lineRule="exact"/>
              <w:ind w:right="167"/>
              <w:jc w:val="right"/>
              <w:rPr>
                <w:rFonts w:ascii="Euclid" w:hAnsi="Euclid" w:cs="Euclid"/>
                <w:spacing w:val="-2"/>
                <w:sz w:val="20"/>
                <w:szCs w:val="20"/>
              </w:rPr>
            </w:pPr>
            <w:r w:rsidRPr="00BD1C17">
              <w:rPr>
                <w:rFonts w:ascii="Euclid" w:hAnsi="Euclid" w:cs="Euclid"/>
                <w:spacing w:val="-2"/>
                <w:sz w:val="20"/>
                <w:szCs w:val="20"/>
              </w:rPr>
              <w:t>(0.002)</w:t>
            </w:r>
          </w:p>
        </w:tc>
        <w:tc>
          <w:tcPr>
            <w:tcW w:w="1230" w:type="dxa"/>
            <w:tcBorders>
              <w:top w:val="none" w:sz="6" w:space="0" w:color="auto"/>
              <w:left w:val="none" w:sz="6" w:space="0" w:color="auto"/>
              <w:bottom w:val="none" w:sz="6" w:space="0" w:color="auto"/>
              <w:right w:val="none" w:sz="6" w:space="0" w:color="auto"/>
            </w:tcBorders>
          </w:tcPr>
          <w:p w14:paraId="0F029860" w14:textId="77777777" w:rsidR="00BD1C17" w:rsidRPr="00BD1C17" w:rsidRDefault="00BD1C17" w:rsidP="00BD1C17">
            <w:pPr>
              <w:kinsoku w:val="0"/>
              <w:overflowPunct w:val="0"/>
              <w:autoSpaceDE w:val="0"/>
              <w:autoSpaceDN w:val="0"/>
              <w:adjustRightInd w:val="0"/>
              <w:spacing w:after="0" w:line="331" w:lineRule="exact"/>
              <w:ind w:left="100" w:right="96"/>
              <w:jc w:val="center"/>
              <w:rPr>
                <w:rFonts w:ascii="Euclid" w:hAnsi="Euclid" w:cs="Euclid"/>
                <w:spacing w:val="-2"/>
                <w:sz w:val="20"/>
                <w:szCs w:val="20"/>
              </w:rPr>
            </w:pPr>
            <w:r w:rsidRPr="00BD1C17">
              <w:rPr>
                <w:rFonts w:ascii="Euclid" w:hAnsi="Euclid" w:cs="Euclid"/>
                <w:spacing w:val="-2"/>
                <w:sz w:val="20"/>
                <w:szCs w:val="20"/>
              </w:rPr>
              <w:t>(0.002)</w:t>
            </w:r>
          </w:p>
        </w:tc>
        <w:tc>
          <w:tcPr>
            <w:tcW w:w="1134" w:type="dxa"/>
            <w:tcBorders>
              <w:top w:val="none" w:sz="6" w:space="0" w:color="auto"/>
              <w:left w:val="none" w:sz="6" w:space="0" w:color="auto"/>
              <w:bottom w:val="none" w:sz="6" w:space="0" w:color="auto"/>
              <w:right w:val="none" w:sz="6" w:space="0" w:color="auto"/>
            </w:tcBorders>
          </w:tcPr>
          <w:p w14:paraId="719C41E9" w14:textId="77777777" w:rsidR="00BD1C17" w:rsidRPr="00BD1C17" w:rsidRDefault="00BD1C17" w:rsidP="00BD1C17">
            <w:pPr>
              <w:kinsoku w:val="0"/>
              <w:overflowPunct w:val="0"/>
              <w:autoSpaceDE w:val="0"/>
              <w:autoSpaceDN w:val="0"/>
              <w:adjustRightInd w:val="0"/>
              <w:spacing w:after="0" w:line="331" w:lineRule="exact"/>
              <w:ind w:left="104" w:right="99"/>
              <w:jc w:val="center"/>
              <w:rPr>
                <w:rFonts w:ascii="Euclid" w:hAnsi="Euclid" w:cs="Euclid"/>
                <w:spacing w:val="-2"/>
                <w:sz w:val="20"/>
                <w:szCs w:val="20"/>
              </w:rPr>
            </w:pPr>
            <w:r w:rsidRPr="00BD1C17">
              <w:rPr>
                <w:rFonts w:ascii="Euclid" w:hAnsi="Euclid" w:cs="Euclid"/>
                <w:spacing w:val="-2"/>
                <w:sz w:val="20"/>
                <w:szCs w:val="20"/>
              </w:rPr>
              <w:t>(0.002)</w:t>
            </w:r>
          </w:p>
        </w:tc>
        <w:tc>
          <w:tcPr>
            <w:tcW w:w="1304" w:type="dxa"/>
            <w:tcBorders>
              <w:top w:val="none" w:sz="6" w:space="0" w:color="auto"/>
              <w:left w:val="none" w:sz="6" w:space="0" w:color="auto"/>
              <w:bottom w:val="none" w:sz="6" w:space="0" w:color="auto"/>
              <w:right w:val="none" w:sz="6" w:space="0" w:color="auto"/>
            </w:tcBorders>
          </w:tcPr>
          <w:p w14:paraId="129979D7" w14:textId="77777777" w:rsidR="00BD1C17" w:rsidRPr="00BD1C17" w:rsidRDefault="00BD1C17" w:rsidP="00BD1C17">
            <w:pPr>
              <w:kinsoku w:val="0"/>
              <w:overflowPunct w:val="0"/>
              <w:autoSpaceDE w:val="0"/>
              <w:autoSpaceDN w:val="0"/>
              <w:adjustRightInd w:val="0"/>
              <w:spacing w:after="0" w:line="331" w:lineRule="exact"/>
              <w:ind w:left="99" w:right="94"/>
              <w:jc w:val="center"/>
              <w:rPr>
                <w:rFonts w:ascii="Euclid" w:hAnsi="Euclid" w:cs="Euclid"/>
                <w:spacing w:val="-2"/>
                <w:sz w:val="20"/>
                <w:szCs w:val="20"/>
              </w:rPr>
            </w:pPr>
            <w:r w:rsidRPr="00BD1C17">
              <w:rPr>
                <w:rFonts w:ascii="Euclid" w:hAnsi="Euclid" w:cs="Euclid"/>
                <w:spacing w:val="-2"/>
                <w:sz w:val="20"/>
                <w:szCs w:val="20"/>
              </w:rPr>
              <w:t>(0.014)</w:t>
            </w:r>
          </w:p>
        </w:tc>
      </w:tr>
      <w:tr w:rsidR="00BD1C17" w:rsidRPr="00BD1C17" w14:paraId="4F13D998" w14:textId="77777777">
        <w:trPr>
          <w:trHeight w:val="474"/>
        </w:trPr>
        <w:tc>
          <w:tcPr>
            <w:tcW w:w="1902" w:type="dxa"/>
            <w:tcBorders>
              <w:top w:val="none" w:sz="6" w:space="0" w:color="auto"/>
              <w:left w:val="none" w:sz="6" w:space="0" w:color="auto"/>
              <w:bottom w:val="none" w:sz="6" w:space="0" w:color="auto"/>
              <w:right w:val="none" w:sz="6" w:space="0" w:color="auto"/>
            </w:tcBorders>
          </w:tcPr>
          <w:p w14:paraId="542311B3" w14:textId="77777777" w:rsidR="00BD1C17" w:rsidRPr="00BD1C17" w:rsidRDefault="00BD1C17" w:rsidP="00BD1C17">
            <w:pPr>
              <w:kinsoku w:val="0"/>
              <w:overflowPunct w:val="0"/>
              <w:autoSpaceDE w:val="0"/>
              <w:autoSpaceDN w:val="0"/>
              <w:adjustRightInd w:val="0"/>
              <w:spacing w:before="114" w:after="0" w:line="240" w:lineRule="auto"/>
              <w:ind w:left="119"/>
              <w:rPr>
                <w:rFonts w:ascii="Euclid" w:hAnsi="Euclid" w:cs="Euclid"/>
                <w:sz w:val="20"/>
                <w:szCs w:val="20"/>
              </w:rPr>
            </w:pPr>
            <w:r w:rsidRPr="00BD1C17">
              <w:rPr>
                <w:rFonts w:ascii="Euclid" w:hAnsi="Euclid" w:cs="Euclid"/>
                <w:sz w:val="20"/>
                <w:szCs w:val="20"/>
              </w:rPr>
              <w:t>Mean Age of Panel</w:t>
            </w:r>
          </w:p>
        </w:tc>
        <w:tc>
          <w:tcPr>
            <w:tcW w:w="1174" w:type="dxa"/>
            <w:tcBorders>
              <w:top w:val="none" w:sz="6" w:space="0" w:color="auto"/>
              <w:left w:val="none" w:sz="6" w:space="0" w:color="auto"/>
              <w:bottom w:val="none" w:sz="6" w:space="0" w:color="auto"/>
              <w:right w:val="none" w:sz="6" w:space="0" w:color="auto"/>
            </w:tcBorders>
          </w:tcPr>
          <w:p w14:paraId="606AD4EB" w14:textId="77777777" w:rsidR="00BD1C17" w:rsidRPr="00BD1C17" w:rsidRDefault="00BD1C17" w:rsidP="00BD1C17">
            <w:pPr>
              <w:kinsoku w:val="0"/>
              <w:overflowPunct w:val="0"/>
              <w:autoSpaceDE w:val="0"/>
              <w:autoSpaceDN w:val="0"/>
              <w:adjustRightInd w:val="0"/>
              <w:spacing w:before="114" w:after="0" w:line="240" w:lineRule="auto"/>
              <w:ind w:left="92" w:right="100"/>
              <w:jc w:val="center"/>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0.001</w:t>
            </w:r>
            <w:r w:rsidRPr="00BD1C17">
              <w:rPr>
                <w:rFonts w:ascii="Lucida Sans Unicode" w:hAnsi="Lucida Sans Unicode" w:cs="Lucida Sans Unicode"/>
                <w:spacing w:val="-2"/>
                <w:sz w:val="20"/>
                <w:szCs w:val="20"/>
                <w:vertAlign w:val="superscript"/>
              </w:rPr>
              <w:t>∗∗∗</w:t>
            </w:r>
          </w:p>
        </w:tc>
        <w:tc>
          <w:tcPr>
            <w:tcW w:w="951" w:type="dxa"/>
            <w:tcBorders>
              <w:top w:val="none" w:sz="6" w:space="0" w:color="auto"/>
              <w:left w:val="none" w:sz="6" w:space="0" w:color="auto"/>
              <w:bottom w:val="none" w:sz="6" w:space="0" w:color="auto"/>
              <w:right w:val="none" w:sz="6" w:space="0" w:color="auto"/>
            </w:tcBorders>
          </w:tcPr>
          <w:p w14:paraId="7D7733DA" w14:textId="77777777" w:rsidR="00BD1C17" w:rsidRPr="00BD1C17" w:rsidRDefault="00BD1C17" w:rsidP="00BD1C17">
            <w:pPr>
              <w:kinsoku w:val="0"/>
              <w:overflowPunct w:val="0"/>
              <w:autoSpaceDE w:val="0"/>
              <w:autoSpaceDN w:val="0"/>
              <w:adjustRightInd w:val="0"/>
              <w:spacing w:before="114" w:after="0" w:line="240" w:lineRule="auto"/>
              <w:ind w:right="129"/>
              <w:jc w:val="right"/>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0.001</w:t>
            </w:r>
            <w:r w:rsidRPr="00BD1C17">
              <w:rPr>
                <w:rFonts w:ascii="Lucida Sans Unicode" w:hAnsi="Lucida Sans Unicode" w:cs="Lucida Sans Unicode"/>
                <w:spacing w:val="-2"/>
                <w:sz w:val="20"/>
                <w:szCs w:val="20"/>
                <w:vertAlign w:val="superscript"/>
              </w:rPr>
              <w:t>∗∗∗</w:t>
            </w:r>
          </w:p>
        </w:tc>
        <w:tc>
          <w:tcPr>
            <w:tcW w:w="1230" w:type="dxa"/>
            <w:tcBorders>
              <w:top w:val="none" w:sz="6" w:space="0" w:color="auto"/>
              <w:left w:val="none" w:sz="6" w:space="0" w:color="auto"/>
              <w:bottom w:val="none" w:sz="6" w:space="0" w:color="auto"/>
              <w:right w:val="none" w:sz="6" w:space="0" w:color="auto"/>
            </w:tcBorders>
          </w:tcPr>
          <w:p w14:paraId="610D3565" w14:textId="77777777" w:rsidR="00BD1C17" w:rsidRPr="00BD1C17" w:rsidRDefault="00BD1C17" w:rsidP="00BD1C17">
            <w:pPr>
              <w:kinsoku w:val="0"/>
              <w:overflowPunct w:val="0"/>
              <w:autoSpaceDE w:val="0"/>
              <w:autoSpaceDN w:val="0"/>
              <w:adjustRightInd w:val="0"/>
              <w:spacing w:before="114" w:after="0" w:line="240" w:lineRule="auto"/>
              <w:ind w:left="93" w:right="100"/>
              <w:jc w:val="center"/>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0.001</w:t>
            </w:r>
            <w:r w:rsidRPr="00BD1C17">
              <w:rPr>
                <w:rFonts w:ascii="Lucida Sans Unicode" w:hAnsi="Lucida Sans Unicode" w:cs="Lucida Sans Unicode"/>
                <w:spacing w:val="-2"/>
                <w:sz w:val="20"/>
                <w:szCs w:val="20"/>
                <w:vertAlign w:val="superscript"/>
              </w:rPr>
              <w:t>∗∗∗</w:t>
            </w:r>
          </w:p>
        </w:tc>
        <w:tc>
          <w:tcPr>
            <w:tcW w:w="1134" w:type="dxa"/>
            <w:tcBorders>
              <w:top w:val="none" w:sz="6" w:space="0" w:color="auto"/>
              <w:left w:val="none" w:sz="6" w:space="0" w:color="auto"/>
              <w:bottom w:val="none" w:sz="6" w:space="0" w:color="auto"/>
              <w:right w:val="none" w:sz="6" w:space="0" w:color="auto"/>
            </w:tcBorders>
          </w:tcPr>
          <w:p w14:paraId="52C63FA1" w14:textId="77777777" w:rsidR="00BD1C17" w:rsidRPr="00BD1C17" w:rsidRDefault="00BD1C17" w:rsidP="00BD1C17">
            <w:pPr>
              <w:kinsoku w:val="0"/>
              <w:overflowPunct w:val="0"/>
              <w:autoSpaceDE w:val="0"/>
              <w:autoSpaceDN w:val="0"/>
              <w:adjustRightInd w:val="0"/>
              <w:spacing w:before="114" w:after="0" w:line="240" w:lineRule="auto"/>
              <w:ind w:left="97" w:right="104"/>
              <w:jc w:val="center"/>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0.001</w:t>
            </w:r>
            <w:r w:rsidRPr="00BD1C17">
              <w:rPr>
                <w:rFonts w:ascii="Lucida Sans Unicode" w:hAnsi="Lucida Sans Unicode" w:cs="Lucida Sans Unicode"/>
                <w:spacing w:val="-2"/>
                <w:sz w:val="20"/>
                <w:szCs w:val="20"/>
                <w:vertAlign w:val="superscript"/>
              </w:rPr>
              <w:t>∗∗∗</w:t>
            </w:r>
          </w:p>
        </w:tc>
        <w:tc>
          <w:tcPr>
            <w:tcW w:w="1304" w:type="dxa"/>
            <w:tcBorders>
              <w:top w:val="none" w:sz="6" w:space="0" w:color="auto"/>
              <w:left w:val="none" w:sz="6" w:space="0" w:color="auto"/>
              <w:bottom w:val="none" w:sz="6" w:space="0" w:color="auto"/>
              <w:right w:val="none" w:sz="6" w:space="0" w:color="auto"/>
            </w:tcBorders>
          </w:tcPr>
          <w:p w14:paraId="1A83D876" w14:textId="77777777" w:rsidR="00BD1C17" w:rsidRPr="00BD1C17" w:rsidRDefault="00BD1C17" w:rsidP="00BD1C17">
            <w:pPr>
              <w:kinsoku w:val="0"/>
              <w:overflowPunct w:val="0"/>
              <w:autoSpaceDE w:val="0"/>
              <w:autoSpaceDN w:val="0"/>
              <w:adjustRightInd w:val="0"/>
              <w:spacing w:before="114" w:after="0" w:line="240" w:lineRule="auto"/>
              <w:ind w:left="98" w:right="99"/>
              <w:jc w:val="center"/>
              <w:rPr>
                <w:rFonts w:ascii="Euclid" w:hAnsi="Euclid" w:cs="Euclid"/>
                <w:spacing w:val="-2"/>
                <w:sz w:val="20"/>
                <w:szCs w:val="20"/>
              </w:rPr>
            </w:pPr>
            <w:r w:rsidRPr="00BD1C17">
              <w:rPr>
                <w:rFonts w:ascii="Euclid" w:hAnsi="Euclid" w:cs="Euclid"/>
                <w:spacing w:val="-2"/>
                <w:sz w:val="20"/>
                <w:szCs w:val="20"/>
              </w:rPr>
              <w:t>-0.000</w:t>
            </w:r>
          </w:p>
        </w:tc>
      </w:tr>
      <w:tr w:rsidR="00BD1C17" w:rsidRPr="00BD1C17" w14:paraId="4C557D65" w14:textId="77777777">
        <w:trPr>
          <w:trHeight w:val="441"/>
        </w:trPr>
        <w:tc>
          <w:tcPr>
            <w:tcW w:w="1902" w:type="dxa"/>
            <w:tcBorders>
              <w:top w:val="none" w:sz="6" w:space="0" w:color="auto"/>
              <w:left w:val="none" w:sz="6" w:space="0" w:color="auto"/>
              <w:bottom w:val="none" w:sz="6" w:space="0" w:color="auto"/>
              <w:right w:val="none" w:sz="6" w:space="0" w:color="auto"/>
            </w:tcBorders>
          </w:tcPr>
          <w:p w14:paraId="478F74EF"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c>
          <w:tcPr>
            <w:tcW w:w="1174" w:type="dxa"/>
            <w:tcBorders>
              <w:top w:val="none" w:sz="6" w:space="0" w:color="auto"/>
              <w:left w:val="none" w:sz="6" w:space="0" w:color="auto"/>
              <w:bottom w:val="none" w:sz="6" w:space="0" w:color="auto"/>
              <w:right w:val="none" w:sz="6" w:space="0" w:color="auto"/>
            </w:tcBorders>
          </w:tcPr>
          <w:p w14:paraId="6585D10F" w14:textId="77777777" w:rsidR="00BD1C17" w:rsidRPr="00BD1C17" w:rsidRDefault="00BD1C17" w:rsidP="00BD1C17">
            <w:pPr>
              <w:kinsoku w:val="0"/>
              <w:overflowPunct w:val="0"/>
              <w:autoSpaceDE w:val="0"/>
              <w:autoSpaceDN w:val="0"/>
              <w:adjustRightInd w:val="0"/>
              <w:spacing w:after="0" w:line="331" w:lineRule="exact"/>
              <w:ind w:left="100" w:right="100"/>
              <w:jc w:val="center"/>
              <w:rPr>
                <w:rFonts w:ascii="Euclid" w:hAnsi="Euclid" w:cs="Euclid"/>
                <w:spacing w:val="-2"/>
                <w:sz w:val="20"/>
                <w:szCs w:val="20"/>
              </w:rPr>
            </w:pPr>
            <w:r w:rsidRPr="00BD1C17">
              <w:rPr>
                <w:rFonts w:ascii="Euclid" w:hAnsi="Euclid" w:cs="Euclid"/>
                <w:spacing w:val="-2"/>
                <w:sz w:val="20"/>
                <w:szCs w:val="20"/>
              </w:rPr>
              <w:t>(0.000)</w:t>
            </w:r>
          </w:p>
        </w:tc>
        <w:tc>
          <w:tcPr>
            <w:tcW w:w="951" w:type="dxa"/>
            <w:tcBorders>
              <w:top w:val="none" w:sz="6" w:space="0" w:color="auto"/>
              <w:left w:val="none" w:sz="6" w:space="0" w:color="auto"/>
              <w:bottom w:val="none" w:sz="6" w:space="0" w:color="auto"/>
              <w:right w:val="none" w:sz="6" w:space="0" w:color="auto"/>
            </w:tcBorders>
          </w:tcPr>
          <w:p w14:paraId="59B21D4A" w14:textId="77777777" w:rsidR="00BD1C17" w:rsidRPr="00BD1C17" w:rsidRDefault="00BD1C17" w:rsidP="00BD1C17">
            <w:pPr>
              <w:kinsoku w:val="0"/>
              <w:overflowPunct w:val="0"/>
              <w:autoSpaceDE w:val="0"/>
              <w:autoSpaceDN w:val="0"/>
              <w:adjustRightInd w:val="0"/>
              <w:spacing w:after="0" w:line="331" w:lineRule="exact"/>
              <w:ind w:right="167"/>
              <w:jc w:val="right"/>
              <w:rPr>
                <w:rFonts w:ascii="Euclid" w:hAnsi="Euclid" w:cs="Euclid"/>
                <w:spacing w:val="-2"/>
                <w:sz w:val="20"/>
                <w:szCs w:val="20"/>
              </w:rPr>
            </w:pPr>
            <w:r w:rsidRPr="00BD1C17">
              <w:rPr>
                <w:rFonts w:ascii="Euclid" w:hAnsi="Euclid" w:cs="Euclid"/>
                <w:spacing w:val="-2"/>
                <w:sz w:val="20"/>
                <w:szCs w:val="20"/>
              </w:rPr>
              <w:t>(0.000)</w:t>
            </w:r>
          </w:p>
        </w:tc>
        <w:tc>
          <w:tcPr>
            <w:tcW w:w="1230" w:type="dxa"/>
            <w:tcBorders>
              <w:top w:val="none" w:sz="6" w:space="0" w:color="auto"/>
              <w:left w:val="none" w:sz="6" w:space="0" w:color="auto"/>
              <w:bottom w:val="none" w:sz="6" w:space="0" w:color="auto"/>
              <w:right w:val="none" w:sz="6" w:space="0" w:color="auto"/>
            </w:tcBorders>
          </w:tcPr>
          <w:p w14:paraId="211A8EDB" w14:textId="77777777" w:rsidR="00BD1C17" w:rsidRPr="00BD1C17" w:rsidRDefault="00BD1C17" w:rsidP="00BD1C17">
            <w:pPr>
              <w:kinsoku w:val="0"/>
              <w:overflowPunct w:val="0"/>
              <w:autoSpaceDE w:val="0"/>
              <w:autoSpaceDN w:val="0"/>
              <w:adjustRightInd w:val="0"/>
              <w:spacing w:after="0" w:line="331" w:lineRule="exact"/>
              <w:ind w:left="100" w:right="96"/>
              <w:jc w:val="center"/>
              <w:rPr>
                <w:rFonts w:ascii="Euclid" w:hAnsi="Euclid" w:cs="Euclid"/>
                <w:spacing w:val="-2"/>
                <w:sz w:val="20"/>
                <w:szCs w:val="20"/>
              </w:rPr>
            </w:pPr>
            <w:r w:rsidRPr="00BD1C17">
              <w:rPr>
                <w:rFonts w:ascii="Euclid" w:hAnsi="Euclid" w:cs="Euclid"/>
                <w:spacing w:val="-2"/>
                <w:sz w:val="20"/>
                <w:szCs w:val="20"/>
              </w:rPr>
              <w:t>(0.000)</w:t>
            </w:r>
          </w:p>
        </w:tc>
        <w:tc>
          <w:tcPr>
            <w:tcW w:w="1134" w:type="dxa"/>
            <w:tcBorders>
              <w:top w:val="none" w:sz="6" w:space="0" w:color="auto"/>
              <w:left w:val="none" w:sz="6" w:space="0" w:color="auto"/>
              <w:bottom w:val="none" w:sz="6" w:space="0" w:color="auto"/>
              <w:right w:val="none" w:sz="6" w:space="0" w:color="auto"/>
            </w:tcBorders>
          </w:tcPr>
          <w:p w14:paraId="12E71B69" w14:textId="77777777" w:rsidR="00BD1C17" w:rsidRPr="00BD1C17" w:rsidRDefault="00BD1C17" w:rsidP="00BD1C17">
            <w:pPr>
              <w:kinsoku w:val="0"/>
              <w:overflowPunct w:val="0"/>
              <w:autoSpaceDE w:val="0"/>
              <w:autoSpaceDN w:val="0"/>
              <w:adjustRightInd w:val="0"/>
              <w:spacing w:after="0" w:line="331" w:lineRule="exact"/>
              <w:ind w:left="104" w:right="99"/>
              <w:jc w:val="center"/>
              <w:rPr>
                <w:rFonts w:ascii="Euclid" w:hAnsi="Euclid" w:cs="Euclid"/>
                <w:spacing w:val="-2"/>
                <w:sz w:val="20"/>
                <w:szCs w:val="20"/>
              </w:rPr>
            </w:pPr>
            <w:r w:rsidRPr="00BD1C17">
              <w:rPr>
                <w:rFonts w:ascii="Euclid" w:hAnsi="Euclid" w:cs="Euclid"/>
                <w:spacing w:val="-2"/>
                <w:sz w:val="20"/>
                <w:szCs w:val="20"/>
              </w:rPr>
              <w:t>(0.000)</w:t>
            </w:r>
          </w:p>
        </w:tc>
        <w:tc>
          <w:tcPr>
            <w:tcW w:w="1304" w:type="dxa"/>
            <w:tcBorders>
              <w:top w:val="none" w:sz="6" w:space="0" w:color="auto"/>
              <w:left w:val="none" w:sz="6" w:space="0" w:color="auto"/>
              <w:bottom w:val="none" w:sz="6" w:space="0" w:color="auto"/>
              <w:right w:val="none" w:sz="6" w:space="0" w:color="auto"/>
            </w:tcBorders>
          </w:tcPr>
          <w:p w14:paraId="4713594B" w14:textId="77777777" w:rsidR="00BD1C17" w:rsidRPr="00BD1C17" w:rsidRDefault="00BD1C17" w:rsidP="00BD1C17">
            <w:pPr>
              <w:kinsoku w:val="0"/>
              <w:overflowPunct w:val="0"/>
              <w:autoSpaceDE w:val="0"/>
              <w:autoSpaceDN w:val="0"/>
              <w:adjustRightInd w:val="0"/>
              <w:spacing w:after="0" w:line="331" w:lineRule="exact"/>
              <w:ind w:left="99" w:right="94"/>
              <w:jc w:val="center"/>
              <w:rPr>
                <w:rFonts w:ascii="Euclid" w:hAnsi="Euclid" w:cs="Euclid"/>
                <w:spacing w:val="-2"/>
                <w:sz w:val="20"/>
                <w:szCs w:val="20"/>
              </w:rPr>
            </w:pPr>
            <w:r w:rsidRPr="00BD1C17">
              <w:rPr>
                <w:rFonts w:ascii="Euclid" w:hAnsi="Euclid" w:cs="Euclid"/>
                <w:spacing w:val="-2"/>
                <w:sz w:val="20"/>
                <w:szCs w:val="20"/>
              </w:rPr>
              <w:t>(0.001)</w:t>
            </w:r>
          </w:p>
        </w:tc>
      </w:tr>
      <w:tr w:rsidR="00BD1C17" w:rsidRPr="00BD1C17" w14:paraId="4571DE73" w14:textId="77777777">
        <w:trPr>
          <w:trHeight w:val="474"/>
        </w:trPr>
        <w:tc>
          <w:tcPr>
            <w:tcW w:w="1902" w:type="dxa"/>
            <w:tcBorders>
              <w:top w:val="none" w:sz="6" w:space="0" w:color="auto"/>
              <w:left w:val="none" w:sz="6" w:space="0" w:color="auto"/>
              <w:bottom w:val="none" w:sz="6" w:space="0" w:color="auto"/>
              <w:right w:val="none" w:sz="6" w:space="0" w:color="auto"/>
            </w:tcBorders>
          </w:tcPr>
          <w:p w14:paraId="06B85BCB" w14:textId="77777777" w:rsidR="00BD1C17" w:rsidRPr="00BD1C17" w:rsidRDefault="00BD1C17" w:rsidP="00BD1C17">
            <w:pPr>
              <w:kinsoku w:val="0"/>
              <w:overflowPunct w:val="0"/>
              <w:autoSpaceDE w:val="0"/>
              <w:autoSpaceDN w:val="0"/>
              <w:adjustRightInd w:val="0"/>
              <w:spacing w:before="114" w:after="0" w:line="240" w:lineRule="auto"/>
              <w:ind w:left="119"/>
              <w:rPr>
                <w:rFonts w:ascii="Euclid" w:hAnsi="Euclid" w:cs="Euclid"/>
                <w:spacing w:val="-2"/>
                <w:sz w:val="20"/>
                <w:szCs w:val="20"/>
              </w:rPr>
            </w:pPr>
            <w:r w:rsidRPr="00BD1C17">
              <w:rPr>
                <w:rFonts w:ascii="Euclid" w:hAnsi="Euclid" w:cs="Euclid"/>
                <w:spacing w:val="-2"/>
                <w:sz w:val="20"/>
                <w:szCs w:val="20"/>
              </w:rPr>
              <w:t>Constant</w:t>
            </w:r>
          </w:p>
        </w:tc>
        <w:tc>
          <w:tcPr>
            <w:tcW w:w="1174" w:type="dxa"/>
            <w:tcBorders>
              <w:top w:val="none" w:sz="6" w:space="0" w:color="auto"/>
              <w:left w:val="none" w:sz="6" w:space="0" w:color="auto"/>
              <w:bottom w:val="none" w:sz="6" w:space="0" w:color="auto"/>
              <w:right w:val="none" w:sz="6" w:space="0" w:color="auto"/>
            </w:tcBorders>
          </w:tcPr>
          <w:p w14:paraId="69A634E3" w14:textId="77777777" w:rsidR="00BD1C17" w:rsidRPr="00BD1C17" w:rsidRDefault="00BD1C17" w:rsidP="00BD1C17">
            <w:pPr>
              <w:kinsoku w:val="0"/>
              <w:overflowPunct w:val="0"/>
              <w:autoSpaceDE w:val="0"/>
              <w:autoSpaceDN w:val="0"/>
              <w:adjustRightInd w:val="0"/>
              <w:spacing w:before="114" w:after="0" w:line="240" w:lineRule="auto"/>
              <w:ind w:left="92" w:right="100"/>
              <w:jc w:val="center"/>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0.054</w:t>
            </w:r>
            <w:r w:rsidRPr="00BD1C17">
              <w:rPr>
                <w:rFonts w:ascii="Lucida Sans Unicode" w:hAnsi="Lucida Sans Unicode" w:cs="Lucida Sans Unicode"/>
                <w:spacing w:val="-2"/>
                <w:sz w:val="20"/>
                <w:szCs w:val="20"/>
                <w:vertAlign w:val="superscript"/>
              </w:rPr>
              <w:t>∗∗∗</w:t>
            </w:r>
          </w:p>
        </w:tc>
        <w:tc>
          <w:tcPr>
            <w:tcW w:w="951" w:type="dxa"/>
            <w:tcBorders>
              <w:top w:val="none" w:sz="6" w:space="0" w:color="auto"/>
              <w:left w:val="none" w:sz="6" w:space="0" w:color="auto"/>
              <w:bottom w:val="none" w:sz="6" w:space="0" w:color="auto"/>
              <w:right w:val="none" w:sz="6" w:space="0" w:color="auto"/>
            </w:tcBorders>
          </w:tcPr>
          <w:p w14:paraId="2847E6DF" w14:textId="77777777" w:rsidR="00BD1C17" w:rsidRPr="00BD1C17" w:rsidRDefault="00BD1C17" w:rsidP="00BD1C17">
            <w:pPr>
              <w:kinsoku w:val="0"/>
              <w:overflowPunct w:val="0"/>
              <w:autoSpaceDE w:val="0"/>
              <w:autoSpaceDN w:val="0"/>
              <w:adjustRightInd w:val="0"/>
              <w:spacing w:before="114" w:after="0" w:line="240" w:lineRule="auto"/>
              <w:ind w:right="129"/>
              <w:jc w:val="right"/>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0.057</w:t>
            </w:r>
            <w:r w:rsidRPr="00BD1C17">
              <w:rPr>
                <w:rFonts w:ascii="Lucida Sans Unicode" w:hAnsi="Lucida Sans Unicode" w:cs="Lucida Sans Unicode"/>
                <w:spacing w:val="-2"/>
                <w:sz w:val="20"/>
                <w:szCs w:val="20"/>
                <w:vertAlign w:val="superscript"/>
              </w:rPr>
              <w:t>∗∗∗</w:t>
            </w:r>
          </w:p>
        </w:tc>
        <w:tc>
          <w:tcPr>
            <w:tcW w:w="1230" w:type="dxa"/>
            <w:tcBorders>
              <w:top w:val="none" w:sz="6" w:space="0" w:color="auto"/>
              <w:left w:val="none" w:sz="6" w:space="0" w:color="auto"/>
              <w:bottom w:val="none" w:sz="6" w:space="0" w:color="auto"/>
              <w:right w:val="none" w:sz="6" w:space="0" w:color="auto"/>
            </w:tcBorders>
          </w:tcPr>
          <w:p w14:paraId="6970BCE5" w14:textId="77777777" w:rsidR="00BD1C17" w:rsidRPr="00BD1C17" w:rsidRDefault="00BD1C17" w:rsidP="00BD1C17">
            <w:pPr>
              <w:kinsoku w:val="0"/>
              <w:overflowPunct w:val="0"/>
              <w:autoSpaceDE w:val="0"/>
              <w:autoSpaceDN w:val="0"/>
              <w:adjustRightInd w:val="0"/>
              <w:spacing w:before="114" w:after="0" w:line="240" w:lineRule="auto"/>
              <w:ind w:left="93" w:right="100"/>
              <w:jc w:val="center"/>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0.057</w:t>
            </w:r>
            <w:r w:rsidRPr="00BD1C17">
              <w:rPr>
                <w:rFonts w:ascii="Lucida Sans Unicode" w:hAnsi="Lucida Sans Unicode" w:cs="Lucida Sans Unicode"/>
                <w:spacing w:val="-2"/>
                <w:sz w:val="20"/>
                <w:szCs w:val="20"/>
                <w:vertAlign w:val="superscript"/>
              </w:rPr>
              <w:t>∗∗∗</w:t>
            </w:r>
          </w:p>
        </w:tc>
        <w:tc>
          <w:tcPr>
            <w:tcW w:w="1134" w:type="dxa"/>
            <w:tcBorders>
              <w:top w:val="none" w:sz="6" w:space="0" w:color="auto"/>
              <w:left w:val="none" w:sz="6" w:space="0" w:color="auto"/>
              <w:bottom w:val="none" w:sz="6" w:space="0" w:color="auto"/>
              <w:right w:val="none" w:sz="6" w:space="0" w:color="auto"/>
            </w:tcBorders>
          </w:tcPr>
          <w:p w14:paraId="250B8CC3" w14:textId="77777777" w:rsidR="00BD1C17" w:rsidRPr="00BD1C17" w:rsidRDefault="00BD1C17" w:rsidP="00BD1C17">
            <w:pPr>
              <w:kinsoku w:val="0"/>
              <w:overflowPunct w:val="0"/>
              <w:autoSpaceDE w:val="0"/>
              <w:autoSpaceDN w:val="0"/>
              <w:adjustRightInd w:val="0"/>
              <w:spacing w:before="114" w:after="0" w:line="240" w:lineRule="auto"/>
              <w:ind w:left="97" w:right="104"/>
              <w:jc w:val="center"/>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0.055</w:t>
            </w:r>
            <w:r w:rsidRPr="00BD1C17">
              <w:rPr>
                <w:rFonts w:ascii="Lucida Sans Unicode" w:hAnsi="Lucida Sans Unicode" w:cs="Lucida Sans Unicode"/>
                <w:spacing w:val="-2"/>
                <w:sz w:val="20"/>
                <w:szCs w:val="20"/>
                <w:vertAlign w:val="superscript"/>
              </w:rPr>
              <w:t>∗∗∗</w:t>
            </w:r>
          </w:p>
        </w:tc>
        <w:tc>
          <w:tcPr>
            <w:tcW w:w="1304" w:type="dxa"/>
            <w:tcBorders>
              <w:top w:val="none" w:sz="6" w:space="0" w:color="auto"/>
              <w:left w:val="none" w:sz="6" w:space="0" w:color="auto"/>
              <w:bottom w:val="none" w:sz="6" w:space="0" w:color="auto"/>
              <w:right w:val="none" w:sz="6" w:space="0" w:color="auto"/>
            </w:tcBorders>
          </w:tcPr>
          <w:p w14:paraId="4723DA13" w14:textId="77777777" w:rsidR="00BD1C17" w:rsidRPr="00BD1C17" w:rsidRDefault="00BD1C17" w:rsidP="00BD1C17">
            <w:pPr>
              <w:kinsoku w:val="0"/>
              <w:overflowPunct w:val="0"/>
              <w:autoSpaceDE w:val="0"/>
              <w:autoSpaceDN w:val="0"/>
              <w:adjustRightInd w:val="0"/>
              <w:spacing w:before="114" w:after="0" w:line="240" w:lineRule="auto"/>
              <w:ind w:left="90" w:right="99"/>
              <w:jc w:val="center"/>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0.336</w:t>
            </w:r>
            <w:r w:rsidRPr="00BD1C17">
              <w:rPr>
                <w:rFonts w:ascii="Lucida Sans Unicode" w:hAnsi="Lucida Sans Unicode" w:cs="Lucida Sans Unicode"/>
                <w:spacing w:val="-2"/>
                <w:sz w:val="20"/>
                <w:szCs w:val="20"/>
                <w:vertAlign w:val="superscript"/>
              </w:rPr>
              <w:t>∗∗∗</w:t>
            </w:r>
          </w:p>
        </w:tc>
      </w:tr>
      <w:tr w:rsidR="00BD1C17" w:rsidRPr="00BD1C17" w14:paraId="5DB9D573" w14:textId="77777777">
        <w:trPr>
          <w:trHeight w:val="335"/>
        </w:trPr>
        <w:tc>
          <w:tcPr>
            <w:tcW w:w="1902" w:type="dxa"/>
            <w:tcBorders>
              <w:top w:val="none" w:sz="6" w:space="0" w:color="auto"/>
              <w:left w:val="none" w:sz="6" w:space="0" w:color="auto"/>
              <w:bottom w:val="single" w:sz="4" w:space="0" w:color="000000"/>
              <w:right w:val="none" w:sz="6" w:space="0" w:color="auto"/>
            </w:tcBorders>
          </w:tcPr>
          <w:p w14:paraId="3C6FA98F"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c>
          <w:tcPr>
            <w:tcW w:w="1174" w:type="dxa"/>
            <w:tcBorders>
              <w:top w:val="none" w:sz="6" w:space="0" w:color="auto"/>
              <w:left w:val="none" w:sz="6" w:space="0" w:color="auto"/>
              <w:bottom w:val="single" w:sz="4" w:space="0" w:color="000000"/>
              <w:right w:val="none" w:sz="6" w:space="0" w:color="auto"/>
            </w:tcBorders>
          </w:tcPr>
          <w:p w14:paraId="22C8AD3D" w14:textId="77777777" w:rsidR="00BD1C17" w:rsidRPr="00BD1C17" w:rsidRDefault="00BD1C17" w:rsidP="00BD1C17">
            <w:pPr>
              <w:kinsoku w:val="0"/>
              <w:overflowPunct w:val="0"/>
              <w:autoSpaceDE w:val="0"/>
              <w:autoSpaceDN w:val="0"/>
              <w:adjustRightInd w:val="0"/>
              <w:spacing w:after="0" w:line="316" w:lineRule="exact"/>
              <w:ind w:left="100" w:right="100"/>
              <w:jc w:val="center"/>
              <w:rPr>
                <w:rFonts w:ascii="Euclid" w:hAnsi="Euclid" w:cs="Euclid"/>
                <w:spacing w:val="-2"/>
                <w:sz w:val="20"/>
                <w:szCs w:val="20"/>
              </w:rPr>
            </w:pPr>
            <w:r w:rsidRPr="00BD1C17">
              <w:rPr>
                <w:rFonts w:ascii="Euclid" w:hAnsi="Euclid" w:cs="Euclid"/>
                <w:spacing w:val="-2"/>
                <w:sz w:val="20"/>
                <w:szCs w:val="20"/>
              </w:rPr>
              <w:t>(0.012)</w:t>
            </w:r>
          </w:p>
        </w:tc>
        <w:tc>
          <w:tcPr>
            <w:tcW w:w="951" w:type="dxa"/>
            <w:tcBorders>
              <w:top w:val="none" w:sz="6" w:space="0" w:color="auto"/>
              <w:left w:val="none" w:sz="6" w:space="0" w:color="auto"/>
              <w:bottom w:val="single" w:sz="4" w:space="0" w:color="000000"/>
              <w:right w:val="none" w:sz="6" w:space="0" w:color="auto"/>
            </w:tcBorders>
          </w:tcPr>
          <w:p w14:paraId="07AAD248" w14:textId="77777777" w:rsidR="00BD1C17" w:rsidRPr="00BD1C17" w:rsidRDefault="00BD1C17" w:rsidP="00BD1C17">
            <w:pPr>
              <w:kinsoku w:val="0"/>
              <w:overflowPunct w:val="0"/>
              <w:autoSpaceDE w:val="0"/>
              <w:autoSpaceDN w:val="0"/>
              <w:adjustRightInd w:val="0"/>
              <w:spacing w:after="0" w:line="316" w:lineRule="exact"/>
              <w:ind w:right="167"/>
              <w:jc w:val="right"/>
              <w:rPr>
                <w:rFonts w:ascii="Euclid" w:hAnsi="Euclid" w:cs="Euclid"/>
                <w:spacing w:val="-2"/>
                <w:sz w:val="20"/>
                <w:szCs w:val="20"/>
              </w:rPr>
            </w:pPr>
            <w:r w:rsidRPr="00BD1C17">
              <w:rPr>
                <w:rFonts w:ascii="Euclid" w:hAnsi="Euclid" w:cs="Euclid"/>
                <w:spacing w:val="-2"/>
                <w:sz w:val="20"/>
                <w:szCs w:val="20"/>
              </w:rPr>
              <w:t>(0.013)</w:t>
            </w:r>
          </w:p>
        </w:tc>
        <w:tc>
          <w:tcPr>
            <w:tcW w:w="1230" w:type="dxa"/>
            <w:tcBorders>
              <w:top w:val="none" w:sz="6" w:space="0" w:color="auto"/>
              <w:left w:val="none" w:sz="6" w:space="0" w:color="auto"/>
              <w:bottom w:val="single" w:sz="4" w:space="0" w:color="000000"/>
              <w:right w:val="none" w:sz="6" w:space="0" w:color="auto"/>
            </w:tcBorders>
          </w:tcPr>
          <w:p w14:paraId="3F51D4D2" w14:textId="77777777" w:rsidR="00BD1C17" w:rsidRPr="00BD1C17" w:rsidRDefault="00BD1C17" w:rsidP="00BD1C17">
            <w:pPr>
              <w:kinsoku w:val="0"/>
              <w:overflowPunct w:val="0"/>
              <w:autoSpaceDE w:val="0"/>
              <w:autoSpaceDN w:val="0"/>
              <w:adjustRightInd w:val="0"/>
              <w:spacing w:after="0" w:line="316" w:lineRule="exact"/>
              <w:ind w:left="100" w:right="96"/>
              <w:jc w:val="center"/>
              <w:rPr>
                <w:rFonts w:ascii="Euclid" w:hAnsi="Euclid" w:cs="Euclid"/>
                <w:spacing w:val="-2"/>
                <w:sz w:val="20"/>
                <w:szCs w:val="20"/>
              </w:rPr>
            </w:pPr>
            <w:r w:rsidRPr="00BD1C17">
              <w:rPr>
                <w:rFonts w:ascii="Euclid" w:hAnsi="Euclid" w:cs="Euclid"/>
                <w:spacing w:val="-2"/>
                <w:sz w:val="20"/>
                <w:szCs w:val="20"/>
              </w:rPr>
              <w:t>(0.012)</w:t>
            </w:r>
          </w:p>
        </w:tc>
        <w:tc>
          <w:tcPr>
            <w:tcW w:w="1134" w:type="dxa"/>
            <w:tcBorders>
              <w:top w:val="none" w:sz="6" w:space="0" w:color="auto"/>
              <w:left w:val="none" w:sz="6" w:space="0" w:color="auto"/>
              <w:bottom w:val="single" w:sz="4" w:space="0" w:color="000000"/>
              <w:right w:val="none" w:sz="6" w:space="0" w:color="auto"/>
            </w:tcBorders>
          </w:tcPr>
          <w:p w14:paraId="415E4CC3" w14:textId="77777777" w:rsidR="00BD1C17" w:rsidRPr="00BD1C17" w:rsidRDefault="00BD1C17" w:rsidP="00BD1C17">
            <w:pPr>
              <w:kinsoku w:val="0"/>
              <w:overflowPunct w:val="0"/>
              <w:autoSpaceDE w:val="0"/>
              <w:autoSpaceDN w:val="0"/>
              <w:adjustRightInd w:val="0"/>
              <w:spacing w:after="0" w:line="316" w:lineRule="exact"/>
              <w:ind w:left="104" w:right="99"/>
              <w:jc w:val="center"/>
              <w:rPr>
                <w:rFonts w:ascii="Euclid" w:hAnsi="Euclid" w:cs="Euclid"/>
                <w:spacing w:val="-2"/>
                <w:sz w:val="20"/>
                <w:szCs w:val="20"/>
              </w:rPr>
            </w:pPr>
            <w:r w:rsidRPr="00BD1C17">
              <w:rPr>
                <w:rFonts w:ascii="Euclid" w:hAnsi="Euclid" w:cs="Euclid"/>
                <w:spacing w:val="-2"/>
                <w:sz w:val="20"/>
                <w:szCs w:val="20"/>
              </w:rPr>
              <w:t>(0.012)</w:t>
            </w:r>
          </w:p>
        </w:tc>
        <w:tc>
          <w:tcPr>
            <w:tcW w:w="1304" w:type="dxa"/>
            <w:tcBorders>
              <w:top w:val="none" w:sz="6" w:space="0" w:color="auto"/>
              <w:left w:val="none" w:sz="6" w:space="0" w:color="auto"/>
              <w:bottom w:val="single" w:sz="4" w:space="0" w:color="000000"/>
              <w:right w:val="none" w:sz="6" w:space="0" w:color="auto"/>
            </w:tcBorders>
          </w:tcPr>
          <w:p w14:paraId="59B3B1D3" w14:textId="77777777" w:rsidR="00BD1C17" w:rsidRPr="00BD1C17" w:rsidRDefault="00BD1C17" w:rsidP="00BD1C17">
            <w:pPr>
              <w:kinsoku w:val="0"/>
              <w:overflowPunct w:val="0"/>
              <w:autoSpaceDE w:val="0"/>
              <w:autoSpaceDN w:val="0"/>
              <w:adjustRightInd w:val="0"/>
              <w:spacing w:after="0" w:line="316" w:lineRule="exact"/>
              <w:ind w:left="99" w:right="94"/>
              <w:jc w:val="center"/>
              <w:rPr>
                <w:rFonts w:ascii="Euclid" w:hAnsi="Euclid" w:cs="Euclid"/>
                <w:spacing w:val="-2"/>
                <w:sz w:val="20"/>
                <w:szCs w:val="20"/>
              </w:rPr>
            </w:pPr>
            <w:r w:rsidRPr="00BD1C17">
              <w:rPr>
                <w:rFonts w:ascii="Euclid" w:hAnsi="Euclid" w:cs="Euclid"/>
                <w:spacing w:val="-2"/>
                <w:sz w:val="20"/>
                <w:szCs w:val="20"/>
              </w:rPr>
              <w:t>(0.091)</w:t>
            </w:r>
          </w:p>
        </w:tc>
      </w:tr>
      <w:tr w:rsidR="00BD1C17" w:rsidRPr="00BD1C17" w14:paraId="3F2A235D" w14:textId="77777777">
        <w:trPr>
          <w:trHeight w:val="375"/>
        </w:trPr>
        <w:tc>
          <w:tcPr>
            <w:tcW w:w="1902" w:type="dxa"/>
            <w:tcBorders>
              <w:top w:val="single" w:sz="4" w:space="0" w:color="000000"/>
              <w:left w:val="none" w:sz="6" w:space="0" w:color="auto"/>
              <w:bottom w:val="none" w:sz="6" w:space="0" w:color="auto"/>
              <w:right w:val="none" w:sz="6" w:space="0" w:color="auto"/>
            </w:tcBorders>
          </w:tcPr>
          <w:p w14:paraId="3D3E88E6" w14:textId="77777777" w:rsidR="00BD1C17" w:rsidRPr="00BD1C17" w:rsidRDefault="00BD1C17" w:rsidP="00BD1C17">
            <w:pPr>
              <w:kinsoku w:val="0"/>
              <w:overflowPunct w:val="0"/>
              <w:autoSpaceDE w:val="0"/>
              <w:autoSpaceDN w:val="0"/>
              <w:adjustRightInd w:val="0"/>
              <w:spacing w:before="19" w:after="0" w:line="240" w:lineRule="auto"/>
              <w:ind w:left="119"/>
              <w:rPr>
                <w:rFonts w:ascii="Euclid" w:hAnsi="Euclid" w:cs="Euclid"/>
                <w:sz w:val="20"/>
                <w:szCs w:val="20"/>
              </w:rPr>
            </w:pPr>
            <w:r w:rsidRPr="00BD1C17">
              <w:rPr>
                <w:rFonts w:ascii="Euclid" w:hAnsi="Euclid" w:cs="Euclid"/>
                <w:sz w:val="20"/>
                <w:szCs w:val="20"/>
              </w:rPr>
              <w:t>Circuit X Year</w:t>
            </w:r>
          </w:p>
        </w:tc>
        <w:tc>
          <w:tcPr>
            <w:tcW w:w="1174" w:type="dxa"/>
            <w:tcBorders>
              <w:top w:val="single" w:sz="4" w:space="0" w:color="000000"/>
              <w:left w:val="none" w:sz="6" w:space="0" w:color="auto"/>
              <w:bottom w:val="none" w:sz="6" w:space="0" w:color="auto"/>
              <w:right w:val="none" w:sz="6" w:space="0" w:color="auto"/>
            </w:tcBorders>
          </w:tcPr>
          <w:p w14:paraId="2316BD84" w14:textId="77777777" w:rsidR="00BD1C17" w:rsidRPr="00BD1C17" w:rsidRDefault="00BD1C17" w:rsidP="00BD1C17">
            <w:pPr>
              <w:kinsoku w:val="0"/>
              <w:overflowPunct w:val="0"/>
              <w:autoSpaceDE w:val="0"/>
              <w:autoSpaceDN w:val="0"/>
              <w:adjustRightInd w:val="0"/>
              <w:spacing w:before="34" w:after="0" w:line="240" w:lineRule="auto"/>
              <w:jc w:val="center"/>
              <w:rPr>
                <w:rFonts w:ascii="Segoe UI Symbol" w:hAnsi="Segoe UI Symbol" w:cs="Segoe UI Symbol"/>
                <w:w w:val="110"/>
                <w:sz w:val="20"/>
                <w:szCs w:val="20"/>
              </w:rPr>
            </w:pPr>
            <w:r w:rsidRPr="00BD1C17">
              <w:rPr>
                <w:rFonts w:ascii="Segoe UI Symbol" w:hAnsi="Segoe UI Symbol" w:cs="Segoe UI Symbol"/>
                <w:w w:val="110"/>
                <w:sz w:val="20"/>
                <w:szCs w:val="20"/>
              </w:rPr>
              <w:t>✓</w:t>
            </w:r>
          </w:p>
        </w:tc>
        <w:tc>
          <w:tcPr>
            <w:tcW w:w="951" w:type="dxa"/>
            <w:tcBorders>
              <w:top w:val="single" w:sz="4" w:space="0" w:color="000000"/>
              <w:left w:val="none" w:sz="6" w:space="0" w:color="auto"/>
              <w:bottom w:val="none" w:sz="6" w:space="0" w:color="auto"/>
              <w:right w:val="none" w:sz="6" w:space="0" w:color="auto"/>
            </w:tcBorders>
          </w:tcPr>
          <w:p w14:paraId="3A714240" w14:textId="77777777" w:rsidR="00BD1C17" w:rsidRPr="00BD1C17" w:rsidRDefault="00BD1C17" w:rsidP="00BD1C17">
            <w:pPr>
              <w:kinsoku w:val="0"/>
              <w:overflowPunct w:val="0"/>
              <w:autoSpaceDE w:val="0"/>
              <w:autoSpaceDN w:val="0"/>
              <w:adjustRightInd w:val="0"/>
              <w:spacing w:before="34" w:after="0" w:line="240" w:lineRule="auto"/>
              <w:jc w:val="center"/>
              <w:rPr>
                <w:rFonts w:ascii="Segoe UI Symbol" w:hAnsi="Segoe UI Symbol" w:cs="Segoe UI Symbol"/>
                <w:w w:val="110"/>
                <w:sz w:val="20"/>
                <w:szCs w:val="20"/>
              </w:rPr>
            </w:pPr>
            <w:r w:rsidRPr="00BD1C17">
              <w:rPr>
                <w:rFonts w:ascii="Segoe UI Symbol" w:hAnsi="Segoe UI Symbol" w:cs="Segoe UI Symbol"/>
                <w:w w:val="110"/>
                <w:sz w:val="20"/>
                <w:szCs w:val="20"/>
              </w:rPr>
              <w:t>✓</w:t>
            </w:r>
          </w:p>
        </w:tc>
        <w:tc>
          <w:tcPr>
            <w:tcW w:w="1230" w:type="dxa"/>
            <w:tcBorders>
              <w:top w:val="single" w:sz="4" w:space="0" w:color="000000"/>
              <w:left w:val="none" w:sz="6" w:space="0" w:color="auto"/>
              <w:bottom w:val="none" w:sz="6" w:space="0" w:color="auto"/>
              <w:right w:val="none" w:sz="6" w:space="0" w:color="auto"/>
            </w:tcBorders>
          </w:tcPr>
          <w:p w14:paraId="26076E2A" w14:textId="77777777" w:rsidR="00BD1C17" w:rsidRPr="00BD1C17" w:rsidRDefault="00BD1C17" w:rsidP="00BD1C17">
            <w:pPr>
              <w:kinsoku w:val="0"/>
              <w:overflowPunct w:val="0"/>
              <w:autoSpaceDE w:val="0"/>
              <w:autoSpaceDN w:val="0"/>
              <w:adjustRightInd w:val="0"/>
              <w:spacing w:before="34" w:after="0" w:line="240" w:lineRule="auto"/>
              <w:jc w:val="center"/>
              <w:rPr>
                <w:rFonts w:ascii="Segoe UI Symbol" w:hAnsi="Segoe UI Symbol" w:cs="Segoe UI Symbol"/>
                <w:w w:val="110"/>
                <w:sz w:val="20"/>
                <w:szCs w:val="20"/>
              </w:rPr>
            </w:pPr>
            <w:r w:rsidRPr="00BD1C17">
              <w:rPr>
                <w:rFonts w:ascii="Segoe UI Symbol" w:hAnsi="Segoe UI Symbol" w:cs="Segoe UI Symbol"/>
                <w:w w:val="110"/>
                <w:sz w:val="20"/>
                <w:szCs w:val="20"/>
              </w:rPr>
              <w:t>✓</w:t>
            </w:r>
          </w:p>
        </w:tc>
        <w:tc>
          <w:tcPr>
            <w:tcW w:w="1134" w:type="dxa"/>
            <w:tcBorders>
              <w:top w:val="single" w:sz="4" w:space="0" w:color="000000"/>
              <w:left w:val="none" w:sz="6" w:space="0" w:color="auto"/>
              <w:bottom w:val="none" w:sz="6" w:space="0" w:color="auto"/>
              <w:right w:val="none" w:sz="6" w:space="0" w:color="auto"/>
            </w:tcBorders>
          </w:tcPr>
          <w:p w14:paraId="0619FDBB" w14:textId="77777777" w:rsidR="00BD1C17" w:rsidRPr="00BD1C17" w:rsidRDefault="00BD1C17" w:rsidP="00BD1C17">
            <w:pPr>
              <w:kinsoku w:val="0"/>
              <w:overflowPunct w:val="0"/>
              <w:autoSpaceDE w:val="0"/>
              <w:autoSpaceDN w:val="0"/>
              <w:adjustRightInd w:val="0"/>
              <w:spacing w:before="34" w:after="0" w:line="240" w:lineRule="auto"/>
              <w:jc w:val="center"/>
              <w:rPr>
                <w:rFonts w:ascii="Segoe UI Symbol" w:hAnsi="Segoe UI Symbol" w:cs="Segoe UI Symbol"/>
                <w:w w:val="110"/>
                <w:sz w:val="20"/>
                <w:szCs w:val="20"/>
              </w:rPr>
            </w:pPr>
            <w:r w:rsidRPr="00BD1C17">
              <w:rPr>
                <w:rFonts w:ascii="Segoe UI Symbol" w:hAnsi="Segoe UI Symbol" w:cs="Segoe UI Symbol"/>
                <w:w w:val="110"/>
                <w:sz w:val="20"/>
                <w:szCs w:val="20"/>
              </w:rPr>
              <w:t>✓</w:t>
            </w:r>
          </w:p>
        </w:tc>
        <w:tc>
          <w:tcPr>
            <w:tcW w:w="1304" w:type="dxa"/>
            <w:tcBorders>
              <w:top w:val="single" w:sz="4" w:space="0" w:color="000000"/>
              <w:left w:val="none" w:sz="6" w:space="0" w:color="auto"/>
              <w:bottom w:val="none" w:sz="6" w:space="0" w:color="auto"/>
              <w:right w:val="none" w:sz="6" w:space="0" w:color="auto"/>
            </w:tcBorders>
          </w:tcPr>
          <w:p w14:paraId="2E279273" w14:textId="77777777" w:rsidR="00BD1C17" w:rsidRPr="00BD1C17" w:rsidRDefault="00BD1C17" w:rsidP="00BD1C17">
            <w:pPr>
              <w:kinsoku w:val="0"/>
              <w:overflowPunct w:val="0"/>
              <w:autoSpaceDE w:val="0"/>
              <w:autoSpaceDN w:val="0"/>
              <w:adjustRightInd w:val="0"/>
              <w:spacing w:before="34" w:after="0" w:line="240" w:lineRule="auto"/>
              <w:ind w:right="1"/>
              <w:jc w:val="center"/>
              <w:rPr>
                <w:rFonts w:ascii="Segoe UI Symbol" w:hAnsi="Segoe UI Symbol" w:cs="Segoe UI Symbol"/>
                <w:w w:val="110"/>
                <w:sz w:val="20"/>
                <w:szCs w:val="20"/>
              </w:rPr>
            </w:pPr>
            <w:r w:rsidRPr="00BD1C17">
              <w:rPr>
                <w:rFonts w:ascii="Segoe UI Symbol" w:hAnsi="Segoe UI Symbol" w:cs="Segoe UI Symbol"/>
                <w:w w:val="110"/>
                <w:sz w:val="20"/>
                <w:szCs w:val="20"/>
              </w:rPr>
              <w:t>✓</w:t>
            </w:r>
          </w:p>
        </w:tc>
      </w:tr>
      <w:tr w:rsidR="00BD1C17" w:rsidRPr="00BD1C17" w14:paraId="4E366484" w14:textId="77777777">
        <w:trPr>
          <w:trHeight w:val="358"/>
        </w:trPr>
        <w:tc>
          <w:tcPr>
            <w:tcW w:w="1902" w:type="dxa"/>
            <w:tcBorders>
              <w:top w:val="none" w:sz="6" w:space="0" w:color="auto"/>
              <w:left w:val="none" w:sz="6" w:space="0" w:color="auto"/>
              <w:bottom w:val="none" w:sz="6" w:space="0" w:color="auto"/>
              <w:right w:val="none" w:sz="6" w:space="0" w:color="auto"/>
            </w:tcBorders>
          </w:tcPr>
          <w:p w14:paraId="4E9B7B9A" w14:textId="77777777" w:rsidR="00BD1C17" w:rsidRPr="00BD1C17" w:rsidRDefault="00BD1C17" w:rsidP="00BD1C17">
            <w:pPr>
              <w:kinsoku w:val="0"/>
              <w:overflowPunct w:val="0"/>
              <w:autoSpaceDE w:val="0"/>
              <w:autoSpaceDN w:val="0"/>
              <w:adjustRightInd w:val="0"/>
              <w:spacing w:before="2" w:after="0" w:line="240" w:lineRule="auto"/>
              <w:ind w:left="119"/>
              <w:rPr>
                <w:rFonts w:ascii="Euclid" w:hAnsi="Euclid" w:cs="Euclid"/>
                <w:sz w:val="20"/>
                <w:szCs w:val="20"/>
              </w:rPr>
            </w:pPr>
            <w:r w:rsidRPr="00BD1C17">
              <w:rPr>
                <w:rFonts w:ascii="Euclid" w:hAnsi="Euclid" w:cs="Euclid"/>
                <w:sz w:val="20"/>
                <w:szCs w:val="20"/>
              </w:rPr>
              <w:t>Offense Type</w:t>
            </w:r>
          </w:p>
        </w:tc>
        <w:tc>
          <w:tcPr>
            <w:tcW w:w="1174" w:type="dxa"/>
            <w:tcBorders>
              <w:top w:val="none" w:sz="6" w:space="0" w:color="auto"/>
              <w:left w:val="none" w:sz="6" w:space="0" w:color="auto"/>
              <w:bottom w:val="none" w:sz="6" w:space="0" w:color="auto"/>
              <w:right w:val="none" w:sz="6" w:space="0" w:color="auto"/>
            </w:tcBorders>
          </w:tcPr>
          <w:p w14:paraId="3DE1B476" w14:textId="77777777" w:rsidR="00BD1C17" w:rsidRPr="00BD1C17" w:rsidRDefault="00BD1C17" w:rsidP="00BD1C17">
            <w:pPr>
              <w:kinsoku w:val="0"/>
              <w:overflowPunct w:val="0"/>
              <w:autoSpaceDE w:val="0"/>
              <w:autoSpaceDN w:val="0"/>
              <w:adjustRightInd w:val="0"/>
              <w:spacing w:before="17" w:after="0" w:line="240" w:lineRule="auto"/>
              <w:jc w:val="center"/>
              <w:rPr>
                <w:rFonts w:ascii="Segoe UI Symbol" w:hAnsi="Segoe UI Symbol" w:cs="Segoe UI Symbol"/>
                <w:w w:val="110"/>
                <w:sz w:val="20"/>
                <w:szCs w:val="20"/>
              </w:rPr>
            </w:pPr>
            <w:r w:rsidRPr="00BD1C17">
              <w:rPr>
                <w:rFonts w:ascii="Segoe UI Symbol" w:hAnsi="Segoe UI Symbol" w:cs="Segoe UI Symbol"/>
                <w:w w:val="110"/>
                <w:sz w:val="20"/>
                <w:szCs w:val="20"/>
              </w:rPr>
              <w:t>✓</w:t>
            </w:r>
          </w:p>
        </w:tc>
        <w:tc>
          <w:tcPr>
            <w:tcW w:w="951" w:type="dxa"/>
            <w:tcBorders>
              <w:top w:val="none" w:sz="6" w:space="0" w:color="auto"/>
              <w:left w:val="none" w:sz="6" w:space="0" w:color="auto"/>
              <w:bottom w:val="none" w:sz="6" w:space="0" w:color="auto"/>
              <w:right w:val="none" w:sz="6" w:space="0" w:color="auto"/>
            </w:tcBorders>
          </w:tcPr>
          <w:p w14:paraId="16D4F3D4" w14:textId="77777777" w:rsidR="00BD1C17" w:rsidRPr="00BD1C17" w:rsidRDefault="00BD1C17" w:rsidP="00BD1C17">
            <w:pPr>
              <w:kinsoku w:val="0"/>
              <w:overflowPunct w:val="0"/>
              <w:autoSpaceDE w:val="0"/>
              <w:autoSpaceDN w:val="0"/>
              <w:adjustRightInd w:val="0"/>
              <w:spacing w:before="17" w:after="0" w:line="240" w:lineRule="auto"/>
              <w:jc w:val="center"/>
              <w:rPr>
                <w:rFonts w:ascii="Segoe UI Symbol" w:hAnsi="Segoe UI Symbol" w:cs="Segoe UI Symbol"/>
                <w:w w:val="110"/>
                <w:sz w:val="20"/>
                <w:szCs w:val="20"/>
              </w:rPr>
            </w:pPr>
            <w:r w:rsidRPr="00BD1C17">
              <w:rPr>
                <w:rFonts w:ascii="Segoe UI Symbol" w:hAnsi="Segoe UI Symbol" w:cs="Segoe UI Symbol"/>
                <w:w w:val="110"/>
                <w:sz w:val="20"/>
                <w:szCs w:val="20"/>
              </w:rPr>
              <w:t>✓</w:t>
            </w:r>
          </w:p>
        </w:tc>
        <w:tc>
          <w:tcPr>
            <w:tcW w:w="1230" w:type="dxa"/>
            <w:tcBorders>
              <w:top w:val="none" w:sz="6" w:space="0" w:color="auto"/>
              <w:left w:val="none" w:sz="6" w:space="0" w:color="auto"/>
              <w:bottom w:val="none" w:sz="6" w:space="0" w:color="auto"/>
              <w:right w:val="none" w:sz="6" w:space="0" w:color="auto"/>
            </w:tcBorders>
          </w:tcPr>
          <w:p w14:paraId="029AC125" w14:textId="77777777" w:rsidR="00BD1C17" w:rsidRPr="00BD1C17" w:rsidRDefault="00BD1C17" w:rsidP="00BD1C17">
            <w:pPr>
              <w:kinsoku w:val="0"/>
              <w:overflowPunct w:val="0"/>
              <w:autoSpaceDE w:val="0"/>
              <w:autoSpaceDN w:val="0"/>
              <w:adjustRightInd w:val="0"/>
              <w:spacing w:before="17" w:after="0" w:line="240" w:lineRule="auto"/>
              <w:jc w:val="center"/>
              <w:rPr>
                <w:rFonts w:ascii="Segoe UI Symbol" w:hAnsi="Segoe UI Symbol" w:cs="Segoe UI Symbol"/>
                <w:w w:val="110"/>
                <w:sz w:val="20"/>
                <w:szCs w:val="20"/>
              </w:rPr>
            </w:pPr>
            <w:r w:rsidRPr="00BD1C17">
              <w:rPr>
                <w:rFonts w:ascii="Segoe UI Symbol" w:hAnsi="Segoe UI Symbol" w:cs="Segoe UI Symbol"/>
                <w:w w:val="110"/>
                <w:sz w:val="20"/>
                <w:szCs w:val="20"/>
              </w:rPr>
              <w:t>✓</w:t>
            </w:r>
          </w:p>
        </w:tc>
        <w:tc>
          <w:tcPr>
            <w:tcW w:w="1134" w:type="dxa"/>
            <w:tcBorders>
              <w:top w:val="none" w:sz="6" w:space="0" w:color="auto"/>
              <w:left w:val="none" w:sz="6" w:space="0" w:color="auto"/>
              <w:bottom w:val="none" w:sz="6" w:space="0" w:color="auto"/>
              <w:right w:val="none" w:sz="6" w:space="0" w:color="auto"/>
            </w:tcBorders>
          </w:tcPr>
          <w:p w14:paraId="05F0539B" w14:textId="77777777" w:rsidR="00BD1C17" w:rsidRPr="00BD1C17" w:rsidRDefault="00BD1C17" w:rsidP="00BD1C17">
            <w:pPr>
              <w:kinsoku w:val="0"/>
              <w:overflowPunct w:val="0"/>
              <w:autoSpaceDE w:val="0"/>
              <w:autoSpaceDN w:val="0"/>
              <w:adjustRightInd w:val="0"/>
              <w:spacing w:before="17" w:after="0" w:line="240" w:lineRule="auto"/>
              <w:jc w:val="center"/>
              <w:rPr>
                <w:rFonts w:ascii="Segoe UI Symbol" w:hAnsi="Segoe UI Symbol" w:cs="Segoe UI Symbol"/>
                <w:w w:val="110"/>
                <w:sz w:val="20"/>
                <w:szCs w:val="20"/>
              </w:rPr>
            </w:pPr>
            <w:r w:rsidRPr="00BD1C17">
              <w:rPr>
                <w:rFonts w:ascii="Segoe UI Symbol" w:hAnsi="Segoe UI Symbol" w:cs="Segoe UI Symbol"/>
                <w:w w:val="110"/>
                <w:sz w:val="20"/>
                <w:szCs w:val="20"/>
              </w:rPr>
              <w:t>✓</w:t>
            </w:r>
          </w:p>
        </w:tc>
        <w:tc>
          <w:tcPr>
            <w:tcW w:w="1304" w:type="dxa"/>
            <w:tcBorders>
              <w:top w:val="none" w:sz="6" w:space="0" w:color="auto"/>
              <w:left w:val="none" w:sz="6" w:space="0" w:color="auto"/>
              <w:bottom w:val="none" w:sz="6" w:space="0" w:color="auto"/>
              <w:right w:val="none" w:sz="6" w:space="0" w:color="auto"/>
            </w:tcBorders>
          </w:tcPr>
          <w:p w14:paraId="6FC40666" w14:textId="77777777" w:rsidR="00BD1C17" w:rsidRPr="00BD1C17" w:rsidRDefault="00BD1C17" w:rsidP="00BD1C17">
            <w:pPr>
              <w:kinsoku w:val="0"/>
              <w:overflowPunct w:val="0"/>
              <w:autoSpaceDE w:val="0"/>
              <w:autoSpaceDN w:val="0"/>
              <w:adjustRightInd w:val="0"/>
              <w:spacing w:before="17" w:after="0" w:line="240" w:lineRule="auto"/>
              <w:ind w:right="1"/>
              <w:jc w:val="center"/>
              <w:rPr>
                <w:rFonts w:ascii="Segoe UI Symbol" w:hAnsi="Segoe UI Symbol" w:cs="Segoe UI Symbol"/>
                <w:w w:val="110"/>
                <w:sz w:val="20"/>
                <w:szCs w:val="20"/>
              </w:rPr>
            </w:pPr>
            <w:r w:rsidRPr="00BD1C17">
              <w:rPr>
                <w:rFonts w:ascii="Segoe UI Symbol" w:hAnsi="Segoe UI Symbol" w:cs="Segoe UI Symbol"/>
                <w:w w:val="110"/>
                <w:sz w:val="20"/>
                <w:szCs w:val="20"/>
              </w:rPr>
              <w:t>✓</w:t>
            </w:r>
          </w:p>
        </w:tc>
      </w:tr>
      <w:tr w:rsidR="00BD1C17" w:rsidRPr="00BD1C17" w14:paraId="0FBDC7BB" w14:textId="77777777">
        <w:trPr>
          <w:trHeight w:val="339"/>
        </w:trPr>
        <w:tc>
          <w:tcPr>
            <w:tcW w:w="1902" w:type="dxa"/>
            <w:tcBorders>
              <w:top w:val="none" w:sz="6" w:space="0" w:color="auto"/>
              <w:left w:val="none" w:sz="6" w:space="0" w:color="auto"/>
              <w:bottom w:val="single" w:sz="4" w:space="0" w:color="000000"/>
              <w:right w:val="none" w:sz="6" w:space="0" w:color="auto"/>
            </w:tcBorders>
          </w:tcPr>
          <w:p w14:paraId="17BAF50C" w14:textId="77777777" w:rsidR="00BD1C17" w:rsidRPr="00BD1C17" w:rsidRDefault="00BD1C17" w:rsidP="00BD1C17">
            <w:pPr>
              <w:kinsoku w:val="0"/>
              <w:overflowPunct w:val="0"/>
              <w:autoSpaceDE w:val="0"/>
              <w:autoSpaceDN w:val="0"/>
              <w:adjustRightInd w:val="0"/>
              <w:spacing w:before="2" w:after="0" w:line="317" w:lineRule="exact"/>
              <w:ind w:left="119"/>
              <w:rPr>
                <w:rFonts w:ascii="Euclid" w:hAnsi="Euclid" w:cs="Euclid"/>
                <w:spacing w:val="-2"/>
                <w:sz w:val="20"/>
                <w:szCs w:val="20"/>
              </w:rPr>
            </w:pPr>
            <w:r w:rsidRPr="00BD1C17">
              <w:rPr>
                <w:rFonts w:ascii="Euclid" w:hAnsi="Euclid" w:cs="Euclid"/>
                <w:spacing w:val="-2"/>
                <w:sz w:val="20"/>
                <w:szCs w:val="20"/>
              </w:rPr>
              <w:t>District</w:t>
            </w:r>
          </w:p>
        </w:tc>
        <w:tc>
          <w:tcPr>
            <w:tcW w:w="1174" w:type="dxa"/>
            <w:tcBorders>
              <w:top w:val="none" w:sz="6" w:space="0" w:color="auto"/>
              <w:left w:val="none" w:sz="6" w:space="0" w:color="auto"/>
              <w:bottom w:val="single" w:sz="4" w:space="0" w:color="000000"/>
              <w:right w:val="none" w:sz="6" w:space="0" w:color="auto"/>
            </w:tcBorders>
          </w:tcPr>
          <w:p w14:paraId="7A577FB5" w14:textId="77777777" w:rsidR="00BD1C17" w:rsidRPr="00BD1C17" w:rsidRDefault="00BD1C17" w:rsidP="00BD1C17">
            <w:pPr>
              <w:kinsoku w:val="0"/>
              <w:overflowPunct w:val="0"/>
              <w:autoSpaceDE w:val="0"/>
              <w:autoSpaceDN w:val="0"/>
              <w:adjustRightInd w:val="0"/>
              <w:spacing w:before="17" w:after="0" w:line="240" w:lineRule="auto"/>
              <w:jc w:val="center"/>
              <w:rPr>
                <w:rFonts w:ascii="Segoe UI Symbol" w:hAnsi="Segoe UI Symbol" w:cs="Segoe UI Symbol"/>
                <w:w w:val="110"/>
                <w:sz w:val="20"/>
                <w:szCs w:val="20"/>
              </w:rPr>
            </w:pPr>
            <w:r w:rsidRPr="00BD1C17">
              <w:rPr>
                <w:rFonts w:ascii="Segoe UI Symbol" w:hAnsi="Segoe UI Symbol" w:cs="Segoe UI Symbol"/>
                <w:w w:val="110"/>
                <w:sz w:val="20"/>
                <w:szCs w:val="20"/>
              </w:rPr>
              <w:t>✓</w:t>
            </w:r>
          </w:p>
        </w:tc>
        <w:tc>
          <w:tcPr>
            <w:tcW w:w="951" w:type="dxa"/>
            <w:tcBorders>
              <w:top w:val="none" w:sz="6" w:space="0" w:color="auto"/>
              <w:left w:val="none" w:sz="6" w:space="0" w:color="auto"/>
              <w:bottom w:val="single" w:sz="4" w:space="0" w:color="000000"/>
              <w:right w:val="none" w:sz="6" w:space="0" w:color="auto"/>
            </w:tcBorders>
          </w:tcPr>
          <w:p w14:paraId="09CB455C" w14:textId="77777777" w:rsidR="00BD1C17" w:rsidRPr="00BD1C17" w:rsidRDefault="00BD1C17" w:rsidP="00BD1C17">
            <w:pPr>
              <w:kinsoku w:val="0"/>
              <w:overflowPunct w:val="0"/>
              <w:autoSpaceDE w:val="0"/>
              <w:autoSpaceDN w:val="0"/>
              <w:adjustRightInd w:val="0"/>
              <w:spacing w:before="17" w:after="0" w:line="240" w:lineRule="auto"/>
              <w:jc w:val="center"/>
              <w:rPr>
                <w:rFonts w:ascii="Segoe UI Symbol" w:hAnsi="Segoe UI Symbol" w:cs="Segoe UI Symbol"/>
                <w:w w:val="110"/>
                <w:sz w:val="20"/>
                <w:szCs w:val="20"/>
              </w:rPr>
            </w:pPr>
            <w:r w:rsidRPr="00BD1C17">
              <w:rPr>
                <w:rFonts w:ascii="Segoe UI Symbol" w:hAnsi="Segoe UI Symbol" w:cs="Segoe UI Symbol"/>
                <w:w w:val="110"/>
                <w:sz w:val="20"/>
                <w:szCs w:val="20"/>
              </w:rPr>
              <w:t>✓</w:t>
            </w:r>
          </w:p>
        </w:tc>
        <w:tc>
          <w:tcPr>
            <w:tcW w:w="1230" w:type="dxa"/>
            <w:tcBorders>
              <w:top w:val="none" w:sz="6" w:space="0" w:color="auto"/>
              <w:left w:val="none" w:sz="6" w:space="0" w:color="auto"/>
              <w:bottom w:val="single" w:sz="4" w:space="0" w:color="000000"/>
              <w:right w:val="none" w:sz="6" w:space="0" w:color="auto"/>
            </w:tcBorders>
          </w:tcPr>
          <w:p w14:paraId="56307E9C" w14:textId="77777777" w:rsidR="00BD1C17" w:rsidRPr="00BD1C17" w:rsidRDefault="00BD1C17" w:rsidP="00BD1C17">
            <w:pPr>
              <w:kinsoku w:val="0"/>
              <w:overflowPunct w:val="0"/>
              <w:autoSpaceDE w:val="0"/>
              <w:autoSpaceDN w:val="0"/>
              <w:adjustRightInd w:val="0"/>
              <w:spacing w:before="17" w:after="0" w:line="240" w:lineRule="auto"/>
              <w:jc w:val="center"/>
              <w:rPr>
                <w:rFonts w:ascii="Segoe UI Symbol" w:hAnsi="Segoe UI Symbol" w:cs="Segoe UI Symbol"/>
                <w:w w:val="110"/>
                <w:sz w:val="20"/>
                <w:szCs w:val="20"/>
              </w:rPr>
            </w:pPr>
            <w:r w:rsidRPr="00BD1C17">
              <w:rPr>
                <w:rFonts w:ascii="Segoe UI Symbol" w:hAnsi="Segoe UI Symbol" w:cs="Segoe UI Symbol"/>
                <w:w w:val="110"/>
                <w:sz w:val="20"/>
                <w:szCs w:val="20"/>
              </w:rPr>
              <w:t>✓</w:t>
            </w:r>
          </w:p>
        </w:tc>
        <w:tc>
          <w:tcPr>
            <w:tcW w:w="1134" w:type="dxa"/>
            <w:tcBorders>
              <w:top w:val="none" w:sz="6" w:space="0" w:color="auto"/>
              <w:left w:val="none" w:sz="6" w:space="0" w:color="auto"/>
              <w:bottom w:val="single" w:sz="4" w:space="0" w:color="000000"/>
              <w:right w:val="none" w:sz="6" w:space="0" w:color="auto"/>
            </w:tcBorders>
          </w:tcPr>
          <w:p w14:paraId="1D761C9D" w14:textId="77777777" w:rsidR="00BD1C17" w:rsidRPr="00BD1C17" w:rsidRDefault="00BD1C17" w:rsidP="00BD1C17">
            <w:pPr>
              <w:kinsoku w:val="0"/>
              <w:overflowPunct w:val="0"/>
              <w:autoSpaceDE w:val="0"/>
              <w:autoSpaceDN w:val="0"/>
              <w:adjustRightInd w:val="0"/>
              <w:spacing w:before="17" w:after="0" w:line="240" w:lineRule="auto"/>
              <w:jc w:val="center"/>
              <w:rPr>
                <w:rFonts w:ascii="Segoe UI Symbol" w:hAnsi="Segoe UI Symbol" w:cs="Segoe UI Symbol"/>
                <w:w w:val="110"/>
                <w:sz w:val="20"/>
                <w:szCs w:val="20"/>
              </w:rPr>
            </w:pPr>
            <w:r w:rsidRPr="00BD1C17">
              <w:rPr>
                <w:rFonts w:ascii="Segoe UI Symbol" w:hAnsi="Segoe UI Symbol" w:cs="Segoe UI Symbol"/>
                <w:w w:val="110"/>
                <w:sz w:val="20"/>
                <w:szCs w:val="20"/>
              </w:rPr>
              <w:t>✓</w:t>
            </w:r>
          </w:p>
        </w:tc>
        <w:tc>
          <w:tcPr>
            <w:tcW w:w="1304" w:type="dxa"/>
            <w:tcBorders>
              <w:top w:val="none" w:sz="6" w:space="0" w:color="auto"/>
              <w:left w:val="none" w:sz="6" w:space="0" w:color="auto"/>
              <w:bottom w:val="single" w:sz="4" w:space="0" w:color="000000"/>
              <w:right w:val="none" w:sz="6" w:space="0" w:color="auto"/>
            </w:tcBorders>
          </w:tcPr>
          <w:p w14:paraId="573462C3" w14:textId="77777777" w:rsidR="00BD1C17" w:rsidRPr="00BD1C17" w:rsidRDefault="00BD1C17" w:rsidP="00BD1C17">
            <w:pPr>
              <w:kinsoku w:val="0"/>
              <w:overflowPunct w:val="0"/>
              <w:autoSpaceDE w:val="0"/>
              <w:autoSpaceDN w:val="0"/>
              <w:adjustRightInd w:val="0"/>
              <w:spacing w:before="17" w:after="0" w:line="240" w:lineRule="auto"/>
              <w:ind w:right="1"/>
              <w:jc w:val="center"/>
              <w:rPr>
                <w:rFonts w:ascii="Segoe UI Symbol" w:hAnsi="Segoe UI Symbol" w:cs="Segoe UI Symbol"/>
                <w:w w:val="110"/>
                <w:sz w:val="20"/>
                <w:szCs w:val="20"/>
              </w:rPr>
            </w:pPr>
            <w:r w:rsidRPr="00BD1C17">
              <w:rPr>
                <w:rFonts w:ascii="Segoe UI Symbol" w:hAnsi="Segoe UI Symbol" w:cs="Segoe UI Symbol"/>
                <w:w w:val="110"/>
                <w:sz w:val="20"/>
                <w:szCs w:val="20"/>
              </w:rPr>
              <w:t>✓</w:t>
            </w:r>
          </w:p>
        </w:tc>
      </w:tr>
      <w:tr w:rsidR="00BD1C17" w:rsidRPr="00BD1C17" w14:paraId="39B84BC0" w14:textId="77777777">
        <w:trPr>
          <w:trHeight w:val="365"/>
        </w:trPr>
        <w:tc>
          <w:tcPr>
            <w:tcW w:w="1902" w:type="dxa"/>
            <w:tcBorders>
              <w:top w:val="single" w:sz="4" w:space="0" w:color="000000"/>
              <w:left w:val="none" w:sz="6" w:space="0" w:color="auto"/>
              <w:bottom w:val="none" w:sz="6" w:space="0" w:color="auto"/>
              <w:right w:val="none" w:sz="6" w:space="0" w:color="auto"/>
            </w:tcBorders>
          </w:tcPr>
          <w:p w14:paraId="7EA41231" w14:textId="77777777" w:rsidR="00BD1C17" w:rsidRPr="00BD1C17" w:rsidRDefault="00BD1C17" w:rsidP="00BD1C17">
            <w:pPr>
              <w:kinsoku w:val="0"/>
              <w:overflowPunct w:val="0"/>
              <w:autoSpaceDE w:val="0"/>
              <w:autoSpaceDN w:val="0"/>
              <w:adjustRightInd w:val="0"/>
              <w:spacing w:before="19" w:after="0" w:line="327" w:lineRule="exact"/>
              <w:ind w:left="119"/>
              <w:rPr>
                <w:rFonts w:ascii="Euclid" w:hAnsi="Euclid" w:cs="Euclid"/>
                <w:w w:val="99"/>
                <w:sz w:val="20"/>
                <w:szCs w:val="20"/>
              </w:rPr>
            </w:pPr>
            <w:r w:rsidRPr="00BD1C17">
              <w:rPr>
                <w:rFonts w:ascii="Euclid" w:hAnsi="Euclid" w:cs="Euclid"/>
                <w:w w:val="99"/>
                <w:sz w:val="20"/>
                <w:szCs w:val="20"/>
              </w:rPr>
              <w:t>N</w:t>
            </w:r>
          </w:p>
        </w:tc>
        <w:tc>
          <w:tcPr>
            <w:tcW w:w="1174" w:type="dxa"/>
            <w:tcBorders>
              <w:top w:val="single" w:sz="4" w:space="0" w:color="000000"/>
              <w:left w:val="none" w:sz="6" w:space="0" w:color="auto"/>
              <w:bottom w:val="none" w:sz="6" w:space="0" w:color="auto"/>
              <w:right w:val="none" w:sz="6" w:space="0" w:color="auto"/>
            </w:tcBorders>
          </w:tcPr>
          <w:p w14:paraId="775AEA04" w14:textId="77777777" w:rsidR="00BD1C17" w:rsidRPr="00BD1C17" w:rsidRDefault="00BD1C17" w:rsidP="00BD1C17">
            <w:pPr>
              <w:kinsoku w:val="0"/>
              <w:overflowPunct w:val="0"/>
              <w:autoSpaceDE w:val="0"/>
              <w:autoSpaceDN w:val="0"/>
              <w:adjustRightInd w:val="0"/>
              <w:spacing w:before="19" w:after="0" w:line="327" w:lineRule="exact"/>
              <w:ind w:left="100" w:right="100"/>
              <w:jc w:val="center"/>
              <w:rPr>
                <w:rFonts w:ascii="Euclid" w:hAnsi="Euclid" w:cs="Euclid"/>
                <w:spacing w:val="-2"/>
                <w:sz w:val="20"/>
                <w:szCs w:val="20"/>
              </w:rPr>
            </w:pPr>
            <w:r w:rsidRPr="00BD1C17">
              <w:rPr>
                <w:rFonts w:ascii="Euclid" w:hAnsi="Euclid" w:cs="Euclid"/>
                <w:spacing w:val="-2"/>
                <w:sz w:val="20"/>
                <w:szCs w:val="20"/>
              </w:rPr>
              <w:t>205,492</w:t>
            </w:r>
          </w:p>
        </w:tc>
        <w:tc>
          <w:tcPr>
            <w:tcW w:w="951" w:type="dxa"/>
            <w:tcBorders>
              <w:top w:val="single" w:sz="4" w:space="0" w:color="000000"/>
              <w:left w:val="none" w:sz="6" w:space="0" w:color="auto"/>
              <w:bottom w:val="none" w:sz="6" w:space="0" w:color="auto"/>
              <w:right w:val="none" w:sz="6" w:space="0" w:color="auto"/>
            </w:tcBorders>
          </w:tcPr>
          <w:p w14:paraId="75D0A458" w14:textId="77777777" w:rsidR="00BD1C17" w:rsidRPr="00BD1C17" w:rsidRDefault="00BD1C17" w:rsidP="00BD1C17">
            <w:pPr>
              <w:kinsoku w:val="0"/>
              <w:overflowPunct w:val="0"/>
              <w:autoSpaceDE w:val="0"/>
              <w:autoSpaceDN w:val="0"/>
              <w:adjustRightInd w:val="0"/>
              <w:spacing w:before="19" w:after="0" w:line="327" w:lineRule="exact"/>
              <w:ind w:right="147"/>
              <w:jc w:val="right"/>
              <w:rPr>
                <w:rFonts w:ascii="Euclid" w:hAnsi="Euclid" w:cs="Euclid"/>
                <w:spacing w:val="-2"/>
                <w:sz w:val="20"/>
                <w:szCs w:val="20"/>
              </w:rPr>
            </w:pPr>
            <w:r w:rsidRPr="00BD1C17">
              <w:rPr>
                <w:rFonts w:ascii="Euclid" w:hAnsi="Euclid" w:cs="Euclid"/>
                <w:spacing w:val="-2"/>
                <w:sz w:val="20"/>
                <w:szCs w:val="20"/>
              </w:rPr>
              <w:t>205,492</w:t>
            </w:r>
          </w:p>
        </w:tc>
        <w:tc>
          <w:tcPr>
            <w:tcW w:w="1230" w:type="dxa"/>
            <w:tcBorders>
              <w:top w:val="single" w:sz="4" w:space="0" w:color="000000"/>
              <w:left w:val="none" w:sz="6" w:space="0" w:color="auto"/>
              <w:bottom w:val="none" w:sz="6" w:space="0" w:color="auto"/>
              <w:right w:val="none" w:sz="6" w:space="0" w:color="auto"/>
            </w:tcBorders>
          </w:tcPr>
          <w:p w14:paraId="603DBEC6" w14:textId="77777777" w:rsidR="00BD1C17" w:rsidRPr="00BD1C17" w:rsidRDefault="00BD1C17" w:rsidP="00BD1C17">
            <w:pPr>
              <w:kinsoku w:val="0"/>
              <w:overflowPunct w:val="0"/>
              <w:autoSpaceDE w:val="0"/>
              <w:autoSpaceDN w:val="0"/>
              <w:adjustRightInd w:val="0"/>
              <w:spacing w:before="19" w:after="0" w:line="327" w:lineRule="exact"/>
              <w:ind w:left="100" w:right="100"/>
              <w:jc w:val="center"/>
              <w:rPr>
                <w:rFonts w:ascii="Euclid" w:hAnsi="Euclid" w:cs="Euclid"/>
                <w:spacing w:val="-2"/>
                <w:sz w:val="20"/>
                <w:szCs w:val="20"/>
              </w:rPr>
            </w:pPr>
            <w:r w:rsidRPr="00BD1C17">
              <w:rPr>
                <w:rFonts w:ascii="Euclid" w:hAnsi="Euclid" w:cs="Euclid"/>
                <w:spacing w:val="-2"/>
                <w:sz w:val="20"/>
                <w:szCs w:val="20"/>
              </w:rPr>
              <w:t>205,432</w:t>
            </w:r>
          </w:p>
        </w:tc>
        <w:tc>
          <w:tcPr>
            <w:tcW w:w="1134" w:type="dxa"/>
            <w:tcBorders>
              <w:top w:val="single" w:sz="4" w:space="0" w:color="000000"/>
              <w:left w:val="none" w:sz="6" w:space="0" w:color="auto"/>
              <w:bottom w:val="none" w:sz="6" w:space="0" w:color="auto"/>
              <w:right w:val="none" w:sz="6" w:space="0" w:color="auto"/>
            </w:tcBorders>
          </w:tcPr>
          <w:p w14:paraId="3BCCA70B" w14:textId="77777777" w:rsidR="00BD1C17" w:rsidRPr="00BD1C17" w:rsidRDefault="00BD1C17" w:rsidP="00BD1C17">
            <w:pPr>
              <w:kinsoku w:val="0"/>
              <w:overflowPunct w:val="0"/>
              <w:autoSpaceDE w:val="0"/>
              <w:autoSpaceDN w:val="0"/>
              <w:adjustRightInd w:val="0"/>
              <w:spacing w:before="19" w:after="0" w:line="327" w:lineRule="exact"/>
              <w:ind w:left="103" w:right="104"/>
              <w:jc w:val="center"/>
              <w:rPr>
                <w:rFonts w:ascii="Euclid" w:hAnsi="Euclid" w:cs="Euclid"/>
                <w:spacing w:val="-2"/>
                <w:sz w:val="20"/>
                <w:szCs w:val="20"/>
              </w:rPr>
            </w:pPr>
            <w:r w:rsidRPr="00BD1C17">
              <w:rPr>
                <w:rFonts w:ascii="Euclid" w:hAnsi="Euclid" w:cs="Euclid"/>
                <w:spacing w:val="-2"/>
                <w:sz w:val="20"/>
                <w:szCs w:val="20"/>
              </w:rPr>
              <w:t>200,637</w:t>
            </w:r>
          </w:p>
        </w:tc>
        <w:tc>
          <w:tcPr>
            <w:tcW w:w="1304" w:type="dxa"/>
            <w:tcBorders>
              <w:top w:val="single" w:sz="4" w:space="0" w:color="000000"/>
              <w:left w:val="none" w:sz="6" w:space="0" w:color="auto"/>
              <w:bottom w:val="none" w:sz="6" w:space="0" w:color="auto"/>
              <w:right w:val="none" w:sz="6" w:space="0" w:color="auto"/>
            </w:tcBorders>
          </w:tcPr>
          <w:p w14:paraId="3531272A" w14:textId="77777777" w:rsidR="00BD1C17" w:rsidRPr="00BD1C17" w:rsidRDefault="00BD1C17" w:rsidP="00BD1C17">
            <w:pPr>
              <w:kinsoku w:val="0"/>
              <w:overflowPunct w:val="0"/>
              <w:autoSpaceDE w:val="0"/>
              <w:autoSpaceDN w:val="0"/>
              <w:adjustRightInd w:val="0"/>
              <w:spacing w:before="19" w:after="0" w:line="327" w:lineRule="exact"/>
              <w:ind w:left="99" w:right="99"/>
              <w:jc w:val="center"/>
              <w:rPr>
                <w:rFonts w:ascii="Euclid" w:hAnsi="Euclid" w:cs="Euclid"/>
                <w:spacing w:val="-2"/>
                <w:sz w:val="20"/>
                <w:szCs w:val="20"/>
              </w:rPr>
            </w:pPr>
            <w:r w:rsidRPr="00BD1C17">
              <w:rPr>
                <w:rFonts w:ascii="Euclid" w:hAnsi="Euclid" w:cs="Euclid"/>
                <w:spacing w:val="-2"/>
                <w:sz w:val="20"/>
                <w:szCs w:val="20"/>
              </w:rPr>
              <w:t>4,755</w:t>
            </w:r>
          </w:p>
        </w:tc>
      </w:tr>
      <w:tr w:rsidR="00BD1C17" w:rsidRPr="00BD1C17" w14:paraId="0CA67091" w14:textId="77777777">
        <w:trPr>
          <w:trHeight w:val="372"/>
        </w:trPr>
        <w:tc>
          <w:tcPr>
            <w:tcW w:w="1902" w:type="dxa"/>
            <w:tcBorders>
              <w:top w:val="none" w:sz="6" w:space="0" w:color="auto"/>
              <w:left w:val="none" w:sz="6" w:space="0" w:color="auto"/>
              <w:bottom w:val="none" w:sz="6" w:space="0" w:color="auto"/>
              <w:right w:val="none" w:sz="6" w:space="0" w:color="auto"/>
            </w:tcBorders>
          </w:tcPr>
          <w:p w14:paraId="6E3EE841" w14:textId="77777777" w:rsidR="00BD1C17" w:rsidRPr="00BD1C17" w:rsidRDefault="00BD1C17" w:rsidP="00BD1C17">
            <w:pPr>
              <w:kinsoku w:val="0"/>
              <w:overflowPunct w:val="0"/>
              <w:autoSpaceDE w:val="0"/>
              <w:autoSpaceDN w:val="0"/>
              <w:adjustRightInd w:val="0"/>
              <w:spacing w:before="54" w:after="0" w:line="240" w:lineRule="auto"/>
              <w:ind w:left="119"/>
              <w:rPr>
                <w:rFonts w:ascii="Eras Medium ITC" w:hAnsi="Eras Medium ITC" w:cs="Eras Medium ITC"/>
                <w:spacing w:val="-2"/>
                <w:w w:val="105"/>
                <w:sz w:val="20"/>
                <w:szCs w:val="20"/>
                <w:vertAlign w:val="superscript"/>
              </w:rPr>
            </w:pPr>
            <w:r w:rsidRPr="00BD1C17">
              <w:rPr>
                <w:rFonts w:ascii="Bookman Old Style" w:hAnsi="Bookman Old Style" w:cs="Bookman Old Style"/>
                <w:i/>
                <w:iCs/>
                <w:spacing w:val="-2"/>
                <w:w w:val="105"/>
                <w:sz w:val="20"/>
                <w:szCs w:val="20"/>
              </w:rPr>
              <w:t>Adj.R</w:t>
            </w:r>
            <w:r w:rsidRPr="00BD1C17">
              <w:rPr>
                <w:rFonts w:ascii="Eras Medium ITC" w:hAnsi="Eras Medium ITC" w:cs="Eras Medium ITC"/>
                <w:spacing w:val="-2"/>
                <w:w w:val="105"/>
                <w:sz w:val="20"/>
                <w:szCs w:val="20"/>
                <w:vertAlign w:val="superscript"/>
              </w:rPr>
              <w:t>2</w:t>
            </w:r>
          </w:p>
        </w:tc>
        <w:tc>
          <w:tcPr>
            <w:tcW w:w="1174" w:type="dxa"/>
            <w:tcBorders>
              <w:top w:val="none" w:sz="6" w:space="0" w:color="auto"/>
              <w:left w:val="none" w:sz="6" w:space="0" w:color="auto"/>
              <w:bottom w:val="none" w:sz="6" w:space="0" w:color="auto"/>
              <w:right w:val="none" w:sz="6" w:space="0" w:color="auto"/>
            </w:tcBorders>
          </w:tcPr>
          <w:p w14:paraId="7E60E7D7" w14:textId="77777777" w:rsidR="00BD1C17" w:rsidRPr="00BD1C17" w:rsidRDefault="00BD1C17" w:rsidP="00BD1C17">
            <w:pPr>
              <w:kinsoku w:val="0"/>
              <w:overflowPunct w:val="0"/>
              <w:autoSpaceDE w:val="0"/>
              <w:autoSpaceDN w:val="0"/>
              <w:adjustRightInd w:val="0"/>
              <w:spacing w:before="12" w:after="0" w:line="240" w:lineRule="auto"/>
              <w:ind w:left="100" w:right="100"/>
              <w:jc w:val="center"/>
              <w:rPr>
                <w:rFonts w:ascii="Euclid" w:hAnsi="Euclid" w:cs="Euclid"/>
                <w:spacing w:val="-2"/>
                <w:sz w:val="20"/>
                <w:szCs w:val="20"/>
              </w:rPr>
            </w:pPr>
            <w:r w:rsidRPr="00BD1C17">
              <w:rPr>
                <w:rFonts w:ascii="Euclid" w:hAnsi="Euclid" w:cs="Euclid"/>
                <w:spacing w:val="-2"/>
                <w:sz w:val="20"/>
                <w:szCs w:val="20"/>
              </w:rPr>
              <w:t>0.0456</w:t>
            </w:r>
          </w:p>
        </w:tc>
        <w:tc>
          <w:tcPr>
            <w:tcW w:w="951" w:type="dxa"/>
            <w:tcBorders>
              <w:top w:val="none" w:sz="6" w:space="0" w:color="auto"/>
              <w:left w:val="none" w:sz="6" w:space="0" w:color="auto"/>
              <w:bottom w:val="none" w:sz="6" w:space="0" w:color="auto"/>
              <w:right w:val="none" w:sz="6" w:space="0" w:color="auto"/>
            </w:tcBorders>
          </w:tcPr>
          <w:p w14:paraId="66AB2867" w14:textId="77777777" w:rsidR="00BD1C17" w:rsidRPr="00BD1C17" w:rsidRDefault="00BD1C17" w:rsidP="00BD1C17">
            <w:pPr>
              <w:kinsoku w:val="0"/>
              <w:overflowPunct w:val="0"/>
              <w:autoSpaceDE w:val="0"/>
              <w:autoSpaceDN w:val="0"/>
              <w:adjustRightInd w:val="0"/>
              <w:spacing w:before="12" w:after="0" w:line="240" w:lineRule="auto"/>
              <w:ind w:left="198"/>
              <w:rPr>
                <w:rFonts w:ascii="Euclid" w:hAnsi="Euclid" w:cs="Euclid"/>
                <w:spacing w:val="-2"/>
                <w:sz w:val="20"/>
                <w:szCs w:val="20"/>
              </w:rPr>
            </w:pPr>
            <w:r w:rsidRPr="00BD1C17">
              <w:rPr>
                <w:rFonts w:ascii="Euclid" w:hAnsi="Euclid" w:cs="Euclid"/>
                <w:spacing w:val="-2"/>
                <w:sz w:val="20"/>
                <w:szCs w:val="20"/>
              </w:rPr>
              <w:t>0.0455</w:t>
            </w:r>
          </w:p>
        </w:tc>
        <w:tc>
          <w:tcPr>
            <w:tcW w:w="1230" w:type="dxa"/>
            <w:tcBorders>
              <w:top w:val="none" w:sz="6" w:space="0" w:color="auto"/>
              <w:left w:val="none" w:sz="6" w:space="0" w:color="auto"/>
              <w:bottom w:val="none" w:sz="6" w:space="0" w:color="auto"/>
              <w:right w:val="none" w:sz="6" w:space="0" w:color="auto"/>
            </w:tcBorders>
          </w:tcPr>
          <w:p w14:paraId="4F39D6A7" w14:textId="77777777" w:rsidR="00BD1C17" w:rsidRPr="00BD1C17" w:rsidRDefault="00BD1C17" w:rsidP="00BD1C17">
            <w:pPr>
              <w:kinsoku w:val="0"/>
              <w:overflowPunct w:val="0"/>
              <w:autoSpaceDE w:val="0"/>
              <w:autoSpaceDN w:val="0"/>
              <w:adjustRightInd w:val="0"/>
              <w:spacing w:before="12" w:after="0" w:line="240" w:lineRule="auto"/>
              <w:ind w:left="100" w:right="100"/>
              <w:jc w:val="center"/>
              <w:rPr>
                <w:rFonts w:ascii="Euclid" w:hAnsi="Euclid" w:cs="Euclid"/>
                <w:spacing w:val="-2"/>
                <w:sz w:val="20"/>
                <w:szCs w:val="20"/>
              </w:rPr>
            </w:pPr>
            <w:r w:rsidRPr="00BD1C17">
              <w:rPr>
                <w:rFonts w:ascii="Euclid" w:hAnsi="Euclid" w:cs="Euclid"/>
                <w:spacing w:val="-2"/>
                <w:sz w:val="20"/>
                <w:szCs w:val="20"/>
              </w:rPr>
              <w:t>0.0458</w:t>
            </w:r>
          </w:p>
        </w:tc>
        <w:tc>
          <w:tcPr>
            <w:tcW w:w="1134" w:type="dxa"/>
            <w:tcBorders>
              <w:top w:val="none" w:sz="6" w:space="0" w:color="auto"/>
              <w:left w:val="none" w:sz="6" w:space="0" w:color="auto"/>
              <w:bottom w:val="none" w:sz="6" w:space="0" w:color="auto"/>
              <w:right w:val="none" w:sz="6" w:space="0" w:color="auto"/>
            </w:tcBorders>
          </w:tcPr>
          <w:p w14:paraId="78EC9955" w14:textId="77777777" w:rsidR="00BD1C17" w:rsidRPr="00BD1C17" w:rsidRDefault="00BD1C17" w:rsidP="00BD1C17">
            <w:pPr>
              <w:kinsoku w:val="0"/>
              <w:overflowPunct w:val="0"/>
              <w:autoSpaceDE w:val="0"/>
              <w:autoSpaceDN w:val="0"/>
              <w:adjustRightInd w:val="0"/>
              <w:spacing w:before="12" w:after="0" w:line="240" w:lineRule="auto"/>
              <w:ind w:left="103" w:right="104"/>
              <w:jc w:val="center"/>
              <w:rPr>
                <w:rFonts w:ascii="Euclid" w:hAnsi="Euclid" w:cs="Euclid"/>
                <w:spacing w:val="-2"/>
                <w:sz w:val="20"/>
                <w:szCs w:val="20"/>
              </w:rPr>
            </w:pPr>
            <w:r w:rsidRPr="00BD1C17">
              <w:rPr>
                <w:rFonts w:ascii="Euclid" w:hAnsi="Euclid" w:cs="Euclid"/>
                <w:spacing w:val="-2"/>
                <w:sz w:val="20"/>
                <w:szCs w:val="20"/>
              </w:rPr>
              <w:t>0.0440</w:t>
            </w:r>
          </w:p>
        </w:tc>
        <w:tc>
          <w:tcPr>
            <w:tcW w:w="1304" w:type="dxa"/>
            <w:tcBorders>
              <w:top w:val="none" w:sz="6" w:space="0" w:color="auto"/>
              <w:left w:val="none" w:sz="6" w:space="0" w:color="auto"/>
              <w:bottom w:val="none" w:sz="6" w:space="0" w:color="auto"/>
              <w:right w:val="none" w:sz="6" w:space="0" w:color="auto"/>
            </w:tcBorders>
          </w:tcPr>
          <w:p w14:paraId="27C35BD3" w14:textId="77777777" w:rsidR="00BD1C17" w:rsidRPr="00BD1C17" w:rsidRDefault="00BD1C17" w:rsidP="00BD1C17">
            <w:pPr>
              <w:kinsoku w:val="0"/>
              <w:overflowPunct w:val="0"/>
              <w:autoSpaceDE w:val="0"/>
              <w:autoSpaceDN w:val="0"/>
              <w:adjustRightInd w:val="0"/>
              <w:spacing w:before="12" w:after="0" w:line="240" w:lineRule="auto"/>
              <w:ind w:left="99" w:right="99"/>
              <w:jc w:val="center"/>
              <w:rPr>
                <w:rFonts w:ascii="Euclid" w:hAnsi="Euclid" w:cs="Euclid"/>
                <w:spacing w:val="-2"/>
                <w:sz w:val="20"/>
                <w:szCs w:val="20"/>
              </w:rPr>
            </w:pPr>
            <w:r w:rsidRPr="00BD1C17">
              <w:rPr>
                <w:rFonts w:ascii="Euclid" w:hAnsi="Euclid" w:cs="Euclid"/>
                <w:spacing w:val="-2"/>
                <w:sz w:val="20"/>
                <w:szCs w:val="20"/>
              </w:rPr>
              <w:t>0.1511</w:t>
            </w:r>
          </w:p>
        </w:tc>
      </w:tr>
      <w:tr w:rsidR="00BD1C17" w:rsidRPr="00BD1C17" w14:paraId="02451AAF" w14:textId="77777777">
        <w:trPr>
          <w:trHeight w:val="349"/>
        </w:trPr>
        <w:tc>
          <w:tcPr>
            <w:tcW w:w="1902" w:type="dxa"/>
            <w:tcBorders>
              <w:top w:val="none" w:sz="6" w:space="0" w:color="auto"/>
              <w:left w:val="none" w:sz="6" w:space="0" w:color="auto"/>
              <w:bottom w:val="double" w:sz="2" w:space="0" w:color="000000"/>
              <w:right w:val="none" w:sz="6" w:space="0" w:color="auto"/>
            </w:tcBorders>
          </w:tcPr>
          <w:p w14:paraId="68392604" w14:textId="77777777" w:rsidR="00BD1C17" w:rsidRPr="00BD1C17" w:rsidRDefault="00BD1C17" w:rsidP="00BD1C17">
            <w:pPr>
              <w:kinsoku w:val="0"/>
              <w:overflowPunct w:val="0"/>
              <w:autoSpaceDE w:val="0"/>
              <w:autoSpaceDN w:val="0"/>
              <w:adjustRightInd w:val="0"/>
              <w:spacing w:after="0" w:line="330" w:lineRule="exact"/>
              <w:ind w:left="119"/>
              <w:rPr>
                <w:rFonts w:ascii="Euclid" w:hAnsi="Euclid" w:cs="Euclid"/>
                <w:spacing w:val="-4"/>
                <w:sz w:val="20"/>
                <w:szCs w:val="20"/>
              </w:rPr>
            </w:pPr>
            <w:r w:rsidRPr="00BD1C17">
              <w:rPr>
                <w:rFonts w:ascii="Euclid" w:hAnsi="Euclid" w:cs="Euclid"/>
                <w:spacing w:val="-4"/>
                <w:sz w:val="20"/>
                <w:szCs w:val="20"/>
              </w:rPr>
              <w:t>Mean</w:t>
            </w:r>
          </w:p>
        </w:tc>
        <w:tc>
          <w:tcPr>
            <w:tcW w:w="1174" w:type="dxa"/>
            <w:tcBorders>
              <w:top w:val="none" w:sz="6" w:space="0" w:color="auto"/>
              <w:left w:val="none" w:sz="6" w:space="0" w:color="auto"/>
              <w:bottom w:val="double" w:sz="2" w:space="0" w:color="000000"/>
              <w:right w:val="none" w:sz="6" w:space="0" w:color="auto"/>
            </w:tcBorders>
          </w:tcPr>
          <w:p w14:paraId="73746242" w14:textId="77777777" w:rsidR="00BD1C17" w:rsidRPr="00BD1C17" w:rsidRDefault="00BD1C17" w:rsidP="00BD1C17">
            <w:pPr>
              <w:kinsoku w:val="0"/>
              <w:overflowPunct w:val="0"/>
              <w:autoSpaceDE w:val="0"/>
              <w:autoSpaceDN w:val="0"/>
              <w:adjustRightInd w:val="0"/>
              <w:spacing w:after="0" w:line="330" w:lineRule="exact"/>
              <w:ind w:left="100" w:right="100"/>
              <w:jc w:val="center"/>
              <w:rPr>
                <w:rFonts w:ascii="Euclid" w:hAnsi="Euclid" w:cs="Euclid"/>
                <w:spacing w:val="-2"/>
                <w:sz w:val="20"/>
                <w:szCs w:val="20"/>
              </w:rPr>
            </w:pPr>
            <w:r w:rsidRPr="00BD1C17">
              <w:rPr>
                <w:rFonts w:ascii="Euclid" w:hAnsi="Euclid" w:cs="Euclid"/>
                <w:spacing w:val="-2"/>
                <w:sz w:val="20"/>
                <w:szCs w:val="20"/>
              </w:rPr>
              <w:t>0.1256</w:t>
            </w:r>
          </w:p>
        </w:tc>
        <w:tc>
          <w:tcPr>
            <w:tcW w:w="951" w:type="dxa"/>
            <w:tcBorders>
              <w:top w:val="none" w:sz="6" w:space="0" w:color="auto"/>
              <w:left w:val="none" w:sz="6" w:space="0" w:color="auto"/>
              <w:bottom w:val="double" w:sz="2" w:space="0" w:color="000000"/>
              <w:right w:val="none" w:sz="6" w:space="0" w:color="auto"/>
            </w:tcBorders>
          </w:tcPr>
          <w:p w14:paraId="52EA7304" w14:textId="77777777" w:rsidR="00BD1C17" w:rsidRPr="00BD1C17" w:rsidRDefault="00BD1C17" w:rsidP="00BD1C17">
            <w:pPr>
              <w:kinsoku w:val="0"/>
              <w:overflowPunct w:val="0"/>
              <w:autoSpaceDE w:val="0"/>
              <w:autoSpaceDN w:val="0"/>
              <w:adjustRightInd w:val="0"/>
              <w:spacing w:after="0" w:line="330" w:lineRule="exact"/>
              <w:ind w:left="198"/>
              <w:rPr>
                <w:rFonts w:ascii="Euclid" w:hAnsi="Euclid" w:cs="Euclid"/>
                <w:spacing w:val="-2"/>
                <w:sz w:val="20"/>
                <w:szCs w:val="20"/>
              </w:rPr>
            </w:pPr>
            <w:r w:rsidRPr="00BD1C17">
              <w:rPr>
                <w:rFonts w:ascii="Euclid" w:hAnsi="Euclid" w:cs="Euclid"/>
                <w:spacing w:val="-2"/>
                <w:sz w:val="20"/>
                <w:szCs w:val="20"/>
              </w:rPr>
              <w:t>0.1256</w:t>
            </w:r>
          </w:p>
        </w:tc>
        <w:tc>
          <w:tcPr>
            <w:tcW w:w="1230" w:type="dxa"/>
            <w:tcBorders>
              <w:top w:val="none" w:sz="6" w:space="0" w:color="auto"/>
              <w:left w:val="none" w:sz="6" w:space="0" w:color="auto"/>
              <w:bottom w:val="double" w:sz="2" w:space="0" w:color="000000"/>
              <w:right w:val="none" w:sz="6" w:space="0" w:color="auto"/>
            </w:tcBorders>
          </w:tcPr>
          <w:p w14:paraId="074B2FCE" w14:textId="77777777" w:rsidR="00BD1C17" w:rsidRPr="00BD1C17" w:rsidRDefault="00BD1C17" w:rsidP="00BD1C17">
            <w:pPr>
              <w:kinsoku w:val="0"/>
              <w:overflowPunct w:val="0"/>
              <w:autoSpaceDE w:val="0"/>
              <w:autoSpaceDN w:val="0"/>
              <w:adjustRightInd w:val="0"/>
              <w:spacing w:after="0" w:line="330" w:lineRule="exact"/>
              <w:ind w:left="100" w:right="100"/>
              <w:jc w:val="center"/>
              <w:rPr>
                <w:rFonts w:ascii="Euclid" w:hAnsi="Euclid" w:cs="Euclid"/>
                <w:spacing w:val="-2"/>
                <w:sz w:val="20"/>
                <w:szCs w:val="20"/>
              </w:rPr>
            </w:pPr>
            <w:r w:rsidRPr="00BD1C17">
              <w:rPr>
                <w:rFonts w:ascii="Euclid" w:hAnsi="Euclid" w:cs="Euclid"/>
                <w:spacing w:val="-2"/>
                <w:sz w:val="20"/>
                <w:szCs w:val="20"/>
              </w:rPr>
              <w:t>0.1256</w:t>
            </w:r>
          </w:p>
        </w:tc>
        <w:tc>
          <w:tcPr>
            <w:tcW w:w="1134" w:type="dxa"/>
            <w:tcBorders>
              <w:top w:val="none" w:sz="6" w:space="0" w:color="auto"/>
              <w:left w:val="none" w:sz="6" w:space="0" w:color="auto"/>
              <w:bottom w:val="double" w:sz="2" w:space="0" w:color="000000"/>
              <w:right w:val="none" w:sz="6" w:space="0" w:color="auto"/>
            </w:tcBorders>
          </w:tcPr>
          <w:p w14:paraId="6A75B305" w14:textId="77777777" w:rsidR="00BD1C17" w:rsidRPr="00BD1C17" w:rsidRDefault="00BD1C17" w:rsidP="00BD1C17">
            <w:pPr>
              <w:kinsoku w:val="0"/>
              <w:overflowPunct w:val="0"/>
              <w:autoSpaceDE w:val="0"/>
              <w:autoSpaceDN w:val="0"/>
              <w:adjustRightInd w:val="0"/>
              <w:spacing w:after="0" w:line="330" w:lineRule="exact"/>
              <w:ind w:left="104" w:right="104"/>
              <w:jc w:val="center"/>
              <w:rPr>
                <w:rFonts w:ascii="Euclid" w:hAnsi="Euclid" w:cs="Euclid"/>
                <w:spacing w:val="-2"/>
                <w:sz w:val="20"/>
                <w:szCs w:val="20"/>
              </w:rPr>
            </w:pPr>
            <w:r w:rsidRPr="00BD1C17">
              <w:rPr>
                <w:rFonts w:ascii="Euclid" w:hAnsi="Euclid" w:cs="Euclid"/>
                <w:spacing w:val="-2"/>
                <w:sz w:val="20"/>
                <w:szCs w:val="20"/>
              </w:rPr>
              <w:t>0.1256</w:t>
            </w:r>
          </w:p>
        </w:tc>
        <w:tc>
          <w:tcPr>
            <w:tcW w:w="1304" w:type="dxa"/>
            <w:tcBorders>
              <w:top w:val="none" w:sz="6" w:space="0" w:color="auto"/>
              <w:left w:val="none" w:sz="6" w:space="0" w:color="auto"/>
              <w:bottom w:val="double" w:sz="2" w:space="0" w:color="000000"/>
              <w:right w:val="none" w:sz="6" w:space="0" w:color="auto"/>
            </w:tcBorders>
          </w:tcPr>
          <w:p w14:paraId="4061C811" w14:textId="77777777" w:rsidR="00BD1C17" w:rsidRPr="00BD1C17" w:rsidRDefault="00BD1C17" w:rsidP="00BD1C17">
            <w:pPr>
              <w:kinsoku w:val="0"/>
              <w:overflowPunct w:val="0"/>
              <w:autoSpaceDE w:val="0"/>
              <w:autoSpaceDN w:val="0"/>
              <w:adjustRightInd w:val="0"/>
              <w:spacing w:after="0" w:line="330" w:lineRule="exact"/>
              <w:ind w:left="99" w:right="99"/>
              <w:jc w:val="center"/>
              <w:rPr>
                <w:rFonts w:ascii="Euclid" w:hAnsi="Euclid" w:cs="Euclid"/>
                <w:spacing w:val="-2"/>
                <w:sz w:val="20"/>
                <w:szCs w:val="20"/>
              </w:rPr>
            </w:pPr>
            <w:r w:rsidRPr="00BD1C17">
              <w:rPr>
                <w:rFonts w:ascii="Euclid" w:hAnsi="Euclid" w:cs="Euclid"/>
                <w:spacing w:val="-2"/>
                <w:sz w:val="20"/>
                <w:szCs w:val="20"/>
              </w:rPr>
              <w:t>0.1256</w:t>
            </w:r>
          </w:p>
        </w:tc>
      </w:tr>
    </w:tbl>
    <w:p w14:paraId="301D4B45" w14:textId="77777777" w:rsidR="00BD1C17" w:rsidRPr="00BD1C17" w:rsidRDefault="00BD1C17" w:rsidP="00BD1C17">
      <w:pPr>
        <w:kinsoku w:val="0"/>
        <w:overflowPunct w:val="0"/>
        <w:autoSpaceDE w:val="0"/>
        <w:autoSpaceDN w:val="0"/>
        <w:adjustRightInd w:val="0"/>
        <w:spacing w:before="89" w:after="0" w:line="172" w:lineRule="auto"/>
        <w:ind w:left="723" w:right="285"/>
        <w:rPr>
          <w:rFonts w:ascii="Euclid" w:hAnsi="Euclid" w:cs="Euclid"/>
          <w:sz w:val="20"/>
          <w:szCs w:val="20"/>
        </w:rPr>
      </w:pPr>
      <w:r w:rsidRPr="00BD1C17">
        <w:rPr>
          <w:rFonts w:ascii="Euclid" w:hAnsi="Euclid" w:cs="Euclid"/>
          <w:sz w:val="20"/>
          <w:szCs w:val="20"/>
        </w:rPr>
        <w:t>Note:</w:t>
      </w:r>
      <w:r w:rsidRPr="00BD1C17">
        <w:rPr>
          <w:rFonts w:ascii="Euclid" w:hAnsi="Euclid" w:cs="Euclid"/>
          <w:spacing w:val="23"/>
          <w:sz w:val="20"/>
          <w:szCs w:val="20"/>
        </w:rPr>
        <w:t xml:space="preserve"> </w:t>
      </w:r>
      <w:r w:rsidRPr="00BD1C17">
        <w:rPr>
          <w:rFonts w:ascii="Euclid" w:hAnsi="Euclid" w:cs="Euclid"/>
          <w:sz w:val="20"/>
          <w:szCs w:val="20"/>
        </w:rPr>
        <w:t>Standard errors are in parenthesis and are clustered by year.</w:t>
      </w:r>
      <w:r w:rsidRPr="00BD1C17">
        <w:rPr>
          <w:rFonts w:ascii="Euclid" w:hAnsi="Euclid" w:cs="Euclid"/>
          <w:spacing w:val="25"/>
          <w:sz w:val="20"/>
          <w:szCs w:val="20"/>
        </w:rPr>
        <w:t xml:space="preserve"> </w:t>
      </w:r>
      <w:r w:rsidRPr="00BD1C17">
        <w:rPr>
          <w:rFonts w:ascii="Euclid" w:hAnsi="Euclid" w:cs="Euclid"/>
          <w:sz w:val="20"/>
          <w:szCs w:val="20"/>
        </w:rPr>
        <w:t>Stars denote the</w:t>
      </w:r>
      <w:r w:rsidRPr="00BD1C17">
        <w:rPr>
          <w:rFonts w:ascii="Euclid" w:hAnsi="Euclid" w:cs="Euclid"/>
          <w:spacing w:val="-1"/>
          <w:sz w:val="20"/>
          <w:szCs w:val="20"/>
        </w:rPr>
        <w:t xml:space="preserve"> </w:t>
      </w:r>
      <w:r w:rsidRPr="00BD1C17">
        <w:rPr>
          <w:rFonts w:ascii="Euclid" w:hAnsi="Euclid" w:cs="Euclid"/>
          <w:sz w:val="20"/>
          <w:szCs w:val="20"/>
        </w:rPr>
        <w:t>level</w:t>
      </w:r>
      <w:r w:rsidRPr="00BD1C17">
        <w:rPr>
          <w:rFonts w:ascii="Euclid" w:hAnsi="Euclid" w:cs="Euclid"/>
          <w:spacing w:val="-1"/>
          <w:sz w:val="20"/>
          <w:szCs w:val="20"/>
        </w:rPr>
        <w:t xml:space="preserve"> </w:t>
      </w:r>
      <w:r w:rsidRPr="00BD1C17">
        <w:rPr>
          <w:rFonts w:ascii="Euclid" w:hAnsi="Euclid" w:cs="Euclid"/>
          <w:sz w:val="20"/>
          <w:szCs w:val="20"/>
        </w:rPr>
        <w:t>of</w:t>
      </w:r>
      <w:r w:rsidRPr="00BD1C17">
        <w:rPr>
          <w:rFonts w:ascii="Euclid" w:hAnsi="Euclid" w:cs="Euclid"/>
          <w:spacing w:val="-2"/>
          <w:sz w:val="20"/>
          <w:szCs w:val="20"/>
        </w:rPr>
        <w:t xml:space="preserve"> </w:t>
      </w:r>
      <w:r w:rsidRPr="00BD1C17">
        <w:rPr>
          <w:rFonts w:ascii="Euclid" w:hAnsi="Euclid" w:cs="Euclid"/>
          <w:sz w:val="20"/>
          <w:szCs w:val="20"/>
        </w:rPr>
        <w:t>statistical</w:t>
      </w:r>
      <w:r w:rsidRPr="00BD1C17">
        <w:rPr>
          <w:rFonts w:ascii="Euclid" w:hAnsi="Euclid" w:cs="Euclid"/>
          <w:spacing w:val="-2"/>
          <w:sz w:val="20"/>
          <w:szCs w:val="20"/>
        </w:rPr>
        <w:t xml:space="preserve"> </w:t>
      </w:r>
      <w:r w:rsidRPr="00BD1C17">
        <w:rPr>
          <w:rFonts w:ascii="Euclid" w:hAnsi="Euclid" w:cs="Euclid"/>
          <w:sz w:val="20"/>
          <w:szCs w:val="20"/>
        </w:rPr>
        <w:t>significance</w:t>
      </w:r>
      <w:r w:rsidRPr="00BD1C17">
        <w:rPr>
          <w:rFonts w:ascii="Euclid" w:hAnsi="Euclid" w:cs="Euclid"/>
          <w:spacing w:val="-1"/>
          <w:sz w:val="20"/>
          <w:szCs w:val="20"/>
        </w:rPr>
        <w:t xml:space="preserve"> </w:t>
      </w:r>
      <w:r w:rsidRPr="00BD1C17">
        <w:rPr>
          <w:rFonts w:ascii="Sitka Small" w:hAnsi="Sitka Small" w:cs="Sitka Small"/>
          <w:i/>
          <w:iCs/>
          <w:sz w:val="20"/>
          <w:szCs w:val="20"/>
          <w:vertAlign w:val="superscript"/>
        </w:rPr>
        <w:t>t</w:t>
      </w:r>
      <w:r w:rsidRPr="00BD1C17">
        <w:rPr>
          <w:rFonts w:ascii="Sitka Small" w:hAnsi="Sitka Small" w:cs="Sitka Small"/>
          <w:i/>
          <w:iCs/>
          <w:spacing w:val="13"/>
          <w:sz w:val="20"/>
          <w:szCs w:val="20"/>
        </w:rPr>
        <w:t xml:space="preserve"> </w:t>
      </w:r>
      <w:r w:rsidRPr="00BD1C17">
        <w:rPr>
          <w:rFonts w:ascii="Bookman Old Style" w:hAnsi="Bookman Old Style" w:cs="Bookman Old Style"/>
          <w:i/>
          <w:iCs/>
          <w:sz w:val="20"/>
          <w:szCs w:val="20"/>
        </w:rPr>
        <w:t>p</w:t>
      </w:r>
      <w:r w:rsidRPr="00BD1C17">
        <w:rPr>
          <w:rFonts w:ascii="Bookman Old Style" w:hAnsi="Bookman Old Style" w:cs="Bookman Old Style"/>
          <w:i/>
          <w:iCs/>
          <w:spacing w:val="-6"/>
          <w:sz w:val="20"/>
          <w:szCs w:val="20"/>
        </w:rPr>
        <w:t xml:space="preserve"> </w:t>
      </w:r>
      <w:r w:rsidRPr="00BD1C17">
        <w:rPr>
          <w:rFonts w:ascii="Bookman Old Style" w:hAnsi="Bookman Old Style" w:cs="Bookman Old Style"/>
          <w:i/>
          <w:iCs/>
          <w:sz w:val="20"/>
          <w:szCs w:val="20"/>
        </w:rPr>
        <w:t>&lt;</w:t>
      </w:r>
      <w:r w:rsidRPr="00BD1C17">
        <w:rPr>
          <w:rFonts w:ascii="Bookman Old Style" w:hAnsi="Bookman Old Style" w:cs="Bookman Old Style"/>
          <w:i/>
          <w:iCs/>
          <w:spacing w:val="-6"/>
          <w:sz w:val="20"/>
          <w:szCs w:val="20"/>
        </w:rPr>
        <w:t xml:space="preserve"> </w:t>
      </w:r>
      <w:r w:rsidRPr="00BD1C17">
        <w:rPr>
          <w:rFonts w:ascii="Euclid" w:hAnsi="Euclid" w:cs="Euclid"/>
          <w:sz w:val="20"/>
          <w:szCs w:val="20"/>
        </w:rPr>
        <w:t>0</w:t>
      </w:r>
      <w:r w:rsidRPr="00BD1C17">
        <w:rPr>
          <w:rFonts w:ascii="Bookman Old Style" w:hAnsi="Bookman Old Style" w:cs="Bookman Old Style"/>
          <w:i/>
          <w:iCs/>
          <w:sz w:val="20"/>
          <w:szCs w:val="20"/>
        </w:rPr>
        <w:t>.</w:t>
      </w:r>
      <w:r w:rsidRPr="00BD1C17">
        <w:rPr>
          <w:rFonts w:ascii="Euclid" w:hAnsi="Euclid" w:cs="Euclid"/>
          <w:sz w:val="20"/>
          <w:szCs w:val="20"/>
        </w:rPr>
        <w:t>15</w:t>
      </w:r>
      <w:r w:rsidRPr="00BD1C17">
        <w:rPr>
          <w:rFonts w:ascii="Euclid" w:hAnsi="Euclid" w:cs="Euclid"/>
          <w:spacing w:val="-2"/>
          <w:sz w:val="20"/>
          <w:szCs w:val="20"/>
        </w:rPr>
        <w:t xml:space="preserve"> </w:t>
      </w:r>
      <w:r w:rsidRPr="00BD1C17">
        <w:rPr>
          <w:rFonts w:ascii="Lucida Sans Unicode" w:hAnsi="Lucida Sans Unicode" w:cs="Lucida Sans Unicode"/>
          <w:sz w:val="20"/>
          <w:szCs w:val="20"/>
          <w:vertAlign w:val="superscript"/>
        </w:rPr>
        <w:t>∗</w:t>
      </w:r>
      <w:r w:rsidRPr="00BD1C17">
        <w:rPr>
          <w:rFonts w:ascii="Lucida Sans Unicode" w:hAnsi="Lucida Sans Unicode" w:cs="Lucida Sans Unicode"/>
          <w:spacing w:val="12"/>
          <w:sz w:val="20"/>
          <w:szCs w:val="20"/>
        </w:rPr>
        <w:t xml:space="preserve"> </w:t>
      </w:r>
      <w:r w:rsidRPr="00BD1C17">
        <w:rPr>
          <w:rFonts w:ascii="Bookman Old Style" w:hAnsi="Bookman Old Style" w:cs="Bookman Old Style"/>
          <w:i/>
          <w:iCs/>
          <w:sz w:val="20"/>
          <w:szCs w:val="20"/>
        </w:rPr>
        <w:t>p</w:t>
      </w:r>
      <w:r w:rsidRPr="00BD1C17">
        <w:rPr>
          <w:rFonts w:ascii="Bookman Old Style" w:hAnsi="Bookman Old Style" w:cs="Bookman Old Style"/>
          <w:i/>
          <w:iCs/>
          <w:spacing w:val="-6"/>
          <w:sz w:val="20"/>
          <w:szCs w:val="20"/>
        </w:rPr>
        <w:t xml:space="preserve"> </w:t>
      </w:r>
      <w:r w:rsidRPr="00BD1C17">
        <w:rPr>
          <w:rFonts w:ascii="Bookman Old Style" w:hAnsi="Bookman Old Style" w:cs="Bookman Old Style"/>
          <w:i/>
          <w:iCs/>
          <w:sz w:val="20"/>
          <w:szCs w:val="20"/>
        </w:rPr>
        <w:t>&lt;</w:t>
      </w:r>
      <w:r w:rsidRPr="00BD1C17">
        <w:rPr>
          <w:rFonts w:ascii="Bookman Old Style" w:hAnsi="Bookman Old Style" w:cs="Bookman Old Style"/>
          <w:i/>
          <w:iCs/>
          <w:spacing w:val="-6"/>
          <w:sz w:val="20"/>
          <w:szCs w:val="20"/>
        </w:rPr>
        <w:t xml:space="preserve"> </w:t>
      </w:r>
      <w:r w:rsidRPr="00BD1C17">
        <w:rPr>
          <w:rFonts w:ascii="Euclid" w:hAnsi="Euclid" w:cs="Euclid"/>
          <w:sz w:val="20"/>
          <w:szCs w:val="20"/>
        </w:rPr>
        <w:t>0</w:t>
      </w:r>
      <w:r w:rsidRPr="00BD1C17">
        <w:rPr>
          <w:rFonts w:ascii="Bookman Old Style" w:hAnsi="Bookman Old Style" w:cs="Bookman Old Style"/>
          <w:i/>
          <w:iCs/>
          <w:sz w:val="20"/>
          <w:szCs w:val="20"/>
        </w:rPr>
        <w:t>.</w:t>
      </w:r>
      <w:r w:rsidRPr="00BD1C17">
        <w:rPr>
          <w:rFonts w:ascii="Euclid" w:hAnsi="Euclid" w:cs="Euclid"/>
          <w:sz w:val="20"/>
          <w:szCs w:val="20"/>
        </w:rPr>
        <w:t>1,</w:t>
      </w:r>
      <w:r w:rsidRPr="00BD1C17">
        <w:rPr>
          <w:rFonts w:ascii="Euclid" w:hAnsi="Euclid" w:cs="Euclid"/>
          <w:spacing w:val="-2"/>
          <w:sz w:val="20"/>
          <w:szCs w:val="20"/>
        </w:rPr>
        <w:t xml:space="preserve"> </w:t>
      </w:r>
      <w:r w:rsidRPr="00BD1C17">
        <w:rPr>
          <w:rFonts w:ascii="Lucida Sans Unicode" w:hAnsi="Lucida Sans Unicode" w:cs="Lucida Sans Unicode"/>
          <w:sz w:val="20"/>
          <w:szCs w:val="20"/>
          <w:vertAlign w:val="superscript"/>
        </w:rPr>
        <w:t>∗∗</w:t>
      </w:r>
      <w:r w:rsidRPr="00BD1C17">
        <w:rPr>
          <w:rFonts w:ascii="Lucida Sans Unicode" w:hAnsi="Lucida Sans Unicode" w:cs="Lucida Sans Unicode"/>
          <w:spacing w:val="12"/>
          <w:sz w:val="20"/>
          <w:szCs w:val="20"/>
        </w:rPr>
        <w:t xml:space="preserve"> </w:t>
      </w:r>
      <w:r w:rsidRPr="00BD1C17">
        <w:rPr>
          <w:rFonts w:ascii="Bookman Old Style" w:hAnsi="Bookman Old Style" w:cs="Bookman Old Style"/>
          <w:i/>
          <w:iCs/>
          <w:sz w:val="20"/>
          <w:szCs w:val="20"/>
        </w:rPr>
        <w:t>p</w:t>
      </w:r>
      <w:r w:rsidRPr="00BD1C17">
        <w:rPr>
          <w:rFonts w:ascii="Bookman Old Style" w:hAnsi="Bookman Old Style" w:cs="Bookman Old Style"/>
          <w:i/>
          <w:iCs/>
          <w:spacing w:val="-6"/>
          <w:sz w:val="20"/>
          <w:szCs w:val="20"/>
        </w:rPr>
        <w:t xml:space="preserve"> </w:t>
      </w:r>
      <w:r w:rsidRPr="00BD1C17">
        <w:rPr>
          <w:rFonts w:ascii="Bookman Old Style" w:hAnsi="Bookman Old Style" w:cs="Bookman Old Style"/>
          <w:i/>
          <w:iCs/>
          <w:sz w:val="20"/>
          <w:szCs w:val="20"/>
        </w:rPr>
        <w:t>&lt;</w:t>
      </w:r>
      <w:r w:rsidRPr="00BD1C17">
        <w:rPr>
          <w:rFonts w:ascii="Bookman Old Style" w:hAnsi="Bookman Old Style" w:cs="Bookman Old Style"/>
          <w:i/>
          <w:iCs/>
          <w:spacing w:val="-6"/>
          <w:sz w:val="20"/>
          <w:szCs w:val="20"/>
        </w:rPr>
        <w:t xml:space="preserve"> </w:t>
      </w:r>
      <w:r w:rsidRPr="00BD1C17">
        <w:rPr>
          <w:rFonts w:ascii="Euclid" w:hAnsi="Euclid" w:cs="Euclid"/>
          <w:sz w:val="20"/>
          <w:szCs w:val="20"/>
        </w:rPr>
        <w:t>0</w:t>
      </w:r>
      <w:r w:rsidRPr="00BD1C17">
        <w:rPr>
          <w:rFonts w:ascii="Bookman Old Style" w:hAnsi="Bookman Old Style" w:cs="Bookman Old Style"/>
          <w:i/>
          <w:iCs/>
          <w:sz w:val="20"/>
          <w:szCs w:val="20"/>
        </w:rPr>
        <w:t>.</w:t>
      </w:r>
      <w:r w:rsidRPr="00BD1C17">
        <w:rPr>
          <w:rFonts w:ascii="Euclid" w:hAnsi="Euclid" w:cs="Euclid"/>
          <w:sz w:val="20"/>
          <w:szCs w:val="20"/>
        </w:rPr>
        <w:t>05,</w:t>
      </w:r>
      <w:r w:rsidRPr="00BD1C17">
        <w:rPr>
          <w:rFonts w:ascii="Euclid" w:hAnsi="Euclid" w:cs="Euclid"/>
          <w:spacing w:val="-2"/>
          <w:sz w:val="20"/>
          <w:szCs w:val="20"/>
        </w:rPr>
        <w:t xml:space="preserve"> </w:t>
      </w:r>
      <w:r w:rsidRPr="00BD1C17">
        <w:rPr>
          <w:rFonts w:ascii="Lucida Sans Unicode" w:hAnsi="Lucida Sans Unicode" w:cs="Lucida Sans Unicode"/>
          <w:sz w:val="20"/>
          <w:szCs w:val="20"/>
          <w:vertAlign w:val="superscript"/>
        </w:rPr>
        <w:t>∗∗∗</w:t>
      </w:r>
      <w:r w:rsidRPr="00BD1C17">
        <w:rPr>
          <w:rFonts w:ascii="Lucida Sans Unicode" w:hAnsi="Lucida Sans Unicode" w:cs="Lucida Sans Unicode"/>
          <w:spacing w:val="12"/>
          <w:sz w:val="20"/>
          <w:szCs w:val="20"/>
        </w:rPr>
        <w:t xml:space="preserve"> </w:t>
      </w:r>
      <w:r w:rsidRPr="00BD1C17">
        <w:rPr>
          <w:rFonts w:ascii="Bookman Old Style" w:hAnsi="Bookman Old Style" w:cs="Bookman Old Style"/>
          <w:i/>
          <w:iCs/>
          <w:sz w:val="20"/>
          <w:szCs w:val="20"/>
        </w:rPr>
        <w:t>p</w:t>
      </w:r>
      <w:r w:rsidRPr="00BD1C17">
        <w:rPr>
          <w:rFonts w:ascii="Bookman Old Style" w:hAnsi="Bookman Old Style" w:cs="Bookman Old Style"/>
          <w:i/>
          <w:iCs/>
          <w:spacing w:val="-6"/>
          <w:sz w:val="20"/>
          <w:szCs w:val="20"/>
        </w:rPr>
        <w:t xml:space="preserve"> </w:t>
      </w:r>
      <w:r w:rsidRPr="00BD1C17">
        <w:rPr>
          <w:rFonts w:ascii="Bookman Old Style" w:hAnsi="Bookman Old Style" w:cs="Bookman Old Style"/>
          <w:i/>
          <w:iCs/>
          <w:sz w:val="20"/>
          <w:szCs w:val="20"/>
        </w:rPr>
        <w:t>&lt;</w:t>
      </w:r>
      <w:r w:rsidRPr="00BD1C17">
        <w:rPr>
          <w:rFonts w:ascii="Bookman Old Style" w:hAnsi="Bookman Old Style" w:cs="Bookman Old Style"/>
          <w:i/>
          <w:iCs/>
          <w:spacing w:val="-6"/>
          <w:sz w:val="20"/>
          <w:szCs w:val="20"/>
        </w:rPr>
        <w:t xml:space="preserve"> </w:t>
      </w:r>
      <w:r w:rsidRPr="00BD1C17">
        <w:rPr>
          <w:rFonts w:ascii="Euclid" w:hAnsi="Euclid" w:cs="Euclid"/>
          <w:sz w:val="20"/>
          <w:szCs w:val="20"/>
        </w:rPr>
        <w:t>0</w:t>
      </w:r>
      <w:r w:rsidRPr="00BD1C17">
        <w:rPr>
          <w:rFonts w:ascii="Bookman Old Style" w:hAnsi="Bookman Old Style" w:cs="Bookman Old Style"/>
          <w:i/>
          <w:iCs/>
          <w:sz w:val="20"/>
          <w:szCs w:val="20"/>
        </w:rPr>
        <w:t>.</w:t>
      </w:r>
      <w:r w:rsidRPr="00BD1C17">
        <w:rPr>
          <w:rFonts w:ascii="Euclid" w:hAnsi="Euclid" w:cs="Euclid"/>
          <w:sz w:val="20"/>
          <w:szCs w:val="20"/>
        </w:rPr>
        <w:t>01.</w:t>
      </w:r>
    </w:p>
    <w:p w14:paraId="430067F7" w14:textId="1ED54209" w:rsidR="0091099D" w:rsidRDefault="0091099D" w:rsidP="00BD4C13">
      <w:pPr>
        <w:spacing w:after="120" w:line="300" w:lineRule="auto"/>
        <w:ind w:firstLine="446"/>
        <w:rPr>
          <w:rFonts w:asciiTheme="majorBidi" w:hAnsiTheme="majorBidi" w:cstheme="majorBidi"/>
          <w:sz w:val="24"/>
          <w:szCs w:val="24"/>
        </w:rPr>
      </w:pPr>
    </w:p>
    <w:p w14:paraId="7D34CA44" w14:textId="391E0EB2" w:rsidR="005132C4" w:rsidRDefault="00D074DE" w:rsidP="00A13C7B">
      <w:pPr>
        <w:spacing w:after="120" w:line="360" w:lineRule="auto"/>
        <w:ind w:firstLine="446"/>
        <w:jc w:val="both"/>
        <w:rPr>
          <w:rFonts w:asciiTheme="majorBidi" w:hAnsiTheme="majorBidi" w:cstheme="majorBidi"/>
          <w:sz w:val="24"/>
          <w:szCs w:val="24"/>
        </w:rPr>
      </w:pPr>
      <w:r>
        <w:rPr>
          <w:rFonts w:asciiTheme="majorBidi" w:hAnsiTheme="majorBidi" w:cstheme="majorBidi"/>
          <w:sz w:val="24"/>
          <w:szCs w:val="24"/>
        </w:rPr>
        <w:lastRenderedPageBreak/>
        <w:t xml:space="preserve">Columns (4) and (5) indicates that the patters we observe for all cases in columns (1)-(3) also hold </w:t>
      </w:r>
      <w:r w:rsidR="00D50E7E">
        <w:rPr>
          <w:rFonts w:asciiTheme="majorBidi" w:hAnsiTheme="majorBidi" w:cstheme="majorBidi"/>
          <w:sz w:val="24"/>
          <w:szCs w:val="24"/>
        </w:rPr>
        <w:t xml:space="preserve">separately </w:t>
      </w:r>
      <w:r>
        <w:rPr>
          <w:rFonts w:asciiTheme="majorBidi" w:hAnsiTheme="majorBidi" w:cstheme="majorBidi"/>
          <w:sz w:val="24"/>
          <w:szCs w:val="24"/>
        </w:rPr>
        <w:t xml:space="preserve">for each of the two subsets </w:t>
      </w:r>
      <w:r w:rsidR="004832F0">
        <w:rPr>
          <w:rFonts w:asciiTheme="majorBidi" w:hAnsiTheme="majorBidi" w:cstheme="majorBidi"/>
          <w:sz w:val="24"/>
          <w:szCs w:val="24"/>
        </w:rPr>
        <w:t>–</w:t>
      </w:r>
      <w:r>
        <w:rPr>
          <w:rFonts w:asciiTheme="majorBidi" w:hAnsiTheme="majorBidi" w:cstheme="majorBidi"/>
          <w:sz w:val="24"/>
          <w:szCs w:val="24"/>
        </w:rPr>
        <w:t xml:space="preserve"> </w:t>
      </w:r>
      <w:r w:rsidR="004832F0">
        <w:rPr>
          <w:rFonts w:asciiTheme="majorBidi" w:hAnsiTheme="majorBidi" w:cstheme="majorBidi"/>
          <w:sz w:val="24"/>
          <w:szCs w:val="24"/>
        </w:rPr>
        <w:t xml:space="preserve">cases in which the criminal defendant initiated the appeal, and cases in which the government initiated the appeal. </w:t>
      </w:r>
      <w:r w:rsidR="00C965C3">
        <w:rPr>
          <w:rFonts w:asciiTheme="majorBidi" w:hAnsiTheme="majorBidi" w:cstheme="majorBidi"/>
          <w:sz w:val="24"/>
          <w:szCs w:val="24"/>
        </w:rPr>
        <w:t xml:space="preserve">Because the cases in which the criminal defendant is the appellant are the large majority of all criminal appeals, it is unsurprising that the coefficients in Column (4) are similar in magnitude and significance to the coefficient of Column (3). </w:t>
      </w:r>
      <w:r w:rsidR="00054E9B">
        <w:rPr>
          <w:rFonts w:asciiTheme="majorBidi" w:hAnsiTheme="majorBidi" w:cstheme="majorBidi"/>
          <w:sz w:val="24"/>
          <w:szCs w:val="24"/>
        </w:rPr>
        <w:t>For the minority of cases in which the government is the appellant, seeking to make the sentence from below more severe, the effects of increasing Democratic presence on the panel</w:t>
      </w:r>
      <w:r w:rsidR="00FE0706">
        <w:rPr>
          <w:rFonts w:asciiTheme="majorBidi" w:hAnsiTheme="majorBidi" w:cstheme="majorBidi"/>
          <w:sz w:val="24"/>
          <w:szCs w:val="24"/>
        </w:rPr>
        <w:t xml:space="preserve"> is much larger</w:t>
      </w:r>
      <w:r w:rsidR="00054E9B">
        <w:rPr>
          <w:rFonts w:asciiTheme="majorBidi" w:hAnsiTheme="majorBidi" w:cstheme="majorBidi"/>
          <w:sz w:val="24"/>
          <w:szCs w:val="24"/>
        </w:rPr>
        <w:t xml:space="preserve">. In particular, </w:t>
      </w:r>
      <w:r w:rsidR="00792620">
        <w:rPr>
          <w:rFonts w:asciiTheme="majorBidi" w:hAnsiTheme="majorBidi" w:cstheme="majorBidi"/>
          <w:sz w:val="24"/>
          <w:szCs w:val="24"/>
        </w:rPr>
        <w:t>moving to a Democratic-majority panel has coefficient</w:t>
      </w:r>
      <w:r w:rsidR="005132C4">
        <w:rPr>
          <w:rFonts w:asciiTheme="majorBidi" w:hAnsiTheme="majorBidi" w:cstheme="majorBidi"/>
          <w:sz w:val="24"/>
          <w:szCs w:val="24"/>
        </w:rPr>
        <w:t>s</w:t>
      </w:r>
      <w:r w:rsidR="00792620">
        <w:rPr>
          <w:rFonts w:asciiTheme="majorBidi" w:hAnsiTheme="majorBidi" w:cstheme="majorBidi"/>
          <w:sz w:val="24"/>
          <w:szCs w:val="24"/>
        </w:rPr>
        <w:t xml:space="preserve"> that</w:t>
      </w:r>
      <w:r w:rsidR="005132C4">
        <w:rPr>
          <w:rFonts w:asciiTheme="majorBidi" w:hAnsiTheme="majorBidi" w:cstheme="majorBidi"/>
          <w:sz w:val="24"/>
          <w:szCs w:val="24"/>
        </w:rPr>
        <w:t xml:space="preserve"> are much larger in magnitude than those in</w:t>
      </w:r>
      <w:r w:rsidR="005766C1">
        <w:rPr>
          <w:rFonts w:asciiTheme="majorBidi" w:hAnsiTheme="majorBidi" w:cstheme="majorBidi"/>
          <w:sz w:val="24"/>
          <w:szCs w:val="24"/>
        </w:rPr>
        <w:t xml:space="preserve"> Column (3). The evidence indicates that a switch from a Republican-majority panel to a Democratic majority panel makes the panel substantially less receptive to governmental attempt to make the sentence more severe. </w:t>
      </w:r>
      <w:r w:rsidR="005132C4">
        <w:rPr>
          <w:rFonts w:asciiTheme="majorBidi" w:hAnsiTheme="majorBidi" w:cstheme="majorBidi"/>
          <w:sz w:val="24"/>
          <w:szCs w:val="24"/>
        </w:rPr>
        <w:t xml:space="preserve"> </w:t>
      </w:r>
    </w:p>
    <w:p w14:paraId="228F865A" w14:textId="7B683EB4" w:rsidR="00332590" w:rsidRPr="000F7B0E" w:rsidRDefault="00332590" w:rsidP="00A13C7B">
      <w:pPr>
        <w:spacing w:after="120" w:line="360" w:lineRule="auto"/>
        <w:jc w:val="center"/>
        <w:rPr>
          <w:rFonts w:asciiTheme="majorBidi" w:hAnsiTheme="majorBidi" w:cstheme="majorBidi"/>
          <w:i/>
          <w:iCs/>
          <w:sz w:val="24"/>
          <w:szCs w:val="24"/>
        </w:rPr>
      </w:pPr>
      <w:r w:rsidRPr="000F7B0E">
        <w:rPr>
          <w:rFonts w:asciiTheme="majorBidi" w:hAnsiTheme="majorBidi" w:cstheme="majorBidi"/>
          <w:i/>
          <w:iCs/>
          <w:sz w:val="24"/>
          <w:szCs w:val="24"/>
        </w:rPr>
        <w:t xml:space="preserve">B. Driven by </w:t>
      </w:r>
      <w:r w:rsidR="005766C1" w:rsidRPr="000F7B0E">
        <w:rPr>
          <w:rFonts w:asciiTheme="majorBidi" w:hAnsiTheme="majorBidi" w:cstheme="majorBidi"/>
          <w:i/>
          <w:iCs/>
          <w:sz w:val="24"/>
          <w:szCs w:val="24"/>
        </w:rPr>
        <w:t>L</w:t>
      </w:r>
      <w:r w:rsidR="0017476A" w:rsidRPr="000F7B0E">
        <w:rPr>
          <w:rFonts w:asciiTheme="majorBidi" w:hAnsiTheme="majorBidi" w:cstheme="majorBidi"/>
          <w:i/>
          <w:iCs/>
          <w:sz w:val="24"/>
          <w:szCs w:val="24"/>
        </w:rPr>
        <w:t xml:space="preserve">imited </w:t>
      </w:r>
      <w:r w:rsidR="005766C1" w:rsidRPr="000F7B0E">
        <w:rPr>
          <w:rFonts w:asciiTheme="majorBidi" w:hAnsiTheme="majorBidi" w:cstheme="majorBidi"/>
          <w:i/>
          <w:iCs/>
          <w:sz w:val="24"/>
          <w:szCs w:val="24"/>
        </w:rPr>
        <w:t>S</w:t>
      </w:r>
      <w:r w:rsidR="0017476A" w:rsidRPr="000F7B0E">
        <w:rPr>
          <w:rFonts w:asciiTheme="majorBidi" w:hAnsiTheme="majorBidi" w:cstheme="majorBidi"/>
          <w:i/>
          <w:iCs/>
          <w:sz w:val="24"/>
          <w:szCs w:val="24"/>
        </w:rPr>
        <w:t>ubsets?</w:t>
      </w:r>
    </w:p>
    <w:p w14:paraId="6A3F24D2" w14:textId="6B6471DC" w:rsidR="005766C1" w:rsidRDefault="00D1163C" w:rsidP="00A13C7B">
      <w:pPr>
        <w:spacing w:after="120" w:line="360" w:lineRule="auto"/>
        <w:jc w:val="both"/>
        <w:rPr>
          <w:rFonts w:asciiTheme="majorBidi" w:hAnsiTheme="majorBidi" w:cstheme="majorBidi"/>
          <w:sz w:val="24"/>
          <w:szCs w:val="24"/>
        </w:rPr>
      </w:pPr>
      <w:r>
        <w:rPr>
          <w:rFonts w:asciiTheme="majorBidi" w:hAnsiTheme="majorBidi" w:cstheme="majorBidi"/>
          <w:sz w:val="24"/>
          <w:szCs w:val="24"/>
        </w:rPr>
        <w:tab/>
        <w:t xml:space="preserve">I now turn to examine whether patterns </w:t>
      </w:r>
      <w:r w:rsidR="006711C6">
        <w:rPr>
          <w:rFonts w:asciiTheme="majorBidi" w:hAnsiTheme="majorBidi" w:cstheme="majorBidi"/>
          <w:sz w:val="24"/>
          <w:szCs w:val="24"/>
        </w:rPr>
        <w:t>identified above are driven largely by some subsets of the large sample of cases I examine and are not present in other subsets. Below I discuss subsets based on whether the</w:t>
      </w:r>
      <w:r w:rsidR="00C93B98">
        <w:rPr>
          <w:rFonts w:asciiTheme="majorBidi" w:hAnsiTheme="majorBidi" w:cstheme="majorBidi"/>
          <w:sz w:val="24"/>
          <w:szCs w:val="24"/>
        </w:rPr>
        <w:t xml:space="preserve"> decision was published or unpublished, the decade in which the case was decided, and the type of offense that was involved. The analysis does not identify any significant subsets in which </w:t>
      </w:r>
      <w:r w:rsidR="00A92491">
        <w:rPr>
          <w:rFonts w:asciiTheme="majorBidi" w:hAnsiTheme="majorBidi" w:cstheme="majorBidi"/>
          <w:sz w:val="24"/>
          <w:szCs w:val="24"/>
        </w:rPr>
        <w:t xml:space="preserve">an association between political composition and prodefendant outcomes is totally lacking. </w:t>
      </w:r>
      <w:r w:rsidR="00DD0E19">
        <w:rPr>
          <w:rFonts w:asciiTheme="majorBidi" w:hAnsiTheme="majorBidi" w:cstheme="majorBidi"/>
          <w:sz w:val="24"/>
          <w:szCs w:val="24"/>
        </w:rPr>
        <w:t xml:space="preserve">However, in terms of magnitude, we find that the association is substantially stronger in published cases than unpublished cases. </w:t>
      </w:r>
    </w:p>
    <w:p w14:paraId="50445013" w14:textId="2CEF25E9" w:rsidR="00EC2716" w:rsidRPr="004F4103" w:rsidRDefault="00DB11C7" w:rsidP="00A13C7B">
      <w:pPr>
        <w:spacing w:after="120" w:line="360" w:lineRule="auto"/>
        <w:jc w:val="both"/>
        <w:rPr>
          <w:rFonts w:asciiTheme="majorBidi" w:hAnsiTheme="majorBidi" w:cstheme="majorBidi"/>
          <w:i/>
          <w:iCs/>
          <w:sz w:val="24"/>
          <w:szCs w:val="24"/>
        </w:rPr>
      </w:pPr>
      <w:r w:rsidRPr="004F4103">
        <w:rPr>
          <w:rFonts w:asciiTheme="majorBidi" w:hAnsiTheme="majorBidi" w:cstheme="majorBidi"/>
          <w:i/>
          <w:iCs/>
          <w:sz w:val="24"/>
          <w:szCs w:val="24"/>
        </w:rPr>
        <w:t xml:space="preserve">1. </w:t>
      </w:r>
      <w:r w:rsidR="009D643B" w:rsidRPr="004F4103">
        <w:rPr>
          <w:rFonts w:asciiTheme="majorBidi" w:hAnsiTheme="majorBidi" w:cstheme="majorBidi"/>
          <w:i/>
          <w:iCs/>
          <w:sz w:val="24"/>
          <w:szCs w:val="24"/>
        </w:rPr>
        <w:t xml:space="preserve">Published and unpublished </w:t>
      </w:r>
    </w:p>
    <w:p w14:paraId="266EAF92" w14:textId="2097429A" w:rsidR="009178E2" w:rsidRDefault="00DD0E19" w:rsidP="00A13C7B">
      <w:pPr>
        <w:spacing w:after="120"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As noted earlier, </w:t>
      </w:r>
      <w:r w:rsidR="00BD4C13" w:rsidRPr="00BD4C13">
        <w:rPr>
          <w:rFonts w:asciiTheme="majorBidi" w:hAnsiTheme="majorBidi" w:cstheme="majorBidi"/>
          <w:sz w:val="24"/>
          <w:szCs w:val="24"/>
        </w:rPr>
        <w:t>the literature has expressed concern that r</w:t>
      </w:r>
      <w:r w:rsidR="00BD4C13">
        <w:rPr>
          <w:rFonts w:asciiTheme="majorBidi" w:hAnsiTheme="majorBidi" w:cstheme="majorBidi"/>
          <w:sz w:val="24"/>
          <w:szCs w:val="24"/>
        </w:rPr>
        <w:t xml:space="preserve"> </w:t>
      </w:r>
      <w:r w:rsidR="00BD4C13" w:rsidRPr="00BD4C13">
        <w:rPr>
          <w:rFonts w:asciiTheme="majorBidi" w:hAnsiTheme="majorBidi" w:cstheme="majorBidi"/>
          <w:sz w:val="24"/>
          <w:szCs w:val="24"/>
        </w:rPr>
        <w:t xml:space="preserve">published cases </w:t>
      </w:r>
      <w:r w:rsidR="0076462B">
        <w:rPr>
          <w:rFonts w:asciiTheme="majorBidi" w:hAnsiTheme="majorBidi" w:cstheme="majorBidi"/>
          <w:sz w:val="24"/>
          <w:szCs w:val="24"/>
        </w:rPr>
        <w:t xml:space="preserve">could be </w:t>
      </w:r>
      <w:r w:rsidR="009B4809">
        <w:rPr>
          <w:rFonts w:asciiTheme="majorBidi" w:hAnsiTheme="majorBidi" w:cstheme="majorBidi"/>
          <w:sz w:val="24"/>
          <w:szCs w:val="24"/>
        </w:rPr>
        <w:t>unrepresentative</w:t>
      </w:r>
      <w:r w:rsidR="0076462B">
        <w:rPr>
          <w:rFonts w:asciiTheme="majorBidi" w:hAnsiTheme="majorBidi" w:cstheme="majorBidi"/>
          <w:sz w:val="24"/>
          <w:szCs w:val="24"/>
        </w:rPr>
        <w:t xml:space="preserve"> of all cases, and that results obtained </w:t>
      </w:r>
      <w:r w:rsidR="0074669C">
        <w:rPr>
          <w:rFonts w:asciiTheme="majorBidi" w:hAnsiTheme="majorBidi" w:cstheme="majorBidi"/>
          <w:sz w:val="24"/>
          <w:szCs w:val="24"/>
        </w:rPr>
        <w:t xml:space="preserve">based on samples of published cases could well not hold for the universe of cases as a while. </w:t>
      </w:r>
      <w:r w:rsidR="00BD4C13" w:rsidRPr="00BD4C13">
        <w:rPr>
          <w:rFonts w:asciiTheme="majorBidi" w:hAnsiTheme="majorBidi" w:cstheme="majorBidi"/>
          <w:sz w:val="24"/>
          <w:szCs w:val="24"/>
        </w:rPr>
        <w:t xml:space="preserve">This </w:t>
      </w:r>
      <w:r w:rsidR="0074669C">
        <w:rPr>
          <w:rFonts w:asciiTheme="majorBidi" w:hAnsiTheme="majorBidi" w:cstheme="majorBidi"/>
          <w:sz w:val="24"/>
          <w:szCs w:val="24"/>
        </w:rPr>
        <w:t xml:space="preserve">severity of this </w:t>
      </w:r>
      <w:r w:rsidR="00BD4C13" w:rsidRPr="00BD4C13">
        <w:rPr>
          <w:rFonts w:asciiTheme="majorBidi" w:hAnsiTheme="majorBidi" w:cstheme="majorBidi"/>
          <w:sz w:val="24"/>
          <w:szCs w:val="24"/>
        </w:rPr>
        <w:t xml:space="preserve">concern </w:t>
      </w:r>
      <w:r w:rsidR="0074669C">
        <w:rPr>
          <w:rFonts w:asciiTheme="majorBidi" w:hAnsiTheme="majorBidi" w:cstheme="majorBidi"/>
          <w:sz w:val="24"/>
          <w:szCs w:val="24"/>
        </w:rPr>
        <w:t xml:space="preserve">has been increasing over time </w:t>
      </w:r>
      <w:r w:rsidR="00CF03AC">
        <w:rPr>
          <w:rFonts w:asciiTheme="majorBidi" w:hAnsiTheme="majorBidi" w:cstheme="majorBidi"/>
          <w:sz w:val="24"/>
          <w:szCs w:val="24"/>
        </w:rPr>
        <w:t>because the fraction of cases that have pub</w:t>
      </w:r>
      <w:r w:rsidR="00540049">
        <w:rPr>
          <w:rFonts w:asciiTheme="majorBidi" w:hAnsiTheme="majorBidi" w:cstheme="majorBidi"/>
          <w:sz w:val="24"/>
          <w:szCs w:val="24"/>
        </w:rPr>
        <w:t>l</w:t>
      </w:r>
      <w:r w:rsidR="00CF03AC">
        <w:rPr>
          <w:rFonts w:asciiTheme="majorBidi" w:hAnsiTheme="majorBidi" w:cstheme="majorBidi"/>
          <w:sz w:val="24"/>
          <w:szCs w:val="24"/>
        </w:rPr>
        <w:t xml:space="preserve">ished opinion has been declining substantially over the last three decades. In 2020, only about </w:t>
      </w:r>
      <w:r w:rsidR="0024783E">
        <w:rPr>
          <w:rFonts w:asciiTheme="majorBidi" w:hAnsiTheme="majorBidi" w:cstheme="majorBidi"/>
          <w:sz w:val="24"/>
          <w:szCs w:val="24"/>
        </w:rPr>
        <w:t>16</w:t>
      </w:r>
      <w:r w:rsidR="00CF03AC">
        <w:rPr>
          <w:rFonts w:asciiTheme="majorBidi" w:hAnsiTheme="majorBidi" w:cstheme="majorBidi"/>
          <w:sz w:val="24"/>
          <w:szCs w:val="24"/>
        </w:rPr>
        <w:t>% of all cases had published opin</w:t>
      </w:r>
      <w:r w:rsidR="00540049">
        <w:rPr>
          <w:rFonts w:asciiTheme="majorBidi" w:hAnsiTheme="majorBidi" w:cstheme="majorBidi"/>
          <w:sz w:val="24"/>
          <w:szCs w:val="24"/>
        </w:rPr>
        <w:t>i</w:t>
      </w:r>
      <w:r w:rsidR="00CF03AC">
        <w:rPr>
          <w:rFonts w:asciiTheme="majorBidi" w:hAnsiTheme="majorBidi" w:cstheme="majorBidi"/>
          <w:sz w:val="24"/>
          <w:szCs w:val="24"/>
        </w:rPr>
        <w:t xml:space="preserve">ons, with a large majority of </w:t>
      </w:r>
      <w:r w:rsidR="0024783E">
        <w:rPr>
          <w:rFonts w:asciiTheme="majorBidi" w:hAnsiTheme="majorBidi" w:cstheme="majorBidi"/>
          <w:sz w:val="24"/>
          <w:szCs w:val="24"/>
        </w:rPr>
        <w:t>84</w:t>
      </w:r>
      <w:r w:rsidR="009178E2">
        <w:rPr>
          <w:rFonts w:asciiTheme="majorBidi" w:hAnsiTheme="majorBidi" w:cstheme="majorBidi"/>
          <w:sz w:val="24"/>
          <w:szCs w:val="24"/>
        </w:rPr>
        <w:t xml:space="preserve">% of the cases being unpublished. </w:t>
      </w:r>
    </w:p>
    <w:p w14:paraId="08C09B14" w14:textId="7C8F6A7E" w:rsidR="00902DD0" w:rsidRDefault="009178E2" w:rsidP="00A13C7B">
      <w:pPr>
        <w:spacing w:after="120" w:line="360" w:lineRule="auto"/>
        <w:ind w:firstLine="720"/>
        <w:jc w:val="both"/>
        <w:rPr>
          <w:rFonts w:asciiTheme="majorBidi" w:hAnsiTheme="majorBidi" w:cstheme="majorBidi"/>
          <w:sz w:val="24"/>
          <w:szCs w:val="24"/>
        </w:rPr>
      </w:pPr>
      <w:r>
        <w:rPr>
          <w:rFonts w:asciiTheme="majorBidi" w:hAnsiTheme="majorBidi" w:cstheme="majorBidi"/>
          <w:sz w:val="24"/>
          <w:szCs w:val="24"/>
        </w:rPr>
        <w:t>Although this concern is widely accepted</w:t>
      </w:r>
      <w:r w:rsidR="008C0E65">
        <w:rPr>
          <w:rFonts w:asciiTheme="majorBidi" w:hAnsiTheme="majorBidi" w:cstheme="majorBidi"/>
          <w:sz w:val="24"/>
          <w:szCs w:val="24"/>
        </w:rPr>
        <w:t xml:space="preserve">, and some studies sought to document empirically that </w:t>
      </w:r>
      <w:r w:rsidR="00902DD0">
        <w:rPr>
          <w:rFonts w:asciiTheme="majorBidi" w:hAnsiTheme="majorBidi" w:cstheme="majorBidi"/>
          <w:sz w:val="24"/>
          <w:szCs w:val="24"/>
        </w:rPr>
        <w:t xml:space="preserve">unpublished opinions are likely different, there has been little empirical study of the exact ways in which unpublished cases were different. This was due to empirical researchers largely using samples </w:t>
      </w:r>
      <w:r w:rsidR="00AD06E2">
        <w:rPr>
          <w:rFonts w:asciiTheme="majorBidi" w:hAnsiTheme="majorBidi" w:cstheme="majorBidi"/>
          <w:sz w:val="24"/>
          <w:szCs w:val="24"/>
        </w:rPr>
        <w:t xml:space="preserve">consisting only of published cases and thus not having in their sample </w:t>
      </w:r>
      <w:r w:rsidR="00AD06E2">
        <w:rPr>
          <w:rFonts w:asciiTheme="majorBidi" w:hAnsiTheme="majorBidi" w:cstheme="majorBidi"/>
          <w:sz w:val="24"/>
          <w:szCs w:val="24"/>
        </w:rPr>
        <w:lastRenderedPageBreak/>
        <w:t xml:space="preserve">unpublished cases that could be analyzed. Because my dataset has </w:t>
      </w:r>
      <w:r w:rsidR="00C77144">
        <w:rPr>
          <w:rFonts w:asciiTheme="majorBidi" w:hAnsiTheme="majorBidi" w:cstheme="majorBidi"/>
          <w:sz w:val="24"/>
          <w:szCs w:val="24"/>
        </w:rPr>
        <w:t xml:space="preserve">the universe of all cases, including the majority of cases that are unpublished, I am able to identify empirically </w:t>
      </w:r>
      <w:r w:rsidR="007D0F4C">
        <w:rPr>
          <w:rFonts w:asciiTheme="majorBidi" w:hAnsiTheme="majorBidi" w:cstheme="majorBidi"/>
          <w:sz w:val="24"/>
          <w:szCs w:val="24"/>
        </w:rPr>
        <w:t xml:space="preserve">in what ways the outcomes are </w:t>
      </w:r>
      <w:r w:rsidR="00C77144">
        <w:rPr>
          <w:rFonts w:asciiTheme="majorBidi" w:hAnsiTheme="majorBidi" w:cstheme="majorBidi"/>
          <w:sz w:val="24"/>
          <w:szCs w:val="24"/>
        </w:rPr>
        <w:t>unpublished cases</w:t>
      </w:r>
      <w:r w:rsidR="007D0F4C">
        <w:rPr>
          <w:rFonts w:asciiTheme="majorBidi" w:hAnsiTheme="majorBidi" w:cstheme="majorBidi"/>
          <w:sz w:val="24"/>
          <w:szCs w:val="24"/>
        </w:rPr>
        <w:t xml:space="preserve"> are different. </w:t>
      </w:r>
      <w:r w:rsidR="00C77144">
        <w:rPr>
          <w:rFonts w:asciiTheme="majorBidi" w:hAnsiTheme="majorBidi" w:cstheme="majorBidi"/>
          <w:sz w:val="24"/>
          <w:szCs w:val="24"/>
        </w:rPr>
        <w:t xml:space="preserve"> </w:t>
      </w:r>
    </w:p>
    <w:p w14:paraId="35EE90E6" w14:textId="3C681111" w:rsidR="00041174" w:rsidRPr="00041174" w:rsidRDefault="007D0F4C" w:rsidP="00A13C7B">
      <w:pPr>
        <w:spacing w:after="120"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Table 6 reports the results of regressions that use our main specification (Table 5, Column 3) and that are run separately for published and unpublished cases. </w:t>
      </w:r>
    </w:p>
    <w:p w14:paraId="6B4983D9" w14:textId="71D3C506" w:rsidR="00BD1C17" w:rsidRPr="00BD1C17" w:rsidRDefault="00BD1C17" w:rsidP="000520D7">
      <w:pPr>
        <w:kinsoku w:val="0"/>
        <w:overflowPunct w:val="0"/>
        <w:autoSpaceDE w:val="0"/>
        <w:autoSpaceDN w:val="0"/>
        <w:adjustRightInd w:val="0"/>
        <w:spacing w:before="121" w:after="0" w:line="240" w:lineRule="auto"/>
        <w:ind w:left="2707" w:firstLine="173"/>
        <w:rPr>
          <w:rFonts w:asciiTheme="majorBidi" w:hAnsiTheme="majorBidi" w:cstheme="majorBidi"/>
          <w:sz w:val="24"/>
          <w:szCs w:val="24"/>
        </w:rPr>
      </w:pPr>
      <w:r w:rsidRPr="00BD1C17">
        <w:rPr>
          <w:rFonts w:asciiTheme="majorBidi" w:hAnsiTheme="majorBidi" w:cstheme="majorBidi"/>
          <w:sz w:val="24"/>
          <w:szCs w:val="24"/>
        </w:rPr>
        <w:t xml:space="preserve">Table </w:t>
      </w:r>
      <w:r w:rsidR="0076188D">
        <w:rPr>
          <w:rFonts w:asciiTheme="majorBidi" w:hAnsiTheme="majorBidi" w:cstheme="majorBidi"/>
          <w:sz w:val="24"/>
          <w:szCs w:val="24"/>
        </w:rPr>
        <w:t>6</w:t>
      </w:r>
      <w:r w:rsidRPr="00BD1C17">
        <w:rPr>
          <w:rFonts w:asciiTheme="majorBidi" w:hAnsiTheme="majorBidi" w:cstheme="majorBidi"/>
          <w:sz w:val="24"/>
          <w:szCs w:val="24"/>
        </w:rPr>
        <w:t>: Unpublished and Published</w:t>
      </w:r>
    </w:p>
    <w:p w14:paraId="7E53FB83" w14:textId="77777777" w:rsidR="00BD1C17" w:rsidRPr="00BD1C17" w:rsidRDefault="00BD1C17" w:rsidP="00BD1C17">
      <w:pPr>
        <w:kinsoku w:val="0"/>
        <w:overflowPunct w:val="0"/>
        <w:autoSpaceDE w:val="0"/>
        <w:autoSpaceDN w:val="0"/>
        <w:adjustRightInd w:val="0"/>
        <w:spacing w:before="14" w:after="0" w:line="240" w:lineRule="auto"/>
        <w:jc w:val="center"/>
        <w:rPr>
          <w:rFonts w:ascii="Euclid" w:hAnsi="Euclid" w:cs="Euclid"/>
          <w:sz w:val="11"/>
          <w:szCs w:val="11"/>
        </w:rPr>
      </w:pPr>
    </w:p>
    <w:tbl>
      <w:tblPr>
        <w:tblW w:w="0" w:type="auto"/>
        <w:tblInd w:w="2660" w:type="dxa"/>
        <w:tblLayout w:type="fixed"/>
        <w:tblCellMar>
          <w:left w:w="0" w:type="dxa"/>
          <w:right w:w="0" w:type="dxa"/>
        </w:tblCellMar>
        <w:tblLook w:val="0000" w:firstRow="0" w:lastRow="0" w:firstColumn="0" w:lastColumn="0" w:noHBand="0" w:noVBand="0"/>
      </w:tblPr>
      <w:tblGrid>
        <w:gridCol w:w="1530"/>
        <w:gridCol w:w="1330"/>
        <w:gridCol w:w="1097"/>
      </w:tblGrid>
      <w:tr w:rsidR="00BD1C17" w:rsidRPr="00BD1C17" w14:paraId="2CCF4CDE" w14:textId="77777777">
        <w:trPr>
          <w:trHeight w:val="388"/>
        </w:trPr>
        <w:tc>
          <w:tcPr>
            <w:tcW w:w="1530" w:type="dxa"/>
            <w:vMerge w:val="restart"/>
            <w:tcBorders>
              <w:top w:val="double" w:sz="2" w:space="0" w:color="000000"/>
              <w:left w:val="none" w:sz="6" w:space="0" w:color="auto"/>
              <w:bottom w:val="single" w:sz="4" w:space="0" w:color="000000"/>
              <w:right w:val="none" w:sz="6" w:space="0" w:color="auto"/>
            </w:tcBorders>
          </w:tcPr>
          <w:p w14:paraId="76E4CF24" w14:textId="77777777" w:rsidR="00BD1C17" w:rsidRPr="00BD1C17" w:rsidRDefault="00BD1C17" w:rsidP="00BD1C17">
            <w:pPr>
              <w:kinsoku w:val="0"/>
              <w:overflowPunct w:val="0"/>
              <w:autoSpaceDE w:val="0"/>
              <w:autoSpaceDN w:val="0"/>
              <w:adjustRightInd w:val="0"/>
              <w:spacing w:after="0" w:line="240" w:lineRule="auto"/>
              <w:jc w:val="center"/>
              <w:rPr>
                <w:rFonts w:ascii="Times New Roman" w:hAnsi="Times New Roman" w:cs="Times New Roman"/>
                <w:sz w:val="18"/>
                <w:szCs w:val="18"/>
              </w:rPr>
            </w:pPr>
          </w:p>
        </w:tc>
        <w:tc>
          <w:tcPr>
            <w:tcW w:w="1330" w:type="dxa"/>
            <w:tcBorders>
              <w:top w:val="double" w:sz="2" w:space="0" w:color="000000"/>
              <w:left w:val="none" w:sz="6" w:space="0" w:color="auto"/>
              <w:bottom w:val="none" w:sz="6" w:space="0" w:color="auto"/>
              <w:right w:val="none" w:sz="6" w:space="0" w:color="auto"/>
            </w:tcBorders>
          </w:tcPr>
          <w:p w14:paraId="42EB9057" w14:textId="77777777" w:rsidR="00BD1C17" w:rsidRPr="00BD1C17" w:rsidRDefault="00BD1C17" w:rsidP="00BD1C17">
            <w:pPr>
              <w:kinsoku w:val="0"/>
              <w:overflowPunct w:val="0"/>
              <w:autoSpaceDE w:val="0"/>
              <w:autoSpaceDN w:val="0"/>
              <w:adjustRightInd w:val="0"/>
              <w:spacing w:before="33" w:after="0" w:line="240" w:lineRule="auto"/>
              <w:ind w:left="108" w:right="108"/>
              <w:jc w:val="center"/>
              <w:rPr>
                <w:rFonts w:ascii="Euclid" w:hAnsi="Euclid" w:cs="Euclid"/>
                <w:spacing w:val="-4"/>
                <w:sz w:val="20"/>
                <w:szCs w:val="20"/>
              </w:rPr>
            </w:pPr>
            <w:r w:rsidRPr="00BD1C17">
              <w:rPr>
                <w:rFonts w:ascii="Euclid" w:hAnsi="Euclid" w:cs="Euclid"/>
                <w:spacing w:val="-4"/>
                <w:sz w:val="20"/>
                <w:szCs w:val="20"/>
              </w:rPr>
              <w:t>(1)</w:t>
            </w:r>
          </w:p>
        </w:tc>
        <w:tc>
          <w:tcPr>
            <w:tcW w:w="1097" w:type="dxa"/>
            <w:tcBorders>
              <w:top w:val="double" w:sz="2" w:space="0" w:color="000000"/>
              <w:left w:val="none" w:sz="6" w:space="0" w:color="auto"/>
              <w:bottom w:val="none" w:sz="6" w:space="0" w:color="auto"/>
              <w:right w:val="none" w:sz="6" w:space="0" w:color="auto"/>
            </w:tcBorders>
          </w:tcPr>
          <w:p w14:paraId="620D219C" w14:textId="77777777" w:rsidR="00BD1C17" w:rsidRPr="00BD1C17" w:rsidRDefault="00BD1C17" w:rsidP="00BD1C17">
            <w:pPr>
              <w:kinsoku w:val="0"/>
              <w:overflowPunct w:val="0"/>
              <w:autoSpaceDE w:val="0"/>
              <w:autoSpaceDN w:val="0"/>
              <w:adjustRightInd w:val="0"/>
              <w:spacing w:before="33" w:after="0" w:line="240" w:lineRule="auto"/>
              <w:ind w:left="107" w:right="107"/>
              <w:jc w:val="center"/>
              <w:rPr>
                <w:rFonts w:ascii="Euclid" w:hAnsi="Euclid" w:cs="Euclid"/>
                <w:spacing w:val="-4"/>
                <w:sz w:val="20"/>
                <w:szCs w:val="20"/>
              </w:rPr>
            </w:pPr>
            <w:r w:rsidRPr="00BD1C17">
              <w:rPr>
                <w:rFonts w:ascii="Euclid" w:hAnsi="Euclid" w:cs="Euclid"/>
                <w:spacing w:val="-4"/>
                <w:sz w:val="20"/>
                <w:szCs w:val="20"/>
              </w:rPr>
              <w:t>(2)</w:t>
            </w:r>
          </w:p>
        </w:tc>
      </w:tr>
      <w:tr w:rsidR="00BD1C17" w:rsidRPr="00BD1C17" w14:paraId="6FC619CF" w14:textId="77777777">
        <w:trPr>
          <w:trHeight w:val="330"/>
        </w:trPr>
        <w:tc>
          <w:tcPr>
            <w:tcW w:w="1530" w:type="dxa"/>
            <w:vMerge/>
            <w:tcBorders>
              <w:top w:val="nil"/>
              <w:left w:val="none" w:sz="6" w:space="0" w:color="auto"/>
              <w:bottom w:val="single" w:sz="4" w:space="0" w:color="000000"/>
              <w:right w:val="none" w:sz="6" w:space="0" w:color="auto"/>
            </w:tcBorders>
          </w:tcPr>
          <w:p w14:paraId="27C4A968" w14:textId="77777777" w:rsidR="00BD1C17" w:rsidRPr="00BD1C17" w:rsidRDefault="00BD1C17" w:rsidP="00BD1C17">
            <w:pPr>
              <w:kinsoku w:val="0"/>
              <w:overflowPunct w:val="0"/>
              <w:autoSpaceDE w:val="0"/>
              <w:autoSpaceDN w:val="0"/>
              <w:adjustRightInd w:val="0"/>
              <w:spacing w:before="14" w:after="0" w:line="240" w:lineRule="auto"/>
              <w:jc w:val="center"/>
              <w:rPr>
                <w:rFonts w:ascii="Euclid" w:hAnsi="Euclid" w:cs="Euclid"/>
                <w:sz w:val="2"/>
                <w:szCs w:val="2"/>
              </w:rPr>
            </w:pPr>
          </w:p>
        </w:tc>
        <w:tc>
          <w:tcPr>
            <w:tcW w:w="1330" w:type="dxa"/>
            <w:tcBorders>
              <w:top w:val="none" w:sz="6" w:space="0" w:color="auto"/>
              <w:left w:val="none" w:sz="6" w:space="0" w:color="auto"/>
              <w:bottom w:val="single" w:sz="4" w:space="0" w:color="000000"/>
              <w:right w:val="none" w:sz="6" w:space="0" w:color="auto"/>
            </w:tcBorders>
          </w:tcPr>
          <w:p w14:paraId="3EA3BC92" w14:textId="77777777" w:rsidR="00BD1C17" w:rsidRPr="00BD1C17" w:rsidRDefault="00BD1C17" w:rsidP="00BD1C17">
            <w:pPr>
              <w:kinsoku w:val="0"/>
              <w:overflowPunct w:val="0"/>
              <w:autoSpaceDE w:val="0"/>
              <w:autoSpaceDN w:val="0"/>
              <w:adjustRightInd w:val="0"/>
              <w:spacing w:after="0" w:line="311" w:lineRule="exact"/>
              <w:ind w:left="108" w:right="108"/>
              <w:jc w:val="center"/>
              <w:rPr>
                <w:rFonts w:ascii="Euclid" w:hAnsi="Euclid" w:cs="Euclid"/>
                <w:spacing w:val="-2"/>
                <w:sz w:val="20"/>
                <w:szCs w:val="20"/>
              </w:rPr>
            </w:pPr>
            <w:r w:rsidRPr="00BD1C17">
              <w:rPr>
                <w:rFonts w:ascii="Euclid" w:hAnsi="Euclid" w:cs="Euclid"/>
                <w:spacing w:val="-2"/>
                <w:sz w:val="20"/>
                <w:szCs w:val="20"/>
              </w:rPr>
              <w:t>Unpublished</w:t>
            </w:r>
          </w:p>
        </w:tc>
        <w:tc>
          <w:tcPr>
            <w:tcW w:w="1097" w:type="dxa"/>
            <w:tcBorders>
              <w:top w:val="none" w:sz="6" w:space="0" w:color="auto"/>
              <w:left w:val="none" w:sz="6" w:space="0" w:color="auto"/>
              <w:bottom w:val="single" w:sz="4" w:space="0" w:color="000000"/>
              <w:right w:val="none" w:sz="6" w:space="0" w:color="auto"/>
            </w:tcBorders>
          </w:tcPr>
          <w:p w14:paraId="2A85F2F3" w14:textId="77777777" w:rsidR="00BD1C17" w:rsidRPr="00BD1C17" w:rsidRDefault="00BD1C17" w:rsidP="00BD1C17">
            <w:pPr>
              <w:kinsoku w:val="0"/>
              <w:overflowPunct w:val="0"/>
              <w:autoSpaceDE w:val="0"/>
              <w:autoSpaceDN w:val="0"/>
              <w:adjustRightInd w:val="0"/>
              <w:spacing w:after="0" w:line="311" w:lineRule="exact"/>
              <w:ind w:left="107" w:right="108"/>
              <w:jc w:val="center"/>
              <w:rPr>
                <w:rFonts w:ascii="Euclid" w:hAnsi="Euclid" w:cs="Euclid"/>
                <w:spacing w:val="-2"/>
                <w:sz w:val="20"/>
                <w:szCs w:val="20"/>
              </w:rPr>
            </w:pPr>
            <w:r w:rsidRPr="00BD1C17">
              <w:rPr>
                <w:rFonts w:ascii="Euclid" w:hAnsi="Euclid" w:cs="Euclid"/>
                <w:spacing w:val="-2"/>
                <w:sz w:val="20"/>
                <w:szCs w:val="20"/>
              </w:rPr>
              <w:t>Published</w:t>
            </w:r>
          </w:p>
        </w:tc>
      </w:tr>
      <w:tr w:rsidR="00BD1C17" w:rsidRPr="00BD1C17" w14:paraId="2A707416" w14:textId="77777777">
        <w:trPr>
          <w:trHeight w:val="379"/>
        </w:trPr>
        <w:tc>
          <w:tcPr>
            <w:tcW w:w="1530" w:type="dxa"/>
            <w:tcBorders>
              <w:top w:val="single" w:sz="4" w:space="0" w:color="000000"/>
              <w:left w:val="none" w:sz="6" w:space="0" w:color="auto"/>
              <w:bottom w:val="none" w:sz="6" w:space="0" w:color="auto"/>
              <w:right w:val="none" w:sz="6" w:space="0" w:color="auto"/>
            </w:tcBorders>
          </w:tcPr>
          <w:p w14:paraId="1DD9099F" w14:textId="77777777" w:rsidR="00BD1C17" w:rsidRPr="00BD1C17" w:rsidRDefault="00BD1C17" w:rsidP="00BD1C17">
            <w:pPr>
              <w:kinsoku w:val="0"/>
              <w:overflowPunct w:val="0"/>
              <w:autoSpaceDE w:val="0"/>
              <w:autoSpaceDN w:val="0"/>
              <w:adjustRightInd w:val="0"/>
              <w:spacing w:before="19" w:after="0" w:line="240" w:lineRule="auto"/>
              <w:ind w:left="119"/>
              <w:jc w:val="center"/>
              <w:rPr>
                <w:rFonts w:ascii="Euclid" w:hAnsi="Euclid" w:cs="Euclid"/>
                <w:spacing w:val="-4"/>
                <w:sz w:val="20"/>
                <w:szCs w:val="20"/>
              </w:rPr>
            </w:pPr>
            <w:r w:rsidRPr="00BD1C17">
              <w:rPr>
                <w:rFonts w:ascii="Euclid" w:hAnsi="Euclid" w:cs="Euclid"/>
                <w:spacing w:val="-4"/>
                <w:sz w:val="20"/>
                <w:szCs w:val="20"/>
              </w:rPr>
              <w:t>RRD</w:t>
            </w:r>
          </w:p>
        </w:tc>
        <w:tc>
          <w:tcPr>
            <w:tcW w:w="1330" w:type="dxa"/>
            <w:tcBorders>
              <w:top w:val="single" w:sz="4" w:space="0" w:color="000000"/>
              <w:left w:val="none" w:sz="6" w:space="0" w:color="auto"/>
              <w:bottom w:val="none" w:sz="6" w:space="0" w:color="auto"/>
              <w:right w:val="none" w:sz="6" w:space="0" w:color="auto"/>
            </w:tcBorders>
          </w:tcPr>
          <w:p w14:paraId="2A52D023" w14:textId="77777777" w:rsidR="00BD1C17" w:rsidRPr="00BD1C17" w:rsidRDefault="00BD1C17" w:rsidP="00BD1C17">
            <w:pPr>
              <w:kinsoku w:val="0"/>
              <w:overflowPunct w:val="0"/>
              <w:autoSpaceDE w:val="0"/>
              <w:autoSpaceDN w:val="0"/>
              <w:adjustRightInd w:val="0"/>
              <w:spacing w:before="19" w:after="0" w:line="240" w:lineRule="auto"/>
              <w:ind w:left="108" w:right="108"/>
              <w:jc w:val="center"/>
              <w:rPr>
                <w:rFonts w:ascii="Euclid" w:hAnsi="Euclid" w:cs="Euclid"/>
                <w:spacing w:val="-2"/>
                <w:sz w:val="20"/>
                <w:szCs w:val="20"/>
              </w:rPr>
            </w:pPr>
            <w:r w:rsidRPr="00BD1C17">
              <w:rPr>
                <w:rFonts w:ascii="Euclid" w:hAnsi="Euclid" w:cs="Euclid"/>
                <w:spacing w:val="-2"/>
                <w:sz w:val="20"/>
                <w:szCs w:val="20"/>
              </w:rPr>
              <w:t>0.001</w:t>
            </w:r>
          </w:p>
        </w:tc>
        <w:tc>
          <w:tcPr>
            <w:tcW w:w="1097" w:type="dxa"/>
            <w:tcBorders>
              <w:top w:val="single" w:sz="4" w:space="0" w:color="000000"/>
              <w:left w:val="none" w:sz="6" w:space="0" w:color="auto"/>
              <w:bottom w:val="none" w:sz="6" w:space="0" w:color="auto"/>
              <w:right w:val="none" w:sz="6" w:space="0" w:color="auto"/>
            </w:tcBorders>
          </w:tcPr>
          <w:p w14:paraId="46078B1B" w14:textId="77777777" w:rsidR="00BD1C17" w:rsidRPr="00BD1C17" w:rsidRDefault="00BD1C17" w:rsidP="00BD1C17">
            <w:pPr>
              <w:kinsoku w:val="0"/>
              <w:overflowPunct w:val="0"/>
              <w:autoSpaceDE w:val="0"/>
              <w:autoSpaceDN w:val="0"/>
              <w:adjustRightInd w:val="0"/>
              <w:spacing w:before="19" w:after="0" w:line="240" w:lineRule="auto"/>
              <w:ind w:left="99" w:right="108"/>
              <w:jc w:val="center"/>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0.020</w:t>
            </w:r>
            <w:r w:rsidRPr="00BD1C17">
              <w:rPr>
                <w:rFonts w:ascii="Lucida Sans Unicode" w:hAnsi="Lucida Sans Unicode" w:cs="Lucida Sans Unicode"/>
                <w:spacing w:val="-2"/>
                <w:sz w:val="20"/>
                <w:szCs w:val="20"/>
                <w:vertAlign w:val="superscript"/>
              </w:rPr>
              <w:t>∗∗∗</w:t>
            </w:r>
          </w:p>
        </w:tc>
      </w:tr>
      <w:tr w:rsidR="00BD1C17" w:rsidRPr="00BD1C17" w14:paraId="4BC2923C" w14:textId="77777777">
        <w:trPr>
          <w:trHeight w:val="441"/>
        </w:trPr>
        <w:tc>
          <w:tcPr>
            <w:tcW w:w="1530" w:type="dxa"/>
            <w:tcBorders>
              <w:top w:val="none" w:sz="6" w:space="0" w:color="auto"/>
              <w:left w:val="none" w:sz="6" w:space="0" w:color="auto"/>
              <w:bottom w:val="none" w:sz="6" w:space="0" w:color="auto"/>
              <w:right w:val="none" w:sz="6" w:space="0" w:color="auto"/>
            </w:tcBorders>
          </w:tcPr>
          <w:p w14:paraId="37222B56" w14:textId="77777777" w:rsidR="00BD1C17" w:rsidRPr="00BD1C17" w:rsidRDefault="00BD1C17" w:rsidP="00BD1C17">
            <w:pPr>
              <w:kinsoku w:val="0"/>
              <w:overflowPunct w:val="0"/>
              <w:autoSpaceDE w:val="0"/>
              <w:autoSpaceDN w:val="0"/>
              <w:adjustRightInd w:val="0"/>
              <w:spacing w:after="0" w:line="240" w:lineRule="auto"/>
              <w:jc w:val="center"/>
              <w:rPr>
                <w:rFonts w:ascii="Times New Roman" w:hAnsi="Times New Roman" w:cs="Times New Roman"/>
                <w:sz w:val="18"/>
                <w:szCs w:val="18"/>
              </w:rPr>
            </w:pPr>
          </w:p>
        </w:tc>
        <w:tc>
          <w:tcPr>
            <w:tcW w:w="1330" w:type="dxa"/>
            <w:tcBorders>
              <w:top w:val="none" w:sz="6" w:space="0" w:color="auto"/>
              <w:left w:val="none" w:sz="6" w:space="0" w:color="auto"/>
              <w:bottom w:val="none" w:sz="6" w:space="0" w:color="auto"/>
              <w:right w:val="none" w:sz="6" w:space="0" w:color="auto"/>
            </w:tcBorders>
          </w:tcPr>
          <w:p w14:paraId="34E556B0" w14:textId="77777777" w:rsidR="00BD1C17" w:rsidRPr="00BD1C17" w:rsidRDefault="00BD1C17" w:rsidP="00BD1C17">
            <w:pPr>
              <w:kinsoku w:val="0"/>
              <w:overflowPunct w:val="0"/>
              <w:autoSpaceDE w:val="0"/>
              <w:autoSpaceDN w:val="0"/>
              <w:adjustRightInd w:val="0"/>
              <w:spacing w:after="0" w:line="331" w:lineRule="exact"/>
              <w:ind w:left="108" w:right="108"/>
              <w:jc w:val="center"/>
              <w:rPr>
                <w:rFonts w:ascii="Euclid" w:hAnsi="Euclid" w:cs="Euclid"/>
                <w:spacing w:val="-2"/>
                <w:sz w:val="20"/>
                <w:szCs w:val="20"/>
              </w:rPr>
            </w:pPr>
            <w:r w:rsidRPr="00BD1C17">
              <w:rPr>
                <w:rFonts w:ascii="Euclid" w:hAnsi="Euclid" w:cs="Euclid"/>
                <w:spacing w:val="-2"/>
                <w:sz w:val="20"/>
                <w:szCs w:val="20"/>
              </w:rPr>
              <w:t>(0.004)</w:t>
            </w:r>
          </w:p>
        </w:tc>
        <w:tc>
          <w:tcPr>
            <w:tcW w:w="1097" w:type="dxa"/>
            <w:tcBorders>
              <w:top w:val="none" w:sz="6" w:space="0" w:color="auto"/>
              <w:left w:val="none" w:sz="6" w:space="0" w:color="auto"/>
              <w:bottom w:val="none" w:sz="6" w:space="0" w:color="auto"/>
              <w:right w:val="none" w:sz="6" w:space="0" w:color="auto"/>
            </w:tcBorders>
          </w:tcPr>
          <w:p w14:paraId="5D3B6C9C" w14:textId="77777777" w:rsidR="00BD1C17" w:rsidRPr="00BD1C17" w:rsidRDefault="00BD1C17" w:rsidP="00BD1C17">
            <w:pPr>
              <w:kinsoku w:val="0"/>
              <w:overflowPunct w:val="0"/>
              <w:autoSpaceDE w:val="0"/>
              <w:autoSpaceDN w:val="0"/>
              <w:adjustRightInd w:val="0"/>
              <w:spacing w:after="0" w:line="331" w:lineRule="exact"/>
              <w:ind w:left="107" w:right="106"/>
              <w:jc w:val="center"/>
              <w:rPr>
                <w:rFonts w:ascii="Euclid" w:hAnsi="Euclid" w:cs="Euclid"/>
                <w:spacing w:val="-2"/>
                <w:sz w:val="20"/>
                <w:szCs w:val="20"/>
              </w:rPr>
            </w:pPr>
            <w:r w:rsidRPr="00BD1C17">
              <w:rPr>
                <w:rFonts w:ascii="Euclid" w:hAnsi="Euclid" w:cs="Euclid"/>
                <w:spacing w:val="-2"/>
                <w:sz w:val="20"/>
                <w:szCs w:val="20"/>
              </w:rPr>
              <w:t>(0.006)</w:t>
            </w:r>
          </w:p>
        </w:tc>
      </w:tr>
      <w:tr w:rsidR="00BD1C17" w:rsidRPr="00BD1C17" w14:paraId="261D222E" w14:textId="77777777">
        <w:trPr>
          <w:trHeight w:val="474"/>
        </w:trPr>
        <w:tc>
          <w:tcPr>
            <w:tcW w:w="1530" w:type="dxa"/>
            <w:tcBorders>
              <w:top w:val="none" w:sz="6" w:space="0" w:color="auto"/>
              <w:left w:val="none" w:sz="6" w:space="0" w:color="auto"/>
              <w:bottom w:val="none" w:sz="6" w:space="0" w:color="auto"/>
              <w:right w:val="none" w:sz="6" w:space="0" w:color="auto"/>
            </w:tcBorders>
          </w:tcPr>
          <w:p w14:paraId="0270E16A" w14:textId="77777777" w:rsidR="00BD1C17" w:rsidRPr="00BD1C17" w:rsidRDefault="00BD1C17" w:rsidP="00BD1C17">
            <w:pPr>
              <w:kinsoku w:val="0"/>
              <w:overflowPunct w:val="0"/>
              <w:autoSpaceDE w:val="0"/>
              <w:autoSpaceDN w:val="0"/>
              <w:adjustRightInd w:val="0"/>
              <w:spacing w:before="114" w:after="0" w:line="240" w:lineRule="auto"/>
              <w:ind w:left="119"/>
              <w:jc w:val="center"/>
              <w:rPr>
                <w:rFonts w:ascii="Euclid" w:hAnsi="Euclid" w:cs="Euclid"/>
                <w:spacing w:val="-4"/>
                <w:sz w:val="20"/>
                <w:szCs w:val="20"/>
              </w:rPr>
            </w:pPr>
            <w:r w:rsidRPr="00BD1C17">
              <w:rPr>
                <w:rFonts w:ascii="Euclid" w:hAnsi="Euclid" w:cs="Euclid"/>
                <w:spacing w:val="-4"/>
                <w:sz w:val="20"/>
                <w:szCs w:val="20"/>
              </w:rPr>
              <w:t>RDD</w:t>
            </w:r>
          </w:p>
        </w:tc>
        <w:tc>
          <w:tcPr>
            <w:tcW w:w="1330" w:type="dxa"/>
            <w:tcBorders>
              <w:top w:val="none" w:sz="6" w:space="0" w:color="auto"/>
              <w:left w:val="none" w:sz="6" w:space="0" w:color="auto"/>
              <w:bottom w:val="none" w:sz="6" w:space="0" w:color="auto"/>
              <w:right w:val="none" w:sz="6" w:space="0" w:color="auto"/>
            </w:tcBorders>
          </w:tcPr>
          <w:p w14:paraId="3F845C46" w14:textId="77777777" w:rsidR="00BD1C17" w:rsidRPr="00BD1C17" w:rsidRDefault="00BD1C17" w:rsidP="00BD1C17">
            <w:pPr>
              <w:kinsoku w:val="0"/>
              <w:overflowPunct w:val="0"/>
              <w:autoSpaceDE w:val="0"/>
              <w:autoSpaceDN w:val="0"/>
              <w:adjustRightInd w:val="0"/>
              <w:spacing w:before="114" w:after="0" w:line="240" w:lineRule="auto"/>
              <w:ind w:left="100" w:right="108"/>
              <w:jc w:val="center"/>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0.010</w:t>
            </w:r>
            <w:r w:rsidRPr="00BD1C17">
              <w:rPr>
                <w:rFonts w:ascii="Lucida Sans Unicode" w:hAnsi="Lucida Sans Unicode" w:cs="Lucida Sans Unicode"/>
                <w:spacing w:val="-2"/>
                <w:sz w:val="20"/>
                <w:szCs w:val="20"/>
                <w:vertAlign w:val="superscript"/>
              </w:rPr>
              <w:t>∗∗</w:t>
            </w:r>
          </w:p>
        </w:tc>
        <w:tc>
          <w:tcPr>
            <w:tcW w:w="1097" w:type="dxa"/>
            <w:tcBorders>
              <w:top w:val="none" w:sz="6" w:space="0" w:color="auto"/>
              <w:left w:val="none" w:sz="6" w:space="0" w:color="auto"/>
              <w:bottom w:val="none" w:sz="6" w:space="0" w:color="auto"/>
              <w:right w:val="none" w:sz="6" w:space="0" w:color="auto"/>
            </w:tcBorders>
          </w:tcPr>
          <w:p w14:paraId="53D4CF2F" w14:textId="77777777" w:rsidR="00BD1C17" w:rsidRPr="00BD1C17" w:rsidRDefault="00BD1C17" w:rsidP="00BD1C17">
            <w:pPr>
              <w:kinsoku w:val="0"/>
              <w:overflowPunct w:val="0"/>
              <w:autoSpaceDE w:val="0"/>
              <w:autoSpaceDN w:val="0"/>
              <w:adjustRightInd w:val="0"/>
              <w:spacing w:before="114" w:after="0" w:line="240" w:lineRule="auto"/>
              <w:ind w:left="100" w:right="108"/>
              <w:jc w:val="center"/>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0.057</w:t>
            </w:r>
            <w:r w:rsidRPr="00BD1C17">
              <w:rPr>
                <w:rFonts w:ascii="Lucida Sans Unicode" w:hAnsi="Lucida Sans Unicode" w:cs="Lucida Sans Unicode"/>
                <w:spacing w:val="-2"/>
                <w:sz w:val="20"/>
                <w:szCs w:val="20"/>
                <w:vertAlign w:val="superscript"/>
              </w:rPr>
              <w:t>∗∗∗</w:t>
            </w:r>
          </w:p>
        </w:tc>
      </w:tr>
      <w:tr w:rsidR="00BD1C17" w:rsidRPr="00BD1C17" w14:paraId="61073C4A" w14:textId="77777777">
        <w:trPr>
          <w:trHeight w:val="441"/>
        </w:trPr>
        <w:tc>
          <w:tcPr>
            <w:tcW w:w="1530" w:type="dxa"/>
            <w:tcBorders>
              <w:top w:val="none" w:sz="6" w:space="0" w:color="auto"/>
              <w:left w:val="none" w:sz="6" w:space="0" w:color="auto"/>
              <w:bottom w:val="none" w:sz="6" w:space="0" w:color="auto"/>
              <w:right w:val="none" w:sz="6" w:space="0" w:color="auto"/>
            </w:tcBorders>
          </w:tcPr>
          <w:p w14:paraId="46B50BF6" w14:textId="77777777" w:rsidR="00BD1C17" w:rsidRPr="00BD1C17" w:rsidRDefault="00BD1C17" w:rsidP="00BD1C17">
            <w:pPr>
              <w:kinsoku w:val="0"/>
              <w:overflowPunct w:val="0"/>
              <w:autoSpaceDE w:val="0"/>
              <w:autoSpaceDN w:val="0"/>
              <w:adjustRightInd w:val="0"/>
              <w:spacing w:after="0" w:line="240" w:lineRule="auto"/>
              <w:jc w:val="center"/>
              <w:rPr>
                <w:rFonts w:ascii="Times New Roman" w:hAnsi="Times New Roman" w:cs="Times New Roman"/>
                <w:sz w:val="18"/>
                <w:szCs w:val="18"/>
              </w:rPr>
            </w:pPr>
          </w:p>
        </w:tc>
        <w:tc>
          <w:tcPr>
            <w:tcW w:w="1330" w:type="dxa"/>
            <w:tcBorders>
              <w:top w:val="none" w:sz="6" w:space="0" w:color="auto"/>
              <w:left w:val="none" w:sz="6" w:space="0" w:color="auto"/>
              <w:bottom w:val="none" w:sz="6" w:space="0" w:color="auto"/>
              <w:right w:val="none" w:sz="6" w:space="0" w:color="auto"/>
            </w:tcBorders>
          </w:tcPr>
          <w:p w14:paraId="2A98C09F" w14:textId="77777777" w:rsidR="00BD1C17" w:rsidRPr="00BD1C17" w:rsidRDefault="00BD1C17" w:rsidP="00BD1C17">
            <w:pPr>
              <w:kinsoku w:val="0"/>
              <w:overflowPunct w:val="0"/>
              <w:autoSpaceDE w:val="0"/>
              <w:autoSpaceDN w:val="0"/>
              <w:adjustRightInd w:val="0"/>
              <w:spacing w:after="0" w:line="331" w:lineRule="exact"/>
              <w:ind w:left="108" w:right="108"/>
              <w:jc w:val="center"/>
              <w:rPr>
                <w:rFonts w:ascii="Euclid" w:hAnsi="Euclid" w:cs="Euclid"/>
                <w:spacing w:val="-2"/>
                <w:sz w:val="20"/>
                <w:szCs w:val="20"/>
              </w:rPr>
            </w:pPr>
            <w:r w:rsidRPr="00BD1C17">
              <w:rPr>
                <w:rFonts w:ascii="Euclid" w:hAnsi="Euclid" w:cs="Euclid"/>
                <w:spacing w:val="-2"/>
                <w:sz w:val="20"/>
                <w:szCs w:val="20"/>
              </w:rPr>
              <w:t>(0.004)</w:t>
            </w:r>
          </w:p>
        </w:tc>
        <w:tc>
          <w:tcPr>
            <w:tcW w:w="1097" w:type="dxa"/>
            <w:tcBorders>
              <w:top w:val="none" w:sz="6" w:space="0" w:color="auto"/>
              <w:left w:val="none" w:sz="6" w:space="0" w:color="auto"/>
              <w:bottom w:val="none" w:sz="6" w:space="0" w:color="auto"/>
              <w:right w:val="none" w:sz="6" w:space="0" w:color="auto"/>
            </w:tcBorders>
          </w:tcPr>
          <w:p w14:paraId="41226EF3" w14:textId="77777777" w:rsidR="00BD1C17" w:rsidRPr="00BD1C17" w:rsidRDefault="00BD1C17" w:rsidP="00BD1C17">
            <w:pPr>
              <w:kinsoku w:val="0"/>
              <w:overflowPunct w:val="0"/>
              <w:autoSpaceDE w:val="0"/>
              <w:autoSpaceDN w:val="0"/>
              <w:adjustRightInd w:val="0"/>
              <w:spacing w:after="0" w:line="331" w:lineRule="exact"/>
              <w:ind w:left="107" w:right="106"/>
              <w:jc w:val="center"/>
              <w:rPr>
                <w:rFonts w:ascii="Euclid" w:hAnsi="Euclid" w:cs="Euclid"/>
                <w:spacing w:val="-2"/>
                <w:sz w:val="20"/>
                <w:szCs w:val="20"/>
              </w:rPr>
            </w:pPr>
            <w:r w:rsidRPr="00BD1C17">
              <w:rPr>
                <w:rFonts w:ascii="Euclid" w:hAnsi="Euclid" w:cs="Euclid"/>
                <w:spacing w:val="-2"/>
                <w:sz w:val="20"/>
                <w:szCs w:val="20"/>
              </w:rPr>
              <w:t>(0.008)</w:t>
            </w:r>
          </w:p>
        </w:tc>
      </w:tr>
      <w:tr w:rsidR="00BD1C17" w:rsidRPr="00BD1C17" w14:paraId="229AF8A2" w14:textId="77777777">
        <w:trPr>
          <w:trHeight w:val="474"/>
        </w:trPr>
        <w:tc>
          <w:tcPr>
            <w:tcW w:w="1530" w:type="dxa"/>
            <w:tcBorders>
              <w:top w:val="none" w:sz="6" w:space="0" w:color="auto"/>
              <w:left w:val="none" w:sz="6" w:space="0" w:color="auto"/>
              <w:bottom w:val="none" w:sz="6" w:space="0" w:color="auto"/>
              <w:right w:val="none" w:sz="6" w:space="0" w:color="auto"/>
            </w:tcBorders>
          </w:tcPr>
          <w:p w14:paraId="6DA0BED1" w14:textId="77777777" w:rsidR="00BD1C17" w:rsidRPr="00BD1C17" w:rsidRDefault="00BD1C17" w:rsidP="00BD1C17">
            <w:pPr>
              <w:kinsoku w:val="0"/>
              <w:overflowPunct w:val="0"/>
              <w:autoSpaceDE w:val="0"/>
              <w:autoSpaceDN w:val="0"/>
              <w:adjustRightInd w:val="0"/>
              <w:spacing w:before="114" w:after="0" w:line="240" w:lineRule="auto"/>
              <w:ind w:left="119"/>
              <w:jc w:val="center"/>
              <w:rPr>
                <w:rFonts w:ascii="Euclid" w:hAnsi="Euclid" w:cs="Euclid"/>
                <w:spacing w:val="-4"/>
                <w:sz w:val="20"/>
                <w:szCs w:val="20"/>
              </w:rPr>
            </w:pPr>
            <w:r w:rsidRPr="00BD1C17">
              <w:rPr>
                <w:rFonts w:ascii="Euclid" w:hAnsi="Euclid" w:cs="Euclid"/>
                <w:spacing w:val="-4"/>
                <w:sz w:val="20"/>
                <w:szCs w:val="20"/>
              </w:rPr>
              <w:t>DDD</w:t>
            </w:r>
          </w:p>
        </w:tc>
        <w:tc>
          <w:tcPr>
            <w:tcW w:w="1330" w:type="dxa"/>
            <w:tcBorders>
              <w:top w:val="none" w:sz="6" w:space="0" w:color="auto"/>
              <w:left w:val="none" w:sz="6" w:space="0" w:color="auto"/>
              <w:bottom w:val="none" w:sz="6" w:space="0" w:color="auto"/>
              <w:right w:val="none" w:sz="6" w:space="0" w:color="auto"/>
            </w:tcBorders>
          </w:tcPr>
          <w:p w14:paraId="4AC55342" w14:textId="77777777" w:rsidR="00BD1C17" w:rsidRPr="00BD1C17" w:rsidRDefault="00BD1C17" w:rsidP="00BD1C17">
            <w:pPr>
              <w:kinsoku w:val="0"/>
              <w:overflowPunct w:val="0"/>
              <w:autoSpaceDE w:val="0"/>
              <w:autoSpaceDN w:val="0"/>
              <w:adjustRightInd w:val="0"/>
              <w:spacing w:before="114" w:after="0" w:line="240" w:lineRule="auto"/>
              <w:ind w:left="101" w:right="108"/>
              <w:jc w:val="center"/>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0.025</w:t>
            </w:r>
            <w:r w:rsidRPr="00BD1C17">
              <w:rPr>
                <w:rFonts w:ascii="Lucida Sans Unicode" w:hAnsi="Lucida Sans Unicode" w:cs="Lucida Sans Unicode"/>
                <w:spacing w:val="-2"/>
                <w:sz w:val="20"/>
                <w:szCs w:val="20"/>
                <w:vertAlign w:val="superscript"/>
              </w:rPr>
              <w:t>∗∗∗</w:t>
            </w:r>
          </w:p>
        </w:tc>
        <w:tc>
          <w:tcPr>
            <w:tcW w:w="1097" w:type="dxa"/>
            <w:tcBorders>
              <w:top w:val="none" w:sz="6" w:space="0" w:color="auto"/>
              <w:left w:val="none" w:sz="6" w:space="0" w:color="auto"/>
              <w:bottom w:val="none" w:sz="6" w:space="0" w:color="auto"/>
              <w:right w:val="none" w:sz="6" w:space="0" w:color="auto"/>
            </w:tcBorders>
          </w:tcPr>
          <w:p w14:paraId="0F17E438" w14:textId="77777777" w:rsidR="00BD1C17" w:rsidRPr="00BD1C17" w:rsidRDefault="00BD1C17" w:rsidP="00BD1C17">
            <w:pPr>
              <w:kinsoku w:val="0"/>
              <w:overflowPunct w:val="0"/>
              <w:autoSpaceDE w:val="0"/>
              <w:autoSpaceDN w:val="0"/>
              <w:adjustRightInd w:val="0"/>
              <w:spacing w:before="114" w:after="0" w:line="240" w:lineRule="auto"/>
              <w:ind w:left="100" w:right="108"/>
              <w:jc w:val="center"/>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0.105</w:t>
            </w:r>
            <w:r w:rsidRPr="00BD1C17">
              <w:rPr>
                <w:rFonts w:ascii="Lucida Sans Unicode" w:hAnsi="Lucida Sans Unicode" w:cs="Lucida Sans Unicode"/>
                <w:spacing w:val="-2"/>
                <w:sz w:val="20"/>
                <w:szCs w:val="20"/>
                <w:vertAlign w:val="superscript"/>
              </w:rPr>
              <w:t>∗∗∗</w:t>
            </w:r>
          </w:p>
        </w:tc>
      </w:tr>
      <w:tr w:rsidR="00BD1C17" w:rsidRPr="00BD1C17" w14:paraId="36602F3E" w14:textId="77777777">
        <w:trPr>
          <w:trHeight w:val="335"/>
        </w:trPr>
        <w:tc>
          <w:tcPr>
            <w:tcW w:w="1530" w:type="dxa"/>
            <w:tcBorders>
              <w:top w:val="none" w:sz="6" w:space="0" w:color="auto"/>
              <w:left w:val="none" w:sz="6" w:space="0" w:color="auto"/>
              <w:bottom w:val="single" w:sz="4" w:space="0" w:color="000000"/>
              <w:right w:val="none" w:sz="6" w:space="0" w:color="auto"/>
            </w:tcBorders>
          </w:tcPr>
          <w:p w14:paraId="2E4132D9" w14:textId="77777777" w:rsidR="00BD1C17" w:rsidRPr="00BD1C17" w:rsidRDefault="00BD1C17" w:rsidP="00BD1C17">
            <w:pPr>
              <w:kinsoku w:val="0"/>
              <w:overflowPunct w:val="0"/>
              <w:autoSpaceDE w:val="0"/>
              <w:autoSpaceDN w:val="0"/>
              <w:adjustRightInd w:val="0"/>
              <w:spacing w:after="0" w:line="240" w:lineRule="auto"/>
              <w:jc w:val="center"/>
              <w:rPr>
                <w:rFonts w:ascii="Times New Roman" w:hAnsi="Times New Roman" w:cs="Times New Roman"/>
                <w:sz w:val="18"/>
                <w:szCs w:val="18"/>
              </w:rPr>
            </w:pPr>
          </w:p>
        </w:tc>
        <w:tc>
          <w:tcPr>
            <w:tcW w:w="1330" w:type="dxa"/>
            <w:tcBorders>
              <w:top w:val="none" w:sz="6" w:space="0" w:color="auto"/>
              <w:left w:val="none" w:sz="6" w:space="0" w:color="auto"/>
              <w:bottom w:val="single" w:sz="4" w:space="0" w:color="000000"/>
              <w:right w:val="none" w:sz="6" w:space="0" w:color="auto"/>
            </w:tcBorders>
          </w:tcPr>
          <w:p w14:paraId="16487A10" w14:textId="77777777" w:rsidR="00BD1C17" w:rsidRPr="00BD1C17" w:rsidRDefault="00BD1C17" w:rsidP="00BD1C17">
            <w:pPr>
              <w:kinsoku w:val="0"/>
              <w:overflowPunct w:val="0"/>
              <w:autoSpaceDE w:val="0"/>
              <w:autoSpaceDN w:val="0"/>
              <w:adjustRightInd w:val="0"/>
              <w:spacing w:after="0" w:line="316" w:lineRule="exact"/>
              <w:ind w:left="108" w:right="108"/>
              <w:jc w:val="center"/>
              <w:rPr>
                <w:rFonts w:ascii="Euclid" w:hAnsi="Euclid" w:cs="Euclid"/>
                <w:spacing w:val="-2"/>
                <w:sz w:val="20"/>
                <w:szCs w:val="20"/>
              </w:rPr>
            </w:pPr>
            <w:r w:rsidRPr="00BD1C17">
              <w:rPr>
                <w:rFonts w:ascii="Euclid" w:hAnsi="Euclid" w:cs="Euclid"/>
                <w:spacing w:val="-2"/>
                <w:sz w:val="20"/>
                <w:szCs w:val="20"/>
              </w:rPr>
              <w:t>(0.007)</w:t>
            </w:r>
          </w:p>
        </w:tc>
        <w:tc>
          <w:tcPr>
            <w:tcW w:w="1097" w:type="dxa"/>
            <w:tcBorders>
              <w:top w:val="none" w:sz="6" w:space="0" w:color="auto"/>
              <w:left w:val="none" w:sz="6" w:space="0" w:color="auto"/>
              <w:bottom w:val="single" w:sz="4" w:space="0" w:color="000000"/>
              <w:right w:val="none" w:sz="6" w:space="0" w:color="auto"/>
            </w:tcBorders>
          </w:tcPr>
          <w:p w14:paraId="757F795F" w14:textId="77777777" w:rsidR="00BD1C17" w:rsidRPr="00BD1C17" w:rsidRDefault="00BD1C17" w:rsidP="00BD1C17">
            <w:pPr>
              <w:kinsoku w:val="0"/>
              <w:overflowPunct w:val="0"/>
              <w:autoSpaceDE w:val="0"/>
              <w:autoSpaceDN w:val="0"/>
              <w:adjustRightInd w:val="0"/>
              <w:spacing w:after="0" w:line="316" w:lineRule="exact"/>
              <w:ind w:left="107" w:right="106"/>
              <w:jc w:val="center"/>
              <w:rPr>
                <w:rFonts w:ascii="Euclid" w:hAnsi="Euclid" w:cs="Euclid"/>
                <w:spacing w:val="-2"/>
                <w:sz w:val="20"/>
                <w:szCs w:val="20"/>
              </w:rPr>
            </w:pPr>
            <w:r w:rsidRPr="00BD1C17">
              <w:rPr>
                <w:rFonts w:ascii="Euclid" w:hAnsi="Euclid" w:cs="Euclid"/>
                <w:spacing w:val="-2"/>
                <w:sz w:val="20"/>
                <w:szCs w:val="20"/>
              </w:rPr>
              <w:t>(0.010)</w:t>
            </w:r>
          </w:p>
        </w:tc>
      </w:tr>
      <w:tr w:rsidR="00BD1C17" w:rsidRPr="00BD1C17" w14:paraId="4A68B933" w14:textId="77777777">
        <w:trPr>
          <w:trHeight w:val="365"/>
        </w:trPr>
        <w:tc>
          <w:tcPr>
            <w:tcW w:w="1530" w:type="dxa"/>
            <w:tcBorders>
              <w:top w:val="single" w:sz="4" w:space="0" w:color="000000"/>
              <w:left w:val="none" w:sz="6" w:space="0" w:color="auto"/>
              <w:bottom w:val="none" w:sz="6" w:space="0" w:color="auto"/>
              <w:right w:val="none" w:sz="6" w:space="0" w:color="auto"/>
            </w:tcBorders>
          </w:tcPr>
          <w:p w14:paraId="3F4151DF" w14:textId="77777777" w:rsidR="00BD1C17" w:rsidRPr="00BD1C17" w:rsidRDefault="00BD1C17" w:rsidP="00BD1C17">
            <w:pPr>
              <w:kinsoku w:val="0"/>
              <w:overflowPunct w:val="0"/>
              <w:autoSpaceDE w:val="0"/>
              <w:autoSpaceDN w:val="0"/>
              <w:adjustRightInd w:val="0"/>
              <w:spacing w:before="19" w:after="0" w:line="327" w:lineRule="exact"/>
              <w:ind w:left="119"/>
              <w:jc w:val="center"/>
              <w:rPr>
                <w:rFonts w:ascii="Euclid" w:hAnsi="Euclid" w:cs="Euclid"/>
                <w:w w:val="99"/>
                <w:sz w:val="20"/>
                <w:szCs w:val="20"/>
              </w:rPr>
            </w:pPr>
            <w:r w:rsidRPr="00BD1C17">
              <w:rPr>
                <w:rFonts w:ascii="Euclid" w:hAnsi="Euclid" w:cs="Euclid"/>
                <w:w w:val="99"/>
                <w:sz w:val="20"/>
                <w:szCs w:val="20"/>
              </w:rPr>
              <w:t>N</w:t>
            </w:r>
          </w:p>
        </w:tc>
        <w:tc>
          <w:tcPr>
            <w:tcW w:w="1330" w:type="dxa"/>
            <w:tcBorders>
              <w:top w:val="single" w:sz="4" w:space="0" w:color="000000"/>
              <w:left w:val="none" w:sz="6" w:space="0" w:color="auto"/>
              <w:bottom w:val="none" w:sz="6" w:space="0" w:color="auto"/>
              <w:right w:val="none" w:sz="6" w:space="0" w:color="auto"/>
            </w:tcBorders>
          </w:tcPr>
          <w:p w14:paraId="47EEA14B" w14:textId="77777777" w:rsidR="00BD1C17" w:rsidRPr="00BD1C17" w:rsidRDefault="00BD1C17" w:rsidP="00BD1C17">
            <w:pPr>
              <w:kinsoku w:val="0"/>
              <w:overflowPunct w:val="0"/>
              <w:autoSpaceDE w:val="0"/>
              <w:autoSpaceDN w:val="0"/>
              <w:adjustRightInd w:val="0"/>
              <w:spacing w:before="19" w:after="0" w:line="327" w:lineRule="exact"/>
              <w:ind w:left="108" w:right="108"/>
              <w:jc w:val="center"/>
              <w:rPr>
                <w:rFonts w:ascii="Euclid" w:hAnsi="Euclid" w:cs="Euclid"/>
                <w:spacing w:val="-2"/>
                <w:sz w:val="20"/>
                <w:szCs w:val="20"/>
              </w:rPr>
            </w:pPr>
            <w:r w:rsidRPr="00BD1C17">
              <w:rPr>
                <w:rFonts w:ascii="Euclid" w:hAnsi="Euclid" w:cs="Euclid"/>
                <w:spacing w:val="-2"/>
                <w:sz w:val="20"/>
                <w:szCs w:val="20"/>
              </w:rPr>
              <w:t>155,327</w:t>
            </w:r>
          </w:p>
        </w:tc>
        <w:tc>
          <w:tcPr>
            <w:tcW w:w="1097" w:type="dxa"/>
            <w:tcBorders>
              <w:top w:val="single" w:sz="4" w:space="0" w:color="000000"/>
              <w:left w:val="none" w:sz="6" w:space="0" w:color="auto"/>
              <w:bottom w:val="none" w:sz="6" w:space="0" w:color="auto"/>
              <w:right w:val="none" w:sz="6" w:space="0" w:color="auto"/>
            </w:tcBorders>
          </w:tcPr>
          <w:p w14:paraId="28AE8673" w14:textId="77777777" w:rsidR="00BD1C17" w:rsidRPr="00BD1C17" w:rsidRDefault="00BD1C17" w:rsidP="00BD1C17">
            <w:pPr>
              <w:kinsoku w:val="0"/>
              <w:overflowPunct w:val="0"/>
              <w:autoSpaceDE w:val="0"/>
              <w:autoSpaceDN w:val="0"/>
              <w:adjustRightInd w:val="0"/>
              <w:spacing w:before="19" w:after="0" w:line="327" w:lineRule="exact"/>
              <w:ind w:left="107" w:right="108"/>
              <w:jc w:val="center"/>
              <w:rPr>
                <w:rFonts w:ascii="Euclid" w:hAnsi="Euclid" w:cs="Euclid"/>
                <w:spacing w:val="-2"/>
                <w:sz w:val="20"/>
                <w:szCs w:val="20"/>
              </w:rPr>
            </w:pPr>
            <w:r w:rsidRPr="00BD1C17">
              <w:rPr>
                <w:rFonts w:ascii="Euclid" w:hAnsi="Euclid" w:cs="Euclid"/>
                <w:spacing w:val="-2"/>
                <w:sz w:val="20"/>
                <w:szCs w:val="20"/>
              </w:rPr>
              <w:t>50,088</w:t>
            </w:r>
          </w:p>
        </w:tc>
      </w:tr>
      <w:tr w:rsidR="00BD1C17" w:rsidRPr="00BD1C17" w14:paraId="7FFBA465" w14:textId="77777777">
        <w:trPr>
          <w:trHeight w:val="372"/>
        </w:trPr>
        <w:tc>
          <w:tcPr>
            <w:tcW w:w="1530" w:type="dxa"/>
            <w:tcBorders>
              <w:top w:val="none" w:sz="6" w:space="0" w:color="auto"/>
              <w:left w:val="none" w:sz="6" w:space="0" w:color="auto"/>
              <w:bottom w:val="none" w:sz="6" w:space="0" w:color="auto"/>
              <w:right w:val="none" w:sz="6" w:space="0" w:color="auto"/>
            </w:tcBorders>
          </w:tcPr>
          <w:p w14:paraId="2E95C80C" w14:textId="77777777" w:rsidR="00BD1C17" w:rsidRPr="00BD1C17" w:rsidRDefault="00BD1C17" w:rsidP="00BD1C17">
            <w:pPr>
              <w:kinsoku w:val="0"/>
              <w:overflowPunct w:val="0"/>
              <w:autoSpaceDE w:val="0"/>
              <w:autoSpaceDN w:val="0"/>
              <w:adjustRightInd w:val="0"/>
              <w:spacing w:before="54" w:after="0" w:line="240" w:lineRule="auto"/>
              <w:ind w:left="119"/>
              <w:jc w:val="center"/>
              <w:rPr>
                <w:rFonts w:ascii="Eras Medium ITC" w:hAnsi="Eras Medium ITC" w:cs="Eras Medium ITC"/>
                <w:spacing w:val="-2"/>
                <w:w w:val="105"/>
                <w:sz w:val="20"/>
                <w:szCs w:val="20"/>
                <w:vertAlign w:val="superscript"/>
              </w:rPr>
            </w:pPr>
            <w:r w:rsidRPr="00BD1C17">
              <w:rPr>
                <w:rFonts w:ascii="Bookman Old Style" w:hAnsi="Bookman Old Style" w:cs="Bookman Old Style"/>
                <w:i/>
                <w:iCs/>
                <w:spacing w:val="-2"/>
                <w:w w:val="105"/>
                <w:sz w:val="20"/>
                <w:szCs w:val="20"/>
              </w:rPr>
              <w:t>Adj.R</w:t>
            </w:r>
            <w:r w:rsidRPr="00BD1C17">
              <w:rPr>
                <w:rFonts w:ascii="Eras Medium ITC" w:hAnsi="Eras Medium ITC" w:cs="Eras Medium ITC"/>
                <w:spacing w:val="-2"/>
                <w:w w:val="105"/>
                <w:sz w:val="20"/>
                <w:szCs w:val="20"/>
                <w:vertAlign w:val="superscript"/>
              </w:rPr>
              <w:t>2</w:t>
            </w:r>
          </w:p>
        </w:tc>
        <w:tc>
          <w:tcPr>
            <w:tcW w:w="1330" w:type="dxa"/>
            <w:tcBorders>
              <w:top w:val="none" w:sz="6" w:space="0" w:color="auto"/>
              <w:left w:val="none" w:sz="6" w:space="0" w:color="auto"/>
              <w:bottom w:val="none" w:sz="6" w:space="0" w:color="auto"/>
              <w:right w:val="none" w:sz="6" w:space="0" w:color="auto"/>
            </w:tcBorders>
          </w:tcPr>
          <w:p w14:paraId="43284B20" w14:textId="77777777" w:rsidR="00BD1C17" w:rsidRPr="00BD1C17" w:rsidRDefault="00BD1C17" w:rsidP="00BD1C17">
            <w:pPr>
              <w:kinsoku w:val="0"/>
              <w:overflowPunct w:val="0"/>
              <w:autoSpaceDE w:val="0"/>
              <w:autoSpaceDN w:val="0"/>
              <w:adjustRightInd w:val="0"/>
              <w:spacing w:before="12" w:after="0" w:line="240" w:lineRule="auto"/>
              <w:ind w:left="108" w:right="108"/>
              <w:jc w:val="center"/>
              <w:rPr>
                <w:rFonts w:ascii="Euclid" w:hAnsi="Euclid" w:cs="Euclid"/>
                <w:spacing w:val="-2"/>
                <w:sz w:val="20"/>
                <w:szCs w:val="20"/>
              </w:rPr>
            </w:pPr>
            <w:r w:rsidRPr="00BD1C17">
              <w:rPr>
                <w:rFonts w:ascii="Euclid" w:hAnsi="Euclid" w:cs="Euclid"/>
                <w:spacing w:val="-2"/>
                <w:sz w:val="20"/>
                <w:szCs w:val="20"/>
              </w:rPr>
              <w:t>0.0470</w:t>
            </w:r>
          </w:p>
        </w:tc>
        <w:tc>
          <w:tcPr>
            <w:tcW w:w="1097" w:type="dxa"/>
            <w:tcBorders>
              <w:top w:val="none" w:sz="6" w:space="0" w:color="auto"/>
              <w:left w:val="none" w:sz="6" w:space="0" w:color="auto"/>
              <w:bottom w:val="none" w:sz="6" w:space="0" w:color="auto"/>
              <w:right w:val="none" w:sz="6" w:space="0" w:color="auto"/>
            </w:tcBorders>
          </w:tcPr>
          <w:p w14:paraId="7BD6F180" w14:textId="77777777" w:rsidR="00BD1C17" w:rsidRPr="00BD1C17" w:rsidRDefault="00BD1C17" w:rsidP="00BD1C17">
            <w:pPr>
              <w:kinsoku w:val="0"/>
              <w:overflowPunct w:val="0"/>
              <w:autoSpaceDE w:val="0"/>
              <w:autoSpaceDN w:val="0"/>
              <w:adjustRightInd w:val="0"/>
              <w:spacing w:before="12" w:after="0" w:line="240" w:lineRule="auto"/>
              <w:ind w:left="107" w:right="108"/>
              <w:jc w:val="center"/>
              <w:rPr>
                <w:rFonts w:ascii="Euclid" w:hAnsi="Euclid" w:cs="Euclid"/>
                <w:spacing w:val="-2"/>
                <w:sz w:val="20"/>
                <w:szCs w:val="20"/>
              </w:rPr>
            </w:pPr>
            <w:r w:rsidRPr="00BD1C17">
              <w:rPr>
                <w:rFonts w:ascii="Euclid" w:hAnsi="Euclid" w:cs="Euclid"/>
                <w:spacing w:val="-2"/>
                <w:sz w:val="20"/>
                <w:szCs w:val="20"/>
              </w:rPr>
              <w:t>0.0478</w:t>
            </w:r>
          </w:p>
        </w:tc>
      </w:tr>
      <w:tr w:rsidR="00BD1C17" w:rsidRPr="00BD1C17" w14:paraId="76C19EA7" w14:textId="77777777">
        <w:trPr>
          <w:trHeight w:val="349"/>
        </w:trPr>
        <w:tc>
          <w:tcPr>
            <w:tcW w:w="1530" w:type="dxa"/>
            <w:tcBorders>
              <w:top w:val="none" w:sz="6" w:space="0" w:color="auto"/>
              <w:left w:val="none" w:sz="6" w:space="0" w:color="auto"/>
              <w:bottom w:val="double" w:sz="2" w:space="0" w:color="000000"/>
              <w:right w:val="none" w:sz="6" w:space="0" w:color="auto"/>
            </w:tcBorders>
          </w:tcPr>
          <w:p w14:paraId="73DEC248" w14:textId="77777777" w:rsidR="00BD1C17" w:rsidRPr="00BD1C17" w:rsidRDefault="00BD1C17" w:rsidP="00BD1C17">
            <w:pPr>
              <w:kinsoku w:val="0"/>
              <w:overflowPunct w:val="0"/>
              <w:autoSpaceDE w:val="0"/>
              <w:autoSpaceDN w:val="0"/>
              <w:adjustRightInd w:val="0"/>
              <w:spacing w:after="0" w:line="330" w:lineRule="exact"/>
              <w:ind w:left="119"/>
              <w:jc w:val="center"/>
              <w:rPr>
                <w:rFonts w:ascii="Euclid" w:hAnsi="Euclid" w:cs="Euclid"/>
                <w:spacing w:val="-4"/>
                <w:sz w:val="20"/>
                <w:szCs w:val="20"/>
              </w:rPr>
            </w:pPr>
            <w:r w:rsidRPr="00BD1C17">
              <w:rPr>
                <w:rFonts w:ascii="Euclid" w:hAnsi="Euclid" w:cs="Euclid"/>
                <w:spacing w:val="-4"/>
                <w:sz w:val="20"/>
                <w:szCs w:val="20"/>
              </w:rPr>
              <w:t>Mean</w:t>
            </w:r>
          </w:p>
        </w:tc>
        <w:tc>
          <w:tcPr>
            <w:tcW w:w="1330" w:type="dxa"/>
            <w:tcBorders>
              <w:top w:val="none" w:sz="6" w:space="0" w:color="auto"/>
              <w:left w:val="none" w:sz="6" w:space="0" w:color="auto"/>
              <w:bottom w:val="double" w:sz="2" w:space="0" w:color="000000"/>
              <w:right w:val="none" w:sz="6" w:space="0" w:color="auto"/>
            </w:tcBorders>
          </w:tcPr>
          <w:p w14:paraId="43D02D48" w14:textId="77777777" w:rsidR="00BD1C17" w:rsidRPr="00BD1C17" w:rsidRDefault="00BD1C17" w:rsidP="00BD1C17">
            <w:pPr>
              <w:kinsoku w:val="0"/>
              <w:overflowPunct w:val="0"/>
              <w:autoSpaceDE w:val="0"/>
              <w:autoSpaceDN w:val="0"/>
              <w:adjustRightInd w:val="0"/>
              <w:spacing w:after="0" w:line="330" w:lineRule="exact"/>
              <w:ind w:left="108" w:right="108"/>
              <w:jc w:val="center"/>
              <w:rPr>
                <w:rFonts w:ascii="Euclid" w:hAnsi="Euclid" w:cs="Euclid"/>
                <w:spacing w:val="-2"/>
                <w:sz w:val="20"/>
                <w:szCs w:val="20"/>
              </w:rPr>
            </w:pPr>
            <w:r w:rsidRPr="00BD1C17">
              <w:rPr>
                <w:rFonts w:ascii="Euclid" w:hAnsi="Euclid" w:cs="Euclid"/>
                <w:spacing w:val="-2"/>
                <w:sz w:val="20"/>
                <w:szCs w:val="20"/>
              </w:rPr>
              <w:t>0.0854</w:t>
            </w:r>
          </w:p>
        </w:tc>
        <w:tc>
          <w:tcPr>
            <w:tcW w:w="1097" w:type="dxa"/>
            <w:tcBorders>
              <w:top w:val="none" w:sz="6" w:space="0" w:color="auto"/>
              <w:left w:val="none" w:sz="6" w:space="0" w:color="auto"/>
              <w:bottom w:val="double" w:sz="2" w:space="0" w:color="000000"/>
              <w:right w:val="none" w:sz="6" w:space="0" w:color="auto"/>
            </w:tcBorders>
          </w:tcPr>
          <w:p w14:paraId="2465F701" w14:textId="77777777" w:rsidR="00BD1C17" w:rsidRPr="00BD1C17" w:rsidRDefault="00BD1C17" w:rsidP="00BD1C17">
            <w:pPr>
              <w:kinsoku w:val="0"/>
              <w:overflowPunct w:val="0"/>
              <w:autoSpaceDE w:val="0"/>
              <w:autoSpaceDN w:val="0"/>
              <w:adjustRightInd w:val="0"/>
              <w:spacing w:after="0" w:line="330" w:lineRule="exact"/>
              <w:ind w:left="107" w:right="107"/>
              <w:jc w:val="center"/>
              <w:rPr>
                <w:rFonts w:ascii="Euclid" w:hAnsi="Euclid" w:cs="Euclid"/>
                <w:spacing w:val="-2"/>
                <w:sz w:val="20"/>
                <w:szCs w:val="20"/>
              </w:rPr>
            </w:pPr>
            <w:r w:rsidRPr="00BD1C17">
              <w:rPr>
                <w:rFonts w:ascii="Euclid" w:hAnsi="Euclid" w:cs="Euclid"/>
                <w:spacing w:val="-2"/>
                <w:sz w:val="20"/>
                <w:szCs w:val="20"/>
              </w:rPr>
              <w:t>0.2503</w:t>
            </w:r>
          </w:p>
        </w:tc>
      </w:tr>
    </w:tbl>
    <w:p w14:paraId="7CF05CD5" w14:textId="65E2D234" w:rsidR="00BD1C17" w:rsidRDefault="00BD1C17" w:rsidP="00BD1C17">
      <w:pPr>
        <w:tabs>
          <w:tab w:val="left" w:pos="6570"/>
        </w:tabs>
        <w:kinsoku w:val="0"/>
        <w:overflowPunct w:val="0"/>
        <w:autoSpaceDE w:val="0"/>
        <w:autoSpaceDN w:val="0"/>
        <w:adjustRightInd w:val="0"/>
        <w:spacing w:before="81" w:after="0" w:line="172" w:lineRule="auto"/>
        <w:ind w:left="2520" w:right="2790"/>
        <w:rPr>
          <w:rFonts w:ascii="Euclid" w:hAnsi="Euclid" w:cs="Euclid"/>
          <w:sz w:val="20"/>
          <w:szCs w:val="20"/>
        </w:rPr>
      </w:pPr>
      <w:r w:rsidRPr="00BD1C17">
        <w:rPr>
          <w:rFonts w:ascii="Euclid" w:hAnsi="Euclid" w:cs="Euclid"/>
          <w:sz w:val="20"/>
          <w:szCs w:val="20"/>
        </w:rPr>
        <w:t>Note:</w:t>
      </w:r>
      <w:r w:rsidRPr="00BD1C17">
        <w:rPr>
          <w:rFonts w:ascii="Euclid" w:hAnsi="Euclid" w:cs="Euclid"/>
          <w:spacing w:val="63"/>
          <w:sz w:val="20"/>
          <w:szCs w:val="20"/>
        </w:rPr>
        <w:t xml:space="preserve"> </w:t>
      </w:r>
      <w:r w:rsidR="00964366" w:rsidRPr="00964366">
        <w:rPr>
          <w:rFonts w:ascii="Euclid" w:hAnsi="Euclid" w:cs="Euclid"/>
          <w:sz w:val="20"/>
          <w:szCs w:val="20"/>
        </w:rPr>
        <w:t xml:space="preserve">We also control for the characteristics of the panel, and for </w:t>
      </w:r>
      <w:r w:rsidR="00964366">
        <w:rPr>
          <w:rFonts w:ascii="Euclid" w:hAnsi="Euclid" w:cs="Euclid"/>
          <w:sz w:val="20"/>
          <w:szCs w:val="20"/>
        </w:rPr>
        <w:t>[</w:t>
      </w:r>
      <w:r w:rsidR="00964366" w:rsidRPr="00964366">
        <w:rPr>
          <w:rFonts w:ascii="Euclid" w:hAnsi="Euclid" w:cs="Euclid"/>
          <w:sz w:val="20"/>
          <w:szCs w:val="20"/>
        </w:rPr>
        <w:t>Circuit</w:t>
      </w:r>
      <w:r w:rsidR="00964366">
        <w:rPr>
          <w:rFonts w:ascii="Euclid" w:hAnsi="Euclid" w:cs="Euclid"/>
          <w:sz w:val="20"/>
          <w:szCs w:val="20"/>
        </w:rPr>
        <w:t>]x[</w:t>
      </w:r>
      <w:r w:rsidR="00964366" w:rsidRPr="00964366">
        <w:rPr>
          <w:rFonts w:ascii="Euclid" w:hAnsi="Euclid" w:cs="Euclid"/>
          <w:sz w:val="20"/>
          <w:szCs w:val="20"/>
        </w:rPr>
        <w:t>Year</w:t>
      </w:r>
      <w:r w:rsidR="00964366">
        <w:rPr>
          <w:rFonts w:ascii="Euclid" w:hAnsi="Euclid" w:cs="Euclid"/>
          <w:sz w:val="20"/>
          <w:szCs w:val="20"/>
        </w:rPr>
        <w:t>]</w:t>
      </w:r>
      <w:r w:rsidR="00964366" w:rsidRPr="00964366">
        <w:rPr>
          <w:rFonts w:ascii="Euclid" w:hAnsi="Euclid" w:cs="Euclid"/>
          <w:sz w:val="20"/>
          <w:szCs w:val="20"/>
        </w:rPr>
        <w:t>, District, and Offense type Fixed Effects.</w:t>
      </w:r>
      <w:r w:rsidR="00964366">
        <w:rPr>
          <w:rFonts w:ascii="Euclid" w:hAnsi="Euclid" w:cs="Euclid"/>
          <w:spacing w:val="63"/>
          <w:sz w:val="20"/>
          <w:szCs w:val="20"/>
        </w:rPr>
        <w:t xml:space="preserve"> </w:t>
      </w:r>
      <w:r w:rsidRPr="00BD1C17">
        <w:rPr>
          <w:rFonts w:ascii="Euclid" w:hAnsi="Euclid" w:cs="Euclid"/>
          <w:sz w:val="20"/>
          <w:szCs w:val="20"/>
        </w:rPr>
        <w:t>Standard</w:t>
      </w:r>
      <w:r w:rsidRPr="00BD1C17">
        <w:rPr>
          <w:rFonts w:ascii="Euclid" w:hAnsi="Euclid" w:cs="Euclid"/>
          <w:spacing w:val="20"/>
          <w:sz w:val="20"/>
          <w:szCs w:val="20"/>
        </w:rPr>
        <w:t xml:space="preserve"> </w:t>
      </w:r>
      <w:r w:rsidRPr="00BD1C17">
        <w:rPr>
          <w:rFonts w:ascii="Euclid" w:hAnsi="Euclid" w:cs="Euclid"/>
          <w:sz w:val="20"/>
          <w:szCs w:val="20"/>
        </w:rPr>
        <w:t>errors</w:t>
      </w:r>
      <w:r w:rsidRPr="00BD1C17">
        <w:rPr>
          <w:rFonts w:ascii="Euclid" w:hAnsi="Euclid" w:cs="Euclid"/>
          <w:spacing w:val="20"/>
          <w:sz w:val="20"/>
          <w:szCs w:val="20"/>
        </w:rPr>
        <w:t xml:space="preserve"> </w:t>
      </w:r>
      <w:r w:rsidRPr="00BD1C17">
        <w:rPr>
          <w:rFonts w:ascii="Euclid" w:hAnsi="Euclid" w:cs="Euclid"/>
          <w:sz w:val="20"/>
          <w:szCs w:val="20"/>
        </w:rPr>
        <w:t>are</w:t>
      </w:r>
      <w:r w:rsidRPr="00BD1C17">
        <w:rPr>
          <w:rFonts w:ascii="Euclid" w:hAnsi="Euclid" w:cs="Euclid"/>
          <w:spacing w:val="20"/>
          <w:sz w:val="20"/>
          <w:szCs w:val="20"/>
        </w:rPr>
        <w:t xml:space="preserve"> </w:t>
      </w:r>
      <w:r w:rsidRPr="00BD1C17">
        <w:rPr>
          <w:rFonts w:ascii="Euclid" w:hAnsi="Euclid" w:cs="Euclid"/>
          <w:sz w:val="20"/>
          <w:szCs w:val="20"/>
        </w:rPr>
        <w:t>in</w:t>
      </w:r>
      <w:r w:rsidRPr="00BD1C17">
        <w:rPr>
          <w:rFonts w:ascii="Euclid" w:hAnsi="Euclid" w:cs="Euclid"/>
          <w:spacing w:val="20"/>
          <w:sz w:val="20"/>
          <w:szCs w:val="20"/>
        </w:rPr>
        <w:t xml:space="preserve"> </w:t>
      </w:r>
      <w:r w:rsidRPr="00BD1C17">
        <w:rPr>
          <w:rFonts w:ascii="Euclid" w:hAnsi="Euclid" w:cs="Euclid"/>
          <w:sz w:val="20"/>
          <w:szCs w:val="20"/>
        </w:rPr>
        <w:t>parenthesis</w:t>
      </w:r>
      <w:r w:rsidRPr="00BD1C17">
        <w:rPr>
          <w:rFonts w:ascii="Euclid" w:hAnsi="Euclid" w:cs="Euclid"/>
          <w:spacing w:val="-1"/>
          <w:sz w:val="20"/>
          <w:szCs w:val="20"/>
        </w:rPr>
        <w:t xml:space="preserve"> </w:t>
      </w:r>
      <w:r w:rsidRPr="00BD1C17">
        <w:rPr>
          <w:rFonts w:ascii="Euclid" w:hAnsi="Euclid" w:cs="Euclid"/>
          <w:sz w:val="20"/>
          <w:szCs w:val="20"/>
        </w:rPr>
        <w:t>and</w:t>
      </w:r>
      <w:r w:rsidRPr="00BD1C17">
        <w:rPr>
          <w:rFonts w:ascii="Euclid" w:hAnsi="Euclid" w:cs="Euclid"/>
          <w:spacing w:val="-20"/>
          <w:sz w:val="20"/>
          <w:szCs w:val="20"/>
        </w:rPr>
        <w:t xml:space="preserve"> </w:t>
      </w:r>
      <w:r w:rsidRPr="00BD1C17">
        <w:rPr>
          <w:rFonts w:ascii="Euclid" w:hAnsi="Euclid" w:cs="Euclid"/>
          <w:sz w:val="20"/>
          <w:szCs w:val="20"/>
        </w:rPr>
        <w:t>are</w:t>
      </w:r>
      <w:r w:rsidRPr="00BD1C17">
        <w:rPr>
          <w:rFonts w:ascii="Euclid" w:hAnsi="Euclid" w:cs="Euclid"/>
          <w:spacing w:val="-20"/>
          <w:sz w:val="20"/>
          <w:szCs w:val="20"/>
        </w:rPr>
        <w:t xml:space="preserve"> </w:t>
      </w:r>
      <w:r w:rsidRPr="00BD1C17">
        <w:rPr>
          <w:rFonts w:ascii="Euclid" w:hAnsi="Euclid" w:cs="Euclid"/>
          <w:sz w:val="20"/>
          <w:szCs w:val="20"/>
        </w:rPr>
        <w:t>clustered</w:t>
      </w:r>
      <w:r w:rsidRPr="00BD1C17">
        <w:rPr>
          <w:rFonts w:ascii="Euclid" w:hAnsi="Euclid" w:cs="Euclid"/>
          <w:spacing w:val="-20"/>
          <w:sz w:val="20"/>
          <w:szCs w:val="20"/>
        </w:rPr>
        <w:t xml:space="preserve"> </w:t>
      </w:r>
      <w:r w:rsidRPr="00BD1C17">
        <w:rPr>
          <w:rFonts w:ascii="Euclid" w:hAnsi="Euclid" w:cs="Euclid"/>
          <w:sz w:val="20"/>
          <w:szCs w:val="20"/>
        </w:rPr>
        <w:t>by</w:t>
      </w:r>
      <w:r w:rsidRPr="00BD1C17">
        <w:rPr>
          <w:rFonts w:ascii="Euclid" w:hAnsi="Euclid" w:cs="Euclid"/>
          <w:spacing w:val="-20"/>
          <w:sz w:val="20"/>
          <w:szCs w:val="20"/>
        </w:rPr>
        <w:t xml:space="preserve"> </w:t>
      </w:r>
      <w:r w:rsidRPr="00BD1C17">
        <w:rPr>
          <w:rFonts w:ascii="Euclid" w:hAnsi="Euclid" w:cs="Euclid"/>
          <w:sz w:val="20"/>
          <w:szCs w:val="20"/>
        </w:rPr>
        <w:t>year.</w:t>
      </w:r>
      <w:r w:rsidRPr="00BD1C17">
        <w:rPr>
          <w:rFonts w:ascii="Euclid" w:hAnsi="Euclid" w:cs="Euclid"/>
          <w:spacing w:val="14"/>
          <w:sz w:val="20"/>
          <w:szCs w:val="20"/>
        </w:rPr>
        <w:t xml:space="preserve"> </w:t>
      </w:r>
      <w:r w:rsidRPr="00BD1C17">
        <w:rPr>
          <w:rFonts w:ascii="Euclid" w:hAnsi="Euclid" w:cs="Euclid"/>
          <w:sz w:val="20"/>
          <w:szCs w:val="20"/>
        </w:rPr>
        <w:t>Stars</w:t>
      </w:r>
      <w:r w:rsidRPr="00BD1C17">
        <w:rPr>
          <w:rFonts w:ascii="Euclid" w:hAnsi="Euclid" w:cs="Euclid"/>
          <w:spacing w:val="-20"/>
          <w:sz w:val="20"/>
          <w:szCs w:val="20"/>
        </w:rPr>
        <w:t xml:space="preserve"> </w:t>
      </w:r>
      <w:r w:rsidRPr="00BD1C17">
        <w:rPr>
          <w:rFonts w:ascii="Euclid" w:hAnsi="Euclid" w:cs="Euclid"/>
          <w:sz w:val="20"/>
          <w:szCs w:val="20"/>
        </w:rPr>
        <w:t>denote</w:t>
      </w:r>
      <w:r w:rsidRPr="00BD1C17">
        <w:rPr>
          <w:rFonts w:ascii="Euclid" w:hAnsi="Euclid" w:cs="Euclid"/>
          <w:spacing w:val="-20"/>
          <w:sz w:val="20"/>
          <w:szCs w:val="20"/>
        </w:rPr>
        <w:t xml:space="preserve"> </w:t>
      </w:r>
      <w:r w:rsidRPr="00BD1C17">
        <w:rPr>
          <w:rFonts w:ascii="Euclid" w:hAnsi="Euclid" w:cs="Euclid"/>
          <w:sz w:val="20"/>
          <w:szCs w:val="20"/>
        </w:rPr>
        <w:t>the</w:t>
      </w:r>
      <w:r w:rsidRPr="00BD1C17">
        <w:rPr>
          <w:rFonts w:ascii="Euclid" w:hAnsi="Euclid" w:cs="Euclid"/>
          <w:spacing w:val="-1"/>
          <w:sz w:val="20"/>
          <w:szCs w:val="20"/>
        </w:rPr>
        <w:t xml:space="preserve"> </w:t>
      </w:r>
      <w:r w:rsidRPr="00BD1C17">
        <w:rPr>
          <w:rFonts w:ascii="Euclid" w:hAnsi="Euclid" w:cs="Euclid"/>
          <w:sz w:val="20"/>
          <w:szCs w:val="20"/>
        </w:rPr>
        <w:t>level</w:t>
      </w:r>
      <w:r w:rsidRPr="00BD1C17">
        <w:rPr>
          <w:rFonts w:ascii="Euclid" w:hAnsi="Euclid" w:cs="Euclid"/>
          <w:spacing w:val="-2"/>
          <w:sz w:val="20"/>
          <w:szCs w:val="20"/>
        </w:rPr>
        <w:t xml:space="preserve"> </w:t>
      </w:r>
      <w:r w:rsidRPr="00BD1C17">
        <w:rPr>
          <w:rFonts w:ascii="Euclid" w:hAnsi="Euclid" w:cs="Euclid"/>
          <w:sz w:val="20"/>
          <w:szCs w:val="20"/>
        </w:rPr>
        <w:t>of</w:t>
      </w:r>
      <w:r w:rsidRPr="00BD1C17">
        <w:rPr>
          <w:rFonts w:ascii="Euclid" w:hAnsi="Euclid" w:cs="Euclid"/>
          <w:spacing w:val="-2"/>
          <w:sz w:val="20"/>
          <w:szCs w:val="20"/>
        </w:rPr>
        <w:t xml:space="preserve"> </w:t>
      </w:r>
      <w:r w:rsidRPr="00BD1C17">
        <w:rPr>
          <w:rFonts w:ascii="Euclid" w:hAnsi="Euclid" w:cs="Euclid"/>
          <w:sz w:val="20"/>
          <w:szCs w:val="20"/>
        </w:rPr>
        <w:t>statistical</w:t>
      </w:r>
      <w:r w:rsidRPr="00BD1C17">
        <w:rPr>
          <w:rFonts w:ascii="Euclid" w:hAnsi="Euclid" w:cs="Euclid"/>
          <w:spacing w:val="-2"/>
          <w:sz w:val="20"/>
          <w:szCs w:val="20"/>
        </w:rPr>
        <w:t xml:space="preserve"> </w:t>
      </w:r>
      <w:r w:rsidRPr="00BD1C17">
        <w:rPr>
          <w:rFonts w:ascii="Euclid" w:hAnsi="Euclid" w:cs="Euclid"/>
          <w:sz w:val="20"/>
          <w:szCs w:val="20"/>
        </w:rPr>
        <w:t>significance</w:t>
      </w:r>
      <w:r w:rsidRPr="00BD1C17">
        <w:rPr>
          <w:rFonts w:ascii="Euclid" w:hAnsi="Euclid" w:cs="Euclid"/>
          <w:spacing w:val="-1"/>
          <w:sz w:val="20"/>
          <w:szCs w:val="20"/>
        </w:rPr>
        <w:t xml:space="preserve"> </w:t>
      </w:r>
      <w:r w:rsidRPr="00BD1C17">
        <w:rPr>
          <w:rFonts w:ascii="Sitka Small" w:hAnsi="Sitka Small" w:cs="Sitka Small"/>
          <w:i/>
          <w:iCs/>
          <w:sz w:val="20"/>
          <w:szCs w:val="20"/>
          <w:vertAlign w:val="superscript"/>
        </w:rPr>
        <w:t>t</w:t>
      </w:r>
      <w:r w:rsidRPr="00BD1C17">
        <w:rPr>
          <w:rFonts w:ascii="Sitka Small" w:hAnsi="Sitka Small" w:cs="Sitka Small"/>
          <w:i/>
          <w:iCs/>
          <w:spacing w:val="13"/>
          <w:sz w:val="20"/>
          <w:szCs w:val="20"/>
        </w:rPr>
        <w:t xml:space="preserve"> </w:t>
      </w:r>
      <w:r w:rsidRPr="00BD1C17">
        <w:rPr>
          <w:rFonts w:ascii="Bookman Old Style" w:hAnsi="Bookman Old Style" w:cs="Bookman Old Style"/>
          <w:i/>
          <w:iCs/>
          <w:sz w:val="20"/>
          <w:szCs w:val="20"/>
        </w:rPr>
        <w:t>p</w:t>
      </w:r>
      <w:r w:rsidRPr="00BD1C17">
        <w:rPr>
          <w:rFonts w:ascii="Bookman Old Style" w:hAnsi="Bookman Old Style" w:cs="Bookman Old Style"/>
          <w:i/>
          <w:iCs/>
          <w:spacing w:val="-6"/>
          <w:sz w:val="20"/>
          <w:szCs w:val="20"/>
        </w:rPr>
        <w:t xml:space="preserve"> </w:t>
      </w:r>
      <w:r w:rsidRPr="00BD1C17">
        <w:rPr>
          <w:rFonts w:ascii="Bookman Old Style" w:hAnsi="Bookman Old Style" w:cs="Bookman Old Style"/>
          <w:i/>
          <w:iCs/>
          <w:sz w:val="20"/>
          <w:szCs w:val="20"/>
        </w:rPr>
        <w:t>&lt;</w:t>
      </w:r>
      <w:r w:rsidRPr="00BD1C17">
        <w:rPr>
          <w:rFonts w:ascii="Bookman Old Style" w:hAnsi="Bookman Old Style" w:cs="Bookman Old Style"/>
          <w:i/>
          <w:iCs/>
          <w:spacing w:val="-6"/>
          <w:sz w:val="20"/>
          <w:szCs w:val="20"/>
        </w:rPr>
        <w:t xml:space="preserve"> </w:t>
      </w:r>
      <w:r w:rsidRPr="00BD1C17">
        <w:rPr>
          <w:rFonts w:ascii="Euclid" w:hAnsi="Euclid" w:cs="Euclid"/>
          <w:sz w:val="20"/>
          <w:szCs w:val="20"/>
        </w:rPr>
        <w:t>0</w:t>
      </w:r>
      <w:r w:rsidRPr="00BD1C17">
        <w:rPr>
          <w:rFonts w:ascii="Bookman Old Style" w:hAnsi="Bookman Old Style" w:cs="Bookman Old Style"/>
          <w:i/>
          <w:iCs/>
          <w:sz w:val="20"/>
          <w:szCs w:val="20"/>
        </w:rPr>
        <w:t>.</w:t>
      </w:r>
      <w:r w:rsidRPr="00BD1C17">
        <w:rPr>
          <w:rFonts w:ascii="Euclid" w:hAnsi="Euclid" w:cs="Euclid"/>
          <w:sz w:val="20"/>
          <w:szCs w:val="20"/>
        </w:rPr>
        <w:t>15</w:t>
      </w:r>
      <w:r w:rsidRPr="00BD1C17">
        <w:rPr>
          <w:rFonts w:ascii="Euclid" w:hAnsi="Euclid" w:cs="Euclid"/>
          <w:spacing w:val="-2"/>
          <w:sz w:val="20"/>
          <w:szCs w:val="20"/>
        </w:rPr>
        <w:t xml:space="preserve"> </w:t>
      </w:r>
      <w:r w:rsidRPr="00BD1C17">
        <w:rPr>
          <w:rFonts w:ascii="Lucida Sans Unicode" w:hAnsi="Lucida Sans Unicode" w:cs="Lucida Sans Unicode"/>
          <w:sz w:val="20"/>
          <w:szCs w:val="20"/>
          <w:vertAlign w:val="superscript"/>
        </w:rPr>
        <w:t>∗</w:t>
      </w:r>
      <w:r w:rsidRPr="00BD1C17">
        <w:rPr>
          <w:rFonts w:ascii="Lucida Sans Unicode" w:hAnsi="Lucida Sans Unicode" w:cs="Lucida Sans Unicode"/>
          <w:spacing w:val="-14"/>
          <w:sz w:val="20"/>
          <w:szCs w:val="20"/>
        </w:rPr>
        <w:t xml:space="preserve"> </w:t>
      </w:r>
      <w:r w:rsidRPr="00BD1C17">
        <w:rPr>
          <w:rFonts w:ascii="Bookman Old Style" w:hAnsi="Bookman Old Style" w:cs="Bookman Old Style"/>
          <w:i/>
          <w:iCs/>
          <w:sz w:val="20"/>
          <w:szCs w:val="20"/>
        </w:rPr>
        <w:t>p</w:t>
      </w:r>
      <w:r w:rsidRPr="00BD1C17">
        <w:rPr>
          <w:rFonts w:ascii="Bookman Old Style" w:hAnsi="Bookman Old Style" w:cs="Bookman Old Style"/>
          <w:i/>
          <w:iCs/>
          <w:spacing w:val="-6"/>
          <w:sz w:val="20"/>
          <w:szCs w:val="20"/>
        </w:rPr>
        <w:t xml:space="preserve"> </w:t>
      </w:r>
      <w:r w:rsidRPr="00BD1C17">
        <w:rPr>
          <w:rFonts w:ascii="Bookman Old Style" w:hAnsi="Bookman Old Style" w:cs="Bookman Old Style"/>
          <w:i/>
          <w:iCs/>
          <w:sz w:val="20"/>
          <w:szCs w:val="20"/>
        </w:rPr>
        <w:t>&lt;</w:t>
      </w:r>
      <w:r w:rsidRPr="00BD1C17">
        <w:rPr>
          <w:rFonts w:ascii="Bookman Old Style" w:hAnsi="Bookman Old Style" w:cs="Bookman Old Style"/>
          <w:i/>
          <w:iCs/>
          <w:spacing w:val="-6"/>
          <w:sz w:val="20"/>
          <w:szCs w:val="20"/>
        </w:rPr>
        <w:t xml:space="preserve"> </w:t>
      </w:r>
      <w:r w:rsidRPr="00BD1C17">
        <w:rPr>
          <w:rFonts w:ascii="Euclid" w:hAnsi="Euclid" w:cs="Euclid"/>
          <w:sz w:val="20"/>
          <w:szCs w:val="20"/>
        </w:rPr>
        <w:t>0</w:t>
      </w:r>
      <w:r w:rsidRPr="00BD1C17">
        <w:rPr>
          <w:rFonts w:ascii="Bookman Old Style" w:hAnsi="Bookman Old Style" w:cs="Bookman Old Style"/>
          <w:i/>
          <w:iCs/>
          <w:sz w:val="20"/>
          <w:szCs w:val="20"/>
        </w:rPr>
        <w:t>.</w:t>
      </w:r>
      <w:r w:rsidRPr="00BD1C17">
        <w:rPr>
          <w:rFonts w:ascii="Euclid" w:hAnsi="Euclid" w:cs="Euclid"/>
          <w:sz w:val="20"/>
          <w:szCs w:val="20"/>
        </w:rPr>
        <w:t>1,</w:t>
      </w:r>
      <w:r w:rsidRPr="00BD1C17">
        <w:rPr>
          <w:rFonts w:ascii="Euclid" w:hAnsi="Euclid" w:cs="Euclid"/>
          <w:spacing w:val="-2"/>
          <w:sz w:val="20"/>
          <w:szCs w:val="20"/>
        </w:rPr>
        <w:t xml:space="preserve"> </w:t>
      </w:r>
      <w:r w:rsidRPr="00BD1C17">
        <w:rPr>
          <w:rFonts w:ascii="Lucida Sans Unicode" w:hAnsi="Lucida Sans Unicode" w:cs="Lucida Sans Unicode"/>
          <w:sz w:val="20"/>
          <w:szCs w:val="20"/>
          <w:vertAlign w:val="superscript"/>
        </w:rPr>
        <w:t>∗∗</w:t>
      </w:r>
      <w:r w:rsidRPr="00BD1C17">
        <w:rPr>
          <w:rFonts w:ascii="Lucida Sans Unicode" w:hAnsi="Lucida Sans Unicode" w:cs="Lucida Sans Unicode"/>
          <w:spacing w:val="12"/>
          <w:sz w:val="20"/>
          <w:szCs w:val="20"/>
        </w:rPr>
        <w:t xml:space="preserve"> </w:t>
      </w:r>
      <w:r w:rsidRPr="00BD1C17">
        <w:rPr>
          <w:rFonts w:ascii="Bookman Old Style" w:hAnsi="Bookman Old Style" w:cs="Bookman Old Style"/>
          <w:i/>
          <w:iCs/>
          <w:sz w:val="20"/>
          <w:szCs w:val="20"/>
        </w:rPr>
        <w:t>p</w:t>
      </w:r>
      <w:r w:rsidRPr="00BD1C17">
        <w:rPr>
          <w:rFonts w:ascii="Bookman Old Style" w:hAnsi="Bookman Old Style" w:cs="Bookman Old Style"/>
          <w:i/>
          <w:iCs/>
          <w:spacing w:val="-6"/>
          <w:sz w:val="20"/>
          <w:szCs w:val="20"/>
        </w:rPr>
        <w:t xml:space="preserve"> </w:t>
      </w:r>
      <w:r w:rsidRPr="00BD1C17">
        <w:rPr>
          <w:rFonts w:ascii="Bookman Old Style" w:hAnsi="Bookman Old Style" w:cs="Bookman Old Style"/>
          <w:i/>
          <w:iCs/>
          <w:sz w:val="20"/>
          <w:szCs w:val="20"/>
        </w:rPr>
        <w:t>&lt;</w:t>
      </w:r>
      <w:r w:rsidRPr="00BD1C17">
        <w:rPr>
          <w:rFonts w:ascii="Bookman Old Style" w:hAnsi="Bookman Old Style" w:cs="Bookman Old Style"/>
          <w:i/>
          <w:iCs/>
          <w:spacing w:val="-6"/>
          <w:sz w:val="20"/>
          <w:szCs w:val="20"/>
        </w:rPr>
        <w:t xml:space="preserve"> </w:t>
      </w:r>
      <w:r w:rsidRPr="00BD1C17">
        <w:rPr>
          <w:rFonts w:ascii="Euclid" w:hAnsi="Euclid" w:cs="Euclid"/>
          <w:sz w:val="20"/>
          <w:szCs w:val="20"/>
        </w:rPr>
        <w:t>0</w:t>
      </w:r>
      <w:r w:rsidRPr="00BD1C17">
        <w:rPr>
          <w:rFonts w:ascii="Bookman Old Style" w:hAnsi="Bookman Old Style" w:cs="Bookman Old Style"/>
          <w:i/>
          <w:iCs/>
          <w:sz w:val="20"/>
          <w:szCs w:val="20"/>
        </w:rPr>
        <w:t>.</w:t>
      </w:r>
      <w:r w:rsidRPr="00BD1C17">
        <w:rPr>
          <w:rFonts w:ascii="Euclid" w:hAnsi="Euclid" w:cs="Euclid"/>
          <w:sz w:val="20"/>
          <w:szCs w:val="20"/>
        </w:rPr>
        <w:t>05,</w:t>
      </w:r>
      <w:r w:rsidRPr="00BD1C17">
        <w:rPr>
          <w:rFonts w:ascii="Euclid" w:hAnsi="Euclid" w:cs="Euclid"/>
          <w:spacing w:val="-2"/>
          <w:sz w:val="20"/>
          <w:szCs w:val="20"/>
        </w:rPr>
        <w:t xml:space="preserve"> </w:t>
      </w:r>
      <w:r w:rsidRPr="00BD1C17">
        <w:rPr>
          <w:rFonts w:ascii="Lucida Sans Unicode" w:hAnsi="Lucida Sans Unicode" w:cs="Lucida Sans Unicode"/>
          <w:sz w:val="20"/>
          <w:szCs w:val="20"/>
          <w:vertAlign w:val="superscript"/>
        </w:rPr>
        <w:t>∗∗∗</w:t>
      </w:r>
      <w:r w:rsidRPr="00BD1C17">
        <w:rPr>
          <w:rFonts w:ascii="Lucida Sans Unicode" w:hAnsi="Lucida Sans Unicode" w:cs="Lucida Sans Unicode"/>
          <w:spacing w:val="12"/>
          <w:sz w:val="20"/>
          <w:szCs w:val="20"/>
        </w:rPr>
        <w:t xml:space="preserve"> </w:t>
      </w:r>
      <w:r w:rsidRPr="00BD1C17">
        <w:rPr>
          <w:rFonts w:ascii="Bookman Old Style" w:hAnsi="Bookman Old Style" w:cs="Bookman Old Style"/>
          <w:i/>
          <w:iCs/>
          <w:sz w:val="20"/>
          <w:szCs w:val="20"/>
        </w:rPr>
        <w:t>p</w:t>
      </w:r>
      <w:r w:rsidRPr="00BD1C17">
        <w:rPr>
          <w:rFonts w:ascii="Bookman Old Style" w:hAnsi="Bookman Old Style" w:cs="Bookman Old Style"/>
          <w:i/>
          <w:iCs/>
          <w:spacing w:val="-6"/>
          <w:sz w:val="20"/>
          <w:szCs w:val="20"/>
        </w:rPr>
        <w:t xml:space="preserve"> </w:t>
      </w:r>
      <w:r w:rsidRPr="00BD1C17">
        <w:rPr>
          <w:rFonts w:ascii="Bookman Old Style" w:hAnsi="Bookman Old Style" w:cs="Bookman Old Style"/>
          <w:i/>
          <w:iCs/>
          <w:sz w:val="20"/>
          <w:szCs w:val="20"/>
        </w:rPr>
        <w:t>&lt;</w:t>
      </w:r>
      <w:r w:rsidRPr="00BD1C17">
        <w:rPr>
          <w:rFonts w:ascii="Bookman Old Style" w:hAnsi="Bookman Old Style" w:cs="Bookman Old Style"/>
          <w:i/>
          <w:iCs/>
          <w:spacing w:val="-6"/>
          <w:sz w:val="20"/>
          <w:szCs w:val="20"/>
        </w:rPr>
        <w:t xml:space="preserve"> </w:t>
      </w:r>
      <w:r w:rsidRPr="00BD1C17">
        <w:rPr>
          <w:rFonts w:ascii="Euclid" w:hAnsi="Euclid" w:cs="Euclid"/>
          <w:sz w:val="20"/>
          <w:szCs w:val="20"/>
        </w:rPr>
        <w:t>0</w:t>
      </w:r>
      <w:r w:rsidRPr="00BD1C17">
        <w:rPr>
          <w:rFonts w:ascii="Bookman Old Style" w:hAnsi="Bookman Old Style" w:cs="Bookman Old Style"/>
          <w:i/>
          <w:iCs/>
          <w:sz w:val="20"/>
          <w:szCs w:val="20"/>
        </w:rPr>
        <w:t>.</w:t>
      </w:r>
      <w:r w:rsidRPr="00BD1C17">
        <w:rPr>
          <w:rFonts w:ascii="Euclid" w:hAnsi="Euclid" w:cs="Euclid"/>
          <w:sz w:val="20"/>
          <w:szCs w:val="20"/>
        </w:rPr>
        <w:t>01.</w:t>
      </w:r>
    </w:p>
    <w:p w14:paraId="49A700F0" w14:textId="77777777" w:rsidR="0024783E" w:rsidRPr="00BD1C17" w:rsidRDefault="0024783E" w:rsidP="00BD1C17">
      <w:pPr>
        <w:tabs>
          <w:tab w:val="left" w:pos="6570"/>
        </w:tabs>
        <w:kinsoku w:val="0"/>
        <w:overflowPunct w:val="0"/>
        <w:autoSpaceDE w:val="0"/>
        <w:autoSpaceDN w:val="0"/>
        <w:adjustRightInd w:val="0"/>
        <w:spacing w:before="81" w:after="0" w:line="172" w:lineRule="auto"/>
        <w:ind w:left="2520" w:right="2790"/>
        <w:rPr>
          <w:rFonts w:ascii="Euclid" w:hAnsi="Euclid" w:cs="Euclid"/>
          <w:sz w:val="20"/>
          <w:szCs w:val="20"/>
        </w:rPr>
      </w:pPr>
    </w:p>
    <w:p w14:paraId="63F60A80" w14:textId="77777777" w:rsidR="00950E49" w:rsidRDefault="007E3F64" w:rsidP="00A13C7B">
      <w:pPr>
        <w:spacing w:after="120" w:line="360" w:lineRule="auto"/>
        <w:ind w:firstLine="450"/>
        <w:jc w:val="both"/>
        <w:rPr>
          <w:rFonts w:asciiTheme="majorBidi" w:hAnsiTheme="majorBidi" w:cstheme="majorBidi"/>
          <w:sz w:val="24"/>
          <w:szCs w:val="24"/>
        </w:rPr>
      </w:pPr>
      <w:r w:rsidRPr="00C70C65">
        <w:rPr>
          <w:rFonts w:asciiTheme="majorBidi" w:hAnsiTheme="majorBidi" w:cstheme="majorBidi"/>
          <w:sz w:val="24"/>
          <w:szCs w:val="24"/>
        </w:rPr>
        <w:t xml:space="preserve">Table </w:t>
      </w:r>
      <w:r>
        <w:rPr>
          <w:rFonts w:asciiTheme="majorBidi" w:hAnsiTheme="majorBidi" w:cstheme="majorBidi"/>
          <w:sz w:val="24"/>
          <w:szCs w:val="24"/>
        </w:rPr>
        <w:t xml:space="preserve">6 shows that the </w:t>
      </w:r>
      <w:r w:rsidR="001F75E8">
        <w:rPr>
          <w:rFonts w:asciiTheme="majorBidi" w:hAnsiTheme="majorBidi" w:cstheme="majorBidi"/>
          <w:sz w:val="24"/>
          <w:szCs w:val="24"/>
        </w:rPr>
        <w:t>identified associat</w:t>
      </w:r>
      <w:r w:rsidR="00950E49">
        <w:rPr>
          <w:rFonts w:asciiTheme="majorBidi" w:hAnsiTheme="majorBidi" w:cstheme="majorBidi"/>
          <w:sz w:val="24"/>
          <w:szCs w:val="24"/>
        </w:rPr>
        <w:t>i</w:t>
      </w:r>
      <w:r w:rsidR="001F75E8">
        <w:rPr>
          <w:rFonts w:asciiTheme="majorBidi" w:hAnsiTheme="majorBidi" w:cstheme="majorBidi"/>
          <w:sz w:val="24"/>
          <w:szCs w:val="24"/>
        </w:rPr>
        <w:t>on exists in both types of cases</w:t>
      </w:r>
      <w:r w:rsidR="00BE5B51">
        <w:rPr>
          <w:rFonts w:asciiTheme="majorBidi" w:hAnsiTheme="majorBidi" w:cstheme="majorBidi"/>
          <w:sz w:val="24"/>
          <w:szCs w:val="24"/>
        </w:rPr>
        <w:t>. For both publi</w:t>
      </w:r>
      <w:r w:rsidR="00950E49">
        <w:rPr>
          <w:rFonts w:asciiTheme="majorBidi" w:hAnsiTheme="majorBidi" w:cstheme="majorBidi"/>
          <w:sz w:val="24"/>
          <w:szCs w:val="24"/>
        </w:rPr>
        <w:t>s</w:t>
      </w:r>
      <w:r w:rsidR="00BE5B51">
        <w:rPr>
          <w:rFonts w:asciiTheme="majorBidi" w:hAnsiTheme="majorBidi" w:cstheme="majorBidi"/>
          <w:sz w:val="24"/>
          <w:szCs w:val="24"/>
        </w:rPr>
        <w:t xml:space="preserve">hed cases and </w:t>
      </w:r>
      <w:r w:rsidR="00950E49">
        <w:rPr>
          <w:rFonts w:asciiTheme="majorBidi" w:hAnsiTheme="majorBidi" w:cstheme="majorBidi"/>
          <w:sz w:val="24"/>
          <w:szCs w:val="24"/>
        </w:rPr>
        <w:t>unpublished cases</w:t>
      </w:r>
      <w:r w:rsidR="001F75E8">
        <w:rPr>
          <w:rFonts w:asciiTheme="majorBidi" w:hAnsiTheme="majorBidi" w:cstheme="majorBidi"/>
          <w:sz w:val="24"/>
          <w:szCs w:val="24"/>
        </w:rPr>
        <w:t xml:space="preserve">, </w:t>
      </w:r>
      <w:r w:rsidR="00950E49">
        <w:rPr>
          <w:rFonts w:asciiTheme="majorBidi" w:hAnsiTheme="majorBidi" w:cstheme="majorBidi"/>
          <w:sz w:val="24"/>
          <w:szCs w:val="24"/>
        </w:rPr>
        <w:t xml:space="preserve">moving from an RRR panel to an RDD panel, and even to a great extent to a DDD panel, is associated with an increase that is statistically significant. </w:t>
      </w:r>
    </w:p>
    <w:p w14:paraId="53DE0C10" w14:textId="703DE8F5" w:rsidR="00937174" w:rsidRDefault="00937174" w:rsidP="00A13C7B">
      <w:pPr>
        <w:spacing w:after="120" w:line="360" w:lineRule="auto"/>
        <w:ind w:firstLine="450"/>
        <w:jc w:val="both"/>
        <w:rPr>
          <w:rFonts w:asciiTheme="majorBidi" w:hAnsiTheme="majorBidi" w:cstheme="majorBidi"/>
          <w:sz w:val="24"/>
          <w:szCs w:val="24"/>
        </w:rPr>
      </w:pPr>
      <w:r>
        <w:rPr>
          <w:rFonts w:asciiTheme="majorBidi" w:hAnsiTheme="majorBidi" w:cstheme="majorBidi"/>
          <w:sz w:val="24"/>
          <w:szCs w:val="24"/>
        </w:rPr>
        <w:t>Whereas the association exists in both types of cases, however, its magnitude is much larger for pub</w:t>
      </w:r>
      <w:r w:rsidR="00540049">
        <w:rPr>
          <w:rFonts w:asciiTheme="majorBidi" w:hAnsiTheme="majorBidi" w:cstheme="majorBidi"/>
          <w:sz w:val="24"/>
          <w:szCs w:val="24"/>
        </w:rPr>
        <w:t xml:space="preserve">lished </w:t>
      </w:r>
      <w:r>
        <w:rPr>
          <w:rFonts w:asciiTheme="majorBidi" w:hAnsiTheme="majorBidi" w:cstheme="majorBidi"/>
          <w:sz w:val="24"/>
          <w:szCs w:val="24"/>
        </w:rPr>
        <w:t xml:space="preserve">cases than for unpublished cases. The coefficients in Column (2) are much larger than the corresponding coefficients in Column (1) and in some cases they are also more statistically significant. In particular, the increase in the odds of a </w:t>
      </w:r>
      <w:r w:rsidR="00540049">
        <w:rPr>
          <w:rFonts w:asciiTheme="majorBidi" w:hAnsiTheme="majorBidi" w:cstheme="majorBidi"/>
          <w:sz w:val="24"/>
          <w:szCs w:val="24"/>
        </w:rPr>
        <w:t>prodefendant</w:t>
      </w:r>
      <w:r>
        <w:rPr>
          <w:rFonts w:asciiTheme="majorBidi" w:hAnsiTheme="majorBidi" w:cstheme="majorBidi"/>
          <w:sz w:val="24"/>
          <w:szCs w:val="24"/>
        </w:rPr>
        <w:t xml:space="preserve"> outcome that is associated with </w:t>
      </w:r>
      <w:r>
        <w:rPr>
          <w:rFonts w:asciiTheme="majorBidi" w:hAnsiTheme="majorBidi" w:cstheme="majorBidi"/>
          <w:sz w:val="24"/>
          <w:szCs w:val="24"/>
        </w:rPr>
        <w:lastRenderedPageBreak/>
        <w:t xml:space="preserve">a move from RRR to DDD is about four times larger for published cases than for unpublished cases. </w:t>
      </w:r>
    </w:p>
    <w:p w14:paraId="185AF479" w14:textId="3C46C459" w:rsidR="006D09F5" w:rsidRPr="00C70C65" w:rsidRDefault="00597AA2" w:rsidP="00A13C7B">
      <w:pPr>
        <w:spacing w:after="120" w:line="360" w:lineRule="auto"/>
        <w:ind w:firstLine="450"/>
        <w:jc w:val="both"/>
        <w:rPr>
          <w:rFonts w:asciiTheme="majorBidi" w:hAnsiTheme="majorBidi" w:cstheme="majorBidi"/>
          <w:sz w:val="24"/>
          <w:szCs w:val="24"/>
        </w:rPr>
      </w:pPr>
      <w:r>
        <w:rPr>
          <w:rFonts w:asciiTheme="majorBidi" w:hAnsiTheme="majorBidi" w:cstheme="majorBidi"/>
          <w:sz w:val="24"/>
          <w:szCs w:val="24"/>
        </w:rPr>
        <w:t xml:space="preserve">A question that subsequent work might want to </w:t>
      </w:r>
      <w:r w:rsidR="0066308A">
        <w:rPr>
          <w:rFonts w:asciiTheme="majorBidi" w:hAnsiTheme="majorBidi" w:cstheme="majorBidi"/>
          <w:sz w:val="24"/>
          <w:szCs w:val="24"/>
        </w:rPr>
        <w:t xml:space="preserve">examine </w:t>
      </w:r>
      <w:r>
        <w:rPr>
          <w:rFonts w:asciiTheme="majorBidi" w:hAnsiTheme="majorBidi" w:cstheme="majorBidi"/>
          <w:sz w:val="24"/>
          <w:szCs w:val="24"/>
        </w:rPr>
        <w:t>is the reason for the identified difference between published and unpublished cases. One possible explanation is that</w:t>
      </w:r>
      <w:r w:rsidR="00461BB0">
        <w:rPr>
          <w:rFonts w:asciiTheme="majorBidi" w:hAnsiTheme="majorBidi" w:cstheme="majorBidi"/>
          <w:sz w:val="24"/>
          <w:szCs w:val="24"/>
        </w:rPr>
        <w:t>, because prodefendant outcomes commonly involve overturning</w:t>
      </w:r>
      <w:r w:rsidR="00A276A1">
        <w:rPr>
          <w:rFonts w:asciiTheme="majorBidi" w:hAnsiTheme="majorBidi" w:cstheme="majorBidi"/>
          <w:sz w:val="24"/>
          <w:szCs w:val="24"/>
        </w:rPr>
        <w:t xml:space="preserve"> the decision of the trial below, panels </w:t>
      </w:r>
      <w:r w:rsidR="00EB3456">
        <w:rPr>
          <w:rFonts w:asciiTheme="majorBidi" w:hAnsiTheme="majorBidi" w:cstheme="majorBidi"/>
          <w:sz w:val="24"/>
          <w:szCs w:val="24"/>
        </w:rPr>
        <w:t xml:space="preserve">that overturn are much more likely to issue an opinion that explains in detail the reasons for their decision, and once such an opinion is written </w:t>
      </w:r>
      <w:r w:rsidR="00276185">
        <w:rPr>
          <w:rFonts w:asciiTheme="majorBidi" w:hAnsiTheme="majorBidi" w:cstheme="majorBidi"/>
          <w:sz w:val="24"/>
          <w:szCs w:val="24"/>
        </w:rPr>
        <w:t xml:space="preserve">panels tend to publish it. </w:t>
      </w:r>
      <w:r w:rsidR="00E86097">
        <w:rPr>
          <w:rFonts w:asciiTheme="majorBidi" w:hAnsiTheme="majorBidi" w:cstheme="majorBidi"/>
          <w:sz w:val="24"/>
          <w:szCs w:val="24"/>
        </w:rPr>
        <w:t xml:space="preserve">Another possible explanation is that </w:t>
      </w:r>
      <w:r w:rsidR="00A97D88">
        <w:rPr>
          <w:rFonts w:asciiTheme="majorBidi" w:hAnsiTheme="majorBidi" w:cstheme="majorBidi"/>
          <w:sz w:val="24"/>
          <w:szCs w:val="24"/>
        </w:rPr>
        <w:t xml:space="preserve">DDD or RDD panels are more interested in publishing opinions in cases in which they reach a prodefendant outcome because they </w:t>
      </w:r>
      <w:r w:rsidR="00121C10">
        <w:rPr>
          <w:rFonts w:asciiTheme="majorBidi" w:hAnsiTheme="majorBidi" w:cstheme="majorBidi"/>
          <w:sz w:val="24"/>
          <w:szCs w:val="24"/>
        </w:rPr>
        <w:t xml:space="preserve">prefer to move the body of </w:t>
      </w:r>
      <w:r w:rsidR="00540049">
        <w:rPr>
          <w:rFonts w:asciiTheme="majorBidi" w:hAnsiTheme="majorBidi" w:cstheme="majorBidi"/>
          <w:sz w:val="24"/>
          <w:szCs w:val="24"/>
        </w:rPr>
        <w:t>precedent</w:t>
      </w:r>
      <w:r w:rsidR="00121C10">
        <w:rPr>
          <w:rFonts w:asciiTheme="majorBidi" w:hAnsiTheme="majorBidi" w:cstheme="majorBidi"/>
          <w:sz w:val="24"/>
          <w:szCs w:val="24"/>
        </w:rPr>
        <w:t xml:space="preserve"> in a prodefendant direction. </w:t>
      </w:r>
      <w:r w:rsidR="00A97D88">
        <w:rPr>
          <w:rFonts w:asciiTheme="majorBidi" w:hAnsiTheme="majorBidi" w:cstheme="majorBidi"/>
          <w:sz w:val="24"/>
          <w:szCs w:val="24"/>
        </w:rPr>
        <w:t xml:space="preserve">  </w:t>
      </w:r>
      <w:r w:rsidR="0066308A">
        <w:rPr>
          <w:rFonts w:asciiTheme="majorBidi" w:hAnsiTheme="majorBidi" w:cstheme="majorBidi"/>
          <w:sz w:val="24"/>
          <w:szCs w:val="24"/>
        </w:rPr>
        <w:t xml:space="preserve"> </w:t>
      </w:r>
    </w:p>
    <w:p w14:paraId="0AB57C1A" w14:textId="2E966B47" w:rsidR="007000C5" w:rsidRPr="00A02F77" w:rsidRDefault="006E2C58" w:rsidP="00A13C7B">
      <w:pPr>
        <w:spacing w:after="120" w:line="360" w:lineRule="auto"/>
        <w:jc w:val="both"/>
        <w:rPr>
          <w:rFonts w:asciiTheme="majorBidi" w:hAnsiTheme="majorBidi" w:cstheme="majorBidi"/>
          <w:b/>
          <w:bCs/>
          <w:i/>
          <w:iCs/>
          <w:sz w:val="24"/>
          <w:szCs w:val="24"/>
        </w:rPr>
      </w:pPr>
      <w:r w:rsidRPr="00A02F77">
        <w:rPr>
          <w:rFonts w:asciiTheme="majorBidi" w:hAnsiTheme="majorBidi" w:cstheme="majorBidi"/>
          <w:i/>
          <w:iCs/>
          <w:sz w:val="24"/>
          <w:szCs w:val="24"/>
        </w:rPr>
        <w:t>2.</w:t>
      </w:r>
      <w:r w:rsidR="00A02F77">
        <w:rPr>
          <w:rFonts w:asciiTheme="majorBidi" w:hAnsiTheme="majorBidi" w:cstheme="majorBidi"/>
          <w:i/>
          <w:iCs/>
          <w:sz w:val="24"/>
          <w:szCs w:val="24"/>
        </w:rPr>
        <w:t xml:space="preserve">  </w:t>
      </w:r>
      <w:r w:rsidRPr="00A02F77">
        <w:rPr>
          <w:rFonts w:asciiTheme="majorBidi" w:hAnsiTheme="majorBidi" w:cstheme="majorBidi"/>
          <w:i/>
          <w:iCs/>
          <w:sz w:val="24"/>
          <w:szCs w:val="24"/>
        </w:rPr>
        <w:t xml:space="preserve">Different Decades </w:t>
      </w:r>
    </w:p>
    <w:p w14:paraId="12271F41" w14:textId="1A3B34C2" w:rsidR="004D49E9" w:rsidRDefault="00121C10" w:rsidP="00A13C7B">
      <w:pPr>
        <w:spacing w:after="120"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We now turn to examine whether the pattern we identify is driven by </w:t>
      </w:r>
      <w:r w:rsidR="00FD051F">
        <w:rPr>
          <w:rFonts w:asciiTheme="majorBidi" w:hAnsiTheme="majorBidi" w:cstheme="majorBidi"/>
          <w:sz w:val="24"/>
          <w:szCs w:val="24"/>
        </w:rPr>
        <w:t xml:space="preserve">some part of the examined period. </w:t>
      </w:r>
      <w:r w:rsidR="00A32796" w:rsidRPr="004D49E9">
        <w:rPr>
          <w:rFonts w:asciiTheme="majorBidi" w:hAnsiTheme="majorBidi" w:cstheme="majorBidi"/>
          <w:sz w:val="24"/>
          <w:szCs w:val="24"/>
        </w:rPr>
        <w:t xml:space="preserve">Table </w:t>
      </w:r>
      <w:r w:rsidR="004D49E9" w:rsidRPr="004D49E9">
        <w:rPr>
          <w:rFonts w:asciiTheme="majorBidi" w:hAnsiTheme="majorBidi" w:cstheme="majorBidi"/>
          <w:sz w:val="24"/>
          <w:szCs w:val="24"/>
        </w:rPr>
        <w:t xml:space="preserve">7 </w:t>
      </w:r>
      <w:r w:rsidR="00FD051F">
        <w:rPr>
          <w:rFonts w:asciiTheme="majorBidi" w:hAnsiTheme="majorBidi" w:cstheme="majorBidi"/>
          <w:sz w:val="24"/>
          <w:szCs w:val="24"/>
        </w:rPr>
        <w:t xml:space="preserve">reports </w:t>
      </w:r>
      <w:r w:rsidR="004D49E9">
        <w:rPr>
          <w:rFonts w:asciiTheme="majorBidi" w:hAnsiTheme="majorBidi" w:cstheme="majorBidi"/>
          <w:sz w:val="24"/>
          <w:szCs w:val="24"/>
        </w:rPr>
        <w:t xml:space="preserve">the results of </w:t>
      </w:r>
      <w:r w:rsidR="00FD051F">
        <w:rPr>
          <w:rFonts w:asciiTheme="majorBidi" w:hAnsiTheme="majorBidi" w:cstheme="majorBidi"/>
          <w:sz w:val="24"/>
          <w:szCs w:val="24"/>
        </w:rPr>
        <w:t xml:space="preserve">regressions following </w:t>
      </w:r>
      <w:r w:rsidR="004D49E9">
        <w:rPr>
          <w:rFonts w:asciiTheme="majorBidi" w:hAnsiTheme="majorBidi" w:cstheme="majorBidi"/>
          <w:sz w:val="24"/>
          <w:szCs w:val="24"/>
        </w:rPr>
        <w:t xml:space="preserve">our main specification </w:t>
      </w:r>
      <w:r w:rsidR="00FD051F">
        <w:rPr>
          <w:rFonts w:asciiTheme="majorBidi" w:hAnsiTheme="majorBidi" w:cstheme="majorBidi"/>
          <w:sz w:val="24"/>
          <w:szCs w:val="24"/>
        </w:rPr>
        <w:t xml:space="preserve">that are run separately for each of the four decades. </w:t>
      </w:r>
      <w:r w:rsidR="00351B9C">
        <w:rPr>
          <w:rFonts w:asciiTheme="majorBidi" w:hAnsiTheme="majorBidi" w:cstheme="majorBidi"/>
          <w:sz w:val="24"/>
          <w:szCs w:val="24"/>
        </w:rPr>
        <w:t xml:space="preserve">Panel A reports the per-decade results for the universe of </w:t>
      </w:r>
      <w:r w:rsidR="004D49E9">
        <w:rPr>
          <w:rFonts w:asciiTheme="majorBidi" w:hAnsiTheme="majorBidi" w:cstheme="majorBidi"/>
          <w:sz w:val="24"/>
          <w:szCs w:val="24"/>
        </w:rPr>
        <w:t xml:space="preserve">all cases, </w:t>
      </w:r>
      <w:r w:rsidR="00351B9C">
        <w:rPr>
          <w:rFonts w:asciiTheme="majorBidi" w:hAnsiTheme="majorBidi" w:cstheme="majorBidi"/>
          <w:sz w:val="24"/>
          <w:szCs w:val="24"/>
        </w:rPr>
        <w:t xml:space="preserve">Panel B does so for the subset of </w:t>
      </w:r>
      <w:r w:rsidR="004D49E9">
        <w:rPr>
          <w:rFonts w:asciiTheme="majorBidi" w:hAnsiTheme="majorBidi" w:cstheme="majorBidi"/>
          <w:sz w:val="24"/>
          <w:szCs w:val="24"/>
        </w:rPr>
        <w:t>unpublished cases</w:t>
      </w:r>
      <w:r w:rsidR="00351B9C">
        <w:rPr>
          <w:rFonts w:asciiTheme="majorBidi" w:hAnsiTheme="majorBidi" w:cstheme="majorBidi"/>
          <w:sz w:val="24"/>
          <w:szCs w:val="24"/>
        </w:rPr>
        <w:t>,</w:t>
      </w:r>
      <w:r w:rsidR="004D49E9">
        <w:rPr>
          <w:rFonts w:asciiTheme="majorBidi" w:hAnsiTheme="majorBidi" w:cstheme="majorBidi"/>
          <w:sz w:val="24"/>
          <w:szCs w:val="24"/>
        </w:rPr>
        <w:t xml:space="preserve"> and </w:t>
      </w:r>
      <w:r w:rsidR="00351B9C">
        <w:rPr>
          <w:rFonts w:asciiTheme="majorBidi" w:hAnsiTheme="majorBidi" w:cstheme="majorBidi"/>
          <w:sz w:val="24"/>
          <w:szCs w:val="24"/>
        </w:rPr>
        <w:t xml:space="preserve">Panel C does so for the subset of </w:t>
      </w:r>
      <w:r w:rsidR="004D49E9">
        <w:rPr>
          <w:rFonts w:asciiTheme="majorBidi" w:hAnsiTheme="majorBidi" w:cstheme="majorBidi"/>
          <w:sz w:val="24"/>
          <w:szCs w:val="24"/>
        </w:rPr>
        <w:t xml:space="preserve">published cases. </w:t>
      </w:r>
    </w:p>
    <w:p w14:paraId="38D32124" w14:textId="36C9125D" w:rsidR="00DD1931" w:rsidRDefault="0074636D" w:rsidP="00A13C7B">
      <w:pPr>
        <w:spacing w:after="120"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Panel A indicates that, when focusing on the universe of all cases, </w:t>
      </w:r>
      <w:r w:rsidR="005B5955">
        <w:rPr>
          <w:rFonts w:asciiTheme="majorBidi" w:hAnsiTheme="majorBidi" w:cstheme="majorBidi"/>
          <w:sz w:val="24"/>
          <w:szCs w:val="24"/>
        </w:rPr>
        <w:t xml:space="preserve">the identified association between political composition and </w:t>
      </w:r>
      <w:r w:rsidR="00540049">
        <w:rPr>
          <w:rFonts w:asciiTheme="majorBidi" w:hAnsiTheme="majorBidi" w:cstheme="majorBidi"/>
          <w:sz w:val="24"/>
          <w:szCs w:val="24"/>
        </w:rPr>
        <w:t>prodefendant</w:t>
      </w:r>
      <w:r w:rsidR="005B5955">
        <w:rPr>
          <w:rFonts w:asciiTheme="majorBidi" w:hAnsiTheme="majorBidi" w:cstheme="majorBidi"/>
          <w:sz w:val="24"/>
          <w:szCs w:val="24"/>
        </w:rPr>
        <w:t xml:space="preserve"> outcomes is present in each of the four decades. </w:t>
      </w:r>
      <w:r w:rsidR="001B57F1">
        <w:rPr>
          <w:rFonts w:asciiTheme="majorBidi" w:hAnsiTheme="majorBidi" w:cstheme="majorBidi"/>
          <w:sz w:val="24"/>
          <w:szCs w:val="24"/>
        </w:rPr>
        <w:t xml:space="preserve">The coefficient of RDD is positive and large in each decade, and is </w:t>
      </w:r>
      <w:r w:rsidR="00540049">
        <w:rPr>
          <w:rFonts w:asciiTheme="majorBidi" w:hAnsiTheme="majorBidi" w:cstheme="majorBidi"/>
          <w:sz w:val="24"/>
          <w:szCs w:val="24"/>
        </w:rPr>
        <w:t>statistically</w:t>
      </w:r>
      <w:r w:rsidR="001B57F1">
        <w:rPr>
          <w:rFonts w:asciiTheme="majorBidi" w:hAnsiTheme="majorBidi" w:cstheme="majorBidi"/>
          <w:sz w:val="24"/>
          <w:szCs w:val="24"/>
        </w:rPr>
        <w:t xml:space="preserve"> significant </w:t>
      </w:r>
      <w:r w:rsidR="00DD1931">
        <w:rPr>
          <w:rFonts w:asciiTheme="majorBidi" w:hAnsiTheme="majorBidi" w:cstheme="majorBidi"/>
          <w:sz w:val="24"/>
          <w:szCs w:val="24"/>
        </w:rPr>
        <w:t xml:space="preserve">at the 1% level in three out of the four decades. The coefficient of DDD is even larger in magnitude in all four decades, and is significant at the 1% level in each of the decades. </w:t>
      </w:r>
    </w:p>
    <w:p w14:paraId="24C8E4B2" w14:textId="17B89DE6" w:rsidR="000E2021" w:rsidRDefault="00A238E4" w:rsidP="00A13C7B">
      <w:pPr>
        <w:spacing w:after="120"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Next Panel B shows that the </w:t>
      </w:r>
      <w:r w:rsidR="0054125C">
        <w:rPr>
          <w:rFonts w:asciiTheme="majorBidi" w:hAnsiTheme="majorBidi" w:cstheme="majorBidi"/>
          <w:sz w:val="24"/>
          <w:szCs w:val="24"/>
        </w:rPr>
        <w:t xml:space="preserve">identified association weakens </w:t>
      </w:r>
      <w:r w:rsidR="000E2021">
        <w:rPr>
          <w:rFonts w:asciiTheme="majorBidi" w:hAnsiTheme="majorBidi" w:cstheme="majorBidi"/>
          <w:sz w:val="24"/>
          <w:szCs w:val="24"/>
        </w:rPr>
        <w:t xml:space="preserve">when focusing only on unpublished cases. The </w:t>
      </w:r>
      <w:r w:rsidR="00540049">
        <w:rPr>
          <w:rFonts w:asciiTheme="majorBidi" w:hAnsiTheme="majorBidi" w:cstheme="majorBidi"/>
          <w:sz w:val="24"/>
          <w:szCs w:val="24"/>
        </w:rPr>
        <w:t>coefficients</w:t>
      </w:r>
      <w:r w:rsidR="000E2021">
        <w:rPr>
          <w:rFonts w:asciiTheme="majorBidi" w:hAnsiTheme="majorBidi" w:cstheme="majorBidi"/>
          <w:sz w:val="24"/>
          <w:szCs w:val="24"/>
        </w:rPr>
        <w:t xml:space="preserve"> of </w:t>
      </w:r>
      <w:r w:rsidR="0009721F">
        <w:rPr>
          <w:rFonts w:asciiTheme="majorBidi" w:hAnsiTheme="majorBidi" w:cstheme="majorBidi"/>
          <w:sz w:val="24"/>
          <w:szCs w:val="24"/>
        </w:rPr>
        <w:t xml:space="preserve">RDD and DDD are smaller in magnitude, and in two decades not even </w:t>
      </w:r>
      <w:r w:rsidR="00540049">
        <w:rPr>
          <w:rFonts w:asciiTheme="majorBidi" w:hAnsiTheme="majorBidi" w:cstheme="majorBidi"/>
          <w:sz w:val="24"/>
          <w:szCs w:val="24"/>
        </w:rPr>
        <w:t>statistically</w:t>
      </w:r>
      <w:r w:rsidR="0009721F">
        <w:rPr>
          <w:rFonts w:asciiTheme="majorBidi" w:hAnsiTheme="majorBidi" w:cstheme="majorBidi"/>
          <w:sz w:val="24"/>
          <w:szCs w:val="24"/>
        </w:rPr>
        <w:t xml:space="preserve"> significant, each of the four decades.   </w:t>
      </w:r>
    </w:p>
    <w:p w14:paraId="5073AB36" w14:textId="4004025F" w:rsidR="008C2874" w:rsidRDefault="00A238E4" w:rsidP="00A13C7B">
      <w:pPr>
        <w:spacing w:after="120"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Finally, </w:t>
      </w:r>
      <w:r w:rsidR="00DD1931">
        <w:rPr>
          <w:rFonts w:asciiTheme="majorBidi" w:hAnsiTheme="majorBidi" w:cstheme="majorBidi"/>
          <w:sz w:val="24"/>
          <w:szCs w:val="24"/>
        </w:rPr>
        <w:t xml:space="preserve">Panel C indicates that, as before, the </w:t>
      </w:r>
      <w:r w:rsidR="0009721F">
        <w:rPr>
          <w:rFonts w:asciiTheme="majorBidi" w:hAnsiTheme="majorBidi" w:cstheme="majorBidi"/>
          <w:sz w:val="24"/>
          <w:szCs w:val="24"/>
        </w:rPr>
        <w:t xml:space="preserve">identified association is </w:t>
      </w:r>
      <w:r w:rsidR="00DD1931">
        <w:rPr>
          <w:rFonts w:asciiTheme="majorBidi" w:hAnsiTheme="majorBidi" w:cstheme="majorBidi"/>
          <w:sz w:val="24"/>
          <w:szCs w:val="24"/>
        </w:rPr>
        <w:t xml:space="preserve">more pronounced when focusing on the subset of </w:t>
      </w:r>
      <w:r w:rsidR="00FD21C0">
        <w:rPr>
          <w:rFonts w:asciiTheme="majorBidi" w:hAnsiTheme="majorBidi" w:cstheme="majorBidi"/>
          <w:sz w:val="24"/>
          <w:szCs w:val="24"/>
        </w:rPr>
        <w:t xml:space="preserve">published cases. For each of the decades, the coefficient of RDD and DDD is larger than the corresponding coefficients in </w:t>
      </w:r>
      <w:r w:rsidR="008C2874">
        <w:rPr>
          <w:rFonts w:asciiTheme="majorBidi" w:hAnsiTheme="majorBidi" w:cstheme="majorBidi"/>
          <w:sz w:val="24"/>
          <w:szCs w:val="24"/>
        </w:rPr>
        <w:t xml:space="preserve">Panel A. Furthermore, the coefficients of RDD and DDD are all </w:t>
      </w:r>
      <w:r w:rsidR="00540049">
        <w:rPr>
          <w:rFonts w:asciiTheme="majorBidi" w:hAnsiTheme="majorBidi" w:cstheme="majorBidi"/>
          <w:sz w:val="24"/>
          <w:szCs w:val="24"/>
        </w:rPr>
        <w:t>statistically</w:t>
      </w:r>
      <w:r w:rsidR="008C2874">
        <w:rPr>
          <w:rFonts w:asciiTheme="majorBidi" w:hAnsiTheme="majorBidi" w:cstheme="majorBidi"/>
          <w:sz w:val="24"/>
          <w:szCs w:val="24"/>
        </w:rPr>
        <w:t xml:space="preserve"> significant at the 1% level in each of the four decades. </w:t>
      </w:r>
    </w:p>
    <w:p w14:paraId="7F5867ED" w14:textId="77777777" w:rsidR="000F7B0E" w:rsidRDefault="000F7B0E" w:rsidP="00A13C7B">
      <w:pPr>
        <w:spacing w:after="120" w:line="360" w:lineRule="auto"/>
        <w:ind w:firstLine="720"/>
        <w:jc w:val="center"/>
        <w:rPr>
          <w:rFonts w:asciiTheme="majorBidi" w:hAnsiTheme="majorBidi" w:cstheme="majorBidi"/>
          <w:sz w:val="24"/>
          <w:szCs w:val="24"/>
        </w:rPr>
      </w:pPr>
    </w:p>
    <w:p w14:paraId="7C1805C5" w14:textId="2CC792D3" w:rsidR="004F6D71" w:rsidRPr="00A13C7B" w:rsidRDefault="004F6D71" w:rsidP="00A13C7B">
      <w:pPr>
        <w:spacing w:after="120" w:line="360" w:lineRule="auto"/>
        <w:ind w:firstLine="720"/>
        <w:jc w:val="center"/>
        <w:rPr>
          <w:rFonts w:asciiTheme="majorBidi" w:hAnsiTheme="majorBidi" w:cstheme="majorBidi"/>
          <w:sz w:val="24"/>
          <w:szCs w:val="24"/>
        </w:rPr>
      </w:pPr>
      <w:r w:rsidRPr="00A13C7B">
        <w:rPr>
          <w:rFonts w:asciiTheme="majorBidi" w:hAnsiTheme="majorBidi" w:cstheme="majorBidi"/>
          <w:sz w:val="24"/>
          <w:szCs w:val="24"/>
        </w:rPr>
        <w:lastRenderedPageBreak/>
        <w:t xml:space="preserve">Table </w:t>
      </w:r>
      <w:r w:rsidR="0076188D" w:rsidRPr="00A13C7B">
        <w:rPr>
          <w:rFonts w:asciiTheme="majorBidi" w:hAnsiTheme="majorBidi" w:cstheme="majorBidi"/>
          <w:sz w:val="24"/>
          <w:szCs w:val="24"/>
        </w:rPr>
        <w:t>7</w:t>
      </w:r>
      <w:r w:rsidRPr="00A13C7B">
        <w:rPr>
          <w:rFonts w:asciiTheme="majorBidi" w:hAnsiTheme="majorBidi" w:cstheme="majorBidi"/>
          <w:sz w:val="24"/>
          <w:szCs w:val="24"/>
        </w:rPr>
        <w:t>: Different Decades</w:t>
      </w:r>
    </w:p>
    <w:tbl>
      <w:tblPr>
        <w:tblW w:w="0" w:type="auto"/>
        <w:tblInd w:w="901" w:type="dxa"/>
        <w:tblLayout w:type="fixed"/>
        <w:tblCellMar>
          <w:left w:w="0" w:type="dxa"/>
          <w:right w:w="0" w:type="dxa"/>
        </w:tblCellMar>
        <w:tblLook w:val="0000" w:firstRow="0" w:lastRow="0" w:firstColumn="0" w:lastColumn="0" w:noHBand="0" w:noVBand="0"/>
      </w:tblPr>
      <w:tblGrid>
        <w:gridCol w:w="2735"/>
        <w:gridCol w:w="983"/>
        <w:gridCol w:w="983"/>
        <w:gridCol w:w="983"/>
        <w:gridCol w:w="984"/>
      </w:tblGrid>
      <w:tr w:rsidR="004F6D71" w14:paraId="118B42D5" w14:textId="77777777" w:rsidTr="004F6D71">
        <w:trPr>
          <w:trHeight w:val="369"/>
        </w:trPr>
        <w:tc>
          <w:tcPr>
            <w:tcW w:w="2735" w:type="dxa"/>
            <w:tcBorders>
              <w:top w:val="double" w:sz="2" w:space="0" w:color="000000"/>
              <w:left w:val="none" w:sz="6" w:space="0" w:color="auto"/>
              <w:bottom w:val="none" w:sz="6" w:space="0" w:color="auto"/>
              <w:right w:val="none" w:sz="6" w:space="0" w:color="auto"/>
            </w:tcBorders>
          </w:tcPr>
          <w:p w14:paraId="2D694697" w14:textId="77777777" w:rsidR="004F6D71" w:rsidRPr="004F6D71" w:rsidRDefault="004F6D71">
            <w:pPr>
              <w:pStyle w:val="TableParagraph"/>
              <w:kinsoku w:val="0"/>
              <w:overflowPunct w:val="0"/>
              <w:jc w:val="left"/>
              <w:rPr>
                <w:rFonts w:ascii="Times New Roman" w:hAnsi="Times New Roman" w:cs="Times New Roman"/>
                <w:sz w:val="18"/>
                <w:szCs w:val="18"/>
              </w:rPr>
            </w:pPr>
            <w:bookmarkStart w:id="1" w:name="_Hlk126085655"/>
          </w:p>
        </w:tc>
        <w:tc>
          <w:tcPr>
            <w:tcW w:w="983" w:type="dxa"/>
            <w:tcBorders>
              <w:top w:val="double" w:sz="2" w:space="0" w:color="000000"/>
              <w:left w:val="none" w:sz="6" w:space="0" w:color="auto"/>
              <w:bottom w:val="none" w:sz="6" w:space="0" w:color="auto"/>
              <w:right w:val="none" w:sz="6" w:space="0" w:color="auto"/>
            </w:tcBorders>
          </w:tcPr>
          <w:p w14:paraId="3AC5DAD5" w14:textId="77777777" w:rsidR="004F6D71" w:rsidRPr="004F6D71" w:rsidRDefault="004F6D71">
            <w:pPr>
              <w:pStyle w:val="TableParagraph"/>
              <w:kinsoku w:val="0"/>
              <w:overflowPunct w:val="0"/>
              <w:spacing w:before="33"/>
              <w:ind w:right="105"/>
              <w:rPr>
                <w:spacing w:val="-4"/>
                <w:sz w:val="18"/>
                <w:szCs w:val="18"/>
              </w:rPr>
            </w:pPr>
            <w:r w:rsidRPr="004F6D71">
              <w:rPr>
                <w:spacing w:val="-4"/>
                <w:sz w:val="18"/>
                <w:szCs w:val="18"/>
              </w:rPr>
              <w:t>(1)</w:t>
            </w:r>
          </w:p>
        </w:tc>
        <w:tc>
          <w:tcPr>
            <w:tcW w:w="983" w:type="dxa"/>
            <w:tcBorders>
              <w:top w:val="double" w:sz="2" w:space="0" w:color="000000"/>
              <w:left w:val="none" w:sz="6" w:space="0" w:color="auto"/>
              <w:bottom w:val="none" w:sz="6" w:space="0" w:color="auto"/>
              <w:right w:val="none" w:sz="6" w:space="0" w:color="auto"/>
            </w:tcBorders>
          </w:tcPr>
          <w:p w14:paraId="5368FE43" w14:textId="77777777" w:rsidR="004F6D71" w:rsidRPr="004F6D71" w:rsidRDefault="004F6D71">
            <w:pPr>
              <w:pStyle w:val="TableParagraph"/>
              <w:kinsoku w:val="0"/>
              <w:overflowPunct w:val="0"/>
              <w:spacing w:before="33"/>
              <w:ind w:right="105"/>
              <w:rPr>
                <w:spacing w:val="-4"/>
                <w:sz w:val="18"/>
                <w:szCs w:val="18"/>
              </w:rPr>
            </w:pPr>
            <w:r w:rsidRPr="004F6D71">
              <w:rPr>
                <w:spacing w:val="-4"/>
                <w:sz w:val="18"/>
                <w:szCs w:val="18"/>
              </w:rPr>
              <w:t>(2)</w:t>
            </w:r>
          </w:p>
        </w:tc>
        <w:tc>
          <w:tcPr>
            <w:tcW w:w="983" w:type="dxa"/>
            <w:tcBorders>
              <w:top w:val="double" w:sz="2" w:space="0" w:color="000000"/>
              <w:left w:val="none" w:sz="6" w:space="0" w:color="auto"/>
              <w:bottom w:val="none" w:sz="6" w:space="0" w:color="auto"/>
              <w:right w:val="none" w:sz="6" w:space="0" w:color="auto"/>
            </w:tcBorders>
          </w:tcPr>
          <w:p w14:paraId="7DEF24DB" w14:textId="77777777" w:rsidR="004F6D71" w:rsidRPr="004F6D71" w:rsidRDefault="004F6D71">
            <w:pPr>
              <w:pStyle w:val="TableParagraph"/>
              <w:kinsoku w:val="0"/>
              <w:overflowPunct w:val="0"/>
              <w:spacing w:before="33"/>
              <w:ind w:right="106"/>
              <w:rPr>
                <w:spacing w:val="-4"/>
                <w:sz w:val="18"/>
                <w:szCs w:val="18"/>
              </w:rPr>
            </w:pPr>
            <w:r w:rsidRPr="004F6D71">
              <w:rPr>
                <w:spacing w:val="-4"/>
                <w:sz w:val="18"/>
                <w:szCs w:val="18"/>
              </w:rPr>
              <w:t>(3)</w:t>
            </w:r>
          </w:p>
        </w:tc>
        <w:tc>
          <w:tcPr>
            <w:tcW w:w="984" w:type="dxa"/>
            <w:tcBorders>
              <w:top w:val="double" w:sz="2" w:space="0" w:color="000000"/>
              <w:left w:val="none" w:sz="6" w:space="0" w:color="auto"/>
              <w:bottom w:val="none" w:sz="6" w:space="0" w:color="auto"/>
              <w:right w:val="none" w:sz="6" w:space="0" w:color="auto"/>
            </w:tcBorders>
          </w:tcPr>
          <w:p w14:paraId="5A65E190" w14:textId="77777777" w:rsidR="004F6D71" w:rsidRPr="004F6D71" w:rsidRDefault="004F6D71">
            <w:pPr>
              <w:pStyle w:val="TableParagraph"/>
              <w:kinsoku w:val="0"/>
              <w:overflowPunct w:val="0"/>
              <w:spacing w:before="33"/>
              <w:ind w:left="107" w:right="107"/>
              <w:rPr>
                <w:spacing w:val="-4"/>
                <w:sz w:val="18"/>
                <w:szCs w:val="18"/>
              </w:rPr>
            </w:pPr>
            <w:r w:rsidRPr="004F6D71">
              <w:rPr>
                <w:spacing w:val="-4"/>
                <w:sz w:val="18"/>
                <w:szCs w:val="18"/>
              </w:rPr>
              <w:t>(4)</w:t>
            </w:r>
          </w:p>
        </w:tc>
      </w:tr>
      <w:tr w:rsidR="004F6D71" w14:paraId="625A1FDC" w14:textId="77777777" w:rsidTr="004F6D71">
        <w:trPr>
          <w:trHeight w:val="315"/>
        </w:trPr>
        <w:tc>
          <w:tcPr>
            <w:tcW w:w="2735" w:type="dxa"/>
            <w:tcBorders>
              <w:top w:val="none" w:sz="6" w:space="0" w:color="auto"/>
              <w:left w:val="none" w:sz="6" w:space="0" w:color="auto"/>
              <w:bottom w:val="single" w:sz="4" w:space="0" w:color="000000"/>
              <w:right w:val="none" w:sz="6" w:space="0" w:color="auto"/>
            </w:tcBorders>
          </w:tcPr>
          <w:p w14:paraId="268F9FFA" w14:textId="2EA46326" w:rsidR="004F6D71" w:rsidRPr="004F6D71" w:rsidRDefault="004F6D71">
            <w:pPr>
              <w:pStyle w:val="TableParagraph"/>
              <w:kinsoku w:val="0"/>
              <w:overflowPunct w:val="0"/>
              <w:spacing w:line="316" w:lineRule="exact"/>
              <w:ind w:left="119"/>
              <w:jc w:val="left"/>
              <w:rPr>
                <w:sz w:val="18"/>
                <w:szCs w:val="18"/>
              </w:rPr>
            </w:pPr>
            <w:r w:rsidRPr="004F6D71">
              <w:rPr>
                <w:sz w:val="18"/>
                <w:szCs w:val="18"/>
              </w:rPr>
              <w:t xml:space="preserve">Panel A </w:t>
            </w:r>
            <w:r w:rsidR="0076188D">
              <w:rPr>
                <w:sz w:val="18"/>
                <w:szCs w:val="18"/>
              </w:rPr>
              <w:t>–</w:t>
            </w:r>
            <w:r w:rsidRPr="004F6D71">
              <w:rPr>
                <w:sz w:val="18"/>
                <w:szCs w:val="18"/>
              </w:rPr>
              <w:t xml:space="preserve"> All</w:t>
            </w:r>
          </w:p>
        </w:tc>
        <w:tc>
          <w:tcPr>
            <w:tcW w:w="983" w:type="dxa"/>
            <w:tcBorders>
              <w:top w:val="none" w:sz="6" w:space="0" w:color="auto"/>
              <w:left w:val="none" w:sz="6" w:space="0" w:color="auto"/>
              <w:bottom w:val="single" w:sz="4" w:space="0" w:color="000000"/>
              <w:right w:val="none" w:sz="6" w:space="0" w:color="auto"/>
            </w:tcBorders>
          </w:tcPr>
          <w:p w14:paraId="6EF8EEF1" w14:textId="77777777" w:rsidR="004F6D71" w:rsidRPr="004F6D71" w:rsidRDefault="004F6D71">
            <w:pPr>
              <w:pStyle w:val="TableParagraph"/>
              <w:kinsoku w:val="0"/>
              <w:overflowPunct w:val="0"/>
              <w:spacing w:line="316" w:lineRule="exact"/>
              <w:ind w:right="106"/>
              <w:rPr>
                <w:spacing w:val="-2"/>
                <w:sz w:val="18"/>
                <w:szCs w:val="18"/>
              </w:rPr>
            </w:pPr>
            <w:r w:rsidRPr="004F6D71">
              <w:rPr>
                <w:spacing w:val="-2"/>
                <w:sz w:val="18"/>
                <w:szCs w:val="18"/>
              </w:rPr>
              <w:t>1980-1990</w:t>
            </w:r>
          </w:p>
        </w:tc>
        <w:tc>
          <w:tcPr>
            <w:tcW w:w="983" w:type="dxa"/>
            <w:tcBorders>
              <w:top w:val="none" w:sz="6" w:space="0" w:color="auto"/>
              <w:left w:val="none" w:sz="6" w:space="0" w:color="auto"/>
              <w:bottom w:val="single" w:sz="4" w:space="0" w:color="000000"/>
              <w:right w:val="none" w:sz="6" w:space="0" w:color="auto"/>
            </w:tcBorders>
          </w:tcPr>
          <w:p w14:paraId="5EF38B6F" w14:textId="77777777" w:rsidR="004F6D71" w:rsidRPr="004F6D71" w:rsidRDefault="004F6D71">
            <w:pPr>
              <w:pStyle w:val="TableParagraph"/>
              <w:kinsoku w:val="0"/>
              <w:overflowPunct w:val="0"/>
              <w:spacing w:line="316" w:lineRule="exact"/>
              <w:ind w:right="106"/>
              <w:rPr>
                <w:spacing w:val="-2"/>
                <w:sz w:val="18"/>
                <w:szCs w:val="18"/>
              </w:rPr>
            </w:pPr>
            <w:r w:rsidRPr="004F6D71">
              <w:rPr>
                <w:spacing w:val="-2"/>
                <w:sz w:val="18"/>
                <w:szCs w:val="18"/>
              </w:rPr>
              <w:t>1991-2000</w:t>
            </w:r>
          </w:p>
        </w:tc>
        <w:tc>
          <w:tcPr>
            <w:tcW w:w="983" w:type="dxa"/>
            <w:tcBorders>
              <w:top w:val="none" w:sz="6" w:space="0" w:color="auto"/>
              <w:left w:val="none" w:sz="6" w:space="0" w:color="auto"/>
              <w:bottom w:val="single" w:sz="4" w:space="0" w:color="000000"/>
              <w:right w:val="none" w:sz="6" w:space="0" w:color="auto"/>
            </w:tcBorders>
          </w:tcPr>
          <w:p w14:paraId="40391324" w14:textId="77777777" w:rsidR="004F6D71" w:rsidRPr="004F6D71" w:rsidRDefault="004F6D71">
            <w:pPr>
              <w:pStyle w:val="TableParagraph"/>
              <w:kinsoku w:val="0"/>
              <w:overflowPunct w:val="0"/>
              <w:spacing w:line="316" w:lineRule="exact"/>
              <w:ind w:right="107"/>
              <w:rPr>
                <w:spacing w:val="-2"/>
                <w:sz w:val="18"/>
                <w:szCs w:val="18"/>
              </w:rPr>
            </w:pPr>
            <w:r w:rsidRPr="004F6D71">
              <w:rPr>
                <w:spacing w:val="-2"/>
                <w:sz w:val="18"/>
                <w:szCs w:val="18"/>
              </w:rPr>
              <w:t>2001-2010</w:t>
            </w:r>
          </w:p>
        </w:tc>
        <w:tc>
          <w:tcPr>
            <w:tcW w:w="984" w:type="dxa"/>
            <w:tcBorders>
              <w:top w:val="none" w:sz="6" w:space="0" w:color="auto"/>
              <w:left w:val="none" w:sz="6" w:space="0" w:color="auto"/>
              <w:bottom w:val="single" w:sz="4" w:space="0" w:color="000000"/>
              <w:right w:val="none" w:sz="6" w:space="0" w:color="auto"/>
            </w:tcBorders>
          </w:tcPr>
          <w:p w14:paraId="68A0228B" w14:textId="77777777" w:rsidR="004F6D71" w:rsidRPr="004F6D71" w:rsidRDefault="004F6D71">
            <w:pPr>
              <w:pStyle w:val="TableParagraph"/>
              <w:kinsoku w:val="0"/>
              <w:overflowPunct w:val="0"/>
              <w:spacing w:line="316" w:lineRule="exact"/>
              <w:ind w:left="107" w:right="108"/>
              <w:rPr>
                <w:spacing w:val="-2"/>
                <w:sz w:val="18"/>
                <w:szCs w:val="18"/>
              </w:rPr>
            </w:pPr>
            <w:r w:rsidRPr="004F6D71">
              <w:rPr>
                <w:spacing w:val="-2"/>
                <w:sz w:val="18"/>
                <w:szCs w:val="18"/>
              </w:rPr>
              <w:t>2011-2020</w:t>
            </w:r>
          </w:p>
        </w:tc>
      </w:tr>
      <w:tr w:rsidR="004F6D71" w14:paraId="41856925" w14:textId="77777777" w:rsidTr="004F6D71">
        <w:trPr>
          <w:trHeight w:val="356"/>
        </w:trPr>
        <w:tc>
          <w:tcPr>
            <w:tcW w:w="2735" w:type="dxa"/>
            <w:tcBorders>
              <w:top w:val="single" w:sz="4" w:space="0" w:color="000000"/>
              <w:left w:val="none" w:sz="6" w:space="0" w:color="auto"/>
              <w:bottom w:val="none" w:sz="6" w:space="0" w:color="auto"/>
              <w:right w:val="none" w:sz="6" w:space="0" w:color="auto"/>
            </w:tcBorders>
          </w:tcPr>
          <w:p w14:paraId="3685344E" w14:textId="77777777" w:rsidR="004F6D71" w:rsidRPr="004F6D71" w:rsidRDefault="004F6D71">
            <w:pPr>
              <w:pStyle w:val="TableParagraph"/>
              <w:kinsoku w:val="0"/>
              <w:overflowPunct w:val="0"/>
              <w:spacing w:before="19"/>
              <w:ind w:left="119"/>
              <w:jc w:val="left"/>
              <w:rPr>
                <w:spacing w:val="-4"/>
                <w:sz w:val="18"/>
                <w:szCs w:val="18"/>
              </w:rPr>
            </w:pPr>
            <w:r w:rsidRPr="004F6D71">
              <w:rPr>
                <w:spacing w:val="-4"/>
                <w:sz w:val="18"/>
                <w:szCs w:val="18"/>
              </w:rPr>
              <w:t>RRD</w:t>
            </w:r>
          </w:p>
        </w:tc>
        <w:tc>
          <w:tcPr>
            <w:tcW w:w="983" w:type="dxa"/>
            <w:tcBorders>
              <w:top w:val="single" w:sz="4" w:space="0" w:color="000000"/>
              <w:left w:val="none" w:sz="6" w:space="0" w:color="auto"/>
              <w:bottom w:val="none" w:sz="6" w:space="0" w:color="auto"/>
              <w:right w:val="none" w:sz="6" w:space="0" w:color="auto"/>
            </w:tcBorders>
          </w:tcPr>
          <w:p w14:paraId="2F347811" w14:textId="77777777" w:rsidR="004F6D71" w:rsidRPr="004F6D71" w:rsidRDefault="004F6D71">
            <w:pPr>
              <w:pStyle w:val="TableParagraph"/>
              <w:kinsoku w:val="0"/>
              <w:overflowPunct w:val="0"/>
              <w:spacing w:before="19"/>
              <w:ind w:right="105"/>
              <w:rPr>
                <w:spacing w:val="-2"/>
                <w:sz w:val="18"/>
                <w:szCs w:val="18"/>
              </w:rPr>
            </w:pPr>
            <w:r w:rsidRPr="004F6D71">
              <w:rPr>
                <w:spacing w:val="-2"/>
                <w:sz w:val="18"/>
                <w:szCs w:val="18"/>
              </w:rPr>
              <w:t>0.000</w:t>
            </w:r>
          </w:p>
        </w:tc>
        <w:tc>
          <w:tcPr>
            <w:tcW w:w="983" w:type="dxa"/>
            <w:tcBorders>
              <w:top w:val="single" w:sz="4" w:space="0" w:color="000000"/>
              <w:left w:val="none" w:sz="6" w:space="0" w:color="auto"/>
              <w:bottom w:val="none" w:sz="6" w:space="0" w:color="auto"/>
              <w:right w:val="none" w:sz="6" w:space="0" w:color="auto"/>
            </w:tcBorders>
          </w:tcPr>
          <w:p w14:paraId="0AEEF4F4" w14:textId="77777777" w:rsidR="004F6D71" w:rsidRPr="004F6D71" w:rsidRDefault="004F6D71">
            <w:pPr>
              <w:pStyle w:val="TableParagraph"/>
              <w:kinsoku w:val="0"/>
              <w:overflowPunct w:val="0"/>
              <w:spacing w:before="19"/>
              <w:ind w:right="106"/>
              <w:rPr>
                <w:spacing w:val="-2"/>
                <w:sz w:val="18"/>
                <w:szCs w:val="18"/>
              </w:rPr>
            </w:pPr>
            <w:r w:rsidRPr="004F6D71">
              <w:rPr>
                <w:spacing w:val="-2"/>
                <w:sz w:val="18"/>
                <w:szCs w:val="18"/>
              </w:rPr>
              <w:t>0.009</w:t>
            </w:r>
          </w:p>
        </w:tc>
        <w:tc>
          <w:tcPr>
            <w:tcW w:w="983" w:type="dxa"/>
            <w:tcBorders>
              <w:top w:val="single" w:sz="4" w:space="0" w:color="000000"/>
              <w:left w:val="none" w:sz="6" w:space="0" w:color="auto"/>
              <w:bottom w:val="none" w:sz="6" w:space="0" w:color="auto"/>
              <w:right w:val="none" w:sz="6" w:space="0" w:color="auto"/>
            </w:tcBorders>
          </w:tcPr>
          <w:p w14:paraId="0C37E0C7" w14:textId="77777777" w:rsidR="004F6D71" w:rsidRPr="004F6D71" w:rsidRDefault="004F6D71">
            <w:pPr>
              <w:pStyle w:val="TableParagraph"/>
              <w:kinsoku w:val="0"/>
              <w:overflowPunct w:val="0"/>
              <w:spacing w:before="19"/>
              <w:ind w:right="107"/>
              <w:rPr>
                <w:spacing w:val="-2"/>
                <w:sz w:val="18"/>
                <w:szCs w:val="18"/>
              </w:rPr>
            </w:pPr>
            <w:r w:rsidRPr="004F6D71">
              <w:rPr>
                <w:spacing w:val="-2"/>
                <w:sz w:val="18"/>
                <w:szCs w:val="18"/>
              </w:rPr>
              <w:t>0.004</w:t>
            </w:r>
          </w:p>
        </w:tc>
        <w:tc>
          <w:tcPr>
            <w:tcW w:w="984" w:type="dxa"/>
            <w:tcBorders>
              <w:top w:val="single" w:sz="4" w:space="0" w:color="000000"/>
              <w:left w:val="none" w:sz="6" w:space="0" w:color="auto"/>
              <w:bottom w:val="none" w:sz="6" w:space="0" w:color="auto"/>
              <w:right w:val="none" w:sz="6" w:space="0" w:color="auto"/>
            </w:tcBorders>
          </w:tcPr>
          <w:p w14:paraId="56B6E53E" w14:textId="77777777" w:rsidR="004F6D71" w:rsidRPr="004F6D71" w:rsidRDefault="004F6D71">
            <w:pPr>
              <w:pStyle w:val="TableParagraph"/>
              <w:kinsoku w:val="0"/>
              <w:overflowPunct w:val="0"/>
              <w:spacing w:before="19"/>
              <w:ind w:left="107" w:right="108"/>
              <w:rPr>
                <w:spacing w:val="-2"/>
                <w:sz w:val="18"/>
                <w:szCs w:val="18"/>
              </w:rPr>
            </w:pPr>
            <w:r w:rsidRPr="004F6D71">
              <w:rPr>
                <w:spacing w:val="-2"/>
                <w:sz w:val="18"/>
                <w:szCs w:val="18"/>
              </w:rPr>
              <w:t>0.004</w:t>
            </w:r>
          </w:p>
        </w:tc>
      </w:tr>
      <w:tr w:rsidR="004F6D71" w14:paraId="34E81C8D" w14:textId="77777777" w:rsidTr="004F6D71">
        <w:trPr>
          <w:trHeight w:val="674"/>
        </w:trPr>
        <w:tc>
          <w:tcPr>
            <w:tcW w:w="2735" w:type="dxa"/>
            <w:tcBorders>
              <w:top w:val="none" w:sz="6" w:space="0" w:color="auto"/>
              <w:left w:val="none" w:sz="6" w:space="0" w:color="auto"/>
              <w:bottom w:val="none" w:sz="6" w:space="0" w:color="auto"/>
              <w:right w:val="none" w:sz="6" w:space="0" w:color="auto"/>
            </w:tcBorders>
          </w:tcPr>
          <w:p w14:paraId="361F8051" w14:textId="77777777" w:rsidR="004F6D71" w:rsidRPr="004F6D71" w:rsidRDefault="004F6D71">
            <w:pPr>
              <w:pStyle w:val="TableParagraph"/>
              <w:kinsoku w:val="0"/>
              <w:overflowPunct w:val="0"/>
              <w:spacing w:before="7"/>
              <w:jc w:val="left"/>
              <w:rPr>
                <w:sz w:val="18"/>
                <w:szCs w:val="18"/>
              </w:rPr>
            </w:pPr>
          </w:p>
          <w:p w14:paraId="718A6F07" w14:textId="77777777" w:rsidR="004F6D71" w:rsidRPr="004F6D71" w:rsidRDefault="004F6D71">
            <w:pPr>
              <w:pStyle w:val="TableParagraph"/>
              <w:kinsoku w:val="0"/>
              <w:overflowPunct w:val="0"/>
              <w:spacing w:before="1"/>
              <w:ind w:left="119"/>
              <w:jc w:val="left"/>
              <w:rPr>
                <w:spacing w:val="-4"/>
                <w:sz w:val="18"/>
                <w:szCs w:val="18"/>
              </w:rPr>
            </w:pPr>
            <w:r w:rsidRPr="004F6D71">
              <w:rPr>
                <w:spacing w:val="-4"/>
                <w:sz w:val="18"/>
                <w:szCs w:val="18"/>
              </w:rPr>
              <w:t>RDD</w:t>
            </w:r>
          </w:p>
        </w:tc>
        <w:tc>
          <w:tcPr>
            <w:tcW w:w="983" w:type="dxa"/>
            <w:tcBorders>
              <w:top w:val="none" w:sz="6" w:space="0" w:color="auto"/>
              <w:left w:val="none" w:sz="6" w:space="0" w:color="auto"/>
              <w:bottom w:val="none" w:sz="6" w:space="0" w:color="auto"/>
              <w:right w:val="none" w:sz="6" w:space="0" w:color="auto"/>
            </w:tcBorders>
          </w:tcPr>
          <w:p w14:paraId="66D243F2" w14:textId="77777777" w:rsidR="004F6D71" w:rsidRPr="004F6D71" w:rsidRDefault="004F6D71">
            <w:pPr>
              <w:pStyle w:val="TableParagraph"/>
              <w:kinsoku w:val="0"/>
              <w:overflowPunct w:val="0"/>
              <w:spacing w:line="331" w:lineRule="exact"/>
              <w:ind w:left="247"/>
              <w:jc w:val="left"/>
              <w:rPr>
                <w:spacing w:val="-2"/>
                <w:sz w:val="18"/>
                <w:szCs w:val="18"/>
              </w:rPr>
            </w:pPr>
            <w:r w:rsidRPr="004F6D71">
              <w:rPr>
                <w:spacing w:val="-2"/>
                <w:sz w:val="18"/>
                <w:szCs w:val="18"/>
              </w:rPr>
              <w:t>(0.007)</w:t>
            </w:r>
          </w:p>
          <w:p w14:paraId="2B85840A" w14:textId="77777777" w:rsidR="004F6D71" w:rsidRPr="004F6D71" w:rsidRDefault="004F6D71">
            <w:pPr>
              <w:pStyle w:val="TableParagraph"/>
              <w:kinsoku w:val="0"/>
              <w:overflowPunct w:val="0"/>
              <w:spacing w:before="26"/>
              <w:ind w:left="197"/>
              <w:jc w:val="left"/>
              <w:rPr>
                <w:rFonts w:ascii="Lucida Sans Unicode" w:hAnsi="Lucida Sans Unicode" w:cs="Lucida Sans Unicode"/>
                <w:spacing w:val="-2"/>
                <w:sz w:val="18"/>
                <w:szCs w:val="18"/>
                <w:vertAlign w:val="superscript"/>
              </w:rPr>
            </w:pPr>
            <w:r w:rsidRPr="004F6D71">
              <w:rPr>
                <w:spacing w:val="-2"/>
                <w:sz w:val="18"/>
                <w:szCs w:val="18"/>
              </w:rPr>
              <w:t>0.022</w:t>
            </w:r>
            <w:r w:rsidRPr="004F6D71">
              <w:rPr>
                <w:rFonts w:ascii="Lucida Sans Unicode" w:hAnsi="Lucida Sans Unicode" w:cs="Lucida Sans Unicode"/>
                <w:spacing w:val="-2"/>
                <w:sz w:val="18"/>
                <w:szCs w:val="18"/>
                <w:vertAlign w:val="superscript"/>
              </w:rPr>
              <w:t>∗∗∗</w:t>
            </w:r>
          </w:p>
        </w:tc>
        <w:tc>
          <w:tcPr>
            <w:tcW w:w="983" w:type="dxa"/>
            <w:tcBorders>
              <w:top w:val="none" w:sz="6" w:space="0" w:color="auto"/>
              <w:left w:val="none" w:sz="6" w:space="0" w:color="auto"/>
              <w:bottom w:val="none" w:sz="6" w:space="0" w:color="auto"/>
              <w:right w:val="none" w:sz="6" w:space="0" w:color="auto"/>
            </w:tcBorders>
          </w:tcPr>
          <w:p w14:paraId="3C274767" w14:textId="77777777" w:rsidR="004F6D71" w:rsidRPr="004F6D71" w:rsidRDefault="004F6D71">
            <w:pPr>
              <w:pStyle w:val="TableParagraph"/>
              <w:kinsoku w:val="0"/>
              <w:overflowPunct w:val="0"/>
              <w:spacing w:line="331" w:lineRule="exact"/>
              <w:ind w:left="248"/>
              <w:jc w:val="left"/>
              <w:rPr>
                <w:spacing w:val="-2"/>
                <w:sz w:val="18"/>
                <w:szCs w:val="18"/>
              </w:rPr>
            </w:pPr>
            <w:r w:rsidRPr="004F6D71">
              <w:rPr>
                <w:spacing w:val="-2"/>
                <w:sz w:val="18"/>
                <w:szCs w:val="18"/>
              </w:rPr>
              <w:t>(0.006)</w:t>
            </w:r>
          </w:p>
          <w:p w14:paraId="49EB171B" w14:textId="77777777" w:rsidR="004F6D71" w:rsidRPr="004F6D71" w:rsidRDefault="004F6D71">
            <w:pPr>
              <w:pStyle w:val="TableParagraph"/>
              <w:kinsoku w:val="0"/>
              <w:overflowPunct w:val="0"/>
              <w:spacing w:before="26"/>
              <w:ind w:left="197"/>
              <w:jc w:val="left"/>
              <w:rPr>
                <w:rFonts w:ascii="Lucida Sans Unicode" w:hAnsi="Lucida Sans Unicode" w:cs="Lucida Sans Unicode"/>
                <w:spacing w:val="-2"/>
                <w:sz w:val="18"/>
                <w:szCs w:val="18"/>
                <w:vertAlign w:val="superscript"/>
              </w:rPr>
            </w:pPr>
            <w:r w:rsidRPr="004F6D71">
              <w:rPr>
                <w:spacing w:val="-2"/>
                <w:sz w:val="18"/>
                <w:szCs w:val="18"/>
              </w:rPr>
              <w:t>0.036</w:t>
            </w:r>
            <w:r w:rsidRPr="004F6D71">
              <w:rPr>
                <w:rFonts w:ascii="Lucida Sans Unicode" w:hAnsi="Lucida Sans Unicode" w:cs="Lucida Sans Unicode"/>
                <w:spacing w:val="-2"/>
                <w:sz w:val="18"/>
                <w:szCs w:val="18"/>
                <w:vertAlign w:val="superscript"/>
              </w:rPr>
              <w:t>∗∗∗</w:t>
            </w:r>
          </w:p>
        </w:tc>
        <w:tc>
          <w:tcPr>
            <w:tcW w:w="983" w:type="dxa"/>
            <w:tcBorders>
              <w:top w:val="none" w:sz="6" w:space="0" w:color="auto"/>
              <w:left w:val="none" w:sz="6" w:space="0" w:color="auto"/>
              <w:bottom w:val="none" w:sz="6" w:space="0" w:color="auto"/>
              <w:right w:val="none" w:sz="6" w:space="0" w:color="auto"/>
            </w:tcBorders>
          </w:tcPr>
          <w:p w14:paraId="5AE234BC" w14:textId="77777777" w:rsidR="004F6D71" w:rsidRPr="004F6D71" w:rsidRDefault="004F6D71">
            <w:pPr>
              <w:pStyle w:val="TableParagraph"/>
              <w:kinsoku w:val="0"/>
              <w:overflowPunct w:val="0"/>
              <w:spacing w:line="331" w:lineRule="exact"/>
              <w:ind w:left="248"/>
              <w:jc w:val="left"/>
              <w:rPr>
                <w:spacing w:val="-2"/>
                <w:sz w:val="18"/>
                <w:szCs w:val="18"/>
              </w:rPr>
            </w:pPr>
            <w:r w:rsidRPr="004F6D71">
              <w:rPr>
                <w:spacing w:val="-2"/>
                <w:sz w:val="18"/>
                <w:szCs w:val="18"/>
              </w:rPr>
              <w:t>(0.008)</w:t>
            </w:r>
          </w:p>
          <w:p w14:paraId="330DE68A" w14:textId="77777777" w:rsidR="004F6D71" w:rsidRPr="004F6D71" w:rsidRDefault="004F6D71">
            <w:pPr>
              <w:pStyle w:val="TableParagraph"/>
              <w:kinsoku w:val="0"/>
              <w:overflowPunct w:val="0"/>
              <w:spacing w:before="26"/>
              <w:ind w:left="289"/>
              <w:jc w:val="left"/>
              <w:rPr>
                <w:rFonts w:ascii="Sitka Small" w:hAnsi="Sitka Small" w:cs="Sitka Small"/>
                <w:i/>
                <w:iCs/>
                <w:spacing w:val="-2"/>
                <w:sz w:val="18"/>
                <w:szCs w:val="18"/>
                <w:vertAlign w:val="superscript"/>
              </w:rPr>
            </w:pPr>
            <w:r w:rsidRPr="004F6D71">
              <w:rPr>
                <w:spacing w:val="-2"/>
                <w:sz w:val="18"/>
                <w:szCs w:val="18"/>
              </w:rPr>
              <w:t>0.014</w:t>
            </w:r>
            <w:r w:rsidRPr="004F6D71">
              <w:rPr>
                <w:rFonts w:ascii="Sitka Small" w:hAnsi="Sitka Small" w:cs="Sitka Small"/>
                <w:i/>
                <w:iCs/>
                <w:spacing w:val="-2"/>
                <w:sz w:val="18"/>
                <w:szCs w:val="18"/>
                <w:vertAlign w:val="superscript"/>
              </w:rPr>
              <w:t>t</w:t>
            </w:r>
          </w:p>
        </w:tc>
        <w:tc>
          <w:tcPr>
            <w:tcW w:w="984" w:type="dxa"/>
            <w:tcBorders>
              <w:top w:val="none" w:sz="6" w:space="0" w:color="auto"/>
              <w:left w:val="none" w:sz="6" w:space="0" w:color="auto"/>
              <w:bottom w:val="none" w:sz="6" w:space="0" w:color="auto"/>
              <w:right w:val="none" w:sz="6" w:space="0" w:color="auto"/>
            </w:tcBorders>
          </w:tcPr>
          <w:p w14:paraId="37521898" w14:textId="77777777" w:rsidR="004F6D71" w:rsidRPr="004F6D71" w:rsidRDefault="004F6D71">
            <w:pPr>
              <w:pStyle w:val="TableParagraph"/>
              <w:kinsoku w:val="0"/>
              <w:overflowPunct w:val="0"/>
              <w:spacing w:line="331" w:lineRule="exact"/>
              <w:ind w:left="248"/>
              <w:jc w:val="left"/>
              <w:rPr>
                <w:spacing w:val="-2"/>
                <w:sz w:val="18"/>
                <w:szCs w:val="18"/>
              </w:rPr>
            </w:pPr>
            <w:r w:rsidRPr="004F6D71">
              <w:rPr>
                <w:spacing w:val="-2"/>
                <w:sz w:val="18"/>
                <w:szCs w:val="18"/>
              </w:rPr>
              <w:t>(0.004)</w:t>
            </w:r>
          </w:p>
          <w:p w14:paraId="63865E9A" w14:textId="77777777" w:rsidR="004F6D71" w:rsidRPr="004F6D71" w:rsidRDefault="004F6D71">
            <w:pPr>
              <w:pStyle w:val="TableParagraph"/>
              <w:kinsoku w:val="0"/>
              <w:overflowPunct w:val="0"/>
              <w:spacing w:before="26"/>
              <w:ind w:left="196"/>
              <w:jc w:val="left"/>
              <w:rPr>
                <w:rFonts w:ascii="Lucida Sans Unicode" w:hAnsi="Lucida Sans Unicode" w:cs="Lucida Sans Unicode"/>
                <w:spacing w:val="-2"/>
                <w:sz w:val="18"/>
                <w:szCs w:val="18"/>
                <w:vertAlign w:val="superscript"/>
              </w:rPr>
            </w:pPr>
            <w:r w:rsidRPr="004F6D71">
              <w:rPr>
                <w:spacing w:val="-2"/>
                <w:sz w:val="18"/>
                <w:szCs w:val="18"/>
              </w:rPr>
              <w:t>0.022</w:t>
            </w:r>
            <w:r w:rsidRPr="004F6D71">
              <w:rPr>
                <w:rFonts w:ascii="Lucida Sans Unicode" w:hAnsi="Lucida Sans Unicode" w:cs="Lucida Sans Unicode"/>
                <w:spacing w:val="-2"/>
                <w:sz w:val="18"/>
                <w:szCs w:val="18"/>
                <w:vertAlign w:val="superscript"/>
              </w:rPr>
              <w:t>∗∗∗</w:t>
            </w:r>
          </w:p>
        </w:tc>
      </w:tr>
      <w:tr w:rsidR="004F6D71" w14:paraId="6EACB76D" w14:textId="77777777" w:rsidTr="004F6D71">
        <w:trPr>
          <w:trHeight w:val="674"/>
        </w:trPr>
        <w:tc>
          <w:tcPr>
            <w:tcW w:w="2735" w:type="dxa"/>
            <w:tcBorders>
              <w:top w:val="none" w:sz="6" w:space="0" w:color="auto"/>
              <w:left w:val="none" w:sz="6" w:space="0" w:color="auto"/>
              <w:bottom w:val="none" w:sz="6" w:space="0" w:color="auto"/>
              <w:right w:val="none" w:sz="6" w:space="0" w:color="auto"/>
            </w:tcBorders>
          </w:tcPr>
          <w:p w14:paraId="479C288F" w14:textId="77777777" w:rsidR="004F6D71" w:rsidRPr="004F6D71" w:rsidRDefault="004F6D71">
            <w:pPr>
              <w:pStyle w:val="TableParagraph"/>
              <w:kinsoku w:val="0"/>
              <w:overflowPunct w:val="0"/>
              <w:spacing w:before="7"/>
              <w:jc w:val="left"/>
              <w:rPr>
                <w:sz w:val="18"/>
                <w:szCs w:val="18"/>
              </w:rPr>
            </w:pPr>
          </w:p>
          <w:p w14:paraId="4CCCDFE6" w14:textId="77777777" w:rsidR="004F6D71" w:rsidRPr="004F6D71" w:rsidRDefault="004F6D71">
            <w:pPr>
              <w:pStyle w:val="TableParagraph"/>
              <w:kinsoku w:val="0"/>
              <w:overflowPunct w:val="0"/>
              <w:spacing w:before="1"/>
              <w:ind w:left="119"/>
              <w:jc w:val="left"/>
              <w:rPr>
                <w:spacing w:val="-4"/>
                <w:sz w:val="18"/>
                <w:szCs w:val="18"/>
              </w:rPr>
            </w:pPr>
            <w:r w:rsidRPr="004F6D71">
              <w:rPr>
                <w:spacing w:val="-4"/>
                <w:sz w:val="18"/>
                <w:szCs w:val="18"/>
              </w:rPr>
              <w:t>DDD</w:t>
            </w:r>
          </w:p>
        </w:tc>
        <w:tc>
          <w:tcPr>
            <w:tcW w:w="983" w:type="dxa"/>
            <w:tcBorders>
              <w:top w:val="none" w:sz="6" w:space="0" w:color="auto"/>
              <w:left w:val="none" w:sz="6" w:space="0" w:color="auto"/>
              <w:bottom w:val="none" w:sz="6" w:space="0" w:color="auto"/>
              <w:right w:val="none" w:sz="6" w:space="0" w:color="auto"/>
            </w:tcBorders>
          </w:tcPr>
          <w:p w14:paraId="6AB64E3F" w14:textId="77777777" w:rsidR="004F6D71" w:rsidRPr="004F6D71" w:rsidRDefault="004F6D71">
            <w:pPr>
              <w:pStyle w:val="TableParagraph"/>
              <w:kinsoku w:val="0"/>
              <w:overflowPunct w:val="0"/>
              <w:spacing w:line="331" w:lineRule="exact"/>
              <w:ind w:left="247"/>
              <w:jc w:val="left"/>
              <w:rPr>
                <w:spacing w:val="-2"/>
                <w:sz w:val="18"/>
                <w:szCs w:val="18"/>
              </w:rPr>
            </w:pPr>
            <w:r w:rsidRPr="004F6D71">
              <w:rPr>
                <w:spacing w:val="-2"/>
                <w:sz w:val="18"/>
                <w:szCs w:val="18"/>
              </w:rPr>
              <w:t>(0.006)</w:t>
            </w:r>
          </w:p>
          <w:p w14:paraId="6EE4C2F7" w14:textId="77777777" w:rsidR="004F6D71" w:rsidRPr="004F6D71" w:rsidRDefault="004F6D71">
            <w:pPr>
              <w:pStyle w:val="TableParagraph"/>
              <w:kinsoku w:val="0"/>
              <w:overflowPunct w:val="0"/>
              <w:spacing w:before="26"/>
              <w:ind w:left="197"/>
              <w:jc w:val="left"/>
              <w:rPr>
                <w:rFonts w:ascii="Lucida Sans Unicode" w:hAnsi="Lucida Sans Unicode" w:cs="Lucida Sans Unicode"/>
                <w:spacing w:val="-2"/>
                <w:sz w:val="18"/>
                <w:szCs w:val="18"/>
                <w:vertAlign w:val="superscript"/>
              </w:rPr>
            </w:pPr>
            <w:r w:rsidRPr="004F6D71">
              <w:rPr>
                <w:spacing w:val="-2"/>
                <w:sz w:val="18"/>
                <w:szCs w:val="18"/>
              </w:rPr>
              <w:t>0.050</w:t>
            </w:r>
            <w:r w:rsidRPr="004F6D71">
              <w:rPr>
                <w:rFonts w:ascii="Lucida Sans Unicode" w:hAnsi="Lucida Sans Unicode" w:cs="Lucida Sans Unicode"/>
                <w:spacing w:val="-2"/>
                <w:sz w:val="18"/>
                <w:szCs w:val="18"/>
                <w:vertAlign w:val="superscript"/>
              </w:rPr>
              <w:t>∗∗∗</w:t>
            </w:r>
          </w:p>
        </w:tc>
        <w:tc>
          <w:tcPr>
            <w:tcW w:w="983" w:type="dxa"/>
            <w:tcBorders>
              <w:top w:val="none" w:sz="6" w:space="0" w:color="auto"/>
              <w:left w:val="none" w:sz="6" w:space="0" w:color="auto"/>
              <w:bottom w:val="none" w:sz="6" w:space="0" w:color="auto"/>
              <w:right w:val="none" w:sz="6" w:space="0" w:color="auto"/>
            </w:tcBorders>
          </w:tcPr>
          <w:p w14:paraId="59187624" w14:textId="77777777" w:rsidR="004F6D71" w:rsidRPr="004F6D71" w:rsidRDefault="004F6D71">
            <w:pPr>
              <w:pStyle w:val="TableParagraph"/>
              <w:kinsoku w:val="0"/>
              <w:overflowPunct w:val="0"/>
              <w:spacing w:line="331" w:lineRule="exact"/>
              <w:ind w:left="248"/>
              <w:jc w:val="left"/>
              <w:rPr>
                <w:spacing w:val="-2"/>
                <w:sz w:val="18"/>
                <w:szCs w:val="18"/>
              </w:rPr>
            </w:pPr>
            <w:r w:rsidRPr="004F6D71">
              <w:rPr>
                <w:spacing w:val="-2"/>
                <w:sz w:val="18"/>
                <w:szCs w:val="18"/>
              </w:rPr>
              <w:t>(0.007)</w:t>
            </w:r>
          </w:p>
          <w:p w14:paraId="1A791906" w14:textId="77777777" w:rsidR="004F6D71" w:rsidRPr="004F6D71" w:rsidRDefault="004F6D71">
            <w:pPr>
              <w:pStyle w:val="TableParagraph"/>
              <w:kinsoku w:val="0"/>
              <w:overflowPunct w:val="0"/>
              <w:spacing w:before="26"/>
              <w:ind w:left="197"/>
              <w:jc w:val="left"/>
              <w:rPr>
                <w:rFonts w:ascii="Lucida Sans Unicode" w:hAnsi="Lucida Sans Unicode" w:cs="Lucida Sans Unicode"/>
                <w:spacing w:val="-2"/>
                <w:sz w:val="18"/>
                <w:szCs w:val="18"/>
                <w:vertAlign w:val="superscript"/>
              </w:rPr>
            </w:pPr>
            <w:r w:rsidRPr="004F6D71">
              <w:rPr>
                <w:spacing w:val="-2"/>
                <w:sz w:val="18"/>
                <w:szCs w:val="18"/>
              </w:rPr>
              <w:t>0.079</w:t>
            </w:r>
            <w:r w:rsidRPr="004F6D71">
              <w:rPr>
                <w:rFonts w:ascii="Lucida Sans Unicode" w:hAnsi="Lucida Sans Unicode" w:cs="Lucida Sans Unicode"/>
                <w:spacing w:val="-2"/>
                <w:sz w:val="18"/>
                <w:szCs w:val="18"/>
                <w:vertAlign w:val="superscript"/>
              </w:rPr>
              <w:t>∗∗∗</w:t>
            </w:r>
          </w:p>
        </w:tc>
        <w:tc>
          <w:tcPr>
            <w:tcW w:w="983" w:type="dxa"/>
            <w:tcBorders>
              <w:top w:val="none" w:sz="6" w:space="0" w:color="auto"/>
              <w:left w:val="none" w:sz="6" w:space="0" w:color="auto"/>
              <w:bottom w:val="none" w:sz="6" w:space="0" w:color="auto"/>
              <w:right w:val="none" w:sz="6" w:space="0" w:color="auto"/>
            </w:tcBorders>
          </w:tcPr>
          <w:p w14:paraId="32C1BBC5" w14:textId="77777777" w:rsidR="004F6D71" w:rsidRPr="004F6D71" w:rsidRDefault="004F6D71">
            <w:pPr>
              <w:pStyle w:val="TableParagraph"/>
              <w:kinsoku w:val="0"/>
              <w:overflowPunct w:val="0"/>
              <w:spacing w:line="331" w:lineRule="exact"/>
              <w:ind w:left="248"/>
              <w:jc w:val="left"/>
              <w:rPr>
                <w:spacing w:val="-2"/>
                <w:sz w:val="18"/>
                <w:szCs w:val="18"/>
              </w:rPr>
            </w:pPr>
            <w:r w:rsidRPr="004F6D71">
              <w:rPr>
                <w:spacing w:val="-2"/>
                <w:sz w:val="18"/>
                <w:szCs w:val="18"/>
              </w:rPr>
              <w:t>(0.009)</w:t>
            </w:r>
          </w:p>
          <w:p w14:paraId="4D4D3E12" w14:textId="77777777" w:rsidR="004F6D71" w:rsidRPr="004F6D71" w:rsidRDefault="004F6D71">
            <w:pPr>
              <w:pStyle w:val="TableParagraph"/>
              <w:kinsoku w:val="0"/>
              <w:overflowPunct w:val="0"/>
              <w:spacing w:before="26"/>
              <w:ind w:left="237"/>
              <w:jc w:val="left"/>
              <w:rPr>
                <w:rFonts w:ascii="Lucida Sans Unicode" w:hAnsi="Lucida Sans Unicode" w:cs="Lucida Sans Unicode"/>
                <w:spacing w:val="-2"/>
                <w:sz w:val="18"/>
                <w:szCs w:val="18"/>
                <w:vertAlign w:val="superscript"/>
              </w:rPr>
            </w:pPr>
            <w:r w:rsidRPr="004F6D71">
              <w:rPr>
                <w:spacing w:val="-2"/>
                <w:sz w:val="18"/>
                <w:szCs w:val="18"/>
              </w:rPr>
              <w:t>0.040</w:t>
            </w:r>
            <w:r w:rsidRPr="004F6D71">
              <w:rPr>
                <w:rFonts w:ascii="Lucida Sans Unicode" w:hAnsi="Lucida Sans Unicode" w:cs="Lucida Sans Unicode"/>
                <w:spacing w:val="-2"/>
                <w:sz w:val="18"/>
                <w:szCs w:val="18"/>
                <w:vertAlign w:val="superscript"/>
              </w:rPr>
              <w:t>∗∗</w:t>
            </w:r>
          </w:p>
        </w:tc>
        <w:tc>
          <w:tcPr>
            <w:tcW w:w="984" w:type="dxa"/>
            <w:tcBorders>
              <w:top w:val="none" w:sz="6" w:space="0" w:color="auto"/>
              <w:left w:val="none" w:sz="6" w:space="0" w:color="auto"/>
              <w:bottom w:val="none" w:sz="6" w:space="0" w:color="auto"/>
              <w:right w:val="none" w:sz="6" w:space="0" w:color="auto"/>
            </w:tcBorders>
          </w:tcPr>
          <w:p w14:paraId="275319A6" w14:textId="77777777" w:rsidR="004F6D71" w:rsidRPr="004F6D71" w:rsidRDefault="004F6D71">
            <w:pPr>
              <w:pStyle w:val="TableParagraph"/>
              <w:kinsoku w:val="0"/>
              <w:overflowPunct w:val="0"/>
              <w:spacing w:line="331" w:lineRule="exact"/>
              <w:ind w:left="248"/>
              <w:jc w:val="left"/>
              <w:rPr>
                <w:spacing w:val="-2"/>
                <w:sz w:val="18"/>
                <w:szCs w:val="18"/>
              </w:rPr>
            </w:pPr>
            <w:r w:rsidRPr="004F6D71">
              <w:rPr>
                <w:spacing w:val="-2"/>
                <w:sz w:val="18"/>
                <w:szCs w:val="18"/>
              </w:rPr>
              <w:t>(0.006)</w:t>
            </w:r>
          </w:p>
          <w:p w14:paraId="3A0BB85E" w14:textId="77777777" w:rsidR="004F6D71" w:rsidRPr="004F6D71" w:rsidRDefault="004F6D71">
            <w:pPr>
              <w:pStyle w:val="TableParagraph"/>
              <w:kinsoku w:val="0"/>
              <w:overflowPunct w:val="0"/>
              <w:spacing w:before="26"/>
              <w:ind w:left="196"/>
              <w:jc w:val="left"/>
              <w:rPr>
                <w:rFonts w:ascii="Lucida Sans Unicode" w:hAnsi="Lucida Sans Unicode" w:cs="Lucida Sans Unicode"/>
                <w:spacing w:val="-2"/>
                <w:sz w:val="18"/>
                <w:szCs w:val="18"/>
                <w:vertAlign w:val="superscript"/>
              </w:rPr>
            </w:pPr>
            <w:r w:rsidRPr="004F6D71">
              <w:rPr>
                <w:spacing w:val="-2"/>
                <w:sz w:val="18"/>
                <w:szCs w:val="18"/>
              </w:rPr>
              <w:t>0.037</w:t>
            </w:r>
            <w:r w:rsidRPr="004F6D71">
              <w:rPr>
                <w:rFonts w:ascii="Lucida Sans Unicode" w:hAnsi="Lucida Sans Unicode" w:cs="Lucida Sans Unicode"/>
                <w:spacing w:val="-2"/>
                <w:sz w:val="18"/>
                <w:szCs w:val="18"/>
                <w:vertAlign w:val="superscript"/>
              </w:rPr>
              <w:t>∗∗∗</w:t>
            </w:r>
          </w:p>
        </w:tc>
      </w:tr>
      <w:tr w:rsidR="004F6D71" w14:paraId="28A46577" w14:textId="77777777" w:rsidTr="004F6D71">
        <w:trPr>
          <w:trHeight w:val="315"/>
        </w:trPr>
        <w:tc>
          <w:tcPr>
            <w:tcW w:w="2735" w:type="dxa"/>
            <w:tcBorders>
              <w:top w:val="none" w:sz="6" w:space="0" w:color="auto"/>
              <w:left w:val="none" w:sz="6" w:space="0" w:color="auto"/>
              <w:bottom w:val="single" w:sz="4" w:space="0" w:color="000000"/>
              <w:right w:val="none" w:sz="6" w:space="0" w:color="auto"/>
            </w:tcBorders>
          </w:tcPr>
          <w:p w14:paraId="7305C329" w14:textId="77777777" w:rsidR="004F6D71" w:rsidRPr="004F6D71" w:rsidRDefault="004F6D71">
            <w:pPr>
              <w:pStyle w:val="TableParagraph"/>
              <w:kinsoku w:val="0"/>
              <w:overflowPunct w:val="0"/>
              <w:jc w:val="left"/>
              <w:rPr>
                <w:rFonts w:ascii="Times New Roman" w:hAnsi="Times New Roman" w:cs="Times New Roman"/>
                <w:sz w:val="18"/>
                <w:szCs w:val="18"/>
              </w:rPr>
            </w:pPr>
          </w:p>
        </w:tc>
        <w:tc>
          <w:tcPr>
            <w:tcW w:w="983" w:type="dxa"/>
            <w:tcBorders>
              <w:top w:val="none" w:sz="6" w:space="0" w:color="auto"/>
              <w:left w:val="none" w:sz="6" w:space="0" w:color="auto"/>
              <w:bottom w:val="single" w:sz="4" w:space="0" w:color="000000"/>
              <w:right w:val="none" w:sz="6" w:space="0" w:color="auto"/>
            </w:tcBorders>
          </w:tcPr>
          <w:p w14:paraId="3F1CF1C2" w14:textId="77777777" w:rsidR="004F6D71" w:rsidRPr="004F6D71" w:rsidRDefault="004F6D71">
            <w:pPr>
              <w:pStyle w:val="TableParagraph"/>
              <w:kinsoku w:val="0"/>
              <w:overflowPunct w:val="0"/>
              <w:spacing w:line="316" w:lineRule="exact"/>
              <w:ind w:right="104"/>
              <w:rPr>
                <w:spacing w:val="-2"/>
                <w:sz w:val="18"/>
                <w:szCs w:val="18"/>
              </w:rPr>
            </w:pPr>
            <w:r w:rsidRPr="004F6D71">
              <w:rPr>
                <w:spacing w:val="-2"/>
                <w:sz w:val="18"/>
                <w:szCs w:val="18"/>
              </w:rPr>
              <w:t>(0.011)</w:t>
            </w:r>
          </w:p>
        </w:tc>
        <w:tc>
          <w:tcPr>
            <w:tcW w:w="983" w:type="dxa"/>
            <w:tcBorders>
              <w:top w:val="none" w:sz="6" w:space="0" w:color="auto"/>
              <w:left w:val="none" w:sz="6" w:space="0" w:color="auto"/>
              <w:bottom w:val="single" w:sz="4" w:space="0" w:color="000000"/>
              <w:right w:val="none" w:sz="6" w:space="0" w:color="auto"/>
            </w:tcBorders>
          </w:tcPr>
          <w:p w14:paraId="54736EAD" w14:textId="77777777" w:rsidR="004F6D71" w:rsidRPr="004F6D71" w:rsidRDefault="004F6D71">
            <w:pPr>
              <w:pStyle w:val="TableParagraph"/>
              <w:kinsoku w:val="0"/>
              <w:overflowPunct w:val="0"/>
              <w:spacing w:line="316" w:lineRule="exact"/>
              <w:ind w:right="103"/>
              <w:rPr>
                <w:spacing w:val="-2"/>
                <w:sz w:val="18"/>
                <w:szCs w:val="18"/>
              </w:rPr>
            </w:pPr>
            <w:r w:rsidRPr="004F6D71">
              <w:rPr>
                <w:spacing w:val="-2"/>
                <w:sz w:val="18"/>
                <w:szCs w:val="18"/>
              </w:rPr>
              <w:t>(0.011)</w:t>
            </w:r>
          </w:p>
        </w:tc>
        <w:tc>
          <w:tcPr>
            <w:tcW w:w="983" w:type="dxa"/>
            <w:tcBorders>
              <w:top w:val="none" w:sz="6" w:space="0" w:color="auto"/>
              <w:left w:val="none" w:sz="6" w:space="0" w:color="auto"/>
              <w:bottom w:val="single" w:sz="4" w:space="0" w:color="000000"/>
              <w:right w:val="none" w:sz="6" w:space="0" w:color="auto"/>
            </w:tcBorders>
          </w:tcPr>
          <w:p w14:paraId="6B69BC76" w14:textId="77777777" w:rsidR="004F6D71" w:rsidRPr="004F6D71" w:rsidRDefault="004F6D71">
            <w:pPr>
              <w:pStyle w:val="TableParagraph"/>
              <w:kinsoku w:val="0"/>
              <w:overflowPunct w:val="0"/>
              <w:spacing w:line="316" w:lineRule="exact"/>
              <w:ind w:right="103"/>
              <w:rPr>
                <w:spacing w:val="-2"/>
                <w:sz w:val="18"/>
                <w:szCs w:val="18"/>
              </w:rPr>
            </w:pPr>
            <w:r w:rsidRPr="004F6D71">
              <w:rPr>
                <w:spacing w:val="-2"/>
                <w:sz w:val="18"/>
                <w:szCs w:val="18"/>
              </w:rPr>
              <w:t>(0.016)</w:t>
            </w:r>
          </w:p>
        </w:tc>
        <w:tc>
          <w:tcPr>
            <w:tcW w:w="984" w:type="dxa"/>
            <w:tcBorders>
              <w:top w:val="none" w:sz="6" w:space="0" w:color="auto"/>
              <w:left w:val="none" w:sz="6" w:space="0" w:color="auto"/>
              <w:bottom w:val="single" w:sz="4" w:space="0" w:color="000000"/>
              <w:right w:val="none" w:sz="6" w:space="0" w:color="auto"/>
            </w:tcBorders>
          </w:tcPr>
          <w:p w14:paraId="526FDDFF" w14:textId="77777777" w:rsidR="004F6D71" w:rsidRPr="004F6D71" w:rsidRDefault="004F6D71">
            <w:pPr>
              <w:pStyle w:val="TableParagraph"/>
              <w:kinsoku w:val="0"/>
              <w:overflowPunct w:val="0"/>
              <w:spacing w:line="316" w:lineRule="exact"/>
              <w:ind w:left="107" w:right="105"/>
              <w:rPr>
                <w:spacing w:val="-2"/>
                <w:sz w:val="18"/>
                <w:szCs w:val="18"/>
              </w:rPr>
            </w:pPr>
            <w:r w:rsidRPr="004F6D71">
              <w:rPr>
                <w:spacing w:val="-2"/>
                <w:sz w:val="18"/>
                <w:szCs w:val="18"/>
              </w:rPr>
              <w:t>(0.008)</w:t>
            </w:r>
          </w:p>
        </w:tc>
      </w:tr>
      <w:tr w:rsidR="004F6D71" w14:paraId="4DECFE06" w14:textId="77777777" w:rsidTr="004F6D71">
        <w:trPr>
          <w:trHeight w:val="342"/>
        </w:trPr>
        <w:tc>
          <w:tcPr>
            <w:tcW w:w="2735" w:type="dxa"/>
            <w:tcBorders>
              <w:top w:val="single" w:sz="4" w:space="0" w:color="000000"/>
              <w:left w:val="none" w:sz="6" w:space="0" w:color="auto"/>
              <w:bottom w:val="none" w:sz="6" w:space="0" w:color="auto"/>
              <w:right w:val="none" w:sz="6" w:space="0" w:color="auto"/>
            </w:tcBorders>
          </w:tcPr>
          <w:p w14:paraId="45D55A4D" w14:textId="77777777" w:rsidR="004F6D71" w:rsidRPr="004F6D71" w:rsidRDefault="004F6D71">
            <w:pPr>
              <w:pStyle w:val="TableParagraph"/>
              <w:kinsoku w:val="0"/>
              <w:overflowPunct w:val="0"/>
              <w:spacing w:before="19" w:line="327" w:lineRule="exact"/>
              <w:ind w:left="119"/>
              <w:jc w:val="left"/>
              <w:rPr>
                <w:w w:val="99"/>
                <w:sz w:val="18"/>
                <w:szCs w:val="18"/>
              </w:rPr>
            </w:pPr>
            <w:r w:rsidRPr="004F6D71">
              <w:rPr>
                <w:w w:val="99"/>
                <w:sz w:val="18"/>
                <w:szCs w:val="18"/>
              </w:rPr>
              <w:t>N</w:t>
            </w:r>
          </w:p>
        </w:tc>
        <w:tc>
          <w:tcPr>
            <w:tcW w:w="983" w:type="dxa"/>
            <w:tcBorders>
              <w:top w:val="single" w:sz="4" w:space="0" w:color="000000"/>
              <w:left w:val="none" w:sz="6" w:space="0" w:color="auto"/>
              <w:bottom w:val="none" w:sz="6" w:space="0" w:color="auto"/>
              <w:right w:val="none" w:sz="6" w:space="0" w:color="auto"/>
            </w:tcBorders>
          </w:tcPr>
          <w:p w14:paraId="24F60E2C" w14:textId="77777777" w:rsidR="004F6D71" w:rsidRPr="004F6D71" w:rsidRDefault="004F6D71">
            <w:pPr>
              <w:pStyle w:val="TableParagraph"/>
              <w:kinsoku w:val="0"/>
              <w:overflowPunct w:val="0"/>
              <w:spacing w:before="19" w:line="327" w:lineRule="exact"/>
              <w:ind w:right="105"/>
              <w:rPr>
                <w:spacing w:val="-2"/>
                <w:sz w:val="18"/>
                <w:szCs w:val="18"/>
              </w:rPr>
            </w:pPr>
            <w:r w:rsidRPr="004F6D71">
              <w:rPr>
                <w:spacing w:val="-2"/>
                <w:sz w:val="18"/>
                <w:szCs w:val="18"/>
              </w:rPr>
              <w:t>16,507</w:t>
            </w:r>
          </w:p>
        </w:tc>
        <w:tc>
          <w:tcPr>
            <w:tcW w:w="983" w:type="dxa"/>
            <w:tcBorders>
              <w:top w:val="single" w:sz="4" w:space="0" w:color="000000"/>
              <w:left w:val="none" w:sz="6" w:space="0" w:color="auto"/>
              <w:bottom w:val="none" w:sz="6" w:space="0" w:color="auto"/>
              <w:right w:val="none" w:sz="6" w:space="0" w:color="auto"/>
            </w:tcBorders>
          </w:tcPr>
          <w:p w14:paraId="0E8A6B6E" w14:textId="77777777" w:rsidR="004F6D71" w:rsidRPr="004F6D71" w:rsidRDefault="004F6D71">
            <w:pPr>
              <w:pStyle w:val="TableParagraph"/>
              <w:kinsoku w:val="0"/>
              <w:overflowPunct w:val="0"/>
              <w:spacing w:before="19" w:line="327" w:lineRule="exact"/>
              <w:ind w:right="106"/>
              <w:rPr>
                <w:spacing w:val="-2"/>
                <w:sz w:val="18"/>
                <w:szCs w:val="18"/>
              </w:rPr>
            </w:pPr>
            <w:r w:rsidRPr="004F6D71">
              <w:rPr>
                <w:spacing w:val="-2"/>
                <w:sz w:val="18"/>
                <w:szCs w:val="18"/>
              </w:rPr>
              <w:t>54,476</w:t>
            </w:r>
          </w:p>
        </w:tc>
        <w:tc>
          <w:tcPr>
            <w:tcW w:w="983" w:type="dxa"/>
            <w:tcBorders>
              <w:top w:val="single" w:sz="4" w:space="0" w:color="000000"/>
              <w:left w:val="none" w:sz="6" w:space="0" w:color="auto"/>
              <w:bottom w:val="none" w:sz="6" w:space="0" w:color="auto"/>
              <w:right w:val="none" w:sz="6" w:space="0" w:color="auto"/>
            </w:tcBorders>
          </w:tcPr>
          <w:p w14:paraId="6F480C56" w14:textId="77777777" w:rsidR="004F6D71" w:rsidRPr="004F6D71" w:rsidRDefault="004F6D71">
            <w:pPr>
              <w:pStyle w:val="TableParagraph"/>
              <w:kinsoku w:val="0"/>
              <w:overflowPunct w:val="0"/>
              <w:spacing w:before="19" w:line="327" w:lineRule="exact"/>
              <w:ind w:right="106"/>
              <w:rPr>
                <w:spacing w:val="-2"/>
                <w:sz w:val="18"/>
                <w:szCs w:val="18"/>
              </w:rPr>
            </w:pPr>
            <w:r w:rsidRPr="004F6D71">
              <w:rPr>
                <w:spacing w:val="-2"/>
                <w:sz w:val="18"/>
                <w:szCs w:val="18"/>
              </w:rPr>
              <w:t>70,423</w:t>
            </w:r>
          </w:p>
        </w:tc>
        <w:tc>
          <w:tcPr>
            <w:tcW w:w="984" w:type="dxa"/>
            <w:tcBorders>
              <w:top w:val="single" w:sz="4" w:space="0" w:color="000000"/>
              <w:left w:val="none" w:sz="6" w:space="0" w:color="auto"/>
              <w:bottom w:val="none" w:sz="6" w:space="0" w:color="auto"/>
              <w:right w:val="none" w:sz="6" w:space="0" w:color="auto"/>
            </w:tcBorders>
          </w:tcPr>
          <w:p w14:paraId="3A0E33FB" w14:textId="77777777" w:rsidR="004F6D71" w:rsidRPr="004F6D71" w:rsidRDefault="004F6D71">
            <w:pPr>
              <w:pStyle w:val="TableParagraph"/>
              <w:kinsoku w:val="0"/>
              <w:overflowPunct w:val="0"/>
              <w:spacing w:before="19" w:line="327" w:lineRule="exact"/>
              <w:ind w:left="107" w:right="108"/>
              <w:rPr>
                <w:spacing w:val="-2"/>
                <w:sz w:val="18"/>
                <w:szCs w:val="18"/>
              </w:rPr>
            </w:pPr>
            <w:r w:rsidRPr="004F6D71">
              <w:rPr>
                <w:spacing w:val="-2"/>
                <w:sz w:val="18"/>
                <w:szCs w:val="18"/>
              </w:rPr>
              <w:t>64,018</w:t>
            </w:r>
          </w:p>
        </w:tc>
      </w:tr>
      <w:tr w:rsidR="004F6D71" w14:paraId="177AB6FC" w14:textId="77777777" w:rsidTr="004F6D71">
        <w:trPr>
          <w:trHeight w:val="349"/>
        </w:trPr>
        <w:tc>
          <w:tcPr>
            <w:tcW w:w="2735" w:type="dxa"/>
            <w:tcBorders>
              <w:top w:val="none" w:sz="6" w:space="0" w:color="auto"/>
              <w:left w:val="none" w:sz="6" w:space="0" w:color="auto"/>
              <w:bottom w:val="none" w:sz="6" w:space="0" w:color="auto"/>
              <w:right w:val="none" w:sz="6" w:space="0" w:color="auto"/>
            </w:tcBorders>
          </w:tcPr>
          <w:p w14:paraId="17D9FDDB" w14:textId="77777777" w:rsidR="004F6D71" w:rsidRPr="004F6D71" w:rsidRDefault="004F6D71">
            <w:pPr>
              <w:pStyle w:val="TableParagraph"/>
              <w:kinsoku w:val="0"/>
              <w:overflowPunct w:val="0"/>
              <w:spacing w:before="54"/>
              <w:ind w:left="119"/>
              <w:jc w:val="left"/>
              <w:rPr>
                <w:rFonts w:ascii="Eras Medium ITC" w:hAnsi="Eras Medium ITC" w:cs="Eras Medium ITC"/>
                <w:spacing w:val="-2"/>
                <w:w w:val="105"/>
                <w:sz w:val="18"/>
                <w:szCs w:val="18"/>
                <w:vertAlign w:val="superscript"/>
              </w:rPr>
            </w:pPr>
            <w:r w:rsidRPr="004F6D71">
              <w:rPr>
                <w:rFonts w:ascii="Bookman Old Style" w:hAnsi="Bookman Old Style" w:cs="Bookman Old Style"/>
                <w:i/>
                <w:iCs/>
                <w:spacing w:val="-2"/>
                <w:w w:val="105"/>
                <w:sz w:val="18"/>
                <w:szCs w:val="18"/>
              </w:rPr>
              <w:t>Adj.R</w:t>
            </w:r>
            <w:r w:rsidRPr="004F6D71">
              <w:rPr>
                <w:rFonts w:ascii="Eras Medium ITC" w:hAnsi="Eras Medium ITC" w:cs="Eras Medium ITC"/>
                <w:spacing w:val="-2"/>
                <w:w w:val="105"/>
                <w:sz w:val="18"/>
                <w:szCs w:val="18"/>
                <w:vertAlign w:val="superscript"/>
              </w:rPr>
              <w:t>2</w:t>
            </w:r>
          </w:p>
        </w:tc>
        <w:tc>
          <w:tcPr>
            <w:tcW w:w="983" w:type="dxa"/>
            <w:tcBorders>
              <w:top w:val="none" w:sz="6" w:space="0" w:color="auto"/>
              <w:left w:val="none" w:sz="6" w:space="0" w:color="auto"/>
              <w:bottom w:val="none" w:sz="6" w:space="0" w:color="auto"/>
              <w:right w:val="none" w:sz="6" w:space="0" w:color="auto"/>
            </w:tcBorders>
          </w:tcPr>
          <w:p w14:paraId="20EC6D96" w14:textId="77777777" w:rsidR="004F6D71" w:rsidRPr="004F6D71" w:rsidRDefault="004F6D71">
            <w:pPr>
              <w:pStyle w:val="TableParagraph"/>
              <w:kinsoku w:val="0"/>
              <w:overflowPunct w:val="0"/>
              <w:spacing w:before="12"/>
              <w:ind w:right="105"/>
              <w:rPr>
                <w:spacing w:val="-2"/>
                <w:sz w:val="18"/>
                <w:szCs w:val="18"/>
              </w:rPr>
            </w:pPr>
            <w:r w:rsidRPr="004F6D71">
              <w:rPr>
                <w:spacing w:val="-2"/>
                <w:sz w:val="18"/>
                <w:szCs w:val="18"/>
              </w:rPr>
              <w:t>0.0351</w:t>
            </w:r>
          </w:p>
        </w:tc>
        <w:tc>
          <w:tcPr>
            <w:tcW w:w="983" w:type="dxa"/>
            <w:tcBorders>
              <w:top w:val="none" w:sz="6" w:space="0" w:color="auto"/>
              <w:left w:val="none" w:sz="6" w:space="0" w:color="auto"/>
              <w:bottom w:val="none" w:sz="6" w:space="0" w:color="auto"/>
              <w:right w:val="none" w:sz="6" w:space="0" w:color="auto"/>
            </w:tcBorders>
          </w:tcPr>
          <w:p w14:paraId="2934E1B8" w14:textId="77777777" w:rsidR="004F6D71" w:rsidRPr="004F6D71" w:rsidRDefault="004F6D71">
            <w:pPr>
              <w:pStyle w:val="TableParagraph"/>
              <w:kinsoku w:val="0"/>
              <w:overflowPunct w:val="0"/>
              <w:spacing w:before="12"/>
              <w:ind w:right="106"/>
              <w:rPr>
                <w:spacing w:val="-2"/>
                <w:sz w:val="18"/>
                <w:szCs w:val="18"/>
              </w:rPr>
            </w:pPr>
            <w:r w:rsidRPr="004F6D71">
              <w:rPr>
                <w:spacing w:val="-2"/>
                <w:sz w:val="18"/>
                <w:szCs w:val="18"/>
              </w:rPr>
              <w:t>0.0336</w:t>
            </w:r>
          </w:p>
        </w:tc>
        <w:tc>
          <w:tcPr>
            <w:tcW w:w="983" w:type="dxa"/>
            <w:tcBorders>
              <w:top w:val="none" w:sz="6" w:space="0" w:color="auto"/>
              <w:left w:val="none" w:sz="6" w:space="0" w:color="auto"/>
              <w:bottom w:val="none" w:sz="6" w:space="0" w:color="auto"/>
              <w:right w:val="none" w:sz="6" w:space="0" w:color="auto"/>
            </w:tcBorders>
          </w:tcPr>
          <w:p w14:paraId="6CC41B98" w14:textId="77777777" w:rsidR="004F6D71" w:rsidRPr="004F6D71" w:rsidRDefault="004F6D71">
            <w:pPr>
              <w:pStyle w:val="TableParagraph"/>
              <w:kinsoku w:val="0"/>
              <w:overflowPunct w:val="0"/>
              <w:spacing w:before="12"/>
              <w:ind w:right="107"/>
              <w:rPr>
                <w:spacing w:val="-2"/>
                <w:sz w:val="18"/>
                <w:szCs w:val="18"/>
              </w:rPr>
            </w:pPr>
            <w:r w:rsidRPr="004F6D71">
              <w:rPr>
                <w:spacing w:val="-2"/>
                <w:sz w:val="18"/>
                <w:szCs w:val="18"/>
              </w:rPr>
              <w:t>0.0610</w:t>
            </w:r>
          </w:p>
        </w:tc>
        <w:tc>
          <w:tcPr>
            <w:tcW w:w="984" w:type="dxa"/>
            <w:tcBorders>
              <w:top w:val="none" w:sz="6" w:space="0" w:color="auto"/>
              <w:left w:val="none" w:sz="6" w:space="0" w:color="auto"/>
              <w:bottom w:val="none" w:sz="6" w:space="0" w:color="auto"/>
              <w:right w:val="none" w:sz="6" w:space="0" w:color="auto"/>
            </w:tcBorders>
          </w:tcPr>
          <w:p w14:paraId="3A63888F" w14:textId="77777777" w:rsidR="004F6D71" w:rsidRPr="004F6D71" w:rsidRDefault="004F6D71">
            <w:pPr>
              <w:pStyle w:val="TableParagraph"/>
              <w:kinsoku w:val="0"/>
              <w:overflowPunct w:val="0"/>
              <w:spacing w:before="12"/>
              <w:ind w:left="107" w:right="108"/>
              <w:rPr>
                <w:spacing w:val="-2"/>
                <w:sz w:val="18"/>
                <w:szCs w:val="18"/>
              </w:rPr>
            </w:pPr>
            <w:r w:rsidRPr="004F6D71">
              <w:rPr>
                <w:spacing w:val="-2"/>
                <w:sz w:val="18"/>
                <w:szCs w:val="18"/>
              </w:rPr>
              <w:t>0.0408</w:t>
            </w:r>
          </w:p>
        </w:tc>
      </w:tr>
      <w:tr w:rsidR="004F6D71" w14:paraId="195C61F4" w14:textId="77777777" w:rsidTr="004F6D71">
        <w:trPr>
          <w:trHeight w:val="327"/>
        </w:trPr>
        <w:tc>
          <w:tcPr>
            <w:tcW w:w="2735" w:type="dxa"/>
            <w:tcBorders>
              <w:top w:val="none" w:sz="6" w:space="0" w:color="auto"/>
              <w:left w:val="none" w:sz="6" w:space="0" w:color="auto"/>
              <w:bottom w:val="double" w:sz="2" w:space="0" w:color="000000"/>
              <w:right w:val="none" w:sz="6" w:space="0" w:color="auto"/>
            </w:tcBorders>
          </w:tcPr>
          <w:p w14:paraId="59CA9DA3" w14:textId="77777777" w:rsidR="004F6D71" w:rsidRPr="004F6D71" w:rsidRDefault="004F6D71">
            <w:pPr>
              <w:pStyle w:val="TableParagraph"/>
              <w:kinsoku w:val="0"/>
              <w:overflowPunct w:val="0"/>
              <w:spacing w:line="330" w:lineRule="exact"/>
              <w:ind w:left="119"/>
              <w:jc w:val="left"/>
              <w:rPr>
                <w:spacing w:val="-4"/>
                <w:sz w:val="18"/>
                <w:szCs w:val="18"/>
              </w:rPr>
            </w:pPr>
            <w:r w:rsidRPr="004F6D71">
              <w:rPr>
                <w:spacing w:val="-4"/>
                <w:sz w:val="18"/>
                <w:szCs w:val="18"/>
              </w:rPr>
              <w:t>Mean</w:t>
            </w:r>
          </w:p>
        </w:tc>
        <w:tc>
          <w:tcPr>
            <w:tcW w:w="983" w:type="dxa"/>
            <w:tcBorders>
              <w:top w:val="none" w:sz="6" w:space="0" w:color="auto"/>
              <w:left w:val="none" w:sz="6" w:space="0" w:color="auto"/>
              <w:bottom w:val="double" w:sz="2" w:space="0" w:color="000000"/>
              <w:right w:val="none" w:sz="6" w:space="0" w:color="auto"/>
            </w:tcBorders>
          </w:tcPr>
          <w:p w14:paraId="4D0E69FB" w14:textId="77777777" w:rsidR="004F6D71" w:rsidRPr="004F6D71" w:rsidRDefault="004F6D71">
            <w:pPr>
              <w:pStyle w:val="TableParagraph"/>
              <w:kinsoku w:val="0"/>
              <w:overflowPunct w:val="0"/>
              <w:spacing w:line="330" w:lineRule="exact"/>
              <w:ind w:right="105"/>
              <w:rPr>
                <w:spacing w:val="-2"/>
                <w:sz w:val="18"/>
                <w:szCs w:val="18"/>
              </w:rPr>
            </w:pPr>
            <w:r w:rsidRPr="004F6D71">
              <w:rPr>
                <w:spacing w:val="-2"/>
                <w:sz w:val="18"/>
                <w:szCs w:val="18"/>
              </w:rPr>
              <w:t>0.7986</w:t>
            </w:r>
          </w:p>
        </w:tc>
        <w:tc>
          <w:tcPr>
            <w:tcW w:w="983" w:type="dxa"/>
            <w:tcBorders>
              <w:top w:val="none" w:sz="6" w:space="0" w:color="auto"/>
              <w:left w:val="none" w:sz="6" w:space="0" w:color="auto"/>
              <w:bottom w:val="double" w:sz="2" w:space="0" w:color="000000"/>
              <w:right w:val="none" w:sz="6" w:space="0" w:color="auto"/>
            </w:tcBorders>
          </w:tcPr>
          <w:p w14:paraId="3D048E03" w14:textId="77777777" w:rsidR="004F6D71" w:rsidRPr="004F6D71" w:rsidRDefault="004F6D71">
            <w:pPr>
              <w:pStyle w:val="TableParagraph"/>
              <w:kinsoku w:val="0"/>
              <w:overflowPunct w:val="0"/>
              <w:spacing w:line="330" w:lineRule="exact"/>
              <w:ind w:right="106"/>
              <w:rPr>
                <w:spacing w:val="-2"/>
                <w:sz w:val="18"/>
                <w:szCs w:val="18"/>
              </w:rPr>
            </w:pPr>
            <w:r w:rsidRPr="004F6D71">
              <w:rPr>
                <w:spacing w:val="-2"/>
                <w:sz w:val="18"/>
                <w:szCs w:val="18"/>
              </w:rPr>
              <w:t>0.8656</w:t>
            </w:r>
          </w:p>
        </w:tc>
        <w:tc>
          <w:tcPr>
            <w:tcW w:w="983" w:type="dxa"/>
            <w:tcBorders>
              <w:top w:val="none" w:sz="6" w:space="0" w:color="auto"/>
              <w:left w:val="none" w:sz="6" w:space="0" w:color="auto"/>
              <w:bottom w:val="double" w:sz="2" w:space="0" w:color="000000"/>
              <w:right w:val="none" w:sz="6" w:space="0" w:color="auto"/>
            </w:tcBorders>
          </w:tcPr>
          <w:p w14:paraId="72C8DC08" w14:textId="77777777" w:rsidR="004F6D71" w:rsidRPr="004F6D71" w:rsidRDefault="004F6D71">
            <w:pPr>
              <w:pStyle w:val="TableParagraph"/>
              <w:kinsoku w:val="0"/>
              <w:overflowPunct w:val="0"/>
              <w:spacing w:line="330" w:lineRule="exact"/>
              <w:ind w:right="106"/>
              <w:rPr>
                <w:spacing w:val="-2"/>
                <w:sz w:val="18"/>
                <w:szCs w:val="18"/>
              </w:rPr>
            </w:pPr>
            <w:r w:rsidRPr="004F6D71">
              <w:rPr>
                <w:spacing w:val="-2"/>
                <w:sz w:val="18"/>
                <w:szCs w:val="18"/>
              </w:rPr>
              <w:t>0.8645</w:t>
            </w:r>
          </w:p>
        </w:tc>
        <w:tc>
          <w:tcPr>
            <w:tcW w:w="984" w:type="dxa"/>
            <w:tcBorders>
              <w:top w:val="none" w:sz="6" w:space="0" w:color="auto"/>
              <w:left w:val="none" w:sz="6" w:space="0" w:color="auto"/>
              <w:bottom w:val="double" w:sz="2" w:space="0" w:color="000000"/>
              <w:right w:val="none" w:sz="6" w:space="0" w:color="auto"/>
            </w:tcBorders>
          </w:tcPr>
          <w:p w14:paraId="1EAE2208" w14:textId="77777777" w:rsidR="004F6D71" w:rsidRPr="004F6D71" w:rsidRDefault="004F6D71">
            <w:pPr>
              <w:pStyle w:val="TableParagraph"/>
              <w:kinsoku w:val="0"/>
              <w:overflowPunct w:val="0"/>
              <w:spacing w:line="330" w:lineRule="exact"/>
              <w:ind w:left="107" w:right="107"/>
              <w:rPr>
                <w:spacing w:val="-2"/>
                <w:sz w:val="18"/>
                <w:szCs w:val="18"/>
              </w:rPr>
            </w:pPr>
            <w:r w:rsidRPr="004F6D71">
              <w:rPr>
                <w:spacing w:val="-2"/>
                <w:sz w:val="18"/>
                <w:szCs w:val="18"/>
              </w:rPr>
              <w:t>0.8903</w:t>
            </w:r>
          </w:p>
        </w:tc>
      </w:tr>
      <w:tr w:rsidR="004F6D71" w14:paraId="095F372B" w14:textId="77777777" w:rsidTr="004F6D71">
        <w:trPr>
          <w:trHeight w:val="347"/>
        </w:trPr>
        <w:tc>
          <w:tcPr>
            <w:tcW w:w="2735" w:type="dxa"/>
            <w:tcBorders>
              <w:top w:val="double" w:sz="2" w:space="0" w:color="000000"/>
              <w:left w:val="none" w:sz="6" w:space="0" w:color="auto"/>
              <w:bottom w:val="single" w:sz="4" w:space="0" w:color="000000"/>
              <w:right w:val="none" w:sz="6" w:space="0" w:color="auto"/>
            </w:tcBorders>
          </w:tcPr>
          <w:p w14:paraId="08268757" w14:textId="77777777" w:rsidR="004F6D71" w:rsidRPr="004F6D71" w:rsidRDefault="004F6D71">
            <w:pPr>
              <w:pStyle w:val="TableParagraph"/>
              <w:kinsoku w:val="0"/>
              <w:overflowPunct w:val="0"/>
              <w:spacing w:before="33" w:line="317" w:lineRule="exact"/>
              <w:ind w:left="119"/>
              <w:jc w:val="left"/>
              <w:rPr>
                <w:sz w:val="18"/>
                <w:szCs w:val="18"/>
              </w:rPr>
            </w:pPr>
            <w:r w:rsidRPr="004F6D71">
              <w:rPr>
                <w:sz w:val="18"/>
                <w:szCs w:val="18"/>
              </w:rPr>
              <w:t>Panel B - Unpublished Opinions</w:t>
            </w:r>
          </w:p>
        </w:tc>
        <w:tc>
          <w:tcPr>
            <w:tcW w:w="983" w:type="dxa"/>
            <w:tcBorders>
              <w:top w:val="double" w:sz="2" w:space="0" w:color="000000"/>
              <w:left w:val="none" w:sz="6" w:space="0" w:color="auto"/>
              <w:bottom w:val="single" w:sz="4" w:space="0" w:color="000000"/>
              <w:right w:val="none" w:sz="6" w:space="0" w:color="auto"/>
            </w:tcBorders>
          </w:tcPr>
          <w:p w14:paraId="4922C2D6" w14:textId="77777777" w:rsidR="004F6D71" w:rsidRPr="004F6D71" w:rsidRDefault="004F6D71">
            <w:pPr>
              <w:pStyle w:val="TableParagraph"/>
              <w:kinsoku w:val="0"/>
              <w:overflowPunct w:val="0"/>
              <w:jc w:val="left"/>
              <w:rPr>
                <w:rFonts w:ascii="Times New Roman" w:hAnsi="Times New Roman" w:cs="Times New Roman"/>
                <w:sz w:val="18"/>
                <w:szCs w:val="18"/>
              </w:rPr>
            </w:pPr>
          </w:p>
        </w:tc>
        <w:tc>
          <w:tcPr>
            <w:tcW w:w="983" w:type="dxa"/>
            <w:tcBorders>
              <w:top w:val="double" w:sz="2" w:space="0" w:color="000000"/>
              <w:left w:val="none" w:sz="6" w:space="0" w:color="auto"/>
              <w:bottom w:val="single" w:sz="4" w:space="0" w:color="000000"/>
              <w:right w:val="none" w:sz="6" w:space="0" w:color="auto"/>
            </w:tcBorders>
          </w:tcPr>
          <w:p w14:paraId="5599685A" w14:textId="77777777" w:rsidR="004F6D71" w:rsidRPr="004F6D71" w:rsidRDefault="004F6D71">
            <w:pPr>
              <w:pStyle w:val="TableParagraph"/>
              <w:kinsoku w:val="0"/>
              <w:overflowPunct w:val="0"/>
              <w:jc w:val="left"/>
              <w:rPr>
                <w:rFonts w:ascii="Times New Roman" w:hAnsi="Times New Roman" w:cs="Times New Roman"/>
                <w:sz w:val="18"/>
                <w:szCs w:val="18"/>
              </w:rPr>
            </w:pPr>
          </w:p>
        </w:tc>
        <w:tc>
          <w:tcPr>
            <w:tcW w:w="983" w:type="dxa"/>
            <w:tcBorders>
              <w:top w:val="double" w:sz="2" w:space="0" w:color="000000"/>
              <w:left w:val="none" w:sz="6" w:space="0" w:color="auto"/>
              <w:bottom w:val="single" w:sz="4" w:space="0" w:color="000000"/>
              <w:right w:val="none" w:sz="6" w:space="0" w:color="auto"/>
            </w:tcBorders>
          </w:tcPr>
          <w:p w14:paraId="79453203" w14:textId="77777777" w:rsidR="004F6D71" w:rsidRPr="004F6D71" w:rsidRDefault="004F6D71">
            <w:pPr>
              <w:pStyle w:val="TableParagraph"/>
              <w:kinsoku w:val="0"/>
              <w:overflowPunct w:val="0"/>
              <w:jc w:val="left"/>
              <w:rPr>
                <w:rFonts w:ascii="Times New Roman" w:hAnsi="Times New Roman" w:cs="Times New Roman"/>
                <w:sz w:val="18"/>
                <w:szCs w:val="18"/>
              </w:rPr>
            </w:pPr>
          </w:p>
        </w:tc>
        <w:tc>
          <w:tcPr>
            <w:tcW w:w="984" w:type="dxa"/>
            <w:tcBorders>
              <w:top w:val="double" w:sz="2" w:space="0" w:color="000000"/>
              <w:left w:val="none" w:sz="6" w:space="0" w:color="auto"/>
              <w:bottom w:val="single" w:sz="4" w:space="0" w:color="000000"/>
              <w:right w:val="none" w:sz="6" w:space="0" w:color="auto"/>
            </w:tcBorders>
          </w:tcPr>
          <w:p w14:paraId="6E9C9DD0" w14:textId="77777777" w:rsidR="004F6D71" w:rsidRPr="004F6D71" w:rsidRDefault="004F6D71">
            <w:pPr>
              <w:pStyle w:val="TableParagraph"/>
              <w:kinsoku w:val="0"/>
              <w:overflowPunct w:val="0"/>
              <w:jc w:val="left"/>
              <w:rPr>
                <w:rFonts w:ascii="Times New Roman" w:hAnsi="Times New Roman" w:cs="Times New Roman"/>
                <w:sz w:val="18"/>
                <w:szCs w:val="18"/>
              </w:rPr>
            </w:pPr>
          </w:p>
        </w:tc>
      </w:tr>
      <w:tr w:rsidR="004F6D71" w14:paraId="241A0100" w14:textId="77777777" w:rsidTr="004F6D71">
        <w:trPr>
          <w:trHeight w:val="356"/>
        </w:trPr>
        <w:tc>
          <w:tcPr>
            <w:tcW w:w="2735" w:type="dxa"/>
            <w:tcBorders>
              <w:top w:val="single" w:sz="4" w:space="0" w:color="000000"/>
              <w:left w:val="none" w:sz="6" w:space="0" w:color="auto"/>
              <w:bottom w:val="none" w:sz="6" w:space="0" w:color="auto"/>
              <w:right w:val="none" w:sz="6" w:space="0" w:color="auto"/>
            </w:tcBorders>
          </w:tcPr>
          <w:p w14:paraId="24D410D0" w14:textId="77777777" w:rsidR="004F6D71" w:rsidRPr="004F6D71" w:rsidRDefault="004F6D71">
            <w:pPr>
              <w:pStyle w:val="TableParagraph"/>
              <w:kinsoku w:val="0"/>
              <w:overflowPunct w:val="0"/>
              <w:spacing w:before="19"/>
              <w:ind w:left="119"/>
              <w:jc w:val="left"/>
              <w:rPr>
                <w:spacing w:val="-4"/>
                <w:sz w:val="18"/>
                <w:szCs w:val="18"/>
              </w:rPr>
            </w:pPr>
            <w:r w:rsidRPr="004F6D71">
              <w:rPr>
                <w:spacing w:val="-4"/>
                <w:sz w:val="18"/>
                <w:szCs w:val="18"/>
              </w:rPr>
              <w:t>RRD</w:t>
            </w:r>
          </w:p>
        </w:tc>
        <w:tc>
          <w:tcPr>
            <w:tcW w:w="983" w:type="dxa"/>
            <w:tcBorders>
              <w:top w:val="single" w:sz="4" w:space="0" w:color="000000"/>
              <w:left w:val="none" w:sz="6" w:space="0" w:color="auto"/>
              <w:bottom w:val="none" w:sz="6" w:space="0" w:color="auto"/>
              <w:right w:val="none" w:sz="6" w:space="0" w:color="auto"/>
            </w:tcBorders>
          </w:tcPr>
          <w:p w14:paraId="7695CB22" w14:textId="77777777" w:rsidR="004F6D71" w:rsidRPr="004F6D71" w:rsidRDefault="004F6D71">
            <w:pPr>
              <w:pStyle w:val="TableParagraph"/>
              <w:kinsoku w:val="0"/>
              <w:overflowPunct w:val="0"/>
              <w:spacing w:before="19"/>
              <w:ind w:left="101" w:right="107"/>
              <w:rPr>
                <w:rFonts w:ascii="Lucida Sans Unicode" w:hAnsi="Lucida Sans Unicode" w:cs="Lucida Sans Unicode"/>
                <w:spacing w:val="-2"/>
                <w:sz w:val="18"/>
                <w:szCs w:val="18"/>
                <w:vertAlign w:val="superscript"/>
              </w:rPr>
            </w:pPr>
            <w:r w:rsidRPr="004F6D71">
              <w:rPr>
                <w:spacing w:val="-2"/>
                <w:sz w:val="18"/>
                <w:szCs w:val="18"/>
              </w:rPr>
              <w:t>-0.029</w:t>
            </w:r>
            <w:r w:rsidRPr="004F6D71">
              <w:rPr>
                <w:rFonts w:ascii="Lucida Sans Unicode" w:hAnsi="Lucida Sans Unicode" w:cs="Lucida Sans Unicode"/>
                <w:spacing w:val="-2"/>
                <w:sz w:val="18"/>
                <w:szCs w:val="18"/>
                <w:vertAlign w:val="superscript"/>
              </w:rPr>
              <w:t>∗∗∗</w:t>
            </w:r>
          </w:p>
        </w:tc>
        <w:tc>
          <w:tcPr>
            <w:tcW w:w="983" w:type="dxa"/>
            <w:tcBorders>
              <w:top w:val="single" w:sz="4" w:space="0" w:color="000000"/>
              <w:left w:val="none" w:sz="6" w:space="0" w:color="auto"/>
              <w:bottom w:val="none" w:sz="6" w:space="0" w:color="auto"/>
              <w:right w:val="none" w:sz="6" w:space="0" w:color="auto"/>
            </w:tcBorders>
          </w:tcPr>
          <w:p w14:paraId="6B9ED3CE" w14:textId="77777777" w:rsidR="004F6D71" w:rsidRPr="004F6D71" w:rsidRDefault="004F6D71">
            <w:pPr>
              <w:pStyle w:val="TableParagraph"/>
              <w:kinsoku w:val="0"/>
              <w:overflowPunct w:val="0"/>
              <w:spacing w:before="19"/>
              <w:ind w:right="106"/>
              <w:rPr>
                <w:spacing w:val="-2"/>
                <w:sz w:val="18"/>
                <w:szCs w:val="18"/>
              </w:rPr>
            </w:pPr>
            <w:r w:rsidRPr="004F6D71">
              <w:rPr>
                <w:spacing w:val="-2"/>
                <w:sz w:val="18"/>
                <w:szCs w:val="18"/>
              </w:rPr>
              <w:t>0.003</w:t>
            </w:r>
          </w:p>
        </w:tc>
        <w:tc>
          <w:tcPr>
            <w:tcW w:w="983" w:type="dxa"/>
            <w:tcBorders>
              <w:top w:val="single" w:sz="4" w:space="0" w:color="000000"/>
              <w:left w:val="none" w:sz="6" w:space="0" w:color="auto"/>
              <w:bottom w:val="none" w:sz="6" w:space="0" w:color="auto"/>
              <w:right w:val="none" w:sz="6" w:space="0" w:color="auto"/>
            </w:tcBorders>
          </w:tcPr>
          <w:p w14:paraId="47307ACD" w14:textId="77777777" w:rsidR="004F6D71" w:rsidRPr="004F6D71" w:rsidRDefault="004F6D71">
            <w:pPr>
              <w:pStyle w:val="TableParagraph"/>
              <w:kinsoku w:val="0"/>
              <w:overflowPunct w:val="0"/>
              <w:spacing w:before="19"/>
              <w:ind w:right="106"/>
              <w:rPr>
                <w:spacing w:val="-2"/>
                <w:sz w:val="18"/>
                <w:szCs w:val="18"/>
              </w:rPr>
            </w:pPr>
            <w:r w:rsidRPr="004F6D71">
              <w:rPr>
                <w:spacing w:val="-2"/>
                <w:sz w:val="18"/>
                <w:szCs w:val="18"/>
              </w:rPr>
              <w:t>0.005</w:t>
            </w:r>
          </w:p>
        </w:tc>
        <w:tc>
          <w:tcPr>
            <w:tcW w:w="984" w:type="dxa"/>
            <w:tcBorders>
              <w:top w:val="single" w:sz="4" w:space="0" w:color="000000"/>
              <w:left w:val="none" w:sz="6" w:space="0" w:color="auto"/>
              <w:bottom w:val="none" w:sz="6" w:space="0" w:color="auto"/>
              <w:right w:val="none" w:sz="6" w:space="0" w:color="auto"/>
            </w:tcBorders>
          </w:tcPr>
          <w:p w14:paraId="29E3D2C8" w14:textId="77777777" w:rsidR="004F6D71" w:rsidRPr="004F6D71" w:rsidRDefault="004F6D71">
            <w:pPr>
              <w:pStyle w:val="TableParagraph"/>
              <w:kinsoku w:val="0"/>
              <w:overflowPunct w:val="0"/>
              <w:spacing w:before="19"/>
              <w:ind w:left="107" w:right="107"/>
              <w:rPr>
                <w:spacing w:val="-2"/>
                <w:sz w:val="18"/>
                <w:szCs w:val="18"/>
              </w:rPr>
            </w:pPr>
            <w:r w:rsidRPr="004F6D71">
              <w:rPr>
                <w:spacing w:val="-2"/>
                <w:sz w:val="18"/>
                <w:szCs w:val="18"/>
              </w:rPr>
              <w:t>-0.001</w:t>
            </w:r>
          </w:p>
        </w:tc>
      </w:tr>
      <w:tr w:rsidR="004F6D71" w14:paraId="78C287F6" w14:textId="77777777" w:rsidTr="004F6D71">
        <w:trPr>
          <w:trHeight w:val="320"/>
        </w:trPr>
        <w:tc>
          <w:tcPr>
            <w:tcW w:w="2735" w:type="dxa"/>
            <w:tcBorders>
              <w:top w:val="none" w:sz="6" w:space="0" w:color="auto"/>
              <w:left w:val="none" w:sz="6" w:space="0" w:color="auto"/>
              <w:bottom w:val="none" w:sz="6" w:space="0" w:color="auto"/>
              <w:right w:val="none" w:sz="6" w:space="0" w:color="auto"/>
            </w:tcBorders>
          </w:tcPr>
          <w:p w14:paraId="14A51546" w14:textId="77777777" w:rsidR="004F6D71" w:rsidRPr="004F6D71" w:rsidRDefault="004F6D71">
            <w:pPr>
              <w:pStyle w:val="TableParagraph"/>
              <w:kinsoku w:val="0"/>
              <w:overflowPunct w:val="0"/>
              <w:jc w:val="left"/>
              <w:rPr>
                <w:rFonts w:ascii="Times New Roman" w:hAnsi="Times New Roman" w:cs="Times New Roman"/>
                <w:sz w:val="18"/>
                <w:szCs w:val="18"/>
              </w:rPr>
            </w:pPr>
          </w:p>
        </w:tc>
        <w:tc>
          <w:tcPr>
            <w:tcW w:w="983" w:type="dxa"/>
            <w:tcBorders>
              <w:top w:val="none" w:sz="6" w:space="0" w:color="auto"/>
              <w:left w:val="none" w:sz="6" w:space="0" w:color="auto"/>
              <w:bottom w:val="none" w:sz="6" w:space="0" w:color="auto"/>
              <w:right w:val="none" w:sz="6" w:space="0" w:color="auto"/>
            </w:tcBorders>
          </w:tcPr>
          <w:p w14:paraId="1C2DE1B8" w14:textId="77777777" w:rsidR="004F6D71" w:rsidRPr="004F6D71" w:rsidRDefault="004F6D71">
            <w:pPr>
              <w:pStyle w:val="TableParagraph"/>
              <w:kinsoku w:val="0"/>
              <w:overflowPunct w:val="0"/>
              <w:spacing w:line="322" w:lineRule="exact"/>
              <w:ind w:right="104"/>
              <w:rPr>
                <w:spacing w:val="-2"/>
                <w:sz w:val="18"/>
                <w:szCs w:val="18"/>
              </w:rPr>
            </w:pPr>
            <w:r w:rsidRPr="004F6D71">
              <w:rPr>
                <w:spacing w:val="-2"/>
                <w:sz w:val="18"/>
                <w:szCs w:val="18"/>
              </w:rPr>
              <w:t>(0.008)</w:t>
            </w:r>
          </w:p>
        </w:tc>
        <w:tc>
          <w:tcPr>
            <w:tcW w:w="983" w:type="dxa"/>
            <w:tcBorders>
              <w:top w:val="none" w:sz="6" w:space="0" w:color="auto"/>
              <w:left w:val="none" w:sz="6" w:space="0" w:color="auto"/>
              <w:bottom w:val="none" w:sz="6" w:space="0" w:color="auto"/>
              <w:right w:val="none" w:sz="6" w:space="0" w:color="auto"/>
            </w:tcBorders>
          </w:tcPr>
          <w:p w14:paraId="273907AB" w14:textId="77777777" w:rsidR="004F6D71" w:rsidRPr="004F6D71" w:rsidRDefault="004F6D71">
            <w:pPr>
              <w:pStyle w:val="TableParagraph"/>
              <w:kinsoku w:val="0"/>
              <w:overflowPunct w:val="0"/>
              <w:spacing w:line="322" w:lineRule="exact"/>
              <w:ind w:right="103"/>
              <w:rPr>
                <w:spacing w:val="-2"/>
                <w:sz w:val="18"/>
                <w:szCs w:val="18"/>
              </w:rPr>
            </w:pPr>
            <w:r w:rsidRPr="004F6D71">
              <w:rPr>
                <w:spacing w:val="-2"/>
                <w:sz w:val="18"/>
                <w:szCs w:val="18"/>
              </w:rPr>
              <w:t>(0.004)</w:t>
            </w:r>
          </w:p>
        </w:tc>
        <w:tc>
          <w:tcPr>
            <w:tcW w:w="983" w:type="dxa"/>
            <w:tcBorders>
              <w:top w:val="none" w:sz="6" w:space="0" w:color="auto"/>
              <w:left w:val="none" w:sz="6" w:space="0" w:color="auto"/>
              <w:bottom w:val="none" w:sz="6" w:space="0" w:color="auto"/>
              <w:right w:val="none" w:sz="6" w:space="0" w:color="auto"/>
            </w:tcBorders>
          </w:tcPr>
          <w:p w14:paraId="51E7EAF6" w14:textId="77777777" w:rsidR="004F6D71" w:rsidRPr="004F6D71" w:rsidRDefault="004F6D71">
            <w:pPr>
              <w:pStyle w:val="TableParagraph"/>
              <w:kinsoku w:val="0"/>
              <w:overflowPunct w:val="0"/>
              <w:spacing w:line="322" w:lineRule="exact"/>
              <w:ind w:right="103"/>
              <w:rPr>
                <w:spacing w:val="-2"/>
                <w:sz w:val="18"/>
                <w:szCs w:val="18"/>
              </w:rPr>
            </w:pPr>
            <w:r w:rsidRPr="004F6D71">
              <w:rPr>
                <w:spacing w:val="-2"/>
                <w:sz w:val="18"/>
                <w:szCs w:val="18"/>
              </w:rPr>
              <w:t>(0.009)</w:t>
            </w:r>
          </w:p>
        </w:tc>
        <w:tc>
          <w:tcPr>
            <w:tcW w:w="984" w:type="dxa"/>
            <w:tcBorders>
              <w:top w:val="none" w:sz="6" w:space="0" w:color="auto"/>
              <w:left w:val="none" w:sz="6" w:space="0" w:color="auto"/>
              <w:bottom w:val="none" w:sz="6" w:space="0" w:color="auto"/>
              <w:right w:val="none" w:sz="6" w:space="0" w:color="auto"/>
            </w:tcBorders>
          </w:tcPr>
          <w:p w14:paraId="492DAFEA" w14:textId="77777777" w:rsidR="004F6D71" w:rsidRPr="004F6D71" w:rsidRDefault="004F6D71">
            <w:pPr>
              <w:pStyle w:val="TableParagraph"/>
              <w:kinsoku w:val="0"/>
              <w:overflowPunct w:val="0"/>
              <w:spacing w:line="322" w:lineRule="exact"/>
              <w:ind w:left="107" w:right="105"/>
              <w:rPr>
                <w:spacing w:val="-2"/>
                <w:sz w:val="18"/>
                <w:szCs w:val="18"/>
              </w:rPr>
            </w:pPr>
            <w:r w:rsidRPr="004F6D71">
              <w:rPr>
                <w:spacing w:val="-2"/>
                <w:sz w:val="18"/>
                <w:szCs w:val="18"/>
              </w:rPr>
              <w:t>(0.003)</w:t>
            </w:r>
          </w:p>
        </w:tc>
      </w:tr>
      <w:tr w:rsidR="004F6D71" w14:paraId="3960CEA9" w14:textId="77777777" w:rsidTr="004F6D71">
        <w:trPr>
          <w:trHeight w:val="352"/>
        </w:trPr>
        <w:tc>
          <w:tcPr>
            <w:tcW w:w="2735" w:type="dxa"/>
            <w:tcBorders>
              <w:top w:val="none" w:sz="6" w:space="0" w:color="auto"/>
              <w:left w:val="none" w:sz="6" w:space="0" w:color="auto"/>
              <w:bottom w:val="none" w:sz="6" w:space="0" w:color="auto"/>
              <w:right w:val="none" w:sz="6" w:space="0" w:color="auto"/>
            </w:tcBorders>
          </w:tcPr>
          <w:p w14:paraId="59E6CE0B" w14:textId="77777777" w:rsidR="004F6D71" w:rsidRPr="004F6D71" w:rsidRDefault="004F6D71">
            <w:pPr>
              <w:pStyle w:val="TableParagraph"/>
              <w:kinsoku w:val="0"/>
              <w:overflowPunct w:val="0"/>
              <w:spacing w:before="15"/>
              <w:ind w:left="119"/>
              <w:jc w:val="left"/>
              <w:rPr>
                <w:spacing w:val="-4"/>
                <w:sz w:val="18"/>
                <w:szCs w:val="18"/>
              </w:rPr>
            </w:pPr>
            <w:r w:rsidRPr="004F6D71">
              <w:rPr>
                <w:spacing w:val="-4"/>
                <w:sz w:val="18"/>
                <w:szCs w:val="18"/>
              </w:rPr>
              <w:t>RDD</w:t>
            </w:r>
          </w:p>
        </w:tc>
        <w:tc>
          <w:tcPr>
            <w:tcW w:w="983" w:type="dxa"/>
            <w:tcBorders>
              <w:top w:val="none" w:sz="6" w:space="0" w:color="auto"/>
              <w:left w:val="none" w:sz="6" w:space="0" w:color="auto"/>
              <w:bottom w:val="none" w:sz="6" w:space="0" w:color="auto"/>
              <w:right w:val="none" w:sz="6" w:space="0" w:color="auto"/>
            </w:tcBorders>
          </w:tcPr>
          <w:p w14:paraId="067B6892" w14:textId="77777777" w:rsidR="004F6D71" w:rsidRPr="004F6D71" w:rsidRDefault="004F6D71">
            <w:pPr>
              <w:pStyle w:val="TableParagraph"/>
              <w:kinsoku w:val="0"/>
              <w:overflowPunct w:val="0"/>
              <w:spacing w:before="15"/>
              <w:ind w:left="101" w:right="107"/>
              <w:rPr>
                <w:rFonts w:ascii="Lucida Sans Unicode" w:hAnsi="Lucida Sans Unicode" w:cs="Lucida Sans Unicode"/>
                <w:spacing w:val="-2"/>
                <w:sz w:val="18"/>
                <w:szCs w:val="18"/>
                <w:vertAlign w:val="superscript"/>
              </w:rPr>
            </w:pPr>
            <w:r w:rsidRPr="004F6D71">
              <w:rPr>
                <w:spacing w:val="-2"/>
                <w:sz w:val="18"/>
                <w:szCs w:val="18"/>
              </w:rPr>
              <w:t>-0.031</w:t>
            </w:r>
            <w:r w:rsidRPr="004F6D71">
              <w:rPr>
                <w:rFonts w:ascii="Lucida Sans Unicode" w:hAnsi="Lucida Sans Unicode" w:cs="Lucida Sans Unicode"/>
                <w:spacing w:val="-2"/>
                <w:sz w:val="18"/>
                <w:szCs w:val="18"/>
                <w:vertAlign w:val="superscript"/>
              </w:rPr>
              <w:t>∗∗∗</w:t>
            </w:r>
          </w:p>
        </w:tc>
        <w:tc>
          <w:tcPr>
            <w:tcW w:w="983" w:type="dxa"/>
            <w:tcBorders>
              <w:top w:val="none" w:sz="6" w:space="0" w:color="auto"/>
              <w:left w:val="none" w:sz="6" w:space="0" w:color="auto"/>
              <w:bottom w:val="none" w:sz="6" w:space="0" w:color="auto"/>
              <w:right w:val="none" w:sz="6" w:space="0" w:color="auto"/>
            </w:tcBorders>
          </w:tcPr>
          <w:p w14:paraId="47676415" w14:textId="77777777" w:rsidR="004F6D71" w:rsidRPr="004F6D71" w:rsidRDefault="004F6D71">
            <w:pPr>
              <w:pStyle w:val="TableParagraph"/>
              <w:kinsoku w:val="0"/>
              <w:overflowPunct w:val="0"/>
              <w:spacing w:before="15"/>
              <w:ind w:left="100" w:right="107"/>
              <w:rPr>
                <w:rFonts w:ascii="Lucida Sans Unicode" w:hAnsi="Lucida Sans Unicode" w:cs="Lucida Sans Unicode"/>
                <w:spacing w:val="-2"/>
                <w:sz w:val="18"/>
                <w:szCs w:val="18"/>
                <w:vertAlign w:val="superscript"/>
              </w:rPr>
            </w:pPr>
            <w:r w:rsidRPr="004F6D71">
              <w:rPr>
                <w:spacing w:val="-2"/>
                <w:sz w:val="18"/>
                <w:szCs w:val="18"/>
              </w:rPr>
              <w:t>0.017</w:t>
            </w:r>
            <w:r w:rsidRPr="004F6D71">
              <w:rPr>
                <w:rFonts w:ascii="Lucida Sans Unicode" w:hAnsi="Lucida Sans Unicode" w:cs="Lucida Sans Unicode"/>
                <w:spacing w:val="-2"/>
                <w:sz w:val="18"/>
                <w:szCs w:val="18"/>
                <w:vertAlign w:val="superscript"/>
              </w:rPr>
              <w:t>∗∗∗</w:t>
            </w:r>
          </w:p>
        </w:tc>
        <w:tc>
          <w:tcPr>
            <w:tcW w:w="983" w:type="dxa"/>
            <w:tcBorders>
              <w:top w:val="none" w:sz="6" w:space="0" w:color="auto"/>
              <w:left w:val="none" w:sz="6" w:space="0" w:color="auto"/>
              <w:bottom w:val="none" w:sz="6" w:space="0" w:color="auto"/>
              <w:right w:val="none" w:sz="6" w:space="0" w:color="auto"/>
            </w:tcBorders>
          </w:tcPr>
          <w:p w14:paraId="64775890" w14:textId="77777777" w:rsidR="004F6D71" w:rsidRPr="004F6D71" w:rsidRDefault="004F6D71">
            <w:pPr>
              <w:pStyle w:val="TableParagraph"/>
              <w:kinsoku w:val="0"/>
              <w:overflowPunct w:val="0"/>
              <w:spacing w:before="15"/>
              <w:ind w:right="106"/>
              <w:rPr>
                <w:spacing w:val="-2"/>
                <w:sz w:val="18"/>
                <w:szCs w:val="18"/>
              </w:rPr>
            </w:pPr>
            <w:r w:rsidRPr="004F6D71">
              <w:rPr>
                <w:spacing w:val="-2"/>
                <w:sz w:val="18"/>
                <w:szCs w:val="18"/>
              </w:rPr>
              <w:t>0.009</w:t>
            </w:r>
          </w:p>
        </w:tc>
        <w:tc>
          <w:tcPr>
            <w:tcW w:w="984" w:type="dxa"/>
            <w:tcBorders>
              <w:top w:val="none" w:sz="6" w:space="0" w:color="auto"/>
              <w:left w:val="none" w:sz="6" w:space="0" w:color="auto"/>
              <w:bottom w:val="none" w:sz="6" w:space="0" w:color="auto"/>
              <w:right w:val="none" w:sz="6" w:space="0" w:color="auto"/>
            </w:tcBorders>
          </w:tcPr>
          <w:p w14:paraId="518D6B78" w14:textId="77777777" w:rsidR="004F6D71" w:rsidRPr="004F6D71" w:rsidRDefault="004F6D71">
            <w:pPr>
              <w:pStyle w:val="TableParagraph"/>
              <w:kinsoku w:val="0"/>
              <w:overflowPunct w:val="0"/>
              <w:spacing w:before="15"/>
              <w:ind w:left="98" w:right="108"/>
              <w:rPr>
                <w:rFonts w:ascii="Lucida Sans Unicode" w:hAnsi="Lucida Sans Unicode" w:cs="Lucida Sans Unicode"/>
                <w:spacing w:val="-2"/>
                <w:sz w:val="18"/>
                <w:szCs w:val="18"/>
                <w:vertAlign w:val="superscript"/>
              </w:rPr>
            </w:pPr>
            <w:r w:rsidRPr="004F6D71">
              <w:rPr>
                <w:spacing w:val="-2"/>
                <w:sz w:val="18"/>
                <w:szCs w:val="18"/>
              </w:rPr>
              <w:t>0.012</w:t>
            </w:r>
            <w:r w:rsidRPr="004F6D71">
              <w:rPr>
                <w:rFonts w:ascii="Lucida Sans Unicode" w:hAnsi="Lucida Sans Unicode" w:cs="Lucida Sans Unicode"/>
                <w:spacing w:val="-2"/>
                <w:sz w:val="18"/>
                <w:szCs w:val="18"/>
                <w:vertAlign w:val="superscript"/>
              </w:rPr>
              <w:t>∗∗</w:t>
            </w:r>
          </w:p>
        </w:tc>
      </w:tr>
      <w:tr w:rsidR="004F6D71" w14:paraId="50EB6D04" w14:textId="77777777" w:rsidTr="004F6D71">
        <w:trPr>
          <w:trHeight w:val="320"/>
        </w:trPr>
        <w:tc>
          <w:tcPr>
            <w:tcW w:w="2735" w:type="dxa"/>
            <w:tcBorders>
              <w:top w:val="none" w:sz="6" w:space="0" w:color="auto"/>
              <w:left w:val="none" w:sz="6" w:space="0" w:color="auto"/>
              <w:bottom w:val="none" w:sz="6" w:space="0" w:color="auto"/>
              <w:right w:val="none" w:sz="6" w:space="0" w:color="auto"/>
            </w:tcBorders>
          </w:tcPr>
          <w:p w14:paraId="51E4EABB" w14:textId="77777777" w:rsidR="004F6D71" w:rsidRPr="004F6D71" w:rsidRDefault="004F6D71">
            <w:pPr>
              <w:pStyle w:val="TableParagraph"/>
              <w:kinsoku w:val="0"/>
              <w:overflowPunct w:val="0"/>
              <w:jc w:val="left"/>
              <w:rPr>
                <w:rFonts w:ascii="Times New Roman" w:hAnsi="Times New Roman" w:cs="Times New Roman"/>
                <w:sz w:val="18"/>
                <w:szCs w:val="18"/>
              </w:rPr>
            </w:pPr>
          </w:p>
        </w:tc>
        <w:tc>
          <w:tcPr>
            <w:tcW w:w="983" w:type="dxa"/>
            <w:tcBorders>
              <w:top w:val="none" w:sz="6" w:space="0" w:color="auto"/>
              <w:left w:val="none" w:sz="6" w:space="0" w:color="auto"/>
              <w:bottom w:val="none" w:sz="6" w:space="0" w:color="auto"/>
              <w:right w:val="none" w:sz="6" w:space="0" w:color="auto"/>
            </w:tcBorders>
          </w:tcPr>
          <w:p w14:paraId="560DF0C2" w14:textId="77777777" w:rsidR="004F6D71" w:rsidRPr="004F6D71" w:rsidRDefault="004F6D71">
            <w:pPr>
              <w:pStyle w:val="TableParagraph"/>
              <w:kinsoku w:val="0"/>
              <w:overflowPunct w:val="0"/>
              <w:spacing w:line="322" w:lineRule="exact"/>
              <w:ind w:right="104"/>
              <w:rPr>
                <w:spacing w:val="-2"/>
                <w:sz w:val="18"/>
                <w:szCs w:val="18"/>
              </w:rPr>
            </w:pPr>
            <w:r w:rsidRPr="004F6D71">
              <w:rPr>
                <w:spacing w:val="-2"/>
                <w:sz w:val="18"/>
                <w:szCs w:val="18"/>
              </w:rPr>
              <w:t>(0.010)</w:t>
            </w:r>
          </w:p>
        </w:tc>
        <w:tc>
          <w:tcPr>
            <w:tcW w:w="983" w:type="dxa"/>
            <w:tcBorders>
              <w:top w:val="none" w:sz="6" w:space="0" w:color="auto"/>
              <w:left w:val="none" w:sz="6" w:space="0" w:color="auto"/>
              <w:bottom w:val="none" w:sz="6" w:space="0" w:color="auto"/>
              <w:right w:val="none" w:sz="6" w:space="0" w:color="auto"/>
            </w:tcBorders>
          </w:tcPr>
          <w:p w14:paraId="6FDA20BC" w14:textId="77777777" w:rsidR="004F6D71" w:rsidRPr="004F6D71" w:rsidRDefault="004F6D71">
            <w:pPr>
              <w:pStyle w:val="TableParagraph"/>
              <w:kinsoku w:val="0"/>
              <w:overflowPunct w:val="0"/>
              <w:spacing w:line="322" w:lineRule="exact"/>
              <w:ind w:right="103"/>
              <w:rPr>
                <w:spacing w:val="-2"/>
                <w:sz w:val="18"/>
                <w:szCs w:val="18"/>
              </w:rPr>
            </w:pPr>
            <w:r w:rsidRPr="004F6D71">
              <w:rPr>
                <w:spacing w:val="-2"/>
                <w:sz w:val="18"/>
                <w:szCs w:val="18"/>
              </w:rPr>
              <w:t>(0.005)</w:t>
            </w:r>
          </w:p>
        </w:tc>
        <w:tc>
          <w:tcPr>
            <w:tcW w:w="983" w:type="dxa"/>
            <w:tcBorders>
              <w:top w:val="none" w:sz="6" w:space="0" w:color="auto"/>
              <w:left w:val="none" w:sz="6" w:space="0" w:color="auto"/>
              <w:bottom w:val="none" w:sz="6" w:space="0" w:color="auto"/>
              <w:right w:val="none" w:sz="6" w:space="0" w:color="auto"/>
            </w:tcBorders>
          </w:tcPr>
          <w:p w14:paraId="1E26B978" w14:textId="77777777" w:rsidR="004F6D71" w:rsidRPr="004F6D71" w:rsidRDefault="004F6D71">
            <w:pPr>
              <w:pStyle w:val="TableParagraph"/>
              <w:kinsoku w:val="0"/>
              <w:overflowPunct w:val="0"/>
              <w:spacing w:line="322" w:lineRule="exact"/>
              <w:ind w:right="103"/>
              <w:rPr>
                <w:spacing w:val="-2"/>
                <w:sz w:val="18"/>
                <w:szCs w:val="18"/>
              </w:rPr>
            </w:pPr>
            <w:r w:rsidRPr="004F6D71">
              <w:rPr>
                <w:spacing w:val="-2"/>
                <w:sz w:val="18"/>
                <w:szCs w:val="18"/>
              </w:rPr>
              <w:t>(0.009)</w:t>
            </w:r>
          </w:p>
        </w:tc>
        <w:tc>
          <w:tcPr>
            <w:tcW w:w="984" w:type="dxa"/>
            <w:tcBorders>
              <w:top w:val="none" w:sz="6" w:space="0" w:color="auto"/>
              <w:left w:val="none" w:sz="6" w:space="0" w:color="auto"/>
              <w:bottom w:val="none" w:sz="6" w:space="0" w:color="auto"/>
              <w:right w:val="none" w:sz="6" w:space="0" w:color="auto"/>
            </w:tcBorders>
          </w:tcPr>
          <w:p w14:paraId="4EA5FD18" w14:textId="77777777" w:rsidR="004F6D71" w:rsidRPr="004F6D71" w:rsidRDefault="004F6D71">
            <w:pPr>
              <w:pStyle w:val="TableParagraph"/>
              <w:kinsoku w:val="0"/>
              <w:overflowPunct w:val="0"/>
              <w:spacing w:line="322" w:lineRule="exact"/>
              <w:ind w:left="107" w:right="105"/>
              <w:rPr>
                <w:spacing w:val="-2"/>
                <w:sz w:val="18"/>
                <w:szCs w:val="18"/>
              </w:rPr>
            </w:pPr>
            <w:r w:rsidRPr="004F6D71">
              <w:rPr>
                <w:spacing w:val="-2"/>
                <w:sz w:val="18"/>
                <w:szCs w:val="18"/>
              </w:rPr>
              <w:t>(0.005)</w:t>
            </w:r>
          </w:p>
        </w:tc>
      </w:tr>
      <w:tr w:rsidR="004F6D71" w14:paraId="5EFF6D58" w14:textId="77777777" w:rsidTr="004F6D71">
        <w:trPr>
          <w:trHeight w:val="352"/>
        </w:trPr>
        <w:tc>
          <w:tcPr>
            <w:tcW w:w="2735" w:type="dxa"/>
            <w:tcBorders>
              <w:top w:val="none" w:sz="6" w:space="0" w:color="auto"/>
              <w:left w:val="none" w:sz="6" w:space="0" w:color="auto"/>
              <w:bottom w:val="none" w:sz="6" w:space="0" w:color="auto"/>
              <w:right w:val="none" w:sz="6" w:space="0" w:color="auto"/>
            </w:tcBorders>
          </w:tcPr>
          <w:p w14:paraId="72C2107C" w14:textId="77777777" w:rsidR="004F6D71" w:rsidRPr="004F6D71" w:rsidRDefault="004F6D71">
            <w:pPr>
              <w:pStyle w:val="TableParagraph"/>
              <w:kinsoku w:val="0"/>
              <w:overflowPunct w:val="0"/>
              <w:spacing w:before="15"/>
              <w:ind w:left="119"/>
              <w:jc w:val="left"/>
              <w:rPr>
                <w:spacing w:val="-4"/>
                <w:sz w:val="18"/>
                <w:szCs w:val="18"/>
              </w:rPr>
            </w:pPr>
            <w:r w:rsidRPr="004F6D71">
              <w:rPr>
                <w:spacing w:val="-4"/>
                <w:sz w:val="18"/>
                <w:szCs w:val="18"/>
              </w:rPr>
              <w:t>DDD</w:t>
            </w:r>
          </w:p>
        </w:tc>
        <w:tc>
          <w:tcPr>
            <w:tcW w:w="983" w:type="dxa"/>
            <w:tcBorders>
              <w:top w:val="none" w:sz="6" w:space="0" w:color="auto"/>
              <w:left w:val="none" w:sz="6" w:space="0" w:color="auto"/>
              <w:bottom w:val="none" w:sz="6" w:space="0" w:color="auto"/>
              <w:right w:val="none" w:sz="6" w:space="0" w:color="auto"/>
            </w:tcBorders>
          </w:tcPr>
          <w:p w14:paraId="19FF63AE" w14:textId="77777777" w:rsidR="004F6D71" w:rsidRPr="004F6D71" w:rsidRDefault="004F6D71">
            <w:pPr>
              <w:pStyle w:val="TableParagraph"/>
              <w:kinsoku w:val="0"/>
              <w:overflowPunct w:val="0"/>
              <w:spacing w:before="15"/>
              <w:ind w:right="105"/>
              <w:rPr>
                <w:spacing w:val="-2"/>
                <w:sz w:val="18"/>
                <w:szCs w:val="18"/>
              </w:rPr>
            </w:pPr>
            <w:r w:rsidRPr="004F6D71">
              <w:rPr>
                <w:spacing w:val="-2"/>
                <w:sz w:val="18"/>
                <w:szCs w:val="18"/>
              </w:rPr>
              <w:t>-0.014</w:t>
            </w:r>
          </w:p>
        </w:tc>
        <w:tc>
          <w:tcPr>
            <w:tcW w:w="983" w:type="dxa"/>
            <w:tcBorders>
              <w:top w:val="none" w:sz="6" w:space="0" w:color="auto"/>
              <w:left w:val="none" w:sz="6" w:space="0" w:color="auto"/>
              <w:bottom w:val="none" w:sz="6" w:space="0" w:color="auto"/>
              <w:right w:val="none" w:sz="6" w:space="0" w:color="auto"/>
            </w:tcBorders>
          </w:tcPr>
          <w:p w14:paraId="759FBCC9" w14:textId="77777777" w:rsidR="004F6D71" w:rsidRPr="004F6D71" w:rsidRDefault="004F6D71">
            <w:pPr>
              <w:pStyle w:val="TableParagraph"/>
              <w:kinsoku w:val="0"/>
              <w:overflowPunct w:val="0"/>
              <w:spacing w:before="15"/>
              <w:ind w:left="100" w:right="107"/>
              <w:rPr>
                <w:rFonts w:ascii="Lucida Sans Unicode" w:hAnsi="Lucida Sans Unicode" w:cs="Lucida Sans Unicode"/>
                <w:spacing w:val="-2"/>
                <w:sz w:val="18"/>
                <w:szCs w:val="18"/>
                <w:vertAlign w:val="superscript"/>
              </w:rPr>
            </w:pPr>
            <w:r w:rsidRPr="004F6D71">
              <w:rPr>
                <w:spacing w:val="-2"/>
                <w:sz w:val="18"/>
                <w:szCs w:val="18"/>
              </w:rPr>
              <w:t>0.041</w:t>
            </w:r>
            <w:r w:rsidRPr="004F6D71">
              <w:rPr>
                <w:rFonts w:ascii="Lucida Sans Unicode" w:hAnsi="Lucida Sans Unicode" w:cs="Lucida Sans Unicode"/>
                <w:spacing w:val="-2"/>
                <w:sz w:val="18"/>
                <w:szCs w:val="18"/>
                <w:vertAlign w:val="superscript"/>
              </w:rPr>
              <w:t>∗∗∗</w:t>
            </w:r>
          </w:p>
        </w:tc>
        <w:tc>
          <w:tcPr>
            <w:tcW w:w="983" w:type="dxa"/>
            <w:tcBorders>
              <w:top w:val="none" w:sz="6" w:space="0" w:color="auto"/>
              <w:left w:val="none" w:sz="6" w:space="0" w:color="auto"/>
              <w:bottom w:val="none" w:sz="6" w:space="0" w:color="auto"/>
              <w:right w:val="none" w:sz="6" w:space="0" w:color="auto"/>
            </w:tcBorders>
          </w:tcPr>
          <w:p w14:paraId="0C1A5C2A" w14:textId="77777777" w:rsidR="004F6D71" w:rsidRPr="004F6D71" w:rsidRDefault="004F6D71">
            <w:pPr>
              <w:pStyle w:val="TableParagraph"/>
              <w:kinsoku w:val="0"/>
              <w:overflowPunct w:val="0"/>
              <w:spacing w:before="15"/>
              <w:ind w:left="99" w:right="107"/>
              <w:rPr>
                <w:rFonts w:ascii="Sitka Small" w:hAnsi="Sitka Small" w:cs="Sitka Small"/>
                <w:i/>
                <w:iCs/>
                <w:spacing w:val="-2"/>
                <w:sz w:val="18"/>
                <w:szCs w:val="18"/>
                <w:vertAlign w:val="superscript"/>
              </w:rPr>
            </w:pPr>
            <w:r w:rsidRPr="004F6D71">
              <w:rPr>
                <w:spacing w:val="-2"/>
                <w:sz w:val="18"/>
                <w:szCs w:val="18"/>
              </w:rPr>
              <w:t>0.026</w:t>
            </w:r>
            <w:r w:rsidRPr="004F6D71">
              <w:rPr>
                <w:rFonts w:ascii="Sitka Small" w:hAnsi="Sitka Small" w:cs="Sitka Small"/>
                <w:i/>
                <w:iCs/>
                <w:spacing w:val="-2"/>
                <w:sz w:val="18"/>
                <w:szCs w:val="18"/>
                <w:vertAlign w:val="superscript"/>
              </w:rPr>
              <w:t>t</w:t>
            </w:r>
          </w:p>
        </w:tc>
        <w:tc>
          <w:tcPr>
            <w:tcW w:w="984" w:type="dxa"/>
            <w:tcBorders>
              <w:top w:val="none" w:sz="6" w:space="0" w:color="auto"/>
              <w:left w:val="none" w:sz="6" w:space="0" w:color="auto"/>
              <w:bottom w:val="none" w:sz="6" w:space="0" w:color="auto"/>
              <w:right w:val="none" w:sz="6" w:space="0" w:color="auto"/>
            </w:tcBorders>
          </w:tcPr>
          <w:p w14:paraId="6A4E7585" w14:textId="77777777" w:rsidR="004F6D71" w:rsidRPr="004F6D71" w:rsidRDefault="004F6D71">
            <w:pPr>
              <w:pStyle w:val="TableParagraph"/>
              <w:kinsoku w:val="0"/>
              <w:overflowPunct w:val="0"/>
              <w:spacing w:before="15"/>
              <w:ind w:left="98" w:right="108"/>
              <w:rPr>
                <w:rFonts w:ascii="Lucida Sans Unicode" w:hAnsi="Lucida Sans Unicode" w:cs="Lucida Sans Unicode"/>
                <w:spacing w:val="-2"/>
                <w:sz w:val="18"/>
                <w:szCs w:val="18"/>
                <w:vertAlign w:val="superscript"/>
              </w:rPr>
            </w:pPr>
            <w:r w:rsidRPr="004F6D71">
              <w:rPr>
                <w:spacing w:val="-2"/>
                <w:sz w:val="18"/>
                <w:szCs w:val="18"/>
              </w:rPr>
              <w:t>0.021</w:t>
            </w:r>
            <w:r w:rsidRPr="004F6D71">
              <w:rPr>
                <w:rFonts w:ascii="Lucida Sans Unicode" w:hAnsi="Lucida Sans Unicode" w:cs="Lucida Sans Unicode"/>
                <w:spacing w:val="-2"/>
                <w:sz w:val="18"/>
                <w:szCs w:val="18"/>
                <w:vertAlign w:val="superscript"/>
              </w:rPr>
              <w:t>∗∗</w:t>
            </w:r>
          </w:p>
        </w:tc>
      </w:tr>
      <w:tr w:rsidR="004F6D71" w14:paraId="782037C0" w14:textId="77777777" w:rsidTr="004F6D71">
        <w:trPr>
          <w:trHeight w:val="315"/>
        </w:trPr>
        <w:tc>
          <w:tcPr>
            <w:tcW w:w="2735" w:type="dxa"/>
            <w:tcBorders>
              <w:top w:val="none" w:sz="6" w:space="0" w:color="auto"/>
              <w:left w:val="none" w:sz="6" w:space="0" w:color="auto"/>
              <w:bottom w:val="single" w:sz="4" w:space="0" w:color="000000"/>
              <w:right w:val="none" w:sz="6" w:space="0" w:color="auto"/>
            </w:tcBorders>
          </w:tcPr>
          <w:p w14:paraId="0812B6BE" w14:textId="77777777" w:rsidR="004F6D71" w:rsidRPr="004F6D71" w:rsidRDefault="004F6D71">
            <w:pPr>
              <w:pStyle w:val="TableParagraph"/>
              <w:kinsoku w:val="0"/>
              <w:overflowPunct w:val="0"/>
              <w:jc w:val="left"/>
              <w:rPr>
                <w:rFonts w:ascii="Times New Roman" w:hAnsi="Times New Roman" w:cs="Times New Roman"/>
                <w:sz w:val="18"/>
                <w:szCs w:val="18"/>
              </w:rPr>
            </w:pPr>
          </w:p>
        </w:tc>
        <w:tc>
          <w:tcPr>
            <w:tcW w:w="983" w:type="dxa"/>
            <w:tcBorders>
              <w:top w:val="none" w:sz="6" w:space="0" w:color="auto"/>
              <w:left w:val="none" w:sz="6" w:space="0" w:color="auto"/>
              <w:bottom w:val="single" w:sz="4" w:space="0" w:color="000000"/>
              <w:right w:val="none" w:sz="6" w:space="0" w:color="auto"/>
            </w:tcBorders>
          </w:tcPr>
          <w:p w14:paraId="50F94E78" w14:textId="77777777" w:rsidR="004F6D71" w:rsidRPr="004F6D71" w:rsidRDefault="004F6D71">
            <w:pPr>
              <w:pStyle w:val="TableParagraph"/>
              <w:kinsoku w:val="0"/>
              <w:overflowPunct w:val="0"/>
              <w:spacing w:line="316" w:lineRule="exact"/>
              <w:ind w:right="104"/>
              <w:rPr>
                <w:spacing w:val="-2"/>
                <w:sz w:val="18"/>
                <w:szCs w:val="18"/>
              </w:rPr>
            </w:pPr>
            <w:r w:rsidRPr="004F6D71">
              <w:rPr>
                <w:spacing w:val="-2"/>
                <w:sz w:val="18"/>
                <w:szCs w:val="18"/>
              </w:rPr>
              <w:t>(0.018)</w:t>
            </w:r>
          </w:p>
        </w:tc>
        <w:tc>
          <w:tcPr>
            <w:tcW w:w="983" w:type="dxa"/>
            <w:tcBorders>
              <w:top w:val="none" w:sz="6" w:space="0" w:color="auto"/>
              <w:left w:val="none" w:sz="6" w:space="0" w:color="auto"/>
              <w:bottom w:val="single" w:sz="4" w:space="0" w:color="000000"/>
              <w:right w:val="none" w:sz="6" w:space="0" w:color="auto"/>
            </w:tcBorders>
          </w:tcPr>
          <w:p w14:paraId="07443B52" w14:textId="77777777" w:rsidR="004F6D71" w:rsidRPr="004F6D71" w:rsidRDefault="004F6D71">
            <w:pPr>
              <w:pStyle w:val="TableParagraph"/>
              <w:kinsoku w:val="0"/>
              <w:overflowPunct w:val="0"/>
              <w:spacing w:line="316" w:lineRule="exact"/>
              <w:ind w:right="103"/>
              <w:rPr>
                <w:spacing w:val="-2"/>
                <w:sz w:val="18"/>
                <w:szCs w:val="18"/>
              </w:rPr>
            </w:pPr>
            <w:r w:rsidRPr="004F6D71">
              <w:rPr>
                <w:spacing w:val="-2"/>
                <w:sz w:val="18"/>
                <w:szCs w:val="18"/>
              </w:rPr>
              <w:t>(0.008)</w:t>
            </w:r>
          </w:p>
        </w:tc>
        <w:tc>
          <w:tcPr>
            <w:tcW w:w="983" w:type="dxa"/>
            <w:tcBorders>
              <w:top w:val="none" w:sz="6" w:space="0" w:color="auto"/>
              <w:left w:val="none" w:sz="6" w:space="0" w:color="auto"/>
              <w:bottom w:val="single" w:sz="4" w:space="0" w:color="000000"/>
              <w:right w:val="none" w:sz="6" w:space="0" w:color="auto"/>
            </w:tcBorders>
          </w:tcPr>
          <w:p w14:paraId="5FA47794" w14:textId="77777777" w:rsidR="004F6D71" w:rsidRPr="004F6D71" w:rsidRDefault="004F6D71">
            <w:pPr>
              <w:pStyle w:val="TableParagraph"/>
              <w:kinsoku w:val="0"/>
              <w:overflowPunct w:val="0"/>
              <w:spacing w:line="316" w:lineRule="exact"/>
              <w:ind w:right="103"/>
              <w:rPr>
                <w:spacing w:val="-2"/>
                <w:sz w:val="18"/>
                <w:szCs w:val="18"/>
              </w:rPr>
            </w:pPr>
            <w:r w:rsidRPr="004F6D71">
              <w:rPr>
                <w:spacing w:val="-2"/>
                <w:sz w:val="18"/>
                <w:szCs w:val="18"/>
              </w:rPr>
              <w:t>(0.016)</w:t>
            </w:r>
          </w:p>
        </w:tc>
        <w:tc>
          <w:tcPr>
            <w:tcW w:w="984" w:type="dxa"/>
            <w:tcBorders>
              <w:top w:val="none" w:sz="6" w:space="0" w:color="auto"/>
              <w:left w:val="none" w:sz="6" w:space="0" w:color="auto"/>
              <w:bottom w:val="single" w:sz="4" w:space="0" w:color="000000"/>
              <w:right w:val="none" w:sz="6" w:space="0" w:color="auto"/>
            </w:tcBorders>
          </w:tcPr>
          <w:p w14:paraId="438C4AD9" w14:textId="77777777" w:rsidR="004F6D71" w:rsidRPr="004F6D71" w:rsidRDefault="004F6D71">
            <w:pPr>
              <w:pStyle w:val="TableParagraph"/>
              <w:kinsoku w:val="0"/>
              <w:overflowPunct w:val="0"/>
              <w:spacing w:line="316" w:lineRule="exact"/>
              <w:ind w:left="107" w:right="105"/>
              <w:rPr>
                <w:spacing w:val="-2"/>
                <w:sz w:val="18"/>
                <w:szCs w:val="18"/>
              </w:rPr>
            </w:pPr>
            <w:r w:rsidRPr="004F6D71">
              <w:rPr>
                <w:spacing w:val="-2"/>
                <w:sz w:val="18"/>
                <w:szCs w:val="18"/>
              </w:rPr>
              <w:t>(0.007)</w:t>
            </w:r>
          </w:p>
        </w:tc>
      </w:tr>
      <w:tr w:rsidR="004F6D71" w14:paraId="14DC9E09" w14:textId="77777777" w:rsidTr="004F6D71">
        <w:trPr>
          <w:trHeight w:val="342"/>
        </w:trPr>
        <w:tc>
          <w:tcPr>
            <w:tcW w:w="2735" w:type="dxa"/>
            <w:tcBorders>
              <w:top w:val="single" w:sz="4" w:space="0" w:color="000000"/>
              <w:left w:val="none" w:sz="6" w:space="0" w:color="auto"/>
              <w:bottom w:val="none" w:sz="6" w:space="0" w:color="auto"/>
              <w:right w:val="none" w:sz="6" w:space="0" w:color="auto"/>
            </w:tcBorders>
          </w:tcPr>
          <w:p w14:paraId="0707C78D" w14:textId="77777777" w:rsidR="004F6D71" w:rsidRPr="004F6D71" w:rsidRDefault="004F6D71">
            <w:pPr>
              <w:pStyle w:val="TableParagraph"/>
              <w:kinsoku w:val="0"/>
              <w:overflowPunct w:val="0"/>
              <w:spacing w:before="19" w:line="327" w:lineRule="exact"/>
              <w:ind w:left="119"/>
              <w:jc w:val="left"/>
              <w:rPr>
                <w:w w:val="99"/>
                <w:sz w:val="18"/>
                <w:szCs w:val="18"/>
              </w:rPr>
            </w:pPr>
            <w:r w:rsidRPr="004F6D71">
              <w:rPr>
                <w:w w:val="99"/>
                <w:sz w:val="18"/>
                <w:szCs w:val="18"/>
              </w:rPr>
              <w:t>N</w:t>
            </w:r>
          </w:p>
        </w:tc>
        <w:tc>
          <w:tcPr>
            <w:tcW w:w="983" w:type="dxa"/>
            <w:tcBorders>
              <w:top w:val="single" w:sz="4" w:space="0" w:color="000000"/>
              <w:left w:val="none" w:sz="6" w:space="0" w:color="auto"/>
              <w:bottom w:val="none" w:sz="6" w:space="0" w:color="auto"/>
              <w:right w:val="none" w:sz="6" w:space="0" w:color="auto"/>
            </w:tcBorders>
          </w:tcPr>
          <w:p w14:paraId="507F1702" w14:textId="77777777" w:rsidR="004F6D71" w:rsidRPr="004F6D71" w:rsidRDefault="004F6D71">
            <w:pPr>
              <w:pStyle w:val="TableParagraph"/>
              <w:kinsoku w:val="0"/>
              <w:overflowPunct w:val="0"/>
              <w:spacing w:before="19" w:line="327" w:lineRule="exact"/>
              <w:ind w:right="105"/>
              <w:rPr>
                <w:spacing w:val="-2"/>
                <w:sz w:val="18"/>
                <w:szCs w:val="18"/>
              </w:rPr>
            </w:pPr>
            <w:r w:rsidRPr="004F6D71">
              <w:rPr>
                <w:spacing w:val="-2"/>
                <w:sz w:val="18"/>
                <w:szCs w:val="18"/>
              </w:rPr>
              <w:t>4,782</w:t>
            </w:r>
          </w:p>
        </w:tc>
        <w:tc>
          <w:tcPr>
            <w:tcW w:w="983" w:type="dxa"/>
            <w:tcBorders>
              <w:top w:val="single" w:sz="4" w:space="0" w:color="000000"/>
              <w:left w:val="none" w:sz="6" w:space="0" w:color="auto"/>
              <w:bottom w:val="none" w:sz="6" w:space="0" w:color="auto"/>
              <w:right w:val="none" w:sz="6" w:space="0" w:color="auto"/>
            </w:tcBorders>
          </w:tcPr>
          <w:p w14:paraId="36A276B4" w14:textId="77777777" w:rsidR="004F6D71" w:rsidRPr="004F6D71" w:rsidRDefault="004F6D71">
            <w:pPr>
              <w:pStyle w:val="TableParagraph"/>
              <w:kinsoku w:val="0"/>
              <w:overflowPunct w:val="0"/>
              <w:spacing w:before="19" w:line="327" w:lineRule="exact"/>
              <w:ind w:right="106"/>
              <w:rPr>
                <w:spacing w:val="-2"/>
                <w:sz w:val="18"/>
                <w:szCs w:val="18"/>
              </w:rPr>
            </w:pPr>
            <w:r w:rsidRPr="004F6D71">
              <w:rPr>
                <w:spacing w:val="-2"/>
                <w:sz w:val="18"/>
                <w:szCs w:val="18"/>
              </w:rPr>
              <w:t>39,403</w:t>
            </w:r>
          </w:p>
        </w:tc>
        <w:tc>
          <w:tcPr>
            <w:tcW w:w="983" w:type="dxa"/>
            <w:tcBorders>
              <w:top w:val="single" w:sz="4" w:space="0" w:color="000000"/>
              <w:left w:val="none" w:sz="6" w:space="0" w:color="auto"/>
              <w:bottom w:val="none" w:sz="6" w:space="0" w:color="auto"/>
              <w:right w:val="none" w:sz="6" w:space="0" w:color="auto"/>
            </w:tcBorders>
          </w:tcPr>
          <w:p w14:paraId="11B09C1A" w14:textId="77777777" w:rsidR="004F6D71" w:rsidRPr="004F6D71" w:rsidRDefault="004F6D71">
            <w:pPr>
              <w:pStyle w:val="TableParagraph"/>
              <w:kinsoku w:val="0"/>
              <w:overflowPunct w:val="0"/>
              <w:spacing w:before="19" w:line="327" w:lineRule="exact"/>
              <w:ind w:right="106"/>
              <w:rPr>
                <w:spacing w:val="-2"/>
                <w:sz w:val="18"/>
                <w:szCs w:val="18"/>
              </w:rPr>
            </w:pPr>
            <w:r w:rsidRPr="004F6D71">
              <w:rPr>
                <w:spacing w:val="-2"/>
                <w:sz w:val="18"/>
                <w:szCs w:val="18"/>
              </w:rPr>
              <w:t>57,370</w:t>
            </w:r>
          </w:p>
        </w:tc>
        <w:tc>
          <w:tcPr>
            <w:tcW w:w="984" w:type="dxa"/>
            <w:tcBorders>
              <w:top w:val="single" w:sz="4" w:space="0" w:color="000000"/>
              <w:left w:val="none" w:sz="6" w:space="0" w:color="auto"/>
              <w:bottom w:val="none" w:sz="6" w:space="0" w:color="auto"/>
              <w:right w:val="none" w:sz="6" w:space="0" w:color="auto"/>
            </w:tcBorders>
          </w:tcPr>
          <w:p w14:paraId="3F615A93" w14:textId="77777777" w:rsidR="004F6D71" w:rsidRPr="004F6D71" w:rsidRDefault="004F6D71">
            <w:pPr>
              <w:pStyle w:val="TableParagraph"/>
              <w:kinsoku w:val="0"/>
              <w:overflowPunct w:val="0"/>
              <w:spacing w:before="19" w:line="327" w:lineRule="exact"/>
              <w:ind w:left="107" w:right="108"/>
              <w:rPr>
                <w:spacing w:val="-2"/>
                <w:sz w:val="18"/>
                <w:szCs w:val="18"/>
              </w:rPr>
            </w:pPr>
            <w:r w:rsidRPr="004F6D71">
              <w:rPr>
                <w:spacing w:val="-2"/>
                <w:sz w:val="18"/>
                <w:szCs w:val="18"/>
              </w:rPr>
              <w:t>53,754</w:t>
            </w:r>
          </w:p>
        </w:tc>
      </w:tr>
      <w:tr w:rsidR="004F6D71" w14:paraId="132E2FD3" w14:textId="77777777" w:rsidTr="004F6D71">
        <w:trPr>
          <w:trHeight w:val="349"/>
        </w:trPr>
        <w:tc>
          <w:tcPr>
            <w:tcW w:w="2735" w:type="dxa"/>
            <w:tcBorders>
              <w:top w:val="none" w:sz="6" w:space="0" w:color="auto"/>
              <w:left w:val="none" w:sz="6" w:space="0" w:color="auto"/>
              <w:bottom w:val="none" w:sz="6" w:space="0" w:color="auto"/>
              <w:right w:val="none" w:sz="6" w:space="0" w:color="auto"/>
            </w:tcBorders>
          </w:tcPr>
          <w:p w14:paraId="6EA77092" w14:textId="77777777" w:rsidR="004F6D71" w:rsidRPr="004F6D71" w:rsidRDefault="004F6D71">
            <w:pPr>
              <w:pStyle w:val="TableParagraph"/>
              <w:kinsoku w:val="0"/>
              <w:overflowPunct w:val="0"/>
              <w:spacing w:before="54"/>
              <w:ind w:left="119"/>
              <w:jc w:val="left"/>
              <w:rPr>
                <w:rFonts w:ascii="Eras Medium ITC" w:hAnsi="Eras Medium ITC" w:cs="Eras Medium ITC"/>
                <w:spacing w:val="-2"/>
                <w:w w:val="105"/>
                <w:sz w:val="18"/>
                <w:szCs w:val="18"/>
                <w:vertAlign w:val="superscript"/>
              </w:rPr>
            </w:pPr>
            <w:r w:rsidRPr="004F6D71">
              <w:rPr>
                <w:rFonts w:ascii="Bookman Old Style" w:hAnsi="Bookman Old Style" w:cs="Bookman Old Style"/>
                <w:i/>
                <w:iCs/>
                <w:spacing w:val="-2"/>
                <w:w w:val="105"/>
                <w:sz w:val="18"/>
                <w:szCs w:val="18"/>
              </w:rPr>
              <w:t>Adj.R</w:t>
            </w:r>
            <w:r w:rsidRPr="004F6D71">
              <w:rPr>
                <w:rFonts w:ascii="Eras Medium ITC" w:hAnsi="Eras Medium ITC" w:cs="Eras Medium ITC"/>
                <w:spacing w:val="-2"/>
                <w:w w:val="105"/>
                <w:sz w:val="18"/>
                <w:szCs w:val="18"/>
                <w:vertAlign w:val="superscript"/>
              </w:rPr>
              <w:t>2</w:t>
            </w:r>
          </w:p>
        </w:tc>
        <w:tc>
          <w:tcPr>
            <w:tcW w:w="983" w:type="dxa"/>
            <w:tcBorders>
              <w:top w:val="none" w:sz="6" w:space="0" w:color="auto"/>
              <w:left w:val="none" w:sz="6" w:space="0" w:color="auto"/>
              <w:bottom w:val="none" w:sz="6" w:space="0" w:color="auto"/>
              <w:right w:val="none" w:sz="6" w:space="0" w:color="auto"/>
            </w:tcBorders>
          </w:tcPr>
          <w:p w14:paraId="28967ED0" w14:textId="77777777" w:rsidR="004F6D71" w:rsidRPr="004F6D71" w:rsidRDefault="004F6D71">
            <w:pPr>
              <w:pStyle w:val="TableParagraph"/>
              <w:kinsoku w:val="0"/>
              <w:overflowPunct w:val="0"/>
              <w:spacing w:before="12"/>
              <w:ind w:right="105"/>
              <w:rPr>
                <w:spacing w:val="-2"/>
                <w:sz w:val="18"/>
                <w:szCs w:val="18"/>
              </w:rPr>
            </w:pPr>
            <w:r w:rsidRPr="004F6D71">
              <w:rPr>
                <w:spacing w:val="-2"/>
                <w:sz w:val="18"/>
                <w:szCs w:val="18"/>
              </w:rPr>
              <w:t>0.0461</w:t>
            </w:r>
          </w:p>
        </w:tc>
        <w:tc>
          <w:tcPr>
            <w:tcW w:w="983" w:type="dxa"/>
            <w:tcBorders>
              <w:top w:val="none" w:sz="6" w:space="0" w:color="auto"/>
              <w:left w:val="none" w:sz="6" w:space="0" w:color="auto"/>
              <w:bottom w:val="none" w:sz="6" w:space="0" w:color="auto"/>
              <w:right w:val="none" w:sz="6" w:space="0" w:color="auto"/>
            </w:tcBorders>
          </w:tcPr>
          <w:p w14:paraId="308BA916" w14:textId="77777777" w:rsidR="004F6D71" w:rsidRPr="004F6D71" w:rsidRDefault="004F6D71">
            <w:pPr>
              <w:pStyle w:val="TableParagraph"/>
              <w:kinsoku w:val="0"/>
              <w:overflowPunct w:val="0"/>
              <w:spacing w:before="12"/>
              <w:ind w:right="106"/>
              <w:rPr>
                <w:spacing w:val="-2"/>
                <w:sz w:val="18"/>
                <w:szCs w:val="18"/>
              </w:rPr>
            </w:pPr>
            <w:r w:rsidRPr="004F6D71">
              <w:rPr>
                <w:spacing w:val="-2"/>
                <w:sz w:val="18"/>
                <w:szCs w:val="18"/>
              </w:rPr>
              <w:t>0.0195</w:t>
            </w:r>
          </w:p>
        </w:tc>
        <w:tc>
          <w:tcPr>
            <w:tcW w:w="983" w:type="dxa"/>
            <w:tcBorders>
              <w:top w:val="none" w:sz="6" w:space="0" w:color="auto"/>
              <w:left w:val="none" w:sz="6" w:space="0" w:color="auto"/>
              <w:bottom w:val="none" w:sz="6" w:space="0" w:color="auto"/>
              <w:right w:val="none" w:sz="6" w:space="0" w:color="auto"/>
            </w:tcBorders>
          </w:tcPr>
          <w:p w14:paraId="78E27B51" w14:textId="77777777" w:rsidR="004F6D71" w:rsidRPr="004F6D71" w:rsidRDefault="004F6D71">
            <w:pPr>
              <w:pStyle w:val="TableParagraph"/>
              <w:kinsoku w:val="0"/>
              <w:overflowPunct w:val="0"/>
              <w:spacing w:before="12"/>
              <w:ind w:right="107"/>
              <w:rPr>
                <w:spacing w:val="-2"/>
                <w:sz w:val="18"/>
                <w:szCs w:val="18"/>
              </w:rPr>
            </w:pPr>
            <w:r w:rsidRPr="004F6D71">
              <w:rPr>
                <w:spacing w:val="-2"/>
                <w:sz w:val="18"/>
                <w:szCs w:val="18"/>
              </w:rPr>
              <w:t>0.0747</w:t>
            </w:r>
          </w:p>
        </w:tc>
        <w:tc>
          <w:tcPr>
            <w:tcW w:w="984" w:type="dxa"/>
            <w:tcBorders>
              <w:top w:val="none" w:sz="6" w:space="0" w:color="auto"/>
              <w:left w:val="none" w:sz="6" w:space="0" w:color="auto"/>
              <w:bottom w:val="none" w:sz="6" w:space="0" w:color="auto"/>
              <w:right w:val="none" w:sz="6" w:space="0" w:color="auto"/>
            </w:tcBorders>
          </w:tcPr>
          <w:p w14:paraId="23A1D9D3" w14:textId="77777777" w:rsidR="004F6D71" w:rsidRPr="004F6D71" w:rsidRDefault="004F6D71">
            <w:pPr>
              <w:pStyle w:val="TableParagraph"/>
              <w:kinsoku w:val="0"/>
              <w:overflowPunct w:val="0"/>
              <w:spacing w:before="12"/>
              <w:ind w:left="107" w:right="108"/>
              <w:rPr>
                <w:spacing w:val="-2"/>
                <w:sz w:val="18"/>
                <w:szCs w:val="18"/>
              </w:rPr>
            </w:pPr>
            <w:r w:rsidRPr="004F6D71">
              <w:rPr>
                <w:spacing w:val="-2"/>
                <w:sz w:val="18"/>
                <w:szCs w:val="18"/>
              </w:rPr>
              <w:t>0.0370</w:t>
            </w:r>
          </w:p>
        </w:tc>
      </w:tr>
      <w:tr w:rsidR="004F6D71" w14:paraId="73F80C96" w14:textId="77777777" w:rsidTr="004F6D71">
        <w:trPr>
          <w:trHeight w:val="327"/>
        </w:trPr>
        <w:tc>
          <w:tcPr>
            <w:tcW w:w="2735" w:type="dxa"/>
            <w:tcBorders>
              <w:top w:val="none" w:sz="6" w:space="0" w:color="auto"/>
              <w:left w:val="none" w:sz="6" w:space="0" w:color="auto"/>
              <w:bottom w:val="double" w:sz="2" w:space="0" w:color="000000"/>
              <w:right w:val="none" w:sz="6" w:space="0" w:color="auto"/>
            </w:tcBorders>
          </w:tcPr>
          <w:p w14:paraId="6DED5FA8" w14:textId="77777777" w:rsidR="004F6D71" w:rsidRPr="004F6D71" w:rsidRDefault="004F6D71">
            <w:pPr>
              <w:pStyle w:val="TableParagraph"/>
              <w:kinsoku w:val="0"/>
              <w:overflowPunct w:val="0"/>
              <w:spacing w:line="330" w:lineRule="exact"/>
              <w:ind w:left="119"/>
              <w:jc w:val="left"/>
              <w:rPr>
                <w:spacing w:val="-4"/>
                <w:sz w:val="18"/>
                <w:szCs w:val="18"/>
              </w:rPr>
            </w:pPr>
            <w:r w:rsidRPr="004F6D71">
              <w:rPr>
                <w:spacing w:val="-4"/>
                <w:sz w:val="18"/>
                <w:szCs w:val="18"/>
              </w:rPr>
              <w:t>Mean</w:t>
            </w:r>
          </w:p>
        </w:tc>
        <w:tc>
          <w:tcPr>
            <w:tcW w:w="983" w:type="dxa"/>
            <w:tcBorders>
              <w:top w:val="none" w:sz="6" w:space="0" w:color="auto"/>
              <w:left w:val="none" w:sz="6" w:space="0" w:color="auto"/>
              <w:bottom w:val="double" w:sz="2" w:space="0" w:color="000000"/>
              <w:right w:val="none" w:sz="6" w:space="0" w:color="auto"/>
            </w:tcBorders>
          </w:tcPr>
          <w:p w14:paraId="467B9E1A" w14:textId="77777777" w:rsidR="004F6D71" w:rsidRPr="004F6D71" w:rsidRDefault="004F6D71">
            <w:pPr>
              <w:pStyle w:val="TableParagraph"/>
              <w:kinsoku w:val="0"/>
              <w:overflowPunct w:val="0"/>
              <w:spacing w:line="330" w:lineRule="exact"/>
              <w:ind w:right="105"/>
              <w:rPr>
                <w:spacing w:val="-2"/>
                <w:sz w:val="18"/>
                <w:szCs w:val="18"/>
              </w:rPr>
            </w:pPr>
            <w:r w:rsidRPr="004F6D71">
              <w:rPr>
                <w:spacing w:val="-2"/>
                <w:sz w:val="18"/>
                <w:szCs w:val="18"/>
              </w:rPr>
              <w:t>0.9042</w:t>
            </w:r>
          </w:p>
        </w:tc>
        <w:tc>
          <w:tcPr>
            <w:tcW w:w="983" w:type="dxa"/>
            <w:tcBorders>
              <w:top w:val="none" w:sz="6" w:space="0" w:color="auto"/>
              <w:left w:val="none" w:sz="6" w:space="0" w:color="auto"/>
              <w:bottom w:val="double" w:sz="2" w:space="0" w:color="000000"/>
              <w:right w:val="none" w:sz="6" w:space="0" w:color="auto"/>
            </w:tcBorders>
          </w:tcPr>
          <w:p w14:paraId="0F6D1ED8" w14:textId="77777777" w:rsidR="004F6D71" w:rsidRPr="004F6D71" w:rsidRDefault="004F6D71">
            <w:pPr>
              <w:pStyle w:val="TableParagraph"/>
              <w:kinsoku w:val="0"/>
              <w:overflowPunct w:val="0"/>
              <w:spacing w:line="330" w:lineRule="exact"/>
              <w:ind w:right="106"/>
              <w:rPr>
                <w:spacing w:val="-2"/>
                <w:sz w:val="18"/>
                <w:szCs w:val="18"/>
              </w:rPr>
            </w:pPr>
            <w:r w:rsidRPr="004F6D71">
              <w:rPr>
                <w:spacing w:val="-2"/>
                <w:sz w:val="18"/>
                <w:szCs w:val="18"/>
              </w:rPr>
              <w:t>0.9259</w:t>
            </w:r>
          </w:p>
        </w:tc>
        <w:tc>
          <w:tcPr>
            <w:tcW w:w="983" w:type="dxa"/>
            <w:tcBorders>
              <w:top w:val="none" w:sz="6" w:space="0" w:color="auto"/>
              <w:left w:val="none" w:sz="6" w:space="0" w:color="auto"/>
              <w:bottom w:val="double" w:sz="2" w:space="0" w:color="000000"/>
              <w:right w:val="none" w:sz="6" w:space="0" w:color="auto"/>
            </w:tcBorders>
          </w:tcPr>
          <w:p w14:paraId="6844FE50" w14:textId="77777777" w:rsidR="004F6D71" w:rsidRPr="004F6D71" w:rsidRDefault="004F6D71">
            <w:pPr>
              <w:pStyle w:val="TableParagraph"/>
              <w:kinsoku w:val="0"/>
              <w:overflowPunct w:val="0"/>
              <w:spacing w:line="330" w:lineRule="exact"/>
              <w:ind w:right="106"/>
              <w:rPr>
                <w:spacing w:val="-2"/>
                <w:sz w:val="18"/>
                <w:szCs w:val="18"/>
              </w:rPr>
            </w:pPr>
            <w:r w:rsidRPr="004F6D71">
              <w:rPr>
                <w:spacing w:val="-2"/>
                <w:sz w:val="18"/>
                <w:szCs w:val="18"/>
              </w:rPr>
              <w:t>0.9000</w:t>
            </w:r>
          </w:p>
        </w:tc>
        <w:tc>
          <w:tcPr>
            <w:tcW w:w="984" w:type="dxa"/>
            <w:tcBorders>
              <w:top w:val="none" w:sz="6" w:space="0" w:color="auto"/>
              <w:left w:val="none" w:sz="6" w:space="0" w:color="auto"/>
              <w:bottom w:val="double" w:sz="2" w:space="0" w:color="000000"/>
              <w:right w:val="none" w:sz="6" w:space="0" w:color="auto"/>
            </w:tcBorders>
          </w:tcPr>
          <w:p w14:paraId="39DD2598" w14:textId="77777777" w:rsidR="004F6D71" w:rsidRPr="004F6D71" w:rsidRDefault="004F6D71">
            <w:pPr>
              <w:pStyle w:val="TableParagraph"/>
              <w:kinsoku w:val="0"/>
              <w:overflowPunct w:val="0"/>
              <w:spacing w:line="330" w:lineRule="exact"/>
              <w:ind w:left="107" w:right="107"/>
              <w:rPr>
                <w:spacing w:val="-2"/>
                <w:sz w:val="18"/>
                <w:szCs w:val="18"/>
              </w:rPr>
            </w:pPr>
            <w:r w:rsidRPr="004F6D71">
              <w:rPr>
                <w:spacing w:val="-2"/>
                <w:sz w:val="18"/>
                <w:szCs w:val="18"/>
              </w:rPr>
              <w:t>0.9197</w:t>
            </w:r>
          </w:p>
        </w:tc>
      </w:tr>
      <w:tr w:rsidR="004F6D71" w14:paraId="513A07CE" w14:textId="77777777" w:rsidTr="004F6D71">
        <w:trPr>
          <w:trHeight w:val="347"/>
        </w:trPr>
        <w:tc>
          <w:tcPr>
            <w:tcW w:w="2735" w:type="dxa"/>
            <w:tcBorders>
              <w:top w:val="double" w:sz="2" w:space="0" w:color="000000"/>
              <w:left w:val="none" w:sz="6" w:space="0" w:color="auto"/>
              <w:bottom w:val="single" w:sz="4" w:space="0" w:color="000000"/>
              <w:right w:val="none" w:sz="6" w:space="0" w:color="auto"/>
            </w:tcBorders>
          </w:tcPr>
          <w:p w14:paraId="0E07C491" w14:textId="0CAEEEF3" w:rsidR="004F6D71" w:rsidRPr="004F6D71" w:rsidRDefault="004F6D71">
            <w:pPr>
              <w:pStyle w:val="TableParagraph"/>
              <w:kinsoku w:val="0"/>
              <w:overflowPunct w:val="0"/>
              <w:spacing w:before="33" w:line="317" w:lineRule="exact"/>
              <w:ind w:left="119"/>
              <w:jc w:val="left"/>
              <w:rPr>
                <w:sz w:val="18"/>
                <w:szCs w:val="18"/>
              </w:rPr>
            </w:pPr>
            <w:r w:rsidRPr="004F6D71">
              <w:rPr>
                <w:sz w:val="18"/>
                <w:szCs w:val="18"/>
              </w:rPr>
              <w:t xml:space="preserve">Panel C </w:t>
            </w:r>
            <w:r w:rsidR="00A02F77">
              <w:rPr>
                <w:sz w:val="18"/>
                <w:szCs w:val="18"/>
              </w:rPr>
              <w:t>–</w:t>
            </w:r>
            <w:r w:rsidRPr="004F6D71">
              <w:rPr>
                <w:sz w:val="18"/>
                <w:szCs w:val="18"/>
              </w:rPr>
              <w:t xml:space="preserve"> Published</w:t>
            </w:r>
          </w:p>
        </w:tc>
        <w:tc>
          <w:tcPr>
            <w:tcW w:w="983" w:type="dxa"/>
            <w:tcBorders>
              <w:top w:val="double" w:sz="2" w:space="0" w:color="000000"/>
              <w:left w:val="none" w:sz="6" w:space="0" w:color="auto"/>
              <w:bottom w:val="single" w:sz="4" w:space="0" w:color="000000"/>
              <w:right w:val="none" w:sz="6" w:space="0" w:color="auto"/>
            </w:tcBorders>
          </w:tcPr>
          <w:p w14:paraId="5B0C9BB5" w14:textId="77777777" w:rsidR="004F6D71" w:rsidRPr="004F6D71" w:rsidRDefault="004F6D71">
            <w:pPr>
              <w:pStyle w:val="TableParagraph"/>
              <w:kinsoku w:val="0"/>
              <w:overflowPunct w:val="0"/>
              <w:jc w:val="left"/>
              <w:rPr>
                <w:rFonts w:ascii="Times New Roman" w:hAnsi="Times New Roman" w:cs="Times New Roman"/>
                <w:sz w:val="18"/>
                <w:szCs w:val="18"/>
              </w:rPr>
            </w:pPr>
          </w:p>
        </w:tc>
        <w:tc>
          <w:tcPr>
            <w:tcW w:w="983" w:type="dxa"/>
            <w:tcBorders>
              <w:top w:val="double" w:sz="2" w:space="0" w:color="000000"/>
              <w:left w:val="none" w:sz="6" w:space="0" w:color="auto"/>
              <w:bottom w:val="single" w:sz="4" w:space="0" w:color="000000"/>
              <w:right w:val="none" w:sz="6" w:space="0" w:color="auto"/>
            </w:tcBorders>
          </w:tcPr>
          <w:p w14:paraId="0DBE4EF7" w14:textId="77777777" w:rsidR="004F6D71" w:rsidRPr="004F6D71" w:rsidRDefault="004F6D71">
            <w:pPr>
              <w:pStyle w:val="TableParagraph"/>
              <w:kinsoku w:val="0"/>
              <w:overflowPunct w:val="0"/>
              <w:jc w:val="left"/>
              <w:rPr>
                <w:rFonts w:ascii="Times New Roman" w:hAnsi="Times New Roman" w:cs="Times New Roman"/>
                <w:sz w:val="18"/>
                <w:szCs w:val="18"/>
              </w:rPr>
            </w:pPr>
          </w:p>
        </w:tc>
        <w:tc>
          <w:tcPr>
            <w:tcW w:w="983" w:type="dxa"/>
            <w:tcBorders>
              <w:top w:val="double" w:sz="2" w:space="0" w:color="000000"/>
              <w:left w:val="none" w:sz="6" w:space="0" w:color="auto"/>
              <w:bottom w:val="single" w:sz="4" w:space="0" w:color="000000"/>
              <w:right w:val="none" w:sz="6" w:space="0" w:color="auto"/>
            </w:tcBorders>
          </w:tcPr>
          <w:p w14:paraId="58E815E6" w14:textId="77777777" w:rsidR="004F6D71" w:rsidRPr="004F6D71" w:rsidRDefault="004F6D71">
            <w:pPr>
              <w:pStyle w:val="TableParagraph"/>
              <w:kinsoku w:val="0"/>
              <w:overflowPunct w:val="0"/>
              <w:jc w:val="left"/>
              <w:rPr>
                <w:rFonts w:ascii="Times New Roman" w:hAnsi="Times New Roman" w:cs="Times New Roman"/>
                <w:sz w:val="18"/>
                <w:szCs w:val="18"/>
              </w:rPr>
            </w:pPr>
          </w:p>
        </w:tc>
        <w:tc>
          <w:tcPr>
            <w:tcW w:w="984" w:type="dxa"/>
            <w:tcBorders>
              <w:top w:val="double" w:sz="2" w:space="0" w:color="000000"/>
              <w:left w:val="none" w:sz="6" w:space="0" w:color="auto"/>
              <w:bottom w:val="single" w:sz="4" w:space="0" w:color="000000"/>
              <w:right w:val="none" w:sz="6" w:space="0" w:color="auto"/>
            </w:tcBorders>
          </w:tcPr>
          <w:p w14:paraId="5A9CECEC" w14:textId="77777777" w:rsidR="004F6D71" w:rsidRPr="004F6D71" w:rsidRDefault="004F6D71">
            <w:pPr>
              <w:pStyle w:val="TableParagraph"/>
              <w:kinsoku w:val="0"/>
              <w:overflowPunct w:val="0"/>
              <w:jc w:val="left"/>
              <w:rPr>
                <w:rFonts w:ascii="Times New Roman" w:hAnsi="Times New Roman" w:cs="Times New Roman"/>
                <w:sz w:val="18"/>
                <w:szCs w:val="18"/>
              </w:rPr>
            </w:pPr>
          </w:p>
        </w:tc>
      </w:tr>
      <w:tr w:rsidR="004F6D71" w14:paraId="2FA4EB4E" w14:textId="77777777" w:rsidTr="004F6D71">
        <w:trPr>
          <w:trHeight w:val="356"/>
        </w:trPr>
        <w:tc>
          <w:tcPr>
            <w:tcW w:w="2735" w:type="dxa"/>
            <w:tcBorders>
              <w:top w:val="single" w:sz="4" w:space="0" w:color="000000"/>
              <w:left w:val="none" w:sz="6" w:space="0" w:color="auto"/>
              <w:bottom w:val="none" w:sz="6" w:space="0" w:color="auto"/>
              <w:right w:val="none" w:sz="6" w:space="0" w:color="auto"/>
            </w:tcBorders>
          </w:tcPr>
          <w:p w14:paraId="3A4A3D28" w14:textId="77777777" w:rsidR="004F6D71" w:rsidRPr="004F6D71" w:rsidRDefault="004F6D71">
            <w:pPr>
              <w:pStyle w:val="TableParagraph"/>
              <w:kinsoku w:val="0"/>
              <w:overflowPunct w:val="0"/>
              <w:spacing w:before="19"/>
              <w:ind w:left="119"/>
              <w:jc w:val="left"/>
              <w:rPr>
                <w:spacing w:val="-4"/>
                <w:sz w:val="18"/>
                <w:szCs w:val="18"/>
              </w:rPr>
            </w:pPr>
            <w:r w:rsidRPr="004F6D71">
              <w:rPr>
                <w:spacing w:val="-4"/>
                <w:sz w:val="18"/>
                <w:szCs w:val="18"/>
              </w:rPr>
              <w:t>RRD</w:t>
            </w:r>
          </w:p>
        </w:tc>
        <w:tc>
          <w:tcPr>
            <w:tcW w:w="983" w:type="dxa"/>
            <w:tcBorders>
              <w:top w:val="single" w:sz="4" w:space="0" w:color="000000"/>
              <w:left w:val="none" w:sz="6" w:space="0" w:color="auto"/>
              <w:bottom w:val="none" w:sz="6" w:space="0" w:color="auto"/>
              <w:right w:val="none" w:sz="6" w:space="0" w:color="auto"/>
            </w:tcBorders>
          </w:tcPr>
          <w:p w14:paraId="4D1900C5" w14:textId="77777777" w:rsidR="004F6D71" w:rsidRPr="004F6D71" w:rsidRDefault="004F6D71">
            <w:pPr>
              <w:pStyle w:val="TableParagraph"/>
              <w:kinsoku w:val="0"/>
              <w:overflowPunct w:val="0"/>
              <w:spacing w:before="19"/>
              <w:ind w:right="105"/>
              <w:rPr>
                <w:spacing w:val="-2"/>
                <w:sz w:val="18"/>
                <w:szCs w:val="18"/>
              </w:rPr>
            </w:pPr>
            <w:r w:rsidRPr="004F6D71">
              <w:rPr>
                <w:spacing w:val="-2"/>
                <w:sz w:val="18"/>
                <w:szCs w:val="18"/>
              </w:rPr>
              <w:t>0.015</w:t>
            </w:r>
          </w:p>
        </w:tc>
        <w:tc>
          <w:tcPr>
            <w:tcW w:w="983" w:type="dxa"/>
            <w:tcBorders>
              <w:top w:val="single" w:sz="4" w:space="0" w:color="000000"/>
              <w:left w:val="none" w:sz="6" w:space="0" w:color="auto"/>
              <w:bottom w:val="none" w:sz="6" w:space="0" w:color="auto"/>
              <w:right w:val="none" w:sz="6" w:space="0" w:color="auto"/>
            </w:tcBorders>
          </w:tcPr>
          <w:p w14:paraId="533F6C38" w14:textId="77777777" w:rsidR="004F6D71" w:rsidRPr="004F6D71" w:rsidRDefault="004F6D71">
            <w:pPr>
              <w:pStyle w:val="TableParagraph"/>
              <w:kinsoku w:val="0"/>
              <w:overflowPunct w:val="0"/>
              <w:spacing w:before="19"/>
              <w:ind w:left="100" w:right="107"/>
              <w:rPr>
                <w:rFonts w:ascii="Lucida Sans Unicode" w:hAnsi="Lucida Sans Unicode" w:cs="Lucida Sans Unicode"/>
                <w:spacing w:val="-2"/>
                <w:sz w:val="18"/>
                <w:szCs w:val="18"/>
                <w:vertAlign w:val="superscript"/>
              </w:rPr>
            </w:pPr>
            <w:r w:rsidRPr="004F6D71">
              <w:rPr>
                <w:spacing w:val="-2"/>
                <w:sz w:val="18"/>
                <w:szCs w:val="18"/>
              </w:rPr>
              <w:t>0.026</w:t>
            </w:r>
            <w:r w:rsidRPr="004F6D71">
              <w:rPr>
                <w:rFonts w:ascii="Lucida Sans Unicode" w:hAnsi="Lucida Sans Unicode" w:cs="Lucida Sans Unicode"/>
                <w:spacing w:val="-2"/>
                <w:sz w:val="18"/>
                <w:szCs w:val="18"/>
                <w:vertAlign w:val="superscript"/>
              </w:rPr>
              <w:t>∗∗</w:t>
            </w:r>
          </w:p>
        </w:tc>
        <w:tc>
          <w:tcPr>
            <w:tcW w:w="983" w:type="dxa"/>
            <w:tcBorders>
              <w:top w:val="single" w:sz="4" w:space="0" w:color="000000"/>
              <w:left w:val="none" w:sz="6" w:space="0" w:color="auto"/>
              <w:bottom w:val="none" w:sz="6" w:space="0" w:color="auto"/>
              <w:right w:val="none" w:sz="6" w:space="0" w:color="auto"/>
            </w:tcBorders>
          </w:tcPr>
          <w:p w14:paraId="43277457" w14:textId="77777777" w:rsidR="004F6D71" w:rsidRPr="004F6D71" w:rsidRDefault="004F6D71">
            <w:pPr>
              <w:pStyle w:val="TableParagraph"/>
              <w:kinsoku w:val="0"/>
              <w:overflowPunct w:val="0"/>
              <w:spacing w:before="19"/>
              <w:ind w:left="99" w:right="107"/>
              <w:rPr>
                <w:rFonts w:ascii="Sitka Small" w:hAnsi="Sitka Small" w:cs="Sitka Small"/>
                <w:i/>
                <w:iCs/>
                <w:spacing w:val="-2"/>
                <w:sz w:val="18"/>
                <w:szCs w:val="18"/>
                <w:vertAlign w:val="superscript"/>
              </w:rPr>
            </w:pPr>
            <w:r w:rsidRPr="004F6D71">
              <w:rPr>
                <w:spacing w:val="-2"/>
                <w:sz w:val="18"/>
                <w:szCs w:val="18"/>
              </w:rPr>
              <w:t>0.012</w:t>
            </w:r>
            <w:r w:rsidRPr="004F6D71">
              <w:rPr>
                <w:rFonts w:ascii="Sitka Small" w:hAnsi="Sitka Small" w:cs="Sitka Small"/>
                <w:i/>
                <w:iCs/>
                <w:spacing w:val="-2"/>
                <w:sz w:val="18"/>
                <w:szCs w:val="18"/>
                <w:vertAlign w:val="superscript"/>
              </w:rPr>
              <w:t>t</w:t>
            </w:r>
          </w:p>
        </w:tc>
        <w:tc>
          <w:tcPr>
            <w:tcW w:w="984" w:type="dxa"/>
            <w:tcBorders>
              <w:top w:val="single" w:sz="4" w:space="0" w:color="000000"/>
              <w:left w:val="none" w:sz="6" w:space="0" w:color="auto"/>
              <w:bottom w:val="none" w:sz="6" w:space="0" w:color="auto"/>
              <w:right w:val="none" w:sz="6" w:space="0" w:color="auto"/>
            </w:tcBorders>
          </w:tcPr>
          <w:p w14:paraId="5BA6F8D5" w14:textId="77777777" w:rsidR="004F6D71" w:rsidRPr="004F6D71" w:rsidRDefault="004F6D71">
            <w:pPr>
              <w:pStyle w:val="TableParagraph"/>
              <w:kinsoku w:val="0"/>
              <w:overflowPunct w:val="0"/>
              <w:spacing w:before="19"/>
              <w:ind w:left="98" w:right="108"/>
              <w:rPr>
                <w:rFonts w:ascii="Lucida Sans Unicode" w:hAnsi="Lucida Sans Unicode" w:cs="Lucida Sans Unicode"/>
                <w:spacing w:val="-2"/>
                <w:sz w:val="18"/>
                <w:szCs w:val="18"/>
                <w:vertAlign w:val="superscript"/>
              </w:rPr>
            </w:pPr>
            <w:r w:rsidRPr="004F6D71">
              <w:rPr>
                <w:spacing w:val="-2"/>
                <w:sz w:val="18"/>
                <w:szCs w:val="18"/>
              </w:rPr>
              <w:t>0.030</w:t>
            </w:r>
            <w:r w:rsidRPr="004F6D71">
              <w:rPr>
                <w:rFonts w:ascii="Lucida Sans Unicode" w:hAnsi="Lucida Sans Unicode" w:cs="Lucida Sans Unicode"/>
                <w:spacing w:val="-2"/>
                <w:sz w:val="18"/>
                <w:szCs w:val="18"/>
                <w:vertAlign w:val="superscript"/>
              </w:rPr>
              <w:t>∗</w:t>
            </w:r>
          </w:p>
        </w:tc>
      </w:tr>
      <w:tr w:rsidR="004F6D71" w14:paraId="1FA1EC3F" w14:textId="77777777" w:rsidTr="004F6D71">
        <w:trPr>
          <w:trHeight w:val="674"/>
        </w:trPr>
        <w:tc>
          <w:tcPr>
            <w:tcW w:w="2735" w:type="dxa"/>
            <w:tcBorders>
              <w:top w:val="none" w:sz="6" w:space="0" w:color="auto"/>
              <w:left w:val="none" w:sz="6" w:space="0" w:color="auto"/>
              <w:bottom w:val="none" w:sz="6" w:space="0" w:color="auto"/>
              <w:right w:val="none" w:sz="6" w:space="0" w:color="auto"/>
            </w:tcBorders>
          </w:tcPr>
          <w:p w14:paraId="64E3E6B3" w14:textId="77777777" w:rsidR="004F6D71" w:rsidRPr="004F6D71" w:rsidRDefault="004F6D71">
            <w:pPr>
              <w:pStyle w:val="TableParagraph"/>
              <w:kinsoku w:val="0"/>
              <w:overflowPunct w:val="0"/>
              <w:spacing w:before="7"/>
              <w:jc w:val="left"/>
              <w:rPr>
                <w:sz w:val="18"/>
                <w:szCs w:val="18"/>
              </w:rPr>
            </w:pPr>
          </w:p>
          <w:p w14:paraId="1616594A" w14:textId="77777777" w:rsidR="004F6D71" w:rsidRPr="004F6D71" w:rsidRDefault="004F6D71">
            <w:pPr>
              <w:pStyle w:val="TableParagraph"/>
              <w:kinsoku w:val="0"/>
              <w:overflowPunct w:val="0"/>
              <w:spacing w:before="1"/>
              <w:ind w:left="119"/>
              <w:jc w:val="left"/>
              <w:rPr>
                <w:spacing w:val="-4"/>
                <w:sz w:val="18"/>
                <w:szCs w:val="18"/>
              </w:rPr>
            </w:pPr>
            <w:r w:rsidRPr="004F6D71">
              <w:rPr>
                <w:spacing w:val="-4"/>
                <w:sz w:val="18"/>
                <w:szCs w:val="18"/>
              </w:rPr>
              <w:t>RDD</w:t>
            </w:r>
          </w:p>
        </w:tc>
        <w:tc>
          <w:tcPr>
            <w:tcW w:w="983" w:type="dxa"/>
            <w:tcBorders>
              <w:top w:val="none" w:sz="6" w:space="0" w:color="auto"/>
              <w:left w:val="none" w:sz="6" w:space="0" w:color="auto"/>
              <w:bottom w:val="none" w:sz="6" w:space="0" w:color="auto"/>
              <w:right w:val="none" w:sz="6" w:space="0" w:color="auto"/>
            </w:tcBorders>
          </w:tcPr>
          <w:p w14:paraId="726C33D0" w14:textId="77777777" w:rsidR="004F6D71" w:rsidRPr="004F6D71" w:rsidRDefault="004F6D71">
            <w:pPr>
              <w:pStyle w:val="TableParagraph"/>
              <w:kinsoku w:val="0"/>
              <w:overflowPunct w:val="0"/>
              <w:spacing w:line="331" w:lineRule="exact"/>
              <w:ind w:left="247"/>
              <w:jc w:val="left"/>
              <w:rPr>
                <w:spacing w:val="-2"/>
                <w:sz w:val="18"/>
                <w:szCs w:val="18"/>
              </w:rPr>
            </w:pPr>
            <w:r w:rsidRPr="004F6D71">
              <w:rPr>
                <w:spacing w:val="-2"/>
                <w:sz w:val="18"/>
                <w:szCs w:val="18"/>
              </w:rPr>
              <w:t>(0.011)</w:t>
            </w:r>
          </w:p>
          <w:p w14:paraId="3C0C9ACA" w14:textId="77777777" w:rsidR="004F6D71" w:rsidRPr="004F6D71" w:rsidRDefault="004F6D71">
            <w:pPr>
              <w:pStyle w:val="TableParagraph"/>
              <w:kinsoku w:val="0"/>
              <w:overflowPunct w:val="0"/>
              <w:spacing w:before="26"/>
              <w:ind w:left="197"/>
              <w:jc w:val="left"/>
              <w:rPr>
                <w:rFonts w:ascii="Lucida Sans Unicode" w:hAnsi="Lucida Sans Unicode" w:cs="Lucida Sans Unicode"/>
                <w:spacing w:val="-2"/>
                <w:sz w:val="18"/>
                <w:szCs w:val="18"/>
                <w:vertAlign w:val="superscript"/>
              </w:rPr>
            </w:pPr>
            <w:r w:rsidRPr="004F6D71">
              <w:rPr>
                <w:spacing w:val="-2"/>
                <w:sz w:val="18"/>
                <w:szCs w:val="18"/>
              </w:rPr>
              <w:t>0.043</w:t>
            </w:r>
            <w:r w:rsidRPr="004F6D71">
              <w:rPr>
                <w:rFonts w:ascii="Lucida Sans Unicode" w:hAnsi="Lucida Sans Unicode" w:cs="Lucida Sans Unicode"/>
                <w:spacing w:val="-2"/>
                <w:sz w:val="18"/>
                <w:szCs w:val="18"/>
                <w:vertAlign w:val="superscript"/>
              </w:rPr>
              <w:t>∗∗∗</w:t>
            </w:r>
          </w:p>
        </w:tc>
        <w:tc>
          <w:tcPr>
            <w:tcW w:w="983" w:type="dxa"/>
            <w:tcBorders>
              <w:top w:val="none" w:sz="6" w:space="0" w:color="auto"/>
              <w:left w:val="none" w:sz="6" w:space="0" w:color="auto"/>
              <w:bottom w:val="none" w:sz="6" w:space="0" w:color="auto"/>
              <w:right w:val="none" w:sz="6" w:space="0" w:color="auto"/>
            </w:tcBorders>
          </w:tcPr>
          <w:p w14:paraId="4A9B0455" w14:textId="77777777" w:rsidR="004F6D71" w:rsidRPr="004F6D71" w:rsidRDefault="004F6D71">
            <w:pPr>
              <w:pStyle w:val="TableParagraph"/>
              <w:kinsoku w:val="0"/>
              <w:overflowPunct w:val="0"/>
              <w:spacing w:line="331" w:lineRule="exact"/>
              <w:ind w:left="248"/>
              <w:jc w:val="left"/>
              <w:rPr>
                <w:spacing w:val="-2"/>
                <w:sz w:val="18"/>
                <w:szCs w:val="18"/>
              </w:rPr>
            </w:pPr>
            <w:r w:rsidRPr="004F6D71">
              <w:rPr>
                <w:spacing w:val="-2"/>
                <w:sz w:val="18"/>
                <w:szCs w:val="18"/>
              </w:rPr>
              <w:t>(0.012)</w:t>
            </w:r>
          </w:p>
          <w:p w14:paraId="38021FA0" w14:textId="77777777" w:rsidR="004F6D71" w:rsidRPr="004F6D71" w:rsidRDefault="004F6D71">
            <w:pPr>
              <w:pStyle w:val="TableParagraph"/>
              <w:kinsoku w:val="0"/>
              <w:overflowPunct w:val="0"/>
              <w:spacing w:before="26"/>
              <w:ind w:left="197"/>
              <w:jc w:val="left"/>
              <w:rPr>
                <w:rFonts w:ascii="Lucida Sans Unicode" w:hAnsi="Lucida Sans Unicode" w:cs="Lucida Sans Unicode"/>
                <w:spacing w:val="-2"/>
                <w:sz w:val="18"/>
                <w:szCs w:val="18"/>
                <w:vertAlign w:val="superscript"/>
              </w:rPr>
            </w:pPr>
            <w:r w:rsidRPr="004F6D71">
              <w:rPr>
                <w:spacing w:val="-2"/>
                <w:sz w:val="18"/>
                <w:szCs w:val="18"/>
              </w:rPr>
              <w:t>0.070</w:t>
            </w:r>
            <w:r w:rsidRPr="004F6D71">
              <w:rPr>
                <w:rFonts w:ascii="Lucida Sans Unicode" w:hAnsi="Lucida Sans Unicode" w:cs="Lucida Sans Unicode"/>
                <w:spacing w:val="-2"/>
                <w:sz w:val="18"/>
                <w:szCs w:val="18"/>
                <w:vertAlign w:val="superscript"/>
              </w:rPr>
              <w:t>∗∗∗</w:t>
            </w:r>
          </w:p>
        </w:tc>
        <w:tc>
          <w:tcPr>
            <w:tcW w:w="983" w:type="dxa"/>
            <w:tcBorders>
              <w:top w:val="none" w:sz="6" w:space="0" w:color="auto"/>
              <w:left w:val="none" w:sz="6" w:space="0" w:color="auto"/>
              <w:bottom w:val="none" w:sz="6" w:space="0" w:color="auto"/>
              <w:right w:val="none" w:sz="6" w:space="0" w:color="auto"/>
            </w:tcBorders>
          </w:tcPr>
          <w:p w14:paraId="4484026F" w14:textId="77777777" w:rsidR="004F6D71" w:rsidRPr="004F6D71" w:rsidRDefault="004F6D71">
            <w:pPr>
              <w:pStyle w:val="TableParagraph"/>
              <w:kinsoku w:val="0"/>
              <w:overflowPunct w:val="0"/>
              <w:spacing w:line="331" w:lineRule="exact"/>
              <w:ind w:left="248"/>
              <w:jc w:val="left"/>
              <w:rPr>
                <w:spacing w:val="-2"/>
                <w:sz w:val="18"/>
                <w:szCs w:val="18"/>
              </w:rPr>
            </w:pPr>
            <w:r w:rsidRPr="004F6D71">
              <w:rPr>
                <w:spacing w:val="-2"/>
                <w:sz w:val="18"/>
                <w:szCs w:val="18"/>
              </w:rPr>
              <w:t>(0.008)</w:t>
            </w:r>
          </w:p>
          <w:p w14:paraId="175E36D7" w14:textId="77777777" w:rsidR="004F6D71" w:rsidRPr="004F6D71" w:rsidRDefault="004F6D71">
            <w:pPr>
              <w:pStyle w:val="TableParagraph"/>
              <w:kinsoku w:val="0"/>
              <w:overflowPunct w:val="0"/>
              <w:spacing w:before="26"/>
              <w:ind w:left="237"/>
              <w:jc w:val="left"/>
              <w:rPr>
                <w:rFonts w:ascii="Lucida Sans Unicode" w:hAnsi="Lucida Sans Unicode" w:cs="Lucida Sans Unicode"/>
                <w:spacing w:val="-2"/>
                <w:sz w:val="18"/>
                <w:szCs w:val="18"/>
                <w:vertAlign w:val="superscript"/>
              </w:rPr>
            </w:pPr>
            <w:r w:rsidRPr="004F6D71">
              <w:rPr>
                <w:spacing w:val="-2"/>
                <w:sz w:val="18"/>
                <w:szCs w:val="18"/>
              </w:rPr>
              <w:t>0.045</w:t>
            </w:r>
            <w:r w:rsidRPr="004F6D71">
              <w:rPr>
                <w:rFonts w:ascii="Lucida Sans Unicode" w:hAnsi="Lucida Sans Unicode" w:cs="Lucida Sans Unicode"/>
                <w:spacing w:val="-2"/>
                <w:sz w:val="18"/>
                <w:szCs w:val="18"/>
                <w:vertAlign w:val="superscript"/>
              </w:rPr>
              <w:t>∗∗</w:t>
            </w:r>
          </w:p>
        </w:tc>
        <w:tc>
          <w:tcPr>
            <w:tcW w:w="984" w:type="dxa"/>
            <w:tcBorders>
              <w:top w:val="none" w:sz="6" w:space="0" w:color="auto"/>
              <w:left w:val="none" w:sz="6" w:space="0" w:color="auto"/>
              <w:bottom w:val="none" w:sz="6" w:space="0" w:color="auto"/>
              <w:right w:val="none" w:sz="6" w:space="0" w:color="auto"/>
            </w:tcBorders>
          </w:tcPr>
          <w:p w14:paraId="146A99C5" w14:textId="77777777" w:rsidR="004F6D71" w:rsidRPr="004F6D71" w:rsidRDefault="004F6D71">
            <w:pPr>
              <w:pStyle w:val="TableParagraph"/>
              <w:kinsoku w:val="0"/>
              <w:overflowPunct w:val="0"/>
              <w:spacing w:line="331" w:lineRule="exact"/>
              <w:ind w:left="248"/>
              <w:jc w:val="left"/>
              <w:rPr>
                <w:spacing w:val="-2"/>
                <w:sz w:val="18"/>
                <w:szCs w:val="18"/>
              </w:rPr>
            </w:pPr>
            <w:r w:rsidRPr="004F6D71">
              <w:rPr>
                <w:spacing w:val="-2"/>
                <w:sz w:val="18"/>
                <w:szCs w:val="18"/>
              </w:rPr>
              <w:t>(0.016)</w:t>
            </w:r>
          </w:p>
          <w:p w14:paraId="5899CEDD" w14:textId="77777777" w:rsidR="004F6D71" w:rsidRPr="004F6D71" w:rsidRDefault="004F6D71">
            <w:pPr>
              <w:pStyle w:val="TableParagraph"/>
              <w:kinsoku w:val="0"/>
              <w:overflowPunct w:val="0"/>
              <w:spacing w:before="26"/>
              <w:ind w:left="196"/>
              <w:jc w:val="left"/>
              <w:rPr>
                <w:rFonts w:ascii="Lucida Sans Unicode" w:hAnsi="Lucida Sans Unicode" w:cs="Lucida Sans Unicode"/>
                <w:spacing w:val="-2"/>
                <w:sz w:val="18"/>
                <w:szCs w:val="18"/>
                <w:vertAlign w:val="superscript"/>
              </w:rPr>
            </w:pPr>
            <w:r w:rsidRPr="004F6D71">
              <w:rPr>
                <w:spacing w:val="-2"/>
                <w:sz w:val="18"/>
                <w:szCs w:val="18"/>
              </w:rPr>
              <w:t>0.075</w:t>
            </w:r>
            <w:r w:rsidRPr="004F6D71">
              <w:rPr>
                <w:rFonts w:ascii="Lucida Sans Unicode" w:hAnsi="Lucida Sans Unicode" w:cs="Lucida Sans Unicode"/>
                <w:spacing w:val="-2"/>
                <w:sz w:val="18"/>
                <w:szCs w:val="18"/>
                <w:vertAlign w:val="superscript"/>
              </w:rPr>
              <w:t>∗∗∗</w:t>
            </w:r>
          </w:p>
        </w:tc>
      </w:tr>
      <w:tr w:rsidR="004F6D71" w14:paraId="588AEFAC" w14:textId="77777777" w:rsidTr="004F6D71">
        <w:trPr>
          <w:trHeight w:val="674"/>
        </w:trPr>
        <w:tc>
          <w:tcPr>
            <w:tcW w:w="2735" w:type="dxa"/>
            <w:tcBorders>
              <w:top w:val="none" w:sz="6" w:space="0" w:color="auto"/>
              <w:left w:val="none" w:sz="6" w:space="0" w:color="auto"/>
              <w:bottom w:val="none" w:sz="6" w:space="0" w:color="auto"/>
              <w:right w:val="none" w:sz="6" w:space="0" w:color="auto"/>
            </w:tcBorders>
          </w:tcPr>
          <w:p w14:paraId="21F0FF4F" w14:textId="77777777" w:rsidR="004F6D71" w:rsidRPr="004F6D71" w:rsidRDefault="004F6D71">
            <w:pPr>
              <w:pStyle w:val="TableParagraph"/>
              <w:kinsoku w:val="0"/>
              <w:overflowPunct w:val="0"/>
              <w:spacing w:before="7"/>
              <w:jc w:val="left"/>
              <w:rPr>
                <w:sz w:val="18"/>
                <w:szCs w:val="18"/>
              </w:rPr>
            </w:pPr>
          </w:p>
          <w:p w14:paraId="357F4C0C" w14:textId="77777777" w:rsidR="004F6D71" w:rsidRPr="004F6D71" w:rsidRDefault="004F6D71">
            <w:pPr>
              <w:pStyle w:val="TableParagraph"/>
              <w:kinsoku w:val="0"/>
              <w:overflowPunct w:val="0"/>
              <w:spacing w:before="1"/>
              <w:ind w:left="119"/>
              <w:jc w:val="left"/>
              <w:rPr>
                <w:spacing w:val="-4"/>
                <w:sz w:val="18"/>
                <w:szCs w:val="18"/>
              </w:rPr>
            </w:pPr>
            <w:r w:rsidRPr="004F6D71">
              <w:rPr>
                <w:spacing w:val="-4"/>
                <w:sz w:val="18"/>
                <w:szCs w:val="18"/>
              </w:rPr>
              <w:t>DDD</w:t>
            </w:r>
          </w:p>
        </w:tc>
        <w:tc>
          <w:tcPr>
            <w:tcW w:w="983" w:type="dxa"/>
            <w:tcBorders>
              <w:top w:val="none" w:sz="6" w:space="0" w:color="auto"/>
              <w:left w:val="none" w:sz="6" w:space="0" w:color="auto"/>
              <w:bottom w:val="none" w:sz="6" w:space="0" w:color="auto"/>
              <w:right w:val="none" w:sz="6" w:space="0" w:color="auto"/>
            </w:tcBorders>
          </w:tcPr>
          <w:p w14:paraId="6F9533BC" w14:textId="77777777" w:rsidR="004F6D71" w:rsidRPr="004F6D71" w:rsidRDefault="004F6D71">
            <w:pPr>
              <w:pStyle w:val="TableParagraph"/>
              <w:kinsoku w:val="0"/>
              <w:overflowPunct w:val="0"/>
              <w:spacing w:line="331" w:lineRule="exact"/>
              <w:ind w:left="247"/>
              <w:jc w:val="left"/>
              <w:rPr>
                <w:spacing w:val="-2"/>
                <w:sz w:val="18"/>
                <w:szCs w:val="18"/>
              </w:rPr>
            </w:pPr>
            <w:r w:rsidRPr="004F6D71">
              <w:rPr>
                <w:spacing w:val="-2"/>
                <w:sz w:val="18"/>
                <w:szCs w:val="18"/>
              </w:rPr>
              <w:t>(0.011)</w:t>
            </w:r>
          </w:p>
          <w:p w14:paraId="49EEA929" w14:textId="77777777" w:rsidR="004F6D71" w:rsidRPr="004F6D71" w:rsidRDefault="004F6D71">
            <w:pPr>
              <w:pStyle w:val="TableParagraph"/>
              <w:kinsoku w:val="0"/>
              <w:overflowPunct w:val="0"/>
              <w:spacing w:before="26"/>
              <w:ind w:left="197"/>
              <w:jc w:val="left"/>
              <w:rPr>
                <w:rFonts w:ascii="Lucida Sans Unicode" w:hAnsi="Lucida Sans Unicode" w:cs="Lucida Sans Unicode"/>
                <w:spacing w:val="-2"/>
                <w:sz w:val="18"/>
                <w:szCs w:val="18"/>
                <w:vertAlign w:val="superscript"/>
              </w:rPr>
            </w:pPr>
            <w:r w:rsidRPr="004F6D71">
              <w:rPr>
                <w:spacing w:val="-2"/>
                <w:sz w:val="18"/>
                <w:szCs w:val="18"/>
              </w:rPr>
              <w:t>0.076</w:t>
            </w:r>
            <w:r w:rsidRPr="004F6D71">
              <w:rPr>
                <w:rFonts w:ascii="Lucida Sans Unicode" w:hAnsi="Lucida Sans Unicode" w:cs="Lucida Sans Unicode"/>
                <w:spacing w:val="-2"/>
                <w:sz w:val="18"/>
                <w:szCs w:val="18"/>
                <w:vertAlign w:val="superscript"/>
              </w:rPr>
              <w:t>∗∗∗</w:t>
            </w:r>
          </w:p>
        </w:tc>
        <w:tc>
          <w:tcPr>
            <w:tcW w:w="983" w:type="dxa"/>
            <w:tcBorders>
              <w:top w:val="none" w:sz="6" w:space="0" w:color="auto"/>
              <w:left w:val="none" w:sz="6" w:space="0" w:color="auto"/>
              <w:bottom w:val="none" w:sz="6" w:space="0" w:color="auto"/>
              <w:right w:val="none" w:sz="6" w:space="0" w:color="auto"/>
            </w:tcBorders>
          </w:tcPr>
          <w:p w14:paraId="63DC5918" w14:textId="77777777" w:rsidR="004F6D71" w:rsidRPr="004F6D71" w:rsidRDefault="004F6D71">
            <w:pPr>
              <w:pStyle w:val="TableParagraph"/>
              <w:kinsoku w:val="0"/>
              <w:overflowPunct w:val="0"/>
              <w:spacing w:line="331" w:lineRule="exact"/>
              <w:ind w:left="248"/>
              <w:jc w:val="left"/>
              <w:rPr>
                <w:spacing w:val="-2"/>
                <w:sz w:val="18"/>
                <w:szCs w:val="18"/>
              </w:rPr>
            </w:pPr>
            <w:r w:rsidRPr="004F6D71">
              <w:rPr>
                <w:spacing w:val="-2"/>
                <w:sz w:val="18"/>
                <w:szCs w:val="18"/>
              </w:rPr>
              <w:t>(0.013)</w:t>
            </w:r>
          </w:p>
          <w:p w14:paraId="1752C756" w14:textId="77777777" w:rsidR="004F6D71" w:rsidRPr="004F6D71" w:rsidRDefault="004F6D71">
            <w:pPr>
              <w:pStyle w:val="TableParagraph"/>
              <w:kinsoku w:val="0"/>
              <w:overflowPunct w:val="0"/>
              <w:spacing w:before="26"/>
              <w:ind w:left="197"/>
              <w:jc w:val="left"/>
              <w:rPr>
                <w:rFonts w:ascii="Lucida Sans Unicode" w:hAnsi="Lucida Sans Unicode" w:cs="Lucida Sans Unicode"/>
                <w:spacing w:val="-2"/>
                <w:sz w:val="18"/>
                <w:szCs w:val="18"/>
                <w:vertAlign w:val="superscript"/>
              </w:rPr>
            </w:pPr>
            <w:r w:rsidRPr="004F6D71">
              <w:rPr>
                <w:spacing w:val="-2"/>
                <w:sz w:val="18"/>
                <w:szCs w:val="18"/>
              </w:rPr>
              <w:t>0.120</w:t>
            </w:r>
            <w:r w:rsidRPr="004F6D71">
              <w:rPr>
                <w:rFonts w:ascii="Lucida Sans Unicode" w:hAnsi="Lucida Sans Unicode" w:cs="Lucida Sans Unicode"/>
                <w:spacing w:val="-2"/>
                <w:sz w:val="18"/>
                <w:szCs w:val="18"/>
                <w:vertAlign w:val="superscript"/>
              </w:rPr>
              <w:t>∗∗∗</w:t>
            </w:r>
          </w:p>
        </w:tc>
        <w:tc>
          <w:tcPr>
            <w:tcW w:w="983" w:type="dxa"/>
            <w:tcBorders>
              <w:top w:val="none" w:sz="6" w:space="0" w:color="auto"/>
              <w:left w:val="none" w:sz="6" w:space="0" w:color="auto"/>
              <w:bottom w:val="none" w:sz="6" w:space="0" w:color="auto"/>
              <w:right w:val="none" w:sz="6" w:space="0" w:color="auto"/>
            </w:tcBorders>
          </w:tcPr>
          <w:p w14:paraId="5DB5EB02" w14:textId="77777777" w:rsidR="004F6D71" w:rsidRPr="004F6D71" w:rsidRDefault="004F6D71">
            <w:pPr>
              <w:pStyle w:val="TableParagraph"/>
              <w:kinsoku w:val="0"/>
              <w:overflowPunct w:val="0"/>
              <w:spacing w:line="331" w:lineRule="exact"/>
              <w:ind w:left="248"/>
              <w:jc w:val="left"/>
              <w:rPr>
                <w:spacing w:val="-2"/>
                <w:sz w:val="18"/>
                <w:szCs w:val="18"/>
              </w:rPr>
            </w:pPr>
            <w:r w:rsidRPr="004F6D71">
              <w:rPr>
                <w:spacing w:val="-2"/>
                <w:sz w:val="18"/>
                <w:szCs w:val="18"/>
              </w:rPr>
              <w:t>(0.019)</w:t>
            </w:r>
          </w:p>
          <w:p w14:paraId="2705917B" w14:textId="77777777" w:rsidR="004F6D71" w:rsidRPr="004F6D71" w:rsidRDefault="004F6D71">
            <w:pPr>
              <w:pStyle w:val="TableParagraph"/>
              <w:kinsoku w:val="0"/>
              <w:overflowPunct w:val="0"/>
              <w:spacing w:before="26"/>
              <w:ind w:left="197"/>
              <w:jc w:val="left"/>
              <w:rPr>
                <w:rFonts w:ascii="Lucida Sans Unicode" w:hAnsi="Lucida Sans Unicode" w:cs="Lucida Sans Unicode"/>
                <w:spacing w:val="-2"/>
                <w:sz w:val="18"/>
                <w:szCs w:val="18"/>
                <w:vertAlign w:val="superscript"/>
              </w:rPr>
            </w:pPr>
            <w:r w:rsidRPr="004F6D71">
              <w:rPr>
                <w:spacing w:val="-2"/>
                <w:sz w:val="18"/>
                <w:szCs w:val="18"/>
              </w:rPr>
              <w:t>0.088</w:t>
            </w:r>
            <w:r w:rsidRPr="004F6D71">
              <w:rPr>
                <w:rFonts w:ascii="Lucida Sans Unicode" w:hAnsi="Lucida Sans Unicode" w:cs="Lucida Sans Unicode"/>
                <w:spacing w:val="-2"/>
                <w:sz w:val="18"/>
                <w:szCs w:val="18"/>
                <w:vertAlign w:val="superscript"/>
              </w:rPr>
              <w:t>∗∗∗</w:t>
            </w:r>
          </w:p>
        </w:tc>
        <w:tc>
          <w:tcPr>
            <w:tcW w:w="984" w:type="dxa"/>
            <w:tcBorders>
              <w:top w:val="none" w:sz="6" w:space="0" w:color="auto"/>
              <w:left w:val="none" w:sz="6" w:space="0" w:color="auto"/>
              <w:bottom w:val="none" w:sz="6" w:space="0" w:color="auto"/>
              <w:right w:val="none" w:sz="6" w:space="0" w:color="auto"/>
            </w:tcBorders>
          </w:tcPr>
          <w:p w14:paraId="1BAAE8CA" w14:textId="77777777" w:rsidR="004F6D71" w:rsidRPr="004F6D71" w:rsidRDefault="004F6D71">
            <w:pPr>
              <w:pStyle w:val="TableParagraph"/>
              <w:kinsoku w:val="0"/>
              <w:overflowPunct w:val="0"/>
              <w:spacing w:line="331" w:lineRule="exact"/>
              <w:ind w:left="248"/>
              <w:jc w:val="left"/>
              <w:rPr>
                <w:spacing w:val="-2"/>
                <w:sz w:val="18"/>
                <w:szCs w:val="18"/>
              </w:rPr>
            </w:pPr>
            <w:r w:rsidRPr="004F6D71">
              <w:rPr>
                <w:spacing w:val="-2"/>
                <w:sz w:val="18"/>
                <w:szCs w:val="18"/>
              </w:rPr>
              <w:t>(0.022)</w:t>
            </w:r>
          </w:p>
          <w:p w14:paraId="06B13D57" w14:textId="77777777" w:rsidR="004F6D71" w:rsidRPr="004F6D71" w:rsidRDefault="004F6D71">
            <w:pPr>
              <w:pStyle w:val="TableParagraph"/>
              <w:kinsoku w:val="0"/>
              <w:overflowPunct w:val="0"/>
              <w:spacing w:before="26"/>
              <w:ind w:left="196"/>
              <w:jc w:val="left"/>
              <w:rPr>
                <w:rFonts w:ascii="Lucida Sans Unicode" w:hAnsi="Lucida Sans Unicode" w:cs="Lucida Sans Unicode"/>
                <w:spacing w:val="-2"/>
                <w:sz w:val="18"/>
                <w:szCs w:val="18"/>
                <w:vertAlign w:val="superscript"/>
              </w:rPr>
            </w:pPr>
            <w:r w:rsidRPr="004F6D71">
              <w:rPr>
                <w:spacing w:val="-2"/>
                <w:sz w:val="18"/>
                <w:szCs w:val="18"/>
              </w:rPr>
              <w:t>0.150</w:t>
            </w:r>
            <w:r w:rsidRPr="004F6D71">
              <w:rPr>
                <w:rFonts w:ascii="Lucida Sans Unicode" w:hAnsi="Lucida Sans Unicode" w:cs="Lucida Sans Unicode"/>
                <w:spacing w:val="-2"/>
                <w:sz w:val="18"/>
                <w:szCs w:val="18"/>
                <w:vertAlign w:val="superscript"/>
              </w:rPr>
              <w:t>∗∗∗</w:t>
            </w:r>
          </w:p>
        </w:tc>
      </w:tr>
      <w:tr w:rsidR="004F6D71" w14:paraId="7B9DA410" w14:textId="77777777" w:rsidTr="004F6D71">
        <w:trPr>
          <w:trHeight w:val="315"/>
        </w:trPr>
        <w:tc>
          <w:tcPr>
            <w:tcW w:w="2735" w:type="dxa"/>
            <w:tcBorders>
              <w:top w:val="none" w:sz="6" w:space="0" w:color="auto"/>
              <w:left w:val="none" w:sz="6" w:space="0" w:color="auto"/>
              <w:bottom w:val="single" w:sz="4" w:space="0" w:color="000000"/>
              <w:right w:val="none" w:sz="6" w:space="0" w:color="auto"/>
            </w:tcBorders>
          </w:tcPr>
          <w:p w14:paraId="651974BF" w14:textId="77777777" w:rsidR="004F6D71" w:rsidRPr="004F6D71" w:rsidRDefault="004F6D71">
            <w:pPr>
              <w:pStyle w:val="TableParagraph"/>
              <w:kinsoku w:val="0"/>
              <w:overflowPunct w:val="0"/>
              <w:jc w:val="left"/>
              <w:rPr>
                <w:rFonts w:ascii="Times New Roman" w:hAnsi="Times New Roman" w:cs="Times New Roman"/>
                <w:sz w:val="18"/>
                <w:szCs w:val="18"/>
              </w:rPr>
            </w:pPr>
          </w:p>
        </w:tc>
        <w:tc>
          <w:tcPr>
            <w:tcW w:w="983" w:type="dxa"/>
            <w:tcBorders>
              <w:top w:val="none" w:sz="6" w:space="0" w:color="auto"/>
              <w:left w:val="none" w:sz="6" w:space="0" w:color="auto"/>
              <w:bottom w:val="single" w:sz="4" w:space="0" w:color="000000"/>
              <w:right w:val="none" w:sz="6" w:space="0" w:color="auto"/>
            </w:tcBorders>
          </w:tcPr>
          <w:p w14:paraId="1CA0A65F" w14:textId="77777777" w:rsidR="004F6D71" w:rsidRPr="004F6D71" w:rsidRDefault="004F6D71">
            <w:pPr>
              <w:pStyle w:val="TableParagraph"/>
              <w:kinsoku w:val="0"/>
              <w:overflowPunct w:val="0"/>
              <w:spacing w:line="316" w:lineRule="exact"/>
              <w:ind w:right="104"/>
              <w:rPr>
                <w:spacing w:val="-2"/>
                <w:sz w:val="18"/>
                <w:szCs w:val="18"/>
              </w:rPr>
            </w:pPr>
            <w:r w:rsidRPr="004F6D71">
              <w:rPr>
                <w:spacing w:val="-2"/>
                <w:sz w:val="18"/>
                <w:szCs w:val="18"/>
              </w:rPr>
              <w:t>(0.015)</w:t>
            </w:r>
          </w:p>
        </w:tc>
        <w:tc>
          <w:tcPr>
            <w:tcW w:w="983" w:type="dxa"/>
            <w:tcBorders>
              <w:top w:val="none" w:sz="6" w:space="0" w:color="auto"/>
              <w:left w:val="none" w:sz="6" w:space="0" w:color="auto"/>
              <w:bottom w:val="single" w:sz="4" w:space="0" w:color="000000"/>
              <w:right w:val="none" w:sz="6" w:space="0" w:color="auto"/>
            </w:tcBorders>
          </w:tcPr>
          <w:p w14:paraId="5A1B3BF7" w14:textId="77777777" w:rsidR="004F6D71" w:rsidRPr="004F6D71" w:rsidRDefault="004F6D71">
            <w:pPr>
              <w:pStyle w:val="TableParagraph"/>
              <w:kinsoku w:val="0"/>
              <w:overflowPunct w:val="0"/>
              <w:spacing w:line="316" w:lineRule="exact"/>
              <w:ind w:right="103"/>
              <w:rPr>
                <w:spacing w:val="-2"/>
                <w:sz w:val="18"/>
                <w:szCs w:val="18"/>
              </w:rPr>
            </w:pPr>
            <w:r w:rsidRPr="004F6D71">
              <w:rPr>
                <w:spacing w:val="-2"/>
                <w:sz w:val="18"/>
                <w:szCs w:val="18"/>
              </w:rPr>
              <w:t>(0.019)</w:t>
            </w:r>
          </w:p>
        </w:tc>
        <w:tc>
          <w:tcPr>
            <w:tcW w:w="983" w:type="dxa"/>
            <w:tcBorders>
              <w:top w:val="none" w:sz="6" w:space="0" w:color="auto"/>
              <w:left w:val="none" w:sz="6" w:space="0" w:color="auto"/>
              <w:bottom w:val="single" w:sz="4" w:space="0" w:color="000000"/>
              <w:right w:val="none" w:sz="6" w:space="0" w:color="auto"/>
            </w:tcBorders>
          </w:tcPr>
          <w:p w14:paraId="61D84812" w14:textId="77777777" w:rsidR="004F6D71" w:rsidRPr="004F6D71" w:rsidRDefault="004F6D71">
            <w:pPr>
              <w:pStyle w:val="TableParagraph"/>
              <w:kinsoku w:val="0"/>
              <w:overflowPunct w:val="0"/>
              <w:spacing w:line="316" w:lineRule="exact"/>
              <w:ind w:right="103"/>
              <w:rPr>
                <w:spacing w:val="-2"/>
                <w:sz w:val="18"/>
                <w:szCs w:val="18"/>
              </w:rPr>
            </w:pPr>
            <w:r w:rsidRPr="004F6D71">
              <w:rPr>
                <w:spacing w:val="-2"/>
                <w:sz w:val="18"/>
                <w:szCs w:val="18"/>
              </w:rPr>
              <w:t>(0.022)</w:t>
            </w:r>
          </w:p>
        </w:tc>
        <w:tc>
          <w:tcPr>
            <w:tcW w:w="984" w:type="dxa"/>
            <w:tcBorders>
              <w:top w:val="none" w:sz="6" w:space="0" w:color="auto"/>
              <w:left w:val="none" w:sz="6" w:space="0" w:color="auto"/>
              <w:bottom w:val="single" w:sz="4" w:space="0" w:color="000000"/>
              <w:right w:val="none" w:sz="6" w:space="0" w:color="auto"/>
            </w:tcBorders>
          </w:tcPr>
          <w:p w14:paraId="4151D678" w14:textId="77777777" w:rsidR="004F6D71" w:rsidRPr="004F6D71" w:rsidRDefault="004F6D71">
            <w:pPr>
              <w:pStyle w:val="TableParagraph"/>
              <w:kinsoku w:val="0"/>
              <w:overflowPunct w:val="0"/>
              <w:spacing w:line="316" w:lineRule="exact"/>
              <w:ind w:left="107" w:right="105"/>
              <w:rPr>
                <w:spacing w:val="-2"/>
                <w:sz w:val="18"/>
                <w:szCs w:val="18"/>
              </w:rPr>
            </w:pPr>
            <w:r w:rsidRPr="004F6D71">
              <w:rPr>
                <w:spacing w:val="-2"/>
                <w:sz w:val="18"/>
                <w:szCs w:val="18"/>
              </w:rPr>
              <w:t>(0.029)</w:t>
            </w:r>
          </w:p>
        </w:tc>
      </w:tr>
      <w:tr w:rsidR="004F6D71" w14:paraId="0EAD2040" w14:textId="77777777" w:rsidTr="004F6D71">
        <w:trPr>
          <w:trHeight w:val="342"/>
        </w:trPr>
        <w:tc>
          <w:tcPr>
            <w:tcW w:w="2735" w:type="dxa"/>
            <w:tcBorders>
              <w:top w:val="single" w:sz="4" w:space="0" w:color="000000"/>
              <w:left w:val="none" w:sz="6" w:space="0" w:color="auto"/>
              <w:bottom w:val="none" w:sz="6" w:space="0" w:color="auto"/>
              <w:right w:val="none" w:sz="6" w:space="0" w:color="auto"/>
            </w:tcBorders>
          </w:tcPr>
          <w:p w14:paraId="69ABFE49" w14:textId="77777777" w:rsidR="004F6D71" w:rsidRPr="004F6D71" w:rsidRDefault="004F6D71">
            <w:pPr>
              <w:pStyle w:val="TableParagraph"/>
              <w:kinsoku w:val="0"/>
              <w:overflowPunct w:val="0"/>
              <w:spacing w:before="19" w:line="327" w:lineRule="exact"/>
              <w:ind w:left="119"/>
              <w:jc w:val="left"/>
              <w:rPr>
                <w:w w:val="99"/>
                <w:sz w:val="18"/>
                <w:szCs w:val="18"/>
              </w:rPr>
            </w:pPr>
            <w:r w:rsidRPr="004F6D71">
              <w:rPr>
                <w:w w:val="99"/>
                <w:sz w:val="18"/>
                <w:szCs w:val="18"/>
              </w:rPr>
              <w:t>N</w:t>
            </w:r>
          </w:p>
        </w:tc>
        <w:tc>
          <w:tcPr>
            <w:tcW w:w="983" w:type="dxa"/>
            <w:tcBorders>
              <w:top w:val="single" w:sz="4" w:space="0" w:color="000000"/>
              <w:left w:val="none" w:sz="6" w:space="0" w:color="auto"/>
              <w:bottom w:val="none" w:sz="6" w:space="0" w:color="auto"/>
              <w:right w:val="none" w:sz="6" w:space="0" w:color="auto"/>
            </w:tcBorders>
          </w:tcPr>
          <w:p w14:paraId="064715C2" w14:textId="77777777" w:rsidR="004F6D71" w:rsidRPr="004F6D71" w:rsidRDefault="004F6D71">
            <w:pPr>
              <w:pStyle w:val="TableParagraph"/>
              <w:kinsoku w:val="0"/>
              <w:overflowPunct w:val="0"/>
              <w:spacing w:before="19" w:line="327" w:lineRule="exact"/>
              <w:ind w:right="105"/>
              <w:rPr>
                <w:spacing w:val="-2"/>
                <w:sz w:val="18"/>
                <w:szCs w:val="18"/>
              </w:rPr>
            </w:pPr>
            <w:r w:rsidRPr="004F6D71">
              <w:rPr>
                <w:spacing w:val="-2"/>
                <w:sz w:val="18"/>
                <w:szCs w:val="18"/>
              </w:rPr>
              <w:t>11,702</w:t>
            </w:r>
          </w:p>
        </w:tc>
        <w:tc>
          <w:tcPr>
            <w:tcW w:w="983" w:type="dxa"/>
            <w:tcBorders>
              <w:top w:val="single" w:sz="4" w:space="0" w:color="000000"/>
              <w:left w:val="none" w:sz="6" w:space="0" w:color="auto"/>
              <w:bottom w:val="none" w:sz="6" w:space="0" w:color="auto"/>
              <w:right w:val="none" w:sz="6" w:space="0" w:color="auto"/>
            </w:tcBorders>
          </w:tcPr>
          <w:p w14:paraId="701A61C8" w14:textId="77777777" w:rsidR="004F6D71" w:rsidRPr="004F6D71" w:rsidRDefault="004F6D71">
            <w:pPr>
              <w:pStyle w:val="TableParagraph"/>
              <w:kinsoku w:val="0"/>
              <w:overflowPunct w:val="0"/>
              <w:spacing w:before="19" w:line="327" w:lineRule="exact"/>
              <w:ind w:right="106"/>
              <w:rPr>
                <w:spacing w:val="-2"/>
                <w:sz w:val="18"/>
                <w:szCs w:val="18"/>
              </w:rPr>
            </w:pPr>
            <w:r w:rsidRPr="004F6D71">
              <w:rPr>
                <w:spacing w:val="-2"/>
                <w:sz w:val="18"/>
                <w:szCs w:val="18"/>
              </w:rPr>
              <w:t>15,071</w:t>
            </w:r>
          </w:p>
        </w:tc>
        <w:tc>
          <w:tcPr>
            <w:tcW w:w="983" w:type="dxa"/>
            <w:tcBorders>
              <w:top w:val="single" w:sz="4" w:space="0" w:color="000000"/>
              <w:left w:val="none" w:sz="6" w:space="0" w:color="auto"/>
              <w:bottom w:val="none" w:sz="6" w:space="0" w:color="auto"/>
              <w:right w:val="none" w:sz="6" w:space="0" w:color="auto"/>
            </w:tcBorders>
          </w:tcPr>
          <w:p w14:paraId="3F26193D" w14:textId="77777777" w:rsidR="004F6D71" w:rsidRPr="004F6D71" w:rsidRDefault="004F6D71">
            <w:pPr>
              <w:pStyle w:val="TableParagraph"/>
              <w:kinsoku w:val="0"/>
              <w:overflowPunct w:val="0"/>
              <w:spacing w:before="19" w:line="327" w:lineRule="exact"/>
              <w:ind w:right="106"/>
              <w:rPr>
                <w:spacing w:val="-2"/>
                <w:sz w:val="18"/>
                <w:szCs w:val="18"/>
              </w:rPr>
            </w:pPr>
            <w:r w:rsidRPr="004F6D71">
              <w:rPr>
                <w:spacing w:val="-2"/>
                <w:sz w:val="18"/>
                <w:szCs w:val="18"/>
              </w:rPr>
              <w:t>13,048</w:t>
            </w:r>
          </w:p>
        </w:tc>
        <w:tc>
          <w:tcPr>
            <w:tcW w:w="984" w:type="dxa"/>
            <w:tcBorders>
              <w:top w:val="single" w:sz="4" w:space="0" w:color="000000"/>
              <w:left w:val="none" w:sz="6" w:space="0" w:color="auto"/>
              <w:bottom w:val="none" w:sz="6" w:space="0" w:color="auto"/>
              <w:right w:val="none" w:sz="6" w:space="0" w:color="auto"/>
            </w:tcBorders>
          </w:tcPr>
          <w:p w14:paraId="33A2FC12" w14:textId="77777777" w:rsidR="004F6D71" w:rsidRPr="004F6D71" w:rsidRDefault="004F6D71">
            <w:pPr>
              <w:pStyle w:val="TableParagraph"/>
              <w:kinsoku w:val="0"/>
              <w:overflowPunct w:val="0"/>
              <w:spacing w:before="19" w:line="327" w:lineRule="exact"/>
              <w:ind w:left="107" w:right="108"/>
              <w:rPr>
                <w:spacing w:val="-2"/>
                <w:sz w:val="18"/>
                <w:szCs w:val="18"/>
              </w:rPr>
            </w:pPr>
            <w:r w:rsidRPr="004F6D71">
              <w:rPr>
                <w:spacing w:val="-2"/>
                <w:sz w:val="18"/>
                <w:szCs w:val="18"/>
              </w:rPr>
              <w:t>10,257</w:t>
            </w:r>
          </w:p>
        </w:tc>
      </w:tr>
      <w:tr w:rsidR="004F6D71" w14:paraId="1EB773D4" w14:textId="77777777" w:rsidTr="004F6D71">
        <w:trPr>
          <w:trHeight w:val="349"/>
        </w:trPr>
        <w:tc>
          <w:tcPr>
            <w:tcW w:w="2735" w:type="dxa"/>
            <w:tcBorders>
              <w:top w:val="none" w:sz="6" w:space="0" w:color="auto"/>
              <w:left w:val="none" w:sz="6" w:space="0" w:color="auto"/>
              <w:bottom w:val="none" w:sz="6" w:space="0" w:color="auto"/>
              <w:right w:val="none" w:sz="6" w:space="0" w:color="auto"/>
            </w:tcBorders>
          </w:tcPr>
          <w:p w14:paraId="22BAE555" w14:textId="77777777" w:rsidR="004F6D71" w:rsidRPr="004F6D71" w:rsidRDefault="004F6D71">
            <w:pPr>
              <w:pStyle w:val="TableParagraph"/>
              <w:kinsoku w:val="0"/>
              <w:overflowPunct w:val="0"/>
              <w:spacing w:before="54"/>
              <w:ind w:left="119"/>
              <w:jc w:val="left"/>
              <w:rPr>
                <w:rFonts w:ascii="Eras Medium ITC" w:hAnsi="Eras Medium ITC" w:cs="Eras Medium ITC"/>
                <w:spacing w:val="-2"/>
                <w:w w:val="105"/>
                <w:sz w:val="18"/>
                <w:szCs w:val="18"/>
                <w:vertAlign w:val="superscript"/>
              </w:rPr>
            </w:pPr>
            <w:r w:rsidRPr="004F6D71">
              <w:rPr>
                <w:rFonts w:ascii="Bookman Old Style" w:hAnsi="Bookman Old Style" w:cs="Bookman Old Style"/>
                <w:i/>
                <w:iCs/>
                <w:spacing w:val="-2"/>
                <w:w w:val="105"/>
                <w:sz w:val="18"/>
                <w:szCs w:val="18"/>
              </w:rPr>
              <w:t>Adj.R</w:t>
            </w:r>
            <w:r w:rsidRPr="004F6D71">
              <w:rPr>
                <w:rFonts w:ascii="Eras Medium ITC" w:hAnsi="Eras Medium ITC" w:cs="Eras Medium ITC"/>
                <w:spacing w:val="-2"/>
                <w:w w:val="105"/>
                <w:sz w:val="18"/>
                <w:szCs w:val="18"/>
                <w:vertAlign w:val="superscript"/>
              </w:rPr>
              <w:t>2</w:t>
            </w:r>
          </w:p>
        </w:tc>
        <w:tc>
          <w:tcPr>
            <w:tcW w:w="983" w:type="dxa"/>
            <w:tcBorders>
              <w:top w:val="none" w:sz="6" w:space="0" w:color="auto"/>
              <w:left w:val="none" w:sz="6" w:space="0" w:color="auto"/>
              <w:bottom w:val="none" w:sz="6" w:space="0" w:color="auto"/>
              <w:right w:val="none" w:sz="6" w:space="0" w:color="auto"/>
            </w:tcBorders>
          </w:tcPr>
          <w:p w14:paraId="76FCBC8D" w14:textId="77777777" w:rsidR="004F6D71" w:rsidRPr="004F6D71" w:rsidRDefault="004F6D71">
            <w:pPr>
              <w:pStyle w:val="TableParagraph"/>
              <w:kinsoku w:val="0"/>
              <w:overflowPunct w:val="0"/>
              <w:spacing w:before="12"/>
              <w:ind w:right="105"/>
              <w:rPr>
                <w:spacing w:val="-2"/>
                <w:sz w:val="18"/>
                <w:szCs w:val="18"/>
              </w:rPr>
            </w:pPr>
            <w:r w:rsidRPr="004F6D71">
              <w:rPr>
                <w:spacing w:val="-2"/>
                <w:sz w:val="18"/>
                <w:szCs w:val="18"/>
              </w:rPr>
              <w:t>0.0335</w:t>
            </w:r>
          </w:p>
        </w:tc>
        <w:tc>
          <w:tcPr>
            <w:tcW w:w="983" w:type="dxa"/>
            <w:tcBorders>
              <w:top w:val="none" w:sz="6" w:space="0" w:color="auto"/>
              <w:left w:val="none" w:sz="6" w:space="0" w:color="auto"/>
              <w:bottom w:val="none" w:sz="6" w:space="0" w:color="auto"/>
              <w:right w:val="none" w:sz="6" w:space="0" w:color="auto"/>
            </w:tcBorders>
          </w:tcPr>
          <w:p w14:paraId="58DA62C9" w14:textId="77777777" w:rsidR="004F6D71" w:rsidRPr="004F6D71" w:rsidRDefault="004F6D71">
            <w:pPr>
              <w:pStyle w:val="TableParagraph"/>
              <w:kinsoku w:val="0"/>
              <w:overflowPunct w:val="0"/>
              <w:spacing w:before="12"/>
              <w:ind w:right="106"/>
              <w:rPr>
                <w:spacing w:val="-2"/>
                <w:sz w:val="18"/>
                <w:szCs w:val="18"/>
              </w:rPr>
            </w:pPr>
            <w:r w:rsidRPr="004F6D71">
              <w:rPr>
                <w:spacing w:val="-2"/>
                <w:sz w:val="18"/>
                <w:szCs w:val="18"/>
              </w:rPr>
              <w:t>0.0491</w:t>
            </w:r>
          </w:p>
        </w:tc>
        <w:tc>
          <w:tcPr>
            <w:tcW w:w="983" w:type="dxa"/>
            <w:tcBorders>
              <w:top w:val="none" w:sz="6" w:space="0" w:color="auto"/>
              <w:left w:val="none" w:sz="6" w:space="0" w:color="auto"/>
              <w:bottom w:val="none" w:sz="6" w:space="0" w:color="auto"/>
              <w:right w:val="none" w:sz="6" w:space="0" w:color="auto"/>
            </w:tcBorders>
          </w:tcPr>
          <w:p w14:paraId="4D0C92B5" w14:textId="77777777" w:rsidR="004F6D71" w:rsidRPr="004F6D71" w:rsidRDefault="004F6D71">
            <w:pPr>
              <w:pStyle w:val="TableParagraph"/>
              <w:kinsoku w:val="0"/>
              <w:overflowPunct w:val="0"/>
              <w:spacing w:before="12"/>
              <w:ind w:right="107"/>
              <w:rPr>
                <w:spacing w:val="-2"/>
                <w:sz w:val="18"/>
                <w:szCs w:val="18"/>
              </w:rPr>
            </w:pPr>
            <w:r w:rsidRPr="004F6D71">
              <w:rPr>
                <w:spacing w:val="-2"/>
                <w:sz w:val="18"/>
                <w:szCs w:val="18"/>
              </w:rPr>
              <w:t>0.0493</w:t>
            </w:r>
          </w:p>
        </w:tc>
        <w:tc>
          <w:tcPr>
            <w:tcW w:w="984" w:type="dxa"/>
            <w:tcBorders>
              <w:top w:val="none" w:sz="6" w:space="0" w:color="auto"/>
              <w:left w:val="none" w:sz="6" w:space="0" w:color="auto"/>
              <w:bottom w:val="none" w:sz="6" w:space="0" w:color="auto"/>
              <w:right w:val="none" w:sz="6" w:space="0" w:color="auto"/>
            </w:tcBorders>
          </w:tcPr>
          <w:p w14:paraId="766513D9" w14:textId="77777777" w:rsidR="004F6D71" w:rsidRPr="004F6D71" w:rsidRDefault="004F6D71">
            <w:pPr>
              <w:pStyle w:val="TableParagraph"/>
              <w:kinsoku w:val="0"/>
              <w:overflowPunct w:val="0"/>
              <w:spacing w:before="12"/>
              <w:ind w:left="107" w:right="108"/>
              <w:rPr>
                <w:spacing w:val="-2"/>
                <w:sz w:val="18"/>
                <w:szCs w:val="18"/>
              </w:rPr>
            </w:pPr>
            <w:r w:rsidRPr="004F6D71">
              <w:rPr>
                <w:spacing w:val="-2"/>
                <w:sz w:val="18"/>
                <w:szCs w:val="18"/>
              </w:rPr>
              <w:t>0.0658</w:t>
            </w:r>
          </w:p>
        </w:tc>
      </w:tr>
      <w:tr w:rsidR="004F6D71" w14:paraId="3DE72243" w14:textId="77777777" w:rsidTr="004F6D71">
        <w:trPr>
          <w:trHeight w:val="315"/>
        </w:trPr>
        <w:tc>
          <w:tcPr>
            <w:tcW w:w="2735" w:type="dxa"/>
            <w:tcBorders>
              <w:top w:val="none" w:sz="6" w:space="0" w:color="auto"/>
              <w:left w:val="none" w:sz="6" w:space="0" w:color="auto"/>
              <w:bottom w:val="single" w:sz="4" w:space="0" w:color="000000"/>
              <w:right w:val="none" w:sz="6" w:space="0" w:color="auto"/>
            </w:tcBorders>
          </w:tcPr>
          <w:p w14:paraId="7EE35990" w14:textId="77777777" w:rsidR="004F6D71" w:rsidRPr="004F6D71" w:rsidRDefault="004F6D71">
            <w:pPr>
              <w:pStyle w:val="TableParagraph"/>
              <w:kinsoku w:val="0"/>
              <w:overflowPunct w:val="0"/>
              <w:spacing w:line="316" w:lineRule="exact"/>
              <w:ind w:left="119"/>
              <w:jc w:val="left"/>
              <w:rPr>
                <w:spacing w:val="-4"/>
                <w:sz w:val="18"/>
                <w:szCs w:val="18"/>
              </w:rPr>
            </w:pPr>
            <w:r w:rsidRPr="004F6D71">
              <w:rPr>
                <w:spacing w:val="-4"/>
                <w:sz w:val="18"/>
                <w:szCs w:val="18"/>
              </w:rPr>
              <w:t>Mean</w:t>
            </w:r>
          </w:p>
        </w:tc>
        <w:tc>
          <w:tcPr>
            <w:tcW w:w="983" w:type="dxa"/>
            <w:tcBorders>
              <w:top w:val="none" w:sz="6" w:space="0" w:color="auto"/>
              <w:left w:val="none" w:sz="6" w:space="0" w:color="auto"/>
              <w:bottom w:val="single" w:sz="4" w:space="0" w:color="000000"/>
              <w:right w:val="none" w:sz="6" w:space="0" w:color="auto"/>
            </w:tcBorders>
          </w:tcPr>
          <w:p w14:paraId="72EFE970" w14:textId="77777777" w:rsidR="004F6D71" w:rsidRPr="004F6D71" w:rsidRDefault="004F6D71">
            <w:pPr>
              <w:pStyle w:val="TableParagraph"/>
              <w:kinsoku w:val="0"/>
              <w:overflowPunct w:val="0"/>
              <w:spacing w:line="316" w:lineRule="exact"/>
              <w:ind w:right="105"/>
              <w:rPr>
                <w:spacing w:val="-2"/>
                <w:sz w:val="18"/>
                <w:szCs w:val="18"/>
              </w:rPr>
            </w:pPr>
            <w:r w:rsidRPr="004F6D71">
              <w:rPr>
                <w:spacing w:val="-2"/>
                <w:sz w:val="18"/>
                <w:szCs w:val="18"/>
              </w:rPr>
              <w:t>0.7553</w:t>
            </w:r>
          </w:p>
        </w:tc>
        <w:tc>
          <w:tcPr>
            <w:tcW w:w="983" w:type="dxa"/>
            <w:tcBorders>
              <w:top w:val="none" w:sz="6" w:space="0" w:color="auto"/>
              <w:left w:val="none" w:sz="6" w:space="0" w:color="auto"/>
              <w:bottom w:val="single" w:sz="4" w:space="0" w:color="000000"/>
              <w:right w:val="none" w:sz="6" w:space="0" w:color="auto"/>
            </w:tcBorders>
          </w:tcPr>
          <w:p w14:paraId="78DB5EE7" w14:textId="77777777" w:rsidR="004F6D71" w:rsidRPr="004F6D71" w:rsidRDefault="004F6D71">
            <w:pPr>
              <w:pStyle w:val="TableParagraph"/>
              <w:kinsoku w:val="0"/>
              <w:overflowPunct w:val="0"/>
              <w:spacing w:line="316" w:lineRule="exact"/>
              <w:ind w:right="106"/>
              <w:rPr>
                <w:spacing w:val="-2"/>
                <w:sz w:val="18"/>
                <w:szCs w:val="18"/>
              </w:rPr>
            </w:pPr>
            <w:r w:rsidRPr="004F6D71">
              <w:rPr>
                <w:spacing w:val="-2"/>
                <w:sz w:val="18"/>
                <w:szCs w:val="18"/>
              </w:rPr>
              <w:t>0.7078</w:t>
            </w:r>
          </w:p>
        </w:tc>
        <w:tc>
          <w:tcPr>
            <w:tcW w:w="983" w:type="dxa"/>
            <w:tcBorders>
              <w:top w:val="none" w:sz="6" w:space="0" w:color="auto"/>
              <w:left w:val="none" w:sz="6" w:space="0" w:color="auto"/>
              <w:bottom w:val="single" w:sz="4" w:space="0" w:color="000000"/>
              <w:right w:val="none" w:sz="6" w:space="0" w:color="auto"/>
            </w:tcBorders>
          </w:tcPr>
          <w:p w14:paraId="12D4AF71" w14:textId="77777777" w:rsidR="004F6D71" w:rsidRPr="004F6D71" w:rsidRDefault="004F6D71">
            <w:pPr>
              <w:pStyle w:val="TableParagraph"/>
              <w:kinsoku w:val="0"/>
              <w:overflowPunct w:val="0"/>
              <w:spacing w:line="316" w:lineRule="exact"/>
              <w:ind w:right="106"/>
              <w:rPr>
                <w:spacing w:val="-2"/>
                <w:sz w:val="18"/>
                <w:szCs w:val="18"/>
              </w:rPr>
            </w:pPr>
            <w:r w:rsidRPr="004F6D71">
              <w:rPr>
                <w:spacing w:val="-2"/>
                <w:sz w:val="18"/>
                <w:szCs w:val="18"/>
              </w:rPr>
              <w:t>0.7080</w:t>
            </w:r>
          </w:p>
        </w:tc>
        <w:tc>
          <w:tcPr>
            <w:tcW w:w="984" w:type="dxa"/>
            <w:tcBorders>
              <w:top w:val="none" w:sz="6" w:space="0" w:color="auto"/>
              <w:left w:val="none" w:sz="6" w:space="0" w:color="auto"/>
              <w:bottom w:val="single" w:sz="4" w:space="0" w:color="000000"/>
              <w:right w:val="none" w:sz="6" w:space="0" w:color="auto"/>
            </w:tcBorders>
          </w:tcPr>
          <w:p w14:paraId="045B4EB5" w14:textId="77777777" w:rsidR="004F6D71" w:rsidRPr="004F6D71" w:rsidRDefault="004F6D71">
            <w:pPr>
              <w:pStyle w:val="TableParagraph"/>
              <w:kinsoku w:val="0"/>
              <w:overflowPunct w:val="0"/>
              <w:spacing w:line="316" w:lineRule="exact"/>
              <w:ind w:left="107" w:right="107"/>
              <w:rPr>
                <w:spacing w:val="-2"/>
                <w:sz w:val="18"/>
                <w:szCs w:val="18"/>
              </w:rPr>
            </w:pPr>
            <w:r w:rsidRPr="004F6D71">
              <w:rPr>
                <w:spacing w:val="-2"/>
                <w:sz w:val="18"/>
                <w:szCs w:val="18"/>
              </w:rPr>
              <w:t>0.7360</w:t>
            </w:r>
          </w:p>
        </w:tc>
      </w:tr>
    </w:tbl>
    <w:p w14:paraId="111C28DB" w14:textId="6DBF4E0F" w:rsidR="004F6D71" w:rsidRDefault="004F6D71" w:rsidP="004F6D71">
      <w:pPr>
        <w:pStyle w:val="BodyText"/>
        <w:kinsoku w:val="0"/>
        <w:overflowPunct w:val="0"/>
        <w:spacing w:before="87" w:line="172" w:lineRule="auto"/>
        <w:ind w:left="594" w:right="384"/>
      </w:pPr>
      <w:r>
        <w:t>Note:</w:t>
      </w:r>
      <w:r>
        <w:rPr>
          <w:spacing w:val="39"/>
        </w:rPr>
        <w:t xml:space="preserve"> </w:t>
      </w:r>
      <w:r w:rsidR="00964366" w:rsidRPr="00964366">
        <w:t xml:space="preserve">We also control for the characteristics of the panel, and for </w:t>
      </w:r>
      <w:r w:rsidR="00964366">
        <w:t>[</w:t>
      </w:r>
      <w:r w:rsidR="00964366" w:rsidRPr="00964366">
        <w:t>Circuit</w:t>
      </w:r>
      <w:r w:rsidR="00964366">
        <w:t>]x[</w:t>
      </w:r>
      <w:r w:rsidR="00964366" w:rsidRPr="00964366">
        <w:t>Year</w:t>
      </w:r>
      <w:r w:rsidR="00964366">
        <w:t>]</w:t>
      </w:r>
      <w:r w:rsidR="00964366" w:rsidRPr="00964366">
        <w:t>, District, and Offense type Fixed Effects.</w:t>
      </w:r>
      <w:r w:rsidR="00964366">
        <w:rPr>
          <w:spacing w:val="63"/>
        </w:rPr>
        <w:t xml:space="preserve"> </w:t>
      </w:r>
      <w:r>
        <w:t>Standard errors are in parenthesis and are clustered by year.</w:t>
      </w:r>
      <w:r>
        <w:rPr>
          <w:spacing w:val="40"/>
        </w:rPr>
        <w:t xml:space="preserve"> </w:t>
      </w:r>
      <w:r>
        <w:t>Stars denote</w:t>
      </w:r>
      <w:r>
        <w:rPr>
          <w:spacing w:val="-1"/>
        </w:rPr>
        <w:t xml:space="preserve"> </w:t>
      </w:r>
      <w:r>
        <w:t>the</w:t>
      </w:r>
      <w:r>
        <w:rPr>
          <w:spacing w:val="-2"/>
        </w:rPr>
        <w:t xml:space="preserve"> </w:t>
      </w:r>
      <w:r>
        <w:t>level</w:t>
      </w:r>
      <w:r>
        <w:rPr>
          <w:spacing w:val="-2"/>
        </w:rPr>
        <w:t xml:space="preserve"> </w:t>
      </w:r>
      <w:r>
        <w:t>of</w:t>
      </w:r>
      <w:r>
        <w:rPr>
          <w:spacing w:val="-2"/>
        </w:rPr>
        <w:t xml:space="preserve"> </w:t>
      </w:r>
      <w:r>
        <w:t>statistical</w:t>
      </w:r>
      <w:r>
        <w:rPr>
          <w:spacing w:val="-1"/>
        </w:rPr>
        <w:t xml:space="preserve"> </w:t>
      </w:r>
      <w:r>
        <w:t>significance</w:t>
      </w:r>
      <w:r>
        <w:rPr>
          <w:spacing w:val="-1"/>
        </w:rPr>
        <w:t xml:space="preserve"> </w:t>
      </w:r>
      <w:r>
        <w:rPr>
          <w:rFonts w:ascii="Sitka Small" w:hAnsi="Sitka Small" w:cs="Sitka Small"/>
          <w:i/>
          <w:iCs/>
          <w:vertAlign w:val="superscript"/>
        </w:rPr>
        <w:t>t</w:t>
      </w:r>
      <w:r>
        <w:rPr>
          <w:rFonts w:ascii="Sitka Small" w:hAnsi="Sitka Small" w:cs="Sitka Small"/>
          <w:i/>
          <w:iCs/>
          <w:spacing w:val="13"/>
        </w:rPr>
        <w:t xml:space="preserve"> </w:t>
      </w:r>
      <w:r>
        <w:rPr>
          <w:rFonts w:ascii="Bookman Old Style" w:hAnsi="Bookman Old Style" w:cs="Bookman Old Style"/>
          <w:i/>
          <w:iCs/>
        </w:rPr>
        <w:t>p</w:t>
      </w:r>
      <w:r>
        <w:rPr>
          <w:rFonts w:ascii="Bookman Old Style" w:hAnsi="Bookman Old Style" w:cs="Bookman Old Style"/>
          <w:i/>
          <w:iCs/>
          <w:spacing w:val="-6"/>
        </w:rPr>
        <w:t xml:space="preserve"> </w:t>
      </w:r>
      <w:r>
        <w:rPr>
          <w:rFonts w:ascii="Bookman Old Style" w:hAnsi="Bookman Old Style" w:cs="Bookman Old Style"/>
          <w:i/>
          <w:iCs/>
        </w:rPr>
        <w:t>&lt;</w:t>
      </w:r>
      <w:r>
        <w:rPr>
          <w:rFonts w:ascii="Bookman Old Style" w:hAnsi="Bookman Old Style" w:cs="Bookman Old Style"/>
          <w:i/>
          <w:iCs/>
          <w:spacing w:val="-6"/>
        </w:rPr>
        <w:t xml:space="preserve"> </w:t>
      </w:r>
      <w:r>
        <w:t>0</w:t>
      </w:r>
      <w:r>
        <w:rPr>
          <w:rFonts w:ascii="Bookman Old Style" w:hAnsi="Bookman Old Style" w:cs="Bookman Old Style"/>
          <w:i/>
          <w:iCs/>
        </w:rPr>
        <w:t>.</w:t>
      </w:r>
      <w:r>
        <w:t>15</w:t>
      </w:r>
      <w:r>
        <w:rPr>
          <w:spacing w:val="-2"/>
        </w:rPr>
        <w:t xml:space="preserve"> </w:t>
      </w:r>
      <w:r>
        <w:rPr>
          <w:rFonts w:ascii="Lucida Sans Unicode" w:hAnsi="Lucida Sans Unicode" w:cs="Lucida Sans Unicode"/>
          <w:vertAlign w:val="superscript"/>
        </w:rPr>
        <w:t>∗</w:t>
      </w:r>
      <w:r>
        <w:rPr>
          <w:rFonts w:ascii="Lucida Sans Unicode" w:hAnsi="Lucida Sans Unicode" w:cs="Lucida Sans Unicode"/>
          <w:spacing w:val="12"/>
        </w:rPr>
        <w:t xml:space="preserve"> </w:t>
      </w:r>
      <w:r>
        <w:rPr>
          <w:rFonts w:ascii="Bookman Old Style" w:hAnsi="Bookman Old Style" w:cs="Bookman Old Style"/>
          <w:i/>
          <w:iCs/>
        </w:rPr>
        <w:t>p</w:t>
      </w:r>
      <w:r>
        <w:rPr>
          <w:rFonts w:ascii="Bookman Old Style" w:hAnsi="Bookman Old Style" w:cs="Bookman Old Style"/>
          <w:i/>
          <w:iCs/>
          <w:spacing w:val="-6"/>
        </w:rPr>
        <w:t xml:space="preserve"> </w:t>
      </w:r>
      <w:r>
        <w:rPr>
          <w:rFonts w:ascii="Bookman Old Style" w:hAnsi="Bookman Old Style" w:cs="Bookman Old Style"/>
          <w:i/>
          <w:iCs/>
        </w:rPr>
        <w:t>&lt;</w:t>
      </w:r>
      <w:r>
        <w:rPr>
          <w:rFonts w:ascii="Bookman Old Style" w:hAnsi="Bookman Old Style" w:cs="Bookman Old Style"/>
          <w:i/>
          <w:iCs/>
          <w:spacing w:val="-6"/>
        </w:rPr>
        <w:t xml:space="preserve"> </w:t>
      </w:r>
      <w:r>
        <w:t>0</w:t>
      </w:r>
      <w:r>
        <w:rPr>
          <w:rFonts w:ascii="Bookman Old Style" w:hAnsi="Bookman Old Style" w:cs="Bookman Old Style"/>
          <w:i/>
          <w:iCs/>
        </w:rPr>
        <w:t>.</w:t>
      </w:r>
      <w:r>
        <w:t>1,</w:t>
      </w:r>
      <w:r>
        <w:rPr>
          <w:spacing w:val="-2"/>
        </w:rPr>
        <w:t xml:space="preserve"> </w:t>
      </w:r>
      <w:r>
        <w:rPr>
          <w:rFonts w:ascii="Lucida Sans Unicode" w:hAnsi="Lucida Sans Unicode" w:cs="Lucida Sans Unicode"/>
          <w:vertAlign w:val="superscript"/>
        </w:rPr>
        <w:t>∗∗</w:t>
      </w:r>
      <w:r>
        <w:rPr>
          <w:rFonts w:ascii="Lucida Sans Unicode" w:hAnsi="Lucida Sans Unicode" w:cs="Lucida Sans Unicode"/>
          <w:spacing w:val="12"/>
        </w:rPr>
        <w:t xml:space="preserve"> </w:t>
      </w:r>
      <w:r>
        <w:rPr>
          <w:rFonts w:ascii="Bookman Old Style" w:hAnsi="Bookman Old Style" w:cs="Bookman Old Style"/>
          <w:i/>
          <w:iCs/>
        </w:rPr>
        <w:t>p</w:t>
      </w:r>
      <w:r>
        <w:rPr>
          <w:rFonts w:ascii="Bookman Old Style" w:hAnsi="Bookman Old Style" w:cs="Bookman Old Style"/>
          <w:i/>
          <w:iCs/>
          <w:spacing w:val="-6"/>
        </w:rPr>
        <w:t xml:space="preserve"> </w:t>
      </w:r>
      <w:r>
        <w:rPr>
          <w:rFonts w:ascii="Bookman Old Style" w:hAnsi="Bookman Old Style" w:cs="Bookman Old Style"/>
          <w:i/>
          <w:iCs/>
        </w:rPr>
        <w:t>&lt;</w:t>
      </w:r>
      <w:r>
        <w:rPr>
          <w:rFonts w:ascii="Bookman Old Style" w:hAnsi="Bookman Old Style" w:cs="Bookman Old Style"/>
          <w:i/>
          <w:iCs/>
          <w:spacing w:val="-6"/>
        </w:rPr>
        <w:t xml:space="preserve"> </w:t>
      </w:r>
      <w:r>
        <w:t>0</w:t>
      </w:r>
      <w:r>
        <w:rPr>
          <w:rFonts w:ascii="Bookman Old Style" w:hAnsi="Bookman Old Style" w:cs="Bookman Old Style"/>
          <w:i/>
          <w:iCs/>
        </w:rPr>
        <w:t>.</w:t>
      </w:r>
      <w:r>
        <w:t>05,</w:t>
      </w:r>
      <w:r>
        <w:rPr>
          <w:spacing w:val="-2"/>
        </w:rPr>
        <w:t xml:space="preserve"> </w:t>
      </w:r>
      <w:r>
        <w:rPr>
          <w:rFonts w:ascii="Lucida Sans Unicode" w:hAnsi="Lucida Sans Unicode" w:cs="Lucida Sans Unicode"/>
          <w:vertAlign w:val="superscript"/>
        </w:rPr>
        <w:t>∗∗∗</w:t>
      </w:r>
      <w:r>
        <w:rPr>
          <w:rFonts w:ascii="Lucida Sans Unicode" w:hAnsi="Lucida Sans Unicode" w:cs="Lucida Sans Unicode"/>
          <w:spacing w:val="12"/>
        </w:rPr>
        <w:t xml:space="preserve"> </w:t>
      </w:r>
      <w:r>
        <w:rPr>
          <w:rFonts w:ascii="Bookman Old Style" w:hAnsi="Bookman Old Style" w:cs="Bookman Old Style"/>
          <w:i/>
          <w:iCs/>
        </w:rPr>
        <w:t>p</w:t>
      </w:r>
      <w:r>
        <w:rPr>
          <w:rFonts w:ascii="Bookman Old Style" w:hAnsi="Bookman Old Style" w:cs="Bookman Old Style"/>
          <w:i/>
          <w:iCs/>
          <w:spacing w:val="-6"/>
        </w:rPr>
        <w:t xml:space="preserve"> </w:t>
      </w:r>
      <w:r>
        <w:rPr>
          <w:rFonts w:ascii="Bookman Old Style" w:hAnsi="Bookman Old Style" w:cs="Bookman Old Style"/>
          <w:i/>
          <w:iCs/>
        </w:rPr>
        <w:t>&lt;</w:t>
      </w:r>
      <w:r>
        <w:rPr>
          <w:rFonts w:ascii="Bookman Old Style" w:hAnsi="Bookman Old Style" w:cs="Bookman Old Style"/>
          <w:i/>
          <w:iCs/>
          <w:spacing w:val="-6"/>
        </w:rPr>
        <w:t xml:space="preserve"> </w:t>
      </w:r>
      <w:r>
        <w:t>0</w:t>
      </w:r>
      <w:r>
        <w:rPr>
          <w:rFonts w:ascii="Bookman Old Style" w:hAnsi="Bookman Old Style" w:cs="Bookman Old Style"/>
          <w:i/>
          <w:iCs/>
        </w:rPr>
        <w:t>.</w:t>
      </w:r>
      <w:r>
        <w:t>01.</w:t>
      </w:r>
    </w:p>
    <w:bookmarkEnd w:id="1"/>
    <w:p w14:paraId="2C10A0A2" w14:textId="3C516F7F" w:rsidR="007000C5" w:rsidRPr="007000C5" w:rsidRDefault="007000C5" w:rsidP="007000C5">
      <w:pPr>
        <w:pStyle w:val="ListParagraph"/>
        <w:ind w:left="0"/>
        <w:rPr>
          <w:rFonts w:asciiTheme="majorBidi" w:hAnsiTheme="majorBidi" w:cstheme="majorBidi"/>
          <w:sz w:val="24"/>
          <w:szCs w:val="24"/>
        </w:rPr>
      </w:pPr>
    </w:p>
    <w:p w14:paraId="482A659A" w14:textId="77777777" w:rsidR="000F7B0E" w:rsidRDefault="000F7B0E" w:rsidP="00A13C7B">
      <w:pPr>
        <w:spacing w:after="120" w:line="360" w:lineRule="auto"/>
        <w:rPr>
          <w:rFonts w:asciiTheme="majorBidi" w:hAnsiTheme="majorBidi" w:cstheme="majorBidi"/>
          <w:i/>
          <w:iCs/>
          <w:sz w:val="24"/>
          <w:szCs w:val="24"/>
        </w:rPr>
      </w:pPr>
    </w:p>
    <w:p w14:paraId="108E54F0" w14:textId="7D97EB4A" w:rsidR="009D643B" w:rsidRPr="00A02F77" w:rsidRDefault="00340415" w:rsidP="00A13C7B">
      <w:pPr>
        <w:spacing w:after="120" w:line="360" w:lineRule="auto"/>
        <w:rPr>
          <w:rFonts w:asciiTheme="majorBidi" w:hAnsiTheme="majorBidi" w:cstheme="majorBidi"/>
          <w:b/>
          <w:bCs/>
          <w:i/>
          <w:iCs/>
          <w:sz w:val="24"/>
          <w:szCs w:val="24"/>
        </w:rPr>
      </w:pPr>
      <w:r w:rsidRPr="00A02F77">
        <w:rPr>
          <w:rFonts w:asciiTheme="majorBidi" w:hAnsiTheme="majorBidi" w:cstheme="majorBidi"/>
          <w:i/>
          <w:iCs/>
          <w:sz w:val="24"/>
          <w:szCs w:val="24"/>
        </w:rPr>
        <w:lastRenderedPageBreak/>
        <w:t>3</w:t>
      </w:r>
      <w:r w:rsidR="00DB11C7" w:rsidRPr="00A02F77">
        <w:rPr>
          <w:rFonts w:asciiTheme="majorBidi" w:hAnsiTheme="majorBidi" w:cstheme="majorBidi"/>
          <w:i/>
          <w:iCs/>
          <w:sz w:val="24"/>
          <w:szCs w:val="24"/>
        </w:rPr>
        <w:t xml:space="preserve">. </w:t>
      </w:r>
      <w:r w:rsidR="00A02F77">
        <w:rPr>
          <w:rFonts w:asciiTheme="majorBidi" w:hAnsiTheme="majorBidi" w:cstheme="majorBidi"/>
          <w:i/>
          <w:iCs/>
          <w:sz w:val="24"/>
          <w:szCs w:val="24"/>
        </w:rPr>
        <w:t xml:space="preserve"> </w:t>
      </w:r>
      <w:r w:rsidR="009D643B" w:rsidRPr="00A02F77">
        <w:rPr>
          <w:rFonts w:asciiTheme="majorBidi" w:hAnsiTheme="majorBidi" w:cstheme="majorBidi"/>
          <w:i/>
          <w:iCs/>
          <w:sz w:val="24"/>
          <w:szCs w:val="24"/>
        </w:rPr>
        <w:t>Different Types of offenses</w:t>
      </w:r>
    </w:p>
    <w:p w14:paraId="4FB3DD83" w14:textId="401DEB75" w:rsidR="00FF0E52" w:rsidRDefault="0069470B" w:rsidP="00A13C7B">
      <w:pPr>
        <w:spacing w:after="120" w:line="360" w:lineRule="auto"/>
        <w:ind w:firstLine="720"/>
        <w:rPr>
          <w:rFonts w:asciiTheme="majorBidi" w:hAnsiTheme="majorBidi" w:cstheme="majorBidi"/>
          <w:sz w:val="24"/>
          <w:szCs w:val="24"/>
        </w:rPr>
      </w:pPr>
      <w:r>
        <w:rPr>
          <w:rFonts w:asciiTheme="majorBidi" w:hAnsiTheme="majorBidi" w:cstheme="majorBidi"/>
          <w:sz w:val="24"/>
          <w:szCs w:val="24"/>
        </w:rPr>
        <w:t xml:space="preserve">Finally, we turn to examine </w:t>
      </w:r>
      <w:r w:rsidR="004D49E9">
        <w:rPr>
          <w:rFonts w:asciiTheme="majorBidi" w:hAnsiTheme="majorBidi" w:cstheme="majorBidi"/>
          <w:sz w:val="24"/>
          <w:szCs w:val="24"/>
        </w:rPr>
        <w:t xml:space="preserve">whether our results are driven by </w:t>
      </w:r>
      <w:r>
        <w:rPr>
          <w:rFonts w:asciiTheme="majorBidi" w:hAnsiTheme="majorBidi" w:cstheme="majorBidi"/>
          <w:sz w:val="24"/>
          <w:szCs w:val="24"/>
        </w:rPr>
        <w:t xml:space="preserve">a subset of the </w:t>
      </w:r>
      <w:r w:rsidR="004D49E9">
        <w:rPr>
          <w:rFonts w:asciiTheme="majorBidi" w:hAnsiTheme="majorBidi" w:cstheme="majorBidi"/>
          <w:sz w:val="24"/>
          <w:szCs w:val="24"/>
        </w:rPr>
        <w:t>type</w:t>
      </w:r>
      <w:r>
        <w:rPr>
          <w:rFonts w:asciiTheme="majorBidi" w:hAnsiTheme="majorBidi" w:cstheme="majorBidi"/>
          <w:sz w:val="24"/>
          <w:szCs w:val="24"/>
        </w:rPr>
        <w:t>s</w:t>
      </w:r>
      <w:r w:rsidR="004D49E9">
        <w:rPr>
          <w:rFonts w:asciiTheme="majorBidi" w:hAnsiTheme="majorBidi" w:cstheme="majorBidi"/>
          <w:sz w:val="24"/>
          <w:szCs w:val="24"/>
        </w:rPr>
        <w:t xml:space="preserve"> of crime</w:t>
      </w:r>
      <w:r>
        <w:rPr>
          <w:rFonts w:asciiTheme="majorBidi" w:hAnsiTheme="majorBidi" w:cstheme="majorBidi"/>
          <w:sz w:val="24"/>
          <w:szCs w:val="24"/>
        </w:rPr>
        <w:t xml:space="preserve">s. To this end, </w:t>
      </w:r>
      <w:r w:rsidR="004D49E9">
        <w:rPr>
          <w:rFonts w:asciiTheme="majorBidi" w:hAnsiTheme="majorBidi" w:cstheme="majorBidi"/>
          <w:sz w:val="24"/>
          <w:szCs w:val="24"/>
        </w:rPr>
        <w:t>we</w:t>
      </w:r>
      <w:r w:rsidR="00BD1D47" w:rsidRPr="00BD1D47">
        <w:rPr>
          <w:rFonts w:asciiTheme="majorBidi" w:hAnsiTheme="majorBidi" w:cstheme="majorBidi"/>
          <w:sz w:val="24"/>
          <w:szCs w:val="24"/>
        </w:rPr>
        <w:t xml:space="preserve"> divide </w:t>
      </w:r>
      <w:r w:rsidR="00FF0E52">
        <w:rPr>
          <w:rFonts w:asciiTheme="majorBidi" w:hAnsiTheme="majorBidi" w:cstheme="majorBidi"/>
          <w:sz w:val="24"/>
          <w:szCs w:val="24"/>
        </w:rPr>
        <w:t xml:space="preserve">all cases into eight categories of offenses: </w:t>
      </w:r>
      <w:r w:rsidR="00BD1D47">
        <w:rPr>
          <w:rFonts w:asciiTheme="majorBidi" w:hAnsiTheme="majorBidi" w:cstheme="majorBidi"/>
          <w:sz w:val="24"/>
          <w:szCs w:val="24"/>
        </w:rPr>
        <w:t>Violent, Property, Sex-Family, Immigration, Drug, Firearm, and Other.</w:t>
      </w:r>
      <w:r w:rsidR="004D49E9">
        <w:rPr>
          <w:rFonts w:asciiTheme="majorBidi" w:hAnsiTheme="majorBidi" w:cstheme="majorBidi"/>
          <w:sz w:val="24"/>
          <w:szCs w:val="24"/>
        </w:rPr>
        <w:t xml:space="preserve"> </w:t>
      </w:r>
      <w:r w:rsidR="00FF0E52">
        <w:rPr>
          <w:rFonts w:asciiTheme="majorBidi" w:hAnsiTheme="majorBidi" w:cstheme="majorBidi"/>
          <w:sz w:val="24"/>
          <w:szCs w:val="24"/>
        </w:rPr>
        <w:t xml:space="preserve">And we run the </w:t>
      </w:r>
      <w:r w:rsidR="00540049">
        <w:rPr>
          <w:rFonts w:asciiTheme="majorBidi" w:hAnsiTheme="majorBidi" w:cstheme="majorBidi"/>
          <w:sz w:val="24"/>
          <w:szCs w:val="24"/>
        </w:rPr>
        <w:t>regressions</w:t>
      </w:r>
      <w:r w:rsidR="00FF0E52">
        <w:rPr>
          <w:rFonts w:asciiTheme="majorBidi" w:hAnsiTheme="majorBidi" w:cstheme="majorBidi"/>
          <w:sz w:val="24"/>
          <w:szCs w:val="24"/>
        </w:rPr>
        <w:t xml:space="preserve"> using our main specifications separately for each of the types of offenses. </w:t>
      </w:r>
    </w:p>
    <w:p w14:paraId="210C005F" w14:textId="32F11842" w:rsidR="00FF0E52" w:rsidRDefault="002A2422" w:rsidP="00A13C7B">
      <w:pPr>
        <w:spacing w:after="120" w:line="360" w:lineRule="auto"/>
        <w:ind w:firstLine="720"/>
        <w:rPr>
          <w:rFonts w:asciiTheme="majorBidi" w:hAnsiTheme="majorBidi" w:cstheme="majorBidi"/>
          <w:sz w:val="24"/>
          <w:szCs w:val="24"/>
        </w:rPr>
      </w:pPr>
      <w:r>
        <w:rPr>
          <w:rFonts w:asciiTheme="majorBidi" w:hAnsiTheme="majorBidi" w:cstheme="majorBidi"/>
          <w:sz w:val="24"/>
          <w:szCs w:val="24"/>
        </w:rPr>
        <w:t xml:space="preserve">Table </w:t>
      </w:r>
      <w:r w:rsidR="00063FBA">
        <w:rPr>
          <w:rFonts w:asciiTheme="majorBidi" w:hAnsiTheme="majorBidi" w:cstheme="majorBidi"/>
          <w:sz w:val="24"/>
          <w:szCs w:val="24"/>
        </w:rPr>
        <w:t xml:space="preserve">8 reports the results of these regressions. As before, Panel A provides the results based on the universe of all cases. Panel B provides the results based on the sample of only </w:t>
      </w:r>
      <w:r w:rsidR="00540049">
        <w:rPr>
          <w:rFonts w:asciiTheme="majorBidi" w:hAnsiTheme="majorBidi" w:cstheme="majorBidi"/>
          <w:sz w:val="24"/>
          <w:szCs w:val="24"/>
        </w:rPr>
        <w:t>unpublished</w:t>
      </w:r>
      <w:r w:rsidR="00063FBA">
        <w:rPr>
          <w:rFonts w:asciiTheme="majorBidi" w:hAnsiTheme="majorBidi" w:cstheme="majorBidi"/>
          <w:sz w:val="24"/>
          <w:szCs w:val="24"/>
        </w:rPr>
        <w:t xml:space="preserve"> cases, and Panel C provides the results based on the sample of only published cases. </w:t>
      </w:r>
    </w:p>
    <w:p w14:paraId="1AFC6B71" w14:textId="50201146" w:rsidR="0089433C" w:rsidRDefault="004D29DB" w:rsidP="00A13C7B">
      <w:pPr>
        <w:spacing w:after="120" w:line="360" w:lineRule="auto"/>
        <w:ind w:firstLine="720"/>
        <w:rPr>
          <w:rFonts w:asciiTheme="majorBidi" w:hAnsiTheme="majorBidi" w:cstheme="majorBidi"/>
          <w:sz w:val="24"/>
          <w:szCs w:val="24"/>
        </w:rPr>
      </w:pPr>
      <w:r>
        <w:rPr>
          <w:rFonts w:asciiTheme="majorBidi" w:hAnsiTheme="majorBidi" w:cstheme="majorBidi"/>
          <w:sz w:val="24"/>
          <w:szCs w:val="24"/>
        </w:rPr>
        <w:t xml:space="preserve">Panel A shows </w:t>
      </w:r>
      <w:r w:rsidR="006038E9">
        <w:rPr>
          <w:rFonts w:asciiTheme="majorBidi" w:hAnsiTheme="majorBidi" w:cstheme="majorBidi"/>
          <w:sz w:val="24"/>
          <w:szCs w:val="24"/>
        </w:rPr>
        <w:t>that</w:t>
      </w:r>
      <w:r w:rsidR="00E765E7">
        <w:rPr>
          <w:rFonts w:asciiTheme="majorBidi" w:hAnsiTheme="majorBidi" w:cstheme="majorBidi"/>
          <w:sz w:val="24"/>
          <w:szCs w:val="24"/>
        </w:rPr>
        <w:t>,</w:t>
      </w:r>
      <w:r w:rsidR="006038E9">
        <w:rPr>
          <w:rFonts w:asciiTheme="majorBidi" w:hAnsiTheme="majorBidi" w:cstheme="majorBidi"/>
          <w:sz w:val="24"/>
          <w:szCs w:val="24"/>
        </w:rPr>
        <w:t xml:space="preserve"> </w:t>
      </w:r>
      <w:r w:rsidR="00E765E7">
        <w:rPr>
          <w:rFonts w:asciiTheme="majorBidi" w:hAnsiTheme="majorBidi" w:cstheme="majorBidi"/>
          <w:sz w:val="24"/>
          <w:szCs w:val="24"/>
        </w:rPr>
        <w:t xml:space="preserve">in the universe of all cases, an economically meaningful and statistically significant association between political composition and </w:t>
      </w:r>
      <w:r w:rsidR="00541836">
        <w:rPr>
          <w:rFonts w:asciiTheme="majorBidi" w:hAnsiTheme="majorBidi" w:cstheme="majorBidi"/>
          <w:sz w:val="24"/>
          <w:szCs w:val="24"/>
        </w:rPr>
        <w:t xml:space="preserve">outcomes is present in all the eight types of offenses. </w:t>
      </w:r>
      <w:r w:rsidR="0089433C">
        <w:rPr>
          <w:rFonts w:asciiTheme="majorBidi" w:hAnsiTheme="majorBidi" w:cstheme="majorBidi"/>
          <w:sz w:val="24"/>
          <w:szCs w:val="24"/>
        </w:rPr>
        <w:t xml:space="preserve">Panel C shows that, focusing solely on published cases, the </w:t>
      </w:r>
      <w:r w:rsidR="00C93983">
        <w:rPr>
          <w:rFonts w:asciiTheme="majorBidi" w:hAnsiTheme="majorBidi" w:cstheme="majorBidi"/>
          <w:sz w:val="24"/>
          <w:szCs w:val="24"/>
        </w:rPr>
        <w:t xml:space="preserve">results regarding this association become substantially stronger in magnitude in each of the eight type of offenses. Panel B shows that, focusing only on unpublished cases, </w:t>
      </w:r>
      <w:r w:rsidR="00D36998">
        <w:rPr>
          <w:rFonts w:asciiTheme="majorBidi" w:hAnsiTheme="majorBidi" w:cstheme="majorBidi"/>
          <w:sz w:val="24"/>
          <w:szCs w:val="24"/>
        </w:rPr>
        <w:t xml:space="preserve">the results remain </w:t>
      </w:r>
      <w:r w:rsidR="00540049">
        <w:rPr>
          <w:rFonts w:asciiTheme="majorBidi" w:hAnsiTheme="majorBidi" w:cstheme="majorBidi"/>
          <w:sz w:val="24"/>
          <w:szCs w:val="24"/>
        </w:rPr>
        <w:t>statistically</w:t>
      </w:r>
      <w:r w:rsidR="00D36998">
        <w:rPr>
          <w:rFonts w:asciiTheme="majorBidi" w:hAnsiTheme="majorBidi" w:cstheme="majorBidi"/>
          <w:sz w:val="24"/>
          <w:szCs w:val="24"/>
        </w:rPr>
        <w:t xml:space="preserve"> significant but weaken in magnitude in six of the eight types of offenses, but lose statistical significance in two types of offenses</w:t>
      </w:r>
      <w:r w:rsidR="00301AE9">
        <w:rPr>
          <w:rFonts w:asciiTheme="majorBidi" w:hAnsiTheme="majorBidi" w:cstheme="majorBidi"/>
          <w:sz w:val="24"/>
          <w:szCs w:val="24"/>
        </w:rPr>
        <w:t xml:space="preserve">. </w:t>
      </w:r>
    </w:p>
    <w:p w14:paraId="4B92918E" w14:textId="42B5566D" w:rsidR="00BD1C17" w:rsidRDefault="00BD1C17" w:rsidP="00A13C7B">
      <w:pPr>
        <w:tabs>
          <w:tab w:val="left" w:pos="4770"/>
          <w:tab w:val="left" w:pos="5580"/>
        </w:tabs>
        <w:kinsoku w:val="0"/>
        <w:overflowPunct w:val="0"/>
        <w:autoSpaceDE w:val="0"/>
        <w:autoSpaceDN w:val="0"/>
        <w:adjustRightInd w:val="0"/>
        <w:spacing w:after="120" w:line="360" w:lineRule="auto"/>
        <w:ind w:left="2790" w:right="2520"/>
        <w:contextualSpacing/>
        <w:jc w:val="center"/>
        <w:rPr>
          <w:rFonts w:asciiTheme="majorBidi" w:hAnsiTheme="majorBidi" w:cstheme="majorBidi"/>
          <w:sz w:val="24"/>
          <w:szCs w:val="24"/>
        </w:rPr>
      </w:pPr>
      <w:r w:rsidRPr="00BD1C17">
        <w:rPr>
          <w:rFonts w:asciiTheme="majorBidi" w:hAnsiTheme="majorBidi" w:cstheme="majorBidi"/>
          <w:sz w:val="24"/>
          <w:szCs w:val="24"/>
        </w:rPr>
        <w:t xml:space="preserve">Table </w:t>
      </w:r>
      <w:r w:rsidR="0076188D">
        <w:rPr>
          <w:rFonts w:asciiTheme="majorBidi" w:hAnsiTheme="majorBidi" w:cstheme="majorBidi"/>
          <w:sz w:val="24"/>
          <w:szCs w:val="24"/>
        </w:rPr>
        <w:t>8</w:t>
      </w:r>
      <w:r w:rsidRPr="00BD1C17">
        <w:rPr>
          <w:rFonts w:asciiTheme="majorBidi" w:hAnsiTheme="majorBidi" w:cstheme="majorBidi"/>
          <w:sz w:val="24"/>
          <w:szCs w:val="24"/>
        </w:rPr>
        <w:t>: Different Types of Offenses</w:t>
      </w:r>
    </w:p>
    <w:p w14:paraId="7FFF1479" w14:textId="7CB10E57" w:rsidR="00C27091" w:rsidRPr="00BD1C17" w:rsidRDefault="00C27091" w:rsidP="00A13C7B">
      <w:pPr>
        <w:tabs>
          <w:tab w:val="left" w:pos="4770"/>
          <w:tab w:val="left" w:pos="5580"/>
        </w:tabs>
        <w:kinsoku w:val="0"/>
        <w:overflowPunct w:val="0"/>
        <w:autoSpaceDE w:val="0"/>
        <w:autoSpaceDN w:val="0"/>
        <w:adjustRightInd w:val="0"/>
        <w:spacing w:after="0" w:line="312" w:lineRule="exact"/>
        <w:ind w:right="2520"/>
        <w:contextualSpacing/>
        <w:rPr>
          <w:rFonts w:asciiTheme="majorBidi" w:hAnsiTheme="majorBidi" w:cstheme="majorBidi"/>
          <w:sz w:val="24"/>
          <w:szCs w:val="24"/>
        </w:rPr>
      </w:pPr>
      <w:r>
        <w:rPr>
          <w:rFonts w:asciiTheme="majorBidi" w:hAnsiTheme="majorBidi" w:cstheme="majorBidi"/>
          <w:sz w:val="24"/>
          <w:szCs w:val="24"/>
        </w:rPr>
        <w:t>Panel A: All case</w:t>
      </w:r>
    </w:p>
    <w:p w14:paraId="50E6BFD0" w14:textId="77777777" w:rsidR="00BD1C17" w:rsidRPr="00BD1C17" w:rsidRDefault="00BD1C17" w:rsidP="00BD1C17">
      <w:pPr>
        <w:kinsoku w:val="0"/>
        <w:overflowPunct w:val="0"/>
        <w:autoSpaceDE w:val="0"/>
        <w:autoSpaceDN w:val="0"/>
        <w:adjustRightInd w:val="0"/>
        <w:spacing w:before="14" w:after="0" w:line="240" w:lineRule="auto"/>
        <w:rPr>
          <w:rFonts w:ascii="Euclid" w:hAnsi="Euclid" w:cs="Euclid"/>
          <w:sz w:val="11"/>
          <w:szCs w:val="11"/>
        </w:rPr>
      </w:pPr>
    </w:p>
    <w:tbl>
      <w:tblPr>
        <w:tblW w:w="9922" w:type="dxa"/>
        <w:tblInd w:w="115" w:type="dxa"/>
        <w:tblLayout w:type="fixed"/>
        <w:tblCellMar>
          <w:left w:w="0" w:type="dxa"/>
          <w:right w:w="0" w:type="dxa"/>
        </w:tblCellMar>
        <w:tblLook w:val="0000" w:firstRow="0" w:lastRow="0" w:firstColumn="0" w:lastColumn="0" w:noHBand="0" w:noVBand="0"/>
      </w:tblPr>
      <w:tblGrid>
        <w:gridCol w:w="1529"/>
        <w:gridCol w:w="892"/>
        <w:gridCol w:w="1012"/>
        <w:gridCol w:w="992"/>
        <w:gridCol w:w="1204"/>
        <w:gridCol w:w="1318"/>
        <w:gridCol w:w="991"/>
        <w:gridCol w:w="991"/>
        <w:gridCol w:w="993"/>
      </w:tblGrid>
      <w:tr w:rsidR="00BD1C17" w:rsidRPr="00BD1C17" w14:paraId="2F210A3D" w14:textId="77777777" w:rsidTr="00964366">
        <w:trPr>
          <w:trHeight w:val="388"/>
        </w:trPr>
        <w:tc>
          <w:tcPr>
            <w:tcW w:w="1529" w:type="dxa"/>
            <w:vMerge w:val="restart"/>
            <w:tcBorders>
              <w:top w:val="double" w:sz="2" w:space="0" w:color="000000"/>
              <w:left w:val="none" w:sz="6" w:space="0" w:color="auto"/>
              <w:bottom w:val="single" w:sz="4" w:space="0" w:color="000000"/>
              <w:right w:val="none" w:sz="6" w:space="0" w:color="auto"/>
            </w:tcBorders>
          </w:tcPr>
          <w:p w14:paraId="3F59767D"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c>
          <w:tcPr>
            <w:tcW w:w="892" w:type="dxa"/>
            <w:tcBorders>
              <w:top w:val="double" w:sz="2" w:space="0" w:color="000000"/>
              <w:left w:val="none" w:sz="6" w:space="0" w:color="auto"/>
              <w:bottom w:val="none" w:sz="6" w:space="0" w:color="auto"/>
              <w:right w:val="none" w:sz="6" w:space="0" w:color="auto"/>
            </w:tcBorders>
          </w:tcPr>
          <w:p w14:paraId="662370C6" w14:textId="77777777" w:rsidR="00BD1C17" w:rsidRPr="00BD1C17" w:rsidRDefault="00BD1C17" w:rsidP="00BD1C17">
            <w:pPr>
              <w:kinsoku w:val="0"/>
              <w:overflowPunct w:val="0"/>
              <w:autoSpaceDE w:val="0"/>
              <w:autoSpaceDN w:val="0"/>
              <w:adjustRightInd w:val="0"/>
              <w:spacing w:before="33" w:after="0" w:line="240" w:lineRule="auto"/>
              <w:ind w:left="105" w:right="103"/>
              <w:jc w:val="center"/>
              <w:rPr>
                <w:rFonts w:ascii="Euclid" w:hAnsi="Euclid" w:cs="Euclid"/>
                <w:spacing w:val="-4"/>
                <w:sz w:val="20"/>
                <w:szCs w:val="20"/>
              </w:rPr>
            </w:pPr>
            <w:r w:rsidRPr="00BD1C17">
              <w:rPr>
                <w:rFonts w:ascii="Euclid" w:hAnsi="Euclid" w:cs="Euclid"/>
                <w:spacing w:val="-4"/>
                <w:sz w:val="20"/>
                <w:szCs w:val="20"/>
              </w:rPr>
              <w:t>(1)</w:t>
            </w:r>
          </w:p>
        </w:tc>
        <w:tc>
          <w:tcPr>
            <w:tcW w:w="1012" w:type="dxa"/>
            <w:tcBorders>
              <w:top w:val="double" w:sz="2" w:space="0" w:color="000000"/>
              <w:left w:val="none" w:sz="6" w:space="0" w:color="auto"/>
              <w:bottom w:val="none" w:sz="6" w:space="0" w:color="auto"/>
              <w:right w:val="none" w:sz="6" w:space="0" w:color="auto"/>
            </w:tcBorders>
          </w:tcPr>
          <w:p w14:paraId="78AA5430" w14:textId="77777777" w:rsidR="00BD1C17" w:rsidRPr="00BD1C17" w:rsidRDefault="00BD1C17" w:rsidP="00BD1C17">
            <w:pPr>
              <w:kinsoku w:val="0"/>
              <w:overflowPunct w:val="0"/>
              <w:autoSpaceDE w:val="0"/>
              <w:autoSpaceDN w:val="0"/>
              <w:adjustRightInd w:val="0"/>
              <w:spacing w:before="33" w:after="0" w:line="240" w:lineRule="auto"/>
              <w:ind w:left="365" w:right="363"/>
              <w:jc w:val="center"/>
              <w:rPr>
                <w:rFonts w:ascii="Euclid" w:hAnsi="Euclid" w:cs="Euclid"/>
                <w:spacing w:val="-4"/>
                <w:sz w:val="20"/>
                <w:szCs w:val="20"/>
              </w:rPr>
            </w:pPr>
            <w:r w:rsidRPr="00BD1C17">
              <w:rPr>
                <w:rFonts w:ascii="Euclid" w:hAnsi="Euclid" w:cs="Euclid"/>
                <w:spacing w:val="-4"/>
                <w:sz w:val="20"/>
                <w:szCs w:val="20"/>
              </w:rPr>
              <w:t>(2)</w:t>
            </w:r>
          </w:p>
        </w:tc>
        <w:tc>
          <w:tcPr>
            <w:tcW w:w="992" w:type="dxa"/>
            <w:tcBorders>
              <w:top w:val="double" w:sz="2" w:space="0" w:color="000000"/>
              <w:left w:val="none" w:sz="6" w:space="0" w:color="auto"/>
              <w:bottom w:val="none" w:sz="6" w:space="0" w:color="auto"/>
              <w:right w:val="none" w:sz="6" w:space="0" w:color="auto"/>
            </w:tcBorders>
          </w:tcPr>
          <w:p w14:paraId="396CA3BC" w14:textId="77777777" w:rsidR="00BD1C17" w:rsidRPr="00BD1C17" w:rsidRDefault="00BD1C17" w:rsidP="00BD1C17">
            <w:pPr>
              <w:kinsoku w:val="0"/>
              <w:overflowPunct w:val="0"/>
              <w:autoSpaceDE w:val="0"/>
              <w:autoSpaceDN w:val="0"/>
              <w:adjustRightInd w:val="0"/>
              <w:spacing w:before="33" w:after="0" w:line="240" w:lineRule="auto"/>
              <w:ind w:left="106" w:right="103"/>
              <w:jc w:val="center"/>
              <w:rPr>
                <w:rFonts w:ascii="Euclid" w:hAnsi="Euclid" w:cs="Euclid"/>
                <w:spacing w:val="-4"/>
                <w:sz w:val="20"/>
                <w:szCs w:val="20"/>
              </w:rPr>
            </w:pPr>
            <w:r w:rsidRPr="00BD1C17">
              <w:rPr>
                <w:rFonts w:ascii="Euclid" w:hAnsi="Euclid" w:cs="Euclid"/>
                <w:spacing w:val="-4"/>
                <w:sz w:val="20"/>
                <w:szCs w:val="20"/>
              </w:rPr>
              <w:t>(3)</w:t>
            </w:r>
          </w:p>
        </w:tc>
        <w:tc>
          <w:tcPr>
            <w:tcW w:w="1204" w:type="dxa"/>
            <w:tcBorders>
              <w:top w:val="double" w:sz="2" w:space="0" w:color="000000"/>
              <w:left w:val="none" w:sz="6" w:space="0" w:color="auto"/>
              <w:bottom w:val="none" w:sz="6" w:space="0" w:color="auto"/>
              <w:right w:val="none" w:sz="6" w:space="0" w:color="auto"/>
            </w:tcBorders>
          </w:tcPr>
          <w:p w14:paraId="17D22529" w14:textId="77777777" w:rsidR="00BD1C17" w:rsidRPr="00BD1C17" w:rsidRDefault="00BD1C17" w:rsidP="00BD1C17">
            <w:pPr>
              <w:kinsoku w:val="0"/>
              <w:overflowPunct w:val="0"/>
              <w:autoSpaceDE w:val="0"/>
              <w:autoSpaceDN w:val="0"/>
              <w:adjustRightInd w:val="0"/>
              <w:spacing w:before="33" w:after="0" w:line="240" w:lineRule="auto"/>
              <w:ind w:left="99" w:right="95"/>
              <w:jc w:val="center"/>
              <w:rPr>
                <w:rFonts w:ascii="Euclid" w:hAnsi="Euclid" w:cs="Euclid"/>
                <w:spacing w:val="-4"/>
                <w:sz w:val="20"/>
                <w:szCs w:val="20"/>
              </w:rPr>
            </w:pPr>
            <w:r w:rsidRPr="00BD1C17">
              <w:rPr>
                <w:rFonts w:ascii="Euclid" w:hAnsi="Euclid" w:cs="Euclid"/>
                <w:spacing w:val="-4"/>
                <w:sz w:val="20"/>
                <w:szCs w:val="20"/>
              </w:rPr>
              <w:t>(4)</w:t>
            </w:r>
          </w:p>
        </w:tc>
        <w:tc>
          <w:tcPr>
            <w:tcW w:w="1318" w:type="dxa"/>
            <w:tcBorders>
              <w:top w:val="double" w:sz="2" w:space="0" w:color="000000"/>
              <w:left w:val="none" w:sz="6" w:space="0" w:color="auto"/>
              <w:bottom w:val="none" w:sz="6" w:space="0" w:color="auto"/>
              <w:right w:val="none" w:sz="6" w:space="0" w:color="auto"/>
            </w:tcBorders>
          </w:tcPr>
          <w:p w14:paraId="73E862C5" w14:textId="77777777" w:rsidR="00BD1C17" w:rsidRPr="00BD1C17" w:rsidRDefault="00BD1C17" w:rsidP="00BD1C17">
            <w:pPr>
              <w:kinsoku w:val="0"/>
              <w:overflowPunct w:val="0"/>
              <w:autoSpaceDE w:val="0"/>
              <w:autoSpaceDN w:val="0"/>
              <w:adjustRightInd w:val="0"/>
              <w:spacing w:before="33" w:after="0" w:line="240" w:lineRule="auto"/>
              <w:ind w:left="109" w:right="103"/>
              <w:jc w:val="center"/>
              <w:rPr>
                <w:rFonts w:ascii="Euclid" w:hAnsi="Euclid" w:cs="Euclid"/>
                <w:spacing w:val="-4"/>
                <w:sz w:val="20"/>
                <w:szCs w:val="20"/>
              </w:rPr>
            </w:pPr>
            <w:r w:rsidRPr="00BD1C17">
              <w:rPr>
                <w:rFonts w:ascii="Euclid" w:hAnsi="Euclid" w:cs="Euclid"/>
                <w:spacing w:val="-4"/>
                <w:sz w:val="20"/>
                <w:szCs w:val="20"/>
              </w:rPr>
              <w:t>(5)</w:t>
            </w:r>
          </w:p>
        </w:tc>
        <w:tc>
          <w:tcPr>
            <w:tcW w:w="991" w:type="dxa"/>
            <w:tcBorders>
              <w:top w:val="double" w:sz="2" w:space="0" w:color="000000"/>
              <w:left w:val="none" w:sz="6" w:space="0" w:color="auto"/>
              <w:bottom w:val="none" w:sz="6" w:space="0" w:color="auto"/>
              <w:right w:val="none" w:sz="6" w:space="0" w:color="auto"/>
            </w:tcBorders>
          </w:tcPr>
          <w:p w14:paraId="35220758" w14:textId="77777777" w:rsidR="00BD1C17" w:rsidRPr="00BD1C17" w:rsidRDefault="00BD1C17" w:rsidP="00BD1C17">
            <w:pPr>
              <w:kinsoku w:val="0"/>
              <w:overflowPunct w:val="0"/>
              <w:autoSpaceDE w:val="0"/>
              <w:autoSpaceDN w:val="0"/>
              <w:adjustRightInd w:val="0"/>
              <w:spacing w:before="33" w:after="0" w:line="240" w:lineRule="auto"/>
              <w:ind w:left="107" w:right="99"/>
              <w:jc w:val="center"/>
              <w:rPr>
                <w:rFonts w:ascii="Euclid" w:hAnsi="Euclid" w:cs="Euclid"/>
                <w:spacing w:val="-4"/>
                <w:sz w:val="20"/>
                <w:szCs w:val="20"/>
              </w:rPr>
            </w:pPr>
            <w:r w:rsidRPr="00BD1C17">
              <w:rPr>
                <w:rFonts w:ascii="Euclid" w:hAnsi="Euclid" w:cs="Euclid"/>
                <w:spacing w:val="-4"/>
                <w:sz w:val="20"/>
                <w:szCs w:val="20"/>
              </w:rPr>
              <w:t>(6)</w:t>
            </w:r>
          </w:p>
        </w:tc>
        <w:tc>
          <w:tcPr>
            <w:tcW w:w="991" w:type="dxa"/>
            <w:tcBorders>
              <w:top w:val="double" w:sz="2" w:space="0" w:color="000000"/>
              <w:left w:val="none" w:sz="6" w:space="0" w:color="auto"/>
              <w:bottom w:val="none" w:sz="6" w:space="0" w:color="auto"/>
              <w:right w:val="none" w:sz="6" w:space="0" w:color="auto"/>
            </w:tcBorders>
          </w:tcPr>
          <w:p w14:paraId="75808478" w14:textId="77777777" w:rsidR="00BD1C17" w:rsidRPr="00BD1C17" w:rsidRDefault="00BD1C17" w:rsidP="00BD1C17">
            <w:pPr>
              <w:kinsoku w:val="0"/>
              <w:overflowPunct w:val="0"/>
              <w:autoSpaceDE w:val="0"/>
              <w:autoSpaceDN w:val="0"/>
              <w:adjustRightInd w:val="0"/>
              <w:spacing w:before="33" w:after="0" w:line="240" w:lineRule="auto"/>
              <w:ind w:left="107" w:right="97"/>
              <w:jc w:val="center"/>
              <w:rPr>
                <w:rFonts w:ascii="Euclid" w:hAnsi="Euclid" w:cs="Euclid"/>
                <w:spacing w:val="-4"/>
                <w:sz w:val="20"/>
                <w:szCs w:val="20"/>
              </w:rPr>
            </w:pPr>
            <w:r w:rsidRPr="00BD1C17">
              <w:rPr>
                <w:rFonts w:ascii="Euclid" w:hAnsi="Euclid" w:cs="Euclid"/>
                <w:spacing w:val="-4"/>
                <w:sz w:val="20"/>
                <w:szCs w:val="20"/>
              </w:rPr>
              <w:t>(7)</w:t>
            </w:r>
          </w:p>
        </w:tc>
        <w:tc>
          <w:tcPr>
            <w:tcW w:w="993" w:type="dxa"/>
            <w:tcBorders>
              <w:top w:val="double" w:sz="2" w:space="0" w:color="000000"/>
              <w:left w:val="none" w:sz="6" w:space="0" w:color="auto"/>
              <w:bottom w:val="none" w:sz="6" w:space="0" w:color="auto"/>
              <w:right w:val="none" w:sz="6" w:space="0" w:color="auto"/>
            </w:tcBorders>
          </w:tcPr>
          <w:p w14:paraId="5E66F710" w14:textId="77777777" w:rsidR="00BD1C17" w:rsidRPr="00BD1C17" w:rsidRDefault="00BD1C17" w:rsidP="00BD1C17">
            <w:pPr>
              <w:kinsoku w:val="0"/>
              <w:overflowPunct w:val="0"/>
              <w:autoSpaceDE w:val="0"/>
              <w:autoSpaceDN w:val="0"/>
              <w:adjustRightInd w:val="0"/>
              <w:spacing w:before="33" w:after="0" w:line="240" w:lineRule="auto"/>
              <w:ind w:left="360" w:right="349"/>
              <w:jc w:val="center"/>
              <w:rPr>
                <w:rFonts w:ascii="Euclid" w:hAnsi="Euclid" w:cs="Euclid"/>
                <w:spacing w:val="-4"/>
                <w:sz w:val="20"/>
                <w:szCs w:val="20"/>
              </w:rPr>
            </w:pPr>
            <w:r w:rsidRPr="00BD1C17">
              <w:rPr>
                <w:rFonts w:ascii="Euclid" w:hAnsi="Euclid" w:cs="Euclid"/>
                <w:spacing w:val="-4"/>
                <w:sz w:val="20"/>
                <w:szCs w:val="20"/>
              </w:rPr>
              <w:t>(8)</w:t>
            </w:r>
          </w:p>
        </w:tc>
      </w:tr>
      <w:tr w:rsidR="00BD1C17" w:rsidRPr="00BD1C17" w14:paraId="0CF9CF7C" w14:textId="77777777" w:rsidTr="00964366">
        <w:trPr>
          <w:trHeight w:val="330"/>
        </w:trPr>
        <w:tc>
          <w:tcPr>
            <w:tcW w:w="1529" w:type="dxa"/>
            <w:vMerge/>
            <w:tcBorders>
              <w:top w:val="nil"/>
              <w:left w:val="none" w:sz="6" w:space="0" w:color="auto"/>
              <w:bottom w:val="single" w:sz="4" w:space="0" w:color="000000"/>
              <w:right w:val="none" w:sz="6" w:space="0" w:color="auto"/>
            </w:tcBorders>
          </w:tcPr>
          <w:p w14:paraId="21928F71" w14:textId="77777777" w:rsidR="00BD1C17" w:rsidRPr="00BD1C17" w:rsidRDefault="00BD1C17" w:rsidP="00BD1C17">
            <w:pPr>
              <w:kinsoku w:val="0"/>
              <w:overflowPunct w:val="0"/>
              <w:autoSpaceDE w:val="0"/>
              <w:autoSpaceDN w:val="0"/>
              <w:adjustRightInd w:val="0"/>
              <w:spacing w:before="14" w:after="0" w:line="240" w:lineRule="auto"/>
              <w:rPr>
                <w:rFonts w:ascii="Euclid" w:hAnsi="Euclid" w:cs="Euclid"/>
                <w:sz w:val="2"/>
                <w:szCs w:val="2"/>
              </w:rPr>
            </w:pPr>
          </w:p>
        </w:tc>
        <w:tc>
          <w:tcPr>
            <w:tcW w:w="892" w:type="dxa"/>
            <w:tcBorders>
              <w:top w:val="none" w:sz="6" w:space="0" w:color="auto"/>
              <w:left w:val="none" w:sz="6" w:space="0" w:color="auto"/>
              <w:bottom w:val="single" w:sz="4" w:space="0" w:color="000000"/>
              <w:right w:val="none" w:sz="6" w:space="0" w:color="auto"/>
            </w:tcBorders>
          </w:tcPr>
          <w:p w14:paraId="0E95AE42" w14:textId="77777777" w:rsidR="00BD1C17" w:rsidRPr="00BD1C17" w:rsidRDefault="00BD1C17" w:rsidP="00BD1C17">
            <w:pPr>
              <w:kinsoku w:val="0"/>
              <w:overflowPunct w:val="0"/>
              <w:autoSpaceDE w:val="0"/>
              <w:autoSpaceDN w:val="0"/>
              <w:adjustRightInd w:val="0"/>
              <w:spacing w:after="0" w:line="311" w:lineRule="exact"/>
              <w:ind w:left="105" w:right="104"/>
              <w:jc w:val="center"/>
              <w:rPr>
                <w:rFonts w:ascii="Euclid" w:hAnsi="Euclid" w:cs="Euclid"/>
                <w:spacing w:val="-2"/>
                <w:sz w:val="20"/>
                <w:szCs w:val="20"/>
              </w:rPr>
            </w:pPr>
            <w:r w:rsidRPr="00BD1C17">
              <w:rPr>
                <w:rFonts w:ascii="Euclid" w:hAnsi="Euclid" w:cs="Euclid"/>
                <w:spacing w:val="-2"/>
                <w:sz w:val="20"/>
                <w:szCs w:val="20"/>
              </w:rPr>
              <w:t>Violent</w:t>
            </w:r>
          </w:p>
        </w:tc>
        <w:tc>
          <w:tcPr>
            <w:tcW w:w="1012" w:type="dxa"/>
            <w:tcBorders>
              <w:top w:val="none" w:sz="6" w:space="0" w:color="auto"/>
              <w:left w:val="none" w:sz="6" w:space="0" w:color="auto"/>
              <w:bottom w:val="single" w:sz="4" w:space="0" w:color="000000"/>
              <w:right w:val="none" w:sz="6" w:space="0" w:color="auto"/>
            </w:tcBorders>
          </w:tcPr>
          <w:p w14:paraId="1F4AC30A" w14:textId="77777777" w:rsidR="00BD1C17" w:rsidRPr="00BD1C17" w:rsidRDefault="00BD1C17" w:rsidP="00BD1C17">
            <w:pPr>
              <w:kinsoku w:val="0"/>
              <w:overflowPunct w:val="0"/>
              <w:autoSpaceDE w:val="0"/>
              <w:autoSpaceDN w:val="0"/>
              <w:adjustRightInd w:val="0"/>
              <w:spacing w:after="0" w:line="311" w:lineRule="exact"/>
              <w:ind w:right="116"/>
              <w:jc w:val="right"/>
              <w:rPr>
                <w:rFonts w:ascii="Euclid" w:hAnsi="Euclid" w:cs="Euclid"/>
                <w:spacing w:val="-2"/>
                <w:sz w:val="20"/>
                <w:szCs w:val="20"/>
              </w:rPr>
            </w:pPr>
            <w:r w:rsidRPr="00BD1C17">
              <w:rPr>
                <w:rFonts w:ascii="Euclid" w:hAnsi="Euclid" w:cs="Euclid"/>
                <w:spacing w:val="-2"/>
                <w:sz w:val="20"/>
                <w:szCs w:val="20"/>
              </w:rPr>
              <w:t>Property</w:t>
            </w:r>
          </w:p>
        </w:tc>
        <w:tc>
          <w:tcPr>
            <w:tcW w:w="992" w:type="dxa"/>
            <w:tcBorders>
              <w:top w:val="none" w:sz="6" w:space="0" w:color="auto"/>
              <w:left w:val="none" w:sz="6" w:space="0" w:color="auto"/>
              <w:bottom w:val="single" w:sz="4" w:space="0" w:color="000000"/>
              <w:right w:val="none" w:sz="6" w:space="0" w:color="auto"/>
            </w:tcBorders>
          </w:tcPr>
          <w:p w14:paraId="12291ECB" w14:textId="77777777" w:rsidR="00BD1C17" w:rsidRPr="00BD1C17" w:rsidRDefault="00BD1C17" w:rsidP="00BD1C17">
            <w:pPr>
              <w:kinsoku w:val="0"/>
              <w:overflowPunct w:val="0"/>
              <w:autoSpaceDE w:val="0"/>
              <w:autoSpaceDN w:val="0"/>
              <w:adjustRightInd w:val="0"/>
              <w:spacing w:after="0" w:line="311" w:lineRule="exact"/>
              <w:ind w:left="106" w:right="105"/>
              <w:jc w:val="center"/>
              <w:rPr>
                <w:rFonts w:ascii="Euclid" w:hAnsi="Euclid" w:cs="Euclid"/>
                <w:spacing w:val="-2"/>
                <w:sz w:val="20"/>
                <w:szCs w:val="20"/>
              </w:rPr>
            </w:pPr>
            <w:r w:rsidRPr="00BD1C17">
              <w:rPr>
                <w:rFonts w:ascii="Euclid" w:hAnsi="Euclid" w:cs="Euclid"/>
                <w:spacing w:val="-2"/>
                <w:sz w:val="20"/>
                <w:szCs w:val="20"/>
              </w:rPr>
              <w:t>Fraud</w:t>
            </w:r>
          </w:p>
        </w:tc>
        <w:tc>
          <w:tcPr>
            <w:tcW w:w="1204" w:type="dxa"/>
            <w:tcBorders>
              <w:top w:val="none" w:sz="6" w:space="0" w:color="auto"/>
              <w:left w:val="none" w:sz="6" w:space="0" w:color="auto"/>
              <w:bottom w:val="single" w:sz="4" w:space="0" w:color="000000"/>
              <w:right w:val="none" w:sz="6" w:space="0" w:color="auto"/>
            </w:tcBorders>
          </w:tcPr>
          <w:p w14:paraId="4E8F0226" w14:textId="77777777" w:rsidR="00BD1C17" w:rsidRPr="00BD1C17" w:rsidRDefault="00BD1C17" w:rsidP="00BD1C17">
            <w:pPr>
              <w:kinsoku w:val="0"/>
              <w:overflowPunct w:val="0"/>
              <w:autoSpaceDE w:val="0"/>
              <w:autoSpaceDN w:val="0"/>
              <w:adjustRightInd w:val="0"/>
              <w:spacing w:after="0" w:line="311" w:lineRule="exact"/>
              <w:ind w:left="99" w:right="98"/>
              <w:jc w:val="center"/>
              <w:rPr>
                <w:rFonts w:ascii="Euclid" w:hAnsi="Euclid" w:cs="Euclid"/>
                <w:spacing w:val="-2"/>
                <w:sz w:val="20"/>
                <w:szCs w:val="20"/>
              </w:rPr>
            </w:pPr>
            <w:r w:rsidRPr="00BD1C17">
              <w:rPr>
                <w:rFonts w:ascii="Euclid" w:hAnsi="Euclid" w:cs="Euclid"/>
                <w:spacing w:val="-2"/>
                <w:sz w:val="20"/>
                <w:szCs w:val="20"/>
              </w:rPr>
              <w:t>Sex-Family</w:t>
            </w:r>
          </w:p>
        </w:tc>
        <w:tc>
          <w:tcPr>
            <w:tcW w:w="1318" w:type="dxa"/>
            <w:tcBorders>
              <w:top w:val="none" w:sz="6" w:space="0" w:color="auto"/>
              <w:left w:val="none" w:sz="6" w:space="0" w:color="auto"/>
              <w:bottom w:val="single" w:sz="4" w:space="0" w:color="000000"/>
              <w:right w:val="none" w:sz="6" w:space="0" w:color="auto"/>
            </w:tcBorders>
          </w:tcPr>
          <w:p w14:paraId="5F5252AE" w14:textId="77777777" w:rsidR="00BD1C17" w:rsidRPr="00BD1C17" w:rsidRDefault="00BD1C17" w:rsidP="00BD1C17">
            <w:pPr>
              <w:kinsoku w:val="0"/>
              <w:overflowPunct w:val="0"/>
              <w:autoSpaceDE w:val="0"/>
              <w:autoSpaceDN w:val="0"/>
              <w:adjustRightInd w:val="0"/>
              <w:spacing w:after="0" w:line="311" w:lineRule="exact"/>
              <w:ind w:left="109" w:right="107"/>
              <w:jc w:val="center"/>
              <w:rPr>
                <w:rFonts w:ascii="Euclid" w:hAnsi="Euclid" w:cs="Euclid"/>
                <w:spacing w:val="-2"/>
                <w:sz w:val="20"/>
                <w:szCs w:val="20"/>
              </w:rPr>
            </w:pPr>
            <w:r w:rsidRPr="00BD1C17">
              <w:rPr>
                <w:rFonts w:ascii="Euclid" w:hAnsi="Euclid" w:cs="Euclid"/>
                <w:spacing w:val="-2"/>
                <w:sz w:val="20"/>
                <w:szCs w:val="20"/>
              </w:rPr>
              <w:t>Immigration</w:t>
            </w:r>
          </w:p>
        </w:tc>
        <w:tc>
          <w:tcPr>
            <w:tcW w:w="991" w:type="dxa"/>
            <w:tcBorders>
              <w:top w:val="none" w:sz="6" w:space="0" w:color="auto"/>
              <w:left w:val="none" w:sz="6" w:space="0" w:color="auto"/>
              <w:bottom w:val="single" w:sz="4" w:space="0" w:color="000000"/>
              <w:right w:val="none" w:sz="6" w:space="0" w:color="auto"/>
            </w:tcBorders>
          </w:tcPr>
          <w:p w14:paraId="743AC61C" w14:textId="77777777" w:rsidR="00BD1C17" w:rsidRPr="00BD1C17" w:rsidRDefault="00BD1C17" w:rsidP="00BD1C17">
            <w:pPr>
              <w:kinsoku w:val="0"/>
              <w:overflowPunct w:val="0"/>
              <w:autoSpaceDE w:val="0"/>
              <w:autoSpaceDN w:val="0"/>
              <w:adjustRightInd w:val="0"/>
              <w:spacing w:after="0" w:line="311" w:lineRule="exact"/>
              <w:ind w:left="107" w:right="103"/>
              <w:jc w:val="center"/>
              <w:rPr>
                <w:rFonts w:ascii="Euclid" w:hAnsi="Euclid" w:cs="Euclid"/>
                <w:spacing w:val="-4"/>
                <w:sz w:val="20"/>
                <w:szCs w:val="20"/>
              </w:rPr>
            </w:pPr>
            <w:r w:rsidRPr="00BD1C17">
              <w:rPr>
                <w:rFonts w:ascii="Euclid" w:hAnsi="Euclid" w:cs="Euclid"/>
                <w:spacing w:val="-4"/>
                <w:sz w:val="20"/>
                <w:szCs w:val="20"/>
              </w:rPr>
              <w:t>Drug</w:t>
            </w:r>
          </w:p>
        </w:tc>
        <w:tc>
          <w:tcPr>
            <w:tcW w:w="991" w:type="dxa"/>
            <w:tcBorders>
              <w:top w:val="none" w:sz="6" w:space="0" w:color="auto"/>
              <w:left w:val="none" w:sz="6" w:space="0" w:color="auto"/>
              <w:bottom w:val="single" w:sz="4" w:space="0" w:color="000000"/>
              <w:right w:val="none" w:sz="6" w:space="0" w:color="auto"/>
            </w:tcBorders>
          </w:tcPr>
          <w:p w14:paraId="0DCF0567" w14:textId="77777777" w:rsidR="00BD1C17" w:rsidRPr="00BD1C17" w:rsidRDefault="00BD1C17" w:rsidP="00BD1C17">
            <w:pPr>
              <w:kinsoku w:val="0"/>
              <w:overflowPunct w:val="0"/>
              <w:autoSpaceDE w:val="0"/>
              <w:autoSpaceDN w:val="0"/>
              <w:adjustRightInd w:val="0"/>
              <w:spacing w:after="0" w:line="311" w:lineRule="exact"/>
              <w:ind w:right="142"/>
              <w:jc w:val="right"/>
              <w:rPr>
                <w:rFonts w:ascii="Euclid" w:hAnsi="Euclid" w:cs="Euclid"/>
                <w:spacing w:val="-2"/>
                <w:sz w:val="20"/>
                <w:szCs w:val="20"/>
              </w:rPr>
            </w:pPr>
            <w:r w:rsidRPr="00BD1C17">
              <w:rPr>
                <w:rFonts w:ascii="Euclid" w:hAnsi="Euclid" w:cs="Euclid"/>
                <w:spacing w:val="-2"/>
                <w:sz w:val="20"/>
                <w:szCs w:val="20"/>
              </w:rPr>
              <w:t>Firearm</w:t>
            </w:r>
          </w:p>
        </w:tc>
        <w:tc>
          <w:tcPr>
            <w:tcW w:w="993" w:type="dxa"/>
            <w:tcBorders>
              <w:top w:val="none" w:sz="6" w:space="0" w:color="auto"/>
              <w:left w:val="none" w:sz="6" w:space="0" w:color="auto"/>
              <w:bottom w:val="single" w:sz="4" w:space="0" w:color="000000"/>
              <w:right w:val="none" w:sz="6" w:space="0" w:color="auto"/>
            </w:tcBorders>
          </w:tcPr>
          <w:p w14:paraId="5A0F032E" w14:textId="77777777" w:rsidR="00BD1C17" w:rsidRPr="00BD1C17" w:rsidRDefault="00BD1C17" w:rsidP="00BD1C17">
            <w:pPr>
              <w:kinsoku w:val="0"/>
              <w:overflowPunct w:val="0"/>
              <w:autoSpaceDE w:val="0"/>
              <w:autoSpaceDN w:val="0"/>
              <w:adjustRightInd w:val="0"/>
              <w:spacing w:after="0" w:line="311" w:lineRule="exact"/>
              <w:ind w:left="244"/>
              <w:rPr>
                <w:rFonts w:ascii="Euclid" w:hAnsi="Euclid" w:cs="Euclid"/>
                <w:spacing w:val="-2"/>
                <w:sz w:val="20"/>
                <w:szCs w:val="20"/>
              </w:rPr>
            </w:pPr>
            <w:r w:rsidRPr="00BD1C17">
              <w:rPr>
                <w:rFonts w:ascii="Euclid" w:hAnsi="Euclid" w:cs="Euclid"/>
                <w:spacing w:val="-2"/>
                <w:sz w:val="20"/>
                <w:szCs w:val="20"/>
              </w:rPr>
              <w:t>Other</w:t>
            </w:r>
          </w:p>
        </w:tc>
      </w:tr>
      <w:tr w:rsidR="00BD1C17" w:rsidRPr="00BD1C17" w14:paraId="04498F40" w14:textId="77777777" w:rsidTr="00964366">
        <w:trPr>
          <w:trHeight w:val="379"/>
        </w:trPr>
        <w:tc>
          <w:tcPr>
            <w:tcW w:w="1529" w:type="dxa"/>
            <w:tcBorders>
              <w:top w:val="single" w:sz="4" w:space="0" w:color="000000"/>
              <w:left w:val="none" w:sz="6" w:space="0" w:color="auto"/>
              <w:bottom w:val="none" w:sz="6" w:space="0" w:color="auto"/>
              <w:right w:val="none" w:sz="6" w:space="0" w:color="auto"/>
            </w:tcBorders>
          </w:tcPr>
          <w:p w14:paraId="66997E5E" w14:textId="77777777" w:rsidR="00BD1C17" w:rsidRPr="00BD1C17" w:rsidRDefault="00BD1C17" w:rsidP="00BD1C17">
            <w:pPr>
              <w:kinsoku w:val="0"/>
              <w:overflowPunct w:val="0"/>
              <w:autoSpaceDE w:val="0"/>
              <w:autoSpaceDN w:val="0"/>
              <w:adjustRightInd w:val="0"/>
              <w:spacing w:before="19" w:after="0" w:line="240" w:lineRule="auto"/>
              <w:ind w:left="119"/>
              <w:rPr>
                <w:rFonts w:ascii="Euclid" w:hAnsi="Euclid" w:cs="Euclid"/>
                <w:spacing w:val="-4"/>
                <w:sz w:val="20"/>
                <w:szCs w:val="20"/>
              </w:rPr>
            </w:pPr>
            <w:r w:rsidRPr="00BD1C17">
              <w:rPr>
                <w:rFonts w:ascii="Euclid" w:hAnsi="Euclid" w:cs="Euclid"/>
                <w:spacing w:val="-4"/>
                <w:sz w:val="20"/>
                <w:szCs w:val="20"/>
              </w:rPr>
              <w:t>RRR</w:t>
            </w:r>
          </w:p>
        </w:tc>
        <w:tc>
          <w:tcPr>
            <w:tcW w:w="892" w:type="dxa"/>
            <w:tcBorders>
              <w:top w:val="single" w:sz="4" w:space="0" w:color="000000"/>
              <w:left w:val="none" w:sz="6" w:space="0" w:color="auto"/>
              <w:bottom w:val="none" w:sz="6" w:space="0" w:color="auto"/>
              <w:right w:val="none" w:sz="6" w:space="0" w:color="auto"/>
            </w:tcBorders>
          </w:tcPr>
          <w:p w14:paraId="2991D070" w14:textId="77777777" w:rsidR="00BD1C17" w:rsidRPr="00BD1C17" w:rsidRDefault="00BD1C17" w:rsidP="00BD1C17">
            <w:pPr>
              <w:kinsoku w:val="0"/>
              <w:overflowPunct w:val="0"/>
              <w:autoSpaceDE w:val="0"/>
              <w:autoSpaceDN w:val="0"/>
              <w:adjustRightInd w:val="0"/>
              <w:spacing w:before="19" w:after="0" w:line="240" w:lineRule="auto"/>
              <w:ind w:left="105" w:right="104"/>
              <w:jc w:val="center"/>
              <w:rPr>
                <w:rFonts w:ascii="Euclid" w:hAnsi="Euclid" w:cs="Euclid"/>
                <w:spacing w:val="-2"/>
                <w:sz w:val="20"/>
                <w:szCs w:val="20"/>
              </w:rPr>
            </w:pPr>
            <w:r w:rsidRPr="00BD1C17">
              <w:rPr>
                <w:rFonts w:ascii="Euclid" w:hAnsi="Euclid" w:cs="Euclid"/>
                <w:spacing w:val="-2"/>
                <w:sz w:val="20"/>
                <w:szCs w:val="20"/>
              </w:rPr>
              <w:t>-0.011t</w:t>
            </w:r>
          </w:p>
        </w:tc>
        <w:tc>
          <w:tcPr>
            <w:tcW w:w="1012" w:type="dxa"/>
            <w:tcBorders>
              <w:top w:val="single" w:sz="4" w:space="0" w:color="000000"/>
              <w:left w:val="none" w:sz="6" w:space="0" w:color="auto"/>
              <w:bottom w:val="none" w:sz="6" w:space="0" w:color="auto"/>
              <w:right w:val="none" w:sz="6" w:space="0" w:color="auto"/>
            </w:tcBorders>
          </w:tcPr>
          <w:p w14:paraId="59F62EEE" w14:textId="77777777" w:rsidR="00BD1C17" w:rsidRPr="00BD1C17" w:rsidRDefault="00BD1C17" w:rsidP="00BD1C17">
            <w:pPr>
              <w:kinsoku w:val="0"/>
              <w:overflowPunct w:val="0"/>
              <w:autoSpaceDE w:val="0"/>
              <w:autoSpaceDN w:val="0"/>
              <w:adjustRightInd w:val="0"/>
              <w:spacing w:before="19" w:after="0" w:line="240" w:lineRule="auto"/>
              <w:ind w:left="280"/>
              <w:rPr>
                <w:rFonts w:ascii="Euclid" w:hAnsi="Euclid" w:cs="Euclid"/>
                <w:spacing w:val="-2"/>
                <w:sz w:val="20"/>
                <w:szCs w:val="20"/>
              </w:rPr>
            </w:pPr>
            <w:r w:rsidRPr="00BD1C17">
              <w:rPr>
                <w:rFonts w:ascii="Euclid" w:hAnsi="Euclid" w:cs="Euclid"/>
                <w:spacing w:val="-2"/>
                <w:sz w:val="20"/>
                <w:szCs w:val="20"/>
              </w:rPr>
              <w:t>0.006</w:t>
            </w:r>
          </w:p>
        </w:tc>
        <w:tc>
          <w:tcPr>
            <w:tcW w:w="992" w:type="dxa"/>
            <w:tcBorders>
              <w:top w:val="single" w:sz="4" w:space="0" w:color="000000"/>
              <w:left w:val="none" w:sz="6" w:space="0" w:color="auto"/>
              <w:bottom w:val="none" w:sz="6" w:space="0" w:color="auto"/>
              <w:right w:val="none" w:sz="6" w:space="0" w:color="auto"/>
            </w:tcBorders>
          </w:tcPr>
          <w:p w14:paraId="54733CEC" w14:textId="77777777" w:rsidR="00BD1C17" w:rsidRPr="00BD1C17" w:rsidRDefault="00BD1C17" w:rsidP="00BD1C17">
            <w:pPr>
              <w:kinsoku w:val="0"/>
              <w:overflowPunct w:val="0"/>
              <w:autoSpaceDE w:val="0"/>
              <w:autoSpaceDN w:val="0"/>
              <w:adjustRightInd w:val="0"/>
              <w:spacing w:before="19" w:after="0" w:line="240" w:lineRule="auto"/>
              <w:ind w:left="106" w:right="104"/>
              <w:jc w:val="center"/>
              <w:rPr>
                <w:rFonts w:ascii="Euclid" w:hAnsi="Euclid" w:cs="Euclid"/>
                <w:spacing w:val="-2"/>
                <w:sz w:val="20"/>
                <w:szCs w:val="20"/>
              </w:rPr>
            </w:pPr>
            <w:r w:rsidRPr="00BD1C17">
              <w:rPr>
                <w:rFonts w:ascii="Euclid" w:hAnsi="Euclid" w:cs="Euclid"/>
                <w:spacing w:val="-2"/>
                <w:sz w:val="20"/>
                <w:szCs w:val="20"/>
              </w:rPr>
              <w:t>0.007</w:t>
            </w:r>
          </w:p>
        </w:tc>
        <w:tc>
          <w:tcPr>
            <w:tcW w:w="1204" w:type="dxa"/>
            <w:tcBorders>
              <w:top w:val="single" w:sz="4" w:space="0" w:color="000000"/>
              <w:left w:val="none" w:sz="6" w:space="0" w:color="auto"/>
              <w:bottom w:val="none" w:sz="6" w:space="0" w:color="auto"/>
              <w:right w:val="none" w:sz="6" w:space="0" w:color="auto"/>
            </w:tcBorders>
          </w:tcPr>
          <w:p w14:paraId="63F5091E" w14:textId="77777777" w:rsidR="00BD1C17" w:rsidRPr="00BD1C17" w:rsidRDefault="00BD1C17" w:rsidP="00BD1C17">
            <w:pPr>
              <w:kinsoku w:val="0"/>
              <w:overflowPunct w:val="0"/>
              <w:autoSpaceDE w:val="0"/>
              <w:autoSpaceDN w:val="0"/>
              <w:adjustRightInd w:val="0"/>
              <w:spacing w:before="19" w:after="0" w:line="240" w:lineRule="auto"/>
              <w:ind w:left="99" w:right="97"/>
              <w:jc w:val="center"/>
              <w:rPr>
                <w:rFonts w:ascii="Euclid" w:hAnsi="Euclid" w:cs="Euclid"/>
                <w:spacing w:val="-2"/>
                <w:sz w:val="20"/>
                <w:szCs w:val="20"/>
              </w:rPr>
            </w:pPr>
            <w:r w:rsidRPr="00BD1C17">
              <w:rPr>
                <w:rFonts w:ascii="Euclid" w:hAnsi="Euclid" w:cs="Euclid"/>
                <w:spacing w:val="-2"/>
                <w:sz w:val="20"/>
                <w:szCs w:val="20"/>
              </w:rPr>
              <w:t>-0.005</w:t>
            </w:r>
          </w:p>
        </w:tc>
        <w:tc>
          <w:tcPr>
            <w:tcW w:w="1318" w:type="dxa"/>
            <w:tcBorders>
              <w:top w:val="single" w:sz="4" w:space="0" w:color="000000"/>
              <w:left w:val="none" w:sz="6" w:space="0" w:color="auto"/>
              <w:bottom w:val="none" w:sz="6" w:space="0" w:color="auto"/>
              <w:right w:val="none" w:sz="6" w:space="0" w:color="auto"/>
            </w:tcBorders>
          </w:tcPr>
          <w:p w14:paraId="4A6BA681" w14:textId="77777777" w:rsidR="00BD1C17" w:rsidRPr="00BD1C17" w:rsidRDefault="00BD1C17" w:rsidP="00BD1C17">
            <w:pPr>
              <w:kinsoku w:val="0"/>
              <w:overflowPunct w:val="0"/>
              <w:autoSpaceDE w:val="0"/>
              <w:autoSpaceDN w:val="0"/>
              <w:adjustRightInd w:val="0"/>
              <w:spacing w:before="19" w:after="0" w:line="240" w:lineRule="auto"/>
              <w:ind w:left="109" w:right="105"/>
              <w:jc w:val="center"/>
              <w:rPr>
                <w:rFonts w:ascii="Euclid" w:hAnsi="Euclid" w:cs="Euclid"/>
                <w:spacing w:val="-2"/>
                <w:sz w:val="20"/>
                <w:szCs w:val="20"/>
              </w:rPr>
            </w:pPr>
            <w:r w:rsidRPr="00BD1C17">
              <w:rPr>
                <w:rFonts w:ascii="Euclid" w:hAnsi="Euclid" w:cs="Euclid"/>
                <w:spacing w:val="-2"/>
                <w:sz w:val="20"/>
                <w:szCs w:val="20"/>
              </w:rPr>
              <w:t>-0.006</w:t>
            </w:r>
          </w:p>
        </w:tc>
        <w:tc>
          <w:tcPr>
            <w:tcW w:w="991" w:type="dxa"/>
            <w:tcBorders>
              <w:top w:val="single" w:sz="4" w:space="0" w:color="000000"/>
              <w:left w:val="none" w:sz="6" w:space="0" w:color="auto"/>
              <w:bottom w:val="none" w:sz="6" w:space="0" w:color="auto"/>
              <w:right w:val="none" w:sz="6" w:space="0" w:color="auto"/>
            </w:tcBorders>
          </w:tcPr>
          <w:p w14:paraId="1EDF7E34" w14:textId="77777777" w:rsidR="00BD1C17" w:rsidRPr="00BD1C17" w:rsidRDefault="00BD1C17" w:rsidP="00BD1C17">
            <w:pPr>
              <w:kinsoku w:val="0"/>
              <w:overflowPunct w:val="0"/>
              <w:autoSpaceDE w:val="0"/>
              <w:autoSpaceDN w:val="0"/>
              <w:adjustRightInd w:val="0"/>
              <w:spacing w:before="19" w:after="0" w:line="240" w:lineRule="auto"/>
              <w:ind w:left="107" w:right="100"/>
              <w:jc w:val="center"/>
              <w:rPr>
                <w:rFonts w:ascii="Euclid" w:hAnsi="Euclid" w:cs="Euclid"/>
                <w:spacing w:val="-2"/>
                <w:sz w:val="20"/>
                <w:szCs w:val="20"/>
              </w:rPr>
            </w:pPr>
            <w:r w:rsidRPr="00BD1C17">
              <w:rPr>
                <w:rFonts w:ascii="Euclid" w:hAnsi="Euclid" w:cs="Euclid"/>
                <w:spacing w:val="-2"/>
                <w:sz w:val="20"/>
                <w:szCs w:val="20"/>
              </w:rPr>
              <w:t>-0.007*</w:t>
            </w:r>
          </w:p>
        </w:tc>
        <w:tc>
          <w:tcPr>
            <w:tcW w:w="991" w:type="dxa"/>
            <w:tcBorders>
              <w:top w:val="single" w:sz="4" w:space="0" w:color="000000"/>
              <w:left w:val="none" w:sz="6" w:space="0" w:color="auto"/>
              <w:bottom w:val="none" w:sz="6" w:space="0" w:color="auto"/>
              <w:right w:val="none" w:sz="6" w:space="0" w:color="auto"/>
            </w:tcBorders>
          </w:tcPr>
          <w:p w14:paraId="7EF95479" w14:textId="77777777" w:rsidR="00BD1C17" w:rsidRPr="00BD1C17" w:rsidRDefault="00BD1C17" w:rsidP="00BD1C17">
            <w:pPr>
              <w:kinsoku w:val="0"/>
              <w:overflowPunct w:val="0"/>
              <w:autoSpaceDE w:val="0"/>
              <w:autoSpaceDN w:val="0"/>
              <w:adjustRightInd w:val="0"/>
              <w:spacing w:before="19" w:after="0" w:line="240" w:lineRule="auto"/>
              <w:ind w:left="201"/>
              <w:rPr>
                <w:rFonts w:ascii="Euclid" w:hAnsi="Euclid" w:cs="Euclid"/>
                <w:spacing w:val="-2"/>
                <w:sz w:val="20"/>
                <w:szCs w:val="20"/>
              </w:rPr>
            </w:pPr>
            <w:r w:rsidRPr="00BD1C17">
              <w:rPr>
                <w:rFonts w:ascii="Euclid" w:hAnsi="Euclid" w:cs="Euclid"/>
                <w:spacing w:val="-2"/>
                <w:sz w:val="20"/>
                <w:szCs w:val="20"/>
              </w:rPr>
              <w:t>-0.008t</w:t>
            </w:r>
          </w:p>
        </w:tc>
        <w:tc>
          <w:tcPr>
            <w:tcW w:w="993" w:type="dxa"/>
            <w:tcBorders>
              <w:top w:val="single" w:sz="4" w:space="0" w:color="000000"/>
              <w:left w:val="none" w:sz="6" w:space="0" w:color="auto"/>
              <w:bottom w:val="none" w:sz="6" w:space="0" w:color="auto"/>
              <w:right w:val="none" w:sz="6" w:space="0" w:color="auto"/>
            </w:tcBorders>
          </w:tcPr>
          <w:p w14:paraId="3E2AA004" w14:textId="77777777" w:rsidR="00BD1C17" w:rsidRPr="00BD1C17" w:rsidRDefault="00BD1C17" w:rsidP="00BD1C17">
            <w:pPr>
              <w:kinsoku w:val="0"/>
              <w:overflowPunct w:val="0"/>
              <w:autoSpaceDE w:val="0"/>
              <w:autoSpaceDN w:val="0"/>
              <w:adjustRightInd w:val="0"/>
              <w:spacing w:before="19" w:after="0" w:line="240" w:lineRule="auto"/>
              <w:ind w:right="180"/>
              <w:jc w:val="right"/>
              <w:rPr>
                <w:rFonts w:ascii="Euclid" w:hAnsi="Euclid" w:cs="Euclid"/>
                <w:spacing w:val="-2"/>
                <w:sz w:val="20"/>
                <w:szCs w:val="20"/>
              </w:rPr>
            </w:pPr>
            <w:r w:rsidRPr="00BD1C17">
              <w:rPr>
                <w:rFonts w:ascii="Euclid" w:hAnsi="Euclid" w:cs="Euclid"/>
                <w:spacing w:val="-2"/>
                <w:sz w:val="20"/>
                <w:szCs w:val="20"/>
              </w:rPr>
              <w:t>-0.014*</w:t>
            </w:r>
          </w:p>
        </w:tc>
      </w:tr>
      <w:tr w:rsidR="00BD1C17" w:rsidRPr="00BD1C17" w14:paraId="42541F44" w14:textId="77777777" w:rsidTr="00964366">
        <w:trPr>
          <w:trHeight w:val="458"/>
        </w:trPr>
        <w:tc>
          <w:tcPr>
            <w:tcW w:w="1529" w:type="dxa"/>
            <w:tcBorders>
              <w:top w:val="none" w:sz="6" w:space="0" w:color="auto"/>
              <w:left w:val="none" w:sz="6" w:space="0" w:color="auto"/>
              <w:bottom w:val="none" w:sz="6" w:space="0" w:color="auto"/>
              <w:right w:val="none" w:sz="6" w:space="0" w:color="auto"/>
            </w:tcBorders>
          </w:tcPr>
          <w:p w14:paraId="15093CE8"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c>
          <w:tcPr>
            <w:tcW w:w="892" w:type="dxa"/>
            <w:tcBorders>
              <w:top w:val="none" w:sz="6" w:space="0" w:color="auto"/>
              <w:left w:val="none" w:sz="6" w:space="0" w:color="auto"/>
              <w:bottom w:val="none" w:sz="6" w:space="0" w:color="auto"/>
              <w:right w:val="none" w:sz="6" w:space="0" w:color="auto"/>
            </w:tcBorders>
          </w:tcPr>
          <w:p w14:paraId="1E723BAB" w14:textId="77777777" w:rsidR="00BD1C17" w:rsidRPr="00BD1C17" w:rsidRDefault="00BD1C17" w:rsidP="00BD1C17">
            <w:pPr>
              <w:kinsoku w:val="0"/>
              <w:overflowPunct w:val="0"/>
              <w:autoSpaceDE w:val="0"/>
              <w:autoSpaceDN w:val="0"/>
              <w:adjustRightInd w:val="0"/>
              <w:spacing w:after="0" w:line="331" w:lineRule="exact"/>
              <w:ind w:left="105" w:right="103"/>
              <w:jc w:val="center"/>
              <w:rPr>
                <w:rFonts w:ascii="Euclid" w:hAnsi="Euclid" w:cs="Euclid"/>
                <w:spacing w:val="-2"/>
                <w:sz w:val="20"/>
                <w:szCs w:val="20"/>
              </w:rPr>
            </w:pPr>
            <w:r w:rsidRPr="00BD1C17">
              <w:rPr>
                <w:rFonts w:ascii="Euclid" w:hAnsi="Euclid" w:cs="Euclid"/>
                <w:spacing w:val="-2"/>
                <w:sz w:val="20"/>
                <w:szCs w:val="20"/>
              </w:rPr>
              <w:t>(0.007)</w:t>
            </w:r>
          </w:p>
        </w:tc>
        <w:tc>
          <w:tcPr>
            <w:tcW w:w="1012" w:type="dxa"/>
            <w:tcBorders>
              <w:top w:val="none" w:sz="6" w:space="0" w:color="auto"/>
              <w:left w:val="none" w:sz="6" w:space="0" w:color="auto"/>
              <w:bottom w:val="none" w:sz="6" w:space="0" w:color="auto"/>
              <w:right w:val="none" w:sz="6" w:space="0" w:color="auto"/>
            </w:tcBorders>
          </w:tcPr>
          <w:p w14:paraId="1F67C91E" w14:textId="77777777" w:rsidR="00BD1C17" w:rsidRPr="00BD1C17" w:rsidRDefault="00BD1C17" w:rsidP="00BD1C17">
            <w:pPr>
              <w:kinsoku w:val="0"/>
              <w:overflowPunct w:val="0"/>
              <w:autoSpaceDE w:val="0"/>
              <w:autoSpaceDN w:val="0"/>
              <w:adjustRightInd w:val="0"/>
              <w:spacing w:after="0" w:line="331" w:lineRule="exact"/>
              <w:ind w:right="196"/>
              <w:jc w:val="right"/>
              <w:rPr>
                <w:rFonts w:ascii="Euclid" w:hAnsi="Euclid" w:cs="Euclid"/>
                <w:spacing w:val="-2"/>
                <w:sz w:val="20"/>
                <w:szCs w:val="20"/>
              </w:rPr>
            </w:pPr>
            <w:r w:rsidRPr="00BD1C17">
              <w:rPr>
                <w:rFonts w:ascii="Euclid" w:hAnsi="Euclid" w:cs="Euclid"/>
                <w:spacing w:val="-2"/>
                <w:sz w:val="20"/>
                <w:szCs w:val="20"/>
              </w:rPr>
              <w:t>(0.011)</w:t>
            </w:r>
          </w:p>
        </w:tc>
        <w:tc>
          <w:tcPr>
            <w:tcW w:w="992" w:type="dxa"/>
            <w:tcBorders>
              <w:top w:val="none" w:sz="6" w:space="0" w:color="auto"/>
              <w:left w:val="none" w:sz="6" w:space="0" w:color="auto"/>
              <w:bottom w:val="none" w:sz="6" w:space="0" w:color="auto"/>
              <w:right w:val="none" w:sz="6" w:space="0" w:color="auto"/>
            </w:tcBorders>
          </w:tcPr>
          <w:p w14:paraId="6B9B4E00" w14:textId="77777777" w:rsidR="00BD1C17" w:rsidRPr="00BD1C17" w:rsidRDefault="00BD1C17" w:rsidP="00BD1C17">
            <w:pPr>
              <w:kinsoku w:val="0"/>
              <w:overflowPunct w:val="0"/>
              <w:autoSpaceDE w:val="0"/>
              <w:autoSpaceDN w:val="0"/>
              <w:adjustRightInd w:val="0"/>
              <w:spacing w:after="0" w:line="331" w:lineRule="exact"/>
              <w:ind w:left="106" w:right="100"/>
              <w:jc w:val="center"/>
              <w:rPr>
                <w:rFonts w:ascii="Euclid" w:hAnsi="Euclid" w:cs="Euclid"/>
                <w:spacing w:val="-2"/>
                <w:sz w:val="20"/>
                <w:szCs w:val="20"/>
              </w:rPr>
            </w:pPr>
            <w:r w:rsidRPr="00BD1C17">
              <w:rPr>
                <w:rFonts w:ascii="Euclid" w:hAnsi="Euclid" w:cs="Euclid"/>
                <w:spacing w:val="-2"/>
                <w:sz w:val="20"/>
                <w:szCs w:val="20"/>
              </w:rPr>
              <w:t>(0.007)</w:t>
            </w:r>
          </w:p>
        </w:tc>
        <w:tc>
          <w:tcPr>
            <w:tcW w:w="1204" w:type="dxa"/>
            <w:tcBorders>
              <w:top w:val="none" w:sz="6" w:space="0" w:color="auto"/>
              <w:left w:val="none" w:sz="6" w:space="0" w:color="auto"/>
              <w:bottom w:val="none" w:sz="6" w:space="0" w:color="auto"/>
              <w:right w:val="none" w:sz="6" w:space="0" w:color="auto"/>
            </w:tcBorders>
          </w:tcPr>
          <w:p w14:paraId="400C487E" w14:textId="77777777" w:rsidR="00BD1C17" w:rsidRPr="00BD1C17" w:rsidRDefault="00BD1C17" w:rsidP="00BD1C17">
            <w:pPr>
              <w:kinsoku w:val="0"/>
              <w:overflowPunct w:val="0"/>
              <w:autoSpaceDE w:val="0"/>
              <w:autoSpaceDN w:val="0"/>
              <w:adjustRightInd w:val="0"/>
              <w:spacing w:after="0" w:line="331" w:lineRule="exact"/>
              <w:ind w:left="99" w:right="91"/>
              <w:jc w:val="center"/>
              <w:rPr>
                <w:rFonts w:ascii="Euclid" w:hAnsi="Euclid" w:cs="Euclid"/>
                <w:spacing w:val="-2"/>
                <w:sz w:val="20"/>
                <w:szCs w:val="20"/>
              </w:rPr>
            </w:pPr>
            <w:r w:rsidRPr="00BD1C17">
              <w:rPr>
                <w:rFonts w:ascii="Euclid" w:hAnsi="Euclid" w:cs="Euclid"/>
                <w:spacing w:val="-2"/>
                <w:sz w:val="20"/>
                <w:szCs w:val="20"/>
              </w:rPr>
              <w:t>(0.016)</w:t>
            </w:r>
          </w:p>
        </w:tc>
        <w:tc>
          <w:tcPr>
            <w:tcW w:w="1318" w:type="dxa"/>
            <w:tcBorders>
              <w:top w:val="none" w:sz="6" w:space="0" w:color="auto"/>
              <w:left w:val="none" w:sz="6" w:space="0" w:color="auto"/>
              <w:bottom w:val="none" w:sz="6" w:space="0" w:color="auto"/>
              <w:right w:val="none" w:sz="6" w:space="0" w:color="auto"/>
            </w:tcBorders>
          </w:tcPr>
          <w:p w14:paraId="3245D23B" w14:textId="77777777" w:rsidR="00BD1C17" w:rsidRPr="00BD1C17" w:rsidRDefault="00BD1C17" w:rsidP="00BD1C17">
            <w:pPr>
              <w:kinsoku w:val="0"/>
              <w:overflowPunct w:val="0"/>
              <w:autoSpaceDE w:val="0"/>
              <w:autoSpaceDN w:val="0"/>
              <w:adjustRightInd w:val="0"/>
              <w:spacing w:after="0" w:line="331" w:lineRule="exact"/>
              <w:ind w:left="109" w:right="98"/>
              <w:jc w:val="center"/>
              <w:rPr>
                <w:rFonts w:ascii="Euclid" w:hAnsi="Euclid" w:cs="Euclid"/>
                <w:spacing w:val="-2"/>
                <w:sz w:val="20"/>
                <w:szCs w:val="20"/>
              </w:rPr>
            </w:pPr>
            <w:r w:rsidRPr="00BD1C17">
              <w:rPr>
                <w:rFonts w:ascii="Euclid" w:hAnsi="Euclid" w:cs="Euclid"/>
                <w:spacing w:val="-2"/>
                <w:sz w:val="20"/>
                <w:szCs w:val="20"/>
              </w:rPr>
              <w:t>(0.008)</w:t>
            </w:r>
          </w:p>
        </w:tc>
        <w:tc>
          <w:tcPr>
            <w:tcW w:w="991" w:type="dxa"/>
            <w:tcBorders>
              <w:top w:val="none" w:sz="6" w:space="0" w:color="auto"/>
              <w:left w:val="none" w:sz="6" w:space="0" w:color="auto"/>
              <w:bottom w:val="none" w:sz="6" w:space="0" w:color="auto"/>
              <w:right w:val="none" w:sz="6" w:space="0" w:color="auto"/>
            </w:tcBorders>
          </w:tcPr>
          <w:p w14:paraId="3B9EEDB6" w14:textId="77777777" w:rsidR="00BD1C17" w:rsidRPr="00BD1C17" w:rsidRDefault="00BD1C17" w:rsidP="00BD1C17">
            <w:pPr>
              <w:kinsoku w:val="0"/>
              <w:overflowPunct w:val="0"/>
              <w:autoSpaceDE w:val="0"/>
              <w:autoSpaceDN w:val="0"/>
              <w:adjustRightInd w:val="0"/>
              <w:spacing w:after="0" w:line="331" w:lineRule="exact"/>
              <w:ind w:left="107" w:right="92"/>
              <w:jc w:val="center"/>
              <w:rPr>
                <w:rFonts w:ascii="Euclid" w:hAnsi="Euclid" w:cs="Euclid"/>
                <w:spacing w:val="-2"/>
                <w:sz w:val="20"/>
                <w:szCs w:val="20"/>
              </w:rPr>
            </w:pPr>
            <w:r w:rsidRPr="00BD1C17">
              <w:rPr>
                <w:rFonts w:ascii="Euclid" w:hAnsi="Euclid" w:cs="Euclid"/>
                <w:spacing w:val="-2"/>
                <w:sz w:val="20"/>
                <w:szCs w:val="20"/>
              </w:rPr>
              <w:t>(0.004)</w:t>
            </w:r>
          </w:p>
        </w:tc>
        <w:tc>
          <w:tcPr>
            <w:tcW w:w="991" w:type="dxa"/>
            <w:tcBorders>
              <w:top w:val="none" w:sz="6" w:space="0" w:color="auto"/>
              <w:left w:val="none" w:sz="6" w:space="0" w:color="auto"/>
              <w:bottom w:val="none" w:sz="6" w:space="0" w:color="auto"/>
              <w:right w:val="none" w:sz="6" w:space="0" w:color="auto"/>
            </w:tcBorders>
          </w:tcPr>
          <w:p w14:paraId="5B123582" w14:textId="77777777" w:rsidR="00BD1C17" w:rsidRPr="00BD1C17" w:rsidRDefault="00BD1C17" w:rsidP="00BD1C17">
            <w:pPr>
              <w:kinsoku w:val="0"/>
              <w:overflowPunct w:val="0"/>
              <w:autoSpaceDE w:val="0"/>
              <w:autoSpaceDN w:val="0"/>
              <w:adjustRightInd w:val="0"/>
              <w:spacing w:after="0" w:line="331" w:lineRule="exact"/>
              <w:ind w:left="199"/>
              <w:rPr>
                <w:rFonts w:ascii="Euclid" w:hAnsi="Euclid" w:cs="Euclid"/>
                <w:spacing w:val="-2"/>
                <w:sz w:val="20"/>
                <w:szCs w:val="20"/>
              </w:rPr>
            </w:pPr>
            <w:r w:rsidRPr="00BD1C17">
              <w:rPr>
                <w:rFonts w:ascii="Euclid" w:hAnsi="Euclid" w:cs="Euclid"/>
                <w:spacing w:val="-2"/>
                <w:sz w:val="20"/>
                <w:szCs w:val="20"/>
              </w:rPr>
              <w:t>(0.005)</w:t>
            </w:r>
          </w:p>
        </w:tc>
        <w:tc>
          <w:tcPr>
            <w:tcW w:w="993" w:type="dxa"/>
            <w:tcBorders>
              <w:top w:val="none" w:sz="6" w:space="0" w:color="auto"/>
              <w:left w:val="none" w:sz="6" w:space="0" w:color="auto"/>
              <w:bottom w:val="none" w:sz="6" w:space="0" w:color="auto"/>
              <w:right w:val="none" w:sz="6" w:space="0" w:color="auto"/>
            </w:tcBorders>
          </w:tcPr>
          <w:p w14:paraId="649BA69F" w14:textId="77777777" w:rsidR="00BD1C17" w:rsidRPr="00BD1C17" w:rsidRDefault="00BD1C17" w:rsidP="00BD1C17">
            <w:pPr>
              <w:kinsoku w:val="0"/>
              <w:overflowPunct w:val="0"/>
              <w:autoSpaceDE w:val="0"/>
              <w:autoSpaceDN w:val="0"/>
              <w:adjustRightInd w:val="0"/>
              <w:spacing w:after="0" w:line="331" w:lineRule="exact"/>
              <w:ind w:right="180"/>
              <w:jc w:val="right"/>
              <w:rPr>
                <w:rFonts w:ascii="Euclid" w:hAnsi="Euclid" w:cs="Euclid"/>
                <w:spacing w:val="-2"/>
                <w:sz w:val="20"/>
                <w:szCs w:val="20"/>
              </w:rPr>
            </w:pPr>
            <w:r w:rsidRPr="00BD1C17">
              <w:rPr>
                <w:rFonts w:ascii="Euclid" w:hAnsi="Euclid" w:cs="Euclid"/>
                <w:spacing w:val="-2"/>
                <w:sz w:val="20"/>
                <w:szCs w:val="20"/>
              </w:rPr>
              <w:t>(0.008)</w:t>
            </w:r>
          </w:p>
        </w:tc>
      </w:tr>
      <w:tr w:rsidR="00BD1C17" w:rsidRPr="00BD1C17" w14:paraId="6E386CE7" w14:textId="77777777" w:rsidTr="00964366">
        <w:trPr>
          <w:trHeight w:val="458"/>
        </w:trPr>
        <w:tc>
          <w:tcPr>
            <w:tcW w:w="1529" w:type="dxa"/>
            <w:tcBorders>
              <w:top w:val="none" w:sz="6" w:space="0" w:color="auto"/>
              <w:left w:val="none" w:sz="6" w:space="0" w:color="auto"/>
              <w:bottom w:val="none" w:sz="6" w:space="0" w:color="auto"/>
              <w:right w:val="none" w:sz="6" w:space="0" w:color="auto"/>
            </w:tcBorders>
          </w:tcPr>
          <w:p w14:paraId="3040570F" w14:textId="77777777" w:rsidR="00BD1C17" w:rsidRPr="00BD1C17" w:rsidRDefault="00BD1C17" w:rsidP="00BD1C17">
            <w:pPr>
              <w:kinsoku w:val="0"/>
              <w:overflowPunct w:val="0"/>
              <w:autoSpaceDE w:val="0"/>
              <w:autoSpaceDN w:val="0"/>
              <w:adjustRightInd w:val="0"/>
              <w:spacing w:before="98" w:after="0" w:line="240" w:lineRule="auto"/>
              <w:ind w:left="119"/>
              <w:rPr>
                <w:rFonts w:ascii="Euclid" w:hAnsi="Euclid" w:cs="Euclid"/>
                <w:spacing w:val="-4"/>
                <w:sz w:val="20"/>
                <w:szCs w:val="20"/>
              </w:rPr>
            </w:pPr>
            <w:r w:rsidRPr="00BD1C17">
              <w:rPr>
                <w:rFonts w:ascii="Euclid" w:hAnsi="Euclid" w:cs="Euclid"/>
                <w:spacing w:val="-4"/>
                <w:sz w:val="20"/>
                <w:szCs w:val="20"/>
              </w:rPr>
              <w:t>RDD</w:t>
            </w:r>
          </w:p>
        </w:tc>
        <w:tc>
          <w:tcPr>
            <w:tcW w:w="892" w:type="dxa"/>
            <w:tcBorders>
              <w:top w:val="none" w:sz="6" w:space="0" w:color="auto"/>
              <w:left w:val="none" w:sz="6" w:space="0" w:color="auto"/>
              <w:bottom w:val="none" w:sz="6" w:space="0" w:color="auto"/>
              <w:right w:val="none" w:sz="6" w:space="0" w:color="auto"/>
            </w:tcBorders>
          </w:tcPr>
          <w:p w14:paraId="2F58AEBF" w14:textId="77777777" w:rsidR="00BD1C17" w:rsidRPr="00BD1C17" w:rsidRDefault="00BD1C17" w:rsidP="00BD1C17">
            <w:pPr>
              <w:kinsoku w:val="0"/>
              <w:overflowPunct w:val="0"/>
              <w:autoSpaceDE w:val="0"/>
              <w:autoSpaceDN w:val="0"/>
              <w:adjustRightInd w:val="0"/>
              <w:spacing w:before="98" w:after="0" w:line="240" w:lineRule="auto"/>
              <w:ind w:left="105" w:right="104"/>
              <w:jc w:val="center"/>
              <w:rPr>
                <w:rFonts w:ascii="Euclid" w:hAnsi="Euclid" w:cs="Euclid"/>
                <w:spacing w:val="-2"/>
                <w:sz w:val="20"/>
                <w:szCs w:val="20"/>
              </w:rPr>
            </w:pPr>
            <w:r w:rsidRPr="00BD1C17">
              <w:rPr>
                <w:rFonts w:ascii="Euclid" w:hAnsi="Euclid" w:cs="Euclid"/>
                <w:spacing w:val="-2"/>
                <w:sz w:val="20"/>
                <w:szCs w:val="20"/>
              </w:rPr>
              <w:t>0.016*</w:t>
            </w:r>
          </w:p>
        </w:tc>
        <w:tc>
          <w:tcPr>
            <w:tcW w:w="1012" w:type="dxa"/>
            <w:tcBorders>
              <w:top w:val="none" w:sz="6" w:space="0" w:color="auto"/>
              <w:left w:val="none" w:sz="6" w:space="0" w:color="auto"/>
              <w:bottom w:val="none" w:sz="6" w:space="0" w:color="auto"/>
              <w:right w:val="none" w:sz="6" w:space="0" w:color="auto"/>
            </w:tcBorders>
          </w:tcPr>
          <w:p w14:paraId="7834961F" w14:textId="77777777" w:rsidR="00BD1C17" w:rsidRPr="00BD1C17" w:rsidRDefault="00BD1C17" w:rsidP="00BD1C17">
            <w:pPr>
              <w:kinsoku w:val="0"/>
              <w:overflowPunct w:val="0"/>
              <w:autoSpaceDE w:val="0"/>
              <w:autoSpaceDN w:val="0"/>
              <w:adjustRightInd w:val="0"/>
              <w:spacing w:before="98" w:after="0" w:line="240" w:lineRule="auto"/>
              <w:ind w:left="279"/>
              <w:rPr>
                <w:rFonts w:ascii="Euclid" w:hAnsi="Euclid" w:cs="Euclid"/>
                <w:spacing w:val="-2"/>
                <w:sz w:val="20"/>
                <w:szCs w:val="20"/>
              </w:rPr>
            </w:pPr>
            <w:r w:rsidRPr="00BD1C17">
              <w:rPr>
                <w:rFonts w:ascii="Euclid" w:hAnsi="Euclid" w:cs="Euclid"/>
                <w:spacing w:val="-2"/>
                <w:sz w:val="20"/>
                <w:szCs w:val="20"/>
              </w:rPr>
              <w:t>0.020</w:t>
            </w:r>
          </w:p>
        </w:tc>
        <w:tc>
          <w:tcPr>
            <w:tcW w:w="992" w:type="dxa"/>
            <w:tcBorders>
              <w:top w:val="none" w:sz="6" w:space="0" w:color="auto"/>
              <w:left w:val="none" w:sz="6" w:space="0" w:color="auto"/>
              <w:bottom w:val="none" w:sz="6" w:space="0" w:color="auto"/>
              <w:right w:val="none" w:sz="6" w:space="0" w:color="auto"/>
            </w:tcBorders>
          </w:tcPr>
          <w:p w14:paraId="14702112" w14:textId="77777777" w:rsidR="00BD1C17" w:rsidRPr="00BD1C17" w:rsidRDefault="00BD1C17" w:rsidP="00BD1C17">
            <w:pPr>
              <w:kinsoku w:val="0"/>
              <w:overflowPunct w:val="0"/>
              <w:autoSpaceDE w:val="0"/>
              <w:autoSpaceDN w:val="0"/>
              <w:adjustRightInd w:val="0"/>
              <w:spacing w:before="98" w:after="0" w:line="240" w:lineRule="auto"/>
              <w:ind w:left="106" w:right="105"/>
              <w:jc w:val="center"/>
              <w:rPr>
                <w:rFonts w:ascii="Euclid" w:hAnsi="Euclid" w:cs="Euclid"/>
                <w:spacing w:val="-2"/>
                <w:sz w:val="20"/>
                <w:szCs w:val="20"/>
              </w:rPr>
            </w:pPr>
            <w:r w:rsidRPr="00BD1C17">
              <w:rPr>
                <w:rFonts w:ascii="Euclid" w:hAnsi="Euclid" w:cs="Euclid"/>
                <w:spacing w:val="-2"/>
                <w:sz w:val="20"/>
                <w:szCs w:val="20"/>
              </w:rPr>
              <w:t>0.015**</w:t>
            </w:r>
          </w:p>
        </w:tc>
        <w:tc>
          <w:tcPr>
            <w:tcW w:w="1204" w:type="dxa"/>
            <w:tcBorders>
              <w:top w:val="none" w:sz="6" w:space="0" w:color="auto"/>
              <w:left w:val="none" w:sz="6" w:space="0" w:color="auto"/>
              <w:bottom w:val="none" w:sz="6" w:space="0" w:color="auto"/>
              <w:right w:val="none" w:sz="6" w:space="0" w:color="auto"/>
            </w:tcBorders>
          </w:tcPr>
          <w:p w14:paraId="2CB1621E" w14:textId="77777777" w:rsidR="00BD1C17" w:rsidRPr="00BD1C17" w:rsidRDefault="00BD1C17" w:rsidP="00BD1C17">
            <w:pPr>
              <w:kinsoku w:val="0"/>
              <w:overflowPunct w:val="0"/>
              <w:autoSpaceDE w:val="0"/>
              <w:autoSpaceDN w:val="0"/>
              <w:adjustRightInd w:val="0"/>
              <w:spacing w:before="98" w:after="0" w:line="240" w:lineRule="auto"/>
              <w:ind w:left="99" w:right="98"/>
              <w:jc w:val="center"/>
              <w:rPr>
                <w:rFonts w:ascii="Euclid" w:hAnsi="Euclid" w:cs="Euclid"/>
                <w:spacing w:val="-2"/>
                <w:sz w:val="20"/>
                <w:szCs w:val="20"/>
              </w:rPr>
            </w:pPr>
            <w:r w:rsidRPr="00BD1C17">
              <w:rPr>
                <w:rFonts w:ascii="Euclid" w:hAnsi="Euclid" w:cs="Euclid"/>
                <w:spacing w:val="-2"/>
                <w:sz w:val="20"/>
                <w:szCs w:val="20"/>
              </w:rPr>
              <w:t>0.034**</w:t>
            </w:r>
          </w:p>
        </w:tc>
        <w:tc>
          <w:tcPr>
            <w:tcW w:w="1318" w:type="dxa"/>
            <w:tcBorders>
              <w:top w:val="none" w:sz="6" w:space="0" w:color="auto"/>
              <w:left w:val="none" w:sz="6" w:space="0" w:color="auto"/>
              <w:bottom w:val="none" w:sz="6" w:space="0" w:color="auto"/>
              <w:right w:val="none" w:sz="6" w:space="0" w:color="auto"/>
            </w:tcBorders>
          </w:tcPr>
          <w:p w14:paraId="2C0DE3AE" w14:textId="77777777" w:rsidR="00BD1C17" w:rsidRPr="00BD1C17" w:rsidRDefault="00BD1C17" w:rsidP="00BD1C17">
            <w:pPr>
              <w:kinsoku w:val="0"/>
              <w:overflowPunct w:val="0"/>
              <w:autoSpaceDE w:val="0"/>
              <w:autoSpaceDN w:val="0"/>
              <w:adjustRightInd w:val="0"/>
              <w:spacing w:before="98" w:after="0" w:line="240" w:lineRule="auto"/>
              <w:ind w:left="109" w:right="106"/>
              <w:jc w:val="center"/>
              <w:rPr>
                <w:rFonts w:ascii="Euclid" w:hAnsi="Euclid" w:cs="Euclid"/>
                <w:spacing w:val="-2"/>
                <w:sz w:val="20"/>
                <w:szCs w:val="20"/>
              </w:rPr>
            </w:pPr>
            <w:r w:rsidRPr="00BD1C17">
              <w:rPr>
                <w:rFonts w:ascii="Euclid" w:hAnsi="Euclid" w:cs="Euclid"/>
                <w:spacing w:val="-2"/>
                <w:sz w:val="20"/>
                <w:szCs w:val="20"/>
              </w:rPr>
              <w:t>0.014**</w:t>
            </w:r>
          </w:p>
        </w:tc>
        <w:tc>
          <w:tcPr>
            <w:tcW w:w="991" w:type="dxa"/>
            <w:tcBorders>
              <w:top w:val="none" w:sz="6" w:space="0" w:color="auto"/>
              <w:left w:val="none" w:sz="6" w:space="0" w:color="auto"/>
              <w:bottom w:val="none" w:sz="6" w:space="0" w:color="auto"/>
              <w:right w:val="none" w:sz="6" w:space="0" w:color="auto"/>
            </w:tcBorders>
          </w:tcPr>
          <w:p w14:paraId="2BE44854" w14:textId="77777777" w:rsidR="00BD1C17" w:rsidRPr="00BD1C17" w:rsidRDefault="00BD1C17" w:rsidP="00BD1C17">
            <w:pPr>
              <w:kinsoku w:val="0"/>
              <w:overflowPunct w:val="0"/>
              <w:autoSpaceDE w:val="0"/>
              <w:autoSpaceDN w:val="0"/>
              <w:adjustRightInd w:val="0"/>
              <w:spacing w:before="98" w:after="0" w:line="240" w:lineRule="auto"/>
              <w:ind w:left="107" w:right="103"/>
              <w:jc w:val="center"/>
              <w:rPr>
                <w:rFonts w:ascii="Euclid" w:hAnsi="Euclid" w:cs="Euclid"/>
                <w:spacing w:val="-2"/>
                <w:sz w:val="20"/>
                <w:szCs w:val="20"/>
              </w:rPr>
            </w:pPr>
            <w:r w:rsidRPr="00BD1C17">
              <w:rPr>
                <w:rFonts w:ascii="Euclid" w:hAnsi="Euclid" w:cs="Euclid"/>
                <w:spacing w:val="-2"/>
                <w:sz w:val="20"/>
                <w:szCs w:val="20"/>
              </w:rPr>
              <w:t>0.020***</w:t>
            </w:r>
          </w:p>
        </w:tc>
        <w:tc>
          <w:tcPr>
            <w:tcW w:w="991" w:type="dxa"/>
            <w:tcBorders>
              <w:top w:val="none" w:sz="6" w:space="0" w:color="auto"/>
              <w:left w:val="none" w:sz="6" w:space="0" w:color="auto"/>
              <w:bottom w:val="none" w:sz="6" w:space="0" w:color="auto"/>
              <w:right w:val="none" w:sz="6" w:space="0" w:color="auto"/>
            </w:tcBorders>
          </w:tcPr>
          <w:p w14:paraId="6FB7883E" w14:textId="77777777" w:rsidR="00BD1C17" w:rsidRPr="00BD1C17" w:rsidRDefault="00BD1C17" w:rsidP="00BD1C17">
            <w:pPr>
              <w:kinsoku w:val="0"/>
              <w:overflowPunct w:val="0"/>
              <w:autoSpaceDE w:val="0"/>
              <w:autoSpaceDN w:val="0"/>
              <w:adjustRightInd w:val="0"/>
              <w:spacing w:before="98" w:after="0" w:line="240" w:lineRule="auto"/>
              <w:ind w:right="114"/>
              <w:jc w:val="right"/>
              <w:rPr>
                <w:rFonts w:ascii="Euclid" w:hAnsi="Euclid" w:cs="Euclid"/>
                <w:spacing w:val="-2"/>
                <w:sz w:val="20"/>
                <w:szCs w:val="20"/>
              </w:rPr>
            </w:pPr>
            <w:r w:rsidRPr="00BD1C17">
              <w:rPr>
                <w:rFonts w:ascii="Euclid" w:hAnsi="Euclid" w:cs="Euclid"/>
                <w:spacing w:val="-2"/>
                <w:sz w:val="20"/>
                <w:szCs w:val="20"/>
              </w:rPr>
              <w:t>0.021***</w:t>
            </w:r>
          </w:p>
        </w:tc>
        <w:tc>
          <w:tcPr>
            <w:tcW w:w="993" w:type="dxa"/>
            <w:tcBorders>
              <w:top w:val="none" w:sz="6" w:space="0" w:color="auto"/>
              <w:left w:val="none" w:sz="6" w:space="0" w:color="auto"/>
              <w:bottom w:val="none" w:sz="6" w:space="0" w:color="auto"/>
              <w:right w:val="none" w:sz="6" w:space="0" w:color="auto"/>
            </w:tcBorders>
          </w:tcPr>
          <w:p w14:paraId="6EF2A888" w14:textId="77777777" w:rsidR="00BD1C17" w:rsidRPr="00BD1C17" w:rsidRDefault="00BD1C17" w:rsidP="00BD1C17">
            <w:pPr>
              <w:kinsoku w:val="0"/>
              <w:overflowPunct w:val="0"/>
              <w:autoSpaceDE w:val="0"/>
              <w:autoSpaceDN w:val="0"/>
              <w:adjustRightInd w:val="0"/>
              <w:spacing w:before="98" w:after="0" w:line="240" w:lineRule="auto"/>
              <w:ind w:right="115"/>
              <w:jc w:val="right"/>
              <w:rPr>
                <w:rFonts w:ascii="Euclid" w:hAnsi="Euclid" w:cs="Euclid"/>
                <w:spacing w:val="-2"/>
                <w:sz w:val="20"/>
                <w:szCs w:val="20"/>
              </w:rPr>
            </w:pPr>
            <w:r w:rsidRPr="00BD1C17">
              <w:rPr>
                <w:rFonts w:ascii="Euclid" w:hAnsi="Euclid" w:cs="Euclid"/>
                <w:spacing w:val="-2"/>
                <w:sz w:val="20"/>
                <w:szCs w:val="20"/>
              </w:rPr>
              <w:t>0.020***</w:t>
            </w:r>
          </w:p>
        </w:tc>
      </w:tr>
      <w:tr w:rsidR="00BD1C17" w:rsidRPr="00BD1C17" w14:paraId="1817F159" w14:textId="77777777" w:rsidTr="00964366">
        <w:trPr>
          <w:trHeight w:val="458"/>
        </w:trPr>
        <w:tc>
          <w:tcPr>
            <w:tcW w:w="1529" w:type="dxa"/>
            <w:tcBorders>
              <w:top w:val="none" w:sz="6" w:space="0" w:color="auto"/>
              <w:left w:val="none" w:sz="6" w:space="0" w:color="auto"/>
              <w:bottom w:val="none" w:sz="6" w:space="0" w:color="auto"/>
              <w:right w:val="none" w:sz="6" w:space="0" w:color="auto"/>
            </w:tcBorders>
          </w:tcPr>
          <w:p w14:paraId="05B6D1BB"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c>
          <w:tcPr>
            <w:tcW w:w="892" w:type="dxa"/>
            <w:tcBorders>
              <w:top w:val="none" w:sz="6" w:space="0" w:color="auto"/>
              <w:left w:val="none" w:sz="6" w:space="0" w:color="auto"/>
              <w:bottom w:val="none" w:sz="6" w:space="0" w:color="auto"/>
              <w:right w:val="none" w:sz="6" w:space="0" w:color="auto"/>
            </w:tcBorders>
          </w:tcPr>
          <w:p w14:paraId="5198B77E" w14:textId="77777777" w:rsidR="00BD1C17" w:rsidRPr="00BD1C17" w:rsidRDefault="00BD1C17" w:rsidP="00BD1C17">
            <w:pPr>
              <w:kinsoku w:val="0"/>
              <w:overflowPunct w:val="0"/>
              <w:autoSpaceDE w:val="0"/>
              <w:autoSpaceDN w:val="0"/>
              <w:adjustRightInd w:val="0"/>
              <w:spacing w:after="0" w:line="331" w:lineRule="exact"/>
              <w:ind w:left="105" w:right="103"/>
              <w:jc w:val="center"/>
              <w:rPr>
                <w:rFonts w:ascii="Euclid" w:hAnsi="Euclid" w:cs="Euclid"/>
                <w:spacing w:val="-2"/>
                <w:sz w:val="20"/>
                <w:szCs w:val="20"/>
              </w:rPr>
            </w:pPr>
            <w:r w:rsidRPr="00BD1C17">
              <w:rPr>
                <w:rFonts w:ascii="Euclid" w:hAnsi="Euclid" w:cs="Euclid"/>
                <w:spacing w:val="-2"/>
                <w:sz w:val="20"/>
                <w:szCs w:val="20"/>
              </w:rPr>
              <w:t>(0.009)</w:t>
            </w:r>
          </w:p>
        </w:tc>
        <w:tc>
          <w:tcPr>
            <w:tcW w:w="1012" w:type="dxa"/>
            <w:tcBorders>
              <w:top w:val="none" w:sz="6" w:space="0" w:color="auto"/>
              <w:left w:val="none" w:sz="6" w:space="0" w:color="auto"/>
              <w:bottom w:val="none" w:sz="6" w:space="0" w:color="auto"/>
              <w:right w:val="none" w:sz="6" w:space="0" w:color="auto"/>
            </w:tcBorders>
          </w:tcPr>
          <w:p w14:paraId="6AC43E54" w14:textId="77777777" w:rsidR="00BD1C17" w:rsidRPr="00BD1C17" w:rsidRDefault="00BD1C17" w:rsidP="00BD1C17">
            <w:pPr>
              <w:kinsoku w:val="0"/>
              <w:overflowPunct w:val="0"/>
              <w:autoSpaceDE w:val="0"/>
              <w:autoSpaceDN w:val="0"/>
              <w:adjustRightInd w:val="0"/>
              <w:spacing w:after="0" w:line="331" w:lineRule="exact"/>
              <w:ind w:right="196"/>
              <w:jc w:val="right"/>
              <w:rPr>
                <w:rFonts w:ascii="Euclid" w:hAnsi="Euclid" w:cs="Euclid"/>
                <w:spacing w:val="-2"/>
                <w:sz w:val="20"/>
                <w:szCs w:val="20"/>
              </w:rPr>
            </w:pPr>
            <w:r w:rsidRPr="00BD1C17">
              <w:rPr>
                <w:rFonts w:ascii="Euclid" w:hAnsi="Euclid" w:cs="Euclid"/>
                <w:spacing w:val="-2"/>
                <w:sz w:val="20"/>
                <w:szCs w:val="20"/>
              </w:rPr>
              <w:t>(0.015)</w:t>
            </w:r>
          </w:p>
        </w:tc>
        <w:tc>
          <w:tcPr>
            <w:tcW w:w="992" w:type="dxa"/>
            <w:tcBorders>
              <w:top w:val="none" w:sz="6" w:space="0" w:color="auto"/>
              <w:left w:val="none" w:sz="6" w:space="0" w:color="auto"/>
              <w:bottom w:val="none" w:sz="6" w:space="0" w:color="auto"/>
              <w:right w:val="none" w:sz="6" w:space="0" w:color="auto"/>
            </w:tcBorders>
          </w:tcPr>
          <w:p w14:paraId="05980964" w14:textId="77777777" w:rsidR="00BD1C17" w:rsidRPr="00BD1C17" w:rsidRDefault="00BD1C17" w:rsidP="00BD1C17">
            <w:pPr>
              <w:kinsoku w:val="0"/>
              <w:overflowPunct w:val="0"/>
              <w:autoSpaceDE w:val="0"/>
              <w:autoSpaceDN w:val="0"/>
              <w:adjustRightInd w:val="0"/>
              <w:spacing w:after="0" w:line="331" w:lineRule="exact"/>
              <w:ind w:left="106" w:right="100"/>
              <w:jc w:val="center"/>
              <w:rPr>
                <w:rFonts w:ascii="Euclid" w:hAnsi="Euclid" w:cs="Euclid"/>
                <w:spacing w:val="-2"/>
                <w:sz w:val="20"/>
                <w:szCs w:val="20"/>
              </w:rPr>
            </w:pPr>
            <w:r w:rsidRPr="00BD1C17">
              <w:rPr>
                <w:rFonts w:ascii="Euclid" w:hAnsi="Euclid" w:cs="Euclid"/>
                <w:spacing w:val="-2"/>
                <w:sz w:val="20"/>
                <w:szCs w:val="20"/>
              </w:rPr>
              <w:t>(0.007)</w:t>
            </w:r>
          </w:p>
        </w:tc>
        <w:tc>
          <w:tcPr>
            <w:tcW w:w="1204" w:type="dxa"/>
            <w:tcBorders>
              <w:top w:val="none" w:sz="6" w:space="0" w:color="auto"/>
              <w:left w:val="none" w:sz="6" w:space="0" w:color="auto"/>
              <w:bottom w:val="none" w:sz="6" w:space="0" w:color="auto"/>
              <w:right w:val="none" w:sz="6" w:space="0" w:color="auto"/>
            </w:tcBorders>
          </w:tcPr>
          <w:p w14:paraId="34ACF1F5" w14:textId="77777777" w:rsidR="00BD1C17" w:rsidRPr="00BD1C17" w:rsidRDefault="00BD1C17" w:rsidP="00BD1C17">
            <w:pPr>
              <w:kinsoku w:val="0"/>
              <w:overflowPunct w:val="0"/>
              <w:autoSpaceDE w:val="0"/>
              <w:autoSpaceDN w:val="0"/>
              <w:adjustRightInd w:val="0"/>
              <w:spacing w:after="0" w:line="331" w:lineRule="exact"/>
              <w:ind w:left="99" w:right="91"/>
              <w:jc w:val="center"/>
              <w:rPr>
                <w:rFonts w:ascii="Euclid" w:hAnsi="Euclid" w:cs="Euclid"/>
                <w:spacing w:val="-2"/>
                <w:sz w:val="20"/>
                <w:szCs w:val="20"/>
              </w:rPr>
            </w:pPr>
            <w:r w:rsidRPr="00BD1C17">
              <w:rPr>
                <w:rFonts w:ascii="Euclid" w:hAnsi="Euclid" w:cs="Euclid"/>
                <w:spacing w:val="-2"/>
                <w:sz w:val="20"/>
                <w:szCs w:val="20"/>
              </w:rPr>
              <w:t>(0.016)</w:t>
            </w:r>
          </w:p>
        </w:tc>
        <w:tc>
          <w:tcPr>
            <w:tcW w:w="1318" w:type="dxa"/>
            <w:tcBorders>
              <w:top w:val="none" w:sz="6" w:space="0" w:color="auto"/>
              <w:left w:val="none" w:sz="6" w:space="0" w:color="auto"/>
              <w:bottom w:val="none" w:sz="6" w:space="0" w:color="auto"/>
              <w:right w:val="none" w:sz="6" w:space="0" w:color="auto"/>
            </w:tcBorders>
          </w:tcPr>
          <w:p w14:paraId="69CB196C" w14:textId="77777777" w:rsidR="00BD1C17" w:rsidRPr="00BD1C17" w:rsidRDefault="00BD1C17" w:rsidP="00BD1C17">
            <w:pPr>
              <w:kinsoku w:val="0"/>
              <w:overflowPunct w:val="0"/>
              <w:autoSpaceDE w:val="0"/>
              <w:autoSpaceDN w:val="0"/>
              <w:adjustRightInd w:val="0"/>
              <w:spacing w:after="0" w:line="331" w:lineRule="exact"/>
              <w:ind w:left="109" w:right="98"/>
              <w:jc w:val="center"/>
              <w:rPr>
                <w:rFonts w:ascii="Euclid" w:hAnsi="Euclid" w:cs="Euclid"/>
                <w:spacing w:val="-2"/>
                <w:sz w:val="20"/>
                <w:szCs w:val="20"/>
              </w:rPr>
            </w:pPr>
            <w:r w:rsidRPr="00BD1C17">
              <w:rPr>
                <w:rFonts w:ascii="Euclid" w:hAnsi="Euclid" w:cs="Euclid"/>
                <w:spacing w:val="-2"/>
                <w:sz w:val="20"/>
                <w:szCs w:val="20"/>
              </w:rPr>
              <w:t>(0.005)</w:t>
            </w:r>
          </w:p>
        </w:tc>
        <w:tc>
          <w:tcPr>
            <w:tcW w:w="991" w:type="dxa"/>
            <w:tcBorders>
              <w:top w:val="none" w:sz="6" w:space="0" w:color="auto"/>
              <w:left w:val="none" w:sz="6" w:space="0" w:color="auto"/>
              <w:bottom w:val="none" w:sz="6" w:space="0" w:color="auto"/>
              <w:right w:val="none" w:sz="6" w:space="0" w:color="auto"/>
            </w:tcBorders>
          </w:tcPr>
          <w:p w14:paraId="2F9B20C6" w14:textId="77777777" w:rsidR="00BD1C17" w:rsidRPr="00BD1C17" w:rsidRDefault="00BD1C17" w:rsidP="00BD1C17">
            <w:pPr>
              <w:kinsoku w:val="0"/>
              <w:overflowPunct w:val="0"/>
              <w:autoSpaceDE w:val="0"/>
              <w:autoSpaceDN w:val="0"/>
              <w:adjustRightInd w:val="0"/>
              <w:spacing w:after="0" w:line="331" w:lineRule="exact"/>
              <w:ind w:left="107" w:right="92"/>
              <w:jc w:val="center"/>
              <w:rPr>
                <w:rFonts w:ascii="Euclid" w:hAnsi="Euclid" w:cs="Euclid"/>
                <w:spacing w:val="-2"/>
                <w:sz w:val="20"/>
                <w:szCs w:val="20"/>
              </w:rPr>
            </w:pPr>
            <w:r w:rsidRPr="00BD1C17">
              <w:rPr>
                <w:rFonts w:ascii="Euclid" w:hAnsi="Euclid" w:cs="Euclid"/>
                <w:spacing w:val="-2"/>
                <w:sz w:val="20"/>
                <w:szCs w:val="20"/>
              </w:rPr>
              <w:t>(0.003)</w:t>
            </w:r>
          </w:p>
        </w:tc>
        <w:tc>
          <w:tcPr>
            <w:tcW w:w="991" w:type="dxa"/>
            <w:tcBorders>
              <w:top w:val="none" w:sz="6" w:space="0" w:color="auto"/>
              <w:left w:val="none" w:sz="6" w:space="0" w:color="auto"/>
              <w:bottom w:val="none" w:sz="6" w:space="0" w:color="auto"/>
              <w:right w:val="none" w:sz="6" w:space="0" w:color="auto"/>
            </w:tcBorders>
          </w:tcPr>
          <w:p w14:paraId="6D450BEA" w14:textId="77777777" w:rsidR="00BD1C17" w:rsidRPr="00BD1C17" w:rsidRDefault="00BD1C17" w:rsidP="00BD1C17">
            <w:pPr>
              <w:kinsoku w:val="0"/>
              <w:overflowPunct w:val="0"/>
              <w:autoSpaceDE w:val="0"/>
              <w:autoSpaceDN w:val="0"/>
              <w:adjustRightInd w:val="0"/>
              <w:spacing w:after="0" w:line="331" w:lineRule="exact"/>
              <w:ind w:left="199"/>
              <w:rPr>
                <w:rFonts w:ascii="Euclid" w:hAnsi="Euclid" w:cs="Euclid"/>
                <w:spacing w:val="-2"/>
                <w:sz w:val="20"/>
                <w:szCs w:val="20"/>
              </w:rPr>
            </w:pPr>
            <w:r w:rsidRPr="00BD1C17">
              <w:rPr>
                <w:rFonts w:ascii="Euclid" w:hAnsi="Euclid" w:cs="Euclid"/>
                <w:spacing w:val="-2"/>
                <w:sz w:val="20"/>
                <w:szCs w:val="20"/>
              </w:rPr>
              <w:t>(0.005)</w:t>
            </w:r>
          </w:p>
        </w:tc>
        <w:tc>
          <w:tcPr>
            <w:tcW w:w="993" w:type="dxa"/>
            <w:tcBorders>
              <w:top w:val="none" w:sz="6" w:space="0" w:color="auto"/>
              <w:left w:val="none" w:sz="6" w:space="0" w:color="auto"/>
              <w:bottom w:val="none" w:sz="6" w:space="0" w:color="auto"/>
              <w:right w:val="none" w:sz="6" w:space="0" w:color="auto"/>
            </w:tcBorders>
          </w:tcPr>
          <w:p w14:paraId="0CE714DC" w14:textId="77777777" w:rsidR="00BD1C17" w:rsidRPr="00BD1C17" w:rsidRDefault="00BD1C17" w:rsidP="00BD1C17">
            <w:pPr>
              <w:kinsoku w:val="0"/>
              <w:overflowPunct w:val="0"/>
              <w:autoSpaceDE w:val="0"/>
              <w:autoSpaceDN w:val="0"/>
              <w:adjustRightInd w:val="0"/>
              <w:spacing w:after="0" w:line="331" w:lineRule="exact"/>
              <w:ind w:right="180"/>
              <w:jc w:val="right"/>
              <w:rPr>
                <w:rFonts w:ascii="Euclid" w:hAnsi="Euclid" w:cs="Euclid"/>
                <w:spacing w:val="-2"/>
                <w:sz w:val="20"/>
                <w:szCs w:val="20"/>
              </w:rPr>
            </w:pPr>
            <w:r w:rsidRPr="00BD1C17">
              <w:rPr>
                <w:rFonts w:ascii="Euclid" w:hAnsi="Euclid" w:cs="Euclid"/>
                <w:spacing w:val="-2"/>
                <w:sz w:val="20"/>
                <w:szCs w:val="20"/>
              </w:rPr>
              <w:t>(0.007)</w:t>
            </w:r>
          </w:p>
        </w:tc>
      </w:tr>
      <w:tr w:rsidR="00BD1C17" w:rsidRPr="00BD1C17" w14:paraId="48DF9ABD" w14:textId="77777777" w:rsidTr="00964366">
        <w:trPr>
          <w:trHeight w:val="458"/>
        </w:trPr>
        <w:tc>
          <w:tcPr>
            <w:tcW w:w="1529" w:type="dxa"/>
            <w:tcBorders>
              <w:top w:val="none" w:sz="6" w:space="0" w:color="auto"/>
              <w:left w:val="none" w:sz="6" w:space="0" w:color="auto"/>
              <w:bottom w:val="none" w:sz="6" w:space="0" w:color="auto"/>
              <w:right w:val="none" w:sz="6" w:space="0" w:color="auto"/>
            </w:tcBorders>
          </w:tcPr>
          <w:p w14:paraId="6992AA5D" w14:textId="77777777" w:rsidR="00BD1C17" w:rsidRPr="00BD1C17" w:rsidRDefault="00BD1C17" w:rsidP="00BD1C17">
            <w:pPr>
              <w:kinsoku w:val="0"/>
              <w:overflowPunct w:val="0"/>
              <w:autoSpaceDE w:val="0"/>
              <w:autoSpaceDN w:val="0"/>
              <w:adjustRightInd w:val="0"/>
              <w:spacing w:before="98" w:after="0" w:line="240" w:lineRule="auto"/>
              <w:ind w:left="119"/>
              <w:rPr>
                <w:rFonts w:ascii="Euclid" w:hAnsi="Euclid" w:cs="Euclid"/>
                <w:spacing w:val="-4"/>
                <w:sz w:val="20"/>
                <w:szCs w:val="20"/>
              </w:rPr>
            </w:pPr>
            <w:r w:rsidRPr="00BD1C17">
              <w:rPr>
                <w:rFonts w:ascii="Euclid" w:hAnsi="Euclid" w:cs="Euclid"/>
                <w:spacing w:val="-4"/>
                <w:sz w:val="20"/>
                <w:szCs w:val="20"/>
              </w:rPr>
              <w:t>DDD</w:t>
            </w:r>
          </w:p>
        </w:tc>
        <w:tc>
          <w:tcPr>
            <w:tcW w:w="892" w:type="dxa"/>
            <w:tcBorders>
              <w:top w:val="none" w:sz="6" w:space="0" w:color="auto"/>
              <w:left w:val="none" w:sz="6" w:space="0" w:color="auto"/>
              <w:bottom w:val="none" w:sz="6" w:space="0" w:color="auto"/>
              <w:right w:val="none" w:sz="6" w:space="0" w:color="auto"/>
            </w:tcBorders>
          </w:tcPr>
          <w:p w14:paraId="3A9E931E" w14:textId="77777777" w:rsidR="00BD1C17" w:rsidRPr="00BD1C17" w:rsidRDefault="00BD1C17" w:rsidP="00BD1C17">
            <w:pPr>
              <w:kinsoku w:val="0"/>
              <w:overflowPunct w:val="0"/>
              <w:autoSpaceDE w:val="0"/>
              <w:autoSpaceDN w:val="0"/>
              <w:adjustRightInd w:val="0"/>
              <w:spacing w:before="98" w:after="0" w:line="240" w:lineRule="auto"/>
              <w:ind w:left="105" w:right="104"/>
              <w:jc w:val="center"/>
              <w:rPr>
                <w:rFonts w:ascii="Euclid" w:hAnsi="Euclid" w:cs="Euclid"/>
                <w:spacing w:val="-2"/>
                <w:sz w:val="20"/>
                <w:szCs w:val="20"/>
              </w:rPr>
            </w:pPr>
            <w:r w:rsidRPr="00BD1C17">
              <w:rPr>
                <w:rFonts w:ascii="Euclid" w:hAnsi="Euclid" w:cs="Euclid"/>
                <w:spacing w:val="-2"/>
                <w:sz w:val="20"/>
                <w:szCs w:val="20"/>
              </w:rPr>
              <w:t>0.041**</w:t>
            </w:r>
          </w:p>
        </w:tc>
        <w:tc>
          <w:tcPr>
            <w:tcW w:w="1012" w:type="dxa"/>
            <w:tcBorders>
              <w:top w:val="none" w:sz="6" w:space="0" w:color="auto"/>
              <w:left w:val="none" w:sz="6" w:space="0" w:color="auto"/>
              <w:bottom w:val="none" w:sz="6" w:space="0" w:color="auto"/>
              <w:right w:val="none" w:sz="6" w:space="0" w:color="auto"/>
            </w:tcBorders>
          </w:tcPr>
          <w:p w14:paraId="707EBDDD" w14:textId="77777777" w:rsidR="00BD1C17" w:rsidRPr="00BD1C17" w:rsidRDefault="00BD1C17" w:rsidP="00BD1C17">
            <w:pPr>
              <w:kinsoku w:val="0"/>
              <w:overflowPunct w:val="0"/>
              <w:autoSpaceDE w:val="0"/>
              <w:autoSpaceDN w:val="0"/>
              <w:adjustRightInd w:val="0"/>
              <w:spacing w:before="98" w:after="0" w:line="240" w:lineRule="auto"/>
              <w:ind w:right="176"/>
              <w:jc w:val="right"/>
              <w:rPr>
                <w:rFonts w:ascii="Euclid" w:hAnsi="Euclid" w:cs="Euclid"/>
                <w:spacing w:val="-2"/>
                <w:sz w:val="20"/>
                <w:szCs w:val="20"/>
              </w:rPr>
            </w:pPr>
            <w:r w:rsidRPr="00BD1C17">
              <w:rPr>
                <w:rFonts w:ascii="Euclid" w:hAnsi="Euclid" w:cs="Euclid"/>
                <w:spacing w:val="-2"/>
                <w:sz w:val="20"/>
                <w:szCs w:val="20"/>
              </w:rPr>
              <w:t>0.043**</w:t>
            </w:r>
          </w:p>
        </w:tc>
        <w:tc>
          <w:tcPr>
            <w:tcW w:w="992" w:type="dxa"/>
            <w:tcBorders>
              <w:top w:val="none" w:sz="6" w:space="0" w:color="auto"/>
              <w:left w:val="none" w:sz="6" w:space="0" w:color="auto"/>
              <w:bottom w:val="none" w:sz="6" w:space="0" w:color="auto"/>
              <w:right w:val="none" w:sz="6" w:space="0" w:color="auto"/>
            </w:tcBorders>
          </w:tcPr>
          <w:p w14:paraId="4946AA91" w14:textId="77777777" w:rsidR="00BD1C17" w:rsidRPr="00BD1C17" w:rsidRDefault="00BD1C17" w:rsidP="00BD1C17">
            <w:pPr>
              <w:kinsoku w:val="0"/>
              <w:overflowPunct w:val="0"/>
              <w:autoSpaceDE w:val="0"/>
              <w:autoSpaceDN w:val="0"/>
              <w:adjustRightInd w:val="0"/>
              <w:spacing w:before="98" w:after="0" w:line="240" w:lineRule="auto"/>
              <w:ind w:left="106" w:right="105"/>
              <w:jc w:val="center"/>
              <w:rPr>
                <w:rFonts w:ascii="Euclid" w:hAnsi="Euclid" w:cs="Euclid"/>
                <w:spacing w:val="-2"/>
                <w:sz w:val="20"/>
                <w:szCs w:val="20"/>
              </w:rPr>
            </w:pPr>
            <w:r w:rsidRPr="00BD1C17">
              <w:rPr>
                <w:rFonts w:ascii="Euclid" w:hAnsi="Euclid" w:cs="Euclid"/>
                <w:spacing w:val="-2"/>
                <w:sz w:val="20"/>
                <w:szCs w:val="20"/>
              </w:rPr>
              <w:t>0.062***</w:t>
            </w:r>
          </w:p>
        </w:tc>
        <w:tc>
          <w:tcPr>
            <w:tcW w:w="1204" w:type="dxa"/>
            <w:tcBorders>
              <w:top w:val="none" w:sz="6" w:space="0" w:color="auto"/>
              <w:left w:val="none" w:sz="6" w:space="0" w:color="auto"/>
              <w:bottom w:val="none" w:sz="6" w:space="0" w:color="auto"/>
              <w:right w:val="none" w:sz="6" w:space="0" w:color="auto"/>
            </w:tcBorders>
          </w:tcPr>
          <w:p w14:paraId="370A4A14" w14:textId="77777777" w:rsidR="00BD1C17" w:rsidRPr="00BD1C17" w:rsidRDefault="00BD1C17" w:rsidP="00BD1C17">
            <w:pPr>
              <w:kinsoku w:val="0"/>
              <w:overflowPunct w:val="0"/>
              <w:autoSpaceDE w:val="0"/>
              <w:autoSpaceDN w:val="0"/>
              <w:adjustRightInd w:val="0"/>
              <w:spacing w:before="98" w:after="0" w:line="240" w:lineRule="auto"/>
              <w:ind w:left="99" w:right="98"/>
              <w:jc w:val="center"/>
              <w:rPr>
                <w:rFonts w:ascii="Euclid" w:hAnsi="Euclid" w:cs="Euclid"/>
                <w:spacing w:val="-2"/>
                <w:sz w:val="20"/>
                <w:szCs w:val="20"/>
              </w:rPr>
            </w:pPr>
            <w:r w:rsidRPr="00BD1C17">
              <w:rPr>
                <w:rFonts w:ascii="Euclid" w:hAnsi="Euclid" w:cs="Euclid"/>
                <w:spacing w:val="-2"/>
                <w:sz w:val="20"/>
                <w:szCs w:val="20"/>
              </w:rPr>
              <w:t>0.041t</w:t>
            </w:r>
          </w:p>
        </w:tc>
        <w:tc>
          <w:tcPr>
            <w:tcW w:w="1318" w:type="dxa"/>
            <w:tcBorders>
              <w:top w:val="none" w:sz="6" w:space="0" w:color="auto"/>
              <w:left w:val="none" w:sz="6" w:space="0" w:color="auto"/>
              <w:bottom w:val="none" w:sz="6" w:space="0" w:color="auto"/>
              <w:right w:val="none" w:sz="6" w:space="0" w:color="auto"/>
            </w:tcBorders>
          </w:tcPr>
          <w:p w14:paraId="20C8AD18" w14:textId="77777777" w:rsidR="00BD1C17" w:rsidRPr="00BD1C17" w:rsidRDefault="00BD1C17" w:rsidP="00BD1C17">
            <w:pPr>
              <w:kinsoku w:val="0"/>
              <w:overflowPunct w:val="0"/>
              <w:autoSpaceDE w:val="0"/>
              <w:autoSpaceDN w:val="0"/>
              <w:adjustRightInd w:val="0"/>
              <w:spacing w:before="98" w:after="0" w:line="240" w:lineRule="auto"/>
              <w:ind w:left="109" w:right="106"/>
              <w:jc w:val="center"/>
              <w:rPr>
                <w:rFonts w:ascii="Euclid" w:hAnsi="Euclid" w:cs="Euclid"/>
                <w:spacing w:val="-2"/>
                <w:sz w:val="20"/>
                <w:szCs w:val="20"/>
              </w:rPr>
            </w:pPr>
            <w:r w:rsidRPr="00BD1C17">
              <w:rPr>
                <w:rFonts w:ascii="Euclid" w:hAnsi="Euclid" w:cs="Euclid"/>
                <w:spacing w:val="-2"/>
                <w:sz w:val="20"/>
                <w:szCs w:val="20"/>
              </w:rPr>
              <w:t>0.031***</w:t>
            </w:r>
          </w:p>
        </w:tc>
        <w:tc>
          <w:tcPr>
            <w:tcW w:w="991" w:type="dxa"/>
            <w:tcBorders>
              <w:top w:val="none" w:sz="6" w:space="0" w:color="auto"/>
              <w:left w:val="none" w:sz="6" w:space="0" w:color="auto"/>
              <w:bottom w:val="none" w:sz="6" w:space="0" w:color="auto"/>
              <w:right w:val="none" w:sz="6" w:space="0" w:color="auto"/>
            </w:tcBorders>
          </w:tcPr>
          <w:p w14:paraId="4DA544AA" w14:textId="77777777" w:rsidR="00BD1C17" w:rsidRPr="00BD1C17" w:rsidRDefault="00BD1C17" w:rsidP="00BD1C17">
            <w:pPr>
              <w:kinsoku w:val="0"/>
              <w:overflowPunct w:val="0"/>
              <w:autoSpaceDE w:val="0"/>
              <w:autoSpaceDN w:val="0"/>
              <w:adjustRightInd w:val="0"/>
              <w:spacing w:before="98" w:after="0" w:line="240" w:lineRule="auto"/>
              <w:ind w:left="107" w:right="103"/>
              <w:jc w:val="center"/>
              <w:rPr>
                <w:rFonts w:ascii="Euclid" w:hAnsi="Euclid" w:cs="Euclid"/>
                <w:spacing w:val="-2"/>
                <w:sz w:val="20"/>
                <w:szCs w:val="20"/>
              </w:rPr>
            </w:pPr>
            <w:r w:rsidRPr="00BD1C17">
              <w:rPr>
                <w:rFonts w:ascii="Euclid" w:hAnsi="Euclid" w:cs="Euclid"/>
                <w:spacing w:val="-2"/>
                <w:sz w:val="20"/>
                <w:szCs w:val="20"/>
              </w:rPr>
              <w:t>0.044***</w:t>
            </w:r>
          </w:p>
        </w:tc>
        <w:tc>
          <w:tcPr>
            <w:tcW w:w="991" w:type="dxa"/>
            <w:tcBorders>
              <w:top w:val="none" w:sz="6" w:space="0" w:color="auto"/>
              <w:left w:val="none" w:sz="6" w:space="0" w:color="auto"/>
              <w:bottom w:val="none" w:sz="6" w:space="0" w:color="auto"/>
              <w:right w:val="none" w:sz="6" w:space="0" w:color="auto"/>
            </w:tcBorders>
          </w:tcPr>
          <w:p w14:paraId="58480A85" w14:textId="77777777" w:rsidR="00BD1C17" w:rsidRPr="00BD1C17" w:rsidRDefault="00BD1C17" w:rsidP="00BD1C17">
            <w:pPr>
              <w:kinsoku w:val="0"/>
              <w:overflowPunct w:val="0"/>
              <w:autoSpaceDE w:val="0"/>
              <w:autoSpaceDN w:val="0"/>
              <w:adjustRightInd w:val="0"/>
              <w:spacing w:before="98" w:after="0" w:line="240" w:lineRule="auto"/>
              <w:ind w:right="114"/>
              <w:jc w:val="right"/>
              <w:rPr>
                <w:rFonts w:ascii="Euclid" w:hAnsi="Euclid" w:cs="Euclid"/>
                <w:spacing w:val="-2"/>
                <w:sz w:val="20"/>
                <w:szCs w:val="20"/>
              </w:rPr>
            </w:pPr>
            <w:r w:rsidRPr="00BD1C17">
              <w:rPr>
                <w:rFonts w:ascii="Euclid" w:hAnsi="Euclid" w:cs="Euclid"/>
                <w:spacing w:val="-2"/>
                <w:sz w:val="20"/>
                <w:szCs w:val="20"/>
              </w:rPr>
              <w:t>0.055***</w:t>
            </w:r>
          </w:p>
        </w:tc>
        <w:tc>
          <w:tcPr>
            <w:tcW w:w="993" w:type="dxa"/>
            <w:tcBorders>
              <w:top w:val="none" w:sz="6" w:space="0" w:color="auto"/>
              <w:left w:val="none" w:sz="6" w:space="0" w:color="auto"/>
              <w:bottom w:val="none" w:sz="6" w:space="0" w:color="auto"/>
              <w:right w:val="none" w:sz="6" w:space="0" w:color="auto"/>
            </w:tcBorders>
          </w:tcPr>
          <w:p w14:paraId="5EC86535" w14:textId="77777777" w:rsidR="00BD1C17" w:rsidRPr="00BD1C17" w:rsidRDefault="00BD1C17" w:rsidP="00BD1C17">
            <w:pPr>
              <w:kinsoku w:val="0"/>
              <w:overflowPunct w:val="0"/>
              <w:autoSpaceDE w:val="0"/>
              <w:autoSpaceDN w:val="0"/>
              <w:adjustRightInd w:val="0"/>
              <w:spacing w:before="98" w:after="0" w:line="240" w:lineRule="auto"/>
              <w:ind w:right="115"/>
              <w:jc w:val="right"/>
              <w:rPr>
                <w:rFonts w:ascii="Euclid" w:hAnsi="Euclid" w:cs="Euclid"/>
                <w:spacing w:val="-2"/>
                <w:sz w:val="20"/>
                <w:szCs w:val="20"/>
              </w:rPr>
            </w:pPr>
            <w:r w:rsidRPr="00BD1C17">
              <w:rPr>
                <w:rFonts w:ascii="Euclid" w:hAnsi="Euclid" w:cs="Euclid"/>
                <w:spacing w:val="-2"/>
                <w:sz w:val="20"/>
                <w:szCs w:val="20"/>
              </w:rPr>
              <w:t>0.034***</w:t>
            </w:r>
          </w:p>
        </w:tc>
      </w:tr>
      <w:tr w:rsidR="00BD1C17" w:rsidRPr="00BD1C17" w14:paraId="6102038F" w14:textId="77777777" w:rsidTr="00964366">
        <w:trPr>
          <w:trHeight w:val="335"/>
        </w:trPr>
        <w:tc>
          <w:tcPr>
            <w:tcW w:w="1529" w:type="dxa"/>
            <w:tcBorders>
              <w:top w:val="none" w:sz="6" w:space="0" w:color="auto"/>
              <w:left w:val="none" w:sz="6" w:space="0" w:color="auto"/>
              <w:bottom w:val="single" w:sz="4" w:space="0" w:color="000000"/>
              <w:right w:val="none" w:sz="6" w:space="0" w:color="auto"/>
            </w:tcBorders>
          </w:tcPr>
          <w:p w14:paraId="4540217F"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c>
          <w:tcPr>
            <w:tcW w:w="892" w:type="dxa"/>
            <w:tcBorders>
              <w:top w:val="none" w:sz="6" w:space="0" w:color="auto"/>
              <w:left w:val="none" w:sz="6" w:space="0" w:color="auto"/>
              <w:bottom w:val="single" w:sz="4" w:space="0" w:color="000000"/>
              <w:right w:val="none" w:sz="6" w:space="0" w:color="auto"/>
            </w:tcBorders>
          </w:tcPr>
          <w:p w14:paraId="4851E100" w14:textId="77777777" w:rsidR="00BD1C17" w:rsidRPr="00BD1C17" w:rsidRDefault="00BD1C17" w:rsidP="00BD1C17">
            <w:pPr>
              <w:kinsoku w:val="0"/>
              <w:overflowPunct w:val="0"/>
              <w:autoSpaceDE w:val="0"/>
              <w:autoSpaceDN w:val="0"/>
              <w:adjustRightInd w:val="0"/>
              <w:spacing w:after="0" w:line="316" w:lineRule="exact"/>
              <w:ind w:left="105" w:right="103"/>
              <w:jc w:val="center"/>
              <w:rPr>
                <w:rFonts w:ascii="Euclid" w:hAnsi="Euclid" w:cs="Euclid"/>
                <w:spacing w:val="-2"/>
                <w:sz w:val="20"/>
                <w:szCs w:val="20"/>
              </w:rPr>
            </w:pPr>
            <w:r w:rsidRPr="00BD1C17">
              <w:rPr>
                <w:rFonts w:ascii="Euclid" w:hAnsi="Euclid" w:cs="Euclid"/>
                <w:spacing w:val="-2"/>
                <w:sz w:val="20"/>
                <w:szCs w:val="20"/>
              </w:rPr>
              <w:t>(0.017)</w:t>
            </w:r>
          </w:p>
        </w:tc>
        <w:tc>
          <w:tcPr>
            <w:tcW w:w="1012" w:type="dxa"/>
            <w:tcBorders>
              <w:top w:val="none" w:sz="6" w:space="0" w:color="auto"/>
              <w:left w:val="none" w:sz="6" w:space="0" w:color="auto"/>
              <w:bottom w:val="single" w:sz="4" w:space="0" w:color="000000"/>
              <w:right w:val="none" w:sz="6" w:space="0" w:color="auto"/>
            </w:tcBorders>
          </w:tcPr>
          <w:p w14:paraId="08318B01" w14:textId="77777777" w:rsidR="00BD1C17" w:rsidRPr="00BD1C17" w:rsidRDefault="00BD1C17" w:rsidP="00BD1C17">
            <w:pPr>
              <w:kinsoku w:val="0"/>
              <w:overflowPunct w:val="0"/>
              <w:autoSpaceDE w:val="0"/>
              <w:autoSpaceDN w:val="0"/>
              <w:adjustRightInd w:val="0"/>
              <w:spacing w:after="0" w:line="316" w:lineRule="exact"/>
              <w:ind w:right="196"/>
              <w:jc w:val="right"/>
              <w:rPr>
                <w:rFonts w:ascii="Euclid" w:hAnsi="Euclid" w:cs="Euclid"/>
                <w:spacing w:val="-2"/>
                <w:sz w:val="20"/>
                <w:szCs w:val="20"/>
              </w:rPr>
            </w:pPr>
            <w:r w:rsidRPr="00BD1C17">
              <w:rPr>
                <w:rFonts w:ascii="Euclid" w:hAnsi="Euclid" w:cs="Euclid"/>
                <w:spacing w:val="-2"/>
                <w:sz w:val="20"/>
                <w:szCs w:val="20"/>
              </w:rPr>
              <w:t>(0.021)</w:t>
            </w:r>
          </w:p>
        </w:tc>
        <w:tc>
          <w:tcPr>
            <w:tcW w:w="992" w:type="dxa"/>
            <w:tcBorders>
              <w:top w:val="none" w:sz="6" w:space="0" w:color="auto"/>
              <w:left w:val="none" w:sz="6" w:space="0" w:color="auto"/>
              <w:bottom w:val="single" w:sz="4" w:space="0" w:color="000000"/>
              <w:right w:val="none" w:sz="6" w:space="0" w:color="auto"/>
            </w:tcBorders>
          </w:tcPr>
          <w:p w14:paraId="6FAE5C35" w14:textId="77777777" w:rsidR="00BD1C17" w:rsidRPr="00BD1C17" w:rsidRDefault="00BD1C17" w:rsidP="00BD1C17">
            <w:pPr>
              <w:kinsoku w:val="0"/>
              <w:overflowPunct w:val="0"/>
              <w:autoSpaceDE w:val="0"/>
              <w:autoSpaceDN w:val="0"/>
              <w:adjustRightInd w:val="0"/>
              <w:spacing w:after="0" w:line="316" w:lineRule="exact"/>
              <w:ind w:left="106" w:right="100"/>
              <w:jc w:val="center"/>
              <w:rPr>
                <w:rFonts w:ascii="Euclid" w:hAnsi="Euclid" w:cs="Euclid"/>
                <w:spacing w:val="-2"/>
                <w:sz w:val="20"/>
                <w:szCs w:val="20"/>
              </w:rPr>
            </w:pPr>
            <w:r w:rsidRPr="00BD1C17">
              <w:rPr>
                <w:rFonts w:ascii="Euclid" w:hAnsi="Euclid" w:cs="Euclid"/>
                <w:spacing w:val="-2"/>
                <w:sz w:val="20"/>
                <w:szCs w:val="20"/>
              </w:rPr>
              <w:t>(0.012)</w:t>
            </w:r>
          </w:p>
        </w:tc>
        <w:tc>
          <w:tcPr>
            <w:tcW w:w="1204" w:type="dxa"/>
            <w:tcBorders>
              <w:top w:val="none" w:sz="6" w:space="0" w:color="auto"/>
              <w:left w:val="none" w:sz="6" w:space="0" w:color="auto"/>
              <w:bottom w:val="single" w:sz="4" w:space="0" w:color="000000"/>
              <w:right w:val="none" w:sz="6" w:space="0" w:color="auto"/>
            </w:tcBorders>
          </w:tcPr>
          <w:p w14:paraId="0F145BF6" w14:textId="77777777" w:rsidR="00BD1C17" w:rsidRPr="00BD1C17" w:rsidRDefault="00BD1C17" w:rsidP="00BD1C17">
            <w:pPr>
              <w:kinsoku w:val="0"/>
              <w:overflowPunct w:val="0"/>
              <w:autoSpaceDE w:val="0"/>
              <w:autoSpaceDN w:val="0"/>
              <w:adjustRightInd w:val="0"/>
              <w:spacing w:after="0" w:line="316" w:lineRule="exact"/>
              <w:ind w:left="99" w:right="91"/>
              <w:jc w:val="center"/>
              <w:rPr>
                <w:rFonts w:ascii="Euclid" w:hAnsi="Euclid" w:cs="Euclid"/>
                <w:spacing w:val="-2"/>
                <w:sz w:val="20"/>
                <w:szCs w:val="20"/>
              </w:rPr>
            </w:pPr>
            <w:r w:rsidRPr="00BD1C17">
              <w:rPr>
                <w:rFonts w:ascii="Euclid" w:hAnsi="Euclid" w:cs="Euclid"/>
                <w:spacing w:val="-2"/>
                <w:sz w:val="20"/>
                <w:szCs w:val="20"/>
              </w:rPr>
              <w:t>(0.026)</w:t>
            </w:r>
          </w:p>
        </w:tc>
        <w:tc>
          <w:tcPr>
            <w:tcW w:w="1318" w:type="dxa"/>
            <w:tcBorders>
              <w:top w:val="none" w:sz="6" w:space="0" w:color="auto"/>
              <w:left w:val="none" w:sz="6" w:space="0" w:color="auto"/>
              <w:bottom w:val="single" w:sz="4" w:space="0" w:color="000000"/>
              <w:right w:val="none" w:sz="6" w:space="0" w:color="auto"/>
            </w:tcBorders>
          </w:tcPr>
          <w:p w14:paraId="1B18A5D7" w14:textId="77777777" w:rsidR="00BD1C17" w:rsidRPr="00BD1C17" w:rsidRDefault="00BD1C17" w:rsidP="00BD1C17">
            <w:pPr>
              <w:kinsoku w:val="0"/>
              <w:overflowPunct w:val="0"/>
              <w:autoSpaceDE w:val="0"/>
              <w:autoSpaceDN w:val="0"/>
              <w:adjustRightInd w:val="0"/>
              <w:spacing w:after="0" w:line="316" w:lineRule="exact"/>
              <w:ind w:left="109" w:right="98"/>
              <w:jc w:val="center"/>
              <w:rPr>
                <w:rFonts w:ascii="Euclid" w:hAnsi="Euclid" w:cs="Euclid"/>
                <w:spacing w:val="-2"/>
                <w:sz w:val="20"/>
                <w:szCs w:val="20"/>
              </w:rPr>
            </w:pPr>
            <w:r w:rsidRPr="00BD1C17">
              <w:rPr>
                <w:rFonts w:ascii="Euclid" w:hAnsi="Euclid" w:cs="Euclid"/>
                <w:spacing w:val="-2"/>
                <w:sz w:val="20"/>
                <w:szCs w:val="20"/>
              </w:rPr>
              <w:t>(0.008)</w:t>
            </w:r>
          </w:p>
        </w:tc>
        <w:tc>
          <w:tcPr>
            <w:tcW w:w="991" w:type="dxa"/>
            <w:tcBorders>
              <w:top w:val="none" w:sz="6" w:space="0" w:color="auto"/>
              <w:left w:val="none" w:sz="6" w:space="0" w:color="auto"/>
              <w:bottom w:val="single" w:sz="4" w:space="0" w:color="000000"/>
              <w:right w:val="none" w:sz="6" w:space="0" w:color="auto"/>
            </w:tcBorders>
          </w:tcPr>
          <w:p w14:paraId="1B9EE8CC" w14:textId="77777777" w:rsidR="00BD1C17" w:rsidRPr="00BD1C17" w:rsidRDefault="00BD1C17" w:rsidP="00BD1C17">
            <w:pPr>
              <w:kinsoku w:val="0"/>
              <w:overflowPunct w:val="0"/>
              <w:autoSpaceDE w:val="0"/>
              <w:autoSpaceDN w:val="0"/>
              <w:adjustRightInd w:val="0"/>
              <w:spacing w:after="0" w:line="316" w:lineRule="exact"/>
              <w:ind w:left="107" w:right="92"/>
              <w:jc w:val="center"/>
              <w:rPr>
                <w:rFonts w:ascii="Euclid" w:hAnsi="Euclid" w:cs="Euclid"/>
                <w:spacing w:val="-2"/>
                <w:sz w:val="20"/>
                <w:szCs w:val="20"/>
              </w:rPr>
            </w:pPr>
            <w:r w:rsidRPr="00BD1C17">
              <w:rPr>
                <w:rFonts w:ascii="Euclid" w:hAnsi="Euclid" w:cs="Euclid"/>
                <w:spacing w:val="-2"/>
                <w:sz w:val="20"/>
                <w:szCs w:val="20"/>
              </w:rPr>
              <w:t>(0.007)</w:t>
            </w:r>
          </w:p>
        </w:tc>
        <w:tc>
          <w:tcPr>
            <w:tcW w:w="991" w:type="dxa"/>
            <w:tcBorders>
              <w:top w:val="none" w:sz="6" w:space="0" w:color="auto"/>
              <w:left w:val="none" w:sz="6" w:space="0" w:color="auto"/>
              <w:bottom w:val="single" w:sz="4" w:space="0" w:color="000000"/>
              <w:right w:val="none" w:sz="6" w:space="0" w:color="auto"/>
            </w:tcBorders>
          </w:tcPr>
          <w:p w14:paraId="3A559CB9" w14:textId="77777777" w:rsidR="00BD1C17" w:rsidRPr="00BD1C17" w:rsidRDefault="00BD1C17" w:rsidP="00BD1C17">
            <w:pPr>
              <w:kinsoku w:val="0"/>
              <w:overflowPunct w:val="0"/>
              <w:autoSpaceDE w:val="0"/>
              <w:autoSpaceDN w:val="0"/>
              <w:adjustRightInd w:val="0"/>
              <w:spacing w:after="0" w:line="316" w:lineRule="exact"/>
              <w:ind w:left="199"/>
              <w:rPr>
                <w:rFonts w:ascii="Euclid" w:hAnsi="Euclid" w:cs="Euclid"/>
                <w:spacing w:val="-2"/>
                <w:sz w:val="20"/>
                <w:szCs w:val="20"/>
              </w:rPr>
            </w:pPr>
            <w:r w:rsidRPr="00BD1C17">
              <w:rPr>
                <w:rFonts w:ascii="Euclid" w:hAnsi="Euclid" w:cs="Euclid"/>
                <w:spacing w:val="-2"/>
                <w:sz w:val="20"/>
                <w:szCs w:val="20"/>
              </w:rPr>
              <w:t>(0.012)</w:t>
            </w:r>
          </w:p>
        </w:tc>
        <w:tc>
          <w:tcPr>
            <w:tcW w:w="993" w:type="dxa"/>
            <w:tcBorders>
              <w:top w:val="none" w:sz="6" w:space="0" w:color="auto"/>
              <w:left w:val="none" w:sz="6" w:space="0" w:color="auto"/>
              <w:bottom w:val="single" w:sz="4" w:space="0" w:color="000000"/>
              <w:right w:val="none" w:sz="6" w:space="0" w:color="auto"/>
            </w:tcBorders>
          </w:tcPr>
          <w:p w14:paraId="016A2B0B" w14:textId="77777777" w:rsidR="00BD1C17" w:rsidRPr="00BD1C17" w:rsidRDefault="00BD1C17" w:rsidP="00BD1C17">
            <w:pPr>
              <w:kinsoku w:val="0"/>
              <w:overflowPunct w:val="0"/>
              <w:autoSpaceDE w:val="0"/>
              <w:autoSpaceDN w:val="0"/>
              <w:adjustRightInd w:val="0"/>
              <w:spacing w:after="0" w:line="316" w:lineRule="exact"/>
              <w:ind w:right="180"/>
              <w:jc w:val="right"/>
              <w:rPr>
                <w:rFonts w:ascii="Euclid" w:hAnsi="Euclid" w:cs="Euclid"/>
                <w:spacing w:val="-2"/>
                <w:sz w:val="20"/>
                <w:szCs w:val="20"/>
              </w:rPr>
            </w:pPr>
            <w:r w:rsidRPr="00BD1C17">
              <w:rPr>
                <w:rFonts w:ascii="Euclid" w:hAnsi="Euclid" w:cs="Euclid"/>
                <w:spacing w:val="-2"/>
                <w:sz w:val="20"/>
                <w:szCs w:val="20"/>
              </w:rPr>
              <w:t>(0.011)</w:t>
            </w:r>
          </w:p>
        </w:tc>
      </w:tr>
      <w:tr w:rsidR="00BD1C17" w:rsidRPr="00BD1C17" w14:paraId="333CB0D1" w14:textId="77777777" w:rsidTr="00964366">
        <w:trPr>
          <w:trHeight w:val="365"/>
        </w:trPr>
        <w:tc>
          <w:tcPr>
            <w:tcW w:w="1529" w:type="dxa"/>
            <w:tcBorders>
              <w:top w:val="single" w:sz="4" w:space="0" w:color="000000"/>
              <w:left w:val="none" w:sz="6" w:space="0" w:color="auto"/>
              <w:bottom w:val="none" w:sz="6" w:space="0" w:color="auto"/>
              <w:right w:val="none" w:sz="6" w:space="0" w:color="auto"/>
            </w:tcBorders>
          </w:tcPr>
          <w:p w14:paraId="7110C768" w14:textId="77777777" w:rsidR="00BD1C17" w:rsidRPr="00BD1C17" w:rsidRDefault="00BD1C17" w:rsidP="00BD1C17">
            <w:pPr>
              <w:kinsoku w:val="0"/>
              <w:overflowPunct w:val="0"/>
              <w:autoSpaceDE w:val="0"/>
              <w:autoSpaceDN w:val="0"/>
              <w:adjustRightInd w:val="0"/>
              <w:spacing w:before="19" w:after="0" w:line="327" w:lineRule="exact"/>
              <w:ind w:left="119"/>
              <w:rPr>
                <w:rFonts w:ascii="Euclid" w:hAnsi="Euclid" w:cs="Euclid"/>
                <w:w w:val="99"/>
                <w:sz w:val="20"/>
                <w:szCs w:val="20"/>
              </w:rPr>
            </w:pPr>
            <w:r w:rsidRPr="00BD1C17">
              <w:rPr>
                <w:rFonts w:ascii="Euclid" w:hAnsi="Euclid" w:cs="Euclid"/>
                <w:w w:val="99"/>
                <w:sz w:val="20"/>
                <w:szCs w:val="20"/>
              </w:rPr>
              <w:t>N</w:t>
            </w:r>
          </w:p>
        </w:tc>
        <w:tc>
          <w:tcPr>
            <w:tcW w:w="892" w:type="dxa"/>
            <w:tcBorders>
              <w:top w:val="single" w:sz="4" w:space="0" w:color="000000"/>
              <w:left w:val="none" w:sz="6" w:space="0" w:color="auto"/>
              <w:bottom w:val="none" w:sz="6" w:space="0" w:color="auto"/>
              <w:right w:val="none" w:sz="6" w:space="0" w:color="auto"/>
            </w:tcBorders>
          </w:tcPr>
          <w:p w14:paraId="2BBED6F2" w14:textId="77777777" w:rsidR="00BD1C17" w:rsidRPr="00BD1C17" w:rsidRDefault="00BD1C17" w:rsidP="00BD1C17">
            <w:pPr>
              <w:kinsoku w:val="0"/>
              <w:overflowPunct w:val="0"/>
              <w:autoSpaceDE w:val="0"/>
              <w:autoSpaceDN w:val="0"/>
              <w:adjustRightInd w:val="0"/>
              <w:spacing w:before="19" w:after="0" w:line="327" w:lineRule="exact"/>
              <w:ind w:left="105" w:right="104"/>
              <w:jc w:val="center"/>
              <w:rPr>
                <w:rFonts w:ascii="Euclid" w:hAnsi="Euclid" w:cs="Euclid"/>
                <w:spacing w:val="-2"/>
                <w:sz w:val="20"/>
                <w:szCs w:val="20"/>
              </w:rPr>
            </w:pPr>
            <w:r w:rsidRPr="00BD1C17">
              <w:rPr>
                <w:rFonts w:ascii="Euclid" w:hAnsi="Euclid" w:cs="Euclid"/>
                <w:spacing w:val="-2"/>
                <w:sz w:val="20"/>
                <w:szCs w:val="20"/>
              </w:rPr>
              <w:t>9,479</w:t>
            </w:r>
          </w:p>
        </w:tc>
        <w:tc>
          <w:tcPr>
            <w:tcW w:w="1012" w:type="dxa"/>
            <w:tcBorders>
              <w:top w:val="single" w:sz="4" w:space="0" w:color="000000"/>
              <w:left w:val="none" w:sz="6" w:space="0" w:color="auto"/>
              <w:bottom w:val="none" w:sz="6" w:space="0" w:color="auto"/>
              <w:right w:val="none" w:sz="6" w:space="0" w:color="auto"/>
            </w:tcBorders>
          </w:tcPr>
          <w:p w14:paraId="5348C69F" w14:textId="77777777" w:rsidR="00BD1C17" w:rsidRPr="00BD1C17" w:rsidRDefault="00BD1C17" w:rsidP="00BD1C17">
            <w:pPr>
              <w:kinsoku w:val="0"/>
              <w:overflowPunct w:val="0"/>
              <w:autoSpaceDE w:val="0"/>
              <w:autoSpaceDN w:val="0"/>
              <w:adjustRightInd w:val="0"/>
              <w:spacing w:before="19" w:after="0" w:line="327" w:lineRule="exact"/>
              <w:ind w:left="280"/>
              <w:rPr>
                <w:rFonts w:ascii="Euclid" w:hAnsi="Euclid" w:cs="Euclid"/>
                <w:spacing w:val="-2"/>
                <w:sz w:val="20"/>
                <w:szCs w:val="20"/>
              </w:rPr>
            </w:pPr>
            <w:r w:rsidRPr="00BD1C17">
              <w:rPr>
                <w:rFonts w:ascii="Euclid" w:hAnsi="Euclid" w:cs="Euclid"/>
                <w:spacing w:val="-2"/>
                <w:sz w:val="20"/>
                <w:szCs w:val="20"/>
              </w:rPr>
              <w:t>4,623</w:t>
            </w:r>
          </w:p>
        </w:tc>
        <w:tc>
          <w:tcPr>
            <w:tcW w:w="992" w:type="dxa"/>
            <w:tcBorders>
              <w:top w:val="single" w:sz="4" w:space="0" w:color="000000"/>
              <w:left w:val="none" w:sz="6" w:space="0" w:color="auto"/>
              <w:bottom w:val="none" w:sz="6" w:space="0" w:color="auto"/>
              <w:right w:val="none" w:sz="6" w:space="0" w:color="auto"/>
            </w:tcBorders>
          </w:tcPr>
          <w:p w14:paraId="29F8B142" w14:textId="77777777" w:rsidR="00BD1C17" w:rsidRPr="00BD1C17" w:rsidRDefault="00BD1C17" w:rsidP="00BD1C17">
            <w:pPr>
              <w:kinsoku w:val="0"/>
              <w:overflowPunct w:val="0"/>
              <w:autoSpaceDE w:val="0"/>
              <w:autoSpaceDN w:val="0"/>
              <w:adjustRightInd w:val="0"/>
              <w:spacing w:before="19" w:after="0" w:line="327" w:lineRule="exact"/>
              <w:ind w:left="106" w:right="105"/>
              <w:jc w:val="center"/>
              <w:rPr>
                <w:rFonts w:ascii="Euclid" w:hAnsi="Euclid" w:cs="Euclid"/>
                <w:spacing w:val="-2"/>
                <w:sz w:val="20"/>
                <w:szCs w:val="20"/>
              </w:rPr>
            </w:pPr>
            <w:r w:rsidRPr="00BD1C17">
              <w:rPr>
                <w:rFonts w:ascii="Euclid" w:hAnsi="Euclid" w:cs="Euclid"/>
                <w:spacing w:val="-2"/>
                <w:sz w:val="20"/>
                <w:szCs w:val="20"/>
              </w:rPr>
              <w:t>21,390</w:t>
            </w:r>
          </w:p>
        </w:tc>
        <w:tc>
          <w:tcPr>
            <w:tcW w:w="1204" w:type="dxa"/>
            <w:tcBorders>
              <w:top w:val="single" w:sz="4" w:space="0" w:color="000000"/>
              <w:left w:val="none" w:sz="6" w:space="0" w:color="auto"/>
              <w:bottom w:val="none" w:sz="6" w:space="0" w:color="auto"/>
              <w:right w:val="none" w:sz="6" w:space="0" w:color="auto"/>
            </w:tcBorders>
          </w:tcPr>
          <w:p w14:paraId="44B4EF3E" w14:textId="77777777" w:rsidR="00BD1C17" w:rsidRPr="00BD1C17" w:rsidRDefault="00BD1C17" w:rsidP="00BD1C17">
            <w:pPr>
              <w:kinsoku w:val="0"/>
              <w:overflowPunct w:val="0"/>
              <w:autoSpaceDE w:val="0"/>
              <w:autoSpaceDN w:val="0"/>
              <w:adjustRightInd w:val="0"/>
              <w:spacing w:before="19" w:after="0" w:line="327" w:lineRule="exact"/>
              <w:ind w:left="99" w:right="97"/>
              <w:jc w:val="center"/>
              <w:rPr>
                <w:rFonts w:ascii="Euclid" w:hAnsi="Euclid" w:cs="Euclid"/>
                <w:spacing w:val="-2"/>
                <w:sz w:val="20"/>
                <w:szCs w:val="20"/>
              </w:rPr>
            </w:pPr>
            <w:r w:rsidRPr="00BD1C17">
              <w:rPr>
                <w:rFonts w:ascii="Euclid" w:hAnsi="Euclid" w:cs="Euclid"/>
                <w:spacing w:val="-2"/>
                <w:sz w:val="20"/>
                <w:szCs w:val="20"/>
              </w:rPr>
              <w:t>2,995</w:t>
            </w:r>
          </w:p>
        </w:tc>
        <w:tc>
          <w:tcPr>
            <w:tcW w:w="1318" w:type="dxa"/>
            <w:tcBorders>
              <w:top w:val="single" w:sz="4" w:space="0" w:color="000000"/>
              <w:left w:val="none" w:sz="6" w:space="0" w:color="auto"/>
              <w:bottom w:val="none" w:sz="6" w:space="0" w:color="auto"/>
              <w:right w:val="none" w:sz="6" w:space="0" w:color="auto"/>
            </w:tcBorders>
          </w:tcPr>
          <w:p w14:paraId="6C4AF530" w14:textId="77777777" w:rsidR="00BD1C17" w:rsidRPr="00BD1C17" w:rsidRDefault="00BD1C17" w:rsidP="00BD1C17">
            <w:pPr>
              <w:kinsoku w:val="0"/>
              <w:overflowPunct w:val="0"/>
              <w:autoSpaceDE w:val="0"/>
              <w:autoSpaceDN w:val="0"/>
              <w:adjustRightInd w:val="0"/>
              <w:spacing w:before="19" w:after="0" w:line="327" w:lineRule="exact"/>
              <w:ind w:left="109" w:right="106"/>
              <w:jc w:val="center"/>
              <w:rPr>
                <w:rFonts w:ascii="Euclid" w:hAnsi="Euclid" w:cs="Euclid"/>
                <w:spacing w:val="-2"/>
                <w:sz w:val="20"/>
                <w:szCs w:val="20"/>
              </w:rPr>
            </w:pPr>
            <w:r w:rsidRPr="00BD1C17">
              <w:rPr>
                <w:rFonts w:ascii="Euclid" w:hAnsi="Euclid" w:cs="Euclid"/>
                <w:spacing w:val="-2"/>
                <w:sz w:val="20"/>
                <w:szCs w:val="20"/>
              </w:rPr>
              <w:t>47,411</w:t>
            </w:r>
          </w:p>
        </w:tc>
        <w:tc>
          <w:tcPr>
            <w:tcW w:w="991" w:type="dxa"/>
            <w:tcBorders>
              <w:top w:val="single" w:sz="4" w:space="0" w:color="000000"/>
              <w:left w:val="none" w:sz="6" w:space="0" w:color="auto"/>
              <w:bottom w:val="none" w:sz="6" w:space="0" w:color="auto"/>
              <w:right w:val="none" w:sz="6" w:space="0" w:color="auto"/>
            </w:tcBorders>
          </w:tcPr>
          <w:p w14:paraId="12AD2036" w14:textId="77777777" w:rsidR="00BD1C17" w:rsidRPr="00BD1C17" w:rsidRDefault="00BD1C17" w:rsidP="00BD1C17">
            <w:pPr>
              <w:kinsoku w:val="0"/>
              <w:overflowPunct w:val="0"/>
              <w:autoSpaceDE w:val="0"/>
              <w:autoSpaceDN w:val="0"/>
              <w:adjustRightInd w:val="0"/>
              <w:spacing w:before="19" w:after="0" w:line="327" w:lineRule="exact"/>
              <w:ind w:left="107" w:right="102"/>
              <w:jc w:val="center"/>
              <w:rPr>
                <w:rFonts w:ascii="Euclid" w:hAnsi="Euclid" w:cs="Euclid"/>
                <w:spacing w:val="-2"/>
                <w:sz w:val="20"/>
                <w:szCs w:val="20"/>
              </w:rPr>
            </w:pPr>
            <w:r w:rsidRPr="00BD1C17">
              <w:rPr>
                <w:rFonts w:ascii="Euclid" w:hAnsi="Euclid" w:cs="Euclid"/>
                <w:spacing w:val="-2"/>
                <w:sz w:val="20"/>
                <w:szCs w:val="20"/>
              </w:rPr>
              <w:t>79,773</w:t>
            </w:r>
          </w:p>
        </w:tc>
        <w:tc>
          <w:tcPr>
            <w:tcW w:w="991" w:type="dxa"/>
            <w:tcBorders>
              <w:top w:val="single" w:sz="4" w:space="0" w:color="000000"/>
              <w:left w:val="none" w:sz="6" w:space="0" w:color="auto"/>
              <w:bottom w:val="none" w:sz="6" w:space="0" w:color="auto"/>
              <w:right w:val="none" w:sz="6" w:space="0" w:color="auto"/>
            </w:tcBorders>
          </w:tcPr>
          <w:p w14:paraId="16B96F24" w14:textId="77777777" w:rsidR="00BD1C17" w:rsidRPr="00BD1C17" w:rsidRDefault="00BD1C17" w:rsidP="00BD1C17">
            <w:pPr>
              <w:kinsoku w:val="0"/>
              <w:overflowPunct w:val="0"/>
              <w:autoSpaceDE w:val="0"/>
              <w:autoSpaceDN w:val="0"/>
              <w:adjustRightInd w:val="0"/>
              <w:spacing w:before="19" w:after="0" w:line="327" w:lineRule="exact"/>
              <w:ind w:left="222"/>
              <w:rPr>
                <w:rFonts w:ascii="Euclid" w:hAnsi="Euclid" w:cs="Euclid"/>
                <w:spacing w:val="-2"/>
                <w:sz w:val="20"/>
                <w:szCs w:val="20"/>
              </w:rPr>
            </w:pPr>
            <w:r w:rsidRPr="00BD1C17">
              <w:rPr>
                <w:rFonts w:ascii="Euclid" w:hAnsi="Euclid" w:cs="Euclid"/>
                <w:spacing w:val="-2"/>
                <w:sz w:val="20"/>
                <w:szCs w:val="20"/>
              </w:rPr>
              <w:t>25,990</w:t>
            </w:r>
          </w:p>
        </w:tc>
        <w:tc>
          <w:tcPr>
            <w:tcW w:w="993" w:type="dxa"/>
            <w:tcBorders>
              <w:top w:val="single" w:sz="4" w:space="0" w:color="000000"/>
              <w:left w:val="none" w:sz="6" w:space="0" w:color="auto"/>
              <w:bottom w:val="none" w:sz="6" w:space="0" w:color="auto"/>
              <w:right w:val="none" w:sz="6" w:space="0" w:color="auto"/>
            </w:tcBorders>
          </w:tcPr>
          <w:p w14:paraId="62E98268" w14:textId="77777777" w:rsidR="00BD1C17" w:rsidRPr="00BD1C17" w:rsidRDefault="00BD1C17" w:rsidP="00BD1C17">
            <w:pPr>
              <w:kinsoku w:val="0"/>
              <w:overflowPunct w:val="0"/>
              <w:autoSpaceDE w:val="0"/>
              <w:autoSpaceDN w:val="0"/>
              <w:adjustRightInd w:val="0"/>
              <w:spacing w:before="19" w:after="0" w:line="327" w:lineRule="exact"/>
              <w:ind w:right="214"/>
              <w:jc w:val="right"/>
              <w:rPr>
                <w:rFonts w:ascii="Euclid" w:hAnsi="Euclid" w:cs="Euclid"/>
                <w:spacing w:val="-2"/>
                <w:sz w:val="20"/>
                <w:szCs w:val="20"/>
              </w:rPr>
            </w:pPr>
            <w:r w:rsidRPr="00BD1C17">
              <w:rPr>
                <w:rFonts w:ascii="Euclid" w:hAnsi="Euclid" w:cs="Euclid"/>
                <w:spacing w:val="-2"/>
                <w:sz w:val="20"/>
                <w:szCs w:val="20"/>
              </w:rPr>
              <w:t>13,623</w:t>
            </w:r>
          </w:p>
        </w:tc>
      </w:tr>
      <w:tr w:rsidR="00BD1C17" w:rsidRPr="00BD1C17" w14:paraId="08302AA5" w14:textId="77777777" w:rsidTr="00964366">
        <w:trPr>
          <w:trHeight w:val="372"/>
        </w:trPr>
        <w:tc>
          <w:tcPr>
            <w:tcW w:w="1529" w:type="dxa"/>
            <w:tcBorders>
              <w:top w:val="none" w:sz="6" w:space="0" w:color="auto"/>
              <w:left w:val="none" w:sz="6" w:space="0" w:color="auto"/>
              <w:bottom w:val="none" w:sz="6" w:space="0" w:color="auto"/>
              <w:right w:val="none" w:sz="6" w:space="0" w:color="auto"/>
            </w:tcBorders>
          </w:tcPr>
          <w:p w14:paraId="3A57FE05" w14:textId="77777777" w:rsidR="00BD1C17" w:rsidRPr="00BD1C17" w:rsidRDefault="00BD1C17" w:rsidP="00BD1C17">
            <w:pPr>
              <w:kinsoku w:val="0"/>
              <w:overflowPunct w:val="0"/>
              <w:autoSpaceDE w:val="0"/>
              <w:autoSpaceDN w:val="0"/>
              <w:adjustRightInd w:val="0"/>
              <w:spacing w:before="54" w:after="0" w:line="240" w:lineRule="auto"/>
              <w:ind w:left="119"/>
              <w:rPr>
                <w:rFonts w:ascii="Eras Medium ITC" w:hAnsi="Eras Medium ITC" w:cs="Eras Medium ITC"/>
                <w:spacing w:val="-2"/>
                <w:w w:val="105"/>
                <w:sz w:val="20"/>
                <w:szCs w:val="20"/>
                <w:vertAlign w:val="superscript"/>
              </w:rPr>
            </w:pPr>
            <w:r w:rsidRPr="00BD1C17">
              <w:rPr>
                <w:rFonts w:ascii="Bookman Old Style" w:hAnsi="Bookman Old Style" w:cs="Bookman Old Style"/>
                <w:i/>
                <w:iCs/>
                <w:spacing w:val="-2"/>
                <w:w w:val="105"/>
                <w:sz w:val="20"/>
                <w:szCs w:val="20"/>
              </w:rPr>
              <w:t>Adj.R</w:t>
            </w:r>
            <w:r w:rsidRPr="00BD1C17">
              <w:rPr>
                <w:rFonts w:ascii="Eras Medium ITC" w:hAnsi="Eras Medium ITC" w:cs="Eras Medium ITC"/>
                <w:spacing w:val="-2"/>
                <w:w w:val="105"/>
                <w:sz w:val="20"/>
                <w:szCs w:val="20"/>
                <w:vertAlign w:val="superscript"/>
              </w:rPr>
              <w:t>2</w:t>
            </w:r>
          </w:p>
        </w:tc>
        <w:tc>
          <w:tcPr>
            <w:tcW w:w="892" w:type="dxa"/>
            <w:tcBorders>
              <w:top w:val="none" w:sz="6" w:space="0" w:color="auto"/>
              <w:left w:val="none" w:sz="6" w:space="0" w:color="auto"/>
              <w:bottom w:val="none" w:sz="6" w:space="0" w:color="auto"/>
              <w:right w:val="none" w:sz="6" w:space="0" w:color="auto"/>
            </w:tcBorders>
          </w:tcPr>
          <w:p w14:paraId="5CB8D337" w14:textId="77777777" w:rsidR="00BD1C17" w:rsidRPr="00BD1C17" w:rsidRDefault="00BD1C17" w:rsidP="00BD1C17">
            <w:pPr>
              <w:kinsoku w:val="0"/>
              <w:overflowPunct w:val="0"/>
              <w:autoSpaceDE w:val="0"/>
              <w:autoSpaceDN w:val="0"/>
              <w:adjustRightInd w:val="0"/>
              <w:spacing w:before="12" w:after="0" w:line="240" w:lineRule="auto"/>
              <w:ind w:left="105" w:right="104"/>
              <w:jc w:val="center"/>
              <w:rPr>
                <w:rFonts w:ascii="Euclid" w:hAnsi="Euclid" w:cs="Euclid"/>
                <w:spacing w:val="-2"/>
                <w:sz w:val="20"/>
                <w:szCs w:val="20"/>
              </w:rPr>
            </w:pPr>
            <w:r w:rsidRPr="00BD1C17">
              <w:rPr>
                <w:rFonts w:ascii="Euclid" w:hAnsi="Euclid" w:cs="Euclid"/>
                <w:spacing w:val="-2"/>
                <w:sz w:val="20"/>
                <w:szCs w:val="20"/>
              </w:rPr>
              <w:t>0.0586</w:t>
            </w:r>
          </w:p>
        </w:tc>
        <w:tc>
          <w:tcPr>
            <w:tcW w:w="1012" w:type="dxa"/>
            <w:tcBorders>
              <w:top w:val="none" w:sz="6" w:space="0" w:color="auto"/>
              <w:left w:val="none" w:sz="6" w:space="0" w:color="auto"/>
              <w:bottom w:val="none" w:sz="6" w:space="0" w:color="auto"/>
              <w:right w:val="none" w:sz="6" w:space="0" w:color="auto"/>
            </w:tcBorders>
          </w:tcPr>
          <w:p w14:paraId="398BD72C" w14:textId="77777777" w:rsidR="00BD1C17" w:rsidRPr="00BD1C17" w:rsidRDefault="00BD1C17" w:rsidP="00BD1C17">
            <w:pPr>
              <w:kinsoku w:val="0"/>
              <w:overflowPunct w:val="0"/>
              <w:autoSpaceDE w:val="0"/>
              <w:autoSpaceDN w:val="0"/>
              <w:adjustRightInd w:val="0"/>
              <w:spacing w:before="12" w:after="0" w:line="240" w:lineRule="auto"/>
              <w:ind w:left="230"/>
              <w:rPr>
                <w:rFonts w:ascii="Euclid" w:hAnsi="Euclid" w:cs="Euclid"/>
                <w:spacing w:val="-2"/>
                <w:sz w:val="20"/>
                <w:szCs w:val="20"/>
              </w:rPr>
            </w:pPr>
            <w:r w:rsidRPr="00BD1C17">
              <w:rPr>
                <w:rFonts w:ascii="Euclid" w:hAnsi="Euclid" w:cs="Euclid"/>
                <w:spacing w:val="-2"/>
                <w:sz w:val="20"/>
                <w:szCs w:val="20"/>
              </w:rPr>
              <w:t>0.0458</w:t>
            </w:r>
          </w:p>
        </w:tc>
        <w:tc>
          <w:tcPr>
            <w:tcW w:w="992" w:type="dxa"/>
            <w:tcBorders>
              <w:top w:val="none" w:sz="6" w:space="0" w:color="auto"/>
              <w:left w:val="none" w:sz="6" w:space="0" w:color="auto"/>
              <w:bottom w:val="none" w:sz="6" w:space="0" w:color="auto"/>
              <w:right w:val="none" w:sz="6" w:space="0" w:color="auto"/>
            </w:tcBorders>
          </w:tcPr>
          <w:p w14:paraId="44CA85EE" w14:textId="77777777" w:rsidR="00BD1C17" w:rsidRPr="00BD1C17" w:rsidRDefault="00BD1C17" w:rsidP="00BD1C17">
            <w:pPr>
              <w:kinsoku w:val="0"/>
              <w:overflowPunct w:val="0"/>
              <w:autoSpaceDE w:val="0"/>
              <w:autoSpaceDN w:val="0"/>
              <w:adjustRightInd w:val="0"/>
              <w:spacing w:before="12" w:after="0" w:line="240" w:lineRule="auto"/>
              <w:ind w:left="106" w:right="105"/>
              <w:jc w:val="center"/>
              <w:rPr>
                <w:rFonts w:ascii="Euclid" w:hAnsi="Euclid" w:cs="Euclid"/>
                <w:spacing w:val="-2"/>
                <w:sz w:val="20"/>
                <w:szCs w:val="20"/>
              </w:rPr>
            </w:pPr>
            <w:r w:rsidRPr="00BD1C17">
              <w:rPr>
                <w:rFonts w:ascii="Euclid" w:hAnsi="Euclid" w:cs="Euclid"/>
                <w:spacing w:val="-2"/>
                <w:sz w:val="20"/>
                <w:szCs w:val="20"/>
              </w:rPr>
              <w:t>0.0393</w:t>
            </w:r>
          </w:p>
        </w:tc>
        <w:tc>
          <w:tcPr>
            <w:tcW w:w="1204" w:type="dxa"/>
            <w:tcBorders>
              <w:top w:val="none" w:sz="6" w:space="0" w:color="auto"/>
              <w:left w:val="none" w:sz="6" w:space="0" w:color="auto"/>
              <w:bottom w:val="none" w:sz="6" w:space="0" w:color="auto"/>
              <w:right w:val="none" w:sz="6" w:space="0" w:color="auto"/>
            </w:tcBorders>
          </w:tcPr>
          <w:p w14:paraId="2880D839" w14:textId="77777777" w:rsidR="00BD1C17" w:rsidRPr="00BD1C17" w:rsidRDefault="00BD1C17" w:rsidP="00BD1C17">
            <w:pPr>
              <w:kinsoku w:val="0"/>
              <w:overflowPunct w:val="0"/>
              <w:autoSpaceDE w:val="0"/>
              <w:autoSpaceDN w:val="0"/>
              <w:adjustRightInd w:val="0"/>
              <w:spacing w:before="12" w:after="0" w:line="240" w:lineRule="auto"/>
              <w:ind w:left="99" w:right="97"/>
              <w:jc w:val="center"/>
              <w:rPr>
                <w:rFonts w:ascii="Euclid" w:hAnsi="Euclid" w:cs="Euclid"/>
                <w:spacing w:val="-2"/>
                <w:sz w:val="20"/>
                <w:szCs w:val="20"/>
              </w:rPr>
            </w:pPr>
            <w:r w:rsidRPr="00BD1C17">
              <w:rPr>
                <w:rFonts w:ascii="Euclid" w:hAnsi="Euclid" w:cs="Euclid"/>
                <w:spacing w:val="-2"/>
                <w:sz w:val="20"/>
                <w:szCs w:val="20"/>
              </w:rPr>
              <w:t>0.0449</w:t>
            </w:r>
          </w:p>
        </w:tc>
        <w:tc>
          <w:tcPr>
            <w:tcW w:w="1318" w:type="dxa"/>
            <w:tcBorders>
              <w:top w:val="none" w:sz="6" w:space="0" w:color="auto"/>
              <w:left w:val="none" w:sz="6" w:space="0" w:color="auto"/>
              <w:bottom w:val="none" w:sz="6" w:space="0" w:color="auto"/>
              <w:right w:val="none" w:sz="6" w:space="0" w:color="auto"/>
            </w:tcBorders>
          </w:tcPr>
          <w:p w14:paraId="71F3D799" w14:textId="77777777" w:rsidR="00BD1C17" w:rsidRPr="00BD1C17" w:rsidRDefault="00BD1C17" w:rsidP="00BD1C17">
            <w:pPr>
              <w:kinsoku w:val="0"/>
              <w:overflowPunct w:val="0"/>
              <w:autoSpaceDE w:val="0"/>
              <w:autoSpaceDN w:val="0"/>
              <w:adjustRightInd w:val="0"/>
              <w:spacing w:before="12" w:after="0" w:line="240" w:lineRule="auto"/>
              <w:ind w:left="109" w:right="106"/>
              <w:jc w:val="center"/>
              <w:rPr>
                <w:rFonts w:ascii="Euclid" w:hAnsi="Euclid" w:cs="Euclid"/>
                <w:spacing w:val="-2"/>
                <w:sz w:val="20"/>
                <w:szCs w:val="20"/>
              </w:rPr>
            </w:pPr>
            <w:r w:rsidRPr="00BD1C17">
              <w:rPr>
                <w:rFonts w:ascii="Euclid" w:hAnsi="Euclid" w:cs="Euclid"/>
                <w:spacing w:val="-2"/>
                <w:sz w:val="20"/>
                <w:szCs w:val="20"/>
              </w:rPr>
              <w:t>0.0531</w:t>
            </w:r>
          </w:p>
        </w:tc>
        <w:tc>
          <w:tcPr>
            <w:tcW w:w="991" w:type="dxa"/>
            <w:tcBorders>
              <w:top w:val="none" w:sz="6" w:space="0" w:color="auto"/>
              <w:left w:val="none" w:sz="6" w:space="0" w:color="auto"/>
              <w:bottom w:val="none" w:sz="6" w:space="0" w:color="auto"/>
              <w:right w:val="none" w:sz="6" w:space="0" w:color="auto"/>
            </w:tcBorders>
          </w:tcPr>
          <w:p w14:paraId="32A30111" w14:textId="77777777" w:rsidR="00BD1C17" w:rsidRPr="00BD1C17" w:rsidRDefault="00BD1C17" w:rsidP="00BD1C17">
            <w:pPr>
              <w:kinsoku w:val="0"/>
              <w:overflowPunct w:val="0"/>
              <w:autoSpaceDE w:val="0"/>
              <w:autoSpaceDN w:val="0"/>
              <w:adjustRightInd w:val="0"/>
              <w:spacing w:before="12" w:after="0" w:line="240" w:lineRule="auto"/>
              <w:ind w:left="107" w:right="102"/>
              <w:jc w:val="center"/>
              <w:rPr>
                <w:rFonts w:ascii="Euclid" w:hAnsi="Euclid" w:cs="Euclid"/>
                <w:spacing w:val="-2"/>
                <w:sz w:val="20"/>
                <w:szCs w:val="20"/>
              </w:rPr>
            </w:pPr>
            <w:r w:rsidRPr="00BD1C17">
              <w:rPr>
                <w:rFonts w:ascii="Euclid" w:hAnsi="Euclid" w:cs="Euclid"/>
                <w:spacing w:val="-2"/>
                <w:sz w:val="20"/>
                <w:szCs w:val="20"/>
              </w:rPr>
              <w:t>0.0516</w:t>
            </w:r>
          </w:p>
        </w:tc>
        <w:tc>
          <w:tcPr>
            <w:tcW w:w="991" w:type="dxa"/>
            <w:tcBorders>
              <w:top w:val="none" w:sz="6" w:space="0" w:color="auto"/>
              <w:left w:val="none" w:sz="6" w:space="0" w:color="auto"/>
              <w:bottom w:val="none" w:sz="6" w:space="0" w:color="auto"/>
              <w:right w:val="none" w:sz="6" w:space="0" w:color="auto"/>
            </w:tcBorders>
          </w:tcPr>
          <w:p w14:paraId="326CC603" w14:textId="77777777" w:rsidR="00BD1C17" w:rsidRPr="00BD1C17" w:rsidRDefault="00BD1C17" w:rsidP="00BD1C17">
            <w:pPr>
              <w:kinsoku w:val="0"/>
              <w:overflowPunct w:val="0"/>
              <w:autoSpaceDE w:val="0"/>
              <w:autoSpaceDN w:val="0"/>
              <w:adjustRightInd w:val="0"/>
              <w:spacing w:before="12" w:after="0" w:line="240" w:lineRule="auto"/>
              <w:ind w:left="222"/>
              <w:rPr>
                <w:rFonts w:ascii="Euclid" w:hAnsi="Euclid" w:cs="Euclid"/>
                <w:spacing w:val="-2"/>
                <w:sz w:val="20"/>
                <w:szCs w:val="20"/>
              </w:rPr>
            </w:pPr>
            <w:r w:rsidRPr="00BD1C17">
              <w:rPr>
                <w:rFonts w:ascii="Euclid" w:hAnsi="Euclid" w:cs="Euclid"/>
                <w:spacing w:val="-2"/>
                <w:sz w:val="20"/>
                <w:szCs w:val="20"/>
              </w:rPr>
              <w:t>0.0506</w:t>
            </w:r>
          </w:p>
        </w:tc>
        <w:tc>
          <w:tcPr>
            <w:tcW w:w="993" w:type="dxa"/>
            <w:tcBorders>
              <w:top w:val="none" w:sz="6" w:space="0" w:color="auto"/>
              <w:left w:val="none" w:sz="6" w:space="0" w:color="auto"/>
              <w:bottom w:val="none" w:sz="6" w:space="0" w:color="auto"/>
              <w:right w:val="none" w:sz="6" w:space="0" w:color="auto"/>
            </w:tcBorders>
          </w:tcPr>
          <w:p w14:paraId="11F53CF4" w14:textId="77777777" w:rsidR="00BD1C17" w:rsidRPr="00BD1C17" w:rsidRDefault="00BD1C17" w:rsidP="00BD1C17">
            <w:pPr>
              <w:kinsoku w:val="0"/>
              <w:overflowPunct w:val="0"/>
              <w:autoSpaceDE w:val="0"/>
              <w:autoSpaceDN w:val="0"/>
              <w:adjustRightInd w:val="0"/>
              <w:spacing w:before="12" w:after="0" w:line="240" w:lineRule="auto"/>
              <w:ind w:right="214"/>
              <w:jc w:val="right"/>
              <w:rPr>
                <w:rFonts w:ascii="Euclid" w:hAnsi="Euclid" w:cs="Euclid"/>
                <w:spacing w:val="-2"/>
                <w:sz w:val="20"/>
                <w:szCs w:val="20"/>
              </w:rPr>
            </w:pPr>
            <w:r w:rsidRPr="00BD1C17">
              <w:rPr>
                <w:rFonts w:ascii="Euclid" w:hAnsi="Euclid" w:cs="Euclid"/>
                <w:spacing w:val="-2"/>
                <w:sz w:val="20"/>
                <w:szCs w:val="20"/>
              </w:rPr>
              <w:t>0.0649</w:t>
            </w:r>
          </w:p>
        </w:tc>
      </w:tr>
      <w:tr w:rsidR="00BD1C17" w:rsidRPr="00BD1C17" w14:paraId="020A2F6A" w14:textId="77777777" w:rsidTr="00964366">
        <w:trPr>
          <w:trHeight w:val="349"/>
        </w:trPr>
        <w:tc>
          <w:tcPr>
            <w:tcW w:w="1529" w:type="dxa"/>
            <w:tcBorders>
              <w:top w:val="none" w:sz="6" w:space="0" w:color="auto"/>
              <w:left w:val="none" w:sz="6" w:space="0" w:color="auto"/>
              <w:bottom w:val="double" w:sz="2" w:space="0" w:color="000000"/>
              <w:right w:val="none" w:sz="6" w:space="0" w:color="auto"/>
            </w:tcBorders>
          </w:tcPr>
          <w:p w14:paraId="3AE0B2CA" w14:textId="77777777" w:rsidR="00BD1C17" w:rsidRPr="00BD1C17" w:rsidRDefault="00BD1C17" w:rsidP="00BD1C17">
            <w:pPr>
              <w:kinsoku w:val="0"/>
              <w:overflowPunct w:val="0"/>
              <w:autoSpaceDE w:val="0"/>
              <w:autoSpaceDN w:val="0"/>
              <w:adjustRightInd w:val="0"/>
              <w:spacing w:after="0" w:line="330" w:lineRule="exact"/>
              <w:ind w:left="119"/>
              <w:rPr>
                <w:rFonts w:ascii="Euclid" w:hAnsi="Euclid" w:cs="Euclid"/>
                <w:spacing w:val="-4"/>
                <w:sz w:val="20"/>
                <w:szCs w:val="20"/>
              </w:rPr>
            </w:pPr>
            <w:r w:rsidRPr="00BD1C17">
              <w:rPr>
                <w:rFonts w:ascii="Euclid" w:hAnsi="Euclid" w:cs="Euclid"/>
                <w:spacing w:val="-4"/>
                <w:sz w:val="20"/>
                <w:szCs w:val="20"/>
              </w:rPr>
              <w:t>Mean</w:t>
            </w:r>
          </w:p>
        </w:tc>
        <w:tc>
          <w:tcPr>
            <w:tcW w:w="892" w:type="dxa"/>
            <w:tcBorders>
              <w:top w:val="none" w:sz="6" w:space="0" w:color="auto"/>
              <w:left w:val="none" w:sz="6" w:space="0" w:color="auto"/>
              <w:bottom w:val="double" w:sz="2" w:space="0" w:color="000000"/>
              <w:right w:val="none" w:sz="6" w:space="0" w:color="auto"/>
            </w:tcBorders>
          </w:tcPr>
          <w:p w14:paraId="5937C7B9" w14:textId="77777777" w:rsidR="00BD1C17" w:rsidRPr="00BD1C17" w:rsidRDefault="00BD1C17" w:rsidP="00BD1C17">
            <w:pPr>
              <w:kinsoku w:val="0"/>
              <w:overflowPunct w:val="0"/>
              <w:autoSpaceDE w:val="0"/>
              <w:autoSpaceDN w:val="0"/>
              <w:adjustRightInd w:val="0"/>
              <w:spacing w:after="0" w:line="330" w:lineRule="exact"/>
              <w:ind w:left="105" w:right="103"/>
              <w:jc w:val="center"/>
              <w:rPr>
                <w:rFonts w:ascii="Euclid" w:hAnsi="Euclid" w:cs="Euclid"/>
                <w:spacing w:val="-2"/>
                <w:sz w:val="20"/>
                <w:szCs w:val="20"/>
              </w:rPr>
            </w:pPr>
            <w:r w:rsidRPr="00BD1C17">
              <w:rPr>
                <w:rFonts w:ascii="Euclid" w:hAnsi="Euclid" w:cs="Euclid"/>
                <w:spacing w:val="-2"/>
                <w:sz w:val="20"/>
                <w:szCs w:val="20"/>
              </w:rPr>
              <w:t>0.1354</w:t>
            </w:r>
          </w:p>
        </w:tc>
        <w:tc>
          <w:tcPr>
            <w:tcW w:w="1012" w:type="dxa"/>
            <w:tcBorders>
              <w:top w:val="none" w:sz="6" w:space="0" w:color="auto"/>
              <w:left w:val="none" w:sz="6" w:space="0" w:color="auto"/>
              <w:bottom w:val="double" w:sz="2" w:space="0" w:color="000000"/>
              <w:right w:val="none" w:sz="6" w:space="0" w:color="auto"/>
            </w:tcBorders>
          </w:tcPr>
          <w:p w14:paraId="4BF5E3F7" w14:textId="77777777" w:rsidR="00BD1C17" w:rsidRPr="00BD1C17" w:rsidRDefault="00BD1C17" w:rsidP="00BD1C17">
            <w:pPr>
              <w:kinsoku w:val="0"/>
              <w:overflowPunct w:val="0"/>
              <w:autoSpaceDE w:val="0"/>
              <w:autoSpaceDN w:val="0"/>
              <w:adjustRightInd w:val="0"/>
              <w:spacing w:after="0" w:line="330" w:lineRule="exact"/>
              <w:ind w:right="226"/>
              <w:jc w:val="right"/>
              <w:rPr>
                <w:rFonts w:ascii="Euclid" w:hAnsi="Euclid" w:cs="Euclid"/>
                <w:spacing w:val="-2"/>
                <w:sz w:val="20"/>
                <w:szCs w:val="20"/>
              </w:rPr>
            </w:pPr>
            <w:r w:rsidRPr="00BD1C17">
              <w:rPr>
                <w:rFonts w:ascii="Euclid" w:hAnsi="Euclid" w:cs="Euclid"/>
                <w:spacing w:val="-2"/>
                <w:sz w:val="20"/>
                <w:szCs w:val="20"/>
              </w:rPr>
              <w:t>0.1516</w:t>
            </w:r>
          </w:p>
        </w:tc>
        <w:tc>
          <w:tcPr>
            <w:tcW w:w="992" w:type="dxa"/>
            <w:tcBorders>
              <w:top w:val="none" w:sz="6" w:space="0" w:color="auto"/>
              <w:left w:val="none" w:sz="6" w:space="0" w:color="auto"/>
              <w:bottom w:val="double" w:sz="2" w:space="0" w:color="000000"/>
              <w:right w:val="none" w:sz="6" w:space="0" w:color="auto"/>
            </w:tcBorders>
          </w:tcPr>
          <w:p w14:paraId="333759D1" w14:textId="77777777" w:rsidR="00BD1C17" w:rsidRPr="00BD1C17" w:rsidRDefault="00BD1C17" w:rsidP="00BD1C17">
            <w:pPr>
              <w:kinsoku w:val="0"/>
              <w:overflowPunct w:val="0"/>
              <w:autoSpaceDE w:val="0"/>
              <w:autoSpaceDN w:val="0"/>
              <w:adjustRightInd w:val="0"/>
              <w:spacing w:after="0" w:line="330" w:lineRule="exact"/>
              <w:ind w:left="106" w:right="104"/>
              <w:jc w:val="center"/>
              <w:rPr>
                <w:rFonts w:ascii="Euclid" w:hAnsi="Euclid" w:cs="Euclid"/>
                <w:spacing w:val="-2"/>
                <w:sz w:val="20"/>
                <w:szCs w:val="20"/>
              </w:rPr>
            </w:pPr>
            <w:r w:rsidRPr="00BD1C17">
              <w:rPr>
                <w:rFonts w:ascii="Euclid" w:hAnsi="Euclid" w:cs="Euclid"/>
                <w:spacing w:val="-2"/>
                <w:sz w:val="20"/>
                <w:szCs w:val="20"/>
              </w:rPr>
              <w:t>0.1652</w:t>
            </w:r>
          </w:p>
        </w:tc>
        <w:tc>
          <w:tcPr>
            <w:tcW w:w="1204" w:type="dxa"/>
            <w:tcBorders>
              <w:top w:val="none" w:sz="6" w:space="0" w:color="auto"/>
              <w:left w:val="none" w:sz="6" w:space="0" w:color="auto"/>
              <w:bottom w:val="double" w:sz="2" w:space="0" w:color="000000"/>
              <w:right w:val="none" w:sz="6" w:space="0" w:color="auto"/>
            </w:tcBorders>
          </w:tcPr>
          <w:p w14:paraId="6D7D6DA8" w14:textId="77777777" w:rsidR="00BD1C17" w:rsidRPr="00BD1C17" w:rsidRDefault="00BD1C17" w:rsidP="00BD1C17">
            <w:pPr>
              <w:kinsoku w:val="0"/>
              <w:overflowPunct w:val="0"/>
              <w:autoSpaceDE w:val="0"/>
              <w:autoSpaceDN w:val="0"/>
              <w:adjustRightInd w:val="0"/>
              <w:spacing w:after="0" w:line="330" w:lineRule="exact"/>
              <w:ind w:left="99" w:right="97"/>
              <w:jc w:val="center"/>
              <w:rPr>
                <w:rFonts w:ascii="Euclid" w:hAnsi="Euclid" w:cs="Euclid"/>
                <w:spacing w:val="-2"/>
                <w:sz w:val="20"/>
                <w:szCs w:val="20"/>
              </w:rPr>
            </w:pPr>
            <w:r w:rsidRPr="00BD1C17">
              <w:rPr>
                <w:rFonts w:ascii="Euclid" w:hAnsi="Euclid" w:cs="Euclid"/>
                <w:spacing w:val="-2"/>
                <w:sz w:val="20"/>
                <w:szCs w:val="20"/>
              </w:rPr>
              <w:t>0.1285</w:t>
            </w:r>
          </w:p>
        </w:tc>
        <w:tc>
          <w:tcPr>
            <w:tcW w:w="1318" w:type="dxa"/>
            <w:tcBorders>
              <w:top w:val="none" w:sz="6" w:space="0" w:color="auto"/>
              <w:left w:val="none" w:sz="6" w:space="0" w:color="auto"/>
              <w:bottom w:val="double" w:sz="2" w:space="0" w:color="000000"/>
              <w:right w:val="none" w:sz="6" w:space="0" w:color="auto"/>
            </w:tcBorders>
          </w:tcPr>
          <w:p w14:paraId="7FE4B1D9" w14:textId="77777777" w:rsidR="00BD1C17" w:rsidRPr="00BD1C17" w:rsidRDefault="00BD1C17" w:rsidP="00BD1C17">
            <w:pPr>
              <w:kinsoku w:val="0"/>
              <w:overflowPunct w:val="0"/>
              <w:autoSpaceDE w:val="0"/>
              <w:autoSpaceDN w:val="0"/>
              <w:adjustRightInd w:val="0"/>
              <w:spacing w:after="0" w:line="330" w:lineRule="exact"/>
              <w:ind w:left="109" w:right="105"/>
              <w:jc w:val="center"/>
              <w:rPr>
                <w:rFonts w:ascii="Euclid" w:hAnsi="Euclid" w:cs="Euclid"/>
                <w:spacing w:val="-2"/>
                <w:sz w:val="20"/>
                <w:szCs w:val="20"/>
              </w:rPr>
            </w:pPr>
            <w:r w:rsidRPr="00BD1C17">
              <w:rPr>
                <w:rFonts w:ascii="Euclid" w:hAnsi="Euclid" w:cs="Euclid"/>
                <w:spacing w:val="-2"/>
                <w:sz w:val="20"/>
                <w:szCs w:val="20"/>
              </w:rPr>
              <w:t>0.1228</w:t>
            </w:r>
          </w:p>
        </w:tc>
        <w:tc>
          <w:tcPr>
            <w:tcW w:w="991" w:type="dxa"/>
            <w:tcBorders>
              <w:top w:val="none" w:sz="6" w:space="0" w:color="auto"/>
              <w:left w:val="none" w:sz="6" w:space="0" w:color="auto"/>
              <w:bottom w:val="double" w:sz="2" w:space="0" w:color="000000"/>
              <w:right w:val="none" w:sz="6" w:space="0" w:color="auto"/>
            </w:tcBorders>
          </w:tcPr>
          <w:p w14:paraId="0387E0B9" w14:textId="77777777" w:rsidR="00BD1C17" w:rsidRPr="00BD1C17" w:rsidRDefault="00BD1C17" w:rsidP="00BD1C17">
            <w:pPr>
              <w:kinsoku w:val="0"/>
              <w:overflowPunct w:val="0"/>
              <w:autoSpaceDE w:val="0"/>
              <w:autoSpaceDN w:val="0"/>
              <w:adjustRightInd w:val="0"/>
              <w:spacing w:after="0" w:line="330" w:lineRule="exact"/>
              <w:ind w:left="107" w:right="102"/>
              <w:jc w:val="center"/>
              <w:rPr>
                <w:rFonts w:ascii="Euclid" w:hAnsi="Euclid" w:cs="Euclid"/>
                <w:spacing w:val="-2"/>
                <w:sz w:val="20"/>
                <w:szCs w:val="20"/>
              </w:rPr>
            </w:pPr>
            <w:r w:rsidRPr="00BD1C17">
              <w:rPr>
                <w:rFonts w:ascii="Euclid" w:hAnsi="Euclid" w:cs="Euclid"/>
                <w:spacing w:val="-2"/>
                <w:sz w:val="20"/>
                <w:szCs w:val="20"/>
              </w:rPr>
              <w:t>0.1112</w:t>
            </w:r>
          </w:p>
        </w:tc>
        <w:tc>
          <w:tcPr>
            <w:tcW w:w="991" w:type="dxa"/>
            <w:tcBorders>
              <w:top w:val="none" w:sz="6" w:space="0" w:color="auto"/>
              <w:left w:val="none" w:sz="6" w:space="0" w:color="auto"/>
              <w:bottom w:val="double" w:sz="2" w:space="0" w:color="000000"/>
              <w:right w:val="none" w:sz="6" w:space="0" w:color="auto"/>
            </w:tcBorders>
          </w:tcPr>
          <w:p w14:paraId="0EC4DBAC" w14:textId="77777777" w:rsidR="00BD1C17" w:rsidRPr="00BD1C17" w:rsidRDefault="00BD1C17" w:rsidP="00BD1C17">
            <w:pPr>
              <w:kinsoku w:val="0"/>
              <w:overflowPunct w:val="0"/>
              <w:autoSpaceDE w:val="0"/>
              <w:autoSpaceDN w:val="0"/>
              <w:adjustRightInd w:val="0"/>
              <w:spacing w:after="0" w:line="330" w:lineRule="exact"/>
              <w:ind w:left="222"/>
              <w:rPr>
                <w:rFonts w:ascii="Euclid" w:hAnsi="Euclid" w:cs="Euclid"/>
                <w:spacing w:val="-2"/>
                <w:sz w:val="20"/>
                <w:szCs w:val="20"/>
              </w:rPr>
            </w:pPr>
            <w:r w:rsidRPr="00BD1C17">
              <w:rPr>
                <w:rFonts w:ascii="Euclid" w:hAnsi="Euclid" w:cs="Euclid"/>
                <w:spacing w:val="-2"/>
                <w:sz w:val="20"/>
                <w:szCs w:val="20"/>
              </w:rPr>
              <w:t>0.1341</w:t>
            </w:r>
          </w:p>
        </w:tc>
        <w:tc>
          <w:tcPr>
            <w:tcW w:w="993" w:type="dxa"/>
            <w:tcBorders>
              <w:top w:val="none" w:sz="6" w:space="0" w:color="auto"/>
              <w:left w:val="none" w:sz="6" w:space="0" w:color="auto"/>
              <w:bottom w:val="double" w:sz="2" w:space="0" w:color="000000"/>
              <w:right w:val="none" w:sz="6" w:space="0" w:color="auto"/>
            </w:tcBorders>
          </w:tcPr>
          <w:p w14:paraId="312C0D62" w14:textId="77777777" w:rsidR="00BD1C17" w:rsidRPr="00BD1C17" w:rsidRDefault="00BD1C17" w:rsidP="00BD1C17">
            <w:pPr>
              <w:kinsoku w:val="0"/>
              <w:overflowPunct w:val="0"/>
              <w:autoSpaceDE w:val="0"/>
              <w:autoSpaceDN w:val="0"/>
              <w:adjustRightInd w:val="0"/>
              <w:spacing w:after="0" w:line="330" w:lineRule="exact"/>
              <w:ind w:right="214"/>
              <w:jc w:val="right"/>
              <w:rPr>
                <w:rFonts w:ascii="Euclid" w:hAnsi="Euclid" w:cs="Euclid"/>
                <w:spacing w:val="-2"/>
                <w:sz w:val="20"/>
                <w:szCs w:val="20"/>
              </w:rPr>
            </w:pPr>
            <w:r w:rsidRPr="00BD1C17">
              <w:rPr>
                <w:rFonts w:ascii="Euclid" w:hAnsi="Euclid" w:cs="Euclid"/>
                <w:spacing w:val="-2"/>
                <w:sz w:val="20"/>
                <w:szCs w:val="20"/>
              </w:rPr>
              <w:t>0.1256</w:t>
            </w:r>
          </w:p>
        </w:tc>
      </w:tr>
    </w:tbl>
    <w:p w14:paraId="5BC99B92" w14:textId="7B20A9DD" w:rsidR="00BD1C17" w:rsidRPr="00BD1C17" w:rsidRDefault="00BD1C17" w:rsidP="00BD1C17">
      <w:pPr>
        <w:kinsoku w:val="0"/>
        <w:overflowPunct w:val="0"/>
        <w:autoSpaceDE w:val="0"/>
        <w:autoSpaceDN w:val="0"/>
        <w:adjustRightInd w:val="0"/>
        <w:spacing w:before="79" w:after="0" w:line="172" w:lineRule="auto"/>
        <w:ind w:left="180" w:right="-810"/>
        <w:rPr>
          <w:rFonts w:ascii="Euclid" w:hAnsi="Euclid" w:cs="Euclid"/>
          <w:sz w:val="20"/>
          <w:szCs w:val="20"/>
        </w:rPr>
      </w:pPr>
      <w:r w:rsidRPr="00BD1C17">
        <w:rPr>
          <w:rFonts w:ascii="Euclid" w:hAnsi="Euclid" w:cs="Euclid"/>
          <w:sz w:val="20"/>
          <w:szCs w:val="20"/>
        </w:rPr>
        <w:t>Note:</w:t>
      </w:r>
      <w:r w:rsidRPr="00BD1C17">
        <w:rPr>
          <w:rFonts w:ascii="Euclid" w:hAnsi="Euclid" w:cs="Euclid"/>
          <w:spacing w:val="28"/>
          <w:sz w:val="20"/>
          <w:szCs w:val="20"/>
        </w:rPr>
        <w:t xml:space="preserve"> </w:t>
      </w:r>
      <w:r w:rsidR="00964366" w:rsidRPr="00964366">
        <w:rPr>
          <w:rFonts w:ascii="Euclid" w:hAnsi="Euclid" w:cs="Euclid"/>
          <w:sz w:val="20"/>
          <w:szCs w:val="20"/>
        </w:rPr>
        <w:t xml:space="preserve">We also control for the characteristics of the panel, and for </w:t>
      </w:r>
      <w:r w:rsidR="00964366">
        <w:rPr>
          <w:rFonts w:ascii="Euclid" w:hAnsi="Euclid" w:cs="Euclid"/>
          <w:sz w:val="20"/>
          <w:szCs w:val="20"/>
        </w:rPr>
        <w:t>[</w:t>
      </w:r>
      <w:r w:rsidR="00964366" w:rsidRPr="00964366">
        <w:rPr>
          <w:rFonts w:ascii="Euclid" w:hAnsi="Euclid" w:cs="Euclid"/>
          <w:sz w:val="20"/>
          <w:szCs w:val="20"/>
        </w:rPr>
        <w:t>Circuit</w:t>
      </w:r>
      <w:r w:rsidR="00964366">
        <w:rPr>
          <w:rFonts w:ascii="Euclid" w:hAnsi="Euclid" w:cs="Euclid"/>
          <w:sz w:val="20"/>
          <w:szCs w:val="20"/>
        </w:rPr>
        <w:t>]x[</w:t>
      </w:r>
      <w:r w:rsidR="00964366" w:rsidRPr="00964366">
        <w:rPr>
          <w:rFonts w:ascii="Euclid" w:hAnsi="Euclid" w:cs="Euclid"/>
          <w:sz w:val="20"/>
          <w:szCs w:val="20"/>
        </w:rPr>
        <w:t>Year</w:t>
      </w:r>
      <w:r w:rsidR="00964366">
        <w:rPr>
          <w:rFonts w:ascii="Euclid" w:hAnsi="Euclid" w:cs="Euclid"/>
          <w:sz w:val="20"/>
          <w:szCs w:val="20"/>
        </w:rPr>
        <w:t>]</w:t>
      </w:r>
      <w:r w:rsidR="00964366" w:rsidRPr="00964366">
        <w:rPr>
          <w:rFonts w:ascii="Euclid" w:hAnsi="Euclid" w:cs="Euclid"/>
          <w:sz w:val="20"/>
          <w:szCs w:val="20"/>
        </w:rPr>
        <w:t>, District, and Offense type Fixed Effects.</w:t>
      </w:r>
      <w:r w:rsidR="00964366">
        <w:rPr>
          <w:rFonts w:ascii="Euclid" w:hAnsi="Euclid" w:cs="Euclid"/>
          <w:spacing w:val="63"/>
          <w:sz w:val="20"/>
          <w:szCs w:val="20"/>
        </w:rPr>
        <w:t xml:space="preserve"> </w:t>
      </w:r>
      <w:r w:rsidRPr="00BD1C17">
        <w:rPr>
          <w:rFonts w:ascii="Euclid" w:hAnsi="Euclid" w:cs="Euclid"/>
          <w:sz w:val="20"/>
          <w:szCs w:val="20"/>
        </w:rPr>
        <w:t>Standard errors are in parenthesis and are clustered by year.</w:t>
      </w:r>
      <w:r w:rsidRPr="00BD1C17">
        <w:rPr>
          <w:rFonts w:ascii="Euclid" w:hAnsi="Euclid" w:cs="Euclid"/>
          <w:spacing w:val="30"/>
          <w:sz w:val="20"/>
          <w:szCs w:val="20"/>
        </w:rPr>
        <w:t xml:space="preserve"> </w:t>
      </w:r>
      <w:r w:rsidRPr="00BD1C17">
        <w:rPr>
          <w:rFonts w:ascii="Euclid" w:hAnsi="Euclid" w:cs="Euclid"/>
          <w:sz w:val="20"/>
          <w:szCs w:val="20"/>
        </w:rPr>
        <w:t xml:space="preserve">Stars denote the level of statistical significance t </w:t>
      </w:r>
      <w:r w:rsidRPr="00BD1C17">
        <w:rPr>
          <w:rFonts w:ascii="Bookman Old Style" w:hAnsi="Bookman Old Style" w:cs="Bookman Old Style"/>
          <w:i/>
          <w:iCs/>
          <w:sz w:val="20"/>
          <w:szCs w:val="20"/>
        </w:rPr>
        <w:t>p</w:t>
      </w:r>
      <w:r w:rsidRPr="00BD1C17">
        <w:rPr>
          <w:rFonts w:ascii="Bookman Old Style" w:hAnsi="Bookman Old Style" w:cs="Bookman Old Style"/>
          <w:i/>
          <w:iCs/>
          <w:spacing w:val="-2"/>
          <w:sz w:val="20"/>
          <w:szCs w:val="20"/>
        </w:rPr>
        <w:t xml:space="preserve"> </w:t>
      </w:r>
      <w:r w:rsidRPr="00BD1C17">
        <w:rPr>
          <w:rFonts w:ascii="Bookman Old Style" w:hAnsi="Bookman Old Style" w:cs="Bookman Old Style"/>
          <w:i/>
          <w:iCs/>
          <w:sz w:val="20"/>
          <w:szCs w:val="20"/>
        </w:rPr>
        <w:t>&lt;</w:t>
      </w:r>
      <w:r w:rsidRPr="00BD1C17">
        <w:rPr>
          <w:rFonts w:ascii="Bookman Old Style" w:hAnsi="Bookman Old Style" w:cs="Bookman Old Style"/>
          <w:i/>
          <w:iCs/>
          <w:spacing w:val="-2"/>
          <w:sz w:val="20"/>
          <w:szCs w:val="20"/>
        </w:rPr>
        <w:t xml:space="preserve"> </w:t>
      </w:r>
      <w:r w:rsidRPr="00BD1C17">
        <w:rPr>
          <w:rFonts w:ascii="Euclid" w:hAnsi="Euclid" w:cs="Euclid"/>
          <w:sz w:val="20"/>
          <w:szCs w:val="20"/>
        </w:rPr>
        <w:t>0</w:t>
      </w:r>
      <w:r w:rsidRPr="00BD1C17">
        <w:rPr>
          <w:rFonts w:ascii="Bookman Old Style" w:hAnsi="Bookman Old Style" w:cs="Bookman Old Style"/>
          <w:i/>
          <w:iCs/>
          <w:sz w:val="20"/>
          <w:szCs w:val="20"/>
        </w:rPr>
        <w:t>.</w:t>
      </w:r>
      <w:r w:rsidRPr="00BD1C17">
        <w:rPr>
          <w:rFonts w:ascii="Euclid" w:hAnsi="Euclid" w:cs="Euclid"/>
          <w:sz w:val="20"/>
          <w:szCs w:val="20"/>
        </w:rPr>
        <w:t xml:space="preserve">15 * </w:t>
      </w:r>
      <w:r w:rsidRPr="00BD1C17">
        <w:rPr>
          <w:rFonts w:ascii="Bookman Old Style" w:hAnsi="Bookman Old Style" w:cs="Bookman Old Style"/>
          <w:i/>
          <w:iCs/>
          <w:sz w:val="20"/>
          <w:szCs w:val="20"/>
        </w:rPr>
        <w:t>p</w:t>
      </w:r>
      <w:r w:rsidRPr="00BD1C17">
        <w:rPr>
          <w:rFonts w:ascii="Bookman Old Style" w:hAnsi="Bookman Old Style" w:cs="Bookman Old Style"/>
          <w:i/>
          <w:iCs/>
          <w:spacing w:val="-2"/>
          <w:sz w:val="20"/>
          <w:szCs w:val="20"/>
        </w:rPr>
        <w:t xml:space="preserve"> </w:t>
      </w:r>
      <w:r w:rsidRPr="00BD1C17">
        <w:rPr>
          <w:rFonts w:ascii="Bookman Old Style" w:hAnsi="Bookman Old Style" w:cs="Bookman Old Style"/>
          <w:i/>
          <w:iCs/>
          <w:sz w:val="20"/>
          <w:szCs w:val="20"/>
        </w:rPr>
        <w:t>&lt;</w:t>
      </w:r>
      <w:r w:rsidRPr="00BD1C17">
        <w:rPr>
          <w:rFonts w:ascii="Bookman Old Style" w:hAnsi="Bookman Old Style" w:cs="Bookman Old Style"/>
          <w:i/>
          <w:iCs/>
          <w:spacing w:val="-2"/>
          <w:sz w:val="20"/>
          <w:szCs w:val="20"/>
        </w:rPr>
        <w:t xml:space="preserve"> </w:t>
      </w:r>
      <w:r w:rsidRPr="00BD1C17">
        <w:rPr>
          <w:rFonts w:ascii="Euclid" w:hAnsi="Euclid" w:cs="Euclid"/>
          <w:sz w:val="20"/>
          <w:szCs w:val="20"/>
        </w:rPr>
        <w:t>0</w:t>
      </w:r>
      <w:r w:rsidRPr="00BD1C17">
        <w:rPr>
          <w:rFonts w:ascii="Bookman Old Style" w:hAnsi="Bookman Old Style" w:cs="Bookman Old Style"/>
          <w:i/>
          <w:iCs/>
          <w:sz w:val="20"/>
          <w:szCs w:val="20"/>
        </w:rPr>
        <w:t>.</w:t>
      </w:r>
      <w:r w:rsidRPr="00BD1C17">
        <w:rPr>
          <w:rFonts w:ascii="Euclid" w:hAnsi="Euclid" w:cs="Euclid"/>
          <w:sz w:val="20"/>
          <w:szCs w:val="20"/>
        </w:rPr>
        <w:t xml:space="preserve">1, ** </w:t>
      </w:r>
      <w:r w:rsidRPr="00BD1C17">
        <w:rPr>
          <w:rFonts w:ascii="Bookman Old Style" w:hAnsi="Bookman Old Style" w:cs="Bookman Old Style"/>
          <w:i/>
          <w:iCs/>
          <w:sz w:val="20"/>
          <w:szCs w:val="20"/>
        </w:rPr>
        <w:t>p</w:t>
      </w:r>
      <w:r w:rsidRPr="00BD1C17">
        <w:rPr>
          <w:rFonts w:ascii="Bookman Old Style" w:hAnsi="Bookman Old Style" w:cs="Bookman Old Style"/>
          <w:i/>
          <w:iCs/>
          <w:spacing w:val="-2"/>
          <w:sz w:val="20"/>
          <w:szCs w:val="20"/>
        </w:rPr>
        <w:t xml:space="preserve"> </w:t>
      </w:r>
      <w:r w:rsidRPr="00BD1C17">
        <w:rPr>
          <w:rFonts w:ascii="Bookman Old Style" w:hAnsi="Bookman Old Style" w:cs="Bookman Old Style"/>
          <w:i/>
          <w:iCs/>
          <w:sz w:val="20"/>
          <w:szCs w:val="20"/>
        </w:rPr>
        <w:t>&lt;</w:t>
      </w:r>
      <w:r w:rsidRPr="00BD1C17">
        <w:rPr>
          <w:rFonts w:ascii="Bookman Old Style" w:hAnsi="Bookman Old Style" w:cs="Bookman Old Style"/>
          <w:i/>
          <w:iCs/>
          <w:spacing w:val="-2"/>
          <w:sz w:val="20"/>
          <w:szCs w:val="20"/>
        </w:rPr>
        <w:t xml:space="preserve"> </w:t>
      </w:r>
      <w:r w:rsidRPr="00BD1C17">
        <w:rPr>
          <w:rFonts w:ascii="Euclid" w:hAnsi="Euclid" w:cs="Euclid"/>
          <w:sz w:val="20"/>
          <w:szCs w:val="20"/>
        </w:rPr>
        <w:t>0</w:t>
      </w:r>
      <w:r w:rsidRPr="00BD1C17">
        <w:rPr>
          <w:rFonts w:ascii="Bookman Old Style" w:hAnsi="Bookman Old Style" w:cs="Bookman Old Style"/>
          <w:i/>
          <w:iCs/>
          <w:sz w:val="20"/>
          <w:szCs w:val="20"/>
        </w:rPr>
        <w:t>.</w:t>
      </w:r>
      <w:r w:rsidRPr="00BD1C17">
        <w:rPr>
          <w:rFonts w:ascii="Euclid" w:hAnsi="Euclid" w:cs="Euclid"/>
          <w:sz w:val="20"/>
          <w:szCs w:val="20"/>
        </w:rPr>
        <w:t xml:space="preserve">05, *** </w:t>
      </w:r>
      <w:r w:rsidRPr="00BD1C17">
        <w:rPr>
          <w:rFonts w:ascii="Bookman Old Style" w:hAnsi="Bookman Old Style" w:cs="Bookman Old Style"/>
          <w:i/>
          <w:iCs/>
          <w:sz w:val="20"/>
          <w:szCs w:val="20"/>
        </w:rPr>
        <w:t>p</w:t>
      </w:r>
      <w:r w:rsidRPr="00BD1C17">
        <w:rPr>
          <w:rFonts w:ascii="Bookman Old Style" w:hAnsi="Bookman Old Style" w:cs="Bookman Old Style"/>
          <w:i/>
          <w:iCs/>
          <w:spacing w:val="-2"/>
          <w:sz w:val="20"/>
          <w:szCs w:val="20"/>
        </w:rPr>
        <w:t xml:space="preserve"> </w:t>
      </w:r>
      <w:r w:rsidRPr="00BD1C17">
        <w:rPr>
          <w:rFonts w:ascii="Bookman Old Style" w:hAnsi="Bookman Old Style" w:cs="Bookman Old Style"/>
          <w:i/>
          <w:iCs/>
          <w:sz w:val="20"/>
          <w:szCs w:val="20"/>
        </w:rPr>
        <w:t>&lt;</w:t>
      </w:r>
      <w:r w:rsidRPr="00BD1C17">
        <w:rPr>
          <w:rFonts w:ascii="Bookman Old Style" w:hAnsi="Bookman Old Style" w:cs="Bookman Old Style"/>
          <w:i/>
          <w:iCs/>
          <w:spacing w:val="-2"/>
          <w:sz w:val="20"/>
          <w:szCs w:val="20"/>
        </w:rPr>
        <w:t xml:space="preserve"> </w:t>
      </w:r>
      <w:r w:rsidRPr="00BD1C17">
        <w:rPr>
          <w:rFonts w:ascii="Euclid" w:hAnsi="Euclid" w:cs="Euclid"/>
          <w:sz w:val="20"/>
          <w:szCs w:val="20"/>
        </w:rPr>
        <w:t>0</w:t>
      </w:r>
      <w:r w:rsidRPr="00BD1C17">
        <w:rPr>
          <w:rFonts w:ascii="Bookman Old Style" w:hAnsi="Bookman Old Style" w:cs="Bookman Old Style"/>
          <w:i/>
          <w:iCs/>
          <w:sz w:val="20"/>
          <w:szCs w:val="20"/>
        </w:rPr>
        <w:t>.</w:t>
      </w:r>
      <w:r w:rsidRPr="00BD1C17">
        <w:rPr>
          <w:rFonts w:ascii="Euclid" w:hAnsi="Euclid" w:cs="Euclid"/>
          <w:sz w:val="20"/>
          <w:szCs w:val="20"/>
        </w:rPr>
        <w:t>01.</w:t>
      </w:r>
    </w:p>
    <w:p w14:paraId="67E75D32" w14:textId="7B050865" w:rsidR="00BD1C17" w:rsidRPr="00BD1C17" w:rsidRDefault="00593764" w:rsidP="00BD1C17">
      <w:pPr>
        <w:kinsoku w:val="0"/>
        <w:overflowPunct w:val="0"/>
        <w:autoSpaceDE w:val="0"/>
        <w:autoSpaceDN w:val="0"/>
        <w:adjustRightInd w:val="0"/>
        <w:spacing w:before="14" w:after="0" w:line="240" w:lineRule="auto"/>
        <w:rPr>
          <w:rFonts w:ascii="Euclid" w:hAnsi="Euclid" w:cs="Euclid"/>
          <w:sz w:val="11"/>
          <w:szCs w:val="11"/>
        </w:rPr>
      </w:pPr>
      <w:r>
        <w:rPr>
          <w:rFonts w:asciiTheme="majorBidi" w:hAnsiTheme="majorBidi" w:cstheme="majorBidi"/>
          <w:sz w:val="24"/>
          <w:szCs w:val="24"/>
        </w:rPr>
        <w:lastRenderedPageBreak/>
        <w:t xml:space="preserve">Panel B: Unpublished Cases </w:t>
      </w:r>
    </w:p>
    <w:tbl>
      <w:tblPr>
        <w:tblW w:w="9625" w:type="dxa"/>
        <w:tblInd w:w="102" w:type="dxa"/>
        <w:tblLayout w:type="fixed"/>
        <w:tblCellMar>
          <w:left w:w="0" w:type="dxa"/>
          <w:right w:w="0" w:type="dxa"/>
        </w:tblCellMar>
        <w:tblLook w:val="0000" w:firstRow="0" w:lastRow="0" w:firstColumn="0" w:lastColumn="0" w:noHBand="0" w:noVBand="0"/>
      </w:tblPr>
      <w:tblGrid>
        <w:gridCol w:w="1529"/>
        <w:gridCol w:w="869"/>
        <w:gridCol w:w="1012"/>
        <w:gridCol w:w="942"/>
        <w:gridCol w:w="1208"/>
        <w:gridCol w:w="1318"/>
        <w:gridCol w:w="942"/>
        <w:gridCol w:w="939"/>
        <w:gridCol w:w="866"/>
      </w:tblGrid>
      <w:tr w:rsidR="00BD1C17" w:rsidRPr="00BD1C17" w14:paraId="4D794B78" w14:textId="77777777" w:rsidTr="00964366">
        <w:trPr>
          <w:trHeight w:val="388"/>
        </w:trPr>
        <w:tc>
          <w:tcPr>
            <w:tcW w:w="1529" w:type="dxa"/>
            <w:vMerge w:val="restart"/>
            <w:tcBorders>
              <w:top w:val="double" w:sz="2" w:space="0" w:color="000000"/>
              <w:left w:val="none" w:sz="6" w:space="0" w:color="auto"/>
              <w:bottom w:val="single" w:sz="4" w:space="0" w:color="000000"/>
              <w:right w:val="none" w:sz="6" w:space="0" w:color="auto"/>
            </w:tcBorders>
          </w:tcPr>
          <w:p w14:paraId="31EF39CE"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c>
          <w:tcPr>
            <w:tcW w:w="869" w:type="dxa"/>
            <w:tcBorders>
              <w:top w:val="double" w:sz="2" w:space="0" w:color="000000"/>
              <w:left w:val="none" w:sz="6" w:space="0" w:color="auto"/>
              <w:bottom w:val="none" w:sz="6" w:space="0" w:color="auto"/>
              <w:right w:val="none" w:sz="6" w:space="0" w:color="auto"/>
            </w:tcBorders>
          </w:tcPr>
          <w:p w14:paraId="41896A3A" w14:textId="77777777" w:rsidR="00BD1C17" w:rsidRPr="00BD1C17" w:rsidRDefault="00BD1C17" w:rsidP="00BD1C17">
            <w:pPr>
              <w:kinsoku w:val="0"/>
              <w:overflowPunct w:val="0"/>
              <w:autoSpaceDE w:val="0"/>
              <w:autoSpaceDN w:val="0"/>
              <w:adjustRightInd w:val="0"/>
              <w:spacing w:before="33" w:after="0" w:line="240" w:lineRule="auto"/>
              <w:ind w:left="87" w:right="85"/>
              <w:jc w:val="center"/>
              <w:rPr>
                <w:rFonts w:ascii="Euclid" w:hAnsi="Euclid" w:cs="Euclid"/>
                <w:spacing w:val="-4"/>
                <w:sz w:val="20"/>
                <w:szCs w:val="20"/>
              </w:rPr>
            </w:pPr>
            <w:r w:rsidRPr="00BD1C17">
              <w:rPr>
                <w:rFonts w:ascii="Euclid" w:hAnsi="Euclid" w:cs="Euclid"/>
                <w:spacing w:val="-4"/>
                <w:sz w:val="20"/>
                <w:szCs w:val="20"/>
              </w:rPr>
              <w:t>(1)</w:t>
            </w:r>
          </w:p>
        </w:tc>
        <w:tc>
          <w:tcPr>
            <w:tcW w:w="1012" w:type="dxa"/>
            <w:tcBorders>
              <w:top w:val="double" w:sz="2" w:space="0" w:color="000000"/>
              <w:left w:val="none" w:sz="6" w:space="0" w:color="auto"/>
              <w:bottom w:val="none" w:sz="6" w:space="0" w:color="auto"/>
              <w:right w:val="none" w:sz="6" w:space="0" w:color="auto"/>
            </w:tcBorders>
          </w:tcPr>
          <w:p w14:paraId="4FBD1D78" w14:textId="77777777" w:rsidR="00BD1C17" w:rsidRPr="00BD1C17" w:rsidRDefault="00BD1C17" w:rsidP="00BD1C17">
            <w:pPr>
              <w:kinsoku w:val="0"/>
              <w:overflowPunct w:val="0"/>
              <w:autoSpaceDE w:val="0"/>
              <w:autoSpaceDN w:val="0"/>
              <w:adjustRightInd w:val="0"/>
              <w:spacing w:before="33" w:after="0" w:line="240" w:lineRule="auto"/>
              <w:ind w:left="107" w:right="103"/>
              <w:jc w:val="center"/>
              <w:rPr>
                <w:rFonts w:ascii="Euclid" w:hAnsi="Euclid" w:cs="Euclid"/>
                <w:spacing w:val="-4"/>
                <w:sz w:val="20"/>
                <w:szCs w:val="20"/>
              </w:rPr>
            </w:pPr>
            <w:r w:rsidRPr="00BD1C17">
              <w:rPr>
                <w:rFonts w:ascii="Euclid" w:hAnsi="Euclid" w:cs="Euclid"/>
                <w:spacing w:val="-4"/>
                <w:sz w:val="20"/>
                <w:szCs w:val="20"/>
              </w:rPr>
              <w:t>(2)</w:t>
            </w:r>
          </w:p>
        </w:tc>
        <w:tc>
          <w:tcPr>
            <w:tcW w:w="942" w:type="dxa"/>
            <w:tcBorders>
              <w:top w:val="double" w:sz="2" w:space="0" w:color="000000"/>
              <w:left w:val="none" w:sz="6" w:space="0" w:color="auto"/>
              <w:bottom w:val="none" w:sz="6" w:space="0" w:color="auto"/>
              <w:right w:val="none" w:sz="6" w:space="0" w:color="auto"/>
            </w:tcBorders>
          </w:tcPr>
          <w:p w14:paraId="25205BBD" w14:textId="77777777" w:rsidR="00BD1C17" w:rsidRPr="00BD1C17" w:rsidRDefault="00BD1C17" w:rsidP="00BD1C17">
            <w:pPr>
              <w:kinsoku w:val="0"/>
              <w:overflowPunct w:val="0"/>
              <w:autoSpaceDE w:val="0"/>
              <w:autoSpaceDN w:val="0"/>
              <w:adjustRightInd w:val="0"/>
              <w:spacing w:before="33" w:after="0" w:line="240" w:lineRule="auto"/>
              <w:ind w:left="76" w:right="65"/>
              <w:jc w:val="center"/>
              <w:rPr>
                <w:rFonts w:ascii="Euclid" w:hAnsi="Euclid" w:cs="Euclid"/>
                <w:spacing w:val="-4"/>
                <w:sz w:val="20"/>
                <w:szCs w:val="20"/>
              </w:rPr>
            </w:pPr>
            <w:r w:rsidRPr="00BD1C17">
              <w:rPr>
                <w:rFonts w:ascii="Euclid" w:hAnsi="Euclid" w:cs="Euclid"/>
                <w:spacing w:val="-4"/>
                <w:sz w:val="20"/>
                <w:szCs w:val="20"/>
              </w:rPr>
              <w:t>(3)</w:t>
            </w:r>
          </w:p>
        </w:tc>
        <w:tc>
          <w:tcPr>
            <w:tcW w:w="1208" w:type="dxa"/>
            <w:tcBorders>
              <w:top w:val="double" w:sz="2" w:space="0" w:color="000000"/>
              <w:left w:val="none" w:sz="6" w:space="0" w:color="auto"/>
              <w:bottom w:val="none" w:sz="6" w:space="0" w:color="auto"/>
              <w:right w:val="none" w:sz="6" w:space="0" w:color="auto"/>
            </w:tcBorders>
          </w:tcPr>
          <w:p w14:paraId="656C1EA6" w14:textId="77777777" w:rsidR="00BD1C17" w:rsidRPr="00BD1C17" w:rsidRDefault="00BD1C17" w:rsidP="00BD1C17">
            <w:pPr>
              <w:kinsoku w:val="0"/>
              <w:overflowPunct w:val="0"/>
              <w:autoSpaceDE w:val="0"/>
              <w:autoSpaceDN w:val="0"/>
              <w:adjustRightInd w:val="0"/>
              <w:spacing w:before="33" w:after="0" w:line="240" w:lineRule="auto"/>
              <w:ind w:left="106" w:right="92"/>
              <w:jc w:val="center"/>
              <w:rPr>
                <w:rFonts w:ascii="Euclid" w:hAnsi="Euclid" w:cs="Euclid"/>
                <w:spacing w:val="-4"/>
                <w:sz w:val="20"/>
                <w:szCs w:val="20"/>
              </w:rPr>
            </w:pPr>
            <w:r w:rsidRPr="00BD1C17">
              <w:rPr>
                <w:rFonts w:ascii="Euclid" w:hAnsi="Euclid" w:cs="Euclid"/>
                <w:spacing w:val="-4"/>
                <w:sz w:val="20"/>
                <w:szCs w:val="20"/>
              </w:rPr>
              <w:t>(4)</w:t>
            </w:r>
          </w:p>
        </w:tc>
        <w:tc>
          <w:tcPr>
            <w:tcW w:w="1318" w:type="dxa"/>
            <w:tcBorders>
              <w:top w:val="double" w:sz="2" w:space="0" w:color="000000"/>
              <w:left w:val="none" w:sz="6" w:space="0" w:color="auto"/>
              <w:bottom w:val="none" w:sz="6" w:space="0" w:color="auto"/>
              <w:right w:val="none" w:sz="6" w:space="0" w:color="auto"/>
            </w:tcBorders>
          </w:tcPr>
          <w:p w14:paraId="7FE0C0F5" w14:textId="77777777" w:rsidR="00BD1C17" w:rsidRPr="00BD1C17" w:rsidRDefault="00BD1C17" w:rsidP="00BD1C17">
            <w:pPr>
              <w:kinsoku w:val="0"/>
              <w:overflowPunct w:val="0"/>
              <w:autoSpaceDE w:val="0"/>
              <w:autoSpaceDN w:val="0"/>
              <w:adjustRightInd w:val="0"/>
              <w:spacing w:before="33" w:after="0" w:line="240" w:lineRule="auto"/>
              <w:ind w:left="112" w:right="100"/>
              <w:jc w:val="center"/>
              <w:rPr>
                <w:rFonts w:ascii="Euclid" w:hAnsi="Euclid" w:cs="Euclid"/>
                <w:spacing w:val="-4"/>
                <w:sz w:val="20"/>
                <w:szCs w:val="20"/>
              </w:rPr>
            </w:pPr>
            <w:r w:rsidRPr="00BD1C17">
              <w:rPr>
                <w:rFonts w:ascii="Euclid" w:hAnsi="Euclid" w:cs="Euclid"/>
                <w:spacing w:val="-4"/>
                <w:sz w:val="20"/>
                <w:szCs w:val="20"/>
              </w:rPr>
              <w:t>(5)</w:t>
            </w:r>
          </w:p>
        </w:tc>
        <w:tc>
          <w:tcPr>
            <w:tcW w:w="942" w:type="dxa"/>
            <w:tcBorders>
              <w:top w:val="double" w:sz="2" w:space="0" w:color="000000"/>
              <w:left w:val="none" w:sz="6" w:space="0" w:color="auto"/>
              <w:bottom w:val="none" w:sz="6" w:space="0" w:color="auto"/>
              <w:right w:val="none" w:sz="6" w:space="0" w:color="auto"/>
            </w:tcBorders>
          </w:tcPr>
          <w:p w14:paraId="6C578477" w14:textId="77777777" w:rsidR="00BD1C17" w:rsidRPr="00BD1C17" w:rsidRDefault="00BD1C17" w:rsidP="00BD1C17">
            <w:pPr>
              <w:kinsoku w:val="0"/>
              <w:overflowPunct w:val="0"/>
              <w:autoSpaceDE w:val="0"/>
              <w:autoSpaceDN w:val="0"/>
              <w:adjustRightInd w:val="0"/>
              <w:spacing w:before="33" w:after="0" w:line="240" w:lineRule="auto"/>
              <w:ind w:left="76" w:right="57"/>
              <w:jc w:val="center"/>
              <w:rPr>
                <w:rFonts w:ascii="Euclid" w:hAnsi="Euclid" w:cs="Euclid"/>
                <w:spacing w:val="-4"/>
                <w:sz w:val="20"/>
                <w:szCs w:val="20"/>
              </w:rPr>
            </w:pPr>
            <w:r w:rsidRPr="00BD1C17">
              <w:rPr>
                <w:rFonts w:ascii="Euclid" w:hAnsi="Euclid" w:cs="Euclid"/>
                <w:spacing w:val="-4"/>
                <w:sz w:val="20"/>
                <w:szCs w:val="20"/>
              </w:rPr>
              <w:t>(6)</w:t>
            </w:r>
          </w:p>
        </w:tc>
        <w:tc>
          <w:tcPr>
            <w:tcW w:w="939" w:type="dxa"/>
            <w:tcBorders>
              <w:top w:val="double" w:sz="2" w:space="0" w:color="000000"/>
              <w:left w:val="none" w:sz="6" w:space="0" w:color="auto"/>
              <w:bottom w:val="none" w:sz="6" w:space="0" w:color="auto"/>
              <w:right w:val="none" w:sz="6" w:space="0" w:color="auto"/>
            </w:tcBorders>
          </w:tcPr>
          <w:p w14:paraId="7481C708" w14:textId="77777777" w:rsidR="00BD1C17" w:rsidRPr="00BD1C17" w:rsidRDefault="00BD1C17" w:rsidP="00BD1C17">
            <w:pPr>
              <w:kinsoku w:val="0"/>
              <w:overflowPunct w:val="0"/>
              <w:autoSpaceDE w:val="0"/>
              <w:autoSpaceDN w:val="0"/>
              <w:adjustRightInd w:val="0"/>
              <w:spacing w:before="33" w:after="0" w:line="240" w:lineRule="auto"/>
              <w:ind w:left="115" w:right="94"/>
              <w:jc w:val="center"/>
              <w:rPr>
                <w:rFonts w:ascii="Euclid" w:hAnsi="Euclid" w:cs="Euclid"/>
                <w:spacing w:val="-4"/>
                <w:sz w:val="20"/>
                <w:szCs w:val="20"/>
              </w:rPr>
            </w:pPr>
            <w:r w:rsidRPr="00BD1C17">
              <w:rPr>
                <w:rFonts w:ascii="Euclid" w:hAnsi="Euclid" w:cs="Euclid"/>
                <w:spacing w:val="-4"/>
                <w:sz w:val="20"/>
                <w:szCs w:val="20"/>
              </w:rPr>
              <w:t>(7)</w:t>
            </w:r>
          </w:p>
        </w:tc>
        <w:tc>
          <w:tcPr>
            <w:tcW w:w="866" w:type="dxa"/>
            <w:tcBorders>
              <w:top w:val="double" w:sz="2" w:space="0" w:color="000000"/>
              <w:left w:val="none" w:sz="6" w:space="0" w:color="auto"/>
              <w:bottom w:val="none" w:sz="6" w:space="0" w:color="auto"/>
              <w:right w:val="none" w:sz="6" w:space="0" w:color="auto"/>
            </w:tcBorders>
          </w:tcPr>
          <w:p w14:paraId="31BD7D36" w14:textId="77777777" w:rsidR="00BD1C17" w:rsidRPr="00BD1C17" w:rsidRDefault="00BD1C17" w:rsidP="00BD1C17">
            <w:pPr>
              <w:kinsoku w:val="0"/>
              <w:overflowPunct w:val="0"/>
              <w:autoSpaceDE w:val="0"/>
              <w:autoSpaceDN w:val="0"/>
              <w:adjustRightInd w:val="0"/>
              <w:spacing w:before="33" w:after="0" w:line="240" w:lineRule="auto"/>
              <w:ind w:left="299" w:right="282"/>
              <w:jc w:val="center"/>
              <w:rPr>
                <w:rFonts w:ascii="Euclid" w:hAnsi="Euclid" w:cs="Euclid"/>
                <w:spacing w:val="-4"/>
                <w:sz w:val="20"/>
                <w:szCs w:val="20"/>
              </w:rPr>
            </w:pPr>
            <w:r w:rsidRPr="00BD1C17">
              <w:rPr>
                <w:rFonts w:ascii="Euclid" w:hAnsi="Euclid" w:cs="Euclid"/>
                <w:spacing w:val="-4"/>
                <w:sz w:val="20"/>
                <w:szCs w:val="20"/>
              </w:rPr>
              <w:t>(8)</w:t>
            </w:r>
          </w:p>
        </w:tc>
      </w:tr>
      <w:tr w:rsidR="00BD1C17" w:rsidRPr="00BD1C17" w14:paraId="0CA3CA78" w14:textId="77777777" w:rsidTr="00964366">
        <w:trPr>
          <w:trHeight w:val="330"/>
        </w:trPr>
        <w:tc>
          <w:tcPr>
            <w:tcW w:w="1529" w:type="dxa"/>
            <w:vMerge/>
            <w:tcBorders>
              <w:top w:val="nil"/>
              <w:left w:val="none" w:sz="6" w:space="0" w:color="auto"/>
              <w:bottom w:val="single" w:sz="4" w:space="0" w:color="000000"/>
              <w:right w:val="none" w:sz="6" w:space="0" w:color="auto"/>
            </w:tcBorders>
          </w:tcPr>
          <w:p w14:paraId="4151260B" w14:textId="77777777" w:rsidR="00BD1C17" w:rsidRPr="00BD1C17" w:rsidRDefault="00BD1C17" w:rsidP="00BD1C17">
            <w:pPr>
              <w:kinsoku w:val="0"/>
              <w:overflowPunct w:val="0"/>
              <w:autoSpaceDE w:val="0"/>
              <w:autoSpaceDN w:val="0"/>
              <w:adjustRightInd w:val="0"/>
              <w:spacing w:before="14" w:after="0" w:line="240" w:lineRule="auto"/>
              <w:rPr>
                <w:rFonts w:ascii="Euclid" w:hAnsi="Euclid" w:cs="Euclid"/>
                <w:sz w:val="2"/>
                <w:szCs w:val="2"/>
              </w:rPr>
            </w:pPr>
          </w:p>
        </w:tc>
        <w:tc>
          <w:tcPr>
            <w:tcW w:w="869" w:type="dxa"/>
            <w:tcBorders>
              <w:top w:val="none" w:sz="6" w:space="0" w:color="auto"/>
              <w:left w:val="none" w:sz="6" w:space="0" w:color="auto"/>
              <w:bottom w:val="single" w:sz="4" w:space="0" w:color="000000"/>
              <w:right w:val="none" w:sz="6" w:space="0" w:color="auto"/>
            </w:tcBorders>
          </w:tcPr>
          <w:p w14:paraId="612D399A" w14:textId="77777777" w:rsidR="00BD1C17" w:rsidRPr="00BD1C17" w:rsidRDefault="00BD1C17" w:rsidP="00BD1C17">
            <w:pPr>
              <w:kinsoku w:val="0"/>
              <w:overflowPunct w:val="0"/>
              <w:autoSpaceDE w:val="0"/>
              <w:autoSpaceDN w:val="0"/>
              <w:adjustRightInd w:val="0"/>
              <w:spacing w:after="0" w:line="311" w:lineRule="exact"/>
              <w:ind w:left="87" w:right="86"/>
              <w:jc w:val="center"/>
              <w:rPr>
                <w:rFonts w:ascii="Euclid" w:hAnsi="Euclid" w:cs="Euclid"/>
                <w:spacing w:val="-2"/>
                <w:sz w:val="20"/>
                <w:szCs w:val="20"/>
              </w:rPr>
            </w:pPr>
            <w:r w:rsidRPr="00BD1C17">
              <w:rPr>
                <w:rFonts w:ascii="Euclid" w:hAnsi="Euclid" w:cs="Euclid"/>
                <w:spacing w:val="-2"/>
                <w:sz w:val="20"/>
                <w:szCs w:val="20"/>
              </w:rPr>
              <w:t>Violent</w:t>
            </w:r>
          </w:p>
        </w:tc>
        <w:tc>
          <w:tcPr>
            <w:tcW w:w="1012" w:type="dxa"/>
            <w:tcBorders>
              <w:top w:val="none" w:sz="6" w:space="0" w:color="auto"/>
              <w:left w:val="none" w:sz="6" w:space="0" w:color="auto"/>
              <w:bottom w:val="single" w:sz="4" w:space="0" w:color="000000"/>
              <w:right w:val="none" w:sz="6" w:space="0" w:color="auto"/>
            </w:tcBorders>
          </w:tcPr>
          <w:p w14:paraId="1F07BF56" w14:textId="77777777" w:rsidR="00BD1C17" w:rsidRPr="00BD1C17" w:rsidRDefault="00BD1C17" w:rsidP="00BD1C17">
            <w:pPr>
              <w:kinsoku w:val="0"/>
              <w:overflowPunct w:val="0"/>
              <w:autoSpaceDE w:val="0"/>
              <w:autoSpaceDN w:val="0"/>
              <w:adjustRightInd w:val="0"/>
              <w:spacing w:after="0" w:line="311" w:lineRule="exact"/>
              <w:ind w:left="107" w:right="105"/>
              <w:jc w:val="center"/>
              <w:rPr>
                <w:rFonts w:ascii="Euclid" w:hAnsi="Euclid" w:cs="Euclid"/>
                <w:spacing w:val="-2"/>
                <w:sz w:val="20"/>
                <w:szCs w:val="20"/>
              </w:rPr>
            </w:pPr>
            <w:r w:rsidRPr="00BD1C17">
              <w:rPr>
                <w:rFonts w:ascii="Euclid" w:hAnsi="Euclid" w:cs="Euclid"/>
                <w:spacing w:val="-2"/>
                <w:sz w:val="20"/>
                <w:szCs w:val="20"/>
              </w:rPr>
              <w:t>Property</w:t>
            </w:r>
          </w:p>
        </w:tc>
        <w:tc>
          <w:tcPr>
            <w:tcW w:w="942" w:type="dxa"/>
            <w:tcBorders>
              <w:top w:val="none" w:sz="6" w:space="0" w:color="auto"/>
              <w:left w:val="none" w:sz="6" w:space="0" w:color="auto"/>
              <w:bottom w:val="single" w:sz="4" w:space="0" w:color="000000"/>
              <w:right w:val="none" w:sz="6" w:space="0" w:color="auto"/>
            </w:tcBorders>
          </w:tcPr>
          <w:p w14:paraId="0743F96C" w14:textId="77777777" w:rsidR="00BD1C17" w:rsidRPr="00BD1C17" w:rsidRDefault="00BD1C17" w:rsidP="00BD1C17">
            <w:pPr>
              <w:kinsoku w:val="0"/>
              <w:overflowPunct w:val="0"/>
              <w:autoSpaceDE w:val="0"/>
              <w:autoSpaceDN w:val="0"/>
              <w:adjustRightInd w:val="0"/>
              <w:spacing w:after="0" w:line="311" w:lineRule="exact"/>
              <w:ind w:left="76" w:right="67"/>
              <w:jc w:val="center"/>
              <w:rPr>
                <w:rFonts w:ascii="Euclid" w:hAnsi="Euclid" w:cs="Euclid"/>
                <w:spacing w:val="-2"/>
                <w:sz w:val="20"/>
                <w:szCs w:val="20"/>
              </w:rPr>
            </w:pPr>
            <w:r w:rsidRPr="00BD1C17">
              <w:rPr>
                <w:rFonts w:ascii="Euclid" w:hAnsi="Euclid" w:cs="Euclid"/>
                <w:spacing w:val="-2"/>
                <w:sz w:val="20"/>
                <w:szCs w:val="20"/>
              </w:rPr>
              <w:t>Fraud</w:t>
            </w:r>
          </w:p>
        </w:tc>
        <w:tc>
          <w:tcPr>
            <w:tcW w:w="1208" w:type="dxa"/>
            <w:tcBorders>
              <w:top w:val="none" w:sz="6" w:space="0" w:color="auto"/>
              <w:left w:val="none" w:sz="6" w:space="0" w:color="auto"/>
              <w:bottom w:val="single" w:sz="4" w:space="0" w:color="000000"/>
              <w:right w:val="none" w:sz="6" w:space="0" w:color="auto"/>
            </w:tcBorders>
          </w:tcPr>
          <w:p w14:paraId="55C45A08" w14:textId="77777777" w:rsidR="00BD1C17" w:rsidRPr="00BD1C17" w:rsidRDefault="00BD1C17" w:rsidP="00BD1C17">
            <w:pPr>
              <w:kinsoku w:val="0"/>
              <w:overflowPunct w:val="0"/>
              <w:autoSpaceDE w:val="0"/>
              <w:autoSpaceDN w:val="0"/>
              <w:adjustRightInd w:val="0"/>
              <w:spacing w:after="0" w:line="311" w:lineRule="exact"/>
              <w:ind w:left="106" w:right="95"/>
              <w:jc w:val="center"/>
              <w:rPr>
                <w:rFonts w:ascii="Euclid" w:hAnsi="Euclid" w:cs="Euclid"/>
                <w:spacing w:val="-2"/>
                <w:sz w:val="20"/>
                <w:szCs w:val="20"/>
              </w:rPr>
            </w:pPr>
            <w:r w:rsidRPr="00BD1C17">
              <w:rPr>
                <w:rFonts w:ascii="Euclid" w:hAnsi="Euclid" w:cs="Euclid"/>
                <w:spacing w:val="-2"/>
                <w:sz w:val="20"/>
                <w:szCs w:val="20"/>
              </w:rPr>
              <w:t>Sex-Family</w:t>
            </w:r>
          </w:p>
        </w:tc>
        <w:tc>
          <w:tcPr>
            <w:tcW w:w="1318" w:type="dxa"/>
            <w:tcBorders>
              <w:top w:val="none" w:sz="6" w:space="0" w:color="auto"/>
              <w:left w:val="none" w:sz="6" w:space="0" w:color="auto"/>
              <w:bottom w:val="single" w:sz="4" w:space="0" w:color="000000"/>
              <w:right w:val="none" w:sz="6" w:space="0" w:color="auto"/>
            </w:tcBorders>
          </w:tcPr>
          <w:p w14:paraId="68BECEC7" w14:textId="77777777" w:rsidR="00BD1C17" w:rsidRPr="00BD1C17" w:rsidRDefault="00BD1C17" w:rsidP="00BD1C17">
            <w:pPr>
              <w:kinsoku w:val="0"/>
              <w:overflowPunct w:val="0"/>
              <w:autoSpaceDE w:val="0"/>
              <w:autoSpaceDN w:val="0"/>
              <w:adjustRightInd w:val="0"/>
              <w:spacing w:after="0" w:line="311" w:lineRule="exact"/>
              <w:ind w:left="112" w:right="104"/>
              <w:jc w:val="center"/>
              <w:rPr>
                <w:rFonts w:ascii="Euclid" w:hAnsi="Euclid" w:cs="Euclid"/>
                <w:spacing w:val="-2"/>
                <w:sz w:val="20"/>
                <w:szCs w:val="20"/>
              </w:rPr>
            </w:pPr>
            <w:r w:rsidRPr="00BD1C17">
              <w:rPr>
                <w:rFonts w:ascii="Euclid" w:hAnsi="Euclid" w:cs="Euclid"/>
                <w:spacing w:val="-2"/>
                <w:sz w:val="20"/>
                <w:szCs w:val="20"/>
              </w:rPr>
              <w:t>Immigration</w:t>
            </w:r>
          </w:p>
        </w:tc>
        <w:tc>
          <w:tcPr>
            <w:tcW w:w="942" w:type="dxa"/>
            <w:tcBorders>
              <w:top w:val="none" w:sz="6" w:space="0" w:color="auto"/>
              <w:left w:val="none" w:sz="6" w:space="0" w:color="auto"/>
              <w:bottom w:val="single" w:sz="4" w:space="0" w:color="000000"/>
              <w:right w:val="none" w:sz="6" w:space="0" w:color="auto"/>
            </w:tcBorders>
          </w:tcPr>
          <w:p w14:paraId="7B0F9B61" w14:textId="77777777" w:rsidR="00BD1C17" w:rsidRPr="00BD1C17" w:rsidRDefault="00BD1C17" w:rsidP="00BD1C17">
            <w:pPr>
              <w:kinsoku w:val="0"/>
              <w:overflowPunct w:val="0"/>
              <w:autoSpaceDE w:val="0"/>
              <w:autoSpaceDN w:val="0"/>
              <w:adjustRightInd w:val="0"/>
              <w:spacing w:after="0" w:line="311" w:lineRule="exact"/>
              <w:ind w:left="76" w:right="62"/>
              <w:jc w:val="center"/>
              <w:rPr>
                <w:rFonts w:ascii="Euclid" w:hAnsi="Euclid" w:cs="Euclid"/>
                <w:spacing w:val="-4"/>
                <w:sz w:val="20"/>
                <w:szCs w:val="20"/>
              </w:rPr>
            </w:pPr>
            <w:r w:rsidRPr="00BD1C17">
              <w:rPr>
                <w:rFonts w:ascii="Euclid" w:hAnsi="Euclid" w:cs="Euclid"/>
                <w:spacing w:val="-4"/>
                <w:sz w:val="20"/>
                <w:szCs w:val="20"/>
              </w:rPr>
              <w:t>Drug</w:t>
            </w:r>
          </w:p>
        </w:tc>
        <w:tc>
          <w:tcPr>
            <w:tcW w:w="939" w:type="dxa"/>
            <w:tcBorders>
              <w:top w:val="none" w:sz="6" w:space="0" w:color="auto"/>
              <w:left w:val="none" w:sz="6" w:space="0" w:color="auto"/>
              <w:bottom w:val="single" w:sz="4" w:space="0" w:color="000000"/>
              <w:right w:val="none" w:sz="6" w:space="0" w:color="auto"/>
            </w:tcBorders>
          </w:tcPr>
          <w:p w14:paraId="20C8D871" w14:textId="77777777" w:rsidR="00BD1C17" w:rsidRPr="00BD1C17" w:rsidRDefault="00BD1C17" w:rsidP="00BD1C17">
            <w:pPr>
              <w:kinsoku w:val="0"/>
              <w:overflowPunct w:val="0"/>
              <w:autoSpaceDE w:val="0"/>
              <w:autoSpaceDN w:val="0"/>
              <w:adjustRightInd w:val="0"/>
              <w:spacing w:after="0" w:line="311" w:lineRule="exact"/>
              <w:ind w:left="115" w:right="98"/>
              <w:jc w:val="center"/>
              <w:rPr>
                <w:rFonts w:ascii="Euclid" w:hAnsi="Euclid" w:cs="Euclid"/>
                <w:spacing w:val="-2"/>
                <w:sz w:val="20"/>
                <w:szCs w:val="20"/>
              </w:rPr>
            </w:pPr>
            <w:r w:rsidRPr="00BD1C17">
              <w:rPr>
                <w:rFonts w:ascii="Euclid" w:hAnsi="Euclid" w:cs="Euclid"/>
                <w:spacing w:val="-2"/>
                <w:sz w:val="20"/>
                <w:szCs w:val="20"/>
              </w:rPr>
              <w:t>Firearm</w:t>
            </w:r>
          </w:p>
        </w:tc>
        <w:tc>
          <w:tcPr>
            <w:tcW w:w="866" w:type="dxa"/>
            <w:tcBorders>
              <w:top w:val="none" w:sz="6" w:space="0" w:color="auto"/>
              <w:left w:val="none" w:sz="6" w:space="0" w:color="auto"/>
              <w:bottom w:val="single" w:sz="4" w:space="0" w:color="000000"/>
              <w:right w:val="none" w:sz="6" w:space="0" w:color="auto"/>
            </w:tcBorders>
          </w:tcPr>
          <w:p w14:paraId="542438CC" w14:textId="77777777" w:rsidR="00BD1C17" w:rsidRPr="00BD1C17" w:rsidRDefault="00BD1C17" w:rsidP="00BD1C17">
            <w:pPr>
              <w:kinsoku w:val="0"/>
              <w:overflowPunct w:val="0"/>
              <w:autoSpaceDE w:val="0"/>
              <w:autoSpaceDN w:val="0"/>
              <w:adjustRightInd w:val="0"/>
              <w:spacing w:after="0" w:line="311" w:lineRule="exact"/>
              <w:ind w:left="184"/>
              <w:rPr>
                <w:rFonts w:ascii="Euclid" w:hAnsi="Euclid" w:cs="Euclid"/>
                <w:spacing w:val="-2"/>
                <w:sz w:val="20"/>
                <w:szCs w:val="20"/>
              </w:rPr>
            </w:pPr>
            <w:r w:rsidRPr="00BD1C17">
              <w:rPr>
                <w:rFonts w:ascii="Euclid" w:hAnsi="Euclid" w:cs="Euclid"/>
                <w:spacing w:val="-2"/>
                <w:sz w:val="20"/>
                <w:szCs w:val="20"/>
              </w:rPr>
              <w:t>Other</w:t>
            </w:r>
          </w:p>
        </w:tc>
      </w:tr>
      <w:tr w:rsidR="00BD1C17" w:rsidRPr="00BD1C17" w14:paraId="54F8D53D" w14:textId="77777777" w:rsidTr="00964366">
        <w:trPr>
          <w:trHeight w:val="379"/>
        </w:trPr>
        <w:tc>
          <w:tcPr>
            <w:tcW w:w="1529" w:type="dxa"/>
            <w:tcBorders>
              <w:top w:val="single" w:sz="4" w:space="0" w:color="000000"/>
              <w:left w:val="none" w:sz="6" w:space="0" w:color="auto"/>
              <w:bottom w:val="none" w:sz="6" w:space="0" w:color="auto"/>
              <w:right w:val="none" w:sz="6" w:space="0" w:color="auto"/>
            </w:tcBorders>
          </w:tcPr>
          <w:p w14:paraId="029B27B4" w14:textId="77777777" w:rsidR="00BD1C17" w:rsidRPr="00BD1C17" w:rsidRDefault="00BD1C17" w:rsidP="00BD1C17">
            <w:pPr>
              <w:kinsoku w:val="0"/>
              <w:overflowPunct w:val="0"/>
              <w:autoSpaceDE w:val="0"/>
              <w:autoSpaceDN w:val="0"/>
              <w:adjustRightInd w:val="0"/>
              <w:spacing w:before="19" w:after="0" w:line="240" w:lineRule="auto"/>
              <w:ind w:left="119"/>
              <w:rPr>
                <w:rFonts w:ascii="Euclid" w:hAnsi="Euclid" w:cs="Euclid"/>
                <w:spacing w:val="-4"/>
                <w:sz w:val="20"/>
                <w:szCs w:val="20"/>
              </w:rPr>
            </w:pPr>
            <w:r w:rsidRPr="00BD1C17">
              <w:rPr>
                <w:rFonts w:ascii="Euclid" w:hAnsi="Euclid" w:cs="Euclid"/>
                <w:spacing w:val="-4"/>
                <w:sz w:val="20"/>
                <w:szCs w:val="20"/>
              </w:rPr>
              <w:t>RRR</w:t>
            </w:r>
          </w:p>
        </w:tc>
        <w:tc>
          <w:tcPr>
            <w:tcW w:w="869" w:type="dxa"/>
            <w:tcBorders>
              <w:top w:val="single" w:sz="4" w:space="0" w:color="000000"/>
              <w:left w:val="none" w:sz="6" w:space="0" w:color="auto"/>
              <w:bottom w:val="none" w:sz="6" w:space="0" w:color="auto"/>
              <w:right w:val="none" w:sz="6" w:space="0" w:color="auto"/>
            </w:tcBorders>
          </w:tcPr>
          <w:p w14:paraId="154ECA28" w14:textId="77777777" w:rsidR="00BD1C17" w:rsidRPr="00BD1C17" w:rsidRDefault="00BD1C17" w:rsidP="00BD1C17">
            <w:pPr>
              <w:kinsoku w:val="0"/>
              <w:overflowPunct w:val="0"/>
              <w:autoSpaceDE w:val="0"/>
              <w:autoSpaceDN w:val="0"/>
              <w:adjustRightInd w:val="0"/>
              <w:spacing w:before="19" w:after="0" w:line="240" w:lineRule="auto"/>
              <w:ind w:left="87" w:right="85"/>
              <w:jc w:val="center"/>
              <w:rPr>
                <w:rFonts w:ascii="Euclid" w:hAnsi="Euclid" w:cs="Euclid"/>
                <w:spacing w:val="-2"/>
                <w:sz w:val="20"/>
                <w:szCs w:val="20"/>
              </w:rPr>
            </w:pPr>
            <w:r w:rsidRPr="00BD1C17">
              <w:rPr>
                <w:rFonts w:ascii="Euclid" w:hAnsi="Euclid" w:cs="Euclid"/>
                <w:spacing w:val="-2"/>
                <w:sz w:val="20"/>
                <w:szCs w:val="20"/>
              </w:rPr>
              <w:t>-0.007</w:t>
            </w:r>
          </w:p>
        </w:tc>
        <w:tc>
          <w:tcPr>
            <w:tcW w:w="1012" w:type="dxa"/>
            <w:tcBorders>
              <w:top w:val="single" w:sz="4" w:space="0" w:color="000000"/>
              <w:left w:val="none" w:sz="6" w:space="0" w:color="auto"/>
              <w:bottom w:val="none" w:sz="6" w:space="0" w:color="auto"/>
              <w:right w:val="none" w:sz="6" w:space="0" w:color="auto"/>
            </w:tcBorders>
          </w:tcPr>
          <w:p w14:paraId="0AAE28FE" w14:textId="77777777" w:rsidR="00BD1C17" w:rsidRPr="00BD1C17" w:rsidRDefault="00BD1C17" w:rsidP="00BD1C17">
            <w:pPr>
              <w:kinsoku w:val="0"/>
              <w:overflowPunct w:val="0"/>
              <w:autoSpaceDE w:val="0"/>
              <w:autoSpaceDN w:val="0"/>
              <w:adjustRightInd w:val="0"/>
              <w:spacing w:before="19" w:after="0" w:line="240" w:lineRule="auto"/>
              <w:ind w:left="107" w:right="103"/>
              <w:jc w:val="center"/>
              <w:rPr>
                <w:rFonts w:ascii="Euclid" w:hAnsi="Euclid" w:cs="Euclid"/>
                <w:spacing w:val="-2"/>
                <w:sz w:val="20"/>
                <w:szCs w:val="20"/>
              </w:rPr>
            </w:pPr>
            <w:r w:rsidRPr="00BD1C17">
              <w:rPr>
                <w:rFonts w:ascii="Euclid" w:hAnsi="Euclid" w:cs="Euclid"/>
                <w:spacing w:val="-2"/>
                <w:sz w:val="20"/>
                <w:szCs w:val="20"/>
              </w:rPr>
              <w:t>-0.002</w:t>
            </w:r>
          </w:p>
        </w:tc>
        <w:tc>
          <w:tcPr>
            <w:tcW w:w="942" w:type="dxa"/>
            <w:tcBorders>
              <w:top w:val="single" w:sz="4" w:space="0" w:color="000000"/>
              <w:left w:val="none" w:sz="6" w:space="0" w:color="auto"/>
              <w:bottom w:val="none" w:sz="6" w:space="0" w:color="auto"/>
              <w:right w:val="none" w:sz="6" w:space="0" w:color="auto"/>
            </w:tcBorders>
          </w:tcPr>
          <w:p w14:paraId="56675530" w14:textId="77777777" w:rsidR="00BD1C17" w:rsidRPr="00BD1C17" w:rsidRDefault="00BD1C17" w:rsidP="00BD1C17">
            <w:pPr>
              <w:kinsoku w:val="0"/>
              <w:overflowPunct w:val="0"/>
              <w:autoSpaceDE w:val="0"/>
              <w:autoSpaceDN w:val="0"/>
              <w:adjustRightInd w:val="0"/>
              <w:spacing w:before="19" w:after="0" w:line="240" w:lineRule="auto"/>
              <w:ind w:left="76" w:right="66"/>
              <w:jc w:val="center"/>
              <w:rPr>
                <w:rFonts w:ascii="Euclid" w:hAnsi="Euclid" w:cs="Euclid"/>
                <w:spacing w:val="-2"/>
                <w:sz w:val="20"/>
                <w:szCs w:val="20"/>
              </w:rPr>
            </w:pPr>
            <w:r w:rsidRPr="00BD1C17">
              <w:rPr>
                <w:rFonts w:ascii="Euclid" w:hAnsi="Euclid" w:cs="Euclid"/>
                <w:spacing w:val="-2"/>
                <w:sz w:val="20"/>
                <w:szCs w:val="20"/>
              </w:rPr>
              <w:t>0.004</w:t>
            </w:r>
          </w:p>
        </w:tc>
        <w:tc>
          <w:tcPr>
            <w:tcW w:w="1208" w:type="dxa"/>
            <w:tcBorders>
              <w:top w:val="single" w:sz="4" w:space="0" w:color="000000"/>
              <w:left w:val="none" w:sz="6" w:space="0" w:color="auto"/>
              <w:bottom w:val="none" w:sz="6" w:space="0" w:color="auto"/>
              <w:right w:val="none" w:sz="6" w:space="0" w:color="auto"/>
            </w:tcBorders>
          </w:tcPr>
          <w:p w14:paraId="553C0620" w14:textId="77777777" w:rsidR="00BD1C17" w:rsidRPr="00BD1C17" w:rsidRDefault="00BD1C17" w:rsidP="00BD1C17">
            <w:pPr>
              <w:kinsoku w:val="0"/>
              <w:overflowPunct w:val="0"/>
              <w:autoSpaceDE w:val="0"/>
              <w:autoSpaceDN w:val="0"/>
              <w:adjustRightInd w:val="0"/>
              <w:spacing w:before="19" w:after="0" w:line="240" w:lineRule="auto"/>
              <w:ind w:left="106" w:right="93"/>
              <w:jc w:val="center"/>
              <w:rPr>
                <w:rFonts w:ascii="Euclid" w:hAnsi="Euclid" w:cs="Euclid"/>
                <w:spacing w:val="-2"/>
                <w:sz w:val="20"/>
                <w:szCs w:val="20"/>
              </w:rPr>
            </w:pPr>
            <w:r w:rsidRPr="00BD1C17">
              <w:rPr>
                <w:rFonts w:ascii="Euclid" w:hAnsi="Euclid" w:cs="Euclid"/>
                <w:spacing w:val="-2"/>
                <w:sz w:val="20"/>
                <w:szCs w:val="20"/>
              </w:rPr>
              <w:t>-0.022</w:t>
            </w:r>
          </w:p>
        </w:tc>
        <w:tc>
          <w:tcPr>
            <w:tcW w:w="1318" w:type="dxa"/>
            <w:tcBorders>
              <w:top w:val="single" w:sz="4" w:space="0" w:color="000000"/>
              <w:left w:val="none" w:sz="6" w:space="0" w:color="auto"/>
              <w:bottom w:val="none" w:sz="6" w:space="0" w:color="auto"/>
              <w:right w:val="none" w:sz="6" w:space="0" w:color="auto"/>
            </w:tcBorders>
          </w:tcPr>
          <w:p w14:paraId="7AC3E4D8" w14:textId="77777777" w:rsidR="00BD1C17" w:rsidRPr="00BD1C17" w:rsidRDefault="00BD1C17" w:rsidP="00BD1C17">
            <w:pPr>
              <w:kinsoku w:val="0"/>
              <w:overflowPunct w:val="0"/>
              <w:autoSpaceDE w:val="0"/>
              <w:autoSpaceDN w:val="0"/>
              <w:adjustRightInd w:val="0"/>
              <w:spacing w:before="19" w:after="0" w:line="240" w:lineRule="auto"/>
              <w:ind w:left="112" w:right="101"/>
              <w:jc w:val="center"/>
              <w:rPr>
                <w:rFonts w:ascii="Euclid" w:hAnsi="Euclid" w:cs="Euclid"/>
                <w:spacing w:val="-2"/>
                <w:sz w:val="20"/>
                <w:szCs w:val="20"/>
              </w:rPr>
            </w:pPr>
            <w:r w:rsidRPr="00BD1C17">
              <w:rPr>
                <w:rFonts w:ascii="Euclid" w:hAnsi="Euclid" w:cs="Euclid"/>
                <w:spacing w:val="-2"/>
                <w:sz w:val="20"/>
                <w:szCs w:val="20"/>
              </w:rPr>
              <w:t>-0.007</w:t>
            </w:r>
          </w:p>
        </w:tc>
        <w:tc>
          <w:tcPr>
            <w:tcW w:w="942" w:type="dxa"/>
            <w:tcBorders>
              <w:top w:val="single" w:sz="4" w:space="0" w:color="000000"/>
              <w:left w:val="none" w:sz="6" w:space="0" w:color="auto"/>
              <w:bottom w:val="none" w:sz="6" w:space="0" w:color="auto"/>
              <w:right w:val="none" w:sz="6" w:space="0" w:color="auto"/>
            </w:tcBorders>
          </w:tcPr>
          <w:p w14:paraId="482F2FE6" w14:textId="77777777" w:rsidR="00BD1C17" w:rsidRPr="00BD1C17" w:rsidRDefault="00BD1C17" w:rsidP="00BD1C17">
            <w:pPr>
              <w:kinsoku w:val="0"/>
              <w:overflowPunct w:val="0"/>
              <w:autoSpaceDE w:val="0"/>
              <w:autoSpaceDN w:val="0"/>
              <w:adjustRightInd w:val="0"/>
              <w:spacing w:before="19" w:after="0" w:line="240" w:lineRule="auto"/>
              <w:ind w:left="76" w:right="58"/>
              <w:jc w:val="center"/>
              <w:rPr>
                <w:rFonts w:ascii="Euclid" w:hAnsi="Euclid" w:cs="Euclid"/>
                <w:spacing w:val="-2"/>
                <w:sz w:val="20"/>
                <w:szCs w:val="20"/>
              </w:rPr>
            </w:pPr>
            <w:r w:rsidRPr="00BD1C17">
              <w:rPr>
                <w:rFonts w:ascii="Euclid" w:hAnsi="Euclid" w:cs="Euclid"/>
                <w:spacing w:val="-2"/>
                <w:sz w:val="20"/>
                <w:szCs w:val="20"/>
              </w:rPr>
              <w:t>0.001</w:t>
            </w:r>
          </w:p>
        </w:tc>
        <w:tc>
          <w:tcPr>
            <w:tcW w:w="939" w:type="dxa"/>
            <w:tcBorders>
              <w:top w:val="single" w:sz="4" w:space="0" w:color="000000"/>
              <w:left w:val="none" w:sz="6" w:space="0" w:color="auto"/>
              <w:bottom w:val="none" w:sz="6" w:space="0" w:color="auto"/>
              <w:right w:val="none" w:sz="6" w:space="0" w:color="auto"/>
            </w:tcBorders>
          </w:tcPr>
          <w:p w14:paraId="554D6717" w14:textId="77777777" w:rsidR="00BD1C17" w:rsidRPr="00BD1C17" w:rsidRDefault="00BD1C17" w:rsidP="00BD1C17">
            <w:pPr>
              <w:kinsoku w:val="0"/>
              <w:overflowPunct w:val="0"/>
              <w:autoSpaceDE w:val="0"/>
              <w:autoSpaceDN w:val="0"/>
              <w:adjustRightInd w:val="0"/>
              <w:spacing w:before="19" w:after="0" w:line="240" w:lineRule="auto"/>
              <w:ind w:left="115" w:right="96"/>
              <w:jc w:val="center"/>
              <w:rPr>
                <w:rFonts w:ascii="Euclid" w:hAnsi="Euclid" w:cs="Euclid"/>
                <w:spacing w:val="-2"/>
                <w:sz w:val="20"/>
                <w:szCs w:val="20"/>
              </w:rPr>
            </w:pPr>
            <w:r w:rsidRPr="00BD1C17">
              <w:rPr>
                <w:rFonts w:ascii="Euclid" w:hAnsi="Euclid" w:cs="Euclid"/>
                <w:spacing w:val="-2"/>
                <w:sz w:val="20"/>
                <w:szCs w:val="20"/>
              </w:rPr>
              <w:t>0.001</w:t>
            </w:r>
          </w:p>
        </w:tc>
        <w:tc>
          <w:tcPr>
            <w:tcW w:w="866" w:type="dxa"/>
            <w:tcBorders>
              <w:top w:val="single" w:sz="4" w:space="0" w:color="000000"/>
              <w:left w:val="none" w:sz="6" w:space="0" w:color="auto"/>
              <w:bottom w:val="none" w:sz="6" w:space="0" w:color="auto"/>
              <w:right w:val="none" w:sz="6" w:space="0" w:color="auto"/>
            </w:tcBorders>
          </w:tcPr>
          <w:p w14:paraId="1578C3B6" w14:textId="77777777" w:rsidR="00BD1C17" w:rsidRPr="00BD1C17" w:rsidRDefault="00BD1C17" w:rsidP="00BD1C17">
            <w:pPr>
              <w:kinsoku w:val="0"/>
              <w:overflowPunct w:val="0"/>
              <w:autoSpaceDE w:val="0"/>
              <w:autoSpaceDN w:val="0"/>
              <w:adjustRightInd w:val="0"/>
              <w:spacing w:before="19" w:after="0" w:line="240" w:lineRule="auto"/>
              <w:ind w:right="163"/>
              <w:jc w:val="right"/>
              <w:rPr>
                <w:rFonts w:ascii="Euclid" w:hAnsi="Euclid" w:cs="Euclid"/>
                <w:spacing w:val="-2"/>
                <w:sz w:val="20"/>
                <w:szCs w:val="20"/>
              </w:rPr>
            </w:pPr>
            <w:r w:rsidRPr="00BD1C17">
              <w:rPr>
                <w:rFonts w:ascii="Euclid" w:hAnsi="Euclid" w:cs="Euclid"/>
                <w:spacing w:val="-2"/>
                <w:sz w:val="20"/>
                <w:szCs w:val="20"/>
              </w:rPr>
              <w:t>-0.007</w:t>
            </w:r>
          </w:p>
        </w:tc>
      </w:tr>
      <w:tr w:rsidR="00BD1C17" w:rsidRPr="00BD1C17" w14:paraId="41F06337" w14:textId="77777777" w:rsidTr="00964366">
        <w:trPr>
          <w:trHeight w:val="441"/>
        </w:trPr>
        <w:tc>
          <w:tcPr>
            <w:tcW w:w="1529" w:type="dxa"/>
            <w:tcBorders>
              <w:top w:val="none" w:sz="6" w:space="0" w:color="auto"/>
              <w:left w:val="none" w:sz="6" w:space="0" w:color="auto"/>
              <w:bottom w:val="none" w:sz="6" w:space="0" w:color="auto"/>
              <w:right w:val="none" w:sz="6" w:space="0" w:color="auto"/>
            </w:tcBorders>
          </w:tcPr>
          <w:p w14:paraId="691960DF"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c>
          <w:tcPr>
            <w:tcW w:w="869" w:type="dxa"/>
            <w:tcBorders>
              <w:top w:val="none" w:sz="6" w:space="0" w:color="auto"/>
              <w:left w:val="none" w:sz="6" w:space="0" w:color="auto"/>
              <w:bottom w:val="none" w:sz="6" w:space="0" w:color="auto"/>
              <w:right w:val="none" w:sz="6" w:space="0" w:color="auto"/>
            </w:tcBorders>
          </w:tcPr>
          <w:p w14:paraId="0DA63171" w14:textId="77777777" w:rsidR="00BD1C17" w:rsidRPr="00BD1C17" w:rsidRDefault="00BD1C17" w:rsidP="00BD1C17">
            <w:pPr>
              <w:kinsoku w:val="0"/>
              <w:overflowPunct w:val="0"/>
              <w:autoSpaceDE w:val="0"/>
              <w:autoSpaceDN w:val="0"/>
              <w:adjustRightInd w:val="0"/>
              <w:spacing w:after="0" w:line="331" w:lineRule="exact"/>
              <w:ind w:left="87" w:right="84"/>
              <w:jc w:val="center"/>
              <w:rPr>
                <w:rFonts w:ascii="Euclid" w:hAnsi="Euclid" w:cs="Euclid"/>
                <w:spacing w:val="-2"/>
                <w:sz w:val="20"/>
                <w:szCs w:val="20"/>
              </w:rPr>
            </w:pPr>
            <w:r w:rsidRPr="00BD1C17">
              <w:rPr>
                <w:rFonts w:ascii="Euclid" w:hAnsi="Euclid" w:cs="Euclid"/>
                <w:spacing w:val="-2"/>
                <w:sz w:val="20"/>
                <w:szCs w:val="20"/>
              </w:rPr>
              <w:t>(0.008)</w:t>
            </w:r>
          </w:p>
        </w:tc>
        <w:tc>
          <w:tcPr>
            <w:tcW w:w="1012" w:type="dxa"/>
            <w:tcBorders>
              <w:top w:val="none" w:sz="6" w:space="0" w:color="auto"/>
              <w:left w:val="none" w:sz="6" w:space="0" w:color="auto"/>
              <w:bottom w:val="none" w:sz="6" w:space="0" w:color="auto"/>
              <w:right w:val="none" w:sz="6" w:space="0" w:color="auto"/>
            </w:tcBorders>
          </w:tcPr>
          <w:p w14:paraId="3BC37B24" w14:textId="77777777" w:rsidR="00BD1C17" w:rsidRPr="00BD1C17" w:rsidRDefault="00BD1C17" w:rsidP="00BD1C17">
            <w:pPr>
              <w:kinsoku w:val="0"/>
              <w:overflowPunct w:val="0"/>
              <w:autoSpaceDE w:val="0"/>
              <w:autoSpaceDN w:val="0"/>
              <w:adjustRightInd w:val="0"/>
              <w:spacing w:after="0" w:line="331" w:lineRule="exact"/>
              <w:ind w:left="107" w:right="101"/>
              <w:jc w:val="center"/>
              <w:rPr>
                <w:rFonts w:ascii="Euclid" w:hAnsi="Euclid" w:cs="Euclid"/>
                <w:spacing w:val="-2"/>
                <w:sz w:val="20"/>
                <w:szCs w:val="20"/>
              </w:rPr>
            </w:pPr>
            <w:r w:rsidRPr="00BD1C17">
              <w:rPr>
                <w:rFonts w:ascii="Euclid" w:hAnsi="Euclid" w:cs="Euclid"/>
                <w:spacing w:val="-2"/>
                <w:sz w:val="20"/>
                <w:szCs w:val="20"/>
              </w:rPr>
              <w:t>(0.015)</w:t>
            </w:r>
          </w:p>
        </w:tc>
        <w:tc>
          <w:tcPr>
            <w:tcW w:w="942" w:type="dxa"/>
            <w:tcBorders>
              <w:top w:val="none" w:sz="6" w:space="0" w:color="auto"/>
              <w:left w:val="none" w:sz="6" w:space="0" w:color="auto"/>
              <w:bottom w:val="none" w:sz="6" w:space="0" w:color="auto"/>
              <w:right w:val="none" w:sz="6" w:space="0" w:color="auto"/>
            </w:tcBorders>
          </w:tcPr>
          <w:p w14:paraId="5557EBAB" w14:textId="77777777" w:rsidR="00BD1C17" w:rsidRPr="00BD1C17" w:rsidRDefault="00BD1C17" w:rsidP="00BD1C17">
            <w:pPr>
              <w:kinsoku w:val="0"/>
              <w:overflowPunct w:val="0"/>
              <w:autoSpaceDE w:val="0"/>
              <w:autoSpaceDN w:val="0"/>
              <w:adjustRightInd w:val="0"/>
              <w:spacing w:after="0" w:line="331" w:lineRule="exact"/>
              <w:ind w:left="76" w:right="63"/>
              <w:jc w:val="center"/>
              <w:rPr>
                <w:rFonts w:ascii="Euclid" w:hAnsi="Euclid" w:cs="Euclid"/>
                <w:spacing w:val="-2"/>
                <w:sz w:val="20"/>
                <w:szCs w:val="20"/>
              </w:rPr>
            </w:pPr>
            <w:r w:rsidRPr="00BD1C17">
              <w:rPr>
                <w:rFonts w:ascii="Euclid" w:hAnsi="Euclid" w:cs="Euclid"/>
                <w:spacing w:val="-2"/>
                <w:sz w:val="20"/>
                <w:szCs w:val="20"/>
              </w:rPr>
              <w:t>(0.006)</w:t>
            </w:r>
          </w:p>
        </w:tc>
        <w:tc>
          <w:tcPr>
            <w:tcW w:w="1208" w:type="dxa"/>
            <w:tcBorders>
              <w:top w:val="none" w:sz="6" w:space="0" w:color="auto"/>
              <w:left w:val="none" w:sz="6" w:space="0" w:color="auto"/>
              <w:bottom w:val="none" w:sz="6" w:space="0" w:color="auto"/>
              <w:right w:val="none" w:sz="6" w:space="0" w:color="auto"/>
            </w:tcBorders>
          </w:tcPr>
          <w:p w14:paraId="28F8E5ED" w14:textId="77777777" w:rsidR="00BD1C17" w:rsidRPr="00BD1C17" w:rsidRDefault="00BD1C17" w:rsidP="00BD1C17">
            <w:pPr>
              <w:kinsoku w:val="0"/>
              <w:overflowPunct w:val="0"/>
              <w:autoSpaceDE w:val="0"/>
              <w:autoSpaceDN w:val="0"/>
              <w:adjustRightInd w:val="0"/>
              <w:spacing w:after="0" w:line="331" w:lineRule="exact"/>
              <w:ind w:left="106" w:right="88"/>
              <w:jc w:val="center"/>
              <w:rPr>
                <w:rFonts w:ascii="Euclid" w:hAnsi="Euclid" w:cs="Euclid"/>
                <w:spacing w:val="-2"/>
                <w:sz w:val="20"/>
                <w:szCs w:val="20"/>
              </w:rPr>
            </w:pPr>
            <w:r w:rsidRPr="00BD1C17">
              <w:rPr>
                <w:rFonts w:ascii="Euclid" w:hAnsi="Euclid" w:cs="Euclid"/>
                <w:spacing w:val="-2"/>
                <w:sz w:val="20"/>
                <w:szCs w:val="20"/>
              </w:rPr>
              <w:t>(0.016)</w:t>
            </w:r>
          </w:p>
        </w:tc>
        <w:tc>
          <w:tcPr>
            <w:tcW w:w="1318" w:type="dxa"/>
            <w:tcBorders>
              <w:top w:val="none" w:sz="6" w:space="0" w:color="auto"/>
              <w:left w:val="none" w:sz="6" w:space="0" w:color="auto"/>
              <w:bottom w:val="none" w:sz="6" w:space="0" w:color="auto"/>
              <w:right w:val="none" w:sz="6" w:space="0" w:color="auto"/>
            </w:tcBorders>
          </w:tcPr>
          <w:p w14:paraId="6F9970AA" w14:textId="77777777" w:rsidR="00BD1C17" w:rsidRPr="00BD1C17" w:rsidRDefault="00BD1C17" w:rsidP="00BD1C17">
            <w:pPr>
              <w:kinsoku w:val="0"/>
              <w:overflowPunct w:val="0"/>
              <w:autoSpaceDE w:val="0"/>
              <w:autoSpaceDN w:val="0"/>
              <w:adjustRightInd w:val="0"/>
              <w:spacing w:after="0" w:line="331" w:lineRule="exact"/>
              <w:ind w:left="112" w:right="95"/>
              <w:jc w:val="center"/>
              <w:rPr>
                <w:rFonts w:ascii="Euclid" w:hAnsi="Euclid" w:cs="Euclid"/>
                <w:spacing w:val="-2"/>
                <w:sz w:val="20"/>
                <w:szCs w:val="20"/>
              </w:rPr>
            </w:pPr>
            <w:r w:rsidRPr="00BD1C17">
              <w:rPr>
                <w:rFonts w:ascii="Euclid" w:hAnsi="Euclid" w:cs="Euclid"/>
                <w:spacing w:val="-2"/>
                <w:sz w:val="20"/>
                <w:szCs w:val="20"/>
              </w:rPr>
              <w:t>(0.008)</w:t>
            </w:r>
          </w:p>
        </w:tc>
        <w:tc>
          <w:tcPr>
            <w:tcW w:w="942" w:type="dxa"/>
            <w:tcBorders>
              <w:top w:val="none" w:sz="6" w:space="0" w:color="auto"/>
              <w:left w:val="none" w:sz="6" w:space="0" w:color="auto"/>
              <w:bottom w:val="none" w:sz="6" w:space="0" w:color="auto"/>
              <w:right w:val="none" w:sz="6" w:space="0" w:color="auto"/>
            </w:tcBorders>
          </w:tcPr>
          <w:p w14:paraId="6C84131B" w14:textId="77777777" w:rsidR="00BD1C17" w:rsidRPr="00BD1C17" w:rsidRDefault="00BD1C17" w:rsidP="00BD1C17">
            <w:pPr>
              <w:kinsoku w:val="0"/>
              <w:overflowPunct w:val="0"/>
              <w:autoSpaceDE w:val="0"/>
              <w:autoSpaceDN w:val="0"/>
              <w:adjustRightInd w:val="0"/>
              <w:spacing w:after="0" w:line="331" w:lineRule="exact"/>
              <w:ind w:left="76" w:right="51"/>
              <w:jc w:val="center"/>
              <w:rPr>
                <w:rFonts w:ascii="Euclid" w:hAnsi="Euclid" w:cs="Euclid"/>
                <w:spacing w:val="-2"/>
                <w:sz w:val="20"/>
                <w:szCs w:val="20"/>
              </w:rPr>
            </w:pPr>
            <w:r w:rsidRPr="00BD1C17">
              <w:rPr>
                <w:rFonts w:ascii="Euclid" w:hAnsi="Euclid" w:cs="Euclid"/>
                <w:spacing w:val="-2"/>
                <w:sz w:val="20"/>
                <w:szCs w:val="20"/>
              </w:rPr>
              <w:t>(0.003)</w:t>
            </w:r>
          </w:p>
        </w:tc>
        <w:tc>
          <w:tcPr>
            <w:tcW w:w="939" w:type="dxa"/>
            <w:tcBorders>
              <w:top w:val="none" w:sz="6" w:space="0" w:color="auto"/>
              <w:left w:val="none" w:sz="6" w:space="0" w:color="auto"/>
              <w:bottom w:val="none" w:sz="6" w:space="0" w:color="auto"/>
              <w:right w:val="none" w:sz="6" w:space="0" w:color="auto"/>
            </w:tcBorders>
          </w:tcPr>
          <w:p w14:paraId="21DDDBA3" w14:textId="77777777" w:rsidR="00BD1C17" w:rsidRPr="00BD1C17" w:rsidRDefault="00BD1C17" w:rsidP="00BD1C17">
            <w:pPr>
              <w:kinsoku w:val="0"/>
              <w:overflowPunct w:val="0"/>
              <w:autoSpaceDE w:val="0"/>
              <w:autoSpaceDN w:val="0"/>
              <w:adjustRightInd w:val="0"/>
              <w:spacing w:after="0" w:line="331" w:lineRule="exact"/>
              <w:ind w:left="115" w:right="87"/>
              <w:jc w:val="center"/>
              <w:rPr>
                <w:rFonts w:ascii="Euclid" w:hAnsi="Euclid" w:cs="Euclid"/>
                <w:spacing w:val="-2"/>
                <w:sz w:val="20"/>
                <w:szCs w:val="20"/>
              </w:rPr>
            </w:pPr>
            <w:r w:rsidRPr="00BD1C17">
              <w:rPr>
                <w:rFonts w:ascii="Euclid" w:hAnsi="Euclid" w:cs="Euclid"/>
                <w:spacing w:val="-2"/>
                <w:sz w:val="20"/>
                <w:szCs w:val="20"/>
              </w:rPr>
              <w:t>(0.005)</w:t>
            </w:r>
          </w:p>
        </w:tc>
        <w:tc>
          <w:tcPr>
            <w:tcW w:w="866" w:type="dxa"/>
            <w:tcBorders>
              <w:top w:val="none" w:sz="6" w:space="0" w:color="auto"/>
              <w:left w:val="none" w:sz="6" w:space="0" w:color="auto"/>
              <w:bottom w:val="none" w:sz="6" w:space="0" w:color="auto"/>
              <w:right w:val="none" w:sz="6" w:space="0" w:color="auto"/>
            </w:tcBorders>
          </w:tcPr>
          <w:p w14:paraId="573FB42F" w14:textId="77777777" w:rsidR="00BD1C17" w:rsidRPr="00BD1C17" w:rsidRDefault="00BD1C17" w:rsidP="00BD1C17">
            <w:pPr>
              <w:kinsoku w:val="0"/>
              <w:overflowPunct w:val="0"/>
              <w:autoSpaceDE w:val="0"/>
              <w:autoSpaceDN w:val="0"/>
              <w:adjustRightInd w:val="0"/>
              <w:spacing w:after="0" w:line="331" w:lineRule="exact"/>
              <w:ind w:right="112"/>
              <w:jc w:val="right"/>
              <w:rPr>
                <w:rFonts w:ascii="Euclid" w:hAnsi="Euclid" w:cs="Euclid"/>
                <w:spacing w:val="-2"/>
                <w:sz w:val="20"/>
                <w:szCs w:val="20"/>
              </w:rPr>
            </w:pPr>
            <w:r w:rsidRPr="00BD1C17">
              <w:rPr>
                <w:rFonts w:ascii="Euclid" w:hAnsi="Euclid" w:cs="Euclid"/>
                <w:spacing w:val="-2"/>
                <w:sz w:val="20"/>
                <w:szCs w:val="20"/>
              </w:rPr>
              <w:t>(0.008)</w:t>
            </w:r>
          </w:p>
        </w:tc>
      </w:tr>
      <w:tr w:rsidR="00BD1C17" w:rsidRPr="00BD1C17" w14:paraId="4CD149AC" w14:textId="77777777" w:rsidTr="00964366">
        <w:trPr>
          <w:trHeight w:val="474"/>
        </w:trPr>
        <w:tc>
          <w:tcPr>
            <w:tcW w:w="1529" w:type="dxa"/>
            <w:tcBorders>
              <w:top w:val="none" w:sz="6" w:space="0" w:color="auto"/>
              <w:left w:val="none" w:sz="6" w:space="0" w:color="auto"/>
              <w:bottom w:val="none" w:sz="6" w:space="0" w:color="auto"/>
              <w:right w:val="none" w:sz="6" w:space="0" w:color="auto"/>
            </w:tcBorders>
          </w:tcPr>
          <w:p w14:paraId="3E1AFD49" w14:textId="77777777" w:rsidR="00BD1C17" w:rsidRPr="00BD1C17" w:rsidRDefault="00BD1C17" w:rsidP="00BD1C17">
            <w:pPr>
              <w:kinsoku w:val="0"/>
              <w:overflowPunct w:val="0"/>
              <w:autoSpaceDE w:val="0"/>
              <w:autoSpaceDN w:val="0"/>
              <w:adjustRightInd w:val="0"/>
              <w:spacing w:before="114" w:after="0" w:line="240" w:lineRule="auto"/>
              <w:ind w:left="119"/>
              <w:rPr>
                <w:rFonts w:ascii="Euclid" w:hAnsi="Euclid" w:cs="Euclid"/>
                <w:spacing w:val="-4"/>
                <w:sz w:val="20"/>
                <w:szCs w:val="20"/>
              </w:rPr>
            </w:pPr>
            <w:r w:rsidRPr="00BD1C17">
              <w:rPr>
                <w:rFonts w:ascii="Euclid" w:hAnsi="Euclid" w:cs="Euclid"/>
                <w:spacing w:val="-4"/>
                <w:sz w:val="20"/>
                <w:szCs w:val="20"/>
              </w:rPr>
              <w:t>RDD</w:t>
            </w:r>
          </w:p>
        </w:tc>
        <w:tc>
          <w:tcPr>
            <w:tcW w:w="869" w:type="dxa"/>
            <w:tcBorders>
              <w:top w:val="none" w:sz="6" w:space="0" w:color="auto"/>
              <w:left w:val="none" w:sz="6" w:space="0" w:color="auto"/>
              <w:bottom w:val="none" w:sz="6" w:space="0" w:color="auto"/>
              <w:right w:val="none" w:sz="6" w:space="0" w:color="auto"/>
            </w:tcBorders>
          </w:tcPr>
          <w:p w14:paraId="2C73BE3A" w14:textId="77777777" w:rsidR="00BD1C17" w:rsidRPr="00BD1C17" w:rsidRDefault="00BD1C17" w:rsidP="00BD1C17">
            <w:pPr>
              <w:kinsoku w:val="0"/>
              <w:overflowPunct w:val="0"/>
              <w:autoSpaceDE w:val="0"/>
              <w:autoSpaceDN w:val="0"/>
              <w:adjustRightInd w:val="0"/>
              <w:spacing w:before="114" w:after="0" w:line="240" w:lineRule="auto"/>
              <w:ind w:left="87" w:right="92"/>
              <w:jc w:val="center"/>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0.016</w:t>
            </w:r>
            <w:r w:rsidRPr="00BD1C17">
              <w:rPr>
                <w:rFonts w:ascii="Lucida Sans Unicode" w:hAnsi="Lucida Sans Unicode" w:cs="Lucida Sans Unicode"/>
                <w:spacing w:val="-2"/>
                <w:sz w:val="20"/>
                <w:szCs w:val="20"/>
                <w:vertAlign w:val="superscript"/>
              </w:rPr>
              <w:t>∗</w:t>
            </w:r>
          </w:p>
        </w:tc>
        <w:tc>
          <w:tcPr>
            <w:tcW w:w="1012" w:type="dxa"/>
            <w:tcBorders>
              <w:top w:val="none" w:sz="6" w:space="0" w:color="auto"/>
              <w:left w:val="none" w:sz="6" w:space="0" w:color="auto"/>
              <w:bottom w:val="none" w:sz="6" w:space="0" w:color="auto"/>
              <w:right w:val="none" w:sz="6" w:space="0" w:color="auto"/>
            </w:tcBorders>
          </w:tcPr>
          <w:p w14:paraId="6F556F57" w14:textId="77777777" w:rsidR="00BD1C17" w:rsidRPr="00BD1C17" w:rsidRDefault="00BD1C17" w:rsidP="00BD1C17">
            <w:pPr>
              <w:kinsoku w:val="0"/>
              <w:overflowPunct w:val="0"/>
              <w:autoSpaceDE w:val="0"/>
              <w:autoSpaceDN w:val="0"/>
              <w:adjustRightInd w:val="0"/>
              <w:spacing w:before="114" w:after="0" w:line="240" w:lineRule="auto"/>
              <w:ind w:left="107" w:right="103"/>
              <w:jc w:val="center"/>
              <w:rPr>
                <w:rFonts w:ascii="Euclid" w:hAnsi="Euclid" w:cs="Euclid"/>
                <w:spacing w:val="-2"/>
                <w:sz w:val="20"/>
                <w:szCs w:val="20"/>
              </w:rPr>
            </w:pPr>
            <w:r w:rsidRPr="00BD1C17">
              <w:rPr>
                <w:rFonts w:ascii="Euclid" w:hAnsi="Euclid" w:cs="Euclid"/>
                <w:spacing w:val="-2"/>
                <w:sz w:val="20"/>
                <w:szCs w:val="20"/>
              </w:rPr>
              <w:t>-0.012</w:t>
            </w:r>
          </w:p>
        </w:tc>
        <w:tc>
          <w:tcPr>
            <w:tcW w:w="942" w:type="dxa"/>
            <w:tcBorders>
              <w:top w:val="none" w:sz="6" w:space="0" w:color="auto"/>
              <w:left w:val="none" w:sz="6" w:space="0" w:color="auto"/>
              <w:bottom w:val="none" w:sz="6" w:space="0" w:color="auto"/>
              <w:right w:val="none" w:sz="6" w:space="0" w:color="auto"/>
            </w:tcBorders>
          </w:tcPr>
          <w:p w14:paraId="3B9D4641" w14:textId="77777777" w:rsidR="00BD1C17" w:rsidRPr="00BD1C17" w:rsidRDefault="00BD1C17" w:rsidP="00BD1C17">
            <w:pPr>
              <w:kinsoku w:val="0"/>
              <w:overflowPunct w:val="0"/>
              <w:autoSpaceDE w:val="0"/>
              <w:autoSpaceDN w:val="0"/>
              <w:adjustRightInd w:val="0"/>
              <w:spacing w:before="114" w:after="0" w:line="240" w:lineRule="auto"/>
              <w:ind w:left="76" w:right="66"/>
              <w:jc w:val="center"/>
              <w:rPr>
                <w:rFonts w:ascii="Euclid" w:hAnsi="Euclid" w:cs="Euclid"/>
                <w:spacing w:val="-2"/>
                <w:sz w:val="20"/>
                <w:szCs w:val="20"/>
              </w:rPr>
            </w:pPr>
            <w:r w:rsidRPr="00BD1C17">
              <w:rPr>
                <w:rFonts w:ascii="Euclid" w:hAnsi="Euclid" w:cs="Euclid"/>
                <w:spacing w:val="-2"/>
                <w:sz w:val="20"/>
                <w:szCs w:val="20"/>
              </w:rPr>
              <w:t>0.010</w:t>
            </w:r>
          </w:p>
        </w:tc>
        <w:tc>
          <w:tcPr>
            <w:tcW w:w="1208" w:type="dxa"/>
            <w:tcBorders>
              <w:top w:val="none" w:sz="6" w:space="0" w:color="auto"/>
              <w:left w:val="none" w:sz="6" w:space="0" w:color="auto"/>
              <w:bottom w:val="none" w:sz="6" w:space="0" w:color="auto"/>
              <w:right w:val="none" w:sz="6" w:space="0" w:color="auto"/>
            </w:tcBorders>
          </w:tcPr>
          <w:p w14:paraId="1B9D09F3" w14:textId="77777777" w:rsidR="00BD1C17" w:rsidRPr="00BD1C17" w:rsidRDefault="00BD1C17" w:rsidP="00BD1C17">
            <w:pPr>
              <w:kinsoku w:val="0"/>
              <w:overflowPunct w:val="0"/>
              <w:autoSpaceDE w:val="0"/>
              <w:autoSpaceDN w:val="0"/>
              <w:adjustRightInd w:val="0"/>
              <w:spacing w:before="114" w:after="0" w:line="240" w:lineRule="auto"/>
              <w:ind w:left="106" w:right="94"/>
              <w:jc w:val="center"/>
              <w:rPr>
                <w:rFonts w:ascii="Euclid" w:hAnsi="Euclid" w:cs="Euclid"/>
                <w:spacing w:val="-2"/>
                <w:sz w:val="20"/>
                <w:szCs w:val="20"/>
              </w:rPr>
            </w:pPr>
            <w:r w:rsidRPr="00BD1C17">
              <w:rPr>
                <w:rFonts w:ascii="Euclid" w:hAnsi="Euclid" w:cs="Euclid"/>
                <w:spacing w:val="-2"/>
                <w:sz w:val="20"/>
                <w:szCs w:val="20"/>
              </w:rPr>
              <w:t>0.010</w:t>
            </w:r>
          </w:p>
        </w:tc>
        <w:tc>
          <w:tcPr>
            <w:tcW w:w="1318" w:type="dxa"/>
            <w:tcBorders>
              <w:top w:val="none" w:sz="6" w:space="0" w:color="auto"/>
              <w:left w:val="none" w:sz="6" w:space="0" w:color="auto"/>
              <w:bottom w:val="none" w:sz="6" w:space="0" w:color="auto"/>
              <w:right w:val="none" w:sz="6" w:space="0" w:color="auto"/>
            </w:tcBorders>
          </w:tcPr>
          <w:p w14:paraId="72937D0D" w14:textId="77777777" w:rsidR="00BD1C17" w:rsidRPr="00BD1C17" w:rsidRDefault="00BD1C17" w:rsidP="00BD1C17">
            <w:pPr>
              <w:kinsoku w:val="0"/>
              <w:overflowPunct w:val="0"/>
              <w:autoSpaceDE w:val="0"/>
              <w:autoSpaceDN w:val="0"/>
              <w:adjustRightInd w:val="0"/>
              <w:spacing w:before="114" w:after="0" w:line="240" w:lineRule="auto"/>
              <w:ind w:left="112" w:right="102"/>
              <w:jc w:val="center"/>
              <w:rPr>
                <w:rFonts w:ascii="Euclid" w:hAnsi="Euclid" w:cs="Euclid"/>
                <w:spacing w:val="-2"/>
                <w:sz w:val="20"/>
                <w:szCs w:val="20"/>
              </w:rPr>
            </w:pPr>
            <w:r w:rsidRPr="00BD1C17">
              <w:rPr>
                <w:rFonts w:ascii="Euclid" w:hAnsi="Euclid" w:cs="Euclid"/>
                <w:spacing w:val="-2"/>
                <w:sz w:val="20"/>
                <w:szCs w:val="20"/>
              </w:rPr>
              <w:t>0.001</w:t>
            </w:r>
          </w:p>
        </w:tc>
        <w:tc>
          <w:tcPr>
            <w:tcW w:w="942" w:type="dxa"/>
            <w:tcBorders>
              <w:top w:val="none" w:sz="6" w:space="0" w:color="auto"/>
              <w:left w:val="none" w:sz="6" w:space="0" w:color="auto"/>
              <w:bottom w:val="none" w:sz="6" w:space="0" w:color="auto"/>
              <w:right w:val="none" w:sz="6" w:space="0" w:color="auto"/>
            </w:tcBorders>
          </w:tcPr>
          <w:p w14:paraId="1F314A65" w14:textId="77777777" w:rsidR="00BD1C17" w:rsidRPr="00BD1C17" w:rsidRDefault="00BD1C17" w:rsidP="00BD1C17">
            <w:pPr>
              <w:kinsoku w:val="0"/>
              <w:overflowPunct w:val="0"/>
              <w:autoSpaceDE w:val="0"/>
              <w:autoSpaceDN w:val="0"/>
              <w:adjustRightInd w:val="0"/>
              <w:spacing w:before="114" w:after="0" w:line="240" w:lineRule="auto"/>
              <w:ind w:left="76" w:right="69"/>
              <w:jc w:val="center"/>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0.011</w:t>
            </w:r>
            <w:r w:rsidRPr="00BD1C17">
              <w:rPr>
                <w:rFonts w:ascii="Lucida Sans Unicode" w:hAnsi="Lucida Sans Unicode" w:cs="Lucida Sans Unicode"/>
                <w:spacing w:val="-2"/>
                <w:sz w:val="20"/>
                <w:szCs w:val="20"/>
                <w:vertAlign w:val="superscript"/>
              </w:rPr>
              <w:t>∗∗∗</w:t>
            </w:r>
          </w:p>
        </w:tc>
        <w:tc>
          <w:tcPr>
            <w:tcW w:w="939" w:type="dxa"/>
            <w:tcBorders>
              <w:top w:val="none" w:sz="6" w:space="0" w:color="auto"/>
              <w:left w:val="none" w:sz="6" w:space="0" w:color="auto"/>
              <w:bottom w:val="none" w:sz="6" w:space="0" w:color="auto"/>
              <w:right w:val="none" w:sz="6" w:space="0" w:color="auto"/>
            </w:tcBorders>
          </w:tcPr>
          <w:p w14:paraId="40FFC31B" w14:textId="77777777" w:rsidR="00BD1C17" w:rsidRPr="00BD1C17" w:rsidRDefault="00BD1C17" w:rsidP="00BD1C17">
            <w:pPr>
              <w:kinsoku w:val="0"/>
              <w:overflowPunct w:val="0"/>
              <w:autoSpaceDE w:val="0"/>
              <w:autoSpaceDN w:val="0"/>
              <w:adjustRightInd w:val="0"/>
              <w:spacing w:before="114" w:after="0" w:line="240" w:lineRule="auto"/>
              <w:ind w:left="107" w:right="98"/>
              <w:jc w:val="center"/>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0.010</w:t>
            </w:r>
            <w:r w:rsidRPr="00BD1C17">
              <w:rPr>
                <w:rFonts w:ascii="Lucida Sans Unicode" w:hAnsi="Lucida Sans Unicode" w:cs="Lucida Sans Unicode"/>
                <w:spacing w:val="-2"/>
                <w:sz w:val="20"/>
                <w:szCs w:val="20"/>
                <w:vertAlign w:val="superscript"/>
              </w:rPr>
              <w:t>∗∗</w:t>
            </w:r>
          </w:p>
        </w:tc>
        <w:tc>
          <w:tcPr>
            <w:tcW w:w="866" w:type="dxa"/>
            <w:tcBorders>
              <w:top w:val="none" w:sz="6" w:space="0" w:color="auto"/>
              <w:left w:val="none" w:sz="6" w:space="0" w:color="auto"/>
              <w:bottom w:val="none" w:sz="6" w:space="0" w:color="auto"/>
              <w:right w:val="none" w:sz="6" w:space="0" w:color="auto"/>
            </w:tcBorders>
          </w:tcPr>
          <w:p w14:paraId="2EECC86A" w14:textId="77777777" w:rsidR="00BD1C17" w:rsidRPr="00BD1C17" w:rsidRDefault="00BD1C17" w:rsidP="00BD1C17">
            <w:pPr>
              <w:kinsoku w:val="0"/>
              <w:overflowPunct w:val="0"/>
              <w:autoSpaceDE w:val="0"/>
              <w:autoSpaceDN w:val="0"/>
              <w:adjustRightInd w:val="0"/>
              <w:spacing w:before="114" w:after="0" w:line="240" w:lineRule="auto"/>
              <w:ind w:right="119"/>
              <w:jc w:val="right"/>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0.016</w:t>
            </w:r>
            <w:r w:rsidRPr="00BD1C17">
              <w:rPr>
                <w:rFonts w:ascii="Lucida Sans Unicode" w:hAnsi="Lucida Sans Unicode" w:cs="Lucida Sans Unicode"/>
                <w:spacing w:val="-2"/>
                <w:sz w:val="20"/>
                <w:szCs w:val="20"/>
                <w:vertAlign w:val="superscript"/>
              </w:rPr>
              <w:t>∗∗</w:t>
            </w:r>
          </w:p>
        </w:tc>
      </w:tr>
      <w:tr w:rsidR="00BD1C17" w:rsidRPr="00BD1C17" w14:paraId="5E77D6E4" w14:textId="77777777" w:rsidTr="00964366">
        <w:trPr>
          <w:trHeight w:val="441"/>
        </w:trPr>
        <w:tc>
          <w:tcPr>
            <w:tcW w:w="1529" w:type="dxa"/>
            <w:tcBorders>
              <w:top w:val="none" w:sz="6" w:space="0" w:color="auto"/>
              <w:left w:val="none" w:sz="6" w:space="0" w:color="auto"/>
              <w:bottom w:val="none" w:sz="6" w:space="0" w:color="auto"/>
              <w:right w:val="none" w:sz="6" w:space="0" w:color="auto"/>
            </w:tcBorders>
          </w:tcPr>
          <w:p w14:paraId="14042A0C"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c>
          <w:tcPr>
            <w:tcW w:w="869" w:type="dxa"/>
            <w:tcBorders>
              <w:top w:val="none" w:sz="6" w:space="0" w:color="auto"/>
              <w:left w:val="none" w:sz="6" w:space="0" w:color="auto"/>
              <w:bottom w:val="none" w:sz="6" w:space="0" w:color="auto"/>
              <w:right w:val="none" w:sz="6" w:space="0" w:color="auto"/>
            </w:tcBorders>
          </w:tcPr>
          <w:p w14:paraId="7ECDCAAC" w14:textId="77777777" w:rsidR="00BD1C17" w:rsidRPr="00BD1C17" w:rsidRDefault="00BD1C17" w:rsidP="00BD1C17">
            <w:pPr>
              <w:kinsoku w:val="0"/>
              <w:overflowPunct w:val="0"/>
              <w:autoSpaceDE w:val="0"/>
              <w:autoSpaceDN w:val="0"/>
              <w:adjustRightInd w:val="0"/>
              <w:spacing w:after="0" w:line="331" w:lineRule="exact"/>
              <w:ind w:left="87" w:right="84"/>
              <w:jc w:val="center"/>
              <w:rPr>
                <w:rFonts w:ascii="Euclid" w:hAnsi="Euclid" w:cs="Euclid"/>
                <w:spacing w:val="-2"/>
                <w:sz w:val="20"/>
                <w:szCs w:val="20"/>
              </w:rPr>
            </w:pPr>
            <w:r w:rsidRPr="00BD1C17">
              <w:rPr>
                <w:rFonts w:ascii="Euclid" w:hAnsi="Euclid" w:cs="Euclid"/>
                <w:spacing w:val="-2"/>
                <w:sz w:val="20"/>
                <w:szCs w:val="20"/>
              </w:rPr>
              <w:t>(0.009)</w:t>
            </w:r>
          </w:p>
        </w:tc>
        <w:tc>
          <w:tcPr>
            <w:tcW w:w="1012" w:type="dxa"/>
            <w:tcBorders>
              <w:top w:val="none" w:sz="6" w:space="0" w:color="auto"/>
              <w:left w:val="none" w:sz="6" w:space="0" w:color="auto"/>
              <w:bottom w:val="none" w:sz="6" w:space="0" w:color="auto"/>
              <w:right w:val="none" w:sz="6" w:space="0" w:color="auto"/>
            </w:tcBorders>
          </w:tcPr>
          <w:p w14:paraId="37E53128" w14:textId="77777777" w:rsidR="00BD1C17" w:rsidRPr="00BD1C17" w:rsidRDefault="00BD1C17" w:rsidP="00BD1C17">
            <w:pPr>
              <w:kinsoku w:val="0"/>
              <w:overflowPunct w:val="0"/>
              <w:autoSpaceDE w:val="0"/>
              <w:autoSpaceDN w:val="0"/>
              <w:adjustRightInd w:val="0"/>
              <w:spacing w:after="0" w:line="331" w:lineRule="exact"/>
              <w:ind w:left="107" w:right="101"/>
              <w:jc w:val="center"/>
              <w:rPr>
                <w:rFonts w:ascii="Euclid" w:hAnsi="Euclid" w:cs="Euclid"/>
                <w:spacing w:val="-2"/>
                <w:sz w:val="20"/>
                <w:szCs w:val="20"/>
              </w:rPr>
            </w:pPr>
            <w:r w:rsidRPr="00BD1C17">
              <w:rPr>
                <w:rFonts w:ascii="Euclid" w:hAnsi="Euclid" w:cs="Euclid"/>
                <w:spacing w:val="-2"/>
                <w:sz w:val="20"/>
                <w:szCs w:val="20"/>
              </w:rPr>
              <w:t>(0.017)</w:t>
            </w:r>
          </w:p>
        </w:tc>
        <w:tc>
          <w:tcPr>
            <w:tcW w:w="942" w:type="dxa"/>
            <w:tcBorders>
              <w:top w:val="none" w:sz="6" w:space="0" w:color="auto"/>
              <w:left w:val="none" w:sz="6" w:space="0" w:color="auto"/>
              <w:bottom w:val="none" w:sz="6" w:space="0" w:color="auto"/>
              <w:right w:val="none" w:sz="6" w:space="0" w:color="auto"/>
            </w:tcBorders>
          </w:tcPr>
          <w:p w14:paraId="6E9B8AFE" w14:textId="77777777" w:rsidR="00BD1C17" w:rsidRPr="00BD1C17" w:rsidRDefault="00BD1C17" w:rsidP="00BD1C17">
            <w:pPr>
              <w:kinsoku w:val="0"/>
              <w:overflowPunct w:val="0"/>
              <w:autoSpaceDE w:val="0"/>
              <w:autoSpaceDN w:val="0"/>
              <w:adjustRightInd w:val="0"/>
              <w:spacing w:after="0" w:line="331" w:lineRule="exact"/>
              <w:ind w:left="76" w:right="63"/>
              <w:jc w:val="center"/>
              <w:rPr>
                <w:rFonts w:ascii="Euclid" w:hAnsi="Euclid" w:cs="Euclid"/>
                <w:spacing w:val="-2"/>
                <w:sz w:val="20"/>
                <w:szCs w:val="20"/>
              </w:rPr>
            </w:pPr>
            <w:r w:rsidRPr="00BD1C17">
              <w:rPr>
                <w:rFonts w:ascii="Euclid" w:hAnsi="Euclid" w:cs="Euclid"/>
                <w:spacing w:val="-2"/>
                <w:sz w:val="20"/>
                <w:szCs w:val="20"/>
              </w:rPr>
              <w:t>(0.009)</w:t>
            </w:r>
          </w:p>
        </w:tc>
        <w:tc>
          <w:tcPr>
            <w:tcW w:w="1208" w:type="dxa"/>
            <w:tcBorders>
              <w:top w:val="none" w:sz="6" w:space="0" w:color="auto"/>
              <w:left w:val="none" w:sz="6" w:space="0" w:color="auto"/>
              <w:bottom w:val="none" w:sz="6" w:space="0" w:color="auto"/>
              <w:right w:val="none" w:sz="6" w:space="0" w:color="auto"/>
            </w:tcBorders>
          </w:tcPr>
          <w:p w14:paraId="60302CB4" w14:textId="77777777" w:rsidR="00BD1C17" w:rsidRPr="00BD1C17" w:rsidRDefault="00BD1C17" w:rsidP="00BD1C17">
            <w:pPr>
              <w:kinsoku w:val="0"/>
              <w:overflowPunct w:val="0"/>
              <w:autoSpaceDE w:val="0"/>
              <w:autoSpaceDN w:val="0"/>
              <w:adjustRightInd w:val="0"/>
              <w:spacing w:after="0" w:line="331" w:lineRule="exact"/>
              <w:ind w:left="106" w:right="88"/>
              <w:jc w:val="center"/>
              <w:rPr>
                <w:rFonts w:ascii="Euclid" w:hAnsi="Euclid" w:cs="Euclid"/>
                <w:spacing w:val="-2"/>
                <w:sz w:val="20"/>
                <w:szCs w:val="20"/>
              </w:rPr>
            </w:pPr>
            <w:r w:rsidRPr="00BD1C17">
              <w:rPr>
                <w:rFonts w:ascii="Euclid" w:hAnsi="Euclid" w:cs="Euclid"/>
                <w:spacing w:val="-2"/>
                <w:sz w:val="20"/>
                <w:szCs w:val="20"/>
              </w:rPr>
              <w:t>(0.020)</w:t>
            </w:r>
          </w:p>
        </w:tc>
        <w:tc>
          <w:tcPr>
            <w:tcW w:w="1318" w:type="dxa"/>
            <w:tcBorders>
              <w:top w:val="none" w:sz="6" w:space="0" w:color="auto"/>
              <w:left w:val="none" w:sz="6" w:space="0" w:color="auto"/>
              <w:bottom w:val="none" w:sz="6" w:space="0" w:color="auto"/>
              <w:right w:val="none" w:sz="6" w:space="0" w:color="auto"/>
            </w:tcBorders>
          </w:tcPr>
          <w:p w14:paraId="332FEE1A" w14:textId="77777777" w:rsidR="00BD1C17" w:rsidRPr="00BD1C17" w:rsidRDefault="00BD1C17" w:rsidP="00BD1C17">
            <w:pPr>
              <w:kinsoku w:val="0"/>
              <w:overflowPunct w:val="0"/>
              <w:autoSpaceDE w:val="0"/>
              <w:autoSpaceDN w:val="0"/>
              <w:adjustRightInd w:val="0"/>
              <w:spacing w:after="0" w:line="331" w:lineRule="exact"/>
              <w:ind w:left="112" w:right="95"/>
              <w:jc w:val="center"/>
              <w:rPr>
                <w:rFonts w:ascii="Euclid" w:hAnsi="Euclid" w:cs="Euclid"/>
                <w:spacing w:val="-2"/>
                <w:sz w:val="20"/>
                <w:szCs w:val="20"/>
              </w:rPr>
            </w:pPr>
            <w:r w:rsidRPr="00BD1C17">
              <w:rPr>
                <w:rFonts w:ascii="Euclid" w:hAnsi="Euclid" w:cs="Euclid"/>
                <w:spacing w:val="-2"/>
                <w:sz w:val="20"/>
                <w:szCs w:val="20"/>
              </w:rPr>
              <w:t>(0.005)</w:t>
            </w:r>
          </w:p>
        </w:tc>
        <w:tc>
          <w:tcPr>
            <w:tcW w:w="942" w:type="dxa"/>
            <w:tcBorders>
              <w:top w:val="none" w:sz="6" w:space="0" w:color="auto"/>
              <w:left w:val="none" w:sz="6" w:space="0" w:color="auto"/>
              <w:bottom w:val="none" w:sz="6" w:space="0" w:color="auto"/>
              <w:right w:val="none" w:sz="6" w:space="0" w:color="auto"/>
            </w:tcBorders>
          </w:tcPr>
          <w:p w14:paraId="50CE26D3" w14:textId="77777777" w:rsidR="00BD1C17" w:rsidRPr="00BD1C17" w:rsidRDefault="00BD1C17" w:rsidP="00BD1C17">
            <w:pPr>
              <w:kinsoku w:val="0"/>
              <w:overflowPunct w:val="0"/>
              <w:autoSpaceDE w:val="0"/>
              <w:autoSpaceDN w:val="0"/>
              <w:adjustRightInd w:val="0"/>
              <w:spacing w:after="0" w:line="331" w:lineRule="exact"/>
              <w:ind w:left="76" w:right="51"/>
              <w:jc w:val="center"/>
              <w:rPr>
                <w:rFonts w:ascii="Euclid" w:hAnsi="Euclid" w:cs="Euclid"/>
                <w:spacing w:val="-2"/>
                <w:sz w:val="20"/>
                <w:szCs w:val="20"/>
              </w:rPr>
            </w:pPr>
            <w:r w:rsidRPr="00BD1C17">
              <w:rPr>
                <w:rFonts w:ascii="Euclid" w:hAnsi="Euclid" w:cs="Euclid"/>
                <w:spacing w:val="-2"/>
                <w:sz w:val="20"/>
                <w:szCs w:val="20"/>
              </w:rPr>
              <w:t>(0.003)</w:t>
            </w:r>
          </w:p>
        </w:tc>
        <w:tc>
          <w:tcPr>
            <w:tcW w:w="939" w:type="dxa"/>
            <w:tcBorders>
              <w:top w:val="none" w:sz="6" w:space="0" w:color="auto"/>
              <w:left w:val="none" w:sz="6" w:space="0" w:color="auto"/>
              <w:bottom w:val="none" w:sz="6" w:space="0" w:color="auto"/>
              <w:right w:val="none" w:sz="6" w:space="0" w:color="auto"/>
            </w:tcBorders>
          </w:tcPr>
          <w:p w14:paraId="0FB43C28" w14:textId="77777777" w:rsidR="00BD1C17" w:rsidRPr="00BD1C17" w:rsidRDefault="00BD1C17" w:rsidP="00BD1C17">
            <w:pPr>
              <w:kinsoku w:val="0"/>
              <w:overflowPunct w:val="0"/>
              <w:autoSpaceDE w:val="0"/>
              <w:autoSpaceDN w:val="0"/>
              <w:adjustRightInd w:val="0"/>
              <w:spacing w:after="0" w:line="331" w:lineRule="exact"/>
              <w:ind w:left="115" w:right="87"/>
              <w:jc w:val="center"/>
              <w:rPr>
                <w:rFonts w:ascii="Euclid" w:hAnsi="Euclid" w:cs="Euclid"/>
                <w:spacing w:val="-2"/>
                <w:sz w:val="20"/>
                <w:szCs w:val="20"/>
              </w:rPr>
            </w:pPr>
            <w:r w:rsidRPr="00BD1C17">
              <w:rPr>
                <w:rFonts w:ascii="Euclid" w:hAnsi="Euclid" w:cs="Euclid"/>
                <w:spacing w:val="-2"/>
                <w:sz w:val="20"/>
                <w:szCs w:val="20"/>
              </w:rPr>
              <w:t>(0.005)</w:t>
            </w:r>
          </w:p>
        </w:tc>
        <w:tc>
          <w:tcPr>
            <w:tcW w:w="866" w:type="dxa"/>
            <w:tcBorders>
              <w:top w:val="none" w:sz="6" w:space="0" w:color="auto"/>
              <w:left w:val="none" w:sz="6" w:space="0" w:color="auto"/>
              <w:bottom w:val="none" w:sz="6" w:space="0" w:color="auto"/>
              <w:right w:val="none" w:sz="6" w:space="0" w:color="auto"/>
            </w:tcBorders>
          </w:tcPr>
          <w:p w14:paraId="1074734C" w14:textId="77777777" w:rsidR="00BD1C17" w:rsidRPr="00BD1C17" w:rsidRDefault="00BD1C17" w:rsidP="00BD1C17">
            <w:pPr>
              <w:kinsoku w:val="0"/>
              <w:overflowPunct w:val="0"/>
              <w:autoSpaceDE w:val="0"/>
              <w:autoSpaceDN w:val="0"/>
              <w:adjustRightInd w:val="0"/>
              <w:spacing w:after="0" w:line="331" w:lineRule="exact"/>
              <w:ind w:right="112"/>
              <w:jc w:val="right"/>
              <w:rPr>
                <w:rFonts w:ascii="Euclid" w:hAnsi="Euclid" w:cs="Euclid"/>
                <w:spacing w:val="-2"/>
                <w:sz w:val="20"/>
                <w:szCs w:val="20"/>
              </w:rPr>
            </w:pPr>
            <w:r w:rsidRPr="00BD1C17">
              <w:rPr>
                <w:rFonts w:ascii="Euclid" w:hAnsi="Euclid" w:cs="Euclid"/>
                <w:spacing w:val="-2"/>
                <w:sz w:val="20"/>
                <w:szCs w:val="20"/>
              </w:rPr>
              <w:t>(0.007)</w:t>
            </w:r>
          </w:p>
        </w:tc>
      </w:tr>
      <w:tr w:rsidR="00BD1C17" w:rsidRPr="00BD1C17" w14:paraId="476AFA46" w14:textId="77777777" w:rsidTr="00964366">
        <w:trPr>
          <w:trHeight w:val="474"/>
        </w:trPr>
        <w:tc>
          <w:tcPr>
            <w:tcW w:w="1529" w:type="dxa"/>
            <w:tcBorders>
              <w:top w:val="none" w:sz="6" w:space="0" w:color="auto"/>
              <w:left w:val="none" w:sz="6" w:space="0" w:color="auto"/>
              <w:bottom w:val="none" w:sz="6" w:space="0" w:color="auto"/>
              <w:right w:val="none" w:sz="6" w:space="0" w:color="auto"/>
            </w:tcBorders>
          </w:tcPr>
          <w:p w14:paraId="367BD015" w14:textId="77777777" w:rsidR="00BD1C17" w:rsidRPr="00BD1C17" w:rsidRDefault="00BD1C17" w:rsidP="00BD1C17">
            <w:pPr>
              <w:kinsoku w:val="0"/>
              <w:overflowPunct w:val="0"/>
              <w:autoSpaceDE w:val="0"/>
              <w:autoSpaceDN w:val="0"/>
              <w:adjustRightInd w:val="0"/>
              <w:spacing w:before="114" w:after="0" w:line="240" w:lineRule="auto"/>
              <w:ind w:left="119"/>
              <w:rPr>
                <w:rFonts w:ascii="Euclid" w:hAnsi="Euclid" w:cs="Euclid"/>
                <w:spacing w:val="-4"/>
                <w:sz w:val="20"/>
                <w:szCs w:val="20"/>
              </w:rPr>
            </w:pPr>
            <w:r w:rsidRPr="00BD1C17">
              <w:rPr>
                <w:rFonts w:ascii="Euclid" w:hAnsi="Euclid" w:cs="Euclid"/>
                <w:spacing w:val="-4"/>
                <w:sz w:val="20"/>
                <w:szCs w:val="20"/>
              </w:rPr>
              <w:t>DDD</w:t>
            </w:r>
          </w:p>
        </w:tc>
        <w:tc>
          <w:tcPr>
            <w:tcW w:w="869" w:type="dxa"/>
            <w:tcBorders>
              <w:top w:val="none" w:sz="6" w:space="0" w:color="auto"/>
              <w:left w:val="none" w:sz="6" w:space="0" w:color="auto"/>
              <w:bottom w:val="none" w:sz="6" w:space="0" w:color="auto"/>
              <w:right w:val="none" w:sz="6" w:space="0" w:color="auto"/>
            </w:tcBorders>
          </w:tcPr>
          <w:p w14:paraId="46EA74A5" w14:textId="77777777" w:rsidR="00BD1C17" w:rsidRPr="00BD1C17" w:rsidRDefault="00BD1C17" w:rsidP="00BD1C17">
            <w:pPr>
              <w:kinsoku w:val="0"/>
              <w:overflowPunct w:val="0"/>
              <w:autoSpaceDE w:val="0"/>
              <w:autoSpaceDN w:val="0"/>
              <w:adjustRightInd w:val="0"/>
              <w:spacing w:before="114" w:after="0" w:line="240" w:lineRule="auto"/>
              <w:ind w:left="87" w:right="92"/>
              <w:jc w:val="center"/>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0.033</w:t>
            </w:r>
            <w:r w:rsidRPr="00BD1C17">
              <w:rPr>
                <w:rFonts w:ascii="Lucida Sans Unicode" w:hAnsi="Lucida Sans Unicode" w:cs="Lucida Sans Unicode"/>
                <w:spacing w:val="-2"/>
                <w:sz w:val="20"/>
                <w:szCs w:val="20"/>
                <w:vertAlign w:val="superscript"/>
              </w:rPr>
              <w:t>∗∗</w:t>
            </w:r>
          </w:p>
        </w:tc>
        <w:tc>
          <w:tcPr>
            <w:tcW w:w="1012" w:type="dxa"/>
            <w:tcBorders>
              <w:top w:val="none" w:sz="6" w:space="0" w:color="auto"/>
              <w:left w:val="none" w:sz="6" w:space="0" w:color="auto"/>
              <w:bottom w:val="none" w:sz="6" w:space="0" w:color="auto"/>
              <w:right w:val="none" w:sz="6" w:space="0" w:color="auto"/>
            </w:tcBorders>
          </w:tcPr>
          <w:p w14:paraId="2B89AE91" w14:textId="77777777" w:rsidR="00BD1C17" w:rsidRPr="00BD1C17" w:rsidRDefault="00BD1C17" w:rsidP="00BD1C17">
            <w:pPr>
              <w:kinsoku w:val="0"/>
              <w:overflowPunct w:val="0"/>
              <w:autoSpaceDE w:val="0"/>
              <w:autoSpaceDN w:val="0"/>
              <w:adjustRightInd w:val="0"/>
              <w:spacing w:before="114" w:after="0" w:line="240" w:lineRule="auto"/>
              <w:ind w:left="107" w:right="103"/>
              <w:jc w:val="center"/>
              <w:rPr>
                <w:rFonts w:ascii="Euclid" w:hAnsi="Euclid" w:cs="Euclid"/>
                <w:spacing w:val="-2"/>
                <w:sz w:val="20"/>
                <w:szCs w:val="20"/>
              </w:rPr>
            </w:pPr>
            <w:r w:rsidRPr="00BD1C17">
              <w:rPr>
                <w:rFonts w:ascii="Euclid" w:hAnsi="Euclid" w:cs="Euclid"/>
                <w:spacing w:val="-2"/>
                <w:sz w:val="20"/>
                <w:szCs w:val="20"/>
              </w:rPr>
              <w:t>-0.022</w:t>
            </w:r>
          </w:p>
        </w:tc>
        <w:tc>
          <w:tcPr>
            <w:tcW w:w="942" w:type="dxa"/>
            <w:tcBorders>
              <w:top w:val="none" w:sz="6" w:space="0" w:color="auto"/>
              <w:left w:val="none" w:sz="6" w:space="0" w:color="auto"/>
              <w:bottom w:val="none" w:sz="6" w:space="0" w:color="auto"/>
              <w:right w:val="none" w:sz="6" w:space="0" w:color="auto"/>
            </w:tcBorders>
          </w:tcPr>
          <w:p w14:paraId="5BFAB53C" w14:textId="77777777" w:rsidR="00BD1C17" w:rsidRPr="00BD1C17" w:rsidRDefault="00BD1C17" w:rsidP="00BD1C17">
            <w:pPr>
              <w:kinsoku w:val="0"/>
              <w:overflowPunct w:val="0"/>
              <w:autoSpaceDE w:val="0"/>
              <w:autoSpaceDN w:val="0"/>
              <w:adjustRightInd w:val="0"/>
              <w:spacing w:before="114" w:after="0" w:line="240" w:lineRule="auto"/>
              <w:ind w:left="72" w:right="72"/>
              <w:jc w:val="center"/>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0.040</w:t>
            </w:r>
            <w:r w:rsidRPr="00BD1C17">
              <w:rPr>
                <w:rFonts w:ascii="Lucida Sans Unicode" w:hAnsi="Lucida Sans Unicode" w:cs="Lucida Sans Unicode"/>
                <w:spacing w:val="-2"/>
                <w:sz w:val="20"/>
                <w:szCs w:val="20"/>
                <w:vertAlign w:val="superscript"/>
              </w:rPr>
              <w:t>∗∗∗</w:t>
            </w:r>
          </w:p>
        </w:tc>
        <w:tc>
          <w:tcPr>
            <w:tcW w:w="1208" w:type="dxa"/>
            <w:tcBorders>
              <w:top w:val="none" w:sz="6" w:space="0" w:color="auto"/>
              <w:left w:val="none" w:sz="6" w:space="0" w:color="auto"/>
              <w:bottom w:val="none" w:sz="6" w:space="0" w:color="auto"/>
              <w:right w:val="none" w:sz="6" w:space="0" w:color="auto"/>
            </w:tcBorders>
          </w:tcPr>
          <w:p w14:paraId="3C07A05B" w14:textId="77777777" w:rsidR="00BD1C17" w:rsidRPr="00BD1C17" w:rsidRDefault="00BD1C17" w:rsidP="00BD1C17">
            <w:pPr>
              <w:kinsoku w:val="0"/>
              <w:overflowPunct w:val="0"/>
              <w:autoSpaceDE w:val="0"/>
              <w:autoSpaceDN w:val="0"/>
              <w:adjustRightInd w:val="0"/>
              <w:spacing w:before="114" w:after="0" w:line="240" w:lineRule="auto"/>
              <w:ind w:left="106" w:right="94"/>
              <w:jc w:val="center"/>
              <w:rPr>
                <w:rFonts w:ascii="Euclid" w:hAnsi="Euclid" w:cs="Euclid"/>
                <w:spacing w:val="-2"/>
                <w:sz w:val="20"/>
                <w:szCs w:val="20"/>
              </w:rPr>
            </w:pPr>
            <w:r w:rsidRPr="00BD1C17">
              <w:rPr>
                <w:rFonts w:ascii="Euclid" w:hAnsi="Euclid" w:cs="Euclid"/>
                <w:spacing w:val="-2"/>
                <w:sz w:val="20"/>
                <w:szCs w:val="20"/>
              </w:rPr>
              <w:t>0.023</w:t>
            </w:r>
          </w:p>
        </w:tc>
        <w:tc>
          <w:tcPr>
            <w:tcW w:w="1318" w:type="dxa"/>
            <w:tcBorders>
              <w:top w:val="none" w:sz="6" w:space="0" w:color="auto"/>
              <w:left w:val="none" w:sz="6" w:space="0" w:color="auto"/>
              <w:bottom w:val="none" w:sz="6" w:space="0" w:color="auto"/>
              <w:right w:val="none" w:sz="6" w:space="0" w:color="auto"/>
            </w:tcBorders>
          </w:tcPr>
          <w:p w14:paraId="0B9F8992" w14:textId="77777777" w:rsidR="00BD1C17" w:rsidRPr="00BD1C17" w:rsidRDefault="00BD1C17" w:rsidP="00BD1C17">
            <w:pPr>
              <w:kinsoku w:val="0"/>
              <w:overflowPunct w:val="0"/>
              <w:autoSpaceDE w:val="0"/>
              <w:autoSpaceDN w:val="0"/>
              <w:adjustRightInd w:val="0"/>
              <w:spacing w:before="114" w:after="0" w:line="240" w:lineRule="auto"/>
              <w:ind w:left="104" w:right="104"/>
              <w:jc w:val="center"/>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0.020</w:t>
            </w:r>
            <w:r w:rsidRPr="00BD1C17">
              <w:rPr>
                <w:rFonts w:ascii="Lucida Sans Unicode" w:hAnsi="Lucida Sans Unicode" w:cs="Lucida Sans Unicode"/>
                <w:spacing w:val="-2"/>
                <w:sz w:val="20"/>
                <w:szCs w:val="20"/>
                <w:vertAlign w:val="superscript"/>
              </w:rPr>
              <w:t>∗∗</w:t>
            </w:r>
          </w:p>
        </w:tc>
        <w:tc>
          <w:tcPr>
            <w:tcW w:w="942" w:type="dxa"/>
            <w:tcBorders>
              <w:top w:val="none" w:sz="6" w:space="0" w:color="auto"/>
              <w:left w:val="none" w:sz="6" w:space="0" w:color="auto"/>
              <w:bottom w:val="none" w:sz="6" w:space="0" w:color="auto"/>
              <w:right w:val="none" w:sz="6" w:space="0" w:color="auto"/>
            </w:tcBorders>
          </w:tcPr>
          <w:p w14:paraId="026D5699" w14:textId="77777777" w:rsidR="00BD1C17" w:rsidRPr="00BD1C17" w:rsidRDefault="00BD1C17" w:rsidP="00BD1C17">
            <w:pPr>
              <w:kinsoku w:val="0"/>
              <w:overflowPunct w:val="0"/>
              <w:autoSpaceDE w:val="0"/>
              <w:autoSpaceDN w:val="0"/>
              <w:adjustRightInd w:val="0"/>
              <w:spacing w:before="114" w:after="0" w:line="240" w:lineRule="auto"/>
              <w:ind w:left="76" w:right="69"/>
              <w:jc w:val="center"/>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0.025</w:t>
            </w:r>
            <w:r w:rsidRPr="00BD1C17">
              <w:rPr>
                <w:rFonts w:ascii="Lucida Sans Unicode" w:hAnsi="Lucida Sans Unicode" w:cs="Lucida Sans Unicode"/>
                <w:spacing w:val="-2"/>
                <w:sz w:val="20"/>
                <w:szCs w:val="20"/>
                <w:vertAlign w:val="superscript"/>
              </w:rPr>
              <w:t>∗∗∗</w:t>
            </w:r>
          </w:p>
        </w:tc>
        <w:tc>
          <w:tcPr>
            <w:tcW w:w="939" w:type="dxa"/>
            <w:tcBorders>
              <w:top w:val="none" w:sz="6" w:space="0" w:color="auto"/>
              <w:left w:val="none" w:sz="6" w:space="0" w:color="auto"/>
              <w:bottom w:val="none" w:sz="6" w:space="0" w:color="auto"/>
              <w:right w:val="none" w:sz="6" w:space="0" w:color="auto"/>
            </w:tcBorders>
          </w:tcPr>
          <w:p w14:paraId="379FD3AB" w14:textId="77777777" w:rsidR="00BD1C17" w:rsidRPr="00BD1C17" w:rsidRDefault="00BD1C17" w:rsidP="00BD1C17">
            <w:pPr>
              <w:kinsoku w:val="0"/>
              <w:overflowPunct w:val="0"/>
              <w:autoSpaceDE w:val="0"/>
              <w:autoSpaceDN w:val="0"/>
              <w:adjustRightInd w:val="0"/>
              <w:spacing w:before="114" w:after="0" w:line="240" w:lineRule="auto"/>
              <w:ind w:left="107" w:right="98"/>
              <w:jc w:val="center"/>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0.022</w:t>
            </w:r>
            <w:r w:rsidRPr="00BD1C17">
              <w:rPr>
                <w:rFonts w:ascii="Lucida Sans Unicode" w:hAnsi="Lucida Sans Unicode" w:cs="Lucida Sans Unicode"/>
                <w:spacing w:val="-2"/>
                <w:sz w:val="20"/>
                <w:szCs w:val="20"/>
                <w:vertAlign w:val="superscript"/>
              </w:rPr>
              <w:t>∗∗</w:t>
            </w:r>
          </w:p>
        </w:tc>
        <w:tc>
          <w:tcPr>
            <w:tcW w:w="866" w:type="dxa"/>
            <w:tcBorders>
              <w:top w:val="none" w:sz="6" w:space="0" w:color="auto"/>
              <w:left w:val="none" w:sz="6" w:space="0" w:color="auto"/>
              <w:bottom w:val="none" w:sz="6" w:space="0" w:color="auto"/>
              <w:right w:val="none" w:sz="6" w:space="0" w:color="auto"/>
            </w:tcBorders>
          </w:tcPr>
          <w:p w14:paraId="098827C9" w14:textId="77777777" w:rsidR="00BD1C17" w:rsidRPr="00BD1C17" w:rsidRDefault="00BD1C17" w:rsidP="00BD1C17">
            <w:pPr>
              <w:kinsoku w:val="0"/>
              <w:overflowPunct w:val="0"/>
              <w:autoSpaceDE w:val="0"/>
              <w:autoSpaceDN w:val="0"/>
              <w:adjustRightInd w:val="0"/>
              <w:spacing w:before="114" w:after="0" w:line="240" w:lineRule="auto"/>
              <w:ind w:right="160"/>
              <w:jc w:val="right"/>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0.022</w:t>
            </w:r>
            <w:r w:rsidRPr="00BD1C17">
              <w:rPr>
                <w:rFonts w:ascii="Lucida Sans Unicode" w:hAnsi="Lucida Sans Unicode" w:cs="Lucida Sans Unicode"/>
                <w:spacing w:val="-2"/>
                <w:sz w:val="20"/>
                <w:szCs w:val="20"/>
                <w:vertAlign w:val="superscript"/>
              </w:rPr>
              <w:t>∗</w:t>
            </w:r>
          </w:p>
        </w:tc>
      </w:tr>
      <w:tr w:rsidR="00BD1C17" w:rsidRPr="00BD1C17" w14:paraId="7E20F7A9" w14:textId="77777777" w:rsidTr="00964366">
        <w:trPr>
          <w:trHeight w:val="335"/>
        </w:trPr>
        <w:tc>
          <w:tcPr>
            <w:tcW w:w="1529" w:type="dxa"/>
            <w:tcBorders>
              <w:top w:val="none" w:sz="6" w:space="0" w:color="auto"/>
              <w:left w:val="none" w:sz="6" w:space="0" w:color="auto"/>
              <w:bottom w:val="single" w:sz="4" w:space="0" w:color="000000"/>
              <w:right w:val="none" w:sz="6" w:space="0" w:color="auto"/>
            </w:tcBorders>
          </w:tcPr>
          <w:p w14:paraId="6E10285E"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c>
          <w:tcPr>
            <w:tcW w:w="869" w:type="dxa"/>
            <w:tcBorders>
              <w:top w:val="none" w:sz="6" w:space="0" w:color="auto"/>
              <w:left w:val="none" w:sz="6" w:space="0" w:color="auto"/>
              <w:bottom w:val="single" w:sz="4" w:space="0" w:color="000000"/>
              <w:right w:val="none" w:sz="6" w:space="0" w:color="auto"/>
            </w:tcBorders>
          </w:tcPr>
          <w:p w14:paraId="7CE98F49" w14:textId="77777777" w:rsidR="00BD1C17" w:rsidRPr="00BD1C17" w:rsidRDefault="00BD1C17" w:rsidP="00BD1C17">
            <w:pPr>
              <w:kinsoku w:val="0"/>
              <w:overflowPunct w:val="0"/>
              <w:autoSpaceDE w:val="0"/>
              <w:autoSpaceDN w:val="0"/>
              <w:adjustRightInd w:val="0"/>
              <w:spacing w:after="0" w:line="316" w:lineRule="exact"/>
              <w:ind w:left="87" w:right="84"/>
              <w:jc w:val="center"/>
              <w:rPr>
                <w:rFonts w:ascii="Euclid" w:hAnsi="Euclid" w:cs="Euclid"/>
                <w:spacing w:val="-2"/>
                <w:sz w:val="20"/>
                <w:szCs w:val="20"/>
              </w:rPr>
            </w:pPr>
            <w:r w:rsidRPr="00BD1C17">
              <w:rPr>
                <w:rFonts w:ascii="Euclid" w:hAnsi="Euclid" w:cs="Euclid"/>
                <w:spacing w:val="-2"/>
                <w:sz w:val="20"/>
                <w:szCs w:val="20"/>
              </w:rPr>
              <w:t>(0.015)</w:t>
            </w:r>
          </w:p>
        </w:tc>
        <w:tc>
          <w:tcPr>
            <w:tcW w:w="1012" w:type="dxa"/>
            <w:tcBorders>
              <w:top w:val="none" w:sz="6" w:space="0" w:color="auto"/>
              <w:left w:val="none" w:sz="6" w:space="0" w:color="auto"/>
              <w:bottom w:val="single" w:sz="4" w:space="0" w:color="000000"/>
              <w:right w:val="none" w:sz="6" w:space="0" w:color="auto"/>
            </w:tcBorders>
          </w:tcPr>
          <w:p w14:paraId="272AEE83" w14:textId="77777777" w:rsidR="00BD1C17" w:rsidRPr="00BD1C17" w:rsidRDefault="00BD1C17" w:rsidP="00BD1C17">
            <w:pPr>
              <w:kinsoku w:val="0"/>
              <w:overflowPunct w:val="0"/>
              <w:autoSpaceDE w:val="0"/>
              <w:autoSpaceDN w:val="0"/>
              <w:adjustRightInd w:val="0"/>
              <w:spacing w:after="0" w:line="316" w:lineRule="exact"/>
              <w:ind w:left="107" w:right="101"/>
              <w:jc w:val="center"/>
              <w:rPr>
                <w:rFonts w:ascii="Euclid" w:hAnsi="Euclid" w:cs="Euclid"/>
                <w:spacing w:val="-2"/>
                <w:sz w:val="20"/>
                <w:szCs w:val="20"/>
              </w:rPr>
            </w:pPr>
            <w:r w:rsidRPr="00BD1C17">
              <w:rPr>
                <w:rFonts w:ascii="Euclid" w:hAnsi="Euclid" w:cs="Euclid"/>
                <w:spacing w:val="-2"/>
                <w:sz w:val="20"/>
                <w:szCs w:val="20"/>
              </w:rPr>
              <w:t>(0.023)</w:t>
            </w:r>
          </w:p>
        </w:tc>
        <w:tc>
          <w:tcPr>
            <w:tcW w:w="942" w:type="dxa"/>
            <w:tcBorders>
              <w:top w:val="none" w:sz="6" w:space="0" w:color="auto"/>
              <w:left w:val="none" w:sz="6" w:space="0" w:color="auto"/>
              <w:bottom w:val="single" w:sz="4" w:space="0" w:color="000000"/>
              <w:right w:val="none" w:sz="6" w:space="0" w:color="auto"/>
            </w:tcBorders>
          </w:tcPr>
          <w:p w14:paraId="350CEF55" w14:textId="77777777" w:rsidR="00BD1C17" w:rsidRPr="00BD1C17" w:rsidRDefault="00BD1C17" w:rsidP="00BD1C17">
            <w:pPr>
              <w:kinsoku w:val="0"/>
              <w:overflowPunct w:val="0"/>
              <w:autoSpaceDE w:val="0"/>
              <w:autoSpaceDN w:val="0"/>
              <w:adjustRightInd w:val="0"/>
              <w:spacing w:after="0" w:line="316" w:lineRule="exact"/>
              <w:ind w:left="76" w:right="63"/>
              <w:jc w:val="center"/>
              <w:rPr>
                <w:rFonts w:ascii="Euclid" w:hAnsi="Euclid" w:cs="Euclid"/>
                <w:spacing w:val="-2"/>
                <w:sz w:val="20"/>
                <w:szCs w:val="20"/>
              </w:rPr>
            </w:pPr>
            <w:r w:rsidRPr="00BD1C17">
              <w:rPr>
                <w:rFonts w:ascii="Euclid" w:hAnsi="Euclid" w:cs="Euclid"/>
                <w:spacing w:val="-2"/>
                <w:sz w:val="20"/>
                <w:szCs w:val="20"/>
              </w:rPr>
              <w:t>(0.012)</w:t>
            </w:r>
          </w:p>
        </w:tc>
        <w:tc>
          <w:tcPr>
            <w:tcW w:w="1208" w:type="dxa"/>
            <w:tcBorders>
              <w:top w:val="none" w:sz="6" w:space="0" w:color="auto"/>
              <w:left w:val="none" w:sz="6" w:space="0" w:color="auto"/>
              <w:bottom w:val="single" w:sz="4" w:space="0" w:color="000000"/>
              <w:right w:val="none" w:sz="6" w:space="0" w:color="auto"/>
            </w:tcBorders>
          </w:tcPr>
          <w:p w14:paraId="4C465E41" w14:textId="77777777" w:rsidR="00BD1C17" w:rsidRPr="00BD1C17" w:rsidRDefault="00BD1C17" w:rsidP="00BD1C17">
            <w:pPr>
              <w:kinsoku w:val="0"/>
              <w:overflowPunct w:val="0"/>
              <w:autoSpaceDE w:val="0"/>
              <w:autoSpaceDN w:val="0"/>
              <w:adjustRightInd w:val="0"/>
              <w:spacing w:after="0" w:line="316" w:lineRule="exact"/>
              <w:ind w:left="106" w:right="88"/>
              <w:jc w:val="center"/>
              <w:rPr>
                <w:rFonts w:ascii="Euclid" w:hAnsi="Euclid" w:cs="Euclid"/>
                <w:spacing w:val="-2"/>
                <w:sz w:val="20"/>
                <w:szCs w:val="20"/>
              </w:rPr>
            </w:pPr>
            <w:r w:rsidRPr="00BD1C17">
              <w:rPr>
                <w:rFonts w:ascii="Euclid" w:hAnsi="Euclid" w:cs="Euclid"/>
                <w:spacing w:val="-2"/>
                <w:sz w:val="20"/>
                <w:szCs w:val="20"/>
              </w:rPr>
              <w:t>(0.025)</w:t>
            </w:r>
          </w:p>
        </w:tc>
        <w:tc>
          <w:tcPr>
            <w:tcW w:w="1318" w:type="dxa"/>
            <w:tcBorders>
              <w:top w:val="none" w:sz="6" w:space="0" w:color="auto"/>
              <w:left w:val="none" w:sz="6" w:space="0" w:color="auto"/>
              <w:bottom w:val="single" w:sz="4" w:space="0" w:color="000000"/>
              <w:right w:val="none" w:sz="6" w:space="0" w:color="auto"/>
            </w:tcBorders>
          </w:tcPr>
          <w:p w14:paraId="429ABD4D" w14:textId="77777777" w:rsidR="00BD1C17" w:rsidRPr="00BD1C17" w:rsidRDefault="00BD1C17" w:rsidP="00BD1C17">
            <w:pPr>
              <w:kinsoku w:val="0"/>
              <w:overflowPunct w:val="0"/>
              <w:autoSpaceDE w:val="0"/>
              <w:autoSpaceDN w:val="0"/>
              <w:adjustRightInd w:val="0"/>
              <w:spacing w:after="0" w:line="316" w:lineRule="exact"/>
              <w:ind w:left="112" w:right="95"/>
              <w:jc w:val="center"/>
              <w:rPr>
                <w:rFonts w:ascii="Euclid" w:hAnsi="Euclid" w:cs="Euclid"/>
                <w:spacing w:val="-2"/>
                <w:sz w:val="20"/>
                <w:szCs w:val="20"/>
              </w:rPr>
            </w:pPr>
            <w:r w:rsidRPr="00BD1C17">
              <w:rPr>
                <w:rFonts w:ascii="Euclid" w:hAnsi="Euclid" w:cs="Euclid"/>
                <w:spacing w:val="-2"/>
                <w:sz w:val="20"/>
                <w:szCs w:val="20"/>
              </w:rPr>
              <w:t>(0.008)</w:t>
            </w:r>
          </w:p>
        </w:tc>
        <w:tc>
          <w:tcPr>
            <w:tcW w:w="942" w:type="dxa"/>
            <w:tcBorders>
              <w:top w:val="none" w:sz="6" w:space="0" w:color="auto"/>
              <w:left w:val="none" w:sz="6" w:space="0" w:color="auto"/>
              <w:bottom w:val="single" w:sz="4" w:space="0" w:color="000000"/>
              <w:right w:val="none" w:sz="6" w:space="0" w:color="auto"/>
            </w:tcBorders>
          </w:tcPr>
          <w:p w14:paraId="455D1D12" w14:textId="77777777" w:rsidR="00BD1C17" w:rsidRPr="00BD1C17" w:rsidRDefault="00BD1C17" w:rsidP="00BD1C17">
            <w:pPr>
              <w:kinsoku w:val="0"/>
              <w:overflowPunct w:val="0"/>
              <w:autoSpaceDE w:val="0"/>
              <w:autoSpaceDN w:val="0"/>
              <w:adjustRightInd w:val="0"/>
              <w:spacing w:after="0" w:line="316" w:lineRule="exact"/>
              <w:ind w:left="76" w:right="51"/>
              <w:jc w:val="center"/>
              <w:rPr>
                <w:rFonts w:ascii="Euclid" w:hAnsi="Euclid" w:cs="Euclid"/>
                <w:spacing w:val="-2"/>
                <w:sz w:val="20"/>
                <w:szCs w:val="20"/>
              </w:rPr>
            </w:pPr>
            <w:r w:rsidRPr="00BD1C17">
              <w:rPr>
                <w:rFonts w:ascii="Euclid" w:hAnsi="Euclid" w:cs="Euclid"/>
                <w:spacing w:val="-2"/>
                <w:sz w:val="20"/>
                <w:szCs w:val="20"/>
              </w:rPr>
              <w:t>(0.005)</w:t>
            </w:r>
          </w:p>
        </w:tc>
        <w:tc>
          <w:tcPr>
            <w:tcW w:w="939" w:type="dxa"/>
            <w:tcBorders>
              <w:top w:val="none" w:sz="6" w:space="0" w:color="auto"/>
              <w:left w:val="none" w:sz="6" w:space="0" w:color="auto"/>
              <w:bottom w:val="single" w:sz="4" w:space="0" w:color="000000"/>
              <w:right w:val="none" w:sz="6" w:space="0" w:color="auto"/>
            </w:tcBorders>
          </w:tcPr>
          <w:p w14:paraId="20311D2C" w14:textId="77777777" w:rsidR="00BD1C17" w:rsidRPr="00BD1C17" w:rsidRDefault="00BD1C17" w:rsidP="00BD1C17">
            <w:pPr>
              <w:kinsoku w:val="0"/>
              <w:overflowPunct w:val="0"/>
              <w:autoSpaceDE w:val="0"/>
              <w:autoSpaceDN w:val="0"/>
              <w:adjustRightInd w:val="0"/>
              <w:spacing w:after="0" w:line="316" w:lineRule="exact"/>
              <w:ind w:left="115" w:right="87"/>
              <w:jc w:val="center"/>
              <w:rPr>
                <w:rFonts w:ascii="Euclid" w:hAnsi="Euclid" w:cs="Euclid"/>
                <w:spacing w:val="-2"/>
                <w:sz w:val="20"/>
                <w:szCs w:val="20"/>
              </w:rPr>
            </w:pPr>
            <w:r w:rsidRPr="00BD1C17">
              <w:rPr>
                <w:rFonts w:ascii="Euclid" w:hAnsi="Euclid" w:cs="Euclid"/>
                <w:spacing w:val="-2"/>
                <w:sz w:val="20"/>
                <w:szCs w:val="20"/>
              </w:rPr>
              <w:t>(0.010)</w:t>
            </w:r>
          </w:p>
        </w:tc>
        <w:tc>
          <w:tcPr>
            <w:tcW w:w="866" w:type="dxa"/>
            <w:tcBorders>
              <w:top w:val="none" w:sz="6" w:space="0" w:color="auto"/>
              <w:left w:val="none" w:sz="6" w:space="0" w:color="auto"/>
              <w:bottom w:val="single" w:sz="4" w:space="0" w:color="000000"/>
              <w:right w:val="none" w:sz="6" w:space="0" w:color="auto"/>
            </w:tcBorders>
          </w:tcPr>
          <w:p w14:paraId="1738EE77" w14:textId="77777777" w:rsidR="00BD1C17" w:rsidRPr="00BD1C17" w:rsidRDefault="00BD1C17" w:rsidP="00BD1C17">
            <w:pPr>
              <w:kinsoku w:val="0"/>
              <w:overflowPunct w:val="0"/>
              <w:autoSpaceDE w:val="0"/>
              <w:autoSpaceDN w:val="0"/>
              <w:adjustRightInd w:val="0"/>
              <w:spacing w:after="0" w:line="316" w:lineRule="exact"/>
              <w:ind w:right="112"/>
              <w:jc w:val="right"/>
              <w:rPr>
                <w:rFonts w:ascii="Euclid" w:hAnsi="Euclid" w:cs="Euclid"/>
                <w:spacing w:val="-2"/>
                <w:sz w:val="20"/>
                <w:szCs w:val="20"/>
              </w:rPr>
            </w:pPr>
            <w:r w:rsidRPr="00BD1C17">
              <w:rPr>
                <w:rFonts w:ascii="Euclid" w:hAnsi="Euclid" w:cs="Euclid"/>
                <w:spacing w:val="-2"/>
                <w:sz w:val="20"/>
                <w:szCs w:val="20"/>
              </w:rPr>
              <w:t>(0.012)</w:t>
            </w:r>
          </w:p>
        </w:tc>
      </w:tr>
      <w:tr w:rsidR="00BD1C17" w:rsidRPr="00BD1C17" w14:paraId="2D65CF87" w14:textId="77777777" w:rsidTr="00964366">
        <w:trPr>
          <w:trHeight w:val="365"/>
        </w:trPr>
        <w:tc>
          <w:tcPr>
            <w:tcW w:w="1529" w:type="dxa"/>
            <w:tcBorders>
              <w:top w:val="single" w:sz="4" w:space="0" w:color="000000"/>
              <w:left w:val="none" w:sz="6" w:space="0" w:color="auto"/>
              <w:bottom w:val="none" w:sz="6" w:space="0" w:color="auto"/>
              <w:right w:val="none" w:sz="6" w:space="0" w:color="auto"/>
            </w:tcBorders>
          </w:tcPr>
          <w:p w14:paraId="27404D54" w14:textId="77777777" w:rsidR="00BD1C17" w:rsidRPr="00BD1C17" w:rsidRDefault="00BD1C17" w:rsidP="00BD1C17">
            <w:pPr>
              <w:kinsoku w:val="0"/>
              <w:overflowPunct w:val="0"/>
              <w:autoSpaceDE w:val="0"/>
              <w:autoSpaceDN w:val="0"/>
              <w:adjustRightInd w:val="0"/>
              <w:spacing w:before="19" w:after="0" w:line="327" w:lineRule="exact"/>
              <w:ind w:left="119"/>
              <w:rPr>
                <w:rFonts w:ascii="Euclid" w:hAnsi="Euclid" w:cs="Euclid"/>
                <w:w w:val="99"/>
                <w:sz w:val="20"/>
                <w:szCs w:val="20"/>
              </w:rPr>
            </w:pPr>
            <w:r w:rsidRPr="00BD1C17">
              <w:rPr>
                <w:rFonts w:ascii="Euclid" w:hAnsi="Euclid" w:cs="Euclid"/>
                <w:w w:val="99"/>
                <w:sz w:val="20"/>
                <w:szCs w:val="20"/>
              </w:rPr>
              <w:t>N</w:t>
            </w:r>
          </w:p>
        </w:tc>
        <w:tc>
          <w:tcPr>
            <w:tcW w:w="869" w:type="dxa"/>
            <w:tcBorders>
              <w:top w:val="single" w:sz="4" w:space="0" w:color="000000"/>
              <w:left w:val="none" w:sz="6" w:space="0" w:color="auto"/>
              <w:bottom w:val="none" w:sz="6" w:space="0" w:color="auto"/>
              <w:right w:val="none" w:sz="6" w:space="0" w:color="auto"/>
            </w:tcBorders>
          </w:tcPr>
          <w:p w14:paraId="68E35486" w14:textId="77777777" w:rsidR="00BD1C17" w:rsidRPr="00BD1C17" w:rsidRDefault="00BD1C17" w:rsidP="00BD1C17">
            <w:pPr>
              <w:kinsoku w:val="0"/>
              <w:overflowPunct w:val="0"/>
              <w:autoSpaceDE w:val="0"/>
              <w:autoSpaceDN w:val="0"/>
              <w:adjustRightInd w:val="0"/>
              <w:spacing w:before="19" w:after="0" w:line="327" w:lineRule="exact"/>
              <w:ind w:left="87" w:right="85"/>
              <w:jc w:val="center"/>
              <w:rPr>
                <w:rFonts w:ascii="Euclid" w:hAnsi="Euclid" w:cs="Euclid"/>
                <w:spacing w:val="-2"/>
                <w:sz w:val="20"/>
                <w:szCs w:val="20"/>
              </w:rPr>
            </w:pPr>
            <w:r w:rsidRPr="00BD1C17">
              <w:rPr>
                <w:rFonts w:ascii="Euclid" w:hAnsi="Euclid" w:cs="Euclid"/>
                <w:spacing w:val="-2"/>
                <w:sz w:val="20"/>
                <w:szCs w:val="20"/>
              </w:rPr>
              <w:t>6,478</w:t>
            </w:r>
          </w:p>
        </w:tc>
        <w:tc>
          <w:tcPr>
            <w:tcW w:w="1012" w:type="dxa"/>
            <w:tcBorders>
              <w:top w:val="single" w:sz="4" w:space="0" w:color="000000"/>
              <w:left w:val="none" w:sz="6" w:space="0" w:color="auto"/>
              <w:bottom w:val="none" w:sz="6" w:space="0" w:color="auto"/>
              <w:right w:val="none" w:sz="6" w:space="0" w:color="auto"/>
            </w:tcBorders>
          </w:tcPr>
          <w:p w14:paraId="742E7DAE" w14:textId="77777777" w:rsidR="00BD1C17" w:rsidRPr="00BD1C17" w:rsidRDefault="00BD1C17" w:rsidP="00BD1C17">
            <w:pPr>
              <w:kinsoku w:val="0"/>
              <w:overflowPunct w:val="0"/>
              <w:autoSpaceDE w:val="0"/>
              <w:autoSpaceDN w:val="0"/>
              <w:adjustRightInd w:val="0"/>
              <w:spacing w:before="19" w:after="0" w:line="327" w:lineRule="exact"/>
              <w:ind w:left="107" w:right="104"/>
              <w:jc w:val="center"/>
              <w:rPr>
                <w:rFonts w:ascii="Euclid" w:hAnsi="Euclid" w:cs="Euclid"/>
                <w:spacing w:val="-2"/>
                <w:sz w:val="20"/>
                <w:szCs w:val="20"/>
              </w:rPr>
            </w:pPr>
            <w:r w:rsidRPr="00BD1C17">
              <w:rPr>
                <w:rFonts w:ascii="Euclid" w:hAnsi="Euclid" w:cs="Euclid"/>
                <w:spacing w:val="-2"/>
                <w:sz w:val="20"/>
                <w:szCs w:val="20"/>
              </w:rPr>
              <w:t>2,900</w:t>
            </w:r>
          </w:p>
        </w:tc>
        <w:tc>
          <w:tcPr>
            <w:tcW w:w="942" w:type="dxa"/>
            <w:tcBorders>
              <w:top w:val="single" w:sz="4" w:space="0" w:color="000000"/>
              <w:left w:val="none" w:sz="6" w:space="0" w:color="auto"/>
              <w:bottom w:val="none" w:sz="6" w:space="0" w:color="auto"/>
              <w:right w:val="none" w:sz="6" w:space="0" w:color="auto"/>
            </w:tcBorders>
          </w:tcPr>
          <w:p w14:paraId="369876B8" w14:textId="77777777" w:rsidR="00BD1C17" w:rsidRPr="00BD1C17" w:rsidRDefault="00BD1C17" w:rsidP="00BD1C17">
            <w:pPr>
              <w:kinsoku w:val="0"/>
              <w:overflowPunct w:val="0"/>
              <w:autoSpaceDE w:val="0"/>
              <w:autoSpaceDN w:val="0"/>
              <w:adjustRightInd w:val="0"/>
              <w:spacing w:before="19" w:after="0" w:line="327" w:lineRule="exact"/>
              <w:ind w:left="76" w:right="67"/>
              <w:jc w:val="center"/>
              <w:rPr>
                <w:rFonts w:ascii="Euclid" w:hAnsi="Euclid" w:cs="Euclid"/>
                <w:spacing w:val="-2"/>
                <w:sz w:val="20"/>
                <w:szCs w:val="20"/>
              </w:rPr>
            </w:pPr>
            <w:r w:rsidRPr="00BD1C17">
              <w:rPr>
                <w:rFonts w:ascii="Euclid" w:hAnsi="Euclid" w:cs="Euclid"/>
                <w:spacing w:val="-2"/>
                <w:sz w:val="20"/>
                <w:szCs w:val="20"/>
              </w:rPr>
              <w:t>14,380</w:t>
            </w:r>
          </w:p>
        </w:tc>
        <w:tc>
          <w:tcPr>
            <w:tcW w:w="1208" w:type="dxa"/>
            <w:tcBorders>
              <w:top w:val="single" w:sz="4" w:space="0" w:color="000000"/>
              <w:left w:val="none" w:sz="6" w:space="0" w:color="auto"/>
              <w:bottom w:val="none" w:sz="6" w:space="0" w:color="auto"/>
              <w:right w:val="none" w:sz="6" w:space="0" w:color="auto"/>
            </w:tcBorders>
          </w:tcPr>
          <w:p w14:paraId="120F4A16" w14:textId="77777777" w:rsidR="00BD1C17" w:rsidRPr="00BD1C17" w:rsidRDefault="00BD1C17" w:rsidP="00BD1C17">
            <w:pPr>
              <w:kinsoku w:val="0"/>
              <w:overflowPunct w:val="0"/>
              <w:autoSpaceDE w:val="0"/>
              <w:autoSpaceDN w:val="0"/>
              <w:adjustRightInd w:val="0"/>
              <w:spacing w:before="19" w:after="0" w:line="327" w:lineRule="exact"/>
              <w:ind w:left="106" w:right="95"/>
              <w:jc w:val="center"/>
              <w:rPr>
                <w:rFonts w:ascii="Euclid" w:hAnsi="Euclid" w:cs="Euclid"/>
                <w:spacing w:val="-2"/>
                <w:sz w:val="20"/>
                <w:szCs w:val="20"/>
              </w:rPr>
            </w:pPr>
            <w:r w:rsidRPr="00BD1C17">
              <w:rPr>
                <w:rFonts w:ascii="Euclid" w:hAnsi="Euclid" w:cs="Euclid"/>
                <w:spacing w:val="-2"/>
                <w:sz w:val="20"/>
                <w:szCs w:val="20"/>
              </w:rPr>
              <w:t>2,003</w:t>
            </w:r>
          </w:p>
        </w:tc>
        <w:tc>
          <w:tcPr>
            <w:tcW w:w="1318" w:type="dxa"/>
            <w:tcBorders>
              <w:top w:val="single" w:sz="4" w:space="0" w:color="000000"/>
              <w:left w:val="none" w:sz="6" w:space="0" w:color="auto"/>
              <w:bottom w:val="none" w:sz="6" w:space="0" w:color="auto"/>
              <w:right w:val="none" w:sz="6" w:space="0" w:color="auto"/>
            </w:tcBorders>
          </w:tcPr>
          <w:p w14:paraId="6F99EE47" w14:textId="77777777" w:rsidR="00BD1C17" w:rsidRPr="00BD1C17" w:rsidRDefault="00BD1C17" w:rsidP="00BD1C17">
            <w:pPr>
              <w:kinsoku w:val="0"/>
              <w:overflowPunct w:val="0"/>
              <w:autoSpaceDE w:val="0"/>
              <w:autoSpaceDN w:val="0"/>
              <w:adjustRightInd w:val="0"/>
              <w:spacing w:before="19" w:after="0" w:line="327" w:lineRule="exact"/>
              <w:ind w:left="112" w:right="103"/>
              <w:jc w:val="center"/>
              <w:rPr>
                <w:rFonts w:ascii="Euclid" w:hAnsi="Euclid" w:cs="Euclid"/>
                <w:spacing w:val="-2"/>
                <w:sz w:val="20"/>
                <w:szCs w:val="20"/>
              </w:rPr>
            </w:pPr>
            <w:r w:rsidRPr="00BD1C17">
              <w:rPr>
                <w:rFonts w:ascii="Euclid" w:hAnsi="Euclid" w:cs="Euclid"/>
                <w:spacing w:val="-2"/>
                <w:sz w:val="20"/>
                <w:szCs w:val="20"/>
              </w:rPr>
              <w:t>37,400</w:t>
            </w:r>
          </w:p>
        </w:tc>
        <w:tc>
          <w:tcPr>
            <w:tcW w:w="942" w:type="dxa"/>
            <w:tcBorders>
              <w:top w:val="single" w:sz="4" w:space="0" w:color="000000"/>
              <w:left w:val="none" w:sz="6" w:space="0" w:color="auto"/>
              <w:bottom w:val="none" w:sz="6" w:space="0" w:color="auto"/>
              <w:right w:val="none" w:sz="6" w:space="0" w:color="auto"/>
            </w:tcBorders>
          </w:tcPr>
          <w:p w14:paraId="7F571426" w14:textId="77777777" w:rsidR="00BD1C17" w:rsidRPr="00BD1C17" w:rsidRDefault="00BD1C17" w:rsidP="00BD1C17">
            <w:pPr>
              <w:kinsoku w:val="0"/>
              <w:overflowPunct w:val="0"/>
              <w:autoSpaceDE w:val="0"/>
              <w:autoSpaceDN w:val="0"/>
              <w:adjustRightInd w:val="0"/>
              <w:spacing w:before="19" w:after="0" w:line="327" w:lineRule="exact"/>
              <w:ind w:left="76" w:right="61"/>
              <w:jc w:val="center"/>
              <w:rPr>
                <w:rFonts w:ascii="Euclid" w:hAnsi="Euclid" w:cs="Euclid"/>
                <w:spacing w:val="-2"/>
                <w:sz w:val="20"/>
                <w:szCs w:val="20"/>
              </w:rPr>
            </w:pPr>
            <w:r w:rsidRPr="00BD1C17">
              <w:rPr>
                <w:rFonts w:ascii="Euclid" w:hAnsi="Euclid" w:cs="Euclid"/>
                <w:spacing w:val="-2"/>
                <w:sz w:val="20"/>
                <w:szCs w:val="20"/>
              </w:rPr>
              <w:t>61,850</w:t>
            </w:r>
          </w:p>
        </w:tc>
        <w:tc>
          <w:tcPr>
            <w:tcW w:w="939" w:type="dxa"/>
            <w:tcBorders>
              <w:top w:val="single" w:sz="4" w:space="0" w:color="000000"/>
              <w:left w:val="none" w:sz="6" w:space="0" w:color="auto"/>
              <w:bottom w:val="none" w:sz="6" w:space="0" w:color="auto"/>
              <w:right w:val="none" w:sz="6" w:space="0" w:color="auto"/>
            </w:tcBorders>
          </w:tcPr>
          <w:p w14:paraId="4AACE778" w14:textId="77777777" w:rsidR="00BD1C17" w:rsidRPr="00BD1C17" w:rsidRDefault="00BD1C17" w:rsidP="00BD1C17">
            <w:pPr>
              <w:kinsoku w:val="0"/>
              <w:overflowPunct w:val="0"/>
              <w:autoSpaceDE w:val="0"/>
              <w:autoSpaceDN w:val="0"/>
              <w:adjustRightInd w:val="0"/>
              <w:spacing w:before="19" w:after="0" w:line="327" w:lineRule="exact"/>
              <w:ind w:left="115" w:right="98"/>
              <w:jc w:val="center"/>
              <w:rPr>
                <w:rFonts w:ascii="Euclid" w:hAnsi="Euclid" w:cs="Euclid"/>
                <w:spacing w:val="-2"/>
                <w:sz w:val="20"/>
                <w:szCs w:val="20"/>
              </w:rPr>
            </w:pPr>
            <w:r w:rsidRPr="00BD1C17">
              <w:rPr>
                <w:rFonts w:ascii="Euclid" w:hAnsi="Euclid" w:cs="Euclid"/>
                <w:spacing w:val="-2"/>
                <w:sz w:val="20"/>
                <w:szCs w:val="20"/>
              </w:rPr>
              <w:t>19,499</w:t>
            </w:r>
          </w:p>
        </w:tc>
        <w:tc>
          <w:tcPr>
            <w:tcW w:w="866" w:type="dxa"/>
            <w:tcBorders>
              <w:top w:val="single" w:sz="4" w:space="0" w:color="000000"/>
              <w:left w:val="none" w:sz="6" w:space="0" w:color="auto"/>
              <w:bottom w:val="none" w:sz="6" w:space="0" w:color="auto"/>
              <w:right w:val="none" w:sz="6" w:space="0" w:color="auto"/>
            </w:tcBorders>
          </w:tcPr>
          <w:p w14:paraId="6638D58F" w14:textId="77777777" w:rsidR="00BD1C17" w:rsidRPr="00BD1C17" w:rsidRDefault="00BD1C17" w:rsidP="00BD1C17">
            <w:pPr>
              <w:kinsoku w:val="0"/>
              <w:overflowPunct w:val="0"/>
              <w:autoSpaceDE w:val="0"/>
              <w:autoSpaceDN w:val="0"/>
              <w:adjustRightInd w:val="0"/>
              <w:spacing w:before="19" w:after="0" w:line="327" w:lineRule="exact"/>
              <w:ind w:right="147"/>
              <w:jc w:val="right"/>
              <w:rPr>
                <w:rFonts w:ascii="Euclid" w:hAnsi="Euclid" w:cs="Euclid"/>
                <w:spacing w:val="-2"/>
                <w:sz w:val="20"/>
                <w:szCs w:val="20"/>
              </w:rPr>
            </w:pPr>
            <w:r w:rsidRPr="00BD1C17">
              <w:rPr>
                <w:rFonts w:ascii="Euclid" w:hAnsi="Euclid" w:cs="Euclid"/>
                <w:spacing w:val="-2"/>
                <w:sz w:val="20"/>
                <w:szCs w:val="20"/>
              </w:rPr>
              <w:t>10,475</w:t>
            </w:r>
          </w:p>
        </w:tc>
      </w:tr>
      <w:tr w:rsidR="00BD1C17" w:rsidRPr="00BD1C17" w14:paraId="31766DC1" w14:textId="77777777" w:rsidTr="00964366">
        <w:trPr>
          <w:trHeight w:val="372"/>
        </w:trPr>
        <w:tc>
          <w:tcPr>
            <w:tcW w:w="1529" w:type="dxa"/>
            <w:tcBorders>
              <w:top w:val="none" w:sz="6" w:space="0" w:color="auto"/>
              <w:left w:val="none" w:sz="6" w:space="0" w:color="auto"/>
              <w:bottom w:val="none" w:sz="6" w:space="0" w:color="auto"/>
              <w:right w:val="none" w:sz="6" w:space="0" w:color="auto"/>
            </w:tcBorders>
          </w:tcPr>
          <w:p w14:paraId="35D73C32" w14:textId="77777777" w:rsidR="00BD1C17" w:rsidRPr="00BD1C17" w:rsidRDefault="00BD1C17" w:rsidP="00BD1C17">
            <w:pPr>
              <w:kinsoku w:val="0"/>
              <w:overflowPunct w:val="0"/>
              <w:autoSpaceDE w:val="0"/>
              <w:autoSpaceDN w:val="0"/>
              <w:adjustRightInd w:val="0"/>
              <w:spacing w:before="54" w:after="0" w:line="240" w:lineRule="auto"/>
              <w:ind w:left="119"/>
              <w:rPr>
                <w:rFonts w:ascii="Eras Medium ITC" w:hAnsi="Eras Medium ITC" w:cs="Eras Medium ITC"/>
                <w:spacing w:val="-2"/>
                <w:w w:val="105"/>
                <w:sz w:val="20"/>
                <w:szCs w:val="20"/>
                <w:vertAlign w:val="superscript"/>
              </w:rPr>
            </w:pPr>
            <w:r w:rsidRPr="00BD1C17">
              <w:rPr>
                <w:rFonts w:ascii="Bookman Old Style" w:hAnsi="Bookman Old Style" w:cs="Bookman Old Style"/>
                <w:i/>
                <w:iCs/>
                <w:spacing w:val="-2"/>
                <w:w w:val="105"/>
                <w:sz w:val="20"/>
                <w:szCs w:val="20"/>
              </w:rPr>
              <w:t>Adj.R</w:t>
            </w:r>
            <w:r w:rsidRPr="00BD1C17">
              <w:rPr>
                <w:rFonts w:ascii="Eras Medium ITC" w:hAnsi="Eras Medium ITC" w:cs="Eras Medium ITC"/>
                <w:spacing w:val="-2"/>
                <w:w w:val="105"/>
                <w:sz w:val="20"/>
                <w:szCs w:val="20"/>
                <w:vertAlign w:val="superscript"/>
              </w:rPr>
              <w:t>2</w:t>
            </w:r>
          </w:p>
        </w:tc>
        <w:tc>
          <w:tcPr>
            <w:tcW w:w="869" w:type="dxa"/>
            <w:tcBorders>
              <w:top w:val="none" w:sz="6" w:space="0" w:color="auto"/>
              <w:left w:val="none" w:sz="6" w:space="0" w:color="auto"/>
              <w:bottom w:val="none" w:sz="6" w:space="0" w:color="auto"/>
              <w:right w:val="none" w:sz="6" w:space="0" w:color="auto"/>
            </w:tcBorders>
          </w:tcPr>
          <w:p w14:paraId="1D2D0EF3" w14:textId="77777777" w:rsidR="00BD1C17" w:rsidRPr="00BD1C17" w:rsidRDefault="00BD1C17" w:rsidP="00BD1C17">
            <w:pPr>
              <w:kinsoku w:val="0"/>
              <w:overflowPunct w:val="0"/>
              <w:autoSpaceDE w:val="0"/>
              <w:autoSpaceDN w:val="0"/>
              <w:adjustRightInd w:val="0"/>
              <w:spacing w:before="12" w:after="0" w:line="240" w:lineRule="auto"/>
              <w:ind w:left="87" w:right="85"/>
              <w:jc w:val="center"/>
              <w:rPr>
                <w:rFonts w:ascii="Euclid" w:hAnsi="Euclid" w:cs="Euclid"/>
                <w:spacing w:val="-2"/>
                <w:sz w:val="20"/>
                <w:szCs w:val="20"/>
              </w:rPr>
            </w:pPr>
            <w:r w:rsidRPr="00BD1C17">
              <w:rPr>
                <w:rFonts w:ascii="Euclid" w:hAnsi="Euclid" w:cs="Euclid"/>
                <w:spacing w:val="-2"/>
                <w:sz w:val="20"/>
                <w:szCs w:val="20"/>
              </w:rPr>
              <w:t>0.0515</w:t>
            </w:r>
          </w:p>
        </w:tc>
        <w:tc>
          <w:tcPr>
            <w:tcW w:w="1012" w:type="dxa"/>
            <w:tcBorders>
              <w:top w:val="none" w:sz="6" w:space="0" w:color="auto"/>
              <w:left w:val="none" w:sz="6" w:space="0" w:color="auto"/>
              <w:bottom w:val="none" w:sz="6" w:space="0" w:color="auto"/>
              <w:right w:val="none" w:sz="6" w:space="0" w:color="auto"/>
            </w:tcBorders>
          </w:tcPr>
          <w:p w14:paraId="64A35060" w14:textId="77777777" w:rsidR="00BD1C17" w:rsidRPr="00BD1C17" w:rsidRDefault="00BD1C17" w:rsidP="00BD1C17">
            <w:pPr>
              <w:kinsoku w:val="0"/>
              <w:overflowPunct w:val="0"/>
              <w:autoSpaceDE w:val="0"/>
              <w:autoSpaceDN w:val="0"/>
              <w:adjustRightInd w:val="0"/>
              <w:spacing w:before="12" w:after="0" w:line="240" w:lineRule="auto"/>
              <w:ind w:left="107" w:right="104"/>
              <w:jc w:val="center"/>
              <w:rPr>
                <w:rFonts w:ascii="Euclid" w:hAnsi="Euclid" w:cs="Euclid"/>
                <w:spacing w:val="-2"/>
                <w:sz w:val="20"/>
                <w:szCs w:val="20"/>
              </w:rPr>
            </w:pPr>
            <w:r w:rsidRPr="00BD1C17">
              <w:rPr>
                <w:rFonts w:ascii="Euclid" w:hAnsi="Euclid" w:cs="Euclid"/>
                <w:spacing w:val="-2"/>
                <w:sz w:val="20"/>
                <w:szCs w:val="20"/>
              </w:rPr>
              <w:t>0.0442</w:t>
            </w:r>
          </w:p>
        </w:tc>
        <w:tc>
          <w:tcPr>
            <w:tcW w:w="942" w:type="dxa"/>
            <w:tcBorders>
              <w:top w:val="none" w:sz="6" w:space="0" w:color="auto"/>
              <w:left w:val="none" w:sz="6" w:space="0" w:color="auto"/>
              <w:bottom w:val="none" w:sz="6" w:space="0" w:color="auto"/>
              <w:right w:val="none" w:sz="6" w:space="0" w:color="auto"/>
            </w:tcBorders>
          </w:tcPr>
          <w:p w14:paraId="684F5361" w14:textId="77777777" w:rsidR="00BD1C17" w:rsidRPr="00BD1C17" w:rsidRDefault="00BD1C17" w:rsidP="00BD1C17">
            <w:pPr>
              <w:kinsoku w:val="0"/>
              <w:overflowPunct w:val="0"/>
              <w:autoSpaceDE w:val="0"/>
              <w:autoSpaceDN w:val="0"/>
              <w:adjustRightInd w:val="0"/>
              <w:spacing w:before="12" w:after="0" w:line="240" w:lineRule="auto"/>
              <w:ind w:left="76" w:right="67"/>
              <w:jc w:val="center"/>
              <w:rPr>
                <w:rFonts w:ascii="Euclid" w:hAnsi="Euclid" w:cs="Euclid"/>
                <w:spacing w:val="-2"/>
                <w:sz w:val="20"/>
                <w:szCs w:val="20"/>
              </w:rPr>
            </w:pPr>
            <w:r w:rsidRPr="00BD1C17">
              <w:rPr>
                <w:rFonts w:ascii="Euclid" w:hAnsi="Euclid" w:cs="Euclid"/>
                <w:spacing w:val="-2"/>
                <w:sz w:val="20"/>
                <w:szCs w:val="20"/>
              </w:rPr>
              <w:t>0.0414</w:t>
            </w:r>
          </w:p>
        </w:tc>
        <w:tc>
          <w:tcPr>
            <w:tcW w:w="1208" w:type="dxa"/>
            <w:tcBorders>
              <w:top w:val="none" w:sz="6" w:space="0" w:color="auto"/>
              <w:left w:val="none" w:sz="6" w:space="0" w:color="auto"/>
              <w:bottom w:val="none" w:sz="6" w:space="0" w:color="auto"/>
              <w:right w:val="none" w:sz="6" w:space="0" w:color="auto"/>
            </w:tcBorders>
          </w:tcPr>
          <w:p w14:paraId="463EAEA4" w14:textId="77777777" w:rsidR="00BD1C17" w:rsidRPr="00BD1C17" w:rsidRDefault="00BD1C17" w:rsidP="00BD1C17">
            <w:pPr>
              <w:kinsoku w:val="0"/>
              <w:overflowPunct w:val="0"/>
              <w:autoSpaceDE w:val="0"/>
              <w:autoSpaceDN w:val="0"/>
              <w:adjustRightInd w:val="0"/>
              <w:spacing w:before="12" w:after="0" w:line="240" w:lineRule="auto"/>
              <w:ind w:left="106" w:right="95"/>
              <w:jc w:val="center"/>
              <w:rPr>
                <w:rFonts w:ascii="Euclid" w:hAnsi="Euclid" w:cs="Euclid"/>
                <w:spacing w:val="-2"/>
                <w:sz w:val="20"/>
                <w:szCs w:val="20"/>
              </w:rPr>
            </w:pPr>
            <w:r w:rsidRPr="00BD1C17">
              <w:rPr>
                <w:rFonts w:ascii="Euclid" w:hAnsi="Euclid" w:cs="Euclid"/>
                <w:spacing w:val="-2"/>
                <w:sz w:val="20"/>
                <w:szCs w:val="20"/>
              </w:rPr>
              <w:t>0.0497</w:t>
            </w:r>
          </w:p>
        </w:tc>
        <w:tc>
          <w:tcPr>
            <w:tcW w:w="1318" w:type="dxa"/>
            <w:tcBorders>
              <w:top w:val="none" w:sz="6" w:space="0" w:color="auto"/>
              <w:left w:val="none" w:sz="6" w:space="0" w:color="auto"/>
              <w:bottom w:val="none" w:sz="6" w:space="0" w:color="auto"/>
              <w:right w:val="none" w:sz="6" w:space="0" w:color="auto"/>
            </w:tcBorders>
          </w:tcPr>
          <w:p w14:paraId="6DBEB3D3" w14:textId="77777777" w:rsidR="00BD1C17" w:rsidRPr="00BD1C17" w:rsidRDefault="00BD1C17" w:rsidP="00BD1C17">
            <w:pPr>
              <w:kinsoku w:val="0"/>
              <w:overflowPunct w:val="0"/>
              <w:autoSpaceDE w:val="0"/>
              <w:autoSpaceDN w:val="0"/>
              <w:adjustRightInd w:val="0"/>
              <w:spacing w:before="12" w:after="0" w:line="240" w:lineRule="auto"/>
              <w:ind w:left="112" w:right="103"/>
              <w:jc w:val="center"/>
              <w:rPr>
                <w:rFonts w:ascii="Euclid" w:hAnsi="Euclid" w:cs="Euclid"/>
                <w:spacing w:val="-2"/>
                <w:sz w:val="20"/>
                <w:szCs w:val="20"/>
              </w:rPr>
            </w:pPr>
            <w:r w:rsidRPr="00BD1C17">
              <w:rPr>
                <w:rFonts w:ascii="Euclid" w:hAnsi="Euclid" w:cs="Euclid"/>
                <w:spacing w:val="-2"/>
                <w:sz w:val="20"/>
                <w:szCs w:val="20"/>
              </w:rPr>
              <w:t>0.0577</w:t>
            </w:r>
          </w:p>
        </w:tc>
        <w:tc>
          <w:tcPr>
            <w:tcW w:w="942" w:type="dxa"/>
            <w:tcBorders>
              <w:top w:val="none" w:sz="6" w:space="0" w:color="auto"/>
              <w:left w:val="none" w:sz="6" w:space="0" w:color="auto"/>
              <w:bottom w:val="none" w:sz="6" w:space="0" w:color="auto"/>
              <w:right w:val="none" w:sz="6" w:space="0" w:color="auto"/>
            </w:tcBorders>
          </w:tcPr>
          <w:p w14:paraId="48059538" w14:textId="77777777" w:rsidR="00BD1C17" w:rsidRPr="00BD1C17" w:rsidRDefault="00BD1C17" w:rsidP="00BD1C17">
            <w:pPr>
              <w:kinsoku w:val="0"/>
              <w:overflowPunct w:val="0"/>
              <w:autoSpaceDE w:val="0"/>
              <w:autoSpaceDN w:val="0"/>
              <w:adjustRightInd w:val="0"/>
              <w:spacing w:before="12" w:after="0" w:line="240" w:lineRule="auto"/>
              <w:ind w:left="76" w:right="61"/>
              <w:jc w:val="center"/>
              <w:rPr>
                <w:rFonts w:ascii="Euclid" w:hAnsi="Euclid" w:cs="Euclid"/>
                <w:spacing w:val="-2"/>
                <w:sz w:val="20"/>
                <w:szCs w:val="20"/>
              </w:rPr>
            </w:pPr>
            <w:r w:rsidRPr="00BD1C17">
              <w:rPr>
                <w:rFonts w:ascii="Euclid" w:hAnsi="Euclid" w:cs="Euclid"/>
                <w:spacing w:val="-2"/>
                <w:sz w:val="20"/>
                <w:szCs w:val="20"/>
              </w:rPr>
              <w:t>0.0491</w:t>
            </w:r>
          </w:p>
        </w:tc>
        <w:tc>
          <w:tcPr>
            <w:tcW w:w="939" w:type="dxa"/>
            <w:tcBorders>
              <w:top w:val="none" w:sz="6" w:space="0" w:color="auto"/>
              <w:left w:val="none" w:sz="6" w:space="0" w:color="auto"/>
              <w:bottom w:val="none" w:sz="6" w:space="0" w:color="auto"/>
              <w:right w:val="none" w:sz="6" w:space="0" w:color="auto"/>
            </w:tcBorders>
          </w:tcPr>
          <w:p w14:paraId="193A7105" w14:textId="77777777" w:rsidR="00BD1C17" w:rsidRPr="00BD1C17" w:rsidRDefault="00BD1C17" w:rsidP="00BD1C17">
            <w:pPr>
              <w:kinsoku w:val="0"/>
              <w:overflowPunct w:val="0"/>
              <w:autoSpaceDE w:val="0"/>
              <w:autoSpaceDN w:val="0"/>
              <w:adjustRightInd w:val="0"/>
              <w:spacing w:before="12" w:after="0" w:line="240" w:lineRule="auto"/>
              <w:ind w:left="115" w:right="98"/>
              <w:jc w:val="center"/>
              <w:rPr>
                <w:rFonts w:ascii="Euclid" w:hAnsi="Euclid" w:cs="Euclid"/>
                <w:spacing w:val="-2"/>
                <w:sz w:val="20"/>
                <w:szCs w:val="20"/>
              </w:rPr>
            </w:pPr>
            <w:r w:rsidRPr="00BD1C17">
              <w:rPr>
                <w:rFonts w:ascii="Euclid" w:hAnsi="Euclid" w:cs="Euclid"/>
                <w:spacing w:val="-2"/>
                <w:sz w:val="20"/>
                <w:szCs w:val="20"/>
              </w:rPr>
              <w:t>0.0596</w:t>
            </w:r>
          </w:p>
        </w:tc>
        <w:tc>
          <w:tcPr>
            <w:tcW w:w="866" w:type="dxa"/>
            <w:tcBorders>
              <w:top w:val="none" w:sz="6" w:space="0" w:color="auto"/>
              <w:left w:val="none" w:sz="6" w:space="0" w:color="auto"/>
              <w:bottom w:val="none" w:sz="6" w:space="0" w:color="auto"/>
              <w:right w:val="none" w:sz="6" w:space="0" w:color="auto"/>
            </w:tcBorders>
          </w:tcPr>
          <w:p w14:paraId="720E80F7" w14:textId="77777777" w:rsidR="00BD1C17" w:rsidRPr="00BD1C17" w:rsidRDefault="00BD1C17" w:rsidP="00BD1C17">
            <w:pPr>
              <w:kinsoku w:val="0"/>
              <w:overflowPunct w:val="0"/>
              <w:autoSpaceDE w:val="0"/>
              <w:autoSpaceDN w:val="0"/>
              <w:adjustRightInd w:val="0"/>
              <w:spacing w:before="12" w:after="0" w:line="240" w:lineRule="auto"/>
              <w:ind w:right="147"/>
              <w:jc w:val="right"/>
              <w:rPr>
                <w:rFonts w:ascii="Euclid" w:hAnsi="Euclid" w:cs="Euclid"/>
                <w:spacing w:val="-2"/>
                <w:sz w:val="20"/>
                <w:szCs w:val="20"/>
              </w:rPr>
            </w:pPr>
            <w:r w:rsidRPr="00BD1C17">
              <w:rPr>
                <w:rFonts w:ascii="Euclid" w:hAnsi="Euclid" w:cs="Euclid"/>
                <w:spacing w:val="-2"/>
                <w:sz w:val="20"/>
                <w:szCs w:val="20"/>
              </w:rPr>
              <w:t>0.0639</w:t>
            </w:r>
          </w:p>
        </w:tc>
      </w:tr>
      <w:tr w:rsidR="00BD1C17" w:rsidRPr="00BD1C17" w14:paraId="24E02799" w14:textId="77777777" w:rsidTr="00964366">
        <w:trPr>
          <w:trHeight w:val="349"/>
        </w:trPr>
        <w:tc>
          <w:tcPr>
            <w:tcW w:w="1529" w:type="dxa"/>
            <w:tcBorders>
              <w:top w:val="none" w:sz="6" w:space="0" w:color="auto"/>
              <w:left w:val="none" w:sz="6" w:space="0" w:color="auto"/>
              <w:bottom w:val="double" w:sz="2" w:space="0" w:color="000000"/>
              <w:right w:val="none" w:sz="6" w:space="0" w:color="auto"/>
            </w:tcBorders>
          </w:tcPr>
          <w:p w14:paraId="275D5FDA" w14:textId="77777777" w:rsidR="00BD1C17" w:rsidRPr="00BD1C17" w:rsidRDefault="00BD1C17" w:rsidP="00BD1C17">
            <w:pPr>
              <w:kinsoku w:val="0"/>
              <w:overflowPunct w:val="0"/>
              <w:autoSpaceDE w:val="0"/>
              <w:autoSpaceDN w:val="0"/>
              <w:adjustRightInd w:val="0"/>
              <w:spacing w:after="0" w:line="330" w:lineRule="exact"/>
              <w:ind w:left="119"/>
              <w:rPr>
                <w:rFonts w:ascii="Euclid" w:hAnsi="Euclid" w:cs="Euclid"/>
                <w:spacing w:val="-4"/>
                <w:sz w:val="20"/>
                <w:szCs w:val="20"/>
              </w:rPr>
            </w:pPr>
            <w:r w:rsidRPr="00BD1C17">
              <w:rPr>
                <w:rFonts w:ascii="Euclid" w:hAnsi="Euclid" w:cs="Euclid"/>
                <w:spacing w:val="-4"/>
                <w:sz w:val="20"/>
                <w:szCs w:val="20"/>
              </w:rPr>
              <w:t>Mean</w:t>
            </w:r>
          </w:p>
        </w:tc>
        <w:tc>
          <w:tcPr>
            <w:tcW w:w="869" w:type="dxa"/>
            <w:tcBorders>
              <w:top w:val="none" w:sz="6" w:space="0" w:color="auto"/>
              <w:left w:val="none" w:sz="6" w:space="0" w:color="auto"/>
              <w:bottom w:val="double" w:sz="2" w:space="0" w:color="000000"/>
              <w:right w:val="none" w:sz="6" w:space="0" w:color="auto"/>
            </w:tcBorders>
          </w:tcPr>
          <w:p w14:paraId="443306C3" w14:textId="77777777" w:rsidR="00BD1C17" w:rsidRPr="00BD1C17" w:rsidRDefault="00BD1C17" w:rsidP="00BD1C17">
            <w:pPr>
              <w:kinsoku w:val="0"/>
              <w:overflowPunct w:val="0"/>
              <w:autoSpaceDE w:val="0"/>
              <w:autoSpaceDN w:val="0"/>
              <w:adjustRightInd w:val="0"/>
              <w:spacing w:after="0" w:line="330" w:lineRule="exact"/>
              <w:ind w:left="87" w:right="84"/>
              <w:jc w:val="center"/>
              <w:rPr>
                <w:rFonts w:ascii="Euclid" w:hAnsi="Euclid" w:cs="Euclid"/>
                <w:spacing w:val="-2"/>
                <w:sz w:val="20"/>
                <w:szCs w:val="20"/>
              </w:rPr>
            </w:pPr>
            <w:r w:rsidRPr="00BD1C17">
              <w:rPr>
                <w:rFonts w:ascii="Euclid" w:hAnsi="Euclid" w:cs="Euclid"/>
                <w:spacing w:val="-2"/>
                <w:sz w:val="20"/>
                <w:szCs w:val="20"/>
              </w:rPr>
              <w:t>0.0884</w:t>
            </w:r>
          </w:p>
        </w:tc>
        <w:tc>
          <w:tcPr>
            <w:tcW w:w="1012" w:type="dxa"/>
            <w:tcBorders>
              <w:top w:val="none" w:sz="6" w:space="0" w:color="auto"/>
              <w:left w:val="none" w:sz="6" w:space="0" w:color="auto"/>
              <w:bottom w:val="double" w:sz="2" w:space="0" w:color="000000"/>
              <w:right w:val="none" w:sz="6" w:space="0" w:color="auto"/>
            </w:tcBorders>
          </w:tcPr>
          <w:p w14:paraId="74973523" w14:textId="77777777" w:rsidR="00BD1C17" w:rsidRPr="00BD1C17" w:rsidRDefault="00BD1C17" w:rsidP="00BD1C17">
            <w:pPr>
              <w:kinsoku w:val="0"/>
              <w:overflowPunct w:val="0"/>
              <w:autoSpaceDE w:val="0"/>
              <w:autoSpaceDN w:val="0"/>
              <w:adjustRightInd w:val="0"/>
              <w:spacing w:after="0" w:line="330" w:lineRule="exact"/>
              <w:ind w:left="107" w:right="104"/>
              <w:jc w:val="center"/>
              <w:rPr>
                <w:rFonts w:ascii="Euclid" w:hAnsi="Euclid" w:cs="Euclid"/>
                <w:spacing w:val="-2"/>
                <w:sz w:val="20"/>
                <w:szCs w:val="20"/>
              </w:rPr>
            </w:pPr>
            <w:r w:rsidRPr="00BD1C17">
              <w:rPr>
                <w:rFonts w:ascii="Euclid" w:hAnsi="Euclid" w:cs="Euclid"/>
                <w:spacing w:val="-2"/>
                <w:sz w:val="20"/>
                <w:szCs w:val="20"/>
              </w:rPr>
              <w:t>0.0991</w:t>
            </w:r>
          </w:p>
        </w:tc>
        <w:tc>
          <w:tcPr>
            <w:tcW w:w="942" w:type="dxa"/>
            <w:tcBorders>
              <w:top w:val="none" w:sz="6" w:space="0" w:color="auto"/>
              <w:left w:val="none" w:sz="6" w:space="0" w:color="auto"/>
              <w:bottom w:val="double" w:sz="2" w:space="0" w:color="000000"/>
              <w:right w:val="none" w:sz="6" w:space="0" w:color="auto"/>
            </w:tcBorders>
          </w:tcPr>
          <w:p w14:paraId="67DE78CC" w14:textId="77777777" w:rsidR="00BD1C17" w:rsidRPr="00BD1C17" w:rsidRDefault="00BD1C17" w:rsidP="00BD1C17">
            <w:pPr>
              <w:kinsoku w:val="0"/>
              <w:overflowPunct w:val="0"/>
              <w:autoSpaceDE w:val="0"/>
              <w:autoSpaceDN w:val="0"/>
              <w:adjustRightInd w:val="0"/>
              <w:spacing w:after="0" w:line="330" w:lineRule="exact"/>
              <w:ind w:left="76" w:right="67"/>
              <w:jc w:val="center"/>
              <w:rPr>
                <w:rFonts w:ascii="Euclid" w:hAnsi="Euclid" w:cs="Euclid"/>
                <w:spacing w:val="-2"/>
                <w:sz w:val="20"/>
                <w:szCs w:val="20"/>
              </w:rPr>
            </w:pPr>
            <w:r w:rsidRPr="00BD1C17">
              <w:rPr>
                <w:rFonts w:ascii="Euclid" w:hAnsi="Euclid" w:cs="Euclid"/>
                <w:spacing w:val="-2"/>
                <w:sz w:val="20"/>
                <w:szCs w:val="20"/>
              </w:rPr>
              <w:t>0.1061</w:t>
            </w:r>
          </w:p>
        </w:tc>
        <w:tc>
          <w:tcPr>
            <w:tcW w:w="1208" w:type="dxa"/>
            <w:tcBorders>
              <w:top w:val="none" w:sz="6" w:space="0" w:color="auto"/>
              <w:left w:val="none" w:sz="6" w:space="0" w:color="auto"/>
              <w:bottom w:val="double" w:sz="2" w:space="0" w:color="000000"/>
              <w:right w:val="none" w:sz="6" w:space="0" w:color="auto"/>
            </w:tcBorders>
          </w:tcPr>
          <w:p w14:paraId="5CCD1854" w14:textId="77777777" w:rsidR="00BD1C17" w:rsidRPr="00BD1C17" w:rsidRDefault="00BD1C17" w:rsidP="00BD1C17">
            <w:pPr>
              <w:kinsoku w:val="0"/>
              <w:overflowPunct w:val="0"/>
              <w:autoSpaceDE w:val="0"/>
              <w:autoSpaceDN w:val="0"/>
              <w:adjustRightInd w:val="0"/>
              <w:spacing w:after="0" w:line="330" w:lineRule="exact"/>
              <w:ind w:left="106" w:right="94"/>
              <w:jc w:val="center"/>
              <w:rPr>
                <w:rFonts w:ascii="Euclid" w:hAnsi="Euclid" w:cs="Euclid"/>
                <w:spacing w:val="-2"/>
                <w:sz w:val="20"/>
                <w:szCs w:val="20"/>
              </w:rPr>
            </w:pPr>
            <w:r w:rsidRPr="00BD1C17">
              <w:rPr>
                <w:rFonts w:ascii="Euclid" w:hAnsi="Euclid" w:cs="Euclid"/>
                <w:spacing w:val="-2"/>
                <w:sz w:val="20"/>
                <w:szCs w:val="20"/>
              </w:rPr>
              <w:t>0.0910</w:t>
            </w:r>
          </w:p>
        </w:tc>
        <w:tc>
          <w:tcPr>
            <w:tcW w:w="1318" w:type="dxa"/>
            <w:tcBorders>
              <w:top w:val="none" w:sz="6" w:space="0" w:color="auto"/>
              <w:left w:val="none" w:sz="6" w:space="0" w:color="auto"/>
              <w:bottom w:val="double" w:sz="2" w:space="0" w:color="000000"/>
              <w:right w:val="none" w:sz="6" w:space="0" w:color="auto"/>
            </w:tcBorders>
          </w:tcPr>
          <w:p w14:paraId="432B2FC6" w14:textId="77777777" w:rsidR="00BD1C17" w:rsidRPr="00BD1C17" w:rsidRDefault="00BD1C17" w:rsidP="00BD1C17">
            <w:pPr>
              <w:kinsoku w:val="0"/>
              <w:overflowPunct w:val="0"/>
              <w:autoSpaceDE w:val="0"/>
              <w:autoSpaceDN w:val="0"/>
              <w:adjustRightInd w:val="0"/>
              <w:spacing w:after="0" w:line="330" w:lineRule="exact"/>
              <w:ind w:left="112" w:right="103"/>
              <w:jc w:val="center"/>
              <w:rPr>
                <w:rFonts w:ascii="Euclid" w:hAnsi="Euclid" w:cs="Euclid"/>
                <w:spacing w:val="-2"/>
                <w:sz w:val="20"/>
                <w:szCs w:val="20"/>
              </w:rPr>
            </w:pPr>
            <w:r w:rsidRPr="00BD1C17">
              <w:rPr>
                <w:rFonts w:ascii="Euclid" w:hAnsi="Euclid" w:cs="Euclid"/>
                <w:spacing w:val="-2"/>
                <w:sz w:val="20"/>
                <w:szCs w:val="20"/>
              </w:rPr>
              <w:t>0.0868</w:t>
            </w:r>
          </w:p>
        </w:tc>
        <w:tc>
          <w:tcPr>
            <w:tcW w:w="942" w:type="dxa"/>
            <w:tcBorders>
              <w:top w:val="none" w:sz="6" w:space="0" w:color="auto"/>
              <w:left w:val="none" w:sz="6" w:space="0" w:color="auto"/>
              <w:bottom w:val="double" w:sz="2" w:space="0" w:color="000000"/>
              <w:right w:val="none" w:sz="6" w:space="0" w:color="auto"/>
            </w:tcBorders>
          </w:tcPr>
          <w:p w14:paraId="6AD48FED" w14:textId="77777777" w:rsidR="00BD1C17" w:rsidRPr="00BD1C17" w:rsidRDefault="00BD1C17" w:rsidP="00BD1C17">
            <w:pPr>
              <w:kinsoku w:val="0"/>
              <w:overflowPunct w:val="0"/>
              <w:autoSpaceDE w:val="0"/>
              <w:autoSpaceDN w:val="0"/>
              <w:adjustRightInd w:val="0"/>
              <w:spacing w:after="0" w:line="330" w:lineRule="exact"/>
              <w:ind w:left="76" w:right="60"/>
              <w:jc w:val="center"/>
              <w:rPr>
                <w:rFonts w:ascii="Euclid" w:hAnsi="Euclid" w:cs="Euclid"/>
                <w:spacing w:val="-2"/>
                <w:sz w:val="20"/>
                <w:szCs w:val="20"/>
              </w:rPr>
            </w:pPr>
            <w:r w:rsidRPr="00BD1C17">
              <w:rPr>
                <w:rFonts w:ascii="Euclid" w:hAnsi="Euclid" w:cs="Euclid"/>
                <w:spacing w:val="-2"/>
                <w:sz w:val="20"/>
                <w:szCs w:val="20"/>
              </w:rPr>
              <w:t>0.0746</w:t>
            </w:r>
          </w:p>
        </w:tc>
        <w:tc>
          <w:tcPr>
            <w:tcW w:w="939" w:type="dxa"/>
            <w:tcBorders>
              <w:top w:val="none" w:sz="6" w:space="0" w:color="auto"/>
              <w:left w:val="none" w:sz="6" w:space="0" w:color="auto"/>
              <w:bottom w:val="double" w:sz="2" w:space="0" w:color="000000"/>
              <w:right w:val="none" w:sz="6" w:space="0" w:color="auto"/>
            </w:tcBorders>
          </w:tcPr>
          <w:p w14:paraId="77A25E7F" w14:textId="77777777" w:rsidR="00BD1C17" w:rsidRPr="00BD1C17" w:rsidRDefault="00BD1C17" w:rsidP="00BD1C17">
            <w:pPr>
              <w:kinsoku w:val="0"/>
              <w:overflowPunct w:val="0"/>
              <w:autoSpaceDE w:val="0"/>
              <w:autoSpaceDN w:val="0"/>
              <w:adjustRightInd w:val="0"/>
              <w:spacing w:after="0" w:line="330" w:lineRule="exact"/>
              <w:ind w:left="115" w:right="98"/>
              <w:jc w:val="center"/>
              <w:rPr>
                <w:rFonts w:ascii="Euclid" w:hAnsi="Euclid" w:cs="Euclid"/>
                <w:spacing w:val="-2"/>
                <w:sz w:val="20"/>
                <w:szCs w:val="20"/>
              </w:rPr>
            </w:pPr>
            <w:r w:rsidRPr="00BD1C17">
              <w:rPr>
                <w:rFonts w:ascii="Euclid" w:hAnsi="Euclid" w:cs="Euclid"/>
                <w:spacing w:val="-2"/>
                <w:sz w:val="20"/>
                <w:szCs w:val="20"/>
              </w:rPr>
              <w:t>0.0943</w:t>
            </w:r>
          </w:p>
        </w:tc>
        <w:tc>
          <w:tcPr>
            <w:tcW w:w="866" w:type="dxa"/>
            <w:tcBorders>
              <w:top w:val="none" w:sz="6" w:space="0" w:color="auto"/>
              <w:left w:val="none" w:sz="6" w:space="0" w:color="auto"/>
              <w:bottom w:val="double" w:sz="2" w:space="0" w:color="000000"/>
              <w:right w:val="none" w:sz="6" w:space="0" w:color="auto"/>
            </w:tcBorders>
          </w:tcPr>
          <w:p w14:paraId="2B102174" w14:textId="77777777" w:rsidR="00BD1C17" w:rsidRPr="00BD1C17" w:rsidRDefault="00BD1C17" w:rsidP="00BD1C17">
            <w:pPr>
              <w:kinsoku w:val="0"/>
              <w:overflowPunct w:val="0"/>
              <w:autoSpaceDE w:val="0"/>
              <w:autoSpaceDN w:val="0"/>
              <w:adjustRightInd w:val="0"/>
              <w:spacing w:after="0" w:line="330" w:lineRule="exact"/>
              <w:ind w:right="147"/>
              <w:jc w:val="right"/>
              <w:rPr>
                <w:rFonts w:ascii="Euclid" w:hAnsi="Euclid" w:cs="Euclid"/>
                <w:spacing w:val="-2"/>
                <w:sz w:val="20"/>
                <w:szCs w:val="20"/>
              </w:rPr>
            </w:pPr>
            <w:r w:rsidRPr="00BD1C17">
              <w:rPr>
                <w:rFonts w:ascii="Euclid" w:hAnsi="Euclid" w:cs="Euclid"/>
                <w:spacing w:val="-2"/>
                <w:sz w:val="20"/>
                <w:szCs w:val="20"/>
              </w:rPr>
              <w:t>0.0931</w:t>
            </w:r>
          </w:p>
        </w:tc>
      </w:tr>
    </w:tbl>
    <w:p w14:paraId="465BE4DC" w14:textId="30BBB02C" w:rsidR="00BD1C17" w:rsidRPr="00BD1C17" w:rsidRDefault="00BD1C17" w:rsidP="00BD1C17">
      <w:pPr>
        <w:kinsoku w:val="0"/>
        <w:overflowPunct w:val="0"/>
        <w:autoSpaceDE w:val="0"/>
        <w:autoSpaceDN w:val="0"/>
        <w:adjustRightInd w:val="0"/>
        <w:spacing w:before="81" w:after="0" w:line="172" w:lineRule="auto"/>
        <w:ind w:left="90" w:right="163"/>
        <w:rPr>
          <w:rFonts w:ascii="Euclid" w:hAnsi="Euclid" w:cs="Euclid"/>
          <w:sz w:val="20"/>
          <w:szCs w:val="20"/>
        </w:rPr>
      </w:pPr>
      <w:r w:rsidRPr="00BD1C17">
        <w:rPr>
          <w:rFonts w:ascii="Euclid" w:hAnsi="Euclid" w:cs="Euclid"/>
          <w:sz w:val="20"/>
          <w:szCs w:val="20"/>
        </w:rPr>
        <w:t>Note:</w:t>
      </w:r>
      <w:r w:rsidRPr="00BD1C17">
        <w:rPr>
          <w:rFonts w:ascii="Euclid" w:hAnsi="Euclid" w:cs="Euclid"/>
          <w:spacing w:val="59"/>
          <w:sz w:val="20"/>
          <w:szCs w:val="20"/>
        </w:rPr>
        <w:t xml:space="preserve"> </w:t>
      </w:r>
      <w:r w:rsidR="00964366" w:rsidRPr="00964366">
        <w:rPr>
          <w:rFonts w:ascii="Euclid" w:hAnsi="Euclid" w:cs="Euclid"/>
          <w:sz w:val="20"/>
          <w:szCs w:val="20"/>
        </w:rPr>
        <w:t xml:space="preserve">We also control for the characteristics of the panel, and for </w:t>
      </w:r>
      <w:r w:rsidR="00964366">
        <w:rPr>
          <w:rFonts w:ascii="Euclid" w:hAnsi="Euclid" w:cs="Euclid"/>
          <w:sz w:val="20"/>
          <w:szCs w:val="20"/>
        </w:rPr>
        <w:t>[</w:t>
      </w:r>
      <w:r w:rsidR="00964366" w:rsidRPr="00964366">
        <w:rPr>
          <w:rFonts w:ascii="Euclid" w:hAnsi="Euclid" w:cs="Euclid"/>
          <w:sz w:val="20"/>
          <w:szCs w:val="20"/>
        </w:rPr>
        <w:t>Circuit</w:t>
      </w:r>
      <w:r w:rsidR="00964366">
        <w:rPr>
          <w:rFonts w:ascii="Euclid" w:hAnsi="Euclid" w:cs="Euclid"/>
          <w:sz w:val="20"/>
          <w:szCs w:val="20"/>
        </w:rPr>
        <w:t>]x[</w:t>
      </w:r>
      <w:r w:rsidR="00964366" w:rsidRPr="00964366">
        <w:rPr>
          <w:rFonts w:ascii="Euclid" w:hAnsi="Euclid" w:cs="Euclid"/>
          <w:sz w:val="20"/>
          <w:szCs w:val="20"/>
        </w:rPr>
        <w:t>Year</w:t>
      </w:r>
      <w:r w:rsidR="00964366">
        <w:rPr>
          <w:rFonts w:ascii="Euclid" w:hAnsi="Euclid" w:cs="Euclid"/>
          <w:sz w:val="20"/>
          <w:szCs w:val="20"/>
        </w:rPr>
        <w:t>]</w:t>
      </w:r>
      <w:r w:rsidR="00964366" w:rsidRPr="00964366">
        <w:rPr>
          <w:rFonts w:ascii="Euclid" w:hAnsi="Euclid" w:cs="Euclid"/>
          <w:sz w:val="20"/>
          <w:szCs w:val="20"/>
        </w:rPr>
        <w:t>, District, and Offense type Fixed Effects.</w:t>
      </w:r>
      <w:r w:rsidR="00964366">
        <w:rPr>
          <w:rFonts w:ascii="Euclid" w:hAnsi="Euclid" w:cs="Euclid"/>
          <w:spacing w:val="63"/>
          <w:sz w:val="20"/>
          <w:szCs w:val="20"/>
        </w:rPr>
        <w:t xml:space="preserve"> </w:t>
      </w:r>
      <w:r w:rsidRPr="00BD1C17">
        <w:rPr>
          <w:rFonts w:ascii="Euclid" w:hAnsi="Euclid" w:cs="Euclid"/>
          <w:sz w:val="20"/>
          <w:szCs w:val="20"/>
        </w:rPr>
        <w:t>Standard</w:t>
      </w:r>
      <w:r w:rsidRPr="00BD1C17">
        <w:rPr>
          <w:rFonts w:ascii="Euclid" w:hAnsi="Euclid" w:cs="Euclid"/>
          <w:spacing w:val="18"/>
          <w:sz w:val="20"/>
          <w:szCs w:val="20"/>
        </w:rPr>
        <w:t xml:space="preserve"> </w:t>
      </w:r>
      <w:r w:rsidRPr="00BD1C17">
        <w:rPr>
          <w:rFonts w:ascii="Euclid" w:hAnsi="Euclid" w:cs="Euclid"/>
          <w:sz w:val="20"/>
          <w:szCs w:val="20"/>
        </w:rPr>
        <w:t>errors</w:t>
      </w:r>
      <w:r w:rsidRPr="00BD1C17">
        <w:rPr>
          <w:rFonts w:ascii="Euclid" w:hAnsi="Euclid" w:cs="Euclid"/>
          <w:spacing w:val="18"/>
          <w:sz w:val="20"/>
          <w:szCs w:val="20"/>
        </w:rPr>
        <w:t xml:space="preserve"> </w:t>
      </w:r>
      <w:r w:rsidRPr="00BD1C17">
        <w:rPr>
          <w:rFonts w:ascii="Euclid" w:hAnsi="Euclid" w:cs="Euclid"/>
          <w:sz w:val="20"/>
          <w:szCs w:val="20"/>
        </w:rPr>
        <w:t>are</w:t>
      </w:r>
      <w:r w:rsidRPr="00BD1C17">
        <w:rPr>
          <w:rFonts w:ascii="Euclid" w:hAnsi="Euclid" w:cs="Euclid"/>
          <w:spacing w:val="18"/>
          <w:sz w:val="20"/>
          <w:szCs w:val="20"/>
        </w:rPr>
        <w:t xml:space="preserve"> </w:t>
      </w:r>
      <w:r w:rsidRPr="00BD1C17">
        <w:rPr>
          <w:rFonts w:ascii="Euclid" w:hAnsi="Euclid" w:cs="Euclid"/>
          <w:sz w:val="20"/>
          <w:szCs w:val="20"/>
        </w:rPr>
        <w:t>in</w:t>
      </w:r>
      <w:r w:rsidRPr="00BD1C17">
        <w:rPr>
          <w:rFonts w:ascii="Euclid" w:hAnsi="Euclid" w:cs="Euclid"/>
          <w:spacing w:val="18"/>
          <w:sz w:val="20"/>
          <w:szCs w:val="20"/>
        </w:rPr>
        <w:t xml:space="preserve"> </w:t>
      </w:r>
      <w:r w:rsidRPr="00BD1C17">
        <w:rPr>
          <w:rFonts w:ascii="Euclid" w:hAnsi="Euclid" w:cs="Euclid"/>
          <w:sz w:val="20"/>
          <w:szCs w:val="20"/>
        </w:rPr>
        <w:t>parenthesis</w:t>
      </w:r>
      <w:r w:rsidRPr="00BD1C17">
        <w:rPr>
          <w:rFonts w:ascii="Euclid" w:hAnsi="Euclid" w:cs="Euclid"/>
          <w:spacing w:val="18"/>
          <w:sz w:val="20"/>
          <w:szCs w:val="20"/>
        </w:rPr>
        <w:t xml:space="preserve"> </w:t>
      </w:r>
      <w:r w:rsidRPr="00BD1C17">
        <w:rPr>
          <w:rFonts w:ascii="Euclid" w:hAnsi="Euclid" w:cs="Euclid"/>
          <w:sz w:val="20"/>
          <w:szCs w:val="20"/>
        </w:rPr>
        <w:t>and</w:t>
      </w:r>
      <w:r w:rsidRPr="00BD1C17">
        <w:rPr>
          <w:rFonts w:ascii="Euclid" w:hAnsi="Euclid" w:cs="Euclid"/>
          <w:spacing w:val="18"/>
          <w:sz w:val="20"/>
          <w:szCs w:val="20"/>
        </w:rPr>
        <w:t xml:space="preserve"> </w:t>
      </w:r>
      <w:r w:rsidRPr="00BD1C17">
        <w:rPr>
          <w:rFonts w:ascii="Euclid" w:hAnsi="Euclid" w:cs="Euclid"/>
          <w:sz w:val="20"/>
          <w:szCs w:val="20"/>
        </w:rPr>
        <w:t>are</w:t>
      </w:r>
      <w:r w:rsidRPr="00BD1C17">
        <w:rPr>
          <w:rFonts w:ascii="Euclid" w:hAnsi="Euclid" w:cs="Euclid"/>
          <w:spacing w:val="18"/>
          <w:sz w:val="20"/>
          <w:szCs w:val="20"/>
        </w:rPr>
        <w:t xml:space="preserve"> </w:t>
      </w:r>
      <w:r w:rsidRPr="00BD1C17">
        <w:rPr>
          <w:rFonts w:ascii="Euclid" w:hAnsi="Euclid" w:cs="Euclid"/>
          <w:sz w:val="20"/>
          <w:szCs w:val="20"/>
        </w:rPr>
        <w:t>clustered</w:t>
      </w:r>
      <w:r w:rsidRPr="00BD1C17">
        <w:rPr>
          <w:rFonts w:ascii="Euclid" w:hAnsi="Euclid" w:cs="Euclid"/>
          <w:spacing w:val="18"/>
          <w:sz w:val="20"/>
          <w:szCs w:val="20"/>
        </w:rPr>
        <w:t xml:space="preserve"> </w:t>
      </w:r>
      <w:r w:rsidRPr="00BD1C17">
        <w:rPr>
          <w:rFonts w:ascii="Euclid" w:hAnsi="Euclid" w:cs="Euclid"/>
          <w:sz w:val="20"/>
          <w:szCs w:val="20"/>
        </w:rPr>
        <w:t>by</w:t>
      </w:r>
      <w:r w:rsidRPr="00BD1C17">
        <w:rPr>
          <w:rFonts w:ascii="Euclid" w:hAnsi="Euclid" w:cs="Euclid"/>
          <w:spacing w:val="18"/>
          <w:sz w:val="20"/>
          <w:szCs w:val="20"/>
        </w:rPr>
        <w:t xml:space="preserve"> </w:t>
      </w:r>
      <w:r w:rsidRPr="00BD1C17">
        <w:rPr>
          <w:rFonts w:ascii="Euclid" w:hAnsi="Euclid" w:cs="Euclid"/>
          <w:sz w:val="20"/>
          <w:szCs w:val="20"/>
        </w:rPr>
        <w:t>year.</w:t>
      </w:r>
      <w:r w:rsidRPr="00BD1C17">
        <w:rPr>
          <w:rFonts w:ascii="Euclid" w:hAnsi="Euclid" w:cs="Euclid"/>
          <w:spacing w:val="79"/>
          <w:sz w:val="20"/>
          <w:szCs w:val="20"/>
        </w:rPr>
        <w:t xml:space="preserve"> </w:t>
      </w:r>
      <w:r w:rsidRPr="00BD1C17">
        <w:rPr>
          <w:rFonts w:ascii="Euclid" w:hAnsi="Euclid" w:cs="Euclid"/>
          <w:sz w:val="20"/>
          <w:szCs w:val="20"/>
        </w:rPr>
        <w:t>Stars</w:t>
      </w:r>
      <w:r w:rsidRPr="00BD1C17">
        <w:rPr>
          <w:rFonts w:ascii="Euclid" w:hAnsi="Euclid" w:cs="Euclid"/>
          <w:spacing w:val="18"/>
          <w:sz w:val="20"/>
          <w:szCs w:val="20"/>
        </w:rPr>
        <w:t xml:space="preserve"> </w:t>
      </w:r>
      <w:r w:rsidRPr="00BD1C17">
        <w:rPr>
          <w:rFonts w:ascii="Euclid" w:hAnsi="Euclid" w:cs="Euclid"/>
          <w:sz w:val="20"/>
          <w:szCs w:val="20"/>
        </w:rPr>
        <w:t>denote</w:t>
      </w:r>
      <w:r w:rsidRPr="00BD1C17">
        <w:rPr>
          <w:rFonts w:ascii="Euclid" w:hAnsi="Euclid" w:cs="Euclid"/>
          <w:spacing w:val="18"/>
          <w:sz w:val="20"/>
          <w:szCs w:val="20"/>
        </w:rPr>
        <w:t xml:space="preserve"> </w:t>
      </w:r>
      <w:r w:rsidRPr="00BD1C17">
        <w:rPr>
          <w:rFonts w:ascii="Euclid" w:hAnsi="Euclid" w:cs="Euclid"/>
          <w:sz w:val="20"/>
          <w:szCs w:val="20"/>
        </w:rPr>
        <w:t>the</w:t>
      </w:r>
      <w:r w:rsidRPr="00BD1C17">
        <w:rPr>
          <w:rFonts w:ascii="Euclid" w:hAnsi="Euclid" w:cs="Euclid"/>
          <w:spacing w:val="18"/>
          <w:sz w:val="20"/>
          <w:szCs w:val="20"/>
        </w:rPr>
        <w:t xml:space="preserve"> </w:t>
      </w:r>
      <w:r w:rsidRPr="00BD1C17">
        <w:rPr>
          <w:rFonts w:ascii="Euclid" w:hAnsi="Euclid" w:cs="Euclid"/>
          <w:sz w:val="20"/>
          <w:szCs w:val="20"/>
        </w:rPr>
        <w:t>level</w:t>
      </w:r>
      <w:r w:rsidRPr="00BD1C17">
        <w:rPr>
          <w:rFonts w:ascii="Euclid" w:hAnsi="Euclid" w:cs="Euclid"/>
          <w:spacing w:val="18"/>
          <w:sz w:val="20"/>
          <w:szCs w:val="20"/>
        </w:rPr>
        <w:t xml:space="preserve"> </w:t>
      </w:r>
      <w:r w:rsidRPr="00BD1C17">
        <w:rPr>
          <w:rFonts w:ascii="Euclid" w:hAnsi="Euclid" w:cs="Euclid"/>
          <w:sz w:val="20"/>
          <w:szCs w:val="20"/>
        </w:rPr>
        <w:t>of</w:t>
      </w:r>
      <w:r w:rsidRPr="00BD1C17">
        <w:rPr>
          <w:rFonts w:ascii="Euclid" w:hAnsi="Euclid" w:cs="Euclid"/>
          <w:spacing w:val="18"/>
          <w:sz w:val="20"/>
          <w:szCs w:val="20"/>
        </w:rPr>
        <w:t xml:space="preserve"> </w:t>
      </w:r>
      <w:r w:rsidRPr="00BD1C17">
        <w:rPr>
          <w:rFonts w:ascii="Euclid" w:hAnsi="Euclid" w:cs="Euclid"/>
          <w:sz w:val="20"/>
          <w:szCs w:val="20"/>
        </w:rPr>
        <w:t>statistical</w:t>
      </w:r>
      <w:r w:rsidRPr="00BD1C17">
        <w:rPr>
          <w:rFonts w:ascii="Euclid" w:hAnsi="Euclid" w:cs="Euclid"/>
          <w:spacing w:val="-1"/>
          <w:sz w:val="20"/>
          <w:szCs w:val="20"/>
        </w:rPr>
        <w:t xml:space="preserve"> </w:t>
      </w:r>
      <w:r w:rsidRPr="00BD1C17">
        <w:rPr>
          <w:rFonts w:ascii="Euclid" w:hAnsi="Euclid" w:cs="Euclid"/>
          <w:sz w:val="20"/>
          <w:szCs w:val="20"/>
        </w:rPr>
        <w:t>significance</w:t>
      </w:r>
      <w:r w:rsidRPr="00BD1C17">
        <w:rPr>
          <w:rFonts w:ascii="Euclid" w:hAnsi="Euclid" w:cs="Euclid"/>
          <w:spacing w:val="-1"/>
          <w:sz w:val="20"/>
          <w:szCs w:val="20"/>
        </w:rPr>
        <w:t xml:space="preserve"> </w:t>
      </w:r>
      <w:r w:rsidRPr="00BD1C17">
        <w:rPr>
          <w:rFonts w:ascii="Sitka Small" w:hAnsi="Sitka Small" w:cs="Sitka Small"/>
          <w:i/>
          <w:iCs/>
          <w:sz w:val="20"/>
          <w:szCs w:val="20"/>
          <w:vertAlign w:val="superscript"/>
        </w:rPr>
        <w:t>t</w:t>
      </w:r>
      <w:r w:rsidRPr="00BD1C17">
        <w:rPr>
          <w:rFonts w:ascii="Sitka Small" w:hAnsi="Sitka Small" w:cs="Sitka Small"/>
          <w:i/>
          <w:iCs/>
          <w:spacing w:val="13"/>
          <w:sz w:val="20"/>
          <w:szCs w:val="20"/>
        </w:rPr>
        <w:t xml:space="preserve"> </w:t>
      </w:r>
      <w:r w:rsidRPr="00BD1C17">
        <w:rPr>
          <w:rFonts w:ascii="Bookman Old Style" w:hAnsi="Bookman Old Style" w:cs="Bookman Old Style"/>
          <w:i/>
          <w:iCs/>
          <w:sz w:val="20"/>
          <w:szCs w:val="20"/>
        </w:rPr>
        <w:t>p</w:t>
      </w:r>
      <w:r w:rsidRPr="00BD1C17">
        <w:rPr>
          <w:rFonts w:ascii="Bookman Old Style" w:hAnsi="Bookman Old Style" w:cs="Bookman Old Style"/>
          <w:i/>
          <w:iCs/>
          <w:spacing w:val="-6"/>
          <w:sz w:val="20"/>
          <w:szCs w:val="20"/>
        </w:rPr>
        <w:t xml:space="preserve"> </w:t>
      </w:r>
      <w:r w:rsidRPr="00BD1C17">
        <w:rPr>
          <w:rFonts w:ascii="Bookman Old Style" w:hAnsi="Bookman Old Style" w:cs="Bookman Old Style"/>
          <w:i/>
          <w:iCs/>
          <w:sz w:val="20"/>
          <w:szCs w:val="20"/>
        </w:rPr>
        <w:t>&lt;</w:t>
      </w:r>
      <w:r w:rsidRPr="00BD1C17">
        <w:rPr>
          <w:rFonts w:ascii="Bookman Old Style" w:hAnsi="Bookman Old Style" w:cs="Bookman Old Style"/>
          <w:i/>
          <w:iCs/>
          <w:spacing w:val="-6"/>
          <w:sz w:val="20"/>
          <w:szCs w:val="20"/>
        </w:rPr>
        <w:t xml:space="preserve"> </w:t>
      </w:r>
      <w:r w:rsidRPr="00BD1C17">
        <w:rPr>
          <w:rFonts w:ascii="Euclid" w:hAnsi="Euclid" w:cs="Euclid"/>
          <w:sz w:val="20"/>
          <w:szCs w:val="20"/>
        </w:rPr>
        <w:t>0</w:t>
      </w:r>
      <w:r w:rsidRPr="00BD1C17">
        <w:rPr>
          <w:rFonts w:ascii="Bookman Old Style" w:hAnsi="Bookman Old Style" w:cs="Bookman Old Style"/>
          <w:i/>
          <w:iCs/>
          <w:sz w:val="20"/>
          <w:szCs w:val="20"/>
        </w:rPr>
        <w:t>.</w:t>
      </w:r>
      <w:r w:rsidRPr="00BD1C17">
        <w:rPr>
          <w:rFonts w:ascii="Euclid" w:hAnsi="Euclid" w:cs="Euclid"/>
          <w:sz w:val="20"/>
          <w:szCs w:val="20"/>
        </w:rPr>
        <w:t>15</w:t>
      </w:r>
      <w:r w:rsidRPr="00BD1C17">
        <w:rPr>
          <w:rFonts w:ascii="Euclid" w:hAnsi="Euclid" w:cs="Euclid"/>
          <w:spacing w:val="-2"/>
          <w:sz w:val="20"/>
          <w:szCs w:val="20"/>
        </w:rPr>
        <w:t xml:space="preserve"> </w:t>
      </w:r>
      <w:r w:rsidRPr="00BD1C17">
        <w:rPr>
          <w:rFonts w:ascii="Lucida Sans Unicode" w:hAnsi="Lucida Sans Unicode" w:cs="Lucida Sans Unicode"/>
          <w:sz w:val="20"/>
          <w:szCs w:val="20"/>
          <w:vertAlign w:val="superscript"/>
        </w:rPr>
        <w:t>∗</w:t>
      </w:r>
      <w:r w:rsidRPr="00BD1C17">
        <w:rPr>
          <w:rFonts w:ascii="Lucida Sans Unicode" w:hAnsi="Lucida Sans Unicode" w:cs="Lucida Sans Unicode"/>
          <w:spacing w:val="12"/>
          <w:sz w:val="20"/>
          <w:szCs w:val="20"/>
        </w:rPr>
        <w:t xml:space="preserve"> </w:t>
      </w:r>
      <w:r w:rsidRPr="00BD1C17">
        <w:rPr>
          <w:rFonts w:ascii="Bookman Old Style" w:hAnsi="Bookman Old Style" w:cs="Bookman Old Style"/>
          <w:i/>
          <w:iCs/>
          <w:sz w:val="20"/>
          <w:szCs w:val="20"/>
        </w:rPr>
        <w:t>p</w:t>
      </w:r>
      <w:r w:rsidRPr="00BD1C17">
        <w:rPr>
          <w:rFonts w:ascii="Bookman Old Style" w:hAnsi="Bookman Old Style" w:cs="Bookman Old Style"/>
          <w:i/>
          <w:iCs/>
          <w:spacing w:val="-6"/>
          <w:sz w:val="20"/>
          <w:szCs w:val="20"/>
        </w:rPr>
        <w:t xml:space="preserve"> </w:t>
      </w:r>
      <w:r w:rsidRPr="00BD1C17">
        <w:rPr>
          <w:rFonts w:ascii="Bookman Old Style" w:hAnsi="Bookman Old Style" w:cs="Bookman Old Style"/>
          <w:i/>
          <w:iCs/>
          <w:sz w:val="20"/>
          <w:szCs w:val="20"/>
        </w:rPr>
        <w:t>&lt;</w:t>
      </w:r>
      <w:r w:rsidRPr="00BD1C17">
        <w:rPr>
          <w:rFonts w:ascii="Bookman Old Style" w:hAnsi="Bookman Old Style" w:cs="Bookman Old Style"/>
          <w:i/>
          <w:iCs/>
          <w:spacing w:val="-6"/>
          <w:sz w:val="20"/>
          <w:szCs w:val="20"/>
        </w:rPr>
        <w:t xml:space="preserve"> </w:t>
      </w:r>
      <w:r w:rsidRPr="00BD1C17">
        <w:rPr>
          <w:rFonts w:ascii="Euclid" w:hAnsi="Euclid" w:cs="Euclid"/>
          <w:sz w:val="20"/>
          <w:szCs w:val="20"/>
        </w:rPr>
        <w:t>0</w:t>
      </w:r>
      <w:r w:rsidRPr="00BD1C17">
        <w:rPr>
          <w:rFonts w:ascii="Bookman Old Style" w:hAnsi="Bookman Old Style" w:cs="Bookman Old Style"/>
          <w:i/>
          <w:iCs/>
          <w:sz w:val="20"/>
          <w:szCs w:val="20"/>
        </w:rPr>
        <w:t>.</w:t>
      </w:r>
      <w:r w:rsidRPr="00BD1C17">
        <w:rPr>
          <w:rFonts w:ascii="Euclid" w:hAnsi="Euclid" w:cs="Euclid"/>
          <w:sz w:val="20"/>
          <w:szCs w:val="20"/>
        </w:rPr>
        <w:t>1,</w:t>
      </w:r>
      <w:r w:rsidRPr="00BD1C17">
        <w:rPr>
          <w:rFonts w:ascii="Euclid" w:hAnsi="Euclid" w:cs="Euclid"/>
          <w:spacing w:val="-2"/>
          <w:sz w:val="20"/>
          <w:szCs w:val="20"/>
        </w:rPr>
        <w:t xml:space="preserve"> </w:t>
      </w:r>
      <w:r w:rsidRPr="00BD1C17">
        <w:rPr>
          <w:rFonts w:ascii="Lucida Sans Unicode" w:hAnsi="Lucida Sans Unicode" w:cs="Lucida Sans Unicode"/>
          <w:sz w:val="20"/>
          <w:szCs w:val="20"/>
          <w:vertAlign w:val="superscript"/>
        </w:rPr>
        <w:t>∗∗</w:t>
      </w:r>
      <w:r w:rsidRPr="00BD1C17">
        <w:rPr>
          <w:rFonts w:ascii="Lucida Sans Unicode" w:hAnsi="Lucida Sans Unicode" w:cs="Lucida Sans Unicode"/>
          <w:spacing w:val="12"/>
          <w:sz w:val="20"/>
          <w:szCs w:val="20"/>
        </w:rPr>
        <w:t xml:space="preserve"> </w:t>
      </w:r>
      <w:r w:rsidRPr="00BD1C17">
        <w:rPr>
          <w:rFonts w:ascii="Bookman Old Style" w:hAnsi="Bookman Old Style" w:cs="Bookman Old Style"/>
          <w:i/>
          <w:iCs/>
          <w:sz w:val="20"/>
          <w:szCs w:val="20"/>
        </w:rPr>
        <w:t>p</w:t>
      </w:r>
      <w:r w:rsidRPr="00BD1C17">
        <w:rPr>
          <w:rFonts w:ascii="Bookman Old Style" w:hAnsi="Bookman Old Style" w:cs="Bookman Old Style"/>
          <w:i/>
          <w:iCs/>
          <w:spacing w:val="-6"/>
          <w:sz w:val="20"/>
          <w:szCs w:val="20"/>
        </w:rPr>
        <w:t xml:space="preserve"> </w:t>
      </w:r>
      <w:r w:rsidRPr="00BD1C17">
        <w:rPr>
          <w:rFonts w:ascii="Bookman Old Style" w:hAnsi="Bookman Old Style" w:cs="Bookman Old Style"/>
          <w:i/>
          <w:iCs/>
          <w:sz w:val="20"/>
          <w:szCs w:val="20"/>
        </w:rPr>
        <w:t>&lt;</w:t>
      </w:r>
      <w:r w:rsidRPr="00BD1C17">
        <w:rPr>
          <w:rFonts w:ascii="Bookman Old Style" w:hAnsi="Bookman Old Style" w:cs="Bookman Old Style"/>
          <w:i/>
          <w:iCs/>
          <w:spacing w:val="-6"/>
          <w:sz w:val="20"/>
          <w:szCs w:val="20"/>
        </w:rPr>
        <w:t xml:space="preserve"> </w:t>
      </w:r>
      <w:r w:rsidRPr="00BD1C17">
        <w:rPr>
          <w:rFonts w:ascii="Euclid" w:hAnsi="Euclid" w:cs="Euclid"/>
          <w:sz w:val="20"/>
          <w:szCs w:val="20"/>
        </w:rPr>
        <w:t>0</w:t>
      </w:r>
      <w:r w:rsidRPr="00BD1C17">
        <w:rPr>
          <w:rFonts w:ascii="Bookman Old Style" w:hAnsi="Bookman Old Style" w:cs="Bookman Old Style"/>
          <w:i/>
          <w:iCs/>
          <w:sz w:val="20"/>
          <w:szCs w:val="20"/>
        </w:rPr>
        <w:t>.</w:t>
      </w:r>
      <w:r w:rsidRPr="00BD1C17">
        <w:rPr>
          <w:rFonts w:ascii="Euclid" w:hAnsi="Euclid" w:cs="Euclid"/>
          <w:sz w:val="20"/>
          <w:szCs w:val="20"/>
        </w:rPr>
        <w:t>05,</w:t>
      </w:r>
      <w:r w:rsidRPr="00BD1C17">
        <w:rPr>
          <w:rFonts w:ascii="Euclid" w:hAnsi="Euclid" w:cs="Euclid"/>
          <w:spacing w:val="-2"/>
          <w:sz w:val="20"/>
          <w:szCs w:val="20"/>
        </w:rPr>
        <w:t xml:space="preserve"> </w:t>
      </w:r>
      <w:r w:rsidRPr="00BD1C17">
        <w:rPr>
          <w:rFonts w:ascii="Lucida Sans Unicode" w:hAnsi="Lucida Sans Unicode" w:cs="Lucida Sans Unicode"/>
          <w:sz w:val="20"/>
          <w:szCs w:val="20"/>
          <w:vertAlign w:val="superscript"/>
        </w:rPr>
        <w:t>∗∗∗</w:t>
      </w:r>
      <w:r w:rsidRPr="00BD1C17">
        <w:rPr>
          <w:rFonts w:ascii="Lucida Sans Unicode" w:hAnsi="Lucida Sans Unicode" w:cs="Lucida Sans Unicode"/>
          <w:spacing w:val="12"/>
          <w:sz w:val="20"/>
          <w:szCs w:val="20"/>
        </w:rPr>
        <w:t xml:space="preserve"> </w:t>
      </w:r>
      <w:r w:rsidRPr="00BD1C17">
        <w:rPr>
          <w:rFonts w:ascii="Bookman Old Style" w:hAnsi="Bookman Old Style" w:cs="Bookman Old Style"/>
          <w:i/>
          <w:iCs/>
          <w:sz w:val="20"/>
          <w:szCs w:val="20"/>
        </w:rPr>
        <w:t>p</w:t>
      </w:r>
      <w:r w:rsidRPr="00BD1C17">
        <w:rPr>
          <w:rFonts w:ascii="Bookman Old Style" w:hAnsi="Bookman Old Style" w:cs="Bookman Old Style"/>
          <w:i/>
          <w:iCs/>
          <w:spacing w:val="-6"/>
          <w:sz w:val="20"/>
          <w:szCs w:val="20"/>
        </w:rPr>
        <w:t xml:space="preserve"> </w:t>
      </w:r>
      <w:r w:rsidRPr="00BD1C17">
        <w:rPr>
          <w:rFonts w:ascii="Bookman Old Style" w:hAnsi="Bookman Old Style" w:cs="Bookman Old Style"/>
          <w:i/>
          <w:iCs/>
          <w:sz w:val="20"/>
          <w:szCs w:val="20"/>
        </w:rPr>
        <w:t>&lt;</w:t>
      </w:r>
      <w:r w:rsidRPr="00BD1C17">
        <w:rPr>
          <w:rFonts w:ascii="Bookman Old Style" w:hAnsi="Bookman Old Style" w:cs="Bookman Old Style"/>
          <w:i/>
          <w:iCs/>
          <w:spacing w:val="-6"/>
          <w:sz w:val="20"/>
          <w:szCs w:val="20"/>
        </w:rPr>
        <w:t xml:space="preserve"> </w:t>
      </w:r>
      <w:r w:rsidRPr="00BD1C17">
        <w:rPr>
          <w:rFonts w:ascii="Euclid" w:hAnsi="Euclid" w:cs="Euclid"/>
          <w:sz w:val="20"/>
          <w:szCs w:val="20"/>
        </w:rPr>
        <w:t>0</w:t>
      </w:r>
      <w:r w:rsidRPr="00BD1C17">
        <w:rPr>
          <w:rFonts w:ascii="Bookman Old Style" w:hAnsi="Bookman Old Style" w:cs="Bookman Old Style"/>
          <w:i/>
          <w:iCs/>
          <w:sz w:val="20"/>
          <w:szCs w:val="20"/>
        </w:rPr>
        <w:t>.</w:t>
      </w:r>
      <w:r w:rsidRPr="00BD1C17">
        <w:rPr>
          <w:rFonts w:ascii="Euclid" w:hAnsi="Euclid" w:cs="Euclid"/>
          <w:sz w:val="20"/>
          <w:szCs w:val="20"/>
        </w:rPr>
        <w:t>01.</w:t>
      </w:r>
    </w:p>
    <w:p w14:paraId="0C96ADC4" w14:textId="310397DD" w:rsidR="00BD1D47" w:rsidRDefault="00BD1D47" w:rsidP="009D643B">
      <w:pPr>
        <w:rPr>
          <w:rFonts w:asciiTheme="majorBidi" w:hAnsiTheme="majorBidi" w:cstheme="majorBidi"/>
          <w:sz w:val="24"/>
          <w:szCs w:val="24"/>
        </w:rPr>
      </w:pPr>
    </w:p>
    <w:p w14:paraId="5213B7E2" w14:textId="12A3AB6B" w:rsidR="00BD1C17" w:rsidRPr="00BD1C17" w:rsidRDefault="00593764" w:rsidP="004F4103">
      <w:pPr>
        <w:kinsoku w:val="0"/>
        <w:overflowPunct w:val="0"/>
        <w:autoSpaceDE w:val="0"/>
        <w:autoSpaceDN w:val="0"/>
        <w:adjustRightInd w:val="0"/>
        <w:spacing w:after="0" w:line="311" w:lineRule="exact"/>
        <w:ind w:right="1260"/>
        <w:rPr>
          <w:rFonts w:asciiTheme="majorBidi" w:hAnsiTheme="majorBidi" w:cstheme="majorBidi"/>
          <w:sz w:val="24"/>
          <w:szCs w:val="24"/>
        </w:rPr>
      </w:pPr>
      <w:r>
        <w:rPr>
          <w:rFonts w:asciiTheme="majorBidi" w:hAnsiTheme="majorBidi" w:cstheme="majorBidi"/>
          <w:sz w:val="24"/>
          <w:szCs w:val="24"/>
        </w:rPr>
        <w:t>Panel C: –</w:t>
      </w:r>
      <w:r w:rsidR="00BD1C17" w:rsidRPr="00BD1C17">
        <w:rPr>
          <w:rFonts w:asciiTheme="majorBidi" w:hAnsiTheme="majorBidi" w:cstheme="majorBidi"/>
          <w:sz w:val="24"/>
          <w:szCs w:val="24"/>
        </w:rPr>
        <w:t>Published</w:t>
      </w:r>
      <w:r>
        <w:rPr>
          <w:rFonts w:asciiTheme="majorBidi" w:hAnsiTheme="majorBidi" w:cstheme="majorBidi"/>
          <w:sz w:val="24"/>
          <w:szCs w:val="24"/>
        </w:rPr>
        <w:t xml:space="preserve"> Cases</w:t>
      </w:r>
    </w:p>
    <w:p w14:paraId="59822993" w14:textId="77777777" w:rsidR="00BD1C17" w:rsidRPr="00BD1C17" w:rsidRDefault="00BD1C17" w:rsidP="00BD1C17">
      <w:pPr>
        <w:kinsoku w:val="0"/>
        <w:overflowPunct w:val="0"/>
        <w:autoSpaceDE w:val="0"/>
        <w:autoSpaceDN w:val="0"/>
        <w:adjustRightInd w:val="0"/>
        <w:spacing w:before="14" w:after="0" w:line="240" w:lineRule="auto"/>
        <w:rPr>
          <w:rFonts w:ascii="Euclid" w:hAnsi="Euclid" w:cs="Euclid"/>
          <w:sz w:val="11"/>
          <w:szCs w:val="11"/>
        </w:rPr>
      </w:pPr>
    </w:p>
    <w:tbl>
      <w:tblPr>
        <w:tblW w:w="9835" w:type="dxa"/>
        <w:tblInd w:w="119" w:type="dxa"/>
        <w:tblLayout w:type="fixed"/>
        <w:tblCellMar>
          <w:left w:w="0" w:type="dxa"/>
          <w:right w:w="0" w:type="dxa"/>
        </w:tblCellMar>
        <w:tblLook w:val="0000" w:firstRow="0" w:lastRow="0" w:firstColumn="0" w:lastColumn="0" w:noHBand="0" w:noVBand="0"/>
      </w:tblPr>
      <w:tblGrid>
        <w:gridCol w:w="1529"/>
        <w:gridCol w:w="1009"/>
        <w:gridCol w:w="1017"/>
        <w:gridCol w:w="943"/>
        <w:gridCol w:w="1209"/>
        <w:gridCol w:w="1319"/>
        <w:gridCol w:w="1010"/>
        <w:gridCol w:w="951"/>
        <w:gridCol w:w="848"/>
      </w:tblGrid>
      <w:tr w:rsidR="00BD1C17" w:rsidRPr="00BD1C17" w14:paraId="1C3702BB" w14:textId="77777777" w:rsidTr="00866391">
        <w:trPr>
          <w:trHeight w:val="388"/>
        </w:trPr>
        <w:tc>
          <w:tcPr>
            <w:tcW w:w="1529" w:type="dxa"/>
            <w:vMerge w:val="restart"/>
            <w:tcBorders>
              <w:top w:val="double" w:sz="2" w:space="0" w:color="000000"/>
              <w:left w:val="none" w:sz="6" w:space="0" w:color="auto"/>
              <w:bottom w:val="single" w:sz="4" w:space="0" w:color="000000"/>
              <w:right w:val="none" w:sz="6" w:space="0" w:color="auto"/>
            </w:tcBorders>
          </w:tcPr>
          <w:p w14:paraId="7181C963"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c>
          <w:tcPr>
            <w:tcW w:w="1009" w:type="dxa"/>
            <w:tcBorders>
              <w:top w:val="double" w:sz="2" w:space="0" w:color="000000"/>
              <w:left w:val="none" w:sz="6" w:space="0" w:color="auto"/>
              <w:bottom w:val="none" w:sz="6" w:space="0" w:color="auto"/>
              <w:right w:val="none" w:sz="6" w:space="0" w:color="auto"/>
            </w:tcBorders>
          </w:tcPr>
          <w:p w14:paraId="1B17C4C4" w14:textId="77777777" w:rsidR="00BD1C17" w:rsidRPr="00BD1C17" w:rsidRDefault="00BD1C17" w:rsidP="00BD1C17">
            <w:pPr>
              <w:kinsoku w:val="0"/>
              <w:overflowPunct w:val="0"/>
              <w:autoSpaceDE w:val="0"/>
              <w:autoSpaceDN w:val="0"/>
              <w:adjustRightInd w:val="0"/>
              <w:spacing w:before="33" w:after="0" w:line="240" w:lineRule="auto"/>
              <w:ind w:left="76" w:right="69"/>
              <w:jc w:val="center"/>
              <w:rPr>
                <w:rFonts w:ascii="Euclid" w:hAnsi="Euclid" w:cs="Euclid"/>
                <w:spacing w:val="-4"/>
                <w:sz w:val="20"/>
                <w:szCs w:val="20"/>
              </w:rPr>
            </w:pPr>
            <w:r w:rsidRPr="00BD1C17">
              <w:rPr>
                <w:rFonts w:ascii="Euclid" w:hAnsi="Euclid" w:cs="Euclid"/>
                <w:spacing w:val="-4"/>
                <w:sz w:val="20"/>
                <w:szCs w:val="20"/>
              </w:rPr>
              <w:t>(1)</w:t>
            </w:r>
          </w:p>
        </w:tc>
        <w:tc>
          <w:tcPr>
            <w:tcW w:w="1017" w:type="dxa"/>
            <w:tcBorders>
              <w:top w:val="double" w:sz="2" w:space="0" w:color="000000"/>
              <w:left w:val="none" w:sz="6" w:space="0" w:color="auto"/>
              <w:bottom w:val="none" w:sz="6" w:space="0" w:color="auto"/>
              <w:right w:val="none" w:sz="6" w:space="0" w:color="auto"/>
            </w:tcBorders>
          </w:tcPr>
          <w:p w14:paraId="79E458F5" w14:textId="77777777" w:rsidR="00BD1C17" w:rsidRPr="00BD1C17" w:rsidRDefault="00BD1C17" w:rsidP="00BD1C17">
            <w:pPr>
              <w:kinsoku w:val="0"/>
              <w:overflowPunct w:val="0"/>
              <w:autoSpaceDE w:val="0"/>
              <w:autoSpaceDN w:val="0"/>
              <w:adjustRightInd w:val="0"/>
              <w:spacing w:before="33" w:after="0" w:line="240" w:lineRule="auto"/>
              <w:ind w:left="111" w:right="103"/>
              <w:jc w:val="center"/>
              <w:rPr>
                <w:rFonts w:ascii="Euclid" w:hAnsi="Euclid" w:cs="Euclid"/>
                <w:spacing w:val="-4"/>
                <w:sz w:val="20"/>
                <w:szCs w:val="20"/>
              </w:rPr>
            </w:pPr>
            <w:r w:rsidRPr="00BD1C17">
              <w:rPr>
                <w:rFonts w:ascii="Euclid" w:hAnsi="Euclid" w:cs="Euclid"/>
                <w:spacing w:val="-4"/>
                <w:sz w:val="20"/>
                <w:szCs w:val="20"/>
              </w:rPr>
              <w:t>(2)</w:t>
            </w:r>
          </w:p>
        </w:tc>
        <w:tc>
          <w:tcPr>
            <w:tcW w:w="943" w:type="dxa"/>
            <w:tcBorders>
              <w:top w:val="double" w:sz="2" w:space="0" w:color="000000"/>
              <w:left w:val="none" w:sz="6" w:space="0" w:color="auto"/>
              <w:bottom w:val="none" w:sz="6" w:space="0" w:color="auto"/>
              <w:right w:val="none" w:sz="6" w:space="0" w:color="auto"/>
            </w:tcBorders>
          </w:tcPr>
          <w:p w14:paraId="4835B354" w14:textId="77777777" w:rsidR="00BD1C17" w:rsidRPr="00BD1C17" w:rsidRDefault="00BD1C17" w:rsidP="00BD1C17">
            <w:pPr>
              <w:kinsoku w:val="0"/>
              <w:overflowPunct w:val="0"/>
              <w:autoSpaceDE w:val="0"/>
              <w:autoSpaceDN w:val="0"/>
              <w:adjustRightInd w:val="0"/>
              <w:spacing w:before="33" w:after="0" w:line="240" w:lineRule="auto"/>
              <w:ind w:left="76" w:right="68"/>
              <w:jc w:val="center"/>
              <w:rPr>
                <w:rFonts w:ascii="Euclid" w:hAnsi="Euclid" w:cs="Euclid"/>
                <w:spacing w:val="-4"/>
                <w:sz w:val="20"/>
                <w:szCs w:val="20"/>
              </w:rPr>
            </w:pPr>
            <w:r w:rsidRPr="00BD1C17">
              <w:rPr>
                <w:rFonts w:ascii="Euclid" w:hAnsi="Euclid" w:cs="Euclid"/>
                <w:spacing w:val="-4"/>
                <w:sz w:val="20"/>
                <w:szCs w:val="20"/>
              </w:rPr>
              <w:t>(3)</w:t>
            </w:r>
          </w:p>
        </w:tc>
        <w:tc>
          <w:tcPr>
            <w:tcW w:w="1209" w:type="dxa"/>
            <w:tcBorders>
              <w:top w:val="double" w:sz="2" w:space="0" w:color="000000"/>
              <w:left w:val="none" w:sz="6" w:space="0" w:color="auto"/>
              <w:bottom w:val="none" w:sz="6" w:space="0" w:color="auto"/>
              <w:right w:val="none" w:sz="6" w:space="0" w:color="auto"/>
            </w:tcBorders>
          </w:tcPr>
          <w:p w14:paraId="4F2D6EF6" w14:textId="77777777" w:rsidR="00BD1C17" w:rsidRPr="00BD1C17" w:rsidRDefault="00BD1C17" w:rsidP="00BD1C17">
            <w:pPr>
              <w:kinsoku w:val="0"/>
              <w:overflowPunct w:val="0"/>
              <w:autoSpaceDE w:val="0"/>
              <w:autoSpaceDN w:val="0"/>
              <w:adjustRightInd w:val="0"/>
              <w:spacing w:before="33" w:after="0" w:line="240" w:lineRule="auto"/>
              <w:ind w:left="105" w:right="96"/>
              <w:jc w:val="center"/>
              <w:rPr>
                <w:rFonts w:ascii="Euclid" w:hAnsi="Euclid" w:cs="Euclid"/>
                <w:spacing w:val="-4"/>
                <w:sz w:val="20"/>
                <w:szCs w:val="20"/>
              </w:rPr>
            </w:pPr>
            <w:r w:rsidRPr="00BD1C17">
              <w:rPr>
                <w:rFonts w:ascii="Euclid" w:hAnsi="Euclid" w:cs="Euclid"/>
                <w:spacing w:val="-4"/>
                <w:sz w:val="20"/>
                <w:szCs w:val="20"/>
              </w:rPr>
              <w:t>(4)</w:t>
            </w:r>
          </w:p>
        </w:tc>
        <w:tc>
          <w:tcPr>
            <w:tcW w:w="1319" w:type="dxa"/>
            <w:tcBorders>
              <w:top w:val="double" w:sz="2" w:space="0" w:color="000000"/>
              <w:left w:val="none" w:sz="6" w:space="0" w:color="auto"/>
              <w:bottom w:val="none" w:sz="6" w:space="0" w:color="auto"/>
              <w:right w:val="none" w:sz="6" w:space="0" w:color="auto"/>
            </w:tcBorders>
          </w:tcPr>
          <w:p w14:paraId="1D06BE38" w14:textId="77777777" w:rsidR="00BD1C17" w:rsidRPr="00BD1C17" w:rsidRDefault="00BD1C17" w:rsidP="00BD1C17">
            <w:pPr>
              <w:kinsoku w:val="0"/>
              <w:overflowPunct w:val="0"/>
              <w:autoSpaceDE w:val="0"/>
              <w:autoSpaceDN w:val="0"/>
              <w:adjustRightInd w:val="0"/>
              <w:spacing w:before="33" w:after="0" w:line="240" w:lineRule="auto"/>
              <w:ind w:left="109" w:right="104"/>
              <w:jc w:val="center"/>
              <w:rPr>
                <w:rFonts w:ascii="Euclid" w:hAnsi="Euclid" w:cs="Euclid"/>
                <w:spacing w:val="-4"/>
                <w:sz w:val="20"/>
                <w:szCs w:val="20"/>
              </w:rPr>
            </w:pPr>
            <w:r w:rsidRPr="00BD1C17">
              <w:rPr>
                <w:rFonts w:ascii="Euclid" w:hAnsi="Euclid" w:cs="Euclid"/>
                <w:spacing w:val="-4"/>
                <w:sz w:val="20"/>
                <w:szCs w:val="20"/>
              </w:rPr>
              <w:t>(5)</w:t>
            </w:r>
          </w:p>
        </w:tc>
        <w:tc>
          <w:tcPr>
            <w:tcW w:w="1010" w:type="dxa"/>
            <w:tcBorders>
              <w:top w:val="double" w:sz="2" w:space="0" w:color="000000"/>
              <w:left w:val="none" w:sz="6" w:space="0" w:color="auto"/>
              <w:bottom w:val="none" w:sz="6" w:space="0" w:color="auto"/>
              <w:right w:val="none" w:sz="6" w:space="0" w:color="auto"/>
            </w:tcBorders>
          </w:tcPr>
          <w:p w14:paraId="26BC1E92" w14:textId="77777777" w:rsidR="00BD1C17" w:rsidRPr="00BD1C17" w:rsidRDefault="00BD1C17" w:rsidP="00BD1C17">
            <w:pPr>
              <w:kinsoku w:val="0"/>
              <w:overflowPunct w:val="0"/>
              <w:autoSpaceDE w:val="0"/>
              <w:autoSpaceDN w:val="0"/>
              <w:adjustRightInd w:val="0"/>
              <w:spacing w:before="33" w:after="0" w:line="240" w:lineRule="auto"/>
              <w:ind w:left="368" w:right="358"/>
              <w:jc w:val="center"/>
              <w:rPr>
                <w:rFonts w:ascii="Euclid" w:hAnsi="Euclid" w:cs="Euclid"/>
                <w:spacing w:val="-4"/>
                <w:sz w:val="20"/>
                <w:szCs w:val="20"/>
              </w:rPr>
            </w:pPr>
            <w:r w:rsidRPr="00BD1C17">
              <w:rPr>
                <w:rFonts w:ascii="Euclid" w:hAnsi="Euclid" w:cs="Euclid"/>
                <w:spacing w:val="-4"/>
                <w:sz w:val="20"/>
                <w:szCs w:val="20"/>
              </w:rPr>
              <w:t>(6)</w:t>
            </w:r>
          </w:p>
        </w:tc>
        <w:tc>
          <w:tcPr>
            <w:tcW w:w="951" w:type="dxa"/>
            <w:tcBorders>
              <w:top w:val="double" w:sz="2" w:space="0" w:color="000000"/>
              <w:left w:val="none" w:sz="6" w:space="0" w:color="auto"/>
              <w:bottom w:val="none" w:sz="6" w:space="0" w:color="auto"/>
              <w:right w:val="none" w:sz="6" w:space="0" w:color="auto"/>
            </w:tcBorders>
          </w:tcPr>
          <w:p w14:paraId="19ED91AC" w14:textId="77777777" w:rsidR="00BD1C17" w:rsidRPr="00BD1C17" w:rsidRDefault="00BD1C17" w:rsidP="00BD1C17">
            <w:pPr>
              <w:kinsoku w:val="0"/>
              <w:overflowPunct w:val="0"/>
              <w:autoSpaceDE w:val="0"/>
              <w:autoSpaceDN w:val="0"/>
              <w:adjustRightInd w:val="0"/>
              <w:spacing w:before="33" w:after="0" w:line="240" w:lineRule="auto"/>
              <w:ind w:left="80" w:right="69"/>
              <w:jc w:val="center"/>
              <w:rPr>
                <w:rFonts w:ascii="Euclid" w:hAnsi="Euclid" w:cs="Euclid"/>
                <w:spacing w:val="-4"/>
                <w:sz w:val="20"/>
                <w:szCs w:val="20"/>
              </w:rPr>
            </w:pPr>
            <w:r w:rsidRPr="00BD1C17">
              <w:rPr>
                <w:rFonts w:ascii="Euclid" w:hAnsi="Euclid" w:cs="Euclid"/>
                <w:spacing w:val="-4"/>
                <w:sz w:val="20"/>
                <w:szCs w:val="20"/>
              </w:rPr>
              <w:t>(7)</w:t>
            </w:r>
          </w:p>
        </w:tc>
        <w:tc>
          <w:tcPr>
            <w:tcW w:w="848" w:type="dxa"/>
            <w:tcBorders>
              <w:top w:val="double" w:sz="2" w:space="0" w:color="000000"/>
              <w:left w:val="none" w:sz="6" w:space="0" w:color="auto"/>
              <w:bottom w:val="none" w:sz="6" w:space="0" w:color="auto"/>
              <w:right w:val="none" w:sz="6" w:space="0" w:color="auto"/>
            </w:tcBorders>
          </w:tcPr>
          <w:p w14:paraId="49FA23AA" w14:textId="77777777" w:rsidR="00BD1C17" w:rsidRPr="00BD1C17" w:rsidRDefault="00BD1C17" w:rsidP="00BD1C17">
            <w:pPr>
              <w:kinsoku w:val="0"/>
              <w:overflowPunct w:val="0"/>
              <w:autoSpaceDE w:val="0"/>
              <w:autoSpaceDN w:val="0"/>
              <w:adjustRightInd w:val="0"/>
              <w:spacing w:before="33" w:after="0" w:line="240" w:lineRule="auto"/>
              <w:ind w:left="105" w:right="96"/>
              <w:jc w:val="center"/>
              <w:rPr>
                <w:rFonts w:ascii="Euclid" w:hAnsi="Euclid" w:cs="Euclid"/>
                <w:spacing w:val="-4"/>
                <w:sz w:val="20"/>
                <w:szCs w:val="20"/>
              </w:rPr>
            </w:pPr>
            <w:r w:rsidRPr="00BD1C17">
              <w:rPr>
                <w:rFonts w:ascii="Euclid" w:hAnsi="Euclid" w:cs="Euclid"/>
                <w:spacing w:val="-4"/>
                <w:sz w:val="20"/>
                <w:szCs w:val="20"/>
              </w:rPr>
              <w:t>(8)</w:t>
            </w:r>
          </w:p>
        </w:tc>
      </w:tr>
      <w:tr w:rsidR="00BD1C17" w:rsidRPr="00BD1C17" w14:paraId="54DAE2C2" w14:textId="77777777" w:rsidTr="00866391">
        <w:trPr>
          <w:trHeight w:val="330"/>
        </w:trPr>
        <w:tc>
          <w:tcPr>
            <w:tcW w:w="1529" w:type="dxa"/>
            <w:vMerge/>
            <w:tcBorders>
              <w:top w:val="nil"/>
              <w:left w:val="none" w:sz="6" w:space="0" w:color="auto"/>
              <w:bottom w:val="single" w:sz="4" w:space="0" w:color="000000"/>
              <w:right w:val="none" w:sz="6" w:space="0" w:color="auto"/>
            </w:tcBorders>
          </w:tcPr>
          <w:p w14:paraId="05708ED6" w14:textId="77777777" w:rsidR="00BD1C17" w:rsidRPr="00BD1C17" w:rsidRDefault="00BD1C17" w:rsidP="00BD1C17">
            <w:pPr>
              <w:kinsoku w:val="0"/>
              <w:overflowPunct w:val="0"/>
              <w:autoSpaceDE w:val="0"/>
              <w:autoSpaceDN w:val="0"/>
              <w:adjustRightInd w:val="0"/>
              <w:spacing w:before="14" w:after="0" w:line="240" w:lineRule="auto"/>
              <w:rPr>
                <w:rFonts w:ascii="Euclid" w:hAnsi="Euclid" w:cs="Euclid"/>
                <w:sz w:val="2"/>
                <w:szCs w:val="2"/>
              </w:rPr>
            </w:pPr>
          </w:p>
        </w:tc>
        <w:tc>
          <w:tcPr>
            <w:tcW w:w="1009" w:type="dxa"/>
            <w:tcBorders>
              <w:top w:val="none" w:sz="6" w:space="0" w:color="auto"/>
              <w:left w:val="none" w:sz="6" w:space="0" w:color="auto"/>
              <w:bottom w:val="single" w:sz="4" w:space="0" w:color="000000"/>
              <w:right w:val="none" w:sz="6" w:space="0" w:color="auto"/>
            </w:tcBorders>
          </w:tcPr>
          <w:p w14:paraId="4A24657C" w14:textId="77777777" w:rsidR="00BD1C17" w:rsidRPr="00BD1C17" w:rsidRDefault="00BD1C17" w:rsidP="00BD1C17">
            <w:pPr>
              <w:kinsoku w:val="0"/>
              <w:overflowPunct w:val="0"/>
              <w:autoSpaceDE w:val="0"/>
              <w:autoSpaceDN w:val="0"/>
              <w:adjustRightInd w:val="0"/>
              <w:spacing w:after="0" w:line="311" w:lineRule="exact"/>
              <w:ind w:left="76" w:right="70"/>
              <w:jc w:val="center"/>
              <w:rPr>
                <w:rFonts w:ascii="Euclid" w:hAnsi="Euclid" w:cs="Euclid"/>
                <w:spacing w:val="-2"/>
                <w:sz w:val="20"/>
                <w:szCs w:val="20"/>
              </w:rPr>
            </w:pPr>
            <w:r w:rsidRPr="00BD1C17">
              <w:rPr>
                <w:rFonts w:ascii="Euclid" w:hAnsi="Euclid" w:cs="Euclid"/>
                <w:spacing w:val="-2"/>
                <w:sz w:val="20"/>
                <w:szCs w:val="20"/>
              </w:rPr>
              <w:t>Violent</w:t>
            </w:r>
          </w:p>
        </w:tc>
        <w:tc>
          <w:tcPr>
            <w:tcW w:w="1017" w:type="dxa"/>
            <w:tcBorders>
              <w:top w:val="none" w:sz="6" w:space="0" w:color="auto"/>
              <w:left w:val="none" w:sz="6" w:space="0" w:color="auto"/>
              <w:bottom w:val="single" w:sz="4" w:space="0" w:color="000000"/>
              <w:right w:val="none" w:sz="6" w:space="0" w:color="auto"/>
            </w:tcBorders>
          </w:tcPr>
          <w:p w14:paraId="7156134C" w14:textId="77777777" w:rsidR="00BD1C17" w:rsidRPr="00BD1C17" w:rsidRDefault="00BD1C17" w:rsidP="00BD1C17">
            <w:pPr>
              <w:kinsoku w:val="0"/>
              <w:overflowPunct w:val="0"/>
              <w:autoSpaceDE w:val="0"/>
              <w:autoSpaceDN w:val="0"/>
              <w:adjustRightInd w:val="0"/>
              <w:spacing w:after="0" w:line="311" w:lineRule="exact"/>
              <w:ind w:left="111" w:right="105"/>
              <w:jc w:val="center"/>
              <w:rPr>
                <w:rFonts w:ascii="Euclid" w:hAnsi="Euclid" w:cs="Euclid"/>
                <w:spacing w:val="-2"/>
                <w:sz w:val="20"/>
                <w:szCs w:val="20"/>
              </w:rPr>
            </w:pPr>
            <w:r w:rsidRPr="00BD1C17">
              <w:rPr>
                <w:rFonts w:ascii="Euclid" w:hAnsi="Euclid" w:cs="Euclid"/>
                <w:spacing w:val="-2"/>
                <w:sz w:val="20"/>
                <w:szCs w:val="20"/>
              </w:rPr>
              <w:t>Property</w:t>
            </w:r>
          </w:p>
        </w:tc>
        <w:tc>
          <w:tcPr>
            <w:tcW w:w="943" w:type="dxa"/>
            <w:tcBorders>
              <w:top w:val="none" w:sz="6" w:space="0" w:color="auto"/>
              <w:left w:val="none" w:sz="6" w:space="0" w:color="auto"/>
              <w:bottom w:val="single" w:sz="4" w:space="0" w:color="000000"/>
              <w:right w:val="none" w:sz="6" w:space="0" w:color="auto"/>
            </w:tcBorders>
          </w:tcPr>
          <w:p w14:paraId="0E2F2EDE" w14:textId="77777777" w:rsidR="00BD1C17" w:rsidRPr="00BD1C17" w:rsidRDefault="00BD1C17" w:rsidP="00BD1C17">
            <w:pPr>
              <w:kinsoku w:val="0"/>
              <w:overflowPunct w:val="0"/>
              <w:autoSpaceDE w:val="0"/>
              <w:autoSpaceDN w:val="0"/>
              <w:adjustRightInd w:val="0"/>
              <w:spacing w:after="0" w:line="311" w:lineRule="exact"/>
              <w:ind w:left="76" w:right="70"/>
              <w:jc w:val="center"/>
              <w:rPr>
                <w:rFonts w:ascii="Euclid" w:hAnsi="Euclid" w:cs="Euclid"/>
                <w:spacing w:val="-2"/>
                <w:sz w:val="20"/>
                <w:szCs w:val="20"/>
              </w:rPr>
            </w:pPr>
            <w:r w:rsidRPr="00BD1C17">
              <w:rPr>
                <w:rFonts w:ascii="Euclid" w:hAnsi="Euclid" w:cs="Euclid"/>
                <w:spacing w:val="-2"/>
                <w:sz w:val="20"/>
                <w:szCs w:val="20"/>
              </w:rPr>
              <w:t>Fraud</w:t>
            </w:r>
          </w:p>
        </w:tc>
        <w:tc>
          <w:tcPr>
            <w:tcW w:w="1209" w:type="dxa"/>
            <w:tcBorders>
              <w:top w:val="none" w:sz="6" w:space="0" w:color="auto"/>
              <w:left w:val="none" w:sz="6" w:space="0" w:color="auto"/>
              <w:bottom w:val="single" w:sz="4" w:space="0" w:color="000000"/>
              <w:right w:val="none" w:sz="6" w:space="0" w:color="auto"/>
            </w:tcBorders>
          </w:tcPr>
          <w:p w14:paraId="4325AF9F" w14:textId="77777777" w:rsidR="00BD1C17" w:rsidRPr="00BD1C17" w:rsidRDefault="00BD1C17" w:rsidP="00BD1C17">
            <w:pPr>
              <w:kinsoku w:val="0"/>
              <w:overflowPunct w:val="0"/>
              <w:autoSpaceDE w:val="0"/>
              <w:autoSpaceDN w:val="0"/>
              <w:adjustRightInd w:val="0"/>
              <w:spacing w:after="0" w:line="311" w:lineRule="exact"/>
              <w:ind w:left="105" w:right="98"/>
              <w:jc w:val="center"/>
              <w:rPr>
                <w:rFonts w:ascii="Euclid" w:hAnsi="Euclid" w:cs="Euclid"/>
                <w:spacing w:val="-2"/>
                <w:sz w:val="20"/>
                <w:szCs w:val="20"/>
              </w:rPr>
            </w:pPr>
            <w:r w:rsidRPr="00BD1C17">
              <w:rPr>
                <w:rFonts w:ascii="Euclid" w:hAnsi="Euclid" w:cs="Euclid"/>
                <w:spacing w:val="-2"/>
                <w:sz w:val="20"/>
                <w:szCs w:val="20"/>
              </w:rPr>
              <w:t>Sex-Family</w:t>
            </w:r>
          </w:p>
        </w:tc>
        <w:tc>
          <w:tcPr>
            <w:tcW w:w="1319" w:type="dxa"/>
            <w:tcBorders>
              <w:top w:val="none" w:sz="6" w:space="0" w:color="auto"/>
              <w:left w:val="none" w:sz="6" w:space="0" w:color="auto"/>
              <w:bottom w:val="single" w:sz="4" w:space="0" w:color="000000"/>
              <w:right w:val="none" w:sz="6" w:space="0" w:color="auto"/>
            </w:tcBorders>
          </w:tcPr>
          <w:p w14:paraId="17CF50B7" w14:textId="77777777" w:rsidR="00BD1C17" w:rsidRPr="00BD1C17" w:rsidRDefault="00BD1C17" w:rsidP="00BD1C17">
            <w:pPr>
              <w:kinsoku w:val="0"/>
              <w:overflowPunct w:val="0"/>
              <w:autoSpaceDE w:val="0"/>
              <w:autoSpaceDN w:val="0"/>
              <w:adjustRightInd w:val="0"/>
              <w:spacing w:after="0" w:line="311" w:lineRule="exact"/>
              <w:ind w:left="109" w:right="108"/>
              <w:jc w:val="center"/>
              <w:rPr>
                <w:rFonts w:ascii="Euclid" w:hAnsi="Euclid" w:cs="Euclid"/>
                <w:spacing w:val="-2"/>
                <w:sz w:val="20"/>
                <w:szCs w:val="20"/>
              </w:rPr>
            </w:pPr>
            <w:r w:rsidRPr="00BD1C17">
              <w:rPr>
                <w:rFonts w:ascii="Euclid" w:hAnsi="Euclid" w:cs="Euclid"/>
                <w:spacing w:val="-2"/>
                <w:sz w:val="20"/>
                <w:szCs w:val="20"/>
              </w:rPr>
              <w:t>Immigration</w:t>
            </w:r>
          </w:p>
        </w:tc>
        <w:tc>
          <w:tcPr>
            <w:tcW w:w="1010" w:type="dxa"/>
            <w:tcBorders>
              <w:top w:val="none" w:sz="6" w:space="0" w:color="auto"/>
              <w:left w:val="none" w:sz="6" w:space="0" w:color="auto"/>
              <w:bottom w:val="single" w:sz="4" w:space="0" w:color="000000"/>
              <w:right w:val="none" w:sz="6" w:space="0" w:color="auto"/>
            </w:tcBorders>
          </w:tcPr>
          <w:p w14:paraId="075829D1" w14:textId="77777777" w:rsidR="00BD1C17" w:rsidRPr="00BD1C17" w:rsidRDefault="00BD1C17" w:rsidP="00BD1C17">
            <w:pPr>
              <w:kinsoku w:val="0"/>
              <w:overflowPunct w:val="0"/>
              <w:autoSpaceDE w:val="0"/>
              <w:autoSpaceDN w:val="0"/>
              <w:adjustRightInd w:val="0"/>
              <w:spacing w:after="0" w:line="311" w:lineRule="exact"/>
              <w:ind w:left="287"/>
              <w:rPr>
                <w:rFonts w:ascii="Euclid" w:hAnsi="Euclid" w:cs="Euclid"/>
                <w:spacing w:val="-4"/>
                <w:sz w:val="20"/>
                <w:szCs w:val="20"/>
              </w:rPr>
            </w:pPr>
            <w:r w:rsidRPr="00BD1C17">
              <w:rPr>
                <w:rFonts w:ascii="Euclid" w:hAnsi="Euclid" w:cs="Euclid"/>
                <w:spacing w:val="-4"/>
                <w:sz w:val="20"/>
                <w:szCs w:val="20"/>
              </w:rPr>
              <w:t>Drug</w:t>
            </w:r>
          </w:p>
        </w:tc>
        <w:tc>
          <w:tcPr>
            <w:tcW w:w="951" w:type="dxa"/>
            <w:tcBorders>
              <w:top w:val="none" w:sz="6" w:space="0" w:color="auto"/>
              <w:left w:val="none" w:sz="6" w:space="0" w:color="auto"/>
              <w:bottom w:val="single" w:sz="4" w:space="0" w:color="000000"/>
              <w:right w:val="none" w:sz="6" w:space="0" w:color="auto"/>
            </w:tcBorders>
          </w:tcPr>
          <w:p w14:paraId="5C48E647" w14:textId="77777777" w:rsidR="00BD1C17" w:rsidRPr="00BD1C17" w:rsidRDefault="00BD1C17" w:rsidP="00BD1C17">
            <w:pPr>
              <w:kinsoku w:val="0"/>
              <w:overflowPunct w:val="0"/>
              <w:autoSpaceDE w:val="0"/>
              <w:autoSpaceDN w:val="0"/>
              <w:adjustRightInd w:val="0"/>
              <w:spacing w:after="0" w:line="311" w:lineRule="exact"/>
              <w:ind w:left="80" w:right="73"/>
              <w:jc w:val="center"/>
              <w:rPr>
                <w:rFonts w:ascii="Euclid" w:hAnsi="Euclid" w:cs="Euclid"/>
                <w:spacing w:val="-2"/>
                <w:sz w:val="20"/>
                <w:szCs w:val="20"/>
              </w:rPr>
            </w:pPr>
            <w:r w:rsidRPr="00BD1C17">
              <w:rPr>
                <w:rFonts w:ascii="Euclid" w:hAnsi="Euclid" w:cs="Euclid"/>
                <w:spacing w:val="-2"/>
                <w:sz w:val="20"/>
                <w:szCs w:val="20"/>
              </w:rPr>
              <w:t>Firearm</w:t>
            </w:r>
          </w:p>
        </w:tc>
        <w:tc>
          <w:tcPr>
            <w:tcW w:w="848" w:type="dxa"/>
            <w:tcBorders>
              <w:top w:val="none" w:sz="6" w:space="0" w:color="auto"/>
              <w:left w:val="none" w:sz="6" w:space="0" w:color="auto"/>
              <w:bottom w:val="single" w:sz="4" w:space="0" w:color="000000"/>
              <w:right w:val="none" w:sz="6" w:space="0" w:color="auto"/>
            </w:tcBorders>
          </w:tcPr>
          <w:p w14:paraId="73B72A33" w14:textId="77777777" w:rsidR="00BD1C17" w:rsidRPr="00BD1C17" w:rsidRDefault="00BD1C17" w:rsidP="00BD1C17">
            <w:pPr>
              <w:kinsoku w:val="0"/>
              <w:overflowPunct w:val="0"/>
              <w:autoSpaceDE w:val="0"/>
              <w:autoSpaceDN w:val="0"/>
              <w:adjustRightInd w:val="0"/>
              <w:spacing w:after="0" w:line="311" w:lineRule="exact"/>
              <w:ind w:left="100" w:right="96"/>
              <w:jc w:val="center"/>
              <w:rPr>
                <w:rFonts w:ascii="Euclid" w:hAnsi="Euclid" w:cs="Euclid"/>
                <w:spacing w:val="-2"/>
                <w:sz w:val="20"/>
                <w:szCs w:val="20"/>
              </w:rPr>
            </w:pPr>
            <w:r w:rsidRPr="00BD1C17">
              <w:rPr>
                <w:rFonts w:ascii="Euclid" w:hAnsi="Euclid" w:cs="Euclid"/>
                <w:spacing w:val="-2"/>
                <w:sz w:val="20"/>
                <w:szCs w:val="20"/>
              </w:rPr>
              <w:t>Other</w:t>
            </w:r>
          </w:p>
        </w:tc>
      </w:tr>
      <w:tr w:rsidR="00BD1C17" w:rsidRPr="00BD1C17" w14:paraId="5FACF415" w14:textId="77777777" w:rsidTr="00866391">
        <w:trPr>
          <w:trHeight w:val="379"/>
        </w:trPr>
        <w:tc>
          <w:tcPr>
            <w:tcW w:w="1529" w:type="dxa"/>
            <w:tcBorders>
              <w:top w:val="single" w:sz="4" w:space="0" w:color="000000"/>
              <w:left w:val="none" w:sz="6" w:space="0" w:color="auto"/>
              <w:bottom w:val="none" w:sz="6" w:space="0" w:color="auto"/>
              <w:right w:val="none" w:sz="6" w:space="0" w:color="auto"/>
            </w:tcBorders>
          </w:tcPr>
          <w:p w14:paraId="6C3A0C9B" w14:textId="77777777" w:rsidR="00BD1C17" w:rsidRPr="00BD1C17" w:rsidRDefault="00BD1C17" w:rsidP="00BD1C17">
            <w:pPr>
              <w:kinsoku w:val="0"/>
              <w:overflowPunct w:val="0"/>
              <w:autoSpaceDE w:val="0"/>
              <w:autoSpaceDN w:val="0"/>
              <w:adjustRightInd w:val="0"/>
              <w:spacing w:before="19" w:after="0" w:line="240" w:lineRule="auto"/>
              <w:ind w:left="119"/>
              <w:rPr>
                <w:rFonts w:ascii="Euclid" w:hAnsi="Euclid" w:cs="Euclid"/>
                <w:spacing w:val="-4"/>
                <w:sz w:val="20"/>
                <w:szCs w:val="20"/>
              </w:rPr>
            </w:pPr>
            <w:r w:rsidRPr="00BD1C17">
              <w:rPr>
                <w:rFonts w:ascii="Euclid" w:hAnsi="Euclid" w:cs="Euclid"/>
                <w:spacing w:val="-4"/>
                <w:sz w:val="20"/>
                <w:szCs w:val="20"/>
              </w:rPr>
              <w:t>RRR</w:t>
            </w:r>
          </w:p>
        </w:tc>
        <w:tc>
          <w:tcPr>
            <w:tcW w:w="1009" w:type="dxa"/>
            <w:tcBorders>
              <w:top w:val="single" w:sz="4" w:space="0" w:color="000000"/>
              <w:left w:val="none" w:sz="6" w:space="0" w:color="auto"/>
              <w:bottom w:val="none" w:sz="6" w:space="0" w:color="auto"/>
              <w:right w:val="none" w:sz="6" w:space="0" w:color="auto"/>
            </w:tcBorders>
          </w:tcPr>
          <w:p w14:paraId="0A02983D" w14:textId="77777777" w:rsidR="00BD1C17" w:rsidRPr="00BD1C17" w:rsidRDefault="00BD1C17" w:rsidP="00BD1C17">
            <w:pPr>
              <w:kinsoku w:val="0"/>
              <w:overflowPunct w:val="0"/>
              <w:autoSpaceDE w:val="0"/>
              <w:autoSpaceDN w:val="0"/>
              <w:adjustRightInd w:val="0"/>
              <w:spacing w:before="19" w:after="0" w:line="240" w:lineRule="auto"/>
              <w:ind w:left="76" w:right="77"/>
              <w:jc w:val="center"/>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-0.061</w:t>
            </w:r>
            <w:r w:rsidRPr="00BD1C17">
              <w:rPr>
                <w:rFonts w:ascii="Lucida Sans Unicode" w:hAnsi="Lucida Sans Unicode" w:cs="Lucida Sans Unicode"/>
                <w:spacing w:val="-2"/>
                <w:sz w:val="20"/>
                <w:szCs w:val="20"/>
                <w:vertAlign w:val="superscript"/>
              </w:rPr>
              <w:t>∗∗∗</w:t>
            </w:r>
          </w:p>
        </w:tc>
        <w:tc>
          <w:tcPr>
            <w:tcW w:w="1017" w:type="dxa"/>
            <w:tcBorders>
              <w:top w:val="single" w:sz="4" w:space="0" w:color="000000"/>
              <w:left w:val="none" w:sz="6" w:space="0" w:color="auto"/>
              <w:bottom w:val="none" w:sz="6" w:space="0" w:color="auto"/>
              <w:right w:val="none" w:sz="6" w:space="0" w:color="auto"/>
            </w:tcBorders>
          </w:tcPr>
          <w:p w14:paraId="20970E70" w14:textId="77777777" w:rsidR="00BD1C17" w:rsidRPr="00BD1C17" w:rsidRDefault="00BD1C17" w:rsidP="00BD1C17">
            <w:pPr>
              <w:kinsoku w:val="0"/>
              <w:overflowPunct w:val="0"/>
              <w:autoSpaceDE w:val="0"/>
              <w:autoSpaceDN w:val="0"/>
              <w:adjustRightInd w:val="0"/>
              <w:spacing w:before="19" w:after="0" w:line="240" w:lineRule="auto"/>
              <w:ind w:left="111" w:right="104"/>
              <w:jc w:val="center"/>
              <w:rPr>
                <w:rFonts w:ascii="Euclid" w:hAnsi="Euclid" w:cs="Euclid"/>
                <w:spacing w:val="-2"/>
                <w:sz w:val="20"/>
                <w:szCs w:val="20"/>
              </w:rPr>
            </w:pPr>
            <w:r w:rsidRPr="00BD1C17">
              <w:rPr>
                <w:rFonts w:ascii="Euclid" w:hAnsi="Euclid" w:cs="Euclid"/>
                <w:spacing w:val="-2"/>
                <w:sz w:val="20"/>
                <w:szCs w:val="20"/>
              </w:rPr>
              <w:t>0.036</w:t>
            </w:r>
          </w:p>
        </w:tc>
        <w:tc>
          <w:tcPr>
            <w:tcW w:w="943" w:type="dxa"/>
            <w:tcBorders>
              <w:top w:val="single" w:sz="4" w:space="0" w:color="000000"/>
              <w:left w:val="none" w:sz="6" w:space="0" w:color="auto"/>
              <w:bottom w:val="none" w:sz="6" w:space="0" w:color="auto"/>
              <w:right w:val="none" w:sz="6" w:space="0" w:color="auto"/>
            </w:tcBorders>
          </w:tcPr>
          <w:p w14:paraId="5E11B3F4" w14:textId="77777777" w:rsidR="00BD1C17" w:rsidRPr="00BD1C17" w:rsidRDefault="00BD1C17" w:rsidP="00BD1C17">
            <w:pPr>
              <w:kinsoku w:val="0"/>
              <w:overflowPunct w:val="0"/>
              <w:autoSpaceDE w:val="0"/>
              <w:autoSpaceDN w:val="0"/>
              <w:adjustRightInd w:val="0"/>
              <w:spacing w:before="19" w:after="0" w:line="240" w:lineRule="auto"/>
              <w:ind w:left="76" w:right="69"/>
              <w:jc w:val="center"/>
              <w:rPr>
                <w:rFonts w:ascii="Euclid" w:hAnsi="Euclid" w:cs="Euclid"/>
                <w:spacing w:val="-2"/>
                <w:sz w:val="20"/>
                <w:szCs w:val="20"/>
              </w:rPr>
            </w:pPr>
            <w:r w:rsidRPr="00BD1C17">
              <w:rPr>
                <w:rFonts w:ascii="Euclid" w:hAnsi="Euclid" w:cs="Euclid"/>
                <w:spacing w:val="-2"/>
                <w:sz w:val="20"/>
                <w:szCs w:val="20"/>
              </w:rPr>
              <w:t>0.013</w:t>
            </w:r>
          </w:p>
        </w:tc>
        <w:tc>
          <w:tcPr>
            <w:tcW w:w="1209" w:type="dxa"/>
            <w:tcBorders>
              <w:top w:val="single" w:sz="4" w:space="0" w:color="000000"/>
              <w:left w:val="none" w:sz="6" w:space="0" w:color="auto"/>
              <w:bottom w:val="none" w:sz="6" w:space="0" w:color="auto"/>
              <w:right w:val="none" w:sz="6" w:space="0" w:color="auto"/>
            </w:tcBorders>
          </w:tcPr>
          <w:p w14:paraId="68318C9A" w14:textId="77777777" w:rsidR="00BD1C17" w:rsidRPr="00BD1C17" w:rsidRDefault="00BD1C17" w:rsidP="00BD1C17">
            <w:pPr>
              <w:kinsoku w:val="0"/>
              <w:overflowPunct w:val="0"/>
              <w:autoSpaceDE w:val="0"/>
              <w:autoSpaceDN w:val="0"/>
              <w:adjustRightInd w:val="0"/>
              <w:spacing w:before="19" w:after="0" w:line="240" w:lineRule="auto"/>
              <w:ind w:left="105" w:right="98"/>
              <w:jc w:val="center"/>
              <w:rPr>
                <w:rFonts w:ascii="Euclid" w:hAnsi="Euclid" w:cs="Euclid"/>
                <w:spacing w:val="-2"/>
                <w:sz w:val="20"/>
                <w:szCs w:val="20"/>
              </w:rPr>
            </w:pPr>
            <w:r w:rsidRPr="00BD1C17">
              <w:rPr>
                <w:rFonts w:ascii="Euclid" w:hAnsi="Euclid" w:cs="Euclid"/>
                <w:spacing w:val="-2"/>
                <w:sz w:val="20"/>
                <w:szCs w:val="20"/>
              </w:rPr>
              <w:t>0.046</w:t>
            </w:r>
          </w:p>
        </w:tc>
        <w:tc>
          <w:tcPr>
            <w:tcW w:w="1319" w:type="dxa"/>
            <w:tcBorders>
              <w:top w:val="single" w:sz="4" w:space="0" w:color="000000"/>
              <w:left w:val="none" w:sz="6" w:space="0" w:color="auto"/>
              <w:bottom w:val="none" w:sz="6" w:space="0" w:color="auto"/>
              <w:right w:val="none" w:sz="6" w:space="0" w:color="auto"/>
            </w:tcBorders>
          </w:tcPr>
          <w:p w14:paraId="4FEBDE8A" w14:textId="77777777" w:rsidR="00BD1C17" w:rsidRPr="00BD1C17" w:rsidRDefault="00BD1C17" w:rsidP="00BD1C17">
            <w:pPr>
              <w:kinsoku w:val="0"/>
              <w:overflowPunct w:val="0"/>
              <w:autoSpaceDE w:val="0"/>
              <w:autoSpaceDN w:val="0"/>
              <w:adjustRightInd w:val="0"/>
              <w:spacing w:before="19" w:after="0" w:line="240" w:lineRule="auto"/>
              <w:ind w:left="109" w:right="106"/>
              <w:jc w:val="center"/>
              <w:rPr>
                <w:rFonts w:ascii="Euclid" w:hAnsi="Euclid" w:cs="Euclid"/>
                <w:spacing w:val="-2"/>
                <w:sz w:val="20"/>
                <w:szCs w:val="20"/>
              </w:rPr>
            </w:pPr>
            <w:r w:rsidRPr="00BD1C17">
              <w:rPr>
                <w:rFonts w:ascii="Euclid" w:hAnsi="Euclid" w:cs="Euclid"/>
                <w:spacing w:val="-2"/>
                <w:sz w:val="20"/>
                <w:szCs w:val="20"/>
              </w:rPr>
              <w:t>-0.010</w:t>
            </w:r>
          </w:p>
        </w:tc>
        <w:tc>
          <w:tcPr>
            <w:tcW w:w="1010" w:type="dxa"/>
            <w:tcBorders>
              <w:top w:val="single" w:sz="4" w:space="0" w:color="000000"/>
              <w:left w:val="none" w:sz="6" w:space="0" w:color="auto"/>
              <w:bottom w:val="none" w:sz="6" w:space="0" w:color="auto"/>
              <w:right w:val="none" w:sz="6" w:space="0" w:color="auto"/>
            </w:tcBorders>
          </w:tcPr>
          <w:p w14:paraId="26C531DF" w14:textId="77777777" w:rsidR="00BD1C17" w:rsidRPr="00BD1C17" w:rsidRDefault="00BD1C17" w:rsidP="00BD1C17">
            <w:pPr>
              <w:kinsoku w:val="0"/>
              <w:overflowPunct w:val="0"/>
              <w:autoSpaceDE w:val="0"/>
              <w:autoSpaceDN w:val="0"/>
              <w:adjustRightInd w:val="0"/>
              <w:spacing w:before="19" w:after="0" w:line="240" w:lineRule="auto"/>
              <w:ind w:right="121"/>
              <w:jc w:val="right"/>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-0.037</w:t>
            </w:r>
            <w:r w:rsidRPr="00BD1C17">
              <w:rPr>
                <w:rFonts w:ascii="Lucida Sans Unicode" w:hAnsi="Lucida Sans Unicode" w:cs="Lucida Sans Unicode"/>
                <w:spacing w:val="-2"/>
                <w:sz w:val="20"/>
                <w:szCs w:val="20"/>
                <w:vertAlign w:val="superscript"/>
              </w:rPr>
              <w:t>∗∗∗</w:t>
            </w:r>
          </w:p>
        </w:tc>
        <w:tc>
          <w:tcPr>
            <w:tcW w:w="951" w:type="dxa"/>
            <w:tcBorders>
              <w:top w:val="single" w:sz="4" w:space="0" w:color="000000"/>
              <w:left w:val="none" w:sz="6" w:space="0" w:color="auto"/>
              <w:bottom w:val="none" w:sz="6" w:space="0" w:color="auto"/>
              <w:right w:val="none" w:sz="6" w:space="0" w:color="auto"/>
            </w:tcBorders>
          </w:tcPr>
          <w:p w14:paraId="7616F467" w14:textId="77777777" w:rsidR="00BD1C17" w:rsidRPr="00BD1C17" w:rsidRDefault="00BD1C17" w:rsidP="00BD1C17">
            <w:pPr>
              <w:kinsoku w:val="0"/>
              <w:overflowPunct w:val="0"/>
              <w:autoSpaceDE w:val="0"/>
              <w:autoSpaceDN w:val="0"/>
              <w:adjustRightInd w:val="0"/>
              <w:spacing w:before="19" w:after="0" w:line="240" w:lineRule="auto"/>
              <w:ind w:left="80" w:right="80"/>
              <w:jc w:val="center"/>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-0.032</w:t>
            </w:r>
            <w:r w:rsidRPr="00BD1C17">
              <w:rPr>
                <w:rFonts w:ascii="Lucida Sans Unicode" w:hAnsi="Lucida Sans Unicode" w:cs="Lucida Sans Unicode"/>
                <w:spacing w:val="-2"/>
                <w:sz w:val="20"/>
                <w:szCs w:val="20"/>
                <w:vertAlign w:val="superscript"/>
              </w:rPr>
              <w:t>∗∗</w:t>
            </w:r>
          </w:p>
        </w:tc>
        <w:tc>
          <w:tcPr>
            <w:tcW w:w="848" w:type="dxa"/>
            <w:tcBorders>
              <w:top w:val="single" w:sz="4" w:space="0" w:color="000000"/>
              <w:left w:val="none" w:sz="6" w:space="0" w:color="auto"/>
              <w:bottom w:val="none" w:sz="6" w:space="0" w:color="auto"/>
              <w:right w:val="none" w:sz="6" w:space="0" w:color="auto"/>
            </w:tcBorders>
          </w:tcPr>
          <w:p w14:paraId="69AAFCB1" w14:textId="77777777" w:rsidR="00BD1C17" w:rsidRPr="00BD1C17" w:rsidRDefault="00BD1C17" w:rsidP="00BD1C17">
            <w:pPr>
              <w:kinsoku w:val="0"/>
              <w:overflowPunct w:val="0"/>
              <w:autoSpaceDE w:val="0"/>
              <w:autoSpaceDN w:val="0"/>
              <w:adjustRightInd w:val="0"/>
              <w:spacing w:before="19" w:after="0" w:line="240" w:lineRule="auto"/>
              <w:ind w:left="102" w:right="96"/>
              <w:jc w:val="center"/>
              <w:rPr>
                <w:rFonts w:ascii="Euclid" w:hAnsi="Euclid" w:cs="Euclid"/>
                <w:spacing w:val="-2"/>
                <w:sz w:val="20"/>
                <w:szCs w:val="20"/>
              </w:rPr>
            </w:pPr>
            <w:r w:rsidRPr="00BD1C17">
              <w:rPr>
                <w:rFonts w:ascii="Euclid" w:hAnsi="Euclid" w:cs="Euclid"/>
                <w:spacing w:val="-2"/>
                <w:sz w:val="20"/>
                <w:szCs w:val="20"/>
              </w:rPr>
              <w:t>-0.030</w:t>
            </w:r>
          </w:p>
        </w:tc>
      </w:tr>
      <w:tr w:rsidR="00BD1C17" w:rsidRPr="00BD1C17" w14:paraId="33BF6F29" w14:textId="77777777" w:rsidTr="00866391">
        <w:trPr>
          <w:trHeight w:val="441"/>
        </w:trPr>
        <w:tc>
          <w:tcPr>
            <w:tcW w:w="1529" w:type="dxa"/>
            <w:tcBorders>
              <w:top w:val="none" w:sz="6" w:space="0" w:color="auto"/>
              <w:left w:val="none" w:sz="6" w:space="0" w:color="auto"/>
              <w:bottom w:val="none" w:sz="6" w:space="0" w:color="auto"/>
              <w:right w:val="none" w:sz="6" w:space="0" w:color="auto"/>
            </w:tcBorders>
          </w:tcPr>
          <w:p w14:paraId="091CA50C"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c>
          <w:tcPr>
            <w:tcW w:w="1009" w:type="dxa"/>
            <w:tcBorders>
              <w:top w:val="none" w:sz="6" w:space="0" w:color="auto"/>
              <w:left w:val="none" w:sz="6" w:space="0" w:color="auto"/>
              <w:bottom w:val="none" w:sz="6" w:space="0" w:color="auto"/>
              <w:right w:val="none" w:sz="6" w:space="0" w:color="auto"/>
            </w:tcBorders>
          </w:tcPr>
          <w:p w14:paraId="2AF4618D" w14:textId="77777777" w:rsidR="00BD1C17" w:rsidRPr="00BD1C17" w:rsidRDefault="00BD1C17" w:rsidP="00BD1C17">
            <w:pPr>
              <w:kinsoku w:val="0"/>
              <w:overflowPunct w:val="0"/>
              <w:autoSpaceDE w:val="0"/>
              <w:autoSpaceDN w:val="0"/>
              <w:adjustRightInd w:val="0"/>
              <w:spacing w:after="0" w:line="331" w:lineRule="exact"/>
              <w:ind w:left="76" w:right="69"/>
              <w:jc w:val="center"/>
              <w:rPr>
                <w:rFonts w:ascii="Euclid" w:hAnsi="Euclid" w:cs="Euclid"/>
                <w:spacing w:val="-2"/>
                <w:sz w:val="20"/>
                <w:szCs w:val="20"/>
              </w:rPr>
            </w:pPr>
            <w:r w:rsidRPr="00BD1C17">
              <w:rPr>
                <w:rFonts w:ascii="Euclid" w:hAnsi="Euclid" w:cs="Euclid"/>
                <w:spacing w:val="-2"/>
                <w:sz w:val="20"/>
                <w:szCs w:val="20"/>
              </w:rPr>
              <w:t>(0.021)</w:t>
            </w:r>
          </w:p>
        </w:tc>
        <w:tc>
          <w:tcPr>
            <w:tcW w:w="1017" w:type="dxa"/>
            <w:tcBorders>
              <w:top w:val="none" w:sz="6" w:space="0" w:color="auto"/>
              <w:left w:val="none" w:sz="6" w:space="0" w:color="auto"/>
              <w:bottom w:val="none" w:sz="6" w:space="0" w:color="auto"/>
              <w:right w:val="none" w:sz="6" w:space="0" w:color="auto"/>
            </w:tcBorders>
          </w:tcPr>
          <w:p w14:paraId="7C4F2DCB" w14:textId="77777777" w:rsidR="00BD1C17" w:rsidRPr="00BD1C17" w:rsidRDefault="00BD1C17" w:rsidP="00BD1C17">
            <w:pPr>
              <w:kinsoku w:val="0"/>
              <w:overflowPunct w:val="0"/>
              <w:autoSpaceDE w:val="0"/>
              <w:autoSpaceDN w:val="0"/>
              <w:adjustRightInd w:val="0"/>
              <w:spacing w:after="0" w:line="331" w:lineRule="exact"/>
              <w:ind w:left="111" w:right="102"/>
              <w:jc w:val="center"/>
              <w:rPr>
                <w:rFonts w:ascii="Euclid" w:hAnsi="Euclid" w:cs="Euclid"/>
                <w:spacing w:val="-2"/>
                <w:sz w:val="20"/>
                <w:szCs w:val="20"/>
              </w:rPr>
            </w:pPr>
            <w:r w:rsidRPr="00BD1C17">
              <w:rPr>
                <w:rFonts w:ascii="Euclid" w:hAnsi="Euclid" w:cs="Euclid"/>
                <w:spacing w:val="-2"/>
                <w:sz w:val="20"/>
                <w:szCs w:val="20"/>
              </w:rPr>
              <w:t>(0.029)</w:t>
            </w:r>
          </w:p>
        </w:tc>
        <w:tc>
          <w:tcPr>
            <w:tcW w:w="943" w:type="dxa"/>
            <w:tcBorders>
              <w:top w:val="none" w:sz="6" w:space="0" w:color="auto"/>
              <w:left w:val="none" w:sz="6" w:space="0" w:color="auto"/>
              <w:bottom w:val="none" w:sz="6" w:space="0" w:color="auto"/>
              <w:right w:val="none" w:sz="6" w:space="0" w:color="auto"/>
            </w:tcBorders>
          </w:tcPr>
          <w:p w14:paraId="049CC135" w14:textId="77777777" w:rsidR="00BD1C17" w:rsidRPr="00BD1C17" w:rsidRDefault="00BD1C17" w:rsidP="00BD1C17">
            <w:pPr>
              <w:kinsoku w:val="0"/>
              <w:overflowPunct w:val="0"/>
              <w:autoSpaceDE w:val="0"/>
              <w:autoSpaceDN w:val="0"/>
              <w:adjustRightInd w:val="0"/>
              <w:spacing w:after="0" w:line="331" w:lineRule="exact"/>
              <w:ind w:left="76" w:right="65"/>
              <w:jc w:val="center"/>
              <w:rPr>
                <w:rFonts w:ascii="Euclid" w:hAnsi="Euclid" w:cs="Euclid"/>
                <w:spacing w:val="-2"/>
                <w:sz w:val="20"/>
                <w:szCs w:val="20"/>
              </w:rPr>
            </w:pPr>
            <w:r w:rsidRPr="00BD1C17">
              <w:rPr>
                <w:rFonts w:ascii="Euclid" w:hAnsi="Euclid" w:cs="Euclid"/>
                <w:spacing w:val="-2"/>
                <w:sz w:val="20"/>
                <w:szCs w:val="20"/>
              </w:rPr>
              <w:t>(0.016)</w:t>
            </w:r>
          </w:p>
        </w:tc>
        <w:tc>
          <w:tcPr>
            <w:tcW w:w="1209" w:type="dxa"/>
            <w:tcBorders>
              <w:top w:val="none" w:sz="6" w:space="0" w:color="auto"/>
              <w:left w:val="none" w:sz="6" w:space="0" w:color="auto"/>
              <w:bottom w:val="none" w:sz="6" w:space="0" w:color="auto"/>
              <w:right w:val="none" w:sz="6" w:space="0" w:color="auto"/>
            </w:tcBorders>
          </w:tcPr>
          <w:p w14:paraId="0CACB67E" w14:textId="77777777" w:rsidR="00BD1C17" w:rsidRPr="00BD1C17" w:rsidRDefault="00BD1C17" w:rsidP="00BD1C17">
            <w:pPr>
              <w:kinsoku w:val="0"/>
              <w:overflowPunct w:val="0"/>
              <w:autoSpaceDE w:val="0"/>
              <w:autoSpaceDN w:val="0"/>
              <w:adjustRightInd w:val="0"/>
              <w:spacing w:after="0" w:line="331" w:lineRule="exact"/>
              <w:ind w:left="105" w:right="92"/>
              <w:jc w:val="center"/>
              <w:rPr>
                <w:rFonts w:ascii="Euclid" w:hAnsi="Euclid" w:cs="Euclid"/>
                <w:spacing w:val="-2"/>
                <w:sz w:val="20"/>
                <w:szCs w:val="20"/>
              </w:rPr>
            </w:pPr>
            <w:r w:rsidRPr="00BD1C17">
              <w:rPr>
                <w:rFonts w:ascii="Euclid" w:hAnsi="Euclid" w:cs="Euclid"/>
                <w:spacing w:val="-2"/>
                <w:sz w:val="20"/>
                <w:szCs w:val="20"/>
              </w:rPr>
              <w:t>(0.038)</w:t>
            </w:r>
          </w:p>
        </w:tc>
        <w:tc>
          <w:tcPr>
            <w:tcW w:w="1319" w:type="dxa"/>
            <w:tcBorders>
              <w:top w:val="none" w:sz="6" w:space="0" w:color="auto"/>
              <w:left w:val="none" w:sz="6" w:space="0" w:color="auto"/>
              <w:bottom w:val="none" w:sz="6" w:space="0" w:color="auto"/>
              <w:right w:val="none" w:sz="6" w:space="0" w:color="auto"/>
            </w:tcBorders>
          </w:tcPr>
          <w:p w14:paraId="58E1C801" w14:textId="77777777" w:rsidR="00BD1C17" w:rsidRPr="00BD1C17" w:rsidRDefault="00BD1C17" w:rsidP="00BD1C17">
            <w:pPr>
              <w:kinsoku w:val="0"/>
              <w:overflowPunct w:val="0"/>
              <w:autoSpaceDE w:val="0"/>
              <w:autoSpaceDN w:val="0"/>
              <w:adjustRightInd w:val="0"/>
              <w:spacing w:after="0" w:line="331" w:lineRule="exact"/>
              <w:ind w:left="109" w:right="99"/>
              <w:jc w:val="center"/>
              <w:rPr>
                <w:rFonts w:ascii="Euclid" w:hAnsi="Euclid" w:cs="Euclid"/>
                <w:spacing w:val="-2"/>
                <w:sz w:val="20"/>
                <w:szCs w:val="20"/>
              </w:rPr>
            </w:pPr>
            <w:r w:rsidRPr="00BD1C17">
              <w:rPr>
                <w:rFonts w:ascii="Euclid" w:hAnsi="Euclid" w:cs="Euclid"/>
                <w:spacing w:val="-2"/>
                <w:sz w:val="20"/>
                <w:szCs w:val="20"/>
              </w:rPr>
              <w:t>(0.012)</w:t>
            </w:r>
          </w:p>
        </w:tc>
        <w:tc>
          <w:tcPr>
            <w:tcW w:w="1010" w:type="dxa"/>
            <w:tcBorders>
              <w:top w:val="none" w:sz="6" w:space="0" w:color="auto"/>
              <w:left w:val="none" w:sz="6" w:space="0" w:color="auto"/>
              <w:bottom w:val="none" w:sz="6" w:space="0" w:color="auto"/>
              <w:right w:val="none" w:sz="6" w:space="0" w:color="auto"/>
            </w:tcBorders>
          </w:tcPr>
          <w:p w14:paraId="68C2AC19" w14:textId="77777777" w:rsidR="00BD1C17" w:rsidRPr="00BD1C17" w:rsidRDefault="00BD1C17" w:rsidP="00BD1C17">
            <w:pPr>
              <w:kinsoku w:val="0"/>
              <w:overflowPunct w:val="0"/>
              <w:autoSpaceDE w:val="0"/>
              <w:autoSpaceDN w:val="0"/>
              <w:adjustRightInd w:val="0"/>
              <w:spacing w:after="0" w:line="331" w:lineRule="exact"/>
              <w:ind w:right="189"/>
              <w:jc w:val="right"/>
              <w:rPr>
                <w:rFonts w:ascii="Euclid" w:hAnsi="Euclid" w:cs="Euclid"/>
                <w:spacing w:val="-2"/>
                <w:sz w:val="20"/>
                <w:szCs w:val="20"/>
              </w:rPr>
            </w:pPr>
            <w:r w:rsidRPr="00BD1C17">
              <w:rPr>
                <w:rFonts w:ascii="Euclid" w:hAnsi="Euclid" w:cs="Euclid"/>
                <w:spacing w:val="-2"/>
                <w:sz w:val="20"/>
                <w:szCs w:val="20"/>
              </w:rPr>
              <w:t>(0.010)</w:t>
            </w:r>
          </w:p>
        </w:tc>
        <w:tc>
          <w:tcPr>
            <w:tcW w:w="951" w:type="dxa"/>
            <w:tcBorders>
              <w:top w:val="none" w:sz="6" w:space="0" w:color="auto"/>
              <w:left w:val="none" w:sz="6" w:space="0" w:color="auto"/>
              <w:bottom w:val="none" w:sz="6" w:space="0" w:color="auto"/>
              <w:right w:val="none" w:sz="6" w:space="0" w:color="auto"/>
            </w:tcBorders>
          </w:tcPr>
          <w:p w14:paraId="0F511DD7" w14:textId="77777777" w:rsidR="00BD1C17" w:rsidRPr="00BD1C17" w:rsidRDefault="00BD1C17" w:rsidP="00BD1C17">
            <w:pPr>
              <w:kinsoku w:val="0"/>
              <w:overflowPunct w:val="0"/>
              <w:autoSpaceDE w:val="0"/>
              <w:autoSpaceDN w:val="0"/>
              <w:adjustRightInd w:val="0"/>
              <w:spacing w:after="0" w:line="331" w:lineRule="exact"/>
              <w:ind w:left="80" w:right="61"/>
              <w:jc w:val="center"/>
              <w:rPr>
                <w:rFonts w:ascii="Euclid" w:hAnsi="Euclid" w:cs="Euclid"/>
                <w:spacing w:val="-2"/>
                <w:sz w:val="20"/>
                <w:szCs w:val="20"/>
              </w:rPr>
            </w:pPr>
            <w:r w:rsidRPr="00BD1C17">
              <w:rPr>
                <w:rFonts w:ascii="Euclid" w:hAnsi="Euclid" w:cs="Euclid"/>
                <w:spacing w:val="-2"/>
                <w:sz w:val="20"/>
                <w:szCs w:val="20"/>
              </w:rPr>
              <w:t>(0.015)</w:t>
            </w:r>
          </w:p>
        </w:tc>
        <w:tc>
          <w:tcPr>
            <w:tcW w:w="848" w:type="dxa"/>
            <w:tcBorders>
              <w:top w:val="none" w:sz="6" w:space="0" w:color="auto"/>
              <w:left w:val="none" w:sz="6" w:space="0" w:color="auto"/>
              <w:bottom w:val="none" w:sz="6" w:space="0" w:color="auto"/>
              <w:right w:val="none" w:sz="6" w:space="0" w:color="auto"/>
            </w:tcBorders>
          </w:tcPr>
          <w:p w14:paraId="35F28404" w14:textId="77777777" w:rsidR="00BD1C17" w:rsidRPr="00BD1C17" w:rsidRDefault="00BD1C17" w:rsidP="00BD1C17">
            <w:pPr>
              <w:kinsoku w:val="0"/>
              <w:overflowPunct w:val="0"/>
              <w:autoSpaceDE w:val="0"/>
              <w:autoSpaceDN w:val="0"/>
              <w:adjustRightInd w:val="0"/>
              <w:spacing w:after="0" w:line="331" w:lineRule="exact"/>
              <w:ind w:left="113" w:right="96"/>
              <w:jc w:val="center"/>
              <w:rPr>
                <w:rFonts w:ascii="Euclid" w:hAnsi="Euclid" w:cs="Euclid"/>
                <w:spacing w:val="-2"/>
                <w:sz w:val="20"/>
                <w:szCs w:val="20"/>
              </w:rPr>
            </w:pPr>
            <w:r w:rsidRPr="00BD1C17">
              <w:rPr>
                <w:rFonts w:ascii="Euclid" w:hAnsi="Euclid" w:cs="Euclid"/>
                <w:spacing w:val="-2"/>
                <w:sz w:val="20"/>
                <w:szCs w:val="20"/>
              </w:rPr>
              <w:t>(0.023)</w:t>
            </w:r>
          </w:p>
        </w:tc>
      </w:tr>
      <w:tr w:rsidR="00BD1C17" w:rsidRPr="00BD1C17" w14:paraId="4AC85B51" w14:textId="77777777" w:rsidTr="00866391">
        <w:trPr>
          <w:trHeight w:val="474"/>
        </w:trPr>
        <w:tc>
          <w:tcPr>
            <w:tcW w:w="1529" w:type="dxa"/>
            <w:tcBorders>
              <w:top w:val="none" w:sz="6" w:space="0" w:color="auto"/>
              <w:left w:val="none" w:sz="6" w:space="0" w:color="auto"/>
              <w:bottom w:val="none" w:sz="6" w:space="0" w:color="auto"/>
              <w:right w:val="none" w:sz="6" w:space="0" w:color="auto"/>
            </w:tcBorders>
          </w:tcPr>
          <w:p w14:paraId="52184C57" w14:textId="77777777" w:rsidR="00BD1C17" w:rsidRPr="00BD1C17" w:rsidRDefault="00BD1C17" w:rsidP="00BD1C17">
            <w:pPr>
              <w:kinsoku w:val="0"/>
              <w:overflowPunct w:val="0"/>
              <w:autoSpaceDE w:val="0"/>
              <w:autoSpaceDN w:val="0"/>
              <w:adjustRightInd w:val="0"/>
              <w:spacing w:before="114" w:after="0" w:line="240" w:lineRule="auto"/>
              <w:ind w:left="119"/>
              <w:rPr>
                <w:rFonts w:ascii="Euclid" w:hAnsi="Euclid" w:cs="Euclid"/>
                <w:spacing w:val="-4"/>
                <w:sz w:val="20"/>
                <w:szCs w:val="20"/>
              </w:rPr>
            </w:pPr>
            <w:r w:rsidRPr="00BD1C17">
              <w:rPr>
                <w:rFonts w:ascii="Euclid" w:hAnsi="Euclid" w:cs="Euclid"/>
                <w:spacing w:val="-4"/>
                <w:sz w:val="20"/>
                <w:szCs w:val="20"/>
              </w:rPr>
              <w:t>RDD</w:t>
            </w:r>
          </w:p>
        </w:tc>
        <w:tc>
          <w:tcPr>
            <w:tcW w:w="1009" w:type="dxa"/>
            <w:tcBorders>
              <w:top w:val="none" w:sz="6" w:space="0" w:color="auto"/>
              <w:left w:val="none" w:sz="6" w:space="0" w:color="auto"/>
              <w:bottom w:val="none" w:sz="6" w:space="0" w:color="auto"/>
              <w:right w:val="none" w:sz="6" w:space="0" w:color="auto"/>
            </w:tcBorders>
          </w:tcPr>
          <w:p w14:paraId="09357449" w14:textId="77777777" w:rsidR="00BD1C17" w:rsidRPr="00BD1C17" w:rsidRDefault="00BD1C17" w:rsidP="00BD1C17">
            <w:pPr>
              <w:kinsoku w:val="0"/>
              <w:overflowPunct w:val="0"/>
              <w:autoSpaceDE w:val="0"/>
              <w:autoSpaceDN w:val="0"/>
              <w:adjustRightInd w:val="0"/>
              <w:spacing w:before="114" w:after="0" w:line="240" w:lineRule="auto"/>
              <w:ind w:left="76" w:right="70"/>
              <w:jc w:val="center"/>
              <w:rPr>
                <w:rFonts w:ascii="Euclid" w:hAnsi="Euclid" w:cs="Euclid"/>
                <w:spacing w:val="-2"/>
                <w:sz w:val="20"/>
                <w:szCs w:val="20"/>
              </w:rPr>
            </w:pPr>
            <w:r w:rsidRPr="00BD1C17">
              <w:rPr>
                <w:rFonts w:ascii="Euclid" w:hAnsi="Euclid" w:cs="Euclid"/>
                <w:spacing w:val="-2"/>
                <w:sz w:val="20"/>
                <w:szCs w:val="20"/>
              </w:rPr>
              <w:t>0.019</w:t>
            </w:r>
          </w:p>
        </w:tc>
        <w:tc>
          <w:tcPr>
            <w:tcW w:w="1017" w:type="dxa"/>
            <w:tcBorders>
              <w:top w:val="none" w:sz="6" w:space="0" w:color="auto"/>
              <w:left w:val="none" w:sz="6" w:space="0" w:color="auto"/>
              <w:bottom w:val="none" w:sz="6" w:space="0" w:color="auto"/>
              <w:right w:val="none" w:sz="6" w:space="0" w:color="auto"/>
            </w:tcBorders>
          </w:tcPr>
          <w:p w14:paraId="62BABD5B" w14:textId="77777777" w:rsidR="00BD1C17" w:rsidRPr="00BD1C17" w:rsidRDefault="00BD1C17" w:rsidP="00BD1C17">
            <w:pPr>
              <w:kinsoku w:val="0"/>
              <w:overflowPunct w:val="0"/>
              <w:autoSpaceDE w:val="0"/>
              <w:autoSpaceDN w:val="0"/>
              <w:adjustRightInd w:val="0"/>
              <w:spacing w:before="114" w:after="0" w:line="240" w:lineRule="auto"/>
              <w:ind w:left="105" w:right="105"/>
              <w:jc w:val="center"/>
              <w:rPr>
                <w:rFonts w:ascii="Sitka Small" w:hAnsi="Sitka Small" w:cs="Sitka Small"/>
                <w:i/>
                <w:iCs/>
                <w:spacing w:val="-2"/>
                <w:sz w:val="20"/>
                <w:szCs w:val="20"/>
                <w:vertAlign w:val="superscript"/>
              </w:rPr>
            </w:pPr>
            <w:r w:rsidRPr="00BD1C17">
              <w:rPr>
                <w:rFonts w:ascii="Euclid" w:hAnsi="Euclid" w:cs="Euclid"/>
                <w:spacing w:val="-2"/>
                <w:sz w:val="20"/>
                <w:szCs w:val="20"/>
              </w:rPr>
              <w:t>0.058</w:t>
            </w:r>
            <w:r w:rsidRPr="00BD1C17">
              <w:rPr>
                <w:rFonts w:ascii="Sitka Small" w:hAnsi="Sitka Small" w:cs="Sitka Small"/>
                <w:i/>
                <w:iCs/>
                <w:spacing w:val="-2"/>
                <w:sz w:val="20"/>
                <w:szCs w:val="20"/>
                <w:vertAlign w:val="superscript"/>
              </w:rPr>
              <w:t>t</w:t>
            </w:r>
          </w:p>
        </w:tc>
        <w:tc>
          <w:tcPr>
            <w:tcW w:w="943" w:type="dxa"/>
            <w:tcBorders>
              <w:top w:val="none" w:sz="6" w:space="0" w:color="auto"/>
              <w:left w:val="none" w:sz="6" w:space="0" w:color="auto"/>
              <w:bottom w:val="none" w:sz="6" w:space="0" w:color="auto"/>
              <w:right w:val="none" w:sz="6" w:space="0" w:color="auto"/>
            </w:tcBorders>
          </w:tcPr>
          <w:p w14:paraId="30FF25AD" w14:textId="77777777" w:rsidR="00BD1C17" w:rsidRPr="00BD1C17" w:rsidRDefault="00BD1C17" w:rsidP="00BD1C17">
            <w:pPr>
              <w:kinsoku w:val="0"/>
              <w:overflowPunct w:val="0"/>
              <w:autoSpaceDE w:val="0"/>
              <w:autoSpaceDN w:val="0"/>
              <w:adjustRightInd w:val="0"/>
              <w:spacing w:before="114" w:after="0" w:line="240" w:lineRule="auto"/>
              <w:ind w:left="76" w:right="69"/>
              <w:jc w:val="center"/>
              <w:rPr>
                <w:rFonts w:ascii="Euclid" w:hAnsi="Euclid" w:cs="Euclid"/>
                <w:spacing w:val="-2"/>
                <w:sz w:val="20"/>
                <w:szCs w:val="20"/>
              </w:rPr>
            </w:pPr>
            <w:r w:rsidRPr="00BD1C17">
              <w:rPr>
                <w:rFonts w:ascii="Euclid" w:hAnsi="Euclid" w:cs="Euclid"/>
                <w:spacing w:val="-2"/>
                <w:sz w:val="20"/>
                <w:szCs w:val="20"/>
              </w:rPr>
              <w:t>0.021</w:t>
            </w:r>
          </w:p>
        </w:tc>
        <w:tc>
          <w:tcPr>
            <w:tcW w:w="1209" w:type="dxa"/>
            <w:tcBorders>
              <w:top w:val="none" w:sz="6" w:space="0" w:color="auto"/>
              <w:left w:val="none" w:sz="6" w:space="0" w:color="auto"/>
              <w:bottom w:val="none" w:sz="6" w:space="0" w:color="auto"/>
              <w:right w:val="none" w:sz="6" w:space="0" w:color="auto"/>
            </w:tcBorders>
          </w:tcPr>
          <w:p w14:paraId="47551A9D" w14:textId="77777777" w:rsidR="00BD1C17" w:rsidRPr="00BD1C17" w:rsidRDefault="00BD1C17" w:rsidP="00BD1C17">
            <w:pPr>
              <w:kinsoku w:val="0"/>
              <w:overflowPunct w:val="0"/>
              <w:autoSpaceDE w:val="0"/>
              <w:autoSpaceDN w:val="0"/>
              <w:adjustRightInd w:val="0"/>
              <w:spacing w:before="114" w:after="0" w:line="240" w:lineRule="auto"/>
              <w:ind w:left="97" w:right="98"/>
              <w:jc w:val="center"/>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0.101</w:t>
            </w:r>
            <w:r w:rsidRPr="00BD1C17">
              <w:rPr>
                <w:rFonts w:ascii="Lucida Sans Unicode" w:hAnsi="Lucida Sans Unicode" w:cs="Lucida Sans Unicode"/>
                <w:spacing w:val="-2"/>
                <w:sz w:val="20"/>
                <w:szCs w:val="20"/>
                <w:vertAlign w:val="superscript"/>
              </w:rPr>
              <w:t>∗∗</w:t>
            </w:r>
          </w:p>
        </w:tc>
        <w:tc>
          <w:tcPr>
            <w:tcW w:w="1319" w:type="dxa"/>
            <w:tcBorders>
              <w:top w:val="none" w:sz="6" w:space="0" w:color="auto"/>
              <w:left w:val="none" w:sz="6" w:space="0" w:color="auto"/>
              <w:bottom w:val="none" w:sz="6" w:space="0" w:color="auto"/>
              <w:right w:val="none" w:sz="6" w:space="0" w:color="auto"/>
            </w:tcBorders>
          </w:tcPr>
          <w:p w14:paraId="26EADECA" w14:textId="77777777" w:rsidR="00BD1C17" w:rsidRPr="00BD1C17" w:rsidRDefault="00BD1C17" w:rsidP="00BD1C17">
            <w:pPr>
              <w:kinsoku w:val="0"/>
              <w:overflowPunct w:val="0"/>
              <w:autoSpaceDE w:val="0"/>
              <w:autoSpaceDN w:val="0"/>
              <w:adjustRightInd w:val="0"/>
              <w:spacing w:before="114" w:after="0" w:line="240" w:lineRule="auto"/>
              <w:ind w:left="105" w:right="108"/>
              <w:jc w:val="center"/>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0.047</w:t>
            </w:r>
            <w:r w:rsidRPr="00BD1C17">
              <w:rPr>
                <w:rFonts w:ascii="Lucida Sans Unicode" w:hAnsi="Lucida Sans Unicode" w:cs="Lucida Sans Unicode"/>
                <w:spacing w:val="-2"/>
                <w:sz w:val="20"/>
                <w:szCs w:val="20"/>
                <w:vertAlign w:val="superscript"/>
              </w:rPr>
              <w:t>∗∗∗</w:t>
            </w:r>
          </w:p>
        </w:tc>
        <w:tc>
          <w:tcPr>
            <w:tcW w:w="1010" w:type="dxa"/>
            <w:tcBorders>
              <w:top w:val="none" w:sz="6" w:space="0" w:color="auto"/>
              <w:left w:val="none" w:sz="6" w:space="0" w:color="auto"/>
              <w:bottom w:val="none" w:sz="6" w:space="0" w:color="auto"/>
              <w:right w:val="none" w:sz="6" w:space="0" w:color="auto"/>
            </w:tcBorders>
          </w:tcPr>
          <w:p w14:paraId="1B71B87D" w14:textId="77777777" w:rsidR="00BD1C17" w:rsidRPr="00BD1C17" w:rsidRDefault="00BD1C17" w:rsidP="00BD1C17">
            <w:pPr>
              <w:kinsoku w:val="0"/>
              <w:overflowPunct w:val="0"/>
              <w:autoSpaceDE w:val="0"/>
              <w:autoSpaceDN w:val="0"/>
              <w:adjustRightInd w:val="0"/>
              <w:spacing w:before="114" w:after="0" w:line="240" w:lineRule="auto"/>
              <w:ind w:right="154"/>
              <w:jc w:val="right"/>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0.039</w:t>
            </w:r>
            <w:r w:rsidRPr="00BD1C17">
              <w:rPr>
                <w:rFonts w:ascii="Lucida Sans Unicode" w:hAnsi="Lucida Sans Unicode" w:cs="Lucida Sans Unicode"/>
                <w:spacing w:val="-2"/>
                <w:sz w:val="20"/>
                <w:szCs w:val="20"/>
                <w:vertAlign w:val="superscript"/>
              </w:rPr>
              <w:t>∗∗∗</w:t>
            </w:r>
          </w:p>
        </w:tc>
        <w:tc>
          <w:tcPr>
            <w:tcW w:w="951" w:type="dxa"/>
            <w:tcBorders>
              <w:top w:val="none" w:sz="6" w:space="0" w:color="auto"/>
              <w:left w:val="none" w:sz="6" w:space="0" w:color="auto"/>
              <w:bottom w:val="none" w:sz="6" w:space="0" w:color="auto"/>
              <w:right w:val="none" w:sz="6" w:space="0" w:color="auto"/>
            </w:tcBorders>
          </w:tcPr>
          <w:p w14:paraId="74BF435D" w14:textId="77777777" w:rsidR="00BD1C17" w:rsidRPr="00BD1C17" w:rsidRDefault="00BD1C17" w:rsidP="00BD1C17">
            <w:pPr>
              <w:kinsoku w:val="0"/>
              <w:overflowPunct w:val="0"/>
              <w:autoSpaceDE w:val="0"/>
              <w:autoSpaceDN w:val="0"/>
              <w:adjustRightInd w:val="0"/>
              <w:spacing w:before="114" w:after="0" w:line="240" w:lineRule="auto"/>
              <w:ind w:left="80" w:right="80"/>
              <w:jc w:val="center"/>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0.051</w:t>
            </w:r>
            <w:r w:rsidRPr="00BD1C17">
              <w:rPr>
                <w:rFonts w:ascii="Lucida Sans Unicode" w:hAnsi="Lucida Sans Unicode" w:cs="Lucida Sans Unicode"/>
                <w:spacing w:val="-2"/>
                <w:sz w:val="20"/>
                <w:szCs w:val="20"/>
                <w:vertAlign w:val="superscript"/>
              </w:rPr>
              <w:t>∗∗∗</w:t>
            </w:r>
          </w:p>
        </w:tc>
        <w:tc>
          <w:tcPr>
            <w:tcW w:w="848" w:type="dxa"/>
            <w:tcBorders>
              <w:top w:val="none" w:sz="6" w:space="0" w:color="auto"/>
              <w:left w:val="none" w:sz="6" w:space="0" w:color="auto"/>
              <w:bottom w:val="none" w:sz="6" w:space="0" w:color="auto"/>
              <w:right w:val="none" w:sz="6" w:space="0" w:color="auto"/>
            </w:tcBorders>
          </w:tcPr>
          <w:p w14:paraId="68882A36" w14:textId="77777777" w:rsidR="00BD1C17" w:rsidRPr="00BD1C17" w:rsidRDefault="00BD1C17" w:rsidP="00BD1C17">
            <w:pPr>
              <w:kinsoku w:val="0"/>
              <w:overflowPunct w:val="0"/>
              <w:autoSpaceDE w:val="0"/>
              <w:autoSpaceDN w:val="0"/>
              <w:adjustRightInd w:val="0"/>
              <w:spacing w:before="114" w:after="0" w:line="240" w:lineRule="auto"/>
              <w:ind w:left="102" w:right="96"/>
              <w:jc w:val="center"/>
              <w:rPr>
                <w:rFonts w:ascii="Euclid" w:hAnsi="Euclid" w:cs="Euclid"/>
                <w:spacing w:val="-2"/>
                <w:sz w:val="20"/>
                <w:szCs w:val="20"/>
              </w:rPr>
            </w:pPr>
            <w:r w:rsidRPr="00BD1C17">
              <w:rPr>
                <w:rFonts w:ascii="Euclid" w:hAnsi="Euclid" w:cs="Euclid"/>
                <w:spacing w:val="-2"/>
                <w:sz w:val="20"/>
                <w:szCs w:val="20"/>
              </w:rPr>
              <w:t>0.023</w:t>
            </w:r>
          </w:p>
        </w:tc>
      </w:tr>
      <w:tr w:rsidR="00BD1C17" w:rsidRPr="00BD1C17" w14:paraId="012BAF01" w14:textId="77777777" w:rsidTr="00964366">
        <w:trPr>
          <w:trHeight w:val="441"/>
        </w:trPr>
        <w:tc>
          <w:tcPr>
            <w:tcW w:w="1529" w:type="dxa"/>
            <w:tcBorders>
              <w:top w:val="none" w:sz="6" w:space="0" w:color="auto"/>
              <w:left w:val="none" w:sz="6" w:space="0" w:color="auto"/>
              <w:bottom w:val="none" w:sz="6" w:space="0" w:color="auto"/>
              <w:right w:val="none" w:sz="6" w:space="0" w:color="auto"/>
            </w:tcBorders>
          </w:tcPr>
          <w:p w14:paraId="03641C61"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c>
          <w:tcPr>
            <w:tcW w:w="1009" w:type="dxa"/>
            <w:tcBorders>
              <w:top w:val="none" w:sz="6" w:space="0" w:color="auto"/>
              <w:left w:val="none" w:sz="6" w:space="0" w:color="auto"/>
              <w:bottom w:val="none" w:sz="6" w:space="0" w:color="auto"/>
              <w:right w:val="none" w:sz="6" w:space="0" w:color="auto"/>
            </w:tcBorders>
          </w:tcPr>
          <w:p w14:paraId="32A16292" w14:textId="77777777" w:rsidR="00BD1C17" w:rsidRPr="00BD1C17" w:rsidRDefault="00BD1C17" w:rsidP="00BD1C17">
            <w:pPr>
              <w:kinsoku w:val="0"/>
              <w:overflowPunct w:val="0"/>
              <w:autoSpaceDE w:val="0"/>
              <w:autoSpaceDN w:val="0"/>
              <w:adjustRightInd w:val="0"/>
              <w:spacing w:after="0" w:line="331" w:lineRule="exact"/>
              <w:ind w:left="76" w:right="69"/>
              <w:jc w:val="center"/>
              <w:rPr>
                <w:rFonts w:ascii="Euclid" w:hAnsi="Euclid" w:cs="Euclid"/>
                <w:spacing w:val="-2"/>
                <w:sz w:val="20"/>
                <w:szCs w:val="20"/>
              </w:rPr>
            </w:pPr>
            <w:r w:rsidRPr="00BD1C17">
              <w:rPr>
                <w:rFonts w:ascii="Euclid" w:hAnsi="Euclid" w:cs="Euclid"/>
                <w:spacing w:val="-2"/>
                <w:sz w:val="20"/>
                <w:szCs w:val="20"/>
              </w:rPr>
              <w:t>(0.022)</w:t>
            </w:r>
          </w:p>
        </w:tc>
        <w:tc>
          <w:tcPr>
            <w:tcW w:w="1017" w:type="dxa"/>
            <w:tcBorders>
              <w:top w:val="none" w:sz="6" w:space="0" w:color="auto"/>
              <w:left w:val="none" w:sz="6" w:space="0" w:color="auto"/>
              <w:bottom w:val="none" w:sz="6" w:space="0" w:color="auto"/>
              <w:right w:val="none" w:sz="6" w:space="0" w:color="auto"/>
            </w:tcBorders>
          </w:tcPr>
          <w:p w14:paraId="744F50C1" w14:textId="77777777" w:rsidR="00BD1C17" w:rsidRPr="00BD1C17" w:rsidRDefault="00BD1C17" w:rsidP="00BD1C17">
            <w:pPr>
              <w:kinsoku w:val="0"/>
              <w:overflowPunct w:val="0"/>
              <w:autoSpaceDE w:val="0"/>
              <w:autoSpaceDN w:val="0"/>
              <w:adjustRightInd w:val="0"/>
              <w:spacing w:after="0" w:line="331" w:lineRule="exact"/>
              <w:ind w:left="111" w:right="102"/>
              <w:jc w:val="center"/>
              <w:rPr>
                <w:rFonts w:ascii="Euclid" w:hAnsi="Euclid" w:cs="Euclid"/>
                <w:spacing w:val="-2"/>
                <w:sz w:val="20"/>
                <w:szCs w:val="20"/>
              </w:rPr>
            </w:pPr>
            <w:r w:rsidRPr="00BD1C17">
              <w:rPr>
                <w:rFonts w:ascii="Euclid" w:hAnsi="Euclid" w:cs="Euclid"/>
                <w:spacing w:val="-2"/>
                <w:sz w:val="20"/>
                <w:szCs w:val="20"/>
              </w:rPr>
              <w:t>(0.038)</w:t>
            </w:r>
          </w:p>
        </w:tc>
        <w:tc>
          <w:tcPr>
            <w:tcW w:w="943" w:type="dxa"/>
            <w:tcBorders>
              <w:top w:val="none" w:sz="6" w:space="0" w:color="auto"/>
              <w:left w:val="none" w:sz="6" w:space="0" w:color="auto"/>
              <w:bottom w:val="none" w:sz="6" w:space="0" w:color="auto"/>
              <w:right w:val="none" w:sz="6" w:space="0" w:color="auto"/>
            </w:tcBorders>
          </w:tcPr>
          <w:p w14:paraId="21D9F486" w14:textId="77777777" w:rsidR="00BD1C17" w:rsidRPr="00BD1C17" w:rsidRDefault="00BD1C17" w:rsidP="00BD1C17">
            <w:pPr>
              <w:kinsoku w:val="0"/>
              <w:overflowPunct w:val="0"/>
              <w:autoSpaceDE w:val="0"/>
              <w:autoSpaceDN w:val="0"/>
              <w:adjustRightInd w:val="0"/>
              <w:spacing w:after="0" w:line="331" w:lineRule="exact"/>
              <w:ind w:left="76" w:right="65"/>
              <w:jc w:val="center"/>
              <w:rPr>
                <w:rFonts w:ascii="Euclid" w:hAnsi="Euclid" w:cs="Euclid"/>
                <w:spacing w:val="-2"/>
                <w:sz w:val="20"/>
                <w:szCs w:val="20"/>
              </w:rPr>
            </w:pPr>
            <w:r w:rsidRPr="00BD1C17">
              <w:rPr>
                <w:rFonts w:ascii="Euclid" w:hAnsi="Euclid" w:cs="Euclid"/>
                <w:spacing w:val="-2"/>
                <w:sz w:val="20"/>
                <w:szCs w:val="20"/>
              </w:rPr>
              <w:t>(0.015)</w:t>
            </w:r>
          </w:p>
        </w:tc>
        <w:tc>
          <w:tcPr>
            <w:tcW w:w="1209" w:type="dxa"/>
            <w:tcBorders>
              <w:top w:val="none" w:sz="6" w:space="0" w:color="auto"/>
              <w:left w:val="none" w:sz="6" w:space="0" w:color="auto"/>
              <w:bottom w:val="none" w:sz="6" w:space="0" w:color="auto"/>
              <w:right w:val="none" w:sz="6" w:space="0" w:color="auto"/>
            </w:tcBorders>
          </w:tcPr>
          <w:p w14:paraId="41868E9F" w14:textId="77777777" w:rsidR="00BD1C17" w:rsidRPr="00BD1C17" w:rsidRDefault="00BD1C17" w:rsidP="00BD1C17">
            <w:pPr>
              <w:kinsoku w:val="0"/>
              <w:overflowPunct w:val="0"/>
              <w:autoSpaceDE w:val="0"/>
              <w:autoSpaceDN w:val="0"/>
              <w:adjustRightInd w:val="0"/>
              <w:spacing w:after="0" w:line="331" w:lineRule="exact"/>
              <w:ind w:left="105" w:right="92"/>
              <w:jc w:val="center"/>
              <w:rPr>
                <w:rFonts w:ascii="Euclid" w:hAnsi="Euclid" w:cs="Euclid"/>
                <w:spacing w:val="-2"/>
                <w:sz w:val="20"/>
                <w:szCs w:val="20"/>
              </w:rPr>
            </w:pPr>
            <w:r w:rsidRPr="00BD1C17">
              <w:rPr>
                <w:rFonts w:ascii="Euclid" w:hAnsi="Euclid" w:cs="Euclid"/>
                <w:spacing w:val="-2"/>
                <w:sz w:val="20"/>
                <w:szCs w:val="20"/>
              </w:rPr>
              <w:t>(0.044)</w:t>
            </w:r>
          </w:p>
        </w:tc>
        <w:tc>
          <w:tcPr>
            <w:tcW w:w="1319" w:type="dxa"/>
            <w:tcBorders>
              <w:top w:val="none" w:sz="6" w:space="0" w:color="auto"/>
              <w:left w:val="none" w:sz="6" w:space="0" w:color="auto"/>
              <w:bottom w:val="none" w:sz="6" w:space="0" w:color="auto"/>
              <w:right w:val="none" w:sz="6" w:space="0" w:color="auto"/>
            </w:tcBorders>
          </w:tcPr>
          <w:p w14:paraId="621A50B6" w14:textId="77777777" w:rsidR="00BD1C17" w:rsidRPr="00BD1C17" w:rsidRDefault="00BD1C17" w:rsidP="00BD1C17">
            <w:pPr>
              <w:kinsoku w:val="0"/>
              <w:overflowPunct w:val="0"/>
              <w:autoSpaceDE w:val="0"/>
              <w:autoSpaceDN w:val="0"/>
              <w:adjustRightInd w:val="0"/>
              <w:spacing w:after="0" w:line="331" w:lineRule="exact"/>
              <w:ind w:left="109" w:right="99"/>
              <w:jc w:val="center"/>
              <w:rPr>
                <w:rFonts w:ascii="Euclid" w:hAnsi="Euclid" w:cs="Euclid"/>
                <w:spacing w:val="-2"/>
                <w:sz w:val="20"/>
                <w:szCs w:val="20"/>
              </w:rPr>
            </w:pPr>
            <w:r w:rsidRPr="00BD1C17">
              <w:rPr>
                <w:rFonts w:ascii="Euclid" w:hAnsi="Euclid" w:cs="Euclid"/>
                <w:spacing w:val="-2"/>
                <w:sz w:val="20"/>
                <w:szCs w:val="20"/>
              </w:rPr>
              <w:t>(0.012)</w:t>
            </w:r>
          </w:p>
        </w:tc>
        <w:tc>
          <w:tcPr>
            <w:tcW w:w="1010" w:type="dxa"/>
            <w:tcBorders>
              <w:top w:val="none" w:sz="6" w:space="0" w:color="auto"/>
              <w:left w:val="none" w:sz="6" w:space="0" w:color="auto"/>
              <w:bottom w:val="none" w:sz="6" w:space="0" w:color="auto"/>
              <w:right w:val="none" w:sz="6" w:space="0" w:color="auto"/>
            </w:tcBorders>
          </w:tcPr>
          <w:p w14:paraId="269745FD" w14:textId="77777777" w:rsidR="00BD1C17" w:rsidRPr="00BD1C17" w:rsidRDefault="00BD1C17" w:rsidP="00BD1C17">
            <w:pPr>
              <w:kinsoku w:val="0"/>
              <w:overflowPunct w:val="0"/>
              <w:autoSpaceDE w:val="0"/>
              <w:autoSpaceDN w:val="0"/>
              <w:adjustRightInd w:val="0"/>
              <w:spacing w:after="0" w:line="331" w:lineRule="exact"/>
              <w:ind w:right="189"/>
              <w:jc w:val="right"/>
              <w:rPr>
                <w:rFonts w:ascii="Euclid" w:hAnsi="Euclid" w:cs="Euclid"/>
                <w:spacing w:val="-2"/>
                <w:sz w:val="20"/>
                <w:szCs w:val="20"/>
              </w:rPr>
            </w:pPr>
            <w:r w:rsidRPr="00BD1C17">
              <w:rPr>
                <w:rFonts w:ascii="Euclid" w:hAnsi="Euclid" w:cs="Euclid"/>
                <w:spacing w:val="-2"/>
                <w:sz w:val="20"/>
                <w:szCs w:val="20"/>
              </w:rPr>
              <w:t>(0.009)</w:t>
            </w:r>
          </w:p>
        </w:tc>
        <w:tc>
          <w:tcPr>
            <w:tcW w:w="951" w:type="dxa"/>
            <w:tcBorders>
              <w:top w:val="none" w:sz="6" w:space="0" w:color="auto"/>
              <w:left w:val="none" w:sz="6" w:space="0" w:color="auto"/>
              <w:bottom w:val="none" w:sz="6" w:space="0" w:color="auto"/>
              <w:right w:val="none" w:sz="6" w:space="0" w:color="auto"/>
            </w:tcBorders>
          </w:tcPr>
          <w:p w14:paraId="1464B5A8" w14:textId="77777777" w:rsidR="00BD1C17" w:rsidRPr="00BD1C17" w:rsidRDefault="00BD1C17" w:rsidP="00BD1C17">
            <w:pPr>
              <w:kinsoku w:val="0"/>
              <w:overflowPunct w:val="0"/>
              <w:autoSpaceDE w:val="0"/>
              <w:autoSpaceDN w:val="0"/>
              <w:adjustRightInd w:val="0"/>
              <w:spacing w:after="0" w:line="331" w:lineRule="exact"/>
              <w:ind w:left="80" w:right="61"/>
              <w:jc w:val="center"/>
              <w:rPr>
                <w:rFonts w:ascii="Euclid" w:hAnsi="Euclid" w:cs="Euclid"/>
                <w:spacing w:val="-2"/>
                <w:sz w:val="20"/>
                <w:szCs w:val="20"/>
              </w:rPr>
            </w:pPr>
            <w:r w:rsidRPr="00BD1C17">
              <w:rPr>
                <w:rFonts w:ascii="Euclid" w:hAnsi="Euclid" w:cs="Euclid"/>
                <w:spacing w:val="-2"/>
                <w:sz w:val="20"/>
                <w:szCs w:val="20"/>
              </w:rPr>
              <w:t>(0.014)</w:t>
            </w:r>
          </w:p>
        </w:tc>
        <w:tc>
          <w:tcPr>
            <w:tcW w:w="848" w:type="dxa"/>
            <w:tcBorders>
              <w:top w:val="none" w:sz="6" w:space="0" w:color="auto"/>
              <w:left w:val="none" w:sz="6" w:space="0" w:color="auto"/>
              <w:bottom w:val="none" w:sz="6" w:space="0" w:color="auto"/>
              <w:right w:val="none" w:sz="6" w:space="0" w:color="auto"/>
            </w:tcBorders>
          </w:tcPr>
          <w:p w14:paraId="7699B117" w14:textId="77777777" w:rsidR="00BD1C17" w:rsidRPr="00BD1C17" w:rsidRDefault="00BD1C17" w:rsidP="00BD1C17">
            <w:pPr>
              <w:kinsoku w:val="0"/>
              <w:overflowPunct w:val="0"/>
              <w:autoSpaceDE w:val="0"/>
              <w:autoSpaceDN w:val="0"/>
              <w:adjustRightInd w:val="0"/>
              <w:spacing w:after="0" w:line="331" w:lineRule="exact"/>
              <w:ind w:left="113" w:right="96"/>
              <w:jc w:val="center"/>
              <w:rPr>
                <w:rFonts w:ascii="Euclid" w:hAnsi="Euclid" w:cs="Euclid"/>
                <w:spacing w:val="-2"/>
                <w:sz w:val="20"/>
                <w:szCs w:val="20"/>
              </w:rPr>
            </w:pPr>
            <w:r w:rsidRPr="00BD1C17">
              <w:rPr>
                <w:rFonts w:ascii="Euclid" w:hAnsi="Euclid" w:cs="Euclid"/>
                <w:spacing w:val="-2"/>
                <w:sz w:val="20"/>
                <w:szCs w:val="20"/>
              </w:rPr>
              <w:t>(0.023)</w:t>
            </w:r>
          </w:p>
        </w:tc>
      </w:tr>
      <w:tr w:rsidR="00BD1C17" w:rsidRPr="00BD1C17" w14:paraId="43B56DDB" w14:textId="77777777" w:rsidTr="00964366">
        <w:trPr>
          <w:trHeight w:val="474"/>
        </w:trPr>
        <w:tc>
          <w:tcPr>
            <w:tcW w:w="1529" w:type="dxa"/>
            <w:tcBorders>
              <w:top w:val="none" w:sz="6" w:space="0" w:color="auto"/>
              <w:left w:val="none" w:sz="6" w:space="0" w:color="auto"/>
              <w:bottom w:val="none" w:sz="6" w:space="0" w:color="auto"/>
              <w:right w:val="none" w:sz="6" w:space="0" w:color="auto"/>
            </w:tcBorders>
          </w:tcPr>
          <w:p w14:paraId="03E55F5B" w14:textId="77777777" w:rsidR="00BD1C17" w:rsidRPr="00BD1C17" w:rsidRDefault="00BD1C17" w:rsidP="00BD1C17">
            <w:pPr>
              <w:kinsoku w:val="0"/>
              <w:overflowPunct w:val="0"/>
              <w:autoSpaceDE w:val="0"/>
              <w:autoSpaceDN w:val="0"/>
              <w:adjustRightInd w:val="0"/>
              <w:spacing w:before="114" w:after="0" w:line="240" w:lineRule="auto"/>
              <w:ind w:left="119"/>
              <w:rPr>
                <w:rFonts w:ascii="Euclid" w:hAnsi="Euclid" w:cs="Euclid"/>
                <w:spacing w:val="-4"/>
                <w:sz w:val="20"/>
                <w:szCs w:val="20"/>
              </w:rPr>
            </w:pPr>
            <w:r w:rsidRPr="00BD1C17">
              <w:rPr>
                <w:rFonts w:ascii="Euclid" w:hAnsi="Euclid" w:cs="Euclid"/>
                <w:spacing w:val="-4"/>
                <w:sz w:val="20"/>
                <w:szCs w:val="20"/>
              </w:rPr>
              <w:t>DDD</w:t>
            </w:r>
          </w:p>
        </w:tc>
        <w:tc>
          <w:tcPr>
            <w:tcW w:w="1009" w:type="dxa"/>
            <w:tcBorders>
              <w:top w:val="none" w:sz="6" w:space="0" w:color="auto"/>
              <w:left w:val="none" w:sz="6" w:space="0" w:color="auto"/>
              <w:bottom w:val="none" w:sz="6" w:space="0" w:color="auto"/>
              <w:right w:val="none" w:sz="6" w:space="0" w:color="auto"/>
            </w:tcBorders>
          </w:tcPr>
          <w:p w14:paraId="1187DD0F" w14:textId="77777777" w:rsidR="00BD1C17" w:rsidRPr="00BD1C17" w:rsidRDefault="00BD1C17" w:rsidP="00BD1C17">
            <w:pPr>
              <w:kinsoku w:val="0"/>
              <w:overflowPunct w:val="0"/>
              <w:autoSpaceDE w:val="0"/>
              <w:autoSpaceDN w:val="0"/>
              <w:adjustRightInd w:val="0"/>
              <w:spacing w:before="114" w:after="0" w:line="240" w:lineRule="auto"/>
              <w:ind w:left="75" w:right="77"/>
              <w:jc w:val="center"/>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0.070</w:t>
            </w:r>
            <w:r w:rsidRPr="00BD1C17">
              <w:rPr>
                <w:rFonts w:ascii="Lucida Sans Unicode" w:hAnsi="Lucida Sans Unicode" w:cs="Lucida Sans Unicode"/>
                <w:spacing w:val="-2"/>
                <w:sz w:val="20"/>
                <w:szCs w:val="20"/>
                <w:vertAlign w:val="superscript"/>
              </w:rPr>
              <w:t>∗∗</w:t>
            </w:r>
          </w:p>
        </w:tc>
        <w:tc>
          <w:tcPr>
            <w:tcW w:w="1017" w:type="dxa"/>
            <w:tcBorders>
              <w:top w:val="none" w:sz="6" w:space="0" w:color="auto"/>
              <w:left w:val="none" w:sz="6" w:space="0" w:color="auto"/>
              <w:bottom w:val="none" w:sz="6" w:space="0" w:color="auto"/>
              <w:right w:val="none" w:sz="6" w:space="0" w:color="auto"/>
            </w:tcBorders>
          </w:tcPr>
          <w:p w14:paraId="243853DD" w14:textId="77777777" w:rsidR="00BD1C17" w:rsidRPr="00BD1C17" w:rsidRDefault="00BD1C17" w:rsidP="00BD1C17">
            <w:pPr>
              <w:kinsoku w:val="0"/>
              <w:overflowPunct w:val="0"/>
              <w:autoSpaceDE w:val="0"/>
              <w:autoSpaceDN w:val="0"/>
              <w:adjustRightInd w:val="0"/>
              <w:spacing w:before="114" w:after="0" w:line="240" w:lineRule="auto"/>
              <w:ind w:left="105" w:right="105"/>
              <w:jc w:val="center"/>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0.097</w:t>
            </w:r>
            <w:r w:rsidRPr="00BD1C17">
              <w:rPr>
                <w:rFonts w:ascii="Lucida Sans Unicode" w:hAnsi="Lucida Sans Unicode" w:cs="Lucida Sans Unicode"/>
                <w:spacing w:val="-2"/>
                <w:sz w:val="20"/>
                <w:szCs w:val="20"/>
                <w:vertAlign w:val="superscript"/>
              </w:rPr>
              <w:t>∗∗</w:t>
            </w:r>
          </w:p>
        </w:tc>
        <w:tc>
          <w:tcPr>
            <w:tcW w:w="943" w:type="dxa"/>
            <w:tcBorders>
              <w:top w:val="none" w:sz="6" w:space="0" w:color="auto"/>
              <w:left w:val="none" w:sz="6" w:space="0" w:color="auto"/>
              <w:bottom w:val="none" w:sz="6" w:space="0" w:color="auto"/>
              <w:right w:val="none" w:sz="6" w:space="0" w:color="auto"/>
            </w:tcBorders>
          </w:tcPr>
          <w:p w14:paraId="1FF5FD77" w14:textId="77777777" w:rsidR="00BD1C17" w:rsidRPr="00BD1C17" w:rsidRDefault="00BD1C17" w:rsidP="00BD1C17">
            <w:pPr>
              <w:kinsoku w:val="0"/>
              <w:overflowPunct w:val="0"/>
              <w:autoSpaceDE w:val="0"/>
              <w:autoSpaceDN w:val="0"/>
              <w:adjustRightInd w:val="0"/>
              <w:spacing w:before="114" w:after="0" w:line="240" w:lineRule="auto"/>
              <w:ind w:left="76" w:right="76"/>
              <w:jc w:val="center"/>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0.090</w:t>
            </w:r>
            <w:r w:rsidRPr="00BD1C17">
              <w:rPr>
                <w:rFonts w:ascii="Lucida Sans Unicode" w:hAnsi="Lucida Sans Unicode" w:cs="Lucida Sans Unicode"/>
                <w:spacing w:val="-2"/>
                <w:sz w:val="20"/>
                <w:szCs w:val="20"/>
                <w:vertAlign w:val="superscript"/>
              </w:rPr>
              <w:t>∗∗∗</w:t>
            </w:r>
          </w:p>
        </w:tc>
        <w:tc>
          <w:tcPr>
            <w:tcW w:w="1209" w:type="dxa"/>
            <w:tcBorders>
              <w:top w:val="none" w:sz="6" w:space="0" w:color="auto"/>
              <w:left w:val="none" w:sz="6" w:space="0" w:color="auto"/>
              <w:bottom w:val="none" w:sz="6" w:space="0" w:color="auto"/>
              <w:right w:val="none" w:sz="6" w:space="0" w:color="auto"/>
            </w:tcBorders>
          </w:tcPr>
          <w:p w14:paraId="3B09826A" w14:textId="77777777" w:rsidR="00BD1C17" w:rsidRPr="00BD1C17" w:rsidRDefault="00BD1C17" w:rsidP="00BD1C17">
            <w:pPr>
              <w:kinsoku w:val="0"/>
              <w:overflowPunct w:val="0"/>
              <w:autoSpaceDE w:val="0"/>
              <w:autoSpaceDN w:val="0"/>
              <w:adjustRightInd w:val="0"/>
              <w:spacing w:before="114" w:after="0" w:line="240" w:lineRule="auto"/>
              <w:ind w:left="97" w:right="98"/>
              <w:jc w:val="center"/>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0.204</w:t>
            </w:r>
            <w:r w:rsidRPr="00BD1C17">
              <w:rPr>
                <w:rFonts w:ascii="Lucida Sans Unicode" w:hAnsi="Lucida Sans Unicode" w:cs="Lucida Sans Unicode"/>
                <w:spacing w:val="-2"/>
                <w:sz w:val="20"/>
                <w:szCs w:val="20"/>
                <w:vertAlign w:val="superscript"/>
              </w:rPr>
              <w:t>∗∗∗</w:t>
            </w:r>
          </w:p>
        </w:tc>
        <w:tc>
          <w:tcPr>
            <w:tcW w:w="1319" w:type="dxa"/>
            <w:tcBorders>
              <w:top w:val="none" w:sz="6" w:space="0" w:color="auto"/>
              <w:left w:val="none" w:sz="6" w:space="0" w:color="auto"/>
              <w:bottom w:val="none" w:sz="6" w:space="0" w:color="auto"/>
              <w:right w:val="none" w:sz="6" w:space="0" w:color="auto"/>
            </w:tcBorders>
          </w:tcPr>
          <w:p w14:paraId="76DD0195" w14:textId="77777777" w:rsidR="00BD1C17" w:rsidRPr="00BD1C17" w:rsidRDefault="00BD1C17" w:rsidP="00BD1C17">
            <w:pPr>
              <w:kinsoku w:val="0"/>
              <w:overflowPunct w:val="0"/>
              <w:autoSpaceDE w:val="0"/>
              <w:autoSpaceDN w:val="0"/>
              <w:adjustRightInd w:val="0"/>
              <w:spacing w:before="114" w:after="0" w:line="240" w:lineRule="auto"/>
              <w:ind w:left="105" w:right="108"/>
              <w:jc w:val="center"/>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0.061</w:t>
            </w:r>
            <w:r w:rsidRPr="00BD1C17">
              <w:rPr>
                <w:rFonts w:ascii="Lucida Sans Unicode" w:hAnsi="Lucida Sans Unicode" w:cs="Lucida Sans Unicode"/>
                <w:spacing w:val="-2"/>
                <w:sz w:val="20"/>
                <w:szCs w:val="20"/>
                <w:vertAlign w:val="superscript"/>
              </w:rPr>
              <w:t>∗∗∗</w:t>
            </w:r>
          </w:p>
        </w:tc>
        <w:tc>
          <w:tcPr>
            <w:tcW w:w="1010" w:type="dxa"/>
            <w:tcBorders>
              <w:top w:val="none" w:sz="6" w:space="0" w:color="auto"/>
              <w:left w:val="none" w:sz="6" w:space="0" w:color="auto"/>
              <w:bottom w:val="none" w:sz="6" w:space="0" w:color="auto"/>
              <w:right w:val="none" w:sz="6" w:space="0" w:color="auto"/>
            </w:tcBorders>
          </w:tcPr>
          <w:p w14:paraId="1792B29C" w14:textId="77777777" w:rsidR="00BD1C17" w:rsidRPr="00BD1C17" w:rsidRDefault="00BD1C17" w:rsidP="00BD1C17">
            <w:pPr>
              <w:kinsoku w:val="0"/>
              <w:overflowPunct w:val="0"/>
              <w:autoSpaceDE w:val="0"/>
              <w:autoSpaceDN w:val="0"/>
              <w:adjustRightInd w:val="0"/>
              <w:spacing w:before="114" w:after="0" w:line="240" w:lineRule="auto"/>
              <w:ind w:right="154"/>
              <w:jc w:val="right"/>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0.089</w:t>
            </w:r>
            <w:r w:rsidRPr="00BD1C17">
              <w:rPr>
                <w:rFonts w:ascii="Lucida Sans Unicode" w:hAnsi="Lucida Sans Unicode" w:cs="Lucida Sans Unicode"/>
                <w:spacing w:val="-2"/>
                <w:sz w:val="20"/>
                <w:szCs w:val="20"/>
                <w:vertAlign w:val="superscript"/>
              </w:rPr>
              <w:t>∗∗∗</w:t>
            </w:r>
          </w:p>
        </w:tc>
        <w:tc>
          <w:tcPr>
            <w:tcW w:w="951" w:type="dxa"/>
            <w:tcBorders>
              <w:top w:val="none" w:sz="6" w:space="0" w:color="auto"/>
              <w:left w:val="none" w:sz="6" w:space="0" w:color="auto"/>
              <w:bottom w:val="none" w:sz="6" w:space="0" w:color="auto"/>
              <w:right w:val="none" w:sz="6" w:space="0" w:color="auto"/>
            </w:tcBorders>
          </w:tcPr>
          <w:p w14:paraId="71DAB959" w14:textId="77777777" w:rsidR="00BD1C17" w:rsidRPr="00BD1C17" w:rsidRDefault="00BD1C17" w:rsidP="00BD1C17">
            <w:pPr>
              <w:kinsoku w:val="0"/>
              <w:overflowPunct w:val="0"/>
              <w:autoSpaceDE w:val="0"/>
              <w:autoSpaceDN w:val="0"/>
              <w:adjustRightInd w:val="0"/>
              <w:spacing w:before="114" w:after="0" w:line="240" w:lineRule="auto"/>
              <w:ind w:left="80" w:right="80"/>
              <w:jc w:val="center"/>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0.155</w:t>
            </w:r>
            <w:r w:rsidRPr="00BD1C17">
              <w:rPr>
                <w:rFonts w:ascii="Lucida Sans Unicode" w:hAnsi="Lucida Sans Unicode" w:cs="Lucida Sans Unicode"/>
                <w:spacing w:val="-2"/>
                <w:sz w:val="20"/>
                <w:szCs w:val="20"/>
                <w:vertAlign w:val="superscript"/>
              </w:rPr>
              <w:t>∗∗∗</w:t>
            </w:r>
          </w:p>
        </w:tc>
        <w:tc>
          <w:tcPr>
            <w:tcW w:w="848" w:type="dxa"/>
            <w:tcBorders>
              <w:top w:val="none" w:sz="6" w:space="0" w:color="auto"/>
              <w:left w:val="none" w:sz="6" w:space="0" w:color="auto"/>
              <w:bottom w:val="none" w:sz="6" w:space="0" w:color="auto"/>
              <w:right w:val="none" w:sz="6" w:space="0" w:color="auto"/>
            </w:tcBorders>
          </w:tcPr>
          <w:p w14:paraId="6F0591C0" w14:textId="77777777" w:rsidR="00BD1C17" w:rsidRPr="00BD1C17" w:rsidRDefault="00BD1C17" w:rsidP="00BD1C17">
            <w:pPr>
              <w:kinsoku w:val="0"/>
              <w:overflowPunct w:val="0"/>
              <w:autoSpaceDE w:val="0"/>
              <w:autoSpaceDN w:val="0"/>
              <w:adjustRightInd w:val="0"/>
              <w:spacing w:before="114" w:after="0" w:line="240" w:lineRule="auto"/>
              <w:ind w:left="95" w:right="96"/>
              <w:jc w:val="center"/>
              <w:rPr>
                <w:rFonts w:ascii="Lucida Sans Unicode" w:hAnsi="Lucida Sans Unicode" w:cs="Lucida Sans Unicode"/>
                <w:spacing w:val="-2"/>
                <w:sz w:val="20"/>
                <w:szCs w:val="20"/>
                <w:vertAlign w:val="superscript"/>
              </w:rPr>
            </w:pPr>
            <w:r w:rsidRPr="00BD1C17">
              <w:rPr>
                <w:rFonts w:ascii="Euclid" w:hAnsi="Euclid" w:cs="Euclid"/>
                <w:spacing w:val="-2"/>
                <w:sz w:val="20"/>
                <w:szCs w:val="20"/>
              </w:rPr>
              <w:t>0.074</w:t>
            </w:r>
            <w:r w:rsidRPr="00BD1C17">
              <w:rPr>
                <w:rFonts w:ascii="Lucida Sans Unicode" w:hAnsi="Lucida Sans Unicode" w:cs="Lucida Sans Unicode"/>
                <w:spacing w:val="-2"/>
                <w:sz w:val="20"/>
                <w:szCs w:val="20"/>
                <w:vertAlign w:val="superscript"/>
              </w:rPr>
              <w:t>∗</w:t>
            </w:r>
          </w:p>
        </w:tc>
      </w:tr>
      <w:tr w:rsidR="00BD1C17" w:rsidRPr="00BD1C17" w14:paraId="338E7ECF" w14:textId="77777777" w:rsidTr="00964366">
        <w:trPr>
          <w:trHeight w:val="335"/>
        </w:trPr>
        <w:tc>
          <w:tcPr>
            <w:tcW w:w="1529" w:type="dxa"/>
            <w:tcBorders>
              <w:top w:val="none" w:sz="6" w:space="0" w:color="auto"/>
              <w:left w:val="none" w:sz="6" w:space="0" w:color="auto"/>
              <w:bottom w:val="single" w:sz="4" w:space="0" w:color="000000"/>
              <w:right w:val="none" w:sz="6" w:space="0" w:color="auto"/>
            </w:tcBorders>
          </w:tcPr>
          <w:p w14:paraId="2244552F" w14:textId="77777777" w:rsidR="00BD1C17" w:rsidRPr="00BD1C17" w:rsidRDefault="00BD1C17" w:rsidP="00BD1C17">
            <w:pPr>
              <w:kinsoku w:val="0"/>
              <w:overflowPunct w:val="0"/>
              <w:autoSpaceDE w:val="0"/>
              <w:autoSpaceDN w:val="0"/>
              <w:adjustRightInd w:val="0"/>
              <w:spacing w:after="0" w:line="240" w:lineRule="auto"/>
              <w:rPr>
                <w:rFonts w:ascii="Times New Roman" w:hAnsi="Times New Roman" w:cs="Times New Roman"/>
                <w:sz w:val="18"/>
                <w:szCs w:val="18"/>
              </w:rPr>
            </w:pPr>
          </w:p>
        </w:tc>
        <w:tc>
          <w:tcPr>
            <w:tcW w:w="1009" w:type="dxa"/>
            <w:tcBorders>
              <w:top w:val="none" w:sz="6" w:space="0" w:color="auto"/>
              <w:left w:val="none" w:sz="6" w:space="0" w:color="auto"/>
              <w:bottom w:val="single" w:sz="4" w:space="0" w:color="000000"/>
              <w:right w:val="none" w:sz="6" w:space="0" w:color="auto"/>
            </w:tcBorders>
          </w:tcPr>
          <w:p w14:paraId="3284B1C2" w14:textId="77777777" w:rsidR="00BD1C17" w:rsidRPr="00BD1C17" w:rsidRDefault="00BD1C17" w:rsidP="00BD1C17">
            <w:pPr>
              <w:kinsoku w:val="0"/>
              <w:overflowPunct w:val="0"/>
              <w:autoSpaceDE w:val="0"/>
              <w:autoSpaceDN w:val="0"/>
              <w:adjustRightInd w:val="0"/>
              <w:spacing w:after="0" w:line="316" w:lineRule="exact"/>
              <w:ind w:left="76" w:right="69"/>
              <w:jc w:val="center"/>
              <w:rPr>
                <w:rFonts w:ascii="Euclid" w:hAnsi="Euclid" w:cs="Euclid"/>
                <w:spacing w:val="-2"/>
                <w:sz w:val="20"/>
                <w:szCs w:val="20"/>
              </w:rPr>
            </w:pPr>
            <w:r w:rsidRPr="00BD1C17">
              <w:rPr>
                <w:rFonts w:ascii="Euclid" w:hAnsi="Euclid" w:cs="Euclid"/>
                <w:spacing w:val="-2"/>
                <w:sz w:val="20"/>
                <w:szCs w:val="20"/>
              </w:rPr>
              <w:t>(0.028)</w:t>
            </w:r>
          </w:p>
        </w:tc>
        <w:tc>
          <w:tcPr>
            <w:tcW w:w="1017" w:type="dxa"/>
            <w:tcBorders>
              <w:top w:val="none" w:sz="6" w:space="0" w:color="auto"/>
              <w:left w:val="none" w:sz="6" w:space="0" w:color="auto"/>
              <w:bottom w:val="single" w:sz="4" w:space="0" w:color="000000"/>
              <w:right w:val="none" w:sz="6" w:space="0" w:color="auto"/>
            </w:tcBorders>
          </w:tcPr>
          <w:p w14:paraId="27A43678" w14:textId="77777777" w:rsidR="00BD1C17" w:rsidRPr="00BD1C17" w:rsidRDefault="00BD1C17" w:rsidP="00BD1C17">
            <w:pPr>
              <w:kinsoku w:val="0"/>
              <w:overflowPunct w:val="0"/>
              <w:autoSpaceDE w:val="0"/>
              <w:autoSpaceDN w:val="0"/>
              <w:adjustRightInd w:val="0"/>
              <w:spacing w:after="0" w:line="316" w:lineRule="exact"/>
              <w:ind w:left="111" w:right="102"/>
              <w:jc w:val="center"/>
              <w:rPr>
                <w:rFonts w:ascii="Euclid" w:hAnsi="Euclid" w:cs="Euclid"/>
                <w:spacing w:val="-2"/>
                <w:sz w:val="20"/>
                <w:szCs w:val="20"/>
              </w:rPr>
            </w:pPr>
            <w:r w:rsidRPr="00BD1C17">
              <w:rPr>
                <w:rFonts w:ascii="Euclid" w:hAnsi="Euclid" w:cs="Euclid"/>
                <w:spacing w:val="-2"/>
                <w:sz w:val="20"/>
                <w:szCs w:val="20"/>
              </w:rPr>
              <w:t>(0.037)</w:t>
            </w:r>
          </w:p>
        </w:tc>
        <w:tc>
          <w:tcPr>
            <w:tcW w:w="943" w:type="dxa"/>
            <w:tcBorders>
              <w:top w:val="none" w:sz="6" w:space="0" w:color="auto"/>
              <w:left w:val="none" w:sz="6" w:space="0" w:color="auto"/>
              <w:bottom w:val="single" w:sz="4" w:space="0" w:color="000000"/>
              <w:right w:val="none" w:sz="6" w:space="0" w:color="auto"/>
            </w:tcBorders>
          </w:tcPr>
          <w:p w14:paraId="61CA6F03" w14:textId="77777777" w:rsidR="00BD1C17" w:rsidRPr="00BD1C17" w:rsidRDefault="00BD1C17" w:rsidP="00BD1C17">
            <w:pPr>
              <w:kinsoku w:val="0"/>
              <w:overflowPunct w:val="0"/>
              <w:autoSpaceDE w:val="0"/>
              <w:autoSpaceDN w:val="0"/>
              <w:adjustRightInd w:val="0"/>
              <w:spacing w:after="0" w:line="316" w:lineRule="exact"/>
              <w:ind w:left="76" w:right="65"/>
              <w:jc w:val="center"/>
              <w:rPr>
                <w:rFonts w:ascii="Euclid" w:hAnsi="Euclid" w:cs="Euclid"/>
                <w:spacing w:val="-2"/>
                <w:sz w:val="20"/>
                <w:szCs w:val="20"/>
              </w:rPr>
            </w:pPr>
            <w:r w:rsidRPr="00BD1C17">
              <w:rPr>
                <w:rFonts w:ascii="Euclid" w:hAnsi="Euclid" w:cs="Euclid"/>
                <w:spacing w:val="-2"/>
                <w:sz w:val="20"/>
                <w:szCs w:val="20"/>
              </w:rPr>
              <w:t>(0.022)</w:t>
            </w:r>
          </w:p>
        </w:tc>
        <w:tc>
          <w:tcPr>
            <w:tcW w:w="1209" w:type="dxa"/>
            <w:tcBorders>
              <w:top w:val="none" w:sz="6" w:space="0" w:color="auto"/>
              <w:left w:val="none" w:sz="6" w:space="0" w:color="auto"/>
              <w:bottom w:val="single" w:sz="4" w:space="0" w:color="000000"/>
              <w:right w:val="none" w:sz="6" w:space="0" w:color="auto"/>
            </w:tcBorders>
          </w:tcPr>
          <w:p w14:paraId="2E11A2A1" w14:textId="77777777" w:rsidR="00BD1C17" w:rsidRPr="00BD1C17" w:rsidRDefault="00BD1C17" w:rsidP="00BD1C17">
            <w:pPr>
              <w:kinsoku w:val="0"/>
              <w:overflowPunct w:val="0"/>
              <w:autoSpaceDE w:val="0"/>
              <w:autoSpaceDN w:val="0"/>
              <w:adjustRightInd w:val="0"/>
              <w:spacing w:after="0" w:line="316" w:lineRule="exact"/>
              <w:ind w:left="105" w:right="92"/>
              <w:jc w:val="center"/>
              <w:rPr>
                <w:rFonts w:ascii="Euclid" w:hAnsi="Euclid" w:cs="Euclid"/>
                <w:spacing w:val="-2"/>
                <w:sz w:val="20"/>
                <w:szCs w:val="20"/>
              </w:rPr>
            </w:pPr>
            <w:r w:rsidRPr="00BD1C17">
              <w:rPr>
                <w:rFonts w:ascii="Euclid" w:hAnsi="Euclid" w:cs="Euclid"/>
                <w:spacing w:val="-2"/>
                <w:sz w:val="20"/>
                <w:szCs w:val="20"/>
              </w:rPr>
              <w:t>(0.065)</w:t>
            </w:r>
          </w:p>
        </w:tc>
        <w:tc>
          <w:tcPr>
            <w:tcW w:w="1319" w:type="dxa"/>
            <w:tcBorders>
              <w:top w:val="none" w:sz="6" w:space="0" w:color="auto"/>
              <w:left w:val="none" w:sz="6" w:space="0" w:color="auto"/>
              <w:bottom w:val="single" w:sz="4" w:space="0" w:color="000000"/>
              <w:right w:val="none" w:sz="6" w:space="0" w:color="auto"/>
            </w:tcBorders>
          </w:tcPr>
          <w:p w14:paraId="7598BA79" w14:textId="77777777" w:rsidR="00BD1C17" w:rsidRPr="00BD1C17" w:rsidRDefault="00BD1C17" w:rsidP="00BD1C17">
            <w:pPr>
              <w:kinsoku w:val="0"/>
              <w:overflowPunct w:val="0"/>
              <w:autoSpaceDE w:val="0"/>
              <w:autoSpaceDN w:val="0"/>
              <w:adjustRightInd w:val="0"/>
              <w:spacing w:after="0" w:line="316" w:lineRule="exact"/>
              <w:ind w:left="109" w:right="99"/>
              <w:jc w:val="center"/>
              <w:rPr>
                <w:rFonts w:ascii="Euclid" w:hAnsi="Euclid" w:cs="Euclid"/>
                <w:spacing w:val="-2"/>
                <w:sz w:val="20"/>
                <w:szCs w:val="20"/>
              </w:rPr>
            </w:pPr>
            <w:r w:rsidRPr="00BD1C17">
              <w:rPr>
                <w:rFonts w:ascii="Euclid" w:hAnsi="Euclid" w:cs="Euclid"/>
                <w:spacing w:val="-2"/>
                <w:sz w:val="20"/>
                <w:szCs w:val="20"/>
              </w:rPr>
              <w:t>(0.021)</w:t>
            </w:r>
          </w:p>
        </w:tc>
        <w:tc>
          <w:tcPr>
            <w:tcW w:w="1010" w:type="dxa"/>
            <w:tcBorders>
              <w:top w:val="none" w:sz="6" w:space="0" w:color="auto"/>
              <w:left w:val="none" w:sz="6" w:space="0" w:color="auto"/>
              <w:bottom w:val="single" w:sz="4" w:space="0" w:color="000000"/>
              <w:right w:val="none" w:sz="6" w:space="0" w:color="auto"/>
            </w:tcBorders>
          </w:tcPr>
          <w:p w14:paraId="7F36B8CD" w14:textId="77777777" w:rsidR="00BD1C17" w:rsidRPr="00BD1C17" w:rsidRDefault="00BD1C17" w:rsidP="00BD1C17">
            <w:pPr>
              <w:kinsoku w:val="0"/>
              <w:overflowPunct w:val="0"/>
              <w:autoSpaceDE w:val="0"/>
              <w:autoSpaceDN w:val="0"/>
              <w:adjustRightInd w:val="0"/>
              <w:spacing w:after="0" w:line="316" w:lineRule="exact"/>
              <w:ind w:right="189"/>
              <w:jc w:val="right"/>
              <w:rPr>
                <w:rFonts w:ascii="Euclid" w:hAnsi="Euclid" w:cs="Euclid"/>
                <w:spacing w:val="-2"/>
                <w:sz w:val="20"/>
                <w:szCs w:val="20"/>
              </w:rPr>
            </w:pPr>
            <w:r w:rsidRPr="00BD1C17">
              <w:rPr>
                <w:rFonts w:ascii="Euclid" w:hAnsi="Euclid" w:cs="Euclid"/>
                <w:spacing w:val="-2"/>
                <w:sz w:val="20"/>
                <w:szCs w:val="20"/>
              </w:rPr>
              <w:t>(0.012)</w:t>
            </w:r>
          </w:p>
        </w:tc>
        <w:tc>
          <w:tcPr>
            <w:tcW w:w="951" w:type="dxa"/>
            <w:tcBorders>
              <w:top w:val="none" w:sz="6" w:space="0" w:color="auto"/>
              <w:left w:val="none" w:sz="6" w:space="0" w:color="auto"/>
              <w:bottom w:val="single" w:sz="4" w:space="0" w:color="000000"/>
              <w:right w:val="none" w:sz="6" w:space="0" w:color="auto"/>
            </w:tcBorders>
          </w:tcPr>
          <w:p w14:paraId="715C929F" w14:textId="77777777" w:rsidR="00BD1C17" w:rsidRPr="00BD1C17" w:rsidRDefault="00BD1C17" w:rsidP="00BD1C17">
            <w:pPr>
              <w:kinsoku w:val="0"/>
              <w:overflowPunct w:val="0"/>
              <w:autoSpaceDE w:val="0"/>
              <w:autoSpaceDN w:val="0"/>
              <w:adjustRightInd w:val="0"/>
              <w:spacing w:after="0" w:line="316" w:lineRule="exact"/>
              <w:ind w:left="80" w:right="61"/>
              <w:jc w:val="center"/>
              <w:rPr>
                <w:rFonts w:ascii="Euclid" w:hAnsi="Euclid" w:cs="Euclid"/>
                <w:spacing w:val="-2"/>
                <w:sz w:val="20"/>
                <w:szCs w:val="20"/>
              </w:rPr>
            </w:pPr>
            <w:r w:rsidRPr="00BD1C17">
              <w:rPr>
                <w:rFonts w:ascii="Euclid" w:hAnsi="Euclid" w:cs="Euclid"/>
                <w:spacing w:val="-2"/>
                <w:sz w:val="20"/>
                <w:szCs w:val="20"/>
              </w:rPr>
              <w:t>(0.032)</w:t>
            </w:r>
          </w:p>
        </w:tc>
        <w:tc>
          <w:tcPr>
            <w:tcW w:w="848" w:type="dxa"/>
            <w:tcBorders>
              <w:top w:val="none" w:sz="6" w:space="0" w:color="auto"/>
              <w:left w:val="none" w:sz="6" w:space="0" w:color="auto"/>
              <w:bottom w:val="single" w:sz="4" w:space="0" w:color="000000"/>
              <w:right w:val="none" w:sz="6" w:space="0" w:color="auto"/>
            </w:tcBorders>
          </w:tcPr>
          <w:p w14:paraId="0771CB3C" w14:textId="77777777" w:rsidR="00BD1C17" w:rsidRPr="00BD1C17" w:rsidRDefault="00BD1C17" w:rsidP="00BD1C17">
            <w:pPr>
              <w:kinsoku w:val="0"/>
              <w:overflowPunct w:val="0"/>
              <w:autoSpaceDE w:val="0"/>
              <w:autoSpaceDN w:val="0"/>
              <w:adjustRightInd w:val="0"/>
              <w:spacing w:after="0" w:line="316" w:lineRule="exact"/>
              <w:ind w:left="113" w:right="96"/>
              <w:jc w:val="center"/>
              <w:rPr>
                <w:rFonts w:ascii="Euclid" w:hAnsi="Euclid" w:cs="Euclid"/>
                <w:spacing w:val="-2"/>
                <w:sz w:val="20"/>
                <w:szCs w:val="20"/>
              </w:rPr>
            </w:pPr>
            <w:r w:rsidRPr="00BD1C17">
              <w:rPr>
                <w:rFonts w:ascii="Euclid" w:hAnsi="Euclid" w:cs="Euclid"/>
                <w:spacing w:val="-2"/>
                <w:sz w:val="20"/>
                <w:szCs w:val="20"/>
              </w:rPr>
              <w:t>(0.037)</w:t>
            </w:r>
          </w:p>
        </w:tc>
      </w:tr>
      <w:tr w:rsidR="00BD1C17" w:rsidRPr="00BD1C17" w14:paraId="6412FAEB" w14:textId="77777777" w:rsidTr="00964366">
        <w:trPr>
          <w:trHeight w:val="365"/>
        </w:trPr>
        <w:tc>
          <w:tcPr>
            <w:tcW w:w="1529" w:type="dxa"/>
            <w:tcBorders>
              <w:top w:val="single" w:sz="4" w:space="0" w:color="000000"/>
              <w:left w:val="none" w:sz="6" w:space="0" w:color="auto"/>
              <w:bottom w:val="none" w:sz="6" w:space="0" w:color="auto"/>
              <w:right w:val="none" w:sz="6" w:space="0" w:color="auto"/>
            </w:tcBorders>
          </w:tcPr>
          <w:p w14:paraId="6D86E271" w14:textId="77777777" w:rsidR="00BD1C17" w:rsidRPr="00BD1C17" w:rsidRDefault="00BD1C17" w:rsidP="00BD1C17">
            <w:pPr>
              <w:kinsoku w:val="0"/>
              <w:overflowPunct w:val="0"/>
              <w:autoSpaceDE w:val="0"/>
              <w:autoSpaceDN w:val="0"/>
              <w:adjustRightInd w:val="0"/>
              <w:spacing w:before="19" w:after="0" w:line="327" w:lineRule="exact"/>
              <w:ind w:left="119"/>
              <w:rPr>
                <w:rFonts w:ascii="Euclid" w:hAnsi="Euclid" w:cs="Euclid"/>
                <w:w w:val="99"/>
                <w:sz w:val="20"/>
                <w:szCs w:val="20"/>
              </w:rPr>
            </w:pPr>
            <w:r w:rsidRPr="00BD1C17">
              <w:rPr>
                <w:rFonts w:ascii="Euclid" w:hAnsi="Euclid" w:cs="Euclid"/>
                <w:w w:val="99"/>
                <w:sz w:val="20"/>
                <w:szCs w:val="20"/>
              </w:rPr>
              <w:t>N</w:t>
            </w:r>
          </w:p>
        </w:tc>
        <w:tc>
          <w:tcPr>
            <w:tcW w:w="1009" w:type="dxa"/>
            <w:tcBorders>
              <w:top w:val="single" w:sz="4" w:space="0" w:color="000000"/>
              <w:left w:val="none" w:sz="6" w:space="0" w:color="auto"/>
              <w:bottom w:val="none" w:sz="6" w:space="0" w:color="auto"/>
              <w:right w:val="none" w:sz="6" w:space="0" w:color="auto"/>
            </w:tcBorders>
          </w:tcPr>
          <w:p w14:paraId="6AA9FAF1" w14:textId="77777777" w:rsidR="00BD1C17" w:rsidRPr="00BD1C17" w:rsidRDefault="00BD1C17" w:rsidP="00BD1C17">
            <w:pPr>
              <w:kinsoku w:val="0"/>
              <w:overflowPunct w:val="0"/>
              <w:autoSpaceDE w:val="0"/>
              <w:autoSpaceDN w:val="0"/>
              <w:adjustRightInd w:val="0"/>
              <w:spacing w:before="19" w:after="0" w:line="327" w:lineRule="exact"/>
              <w:ind w:left="76" w:right="70"/>
              <w:jc w:val="center"/>
              <w:rPr>
                <w:rFonts w:ascii="Euclid" w:hAnsi="Euclid" w:cs="Euclid"/>
                <w:spacing w:val="-2"/>
                <w:sz w:val="20"/>
                <w:szCs w:val="20"/>
              </w:rPr>
            </w:pPr>
            <w:r w:rsidRPr="00BD1C17">
              <w:rPr>
                <w:rFonts w:ascii="Euclid" w:hAnsi="Euclid" w:cs="Euclid"/>
                <w:spacing w:val="-2"/>
                <w:sz w:val="20"/>
                <w:szCs w:val="20"/>
              </w:rPr>
              <w:t>2,915</w:t>
            </w:r>
          </w:p>
        </w:tc>
        <w:tc>
          <w:tcPr>
            <w:tcW w:w="1017" w:type="dxa"/>
            <w:tcBorders>
              <w:top w:val="single" w:sz="4" w:space="0" w:color="000000"/>
              <w:left w:val="none" w:sz="6" w:space="0" w:color="auto"/>
              <w:bottom w:val="none" w:sz="6" w:space="0" w:color="auto"/>
              <w:right w:val="none" w:sz="6" w:space="0" w:color="auto"/>
            </w:tcBorders>
          </w:tcPr>
          <w:p w14:paraId="160CCCFD" w14:textId="77777777" w:rsidR="00BD1C17" w:rsidRPr="00BD1C17" w:rsidRDefault="00BD1C17" w:rsidP="00BD1C17">
            <w:pPr>
              <w:kinsoku w:val="0"/>
              <w:overflowPunct w:val="0"/>
              <w:autoSpaceDE w:val="0"/>
              <w:autoSpaceDN w:val="0"/>
              <w:adjustRightInd w:val="0"/>
              <w:spacing w:before="19" w:after="0" w:line="327" w:lineRule="exact"/>
              <w:ind w:left="111" w:right="104"/>
              <w:jc w:val="center"/>
              <w:rPr>
                <w:rFonts w:ascii="Euclid" w:hAnsi="Euclid" w:cs="Euclid"/>
                <w:spacing w:val="-2"/>
                <w:sz w:val="20"/>
                <w:szCs w:val="20"/>
              </w:rPr>
            </w:pPr>
            <w:r w:rsidRPr="00BD1C17">
              <w:rPr>
                <w:rFonts w:ascii="Euclid" w:hAnsi="Euclid" w:cs="Euclid"/>
                <w:spacing w:val="-2"/>
                <w:sz w:val="20"/>
                <w:szCs w:val="20"/>
              </w:rPr>
              <w:t>1,596</w:t>
            </w:r>
          </w:p>
        </w:tc>
        <w:tc>
          <w:tcPr>
            <w:tcW w:w="943" w:type="dxa"/>
            <w:tcBorders>
              <w:top w:val="single" w:sz="4" w:space="0" w:color="000000"/>
              <w:left w:val="none" w:sz="6" w:space="0" w:color="auto"/>
              <w:bottom w:val="none" w:sz="6" w:space="0" w:color="auto"/>
              <w:right w:val="none" w:sz="6" w:space="0" w:color="auto"/>
            </w:tcBorders>
          </w:tcPr>
          <w:p w14:paraId="0420CCCC" w14:textId="77777777" w:rsidR="00BD1C17" w:rsidRPr="00BD1C17" w:rsidRDefault="00BD1C17" w:rsidP="00BD1C17">
            <w:pPr>
              <w:kinsoku w:val="0"/>
              <w:overflowPunct w:val="0"/>
              <w:autoSpaceDE w:val="0"/>
              <w:autoSpaceDN w:val="0"/>
              <w:adjustRightInd w:val="0"/>
              <w:spacing w:before="19" w:after="0" w:line="327" w:lineRule="exact"/>
              <w:ind w:left="76" w:right="70"/>
              <w:jc w:val="center"/>
              <w:rPr>
                <w:rFonts w:ascii="Euclid" w:hAnsi="Euclid" w:cs="Euclid"/>
                <w:spacing w:val="-2"/>
                <w:sz w:val="20"/>
                <w:szCs w:val="20"/>
              </w:rPr>
            </w:pPr>
            <w:r w:rsidRPr="00BD1C17">
              <w:rPr>
                <w:rFonts w:ascii="Euclid" w:hAnsi="Euclid" w:cs="Euclid"/>
                <w:spacing w:val="-2"/>
                <w:sz w:val="20"/>
                <w:szCs w:val="20"/>
              </w:rPr>
              <w:t>6,960</w:t>
            </w:r>
          </w:p>
        </w:tc>
        <w:tc>
          <w:tcPr>
            <w:tcW w:w="1209" w:type="dxa"/>
            <w:tcBorders>
              <w:top w:val="single" w:sz="4" w:space="0" w:color="000000"/>
              <w:left w:val="none" w:sz="6" w:space="0" w:color="auto"/>
              <w:bottom w:val="none" w:sz="6" w:space="0" w:color="auto"/>
              <w:right w:val="none" w:sz="6" w:space="0" w:color="auto"/>
            </w:tcBorders>
          </w:tcPr>
          <w:p w14:paraId="795D5B23" w14:textId="77777777" w:rsidR="00BD1C17" w:rsidRPr="00BD1C17" w:rsidRDefault="00BD1C17" w:rsidP="00BD1C17">
            <w:pPr>
              <w:kinsoku w:val="0"/>
              <w:overflowPunct w:val="0"/>
              <w:autoSpaceDE w:val="0"/>
              <w:autoSpaceDN w:val="0"/>
              <w:adjustRightInd w:val="0"/>
              <w:spacing w:before="19" w:after="0" w:line="327" w:lineRule="exact"/>
              <w:ind w:left="105" w:right="98"/>
              <w:jc w:val="center"/>
              <w:rPr>
                <w:rFonts w:ascii="Euclid" w:hAnsi="Euclid" w:cs="Euclid"/>
                <w:spacing w:val="-4"/>
                <w:sz w:val="20"/>
                <w:szCs w:val="20"/>
              </w:rPr>
            </w:pPr>
            <w:r w:rsidRPr="00BD1C17">
              <w:rPr>
                <w:rFonts w:ascii="Euclid" w:hAnsi="Euclid" w:cs="Euclid"/>
                <w:spacing w:val="-4"/>
                <w:sz w:val="20"/>
                <w:szCs w:val="20"/>
              </w:rPr>
              <w:t>893</w:t>
            </w:r>
          </w:p>
        </w:tc>
        <w:tc>
          <w:tcPr>
            <w:tcW w:w="1319" w:type="dxa"/>
            <w:tcBorders>
              <w:top w:val="single" w:sz="4" w:space="0" w:color="000000"/>
              <w:left w:val="none" w:sz="6" w:space="0" w:color="auto"/>
              <w:bottom w:val="none" w:sz="6" w:space="0" w:color="auto"/>
              <w:right w:val="none" w:sz="6" w:space="0" w:color="auto"/>
            </w:tcBorders>
          </w:tcPr>
          <w:p w14:paraId="0D7E544A" w14:textId="77777777" w:rsidR="00BD1C17" w:rsidRPr="00BD1C17" w:rsidRDefault="00BD1C17" w:rsidP="00BD1C17">
            <w:pPr>
              <w:kinsoku w:val="0"/>
              <w:overflowPunct w:val="0"/>
              <w:autoSpaceDE w:val="0"/>
              <w:autoSpaceDN w:val="0"/>
              <w:adjustRightInd w:val="0"/>
              <w:spacing w:before="19" w:after="0" w:line="327" w:lineRule="exact"/>
              <w:ind w:left="109" w:right="106"/>
              <w:jc w:val="center"/>
              <w:rPr>
                <w:rFonts w:ascii="Euclid" w:hAnsi="Euclid" w:cs="Euclid"/>
                <w:spacing w:val="-2"/>
                <w:sz w:val="20"/>
                <w:szCs w:val="20"/>
              </w:rPr>
            </w:pPr>
            <w:r w:rsidRPr="00BD1C17">
              <w:rPr>
                <w:rFonts w:ascii="Euclid" w:hAnsi="Euclid" w:cs="Euclid"/>
                <w:spacing w:val="-2"/>
                <w:sz w:val="20"/>
                <w:szCs w:val="20"/>
              </w:rPr>
              <w:t>9,978</w:t>
            </w:r>
          </w:p>
        </w:tc>
        <w:tc>
          <w:tcPr>
            <w:tcW w:w="1010" w:type="dxa"/>
            <w:tcBorders>
              <w:top w:val="single" w:sz="4" w:space="0" w:color="000000"/>
              <w:left w:val="none" w:sz="6" w:space="0" w:color="auto"/>
              <w:bottom w:val="none" w:sz="6" w:space="0" w:color="auto"/>
              <w:right w:val="none" w:sz="6" w:space="0" w:color="auto"/>
            </w:tcBorders>
          </w:tcPr>
          <w:p w14:paraId="4274570D" w14:textId="77777777" w:rsidR="00BD1C17" w:rsidRPr="00BD1C17" w:rsidRDefault="00BD1C17" w:rsidP="00BD1C17">
            <w:pPr>
              <w:kinsoku w:val="0"/>
              <w:overflowPunct w:val="0"/>
              <w:autoSpaceDE w:val="0"/>
              <w:autoSpaceDN w:val="0"/>
              <w:adjustRightInd w:val="0"/>
              <w:spacing w:before="19" w:after="0" w:line="327" w:lineRule="exact"/>
              <w:ind w:right="222"/>
              <w:jc w:val="right"/>
              <w:rPr>
                <w:rFonts w:ascii="Euclid" w:hAnsi="Euclid" w:cs="Euclid"/>
                <w:spacing w:val="-2"/>
                <w:sz w:val="20"/>
                <w:szCs w:val="20"/>
              </w:rPr>
            </w:pPr>
            <w:r w:rsidRPr="00BD1C17">
              <w:rPr>
                <w:rFonts w:ascii="Euclid" w:hAnsi="Euclid" w:cs="Euclid"/>
                <w:spacing w:val="-2"/>
                <w:sz w:val="20"/>
                <w:szCs w:val="20"/>
              </w:rPr>
              <w:t>17,887</w:t>
            </w:r>
          </w:p>
        </w:tc>
        <w:tc>
          <w:tcPr>
            <w:tcW w:w="951" w:type="dxa"/>
            <w:tcBorders>
              <w:top w:val="single" w:sz="4" w:space="0" w:color="000000"/>
              <w:left w:val="none" w:sz="6" w:space="0" w:color="auto"/>
              <w:bottom w:val="none" w:sz="6" w:space="0" w:color="auto"/>
              <w:right w:val="none" w:sz="6" w:space="0" w:color="auto"/>
            </w:tcBorders>
          </w:tcPr>
          <w:p w14:paraId="043C6219" w14:textId="77777777" w:rsidR="00BD1C17" w:rsidRPr="00BD1C17" w:rsidRDefault="00BD1C17" w:rsidP="00BD1C17">
            <w:pPr>
              <w:kinsoku w:val="0"/>
              <w:overflowPunct w:val="0"/>
              <w:autoSpaceDE w:val="0"/>
              <w:autoSpaceDN w:val="0"/>
              <w:adjustRightInd w:val="0"/>
              <w:spacing w:before="19" w:after="0" w:line="327" w:lineRule="exact"/>
              <w:ind w:left="80" w:right="73"/>
              <w:jc w:val="center"/>
              <w:rPr>
                <w:rFonts w:ascii="Euclid" w:hAnsi="Euclid" w:cs="Euclid"/>
                <w:spacing w:val="-2"/>
                <w:sz w:val="20"/>
                <w:szCs w:val="20"/>
              </w:rPr>
            </w:pPr>
            <w:r w:rsidRPr="00BD1C17">
              <w:rPr>
                <w:rFonts w:ascii="Euclid" w:hAnsi="Euclid" w:cs="Euclid"/>
                <w:spacing w:val="-2"/>
                <w:sz w:val="20"/>
                <w:szCs w:val="20"/>
              </w:rPr>
              <w:t>6,458</w:t>
            </w:r>
          </w:p>
        </w:tc>
        <w:tc>
          <w:tcPr>
            <w:tcW w:w="848" w:type="dxa"/>
            <w:tcBorders>
              <w:top w:val="single" w:sz="4" w:space="0" w:color="000000"/>
              <w:left w:val="none" w:sz="6" w:space="0" w:color="auto"/>
              <w:bottom w:val="none" w:sz="6" w:space="0" w:color="auto"/>
              <w:right w:val="none" w:sz="6" w:space="0" w:color="auto"/>
            </w:tcBorders>
          </w:tcPr>
          <w:p w14:paraId="1B8BFA6D" w14:textId="77777777" w:rsidR="00BD1C17" w:rsidRPr="00BD1C17" w:rsidRDefault="00BD1C17" w:rsidP="00BD1C17">
            <w:pPr>
              <w:kinsoku w:val="0"/>
              <w:overflowPunct w:val="0"/>
              <w:autoSpaceDE w:val="0"/>
              <w:autoSpaceDN w:val="0"/>
              <w:adjustRightInd w:val="0"/>
              <w:spacing w:before="19" w:after="0" w:line="327" w:lineRule="exact"/>
              <w:ind w:left="100" w:right="96"/>
              <w:jc w:val="center"/>
              <w:rPr>
                <w:rFonts w:ascii="Euclid" w:hAnsi="Euclid" w:cs="Euclid"/>
                <w:spacing w:val="-2"/>
                <w:sz w:val="20"/>
                <w:szCs w:val="20"/>
              </w:rPr>
            </w:pPr>
            <w:r w:rsidRPr="00BD1C17">
              <w:rPr>
                <w:rFonts w:ascii="Euclid" w:hAnsi="Euclid" w:cs="Euclid"/>
                <w:spacing w:val="-2"/>
                <w:sz w:val="20"/>
                <w:szCs w:val="20"/>
              </w:rPr>
              <w:t>3,072</w:t>
            </w:r>
          </w:p>
        </w:tc>
      </w:tr>
      <w:tr w:rsidR="00BD1C17" w:rsidRPr="00BD1C17" w14:paraId="0AD8F23E" w14:textId="77777777" w:rsidTr="00964366">
        <w:trPr>
          <w:trHeight w:val="372"/>
        </w:trPr>
        <w:tc>
          <w:tcPr>
            <w:tcW w:w="1529" w:type="dxa"/>
            <w:tcBorders>
              <w:top w:val="none" w:sz="6" w:space="0" w:color="auto"/>
              <w:left w:val="none" w:sz="6" w:space="0" w:color="auto"/>
              <w:bottom w:val="none" w:sz="6" w:space="0" w:color="auto"/>
              <w:right w:val="none" w:sz="6" w:space="0" w:color="auto"/>
            </w:tcBorders>
          </w:tcPr>
          <w:p w14:paraId="4730E29C" w14:textId="77777777" w:rsidR="00BD1C17" w:rsidRPr="00BD1C17" w:rsidRDefault="00BD1C17" w:rsidP="00BD1C17">
            <w:pPr>
              <w:kinsoku w:val="0"/>
              <w:overflowPunct w:val="0"/>
              <w:autoSpaceDE w:val="0"/>
              <w:autoSpaceDN w:val="0"/>
              <w:adjustRightInd w:val="0"/>
              <w:spacing w:before="54" w:after="0" w:line="240" w:lineRule="auto"/>
              <w:ind w:left="119"/>
              <w:rPr>
                <w:rFonts w:ascii="Eras Medium ITC" w:hAnsi="Eras Medium ITC" w:cs="Eras Medium ITC"/>
                <w:spacing w:val="-2"/>
                <w:w w:val="105"/>
                <w:sz w:val="20"/>
                <w:szCs w:val="20"/>
                <w:vertAlign w:val="superscript"/>
              </w:rPr>
            </w:pPr>
            <w:r w:rsidRPr="00BD1C17">
              <w:rPr>
                <w:rFonts w:ascii="Bookman Old Style" w:hAnsi="Bookman Old Style" w:cs="Bookman Old Style"/>
                <w:i/>
                <w:iCs/>
                <w:spacing w:val="-2"/>
                <w:w w:val="105"/>
                <w:sz w:val="20"/>
                <w:szCs w:val="20"/>
              </w:rPr>
              <w:t>Adj.R</w:t>
            </w:r>
            <w:r w:rsidRPr="00BD1C17">
              <w:rPr>
                <w:rFonts w:ascii="Eras Medium ITC" w:hAnsi="Eras Medium ITC" w:cs="Eras Medium ITC"/>
                <w:spacing w:val="-2"/>
                <w:w w:val="105"/>
                <w:sz w:val="20"/>
                <w:szCs w:val="20"/>
                <w:vertAlign w:val="superscript"/>
              </w:rPr>
              <w:t>2</w:t>
            </w:r>
          </w:p>
        </w:tc>
        <w:tc>
          <w:tcPr>
            <w:tcW w:w="1009" w:type="dxa"/>
            <w:tcBorders>
              <w:top w:val="none" w:sz="6" w:space="0" w:color="auto"/>
              <w:left w:val="none" w:sz="6" w:space="0" w:color="auto"/>
              <w:bottom w:val="none" w:sz="6" w:space="0" w:color="auto"/>
              <w:right w:val="none" w:sz="6" w:space="0" w:color="auto"/>
            </w:tcBorders>
          </w:tcPr>
          <w:p w14:paraId="39726153" w14:textId="77777777" w:rsidR="00BD1C17" w:rsidRPr="00BD1C17" w:rsidRDefault="00BD1C17" w:rsidP="00BD1C17">
            <w:pPr>
              <w:kinsoku w:val="0"/>
              <w:overflowPunct w:val="0"/>
              <w:autoSpaceDE w:val="0"/>
              <w:autoSpaceDN w:val="0"/>
              <w:adjustRightInd w:val="0"/>
              <w:spacing w:before="12" w:after="0" w:line="240" w:lineRule="auto"/>
              <w:ind w:left="76" w:right="70"/>
              <w:jc w:val="center"/>
              <w:rPr>
                <w:rFonts w:ascii="Euclid" w:hAnsi="Euclid" w:cs="Euclid"/>
                <w:spacing w:val="-2"/>
                <w:sz w:val="20"/>
                <w:szCs w:val="20"/>
              </w:rPr>
            </w:pPr>
            <w:r w:rsidRPr="00BD1C17">
              <w:rPr>
                <w:rFonts w:ascii="Euclid" w:hAnsi="Euclid" w:cs="Euclid"/>
                <w:spacing w:val="-2"/>
                <w:sz w:val="20"/>
                <w:szCs w:val="20"/>
              </w:rPr>
              <w:t>0.0760</w:t>
            </w:r>
          </w:p>
        </w:tc>
        <w:tc>
          <w:tcPr>
            <w:tcW w:w="1017" w:type="dxa"/>
            <w:tcBorders>
              <w:top w:val="none" w:sz="6" w:space="0" w:color="auto"/>
              <w:left w:val="none" w:sz="6" w:space="0" w:color="auto"/>
              <w:bottom w:val="none" w:sz="6" w:space="0" w:color="auto"/>
              <w:right w:val="none" w:sz="6" w:space="0" w:color="auto"/>
            </w:tcBorders>
          </w:tcPr>
          <w:p w14:paraId="740C8125" w14:textId="77777777" w:rsidR="00BD1C17" w:rsidRPr="00BD1C17" w:rsidRDefault="00BD1C17" w:rsidP="00BD1C17">
            <w:pPr>
              <w:kinsoku w:val="0"/>
              <w:overflowPunct w:val="0"/>
              <w:autoSpaceDE w:val="0"/>
              <w:autoSpaceDN w:val="0"/>
              <w:adjustRightInd w:val="0"/>
              <w:spacing w:before="12" w:after="0" w:line="240" w:lineRule="auto"/>
              <w:ind w:left="111" w:right="104"/>
              <w:jc w:val="center"/>
              <w:rPr>
                <w:rFonts w:ascii="Euclid" w:hAnsi="Euclid" w:cs="Euclid"/>
                <w:spacing w:val="-2"/>
                <w:sz w:val="20"/>
                <w:szCs w:val="20"/>
              </w:rPr>
            </w:pPr>
            <w:r w:rsidRPr="00BD1C17">
              <w:rPr>
                <w:rFonts w:ascii="Euclid" w:hAnsi="Euclid" w:cs="Euclid"/>
                <w:spacing w:val="-2"/>
                <w:sz w:val="20"/>
                <w:szCs w:val="20"/>
              </w:rPr>
              <w:t>0.0833</w:t>
            </w:r>
          </w:p>
        </w:tc>
        <w:tc>
          <w:tcPr>
            <w:tcW w:w="943" w:type="dxa"/>
            <w:tcBorders>
              <w:top w:val="none" w:sz="6" w:space="0" w:color="auto"/>
              <w:left w:val="none" w:sz="6" w:space="0" w:color="auto"/>
              <w:bottom w:val="none" w:sz="6" w:space="0" w:color="auto"/>
              <w:right w:val="none" w:sz="6" w:space="0" w:color="auto"/>
            </w:tcBorders>
          </w:tcPr>
          <w:p w14:paraId="1EC35A09" w14:textId="77777777" w:rsidR="00BD1C17" w:rsidRPr="00BD1C17" w:rsidRDefault="00BD1C17" w:rsidP="00BD1C17">
            <w:pPr>
              <w:kinsoku w:val="0"/>
              <w:overflowPunct w:val="0"/>
              <w:autoSpaceDE w:val="0"/>
              <w:autoSpaceDN w:val="0"/>
              <w:adjustRightInd w:val="0"/>
              <w:spacing w:before="12" w:after="0" w:line="240" w:lineRule="auto"/>
              <w:ind w:left="76" w:right="70"/>
              <w:jc w:val="center"/>
              <w:rPr>
                <w:rFonts w:ascii="Euclid" w:hAnsi="Euclid" w:cs="Euclid"/>
                <w:spacing w:val="-2"/>
                <w:sz w:val="20"/>
                <w:szCs w:val="20"/>
              </w:rPr>
            </w:pPr>
            <w:r w:rsidRPr="00BD1C17">
              <w:rPr>
                <w:rFonts w:ascii="Euclid" w:hAnsi="Euclid" w:cs="Euclid"/>
                <w:spacing w:val="-2"/>
                <w:sz w:val="20"/>
                <w:szCs w:val="20"/>
              </w:rPr>
              <w:t>0.0498</w:t>
            </w:r>
          </w:p>
        </w:tc>
        <w:tc>
          <w:tcPr>
            <w:tcW w:w="1209" w:type="dxa"/>
            <w:tcBorders>
              <w:top w:val="none" w:sz="6" w:space="0" w:color="auto"/>
              <w:left w:val="none" w:sz="6" w:space="0" w:color="auto"/>
              <w:bottom w:val="none" w:sz="6" w:space="0" w:color="auto"/>
              <w:right w:val="none" w:sz="6" w:space="0" w:color="auto"/>
            </w:tcBorders>
          </w:tcPr>
          <w:p w14:paraId="4761CCD5" w14:textId="77777777" w:rsidR="00BD1C17" w:rsidRPr="00BD1C17" w:rsidRDefault="00BD1C17" w:rsidP="00BD1C17">
            <w:pPr>
              <w:kinsoku w:val="0"/>
              <w:overflowPunct w:val="0"/>
              <w:autoSpaceDE w:val="0"/>
              <w:autoSpaceDN w:val="0"/>
              <w:adjustRightInd w:val="0"/>
              <w:spacing w:before="12" w:after="0" w:line="240" w:lineRule="auto"/>
              <w:ind w:left="105" w:right="98"/>
              <w:jc w:val="center"/>
              <w:rPr>
                <w:rFonts w:ascii="Euclid" w:hAnsi="Euclid" w:cs="Euclid"/>
                <w:spacing w:val="-2"/>
                <w:sz w:val="20"/>
                <w:szCs w:val="20"/>
              </w:rPr>
            </w:pPr>
            <w:r w:rsidRPr="00BD1C17">
              <w:rPr>
                <w:rFonts w:ascii="Euclid" w:hAnsi="Euclid" w:cs="Euclid"/>
                <w:spacing w:val="-2"/>
                <w:sz w:val="20"/>
                <w:szCs w:val="20"/>
              </w:rPr>
              <w:t>0.0774</w:t>
            </w:r>
          </w:p>
        </w:tc>
        <w:tc>
          <w:tcPr>
            <w:tcW w:w="1319" w:type="dxa"/>
            <w:tcBorders>
              <w:top w:val="none" w:sz="6" w:space="0" w:color="auto"/>
              <w:left w:val="none" w:sz="6" w:space="0" w:color="auto"/>
              <w:bottom w:val="none" w:sz="6" w:space="0" w:color="auto"/>
              <w:right w:val="none" w:sz="6" w:space="0" w:color="auto"/>
            </w:tcBorders>
          </w:tcPr>
          <w:p w14:paraId="0DFBDEC0" w14:textId="77777777" w:rsidR="00BD1C17" w:rsidRPr="00BD1C17" w:rsidRDefault="00BD1C17" w:rsidP="00BD1C17">
            <w:pPr>
              <w:kinsoku w:val="0"/>
              <w:overflowPunct w:val="0"/>
              <w:autoSpaceDE w:val="0"/>
              <w:autoSpaceDN w:val="0"/>
              <w:adjustRightInd w:val="0"/>
              <w:spacing w:before="12" w:after="0" w:line="240" w:lineRule="auto"/>
              <w:ind w:left="109" w:right="107"/>
              <w:jc w:val="center"/>
              <w:rPr>
                <w:rFonts w:ascii="Euclid" w:hAnsi="Euclid" w:cs="Euclid"/>
                <w:spacing w:val="-2"/>
                <w:sz w:val="20"/>
                <w:szCs w:val="20"/>
              </w:rPr>
            </w:pPr>
            <w:r w:rsidRPr="00BD1C17">
              <w:rPr>
                <w:rFonts w:ascii="Euclid" w:hAnsi="Euclid" w:cs="Euclid"/>
                <w:spacing w:val="-2"/>
                <w:sz w:val="20"/>
                <w:szCs w:val="20"/>
              </w:rPr>
              <w:t>0.0338</w:t>
            </w:r>
          </w:p>
        </w:tc>
        <w:tc>
          <w:tcPr>
            <w:tcW w:w="1010" w:type="dxa"/>
            <w:tcBorders>
              <w:top w:val="none" w:sz="6" w:space="0" w:color="auto"/>
              <w:left w:val="none" w:sz="6" w:space="0" w:color="auto"/>
              <w:bottom w:val="none" w:sz="6" w:space="0" w:color="auto"/>
              <w:right w:val="none" w:sz="6" w:space="0" w:color="auto"/>
            </w:tcBorders>
          </w:tcPr>
          <w:p w14:paraId="129D1749" w14:textId="77777777" w:rsidR="00BD1C17" w:rsidRPr="00BD1C17" w:rsidRDefault="00BD1C17" w:rsidP="00BD1C17">
            <w:pPr>
              <w:kinsoku w:val="0"/>
              <w:overflowPunct w:val="0"/>
              <w:autoSpaceDE w:val="0"/>
              <w:autoSpaceDN w:val="0"/>
              <w:adjustRightInd w:val="0"/>
              <w:spacing w:before="12" w:after="0" w:line="240" w:lineRule="auto"/>
              <w:ind w:right="222"/>
              <w:jc w:val="right"/>
              <w:rPr>
                <w:rFonts w:ascii="Euclid" w:hAnsi="Euclid" w:cs="Euclid"/>
                <w:spacing w:val="-2"/>
                <w:sz w:val="20"/>
                <w:szCs w:val="20"/>
              </w:rPr>
            </w:pPr>
            <w:r w:rsidRPr="00BD1C17">
              <w:rPr>
                <w:rFonts w:ascii="Euclid" w:hAnsi="Euclid" w:cs="Euclid"/>
                <w:spacing w:val="-2"/>
                <w:sz w:val="20"/>
                <w:szCs w:val="20"/>
              </w:rPr>
              <w:t>0.0596</w:t>
            </w:r>
          </w:p>
        </w:tc>
        <w:tc>
          <w:tcPr>
            <w:tcW w:w="951" w:type="dxa"/>
            <w:tcBorders>
              <w:top w:val="none" w:sz="6" w:space="0" w:color="auto"/>
              <w:left w:val="none" w:sz="6" w:space="0" w:color="auto"/>
              <w:bottom w:val="none" w:sz="6" w:space="0" w:color="auto"/>
              <w:right w:val="none" w:sz="6" w:space="0" w:color="auto"/>
            </w:tcBorders>
          </w:tcPr>
          <w:p w14:paraId="2F931374" w14:textId="77777777" w:rsidR="00BD1C17" w:rsidRPr="00BD1C17" w:rsidRDefault="00BD1C17" w:rsidP="00BD1C17">
            <w:pPr>
              <w:kinsoku w:val="0"/>
              <w:overflowPunct w:val="0"/>
              <w:autoSpaceDE w:val="0"/>
              <w:autoSpaceDN w:val="0"/>
              <w:adjustRightInd w:val="0"/>
              <w:spacing w:before="12" w:after="0" w:line="240" w:lineRule="auto"/>
              <w:ind w:left="80" w:right="73"/>
              <w:jc w:val="center"/>
              <w:rPr>
                <w:rFonts w:ascii="Euclid" w:hAnsi="Euclid" w:cs="Euclid"/>
                <w:spacing w:val="-2"/>
                <w:sz w:val="20"/>
                <w:szCs w:val="20"/>
              </w:rPr>
            </w:pPr>
            <w:r w:rsidRPr="00BD1C17">
              <w:rPr>
                <w:rFonts w:ascii="Euclid" w:hAnsi="Euclid" w:cs="Euclid"/>
                <w:spacing w:val="-2"/>
                <w:sz w:val="20"/>
                <w:szCs w:val="20"/>
              </w:rPr>
              <w:t>0.0588</w:t>
            </w:r>
          </w:p>
        </w:tc>
        <w:tc>
          <w:tcPr>
            <w:tcW w:w="848" w:type="dxa"/>
            <w:tcBorders>
              <w:top w:val="none" w:sz="6" w:space="0" w:color="auto"/>
              <w:left w:val="none" w:sz="6" w:space="0" w:color="auto"/>
              <w:bottom w:val="none" w:sz="6" w:space="0" w:color="auto"/>
              <w:right w:val="none" w:sz="6" w:space="0" w:color="auto"/>
            </w:tcBorders>
          </w:tcPr>
          <w:p w14:paraId="385E0B01" w14:textId="77777777" w:rsidR="00BD1C17" w:rsidRPr="00BD1C17" w:rsidRDefault="00BD1C17" w:rsidP="00BD1C17">
            <w:pPr>
              <w:kinsoku w:val="0"/>
              <w:overflowPunct w:val="0"/>
              <w:autoSpaceDE w:val="0"/>
              <w:autoSpaceDN w:val="0"/>
              <w:adjustRightInd w:val="0"/>
              <w:spacing w:before="12" w:after="0" w:line="240" w:lineRule="auto"/>
              <w:ind w:left="99" w:right="96"/>
              <w:jc w:val="center"/>
              <w:rPr>
                <w:rFonts w:ascii="Euclid" w:hAnsi="Euclid" w:cs="Euclid"/>
                <w:spacing w:val="-2"/>
                <w:sz w:val="20"/>
                <w:szCs w:val="20"/>
              </w:rPr>
            </w:pPr>
            <w:r w:rsidRPr="00BD1C17">
              <w:rPr>
                <w:rFonts w:ascii="Euclid" w:hAnsi="Euclid" w:cs="Euclid"/>
                <w:spacing w:val="-2"/>
                <w:sz w:val="20"/>
                <w:szCs w:val="20"/>
              </w:rPr>
              <w:t>0.0737</w:t>
            </w:r>
          </w:p>
        </w:tc>
      </w:tr>
      <w:tr w:rsidR="00BD1C17" w:rsidRPr="00BD1C17" w14:paraId="7D703D88" w14:textId="77777777" w:rsidTr="00964366">
        <w:trPr>
          <w:trHeight w:val="349"/>
        </w:trPr>
        <w:tc>
          <w:tcPr>
            <w:tcW w:w="1529" w:type="dxa"/>
            <w:tcBorders>
              <w:top w:val="none" w:sz="6" w:space="0" w:color="auto"/>
              <w:left w:val="none" w:sz="6" w:space="0" w:color="auto"/>
              <w:bottom w:val="double" w:sz="2" w:space="0" w:color="000000"/>
              <w:right w:val="none" w:sz="6" w:space="0" w:color="auto"/>
            </w:tcBorders>
          </w:tcPr>
          <w:p w14:paraId="3FD1F5F0" w14:textId="77777777" w:rsidR="00BD1C17" w:rsidRPr="00BD1C17" w:rsidRDefault="00BD1C17" w:rsidP="00BD1C17">
            <w:pPr>
              <w:kinsoku w:val="0"/>
              <w:overflowPunct w:val="0"/>
              <w:autoSpaceDE w:val="0"/>
              <w:autoSpaceDN w:val="0"/>
              <w:adjustRightInd w:val="0"/>
              <w:spacing w:after="0" w:line="330" w:lineRule="exact"/>
              <w:ind w:left="119"/>
              <w:rPr>
                <w:rFonts w:ascii="Euclid" w:hAnsi="Euclid" w:cs="Euclid"/>
                <w:spacing w:val="-4"/>
                <w:sz w:val="20"/>
                <w:szCs w:val="20"/>
              </w:rPr>
            </w:pPr>
            <w:r w:rsidRPr="00BD1C17">
              <w:rPr>
                <w:rFonts w:ascii="Euclid" w:hAnsi="Euclid" w:cs="Euclid"/>
                <w:spacing w:val="-4"/>
                <w:sz w:val="20"/>
                <w:szCs w:val="20"/>
              </w:rPr>
              <w:t>Mean</w:t>
            </w:r>
          </w:p>
        </w:tc>
        <w:tc>
          <w:tcPr>
            <w:tcW w:w="1009" w:type="dxa"/>
            <w:tcBorders>
              <w:top w:val="none" w:sz="6" w:space="0" w:color="auto"/>
              <w:left w:val="none" w:sz="6" w:space="0" w:color="auto"/>
              <w:bottom w:val="double" w:sz="2" w:space="0" w:color="000000"/>
              <w:right w:val="none" w:sz="6" w:space="0" w:color="auto"/>
            </w:tcBorders>
          </w:tcPr>
          <w:p w14:paraId="74D4C19D" w14:textId="77777777" w:rsidR="00BD1C17" w:rsidRPr="00BD1C17" w:rsidRDefault="00BD1C17" w:rsidP="00BD1C17">
            <w:pPr>
              <w:kinsoku w:val="0"/>
              <w:overflowPunct w:val="0"/>
              <w:autoSpaceDE w:val="0"/>
              <w:autoSpaceDN w:val="0"/>
              <w:adjustRightInd w:val="0"/>
              <w:spacing w:after="0" w:line="330" w:lineRule="exact"/>
              <w:ind w:left="76" w:right="69"/>
              <w:jc w:val="center"/>
              <w:rPr>
                <w:rFonts w:ascii="Euclid" w:hAnsi="Euclid" w:cs="Euclid"/>
                <w:spacing w:val="-2"/>
                <w:sz w:val="20"/>
                <w:szCs w:val="20"/>
              </w:rPr>
            </w:pPr>
            <w:r w:rsidRPr="00BD1C17">
              <w:rPr>
                <w:rFonts w:ascii="Euclid" w:hAnsi="Euclid" w:cs="Euclid"/>
                <w:spacing w:val="-2"/>
                <w:sz w:val="20"/>
                <w:szCs w:val="20"/>
              </w:rPr>
              <w:t>0.2386</w:t>
            </w:r>
          </w:p>
        </w:tc>
        <w:tc>
          <w:tcPr>
            <w:tcW w:w="1017" w:type="dxa"/>
            <w:tcBorders>
              <w:top w:val="none" w:sz="6" w:space="0" w:color="auto"/>
              <w:left w:val="none" w:sz="6" w:space="0" w:color="auto"/>
              <w:bottom w:val="double" w:sz="2" w:space="0" w:color="000000"/>
              <w:right w:val="none" w:sz="6" w:space="0" w:color="auto"/>
            </w:tcBorders>
          </w:tcPr>
          <w:p w14:paraId="2114A48A" w14:textId="77777777" w:rsidR="00BD1C17" w:rsidRPr="00BD1C17" w:rsidRDefault="00BD1C17" w:rsidP="00BD1C17">
            <w:pPr>
              <w:kinsoku w:val="0"/>
              <w:overflowPunct w:val="0"/>
              <w:autoSpaceDE w:val="0"/>
              <w:autoSpaceDN w:val="0"/>
              <w:adjustRightInd w:val="0"/>
              <w:spacing w:after="0" w:line="330" w:lineRule="exact"/>
              <w:ind w:left="111" w:right="104"/>
              <w:jc w:val="center"/>
              <w:rPr>
                <w:rFonts w:ascii="Euclid" w:hAnsi="Euclid" w:cs="Euclid"/>
                <w:spacing w:val="-2"/>
                <w:sz w:val="20"/>
                <w:szCs w:val="20"/>
              </w:rPr>
            </w:pPr>
            <w:r w:rsidRPr="00BD1C17">
              <w:rPr>
                <w:rFonts w:ascii="Euclid" w:hAnsi="Euclid" w:cs="Euclid"/>
                <w:spacing w:val="-2"/>
                <w:sz w:val="20"/>
                <w:szCs w:val="20"/>
              </w:rPr>
              <w:t>0.2441</w:t>
            </w:r>
          </w:p>
        </w:tc>
        <w:tc>
          <w:tcPr>
            <w:tcW w:w="943" w:type="dxa"/>
            <w:tcBorders>
              <w:top w:val="none" w:sz="6" w:space="0" w:color="auto"/>
              <w:left w:val="none" w:sz="6" w:space="0" w:color="auto"/>
              <w:bottom w:val="double" w:sz="2" w:space="0" w:color="000000"/>
              <w:right w:val="none" w:sz="6" w:space="0" w:color="auto"/>
            </w:tcBorders>
          </w:tcPr>
          <w:p w14:paraId="2FF90964" w14:textId="77777777" w:rsidR="00BD1C17" w:rsidRPr="00BD1C17" w:rsidRDefault="00BD1C17" w:rsidP="00BD1C17">
            <w:pPr>
              <w:kinsoku w:val="0"/>
              <w:overflowPunct w:val="0"/>
              <w:autoSpaceDE w:val="0"/>
              <w:autoSpaceDN w:val="0"/>
              <w:adjustRightInd w:val="0"/>
              <w:spacing w:after="0" w:line="330" w:lineRule="exact"/>
              <w:ind w:left="76" w:right="69"/>
              <w:jc w:val="center"/>
              <w:rPr>
                <w:rFonts w:ascii="Euclid" w:hAnsi="Euclid" w:cs="Euclid"/>
                <w:spacing w:val="-2"/>
                <w:sz w:val="20"/>
                <w:szCs w:val="20"/>
              </w:rPr>
            </w:pPr>
            <w:r w:rsidRPr="00BD1C17">
              <w:rPr>
                <w:rFonts w:ascii="Euclid" w:hAnsi="Euclid" w:cs="Euclid"/>
                <w:spacing w:val="-2"/>
                <w:sz w:val="20"/>
                <w:szCs w:val="20"/>
              </w:rPr>
              <w:t>0.2875</w:t>
            </w:r>
          </w:p>
        </w:tc>
        <w:tc>
          <w:tcPr>
            <w:tcW w:w="1209" w:type="dxa"/>
            <w:tcBorders>
              <w:top w:val="none" w:sz="6" w:space="0" w:color="auto"/>
              <w:left w:val="none" w:sz="6" w:space="0" w:color="auto"/>
              <w:bottom w:val="double" w:sz="2" w:space="0" w:color="000000"/>
              <w:right w:val="none" w:sz="6" w:space="0" w:color="auto"/>
            </w:tcBorders>
          </w:tcPr>
          <w:p w14:paraId="7FEA1133" w14:textId="77777777" w:rsidR="00BD1C17" w:rsidRPr="00BD1C17" w:rsidRDefault="00BD1C17" w:rsidP="00BD1C17">
            <w:pPr>
              <w:kinsoku w:val="0"/>
              <w:overflowPunct w:val="0"/>
              <w:autoSpaceDE w:val="0"/>
              <w:autoSpaceDN w:val="0"/>
              <w:adjustRightInd w:val="0"/>
              <w:spacing w:after="0" w:line="330" w:lineRule="exact"/>
              <w:ind w:left="105" w:right="98"/>
              <w:jc w:val="center"/>
              <w:rPr>
                <w:rFonts w:ascii="Euclid" w:hAnsi="Euclid" w:cs="Euclid"/>
                <w:spacing w:val="-2"/>
                <w:sz w:val="20"/>
                <w:szCs w:val="20"/>
              </w:rPr>
            </w:pPr>
            <w:r w:rsidRPr="00BD1C17">
              <w:rPr>
                <w:rFonts w:ascii="Euclid" w:hAnsi="Euclid" w:cs="Euclid"/>
                <w:spacing w:val="-2"/>
                <w:sz w:val="20"/>
                <w:szCs w:val="20"/>
              </w:rPr>
              <w:t>0.2060</w:t>
            </w:r>
          </w:p>
        </w:tc>
        <w:tc>
          <w:tcPr>
            <w:tcW w:w="1319" w:type="dxa"/>
            <w:tcBorders>
              <w:top w:val="none" w:sz="6" w:space="0" w:color="auto"/>
              <w:left w:val="none" w:sz="6" w:space="0" w:color="auto"/>
              <w:bottom w:val="double" w:sz="2" w:space="0" w:color="000000"/>
              <w:right w:val="none" w:sz="6" w:space="0" w:color="auto"/>
            </w:tcBorders>
          </w:tcPr>
          <w:p w14:paraId="51A2C37E" w14:textId="77777777" w:rsidR="00BD1C17" w:rsidRPr="00BD1C17" w:rsidRDefault="00BD1C17" w:rsidP="00BD1C17">
            <w:pPr>
              <w:kinsoku w:val="0"/>
              <w:overflowPunct w:val="0"/>
              <w:autoSpaceDE w:val="0"/>
              <w:autoSpaceDN w:val="0"/>
              <w:adjustRightInd w:val="0"/>
              <w:spacing w:after="0" w:line="330" w:lineRule="exact"/>
              <w:ind w:left="109" w:right="106"/>
              <w:jc w:val="center"/>
              <w:rPr>
                <w:rFonts w:ascii="Euclid" w:hAnsi="Euclid" w:cs="Euclid"/>
                <w:spacing w:val="-2"/>
                <w:sz w:val="20"/>
                <w:szCs w:val="20"/>
              </w:rPr>
            </w:pPr>
            <w:r w:rsidRPr="00BD1C17">
              <w:rPr>
                <w:rFonts w:ascii="Euclid" w:hAnsi="Euclid" w:cs="Euclid"/>
                <w:spacing w:val="-2"/>
                <w:sz w:val="20"/>
                <w:szCs w:val="20"/>
              </w:rPr>
              <w:t>0.2577</w:t>
            </w:r>
          </w:p>
        </w:tc>
        <w:tc>
          <w:tcPr>
            <w:tcW w:w="1010" w:type="dxa"/>
            <w:tcBorders>
              <w:top w:val="none" w:sz="6" w:space="0" w:color="auto"/>
              <w:left w:val="none" w:sz="6" w:space="0" w:color="auto"/>
              <w:bottom w:val="double" w:sz="2" w:space="0" w:color="000000"/>
              <w:right w:val="none" w:sz="6" w:space="0" w:color="auto"/>
            </w:tcBorders>
          </w:tcPr>
          <w:p w14:paraId="6C329D40" w14:textId="77777777" w:rsidR="00BD1C17" w:rsidRPr="00BD1C17" w:rsidRDefault="00BD1C17" w:rsidP="00BD1C17">
            <w:pPr>
              <w:kinsoku w:val="0"/>
              <w:overflowPunct w:val="0"/>
              <w:autoSpaceDE w:val="0"/>
              <w:autoSpaceDN w:val="0"/>
              <w:adjustRightInd w:val="0"/>
              <w:spacing w:after="0" w:line="330" w:lineRule="exact"/>
              <w:ind w:right="222"/>
              <w:jc w:val="right"/>
              <w:rPr>
                <w:rFonts w:ascii="Euclid" w:hAnsi="Euclid" w:cs="Euclid"/>
                <w:spacing w:val="-2"/>
                <w:sz w:val="20"/>
                <w:szCs w:val="20"/>
              </w:rPr>
            </w:pPr>
            <w:r w:rsidRPr="00BD1C17">
              <w:rPr>
                <w:rFonts w:ascii="Euclid" w:hAnsi="Euclid" w:cs="Euclid"/>
                <w:spacing w:val="-2"/>
                <w:sz w:val="20"/>
                <w:szCs w:val="20"/>
              </w:rPr>
              <w:t>0.2378</w:t>
            </w:r>
          </w:p>
        </w:tc>
        <w:tc>
          <w:tcPr>
            <w:tcW w:w="951" w:type="dxa"/>
            <w:tcBorders>
              <w:top w:val="none" w:sz="6" w:space="0" w:color="auto"/>
              <w:left w:val="none" w:sz="6" w:space="0" w:color="auto"/>
              <w:bottom w:val="double" w:sz="2" w:space="0" w:color="000000"/>
              <w:right w:val="none" w:sz="6" w:space="0" w:color="auto"/>
            </w:tcBorders>
          </w:tcPr>
          <w:p w14:paraId="6CC79057" w14:textId="77777777" w:rsidR="00BD1C17" w:rsidRPr="00BD1C17" w:rsidRDefault="00BD1C17" w:rsidP="00BD1C17">
            <w:pPr>
              <w:kinsoku w:val="0"/>
              <w:overflowPunct w:val="0"/>
              <w:autoSpaceDE w:val="0"/>
              <w:autoSpaceDN w:val="0"/>
              <w:adjustRightInd w:val="0"/>
              <w:spacing w:after="0" w:line="330" w:lineRule="exact"/>
              <w:ind w:left="80" w:right="72"/>
              <w:jc w:val="center"/>
              <w:rPr>
                <w:rFonts w:ascii="Euclid" w:hAnsi="Euclid" w:cs="Euclid"/>
                <w:spacing w:val="-2"/>
                <w:sz w:val="20"/>
                <w:szCs w:val="20"/>
              </w:rPr>
            </w:pPr>
            <w:r w:rsidRPr="00BD1C17">
              <w:rPr>
                <w:rFonts w:ascii="Euclid" w:hAnsi="Euclid" w:cs="Euclid"/>
                <w:spacing w:val="-2"/>
                <w:sz w:val="20"/>
                <w:szCs w:val="20"/>
              </w:rPr>
              <w:t>0.2543</w:t>
            </w:r>
          </w:p>
        </w:tc>
        <w:tc>
          <w:tcPr>
            <w:tcW w:w="848" w:type="dxa"/>
            <w:tcBorders>
              <w:top w:val="none" w:sz="6" w:space="0" w:color="auto"/>
              <w:left w:val="none" w:sz="6" w:space="0" w:color="auto"/>
              <w:bottom w:val="double" w:sz="2" w:space="0" w:color="000000"/>
              <w:right w:val="none" w:sz="6" w:space="0" w:color="auto"/>
            </w:tcBorders>
          </w:tcPr>
          <w:p w14:paraId="3EF94F9E" w14:textId="77777777" w:rsidR="00BD1C17" w:rsidRPr="00BD1C17" w:rsidRDefault="00BD1C17" w:rsidP="00BD1C17">
            <w:pPr>
              <w:kinsoku w:val="0"/>
              <w:overflowPunct w:val="0"/>
              <w:autoSpaceDE w:val="0"/>
              <w:autoSpaceDN w:val="0"/>
              <w:adjustRightInd w:val="0"/>
              <w:spacing w:after="0" w:line="330" w:lineRule="exact"/>
              <w:ind w:left="100" w:right="96"/>
              <w:jc w:val="center"/>
              <w:rPr>
                <w:rFonts w:ascii="Euclid" w:hAnsi="Euclid" w:cs="Euclid"/>
                <w:spacing w:val="-2"/>
                <w:sz w:val="20"/>
                <w:szCs w:val="20"/>
              </w:rPr>
            </w:pPr>
            <w:r w:rsidRPr="00BD1C17">
              <w:rPr>
                <w:rFonts w:ascii="Euclid" w:hAnsi="Euclid" w:cs="Euclid"/>
                <w:spacing w:val="-2"/>
                <w:sz w:val="20"/>
                <w:szCs w:val="20"/>
              </w:rPr>
              <w:t>0.2350</w:t>
            </w:r>
          </w:p>
        </w:tc>
      </w:tr>
    </w:tbl>
    <w:p w14:paraId="55F58224" w14:textId="3AF2500C" w:rsidR="00BD1C17" w:rsidRPr="00BD1C17" w:rsidRDefault="00BD1C17" w:rsidP="00BD1C17">
      <w:pPr>
        <w:kinsoku w:val="0"/>
        <w:overflowPunct w:val="0"/>
        <w:autoSpaceDE w:val="0"/>
        <w:autoSpaceDN w:val="0"/>
        <w:adjustRightInd w:val="0"/>
        <w:spacing w:before="81" w:after="0" w:line="172" w:lineRule="auto"/>
        <w:ind w:left="180" w:right="170"/>
        <w:rPr>
          <w:rFonts w:ascii="Euclid" w:hAnsi="Euclid" w:cs="Euclid"/>
          <w:sz w:val="20"/>
          <w:szCs w:val="20"/>
        </w:rPr>
      </w:pPr>
      <w:r w:rsidRPr="00BD1C17">
        <w:rPr>
          <w:rFonts w:ascii="Euclid" w:hAnsi="Euclid" w:cs="Euclid"/>
          <w:sz w:val="20"/>
          <w:szCs w:val="20"/>
        </w:rPr>
        <w:t>Note:</w:t>
      </w:r>
      <w:r w:rsidRPr="00BD1C17">
        <w:rPr>
          <w:rFonts w:ascii="Euclid" w:hAnsi="Euclid" w:cs="Euclid"/>
          <w:spacing w:val="80"/>
          <w:sz w:val="20"/>
          <w:szCs w:val="20"/>
        </w:rPr>
        <w:t xml:space="preserve"> </w:t>
      </w:r>
      <w:r w:rsidR="00964366" w:rsidRPr="00964366">
        <w:rPr>
          <w:rFonts w:ascii="Euclid" w:hAnsi="Euclid" w:cs="Euclid"/>
          <w:sz w:val="20"/>
          <w:szCs w:val="20"/>
        </w:rPr>
        <w:t xml:space="preserve">We also control for the characteristics of the panel, and for </w:t>
      </w:r>
      <w:r w:rsidR="00964366">
        <w:rPr>
          <w:rFonts w:ascii="Euclid" w:hAnsi="Euclid" w:cs="Euclid"/>
          <w:sz w:val="20"/>
          <w:szCs w:val="20"/>
        </w:rPr>
        <w:t>[</w:t>
      </w:r>
      <w:r w:rsidR="00964366" w:rsidRPr="00964366">
        <w:rPr>
          <w:rFonts w:ascii="Euclid" w:hAnsi="Euclid" w:cs="Euclid"/>
          <w:sz w:val="20"/>
          <w:szCs w:val="20"/>
        </w:rPr>
        <w:t>Circuit</w:t>
      </w:r>
      <w:r w:rsidR="00964366">
        <w:rPr>
          <w:rFonts w:ascii="Euclid" w:hAnsi="Euclid" w:cs="Euclid"/>
          <w:sz w:val="20"/>
          <w:szCs w:val="20"/>
        </w:rPr>
        <w:t>]x[</w:t>
      </w:r>
      <w:r w:rsidR="00964366" w:rsidRPr="00964366">
        <w:rPr>
          <w:rFonts w:ascii="Euclid" w:hAnsi="Euclid" w:cs="Euclid"/>
          <w:sz w:val="20"/>
          <w:szCs w:val="20"/>
        </w:rPr>
        <w:t>Year</w:t>
      </w:r>
      <w:r w:rsidR="00964366">
        <w:rPr>
          <w:rFonts w:ascii="Euclid" w:hAnsi="Euclid" w:cs="Euclid"/>
          <w:sz w:val="20"/>
          <w:szCs w:val="20"/>
        </w:rPr>
        <w:t>]</w:t>
      </w:r>
      <w:r w:rsidR="00964366" w:rsidRPr="00964366">
        <w:rPr>
          <w:rFonts w:ascii="Euclid" w:hAnsi="Euclid" w:cs="Euclid"/>
          <w:sz w:val="20"/>
          <w:szCs w:val="20"/>
        </w:rPr>
        <w:t>, District, and Offense type Fixed Effects.</w:t>
      </w:r>
      <w:r w:rsidR="00964366">
        <w:rPr>
          <w:rFonts w:ascii="Euclid" w:hAnsi="Euclid" w:cs="Euclid"/>
          <w:spacing w:val="63"/>
          <w:sz w:val="20"/>
          <w:szCs w:val="20"/>
        </w:rPr>
        <w:t xml:space="preserve"> </w:t>
      </w:r>
      <w:r w:rsidRPr="00BD1C17">
        <w:rPr>
          <w:rFonts w:ascii="Euclid" w:hAnsi="Euclid" w:cs="Euclid"/>
          <w:sz w:val="20"/>
          <w:szCs w:val="20"/>
        </w:rPr>
        <w:t>Standard</w:t>
      </w:r>
      <w:r w:rsidRPr="00BD1C17">
        <w:rPr>
          <w:rFonts w:ascii="Euclid" w:hAnsi="Euclid" w:cs="Euclid"/>
          <w:spacing w:val="29"/>
          <w:sz w:val="20"/>
          <w:szCs w:val="20"/>
        </w:rPr>
        <w:t xml:space="preserve"> </w:t>
      </w:r>
      <w:r w:rsidRPr="00BD1C17">
        <w:rPr>
          <w:rFonts w:ascii="Euclid" w:hAnsi="Euclid" w:cs="Euclid"/>
          <w:sz w:val="20"/>
          <w:szCs w:val="20"/>
        </w:rPr>
        <w:t>errors</w:t>
      </w:r>
      <w:r w:rsidRPr="00BD1C17">
        <w:rPr>
          <w:rFonts w:ascii="Euclid" w:hAnsi="Euclid" w:cs="Euclid"/>
          <w:spacing w:val="29"/>
          <w:sz w:val="20"/>
          <w:szCs w:val="20"/>
        </w:rPr>
        <w:t xml:space="preserve"> </w:t>
      </w:r>
      <w:r w:rsidRPr="00BD1C17">
        <w:rPr>
          <w:rFonts w:ascii="Euclid" w:hAnsi="Euclid" w:cs="Euclid"/>
          <w:sz w:val="20"/>
          <w:szCs w:val="20"/>
        </w:rPr>
        <w:t>are</w:t>
      </w:r>
      <w:r w:rsidRPr="00BD1C17">
        <w:rPr>
          <w:rFonts w:ascii="Euclid" w:hAnsi="Euclid" w:cs="Euclid"/>
          <w:spacing w:val="29"/>
          <w:sz w:val="20"/>
          <w:szCs w:val="20"/>
        </w:rPr>
        <w:t xml:space="preserve"> </w:t>
      </w:r>
      <w:r w:rsidRPr="00BD1C17">
        <w:rPr>
          <w:rFonts w:ascii="Euclid" w:hAnsi="Euclid" w:cs="Euclid"/>
          <w:sz w:val="20"/>
          <w:szCs w:val="20"/>
        </w:rPr>
        <w:t>in</w:t>
      </w:r>
      <w:r w:rsidRPr="00BD1C17">
        <w:rPr>
          <w:rFonts w:ascii="Euclid" w:hAnsi="Euclid" w:cs="Euclid"/>
          <w:spacing w:val="29"/>
          <w:sz w:val="20"/>
          <w:szCs w:val="20"/>
        </w:rPr>
        <w:t xml:space="preserve"> </w:t>
      </w:r>
      <w:r w:rsidRPr="00BD1C17">
        <w:rPr>
          <w:rFonts w:ascii="Euclid" w:hAnsi="Euclid" w:cs="Euclid"/>
          <w:sz w:val="20"/>
          <w:szCs w:val="20"/>
        </w:rPr>
        <w:t>parenthesis</w:t>
      </w:r>
      <w:r w:rsidRPr="00BD1C17">
        <w:rPr>
          <w:rFonts w:ascii="Euclid" w:hAnsi="Euclid" w:cs="Euclid"/>
          <w:spacing w:val="29"/>
          <w:sz w:val="20"/>
          <w:szCs w:val="20"/>
        </w:rPr>
        <w:t xml:space="preserve"> </w:t>
      </w:r>
      <w:r w:rsidRPr="00BD1C17">
        <w:rPr>
          <w:rFonts w:ascii="Euclid" w:hAnsi="Euclid" w:cs="Euclid"/>
          <w:sz w:val="20"/>
          <w:szCs w:val="20"/>
        </w:rPr>
        <w:t>and</w:t>
      </w:r>
      <w:r w:rsidRPr="00BD1C17">
        <w:rPr>
          <w:rFonts w:ascii="Euclid" w:hAnsi="Euclid" w:cs="Euclid"/>
          <w:spacing w:val="29"/>
          <w:sz w:val="20"/>
          <w:szCs w:val="20"/>
        </w:rPr>
        <w:t xml:space="preserve"> </w:t>
      </w:r>
      <w:r w:rsidRPr="00BD1C17">
        <w:rPr>
          <w:rFonts w:ascii="Euclid" w:hAnsi="Euclid" w:cs="Euclid"/>
          <w:sz w:val="20"/>
          <w:szCs w:val="20"/>
        </w:rPr>
        <w:t>are</w:t>
      </w:r>
      <w:r w:rsidRPr="00BD1C17">
        <w:rPr>
          <w:rFonts w:ascii="Euclid" w:hAnsi="Euclid" w:cs="Euclid"/>
          <w:spacing w:val="29"/>
          <w:sz w:val="20"/>
          <w:szCs w:val="20"/>
        </w:rPr>
        <w:t xml:space="preserve"> </w:t>
      </w:r>
      <w:r w:rsidRPr="00BD1C17">
        <w:rPr>
          <w:rFonts w:ascii="Euclid" w:hAnsi="Euclid" w:cs="Euclid"/>
          <w:sz w:val="20"/>
          <w:szCs w:val="20"/>
        </w:rPr>
        <w:t>clustered</w:t>
      </w:r>
      <w:r w:rsidRPr="00BD1C17">
        <w:rPr>
          <w:rFonts w:ascii="Euclid" w:hAnsi="Euclid" w:cs="Euclid"/>
          <w:spacing w:val="29"/>
          <w:sz w:val="20"/>
          <w:szCs w:val="20"/>
        </w:rPr>
        <w:t xml:space="preserve"> </w:t>
      </w:r>
      <w:r w:rsidRPr="00BD1C17">
        <w:rPr>
          <w:rFonts w:ascii="Euclid" w:hAnsi="Euclid" w:cs="Euclid"/>
          <w:sz w:val="20"/>
          <w:szCs w:val="20"/>
        </w:rPr>
        <w:t>by</w:t>
      </w:r>
      <w:r w:rsidRPr="00BD1C17">
        <w:rPr>
          <w:rFonts w:ascii="Euclid" w:hAnsi="Euclid" w:cs="Euclid"/>
          <w:spacing w:val="29"/>
          <w:sz w:val="20"/>
          <w:szCs w:val="20"/>
        </w:rPr>
        <w:t xml:space="preserve"> </w:t>
      </w:r>
      <w:r w:rsidRPr="00BD1C17">
        <w:rPr>
          <w:rFonts w:ascii="Euclid" w:hAnsi="Euclid" w:cs="Euclid"/>
          <w:sz w:val="20"/>
          <w:szCs w:val="20"/>
        </w:rPr>
        <w:t>year.</w:t>
      </w:r>
      <w:r w:rsidRPr="00BD1C17">
        <w:rPr>
          <w:rFonts w:ascii="Euclid" w:hAnsi="Euclid" w:cs="Euclid"/>
          <w:spacing w:val="78"/>
          <w:w w:val="150"/>
          <w:sz w:val="20"/>
          <w:szCs w:val="20"/>
        </w:rPr>
        <w:t xml:space="preserve"> </w:t>
      </w:r>
      <w:r w:rsidRPr="00BD1C17">
        <w:rPr>
          <w:rFonts w:ascii="Euclid" w:hAnsi="Euclid" w:cs="Euclid"/>
          <w:sz w:val="20"/>
          <w:szCs w:val="20"/>
        </w:rPr>
        <w:t>Stars</w:t>
      </w:r>
      <w:r w:rsidRPr="00BD1C17">
        <w:rPr>
          <w:rFonts w:ascii="Euclid" w:hAnsi="Euclid" w:cs="Euclid"/>
          <w:spacing w:val="29"/>
          <w:sz w:val="20"/>
          <w:szCs w:val="20"/>
        </w:rPr>
        <w:t xml:space="preserve"> </w:t>
      </w:r>
      <w:r w:rsidRPr="00BD1C17">
        <w:rPr>
          <w:rFonts w:ascii="Euclid" w:hAnsi="Euclid" w:cs="Euclid"/>
          <w:sz w:val="20"/>
          <w:szCs w:val="20"/>
        </w:rPr>
        <w:t>denote</w:t>
      </w:r>
      <w:r w:rsidRPr="00BD1C17">
        <w:rPr>
          <w:rFonts w:ascii="Euclid" w:hAnsi="Euclid" w:cs="Euclid"/>
          <w:spacing w:val="29"/>
          <w:sz w:val="20"/>
          <w:szCs w:val="20"/>
        </w:rPr>
        <w:t xml:space="preserve"> </w:t>
      </w:r>
      <w:r w:rsidRPr="00BD1C17">
        <w:rPr>
          <w:rFonts w:ascii="Euclid" w:hAnsi="Euclid" w:cs="Euclid"/>
          <w:sz w:val="20"/>
          <w:szCs w:val="20"/>
        </w:rPr>
        <w:t>the</w:t>
      </w:r>
      <w:r w:rsidRPr="00BD1C17">
        <w:rPr>
          <w:rFonts w:ascii="Euclid" w:hAnsi="Euclid" w:cs="Euclid"/>
          <w:spacing w:val="29"/>
          <w:sz w:val="20"/>
          <w:szCs w:val="20"/>
        </w:rPr>
        <w:t xml:space="preserve"> </w:t>
      </w:r>
      <w:r w:rsidRPr="00BD1C17">
        <w:rPr>
          <w:rFonts w:ascii="Euclid" w:hAnsi="Euclid" w:cs="Euclid"/>
          <w:sz w:val="20"/>
          <w:szCs w:val="20"/>
        </w:rPr>
        <w:t>level</w:t>
      </w:r>
      <w:r w:rsidRPr="00BD1C17">
        <w:rPr>
          <w:rFonts w:ascii="Euclid" w:hAnsi="Euclid" w:cs="Euclid"/>
          <w:spacing w:val="29"/>
          <w:sz w:val="20"/>
          <w:szCs w:val="20"/>
        </w:rPr>
        <w:t xml:space="preserve"> </w:t>
      </w:r>
      <w:r w:rsidRPr="00BD1C17">
        <w:rPr>
          <w:rFonts w:ascii="Euclid" w:hAnsi="Euclid" w:cs="Euclid"/>
          <w:sz w:val="20"/>
          <w:szCs w:val="20"/>
        </w:rPr>
        <w:t>of</w:t>
      </w:r>
      <w:r w:rsidRPr="00BD1C17">
        <w:rPr>
          <w:rFonts w:ascii="Euclid" w:hAnsi="Euclid" w:cs="Euclid"/>
          <w:spacing w:val="29"/>
          <w:sz w:val="20"/>
          <w:szCs w:val="20"/>
        </w:rPr>
        <w:t xml:space="preserve"> </w:t>
      </w:r>
      <w:r w:rsidRPr="00BD1C17">
        <w:rPr>
          <w:rFonts w:ascii="Euclid" w:hAnsi="Euclid" w:cs="Euclid"/>
          <w:sz w:val="20"/>
          <w:szCs w:val="20"/>
        </w:rPr>
        <w:t>statistical</w:t>
      </w:r>
      <w:r w:rsidRPr="00BD1C17">
        <w:rPr>
          <w:rFonts w:ascii="Euclid" w:hAnsi="Euclid" w:cs="Euclid"/>
          <w:spacing w:val="-1"/>
          <w:sz w:val="20"/>
          <w:szCs w:val="20"/>
        </w:rPr>
        <w:t xml:space="preserve"> </w:t>
      </w:r>
      <w:r w:rsidRPr="00BD1C17">
        <w:rPr>
          <w:rFonts w:ascii="Euclid" w:hAnsi="Euclid" w:cs="Euclid"/>
          <w:sz w:val="20"/>
          <w:szCs w:val="20"/>
        </w:rPr>
        <w:t>significance</w:t>
      </w:r>
      <w:r w:rsidRPr="00BD1C17">
        <w:rPr>
          <w:rFonts w:ascii="Euclid" w:hAnsi="Euclid" w:cs="Euclid"/>
          <w:spacing w:val="-1"/>
          <w:sz w:val="20"/>
          <w:szCs w:val="20"/>
        </w:rPr>
        <w:t xml:space="preserve"> </w:t>
      </w:r>
      <w:r w:rsidRPr="00BD1C17">
        <w:rPr>
          <w:rFonts w:ascii="Sitka Small" w:hAnsi="Sitka Small" w:cs="Sitka Small"/>
          <w:i/>
          <w:iCs/>
          <w:sz w:val="20"/>
          <w:szCs w:val="20"/>
          <w:vertAlign w:val="superscript"/>
        </w:rPr>
        <w:t>t</w:t>
      </w:r>
      <w:r w:rsidRPr="00BD1C17">
        <w:rPr>
          <w:rFonts w:ascii="Sitka Small" w:hAnsi="Sitka Small" w:cs="Sitka Small"/>
          <w:i/>
          <w:iCs/>
          <w:spacing w:val="13"/>
          <w:sz w:val="20"/>
          <w:szCs w:val="20"/>
        </w:rPr>
        <w:t xml:space="preserve"> </w:t>
      </w:r>
      <w:r w:rsidRPr="00BD1C17">
        <w:rPr>
          <w:rFonts w:ascii="Bookman Old Style" w:hAnsi="Bookman Old Style" w:cs="Bookman Old Style"/>
          <w:i/>
          <w:iCs/>
          <w:sz w:val="20"/>
          <w:szCs w:val="20"/>
        </w:rPr>
        <w:t>p</w:t>
      </w:r>
      <w:r w:rsidRPr="00BD1C17">
        <w:rPr>
          <w:rFonts w:ascii="Bookman Old Style" w:hAnsi="Bookman Old Style" w:cs="Bookman Old Style"/>
          <w:i/>
          <w:iCs/>
          <w:spacing w:val="-6"/>
          <w:sz w:val="20"/>
          <w:szCs w:val="20"/>
        </w:rPr>
        <w:t xml:space="preserve"> </w:t>
      </w:r>
      <w:r w:rsidRPr="00BD1C17">
        <w:rPr>
          <w:rFonts w:ascii="Bookman Old Style" w:hAnsi="Bookman Old Style" w:cs="Bookman Old Style"/>
          <w:i/>
          <w:iCs/>
          <w:sz w:val="20"/>
          <w:szCs w:val="20"/>
        </w:rPr>
        <w:t>&lt;</w:t>
      </w:r>
      <w:r w:rsidRPr="00BD1C17">
        <w:rPr>
          <w:rFonts w:ascii="Bookman Old Style" w:hAnsi="Bookman Old Style" w:cs="Bookman Old Style"/>
          <w:i/>
          <w:iCs/>
          <w:spacing w:val="-6"/>
          <w:sz w:val="20"/>
          <w:szCs w:val="20"/>
        </w:rPr>
        <w:t xml:space="preserve"> </w:t>
      </w:r>
      <w:r w:rsidRPr="00BD1C17">
        <w:rPr>
          <w:rFonts w:ascii="Euclid" w:hAnsi="Euclid" w:cs="Euclid"/>
          <w:sz w:val="20"/>
          <w:szCs w:val="20"/>
        </w:rPr>
        <w:t>0</w:t>
      </w:r>
      <w:r w:rsidRPr="00BD1C17">
        <w:rPr>
          <w:rFonts w:ascii="Bookman Old Style" w:hAnsi="Bookman Old Style" w:cs="Bookman Old Style"/>
          <w:i/>
          <w:iCs/>
          <w:sz w:val="20"/>
          <w:szCs w:val="20"/>
        </w:rPr>
        <w:t>.</w:t>
      </w:r>
      <w:r w:rsidRPr="00BD1C17">
        <w:rPr>
          <w:rFonts w:ascii="Euclid" w:hAnsi="Euclid" w:cs="Euclid"/>
          <w:sz w:val="20"/>
          <w:szCs w:val="20"/>
        </w:rPr>
        <w:t>15</w:t>
      </w:r>
      <w:r w:rsidRPr="00BD1C17">
        <w:rPr>
          <w:rFonts w:ascii="Euclid" w:hAnsi="Euclid" w:cs="Euclid"/>
          <w:spacing w:val="-2"/>
          <w:sz w:val="20"/>
          <w:szCs w:val="20"/>
        </w:rPr>
        <w:t xml:space="preserve"> </w:t>
      </w:r>
      <w:r w:rsidRPr="00BD1C17">
        <w:rPr>
          <w:rFonts w:ascii="Lucida Sans Unicode" w:hAnsi="Lucida Sans Unicode" w:cs="Lucida Sans Unicode"/>
          <w:sz w:val="20"/>
          <w:szCs w:val="20"/>
          <w:vertAlign w:val="superscript"/>
        </w:rPr>
        <w:t>∗</w:t>
      </w:r>
      <w:r w:rsidRPr="00BD1C17">
        <w:rPr>
          <w:rFonts w:ascii="Lucida Sans Unicode" w:hAnsi="Lucida Sans Unicode" w:cs="Lucida Sans Unicode"/>
          <w:spacing w:val="12"/>
          <w:sz w:val="20"/>
          <w:szCs w:val="20"/>
        </w:rPr>
        <w:t xml:space="preserve"> </w:t>
      </w:r>
      <w:r w:rsidRPr="00BD1C17">
        <w:rPr>
          <w:rFonts w:ascii="Bookman Old Style" w:hAnsi="Bookman Old Style" w:cs="Bookman Old Style"/>
          <w:i/>
          <w:iCs/>
          <w:sz w:val="20"/>
          <w:szCs w:val="20"/>
        </w:rPr>
        <w:t>p</w:t>
      </w:r>
      <w:r w:rsidRPr="00BD1C17">
        <w:rPr>
          <w:rFonts w:ascii="Bookman Old Style" w:hAnsi="Bookman Old Style" w:cs="Bookman Old Style"/>
          <w:i/>
          <w:iCs/>
          <w:spacing w:val="-6"/>
          <w:sz w:val="20"/>
          <w:szCs w:val="20"/>
        </w:rPr>
        <w:t xml:space="preserve"> </w:t>
      </w:r>
      <w:r w:rsidRPr="00BD1C17">
        <w:rPr>
          <w:rFonts w:ascii="Bookman Old Style" w:hAnsi="Bookman Old Style" w:cs="Bookman Old Style"/>
          <w:i/>
          <w:iCs/>
          <w:sz w:val="20"/>
          <w:szCs w:val="20"/>
        </w:rPr>
        <w:t>&lt;</w:t>
      </w:r>
      <w:r w:rsidRPr="00BD1C17">
        <w:rPr>
          <w:rFonts w:ascii="Bookman Old Style" w:hAnsi="Bookman Old Style" w:cs="Bookman Old Style"/>
          <w:i/>
          <w:iCs/>
          <w:spacing w:val="-6"/>
          <w:sz w:val="20"/>
          <w:szCs w:val="20"/>
        </w:rPr>
        <w:t xml:space="preserve"> </w:t>
      </w:r>
      <w:r w:rsidRPr="00BD1C17">
        <w:rPr>
          <w:rFonts w:ascii="Euclid" w:hAnsi="Euclid" w:cs="Euclid"/>
          <w:sz w:val="20"/>
          <w:szCs w:val="20"/>
        </w:rPr>
        <w:t>0</w:t>
      </w:r>
      <w:r w:rsidRPr="00BD1C17">
        <w:rPr>
          <w:rFonts w:ascii="Bookman Old Style" w:hAnsi="Bookman Old Style" w:cs="Bookman Old Style"/>
          <w:i/>
          <w:iCs/>
          <w:sz w:val="20"/>
          <w:szCs w:val="20"/>
        </w:rPr>
        <w:t>.</w:t>
      </w:r>
      <w:r w:rsidRPr="00BD1C17">
        <w:rPr>
          <w:rFonts w:ascii="Euclid" w:hAnsi="Euclid" w:cs="Euclid"/>
          <w:sz w:val="20"/>
          <w:szCs w:val="20"/>
        </w:rPr>
        <w:t>1,</w:t>
      </w:r>
      <w:r w:rsidRPr="00BD1C17">
        <w:rPr>
          <w:rFonts w:ascii="Euclid" w:hAnsi="Euclid" w:cs="Euclid"/>
          <w:spacing w:val="-2"/>
          <w:sz w:val="20"/>
          <w:szCs w:val="20"/>
        </w:rPr>
        <w:t xml:space="preserve"> </w:t>
      </w:r>
      <w:r w:rsidRPr="00BD1C17">
        <w:rPr>
          <w:rFonts w:ascii="Lucida Sans Unicode" w:hAnsi="Lucida Sans Unicode" w:cs="Lucida Sans Unicode"/>
          <w:sz w:val="20"/>
          <w:szCs w:val="20"/>
          <w:vertAlign w:val="superscript"/>
        </w:rPr>
        <w:t>∗∗</w:t>
      </w:r>
      <w:r w:rsidRPr="00BD1C17">
        <w:rPr>
          <w:rFonts w:ascii="Lucida Sans Unicode" w:hAnsi="Lucida Sans Unicode" w:cs="Lucida Sans Unicode"/>
          <w:spacing w:val="12"/>
          <w:sz w:val="20"/>
          <w:szCs w:val="20"/>
        </w:rPr>
        <w:t xml:space="preserve"> </w:t>
      </w:r>
      <w:r w:rsidRPr="00BD1C17">
        <w:rPr>
          <w:rFonts w:ascii="Bookman Old Style" w:hAnsi="Bookman Old Style" w:cs="Bookman Old Style"/>
          <w:i/>
          <w:iCs/>
          <w:sz w:val="20"/>
          <w:szCs w:val="20"/>
        </w:rPr>
        <w:t>p</w:t>
      </w:r>
      <w:r w:rsidRPr="00BD1C17">
        <w:rPr>
          <w:rFonts w:ascii="Bookman Old Style" w:hAnsi="Bookman Old Style" w:cs="Bookman Old Style"/>
          <w:i/>
          <w:iCs/>
          <w:spacing w:val="-6"/>
          <w:sz w:val="20"/>
          <w:szCs w:val="20"/>
        </w:rPr>
        <w:t xml:space="preserve"> </w:t>
      </w:r>
      <w:r w:rsidRPr="00BD1C17">
        <w:rPr>
          <w:rFonts w:ascii="Bookman Old Style" w:hAnsi="Bookman Old Style" w:cs="Bookman Old Style"/>
          <w:i/>
          <w:iCs/>
          <w:sz w:val="20"/>
          <w:szCs w:val="20"/>
        </w:rPr>
        <w:t>&lt;</w:t>
      </w:r>
      <w:r w:rsidRPr="00BD1C17">
        <w:rPr>
          <w:rFonts w:ascii="Bookman Old Style" w:hAnsi="Bookman Old Style" w:cs="Bookman Old Style"/>
          <w:i/>
          <w:iCs/>
          <w:spacing w:val="-6"/>
          <w:sz w:val="20"/>
          <w:szCs w:val="20"/>
        </w:rPr>
        <w:t xml:space="preserve"> </w:t>
      </w:r>
      <w:r w:rsidRPr="00BD1C17">
        <w:rPr>
          <w:rFonts w:ascii="Euclid" w:hAnsi="Euclid" w:cs="Euclid"/>
          <w:sz w:val="20"/>
          <w:szCs w:val="20"/>
        </w:rPr>
        <w:t>0</w:t>
      </w:r>
      <w:r w:rsidRPr="00BD1C17">
        <w:rPr>
          <w:rFonts w:ascii="Bookman Old Style" w:hAnsi="Bookman Old Style" w:cs="Bookman Old Style"/>
          <w:i/>
          <w:iCs/>
          <w:sz w:val="20"/>
          <w:szCs w:val="20"/>
        </w:rPr>
        <w:t>.</w:t>
      </w:r>
      <w:r w:rsidRPr="00BD1C17">
        <w:rPr>
          <w:rFonts w:ascii="Euclid" w:hAnsi="Euclid" w:cs="Euclid"/>
          <w:sz w:val="20"/>
          <w:szCs w:val="20"/>
        </w:rPr>
        <w:t>05,</w:t>
      </w:r>
      <w:r w:rsidRPr="00BD1C17">
        <w:rPr>
          <w:rFonts w:ascii="Euclid" w:hAnsi="Euclid" w:cs="Euclid"/>
          <w:spacing w:val="-2"/>
          <w:sz w:val="20"/>
          <w:szCs w:val="20"/>
        </w:rPr>
        <w:t xml:space="preserve"> </w:t>
      </w:r>
      <w:r w:rsidRPr="00BD1C17">
        <w:rPr>
          <w:rFonts w:ascii="Lucida Sans Unicode" w:hAnsi="Lucida Sans Unicode" w:cs="Lucida Sans Unicode"/>
          <w:sz w:val="20"/>
          <w:szCs w:val="20"/>
          <w:vertAlign w:val="superscript"/>
        </w:rPr>
        <w:t>∗∗∗</w:t>
      </w:r>
      <w:r w:rsidRPr="00BD1C17">
        <w:rPr>
          <w:rFonts w:ascii="Lucida Sans Unicode" w:hAnsi="Lucida Sans Unicode" w:cs="Lucida Sans Unicode"/>
          <w:spacing w:val="12"/>
          <w:sz w:val="20"/>
          <w:szCs w:val="20"/>
        </w:rPr>
        <w:t xml:space="preserve"> </w:t>
      </w:r>
      <w:r w:rsidRPr="00BD1C17">
        <w:rPr>
          <w:rFonts w:ascii="Bookman Old Style" w:hAnsi="Bookman Old Style" w:cs="Bookman Old Style"/>
          <w:i/>
          <w:iCs/>
          <w:sz w:val="20"/>
          <w:szCs w:val="20"/>
        </w:rPr>
        <w:t>p</w:t>
      </w:r>
      <w:r w:rsidRPr="00BD1C17">
        <w:rPr>
          <w:rFonts w:ascii="Bookman Old Style" w:hAnsi="Bookman Old Style" w:cs="Bookman Old Style"/>
          <w:i/>
          <w:iCs/>
          <w:spacing w:val="-6"/>
          <w:sz w:val="20"/>
          <w:szCs w:val="20"/>
        </w:rPr>
        <w:t xml:space="preserve"> </w:t>
      </w:r>
      <w:r w:rsidRPr="00BD1C17">
        <w:rPr>
          <w:rFonts w:ascii="Bookman Old Style" w:hAnsi="Bookman Old Style" w:cs="Bookman Old Style"/>
          <w:i/>
          <w:iCs/>
          <w:sz w:val="20"/>
          <w:szCs w:val="20"/>
        </w:rPr>
        <w:t>&lt;</w:t>
      </w:r>
      <w:r w:rsidRPr="00BD1C17">
        <w:rPr>
          <w:rFonts w:ascii="Bookman Old Style" w:hAnsi="Bookman Old Style" w:cs="Bookman Old Style"/>
          <w:i/>
          <w:iCs/>
          <w:spacing w:val="-6"/>
          <w:sz w:val="20"/>
          <w:szCs w:val="20"/>
        </w:rPr>
        <w:t xml:space="preserve"> </w:t>
      </w:r>
      <w:r w:rsidRPr="00BD1C17">
        <w:rPr>
          <w:rFonts w:ascii="Euclid" w:hAnsi="Euclid" w:cs="Euclid"/>
          <w:sz w:val="20"/>
          <w:szCs w:val="20"/>
        </w:rPr>
        <w:t>0</w:t>
      </w:r>
      <w:r w:rsidRPr="00BD1C17">
        <w:rPr>
          <w:rFonts w:ascii="Bookman Old Style" w:hAnsi="Bookman Old Style" w:cs="Bookman Old Style"/>
          <w:i/>
          <w:iCs/>
          <w:sz w:val="20"/>
          <w:szCs w:val="20"/>
        </w:rPr>
        <w:t>.</w:t>
      </w:r>
      <w:r w:rsidRPr="00BD1C17">
        <w:rPr>
          <w:rFonts w:ascii="Euclid" w:hAnsi="Euclid" w:cs="Euclid"/>
          <w:sz w:val="20"/>
          <w:szCs w:val="20"/>
        </w:rPr>
        <w:t>01.</w:t>
      </w:r>
    </w:p>
    <w:p w14:paraId="5D624D9A" w14:textId="77777777" w:rsidR="004D49E9" w:rsidRDefault="004D49E9" w:rsidP="00C948BD">
      <w:pPr>
        <w:jc w:val="center"/>
        <w:rPr>
          <w:rFonts w:asciiTheme="majorBidi" w:hAnsiTheme="majorBidi" w:cstheme="majorBidi"/>
          <w:sz w:val="24"/>
          <w:szCs w:val="24"/>
        </w:rPr>
      </w:pPr>
    </w:p>
    <w:p w14:paraId="4323E63D" w14:textId="5C455858" w:rsidR="004D49E9" w:rsidRDefault="004D49E9" w:rsidP="00A13C7B">
      <w:pPr>
        <w:spacing w:after="120" w:line="360" w:lineRule="auto"/>
        <w:rPr>
          <w:rFonts w:asciiTheme="majorBidi" w:hAnsiTheme="majorBidi" w:cstheme="majorBidi"/>
          <w:sz w:val="24"/>
          <w:szCs w:val="24"/>
        </w:rPr>
      </w:pPr>
      <w:r>
        <w:rPr>
          <w:rFonts w:asciiTheme="majorBidi" w:hAnsiTheme="majorBidi" w:cstheme="majorBidi"/>
          <w:sz w:val="24"/>
          <w:szCs w:val="24"/>
        </w:rPr>
        <w:t>From the tables above we get that our results are not being driven by one type of offense or another. The magnitude of the effect</w:t>
      </w:r>
      <w:r w:rsidR="003E1CBF">
        <w:rPr>
          <w:rFonts w:asciiTheme="majorBidi" w:hAnsiTheme="majorBidi" w:cstheme="majorBidi"/>
          <w:sz w:val="24"/>
          <w:szCs w:val="24"/>
        </w:rPr>
        <w:t>s</w:t>
      </w:r>
      <w:r>
        <w:rPr>
          <w:rFonts w:asciiTheme="majorBidi" w:hAnsiTheme="majorBidi" w:cstheme="majorBidi"/>
          <w:sz w:val="24"/>
          <w:szCs w:val="24"/>
        </w:rPr>
        <w:t xml:space="preserve"> are quite similar across the different types of offenses, with </w:t>
      </w:r>
      <w:r>
        <w:rPr>
          <w:rFonts w:asciiTheme="majorBidi" w:hAnsiTheme="majorBidi" w:cstheme="majorBidi"/>
          <w:sz w:val="24"/>
          <w:szCs w:val="24"/>
        </w:rPr>
        <w:lastRenderedPageBreak/>
        <w:t xml:space="preserve">the exemption of Sex-Family type (important to note that the number of such cases is quite small relative to the other types of offenses). </w:t>
      </w:r>
    </w:p>
    <w:p w14:paraId="25CDA1FA" w14:textId="2BF3D73A" w:rsidR="002D1B1A" w:rsidRPr="000F7B0E" w:rsidRDefault="00F81D53" w:rsidP="00A13C7B">
      <w:pPr>
        <w:spacing w:after="120" w:line="360" w:lineRule="auto"/>
        <w:jc w:val="center"/>
        <w:rPr>
          <w:rFonts w:asciiTheme="majorBidi" w:hAnsiTheme="majorBidi" w:cstheme="majorBidi"/>
          <w:i/>
          <w:iCs/>
          <w:sz w:val="24"/>
          <w:szCs w:val="24"/>
        </w:rPr>
      </w:pPr>
      <w:r w:rsidRPr="000F7B0E">
        <w:rPr>
          <w:rFonts w:asciiTheme="majorBidi" w:hAnsiTheme="majorBidi" w:cstheme="majorBidi"/>
          <w:i/>
          <w:iCs/>
          <w:sz w:val="24"/>
          <w:szCs w:val="24"/>
        </w:rPr>
        <w:t>C</w:t>
      </w:r>
      <w:r w:rsidR="002D1B1A" w:rsidRPr="000F7B0E">
        <w:rPr>
          <w:rFonts w:asciiTheme="majorBidi" w:hAnsiTheme="majorBidi" w:cstheme="majorBidi"/>
          <w:i/>
          <w:iCs/>
          <w:sz w:val="24"/>
          <w:szCs w:val="24"/>
        </w:rPr>
        <w:t xml:space="preserve">. </w:t>
      </w:r>
      <w:r w:rsidR="00815D69" w:rsidRPr="000F7B0E">
        <w:rPr>
          <w:rFonts w:asciiTheme="majorBidi" w:hAnsiTheme="majorBidi" w:cstheme="majorBidi"/>
          <w:i/>
          <w:iCs/>
          <w:sz w:val="24"/>
          <w:szCs w:val="24"/>
        </w:rPr>
        <w:t>Decisions</w:t>
      </w:r>
      <w:r w:rsidR="008C0E65" w:rsidRPr="000F7B0E">
        <w:rPr>
          <w:rFonts w:asciiTheme="majorBidi" w:hAnsiTheme="majorBidi" w:cstheme="majorBidi"/>
          <w:i/>
          <w:iCs/>
          <w:sz w:val="24"/>
          <w:szCs w:val="24"/>
        </w:rPr>
        <w:t xml:space="preserve"> by Individual Judges </w:t>
      </w:r>
    </w:p>
    <w:p w14:paraId="0D24B9C0" w14:textId="77777777" w:rsidR="00A02F77" w:rsidRDefault="00A02F77" w:rsidP="00A13C7B">
      <w:pPr>
        <w:spacing w:after="120" w:line="360" w:lineRule="auto"/>
        <w:ind w:firstLine="450"/>
        <w:jc w:val="both"/>
        <w:rPr>
          <w:rFonts w:asciiTheme="majorBidi" w:hAnsiTheme="majorBidi" w:cstheme="majorBidi"/>
          <w:sz w:val="24"/>
          <w:szCs w:val="24"/>
        </w:rPr>
      </w:pPr>
      <w:r>
        <w:rPr>
          <w:rFonts w:asciiTheme="majorBidi" w:hAnsiTheme="majorBidi" w:cstheme="majorBidi"/>
          <w:sz w:val="24"/>
          <w:szCs w:val="24"/>
        </w:rPr>
        <w:t>Thus far, I have examined decisions at the panel level, using as a dependent variable a dummy of whether the panel chose a prodefendant outcome. However, a panel decision is a product of the decisions of each of the three individua judges on the panel. When a panel chooses a prodefendant outcome, this implies that at least two of the panel members voted for such an outcome. It might be that all three voted in favor of this outcome, or that two voted in favor of the outcome, and the third dissented and voted against it.</w:t>
      </w:r>
    </w:p>
    <w:p w14:paraId="54F6B857" w14:textId="77777777" w:rsidR="00A02F77" w:rsidRDefault="00A02F77" w:rsidP="00A13C7B">
      <w:pPr>
        <w:spacing w:after="120" w:line="360" w:lineRule="auto"/>
        <w:jc w:val="both"/>
        <w:rPr>
          <w:rFonts w:asciiTheme="majorBidi" w:hAnsiTheme="majorBidi" w:cstheme="majorBidi"/>
          <w:sz w:val="24"/>
          <w:szCs w:val="24"/>
        </w:rPr>
      </w:pPr>
      <w:r>
        <w:rPr>
          <w:rFonts w:asciiTheme="majorBidi" w:hAnsiTheme="majorBidi" w:cstheme="majorBidi"/>
          <w:sz w:val="24"/>
          <w:szCs w:val="24"/>
        </w:rPr>
        <w:tab/>
        <w:t xml:space="preserve">My dataset includes for each Circuit Court decision information on whether one of the judges on the panel dissented from the decision. This enabled me to identify the voting decision of each panel member, for or against a prodefendant outcome, in each of the cases. And Table 9 reports the results of regressions based on set of all individual judge decisions. The dependent variable in all the regressions is a dummy variable equal to 1 if the judge voted for a prodefendant outcome and 0 otherwise. Columns (1), (4), and (7) are run on the full sample of all cases. Columns (2), (5), and (8) are run on the set of unpublished cases. And the remaining columns of (3), (6), and (9) are run on the set of published cases.  </w:t>
      </w:r>
    </w:p>
    <w:p w14:paraId="180AC749" w14:textId="2669FC1C" w:rsidR="00A02F77" w:rsidRDefault="00A02F77" w:rsidP="00A13C7B">
      <w:pPr>
        <w:spacing w:after="120" w:line="360" w:lineRule="auto"/>
        <w:jc w:val="both"/>
        <w:rPr>
          <w:rFonts w:asciiTheme="majorBidi" w:hAnsiTheme="majorBidi" w:cstheme="majorBidi"/>
          <w:sz w:val="24"/>
          <w:szCs w:val="24"/>
        </w:rPr>
      </w:pPr>
      <w:r>
        <w:rPr>
          <w:rFonts w:asciiTheme="majorBidi" w:hAnsiTheme="majorBidi" w:cstheme="majorBidi"/>
          <w:sz w:val="24"/>
          <w:szCs w:val="24"/>
        </w:rPr>
        <w:tab/>
        <w:t xml:space="preserve">The key independent variables are all related to the political affiliations of the judge making the decision and those of the other panel members. For the individual judge making the decision, columns (1) – (3) use a dummy variable that is equal to 1 if the judge is Democratic and 0 otherwise; and Columns (4) – (9) use fixed effects for each of the numerous individual judges in the dataset.  For the other members of the panel, each of the nine columns has a dummy variable equal to 1 if there is one Democratic judge among the other two members of the panel and 0 otherwise, and a dummy variable equal to 1 if both of the other members of the panel are Democratic and 0 otherwise. In addition to these variables with respect to the other panel members, Columns (7) </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9) also include interactions terms for whether the individual judge is democratic and the dummies regarding the political affiliations of the other panel members. In addition to the above independent variables of interest, all regressions have an array of other independent variables as controls, both individual judge characteristics and fixed effects for the Circuit Court and the year. </w:t>
      </w:r>
    </w:p>
    <w:p w14:paraId="708C01A6" w14:textId="77777777" w:rsidR="00A02F77" w:rsidRDefault="00A02F77" w:rsidP="00A13C7B">
      <w:pPr>
        <w:spacing w:after="120" w:line="360" w:lineRule="auto"/>
        <w:jc w:val="both"/>
        <w:rPr>
          <w:rFonts w:asciiTheme="majorBidi" w:hAnsiTheme="majorBidi" w:cstheme="majorBidi"/>
          <w:sz w:val="24"/>
          <w:szCs w:val="24"/>
        </w:rPr>
      </w:pPr>
      <w:r>
        <w:rPr>
          <w:rFonts w:asciiTheme="majorBidi" w:hAnsiTheme="majorBidi" w:cstheme="majorBidi"/>
          <w:sz w:val="24"/>
          <w:szCs w:val="24"/>
        </w:rPr>
        <w:lastRenderedPageBreak/>
        <w:tab/>
        <w:t>The identified association between panel political composition and the odds of prodefendant outcome is a product of (</w:t>
      </w:r>
      <w:proofErr w:type="spellStart"/>
      <w:r>
        <w:rPr>
          <w:rFonts w:asciiTheme="majorBidi" w:hAnsiTheme="majorBidi" w:cstheme="majorBidi"/>
          <w:sz w:val="24"/>
          <w:szCs w:val="24"/>
        </w:rPr>
        <w:t>i</w:t>
      </w:r>
      <w:proofErr w:type="spellEnd"/>
      <w:r>
        <w:rPr>
          <w:rFonts w:asciiTheme="majorBidi" w:hAnsiTheme="majorBidi" w:cstheme="majorBidi"/>
          <w:sz w:val="24"/>
          <w:szCs w:val="24"/>
        </w:rPr>
        <w:t>) the stand-alone prodefendant tendencies that an individual judge might have even if other panel members have no such tendencies, and (ii) the peer effects on the judge that come from prodefendant tendencies of one or the two other panel members. The results in Table 9 enable me to disentangle between these two factors (</w:t>
      </w:r>
      <w:proofErr w:type="spellStart"/>
      <w:r>
        <w:rPr>
          <w:rFonts w:asciiTheme="majorBidi" w:hAnsiTheme="majorBidi" w:cstheme="majorBidi"/>
          <w:sz w:val="24"/>
          <w:szCs w:val="24"/>
        </w:rPr>
        <w:t>i</w:t>
      </w:r>
      <w:proofErr w:type="spellEnd"/>
      <w:r>
        <w:rPr>
          <w:rFonts w:asciiTheme="majorBidi" w:hAnsiTheme="majorBidi" w:cstheme="majorBidi"/>
          <w:sz w:val="24"/>
          <w:szCs w:val="24"/>
        </w:rPr>
        <w:t xml:space="preserve">) and (ii). The results show that both factors play an economically and statically significant role. </w:t>
      </w:r>
    </w:p>
    <w:p w14:paraId="512BB54E" w14:textId="47440CA0" w:rsidR="00815D69" w:rsidRDefault="00815D69" w:rsidP="006F52B1">
      <w:pPr>
        <w:rPr>
          <w:rFonts w:asciiTheme="majorBidi" w:hAnsiTheme="majorBidi" w:cstheme="majorBidi"/>
          <w:sz w:val="24"/>
          <w:szCs w:val="24"/>
        </w:rPr>
      </w:pPr>
    </w:p>
    <w:p w14:paraId="18A523AE" w14:textId="66C5A02F" w:rsidR="003E1CBF" w:rsidRDefault="003E1CBF" w:rsidP="006F52B1">
      <w:pPr>
        <w:rPr>
          <w:rFonts w:asciiTheme="majorBidi" w:hAnsiTheme="majorBidi" w:cstheme="majorBidi"/>
          <w:sz w:val="24"/>
          <w:szCs w:val="24"/>
        </w:rPr>
      </w:pPr>
      <w:r w:rsidRPr="003E1CBF">
        <w:rPr>
          <w:rFonts w:asciiTheme="majorBidi" w:hAnsiTheme="majorBidi" w:cstheme="majorBidi"/>
          <w:noProof/>
          <w:sz w:val="24"/>
          <w:szCs w:val="24"/>
        </w:rPr>
        <w:drawing>
          <wp:inline distT="0" distB="0" distL="0" distR="0" wp14:anchorId="0965C1E3" wp14:editId="584D0AAE">
            <wp:extent cx="6357769" cy="4883899"/>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7769" cy="4883899"/>
                    </a:xfrm>
                    <a:prstGeom prst="rect">
                      <a:avLst/>
                    </a:prstGeom>
                    <a:noFill/>
                    <a:ln>
                      <a:noFill/>
                    </a:ln>
                  </pic:spPr>
                </pic:pic>
              </a:graphicData>
            </a:graphic>
          </wp:inline>
        </w:drawing>
      </w:r>
    </w:p>
    <w:p w14:paraId="166D08AF" w14:textId="77777777" w:rsidR="000F7B0E" w:rsidRDefault="000F7B0E" w:rsidP="000F7B0E">
      <w:pPr>
        <w:spacing w:after="120" w:line="360" w:lineRule="auto"/>
        <w:jc w:val="center"/>
        <w:rPr>
          <w:rFonts w:asciiTheme="majorBidi" w:hAnsiTheme="majorBidi" w:cstheme="majorBidi"/>
          <w:sz w:val="28"/>
          <w:szCs w:val="28"/>
        </w:rPr>
      </w:pPr>
    </w:p>
    <w:p w14:paraId="62111EF8" w14:textId="2DB5117F" w:rsidR="00E600C1" w:rsidRPr="000F7B0E" w:rsidRDefault="00E600C1" w:rsidP="000F7B0E">
      <w:pPr>
        <w:spacing w:after="120" w:line="360" w:lineRule="auto"/>
        <w:jc w:val="center"/>
        <w:rPr>
          <w:rFonts w:asciiTheme="majorBidi" w:hAnsiTheme="majorBidi" w:cstheme="majorBidi"/>
          <w:sz w:val="28"/>
          <w:szCs w:val="28"/>
        </w:rPr>
      </w:pPr>
      <w:r w:rsidRPr="000F7B0E">
        <w:rPr>
          <w:rFonts w:asciiTheme="majorBidi" w:hAnsiTheme="majorBidi" w:cstheme="majorBidi"/>
          <w:sz w:val="28"/>
          <w:szCs w:val="28"/>
        </w:rPr>
        <w:t>V. Conclusion</w:t>
      </w:r>
    </w:p>
    <w:p w14:paraId="3EB41A29" w14:textId="4A40F887" w:rsidR="00CD73C4" w:rsidRDefault="004A7894" w:rsidP="000F7B0E">
      <w:pPr>
        <w:spacing w:after="120" w:line="360" w:lineRule="auto"/>
        <w:rPr>
          <w:rFonts w:asciiTheme="majorBidi" w:hAnsiTheme="majorBidi" w:cstheme="majorBidi"/>
          <w:sz w:val="24"/>
          <w:szCs w:val="24"/>
        </w:rPr>
      </w:pPr>
      <w:r>
        <w:rPr>
          <w:rFonts w:asciiTheme="majorBidi" w:hAnsiTheme="majorBidi" w:cstheme="majorBidi"/>
          <w:sz w:val="24"/>
          <w:szCs w:val="24"/>
        </w:rPr>
        <w:tab/>
        <w:t xml:space="preserve">My analysis of </w:t>
      </w:r>
      <w:r w:rsidR="00D73E17">
        <w:rPr>
          <w:rFonts w:asciiTheme="majorBidi" w:hAnsiTheme="majorBidi" w:cstheme="majorBidi"/>
          <w:sz w:val="24"/>
          <w:szCs w:val="24"/>
        </w:rPr>
        <w:t xml:space="preserve">a vast number of </w:t>
      </w:r>
      <w:r>
        <w:rPr>
          <w:rFonts w:asciiTheme="majorBidi" w:hAnsiTheme="majorBidi" w:cstheme="majorBidi"/>
          <w:sz w:val="24"/>
          <w:szCs w:val="24"/>
        </w:rPr>
        <w:t xml:space="preserve">Circuit Court decisions </w:t>
      </w:r>
      <w:r w:rsidR="00BC498C">
        <w:rPr>
          <w:rFonts w:asciiTheme="majorBidi" w:hAnsiTheme="majorBidi" w:cstheme="majorBidi"/>
          <w:sz w:val="24"/>
          <w:szCs w:val="24"/>
        </w:rPr>
        <w:t xml:space="preserve">in criminal appeals indicates that how </w:t>
      </w:r>
      <w:r w:rsidR="00937462">
        <w:rPr>
          <w:rFonts w:asciiTheme="majorBidi" w:hAnsiTheme="majorBidi" w:cstheme="majorBidi"/>
          <w:sz w:val="24"/>
          <w:szCs w:val="24"/>
        </w:rPr>
        <w:t>a criminal defendant fare</w:t>
      </w:r>
      <w:r w:rsidR="00BC498C">
        <w:rPr>
          <w:rFonts w:asciiTheme="majorBidi" w:hAnsiTheme="majorBidi" w:cstheme="majorBidi"/>
          <w:sz w:val="24"/>
          <w:szCs w:val="24"/>
        </w:rPr>
        <w:t>s</w:t>
      </w:r>
      <w:r w:rsidR="00937462">
        <w:rPr>
          <w:rFonts w:asciiTheme="majorBidi" w:hAnsiTheme="majorBidi" w:cstheme="majorBidi"/>
          <w:sz w:val="24"/>
          <w:szCs w:val="24"/>
        </w:rPr>
        <w:t xml:space="preserve"> depends significantly on the luck of the draw </w:t>
      </w:r>
      <w:r w:rsidR="00BC498C">
        <w:rPr>
          <w:rFonts w:asciiTheme="majorBidi" w:hAnsiTheme="majorBidi" w:cstheme="majorBidi"/>
          <w:sz w:val="24"/>
          <w:szCs w:val="24"/>
        </w:rPr>
        <w:t xml:space="preserve">– in particular, on </w:t>
      </w:r>
      <w:r w:rsidR="00BC498C">
        <w:rPr>
          <w:rFonts w:asciiTheme="majorBidi" w:hAnsiTheme="majorBidi" w:cstheme="majorBidi"/>
          <w:sz w:val="24"/>
          <w:szCs w:val="24"/>
        </w:rPr>
        <w:lastRenderedPageBreak/>
        <w:t xml:space="preserve">the composition </w:t>
      </w:r>
      <w:r w:rsidR="00074811">
        <w:rPr>
          <w:rFonts w:asciiTheme="majorBidi" w:hAnsiTheme="majorBidi" w:cstheme="majorBidi"/>
          <w:sz w:val="24"/>
          <w:szCs w:val="24"/>
        </w:rPr>
        <w:t xml:space="preserve">of the </w:t>
      </w:r>
      <w:r w:rsidR="00937462">
        <w:rPr>
          <w:rFonts w:asciiTheme="majorBidi" w:hAnsiTheme="majorBidi" w:cstheme="majorBidi"/>
          <w:sz w:val="24"/>
          <w:szCs w:val="24"/>
        </w:rPr>
        <w:t>panel to which the appeal in the def</w:t>
      </w:r>
      <w:r w:rsidR="00811296">
        <w:rPr>
          <w:rFonts w:asciiTheme="majorBidi" w:hAnsiTheme="majorBidi" w:cstheme="majorBidi"/>
          <w:sz w:val="24"/>
          <w:szCs w:val="24"/>
        </w:rPr>
        <w:t>e</w:t>
      </w:r>
      <w:r w:rsidR="00937462">
        <w:rPr>
          <w:rFonts w:asciiTheme="majorBidi" w:hAnsiTheme="majorBidi" w:cstheme="majorBidi"/>
          <w:sz w:val="24"/>
          <w:szCs w:val="24"/>
        </w:rPr>
        <w:t xml:space="preserve">ndant’s case will be randomly assigned. </w:t>
      </w:r>
      <w:r w:rsidR="00811296">
        <w:rPr>
          <w:rFonts w:asciiTheme="majorBidi" w:hAnsiTheme="majorBidi" w:cstheme="majorBidi"/>
          <w:sz w:val="24"/>
          <w:szCs w:val="24"/>
        </w:rPr>
        <w:t>The more Democrat</w:t>
      </w:r>
      <w:r w:rsidR="00D73E17">
        <w:rPr>
          <w:rFonts w:asciiTheme="majorBidi" w:hAnsiTheme="majorBidi" w:cstheme="majorBidi"/>
          <w:sz w:val="24"/>
          <w:szCs w:val="24"/>
        </w:rPr>
        <w:t>ic judg</w:t>
      </w:r>
      <w:r w:rsidR="008A68A8">
        <w:rPr>
          <w:rFonts w:asciiTheme="majorBidi" w:hAnsiTheme="majorBidi" w:cstheme="majorBidi"/>
          <w:sz w:val="24"/>
          <w:szCs w:val="24"/>
        </w:rPr>
        <w:t>e</w:t>
      </w:r>
      <w:r w:rsidR="00D73E17">
        <w:rPr>
          <w:rFonts w:asciiTheme="majorBidi" w:hAnsiTheme="majorBidi" w:cstheme="majorBidi"/>
          <w:sz w:val="24"/>
          <w:szCs w:val="24"/>
        </w:rPr>
        <w:t xml:space="preserve">s </w:t>
      </w:r>
      <w:r w:rsidR="00074811">
        <w:rPr>
          <w:rFonts w:asciiTheme="majorBidi" w:hAnsiTheme="majorBidi" w:cstheme="majorBidi"/>
          <w:sz w:val="24"/>
          <w:szCs w:val="24"/>
        </w:rPr>
        <w:t xml:space="preserve">are on </w:t>
      </w:r>
      <w:r w:rsidR="008A68A8">
        <w:rPr>
          <w:rFonts w:asciiTheme="majorBidi" w:hAnsiTheme="majorBidi" w:cstheme="majorBidi"/>
          <w:sz w:val="24"/>
          <w:szCs w:val="24"/>
        </w:rPr>
        <w:t xml:space="preserve">a </w:t>
      </w:r>
      <w:r w:rsidR="00074811">
        <w:rPr>
          <w:rFonts w:asciiTheme="majorBidi" w:hAnsiTheme="majorBidi" w:cstheme="majorBidi"/>
          <w:sz w:val="24"/>
          <w:szCs w:val="24"/>
        </w:rPr>
        <w:t xml:space="preserve">panel, the more likely a prodefendant outcome. </w:t>
      </w:r>
      <w:r w:rsidR="00D73E17">
        <w:rPr>
          <w:rFonts w:asciiTheme="majorBidi" w:hAnsiTheme="majorBidi" w:cstheme="majorBidi"/>
          <w:sz w:val="24"/>
          <w:szCs w:val="24"/>
        </w:rPr>
        <w:t xml:space="preserve">The more Republican judges are on the panel, the less likely a procedural outcome. Thus, </w:t>
      </w:r>
      <w:r w:rsidR="00BD4435">
        <w:rPr>
          <w:rFonts w:asciiTheme="majorBidi" w:hAnsiTheme="majorBidi" w:cstheme="majorBidi"/>
          <w:sz w:val="24"/>
          <w:szCs w:val="24"/>
        </w:rPr>
        <w:t xml:space="preserve">my </w:t>
      </w:r>
      <w:r w:rsidR="00CD73C4">
        <w:rPr>
          <w:rFonts w:asciiTheme="majorBidi" w:hAnsiTheme="majorBidi" w:cstheme="majorBidi"/>
          <w:sz w:val="24"/>
          <w:szCs w:val="24"/>
        </w:rPr>
        <w:t xml:space="preserve">results </w:t>
      </w:r>
      <w:r w:rsidR="00CD73C4" w:rsidRPr="008A2792">
        <w:rPr>
          <w:rFonts w:asciiTheme="majorBidi" w:hAnsiTheme="majorBidi" w:cstheme="majorBidi"/>
          <w:sz w:val="24"/>
          <w:szCs w:val="24"/>
        </w:rPr>
        <w:t xml:space="preserve">identify </w:t>
      </w:r>
      <w:r w:rsidR="00CD73C4">
        <w:rPr>
          <w:rFonts w:asciiTheme="majorBidi" w:hAnsiTheme="majorBidi" w:cstheme="majorBidi"/>
          <w:sz w:val="24"/>
          <w:szCs w:val="24"/>
        </w:rPr>
        <w:t xml:space="preserve">and analyze </w:t>
      </w:r>
      <w:r w:rsidR="00CD73C4" w:rsidRPr="008A2792">
        <w:rPr>
          <w:rFonts w:asciiTheme="majorBidi" w:hAnsiTheme="majorBidi" w:cstheme="majorBidi"/>
          <w:sz w:val="24"/>
          <w:szCs w:val="24"/>
        </w:rPr>
        <w:t xml:space="preserve">a significant way in which the political appointments of federal judges affect outcomes in the federal criminal justice system.  </w:t>
      </w:r>
    </w:p>
    <w:p w14:paraId="0932C0C5" w14:textId="77777777" w:rsidR="00CF0AA0" w:rsidRDefault="00CF0AA0" w:rsidP="000F7B0E">
      <w:pPr>
        <w:spacing w:after="120" w:line="360" w:lineRule="auto"/>
        <w:rPr>
          <w:rFonts w:asciiTheme="majorBidi" w:hAnsiTheme="majorBidi" w:cstheme="majorBidi"/>
          <w:noProof/>
          <w:sz w:val="24"/>
          <w:szCs w:val="24"/>
          <w:u w:val="single"/>
        </w:rPr>
      </w:pPr>
      <w:r>
        <w:rPr>
          <w:rFonts w:asciiTheme="majorBidi" w:hAnsiTheme="majorBidi" w:cstheme="majorBidi"/>
          <w:noProof/>
          <w:sz w:val="24"/>
          <w:szCs w:val="24"/>
          <w:u w:val="single"/>
        </w:rPr>
        <w:br w:type="page"/>
      </w:r>
    </w:p>
    <w:p w14:paraId="1D2AA275" w14:textId="3FD5D3FF" w:rsidR="00D92DB2" w:rsidRPr="000F7B0E" w:rsidRDefault="00D92DB2" w:rsidP="00D92DB2">
      <w:pPr>
        <w:rPr>
          <w:rFonts w:asciiTheme="majorBidi" w:hAnsiTheme="majorBidi" w:cstheme="majorBidi"/>
          <w:noProof/>
          <w:sz w:val="28"/>
          <w:szCs w:val="28"/>
          <w:u w:val="single"/>
        </w:rPr>
      </w:pPr>
      <w:r w:rsidRPr="000F7B0E">
        <w:rPr>
          <w:rFonts w:asciiTheme="majorBidi" w:hAnsiTheme="majorBidi" w:cstheme="majorBidi"/>
          <w:noProof/>
          <w:sz w:val="28"/>
          <w:szCs w:val="28"/>
          <w:u w:val="single"/>
        </w:rPr>
        <w:lastRenderedPageBreak/>
        <w:t>References</w:t>
      </w:r>
    </w:p>
    <w:p w14:paraId="07A720D9" w14:textId="204D10B4" w:rsidR="00D92DB2" w:rsidRDefault="00D92DB2" w:rsidP="000F7B0E">
      <w:pPr>
        <w:ind w:firstLine="450"/>
      </w:pPr>
      <w:r w:rsidRPr="00434389">
        <w:rPr>
          <w:rFonts w:asciiTheme="majorBidi" w:hAnsiTheme="majorBidi" w:cstheme="majorBidi"/>
          <w:noProof/>
          <w:sz w:val="24"/>
          <w:szCs w:val="24"/>
        </w:rPr>
        <w:t>Ash</w:t>
      </w:r>
      <w:r w:rsidR="000D6470">
        <w:rPr>
          <w:rFonts w:asciiTheme="majorBidi" w:hAnsiTheme="majorBidi" w:cstheme="majorBidi"/>
          <w:noProof/>
          <w:sz w:val="24"/>
          <w:szCs w:val="24"/>
        </w:rPr>
        <w:t>,</w:t>
      </w:r>
      <w:r w:rsidRPr="00434389">
        <w:rPr>
          <w:rFonts w:asciiTheme="majorBidi" w:hAnsiTheme="majorBidi" w:cstheme="majorBidi"/>
          <w:noProof/>
          <w:sz w:val="24"/>
          <w:szCs w:val="24"/>
        </w:rPr>
        <w:t xml:space="preserve"> Elliott, Daniel L. Chen, Arianna Ornaghi (2020), “</w:t>
      </w:r>
      <w:r>
        <w:rPr>
          <w:rFonts w:asciiTheme="majorBidi" w:hAnsiTheme="majorBidi" w:cstheme="majorBidi"/>
          <w:noProof/>
          <w:sz w:val="24"/>
          <w:szCs w:val="24"/>
        </w:rPr>
        <w:t>G</w:t>
      </w:r>
      <w:r w:rsidRPr="00434389">
        <w:rPr>
          <w:rFonts w:asciiTheme="majorBidi" w:hAnsiTheme="majorBidi" w:cstheme="majorBidi"/>
          <w:noProof/>
          <w:sz w:val="24"/>
          <w:szCs w:val="24"/>
        </w:rPr>
        <w:t>ender Attitudes in the Ju</w:t>
      </w:r>
      <w:r>
        <w:rPr>
          <w:rFonts w:asciiTheme="majorBidi" w:hAnsiTheme="majorBidi" w:cstheme="majorBidi"/>
          <w:noProof/>
          <w:sz w:val="24"/>
          <w:szCs w:val="24"/>
        </w:rPr>
        <w:t xml:space="preserve">diciary: Evidence from U.S. Circuit Courts,” </w:t>
      </w:r>
      <w:r w:rsidRPr="00434389">
        <w:rPr>
          <w:rFonts w:asciiTheme="majorBidi" w:hAnsiTheme="majorBidi" w:cstheme="majorBidi"/>
          <w:i/>
          <w:iCs/>
          <w:noProof/>
          <w:sz w:val="24"/>
          <w:szCs w:val="24"/>
        </w:rPr>
        <w:t>Center for Law &amp; Economics Working Paper Series</w:t>
      </w:r>
      <w:r w:rsidRPr="00434389">
        <w:rPr>
          <w:rFonts w:asciiTheme="majorBidi" w:hAnsiTheme="majorBidi" w:cstheme="majorBidi"/>
          <w:noProof/>
          <w:sz w:val="24"/>
          <w:szCs w:val="24"/>
        </w:rPr>
        <w:t xml:space="preserve"> 2019(02</w:t>
      </w:r>
      <w:r>
        <w:t xml:space="preserve">) </w:t>
      </w:r>
    </w:p>
    <w:p w14:paraId="31A3DD1B" w14:textId="77777777" w:rsidR="00D92DB2" w:rsidRDefault="00D92DB2" w:rsidP="000F7B0E">
      <w:pPr>
        <w:ind w:firstLine="450"/>
        <w:rPr>
          <w:rFonts w:asciiTheme="majorBidi" w:hAnsiTheme="majorBidi" w:cstheme="majorBidi"/>
          <w:noProof/>
          <w:sz w:val="24"/>
          <w:szCs w:val="24"/>
        </w:rPr>
      </w:pPr>
      <w:r w:rsidRPr="00A64650">
        <w:rPr>
          <w:rFonts w:asciiTheme="majorBidi" w:hAnsiTheme="majorBidi" w:cstheme="majorBidi"/>
          <w:noProof/>
          <w:sz w:val="24"/>
          <w:szCs w:val="24"/>
        </w:rPr>
        <w:t>Ashenfelter, Orley</w:t>
      </w:r>
      <w:r>
        <w:rPr>
          <w:rFonts w:asciiTheme="majorBidi" w:hAnsiTheme="majorBidi" w:cstheme="majorBidi"/>
          <w:noProof/>
          <w:sz w:val="24"/>
          <w:szCs w:val="24"/>
        </w:rPr>
        <w:t xml:space="preserve">, </w:t>
      </w:r>
      <w:r w:rsidRPr="00A64650">
        <w:rPr>
          <w:rFonts w:asciiTheme="majorBidi" w:hAnsiTheme="majorBidi" w:cstheme="majorBidi"/>
          <w:noProof/>
          <w:sz w:val="24"/>
          <w:szCs w:val="24"/>
        </w:rPr>
        <w:t xml:space="preserve">Theodore Eisenberg, </w:t>
      </w:r>
      <w:r>
        <w:rPr>
          <w:rFonts w:asciiTheme="majorBidi" w:hAnsiTheme="majorBidi" w:cstheme="majorBidi"/>
          <w:noProof/>
          <w:sz w:val="24"/>
          <w:szCs w:val="24"/>
        </w:rPr>
        <w:t>and</w:t>
      </w:r>
      <w:r w:rsidRPr="00A64650">
        <w:rPr>
          <w:rFonts w:asciiTheme="majorBidi" w:hAnsiTheme="majorBidi" w:cstheme="majorBidi"/>
          <w:noProof/>
          <w:sz w:val="24"/>
          <w:szCs w:val="24"/>
        </w:rPr>
        <w:t xml:space="preserve"> Stewart J. Schwab (1995) “Politics and the Judiciary: The</w:t>
      </w:r>
      <w:r>
        <w:rPr>
          <w:rFonts w:asciiTheme="majorBidi" w:hAnsiTheme="majorBidi" w:cstheme="majorBidi"/>
          <w:noProof/>
          <w:sz w:val="24"/>
          <w:szCs w:val="24"/>
        </w:rPr>
        <w:t xml:space="preserve"> </w:t>
      </w:r>
      <w:r w:rsidRPr="00A64650">
        <w:rPr>
          <w:rFonts w:asciiTheme="majorBidi" w:hAnsiTheme="majorBidi" w:cstheme="majorBidi"/>
          <w:noProof/>
          <w:sz w:val="24"/>
          <w:szCs w:val="24"/>
        </w:rPr>
        <w:t xml:space="preserve">Influence of Judicial Background on Case Outcomes,” </w:t>
      </w:r>
      <w:r w:rsidRPr="00A64650">
        <w:rPr>
          <w:rFonts w:asciiTheme="majorBidi" w:hAnsiTheme="majorBidi" w:cstheme="majorBidi"/>
          <w:i/>
          <w:iCs/>
          <w:noProof/>
          <w:sz w:val="24"/>
          <w:szCs w:val="24"/>
        </w:rPr>
        <w:t>Journal of Legal Studies</w:t>
      </w:r>
      <w:r>
        <w:rPr>
          <w:rFonts w:asciiTheme="majorBidi" w:hAnsiTheme="majorBidi" w:cstheme="majorBidi"/>
          <w:noProof/>
          <w:sz w:val="24"/>
          <w:szCs w:val="24"/>
        </w:rPr>
        <w:t>, Vol. 24, pp</w:t>
      </w:r>
      <w:r w:rsidRPr="00A64650">
        <w:rPr>
          <w:rFonts w:asciiTheme="majorBidi" w:hAnsiTheme="majorBidi" w:cstheme="majorBidi"/>
          <w:noProof/>
          <w:sz w:val="24"/>
          <w:szCs w:val="24"/>
        </w:rPr>
        <w:t xml:space="preserve"> 257.</w:t>
      </w:r>
    </w:p>
    <w:p w14:paraId="76661817" w14:textId="77777777" w:rsidR="00D92DB2" w:rsidRDefault="00D92DB2" w:rsidP="000F7B0E">
      <w:pPr>
        <w:ind w:firstLine="450"/>
        <w:rPr>
          <w:rFonts w:asciiTheme="majorBidi" w:hAnsiTheme="majorBidi" w:cstheme="majorBidi"/>
          <w:noProof/>
          <w:sz w:val="24"/>
          <w:szCs w:val="24"/>
        </w:rPr>
      </w:pPr>
      <w:r w:rsidRPr="005B20F1">
        <w:rPr>
          <w:rFonts w:asciiTheme="majorBidi" w:hAnsiTheme="majorBidi" w:cstheme="majorBidi"/>
          <w:noProof/>
          <w:sz w:val="24"/>
          <w:szCs w:val="24"/>
        </w:rPr>
        <w:t>Boyd, Christina, Lee Epstein, and Andrew D. Martin2</w:t>
      </w:r>
      <w:r>
        <w:rPr>
          <w:rFonts w:asciiTheme="majorBidi" w:hAnsiTheme="majorBidi" w:cstheme="majorBidi"/>
          <w:noProof/>
          <w:sz w:val="24"/>
          <w:szCs w:val="24"/>
        </w:rPr>
        <w:t>(</w:t>
      </w:r>
      <w:r w:rsidRPr="005B20F1">
        <w:rPr>
          <w:rFonts w:asciiTheme="majorBidi" w:hAnsiTheme="majorBidi" w:cstheme="majorBidi"/>
          <w:noProof/>
          <w:sz w:val="24"/>
          <w:szCs w:val="24"/>
        </w:rPr>
        <w:t>010</w:t>
      </w:r>
      <w:r>
        <w:rPr>
          <w:rFonts w:asciiTheme="majorBidi" w:hAnsiTheme="majorBidi" w:cstheme="majorBidi"/>
          <w:noProof/>
          <w:sz w:val="24"/>
          <w:szCs w:val="24"/>
        </w:rPr>
        <w:t>)</w:t>
      </w:r>
      <w:r w:rsidRPr="005B20F1">
        <w:rPr>
          <w:rFonts w:asciiTheme="majorBidi" w:hAnsiTheme="majorBidi" w:cstheme="majorBidi"/>
          <w:noProof/>
          <w:sz w:val="24"/>
          <w:szCs w:val="24"/>
        </w:rPr>
        <w:t xml:space="preserve">, </w:t>
      </w:r>
      <w:r>
        <w:rPr>
          <w:rFonts w:asciiTheme="majorBidi" w:hAnsiTheme="majorBidi" w:cstheme="majorBidi"/>
          <w:noProof/>
          <w:sz w:val="24"/>
          <w:szCs w:val="24"/>
        </w:rPr>
        <w:t>“</w:t>
      </w:r>
      <w:r w:rsidRPr="005B20F1">
        <w:rPr>
          <w:rFonts w:asciiTheme="majorBidi" w:hAnsiTheme="majorBidi" w:cstheme="majorBidi"/>
          <w:noProof/>
          <w:sz w:val="24"/>
          <w:szCs w:val="24"/>
        </w:rPr>
        <w:t>Untangling the Causal Effects of Sex on Judging,</w:t>
      </w:r>
      <w:r>
        <w:rPr>
          <w:rFonts w:asciiTheme="majorBidi" w:hAnsiTheme="majorBidi" w:cstheme="majorBidi"/>
          <w:noProof/>
          <w:sz w:val="24"/>
          <w:szCs w:val="24"/>
        </w:rPr>
        <w:t>”</w:t>
      </w:r>
      <w:r w:rsidRPr="005B20F1">
        <w:rPr>
          <w:rFonts w:asciiTheme="majorBidi" w:hAnsiTheme="majorBidi" w:cstheme="majorBidi"/>
          <w:noProof/>
          <w:sz w:val="24"/>
          <w:szCs w:val="24"/>
        </w:rPr>
        <w:t xml:space="preserve"> </w:t>
      </w:r>
      <w:r w:rsidRPr="005B20F1">
        <w:rPr>
          <w:rFonts w:asciiTheme="majorBidi" w:hAnsiTheme="majorBidi" w:cstheme="majorBidi"/>
          <w:i/>
          <w:iCs/>
          <w:noProof/>
          <w:sz w:val="24"/>
          <w:szCs w:val="24"/>
        </w:rPr>
        <w:t>American Journal of Political Science</w:t>
      </w:r>
      <w:r>
        <w:rPr>
          <w:rFonts w:asciiTheme="majorBidi" w:hAnsiTheme="majorBidi" w:cstheme="majorBidi"/>
          <w:noProof/>
          <w:sz w:val="24"/>
          <w:szCs w:val="24"/>
        </w:rPr>
        <w:t>,</w:t>
      </w:r>
      <w:r w:rsidRPr="005B20F1">
        <w:rPr>
          <w:rFonts w:asciiTheme="majorBidi" w:hAnsiTheme="majorBidi" w:cstheme="majorBidi"/>
          <w:noProof/>
          <w:sz w:val="24"/>
          <w:szCs w:val="24"/>
        </w:rPr>
        <w:t xml:space="preserve"> </w:t>
      </w:r>
      <w:r>
        <w:rPr>
          <w:rFonts w:asciiTheme="majorBidi" w:hAnsiTheme="majorBidi" w:cstheme="majorBidi"/>
          <w:noProof/>
          <w:sz w:val="24"/>
          <w:szCs w:val="24"/>
        </w:rPr>
        <w:t xml:space="preserve">Vol. </w:t>
      </w:r>
      <w:r w:rsidRPr="005B20F1">
        <w:rPr>
          <w:rFonts w:asciiTheme="majorBidi" w:hAnsiTheme="majorBidi" w:cstheme="majorBidi"/>
          <w:noProof/>
          <w:sz w:val="24"/>
          <w:szCs w:val="24"/>
        </w:rPr>
        <w:t xml:space="preserve">54, </w:t>
      </w:r>
      <w:r>
        <w:rPr>
          <w:rFonts w:asciiTheme="majorBidi" w:hAnsiTheme="majorBidi" w:cstheme="majorBidi"/>
          <w:noProof/>
          <w:sz w:val="24"/>
          <w:szCs w:val="24"/>
        </w:rPr>
        <w:t xml:space="preserve">pp: </w:t>
      </w:r>
      <w:r w:rsidRPr="005B20F1">
        <w:rPr>
          <w:rFonts w:asciiTheme="majorBidi" w:hAnsiTheme="majorBidi" w:cstheme="majorBidi"/>
          <w:noProof/>
          <w:sz w:val="24"/>
          <w:szCs w:val="24"/>
        </w:rPr>
        <w:t>389–411.</w:t>
      </w:r>
    </w:p>
    <w:p w14:paraId="45B72EE7" w14:textId="77777777" w:rsidR="00D92DB2" w:rsidRDefault="00D92DB2" w:rsidP="000F7B0E">
      <w:pPr>
        <w:ind w:firstLine="450"/>
        <w:rPr>
          <w:rFonts w:asciiTheme="majorBidi" w:hAnsiTheme="majorBidi" w:cstheme="majorBidi"/>
          <w:noProof/>
          <w:sz w:val="24"/>
          <w:szCs w:val="24"/>
        </w:rPr>
      </w:pPr>
      <w:r w:rsidRPr="00825A5A">
        <w:rPr>
          <w:rFonts w:asciiTheme="majorBidi" w:hAnsiTheme="majorBidi" w:cstheme="majorBidi"/>
          <w:noProof/>
          <w:sz w:val="24"/>
          <w:szCs w:val="24"/>
        </w:rPr>
        <w:t xml:space="preserve">Carlson, K., Livermore, M. A., &amp; Rockmore, D. N. (2020). The Problem of Data Bias in the Pool of Published U.S. Appellate Court Opinions. </w:t>
      </w:r>
      <w:r w:rsidRPr="00825A5A">
        <w:rPr>
          <w:rFonts w:asciiTheme="majorBidi" w:hAnsiTheme="majorBidi" w:cstheme="majorBidi"/>
          <w:i/>
          <w:iCs/>
          <w:noProof/>
          <w:sz w:val="24"/>
          <w:szCs w:val="24"/>
        </w:rPr>
        <w:t>Journal of Empirical Legal Studies</w:t>
      </w:r>
      <w:r w:rsidRPr="00AE4A58">
        <w:rPr>
          <w:rFonts w:asciiTheme="majorBidi" w:hAnsiTheme="majorBidi" w:cstheme="majorBidi"/>
          <w:noProof/>
          <w:sz w:val="24"/>
          <w:szCs w:val="24"/>
        </w:rPr>
        <w:t xml:space="preserve">, </w:t>
      </w:r>
      <w:r>
        <w:rPr>
          <w:rFonts w:asciiTheme="majorBidi" w:hAnsiTheme="majorBidi" w:cstheme="majorBidi"/>
          <w:noProof/>
          <w:sz w:val="24"/>
          <w:szCs w:val="24"/>
        </w:rPr>
        <w:t xml:space="preserve">Vol. </w:t>
      </w:r>
      <w:r w:rsidRPr="00AE4A58">
        <w:rPr>
          <w:rFonts w:asciiTheme="majorBidi" w:hAnsiTheme="majorBidi" w:cstheme="majorBidi"/>
          <w:noProof/>
          <w:sz w:val="24"/>
          <w:szCs w:val="24"/>
        </w:rPr>
        <w:t>17</w:t>
      </w:r>
      <w:r w:rsidRPr="00825A5A">
        <w:rPr>
          <w:rFonts w:asciiTheme="majorBidi" w:hAnsiTheme="majorBidi" w:cstheme="majorBidi"/>
          <w:noProof/>
          <w:sz w:val="24"/>
          <w:szCs w:val="24"/>
        </w:rPr>
        <w:t xml:space="preserve">, </w:t>
      </w:r>
      <w:r>
        <w:rPr>
          <w:rFonts w:asciiTheme="majorBidi" w:hAnsiTheme="majorBidi" w:cstheme="majorBidi"/>
          <w:noProof/>
          <w:sz w:val="24"/>
          <w:szCs w:val="24"/>
        </w:rPr>
        <w:t xml:space="preserve">pp: </w:t>
      </w:r>
      <w:r w:rsidRPr="00825A5A">
        <w:rPr>
          <w:rFonts w:asciiTheme="majorBidi" w:hAnsiTheme="majorBidi" w:cstheme="majorBidi"/>
          <w:noProof/>
          <w:sz w:val="24"/>
          <w:szCs w:val="24"/>
        </w:rPr>
        <w:t>224-261</w:t>
      </w:r>
    </w:p>
    <w:p w14:paraId="1F8F3A33" w14:textId="77777777" w:rsidR="00D92DB2" w:rsidRDefault="00D92DB2" w:rsidP="000F7B0E">
      <w:pPr>
        <w:ind w:firstLine="450"/>
        <w:rPr>
          <w:rFonts w:asciiTheme="majorBidi" w:hAnsiTheme="majorBidi" w:cstheme="majorBidi"/>
          <w:noProof/>
          <w:sz w:val="24"/>
          <w:szCs w:val="24"/>
        </w:rPr>
      </w:pPr>
      <w:r w:rsidRPr="00825A5A">
        <w:rPr>
          <w:rFonts w:asciiTheme="majorBidi" w:hAnsiTheme="majorBidi" w:cstheme="majorBidi"/>
          <w:noProof/>
          <w:sz w:val="24"/>
          <w:szCs w:val="24"/>
        </w:rPr>
        <w:t xml:space="preserve">Choi, S. J., Gulati, M., &amp; Posner, E. A. (2012). What Do Federal District Judges Want - An Analysis of Publications, Citations, and Reversals. </w:t>
      </w:r>
      <w:r w:rsidRPr="00825A5A">
        <w:rPr>
          <w:rFonts w:asciiTheme="majorBidi" w:hAnsiTheme="majorBidi" w:cstheme="majorBidi"/>
          <w:i/>
          <w:iCs/>
          <w:noProof/>
          <w:sz w:val="24"/>
          <w:szCs w:val="24"/>
        </w:rPr>
        <w:t>Journal of Law, Economics and Organization</w:t>
      </w:r>
      <w:r w:rsidRPr="00312059">
        <w:rPr>
          <w:rFonts w:asciiTheme="majorBidi" w:hAnsiTheme="majorBidi" w:cstheme="majorBidi"/>
          <w:noProof/>
          <w:sz w:val="24"/>
          <w:szCs w:val="24"/>
        </w:rPr>
        <w:t xml:space="preserve">, </w:t>
      </w:r>
      <w:r>
        <w:rPr>
          <w:rFonts w:asciiTheme="majorBidi" w:hAnsiTheme="majorBidi" w:cstheme="majorBidi"/>
          <w:noProof/>
          <w:sz w:val="24"/>
          <w:szCs w:val="24"/>
        </w:rPr>
        <w:t xml:space="preserve">Vol. </w:t>
      </w:r>
      <w:r w:rsidRPr="00312059">
        <w:rPr>
          <w:rFonts w:asciiTheme="majorBidi" w:hAnsiTheme="majorBidi" w:cstheme="majorBidi"/>
          <w:noProof/>
          <w:sz w:val="24"/>
          <w:szCs w:val="24"/>
        </w:rPr>
        <w:t>28</w:t>
      </w:r>
      <w:r w:rsidRPr="00825A5A">
        <w:rPr>
          <w:rFonts w:asciiTheme="majorBidi" w:hAnsiTheme="majorBidi" w:cstheme="majorBidi"/>
          <w:noProof/>
          <w:sz w:val="24"/>
          <w:szCs w:val="24"/>
        </w:rPr>
        <w:t xml:space="preserve">, </w:t>
      </w:r>
      <w:r>
        <w:rPr>
          <w:rFonts w:asciiTheme="majorBidi" w:hAnsiTheme="majorBidi" w:cstheme="majorBidi"/>
          <w:noProof/>
          <w:sz w:val="24"/>
          <w:szCs w:val="24"/>
        </w:rPr>
        <w:t xml:space="preserve">pp: </w:t>
      </w:r>
      <w:r w:rsidRPr="00825A5A">
        <w:rPr>
          <w:rFonts w:asciiTheme="majorBidi" w:hAnsiTheme="majorBidi" w:cstheme="majorBidi"/>
          <w:noProof/>
          <w:sz w:val="24"/>
          <w:szCs w:val="24"/>
        </w:rPr>
        <w:t>518-549</w:t>
      </w:r>
    </w:p>
    <w:p w14:paraId="54B867AE" w14:textId="77777777" w:rsidR="00D92DB2" w:rsidRDefault="00D92DB2" w:rsidP="000F7B0E">
      <w:pPr>
        <w:ind w:firstLine="450"/>
        <w:rPr>
          <w:rFonts w:asciiTheme="majorBidi" w:hAnsiTheme="majorBidi" w:cstheme="majorBidi"/>
          <w:noProof/>
          <w:sz w:val="24"/>
          <w:szCs w:val="24"/>
        </w:rPr>
      </w:pPr>
      <w:r>
        <w:rPr>
          <w:rFonts w:asciiTheme="majorBidi" w:hAnsiTheme="majorBidi" w:cstheme="majorBidi"/>
          <w:noProof/>
          <w:sz w:val="24"/>
          <w:szCs w:val="24"/>
        </w:rPr>
        <w:t xml:space="preserve">Cohen and Yang  (2019), “Judicial Politics and Senteincg Decisions,” </w:t>
      </w:r>
      <w:r>
        <w:rPr>
          <w:rFonts w:asciiTheme="majorBidi" w:hAnsiTheme="majorBidi" w:cstheme="majorBidi"/>
          <w:i/>
          <w:iCs/>
          <w:noProof/>
          <w:sz w:val="24"/>
          <w:szCs w:val="24"/>
        </w:rPr>
        <w:t>American Economic Journal:Economic Policy</w:t>
      </w:r>
      <w:r>
        <w:rPr>
          <w:rFonts w:asciiTheme="majorBidi" w:hAnsiTheme="majorBidi" w:cstheme="majorBidi"/>
          <w:noProof/>
          <w:sz w:val="24"/>
          <w:szCs w:val="24"/>
        </w:rPr>
        <w:t>, Vol 11.  No. 1, pp: 160-1991</w:t>
      </w:r>
    </w:p>
    <w:p w14:paraId="416E5E0B" w14:textId="77777777" w:rsidR="00D92DB2" w:rsidRDefault="00D92DB2" w:rsidP="000F7B0E">
      <w:pPr>
        <w:ind w:firstLine="450"/>
        <w:rPr>
          <w:rFonts w:asciiTheme="majorBidi" w:hAnsiTheme="majorBidi" w:cstheme="majorBidi"/>
          <w:sz w:val="24"/>
          <w:szCs w:val="24"/>
        </w:rPr>
      </w:pPr>
      <w:r w:rsidRPr="0070788F">
        <w:rPr>
          <w:rFonts w:asciiTheme="majorBidi" w:hAnsiTheme="majorBidi" w:cstheme="majorBidi"/>
          <w:sz w:val="24"/>
          <w:szCs w:val="24"/>
        </w:rPr>
        <w:t xml:space="preserve">Cox </w:t>
      </w:r>
      <w:r>
        <w:rPr>
          <w:rFonts w:asciiTheme="majorBidi" w:hAnsiTheme="majorBidi" w:cstheme="majorBidi"/>
          <w:sz w:val="24"/>
          <w:szCs w:val="24"/>
        </w:rPr>
        <w:t xml:space="preserve">B. Adam, and Thomas J. Milles (2008), “Judging the Voting Rights Act,” 108 </w:t>
      </w:r>
      <w:r w:rsidRPr="002F20B6">
        <w:rPr>
          <w:rFonts w:asciiTheme="majorBidi" w:hAnsiTheme="majorBidi" w:cstheme="majorBidi"/>
          <w:sz w:val="24"/>
          <w:szCs w:val="24"/>
        </w:rPr>
        <w:t>Columbia Law Review</w:t>
      </w:r>
      <w:r>
        <w:rPr>
          <w:rFonts w:asciiTheme="majorBidi" w:hAnsiTheme="majorBidi" w:cstheme="majorBidi"/>
          <w:sz w:val="24"/>
          <w:szCs w:val="24"/>
        </w:rPr>
        <w:t xml:space="preserve"> 1, pp:1:54</w:t>
      </w:r>
    </w:p>
    <w:p w14:paraId="421AB20C" w14:textId="77777777" w:rsidR="00D92DB2" w:rsidRPr="00632EE2" w:rsidRDefault="00D92DB2" w:rsidP="000F7B0E">
      <w:pPr>
        <w:ind w:firstLine="450"/>
        <w:rPr>
          <w:rFonts w:asciiTheme="majorBidi" w:hAnsiTheme="majorBidi" w:cstheme="majorBidi"/>
          <w:sz w:val="24"/>
          <w:szCs w:val="24"/>
        </w:rPr>
      </w:pPr>
      <w:proofErr w:type="spellStart"/>
      <w:r w:rsidRPr="00632EE2">
        <w:rPr>
          <w:rFonts w:asciiTheme="majorBidi" w:hAnsiTheme="majorBidi" w:cstheme="majorBidi"/>
          <w:sz w:val="24"/>
          <w:szCs w:val="24"/>
        </w:rPr>
        <w:t>Farhang</w:t>
      </w:r>
      <w:proofErr w:type="spellEnd"/>
      <w:r w:rsidRPr="00632EE2">
        <w:rPr>
          <w:rFonts w:asciiTheme="majorBidi" w:hAnsiTheme="majorBidi" w:cstheme="majorBidi"/>
          <w:sz w:val="24"/>
          <w:szCs w:val="24"/>
        </w:rPr>
        <w:t xml:space="preserve">, Sean, and Gregory Wawro, (2004), “Institutional Dynamics on the U.S. Court of Appeals: Minority Representation Under Panel Decision Making,” </w:t>
      </w:r>
      <w:r w:rsidRPr="00632EE2">
        <w:rPr>
          <w:rFonts w:asciiTheme="majorBidi" w:hAnsiTheme="majorBidi" w:cstheme="majorBidi"/>
          <w:i/>
          <w:iCs/>
          <w:sz w:val="24"/>
          <w:szCs w:val="24"/>
        </w:rPr>
        <w:t>Journal of Law, Economics, and Organization</w:t>
      </w:r>
      <w:r w:rsidRPr="00632EE2">
        <w:rPr>
          <w:rFonts w:asciiTheme="majorBidi" w:hAnsiTheme="majorBidi" w:cstheme="majorBidi"/>
          <w:sz w:val="24"/>
          <w:szCs w:val="24"/>
        </w:rPr>
        <w:t>, Vol. 20, pp: 299–330.</w:t>
      </w:r>
    </w:p>
    <w:p w14:paraId="08AF2C14" w14:textId="77777777" w:rsidR="00D92DB2" w:rsidRDefault="00D92DB2" w:rsidP="000F7B0E">
      <w:pPr>
        <w:ind w:firstLine="450"/>
        <w:rPr>
          <w:rFonts w:asciiTheme="majorBidi" w:hAnsiTheme="majorBidi" w:cstheme="majorBidi"/>
          <w:sz w:val="24"/>
          <w:szCs w:val="24"/>
        </w:rPr>
      </w:pPr>
      <w:proofErr w:type="spellStart"/>
      <w:r w:rsidRPr="002F20B6">
        <w:rPr>
          <w:rFonts w:asciiTheme="majorBidi" w:hAnsiTheme="majorBidi" w:cstheme="majorBidi"/>
          <w:sz w:val="24"/>
          <w:szCs w:val="24"/>
        </w:rPr>
        <w:t>Fischman</w:t>
      </w:r>
      <w:proofErr w:type="spellEnd"/>
      <w:r>
        <w:rPr>
          <w:rFonts w:asciiTheme="majorBidi" w:hAnsiTheme="majorBidi" w:cstheme="majorBidi"/>
          <w:sz w:val="24"/>
          <w:szCs w:val="24"/>
        </w:rPr>
        <w:t>,</w:t>
      </w:r>
      <w:r w:rsidRPr="002F20B6">
        <w:rPr>
          <w:rFonts w:asciiTheme="majorBidi" w:hAnsiTheme="majorBidi" w:cstheme="majorBidi"/>
          <w:sz w:val="24"/>
          <w:szCs w:val="24"/>
        </w:rPr>
        <w:t xml:space="preserve"> B.</w:t>
      </w:r>
      <w:r>
        <w:rPr>
          <w:rFonts w:asciiTheme="majorBidi" w:hAnsiTheme="majorBidi" w:cstheme="majorBidi"/>
          <w:sz w:val="24"/>
          <w:szCs w:val="24"/>
        </w:rPr>
        <w:t xml:space="preserve"> </w:t>
      </w:r>
      <w:r w:rsidRPr="002F20B6">
        <w:rPr>
          <w:rFonts w:asciiTheme="majorBidi" w:hAnsiTheme="majorBidi" w:cstheme="majorBidi"/>
          <w:sz w:val="24"/>
          <w:szCs w:val="24"/>
        </w:rPr>
        <w:t>Joshua, &amp; Max M. Schanzenbach (2011) “Do Standards of Review Matter? The Case of Federal Criminal Sentencing,”40 </w:t>
      </w:r>
      <w:r>
        <w:rPr>
          <w:rFonts w:asciiTheme="majorBidi" w:hAnsiTheme="majorBidi" w:cstheme="majorBidi"/>
          <w:i/>
          <w:iCs/>
          <w:sz w:val="24"/>
          <w:szCs w:val="24"/>
        </w:rPr>
        <w:t>23</w:t>
      </w:r>
      <w:r w:rsidRPr="002F20B6">
        <w:rPr>
          <w:rFonts w:asciiTheme="majorBidi" w:hAnsiTheme="majorBidi" w:cstheme="majorBidi"/>
          <w:sz w:val="24"/>
          <w:szCs w:val="24"/>
        </w:rPr>
        <w:t> 405.</w:t>
      </w:r>
    </w:p>
    <w:p w14:paraId="433AB9D5" w14:textId="77777777" w:rsidR="00D92DB2" w:rsidRPr="00825A5A" w:rsidRDefault="00D92DB2" w:rsidP="000F7B0E">
      <w:pPr>
        <w:pStyle w:val="Bibliography"/>
        <w:ind w:firstLine="450"/>
        <w:rPr>
          <w:rFonts w:asciiTheme="majorBidi" w:hAnsiTheme="majorBidi" w:cstheme="majorBidi"/>
          <w:noProof/>
          <w:sz w:val="24"/>
          <w:szCs w:val="24"/>
        </w:rPr>
      </w:pPr>
      <w:r w:rsidRPr="00825A5A">
        <w:rPr>
          <w:rFonts w:asciiTheme="majorBidi" w:hAnsiTheme="majorBidi" w:cstheme="majorBidi"/>
          <w:noProof/>
          <w:sz w:val="24"/>
          <w:szCs w:val="24"/>
        </w:rPr>
        <w:t xml:space="preserve">Grunwald, B. (2018). Strategic Publication. </w:t>
      </w:r>
      <w:r w:rsidRPr="00825A5A">
        <w:rPr>
          <w:rFonts w:asciiTheme="majorBidi" w:hAnsiTheme="majorBidi" w:cstheme="majorBidi"/>
          <w:i/>
          <w:iCs/>
          <w:noProof/>
          <w:sz w:val="24"/>
          <w:szCs w:val="24"/>
        </w:rPr>
        <w:t>Tulane Law Review</w:t>
      </w:r>
      <w:r w:rsidRPr="00AE4A58">
        <w:rPr>
          <w:rFonts w:asciiTheme="majorBidi" w:hAnsiTheme="majorBidi" w:cstheme="majorBidi"/>
          <w:noProof/>
          <w:sz w:val="24"/>
          <w:szCs w:val="24"/>
        </w:rPr>
        <w:t xml:space="preserve">, </w:t>
      </w:r>
      <w:r>
        <w:rPr>
          <w:rFonts w:asciiTheme="majorBidi" w:hAnsiTheme="majorBidi" w:cstheme="majorBidi"/>
          <w:noProof/>
          <w:sz w:val="24"/>
          <w:szCs w:val="24"/>
        </w:rPr>
        <w:t xml:space="preserve">Vol. </w:t>
      </w:r>
      <w:r w:rsidRPr="00AE4A58">
        <w:rPr>
          <w:rFonts w:asciiTheme="majorBidi" w:hAnsiTheme="majorBidi" w:cstheme="majorBidi"/>
          <w:noProof/>
          <w:sz w:val="24"/>
          <w:szCs w:val="24"/>
        </w:rPr>
        <w:t>92</w:t>
      </w:r>
      <w:r w:rsidRPr="00825A5A">
        <w:rPr>
          <w:rFonts w:asciiTheme="majorBidi" w:hAnsiTheme="majorBidi" w:cstheme="majorBidi"/>
          <w:noProof/>
          <w:sz w:val="24"/>
          <w:szCs w:val="24"/>
        </w:rPr>
        <w:t xml:space="preserve">, </w:t>
      </w:r>
      <w:r>
        <w:rPr>
          <w:rFonts w:asciiTheme="majorBidi" w:hAnsiTheme="majorBidi" w:cstheme="majorBidi"/>
          <w:noProof/>
          <w:sz w:val="24"/>
          <w:szCs w:val="24"/>
        </w:rPr>
        <w:t xml:space="preserve">pp: </w:t>
      </w:r>
      <w:r w:rsidRPr="00825A5A">
        <w:rPr>
          <w:rFonts w:asciiTheme="majorBidi" w:hAnsiTheme="majorBidi" w:cstheme="majorBidi"/>
          <w:noProof/>
          <w:sz w:val="24"/>
          <w:szCs w:val="24"/>
        </w:rPr>
        <w:t>745-776.</w:t>
      </w:r>
    </w:p>
    <w:p w14:paraId="3EF7ED8E" w14:textId="3F71002F" w:rsidR="00D92DB2" w:rsidRDefault="00D92DB2" w:rsidP="000F7B0E">
      <w:pPr>
        <w:ind w:firstLine="450"/>
        <w:rPr>
          <w:rFonts w:asciiTheme="majorBidi" w:hAnsiTheme="majorBidi" w:cstheme="majorBidi"/>
          <w:sz w:val="24"/>
          <w:szCs w:val="24"/>
        </w:rPr>
      </w:pPr>
      <w:r>
        <w:rPr>
          <w:rFonts w:asciiTheme="majorBidi" w:hAnsiTheme="majorBidi" w:cstheme="majorBidi"/>
          <w:sz w:val="24"/>
          <w:szCs w:val="24"/>
        </w:rPr>
        <w:t xml:space="preserve">Hall Mathew (2010), “Randomness Reconsidered: Modeling Random Judicial Assignment in the U.S. Courts of Appeals,” </w:t>
      </w:r>
      <w:r w:rsidRPr="009E2D6E">
        <w:rPr>
          <w:rFonts w:asciiTheme="majorBidi" w:hAnsiTheme="majorBidi" w:cstheme="majorBidi"/>
          <w:i/>
          <w:iCs/>
          <w:sz w:val="24"/>
          <w:szCs w:val="24"/>
        </w:rPr>
        <w:t>Journal of Empirical Legal Studies</w:t>
      </w:r>
      <w:r>
        <w:rPr>
          <w:rFonts w:asciiTheme="majorBidi" w:hAnsiTheme="majorBidi" w:cstheme="majorBidi"/>
          <w:sz w:val="24"/>
          <w:szCs w:val="24"/>
        </w:rPr>
        <w:t>, Vol. 7, Issue 3, pp: 574-589.</w:t>
      </w:r>
    </w:p>
    <w:p w14:paraId="6D20DE64" w14:textId="54E43FD2" w:rsidR="00B6128B" w:rsidRDefault="00B6128B" w:rsidP="000F7B0E">
      <w:pPr>
        <w:ind w:firstLine="450"/>
        <w:rPr>
          <w:rFonts w:asciiTheme="majorBidi" w:hAnsiTheme="majorBidi" w:cstheme="majorBidi"/>
          <w:sz w:val="24"/>
          <w:szCs w:val="24"/>
        </w:rPr>
      </w:pPr>
      <w:r>
        <w:rPr>
          <w:rFonts w:asciiTheme="majorBidi" w:hAnsiTheme="majorBidi" w:cstheme="majorBidi"/>
          <w:sz w:val="24"/>
          <w:szCs w:val="24"/>
        </w:rPr>
        <w:t>Jolls, Christine (2022), “The Administrative Procedure Act and the Supreme Court,” Working Paper</w:t>
      </w:r>
    </w:p>
    <w:p w14:paraId="48613DDF" w14:textId="77777777" w:rsidR="00D92DB2" w:rsidRPr="00477CEA" w:rsidRDefault="00D92DB2" w:rsidP="000F7B0E">
      <w:pPr>
        <w:ind w:firstLine="450"/>
        <w:rPr>
          <w:rFonts w:asciiTheme="majorBidi" w:hAnsiTheme="majorBidi" w:cstheme="majorBidi"/>
          <w:sz w:val="24"/>
          <w:szCs w:val="24"/>
        </w:rPr>
      </w:pPr>
      <w:proofErr w:type="spellStart"/>
      <w:r w:rsidRPr="00477CEA">
        <w:rPr>
          <w:rFonts w:asciiTheme="majorBidi" w:hAnsiTheme="majorBidi" w:cstheme="majorBidi"/>
          <w:sz w:val="24"/>
          <w:szCs w:val="24"/>
        </w:rPr>
        <w:t>Kastellec</w:t>
      </w:r>
      <w:proofErr w:type="spellEnd"/>
      <w:r w:rsidRPr="00477CEA">
        <w:rPr>
          <w:rFonts w:asciiTheme="majorBidi" w:hAnsiTheme="majorBidi" w:cstheme="majorBidi"/>
          <w:sz w:val="24"/>
          <w:szCs w:val="24"/>
        </w:rPr>
        <w:t xml:space="preserve"> Jonathan</w:t>
      </w:r>
      <w:r>
        <w:rPr>
          <w:rFonts w:asciiTheme="majorBidi" w:hAnsiTheme="majorBidi" w:cstheme="majorBidi"/>
          <w:sz w:val="24"/>
          <w:szCs w:val="24"/>
        </w:rPr>
        <w:t xml:space="preserve"> (2011)</w:t>
      </w:r>
      <w:r w:rsidRPr="00477CEA">
        <w:rPr>
          <w:rFonts w:asciiTheme="majorBidi" w:hAnsiTheme="majorBidi" w:cstheme="majorBidi"/>
          <w:sz w:val="24"/>
          <w:szCs w:val="24"/>
        </w:rPr>
        <w:t xml:space="preserve">, </w:t>
      </w:r>
      <w:r>
        <w:rPr>
          <w:rFonts w:asciiTheme="majorBidi" w:hAnsiTheme="majorBidi" w:cstheme="majorBidi"/>
          <w:sz w:val="24"/>
          <w:szCs w:val="24"/>
        </w:rPr>
        <w:t>“</w:t>
      </w:r>
      <w:r w:rsidRPr="00477CEA">
        <w:rPr>
          <w:rFonts w:asciiTheme="majorBidi" w:hAnsiTheme="majorBidi" w:cstheme="majorBidi"/>
          <w:sz w:val="24"/>
          <w:szCs w:val="24"/>
        </w:rPr>
        <w:t>Hierarchical and collegial politics on the U.S. Courts of Appeals,</w:t>
      </w:r>
      <w:r>
        <w:rPr>
          <w:rFonts w:asciiTheme="majorBidi" w:hAnsiTheme="majorBidi" w:cstheme="majorBidi"/>
          <w:sz w:val="24"/>
          <w:szCs w:val="24"/>
        </w:rPr>
        <w:t xml:space="preserve">” </w:t>
      </w:r>
      <w:r w:rsidRPr="00632EE2">
        <w:rPr>
          <w:rFonts w:asciiTheme="majorBidi" w:hAnsiTheme="majorBidi" w:cstheme="majorBidi"/>
          <w:i/>
          <w:iCs/>
          <w:sz w:val="24"/>
          <w:szCs w:val="24"/>
        </w:rPr>
        <w:t>The Journal of Politics</w:t>
      </w:r>
      <w:r>
        <w:rPr>
          <w:rFonts w:asciiTheme="majorBidi" w:hAnsiTheme="majorBidi" w:cstheme="majorBidi"/>
          <w:sz w:val="24"/>
          <w:szCs w:val="24"/>
        </w:rPr>
        <w:t>, Vol. 72, no.2, pp: 345-361</w:t>
      </w:r>
      <w:r w:rsidRPr="00477CEA">
        <w:rPr>
          <w:rFonts w:asciiTheme="majorBidi" w:hAnsiTheme="majorBidi" w:cstheme="majorBidi"/>
          <w:sz w:val="24"/>
          <w:szCs w:val="24"/>
        </w:rPr>
        <w:t>.</w:t>
      </w:r>
    </w:p>
    <w:p w14:paraId="558F7352" w14:textId="77777777" w:rsidR="00D92DB2" w:rsidRDefault="00D92DB2" w:rsidP="000F7B0E">
      <w:pPr>
        <w:ind w:firstLine="450"/>
        <w:rPr>
          <w:rFonts w:asciiTheme="majorBidi" w:hAnsiTheme="majorBidi" w:cstheme="majorBidi"/>
          <w:noProof/>
          <w:sz w:val="24"/>
          <w:szCs w:val="24"/>
        </w:rPr>
      </w:pPr>
      <w:r w:rsidRPr="00825A5A">
        <w:rPr>
          <w:rFonts w:asciiTheme="majorBidi" w:hAnsiTheme="majorBidi" w:cstheme="majorBidi"/>
          <w:noProof/>
          <w:sz w:val="24"/>
          <w:szCs w:val="24"/>
        </w:rPr>
        <w:t xml:space="preserve">Keele, D. M., Malmsheimer, R. W., Floyd, D. W., &amp; Zhang, L. (2009). An Analysis of Ideological Effects in Published Versus Unpublished Judicial Opinions. </w:t>
      </w:r>
      <w:r w:rsidRPr="00825A5A">
        <w:rPr>
          <w:rFonts w:asciiTheme="majorBidi" w:hAnsiTheme="majorBidi" w:cstheme="majorBidi"/>
          <w:i/>
          <w:iCs/>
          <w:noProof/>
          <w:sz w:val="24"/>
          <w:szCs w:val="24"/>
        </w:rPr>
        <w:t>Journal of Empirical Legal Studies</w:t>
      </w:r>
      <w:r w:rsidRPr="00AE4A58">
        <w:rPr>
          <w:rFonts w:asciiTheme="majorBidi" w:hAnsiTheme="majorBidi" w:cstheme="majorBidi"/>
          <w:noProof/>
          <w:sz w:val="24"/>
          <w:szCs w:val="24"/>
        </w:rPr>
        <w:t>,</w:t>
      </w:r>
      <w:r>
        <w:rPr>
          <w:rFonts w:asciiTheme="majorBidi" w:hAnsiTheme="majorBidi" w:cstheme="majorBidi"/>
          <w:noProof/>
          <w:sz w:val="24"/>
          <w:szCs w:val="24"/>
        </w:rPr>
        <w:t xml:space="preserve"> Vol.</w:t>
      </w:r>
      <w:r w:rsidRPr="00AE4A58">
        <w:rPr>
          <w:rFonts w:asciiTheme="majorBidi" w:hAnsiTheme="majorBidi" w:cstheme="majorBidi"/>
          <w:noProof/>
          <w:sz w:val="24"/>
          <w:szCs w:val="24"/>
        </w:rPr>
        <w:t xml:space="preserve"> 6</w:t>
      </w:r>
      <w:r w:rsidRPr="00825A5A">
        <w:rPr>
          <w:rFonts w:asciiTheme="majorBidi" w:hAnsiTheme="majorBidi" w:cstheme="majorBidi"/>
          <w:noProof/>
          <w:sz w:val="24"/>
          <w:szCs w:val="24"/>
        </w:rPr>
        <w:t xml:space="preserve">, </w:t>
      </w:r>
      <w:r>
        <w:rPr>
          <w:rFonts w:asciiTheme="majorBidi" w:hAnsiTheme="majorBidi" w:cstheme="majorBidi"/>
          <w:noProof/>
          <w:sz w:val="24"/>
          <w:szCs w:val="24"/>
        </w:rPr>
        <w:t xml:space="preserve">pp: </w:t>
      </w:r>
      <w:r w:rsidRPr="00825A5A">
        <w:rPr>
          <w:rFonts w:asciiTheme="majorBidi" w:hAnsiTheme="majorBidi" w:cstheme="majorBidi"/>
          <w:noProof/>
          <w:sz w:val="24"/>
          <w:szCs w:val="24"/>
        </w:rPr>
        <w:t>213-239</w:t>
      </w:r>
    </w:p>
    <w:p w14:paraId="7B47EC6C" w14:textId="77777777" w:rsidR="00D92DB2" w:rsidRDefault="00D92DB2" w:rsidP="000F7B0E">
      <w:pPr>
        <w:ind w:firstLine="450"/>
        <w:rPr>
          <w:rFonts w:asciiTheme="majorBidi" w:hAnsiTheme="majorBidi" w:cstheme="majorBidi"/>
          <w:noProof/>
          <w:sz w:val="24"/>
          <w:szCs w:val="24"/>
        </w:rPr>
      </w:pPr>
      <w:r w:rsidRPr="00AE4A58">
        <w:rPr>
          <w:rFonts w:asciiTheme="majorBidi" w:hAnsiTheme="majorBidi" w:cstheme="majorBidi"/>
          <w:noProof/>
          <w:sz w:val="24"/>
          <w:szCs w:val="24"/>
        </w:rPr>
        <w:lastRenderedPageBreak/>
        <w:t>Law, D. S. (2005)</w:t>
      </w:r>
      <w:r>
        <w:rPr>
          <w:rFonts w:asciiTheme="majorBidi" w:hAnsiTheme="majorBidi" w:cstheme="majorBidi"/>
          <w:noProof/>
          <w:sz w:val="24"/>
          <w:szCs w:val="24"/>
        </w:rPr>
        <w:t>,</w:t>
      </w:r>
      <w:r w:rsidRPr="00AE4A58">
        <w:rPr>
          <w:rFonts w:asciiTheme="majorBidi" w:hAnsiTheme="majorBidi" w:cstheme="majorBidi"/>
          <w:noProof/>
          <w:sz w:val="24"/>
          <w:szCs w:val="24"/>
        </w:rPr>
        <w:t xml:space="preserve"> </w:t>
      </w:r>
      <w:r>
        <w:rPr>
          <w:rFonts w:asciiTheme="majorBidi" w:hAnsiTheme="majorBidi" w:cstheme="majorBidi"/>
          <w:noProof/>
          <w:sz w:val="24"/>
          <w:szCs w:val="24"/>
        </w:rPr>
        <w:t>“</w:t>
      </w:r>
      <w:r w:rsidRPr="00AE4A58">
        <w:rPr>
          <w:rFonts w:asciiTheme="majorBidi" w:hAnsiTheme="majorBidi" w:cstheme="majorBidi"/>
          <w:noProof/>
          <w:sz w:val="24"/>
          <w:szCs w:val="24"/>
        </w:rPr>
        <w:t>Strategic Judicial Lawmaking: Ideology, Publication, and Asylum Law in the Ninth Circuit</w:t>
      </w:r>
      <w:r>
        <w:rPr>
          <w:rFonts w:asciiTheme="majorBidi" w:hAnsiTheme="majorBidi" w:cstheme="majorBidi"/>
          <w:noProof/>
          <w:sz w:val="24"/>
          <w:szCs w:val="24"/>
        </w:rPr>
        <w:t xml:space="preserve">,” </w:t>
      </w:r>
      <w:r w:rsidRPr="00AE4A58">
        <w:rPr>
          <w:rFonts w:asciiTheme="majorBidi" w:hAnsiTheme="majorBidi" w:cstheme="majorBidi"/>
          <w:i/>
          <w:iCs/>
          <w:noProof/>
          <w:sz w:val="24"/>
          <w:szCs w:val="24"/>
        </w:rPr>
        <w:t>Immigration and Nationality Law Review,</w:t>
      </w:r>
      <w:r w:rsidRPr="00AE4A58">
        <w:rPr>
          <w:rFonts w:asciiTheme="majorBidi" w:hAnsiTheme="majorBidi" w:cstheme="majorBidi"/>
          <w:noProof/>
          <w:sz w:val="24"/>
          <w:szCs w:val="24"/>
        </w:rPr>
        <w:t xml:space="preserve"> </w:t>
      </w:r>
      <w:r>
        <w:rPr>
          <w:rFonts w:asciiTheme="majorBidi" w:hAnsiTheme="majorBidi" w:cstheme="majorBidi"/>
          <w:noProof/>
          <w:sz w:val="24"/>
          <w:szCs w:val="24"/>
        </w:rPr>
        <w:t xml:space="preserve">Vol. </w:t>
      </w:r>
      <w:r w:rsidRPr="00AE4A58">
        <w:rPr>
          <w:rFonts w:asciiTheme="majorBidi" w:hAnsiTheme="majorBidi" w:cstheme="majorBidi"/>
          <w:noProof/>
          <w:sz w:val="24"/>
          <w:szCs w:val="24"/>
        </w:rPr>
        <w:t xml:space="preserve">26, </w:t>
      </w:r>
      <w:r>
        <w:rPr>
          <w:rFonts w:asciiTheme="majorBidi" w:hAnsiTheme="majorBidi" w:cstheme="majorBidi"/>
          <w:noProof/>
          <w:sz w:val="24"/>
          <w:szCs w:val="24"/>
        </w:rPr>
        <w:t xml:space="preserve">pp: </w:t>
      </w:r>
      <w:r w:rsidRPr="00AE4A58">
        <w:rPr>
          <w:rFonts w:asciiTheme="majorBidi" w:hAnsiTheme="majorBidi" w:cstheme="majorBidi"/>
          <w:noProof/>
          <w:sz w:val="24"/>
          <w:szCs w:val="24"/>
        </w:rPr>
        <w:t>275-32</w:t>
      </w:r>
    </w:p>
    <w:p w14:paraId="1145F10F" w14:textId="77777777" w:rsidR="00D92DB2" w:rsidRDefault="00D92DB2" w:rsidP="000F7B0E">
      <w:pPr>
        <w:autoSpaceDE w:val="0"/>
        <w:autoSpaceDN w:val="0"/>
        <w:adjustRightInd w:val="0"/>
        <w:spacing w:after="0" w:line="240" w:lineRule="auto"/>
        <w:ind w:firstLine="450"/>
        <w:rPr>
          <w:rFonts w:asciiTheme="majorBidi" w:hAnsiTheme="majorBidi" w:cstheme="majorBidi"/>
          <w:noProof/>
          <w:sz w:val="24"/>
          <w:szCs w:val="24"/>
        </w:rPr>
      </w:pPr>
      <w:r>
        <w:rPr>
          <w:rFonts w:asciiTheme="majorBidi" w:hAnsiTheme="majorBidi" w:cstheme="majorBidi"/>
          <w:noProof/>
          <w:sz w:val="24"/>
          <w:szCs w:val="24"/>
        </w:rPr>
        <w:t>Lee Epstein, William M. Landes, and Richard A. Posner (2013), “The Behavior of Federal Judges: A Theoretial and Empirical Study of Rational Choice,”</w:t>
      </w:r>
      <w:r w:rsidRPr="00B315AC">
        <w:rPr>
          <w:rFonts w:ascii="Helvetica" w:hAnsi="Helvetica"/>
          <w:color w:val="000000"/>
          <w:spacing w:val="-5"/>
        </w:rPr>
        <w:t xml:space="preserve"> </w:t>
      </w:r>
      <w:r>
        <w:rPr>
          <w:rFonts w:asciiTheme="majorBidi" w:hAnsiTheme="majorBidi" w:cstheme="majorBidi"/>
          <w:noProof/>
          <w:sz w:val="24"/>
          <w:szCs w:val="24"/>
        </w:rPr>
        <w:t>i</w:t>
      </w:r>
      <w:r w:rsidRPr="00B315AC">
        <w:rPr>
          <w:rFonts w:asciiTheme="majorBidi" w:hAnsiTheme="majorBidi" w:cstheme="majorBidi"/>
          <w:noProof/>
          <w:sz w:val="24"/>
          <w:szCs w:val="24"/>
        </w:rPr>
        <w:t>n </w:t>
      </w:r>
      <w:r w:rsidRPr="00B315AC">
        <w:rPr>
          <w:rFonts w:asciiTheme="majorBidi" w:hAnsiTheme="majorBidi" w:cstheme="majorBidi"/>
          <w:i/>
          <w:iCs/>
          <w:noProof/>
          <w:sz w:val="24"/>
          <w:szCs w:val="24"/>
        </w:rPr>
        <w:t>The Behavior of Federal Judges</w:t>
      </w:r>
      <w:r w:rsidRPr="00B315AC">
        <w:rPr>
          <w:rFonts w:asciiTheme="majorBidi" w:hAnsiTheme="majorBidi" w:cstheme="majorBidi"/>
          <w:noProof/>
          <w:sz w:val="24"/>
          <w:szCs w:val="24"/>
        </w:rPr>
        <w:t>,</w:t>
      </w:r>
      <w:r>
        <w:rPr>
          <w:rFonts w:asciiTheme="majorBidi" w:hAnsiTheme="majorBidi" w:cstheme="majorBidi"/>
          <w:noProof/>
          <w:sz w:val="24"/>
          <w:szCs w:val="24"/>
        </w:rPr>
        <w:t xml:space="preserve"> pp:</w:t>
      </w:r>
      <w:r w:rsidRPr="00B315AC">
        <w:rPr>
          <w:rFonts w:asciiTheme="majorBidi" w:hAnsiTheme="majorBidi" w:cstheme="majorBidi"/>
          <w:noProof/>
          <w:sz w:val="24"/>
          <w:szCs w:val="24"/>
        </w:rPr>
        <w:t xml:space="preserve"> 25–64. Harvard University Press.</w:t>
      </w:r>
    </w:p>
    <w:p w14:paraId="433D8FCF" w14:textId="77777777" w:rsidR="00D92DB2" w:rsidRDefault="00D92DB2" w:rsidP="000F7B0E">
      <w:pPr>
        <w:autoSpaceDE w:val="0"/>
        <w:autoSpaceDN w:val="0"/>
        <w:adjustRightInd w:val="0"/>
        <w:spacing w:after="0" w:line="240" w:lineRule="auto"/>
        <w:ind w:firstLine="450"/>
        <w:rPr>
          <w:rFonts w:asciiTheme="majorBidi" w:hAnsiTheme="majorBidi" w:cstheme="majorBidi"/>
          <w:sz w:val="24"/>
          <w:szCs w:val="24"/>
        </w:rPr>
      </w:pPr>
      <w:r>
        <w:rPr>
          <w:rFonts w:asciiTheme="majorBidi" w:hAnsiTheme="majorBidi" w:cstheme="majorBidi"/>
          <w:noProof/>
          <w:sz w:val="24"/>
          <w:szCs w:val="24"/>
        </w:rPr>
        <w:t xml:space="preserve"> </w:t>
      </w:r>
    </w:p>
    <w:p w14:paraId="2BC2DD5B" w14:textId="77777777" w:rsidR="00D92DB2" w:rsidRDefault="00D92DB2" w:rsidP="000F7B0E">
      <w:pPr>
        <w:autoSpaceDE w:val="0"/>
        <w:autoSpaceDN w:val="0"/>
        <w:adjustRightInd w:val="0"/>
        <w:spacing w:after="0" w:line="240" w:lineRule="auto"/>
        <w:ind w:firstLine="450"/>
        <w:rPr>
          <w:rFonts w:asciiTheme="majorBidi" w:hAnsiTheme="majorBidi" w:cstheme="majorBidi"/>
          <w:sz w:val="24"/>
          <w:szCs w:val="24"/>
        </w:rPr>
      </w:pPr>
      <w:r>
        <w:rPr>
          <w:rFonts w:asciiTheme="majorBidi" w:hAnsiTheme="majorBidi" w:cstheme="majorBidi"/>
          <w:sz w:val="24"/>
          <w:szCs w:val="24"/>
        </w:rPr>
        <w:t xml:space="preserve">Levy K., </w:t>
      </w:r>
      <w:r w:rsidRPr="00BC6CBF">
        <w:rPr>
          <w:rFonts w:asciiTheme="majorBidi" w:hAnsiTheme="majorBidi" w:cstheme="majorBidi"/>
          <w:sz w:val="24"/>
          <w:szCs w:val="24"/>
        </w:rPr>
        <w:t>Marin</w:t>
      </w:r>
      <w:r>
        <w:rPr>
          <w:rFonts w:asciiTheme="majorBidi" w:hAnsiTheme="majorBidi" w:cstheme="majorBidi"/>
          <w:sz w:val="24"/>
          <w:szCs w:val="24"/>
        </w:rPr>
        <w:t>,</w:t>
      </w:r>
      <w:r w:rsidRPr="00BC6CBF">
        <w:rPr>
          <w:rFonts w:asciiTheme="majorBidi" w:hAnsiTheme="majorBidi" w:cstheme="majorBidi"/>
          <w:sz w:val="24"/>
          <w:szCs w:val="24"/>
        </w:rPr>
        <w:t xml:space="preserve"> and Adam S. Chilton (2015), “Challenging the Randomness of Panel Assignment in the Federal Courts of Appeals,”</w:t>
      </w:r>
      <w:r>
        <w:rPr>
          <w:rFonts w:asciiTheme="majorBidi" w:hAnsiTheme="majorBidi" w:cstheme="majorBidi"/>
          <w:sz w:val="24"/>
          <w:szCs w:val="24"/>
        </w:rPr>
        <w:t xml:space="preserve"> </w:t>
      </w:r>
      <w:r w:rsidRPr="00BC6CBF">
        <w:rPr>
          <w:rFonts w:asciiTheme="majorBidi" w:hAnsiTheme="majorBidi" w:cstheme="majorBidi"/>
          <w:i/>
          <w:iCs/>
          <w:sz w:val="24"/>
          <w:szCs w:val="24"/>
        </w:rPr>
        <w:t>Cornell Law Review</w:t>
      </w:r>
      <w:r w:rsidRPr="00BC6CBF">
        <w:rPr>
          <w:rFonts w:asciiTheme="majorBidi" w:hAnsiTheme="majorBidi" w:cstheme="majorBidi"/>
          <w:sz w:val="24"/>
          <w:szCs w:val="24"/>
        </w:rPr>
        <w:t>, Vol. 101, issue 1.</w:t>
      </w:r>
      <w:r>
        <w:rPr>
          <w:rFonts w:asciiTheme="majorBidi" w:hAnsiTheme="majorBidi" w:cstheme="majorBidi"/>
          <w:sz w:val="24"/>
          <w:szCs w:val="24"/>
        </w:rPr>
        <w:t xml:space="preserve"> </w:t>
      </w:r>
      <w:r w:rsidRPr="00BC6CBF">
        <w:rPr>
          <w:rFonts w:asciiTheme="majorBidi" w:hAnsiTheme="majorBidi" w:cstheme="majorBidi"/>
          <w:sz w:val="24"/>
          <w:szCs w:val="24"/>
        </w:rPr>
        <w:t xml:space="preserve">Available at: </w:t>
      </w:r>
      <w:hyperlink r:id="rId9" w:history="1">
        <w:r w:rsidRPr="00BC6CBF">
          <w:rPr>
            <w:rStyle w:val="Hyperlink"/>
            <w:rFonts w:asciiTheme="majorBidi" w:hAnsiTheme="majorBidi" w:cstheme="majorBidi"/>
            <w:sz w:val="24"/>
            <w:szCs w:val="24"/>
          </w:rPr>
          <w:t>http://scholarship.law.cornell.edu/clr/vol101/iss1/1</w:t>
        </w:r>
      </w:hyperlink>
    </w:p>
    <w:p w14:paraId="6DB2A7C6" w14:textId="77777777" w:rsidR="00D92DB2" w:rsidRPr="00BC6CBF" w:rsidRDefault="00D92DB2" w:rsidP="000F7B0E">
      <w:pPr>
        <w:autoSpaceDE w:val="0"/>
        <w:autoSpaceDN w:val="0"/>
        <w:adjustRightInd w:val="0"/>
        <w:spacing w:after="0" w:line="240" w:lineRule="auto"/>
        <w:ind w:firstLine="450"/>
        <w:rPr>
          <w:rFonts w:asciiTheme="majorBidi" w:hAnsiTheme="majorBidi" w:cstheme="majorBidi"/>
          <w:sz w:val="24"/>
          <w:szCs w:val="24"/>
        </w:rPr>
      </w:pPr>
    </w:p>
    <w:p w14:paraId="79DB4E36" w14:textId="3A9CAABC" w:rsidR="00D92DB2" w:rsidRDefault="00D92DB2" w:rsidP="000F7B0E">
      <w:pPr>
        <w:ind w:firstLine="450"/>
        <w:rPr>
          <w:rStyle w:val="Hyperlink"/>
          <w:rFonts w:asciiTheme="majorBidi" w:hAnsiTheme="majorBidi" w:cstheme="majorBidi"/>
          <w:sz w:val="24"/>
          <w:szCs w:val="24"/>
        </w:rPr>
      </w:pPr>
      <w:r w:rsidRPr="00BC6CBF">
        <w:rPr>
          <w:rFonts w:asciiTheme="majorBidi" w:hAnsiTheme="majorBidi" w:cstheme="majorBidi"/>
          <w:sz w:val="24"/>
          <w:szCs w:val="24"/>
        </w:rPr>
        <w:t xml:space="preserve">Levy </w:t>
      </w:r>
      <w:r>
        <w:rPr>
          <w:rFonts w:asciiTheme="majorBidi" w:hAnsiTheme="majorBidi" w:cstheme="majorBidi"/>
          <w:sz w:val="24"/>
          <w:szCs w:val="24"/>
        </w:rPr>
        <w:t xml:space="preserve">K., </w:t>
      </w:r>
      <w:r w:rsidRPr="00BC6CBF">
        <w:rPr>
          <w:rFonts w:asciiTheme="majorBidi" w:hAnsiTheme="majorBidi" w:cstheme="majorBidi"/>
          <w:sz w:val="24"/>
          <w:szCs w:val="24"/>
        </w:rPr>
        <w:t xml:space="preserve">Martin (2017), “Panel Assignment in the Federal Court of Appeal,” </w:t>
      </w:r>
      <w:r w:rsidRPr="00312059">
        <w:rPr>
          <w:rFonts w:asciiTheme="majorBidi" w:hAnsiTheme="majorBidi" w:cstheme="majorBidi"/>
          <w:i/>
          <w:iCs/>
          <w:sz w:val="24"/>
          <w:szCs w:val="24"/>
        </w:rPr>
        <w:t>Cornell Law Review</w:t>
      </w:r>
      <w:r w:rsidRPr="00BC6CBF">
        <w:rPr>
          <w:rFonts w:asciiTheme="majorBidi" w:hAnsiTheme="majorBidi" w:cstheme="majorBidi"/>
          <w:sz w:val="24"/>
          <w:szCs w:val="24"/>
        </w:rPr>
        <w:t>, Vol. 103, 65-116</w:t>
      </w:r>
      <w:r>
        <w:rPr>
          <w:rFonts w:asciiTheme="majorBidi" w:hAnsiTheme="majorBidi" w:cstheme="majorBidi"/>
          <w:sz w:val="24"/>
          <w:szCs w:val="24"/>
        </w:rPr>
        <w:t>.</w:t>
      </w:r>
      <w:r w:rsidRPr="00BC6CBF">
        <w:rPr>
          <w:rStyle w:val="Hyperlink"/>
          <w:rFonts w:asciiTheme="majorBidi" w:hAnsiTheme="majorBidi" w:cstheme="majorBidi"/>
          <w:sz w:val="24"/>
          <w:szCs w:val="24"/>
        </w:rPr>
        <w:t xml:space="preserve"> </w:t>
      </w:r>
    </w:p>
    <w:p w14:paraId="274EB4BB" w14:textId="17757181" w:rsidR="00D3522F" w:rsidRPr="004F4103" w:rsidRDefault="00D3522F" w:rsidP="000F7B0E">
      <w:pPr>
        <w:ind w:firstLine="450"/>
        <w:rPr>
          <w:rStyle w:val="Hyperlink"/>
          <w:rFonts w:asciiTheme="majorBidi" w:hAnsiTheme="majorBidi" w:cstheme="majorBidi"/>
          <w:sz w:val="24"/>
          <w:szCs w:val="24"/>
          <w:u w:val="none"/>
        </w:rPr>
      </w:pPr>
      <w:r w:rsidRPr="004F4103">
        <w:rPr>
          <w:rStyle w:val="Hyperlink"/>
          <w:rFonts w:asciiTheme="majorBidi" w:hAnsiTheme="majorBidi" w:cstheme="majorBidi"/>
          <w:color w:val="auto"/>
          <w:sz w:val="24"/>
          <w:szCs w:val="24"/>
          <w:u w:val="none"/>
        </w:rPr>
        <w:t xml:space="preserve">Levy K. </w:t>
      </w:r>
      <w:r w:rsidR="004A0C54" w:rsidRPr="004F4103">
        <w:rPr>
          <w:rStyle w:val="Hyperlink"/>
          <w:rFonts w:asciiTheme="majorBidi" w:hAnsiTheme="majorBidi" w:cstheme="majorBidi"/>
          <w:color w:val="auto"/>
          <w:sz w:val="24"/>
          <w:szCs w:val="24"/>
          <w:u w:val="none"/>
        </w:rPr>
        <w:t xml:space="preserve">Martin (2021), “The Promise of Senior Judges,” </w:t>
      </w:r>
      <w:r w:rsidR="004A0C54" w:rsidRPr="004F4103">
        <w:rPr>
          <w:rStyle w:val="Hyperlink"/>
          <w:rFonts w:asciiTheme="majorBidi" w:hAnsiTheme="majorBidi" w:cstheme="majorBidi"/>
          <w:i/>
          <w:iCs/>
          <w:color w:val="auto"/>
          <w:sz w:val="24"/>
          <w:szCs w:val="24"/>
          <w:u w:val="none"/>
        </w:rPr>
        <w:t xml:space="preserve">Northwestern University Law </w:t>
      </w:r>
      <w:r w:rsidR="004A0C54" w:rsidRPr="004F4103">
        <w:rPr>
          <w:rStyle w:val="Hyperlink"/>
          <w:rFonts w:asciiTheme="majorBidi" w:hAnsiTheme="majorBidi" w:cstheme="majorBidi"/>
          <w:color w:val="auto"/>
          <w:sz w:val="24"/>
          <w:szCs w:val="24"/>
          <w:u w:val="none"/>
        </w:rPr>
        <w:t>Review, Vol. 114, No. 4, pp: 1227-1260.</w:t>
      </w:r>
    </w:p>
    <w:p w14:paraId="6D547469" w14:textId="77777777" w:rsidR="00D92DB2" w:rsidRDefault="00D92DB2" w:rsidP="000F7B0E">
      <w:pPr>
        <w:ind w:firstLine="450"/>
        <w:rPr>
          <w:rFonts w:asciiTheme="majorBidi" w:hAnsiTheme="majorBidi" w:cstheme="majorBidi"/>
          <w:noProof/>
          <w:sz w:val="24"/>
          <w:szCs w:val="24"/>
        </w:rPr>
      </w:pPr>
      <w:r>
        <w:rPr>
          <w:rFonts w:asciiTheme="majorBidi" w:hAnsiTheme="majorBidi" w:cstheme="majorBidi"/>
          <w:noProof/>
          <w:sz w:val="24"/>
          <w:szCs w:val="24"/>
        </w:rPr>
        <w:t xml:space="preserve">Lie Chelsea (2020), “Judge Political Affiliation and Impacts of Croporate Enviornmental Litigation,” </w:t>
      </w:r>
      <w:r w:rsidRPr="004F4103">
        <w:rPr>
          <w:rFonts w:asciiTheme="majorBidi" w:hAnsiTheme="majorBidi" w:cstheme="majorBidi"/>
          <w:i/>
          <w:iCs/>
          <w:noProof/>
          <w:sz w:val="24"/>
          <w:szCs w:val="24"/>
        </w:rPr>
        <w:t>Journal of Corporate Finance</w:t>
      </w:r>
      <w:r>
        <w:rPr>
          <w:rFonts w:asciiTheme="majorBidi" w:hAnsiTheme="majorBidi" w:cstheme="majorBidi"/>
          <w:noProof/>
          <w:sz w:val="24"/>
          <w:szCs w:val="24"/>
        </w:rPr>
        <w:t>, Vol. 64</w:t>
      </w:r>
    </w:p>
    <w:p w14:paraId="5C02D7A7" w14:textId="77777777" w:rsidR="00D92DB2" w:rsidRDefault="00D92DB2" w:rsidP="000F7B0E">
      <w:pPr>
        <w:ind w:firstLine="450"/>
        <w:rPr>
          <w:rFonts w:asciiTheme="majorBidi" w:hAnsiTheme="majorBidi" w:cstheme="majorBidi"/>
          <w:noProof/>
          <w:sz w:val="24"/>
          <w:szCs w:val="24"/>
        </w:rPr>
      </w:pPr>
      <w:r w:rsidRPr="00825A5A">
        <w:rPr>
          <w:rFonts w:asciiTheme="majorBidi" w:hAnsiTheme="majorBidi" w:cstheme="majorBidi"/>
          <w:noProof/>
          <w:sz w:val="24"/>
          <w:szCs w:val="24"/>
        </w:rPr>
        <w:t xml:space="preserve">Siegelman, P., &amp; Donohue III, J. J. (1990). Studying the Iceberg From Its Tip: A Comparison of Published and Unpublished Employment Discrimination Cases. </w:t>
      </w:r>
      <w:r w:rsidRPr="00825A5A">
        <w:rPr>
          <w:rFonts w:asciiTheme="majorBidi" w:hAnsiTheme="majorBidi" w:cstheme="majorBidi"/>
          <w:i/>
          <w:iCs/>
          <w:noProof/>
          <w:sz w:val="24"/>
          <w:szCs w:val="24"/>
        </w:rPr>
        <w:t>Law &amp; Society Review</w:t>
      </w:r>
      <w:r w:rsidRPr="00AE4A58">
        <w:rPr>
          <w:rFonts w:asciiTheme="majorBidi" w:hAnsiTheme="majorBidi" w:cstheme="majorBidi"/>
          <w:noProof/>
          <w:sz w:val="24"/>
          <w:szCs w:val="24"/>
        </w:rPr>
        <w:t xml:space="preserve">, </w:t>
      </w:r>
      <w:r>
        <w:rPr>
          <w:rFonts w:asciiTheme="majorBidi" w:hAnsiTheme="majorBidi" w:cstheme="majorBidi"/>
          <w:noProof/>
          <w:sz w:val="24"/>
          <w:szCs w:val="24"/>
        </w:rPr>
        <w:t xml:space="preserve">Vol. </w:t>
      </w:r>
      <w:r w:rsidRPr="00AE4A58">
        <w:rPr>
          <w:rFonts w:asciiTheme="majorBidi" w:hAnsiTheme="majorBidi" w:cstheme="majorBidi"/>
          <w:noProof/>
          <w:sz w:val="24"/>
          <w:szCs w:val="24"/>
        </w:rPr>
        <w:t>24</w:t>
      </w:r>
      <w:r w:rsidRPr="00825A5A">
        <w:rPr>
          <w:rFonts w:asciiTheme="majorBidi" w:hAnsiTheme="majorBidi" w:cstheme="majorBidi"/>
          <w:noProof/>
          <w:sz w:val="24"/>
          <w:szCs w:val="24"/>
        </w:rPr>
        <w:t xml:space="preserve">, </w:t>
      </w:r>
      <w:r>
        <w:rPr>
          <w:rFonts w:asciiTheme="majorBidi" w:hAnsiTheme="majorBidi" w:cstheme="majorBidi"/>
          <w:noProof/>
          <w:sz w:val="24"/>
          <w:szCs w:val="24"/>
        </w:rPr>
        <w:t xml:space="preserve">pp: </w:t>
      </w:r>
      <w:r w:rsidRPr="00825A5A">
        <w:rPr>
          <w:rFonts w:asciiTheme="majorBidi" w:hAnsiTheme="majorBidi" w:cstheme="majorBidi"/>
          <w:noProof/>
          <w:sz w:val="24"/>
          <w:szCs w:val="24"/>
        </w:rPr>
        <w:t>1133-1170</w:t>
      </w:r>
    </w:p>
    <w:p w14:paraId="74181714" w14:textId="77777777" w:rsidR="00D92DB2" w:rsidRDefault="00D92DB2" w:rsidP="000F7B0E">
      <w:pPr>
        <w:ind w:firstLine="450"/>
        <w:rPr>
          <w:rFonts w:asciiTheme="majorBidi" w:hAnsiTheme="majorBidi" w:cstheme="majorBidi"/>
          <w:noProof/>
          <w:sz w:val="24"/>
          <w:szCs w:val="24"/>
          <w:rtl/>
        </w:rPr>
      </w:pPr>
      <w:r w:rsidRPr="00825A5A">
        <w:rPr>
          <w:rFonts w:asciiTheme="majorBidi" w:hAnsiTheme="majorBidi" w:cstheme="majorBidi"/>
          <w:noProof/>
          <w:sz w:val="24"/>
          <w:szCs w:val="24"/>
        </w:rPr>
        <w:t>Posner, R. A. (1993)</w:t>
      </w:r>
      <w:r>
        <w:rPr>
          <w:rFonts w:asciiTheme="majorBidi" w:hAnsiTheme="majorBidi" w:cstheme="majorBidi"/>
          <w:noProof/>
          <w:sz w:val="24"/>
          <w:szCs w:val="24"/>
        </w:rPr>
        <w:t>, “</w:t>
      </w:r>
      <w:r w:rsidRPr="00825A5A">
        <w:rPr>
          <w:rFonts w:asciiTheme="majorBidi" w:hAnsiTheme="majorBidi" w:cstheme="majorBidi"/>
          <w:noProof/>
          <w:sz w:val="24"/>
          <w:szCs w:val="24"/>
        </w:rPr>
        <w:t>What Do Judges and Justices Maximize? (The Same Thing Everybody Else Does)</w:t>
      </w:r>
      <w:r>
        <w:rPr>
          <w:rFonts w:asciiTheme="majorBidi" w:hAnsiTheme="majorBidi" w:cstheme="majorBidi"/>
          <w:noProof/>
          <w:sz w:val="24"/>
          <w:szCs w:val="24"/>
        </w:rPr>
        <w:t>,”</w:t>
      </w:r>
      <w:r w:rsidRPr="00825A5A">
        <w:rPr>
          <w:rFonts w:asciiTheme="majorBidi" w:hAnsiTheme="majorBidi" w:cstheme="majorBidi"/>
          <w:noProof/>
          <w:sz w:val="24"/>
          <w:szCs w:val="24"/>
        </w:rPr>
        <w:t xml:space="preserve"> </w:t>
      </w:r>
      <w:r w:rsidRPr="00825A5A">
        <w:rPr>
          <w:rFonts w:asciiTheme="majorBidi" w:hAnsiTheme="majorBidi" w:cstheme="majorBidi"/>
          <w:i/>
          <w:iCs/>
          <w:noProof/>
          <w:sz w:val="24"/>
          <w:szCs w:val="24"/>
        </w:rPr>
        <w:t>Supreme Court Economic Review,</w:t>
      </w:r>
      <w:r w:rsidRPr="00B315AC">
        <w:rPr>
          <w:rFonts w:asciiTheme="majorBidi" w:hAnsiTheme="majorBidi" w:cstheme="majorBidi"/>
          <w:noProof/>
          <w:sz w:val="24"/>
          <w:szCs w:val="24"/>
        </w:rPr>
        <w:t xml:space="preserve"> </w:t>
      </w:r>
      <w:r>
        <w:rPr>
          <w:rFonts w:asciiTheme="majorBidi" w:hAnsiTheme="majorBidi" w:cstheme="majorBidi"/>
          <w:noProof/>
          <w:sz w:val="24"/>
          <w:szCs w:val="24"/>
        </w:rPr>
        <w:t xml:space="preserve">Vol. </w:t>
      </w:r>
      <w:r w:rsidRPr="00B315AC">
        <w:rPr>
          <w:rFonts w:asciiTheme="majorBidi" w:hAnsiTheme="majorBidi" w:cstheme="majorBidi"/>
          <w:noProof/>
          <w:sz w:val="24"/>
          <w:szCs w:val="24"/>
        </w:rPr>
        <w:t>3</w:t>
      </w:r>
      <w:r w:rsidRPr="00825A5A">
        <w:rPr>
          <w:rFonts w:asciiTheme="majorBidi" w:hAnsiTheme="majorBidi" w:cstheme="majorBidi"/>
          <w:noProof/>
          <w:sz w:val="24"/>
          <w:szCs w:val="24"/>
        </w:rPr>
        <w:t xml:space="preserve">, </w:t>
      </w:r>
      <w:r>
        <w:rPr>
          <w:rFonts w:asciiTheme="majorBidi" w:hAnsiTheme="majorBidi" w:cstheme="majorBidi"/>
          <w:noProof/>
          <w:sz w:val="24"/>
          <w:szCs w:val="24"/>
        </w:rPr>
        <w:t xml:space="preserve">pp: </w:t>
      </w:r>
      <w:r w:rsidRPr="00825A5A">
        <w:rPr>
          <w:rFonts w:asciiTheme="majorBidi" w:hAnsiTheme="majorBidi" w:cstheme="majorBidi"/>
          <w:noProof/>
          <w:sz w:val="24"/>
          <w:szCs w:val="24"/>
        </w:rPr>
        <w:t>1-41</w:t>
      </w:r>
    </w:p>
    <w:p w14:paraId="5B3A4C4E" w14:textId="196CC722" w:rsidR="00D92DB2" w:rsidRDefault="00D92DB2" w:rsidP="000F7B0E">
      <w:pPr>
        <w:autoSpaceDE w:val="0"/>
        <w:autoSpaceDN w:val="0"/>
        <w:adjustRightInd w:val="0"/>
        <w:spacing w:after="0" w:line="240" w:lineRule="auto"/>
        <w:ind w:firstLine="450"/>
        <w:rPr>
          <w:rFonts w:asciiTheme="majorBidi" w:hAnsiTheme="majorBidi" w:cstheme="majorBidi"/>
          <w:noProof/>
          <w:sz w:val="24"/>
          <w:szCs w:val="24"/>
        </w:rPr>
      </w:pPr>
      <w:r w:rsidRPr="00BC2AA5">
        <w:rPr>
          <w:rFonts w:asciiTheme="majorBidi" w:hAnsiTheme="majorBidi" w:cstheme="majorBidi"/>
          <w:noProof/>
          <w:sz w:val="24"/>
          <w:szCs w:val="24"/>
        </w:rPr>
        <w:t xml:space="preserve">Schanzenbach, Max M. </w:t>
      </w:r>
      <w:r>
        <w:rPr>
          <w:rFonts w:asciiTheme="majorBidi" w:hAnsiTheme="majorBidi" w:cstheme="majorBidi"/>
          <w:noProof/>
          <w:sz w:val="24"/>
          <w:szCs w:val="24"/>
        </w:rPr>
        <w:t>(</w:t>
      </w:r>
      <w:r w:rsidRPr="00BC2AA5">
        <w:rPr>
          <w:rFonts w:asciiTheme="majorBidi" w:hAnsiTheme="majorBidi" w:cstheme="majorBidi"/>
          <w:noProof/>
          <w:sz w:val="24"/>
          <w:szCs w:val="24"/>
        </w:rPr>
        <w:t>2015</w:t>
      </w:r>
      <w:r>
        <w:rPr>
          <w:rFonts w:asciiTheme="majorBidi" w:hAnsiTheme="majorBidi" w:cstheme="majorBidi"/>
          <w:noProof/>
          <w:sz w:val="24"/>
          <w:szCs w:val="24"/>
        </w:rPr>
        <w:t>),</w:t>
      </w:r>
      <w:r w:rsidRPr="00BC2AA5">
        <w:rPr>
          <w:rFonts w:asciiTheme="majorBidi" w:hAnsiTheme="majorBidi" w:cstheme="majorBidi"/>
          <w:noProof/>
          <w:sz w:val="24"/>
          <w:szCs w:val="24"/>
        </w:rPr>
        <w:t xml:space="preserve"> “Racial Disparities, Judge Characteristics, and Standards of Review in</w:t>
      </w:r>
      <w:r>
        <w:rPr>
          <w:rFonts w:asciiTheme="majorBidi" w:hAnsiTheme="majorBidi" w:cstheme="majorBidi"/>
          <w:noProof/>
          <w:sz w:val="24"/>
          <w:szCs w:val="24"/>
        </w:rPr>
        <w:t xml:space="preserve"> </w:t>
      </w:r>
      <w:r w:rsidRPr="00BC2AA5">
        <w:rPr>
          <w:rFonts w:asciiTheme="majorBidi" w:hAnsiTheme="majorBidi" w:cstheme="majorBidi"/>
          <w:noProof/>
          <w:sz w:val="24"/>
          <w:szCs w:val="24"/>
        </w:rPr>
        <w:t xml:space="preserve">Sentencing.” </w:t>
      </w:r>
      <w:r w:rsidRPr="00BC2AA5">
        <w:rPr>
          <w:rFonts w:asciiTheme="majorBidi" w:hAnsiTheme="majorBidi" w:cstheme="majorBidi"/>
          <w:i/>
          <w:iCs/>
          <w:noProof/>
          <w:sz w:val="24"/>
          <w:szCs w:val="24"/>
        </w:rPr>
        <w:t>Journal of Institutional and Theoretical Economics</w:t>
      </w:r>
      <w:r>
        <w:rPr>
          <w:rFonts w:asciiTheme="majorBidi" w:hAnsiTheme="majorBidi" w:cstheme="majorBidi"/>
          <w:noProof/>
          <w:sz w:val="24"/>
          <w:szCs w:val="24"/>
        </w:rPr>
        <w:t>, Vol.</w:t>
      </w:r>
      <w:r w:rsidRPr="00BC2AA5">
        <w:rPr>
          <w:rFonts w:asciiTheme="majorBidi" w:hAnsiTheme="majorBidi" w:cstheme="majorBidi"/>
          <w:noProof/>
          <w:sz w:val="24"/>
          <w:szCs w:val="24"/>
        </w:rPr>
        <w:t xml:space="preserve"> 171 (1)</w:t>
      </w:r>
      <w:r>
        <w:rPr>
          <w:rFonts w:asciiTheme="majorBidi" w:hAnsiTheme="majorBidi" w:cstheme="majorBidi"/>
          <w:noProof/>
          <w:sz w:val="24"/>
          <w:szCs w:val="24"/>
        </w:rPr>
        <w:t xml:space="preserve"> pp</w:t>
      </w:r>
      <w:r w:rsidRPr="00BC2AA5">
        <w:rPr>
          <w:rFonts w:asciiTheme="majorBidi" w:hAnsiTheme="majorBidi" w:cstheme="majorBidi"/>
          <w:noProof/>
          <w:sz w:val="24"/>
          <w:szCs w:val="24"/>
        </w:rPr>
        <w:t>: 27–47.</w:t>
      </w:r>
    </w:p>
    <w:p w14:paraId="7D20329F" w14:textId="77777777" w:rsidR="00CF0AA0" w:rsidRPr="00BC2AA5" w:rsidRDefault="00CF0AA0" w:rsidP="000F7B0E">
      <w:pPr>
        <w:autoSpaceDE w:val="0"/>
        <w:autoSpaceDN w:val="0"/>
        <w:adjustRightInd w:val="0"/>
        <w:spacing w:after="0" w:line="240" w:lineRule="auto"/>
        <w:ind w:firstLine="450"/>
        <w:rPr>
          <w:rFonts w:asciiTheme="majorBidi" w:hAnsiTheme="majorBidi" w:cstheme="majorBidi"/>
          <w:noProof/>
          <w:sz w:val="24"/>
          <w:szCs w:val="24"/>
        </w:rPr>
      </w:pPr>
    </w:p>
    <w:p w14:paraId="668E37DB" w14:textId="14B94107" w:rsidR="00D92DB2" w:rsidRDefault="00D92DB2" w:rsidP="000F7B0E">
      <w:pPr>
        <w:autoSpaceDE w:val="0"/>
        <w:autoSpaceDN w:val="0"/>
        <w:adjustRightInd w:val="0"/>
        <w:spacing w:after="120" w:line="240" w:lineRule="auto"/>
        <w:ind w:firstLine="450"/>
        <w:rPr>
          <w:rFonts w:asciiTheme="majorBidi" w:hAnsiTheme="majorBidi" w:cstheme="majorBidi"/>
          <w:noProof/>
          <w:sz w:val="24"/>
          <w:szCs w:val="24"/>
        </w:rPr>
      </w:pPr>
      <w:r w:rsidRPr="00BC2AA5">
        <w:rPr>
          <w:rFonts w:asciiTheme="majorBidi" w:hAnsiTheme="majorBidi" w:cstheme="majorBidi"/>
          <w:noProof/>
          <w:sz w:val="24"/>
          <w:szCs w:val="24"/>
        </w:rPr>
        <w:t xml:space="preserve">Schanzenbach, Max M., and Emerson H. Tiller </w:t>
      </w:r>
      <w:r>
        <w:rPr>
          <w:rFonts w:asciiTheme="majorBidi" w:hAnsiTheme="majorBidi" w:cstheme="majorBidi"/>
          <w:noProof/>
          <w:sz w:val="24"/>
          <w:szCs w:val="24"/>
        </w:rPr>
        <w:t>(</w:t>
      </w:r>
      <w:r w:rsidRPr="00BC2AA5">
        <w:rPr>
          <w:rFonts w:asciiTheme="majorBidi" w:hAnsiTheme="majorBidi" w:cstheme="majorBidi"/>
          <w:noProof/>
          <w:sz w:val="24"/>
          <w:szCs w:val="24"/>
        </w:rPr>
        <w:t>2007</w:t>
      </w:r>
      <w:r>
        <w:rPr>
          <w:rFonts w:asciiTheme="majorBidi" w:hAnsiTheme="majorBidi" w:cstheme="majorBidi"/>
          <w:noProof/>
          <w:sz w:val="24"/>
          <w:szCs w:val="24"/>
        </w:rPr>
        <w:t>),</w:t>
      </w:r>
      <w:r w:rsidRPr="00BC2AA5">
        <w:rPr>
          <w:rFonts w:asciiTheme="majorBidi" w:hAnsiTheme="majorBidi" w:cstheme="majorBidi"/>
          <w:noProof/>
          <w:sz w:val="24"/>
          <w:szCs w:val="24"/>
        </w:rPr>
        <w:t xml:space="preserve"> “Strategic Judging Under the U.S. Sentencing</w:t>
      </w:r>
      <w:r>
        <w:rPr>
          <w:rFonts w:asciiTheme="majorBidi" w:hAnsiTheme="majorBidi" w:cstheme="majorBidi"/>
          <w:noProof/>
          <w:sz w:val="24"/>
          <w:szCs w:val="24"/>
        </w:rPr>
        <w:t xml:space="preserve"> </w:t>
      </w:r>
      <w:r w:rsidRPr="00BC2AA5">
        <w:rPr>
          <w:rFonts w:asciiTheme="majorBidi" w:hAnsiTheme="majorBidi" w:cstheme="majorBidi"/>
          <w:noProof/>
          <w:sz w:val="24"/>
          <w:szCs w:val="24"/>
        </w:rPr>
        <w:t>Guidelines: Positive Political Theory and Evidence</w:t>
      </w:r>
      <w:r>
        <w:rPr>
          <w:rFonts w:asciiTheme="majorBidi" w:hAnsiTheme="majorBidi" w:cstheme="majorBidi"/>
          <w:noProof/>
          <w:sz w:val="24"/>
          <w:szCs w:val="24"/>
        </w:rPr>
        <w:t>,</w:t>
      </w:r>
      <w:r w:rsidRPr="00BC2AA5">
        <w:rPr>
          <w:rFonts w:asciiTheme="majorBidi" w:hAnsiTheme="majorBidi" w:cstheme="majorBidi"/>
          <w:noProof/>
          <w:sz w:val="24"/>
          <w:szCs w:val="24"/>
        </w:rPr>
        <w:t xml:space="preserve">” </w:t>
      </w:r>
      <w:r w:rsidRPr="00BC2AA5">
        <w:rPr>
          <w:rFonts w:asciiTheme="majorBidi" w:hAnsiTheme="majorBidi" w:cstheme="majorBidi"/>
          <w:i/>
          <w:iCs/>
          <w:noProof/>
          <w:sz w:val="24"/>
          <w:szCs w:val="24"/>
        </w:rPr>
        <w:t>Journal of Law, Economics, and Organization</w:t>
      </w:r>
      <w:r>
        <w:rPr>
          <w:rFonts w:asciiTheme="majorBidi" w:hAnsiTheme="majorBidi" w:cstheme="majorBidi"/>
          <w:noProof/>
          <w:sz w:val="24"/>
          <w:szCs w:val="24"/>
        </w:rPr>
        <w:t xml:space="preserve">, Vol. </w:t>
      </w:r>
      <w:r w:rsidRPr="00BC2AA5">
        <w:rPr>
          <w:rFonts w:asciiTheme="majorBidi" w:hAnsiTheme="majorBidi" w:cstheme="majorBidi"/>
          <w:noProof/>
          <w:sz w:val="24"/>
          <w:szCs w:val="24"/>
        </w:rPr>
        <w:t>23 (1)</w:t>
      </w:r>
      <w:r>
        <w:rPr>
          <w:rFonts w:asciiTheme="majorBidi" w:hAnsiTheme="majorBidi" w:cstheme="majorBidi"/>
          <w:noProof/>
          <w:sz w:val="24"/>
          <w:szCs w:val="24"/>
        </w:rPr>
        <w:t>, pp</w:t>
      </w:r>
      <w:r w:rsidRPr="00BC2AA5">
        <w:rPr>
          <w:rFonts w:asciiTheme="majorBidi" w:hAnsiTheme="majorBidi" w:cstheme="majorBidi"/>
          <w:noProof/>
          <w:sz w:val="24"/>
          <w:szCs w:val="24"/>
        </w:rPr>
        <w:t>: 24–56.</w:t>
      </w:r>
    </w:p>
    <w:p w14:paraId="22005A06" w14:textId="77777777" w:rsidR="004837DB" w:rsidRPr="00BC2AA5" w:rsidRDefault="004837DB" w:rsidP="000F7B0E">
      <w:pPr>
        <w:autoSpaceDE w:val="0"/>
        <w:autoSpaceDN w:val="0"/>
        <w:adjustRightInd w:val="0"/>
        <w:spacing w:after="120" w:line="240" w:lineRule="auto"/>
        <w:ind w:firstLine="450"/>
        <w:rPr>
          <w:rFonts w:asciiTheme="majorBidi" w:hAnsiTheme="majorBidi" w:cstheme="majorBidi"/>
          <w:noProof/>
          <w:sz w:val="24"/>
          <w:szCs w:val="24"/>
        </w:rPr>
      </w:pPr>
    </w:p>
    <w:p w14:paraId="7901BF7F" w14:textId="77777777" w:rsidR="00D92DB2" w:rsidRDefault="00D92DB2" w:rsidP="000F7B0E">
      <w:pPr>
        <w:autoSpaceDE w:val="0"/>
        <w:autoSpaceDN w:val="0"/>
        <w:adjustRightInd w:val="0"/>
        <w:spacing w:after="120" w:line="240" w:lineRule="auto"/>
        <w:ind w:firstLine="450"/>
        <w:rPr>
          <w:rFonts w:asciiTheme="majorBidi" w:hAnsiTheme="majorBidi" w:cstheme="majorBidi"/>
          <w:noProof/>
          <w:sz w:val="24"/>
          <w:szCs w:val="24"/>
        </w:rPr>
      </w:pPr>
      <w:r w:rsidRPr="00BC2AA5">
        <w:rPr>
          <w:rFonts w:asciiTheme="majorBidi" w:hAnsiTheme="majorBidi" w:cstheme="majorBidi"/>
          <w:noProof/>
          <w:sz w:val="24"/>
          <w:szCs w:val="24"/>
        </w:rPr>
        <w:t xml:space="preserve">Schanzenbach, Max M., and Emerson H. Tiller. </w:t>
      </w:r>
      <w:r>
        <w:rPr>
          <w:rFonts w:asciiTheme="majorBidi" w:hAnsiTheme="majorBidi" w:cstheme="majorBidi"/>
          <w:noProof/>
          <w:sz w:val="24"/>
          <w:szCs w:val="24"/>
        </w:rPr>
        <w:t>(</w:t>
      </w:r>
      <w:r w:rsidRPr="00BC2AA5">
        <w:rPr>
          <w:rFonts w:asciiTheme="majorBidi" w:hAnsiTheme="majorBidi" w:cstheme="majorBidi"/>
          <w:noProof/>
          <w:sz w:val="24"/>
          <w:szCs w:val="24"/>
        </w:rPr>
        <w:t>2008</w:t>
      </w:r>
      <w:r>
        <w:rPr>
          <w:rFonts w:asciiTheme="majorBidi" w:hAnsiTheme="majorBidi" w:cstheme="majorBidi"/>
          <w:noProof/>
          <w:sz w:val="24"/>
          <w:szCs w:val="24"/>
        </w:rPr>
        <w:t>),</w:t>
      </w:r>
      <w:r w:rsidRPr="00BC2AA5">
        <w:rPr>
          <w:rFonts w:asciiTheme="majorBidi" w:hAnsiTheme="majorBidi" w:cstheme="majorBidi"/>
          <w:noProof/>
          <w:sz w:val="24"/>
          <w:szCs w:val="24"/>
        </w:rPr>
        <w:t xml:space="preserve"> “Reviewing the Sentencing Guidelines: Judicial</w:t>
      </w:r>
      <w:r>
        <w:rPr>
          <w:rFonts w:asciiTheme="majorBidi" w:hAnsiTheme="majorBidi" w:cstheme="majorBidi"/>
          <w:noProof/>
          <w:sz w:val="24"/>
          <w:szCs w:val="24"/>
        </w:rPr>
        <w:t xml:space="preserve"> </w:t>
      </w:r>
      <w:r w:rsidRPr="00BC2AA5">
        <w:rPr>
          <w:rFonts w:asciiTheme="majorBidi" w:hAnsiTheme="majorBidi" w:cstheme="majorBidi"/>
          <w:noProof/>
          <w:sz w:val="24"/>
          <w:szCs w:val="24"/>
        </w:rPr>
        <w:t>Politics, Empirical Evidence, and Reform</w:t>
      </w:r>
      <w:r>
        <w:rPr>
          <w:rFonts w:asciiTheme="majorBidi" w:hAnsiTheme="majorBidi" w:cstheme="majorBidi"/>
          <w:noProof/>
          <w:sz w:val="24"/>
          <w:szCs w:val="24"/>
        </w:rPr>
        <w:t>,</w:t>
      </w:r>
      <w:r w:rsidRPr="00BC2AA5">
        <w:rPr>
          <w:rFonts w:asciiTheme="majorBidi" w:hAnsiTheme="majorBidi" w:cstheme="majorBidi"/>
          <w:noProof/>
          <w:sz w:val="24"/>
          <w:szCs w:val="24"/>
        </w:rPr>
        <w:t xml:space="preserve">” </w:t>
      </w:r>
      <w:r w:rsidRPr="00BC2AA5">
        <w:rPr>
          <w:rFonts w:asciiTheme="majorBidi" w:hAnsiTheme="majorBidi" w:cstheme="majorBidi"/>
          <w:i/>
          <w:iCs/>
          <w:noProof/>
          <w:sz w:val="24"/>
          <w:szCs w:val="24"/>
        </w:rPr>
        <w:t>University of Chicago Law Review</w:t>
      </w:r>
      <w:r>
        <w:rPr>
          <w:rFonts w:asciiTheme="majorBidi" w:hAnsiTheme="majorBidi" w:cstheme="majorBidi"/>
          <w:noProof/>
          <w:sz w:val="24"/>
          <w:szCs w:val="24"/>
        </w:rPr>
        <w:t>, Vol.</w:t>
      </w:r>
      <w:r w:rsidRPr="00BC2AA5">
        <w:rPr>
          <w:rFonts w:asciiTheme="majorBidi" w:hAnsiTheme="majorBidi" w:cstheme="majorBidi"/>
          <w:noProof/>
          <w:sz w:val="24"/>
          <w:szCs w:val="24"/>
        </w:rPr>
        <w:t xml:space="preserve"> 75 (2)</w:t>
      </w:r>
      <w:r>
        <w:rPr>
          <w:rFonts w:asciiTheme="majorBidi" w:hAnsiTheme="majorBidi" w:cstheme="majorBidi"/>
          <w:noProof/>
          <w:sz w:val="24"/>
          <w:szCs w:val="24"/>
        </w:rPr>
        <w:t>, pp</w:t>
      </w:r>
      <w:r w:rsidRPr="00BC2AA5">
        <w:rPr>
          <w:rFonts w:asciiTheme="majorBidi" w:hAnsiTheme="majorBidi" w:cstheme="majorBidi"/>
          <w:noProof/>
          <w:sz w:val="24"/>
          <w:szCs w:val="24"/>
        </w:rPr>
        <w:t>: 715–60.</w:t>
      </w:r>
    </w:p>
    <w:p w14:paraId="531C5D67" w14:textId="19A8DE5B" w:rsidR="00D92DB2" w:rsidRDefault="00D92DB2" w:rsidP="000F7B0E">
      <w:pPr>
        <w:ind w:firstLine="450"/>
        <w:rPr>
          <w:rFonts w:asciiTheme="majorBidi" w:hAnsiTheme="majorBidi" w:cstheme="majorBidi"/>
          <w:noProof/>
          <w:sz w:val="24"/>
          <w:szCs w:val="24"/>
        </w:rPr>
      </w:pPr>
      <w:r w:rsidRPr="00825A5A">
        <w:rPr>
          <w:rFonts w:asciiTheme="majorBidi" w:hAnsiTheme="majorBidi" w:cstheme="majorBidi"/>
          <w:noProof/>
          <w:sz w:val="24"/>
          <w:szCs w:val="24"/>
        </w:rPr>
        <w:t xml:space="preserve">Songer, D. R. (1990). Criteria for Publication of Opinions in the U.S. Courts of Appeals: Formal Rules versus Empirical Reality. </w:t>
      </w:r>
      <w:r w:rsidRPr="00825A5A">
        <w:rPr>
          <w:rFonts w:asciiTheme="majorBidi" w:hAnsiTheme="majorBidi" w:cstheme="majorBidi"/>
          <w:i/>
          <w:iCs/>
          <w:noProof/>
          <w:sz w:val="24"/>
          <w:szCs w:val="24"/>
        </w:rPr>
        <w:t>Judicature</w:t>
      </w:r>
      <w:r w:rsidRPr="00AE4A58">
        <w:rPr>
          <w:rFonts w:asciiTheme="majorBidi" w:hAnsiTheme="majorBidi" w:cstheme="majorBidi"/>
          <w:noProof/>
          <w:sz w:val="24"/>
          <w:szCs w:val="24"/>
        </w:rPr>
        <w:t>,</w:t>
      </w:r>
      <w:r>
        <w:rPr>
          <w:rFonts w:asciiTheme="majorBidi" w:hAnsiTheme="majorBidi" w:cstheme="majorBidi"/>
          <w:noProof/>
          <w:sz w:val="24"/>
          <w:szCs w:val="24"/>
        </w:rPr>
        <w:t xml:space="preserve"> Vol. </w:t>
      </w:r>
      <w:r w:rsidRPr="00AE4A58">
        <w:rPr>
          <w:rFonts w:asciiTheme="majorBidi" w:hAnsiTheme="majorBidi" w:cstheme="majorBidi"/>
          <w:noProof/>
          <w:sz w:val="24"/>
          <w:szCs w:val="24"/>
        </w:rPr>
        <w:t>73</w:t>
      </w:r>
      <w:r w:rsidRPr="00825A5A">
        <w:rPr>
          <w:rFonts w:asciiTheme="majorBidi" w:hAnsiTheme="majorBidi" w:cstheme="majorBidi"/>
          <w:noProof/>
          <w:sz w:val="24"/>
          <w:szCs w:val="24"/>
        </w:rPr>
        <w:t>,</w:t>
      </w:r>
      <w:r>
        <w:rPr>
          <w:rFonts w:asciiTheme="majorBidi" w:hAnsiTheme="majorBidi" w:cstheme="majorBidi"/>
          <w:noProof/>
          <w:sz w:val="24"/>
          <w:szCs w:val="24"/>
        </w:rPr>
        <w:t xml:space="preserve"> pp:</w:t>
      </w:r>
      <w:r w:rsidRPr="00825A5A">
        <w:rPr>
          <w:rFonts w:asciiTheme="majorBidi" w:hAnsiTheme="majorBidi" w:cstheme="majorBidi"/>
          <w:noProof/>
          <w:sz w:val="24"/>
          <w:szCs w:val="24"/>
        </w:rPr>
        <w:t xml:space="preserve"> 307-313</w:t>
      </w:r>
    </w:p>
    <w:p w14:paraId="02381269" w14:textId="77777777" w:rsidR="00D92DB2" w:rsidRPr="009E2D6E" w:rsidRDefault="00D92DB2" w:rsidP="000F7B0E">
      <w:pPr>
        <w:ind w:firstLine="450"/>
        <w:rPr>
          <w:rFonts w:asciiTheme="majorBidi" w:hAnsiTheme="majorBidi" w:cstheme="majorBidi"/>
          <w:noProof/>
          <w:sz w:val="24"/>
          <w:szCs w:val="24"/>
        </w:rPr>
      </w:pPr>
      <w:r>
        <w:rPr>
          <w:rFonts w:asciiTheme="majorBidi" w:hAnsiTheme="majorBidi" w:cstheme="majorBidi" w:hint="cs"/>
          <w:noProof/>
          <w:sz w:val="24"/>
          <w:szCs w:val="24"/>
        </w:rPr>
        <w:t>S</w:t>
      </w:r>
      <w:r w:rsidRPr="009E2D6E">
        <w:rPr>
          <w:rFonts w:asciiTheme="majorBidi" w:hAnsiTheme="majorBidi" w:cstheme="majorBidi"/>
          <w:noProof/>
          <w:sz w:val="24"/>
          <w:szCs w:val="24"/>
        </w:rPr>
        <w:t>unstein, Cass R., David Schkade, &amp; Lisa Michelle Ellman (2004) “Ideological Voting on Federal</w:t>
      </w:r>
      <w:r>
        <w:rPr>
          <w:rFonts w:asciiTheme="majorBidi" w:hAnsiTheme="majorBidi" w:cstheme="majorBidi"/>
          <w:noProof/>
          <w:sz w:val="24"/>
          <w:szCs w:val="24"/>
        </w:rPr>
        <w:t xml:space="preserve"> </w:t>
      </w:r>
      <w:r w:rsidRPr="009E2D6E">
        <w:rPr>
          <w:rFonts w:asciiTheme="majorBidi" w:hAnsiTheme="majorBidi" w:cstheme="majorBidi"/>
          <w:noProof/>
          <w:sz w:val="24"/>
          <w:szCs w:val="24"/>
        </w:rPr>
        <w:t xml:space="preserve">Courts of Appeals: A Preliminary Investigation,” 90(1) </w:t>
      </w:r>
      <w:r w:rsidRPr="009E2D6E">
        <w:rPr>
          <w:rFonts w:asciiTheme="majorBidi" w:hAnsiTheme="majorBidi" w:cstheme="majorBidi"/>
          <w:i/>
          <w:iCs/>
          <w:noProof/>
          <w:sz w:val="24"/>
          <w:szCs w:val="24"/>
        </w:rPr>
        <w:t>Virginia Law Review</w:t>
      </w:r>
      <w:r w:rsidRPr="009E2D6E">
        <w:rPr>
          <w:rFonts w:asciiTheme="majorBidi" w:hAnsiTheme="majorBidi" w:cstheme="majorBidi"/>
          <w:noProof/>
          <w:sz w:val="24"/>
          <w:szCs w:val="24"/>
        </w:rPr>
        <w:t xml:space="preserve"> 301.</w:t>
      </w:r>
    </w:p>
    <w:p w14:paraId="3C26FF64" w14:textId="77777777" w:rsidR="00D92DB2" w:rsidRDefault="00D92DB2" w:rsidP="000F7B0E">
      <w:pPr>
        <w:ind w:firstLine="450"/>
        <w:rPr>
          <w:rFonts w:asciiTheme="majorBidi" w:hAnsiTheme="majorBidi" w:cstheme="majorBidi"/>
          <w:noProof/>
          <w:sz w:val="24"/>
          <w:szCs w:val="24"/>
        </w:rPr>
      </w:pPr>
      <w:r w:rsidRPr="009E2D6E">
        <w:rPr>
          <w:rFonts w:asciiTheme="majorBidi" w:hAnsiTheme="majorBidi" w:cstheme="majorBidi"/>
          <w:noProof/>
          <w:sz w:val="24"/>
          <w:szCs w:val="24"/>
        </w:rPr>
        <w:t>Sunstein, Cass R., David Schkade, Lisa Michelle Ellman, &amp; Andres Sawicki (2006)</w:t>
      </w:r>
      <w:r>
        <w:rPr>
          <w:rFonts w:asciiTheme="majorBidi" w:hAnsiTheme="majorBidi" w:cstheme="majorBidi"/>
          <w:noProof/>
          <w:sz w:val="24"/>
          <w:szCs w:val="24"/>
        </w:rPr>
        <w:t>,</w:t>
      </w:r>
      <w:r w:rsidRPr="009E2D6E">
        <w:rPr>
          <w:rFonts w:asciiTheme="majorBidi" w:hAnsiTheme="majorBidi" w:cstheme="majorBidi"/>
          <w:noProof/>
          <w:sz w:val="24"/>
          <w:szCs w:val="24"/>
        </w:rPr>
        <w:t xml:space="preserve"> </w:t>
      </w:r>
      <w:r>
        <w:rPr>
          <w:rFonts w:asciiTheme="majorBidi" w:hAnsiTheme="majorBidi" w:cstheme="majorBidi"/>
          <w:noProof/>
          <w:sz w:val="24"/>
          <w:szCs w:val="24"/>
        </w:rPr>
        <w:t>“</w:t>
      </w:r>
      <w:r w:rsidRPr="009E2D6E">
        <w:rPr>
          <w:rFonts w:asciiTheme="majorBidi" w:hAnsiTheme="majorBidi" w:cstheme="majorBidi"/>
          <w:noProof/>
          <w:sz w:val="24"/>
          <w:szCs w:val="24"/>
        </w:rPr>
        <w:t>Are Judges</w:t>
      </w:r>
      <w:r>
        <w:rPr>
          <w:rFonts w:asciiTheme="majorBidi" w:hAnsiTheme="majorBidi" w:cstheme="majorBidi"/>
          <w:noProof/>
          <w:sz w:val="24"/>
          <w:szCs w:val="24"/>
        </w:rPr>
        <w:t xml:space="preserve"> </w:t>
      </w:r>
      <w:r w:rsidRPr="009E2D6E">
        <w:rPr>
          <w:rFonts w:asciiTheme="majorBidi" w:hAnsiTheme="majorBidi" w:cstheme="majorBidi"/>
          <w:noProof/>
          <w:sz w:val="24"/>
          <w:szCs w:val="24"/>
        </w:rPr>
        <w:t>Political? An Empirical Analysis of the Federal Judiciary</w:t>
      </w:r>
      <w:r>
        <w:rPr>
          <w:rFonts w:asciiTheme="majorBidi" w:hAnsiTheme="majorBidi" w:cstheme="majorBidi"/>
          <w:noProof/>
          <w:sz w:val="24"/>
          <w:szCs w:val="24"/>
        </w:rPr>
        <w:t>,”</w:t>
      </w:r>
      <w:r w:rsidRPr="009E2D6E">
        <w:rPr>
          <w:rFonts w:asciiTheme="majorBidi" w:hAnsiTheme="majorBidi" w:cstheme="majorBidi"/>
          <w:noProof/>
          <w:sz w:val="24"/>
          <w:szCs w:val="24"/>
        </w:rPr>
        <w:t xml:space="preserve"> Washington, DC: Brookings Institution Press.</w:t>
      </w:r>
    </w:p>
    <w:p w14:paraId="3F20707A" w14:textId="30EA37D5" w:rsidR="00D92DB2" w:rsidRPr="009E2D6E" w:rsidRDefault="00D92DB2" w:rsidP="000F7B0E">
      <w:pPr>
        <w:ind w:firstLine="450"/>
        <w:rPr>
          <w:rFonts w:asciiTheme="majorBidi" w:hAnsiTheme="majorBidi" w:cstheme="majorBidi"/>
          <w:noProof/>
          <w:sz w:val="24"/>
          <w:szCs w:val="24"/>
        </w:rPr>
      </w:pPr>
      <w:r>
        <w:rPr>
          <w:rFonts w:asciiTheme="majorBidi" w:hAnsiTheme="majorBidi" w:cstheme="majorBidi"/>
          <w:noProof/>
          <w:sz w:val="24"/>
          <w:szCs w:val="24"/>
        </w:rPr>
        <w:lastRenderedPageBreak/>
        <w:t>Tiede Lydia, Robert Carp and Kenneth L Manning (2010), “</w:t>
      </w:r>
      <w:r w:rsidRPr="002F20B6">
        <w:rPr>
          <w:rFonts w:asciiTheme="majorBidi" w:hAnsiTheme="majorBidi" w:cstheme="majorBidi"/>
          <w:noProof/>
          <w:sz w:val="24"/>
          <w:szCs w:val="24"/>
        </w:rPr>
        <w:t>Judicial Attributes and Sentencing-Deviation Cases: Do Sex, Race, and Politics Matter?</w:t>
      </w:r>
      <w:r>
        <w:rPr>
          <w:rFonts w:asciiTheme="majorBidi" w:hAnsiTheme="majorBidi" w:cstheme="majorBidi"/>
          <w:noProof/>
          <w:sz w:val="24"/>
          <w:szCs w:val="24"/>
        </w:rPr>
        <w:t xml:space="preserve">,” </w:t>
      </w:r>
      <w:r w:rsidRPr="004F4103">
        <w:rPr>
          <w:rFonts w:asciiTheme="majorBidi" w:hAnsiTheme="majorBidi" w:cstheme="majorBidi"/>
          <w:i/>
          <w:iCs/>
          <w:noProof/>
          <w:sz w:val="24"/>
          <w:szCs w:val="24"/>
        </w:rPr>
        <w:t>Justice System Journal</w:t>
      </w:r>
      <w:r>
        <w:rPr>
          <w:rFonts w:asciiTheme="majorBidi" w:hAnsiTheme="majorBidi" w:cstheme="majorBidi"/>
          <w:noProof/>
          <w:sz w:val="24"/>
          <w:szCs w:val="24"/>
        </w:rPr>
        <w:t>, Col. 31, Issie 3, pp: 249-272</w:t>
      </w:r>
    </w:p>
    <w:p w14:paraId="2967EB9E" w14:textId="31ED951F" w:rsidR="00D92DB2" w:rsidRDefault="00D92DB2" w:rsidP="000F7B0E">
      <w:pPr>
        <w:ind w:firstLine="450"/>
        <w:rPr>
          <w:rFonts w:asciiTheme="majorBidi" w:hAnsiTheme="majorBidi" w:cstheme="majorBidi"/>
          <w:noProof/>
          <w:sz w:val="24"/>
          <w:szCs w:val="24"/>
        </w:rPr>
      </w:pPr>
      <w:r w:rsidRPr="00825A5A">
        <w:rPr>
          <w:rFonts w:asciiTheme="majorBidi" w:hAnsiTheme="majorBidi" w:cstheme="majorBidi"/>
          <w:noProof/>
          <w:sz w:val="24"/>
          <w:szCs w:val="24"/>
        </w:rPr>
        <w:t xml:space="preserve">Tillman, E. A., &amp; Hinkle, R. K. (2018). Of Whites and Men: How Gender and Race Impact Authorship of Published and Unpublished Opinions in the US Courts of Appeals. </w:t>
      </w:r>
      <w:r w:rsidRPr="00825A5A">
        <w:rPr>
          <w:rFonts w:asciiTheme="majorBidi" w:hAnsiTheme="majorBidi" w:cstheme="majorBidi"/>
          <w:i/>
          <w:iCs/>
          <w:noProof/>
          <w:sz w:val="24"/>
          <w:szCs w:val="24"/>
        </w:rPr>
        <w:t>Research and Politics</w:t>
      </w:r>
      <w:r w:rsidRPr="00825A5A">
        <w:rPr>
          <w:rFonts w:asciiTheme="majorBidi" w:hAnsiTheme="majorBidi" w:cstheme="majorBidi"/>
          <w:noProof/>
          <w:sz w:val="24"/>
          <w:szCs w:val="24"/>
        </w:rPr>
        <w:t>, 1-7</w:t>
      </w:r>
      <w:r w:rsidR="00CF0AA0">
        <w:rPr>
          <w:rFonts w:asciiTheme="majorBidi" w:hAnsiTheme="majorBidi" w:cstheme="majorBidi"/>
          <w:noProof/>
          <w:sz w:val="24"/>
          <w:szCs w:val="24"/>
        </w:rPr>
        <w:t>.</w:t>
      </w:r>
    </w:p>
    <w:p w14:paraId="22821777" w14:textId="77777777" w:rsidR="00730C3D" w:rsidRDefault="00730C3D" w:rsidP="003660E5">
      <w:pPr>
        <w:rPr>
          <w:rFonts w:asciiTheme="majorBidi" w:hAnsiTheme="majorBidi" w:cstheme="majorBidi"/>
          <w:sz w:val="24"/>
          <w:szCs w:val="24"/>
        </w:rPr>
      </w:pPr>
    </w:p>
    <w:sectPr w:rsidR="00730C3D">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32D4C3" w14:textId="77777777" w:rsidR="00066A82" w:rsidRDefault="00066A82" w:rsidP="00B05E74">
      <w:pPr>
        <w:spacing w:after="0" w:line="240" w:lineRule="auto"/>
      </w:pPr>
      <w:r>
        <w:separator/>
      </w:r>
    </w:p>
  </w:endnote>
  <w:endnote w:type="continuationSeparator" w:id="0">
    <w:p w14:paraId="3F459A59" w14:textId="77777777" w:rsidR="00066A82" w:rsidRDefault="00066A82" w:rsidP="00B05E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07C250B-DA01-4CD1-B77F-68D620896D8A}"/>
    <w:embedBold r:id="rId2" w:fontKey="{1E149023-7670-4385-870F-7B36E0F716D5}"/>
    <w:embedItalic r:id="rId3" w:fontKey="{B428E875-B692-45AA-BA08-EB307624218E}"/>
    <w:embedBoldItalic r:id="rId4" w:fontKey="{6288539E-B889-4D10-BC1B-589A8430419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uclid">
    <w:charset w:val="00"/>
    <w:family w:val="roman"/>
    <w:pitch w:val="variable"/>
    <w:sig w:usb0="8000002F" w:usb1="0000000A" w:usb2="00000000" w:usb3="00000000" w:csb0="00000001" w:csb1="00000000"/>
    <w:embedRegular r:id="rId5" w:fontKey="{BD1FCB57-6BCA-49FE-906F-F0BB9770738F}"/>
  </w:font>
  <w:font w:name="Cambria Math">
    <w:panose1 w:val="02040503050406030204"/>
    <w:charset w:val="00"/>
    <w:family w:val="roman"/>
    <w:pitch w:val="variable"/>
    <w:sig w:usb0="E00006FF" w:usb1="420024FF" w:usb2="02000000" w:usb3="00000000" w:csb0="0000019F" w:csb1="00000000"/>
    <w:embedItalic r:id="rId6" w:fontKey="{E8079722-D4FB-4AA3-BEE4-4B95A5691F7F}"/>
  </w:font>
  <w:font w:name="Lucida Sans Unicode">
    <w:panose1 w:val="020B0602030504020204"/>
    <w:charset w:val="00"/>
    <w:family w:val="swiss"/>
    <w:pitch w:val="variable"/>
    <w:sig w:usb0="80000AFF" w:usb1="0000396B" w:usb2="00000000" w:usb3="00000000" w:csb0="000000BF" w:csb1="00000000"/>
    <w:embedRegular r:id="rId7" w:fontKey="{7EFBAC31-D438-48E9-B4CA-35674585B60F}"/>
  </w:font>
  <w:font w:name="Sitka Small">
    <w:panose1 w:val="02000505000000020004"/>
    <w:charset w:val="00"/>
    <w:family w:val="auto"/>
    <w:pitch w:val="variable"/>
    <w:sig w:usb0="A00002EF" w:usb1="4000204B" w:usb2="00000000" w:usb3="00000000" w:csb0="0000019F" w:csb1="00000000"/>
    <w:embedItalic r:id="rId8" w:fontKey="{A98622BE-CDB3-4FAB-A2ED-FD32F00DFFCA}"/>
  </w:font>
  <w:font w:name="Segoe UI Symbol">
    <w:panose1 w:val="020B0502040204020203"/>
    <w:charset w:val="00"/>
    <w:family w:val="swiss"/>
    <w:pitch w:val="variable"/>
    <w:sig w:usb0="800001E3" w:usb1="1200FFEF" w:usb2="00040000" w:usb3="00000000" w:csb0="00000001" w:csb1="00000000"/>
    <w:embedRegular r:id="rId9" w:fontKey="{63C498B8-701D-4A5F-8A0D-5E9DAC9EAA12}"/>
  </w:font>
  <w:font w:name="Bookman Old Style">
    <w:panose1 w:val="02050604050505020204"/>
    <w:charset w:val="00"/>
    <w:family w:val="roman"/>
    <w:pitch w:val="variable"/>
    <w:sig w:usb0="00000287" w:usb1="00000000" w:usb2="00000000" w:usb3="00000000" w:csb0="0000009F" w:csb1="00000000"/>
    <w:embedItalic r:id="rId10" w:fontKey="{AB376AC6-0533-4DE2-B178-72C3F40A5771}"/>
  </w:font>
  <w:font w:name="Eras Medium ITC">
    <w:panose1 w:val="020B0602030504020804"/>
    <w:charset w:val="00"/>
    <w:family w:val="swiss"/>
    <w:pitch w:val="variable"/>
    <w:sig w:usb0="00000003" w:usb1="00000000" w:usb2="00000000" w:usb3="00000000" w:csb0="00000001" w:csb1="00000000"/>
    <w:embedRegular r:id="rId11" w:fontKey="{EB30E4BC-4B22-416D-8738-C5D0DBF43E31}"/>
  </w:font>
  <w:font w:name="Helvetica">
    <w:panose1 w:val="020B0604020202020204"/>
    <w:charset w:val="00"/>
    <w:family w:val="swiss"/>
    <w:pitch w:val="variable"/>
    <w:sig w:usb0="E0002EFF" w:usb1="C000785B" w:usb2="00000009" w:usb3="00000000" w:csb0="000001FF" w:csb1="00000000"/>
    <w:embedRegular r:id="rId12" w:fontKey="{E2F49FFE-D03B-48D3-A277-B2E2302D1941}"/>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13" w:fontKey="{D58D4C1D-36CE-4AEC-ADB4-03120AF0CE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0F54D" w14:textId="77777777" w:rsidR="00814D0C" w:rsidRDefault="00814D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5788553"/>
      <w:docPartObj>
        <w:docPartGallery w:val="Page Numbers (Bottom of Page)"/>
        <w:docPartUnique/>
      </w:docPartObj>
    </w:sdtPr>
    <w:sdtEndPr>
      <w:rPr>
        <w:noProof/>
      </w:rPr>
    </w:sdtEndPr>
    <w:sdtContent>
      <w:p w14:paraId="56063953" w14:textId="5E5A2FCE" w:rsidR="00814D0C" w:rsidRDefault="00814D0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829801" w14:textId="77777777" w:rsidR="00B05E74" w:rsidRDefault="00B05E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5202A" w14:textId="77777777" w:rsidR="00814D0C" w:rsidRDefault="00814D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31D95D" w14:textId="77777777" w:rsidR="00066A82" w:rsidRDefault="00066A82" w:rsidP="00B05E74">
      <w:pPr>
        <w:spacing w:after="0" w:line="240" w:lineRule="auto"/>
      </w:pPr>
      <w:r>
        <w:separator/>
      </w:r>
    </w:p>
  </w:footnote>
  <w:footnote w:type="continuationSeparator" w:id="0">
    <w:p w14:paraId="2CD45D5D" w14:textId="77777777" w:rsidR="00066A82" w:rsidRDefault="00066A82" w:rsidP="00B05E74">
      <w:pPr>
        <w:spacing w:after="0" w:line="240" w:lineRule="auto"/>
      </w:pPr>
      <w:r>
        <w:continuationSeparator/>
      </w:r>
    </w:p>
  </w:footnote>
  <w:footnote w:id="1">
    <w:p w14:paraId="4C57B3C0" w14:textId="2841891B" w:rsidR="006B753B" w:rsidRPr="00C025C4" w:rsidRDefault="006B753B" w:rsidP="00C948BD">
      <w:pPr>
        <w:autoSpaceDE w:val="0"/>
        <w:autoSpaceDN w:val="0"/>
        <w:adjustRightInd w:val="0"/>
        <w:spacing w:after="120" w:line="288" w:lineRule="auto"/>
        <w:rPr>
          <w:rFonts w:asciiTheme="majorBidi" w:hAnsiTheme="majorBidi" w:cstheme="majorBidi"/>
        </w:rPr>
      </w:pPr>
      <w:r w:rsidRPr="00C025C4">
        <w:rPr>
          <w:rStyle w:val="FootnoteReference"/>
          <w:rFonts w:asciiTheme="majorBidi" w:hAnsiTheme="majorBidi" w:cstheme="majorBidi"/>
        </w:rPr>
        <w:sym w:font="Symbol" w:char="F0A6"/>
      </w:r>
      <w:r w:rsidRPr="00C025C4">
        <w:rPr>
          <w:rFonts w:asciiTheme="majorBidi" w:hAnsiTheme="majorBidi" w:cstheme="majorBidi"/>
        </w:rPr>
        <w:t xml:space="preserve"> Harvard Law School, Tel Aviv University, CEPR and, NBER. </w:t>
      </w:r>
      <w:r w:rsidR="00840325" w:rsidRPr="00C025C4">
        <w:rPr>
          <w:rFonts w:asciiTheme="majorBidi" w:hAnsiTheme="majorBidi" w:cstheme="majorBidi"/>
          <w:lang w:val="it-IT"/>
        </w:rPr>
        <w:t>E</w:t>
      </w:r>
      <w:r w:rsidRPr="00C025C4">
        <w:rPr>
          <w:rFonts w:asciiTheme="majorBidi" w:hAnsiTheme="majorBidi" w:cstheme="majorBidi"/>
          <w:lang w:val="it-IT"/>
        </w:rPr>
        <w:t xml:space="preserve">-mail: </w:t>
      </w:r>
      <w:hyperlink r:id="rId1" w:history="1">
        <w:r w:rsidR="0044237A" w:rsidRPr="004F4103">
          <w:rPr>
            <w:rStyle w:val="Hyperlink"/>
            <w:rFonts w:asciiTheme="majorBidi" w:hAnsiTheme="majorBidi" w:cstheme="majorBidi"/>
            <w:lang w:val="it-IT"/>
          </w:rPr>
          <w:t>alcohen@</w:t>
        </w:r>
        <w:r w:rsidR="0044237A" w:rsidRPr="00C025C4">
          <w:rPr>
            <w:rStyle w:val="Hyperlink"/>
            <w:rFonts w:asciiTheme="majorBidi" w:hAnsiTheme="majorBidi" w:cstheme="majorBidi"/>
            <w:lang w:val="it-IT"/>
          </w:rPr>
          <w:t>law.harvard.edu</w:t>
        </w:r>
      </w:hyperlink>
      <w:r w:rsidR="0044237A" w:rsidRPr="00C025C4">
        <w:rPr>
          <w:rFonts w:asciiTheme="majorBidi" w:hAnsiTheme="majorBidi" w:cstheme="majorBidi"/>
          <w:lang w:val="it-IT"/>
        </w:rPr>
        <w:t xml:space="preserve">. </w:t>
      </w:r>
      <w:r w:rsidR="00C45C98" w:rsidRPr="00C025C4">
        <w:rPr>
          <w:rFonts w:asciiTheme="majorBidi" w:hAnsiTheme="majorBidi" w:cstheme="majorBidi"/>
        </w:rPr>
        <w:t xml:space="preserve">For helpful discussions and comments, I am grateful to </w:t>
      </w:r>
      <w:r w:rsidR="00C948BD" w:rsidRPr="00C025C4">
        <w:rPr>
          <w:rFonts w:asciiTheme="majorBidi" w:hAnsiTheme="majorBidi" w:cstheme="majorBidi"/>
        </w:rPr>
        <w:t xml:space="preserve">Lucian Bebchuk, </w:t>
      </w:r>
      <w:r w:rsidR="0043192C" w:rsidRPr="00DB201C">
        <w:rPr>
          <w:rFonts w:asciiTheme="majorBidi" w:hAnsiTheme="majorBidi" w:cstheme="majorBidi"/>
        </w:rPr>
        <w:t>Thomas Beall</w:t>
      </w:r>
      <w:r w:rsidR="0043192C" w:rsidRPr="00C025C4">
        <w:rPr>
          <w:rFonts w:asciiTheme="majorBidi" w:hAnsiTheme="majorBidi" w:cstheme="majorBidi"/>
        </w:rPr>
        <w:t xml:space="preserve"> Griffith, Martha Minow, </w:t>
      </w:r>
      <w:r w:rsidR="00C948BD" w:rsidRPr="00C025C4">
        <w:rPr>
          <w:rFonts w:asciiTheme="majorBidi" w:hAnsiTheme="majorBidi" w:cstheme="majorBidi"/>
        </w:rPr>
        <w:t xml:space="preserve">Richard Lazarus, Haggai </w:t>
      </w:r>
      <w:proofErr w:type="spellStart"/>
      <w:r w:rsidR="00C948BD" w:rsidRPr="00C025C4">
        <w:rPr>
          <w:rFonts w:asciiTheme="majorBidi" w:hAnsiTheme="majorBidi" w:cstheme="majorBidi"/>
        </w:rPr>
        <w:t>Porat</w:t>
      </w:r>
      <w:proofErr w:type="spellEnd"/>
      <w:r w:rsidR="00C948BD" w:rsidRPr="00C025C4">
        <w:rPr>
          <w:rFonts w:asciiTheme="majorBidi" w:hAnsiTheme="majorBidi" w:cstheme="majorBidi"/>
        </w:rPr>
        <w:t xml:space="preserve">, </w:t>
      </w:r>
      <w:r w:rsidR="00A93D34" w:rsidRPr="00C025C4">
        <w:rPr>
          <w:rFonts w:asciiTheme="majorBidi" w:hAnsiTheme="majorBidi" w:cstheme="majorBidi"/>
        </w:rPr>
        <w:t xml:space="preserve">Tom </w:t>
      </w:r>
      <w:proofErr w:type="spellStart"/>
      <w:r w:rsidR="00E610E6" w:rsidRPr="00C025C4">
        <w:rPr>
          <w:rFonts w:asciiTheme="majorBidi" w:hAnsiTheme="majorBidi" w:cstheme="majorBidi"/>
        </w:rPr>
        <w:t>Z</w:t>
      </w:r>
      <w:r w:rsidR="00A93D34" w:rsidRPr="00C025C4">
        <w:rPr>
          <w:rFonts w:asciiTheme="majorBidi" w:hAnsiTheme="majorBidi" w:cstheme="majorBidi"/>
        </w:rPr>
        <w:t>ur</w:t>
      </w:r>
      <w:proofErr w:type="spellEnd"/>
      <w:r w:rsidR="00C45C98" w:rsidRPr="00C025C4">
        <w:rPr>
          <w:rFonts w:asciiTheme="majorBidi" w:hAnsiTheme="majorBidi" w:cstheme="majorBidi"/>
        </w:rPr>
        <w:t xml:space="preserve">. </w:t>
      </w:r>
      <w:r w:rsidRPr="00C025C4">
        <w:rPr>
          <w:rFonts w:asciiTheme="majorBidi" w:hAnsiTheme="majorBidi" w:cstheme="majorBidi"/>
        </w:rPr>
        <w:t xml:space="preserve">I </w:t>
      </w:r>
      <w:r w:rsidR="00C45C98" w:rsidRPr="00C025C4">
        <w:rPr>
          <w:rFonts w:asciiTheme="majorBidi" w:hAnsiTheme="majorBidi" w:cstheme="majorBidi"/>
        </w:rPr>
        <w:t xml:space="preserve">also </w:t>
      </w:r>
      <w:r w:rsidR="0044237A" w:rsidRPr="00C025C4">
        <w:rPr>
          <w:rFonts w:asciiTheme="majorBidi" w:hAnsiTheme="majorBidi" w:cstheme="majorBidi"/>
        </w:rPr>
        <w:t xml:space="preserve">would like to </w:t>
      </w:r>
      <w:r w:rsidRPr="00C025C4">
        <w:rPr>
          <w:rFonts w:asciiTheme="majorBidi" w:hAnsiTheme="majorBidi" w:cstheme="majorBidi"/>
        </w:rPr>
        <w:t xml:space="preserve">thank Alon Bebchuk and Arik Rava for </w:t>
      </w:r>
      <w:r w:rsidR="0044237A" w:rsidRPr="00C025C4">
        <w:rPr>
          <w:rFonts w:asciiTheme="majorBidi" w:hAnsiTheme="majorBidi" w:cstheme="majorBidi"/>
        </w:rPr>
        <w:t xml:space="preserve">their valuable help in putting together the dataset used in this paper. </w:t>
      </w:r>
    </w:p>
  </w:footnote>
  <w:footnote w:id="2">
    <w:p w14:paraId="6339D5C5" w14:textId="758B5ACA" w:rsidR="006518F2" w:rsidRPr="00C025C4" w:rsidRDefault="006518F2" w:rsidP="006518F2">
      <w:pPr>
        <w:spacing w:after="120" w:line="288" w:lineRule="auto"/>
        <w:ind w:left="180" w:hanging="180"/>
        <w:jc w:val="both"/>
        <w:rPr>
          <w:rFonts w:asciiTheme="majorBidi" w:hAnsiTheme="majorBidi" w:cstheme="majorBidi"/>
        </w:rPr>
      </w:pPr>
      <w:r w:rsidRPr="00C025C4">
        <w:rPr>
          <w:rStyle w:val="FootnoteReference"/>
          <w:rFonts w:asciiTheme="majorBidi" w:hAnsiTheme="majorBidi" w:cstheme="majorBidi"/>
        </w:rPr>
        <w:footnoteRef/>
      </w:r>
      <w:r w:rsidRPr="00C025C4">
        <w:rPr>
          <w:rFonts w:asciiTheme="majorBidi" w:hAnsiTheme="majorBidi" w:cstheme="majorBidi"/>
        </w:rPr>
        <w:t xml:space="preserve"> </w:t>
      </w:r>
      <w:r w:rsidR="0027351B" w:rsidRPr="00C025C4">
        <w:rPr>
          <w:rFonts w:asciiTheme="majorBidi" w:hAnsiTheme="majorBidi" w:cstheme="majorBidi"/>
        </w:rPr>
        <w:t xml:space="preserve">For broad discussions of the subject, see </w:t>
      </w:r>
      <w:r w:rsidRPr="00C025C4">
        <w:rPr>
          <w:rFonts w:asciiTheme="majorBidi" w:hAnsiTheme="majorBidi" w:cstheme="majorBidi"/>
        </w:rPr>
        <w:t xml:space="preserve">Sunstein et al. (2006) and Epstein, </w:t>
      </w:r>
      <w:proofErr w:type="spellStart"/>
      <w:r w:rsidRPr="00C025C4">
        <w:rPr>
          <w:rFonts w:asciiTheme="majorBidi" w:hAnsiTheme="majorBidi" w:cstheme="majorBidi"/>
        </w:rPr>
        <w:t>Landes</w:t>
      </w:r>
      <w:proofErr w:type="spellEnd"/>
      <w:r w:rsidRPr="00C025C4">
        <w:rPr>
          <w:rFonts w:asciiTheme="majorBidi" w:hAnsiTheme="majorBidi" w:cstheme="majorBidi"/>
        </w:rPr>
        <w:t xml:space="preserve">, and Posner (2013)). </w:t>
      </w:r>
    </w:p>
    <w:p w14:paraId="3CCAE0C6" w14:textId="69911668" w:rsidR="006518F2" w:rsidRPr="00C025C4" w:rsidRDefault="006518F2" w:rsidP="006518F2">
      <w:pPr>
        <w:spacing w:after="120" w:line="288" w:lineRule="auto"/>
        <w:jc w:val="both"/>
        <w:rPr>
          <w:rFonts w:asciiTheme="majorBidi" w:hAnsiTheme="majorBidi" w:cstheme="majorBidi"/>
        </w:rPr>
      </w:pPr>
    </w:p>
    <w:p w14:paraId="4E1DEF95" w14:textId="77777777" w:rsidR="006518F2" w:rsidRPr="00C025C4" w:rsidRDefault="006518F2" w:rsidP="006518F2">
      <w:pPr>
        <w:spacing w:after="120" w:line="288" w:lineRule="auto"/>
        <w:jc w:val="both"/>
        <w:rPr>
          <w:rFonts w:asciiTheme="majorBidi" w:hAnsiTheme="majorBidi" w:cstheme="majorBidi"/>
        </w:rPr>
      </w:pPr>
    </w:p>
    <w:p w14:paraId="6D7D174B" w14:textId="77777777" w:rsidR="006518F2" w:rsidRPr="00C025C4" w:rsidRDefault="006518F2" w:rsidP="006518F2">
      <w:pPr>
        <w:pStyle w:val="FootnoteText"/>
        <w:spacing w:after="120" w:line="288" w:lineRule="auto"/>
        <w:jc w:val="both"/>
        <w:rPr>
          <w:rFonts w:asciiTheme="majorBidi" w:hAnsiTheme="majorBidi" w:cstheme="majorBidi"/>
          <w:sz w:val="22"/>
          <w:szCs w:val="22"/>
        </w:rPr>
      </w:pPr>
    </w:p>
  </w:footnote>
  <w:footnote w:id="3">
    <w:p w14:paraId="2522B8A7" w14:textId="398A94EB" w:rsidR="00F261FB" w:rsidRPr="004F4103" w:rsidRDefault="00F261FB" w:rsidP="004B4602">
      <w:pPr>
        <w:pStyle w:val="FootnoteText"/>
        <w:rPr>
          <w:rFonts w:asciiTheme="majorBidi" w:hAnsiTheme="majorBidi" w:cstheme="majorBidi"/>
          <w:sz w:val="22"/>
          <w:szCs w:val="22"/>
        </w:rPr>
      </w:pPr>
      <w:r w:rsidRPr="004F4103">
        <w:rPr>
          <w:rStyle w:val="FootnoteReference"/>
          <w:rFonts w:asciiTheme="majorBidi" w:hAnsiTheme="majorBidi" w:cstheme="majorBidi"/>
          <w:sz w:val="22"/>
          <w:szCs w:val="22"/>
        </w:rPr>
        <w:footnoteRef/>
      </w:r>
      <w:r w:rsidRPr="004F4103">
        <w:rPr>
          <w:rFonts w:asciiTheme="majorBidi" w:hAnsiTheme="majorBidi" w:cstheme="majorBidi"/>
          <w:sz w:val="22"/>
          <w:szCs w:val="22"/>
        </w:rPr>
        <w:t xml:space="preserve"> These factors include </w:t>
      </w:r>
      <w:r w:rsidR="004B4602" w:rsidRPr="004F4103">
        <w:rPr>
          <w:rFonts w:asciiTheme="majorBidi" w:hAnsiTheme="majorBidi" w:cstheme="majorBidi"/>
          <w:sz w:val="22"/>
          <w:szCs w:val="22"/>
        </w:rPr>
        <w:t xml:space="preserve">the need to </w:t>
      </w:r>
      <w:r w:rsidRPr="00C025C4">
        <w:rPr>
          <w:rFonts w:asciiTheme="majorBidi" w:hAnsiTheme="majorBidi" w:cstheme="majorBidi"/>
          <w:sz w:val="22"/>
          <w:szCs w:val="22"/>
        </w:rPr>
        <w:t>accommodat</w:t>
      </w:r>
      <w:r w:rsidR="004B4602" w:rsidRPr="00C025C4">
        <w:rPr>
          <w:rFonts w:asciiTheme="majorBidi" w:hAnsiTheme="majorBidi" w:cstheme="majorBidi"/>
          <w:sz w:val="22"/>
          <w:szCs w:val="22"/>
        </w:rPr>
        <w:t xml:space="preserve">e </w:t>
      </w:r>
      <w:r w:rsidRPr="00C025C4">
        <w:rPr>
          <w:rFonts w:asciiTheme="majorBidi" w:hAnsiTheme="majorBidi" w:cstheme="majorBidi"/>
          <w:sz w:val="22"/>
          <w:szCs w:val="22"/>
        </w:rPr>
        <w:t xml:space="preserve">vacation schedules, </w:t>
      </w:r>
      <w:r w:rsidR="004B4602" w:rsidRPr="00C025C4">
        <w:rPr>
          <w:rFonts w:asciiTheme="majorBidi" w:hAnsiTheme="majorBidi" w:cstheme="majorBidi"/>
          <w:sz w:val="22"/>
          <w:szCs w:val="22"/>
        </w:rPr>
        <w:t xml:space="preserve">to space judicial assignments so that no judge has several week-long sittings in arow), to </w:t>
      </w:r>
      <w:r w:rsidRPr="00C025C4">
        <w:rPr>
          <w:rFonts w:asciiTheme="majorBidi" w:hAnsiTheme="majorBidi" w:cstheme="majorBidi"/>
          <w:sz w:val="22"/>
          <w:szCs w:val="22"/>
        </w:rPr>
        <w:t>honor</w:t>
      </w:r>
      <w:r w:rsidR="004B4602" w:rsidRPr="00C025C4">
        <w:rPr>
          <w:rFonts w:asciiTheme="majorBidi" w:hAnsiTheme="majorBidi" w:cstheme="majorBidi"/>
          <w:sz w:val="22"/>
          <w:szCs w:val="22"/>
        </w:rPr>
        <w:t xml:space="preserve"> </w:t>
      </w:r>
      <w:r w:rsidRPr="00C025C4">
        <w:rPr>
          <w:rFonts w:asciiTheme="majorBidi" w:hAnsiTheme="majorBidi" w:cstheme="majorBidi"/>
          <w:sz w:val="22"/>
          <w:szCs w:val="22"/>
        </w:rPr>
        <w:t>the scheduling preferences of senior judges (whose service provide</w:t>
      </w:r>
      <w:r w:rsidR="00781404" w:rsidRPr="00C025C4">
        <w:rPr>
          <w:rFonts w:asciiTheme="majorBidi" w:hAnsiTheme="majorBidi" w:cstheme="majorBidi"/>
          <w:sz w:val="22"/>
          <w:szCs w:val="22"/>
        </w:rPr>
        <w:t>s</w:t>
      </w:r>
      <w:r w:rsidRPr="00C025C4">
        <w:rPr>
          <w:rFonts w:asciiTheme="majorBidi" w:hAnsiTheme="majorBidi" w:cstheme="majorBidi"/>
          <w:sz w:val="22"/>
          <w:szCs w:val="22"/>
        </w:rPr>
        <w:t xml:space="preserve"> much-needed support), </w:t>
      </w:r>
      <w:r w:rsidR="00781404" w:rsidRPr="00C025C4">
        <w:rPr>
          <w:rFonts w:asciiTheme="majorBidi" w:hAnsiTheme="majorBidi" w:cstheme="majorBidi"/>
          <w:sz w:val="22"/>
          <w:szCs w:val="22"/>
        </w:rPr>
        <w:t xml:space="preserve">to </w:t>
      </w:r>
      <w:r w:rsidRPr="00C025C4">
        <w:rPr>
          <w:rFonts w:asciiTheme="majorBidi" w:hAnsiTheme="majorBidi" w:cstheme="majorBidi"/>
          <w:sz w:val="22"/>
          <w:szCs w:val="22"/>
        </w:rPr>
        <w:t xml:space="preserve">honor recusals for disqualification, health, or other valid reasons. </w:t>
      </w:r>
      <w:r w:rsidR="00781404" w:rsidRPr="00C025C4">
        <w:rPr>
          <w:rFonts w:asciiTheme="majorBidi" w:hAnsiTheme="majorBidi" w:cstheme="majorBidi"/>
          <w:sz w:val="22"/>
          <w:szCs w:val="22"/>
        </w:rPr>
        <w:t xml:space="preserve">With no single federal rule governing the subject, </w:t>
      </w:r>
      <w:r w:rsidRPr="00C025C4">
        <w:rPr>
          <w:rFonts w:asciiTheme="majorBidi" w:hAnsiTheme="majorBidi" w:cstheme="majorBidi"/>
          <w:sz w:val="22"/>
          <w:szCs w:val="22"/>
        </w:rPr>
        <w:t>each circuit adopted different legitimate factors and methodologies to form panels.</w:t>
      </w:r>
    </w:p>
    <w:p w14:paraId="6C2D89F8" w14:textId="77777777" w:rsidR="00F261FB" w:rsidRPr="004F4103" w:rsidRDefault="00F261FB">
      <w:pPr>
        <w:pStyle w:val="FootnoteText"/>
        <w:rPr>
          <w:rFonts w:asciiTheme="majorBidi" w:hAnsiTheme="majorBidi" w:cstheme="majorBidi"/>
          <w:sz w:val="22"/>
          <w:szCs w:val="22"/>
        </w:rPr>
      </w:pPr>
    </w:p>
  </w:footnote>
  <w:footnote w:id="4">
    <w:p w14:paraId="63E93280" w14:textId="603618CC" w:rsidR="003D05F7" w:rsidRPr="004F4103" w:rsidRDefault="003D05F7">
      <w:pPr>
        <w:pStyle w:val="FootnoteText"/>
        <w:rPr>
          <w:rFonts w:asciiTheme="majorBidi" w:hAnsiTheme="majorBidi" w:cstheme="majorBidi"/>
          <w:sz w:val="22"/>
          <w:szCs w:val="22"/>
        </w:rPr>
      </w:pPr>
      <w:r w:rsidRPr="004F4103">
        <w:rPr>
          <w:rStyle w:val="FootnoteReference"/>
          <w:rFonts w:asciiTheme="majorBidi" w:hAnsiTheme="majorBidi" w:cstheme="majorBidi"/>
          <w:sz w:val="22"/>
          <w:szCs w:val="22"/>
        </w:rPr>
        <w:footnoteRef/>
      </w:r>
      <w:r w:rsidRPr="004F4103">
        <w:rPr>
          <w:rFonts w:asciiTheme="majorBidi" w:hAnsiTheme="majorBidi" w:cstheme="majorBidi"/>
          <w:sz w:val="22"/>
          <w:szCs w:val="22"/>
        </w:rPr>
        <w:t xml:space="preserve">  </w:t>
      </w:r>
      <w:r w:rsidR="00A60D1F" w:rsidRPr="004F4103">
        <w:rPr>
          <w:rFonts w:asciiTheme="majorBidi" w:hAnsiTheme="majorBidi" w:cstheme="majorBidi"/>
          <w:sz w:val="22"/>
          <w:szCs w:val="22"/>
        </w:rPr>
        <w:t xml:space="preserve">A Circuit Court judge may leave regular active service and become a senior judge if the judge </w:t>
      </w:r>
      <w:r w:rsidRPr="004F4103">
        <w:rPr>
          <w:rFonts w:asciiTheme="majorBidi" w:hAnsiTheme="majorBidi" w:cstheme="majorBidi"/>
          <w:sz w:val="22"/>
          <w:szCs w:val="22"/>
        </w:rPr>
        <w:t>satisf</w:t>
      </w:r>
      <w:r w:rsidR="00A60D1F" w:rsidRPr="004F4103">
        <w:rPr>
          <w:rFonts w:asciiTheme="majorBidi" w:hAnsiTheme="majorBidi" w:cstheme="majorBidi"/>
          <w:sz w:val="22"/>
          <w:szCs w:val="22"/>
        </w:rPr>
        <w:t xml:space="preserve">ies </w:t>
      </w:r>
      <w:r w:rsidRPr="004F4103">
        <w:rPr>
          <w:rFonts w:asciiTheme="majorBidi" w:hAnsiTheme="majorBidi" w:cstheme="majorBidi"/>
          <w:sz w:val="22"/>
          <w:szCs w:val="22"/>
        </w:rPr>
        <w:t>two conditions: (1) judge’s age must be sixty-five or older, and (2) judge’s age plus judge’s years of service in the circuit court exceed 80</w:t>
      </w:r>
      <w:r w:rsidR="000168AB" w:rsidRPr="004F4103">
        <w:rPr>
          <w:rFonts w:asciiTheme="majorBidi" w:hAnsiTheme="majorBidi" w:cstheme="majorBidi"/>
          <w:sz w:val="22"/>
          <w:szCs w:val="22"/>
        </w:rPr>
        <w:t xml:space="preserve">. </w:t>
      </w:r>
    </w:p>
  </w:footnote>
  <w:footnote w:id="5">
    <w:p w14:paraId="0CAC34E3" w14:textId="129C721B" w:rsidR="005D2FA9" w:rsidRPr="004F4103" w:rsidRDefault="005D2FA9" w:rsidP="005D2FA9">
      <w:pPr>
        <w:pStyle w:val="FootnoteText"/>
        <w:rPr>
          <w:rFonts w:asciiTheme="majorBidi" w:hAnsiTheme="majorBidi" w:cstheme="majorBidi"/>
          <w:sz w:val="22"/>
          <w:szCs w:val="22"/>
        </w:rPr>
      </w:pPr>
      <w:r w:rsidRPr="004F4103">
        <w:rPr>
          <w:rStyle w:val="FootnoteReference"/>
          <w:rFonts w:asciiTheme="majorBidi" w:hAnsiTheme="majorBidi" w:cstheme="majorBidi"/>
          <w:sz w:val="22"/>
          <w:szCs w:val="22"/>
        </w:rPr>
        <w:footnoteRef/>
      </w:r>
      <w:r w:rsidRPr="004F4103">
        <w:rPr>
          <w:rFonts w:asciiTheme="majorBidi" w:hAnsiTheme="majorBidi" w:cstheme="majorBidi"/>
          <w:sz w:val="22"/>
          <w:szCs w:val="22"/>
        </w:rPr>
        <w:t xml:space="preserve"> See</w:t>
      </w:r>
      <w:r w:rsidR="00CC4059">
        <w:rPr>
          <w:rFonts w:asciiTheme="majorBidi" w:hAnsiTheme="majorBidi" w:cstheme="majorBidi"/>
          <w:sz w:val="22"/>
          <w:szCs w:val="22"/>
        </w:rPr>
        <w:t xml:space="preserve"> </w:t>
      </w:r>
      <w:r w:rsidRPr="004F4103">
        <w:rPr>
          <w:rFonts w:asciiTheme="majorBidi" w:hAnsiTheme="majorBidi" w:cstheme="majorBidi"/>
          <w:sz w:val="22"/>
          <w:szCs w:val="22"/>
        </w:rPr>
        <w:t>Levy</w:t>
      </w:r>
      <w:r w:rsidR="00A70799">
        <w:rPr>
          <w:rFonts w:asciiTheme="majorBidi" w:hAnsiTheme="majorBidi" w:cstheme="majorBidi"/>
          <w:sz w:val="22"/>
          <w:szCs w:val="22"/>
        </w:rPr>
        <w:t xml:space="preserve"> </w:t>
      </w:r>
      <w:r w:rsidRPr="004F4103">
        <w:rPr>
          <w:rFonts w:asciiTheme="majorBidi" w:hAnsiTheme="majorBidi" w:cstheme="majorBidi"/>
          <w:sz w:val="22"/>
          <w:szCs w:val="22"/>
        </w:rPr>
        <w:t>(2021) for more detail on all the perks of senior judges at the court of appeal</w:t>
      </w:r>
      <w:r w:rsidR="00C025C4">
        <w:rPr>
          <w:rFonts w:asciiTheme="majorBidi" w:hAnsiTheme="majorBidi" w:cstheme="majorBidi"/>
          <w:sz w:val="22"/>
          <w:szCs w:val="22"/>
        </w:rPr>
        <w:t>.</w:t>
      </w:r>
      <w:r w:rsidRPr="004F4103">
        <w:rPr>
          <w:rFonts w:asciiTheme="majorBidi" w:hAnsiTheme="majorBidi" w:cstheme="majorBidi"/>
          <w:sz w:val="22"/>
          <w:szCs w:val="22"/>
        </w:rPr>
        <w:t xml:space="preserve"> </w:t>
      </w:r>
    </w:p>
  </w:footnote>
  <w:footnote w:id="6">
    <w:p w14:paraId="410863CD" w14:textId="77777777" w:rsidR="00D0111C" w:rsidRPr="00C025C4" w:rsidRDefault="00D0111C" w:rsidP="00D0111C">
      <w:pPr>
        <w:pStyle w:val="FootnoteText"/>
        <w:spacing w:after="120" w:line="288" w:lineRule="auto"/>
        <w:jc w:val="both"/>
        <w:rPr>
          <w:rFonts w:asciiTheme="majorBidi" w:hAnsiTheme="majorBidi" w:cstheme="majorBidi"/>
          <w:sz w:val="22"/>
          <w:szCs w:val="22"/>
        </w:rPr>
      </w:pPr>
      <w:r w:rsidRPr="00C025C4">
        <w:rPr>
          <w:rStyle w:val="FootnoteReference"/>
          <w:rFonts w:asciiTheme="majorBidi" w:hAnsiTheme="majorBidi" w:cstheme="majorBidi"/>
          <w:sz w:val="22"/>
          <w:szCs w:val="22"/>
        </w:rPr>
        <w:footnoteRef/>
      </w:r>
      <w:r w:rsidRPr="00C025C4">
        <w:rPr>
          <w:rFonts w:asciiTheme="majorBidi" w:hAnsiTheme="majorBidi" w:cstheme="majorBidi"/>
          <w:sz w:val="22"/>
          <w:szCs w:val="22"/>
        </w:rPr>
        <w:t xml:space="preserve"> Reports of the Proceedings of the Judicial conference of the United States: 1964 Annual Report of the Director of the Administrative Office of the Unites States Courts 11 (1965)</w:t>
      </w:r>
    </w:p>
  </w:footnote>
  <w:footnote w:id="7">
    <w:p w14:paraId="79E98304" w14:textId="77777777" w:rsidR="00D0111C" w:rsidRPr="00C025C4" w:rsidRDefault="00D0111C" w:rsidP="00D0111C">
      <w:pPr>
        <w:pStyle w:val="FootnoteText"/>
        <w:spacing w:after="120" w:line="288" w:lineRule="auto"/>
        <w:jc w:val="both"/>
        <w:rPr>
          <w:rFonts w:asciiTheme="majorBidi" w:hAnsiTheme="majorBidi" w:cstheme="majorBidi"/>
          <w:sz w:val="22"/>
          <w:szCs w:val="22"/>
        </w:rPr>
      </w:pPr>
      <w:r w:rsidRPr="00C025C4">
        <w:rPr>
          <w:rFonts w:asciiTheme="majorBidi" w:hAnsiTheme="majorBidi" w:cstheme="majorBidi"/>
          <w:sz w:val="22"/>
          <w:szCs w:val="22"/>
          <w:vertAlign w:val="superscript"/>
        </w:rPr>
        <w:footnoteRef/>
      </w:r>
      <w:r w:rsidRPr="00C025C4">
        <w:rPr>
          <w:rFonts w:asciiTheme="majorBidi" w:hAnsiTheme="majorBidi" w:cstheme="majorBidi"/>
          <w:sz w:val="22"/>
          <w:szCs w:val="22"/>
        </w:rPr>
        <w:t xml:space="preserve">  Reports of the Proceedings of the Judicial conference of the United States: 1972 Annual Report of the Director of the Administrative Office of the Unites States Courts 33 (1973)</w:t>
      </w:r>
    </w:p>
  </w:footnote>
  <w:footnote w:id="8">
    <w:p w14:paraId="0BE3F8C5" w14:textId="1E8BAB0B" w:rsidR="00A04854" w:rsidRPr="00955F56" w:rsidRDefault="00F90336" w:rsidP="004F4103">
      <w:pPr>
        <w:pStyle w:val="ListParagraph"/>
        <w:spacing w:after="120" w:line="300" w:lineRule="auto"/>
        <w:ind w:left="0"/>
        <w:contextualSpacing w:val="0"/>
        <w:jc w:val="both"/>
        <w:rPr>
          <w:rFonts w:asciiTheme="majorBidi" w:hAnsiTheme="majorBidi" w:cstheme="majorBidi"/>
          <w:noProof/>
          <w:sz w:val="24"/>
          <w:szCs w:val="24"/>
        </w:rPr>
      </w:pPr>
      <w:r>
        <w:rPr>
          <w:rStyle w:val="FootnoteReference"/>
        </w:rPr>
        <w:footnoteRef/>
      </w:r>
      <w:r>
        <w:t xml:space="preserve"> </w:t>
      </w:r>
      <w:r w:rsidR="00A04854">
        <w:t xml:space="preserve"> </w:t>
      </w:r>
      <w:r w:rsidR="00A04854" w:rsidRPr="004F4103">
        <w:rPr>
          <w:rFonts w:asciiTheme="majorBidi" w:hAnsiTheme="majorBidi" w:cstheme="majorBidi"/>
        </w:rPr>
        <w:t xml:space="preserve">Siegelman and Donohue (1990), in a study of employment discrimination cases, already showed that published and unpublished cases do differ significantly. </w:t>
      </w:r>
      <w:proofErr w:type="spellStart"/>
      <w:r w:rsidR="00A04854" w:rsidRPr="004F4103">
        <w:rPr>
          <w:rFonts w:asciiTheme="majorBidi" w:hAnsiTheme="majorBidi" w:cstheme="majorBidi"/>
        </w:rPr>
        <w:t>Songer</w:t>
      </w:r>
      <w:proofErr w:type="spellEnd"/>
      <w:r w:rsidR="00A04854" w:rsidRPr="004F4103">
        <w:rPr>
          <w:rFonts w:asciiTheme="majorBidi" w:hAnsiTheme="majorBidi" w:cstheme="majorBidi"/>
        </w:rPr>
        <w:t xml:space="preserve"> (2000) suggested that focusing only on published opinions “… no longer makes sense as a strategy for answering many of the questions that public law scholars have typically asked.” </w:t>
      </w:r>
      <w:proofErr w:type="spellStart"/>
      <w:r w:rsidR="00A04854" w:rsidRPr="004F4103">
        <w:rPr>
          <w:rFonts w:asciiTheme="majorBidi" w:hAnsiTheme="majorBidi" w:cstheme="majorBidi"/>
        </w:rPr>
        <w:t>Keele</w:t>
      </w:r>
      <w:proofErr w:type="spellEnd"/>
      <w:r w:rsidR="00A04854" w:rsidRPr="004F4103">
        <w:rPr>
          <w:rFonts w:asciiTheme="majorBidi" w:hAnsiTheme="majorBidi" w:cstheme="majorBidi"/>
        </w:rPr>
        <w:t xml:space="preserve"> et. Al (2009) find that the </w:t>
      </w:r>
      <w:r w:rsidR="00B85776" w:rsidRPr="004F4103">
        <w:rPr>
          <w:rFonts w:asciiTheme="majorBidi" w:hAnsiTheme="majorBidi" w:cstheme="majorBidi"/>
        </w:rPr>
        <w:t xml:space="preserve">publication decision is not independent of the </w:t>
      </w:r>
      <w:r w:rsidR="00A04854" w:rsidRPr="004F4103">
        <w:rPr>
          <w:rFonts w:asciiTheme="majorBidi" w:hAnsiTheme="majorBidi" w:cstheme="majorBidi"/>
        </w:rPr>
        <w:t xml:space="preserve">political affiliation of judges </w:t>
      </w:r>
      <w:r w:rsidR="00B85776" w:rsidRPr="004F4103">
        <w:rPr>
          <w:rFonts w:asciiTheme="majorBidi" w:hAnsiTheme="majorBidi" w:cstheme="majorBidi"/>
        </w:rPr>
        <w:t>on the panel</w:t>
      </w:r>
      <w:r w:rsidR="002F6CD1" w:rsidRPr="004F4103">
        <w:rPr>
          <w:rFonts w:asciiTheme="majorBidi" w:hAnsiTheme="majorBidi" w:cstheme="majorBidi"/>
        </w:rPr>
        <w:t xml:space="preserve">, and reports that </w:t>
      </w:r>
      <w:r w:rsidR="002F6CD1" w:rsidRPr="004F4103">
        <w:rPr>
          <w:rFonts w:asciiTheme="majorBidi" w:hAnsiTheme="majorBidi" w:cstheme="majorBidi"/>
          <w:noProof/>
        </w:rPr>
        <w:t>Democratic panels are more likely to issue published opinionss in decision with liberal outcome.</w:t>
      </w:r>
      <w:r w:rsidR="00B85776" w:rsidRPr="004F4103">
        <w:rPr>
          <w:rFonts w:asciiTheme="majorBidi" w:hAnsiTheme="majorBidi" w:cstheme="majorBidi"/>
        </w:rPr>
        <w:t xml:space="preserve"> </w:t>
      </w:r>
      <w:r w:rsidR="00A04854" w:rsidRPr="004F4103">
        <w:rPr>
          <w:rFonts w:asciiTheme="majorBidi" w:hAnsiTheme="majorBidi" w:cstheme="majorBidi"/>
          <w:noProof/>
        </w:rPr>
        <w:t xml:space="preserve">Choi and Gulati (2012) and Grundwald (2018) suggest that circuit court judges are strategic with respect to issuing unpublished opinions. Law (2005) and Berdejo (2013) </w:t>
      </w:r>
      <w:r w:rsidR="002A27A3" w:rsidRPr="004F4103">
        <w:rPr>
          <w:rFonts w:asciiTheme="majorBidi" w:hAnsiTheme="majorBidi" w:cstheme="majorBidi"/>
          <w:noProof/>
        </w:rPr>
        <w:t>Finally, Carlson, Livermore, and Rockmore (2020) present evidence indicating that published cases are  unrepresentative of the pool of all cases.</w:t>
      </w:r>
    </w:p>
    <w:p w14:paraId="46228242" w14:textId="43CB4A00" w:rsidR="00F90336" w:rsidRDefault="00F90336">
      <w:pPr>
        <w:pStyle w:val="FootnoteText"/>
      </w:pPr>
    </w:p>
  </w:footnote>
  <w:footnote w:id="9">
    <w:p w14:paraId="5FE55626" w14:textId="001707B3" w:rsidR="00DA22B1" w:rsidRPr="00C025C4" w:rsidRDefault="00DA22B1" w:rsidP="00DA22B1">
      <w:pPr>
        <w:pStyle w:val="FootnoteText"/>
        <w:spacing w:line="259" w:lineRule="auto"/>
        <w:jc w:val="both"/>
        <w:rPr>
          <w:rFonts w:asciiTheme="majorBidi" w:hAnsiTheme="majorBidi" w:cstheme="majorBidi"/>
          <w:sz w:val="22"/>
          <w:szCs w:val="22"/>
        </w:rPr>
      </w:pPr>
      <w:r w:rsidRPr="000D448C">
        <w:rPr>
          <w:rStyle w:val="FootnoteReference"/>
          <w:rFonts w:asciiTheme="majorBidi" w:hAnsiTheme="majorBidi" w:cstheme="majorBidi"/>
          <w:sz w:val="22"/>
          <w:szCs w:val="22"/>
        </w:rPr>
        <w:footnoteRef/>
      </w:r>
      <w:r w:rsidRPr="000D448C">
        <w:rPr>
          <w:rFonts w:asciiTheme="majorBidi" w:hAnsiTheme="majorBidi" w:cstheme="majorBidi"/>
          <w:sz w:val="22"/>
          <w:szCs w:val="22"/>
        </w:rPr>
        <w:t xml:space="preserve"> </w:t>
      </w:r>
      <w:r w:rsidRPr="00C025C4">
        <w:rPr>
          <w:rFonts w:asciiTheme="majorBidi" w:hAnsiTheme="majorBidi" w:cstheme="majorBidi"/>
          <w:sz w:val="22"/>
          <w:szCs w:val="22"/>
        </w:rPr>
        <w:t xml:space="preserve">Studies using </w:t>
      </w:r>
      <w:r>
        <w:rPr>
          <w:rFonts w:asciiTheme="majorBidi" w:hAnsiTheme="majorBidi" w:cstheme="majorBidi"/>
          <w:sz w:val="22"/>
          <w:szCs w:val="22"/>
        </w:rPr>
        <w:t xml:space="preserve">such small samples include, for example, </w:t>
      </w:r>
      <w:proofErr w:type="spellStart"/>
      <w:r w:rsidRPr="00C025C4">
        <w:rPr>
          <w:rFonts w:asciiTheme="majorBidi" w:hAnsiTheme="majorBidi" w:cstheme="majorBidi"/>
          <w:sz w:val="22"/>
          <w:szCs w:val="22"/>
        </w:rPr>
        <w:t>Kastellec</w:t>
      </w:r>
      <w:proofErr w:type="spellEnd"/>
      <w:r w:rsidRPr="00C025C4">
        <w:rPr>
          <w:rFonts w:asciiTheme="majorBidi" w:hAnsiTheme="majorBidi" w:cstheme="majorBidi"/>
          <w:sz w:val="22"/>
          <w:szCs w:val="22"/>
        </w:rPr>
        <w:t xml:space="preserve"> (2013), Boyd, Epstein &amp; Martin (2010), Epstein, </w:t>
      </w:r>
      <w:proofErr w:type="spellStart"/>
      <w:r w:rsidRPr="00C025C4">
        <w:rPr>
          <w:rFonts w:asciiTheme="majorBidi" w:hAnsiTheme="majorBidi" w:cstheme="majorBidi"/>
          <w:sz w:val="22"/>
          <w:szCs w:val="22"/>
        </w:rPr>
        <w:t>Landes</w:t>
      </w:r>
      <w:proofErr w:type="spellEnd"/>
      <w:r w:rsidRPr="00C025C4">
        <w:rPr>
          <w:rFonts w:asciiTheme="majorBidi" w:hAnsiTheme="majorBidi" w:cstheme="majorBidi"/>
          <w:sz w:val="22"/>
          <w:szCs w:val="22"/>
        </w:rPr>
        <w:t xml:space="preserve"> &amp; Posner (2011), Glynn &amp; Sen (2015), Sen (2015), </w:t>
      </w:r>
      <w:proofErr w:type="spellStart"/>
      <w:r w:rsidRPr="00C025C4">
        <w:rPr>
          <w:rFonts w:asciiTheme="majorBidi" w:hAnsiTheme="majorBidi" w:cstheme="majorBidi"/>
          <w:sz w:val="22"/>
          <w:szCs w:val="22"/>
        </w:rPr>
        <w:t>Szmer</w:t>
      </w:r>
      <w:proofErr w:type="spellEnd"/>
      <w:r w:rsidRPr="00C025C4">
        <w:rPr>
          <w:rFonts w:asciiTheme="majorBidi" w:hAnsiTheme="majorBidi" w:cstheme="majorBidi"/>
          <w:sz w:val="22"/>
          <w:szCs w:val="22"/>
        </w:rPr>
        <w:t xml:space="preserve">, </w:t>
      </w:r>
      <w:proofErr w:type="spellStart"/>
      <w:r w:rsidRPr="00C025C4">
        <w:rPr>
          <w:rFonts w:asciiTheme="majorBidi" w:hAnsiTheme="majorBidi" w:cstheme="majorBidi"/>
          <w:sz w:val="22"/>
          <w:szCs w:val="22"/>
        </w:rPr>
        <w:t>Songer</w:t>
      </w:r>
      <w:proofErr w:type="spellEnd"/>
      <w:r w:rsidRPr="00C025C4">
        <w:rPr>
          <w:rFonts w:asciiTheme="majorBidi" w:hAnsiTheme="majorBidi" w:cstheme="majorBidi"/>
          <w:sz w:val="22"/>
          <w:szCs w:val="22"/>
        </w:rPr>
        <w:t xml:space="preserve"> &amp; Bowie (2016), </w:t>
      </w:r>
      <w:proofErr w:type="spellStart"/>
      <w:r w:rsidRPr="00C025C4">
        <w:rPr>
          <w:rFonts w:asciiTheme="majorBidi" w:hAnsiTheme="majorBidi" w:cstheme="majorBidi"/>
          <w:sz w:val="22"/>
          <w:szCs w:val="22"/>
        </w:rPr>
        <w:t>Schorpp</w:t>
      </w:r>
      <w:proofErr w:type="spellEnd"/>
      <w:r w:rsidRPr="00C025C4">
        <w:rPr>
          <w:rFonts w:asciiTheme="majorBidi" w:hAnsiTheme="majorBidi" w:cstheme="majorBidi"/>
          <w:sz w:val="22"/>
          <w:szCs w:val="22"/>
        </w:rPr>
        <w:t xml:space="preserve"> &amp; </w:t>
      </w:r>
      <w:proofErr w:type="spellStart"/>
      <w:r w:rsidRPr="00C025C4">
        <w:rPr>
          <w:rFonts w:asciiTheme="majorBidi" w:hAnsiTheme="majorBidi" w:cstheme="majorBidi"/>
          <w:sz w:val="22"/>
          <w:szCs w:val="22"/>
        </w:rPr>
        <w:t>Reidd</w:t>
      </w:r>
      <w:proofErr w:type="spellEnd"/>
      <w:r w:rsidRPr="00C025C4">
        <w:rPr>
          <w:rFonts w:asciiTheme="majorBidi" w:hAnsiTheme="majorBidi" w:cstheme="majorBidi"/>
          <w:sz w:val="22"/>
          <w:szCs w:val="22"/>
        </w:rPr>
        <w:t xml:space="preserve"> (2017). </w:t>
      </w:r>
    </w:p>
    <w:p w14:paraId="7C26E969" w14:textId="77777777" w:rsidR="00DA22B1" w:rsidRPr="000D448C" w:rsidRDefault="00DA22B1" w:rsidP="00DA22B1">
      <w:pPr>
        <w:pStyle w:val="FootnoteText"/>
        <w:rPr>
          <w:rFonts w:asciiTheme="majorBidi" w:hAnsiTheme="majorBidi" w:cstheme="majorBidi"/>
          <w:sz w:val="22"/>
          <w:szCs w:val="22"/>
        </w:rPr>
      </w:pPr>
    </w:p>
  </w:footnote>
  <w:footnote w:id="10">
    <w:p w14:paraId="2640A9B3" w14:textId="1FF7FB41" w:rsidR="0053177A" w:rsidRPr="000D448C" w:rsidRDefault="0053177A" w:rsidP="0053177A">
      <w:pPr>
        <w:pStyle w:val="FootnoteText"/>
        <w:rPr>
          <w:rFonts w:asciiTheme="majorBidi" w:hAnsiTheme="majorBidi" w:cstheme="majorBidi"/>
          <w:sz w:val="22"/>
          <w:szCs w:val="22"/>
        </w:rPr>
      </w:pPr>
      <w:r w:rsidRPr="000D448C">
        <w:rPr>
          <w:rStyle w:val="FootnoteReference"/>
          <w:rFonts w:asciiTheme="majorBidi" w:hAnsiTheme="majorBidi" w:cstheme="majorBidi"/>
          <w:sz w:val="22"/>
          <w:szCs w:val="22"/>
        </w:rPr>
        <w:footnoteRef/>
      </w:r>
      <w:r w:rsidRPr="000D448C">
        <w:rPr>
          <w:rFonts w:asciiTheme="majorBidi" w:hAnsiTheme="majorBidi" w:cstheme="majorBidi"/>
          <w:sz w:val="22"/>
          <w:szCs w:val="22"/>
        </w:rPr>
        <w:t xml:space="preserve"> </w:t>
      </w:r>
      <w:r w:rsidR="0055719E">
        <w:rPr>
          <w:rFonts w:asciiTheme="majorBidi" w:hAnsiTheme="majorBidi" w:cstheme="majorBidi"/>
          <w:sz w:val="22"/>
          <w:szCs w:val="22"/>
        </w:rPr>
        <w:t>The samp</w:t>
      </w:r>
      <w:r w:rsidR="001779C5">
        <w:rPr>
          <w:rFonts w:asciiTheme="majorBidi" w:hAnsiTheme="majorBidi" w:cstheme="majorBidi"/>
          <w:sz w:val="22"/>
          <w:szCs w:val="22"/>
        </w:rPr>
        <w:t>l</w:t>
      </w:r>
      <w:r w:rsidR="0055719E">
        <w:rPr>
          <w:rFonts w:asciiTheme="majorBidi" w:hAnsiTheme="majorBidi" w:cstheme="majorBidi"/>
          <w:sz w:val="22"/>
          <w:szCs w:val="22"/>
        </w:rPr>
        <w:t xml:space="preserve">e of </w:t>
      </w:r>
      <w:r w:rsidRPr="000D448C">
        <w:rPr>
          <w:rFonts w:asciiTheme="majorBidi" w:hAnsiTheme="majorBidi" w:cstheme="majorBidi"/>
          <w:sz w:val="22"/>
          <w:szCs w:val="22"/>
        </w:rPr>
        <w:t xml:space="preserve">Sunstein et al (2006) </w:t>
      </w:r>
      <w:r w:rsidR="001779C5">
        <w:rPr>
          <w:rFonts w:asciiTheme="majorBidi" w:hAnsiTheme="majorBidi" w:cstheme="majorBidi"/>
          <w:sz w:val="22"/>
          <w:szCs w:val="22"/>
        </w:rPr>
        <w:t xml:space="preserve">is based on </w:t>
      </w:r>
      <w:r w:rsidRPr="000D448C">
        <w:rPr>
          <w:rFonts w:asciiTheme="majorBidi" w:hAnsiTheme="majorBidi" w:cstheme="majorBidi"/>
          <w:sz w:val="22"/>
          <w:szCs w:val="22"/>
        </w:rPr>
        <w:t xml:space="preserve">published decisions </w:t>
      </w:r>
      <w:r w:rsidR="001779C5">
        <w:rPr>
          <w:rFonts w:asciiTheme="majorBidi" w:hAnsiTheme="majorBidi" w:cstheme="majorBidi"/>
          <w:sz w:val="22"/>
          <w:szCs w:val="22"/>
        </w:rPr>
        <w:t xml:space="preserve">with respect to </w:t>
      </w:r>
      <w:r w:rsidRPr="000D448C">
        <w:rPr>
          <w:rFonts w:asciiTheme="majorBidi" w:hAnsiTheme="majorBidi" w:cstheme="majorBidi"/>
          <w:sz w:val="22"/>
          <w:szCs w:val="22"/>
        </w:rPr>
        <w:t xml:space="preserve">a number of specified legal fields that were chosen because </w:t>
      </w:r>
      <w:r w:rsidR="001779C5">
        <w:rPr>
          <w:rFonts w:asciiTheme="majorBidi" w:hAnsiTheme="majorBidi" w:cstheme="majorBidi"/>
          <w:sz w:val="22"/>
          <w:szCs w:val="22"/>
        </w:rPr>
        <w:t xml:space="preserve">of their focus on </w:t>
      </w:r>
      <w:r w:rsidRPr="000D448C">
        <w:rPr>
          <w:rFonts w:asciiTheme="majorBidi" w:hAnsiTheme="majorBidi" w:cstheme="majorBidi"/>
          <w:sz w:val="22"/>
          <w:szCs w:val="22"/>
        </w:rPr>
        <w:t>issues where political ideology is salient.</w:t>
      </w:r>
    </w:p>
  </w:footnote>
  <w:footnote w:id="11">
    <w:p w14:paraId="2B939BD5" w14:textId="749BA6F9" w:rsidR="00FF25B4" w:rsidRPr="00C025C4" w:rsidRDefault="00FF25B4" w:rsidP="004F4103">
      <w:pPr>
        <w:pStyle w:val="FootnoteText"/>
        <w:spacing w:line="259" w:lineRule="auto"/>
        <w:ind w:left="142" w:hanging="142"/>
        <w:jc w:val="both"/>
        <w:rPr>
          <w:rFonts w:asciiTheme="majorBidi" w:hAnsiTheme="majorBidi" w:cstheme="majorBidi"/>
          <w:sz w:val="22"/>
          <w:szCs w:val="22"/>
        </w:rPr>
      </w:pPr>
      <w:r w:rsidRPr="00C025C4">
        <w:rPr>
          <w:rStyle w:val="FootnoteReference"/>
          <w:rFonts w:asciiTheme="majorBidi" w:hAnsiTheme="majorBidi" w:cstheme="majorBidi"/>
          <w:sz w:val="22"/>
          <w:szCs w:val="22"/>
        </w:rPr>
        <w:footnoteRef/>
      </w:r>
      <w:r w:rsidRPr="00C025C4">
        <w:rPr>
          <w:rFonts w:asciiTheme="majorBidi" w:hAnsiTheme="majorBidi" w:cstheme="majorBidi"/>
          <w:sz w:val="22"/>
          <w:szCs w:val="22"/>
        </w:rPr>
        <w:t xml:space="preserve"> The </w:t>
      </w:r>
      <w:proofErr w:type="spellStart"/>
      <w:r w:rsidRPr="00C025C4">
        <w:rPr>
          <w:rFonts w:asciiTheme="majorBidi" w:hAnsiTheme="majorBidi" w:cstheme="majorBidi"/>
          <w:sz w:val="22"/>
          <w:szCs w:val="22"/>
        </w:rPr>
        <w:t>Songer</w:t>
      </w:r>
      <w:proofErr w:type="spellEnd"/>
      <w:r w:rsidRPr="00C025C4">
        <w:rPr>
          <w:rFonts w:asciiTheme="majorBidi" w:hAnsiTheme="majorBidi" w:cstheme="majorBidi"/>
          <w:sz w:val="22"/>
          <w:szCs w:val="22"/>
        </w:rPr>
        <w:t xml:space="preserve"> project is named for Donald </w:t>
      </w:r>
      <w:proofErr w:type="spellStart"/>
      <w:r w:rsidRPr="00C025C4">
        <w:rPr>
          <w:rFonts w:asciiTheme="majorBidi" w:hAnsiTheme="majorBidi" w:cstheme="majorBidi"/>
          <w:sz w:val="22"/>
          <w:szCs w:val="22"/>
        </w:rPr>
        <w:t>Songer</w:t>
      </w:r>
      <w:proofErr w:type="spellEnd"/>
      <w:r w:rsidRPr="00C025C4">
        <w:rPr>
          <w:rFonts w:asciiTheme="majorBidi" w:hAnsiTheme="majorBidi" w:cstheme="majorBidi"/>
          <w:sz w:val="22"/>
          <w:szCs w:val="22"/>
        </w:rPr>
        <w:t xml:space="preserve"> who initially directed the construction of the database and was later expanded by </w:t>
      </w:r>
      <w:proofErr w:type="spellStart"/>
      <w:r w:rsidRPr="00C025C4">
        <w:rPr>
          <w:rFonts w:asciiTheme="majorBidi" w:hAnsiTheme="majorBidi" w:cstheme="majorBidi"/>
          <w:sz w:val="22"/>
          <w:szCs w:val="22"/>
        </w:rPr>
        <w:t>Kuersten</w:t>
      </w:r>
      <w:proofErr w:type="spellEnd"/>
      <w:r w:rsidRPr="00C025C4">
        <w:rPr>
          <w:rFonts w:asciiTheme="majorBidi" w:hAnsiTheme="majorBidi" w:cstheme="majorBidi"/>
          <w:sz w:val="22"/>
          <w:szCs w:val="22"/>
        </w:rPr>
        <w:t xml:space="preserve"> and </w:t>
      </w:r>
      <w:proofErr w:type="spellStart"/>
      <w:r w:rsidRPr="00C025C4">
        <w:rPr>
          <w:rFonts w:asciiTheme="majorBidi" w:hAnsiTheme="majorBidi" w:cstheme="majorBidi"/>
          <w:sz w:val="22"/>
          <w:szCs w:val="22"/>
        </w:rPr>
        <w:t>Haire</w:t>
      </w:r>
      <w:proofErr w:type="spellEnd"/>
      <w:r w:rsidRPr="00C025C4">
        <w:rPr>
          <w:rFonts w:asciiTheme="majorBidi" w:hAnsiTheme="majorBidi" w:cstheme="majorBidi"/>
          <w:sz w:val="22"/>
          <w:szCs w:val="22"/>
        </w:rPr>
        <w:t xml:space="preserve">. The databased includes a sample of about 22,000 </w:t>
      </w:r>
      <w:r w:rsidR="00343EF7" w:rsidRPr="00C025C4">
        <w:rPr>
          <w:rFonts w:asciiTheme="majorBidi" w:hAnsiTheme="majorBidi" w:cstheme="majorBidi"/>
          <w:sz w:val="22"/>
          <w:szCs w:val="22"/>
        </w:rPr>
        <w:t xml:space="preserve">during </w:t>
      </w:r>
      <w:r w:rsidR="00343EF7">
        <w:rPr>
          <w:rFonts w:asciiTheme="majorBidi" w:hAnsiTheme="majorBidi" w:cstheme="majorBidi"/>
          <w:sz w:val="22"/>
          <w:szCs w:val="22"/>
        </w:rPr>
        <w:t xml:space="preserve">the long period of </w:t>
      </w:r>
      <w:r w:rsidR="00343EF7" w:rsidRPr="00C025C4">
        <w:rPr>
          <w:rFonts w:asciiTheme="majorBidi" w:hAnsiTheme="majorBidi" w:cstheme="majorBidi"/>
          <w:sz w:val="22"/>
          <w:szCs w:val="22"/>
        </w:rPr>
        <w:t>1925-2002</w:t>
      </w:r>
      <w:r w:rsidR="00343EF7">
        <w:rPr>
          <w:rFonts w:asciiTheme="majorBidi" w:hAnsiTheme="majorBidi" w:cstheme="majorBidi"/>
          <w:sz w:val="22"/>
          <w:szCs w:val="22"/>
        </w:rPr>
        <w:t xml:space="preserve">, with cases </w:t>
      </w:r>
      <w:r w:rsidRPr="00C025C4">
        <w:rPr>
          <w:rFonts w:asciiTheme="majorBidi" w:hAnsiTheme="majorBidi" w:cstheme="majorBidi"/>
          <w:sz w:val="22"/>
          <w:szCs w:val="22"/>
        </w:rPr>
        <w:t xml:space="preserve">randomly selected from all the </w:t>
      </w:r>
      <w:r w:rsidR="00343EF7">
        <w:rPr>
          <w:rFonts w:asciiTheme="majorBidi" w:hAnsiTheme="majorBidi" w:cstheme="majorBidi"/>
          <w:sz w:val="22"/>
          <w:szCs w:val="22"/>
        </w:rPr>
        <w:t xml:space="preserve">Circuit Courts. </w:t>
      </w:r>
    </w:p>
  </w:footnote>
  <w:footnote w:id="12">
    <w:p w14:paraId="51DDB5D3" w14:textId="77777777" w:rsidR="00C3181A" w:rsidRDefault="00C3181A" w:rsidP="00C3181A">
      <w:pPr>
        <w:pStyle w:val="FootnoteText"/>
      </w:pPr>
      <w:r>
        <w:rPr>
          <w:rStyle w:val="FootnoteReference"/>
        </w:rPr>
        <w:footnoteRef/>
      </w:r>
      <w:r>
        <w:t xml:space="preserve"> </w:t>
      </w:r>
      <w:r w:rsidRPr="002D0AF4">
        <w:rPr>
          <w:rFonts w:asciiTheme="majorBidi" w:hAnsiTheme="majorBidi" w:cstheme="majorBidi"/>
          <w:sz w:val="22"/>
          <w:szCs w:val="22"/>
        </w:rPr>
        <w:t>As describes in the preceding Section, three types of judges sit on panels: Federal Circuit Court active judges; Federal Circuit Court Senior Judges; and judges who sit in the panel by designation coming from a Federal District Courts or from Special Trial Courts such as Immigration, Patent, and/or Bankruptcy courts. In the case of judges sitting by designation from courts other than the Circuit Court, I searched for information about the judge in the FJC data about judges on the court from which the judge came.</w:t>
      </w:r>
      <w:r>
        <w:rPr>
          <w:rFonts w:asciiTheme="majorBidi" w:hAnsiTheme="majorBidi" w:cstheme="majorBidi"/>
          <w:sz w:val="24"/>
          <w:szCs w:val="24"/>
        </w:rPr>
        <w:t xml:space="preserve"> </w:t>
      </w:r>
    </w:p>
  </w:footnote>
  <w:footnote w:id="13">
    <w:p w14:paraId="565394FA" w14:textId="20F6B458" w:rsidR="00B82358" w:rsidRDefault="00B82358" w:rsidP="00521A50">
      <w:pPr>
        <w:pStyle w:val="FootnoteText"/>
      </w:pPr>
      <w:r>
        <w:rPr>
          <w:rStyle w:val="FootnoteReference"/>
        </w:rPr>
        <w:footnoteRef/>
      </w:r>
      <w:r>
        <w:t xml:space="preserve"> </w:t>
      </w:r>
      <w:r w:rsidRPr="002D0AF4">
        <w:rPr>
          <w:rFonts w:asciiTheme="majorBidi" w:hAnsiTheme="majorBidi" w:cstheme="majorBidi"/>
          <w:sz w:val="22"/>
          <w:szCs w:val="22"/>
        </w:rPr>
        <w:t xml:space="preserve">For </w:t>
      </w:r>
      <w:r w:rsidR="00E4673A" w:rsidRPr="002D0AF4">
        <w:rPr>
          <w:rFonts w:asciiTheme="majorBidi" w:hAnsiTheme="majorBidi" w:cstheme="majorBidi"/>
          <w:sz w:val="22"/>
          <w:szCs w:val="22"/>
        </w:rPr>
        <w:t xml:space="preserve">11% of the cases, </w:t>
      </w:r>
      <w:r w:rsidRPr="002D0AF4">
        <w:rPr>
          <w:rFonts w:asciiTheme="majorBidi" w:hAnsiTheme="majorBidi" w:cstheme="majorBidi"/>
          <w:sz w:val="22"/>
          <w:szCs w:val="22"/>
        </w:rPr>
        <w:t xml:space="preserve">I </w:t>
      </w:r>
      <w:r w:rsidR="00E4673A" w:rsidRPr="002D0AF4">
        <w:rPr>
          <w:rFonts w:asciiTheme="majorBidi" w:hAnsiTheme="majorBidi" w:cstheme="majorBidi"/>
          <w:sz w:val="22"/>
          <w:szCs w:val="22"/>
        </w:rPr>
        <w:t xml:space="preserve">was unable to identify the name of any judge. For 3% of the cases, I was able to identify </w:t>
      </w:r>
      <w:r w:rsidR="00AF6C4A" w:rsidRPr="002D0AF4">
        <w:rPr>
          <w:rFonts w:asciiTheme="majorBidi" w:hAnsiTheme="majorBidi" w:cstheme="majorBidi"/>
          <w:sz w:val="22"/>
          <w:szCs w:val="22"/>
        </w:rPr>
        <w:t>a number of judge names that was either lower or higher than three.</w:t>
      </w:r>
      <w:r w:rsidR="00AF6C4A">
        <w:rPr>
          <w:rFonts w:asciiTheme="majorBidi" w:hAnsiTheme="majorBidi" w:cstheme="majorBidi"/>
          <w:sz w:val="24"/>
          <w:szCs w:val="24"/>
        </w:rPr>
        <w:t xml:space="preserve"> </w:t>
      </w:r>
    </w:p>
  </w:footnote>
  <w:footnote w:id="14">
    <w:p w14:paraId="61C9E8FC" w14:textId="0542F533" w:rsidR="00D94AF6" w:rsidRPr="00C025C4" w:rsidRDefault="00D94AF6" w:rsidP="00A33FE1">
      <w:pPr>
        <w:spacing w:after="120" w:line="288" w:lineRule="auto"/>
        <w:jc w:val="both"/>
        <w:rPr>
          <w:rFonts w:asciiTheme="majorBidi" w:hAnsiTheme="majorBidi" w:cstheme="majorBidi"/>
        </w:rPr>
      </w:pPr>
      <w:r w:rsidRPr="00C025C4">
        <w:rPr>
          <w:rStyle w:val="FootnoteReference"/>
          <w:rFonts w:asciiTheme="majorBidi" w:hAnsiTheme="majorBidi" w:cstheme="majorBidi"/>
        </w:rPr>
        <w:footnoteRef/>
      </w:r>
      <w:r w:rsidRPr="00C025C4">
        <w:rPr>
          <w:rFonts w:asciiTheme="majorBidi" w:hAnsiTheme="majorBidi" w:cstheme="majorBidi"/>
        </w:rPr>
        <w:t xml:space="preserve"> Although we do identify the judges on </w:t>
      </w:r>
      <w:proofErr w:type="spellStart"/>
      <w:r w:rsidRPr="00C025C4">
        <w:rPr>
          <w:rFonts w:asciiTheme="majorBidi" w:hAnsiTheme="majorBidi" w:cstheme="majorBidi"/>
        </w:rPr>
        <w:t>enbanc</w:t>
      </w:r>
      <w:proofErr w:type="spellEnd"/>
      <w:r w:rsidRPr="00C025C4">
        <w:rPr>
          <w:rFonts w:asciiTheme="majorBidi" w:hAnsiTheme="majorBidi" w:cstheme="majorBidi"/>
        </w:rPr>
        <w:t xml:space="preserve"> cases , I chose not to include them in the analysis since these cases affect only a small number of cases and they tend to differ substantially from the consideration that the three-judge panels confront.</w:t>
      </w:r>
    </w:p>
    <w:p w14:paraId="020AC67E" w14:textId="19FBF0C7" w:rsidR="00D94AF6" w:rsidRPr="00C025C4" w:rsidRDefault="00D94AF6" w:rsidP="00A33FE1">
      <w:pPr>
        <w:pStyle w:val="FootnoteText"/>
        <w:spacing w:after="120" w:line="288" w:lineRule="auto"/>
        <w:jc w:val="both"/>
        <w:rPr>
          <w:rFonts w:asciiTheme="majorBidi" w:hAnsiTheme="majorBidi" w:cstheme="majorBidi"/>
          <w:sz w:val="22"/>
          <w:szCs w:val="22"/>
        </w:rPr>
      </w:pPr>
    </w:p>
  </w:footnote>
  <w:footnote w:id="15">
    <w:p w14:paraId="0E8FD3D3" w14:textId="77777777" w:rsidR="001813D1" w:rsidRPr="004F4103" w:rsidRDefault="001813D1" w:rsidP="001813D1">
      <w:pPr>
        <w:autoSpaceDE w:val="0"/>
        <w:autoSpaceDN w:val="0"/>
        <w:adjustRightInd w:val="0"/>
        <w:spacing w:after="0" w:line="240" w:lineRule="auto"/>
        <w:rPr>
          <w:rFonts w:asciiTheme="majorBidi" w:hAnsiTheme="majorBidi" w:cstheme="majorBidi"/>
        </w:rPr>
      </w:pPr>
      <w:r w:rsidRPr="004F4103">
        <w:rPr>
          <w:rStyle w:val="FootnoteReference"/>
          <w:rFonts w:asciiTheme="majorBidi" w:hAnsiTheme="majorBidi" w:cstheme="majorBidi"/>
        </w:rPr>
        <w:footnoteRef/>
      </w:r>
      <w:r w:rsidRPr="004F4103">
        <w:rPr>
          <w:rFonts w:asciiTheme="majorBidi" w:hAnsiTheme="majorBidi" w:cstheme="majorBidi"/>
        </w:rPr>
        <w:t xml:space="preserve"> For a count of the number of federal appellate Judgeships and whenever they were added, see</w:t>
      </w:r>
    </w:p>
    <w:p w14:paraId="3EBE0425" w14:textId="77777777" w:rsidR="001813D1" w:rsidRPr="004F4103" w:rsidRDefault="001813D1" w:rsidP="001813D1">
      <w:pPr>
        <w:autoSpaceDE w:val="0"/>
        <w:autoSpaceDN w:val="0"/>
        <w:adjustRightInd w:val="0"/>
        <w:spacing w:after="0" w:line="240" w:lineRule="auto"/>
        <w:rPr>
          <w:rFonts w:asciiTheme="majorBidi" w:hAnsiTheme="majorBidi" w:cstheme="majorBidi"/>
        </w:rPr>
      </w:pPr>
      <w:r w:rsidRPr="004F4103">
        <w:rPr>
          <w:rFonts w:asciiTheme="majorBidi" w:hAnsiTheme="majorBidi" w:cstheme="majorBidi"/>
        </w:rPr>
        <w:t>Chronological History of Authorized Judgeships – Court of Appeals, [https://www.uscourts.gov/judges-judgeships/authorized-judgeships/chronological-history-authorized-judgeships-courts-appeals]</w:t>
      </w:r>
    </w:p>
    <w:p w14:paraId="354D2121" w14:textId="1AB1C5A7" w:rsidR="001813D1" w:rsidRPr="004F4103" w:rsidRDefault="001813D1">
      <w:pPr>
        <w:pStyle w:val="FootnoteText"/>
        <w:rPr>
          <w:rFonts w:asciiTheme="majorBidi" w:hAnsiTheme="majorBidi" w:cstheme="majorBidi"/>
          <w:sz w:val="22"/>
          <w:szCs w:val="22"/>
        </w:rPr>
      </w:pPr>
    </w:p>
  </w:footnote>
  <w:footnote w:id="16">
    <w:p w14:paraId="3117DD0D" w14:textId="06E5C843" w:rsidR="00091EC0" w:rsidRDefault="00091EC0" w:rsidP="004F4103">
      <w:pPr>
        <w:spacing w:after="120" w:line="300" w:lineRule="auto"/>
        <w:jc w:val="both"/>
        <w:rPr>
          <w:rFonts w:asciiTheme="majorBidi" w:hAnsiTheme="majorBidi" w:cstheme="majorBidi"/>
          <w:sz w:val="24"/>
          <w:szCs w:val="24"/>
        </w:rPr>
      </w:pPr>
      <w:r>
        <w:rPr>
          <w:rStyle w:val="FootnoteReference"/>
        </w:rPr>
        <w:footnoteRef/>
      </w:r>
      <w:r>
        <w:t xml:space="preserve"> </w:t>
      </w:r>
      <w:r>
        <w:rPr>
          <w:rFonts w:asciiTheme="majorBidi" w:hAnsiTheme="majorBidi" w:cstheme="majorBidi"/>
          <w:sz w:val="24"/>
          <w:szCs w:val="24"/>
        </w:rPr>
        <w:t xml:space="preserve">The OUTCOME variable in PACER has various values including  (1) </w:t>
      </w:r>
      <w:r w:rsidRPr="004F4103">
        <w:rPr>
          <w:rFonts w:asciiTheme="majorBidi" w:hAnsiTheme="majorBidi" w:cstheme="majorBidi"/>
          <w:i/>
          <w:iCs/>
          <w:sz w:val="24"/>
          <w:szCs w:val="24"/>
        </w:rPr>
        <w:t>Affirmed</w:t>
      </w:r>
      <w:r>
        <w:rPr>
          <w:rFonts w:asciiTheme="majorBidi" w:hAnsiTheme="majorBidi" w:cstheme="majorBidi"/>
          <w:sz w:val="24"/>
          <w:szCs w:val="24"/>
        </w:rPr>
        <w:t xml:space="preserve">, if the panel approved the entire judgment in the trial court, (2) </w:t>
      </w:r>
      <w:r w:rsidRPr="004F4103">
        <w:rPr>
          <w:rFonts w:asciiTheme="majorBidi" w:hAnsiTheme="majorBidi" w:cstheme="majorBidi"/>
          <w:i/>
          <w:iCs/>
          <w:sz w:val="24"/>
          <w:szCs w:val="24"/>
        </w:rPr>
        <w:t>Reversed</w:t>
      </w:r>
      <w:r>
        <w:rPr>
          <w:rFonts w:asciiTheme="majorBidi" w:hAnsiTheme="majorBidi" w:cstheme="majorBidi"/>
          <w:sz w:val="24"/>
          <w:szCs w:val="24"/>
        </w:rPr>
        <w:t xml:space="preserve">, if the panel overturned the judgment of the trial court, (3) </w:t>
      </w:r>
      <w:r w:rsidR="00626B35" w:rsidRPr="004F4103">
        <w:rPr>
          <w:rFonts w:asciiTheme="majorBidi" w:hAnsiTheme="majorBidi" w:cstheme="majorBidi"/>
          <w:i/>
          <w:iCs/>
          <w:sz w:val="24"/>
          <w:szCs w:val="24"/>
        </w:rPr>
        <w:t>R</w:t>
      </w:r>
      <w:r w:rsidRPr="004F4103">
        <w:rPr>
          <w:rFonts w:asciiTheme="majorBidi" w:hAnsiTheme="majorBidi" w:cstheme="majorBidi"/>
          <w:i/>
          <w:iCs/>
          <w:sz w:val="24"/>
          <w:szCs w:val="24"/>
        </w:rPr>
        <w:t>eversed in part</w:t>
      </w:r>
      <w:r w:rsidR="00626B35" w:rsidRPr="004F4103">
        <w:rPr>
          <w:rFonts w:asciiTheme="majorBidi" w:hAnsiTheme="majorBidi" w:cstheme="majorBidi"/>
          <w:i/>
          <w:iCs/>
          <w:sz w:val="24"/>
          <w:szCs w:val="24"/>
        </w:rPr>
        <w:t xml:space="preserve"> and affirmed in part</w:t>
      </w:r>
      <w:r>
        <w:rPr>
          <w:rFonts w:asciiTheme="majorBidi" w:hAnsiTheme="majorBidi" w:cstheme="majorBidi"/>
          <w:sz w:val="24"/>
          <w:szCs w:val="24"/>
        </w:rPr>
        <w:t xml:space="preserve">, if the panel approved part of the judgment and overturned the remainder of the judgment of the trial court; (4) </w:t>
      </w:r>
      <w:r w:rsidRPr="004F4103">
        <w:rPr>
          <w:rFonts w:asciiTheme="majorBidi" w:hAnsiTheme="majorBidi" w:cstheme="majorBidi"/>
          <w:i/>
          <w:iCs/>
          <w:sz w:val="24"/>
          <w:szCs w:val="24"/>
        </w:rPr>
        <w:t>Dismissed</w:t>
      </w:r>
      <w:r>
        <w:rPr>
          <w:rFonts w:asciiTheme="majorBidi" w:hAnsiTheme="majorBidi" w:cstheme="majorBidi"/>
          <w:sz w:val="24"/>
          <w:szCs w:val="24"/>
        </w:rPr>
        <w:t xml:space="preserve">, if the panel dismissed the appeal on grounds that no genuine issue </w:t>
      </w:r>
      <w:r w:rsidR="00626B35">
        <w:rPr>
          <w:rFonts w:asciiTheme="majorBidi" w:hAnsiTheme="majorBidi" w:cstheme="majorBidi"/>
          <w:sz w:val="24"/>
          <w:szCs w:val="24"/>
        </w:rPr>
        <w:t xml:space="preserve">arose </w:t>
      </w:r>
      <w:r>
        <w:rPr>
          <w:rFonts w:asciiTheme="majorBidi" w:hAnsiTheme="majorBidi" w:cstheme="majorBidi"/>
          <w:sz w:val="24"/>
          <w:szCs w:val="24"/>
        </w:rPr>
        <w:t>in the appeal; and (5) Remanded, if the panel returned the case back to the trial court</w:t>
      </w:r>
      <w:r w:rsidR="002B1248">
        <w:rPr>
          <w:rFonts w:asciiTheme="majorBidi" w:hAnsiTheme="majorBidi" w:cstheme="majorBidi"/>
          <w:sz w:val="24"/>
          <w:szCs w:val="24"/>
        </w:rPr>
        <w:t xml:space="preserve"> to reexamine in accordance with instructions from the panel</w:t>
      </w:r>
      <w:r>
        <w:rPr>
          <w:rFonts w:asciiTheme="majorBidi" w:hAnsiTheme="majorBidi" w:cstheme="majorBidi"/>
          <w:sz w:val="24"/>
          <w:szCs w:val="24"/>
        </w:rPr>
        <w:t>. We consider a</w:t>
      </w:r>
      <w:r w:rsidR="002B1248">
        <w:rPr>
          <w:rFonts w:asciiTheme="majorBidi" w:hAnsiTheme="majorBidi" w:cstheme="majorBidi"/>
          <w:sz w:val="24"/>
          <w:szCs w:val="24"/>
        </w:rPr>
        <w:t xml:space="preserve">n appeal to be successful if the OUTCOME variable takes one of the </w:t>
      </w:r>
      <w:r w:rsidR="00780651">
        <w:rPr>
          <w:rFonts w:asciiTheme="majorBidi" w:hAnsiTheme="majorBidi" w:cstheme="majorBidi"/>
          <w:sz w:val="24"/>
          <w:szCs w:val="24"/>
        </w:rPr>
        <w:t xml:space="preserve">values </w:t>
      </w:r>
      <w:r>
        <w:rPr>
          <w:rFonts w:asciiTheme="majorBidi" w:hAnsiTheme="majorBidi" w:cstheme="majorBidi"/>
          <w:sz w:val="24"/>
          <w:szCs w:val="24"/>
        </w:rPr>
        <w:t>(2), (3), and (5)</w:t>
      </w:r>
      <w:r w:rsidR="00780651">
        <w:rPr>
          <w:rFonts w:asciiTheme="majorBidi" w:hAnsiTheme="majorBidi" w:cstheme="majorBidi"/>
          <w:sz w:val="24"/>
          <w:szCs w:val="24"/>
        </w:rPr>
        <w:t xml:space="preserve"> above</w:t>
      </w:r>
      <w:r>
        <w:rPr>
          <w:rFonts w:asciiTheme="majorBidi" w:hAnsiTheme="majorBidi" w:cstheme="majorBidi"/>
          <w:sz w:val="24"/>
          <w:szCs w:val="24"/>
        </w:rPr>
        <w:t xml:space="preserve">, </w:t>
      </w:r>
      <w:r w:rsidR="00780651">
        <w:rPr>
          <w:rFonts w:asciiTheme="majorBidi" w:hAnsiTheme="majorBidi" w:cstheme="majorBidi"/>
          <w:sz w:val="24"/>
          <w:szCs w:val="24"/>
        </w:rPr>
        <w:t xml:space="preserve">An outcome is thus prodefendant is an appeal by the criminal defendant is </w:t>
      </w:r>
      <w:r w:rsidR="00EC093D">
        <w:rPr>
          <w:rFonts w:asciiTheme="majorBidi" w:hAnsiTheme="majorBidi" w:cstheme="majorBidi"/>
          <w:sz w:val="24"/>
          <w:szCs w:val="24"/>
        </w:rPr>
        <w:t xml:space="preserve">successful </w:t>
      </w:r>
      <w:r w:rsidR="00780651">
        <w:rPr>
          <w:rFonts w:asciiTheme="majorBidi" w:hAnsiTheme="majorBidi" w:cstheme="majorBidi"/>
          <w:sz w:val="24"/>
          <w:szCs w:val="24"/>
        </w:rPr>
        <w:t xml:space="preserve">or an appeal by the government is unsuccessful. </w:t>
      </w:r>
    </w:p>
    <w:p w14:paraId="4DD001F7" w14:textId="7B88005B" w:rsidR="00091EC0" w:rsidRDefault="00091EC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F29F4" w14:textId="77777777" w:rsidR="00814D0C" w:rsidRDefault="00814D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D7C36" w14:textId="77777777" w:rsidR="00814D0C" w:rsidRDefault="00814D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13215" w14:textId="77777777" w:rsidR="00814D0C" w:rsidRDefault="00814D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67B81"/>
    <w:multiLevelType w:val="hybridMultilevel"/>
    <w:tmpl w:val="21E220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3C5695"/>
    <w:multiLevelType w:val="hybridMultilevel"/>
    <w:tmpl w:val="014AF180"/>
    <w:lvl w:ilvl="0" w:tplc="C4D476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973ED0"/>
    <w:multiLevelType w:val="hybridMultilevel"/>
    <w:tmpl w:val="27B222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1410B3"/>
    <w:multiLevelType w:val="hybridMultilevel"/>
    <w:tmpl w:val="83CCA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180BA1"/>
    <w:multiLevelType w:val="hybridMultilevel"/>
    <w:tmpl w:val="65B2E4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5200B8"/>
    <w:multiLevelType w:val="hybridMultilevel"/>
    <w:tmpl w:val="209EBA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8CC2327"/>
    <w:multiLevelType w:val="hybridMultilevel"/>
    <w:tmpl w:val="C994DB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E9079B"/>
    <w:multiLevelType w:val="hybridMultilevel"/>
    <w:tmpl w:val="7F3211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A825E8"/>
    <w:multiLevelType w:val="hybridMultilevel"/>
    <w:tmpl w:val="C526BD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A9510A"/>
    <w:multiLevelType w:val="hybridMultilevel"/>
    <w:tmpl w:val="563CB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C929F3"/>
    <w:multiLevelType w:val="hybridMultilevel"/>
    <w:tmpl w:val="85F0B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1F18C7"/>
    <w:multiLevelType w:val="hybridMultilevel"/>
    <w:tmpl w:val="9CD86FBC"/>
    <w:lvl w:ilvl="0" w:tplc="E432F984">
      <w:start w:val="1"/>
      <w:numFmt w:val="bullet"/>
      <w:lvlText w:val="•"/>
      <w:lvlJc w:val="left"/>
      <w:pPr>
        <w:tabs>
          <w:tab w:val="num" w:pos="720"/>
        </w:tabs>
        <w:ind w:left="720" w:hanging="360"/>
      </w:pPr>
      <w:rPr>
        <w:rFonts w:ascii="Arial" w:hAnsi="Arial" w:hint="default"/>
      </w:rPr>
    </w:lvl>
    <w:lvl w:ilvl="1" w:tplc="F7A28C8A">
      <w:start w:val="1"/>
      <w:numFmt w:val="bullet"/>
      <w:lvlText w:val="•"/>
      <w:lvlJc w:val="left"/>
      <w:pPr>
        <w:tabs>
          <w:tab w:val="num" w:pos="1440"/>
        </w:tabs>
        <w:ind w:left="1440" w:hanging="360"/>
      </w:pPr>
      <w:rPr>
        <w:rFonts w:ascii="Arial" w:hAnsi="Arial" w:hint="default"/>
      </w:rPr>
    </w:lvl>
    <w:lvl w:ilvl="2" w:tplc="EBF014BE" w:tentative="1">
      <w:start w:val="1"/>
      <w:numFmt w:val="bullet"/>
      <w:lvlText w:val="•"/>
      <w:lvlJc w:val="left"/>
      <w:pPr>
        <w:tabs>
          <w:tab w:val="num" w:pos="2160"/>
        </w:tabs>
        <w:ind w:left="2160" w:hanging="360"/>
      </w:pPr>
      <w:rPr>
        <w:rFonts w:ascii="Arial" w:hAnsi="Arial" w:hint="default"/>
      </w:rPr>
    </w:lvl>
    <w:lvl w:ilvl="3" w:tplc="0C184CC4" w:tentative="1">
      <w:start w:val="1"/>
      <w:numFmt w:val="bullet"/>
      <w:lvlText w:val="•"/>
      <w:lvlJc w:val="left"/>
      <w:pPr>
        <w:tabs>
          <w:tab w:val="num" w:pos="2880"/>
        </w:tabs>
        <w:ind w:left="2880" w:hanging="360"/>
      </w:pPr>
      <w:rPr>
        <w:rFonts w:ascii="Arial" w:hAnsi="Arial" w:hint="default"/>
      </w:rPr>
    </w:lvl>
    <w:lvl w:ilvl="4" w:tplc="833E8678" w:tentative="1">
      <w:start w:val="1"/>
      <w:numFmt w:val="bullet"/>
      <w:lvlText w:val="•"/>
      <w:lvlJc w:val="left"/>
      <w:pPr>
        <w:tabs>
          <w:tab w:val="num" w:pos="3600"/>
        </w:tabs>
        <w:ind w:left="3600" w:hanging="360"/>
      </w:pPr>
      <w:rPr>
        <w:rFonts w:ascii="Arial" w:hAnsi="Arial" w:hint="default"/>
      </w:rPr>
    </w:lvl>
    <w:lvl w:ilvl="5" w:tplc="366A0C30" w:tentative="1">
      <w:start w:val="1"/>
      <w:numFmt w:val="bullet"/>
      <w:lvlText w:val="•"/>
      <w:lvlJc w:val="left"/>
      <w:pPr>
        <w:tabs>
          <w:tab w:val="num" w:pos="4320"/>
        </w:tabs>
        <w:ind w:left="4320" w:hanging="360"/>
      </w:pPr>
      <w:rPr>
        <w:rFonts w:ascii="Arial" w:hAnsi="Arial" w:hint="default"/>
      </w:rPr>
    </w:lvl>
    <w:lvl w:ilvl="6" w:tplc="CE401224" w:tentative="1">
      <w:start w:val="1"/>
      <w:numFmt w:val="bullet"/>
      <w:lvlText w:val="•"/>
      <w:lvlJc w:val="left"/>
      <w:pPr>
        <w:tabs>
          <w:tab w:val="num" w:pos="5040"/>
        </w:tabs>
        <w:ind w:left="5040" w:hanging="360"/>
      </w:pPr>
      <w:rPr>
        <w:rFonts w:ascii="Arial" w:hAnsi="Arial" w:hint="default"/>
      </w:rPr>
    </w:lvl>
    <w:lvl w:ilvl="7" w:tplc="4DEA7842" w:tentative="1">
      <w:start w:val="1"/>
      <w:numFmt w:val="bullet"/>
      <w:lvlText w:val="•"/>
      <w:lvlJc w:val="left"/>
      <w:pPr>
        <w:tabs>
          <w:tab w:val="num" w:pos="5760"/>
        </w:tabs>
        <w:ind w:left="5760" w:hanging="360"/>
      </w:pPr>
      <w:rPr>
        <w:rFonts w:ascii="Arial" w:hAnsi="Arial" w:hint="default"/>
      </w:rPr>
    </w:lvl>
    <w:lvl w:ilvl="8" w:tplc="D936795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7920398"/>
    <w:multiLevelType w:val="hybridMultilevel"/>
    <w:tmpl w:val="F3CCA4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5652FC"/>
    <w:multiLevelType w:val="hybridMultilevel"/>
    <w:tmpl w:val="72C44D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F95AB0"/>
    <w:multiLevelType w:val="hybridMultilevel"/>
    <w:tmpl w:val="7084D6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C1347D"/>
    <w:multiLevelType w:val="hybridMultilevel"/>
    <w:tmpl w:val="995245E0"/>
    <w:lvl w:ilvl="0" w:tplc="2CC4AC3C">
      <w:start w:val="1"/>
      <w:numFmt w:val="decimal"/>
      <w:lvlText w:val="(%1)"/>
      <w:lvlJc w:val="left"/>
      <w:pPr>
        <w:tabs>
          <w:tab w:val="num" w:pos="720"/>
        </w:tabs>
        <w:ind w:left="720" w:hanging="360"/>
      </w:pPr>
    </w:lvl>
    <w:lvl w:ilvl="1" w:tplc="FC1C7BDE">
      <w:start w:val="1"/>
      <w:numFmt w:val="decimal"/>
      <w:lvlText w:val="(%2)"/>
      <w:lvlJc w:val="left"/>
      <w:pPr>
        <w:tabs>
          <w:tab w:val="num" w:pos="1440"/>
        </w:tabs>
        <w:ind w:left="1440" w:hanging="360"/>
      </w:pPr>
    </w:lvl>
    <w:lvl w:ilvl="2" w:tplc="74CC2008" w:tentative="1">
      <w:start w:val="1"/>
      <w:numFmt w:val="decimal"/>
      <w:lvlText w:val="(%3)"/>
      <w:lvlJc w:val="left"/>
      <w:pPr>
        <w:tabs>
          <w:tab w:val="num" w:pos="2160"/>
        </w:tabs>
        <w:ind w:left="2160" w:hanging="360"/>
      </w:pPr>
    </w:lvl>
    <w:lvl w:ilvl="3" w:tplc="3222B4BA" w:tentative="1">
      <w:start w:val="1"/>
      <w:numFmt w:val="decimal"/>
      <w:lvlText w:val="(%4)"/>
      <w:lvlJc w:val="left"/>
      <w:pPr>
        <w:tabs>
          <w:tab w:val="num" w:pos="2880"/>
        </w:tabs>
        <w:ind w:left="2880" w:hanging="360"/>
      </w:pPr>
    </w:lvl>
    <w:lvl w:ilvl="4" w:tplc="E294F69C" w:tentative="1">
      <w:start w:val="1"/>
      <w:numFmt w:val="decimal"/>
      <w:lvlText w:val="(%5)"/>
      <w:lvlJc w:val="left"/>
      <w:pPr>
        <w:tabs>
          <w:tab w:val="num" w:pos="3600"/>
        </w:tabs>
        <w:ind w:left="3600" w:hanging="360"/>
      </w:pPr>
    </w:lvl>
    <w:lvl w:ilvl="5" w:tplc="799CB18E" w:tentative="1">
      <w:start w:val="1"/>
      <w:numFmt w:val="decimal"/>
      <w:lvlText w:val="(%6)"/>
      <w:lvlJc w:val="left"/>
      <w:pPr>
        <w:tabs>
          <w:tab w:val="num" w:pos="4320"/>
        </w:tabs>
        <w:ind w:left="4320" w:hanging="360"/>
      </w:pPr>
    </w:lvl>
    <w:lvl w:ilvl="6" w:tplc="4A68C6EA" w:tentative="1">
      <w:start w:val="1"/>
      <w:numFmt w:val="decimal"/>
      <w:lvlText w:val="(%7)"/>
      <w:lvlJc w:val="left"/>
      <w:pPr>
        <w:tabs>
          <w:tab w:val="num" w:pos="5040"/>
        </w:tabs>
        <w:ind w:left="5040" w:hanging="360"/>
      </w:pPr>
    </w:lvl>
    <w:lvl w:ilvl="7" w:tplc="B01A58CE" w:tentative="1">
      <w:start w:val="1"/>
      <w:numFmt w:val="decimal"/>
      <w:lvlText w:val="(%8)"/>
      <w:lvlJc w:val="left"/>
      <w:pPr>
        <w:tabs>
          <w:tab w:val="num" w:pos="5760"/>
        </w:tabs>
        <w:ind w:left="5760" w:hanging="360"/>
      </w:pPr>
    </w:lvl>
    <w:lvl w:ilvl="8" w:tplc="2C0E7502" w:tentative="1">
      <w:start w:val="1"/>
      <w:numFmt w:val="decimal"/>
      <w:lvlText w:val="(%9)"/>
      <w:lvlJc w:val="left"/>
      <w:pPr>
        <w:tabs>
          <w:tab w:val="num" w:pos="6480"/>
        </w:tabs>
        <w:ind w:left="6480" w:hanging="360"/>
      </w:pPr>
    </w:lvl>
  </w:abstractNum>
  <w:abstractNum w:abstractNumId="16" w15:restartNumberingAfterBreak="0">
    <w:nsid w:val="1F1A6C30"/>
    <w:multiLevelType w:val="hybridMultilevel"/>
    <w:tmpl w:val="5BC63E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E650A7"/>
    <w:multiLevelType w:val="hybridMultilevel"/>
    <w:tmpl w:val="7FE023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3F4563"/>
    <w:multiLevelType w:val="hybridMultilevel"/>
    <w:tmpl w:val="73CE461E"/>
    <w:lvl w:ilvl="0" w:tplc="7258FC38">
      <w:start w:val="1"/>
      <w:numFmt w:val="bullet"/>
      <w:lvlText w:val="•"/>
      <w:lvlJc w:val="left"/>
      <w:pPr>
        <w:tabs>
          <w:tab w:val="num" w:pos="720"/>
        </w:tabs>
        <w:ind w:left="720" w:hanging="360"/>
      </w:pPr>
      <w:rPr>
        <w:rFonts w:ascii="Arial" w:hAnsi="Arial" w:hint="default"/>
      </w:rPr>
    </w:lvl>
    <w:lvl w:ilvl="1" w:tplc="AF783276">
      <w:start w:val="1"/>
      <w:numFmt w:val="decimal"/>
      <w:lvlText w:val="%2)"/>
      <w:lvlJc w:val="left"/>
      <w:pPr>
        <w:tabs>
          <w:tab w:val="num" w:pos="1440"/>
        </w:tabs>
        <w:ind w:left="1440" w:hanging="360"/>
      </w:pPr>
    </w:lvl>
    <w:lvl w:ilvl="2" w:tplc="5E8C841A" w:tentative="1">
      <w:start w:val="1"/>
      <w:numFmt w:val="bullet"/>
      <w:lvlText w:val="•"/>
      <w:lvlJc w:val="left"/>
      <w:pPr>
        <w:tabs>
          <w:tab w:val="num" w:pos="2160"/>
        </w:tabs>
        <w:ind w:left="2160" w:hanging="360"/>
      </w:pPr>
      <w:rPr>
        <w:rFonts w:ascii="Arial" w:hAnsi="Arial" w:hint="default"/>
      </w:rPr>
    </w:lvl>
    <w:lvl w:ilvl="3" w:tplc="6E38B198" w:tentative="1">
      <w:start w:val="1"/>
      <w:numFmt w:val="bullet"/>
      <w:lvlText w:val="•"/>
      <w:lvlJc w:val="left"/>
      <w:pPr>
        <w:tabs>
          <w:tab w:val="num" w:pos="2880"/>
        </w:tabs>
        <w:ind w:left="2880" w:hanging="360"/>
      </w:pPr>
      <w:rPr>
        <w:rFonts w:ascii="Arial" w:hAnsi="Arial" w:hint="default"/>
      </w:rPr>
    </w:lvl>
    <w:lvl w:ilvl="4" w:tplc="C76E4220" w:tentative="1">
      <w:start w:val="1"/>
      <w:numFmt w:val="bullet"/>
      <w:lvlText w:val="•"/>
      <w:lvlJc w:val="left"/>
      <w:pPr>
        <w:tabs>
          <w:tab w:val="num" w:pos="3600"/>
        </w:tabs>
        <w:ind w:left="3600" w:hanging="360"/>
      </w:pPr>
      <w:rPr>
        <w:rFonts w:ascii="Arial" w:hAnsi="Arial" w:hint="default"/>
      </w:rPr>
    </w:lvl>
    <w:lvl w:ilvl="5" w:tplc="4FBEBC34" w:tentative="1">
      <w:start w:val="1"/>
      <w:numFmt w:val="bullet"/>
      <w:lvlText w:val="•"/>
      <w:lvlJc w:val="left"/>
      <w:pPr>
        <w:tabs>
          <w:tab w:val="num" w:pos="4320"/>
        </w:tabs>
        <w:ind w:left="4320" w:hanging="360"/>
      </w:pPr>
      <w:rPr>
        <w:rFonts w:ascii="Arial" w:hAnsi="Arial" w:hint="default"/>
      </w:rPr>
    </w:lvl>
    <w:lvl w:ilvl="6" w:tplc="A1FA74B8" w:tentative="1">
      <w:start w:val="1"/>
      <w:numFmt w:val="bullet"/>
      <w:lvlText w:val="•"/>
      <w:lvlJc w:val="left"/>
      <w:pPr>
        <w:tabs>
          <w:tab w:val="num" w:pos="5040"/>
        </w:tabs>
        <w:ind w:left="5040" w:hanging="360"/>
      </w:pPr>
      <w:rPr>
        <w:rFonts w:ascii="Arial" w:hAnsi="Arial" w:hint="default"/>
      </w:rPr>
    </w:lvl>
    <w:lvl w:ilvl="7" w:tplc="4754C984" w:tentative="1">
      <w:start w:val="1"/>
      <w:numFmt w:val="bullet"/>
      <w:lvlText w:val="•"/>
      <w:lvlJc w:val="left"/>
      <w:pPr>
        <w:tabs>
          <w:tab w:val="num" w:pos="5760"/>
        </w:tabs>
        <w:ind w:left="5760" w:hanging="360"/>
      </w:pPr>
      <w:rPr>
        <w:rFonts w:ascii="Arial" w:hAnsi="Arial" w:hint="default"/>
      </w:rPr>
    </w:lvl>
    <w:lvl w:ilvl="8" w:tplc="426219B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B9C4225"/>
    <w:multiLevelType w:val="hybridMultilevel"/>
    <w:tmpl w:val="8E32B6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835A34"/>
    <w:multiLevelType w:val="hybridMultilevel"/>
    <w:tmpl w:val="D3365FB0"/>
    <w:lvl w:ilvl="0" w:tplc="E00260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C5060C"/>
    <w:multiLevelType w:val="hybridMultilevel"/>
    <w:tmpl w:val="57F27240"/>
    <w:lvl w:ilvl="0" w:tplc="874014C2">
      <w:start w:val="1"/>
      <w:numFmt w:val="bullet"/>
      <w:lvlText w:val="•"/>
      <w:lvlJc w:val="left"/>
      <w:pPr>
        <w:tabs>
          <w:tab w:val="num" w:pos="720"/>
        </w:tabs>
        <w:ind w:left="720" w:hanging="360"/>
      </w:pPr>
      <w:rPr>
        <w:rFonts w:ascii="Arial" w:hAnsi="Arial" w:hint="default"/>
      </w:rPr>
    </w:lvl>
    <w:lvl w:ilvl="1" w:tplc="9628EC48" w:tentative="1">
      <w:start w:val="1"/>
      <w:numFmt w:val="bullet"/>
      <w:lvlText w:val="•"/>
      <w:lvlJc w:val="left"/>
      <w:pPr>
        <w:tabs>
          <w:tab w:val="num" w:pos="1440"/>
        </w:tabs>
        <w:ind w:left="1440" w:hanging="360"/>
      </w:pPr>
      <w:rPr>
        <w:rFonts w:ascii="Arial" w:hAnsi="Arial" w:hint="default"/>
      </w:rPr>
    </w:lvl>
    <w:lvl w:ilvl="2" w:tplc="38966462" w:tentative="1">
      <w:start w:val="1"/>
      <w:numFmt w:val="bullet"/>
      <w:lvlText w:val="•"/>
      <w:lvlJc w:val="left"/>
      <w:pPr>
        <w:tabs>
          <w:tab w:val="num" w:pos="2160"/>
        </w:tabs>
        <w:ind w:left="2160" w:hanging="360"/>
      </w:pPr>
      <w:rPr>
        <w:rFonts w:ascii="Arial" w:hAnsi="Arial" w:hint="default"/>
      </w:rPr>
    </w:lvl>
    <w:lvl w:ilvl="3" w:tplc="948AE978" w:tentative="1">
      <w:start w:val="1"/>
      <w:numFmt w:val="bullet"/>
      <w:lvlText w:val="•"/>
      <w:lvlJc w:val="left"/>
      <w:pPr>
        <w:tabs>
          <w:tab w:val="num" w:pos="2880"/>
        </w:tabs>
        <w:ind w:left="2880" w:hanging="360"/>
      </w:pPr>
      <w:rPr>
        <w:rFonts w:ascii="Arial" w:hAnsi="Arial" w:hint="default"/>
      </w:rPr>
    </w:lvl>
    <w:lvl w:ilvl="4" w:tplc="5330B500" w:tentative="1">
      <w:start w:val="1"/>
      <w:numFmt w:val="bullet"/>
      <w:lvlText w:val="•"/>
      <w:lvlJc w:val="left"/>
      <w:pPr>
        <w:tabs>
          <w:tab w:val="num" w:pos="3600"/>
        </w:tabs>
        <w:ind w:left="3600" w:hanging="360"/>
      </w:pPr>
      <w:rPr>
        <w:rFonts w:ascii="Arial" w:hAnsi="Arial" w:hint="default"/>
      </w:rPr>
    </w:lvl>
    <w:lvl w:ilvl="5" w:tplc="6186B92C" w:tentative="1">
      <w:start w:val="1"/>
      <w:numFmt w:val="bullet"/>
      <w:lvlText w:val="•"/>
      <w:lvlJc w:val="left"/>
      <w:pPr>
        <w:tabs>
          <w:tab w:val="num" w:pos="4320"/>
        </w:tabs>
        <w:ind w:left="4320" w:hanging="360"/>
      </w:pPr>
      <w:rPr>
        <w:rFonts w:ascii="Arial" w:hAnsi="Arial" w:hint="default"/>
      </w:rPr>
    </w:lvl>
    <w:lvl w:ilvl="6" w:tplc="58E4B43C" w:tentative="1">
      <w:start w:val="1"/>
      <w:numFmt w:val="bullet"/>
      <w:lvlText w:val="•"/>
      <w:lvlJc w:val="left"/>
      <w:pPr>
        <w:tabs>
          <w:tab w:val="num" w:pos="5040"/>
        </w:tabs>
        <w:ind w:left="5040" w:hanging="360"/>
      </w:pPr>
      <w:rPr>
        <w:rFonts w:ascii="Arial" w:hAnsi="Arial" w:hint="default"/>
      </w:rPr>
    </w:lvl>
    <w:lvl w:ilvl="7" w:tplc="D75C8BE6" w:tentative="1">
      <w:start w:val="1"/>
      <w:numFmt w:val="bullet"/>
      <w:lvlText w:val="•"/>
      <w:lvlJc w:val="left"/>
      <w:pPr>
        <w:tabs>
          <w:tab w:val="num" w:pos="5760"/>
        </w:tabs>
        <w:ind w:left="5760" w:hanging="360"/>
      </w:pPr>
      <w:rPr>
        <w:rFonts w:ascii="Arial" w:hAnsi="Arial" w:hint="default"/>
      </w:rPr>
    </w:lvl>
    <w:lvl w:ilvl="8" w:tplc="9A2886F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E341656"/>
    <w:multiLevelType w:val="hybridMultilevel"/>
    <w:tmpl w:val="88ACD2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432469"/>
    <w:multiLevelType w:val="hybridMultilevel"/>
    <w:tmpl w:val="DA2A06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974CC1"/>
    <w:multiLevelType w:val="hybridMultilevel"/>
    <w:tmpl w:val="FD229C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A3620D"/>
    <w:multiLevelType w:val="hybridMultilevel"/>
    <w:tmpl w:val="571AE374"/>
    <w:lvl w:ilvl="0" w:tplc="94F86D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DF522A"/>
    <w:multiLevelType w:val="hybridMultilevel"/>
    <w:tmpl w:val="E3327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030BB7"/>
    <w:multiLevelType w:val="hybridMultilevel"/>
    <w:tmpl w:val="209EBA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0C1F2B"/>
    <w:multiLevelType w:val="hybridMultilevel"/>
    <w:tmpl w:val="76B8F2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2C0E25"/>
    <w:multiLevelType w:val="hybridMultilevel"/>
    <w:tmpl w:val="5A0277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8E399C"/>
    <w:multiLevelType w:val="multilevel"/>
    <w:tmpl w:val="8C1C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50B2A1B"/>
    <w:multiLevelType w:val="hybridMultilevel"/>
    <w:tmpl w:val="BC3854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786F1D"/>
    <w:multiLevelType w:val="hybridMultilevel"/>
    <w:tmpl w:val="C75CC3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857181"/>
    <w:multiLevelType w:val="hybridMultilevel"/>
    <w:tmpl w:val="DB62D4EC"/>
    <w:lvl w:ilvl="0" w:tplc="9006B344">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AE7E74"/>
    <w:multiLevelType w:val="hybridMultilevel"/>
    <w:tmpl w:val="3E2212C2"/>
    <w:lvl w:ilvl="0" w:tplc="14FA1B9E">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14647B"/>
    <w:multiLevelType w:val="hybridMultilevel"/>
    <w:tmpl w:val="5BD8E9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CC5F2D"/>
    <w:multiLevelType w:val="hybridMultilevel"/>
    <w:tmpl w:val="9998DF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8A5280"/>
    <w:multiLevelType w:val="hybridMultilevel"/>
    <w:tmpl w:val="90800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8"/>
  </w:num>
  <w:num w:numId="3">
    <w:abstractNumId w:val="17"/>
  </w:num>
  <w:num w:numId="4">
    <w:abstractNumId w:val="24"/>
  </w:num>
  <w:num w:numId="5">
    <w:abstractNumId w:val="14"/>
  </w:num>
  <w:num w:numId="6">
    <w:abstractNumId w:val="28"/>
  </w:num>
  <w:num w:numId="7">
    <w:abstractNumId w:val="33"/>
  </w:num>
  <w:num w:numId="8">
    <w:abstractNumId w:val="20"/>
  </w:num>
  <w:num w:numId="9">
    <w:abstractNumId w:val="0"/>
  </w:num>
  <w:num w:numId="10">
    <w:abstractNumId w:val="25"/>
  </w:num>
  <w:num w:numId="11">
    <w:abstractNumId w:val="12"/>
  </w:num>
  <w:num w:numId="12">
    <w:abstractNumId w:val="7"/>
  </w:num>
  <w:num w:numId="13">
    <w:abstractNumId w:val="22"/>
  </w:num>
  <w:num w:numId="14">
    <w:abstractNumId w:val="36"/>
  </w:num>
  <w:num w:numId="15">
    <w:abstractNumId w:val="16"/>
  </w:num>
  <w:num w:numId="16">
    <w:abstractNumId w:val="29"/>
  </w:num>
  <w:num w:numId="17">
    <w:abstractNumId w:val="4"/>
  </w:num>
  <w:num w:numId="18">
    <w:abstractNumId w:val="23"/>
  </w:num>
  <w:num w:numId="19">
    <w:abstractNumId w:val="6"/>
  </w:num>
  <w:num w:numId="20">
    <w:abstractNumId w:val="26"/>
  </w:num>
  <w:num w:numId="21">
    <w:abstractNumId w:val="34"/>
  </w:num>
  <w:num w:numId="22">
    <w:abstractNumId w:val="37"/>
  </w:num>
  <w:num w:numId="23">
    <w:abstractNumId w:val="21"/>
  </w:num>
  <w:num w:numId="24">
    <w:abstractNumId w:val="11"/>
  </w:num>
  <w:num w:numId="25">
    <w:abstractNumId w:val="18"/>
  </w:num>
  <w:num w:numId="26">
    <w:abstractNumId w:val="32"/>
  </w:num>
  <w:num w:numId="27">
    <w:abstractNumId w:val="10"/>
  </w:num>
  <w:num w:numId="28">
    <w:abstractNumId w:val="15"/>
  </w:num>
  <w:num w:numId="29">
    <w:abstractNumId w:val="35"/>
  </w:num>
  <w:num w:numId="30">
    <w:abstractNumId w:val="30"/>
  </w:num>
  <w:num w:numId="31">
    <w:abstractNumId w:val="13"/>
  </w:num>
  <w:num w:numId="32">
    <w:abstractNumId w:val="27"/>
  </w:num>
  <w:num w:numId="33">
    <w:abstractNumId w:val="5"/>
  </w:num>
  <w:num w:numId="34">
    <w:abstractNumId w:val="19"/>
  </w:num>
  <w:num w:numId="35">
    <w:abstractNumId w:val="2"/>
  </w:num>
  <w:num w:numId="36">
    <w:abstractNumId w:val="9"/>
  </w:num>
  <w:num w:numId="37">
    <w:abstractNumId w:val="3"/>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6C9"/>
    <w:rsid w:val="000006B9"/>
    <w:rsid w:val="00002849"/>
    <w:rsid w:val="00003DEB"/>
    <w:rsid w:val="0000436A"/>
    <w:rsid w:val="00006A43"/>
    <w:rsid w:val="00007279"/>
    <w:rsid w:val="000100DE"/>
    <w:rsid w:val="00011847"/>
    <w:rsid w:val="000141D4"/>
    <w:rsid w:val="00014DF8"/>
    <w:rsid w:val="000159E7"/>
    <w:rsid w:val="000168AB"/>
    <w:rsid w:val="0002056A"/>
    <w:rsid w:val="000246CD"/>
    <w:rsid w:val="00025187"/>
    <w:rsid w:val="000255D8"/>
    <w:rsid w:val="00025AA9"/>
    <w:rsid w:val="000266D0"/>
    <w:rsid w:val="00027D39"/>
    <w:rsid w:val="00033CC1"/>
    <w:rsid w:val="00033F99"/>
    <w:rsid w:val="0003435E"/>
    <w:rsid w:val="00035F5A"/>
    <w:rsid w:val="000364E2"/>
    <w:rsid w:val="00037210"/>
    <w:rsid w:val="0003757D"/>
    <w:rsid w:val="00041174"/>
    <w:rsid w:val="000414FD"/>
    <w:rsid w:val="000419B4"/>
    <w:rsid w:val="00042C51"/>
    <w:rsid w:val="00043553"/>
    <w:rsid w:val="00044731"/>
    <w:rsid w:val="000452D2"/>
    <w:rsid w:val="000461F0"/>
    <w:rsid w:val="00046F45"/>
    <w:rsid w:val="000503AC"/>
    <w:rsid w:val="00050BBE"/>
    <w:rsid w:val="000520D7"/>
    <w:rsid w:val="00054E9B"/>
    <w:rsid w:val="00063FBA"/>
    <w:rsid w:val="00066A82"/>
    <w:rsid w:val="00071377"/>
    <w:rsid w:val="000728E6"/>
    <w:rsid w:val="000730EA"/>
    <w:rsid w:val="00074811"/>
    <w:rsid w:val="00075CAA"/>
    <w:rsid w:val="000846A4"/>
    <w:rsid w:val="00087329"/>
    <w:rsid w:val="000916C9"/>
    <w:rsid w:val="00091EC0"/>
    <w:rsid w:val="00094A93"/>
    <w:rsid w:val="0009721F"/>
    <w:rsid w:val="00097EBC"/>
    <w:rsid w:val="000A150A"/>
    <w:rsid w:val="000A2F34"/>
    <w:rsid w:val="000A33E6"/>
    <w:rsid w:val="000A4A0E"/>
    <w:rsid w:val="000B2E36"/>
    <w:rsid w:val="000B3AAF"/>
    <w:rsid w:val="000B4AFE"/>
    <w:rsid w:val="000B6B2D"/>
    <w:rsid w:val="000B7CAC"/>
    <w:rsid w:val="000C35DD"/>
    <w:rsid w:val="000C3B70"/>
    <w:rsid w:val="000D0B4B"/>
    <w:rsid w:val="000D17A1"/>
    <w:rsid w:val="000D19E4"/>
    <w:rsid w:val="000D21A5"/>
    <w:rsid w:val="000D6470"/>
    <w:rsid w:val="000D7B9D"/>
    <w:rsid w:val="000E2021"/>
    <w:rsid w:val="000E7508"/>
    <w:rsid w:val="000F0057"/>
    <w:rsid w:val="000F33BB"/>
    <w:rsid w:val="000F7B0E"/>
    <w:rsid w:val="001021FA"/>
    <w:rsid w:val="00113E22"/>
    <w:rsid w:val="0011590B"/>
    <w:rsid w:val="00116347"/>
    <w:rsid w:val="00116806"/>
    <w:rsid w:val="0011717D"/>
    <w:rsid w:val="0012006E"/>
    <w:rsid w:val="001207D3"/>
    <w:rsid w:val="00121C10"/>
    <w:rsid w:val="00123BEB"/>
    <w:rsid w:val="00126A07"/>
    <w:rsid w:val="00134424"/>
    <w:rsid w:val="00134F91"/>
    <w:rsid w:val="0013538D"/>
    <w:rsid w:val="00136034"/>
    <w:rsid w:val="00137F66"/>
    <w:rsid w:val="00144F61"/>
    <w:rsid w:val="00147F5B"/>
    <w:rsid w:val="00151197"/>
    <w:rsid w:val="00154B5C"/>
    <w:rsid w:val="0015614B"/>
    <w:rsid w:val="001669B4"/>
    <w:rsid w:val="0017476A"/>
    <w:rsid w:val="00175575"/>
    <w:rsid w:val="0017635C"/>
    <w:rsid w:val="001779C5"/>
    <w:rsid w:val="00180548"/>
    <w:rsid w:val="001813D1"/>
    <w:rsid w:val="00184A43"/>
    <w:rsid w:val="00184C18"/>
    <w:rsid w:val="00187A43"/>
    <w:rsid w:val="001933A2"/>
    <w:rsid w:val="00193B5A"/>
    <w:rsid w:val="001975FB"/>
    <w:rsid w:val="001A1A77"/>
    <w:rsid w:val="001A1AA6"/>
    <w:rsid w:val="001A2FC1"/>
    <w:rsid w:val="001A333C"/>
    <w:rsid w:val="001A4CB1"/>
    <w:rsid w:val="001A5C49"/>
    <w:rsid w:val="001A7201"/>
    <w:rsid w:val="001A770D"/>
    <w:rsid w:val="001B115E"/>
    <w:rsid w:val="001B2F09"/>
    <w:rsid w:val="001B57F1"/>
    <w:rsid w:val="001C0485"/>
    <w:rsid w:val="001C1066"/>
    <w:rsid w:val="001C1655"/>
    <w:rsid w:val="001C263C"/>
    <w:rsid w:val="001C2F8B"/>
    <w:rsid w:val="001C5C1C"/>
    <w:rsid w:val="001D148E"/>
    <w:rsid w:val="001D18C4"/>
    <w:rsid w:val="001D2C85"/>
    <w:rsid w:val="001D75DB"/>
    <w:rsid w:val="001E2F84"/>
    <w:rsid w:val="001E32BB"/>
    <w:rsid w:val="001E3389"/>
    <w:rsid w:val="001E33B8"/>
    <w:rsid w:val="001E5F60"/>
    <w:rsid w:val="001E65E7"/>
    <w:rsid w:val="001F4C4F"/>
    <w:rsid w:val="001F50FF"/>
    <w:rsid w:val="001F5B6A"/>
    <w:rsid w:val="001F75E8"/>
    <w:rsid w:val="0020006C"/>
    <w:rsid w:val="00200420"/>
    <w:rsid w:val="00201AE2"/>
    <w:rsid w:val="00206EBA"/>
    <w:rsid w:val="002114C9"/>
    <w:rsid w:val="0021280D"/>
    <w:rsid w:val="00213D1F"/>
    <w:rsid w:val="00214FBC"/>
    <w:rsid w:val="00217E22"/>
    <w:rsid w:val="002211A3"/>
    <w:rsid w:val="00224B37"/>
    <w:rsid w:val="00225868"/>
    <w:rsid w:val="00226F8E"/>
    <w:rsid w:val="00227C8F"/>
    <w:rsid w:val="00230A6C"/>
    <w:rsid w:val="00240129"/>
    <w:rsid w:val="0024032B"/>
    <w:rsid w:val="002408E3"/>
    <w:rsid w:val="00240B97"/>
    <w:rsid w:val="00242891"/>
    <w:rsid w:val="00242990"/>
    <w:rsid w:val="00242A00"/>
    <w:rsid w:val="00245463"/>
    <w:rsid w:val="0024783E"/>
    <w:rsid w:val="0025198E"/>
    <w:rsid w:val="00252B67"/>
    <w:rsid w:val="00256925"/>
    <w:rsid w:val="002607A7"/>
    <w:rsid w:val="00261802"/>
    <w:rsid w:val="00263003"/>
    <w:rsid w:val="00266548"/>
    <w:rsid w:val="00267C61"/>
    <w:rsid w:val="002709DB"/>
    <w:rsid w:val="0027351B"/>
    <w:rsid w:val="002737D6"/>
    <w:rsid w:val="00275E59"/>
    <w:rsid w:val="00276185"/>
    <w:rsid w:val="00277A36"/>
    <w:rsid w:val="00280594"/>
    <w:rsid w:val="00280B60"/>
    <w:rsid w:val="00291004"/>
    <w:rsid w:val="00292319"/>
    <w:rsid w:val="00292BBC"/>
    <w:rsid w:val="00293094"/>
    <w:rsid w:val="00293C74"/>
    <w:rsid w:val="002A010F"/>
    <w:rsid w:val="002A0728"/>
    <w:rsid w:val="002A2422"/>
    <w:rsid w:val="002A27A3"/>
    <w:rsid w:val="002A4360"/>
    <w:rsid w:val="002B0B43"/>
    <w:rsid w:val="002B1248"/>
    <w:rsid w:val="002B14FF"/>
    <w:rsid w:val="002B1B92"/>
    <w:rsid w:val="002B34FC"/>
    <w:rsid w:val="002B641D"/>
    <w:rsid w:val="002B7A05"/>
    <w:rsid w:val="002C1D89"/>
    <w:rsid w:val="002C4893"/>
    <w:rsid w:val="002C5218"/>
    <w:rsid w:val="002C622F"/>
    <w:rsid w:val="002D0AF4"/>
    <w:rsid w:val="002D1053"/>
    <w:rsid w:val="002D1B1A"/>
    <w:rsid w:val="002D6AC3"/>
    <w:rsid w:val="002D7619"/>
    <w:rsid w:val="002D7634"/>
    <w:rsid w:val="002E166F"/>
    <w:rsid w:val="002E182F"/>
    <w:rsid w:val="002E28B2"/>
    <w:rsid w:val="002E7C8D"/>
    <w:rsid w:val="002F4E15"/>
    <w:rsid w:val="002F6A3D"/>
    <w:rsid w:val="002F6CD1"/>
    <w:rsid w:val="00301250"/>
    <w:rsid w:val="00301AE9"/>
    <w:rsid w:val="00301C4D"/>
    <w:rsid w:val="003049D1"/>
    <w:rsid w:val="00310C7F"/>
    <w:rsid w:val="003110C7"/>
    <w:rsid w:val="00315439"/>
    <w:rsid w:val="00315DCD"/>
    <w:rsid w:val="003202CB"/>
    <w:rsid w:val="003226C5"/>
    <w:rsid w:val="00325615"/>
    <w:rsid w:val="0033073B"/>
    <w:rsid w:val="003320E1"/>
    <w:rsid w:val="00332590"/>
    <w:rsid w:val="0033363B"/>
    <w:rsid w:val="00333F01"/>
    <w:rsid w:val="00334E4A"/>
    <w:rsid w:val="0033695A"/>
    <w:rsid w:val="00340415"/>
    <w:rsid w:val="00341B9E"/>
    <w:rsid w:val="00343EF7"/>
    <w:rsid w:val="00346817"/>
    <w:rsid w:val="00351B9C"/>
    <w:rsid w:val="003563D5"/>
    <w:rsid w:val="00356D52"/>
    <w:rsid w:val="003602A1"/>
    <w:rsid w:val="003618C6"/>
    <w:rsid w:val="003659DD"/>
    <w:rsid w:val="00365F57"/>
    <w:rsid w:val="003660E5"/>
    <w:rsid w:val="00366C49"/>
    <w:rsid w:val="0036722C"/>
    <w:rsid w:val="00367F33"/>
    <w:rsid w:val="003723DA"/>
    <w:rsid w:val="003768DB"/>
    <w:rsid w:val="00382D37"/>
    <w:rsid w:val="003838BB"/>
    <w:rsid w:val="00384A85"/>
    <w:rsid w:val="00384CD0"/>
    <w:rsid w:val="00387BF7"/>
    <w:rsid w:val="00390E41"/>
    <w:rsid w:val="00392B0D"/>
    <w:rsid w:val="00395378"/>
    <w:rsid w:val="00397F25"/>
    <w:rsid w:val="003A1253"/>
    <w:rsid w:val="003A21AC"/>
    <w:rsid w:val="003A4276"/>
    <w:rsid w:val="003A57A9"/>
    <w:rsid w:val="003A6EE8"/>
    <w:rsid w:val="003A6F76"/>
    <w:rsid w:val="003B2714"/>
    <w:rsid w:val="003B3700"/>
    <w:rsid w:val="003B733F"/>
    <w:rsid w:val="003C3F25"/>
    <w:rsid w:val="003C6877"/>
    <w:rsid w:val="003C6F09"/>
    <w:rsid w:val="003C7224"/>
    <w:rsid w:val="003D05F7"/>
    <w:rsid w:val="003D1E83"/>
    <w:rsid w:val="003D32D5"/>
    <w:rsid w:val="003D3EA0"/>
    <w:rsid w:val="003D6665"/>
    <w:rsid w:val="003E1CBF"/>
    <w:rsid w:val="003E3FB4"/>
    <w:rsid w:val="003E57E4"/>
    <w:rsid w:val="003E5D26"/>
    <w:rsid w:val="003E7A49"/>
    <w:rsid w:val="003F137C"/>
    <w:rsid w:val="003F26CD"/>
    <w:rsid w:val="003F6B1B"/>
    <w:rsid w:val="003F6C4F"/>
    <w:rsid w:val="003F6CD9"/>
    <w:rsid w:val="00402FCD"/>
    <w:rsid w:val="00410E6E"/>
    <w:rsid w:val="004111C5"/>
    <w:rsid w:val="00417A3D"/>
    <w:rsid w:val="004205F7"/>
    <w:rsid w:val="00421BE1"/>
    <w:rsid w:val="00421C15"/>
    <w:rsid w:val="0042485B"/>
    <w:rsid w:val="0042633F"/>
    <w:rsid w:val="0043192C"/>
    <w:rsid w:val="00431D90"/>
    <w:rsid w:val="004342CE"/>
    <w:rsid w:val="00434C35"/>
    <w:rsid w:val="00436461"/>
    <w:rsid w:val="00437AB3"/>
    <w:rsid w:val="00441460"/>
    <w:rsid w:val="00441C8D"/>
    <w:rsid w:val="0044237A"/>
    <w:rsid w:val="004433E1"/>
    <w:rsid w:val="00443A57"/>
    <w:rsid w:val="00446DA5"/>
    <w:rsid w:val="004516CB"/>
    <w:rsid w:val="00451C02"/>
    <w:rsid w:val="004577E7"/>
    <w:rsid w:val="00460650"/>
    <w:rsid w:val="00460CCF"/>
    <w:rsid w:val="004614B3"/>
    <w:rsid w:val="00461BB0"/>
    <w:rsid w:val="00464831"/>
    <w:rsid w:val="00464C0E"/>
    <w:rsid w:val="00465404"/>
    <w:rsid w:val="00466623"/>
    <w:rsid w:val="00466826"/>
    <w:rsid w:val="0047252A"/>
    <w:rsid w:val="00472D3F"/>
    <w:rsid w:val="00475485"/>
    <w:rsid w:val="004768A9"/>
    <w:rsid w:val="0048157C"/>
    <w:rsid w:val="004828A6"/>
    <w:rsid w:val="00482DE1"/>
    <w:rsid w:val="004832F0"/>
    <w:rsid w:val="004837DB"/>
    <w:rsid w:val="00485723"/>
    <w:rsid w:val="00485B30"/>
    <w:rsid w:val="00491715"/>
    <w:rsid w:val="00492996"/>
    <w:rsid w:val="00494DD3"/>
    <w:rsid w:val="004A0C54"/>
    <w:rsid w:val="004A1F8D"/>
    <w:rsid w:val="004A2FF7"/>
    <w:rsid w:val="004A7894"/>
    <w:rsid w:val="004A7A37"/>
    <w:rsid w:val="004B34C9"/>
    <w:rsid w:val="004B4602"/>
    <w:rsid w:val="004B4809"/>
    <w:rsid w:val="004B7185"/>
    <w:rsid w:val="004C0D3D"/>
    <w:rsid w:val="004C32B4"/>
    <w:rsid w:val="004C4A65"/>
    <w:rsid w:val="004D161C"/>
    <w:rsid w:val="004D27FC"/>
    <w:rsid w:val="004D29DB"/>
    <w:rsid w:val="004D49E9"/>
    <w:rsid w:val="004D591F"/>
    <w:rsid w:val="004D6306"/>
    <w:rsid w:val="004E4DAE"/>
    <w:rsid w:val="004F142B"/>
    <w:rsid w:val="004F353B"/>
    <w:rsid w:val="004F4103"/>
    <w:rsid w:val="004F43C3"/>
    <w:rsid w:val="004F46B2"/>
    <w:rsid w:val="004F4D62"/>
    <w:rsid w:val="004F5EAD"/>
    <w:rsid w:val="004F6D71"/>
    <w:rsid w:val="004F7D96"/>
    <w:rsid w:val="005009DA"/>
    <w:rsid w:val="0050175C"/>
    <w:rsid w:val="005027D9"/>
    <w:rsid w:val="00502EFE"/>
    <w:rsid w:val="005045B5"/>
    <w:rsid w:val="00504972"/>
    <w:rsid w:val="00504A56"/>
    <w:rsid w:val="005051AF"/>
    <w:rsid w:val="005059CA"/>
    <w:rsid w:val="0050619F"/>
    <w:rsid w:val="00512854"/>
    <w:rsid w:val="005132C4"/>
    <w:rsid w:val="0051464A"/>
    <w:rsid w:val="00516EA9"/>
    <w:rsid w:val="00521A50"/>
    <w:rsid w:val="005224DE"/>
    <w:rsid w:val="005248A3"/>
    <w:rsid w:val="0052503B"/>
    <w:rsid w:val="0053177A"/>
    <w:rsid w:val="00532ADF"/>
    <w:rsid w:val="00540049"/>
    <w:rsid w:val="0054125C"/>
    <w:rsid w:val="00541836"/>
    <w:rsid w:val="00544514"/>
    <w:rsid w:val="00547082"/>
    <w:rsid w:val="00550878"/>
    <w:rsid w:val="0055165C"/>
    <w:rsid w:val="005555F7"/>
    <w:rsid w:val="00555EA8"/>
    <w:rsid w:val="0055719E"/>
    <w:rsid w:val="0055777D"/>
    <w:rsid w:val="005605E3"/>
    <w:rsid w:val="00567266"/>
    <w:rsid w:val="005734F8"/>
    <w:rsid w:val="00574FDB"/>
    <w:rsid w:val="00575AB2"/>
    <w:rsid w:val="005762E7"/>
    <w:rsid w:val="005766C1"/>
    <w:rsid w:val="00581C80"/>
    <w:rsid w:val="00581F34"/>
    <w:rsid w:val="00584B40"/>
    <w:rsid w:val="00593278"/>
    <w:rsid w:val="00593764"/>
    <w:rsid w:val="005937E6"/>
    <w:rsid w:val="00593E28"/>
    <w:rsid w:val="00597132"/>
    <w:rsid w:val="00597AA2"/>
    <w:rsid w:val="005A22BE"/>
    <w:rsid w:val="005A4A90"/>
    <w:rsid w:val="005A62C8"/>
    <w:rsid w:val="005B1E95"/>
    <w:rsid w:val="005B3A4E"/>
    <w:rsid w:val="005B416E"/>
    <w:rsid w:val="005B5572"/>
    <w:rsid w:val="005B5955"/>
    <w:rsid w:val="005B5E5D"/>
    <w:rsid w:val="005C1513"/>
    <w:rsid w:val="005C1F9E"/>
    <w:rsid w:val="005D0655"/>
    <w:rsid w:val="005D09DC"/>
    <w:rsid w:val="005D2D56"/>
    <w:rsid w:val="005D2FA9"/>
    <w:rsid w:val="005D41BD"/>
    <w:rsid w:val="005D52B5"/>
    <w:rsid w:val="005D5CCF"/>
    <w:rsid w:val="005D7812"/>
    <w:rsid w:val="005E2287"/>
    <w:rsid w:val="005E60D2"/>
    <w:rsid w:val="005E7628"/>
    <w:rsid w:val="005E766E"/>
    <w:rsid w:val="005E7CB0"/>
    <w:rsid w:val="005F2ABF"/>
    <w:rsid w:val="005F5942"/>
    <w:rsid w:val="005F72F3"/>
    <w:rsid w:val="00600ED6"/>
    <w:rsid w:val="00602928"/>
    <w:rsid w:val="006038E9"/>
    <w:rsid w:val="0060478D"/>
    <w:rsid w:val="00606D2E"/>
    <w:rsid w:val="00610C73"/>
    <w:rsid w:val="00611B6C"/>
    <w:rsid w:val="006123E1"/>
    <w:rsid w:val="006125FD"/>
    <w:rsid w:val="00624BD9"/>
    <w:rsid w:val="0062517C"/>
    <w:rsid w:val="006268BD"/>
    <w:rsid w:val="00626B35"/>
    <w:rsid w:val="00631987"/>
    <w:rsid w:val="006348AC"/>
    <w:rsid w:val="006356B3"/>
    <w:rsid w:val="006361C7"/>
    <w:rsid w:val="00643D52"/>
    <w:rsid w:val="00646684"/>
    <w:rsid w:val="00647DB0"/>
    <w:rsid w:val="00650AE6"/>
    <w:rsid w:val="006518F2"/>
    <w:rsid w:val="006531CA"/>
    <w:rsid w:val="0065582F"/>
    <w:rsid w:val="00655A8A"/>
    <w:rsid w:val="00655E50"/>
    <w:rsid w:val="00655F87"/>
    <w:rsid w:val="00660BE8"/>
    <w:rsid w:val="00661552"/>
    <w:rsid w:val="00662445"/>
    <w:rsid w:val="00662744"/>
    <w:rsid w:val="0066308A"/>
    <w:rsid w:val="00663848"/>
    <w:rsid w:val="006659A4"/>
    <w:rsid w:val="00665CCE"/>
    <w:rsid w:val="00670F4A"/>
    <w:rsid w:val="006711C6"/>
    <w:rsid w:val="006715B6"/>
    <w:rsid w:val="006732FF"/>
    <w:rsid w:val="00675D54"/>
    <w:rsid w:val="00682F55"/>
    <w:rsid w:val="00686122"/>
    <w:rsid w:val="006939EF"/>
    <w:rsid w:val="00693C63"/>
    <w:rsid w:val="00694141"/>
    <w:rsid w:val="0069441C"/>
    <w:rsid w:val="0069470B"/>
    <w:rsid w:val="00694A37"/>
    <w:rsid w:val="00696AF1"/>
    <w:rsid w:val="006A47D2"/>
    <w:rsid w:val="006A4883"/>
    <w:rsid w:val="006A61CA"/>
    <w:rsid w:val="006B2608"/>
    <w:rsid w:val="006B2E7B"/>
    <w:rsid w:val="006B4D94"/>
    <w:rsid w:val="006B4E41"/>
    <w:rsid w:val="006B6FD3"/>
    <w:rsid w:val="006B753B"/>
    <w:rsid w:val="006C44AD"/>
    <w:rsid w:val="006C6972"/>
    <w:rsid w:val="006D09F5"/>
    <w:rsid w:val="006D10A3"/>
    <w:rsid w:val="006D4716"/>
    <w:rsid w:val="006D5EFF"/>
    <w:rsid w:val="006E2C58"/>
    <w:rsid w:val="006E67E5"/>
    <w:rsid w:val="006F2276"/>
    <w:rsid w:val="006F2CAD"/>
    <w:rsid w:val="006F52B1"/>
    <w:rsid w:val="006F5BD5"/>
    <w:rsid w:val="007000C5"/>
    <w:rsid w:val="00704ED1"/>
    <w:rsid w:val="007054C2"/>
    <w:rsid w:val="007054F4"/>
    <w:rsid w:val="00706DB3"/>
    <w:rsid w:val="007100F7"/>
    <w:rsid w:val="007122CA"/>
    <w:rsid w:val="007148C3"/>
    <w:rsid w:val="00720943"/>
    <w:rsid w:val="00720D2C"/>
    <w:rsid w:val="007212F2"/>
    <w:rsid w:val="00722F22"/>
    <w:rsid w:val="00725AB2"/>
    <w:rsid w:val="00725DAF"/>
    <w:rsid w:val="00725EA9"/>
    <w:rsid w:val="007305A0"/>
    <w:rsid w:val="00730C3D"/>
    <w:rsid w:val="00732A3D"/>
    <w:rsid w:val="00741AF7"/>
    <w:rsid w:val="0074546D"/>
    <w:rsid w:val="00746290"/>
    <w:rsid w:val="0074636D"/>
    <w:rsid w:val="0074669C"/>
    <w:rsid w:val="0076085F"/>
    <w:rsid w:val="0076188D"/>
    <w:rsid w:val="00763950"/>
    <w:rsid w:val="0076462B"/>
    <w:rsid w:val="00765AD4"/>
    <w:rsid w:val="00765B1A"/>
    <w:rsid w:val="007705FE"/>
    <w:rsid w:val="00771511"/>
    <w:rsid w:val="00780651"/>
    <w:rsid w:val="00780C16"/>
    <w:rsid w:val="00781404"/>
    <w:rsid w:val="00781447"/>
    <w:rsid w:val="00781BEB"/>
    <w:rsid w:val="007840E3"/>
    <w:rsid w:val="00784451"/>
    <w:rsid w:val="007907AB"/>
    <w:rsid w:val="00792620"/>
    <w:rsid w:val="00792D33"/>
    <w:rsid w:val="00795A6B"/>
    <w:rsid w:val="00796065"/>
    <w:rsid w:val="007B22B1"/>
    <w:rsid w:val="007B2C73"/>
    <w:rsid w:val="007B5A7C"/>
    <w:rsid w:val="007C0DF2"/>
    <w:rsid w:val="007C3E81"/>
    <w:rsid w:val="007C41C8"/>
    <w:rsid w:val="007C4C07"/>
    <w:rsid w:val="007C50B6"/>
    <w:rsid w:val="007C62AB"/>
    <w:rsid w:val="007C6D07"/>
    <w:rsid w:val="007D0C03"/>
    <w:rsid w:val="007D0F4C"/>
    <w:rsid w:val="007D1B6A"/>
    <w:rsid w:val="007D6F09"/>
    <w:rsid w:val="007E08E7"/>
    <w:rsid w:val="007E0FF1"/>
    <w:rsid w:val="007E28FB"/>
    <w:rsid w:val="007E3F64"/>
    <w:rsid w:val="007E4432"/>
    <w:rsid w:val="007E6851"/>
    <w:rsid w:val="007F0901"/>
    <w:rsid w:val="007F0C7E"/>
    <w:rsid w:val="007F2742"/>
    <w:rsid w:val="00801FE4"/>
    <w:rsid w:val="00804BB3"/>
    <w:rsid w:val="00805EC0"/>
    <w:rsid w:val="0080672E"/>
    <w:rsid w:val="00810EE4"/>
    <w:rsid w:val="00811296"/>
    <w:rsid w:val="00812A43"/>
    <w:rsid w:val="00814D0C"/>
    <w:rsid w:val="00815D69"/>
    <w:rsid w:val="0081601B"/>
    <w:rsid w:val="0081681F"/>
    <w:rsid w:val="00821879"/>
    <w:rsid w:val="00823E5B"/>
    <w:rsid w:val="00824BA3"/>
    <w:rsid w:val="00825256"/>
    <w:rsid w:val="00825886"/>
    <w:rsid w:val="008312F0"/>
    <w:rsid w:val="00831E09"/>
    <w:rsid w:val="00840325"/>
    <w:rsid w:val="00842E05"/>
    <w:rsid w:val="00844B4E"/>
    <w:rsid w:val="00844E36"/>
    <w:rsid w:val="0084772D"/>
    <w:rsid w:val="00847D1B"/>
    <w:rsid w:val="00854A66"/>
    <w:rsid w:val="0085544E"/>
    <w:rsid w:val="0085674D"/>
    <w:rsid w:val="00857CB2"/>
    <w:rsid w:val="00857DF8"/>
    <w:rsid w:val="00860C67"/>
    <w:rsid w:val="00864455"/>
    <w:rsid w:val="00866391"/>
    <w:rsid w:val="00870C41"/>
    <w:rsid w:val="00871083"/>
    <w:rsid w:val="00873D7E"/>
    <w:rsid w:val="0087413A"/>
    <w:rsid w:val="008752DA"/>
    <w:rsid w:val="008764CF"/>
    <w:rsid w:val="008829BF"/>
    <w:rsid w:val="008829F7"/>
    <w:rsid w:val="008836AE"/>
    <w:rsid w:val="008839FF"/>
    <w:rsid w:val="0088666C"/>
    <w:rsid w:val="0089137F"/>
    <w:rsid w:val="008917BC"/>
    <w:rsid w:val="0089433C"/>
    <w:rsid w:val="00897396"/>
    <w:rsid w:val="008A2792"/>
    <w:rsid w:val="008A396B"/>
    <w:rsid w:val="008A3B3E"/>
    <w:rsid w:val="008A68A8"/>
    <w:rsid w:val="008A724A"/>
    <w:rsid w:val="008B5F55"/>
    <w:rsid w:val="008C0E65"/>
    <w:rsid w:val="008C114E"/>
    <w:rsid w:val="008C2874"/>
    <w:rsid w:val="008C341B"/>
    <w:rsid w:val="008C3BE1"/>
    <w:rsid w:val="008C4AC0"/>
    <w:rsid w:val="008C5FFA"/>
    <w:rsid w:val="008C79B3"/>
    <w:rsid w:val="008D67B2"/>
    <w:rsid w:val="008D7173"/>
    <w:rsid w:val="008E0DC7"/>
    <w:rsid w:val="008E32A1"/>
    <w:rsid w:val="008E790D"/>
    <w:rsid w:val="008F1446"/>
    <w:rsid w:val="008F7465"/>
    <w:rsid w:val="008F75F5"/>
    <w:rsid w:val="00901B8E"/>
    <w:rsid w:val="00902DD0"/>
    <w:rsid w:val="00902F9A"/>
    <w:rsid w:val="0090349D"/>
    <w:rsid w:val="0090405B"/>
    <w:rsid w:val="0091099D"/>
    <w:rsid w:val="00911C46"/>
    <w:rsid w:val="00912A42"/>
    <w:rsid w:val="00913845"/>
    <w:rsid w:val="0091587F"/>
    <w:rsid w:val="009173D0"/>
    <w:rsid w:val="009174DA"/>
    <w:rsid w:val="009178E2"/>
    <w:rsid w:val="00917A53"/>
    <w:rsid w:val="00922B2F"/>
    <w:rsid w:val="00922CCF"/>
    <w:rsid w:val="00923801"/>
    <w:rsid w:val="00923E9A"/>
    <w:rsid w:val="00923F92"/>
    <w:rsid w:val="009245F8"/>
    <w:rsid w:val="00924E77"/>
    <w:rsid w:val="009250B6"/>
    <w:rsid w:val="009266D8"/>
    <w:rsid w:val="00932266"/>
    <w:rsid w:val="00934BCA"/>
    <w:rsid w:val="009354F0"/>
    <w:rsid w:val="0093593E"/>
    <w:rsid w:val="00937174"/>
    <w:rsid w:val="00937462"/>
    <w:rsid w:val="00937842"/>
    <w:rsid w:val="00937867"/>
    <w:rsid w:val="0094303A"/>
    <w:rsid w:val="00950E49"/>
    <w:rsid w:val="00955F56"/>
    <w:rsid w:val="00963DCA"/>
    <w:rsid w:val="00964366"/>
    <w:rsid w:val="00971FB4"/>
    <w:rsid w:val="009728DB"/>
    <w:rsid w:val="009755C4"/>
    <w:rsid w:val="00981CF8"/>
    <w:rsid w:val="0098552A"/>
    <w:rsid w:val="00985A99"/>
    <w:rsid w:val="00987A48"/>
    <w:rsid w:val="00995A8E"/>
    <w:rsid w:val="00996DD9"/>
    <w:rsid w:val="009A3884"/>
    <w:rsid w:val="009A5479"/>
    <w:rsid w:val="009A69C4"/>
    <w:rsid w:val="009B19E1"/>
    <w:rsid w:val="009B4809"/>
    <w:rsid w:val="009B6597"/>
    <w:rsid w:val="009B7981"/>
    <w:rsid w:val="009C1570"/>
    <w:rsid w:val="009C1CC2"/>
    <w:rsid w:val="009C2562"/>
    <w:rsid w:val="009C2687"/>
    <w:rsid w:val="009C3CB7"/>
    <w:rsid w:val="009C5976"/>
    <w:rsid w:val="009D0821"/>
    <w:rsid w:val="009D340D"/>
    <w:rsid w:val="009D4D70"/>
    <w:rsid w:val="009D643B"/>
    <w:rsid w:val="009D70C4"/>
    <w:rsid w:val="009E1B61"/>
    <w:rsid w:val="009E250F"/>
    <w:rsid w:val="009E2ED1"/>
    <w:rsid w:val="009E5B5F"/>
    <w:rsid w:val="009E70D5"/>
    <w:rsid w:val="009E7213"/>
    <w:rsid w:val="009F1CA1"/>
    <w:rsid w:val="009F3AB6"/>
    <w:rsid w:val="009F4041"/>
    <w:rsid w:val="00A01FFB"/>
    <w:rsid w:val="00A02F77"/>
    <w:rsid w:val="00A033B6"/>
    <w:rsid w:val="00A04854"/>
    <w:rsid w:val="00A058B3"/>
    <w:rsid w:val="00A07786"/>
    <w:rsid w:val="00A10F22"/>
    <w:rsid w:val="00A1191F"/>
    <w:rsid w:val="00A12C59"/>
    <w:rsid w:val="00A13C7B"/>
    <w:rsid w:val="00A1589E"/>
    <w:rsid w:val="00A16DB2"/>
    <w:rsid w:val="00A1787E"/>
    <w:rsid w:val="00A20925"/>
    <w:rsid w:val="00A22FD8"/>
    <w:rsid w:val="00A238E4"/>
    <w:rsid w:val="00A24910"/>
    <w:rsid w:val="00A253DE"/>
    <w:rsid w:val="00A25F31"/>
    <w:rsid w:val="00A26F88"/>
    <w:rsid w:val="00A276A1"/>
    <w:rsid w:val="00A32796"/>
    <w:rsid w:val="00A32DAD"/>
    <w:rsid w:val="00A33FE1"/>
    <w:rsid w:val="00A351A0"/>
    <w:rsid w:val="00A40679"/>
    <w:rsid w:val="00A4406D"/>
    <w:rsid w:val="00A4428A"/>
    <w:rsid w:val="00A443A3"/>
    <w:rsid w:val="00A4487A"/>
    <w:rsid w:val="00A45C7F"/>
    <w:rsid w:val="00A462C8"/>
    <w:rsid w:val="00A545B3"/>
    <w:rsid w:val="00A55B3E"/>
    <w:rsid w:val="00A60D1F"/>
    <w:rsid w:val="00A65C31"/>
    <w:rsid w:val="00A665F0"/>
    <w:rsid w:val="00A678CB"/>
    <w:rsid w:val="00A70799"/>
    <w:rsid w:val="00A77398"/>
    <w:rsid w:val="00A774DB"/>
    <w:rsid w:val="00A775D3"/>
    <w:rsid w:val="00A80A2B"/>
    <w:rsid w:val="00A816BE"/>
    <w:rsid w:val="00A837B9"/>
    <w:rsid w:val="00A846A0"/>
    <w:rsid w:val="00A876FE"/>
    <w:rsid w:val="00A92491"/>
    <w:rsid w:val="00A92C7C"/>
    <w:rsid w:val="00A93CEF"/>
    <w:rsid w:val="00A93D34"/>
    <w:rsid w:val="00A94A61"/>
    <w:rsid w:val="00A97D88"/>
    <w:rsid w:val="00AA3499"/>
    <w:rsid w:val="00AA47B6"/>
    <w:rsid w:val="00AA4C43"/>
    <w:rsid w:val="00AA5E80"/>
    <w:rsid w:val="00AA6D33"/>
    <w:rsid w:val="00AA6EDC"/>
    <w:rsid w:val="00AB2645"/>
    <w:rsid w:val="00AB4DF3"/>
    <w:rsid w:val="00AB624F"/>
    <w:rsid w:val="00AC0BDB"/>
    <w:rsid w:val="00AC792D"/>
    <w:rsid w:val="00AD06E2"/>
    <w:rsid w:val="00AD4806"/>
    <w:rsid w:val="00AD4824"/>
    <w:rsid w:val="00AD63ED"/>
    <w:rsid w:val="00AE12CA"/>
    <w:rsid w:val="00AE3530"/>
    <w:rsid w:val="00AE393D"/>
    <w:rsid w:val="00AF07DD"/>
    <w:rsid w:val="00AF4E0F"/>
    <w:rsid w:val="00AF6C4A"/>
    <w:rsid w:val="00B00591"/>
    <w:rsid w:val="00B05E74"/>
    <w:rsid w:val="00B066EF"/>
    <w:rsid w:val="00B10B82"/>
    <w:rsid w:val="00B11151"/>
    <w:rsid w:val="00B136E4"/>
    <w:rsid w:val="00B16912"/>
    <w:rsid w:val="00B23993"/>
    <w:rsid w:val="00B24E84"/>
    <w:rsid w:val="00B2650A"/>
    <w:rsid w:val="00B277FA"/>
    <w:rsid w:val="00B3001E"/>
    <w:rsid w:val="00B3200A"/>
    <w:rsid w:val="00B3211B"/>
    <w:rsid w:val="00B326A1"/>
    <w:rsid w:val="00B32FE8"/>
    <w:rsid w:val="00B335F3"/>
    <w:rsid w:val="00B347DE"/>
    <w:rsid w:val="00B4293F"/>
    <w:rsid w:val="00B43585"/>
    <w:rsid w:val="00B47A16"/>
    <w:rsid w:val="00B47D62"/>
    <w:rsid w:val="00B50933"/>
    <w:rsid w:val="00B52185"/>
    <w:rsid w:val="00B53363"/>
    <w:rsid w:val="00B54F9E"/>
    <w:rsid w:val="00B5699B"/>
    <w:rsid w:val="00B56C82"/>
    <w:rsid w:val="00B57C49"/>
    <w:rsid w:val="00B60E12"/>
    <w:rsid w:val="00B6128B"/>
    <w:rsid w:val="00B6644F"/>
    <w:rsid w:val="00B7679E"/>
    <w:rsid w:val="00B82358"/>
    <w:rsid w:val="00B84736"/>
    <w:rsid w:val="00B85776"/>
    <w:rsid w:val="00B85CE8"/>
    <w:rsid w:val="00B91632"/>
    <w:rsid w:val="00B91FA6"/>
    <w:rsid w:val="00B9516F"/>
    <w:rsid w:val="00B95ACC"/>
    <w:rsid w:val="00B96C1F"/>
    <w:rsid w:val="00BA3A65"/>
    <w:rsid w:val="00BA44BF"/>
    <w:rsid w:val="00BA4D02"/>
    <w:rsid w:val="00BA6A41"/>
    <w:rsid w:val="00BB3BFA"/>
    <w:rsid w:val="00BB3E6C"/>
    <w:rsid w:val="00BB5880"/>
    <w:rsid w:val="00BC498C"/>
    <w:rsid w:val="00BC53B2"/>
    <w:rsid w:val="00BC652F"/>
    <w:rsid w:val="00BC73F4"/>
    <w:rsid w:val="00BD1C17"/>
    <w:rsid w:val="00BD1D47"/>
    <w:rsid w:val="00BD4435"/>
    <w:rsid w:val="00BD4C13"/>
    <w:rsid w:val="00BE00CB"/>
    <w:rsid w:val="00BE5B51"/>
    <w:rsid w:val="00BE69EA"/>
    <w:rsid w:val="00BF09D8"/>
    <w:rsid w:val="00BF0EB7"/>
    <w:rsid w:val="00BF1996"/>
    <w:rsid w:val="00C025C4"/>
    <w:rsid w:val="00C05A8E"/>
    <w:rsid w:val="00C06213"/>
    <w:rsid w:val="00C06C33"/>
    <w:rsid w:val="00C075B5"/>
    <w:rsid w:val="00C11642"/>
    <w:rsid w:val="00C117C4"/>
    <w:rsid w:val="00C13DA1"/>
    <w:rsid w:val="00C16823"/>
    <w:rsid w:val="00C16F25"/>
    <w:rsid w:val="00C20DEF"/>
    <w:rsid w:val="00C226D3"/>
    <w:rsid w:val="00C249AE"/>
    <w:rsid w:val="00C261D5"/>
    <w:rsid w:val="00C2649B"/>
    <w:rsid w:val="00C265FE"/>
    <w:rsid w:val="00C27091"/>
    <w:rsid w:val="00C30493"/>
    <w:rsid w:val="00C3181A"/>
    <w:rsid w:val="00C33EC7"/>
    <w:rsid w:val="00C35BDA"/>
    <w:rsid w:val="00C37B85"/>
    <w:rsid w:val="00C37E68"/>
    <w:rsid w:val="00C402CA"/>
    <w:rsid w:val="00C4035C"/>
    <w:rsid w:val="00C40A08"/>
    <w:rsid w:val="00C45C98"/>
    <w:rsid w:val="00C507FA"/>
    <w:rsid w:val="00C56739"/>
    <w:rsid w:val="00C60D17"/>
    <w:rsid w:val="00C635E9"/>
    <w:rsid w:val="00C70BFD"/>
    <w:rsid w:val="00C70C65"/>
    <w:rsid w:val="00C71229"/>
    <w:rsid w:val="00C71E10"/>
    <w:rsid w:val="00C77144"/>
    <w:rsid w:val="00C80AD9"/>
    <w:rsid w:val="00C85D89"/>
    <w:rsid w:val="00C8790D"/>
    <w:rsid w:val="00C87EF3"/>
    <w:rsid w:val="00C87F1E"/>
    <w:rsid w:val="00C92E0E"/>
    <w:rsid w:val="00C93983"/>
    <w:rsid w:val="00C93B98"/>
    <w:rsid w:val="00C948BD"/>
    <w:rsid w:val="00C94C7B"/>
    <w:rsid w:val="00C94EF9"/>
    <w:rsid w:val="00C95F67"/>
    <w:rsid w:val="00C96413"/>
    <w:rsid w:val="00C965C3"/>
    <w:rsid w:val="00C96D3E"/>
    <w:rsid w:val="00C97D36"/>
    <w:rsid w:val="00CA11C9"/>
    <w:rsid w:val="00CA20BB"/>
    <w:rsid w:val="00CA2F0A"/>
    <w:rsid w:val="00CA39FB"/>
    <w:rsid w:val="00CA4B6B"/>
    <w:rsid w:val="00CA6EFD"/>
    <w:rsid w:val="00CB21C2"/>
    <w:rsid w:val="00CB31E3"/>
    <w:rsid w:val="00CB7037"/>
    <w:rsid w:val="00CB728D"/>
    <w:rsid w:val="00CC0CF0"/>
    <w:rsid w:val="00CC2915"/>
    <w:rsid w:val="00CC3297"/>
    <w:rsid w:val="00CC4059"/>
    <w:rsid w:val="00CD0DD1"/>
    <w:rsid w:val="00CD16FF"/>
    <w:rsid w:val="00CD5AA5"/>
    <w:rsid w:val="00CD6486"/>
    <w:rsid w:val="00CD688B"/>
    <w:rsid w:val="00CD73C4"/>
    <w:rsid w:val="00CD7911"/>
    <w:rsid w:val="00CE0FB1"/>
    <w:rsid w:val="00CE3D45"/>
    <w:rsid w:val="00CE536D"/>
    <w:rsid w:val="00CE5D3A"/>
    <w:rsid w:val="00CE68C7"/>
    <w:rsid w:val="00CE7FD7"/>
    <w:rsid w:val="00CF03AC"/>
    <w:rsid w:val="00CF0AA0"/>
    <w:rsid w:val="00CF2BD6"/>
    <w:rsid w:val="00CF7368"/>
    <w:rsid w:val="00D0111C"/>
    <w:rsid w:val="00D06606"/>
    <w:rsid w:val="00D074DE"/>
    <w:rsid w:val="00D1163C"/>
    <w:rsid w:val="00D1171E"/>
    <w:rsid w:val="00D118EF"/>
    <w:rsid w:val="00D154A1"/>
    <w:rsid w:val="00D16CDF"/>
    <w:rsid w:val="00D170F7"/>
    <w:rsid w:val="00D177A4"/>
    <w:rsid w:val="00D21CEF"/>
    <w:rsid w:val="00D3082A"/>
    <w:rsid w:val="00D3522F"/>
    <w:rsid w:val="00D35E16"/>
    <w:rsid w:val="00D35FF9"/>
    <w:rsid w:val="00D36998"/>
    <w:rsid w:val="00D37379"/>
    <w:rsid w:val="00D40693"/>
    <w:rsid w:val="00D439AF"/>
    <w:rsid w:val="00D50E7E"/>
    <w:rsid w:val="00D511CC"/>
    <w:rsid w:val="00D5460F"/>
    <w:rsid w:val="00D573BA"/>
    <w:rsid w:val="00D57DF0"/>
    <w:rsid w:val="00D616FE"/>
    <w:rsid w:val="00D6260C"/>
    <w:rsid w:val="00D650AB"/>
    <w:rsid w:val="00D65415"/>
    <w:rsid w:val="00D704BE"/>
    <w:rsid w:val="00D71A9D"/>
    <w:rsid w:val="00D721C0"/>
    <w:rsid w:val="00D73E17"/>
    <w:rsid w:val="00D75128"/>
    <w:rsid w:val="00D76A04"/>
    <w:rsid w:val="00D80A7C"/>
    <w:rsid w:val="00D80DCC"/>
    <w:rsid w:val="00D81E0A"/>
    <w:rsid w:val="00D83D06"/>
    <w:rsid w:val="00D842E4"/>
    <w:rsid w:val="00D8562B"/>
    <w:rsid w:val="00D90B14"/>
    <w:rsid w:val="00D90B6A"/>
    <w:rsid w:val="00D90EC5"/>
    <w:rsid w:val="00D929E5"/>
    <w:rsid w:val="00D92DB2"/>
    <w:rsid w:val="00D93D28"/>
    <w:rsid w:val="00D94AF6"/>
    <w:rsid w:val="00DA02E0"/>
    <w:rsid w:val="00DA1F32"/>
    <w:rsid w:val="00DA22B1"/>
    <w:rsid w:val="00DA2A84"/>
    <w:rsid w:val="00DA390B"/>
    <w:rsid w:val="00DA3D21"/>
    <w:rsid w:val="00DA4A81"/>
    <w:rsid w:val="00DA5FDF"/>
    <w:rsid w:val="00DA67AF"/>
    <w:rsid w:val="00DB11C7"/>
    <w:rsid w:val="00DB1211"/>
    <w:rsid w:val="00DB3C66"/>
    <w:rsid w:val="00DB415C"/>
    <w:rsid w:val="00DB6316"/>
    <w:rsid w:val="00DC27D8"/>
    <w:rsid w:val="00DC371E"/>
    <w:rsid w:val="00DC3BF5"/>
    <w:rsid w:val="00DC5E05"/>
    <w:rsid w:val="00DC7289"/>
    <w:rsid w:val="00DC783B"/>
    <w:rsid w:val="00DD0029"/>
    <w:rsid w:val="00DD0E19"/>
    <w:rsid w:val="00DD1219"/>
    <w:rsid w:val="00DD1931"/>
    <w:rsid w:val="00DD6F13"/>
    <w:rsid w:val="00DE2EE2"/>
    <w:rsid w:val="00DE3AB0"/>
    <w:rsid w:val="00DE59A2"/>
    <w:rsid w:val="00DF195A"/>
    <w:rsid w:val="00DF4EA1"/>
    <w:rsid w:val="00DF6636"/>
    <w:rsid w:val="00DF7774"/>
    <w:rsid w:val="00DF7AA3"/>
    <w:rsid w:val="00E05E93"/>
    <w:rsid w:val="00E06F41"/>
    <w:rsid w:val="00E137ED"/>
    <w:rsid w:val="00E13EB3"/>
    <w:rsid w:val="00E14061"/>
    <w:rsid w:val="00E14B94"/>
    <w:rsid w:val="00E1743A"/>
    <w:rsid w:val="00E21430"/>
    <w:rsid w:val="00E22772"/>
    <w:rsid w:val="00E22E65"/>
    <w:rsid w:val="00E24758"/>
    <w:rsid w:val="00E24BEA"/>
    <w:rsid w:val="00E30DEF"/>
    <w:rsid w:val="00E3202B"/>
    <w:rsid w:val="00E35B60"/>
    <w:rsid w:val="00E3722D"/>
    <w:rsid w:val="00E40DBA"/>
    <w:rsid w:val="00E41278"/>
    <w:rsid w:val="00E4372B"/>
    <w:rsid w:val="00E459CD"/>
    <w:rsid w:val="00E45D3A"/>
    <w:rsid w:val="00E4673A"/>
    <w:rsid w:val="00E54AE9"/>
    <w:rsid w:val="00E54DB1"/>
    <w:rsid w:val="00E5514E"/>
    <w:rsid w:val="00E55C30"/>
    <w:rsid w:val="00E600C1"/>
    <w:rsid w:val="00E60895"/>
    <w:rsid w:val="00E610E6"/>
    <w:rsid w:val="00E61138"/>
    <w:rsid w:val="00E61BEA"/>
    <w:rsid w:val="00E62D8B"/>
    <w:rsid w:val="00E639DA"/>
    <w:rsid w:val="00E64A89"/>
    <w:rsid w:val="00E75A56"/>
    <w:rsid w:val="00E75AAE"/>
    <w:rsid w:val="00E763BB"/>
    <w:rsid w:val="00E765E7"/>
    <w:rsid w:val="00E76BDF"/>
    <w:rsid w:val="00E81CED"/>
    <w:rsid w:val="00E82B16"/>
    <w:rsid w:val="00E84913"/>
    <w:rsid w:val="00E86097"/>
    <w:rsid w:val="00E9388D"/>
    <w:rsid w:val="00E94832"/>
    <w:rsid w:val="00E972A5"/>
    <w:rsid w:val="00E977B5"/>
    <w:rsid w:val="00E97F69"/>
    <w:rsid w:val="00EA1560"/>
    <w:rsid w:val="00EA20F1"/>
    <w:rsid w:val="00EA49BE"/>
    <w:rsid w:val="00EB3456"/>
    <w:rsid w:val="00EB3BB1"/>
    <w:rsid w:val="00EB7FAB"/>
    <w:rsid w:val="00EC093D"/>
    <w:rsid w:val="00EC2716"/>
    <w:rsid w:val="00EC4277"/>
    <w:rsid w:val="00EC43B4"/>
    <w:rsid w:val="00EC444C"/>
    <w:rsid w:val="00EC4E43"/>
    <w:rsid w:val="00EC596A"/>
    <w:rsid w:val="00EC65D8"/>
    <w:rsid w:val="00ED1345"/>
    <w:rsid w:val="00ED7613"/>
    <w:rsid w:val="00EE04BF"/>
    <w:rsid w:val="00EE3D7A"/>
    <w:rsid w:val="00EE5B22"/>
    <w:rsid w:val="00EF0FB8"/>
    <w:rsid w:val="00EF16BF"/>
    <w:rsid w:val="00EF3E3F"/>
    <w:rsid w:val="00F03EF2"/>
    <w:rsid w:val="00F04A6C"/>
    <w:rsid w:val="00F0598E"/>
    <w:rsid w:val="00F05B14"/>
    <w:rsid w:val="00F061A7"/>
    <w:rsid w:val="00F0777D"/>
    <w:rsid w:val="00F11255"/>
    <w:rsid w:val="00F11E80"/>
    <w:rsid w:val="00F134D7"/>
    <w:rsid w:val="00F146EC"/>
    <w:rsid w:val="00F15DDF"/>
    <w:rsid w:val="00F1626F"/>
    <w:rsid w:val="00F17A5A"/>
    <w:rsid w:val="00F21820"/>
    <w:rsid w:val="00F23688"/>
    <w:rsid w:val="00F23CDE"/>
    <w:rsid w:val="00F25241"/>
    <w:rsid w:val="00F25635"/>
    <w:rsid w:val="00F25D44"/>
    <w:rsid w:val="00F25E8B"/>
    <w:rsid w:val="00F261FB"/>
    <w:rsid w:val="00F35965"/>
    <w:rsid w:val="00F42C77"/>
    <w:rsid w:val="00F43CEC"/>
    <w:rsid w:val="00F46D26"/>
    <w:rsid w:val="00F471BB"/>
    <w:rsid w:val="00F472BA"/>
    <w:rsid w:val="00F51641"/>
    <w:rsid w:val="00F52D0A"/>
    <w:rsid w:val="00F54066"/>
    <w:rsid w:val="00F56491"/>
    <w:rsid w:val="00F57766"/>
    <w:rsid w:val="00F60393"/>
    <w:rsid w:val="00F61F4C"/>
    <w:rsid w:val="00F66DDF"/>
    <w:rsid w:val="00F74CFF"/>
    <w:rsid w:val="00F80853"/>
    <w:rsid w:val="00F81D53"/>
    <w:rsid w:val="00F831D6"/>
    <w:rsid w:val="00F8659F"/>
    <w:rsid w:val="00F87E69"/>
    <w:rsid w:val="00F90336"/>
    <w:rsid w:val="00F920CE"/>
    <w:rsid w:val="00F926EA"/>
    <w:rsid w:val="00F92B72"/>
    <w:rsid w:val="00F94540"/>
    <w:rsid w:val="00F96B61"/>
    <w:rsid w:val="00FA1873"/>
    <w:rsid w:val="00FA487D"/>
    <w:rsid w:val="00FB3B9A"/>
    <w:rsid w:val="00FC0AAC"/>
    <w:rsid w:val="00FC5515"/>
    <w:rsid w:val="00FC63E0"/>
    <w:rsid w:val="00FC6AD4"/>
    <w:rsid w:val="00FC7EC8"/>
    <w:rsid w:val="00FD051F"/>
    <w:rsid w:val="00FD0D9D"/>
    <w:rsid w:val="00FD0E42"/>
    <w:rsid w:val="00FD21C0"/>
    <w:rsid w:val="00FD2A32"/>
    <w:rsid w:val="00FD7B33"/>
    <w:rsid w:val="00FE05A1"/>
    <w:rsid w:val="00FE0706"/>
    <w:rsid w:val="00FE0AAA"/>
    <w:rsid w:val="00FE387D"/>
    <w:rsid w:val="00FE5299"/>
    <w:rsid w:val="00FE5846"/>
    <w:rsid w:val="00FE6441"/>
    <w:rsid w:val="00FF0E52"/>
    <w:rsid w:val="00FF25B4"/>
    <w:rsid w:val="00FF3BE0"/>
    <w:rsid w:val="00FF55F6"/>
    <w:rsid w:val="00FF56C2"/>
    <w:rsid w:val="00FF6785"/>
    <w:rsid w:val="00FF6D87"/>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6DB5F"/>
  <w15:chartTrackingRefBased/>
  <w15:docId w15:val="{305A682B-0D94-4CA9-837C-8FE9F47D3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14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07DD"/>
    <w:pPr>
      <w:ind w:left="720"/>
      <w:contextualSpacing/>
    </w:pPr>
  </w:style>
  <w:style w:type="paragraph" w:styleId="Header">
    <w:name w:val="header"/>
    <w:basedOn w:val="Normal"/>
    <w:link w:val="HeaderChar"/>
    <w:uiPriority w:val="99"/>
    <w:unhideWhenUsed/>
    <w:rsid w:val="00B05E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5E74"/>
  </w:style>
  <w:style w:type="paragraph" w:styleId="Footer">
    <w:name w:val="footer"/>
    <w:basedOn w:val="Normal"/>
    <w:link w:val="FooterChar"/>
    <w:uiPriority w:val="99"/>
    <w:unhideWhenUsed/>
    <w:rsid w:val="00B05E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5E74"/>
  </w:style>
  <w:style w:type="paragraph" w:styleId="NormalWeb">
    <w:name w:val="Normal (Web)"/>
    <w:basedOn w:val="Normal"/>
    <w:uiPriority w:val="99"/>
    <w:semiHidden/>
    <w:unhideWhenUsed/>
    <w:rsid w:val="003D1E8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34BCA"/>
    <w:rPr>
      <w:color w:val="0563C1" w:themeColor="hyperlink"/>
      <w:u w:val="single"/>
    </w:rPr>
  </w:style>
  <w:style w:type="character" w:styleId="UnresolvedMention">
    <w:name w:val="Unresolved Mention"/>
    <w:basedOn w:val="DefaultParagraphFont"/>
    <w:uiPriority w:val="99"/>
    <w:semiHidden/>
    <w:unhideWhenUsed/>
    <w:rsid w:val="00934BCA"/>
    <w:rPr>
      <w:color w:val="605E5C"/>
      <w:shd w:val="clear" w:color="auto" w:fill="E1DFDD"/>
    </w:rPr>
  </w:style>
  <w:style w:type="paragraph" w:styleId="FootnoteText">
    <w:name w:val="footnote text"/>
    <w:basedOn w:val="Normal"/>
    <w:link w:val="FootnoteTextChar"/>
    <w:uiPriority w:val="99"/>
    <w:semiHidden/>
    <w:unhideWhenUsed/>
    <w:rsid w:val="001C10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1066"/>
    <w:rPr>
      <w:sz w:val="20"/>
      <w:szCs w:val="20"/>
    </w:rPr>
  </w:style>
  <w:style w:type="character" w:styleId="FootnoteReference">
    <w:name w:val="footnote reference"/>
    <w:basedOn w:val="DefaultParagraphFont"/>
    <w:uiPriority w:val="99"/>
    <w:semiHidden/>
    <w:unhideWhenUsed/>
    <w:rsid w:val="001C1066"/>
    <w:rPr>
      <w:vertAlign w:val="superscript"/>
    </w:rPr>
  </w:style>
  <w:style w:type="paragraph" w:styleId="Revision">
    <w:name w:val="Revision"/>
    <w:hidden/>
    <w:uiPriority w:val="99"/>
    <w:semiHidden/>
    <w:rsid w:val="001C1066"/>
    <w:pPr>
      <w:spacing w:after="0" w:line="240" w:lineRule="auto"/>
    </w:pPr>
  </w:style>
  <w:style w:type="paragraph" w:styleId="Bibliography">
    <w:name w:val="Bibliography"/>
    <w:basedOn w:val="Normal"/>
    <w:next w:val="Normal"/>
    <w:uiPriority w:val="37"/>
    <w:unhideWhenUsed/>
    <w:rsid w:val="00D92DB2"/>
    <w:rPr>
      <w:lang w:bidi="ar-SA"/>
    </w:rPr>
  </w:style>
  <w:style w:type="paragraph" w:styleId="BodyText">
    <w:name w:val="Body Text"/>
    <w:basedOn w:val="Normal"/>
    <w:link w:val="BodyTextChar"/>
    <w:uiPriority w:val="1"/>
    <w:qFormat/>
    <w:rsid w:val="00BD1C17"/>
    <w:pPr>
      <w:autoSpaceDE w:val="0"/>
      <w:autoSpaceDN w:val="0"/>
      <w:adjustRightInd w:val="0"/>
      <w:spacing w:after="0" w:line="240" w:lineRule="auto"/>
    </w:pPr>
    <w:rPr>
      <w:rFonts w:ascii="Euclid" w:hAnsi="Euclid" w:cs="Euclid"/>
      <w:sz w:val="20"/>
      <w:szCs w:val="20"/>
    </w:rPr>
  </w:style>
  <w:style w:type="character" w:customStyle="1" w:styleId="BodyTextChar">
    <w:name w:val="Body Text Char"/>
    <w:basedOn w:val="DefaultParagraphFont"/>
    <w:link w:val="BodyText"/>
    <w:uiPriority w:val="1"/>
    <w:rsid w:val="00BD1C17"/>
    <w:rPr>
      <w:rFonts w:ascii="Euclid" w:hAnsi="Euclid" w:cs="Euclid"/>
      <w:sz w:val="20"/>
      <w:szCs w:val="20"/>
    </w:rPr>
  </w:style>
  <w:style w:type="paragraph" w:customStyle="1" w:styleId="TableParagraph">
    <w:name w:val="Table Paragraph"/>
    <w:basedOn w:val="Normal"/>
    <w:uiPriority w:val="1"/>
    <w:qFormat/>
    <w:rsid w:val="00BD1C17"/>
    <w:pPr>
      <w:autoSpaceDE w:val="0"/>
      <w:autoSpaceDN w:val="0"/>
      <w:adjustRightInd w:val="0"/>
      <w:spacing w:after="0" w:line="240" w:lineRule="auto"/>
      <w:jc w:val="center"/>
    </w:pPr>
    <w:rPr>
      <w:rFonts w:ascii="Euclid" w:hAnsi="Euclid" w:cs="Euclid"/>
      <w:sz w:val="24"/>
      <w:szCs w:val="24"/>
    </w:rPr>
  </w:style>
  <w:style w:type="paragraph" w:styleId="EndnoteText">
    <w:name w:val="endnote text"/>
    <w:basedOn w:val="Normal"/>
    <w:link w:val="EndnoteTextChar"/>
    <w:uiPriority w:val="99"/>
    <w:semiHidden/>
    <w:unhideWhenUsed/>
    <w:rsid w:val="00B239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23993"/>
    <w:rPr>
      <w:sz w:val="20"/>
      <w:szCs w:val="20"/>
    </w:rPr>
  </w:style>
  <w:style w:type="character" w:styleId="EndnoteReference">
    <w:name w:val="endnote reference"/>
    <w:basedOn w:val="DefaultParagraphFont"/>
    <w:uiPriority w:val="99"/>
    <w:semiHidden/>
    <w:unhideWhenUsed/>
    <w:rsid w:val="00B2399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570575">
      <w:bodyDiv w:val="1"/>
      <w:marLeft w:val="0"/>
      <w:marRight w:val="0"/>
      <w:marTop w:val="0"/>
      <w:marBottom w:val="0"/>
      <w:divBdr>
        <w:top w:val="none" w:sz="0" w:space="0" w:color="auto"/>
        <w:left w:val="none" w:sz="0" w:space="0" w:color="auto"/>
        <w:bottom w:val="none" w:sz="0" w:space="0" w:color="auto"/>
        <w:right w:val="none" w:sz="0" w:space="0" w:color="auto"/>
      </w:divBdr>
      <w:divsChild>
        <w:div w:id="1730497516">
          <w:marLeft w:val="360"/>
          <w:marRight w:val="0"/>
          <w:marTop w:val="200"/>
          <w:marBottom w:val="0"/>
          <w:divBdr>
            <w:top w:val="none" w:sz="0" w:space="0" w:color="auto"/>
            <w:left w:val="none" w:sz="0" w:space="0" w:color="auto"/>
            <w:bottom w:val="none" w:sz="0" w:space="0" w:color="auto"/>
            <w:right w:val="none" w:sz="0" w:space="0" w:color="auto"/>
          </w:divBdr>
        </w:div>
        <w:div w:id="1278440917">
          <w:marLeft w:val="360"/>
          <w:marRight w:val="0"/>
          <w:marTop w:val="200"/>
          <w:marBottom w:val="0"/>
          <w:divBdr>
            <w:top w:val="none" w:sz="0" w:space="0" w:color="auto"/>
            <w:left w:val="none" w:sz="0" w:space="0" w:color="auto"/>
            <w:bottom w:val="none" w:sz="0" w:space="0" w:color="auto"/>
            <w:right w:val="none" w:sz="0" w:space="0" w:color="auto"/>
          </w:divBdr>
        </w:div>
      </w:divsChild>
    </w:div>
    <w:div w:id="134764495">
      <w:bodyDiv w:val="1"/>
      <w:marLeft w:val="0"/>
      <w:marRight w:val="0"/>
      <w:marTop w:val="0"/>
      <w:marBottom w:val="0"/>
      <w:divBdr>
        <w:top w:val="none" w:sz="0" w:space="0" w:color="auto"/>
        <w:left w:val="none" w:sz="0" w:space="0" w:color="auto"/>
        <w:bottom w:val="none" w:sz="0" w:space="0" w:color="auto"/>
        <w:right w:val="none" w:sz="0" w:space="0" w:color="auto"/>
      </w:divBdr>
    </w:div>
    <w:div w:id="140656557">
      <w:bodyDiv w:val="1"/>
      <w:marLeft w:val="0"/>
      <w:marRight w:val="0"/>
      <w:marTop w:val="0"/>
      <w:marBottom w:val="0"/>
      <w:divBdr>
        <w:top w:val="none" w:sz="0" w:space="0" w:color="auto"/>
        <w:left w:val="none" w:sz="0" w:space="0" w:color="auto"/>
        <w:bottom w:val="none" w:sz="0" w:space="0" w:color="auto"/>
        <w:right w:val="none" w:sz="0" w:space="0" w:color="auto"/>
      </w:divBdr>
    </w:div>
    <w:div w:id="605770302">
      <w:bodyDiv w:val="1"/>
      <w:marLeft w:val="0"/>
      <w:marRight w:val="0"/>
      <w:marTop w:val="0"/>
      <w:marBottom w:val="0"/>
      <w:divBdr>
        <w:top w:val="none" w:sz="0" w:space="0" w:color="auto"/>
        <w:left w:val="none" w:sz="0" w:space="0" w:color="auto"/>
        <w:bottom w:val="none" w:sz="0" w:space="0" w:color="auto"/>
        <w:right w:val="none" w:sz="0" w:space="0" w:color="auto"/>
      </w:divBdr>
    </w:div>
    <w:div w:id="935480405">
      <w:bodyDiv w:val="1"/>
      <w:marLeft w:val="0"/>
      <w:marRight w:val="0"/>
      <w:marTop w:val="0"/>
      <w:marBottom w:val="0"/>
      <w:divBdr>
        <w:top w:val="none" w:sz="0" w:space="0" w:color="auto"/>
        <w:left w:val="none" w:sz="0" w:space="0" w:color="auto"/>
        <w:bottom w:val="none" w:sz="0" w:space="0" w:color="auto"/>
        <w:right w:val="none" w:sz="0" w:space="0" w:color="auto"/>
      </w:divBdr>
    </w:div>
    <w:div w:id="953557642">
      <w:bodyDiv w:val="1"/>
      <w:marLeft w:val="0"/>
      <w:marRight w:val="0"/>
      <w:marTop w:val="0"/>
      <w:marBottom w:val="0"/>
      <w:divBdr>
        <w:top w:val="none" w:sz="0" w:space="0" w:color="auto"/>
        <w:left w:val="none" w:sz="0" w:space="0" w:color="auto"/>
        <w:bottom w:val="none" w:sz="0" w:space="0" w:color="auto"/>
        <w:right w:val="none" w:sz="0" w:space="0" w:color="auto"/>
      </w:divBdr>
      <w:divsChild>
        <w:div w:id="1016880112">
          <w:marLeft w:val="706"/>
          <w:marRight w:val="0"/>
          <w:marTop w:val="100"/>
          <w:marBottom w:val="0"/>
          <w:divBdr>
            <w:top w:val="none" w:sz="0" w:space="0" w:color="auto"/>
            <w:left w:val="none" w:sz="0" w:space="0" w:color="auto"/>
            <w:bottom w:val="none" w:sz="0" w:space="0" w:color="auto"/>
            <w:right w:val="none" w:sz="0" w:space="0" w:color="auto"/>
          </w:divBdr>
        </w:div>
      </w:divsChild>
    </w:div>
    <w:div w:id="976646276">
      <w:bodyDiv w:val="1"/>
      <w:marLeft w:val="0"/>
      <w:marRight w:val="0"/>
      <w:marTop w:val="0"/>
      <w:marBottom w:val="0"/>
      <w:divBdr>
        <w:top w:val="none" w:sz="0" w:space="0" w:color="auto"/>
        <w:left w:val="none" w:sz="0" w:space="0" w:color="auto"/>
        <w:bottom w:val="none" w:sz="0" w:space="0" w:color="auto"/>
        <w:right w:val="none" w:sz="0" w:space="0" w:color="auto"/>
      </w:divBdr>
    </w:div>
    <w:div w:id="1082338648">
      <w:bodyDiv w:val="1"/>
      <w:marLeft w:val="0"/>
      <w:marRight w:val="0"/>
      <w:marTop w:val="0"/>
      <w:marBottom w:val="0"/>
      <w:divBdr>
        <w:top w:val="none" w:sz="0" w:space="0" w:color="auto"/>
        <w:left w:val="none" w:sz="0" w:space="0" w:color="auto"/>
        <w:bottom w:val="none" w:sz="0" w:space="0" w:color="auto"/>
        <w:right w:val="none" w:sz="0" w:space="0" w:color="auto"/>
      </w:divBdr>
      <w:divsChild>
        <w:div w:id="678776542">
          <w:marLeft w:val="360"/>
          <w:marRight w:val="0"/>
          <w:marTop w:val="200"/>
          <w:marBottom w:val="0"/>
          <w:divBdr>
            <w:top w:val="none" w:sz="0" w:space="0" w:color="auto"/>
            <w:left w:val="none" w:sz="0" w:space="0" w:color="auto"/>
            <w:bottom w:val="none" w:sz="0" w:space="0" w:color="auto"/>
            <w:right w:val="none" w:sz="0" w:space="0" w:color="auto"/>
          </w:divBdr>
        </w:div>
        <w:div w:id="1841580662">
          <w:marLeft w:val="360"/>
          <w:marRight w:val="0"/>
          <w:marTop w:val="200"/>
          <w:marBottom w:val="0"/>
          <w:divBdr>
            <w:top w:val="none" w:sz="0" w:space="0" w:color="auto"/>
            <w:left w:val="none" w:sz="0" w:space="0" w:color="auto"/>
            <w:bottom w:val="none" w:sz="0" w:space="0" w:color="auto"/>
            <w:right w:val="none" w:sz="0" w:space="0" w:color="auto"/>
          </w:divBdr>
        </w:div>
        <w:div w:id="1349260100">
          <w:marLeft w:val="360"/>
          <w:marRight w:val="0"/>
          <w:marTop w:val="200"/>
          <w:marBottom w:val="0"/>
          <w:divBdr>
            <w:top w:val="none" w:sz="0" w:space="0" w:color="auto"/>
            <w:left w:val="none" w:sz="0" w:space="0" w:color="auto"/>
            <w:bottom w:val="none" w:sz="0" w:space="0" w:color="auto"/>
            <w:right w:val="none" w:sz="0" w:space="0" w:color="auto"/>
          </w:divBdr>
        </w:div>
        <w:div w:id="500316732">
          <w:marLeft w:val="360"/>
          <w:marRight w:val="0"/>
          <w:marTop w:val="200"/>
          <w:marBottom w:val="0"/>
          <w:divBdr>
            <w:top w:val="none" w:sz="0" w:space="0" w:color="auto"/>
            <w:left w:val="none" w:sz="0" w:space="0" w:color="auto"/>
            <w:bottom w:val="none" w:sz="0" w:space="0" w:color="auto"/>
            <w:right w:val="none" w:sz="0" w:space="0" w:color="auto"/>
          </w:divBdr>
        </w:div>
        <w:div w:id="1782991532">
          <w:marLeft w:val="360"/>
          <w:marRight w:val="0"/>
          <w:marTop w:val="200"/>
          <w:marBottom w:val="0"/>
          <w:divBdr>
            <w:top w:val="none" w:sz="0" w:space="0" w:color="auto"/>
            <w:left w:val="none" w:sz="0" w:space="0" w:color="auto"/>
            <w:bottom w:val="none" w:sz="0" w:space="0" w:color="auto"/>
            <w:right w:val="none" w:sz="0" w:space="0" w:color="auto"/>
          </w:divBdr>
        </w:div>
      </w:divsChild>
    </w:div>
    <w:div w:id="1122042639">
      <w:bodyDiv w:val="1"/>
      <w:marLeft w:val="0"/>
      <w:marRight w:val="0"/>
      <w:marTop w:val="0"/>
      <w:marBottom w:val="0"/>
      <w:divBdr>
        <w:top w:val="none" w:sz="0" w:space="0" w:color="auto"/>
        <w:left w:val="none" w:sz="0" w:space="0" w:color="auto"/>
        <w:bottom w:val="none" w:sz="0" w:space="0" w:color="auto"/>
        <w:right w:val="none" w:sz="0" w:space="0" w:color="auto"/>
      </w:divBdr>
    </w:div>
    <w:div w:id="1825661351">
      <w:bodyDiv w:val="1"/>
      <w:marLeft w:val="0"/>
      <w:marRight w:val="0"/>
      <w:marTop w:val="0"/>
      <w:marBottom w:val="0"/>
      <w:divBdr>
        <w:top w:val="none" w:sz="0" w:space="0" w:color="auto"/>
        <w:left w:val="none" w:sz="0" w:space="0" w:color="auto"/>
        <w:bottom w:val="none" w:sz="0" w:space="0" w:color="auto"/>
        <w:right w:val="none" w:sz="0" w:space="0" w:color="auto"/>
      </w:divBdr>
      <w:divsChild>
        <w:div w:id="262422115">
          <w:marLeft w:val="360"/>
          <w:marRight w:val="0"/>
          <w:marTop w:val="200"/>
          <w:marBottom w:val="0"/>
          <w:divBdr>
            <w:top w:val="none" w:sz="0" w:space="0" w:color="auto"/>
            <w:left w:val="none" w:sz="0" w:space="0" w:color="auto"/>
            <w:bottom w:val="none" w:sz="0" w:space="0" w:color="auto"/>
            <w:right w:val="none" w:sz="0" w:space="0" w:color="auto"/>
          </w:divBdr>
        </w:div>
        <w:div w:id="740520735">
          <w:marLeft w:val="360"/>
          <w:marRight w:val="0"/>
          <w:marTop w:val="200"/>
          <w:marBottom w:val="0"/>
          <w:divBdr>
            <w:top w:val="none" w:sz="0" w:space="0" w:color="auto"/>
            <w:left w:val="none" w:sz="0" w:space="0" w:color="auto"/>
            <w:bottom w:val="none" w:sz="0" w:space="0" w:color="auto"/>
            <w:right w:val="none" w:sz="0" w:space="0" w:color="auto"/>
          </w:divBdr>
        </w:div>
        <w:div w:id="99880334">
          <w:marLeft w:val="360"/>
          <w:marRight w:val="0"/>
          <w:marTop w:val="200"/>
          <w:marBottom w:val="0"/>
          <w:divBdr>
            <w:top w:val="none" w:sz="0" w:space="0" w:color="auto"/>
            <w:left w:val="none" w:sz="0" w:space="0" w:color="auto"/>
            <w:bottom w:val="none" w:sz="0" w:space="0" w:color="auto"/>
            <w:right w:val="none" w:sz="0" w:space="0" w:color="auto"/>
          </w:divBdr>
        </w:div>
        <w:div w:id="257443040">
          <w:marLeft w:val="360"/>
          <w:marRight w:val="0"/>
          <w:marTop w:val="200"/>
          <w:marBottom w:val="0"/>
          <w:divBdr>
            <w:top w:val="none" w:sz="0" w:space="0" w:color="auto"/>
            <w:left w:val="none" w:sz="0" w:space="0" w:color="auto"/>
            <w:bottom w:val="none" w:sz="0" w:space="0" w:color="auto"/>
            <w:right w:val="none" w:sz="0" w:space="0" w:color="auto"/>
          </w:divBdr>
        </w:div>
        <w:div w:id="628048257">
          <w:marLeft w:val="360"/>
          <w:marRight w:val="0"/>
          <w:marTop w:val="200"/>
          <w:marBottom w:val="0"/>
          <w:divBdr>
            <w:top w:val="none" w:sz="0" w:space="0" w:color="auto"/>
            <w:left w:val="none" w:sz="0" w:space="0" w:color="auto"/>
            <w:bottom w:val="none" w:sz="0" w:space="0" w:color="auto"/>
            <w:right w:val="none" w:sz="0" w:space="0" w:color="auto"/>
          </w:divBdr>
        </w:div>
        <w:div w:id="1460949201">
          <w:marLeft w:val="1440"/>
          <w:marRight w:val="0"/>
          <w:marTop w:val="100"/>
          <w:marBottom w:val="0"/>
          <w:divBdr>
            <w:top w:val="none" w:sz="0" w:space="0" w:color="auto"/>
            <w:left w:val="none" w:sz="0" w:space="0" w:color="auto"/>
            <w:bottom w:val="none" w:sz="0" w:space="0" w:color="auto"/>
            <w:right w:val="none" w:sz="0" w:space="0" w:color="auto"/>
          </w:divBdr>
        </w:div>
        <w:div w:id="1172188160">
          <w:marLeft w:val="1440"/>
          <w:marRight w:val="0"/>
          <w:marTop w:val="100"/>
          <w:marBottom w:val="0"/>
          <w:divBdr>
            <w:top w:val="none" w:sz="0" w:space="0" w:color="auto"/>
            <w:left w:val="none" w:sz="0" w:space="0" w:color="auto"/>
            <w:bottom w:val="none" w:sz="0" w:space="0" w:color="auto"/>
            <w:right w:val="none" w:sz="0" w:space="0" w:color="auto"/>
          </w:divBdr>
        </w:div>
        <w:div w:id="1908105213">
          <w:marLeft w:val="1440"/>
          <w:marRight w:val="0"/>
          <w:marTop w:val="100"/>
          <w:marBottom w:val="0"/>
          <w:divBdr>
            <w:top w:val="none" w:sz="0" w:space="0" w:color="auto"/>
            <w:left w:val="none" w:sz="0" w:space="0" w:color="auto"/>
            <w:bottom w:val="none" w:sz="0" w:space="0" w:color="auto"/>
            <w:right w:val="none" w:sz="0" w:space="0" w:color="auto"/>
          </w:divBdr>
        </w:div>
        <w:div w:id="91095797">
          <w:marLeft w:val="1440"/>
          <w:marRight w:val="0"/>
          <w:marTop w:val="100"/>
          <w:marBottom w:val="0"/>
          <w:divBdr>
            <w:top w:val="none" w:sz="0" w:space="0" w:color="auto"/>
            <w:left w:val="none" w:sz="0" w:space="0" w:color="auto"/>
            <w:bottom w:val="none" w:sz="0" w:space="0" w:color="auto"/>
            <w:right w:val="none" w:sz="0" w:space="0" w:color="auto"/>
          </w:divBdr>
        </w:div>
      </w:divsChild>
    </w:div>
    <w:div w:id="1885678475">
      <w:bodyDiv w:val="1"/>
      <w:marLeft w:val="0"/>
      <w:marRight w:val="0"/>
      <w:marTop w:val="0"/>
      <w:marBottom w:val="0"/>
      <w:divBdr>
        <w:top w:val="none" w:sz="0" w:space="0" w:color="auto"/>
        <w:left w:val="none" w:sz="0" w:space="0" w:color="auto"/>
        <w:bottom w:val="none" w:sz="0" w:space="0" w:color="auto"/>
        <w:right w:val="none" w:sz="0" w:space="0" w:color="auto"/>
      </w:divBdr>
    </w:div>
    <w:div w:id="2126579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holarship.law.cornell.edu/clr/vol101/iss1/1"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mailto:alcohen@law.harvard.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95CEC9-3EA6-4A07-BA49-9411C1734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7976</Words>
  <Characters>41321</Characters>
  <Application>Microsoft Office Word</Application>
  <DocSecurity>0</DocSecurity>
  <Lines>607</Lines>
  <Paragraphs>123</Paragraphs>
  <ScaleCrop>false</ScaleCrop>
  <HeadingPairs>
    <vt:vector size="2" baseType="variant">
      <vt:variant>
        <vt:lpstr>Title</vt:lpstr>
      </vt:variant>
      <vt:variant>
        <vt:i4>1</vt:i4>
      </vt:variant>
    </vt:vector>
  </HeadingPairs>
  <TitlesOfParts>
    <vt:vector size="1" baseType="lpstr">
      <vt:lpstr/>
    </vt:vector>
  </TitlesOfParts>
  <Company>HLS</Company>
  <LinksUpToDate>false</LinksUpToDate>
  <CharactersWithSpaces>49174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Lucian Bebchuk</dc:creator>
  <cp:keywords/>
  <dc:description/>
  <cp:lastModifiedBy>Susan</cp:lastModifiedBy>
  <cp:revision>2</cp:revision>
  <cp:lastPrinted>2023-01-22T15:47:00Z</cp:lastPrinted>
  <dcterms:created xsi:type="dcterms:W3CDTF">2023-02-05T16:37:00Z</dcterms:created>
  <dcterms:modified xsi:type="dcterms:W3CDTF">2023-02-05T16:37:00Z</dcterms:modified>
</cp:coreProperties>
</file>