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DC4FB" w14:textId="77777777" w:rsidR="00925137" w:rsidRDefault="00A41985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 xml:space="preserve">Statistics: Probability and Descriptive </w:t>
      </w:r>
      <w:r>
        <w:rPr>
          <w:color w:val="808285"/>
        </w:rPr>
        <w:t>Statistics</w:t>
      </w:r>
      <w:bookmarkEnd w:id="0"/>
      <w:bookmarkEnd w:id="1"/>
    </w:p>
    <w:p w14:paraId="00DDC505" w14:textId="77777777" w:rsidR="00925137" w:rsidRDefault="00925137">
      <w:pPr>
        <w:spacing w:after="579" w:line="1" w:lineRule="exact"/>
      </w:pPr>
    </w:p>
    <w:p w14:paraId="00DDC506" w14:textId="77777777" w:rsidR="00925137" w:rsidRDefault="00A41985">
      <w:pPr>
        <w:pStyle w:val="Heading20"/>
        <w:keepNext/>
        <w:keepLines/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0DDC507" w14:textId="77777777" w:rsidR="00925137" w:rsidRDefault="00A41985">
      <w:pPr>
        <w:pStyle w:val="BodyText"/>
        <w:pBdr>
          <w:bottom w:val="single" w:sz="4" w:space="0" w:color="auto"/>
        </w:pBdr>
        <w:shd w:val="clear" w:color="auto" w:fill="auto"/>
        <w:spacing w:after="140" w:line="293" w:lineRule="auto"/>
      </w:pPr>
      <w:r>
        <w:t xml:space="preserve">Statistical description and analysis are the foundations for data-driven </w:t>
      </w:r>
      <w:r>
        <w:t xml:space="preserve">analysis and prediction methods. This course introduces the fundamentals, beginning with a formal definition of probabilities and introduction to the concepts underlying Bayesian </w:t>
      </w:r>
      <w:proofErr w:type="spellStart"/>
      <w:proofErr w:type="gramStart"/>
      <w:r>
        <w:t>statistics.Random</w:t>
      </w:r>
      <w:proofErr w:type="spellEnd"/>
      <w:proofErr w:type="gramEnd"/>
      <w:r>
        <w:t xml:space="preserve"> variables and probability density distributions are then di</w:t>
      </w:r>
      <w:r>
        <w:t xml:space="preserve">scussed, as well as the concept of joint and marginal distributions. The importance of various discrete and continuous distributions and their applications is </w:t>
      </w:r>
      <w:proofErr w:type="spellStart"/>
      <w:proofErr w:type="gramStart"/>
      <w:r>
        <w:t>stressed.Characterizing</w:t>
      </w:r>
      <w:proofErr w:type="spellEnd"/>
      <w:proofErr w:type="gramEnd"/>
      <w:r>
        <w:t xml:space="preserve"> distributions is an important aspect of describing the behavior of probab</w:t>
      </w:r>
      <w:r>
        <w:t xml:space="preserve">ility distributions. Students are familiarized with expectation values, variance, and covariance. The concepts of algebraic and central moments and moment-generating functions complement the characterization of probability </w:t>
      </w:r>
      <w:proofErr w:type="spellStart"/>
      <w:proofErr w:type="gramStart"/>
      <w:r>
        <w:t>distributions.Finally</w:t>
      </w:r>
      <w:proofErr w:type="spellEnd"/>
      <w:proofErr w:type="gramEnd"/>
      <w:r>
        <w:t>, this cours</w:t>
      </w:r>
      <w:r>
        <w:t>e focuses on important inequalities and limit theorems such as the law of large numbers or the central limit theorem.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590"/>
        <w:gridCol w:w="8064"/>
      </w:tblGrid>
      <w:tr w:rsidR="00925137" w14:paraId="00DDC512" w14:textId="7777777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DDC510" w14:textId="77777777" w:rsidR="00925137" w:rsidRDefault="00A41985">
            <w:pPr>
              <w:pStyle w:val="Other0"/>
              <w:shd w:val="clear" w:color="auto" w:fill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</w:t>
            </w:r>
            <w:r>
              <w:rPr>
                <w:b/>
                <w:bCs/>
                <w:sz w:val="19"/>
                <w:szCs w:val="19"/>
              </w:rPr>
              <w:t>ontents</w:t>
            </w:r>
          </w:p>
        </w:tc>
        <w:tc>
          <w:tcPr>
            <w:tcW w:w="8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0DDC511" w14:textId="77777777" w:rsidR="00925137" w:rsidRDefault="00925137">
            <w:pPr>
              <w:rPr>
                <w:sz w:val="10"/>
                <w:szCs w:val="10"/>
              </w:rPr>
            </w:pPr>
          </w:p>
        </w:tc>
      </w:tr>
      <w:tr w:rsidR="00925137" w14:paraId="00DDC515" w14:textId="7777777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DDC513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1.</w:t>
            </w:r>
          </w:p>
        </w:tc>
        <w:tc>
          <w:tcPr>
            <w:tcW w:w="8654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14" w14:textId="77777777" w:rsidR="00925137" w:rsidRDefault="00A41985">
            <w:pPr>
              <w:pStyle w:val="Other0"/>
              <w:shd w:val="clear" w:color="auto" w:fill="auto"/>
              <w:ind w:firstLine="160"/>
            </w:pPr>
            <w:r>
              <w:t>Probability</w:t>
            </w:r>
          </w:p>
        </w:tc>
      </w:tr>
      <w:tr w:rsidR="00925137" w14:paraId="00DDC519" w14:textId="77777777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16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17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1.1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18" w14:textId="77777777" w:rsidR="00925137" w:rsidRDefault="00A41985">
            <w:pPr>
              <w:pStyle w:val="Other0"/>
              <w:shd w:val="clear" w:color="auto" w:fill="auto"/>
            </w:pPr>
            <w:r>
              <w:t>Definitions</w:t>
            </w:r>
          </w:p>
        </w:tc>
      </w:tr>
      <w:tr w:rsidR="00925137" w14:paraId="00DDC51D" w14:textId="77777777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1A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1B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1.2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1C" w14:textId="77777777" w:rsidR="00925137" w:rsidRDefault="00A41985">
            <w:pPr>
              <w:pStyle w:val="Other0"/>
              <w:shd w:val="clear" w:color="auto" w:fill="auto"/>
            </w:pPr>
            <w:r>
              <w:t>Independent events</w:t>
            </w:r>
          </w:p>
        </w:tc>
      </w:tr>
      <w:tr w:rsidR="00925137" w14:paraId="00DDC521" w14:textId="77777777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1E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1F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1.3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20" w14:textId="77777777" w:rsidR="00925137" w:rsidRDefault="00A41985">
            <w:pPr>
              <w:pStyle w:val="Other0"/>
              <w:shd w:val="clear" w:color="auto" w:fill="auto"/>
            </w:pPr>
            <w:r>
              <w:t>Conditional probability</w:t>
            </w:r>
          </w:p>
        </w:tc>
      </w:tr>
      <w:tr w:rsidR="00925137" w14:paraId="00DDC525" w14:textId="7777777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22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center"/>
          </w:tcPr>
          <w:p w14:paraId="00DDC523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1.4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DDC524" w14:textId="77777777" w:rsidR="00925137" w:rsidRDefault="00A41985">
            <w:pPr>
              <w:pStyle w:val="Other0"/>
              <w:shd w:val="clear" w:color="auto" w:fill="auto"/>
            </w:pPr>
            <w:r>
              <w:t>Bayesian statistics</w:t>
            </w:r>
          </w:p>
        </w:tc>
      </w:tr>
      <w:tr w:rsidR="00925137" w14:paraId="00DDC528" w14:textId="7777777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DDC526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2.</w:t>
            </w:r>
          </w:p>
        </w:tc>
        <w:tc>
          <w:tcPr>
            <w:tcW w:w="8654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27" w14:textId="77777777" w:rsidR="00925137" w:rsidRDefault="00A41985">
            <w:pPr>
              <w:pStyle w:val="Other0"/>
              <w:shd w:val="clear" w:color="auto" w:fill="auto"/>
              <w:ind w:firstLine="160"/>
            </w:pPr>
            <w:r>
              <w:t>Random Variables</w:t>
            </w:r>
          </w:p>
        </w:tc>
      </w:tr>
      <w:tr w:rsidR="00925137" w14:paraId="00DDC52C" w14:textId="77777777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29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2A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2.1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2B" w14:textId="77777777" w:rsidR="00925137" w:rsidRDefault="00A41985">
            <w:pPr>
              <w:pStyle w:val="Other0"/>
              <w:shd w:val="clear" w:color="auto" w:fill="auto"/>
            </w:pPr>
            <w:r>
              <w:t>Random Variables</w:t>
            </w:r>
          </w:p>
        </w:tc>
      </w:tr>
      <w:tr w:rsidR="00925137" w14:paraId="00DDC530" w14:textId="77777777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2D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2E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2.2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2F" w14:textId="77777777" w:rsidR="00925137" w:rsidRDefault="00A41985">
            <w:pPr>
              <w:pStyle w:val="Other0"/>
              <w:shd w:val="clear" w:color="auto" w:fill="auto"/>
            </w:pPr>
            <w:r>
              <w:t>Distribution functions and probability mass functions</w:t>
            </w:r>
          </w:p>
        </w:tc>
      </w:tr>
      <w:tr w:rsidR="00925137" w14:paraId="00DDC534" w14:textId="77777777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14:paraId="00DDC531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  <w:vAlign w:val="bottom"/>
          </w:tcPr>
          <w:p w14:paraId="00DDC532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2.3</w:t>
            </w:r>
          </w:p>
        </w:tc>
        <w:tc>
          <w:tcPr>
            <w:tcW w:w="8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DDC533" w14:textId="77777777" w:rsidR="00925137" w:rsidRDefault="00A41985">
            <w:pPr>
              <w:pStyle w:val="Other0"/>
              <w:shd w:val="clear" w:color="auto" w:fill="auto"/>
            </w:pPr>
            <w:r>
              <w:t xml:space="preserve">Important discrete </w:t>
            </w:r>
            <w:r>
              <w:t>probability distributions</w:t>
            </w:r>
          </w:p>
        </w:tc>
      </w:tr>
      <w:tr w:rsidR="00925137" w14:paraId="00DDC538" w14:textId="7777777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DC535" w14:textId="77777777" w:rsidR="00925137" w:rsidRDefault="00925137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DDC536" w14:textId="77777777" w:rsidR="00925137" w:rsidRDefault="00A41985">
            <w:pPr>
              <w:pStyle w:val="Other0"/>
              <w:shd w:val="clear" w:color="auto" w:fill="auto"/>
              <w:jc w:val="center"/>
            </w:pPr>
            <w:r>
              <w:t>2.4</w:t>
            </w:r>
          </w:p>
        </w:tc>
        <w:tc>
          <w:tcPr>
            <w:tcW w:w="8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DC537" w14:textId="77777777" w:rsidR="00925137" w:rsidRDefault="00A41985">
            <w:pPr>
              <w:pStyle w:val="Other0"/>
              <w:shd w:val="clear" w:color="auto" w:fill="auto"/>
            </w:pPr>
            <w:r>
              <w:t xml:space="preserve">Important </w:t>
            </w:r>
            <w:proofErr w:type="spellStart"/>
            <w:r>
              <w:t>continous</w:t>
            </w:r>
            <w:proofErr w:type="spellEnd"/>
            <w:r>
              <w:t xml:space="preserve"> probability distributions</w:t>
            </w:r>
          </w:p>
        </w:tc>
      </w:tr>
    </w:tbl>
    <w:p w14:paraId="00DDC539" w14:textId="77777777" w:rsidR="00925137" w:rsidRDefault="00A419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3"/>
        </w:tabs>
        <w:spacing w:after="60"/>
      </w:pPr>
      <w:r>
        <w:t>Joint Distributions</w:t>
      </w:r>
    </w:p>
    <w:p w14:paraId="00DDC53A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Joint distributions</w:t>
      </w:r>
    </w:p>
    <w:p w14:paraId="00DDC53B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Marginal distributions</w:t>
      </w:r>
    </w:p>
    <w:p w14:paraId="00DDC53C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Independent random variables</w:t>
      </w:r>
    </w:p>
    <w:p w14:paraId="00DDC53D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Conditional distributions</w:t>
      </w:r>
    </w:p>
    <w:p w14:paraId="00DDC53E" w14:textId="77777777" w:rsidR="00925137" w:rsidRDefault="00A419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3"/>
        </w:tabs>
        <w:spacing w:after="60"/>
      </w:pPr>
      <w:r>
        <w:t>Expectation and Variance</w:t>
      </w:r>
    </w:p>
    <w:p w14:paraId="00DDC53F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Expectation of a random </w:t>
      </w:r>
      <w:r>
        <w:t>variable, conditional expectations</w:t>
      </w:r>
    </w:p>
    <w:p w14:paraId="00DDC540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Variance and covariance</w:t>
      </w:r>
    </w:p>
    <w:p w14:paraId="00DDC541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Expectations and variances of important probability distributions</w:t>
      </w:r>
    </w:p>
    <w:p w14:paraId="00DDC542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Algebraic and central moments</w:t>
      </w:r>
    </w:p>
    <w:p w14:paraId="00DDC543" w14:textId="77777777" w:rsidR="00925137" w:rsidRDefault="00A419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Moment-generating functions</w:t>
      </w:r>
    </w:p>
    <w:p w14:paraId="00DDC544" w14:textId="77777777" w:rsidR="00925137" w:rsidRDefault="00A419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3"/>
        </w:tabs>
        <w:spacing w:after="60"/>
      </w:pPr>
      <w:r>
        <w:t>Inequalities and Limit Theorems</w:t>
      </w:r>
    </w:p>
    <w:p w14:paraId="00DDC545" w14:textId="77777777" w:rsidR="00925137" w:rsidRDefault="00A419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>5.1 Probability inequalities</w:t>
      </w:r>
    </w:p>
    <w:p w14:paraId="00DDC546" w14:textId="77777777" w:rsidR="00925137" w:rsidRDefault="00A419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lastRenderedPageBreak/>
        <w:t xml:space="preserve">5.2 </w:t>
      </w:r>
      <w:r>
        <w:t>Inequalities for expectations</w:t>
      </w:r>
    </w:p>
    <w:p w14:paraId="00DDC547" w14:textId="77777777" w:rsidR="00925137" w:rsidRDefault="00A419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law of large numbers</w:t>
      </w:r>
    </w:p>
    <w:p w14:paraId="00DDC548" w14:textId="77777777" w:rsidR="00925137" w:rsidRDefault="00A419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0"/>
        <w:ind w:firstLine="580"/>
      </w:pPr>
      <w:r>
        <w:t>Central limit theorem</w:t>
      </w:r>
    </w:p>
    <w:sectPr w:rsidR="00925137" w:rsidSect="00A41985">
      <w:pgSz w:w="13493" w:h="18427"/>
      <w:pgMar w:top="3413" w:right="2194" w:bottom="2064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C5BE" w14:textId="77777777" w:rsidR="00000000" w:rsidRDefault="00A41985">
      <w:r>
        <w:separator/>
      </w:r>
    </w:p>
  </w:endnote>
  <w:endnote w:type="continuationSeparator" w:id="0">
    <w:p w14:paraId="00DDC5C0" w14:textId="77777777" w:rsidR="00000000" w:rsidRDefault="00A4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DC5B0" w14:textId="77777777" w:rsidR="00925137" w:rsidRDefault="00925137"/>
  </w:footnote>
  <w:footnote w:type="continuationSeparator" w:id="0">
    <w:p w14:paraId="00DDC5B1" w14:textId="77777777" w:rsidR="00925137" w:rsidRDefault="009251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363B7"/>
    <w:multiLevelType w:val="multilevel"/>
    <w:tmpl w:val="57ACEA48"/>
    <w:lvl w:ilvl="0">
      <w:start w:val="3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CF1542"/>
    <w:multiLevelType w:val="multilevel"/>
    <w:tmpl w:val="537C48CC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4543312">
    <w:abstractNumId w:val="1"/>
  </w:num>
  <w:num w:numId="2" w16cid:durableId="136590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137"/>
    <w:rsid w:val="00925137"/>
    <w:rsid w:val="00A4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C4B8"/>
  <w15:docId w15:val="{E16B3B0F-1D53-4D14-9F3C-99571BCC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2023-02-24T14:35:00Z</dcterms:created>
  <dcterms:modified xsi:type="dcterms:W3CDTF">2023-02-24T14:35:00Z</dcterms:modified>
</cp:coreProperties>
</file>