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CB70" w14:textId="1A381A14" w:rsidR="0007018B" w:rsidRPr="000060FB" w:rsidRDefault="0045088F" w:rsidP="000060FB">
      <w:pPr>
        <w:bidi w:val="0"/>
        <w:rPr>
          <w:rFonts w:cstheme="minorHAnsi"/>
          <w:b/>
          <w:bCs/>
        </w:rPr>
      </w:pPr>
      <w:r w:rsidRPr="000060FB">
        <w:rPr>
          <w:rFonts w:cstheme="minorHAnsi"/>
          <w:b/>
          <w:bCs/>
        </w:rPr>
        <w:t xml:space="preserve">Policy Options for Emergency Department Diversion: </w:t>
      </w:r>
      <w:r w:rsidR="00002229" w:rsidRPr="000060FB">
        <w:rPr>
          <w:rFonts w:cstheme="minorHAnsi"/>
          <w:b/>
          <w:bCs/>
        </w:rPr>
        <w:t xml:space="preserve">The </w:t>
      </w:r>
      <w:r w:rsidR="002902A5" w:rsidRPr="000060FB">
        <w:rPr>
          <w:rFonts w:cstheme="minorHAnsi"/>
          <w:b/>
          <w:bCs/>
        </w:rPr>
        <w:t>Netherlands</w:t>
      </w:r>
    </w:p>
    <w:p w14:paraId="22F84F94" w14:textId="77777777" w:rsidR="001F4E5A" w:rsidRPr="000060FB" w:rsidRDefault="001F4E5A" w:rsidP="000060FB">
      <w:pPr>
        <w:bidi w:val="0"/>
        <w:spacing w:after="120" w:line="360" w:lineRule="auto"/>
        <w:jc w:val="both"/>
        <w:rPr>
          <w:rFonts w:cstheme="minorHAnsi"/>
          <w:b/>
          <w:bCs/>
          <w:lang w:val="en-CA"/>
        </w:rPr>
      </w:pPr>
    </w:p>
    <w:p w14:paraId="1D0E9E86" w14:textId="3CE7C834" w:rsidR="0031152F" w:rsidRPr="000060FB" w:rsidRDefault="0031152F" w:rsidP="000060FB">
      <w:pPr>
        <w:bidi w:val="0"/>
        <w:spacing w:after="120" w:line="360" w:lineRule="auto"/>
        <w:jc w:val="both"/>
        <w:rPr>
          <w:rFonts w:cstheme="minorHAnsi"/>
          <w:b/>
          <w:bCs/>
          <w:lang w:val="en-CA"/>
        </w:rPr>
      </w:pPr>
      <w:r w:rsidRPr="000060FB">
        <w:rPr>
          <w:rFonts w:cstheme="minorHAnsi"/>
          <w:b/>
          <w:bCs/>
          <w:lang w:val="en-CA"/>
        </w:rPr>
        <w:t>Project Overview</w:t>
      </w:r>
    </w:p>
    <w:p w14:paraId="54E433B3" w14:textId="395E1867" w:rsidR="0031152F" w:rsidRPr="000060FB" w:rsidRDefault="0031152F" w:rsidP="000060FB">
      <w:pPr>
        <w:bidi w:val="0"/>
        <w:spacing w:after="120" w:line="360" w:lineRule="auto"/>
        <w:jc w:val="both"/>
        <w:rPr>
          <w:rFonts w:cstheme="minorHAnsi"/>
        </w:rPr>
      </w:pPr>
      <w:r w:rsidRPr="000060FB">
        <w:rPr>
          <w:rFonts w:cstheme="minorHAnsi"/>
          <w:color w:val="222222"/>
          <w:shd w:val="clear" w:color="auto" w:fill="FFFFFF"/>
        </w:rPr>
        <w:t>Emergency departments (EDs) and urgent care systems in high-income countries face major challenges related to overcrowding, long wait times, and rising demand. </w:t>
      </w:r>
      <w:r w:rsidRPr="000060FB">
        <w:rPr>
          <w:rFonts w:cstheme="minorHAnsi"/>
        </w:rPr>
        <w:t xml:space="preserve">This rapid review aims to uncover and describe the range of different policies designed to expand access to emergency and urgent care around the world while alleviating pressure </w:t>
      </w:r>
      <w:r w:rsidR="0093332A">
        <w:rPr>
          <w:rFonts w:cstheme="minorHAnsi"/>
        </w:rPr>
        <w:t>on</w:t>
      </w:r>
      <w:r w:rsidRPr="000060FB">
        <w:rPr>
          <w:rFonts w:cstheme="minorHAnsi"/>
        </w:rPr>
        <w:t xml:space="preserve"> hospital </w:t>
      </w:r>
      <w:proofErr w:type="spellStart"/>
      <w:r w:rsidRPr="000060FB">
        <w:rPr>
          <w:rFonts w:cstheme="minorHAnsi"/>
        </w:rPr>
        <w:t>EDs.</w:t>
      </w:r>
      <w:proofErr w:type="spellEnd"/>
      <w:r w:rsidRPr="000060FB">
        <w:rPr>
          <w:rFonts w:cstheme="minorHAnsi"/>
        </w:rPr>
        <w:t xml:space="preserve"> In this review, we are specifically focusing on Australia, Belgium, Denmark, Israel, Netherlands, Ontario (Canada) and the UK. </w:t>
      </w:r>
    </w:p>
    <w:p w14:paraId="69407F0B" w14:textId="7ECD52F4" w:rsidR="000B76E7" w:rsidRPr="000060FB" w:rsidRDefault="0092411F" w:rsidP="000060FB">
      <w:pPr>
        <w:bidi w:val="0"/>
        <w:spacing w:after="120" w:line="360" w:lineRule="auto"/>
        <w:jc w:val="both"/>
        <w:rPr>
          <w:rFonts w:cstheme="minorHAnsi"/>
          <w:b/>
          <w:bCs/>
        </w:rPr>
      </w:pPr>
      <w:r w:rsidRPr="000060FB">
        <w:rPr>
          <w:rFonts w:cstheme="minorHAnsi"/>
          <w:b/>
          <w:bCs/>
        </w:rPr>
        <w:t xml:space="preserve">Healthcare system overview </w:t>
      </w:r>
    </w:p>
    <w:p w14:paraId="005AA543" w14:textId="6E3E58E8" w:rsidR="004B423C" w:rsidRPr="000060FB" w:rsidRDefault="00EA2BAD" w:rsidP="000060FB">
      <w:pPr>
        <w:bidi w:val="0"/>
        <w:spacing w:after="120" w:line="360" w:lineRule="auto"/>
        <w:jc w:val="both"/>
        <w:rPr>
          <w:rFonts w:cstheme="minorHAnsi"/>
        </w:rPr>
      </w:pPr>
      <w:r w:rsidRPr="000060FB">
        <w:rPr>
          <w:rFonts w:cstheme="minorHAnsi"/>
        </w:rPr>
        <w:t xml:space="preserve">The </w:t>
      </w:r>
      <w:r w:rsidR="002902A5" w:rsidRPr="000060FB">
        <w:rPr>
          <w:rFonts w:cstheme="minorHAnsi"/>
        </w:rPr>
        <w:t xml:space="preserve">Dutch </w:t>
      </w:r>
      <w:r w:rsidRPr="000060FB">
        <w:rPr>
          <w:rFonts w:cstheme="minorHAnsi"/>
        </w:rPr>
        <w:t>health</w:t>
      </w:r>
      <w:r w:rsidR="74EFCCD0" w:rsidRPr="000060FB">
        <w:rPr>
          <w:rFonts w:cstheme="minorHAnsi"/>
        </w:rPr>
        <w:t>care</w:t>
      </w:r>
      <w:r w:rsidRPr="000060FB">
        <w:rPr>
          <w:rFonts w:cstheme="minorHAnsi"/>
        </w:rPr>
        <w:t xml:space="preserve"> system is based on</w:t>
      </w:r>
      <w:r w:rsidR="00382750" w:rsidRPr="000060FB">
        <w:rPr>
          <w:rFonts w:cstheme="minorHAnsi"/>
        </w:rPr>
        <w:t xml:space="preserve"> a </w:t>
      </w:r>
      <w:proofErr w:type="spellStart"/>
      <w:r w:rsidR="003C0EDD" w:rsidRPr="000060FB">
        <w:rPr>
          <w:rFonts w:cstheme="minorHAnsi"/>
        </w:rPr>
        <w:t>Bismarckian</w:t>
      </w:r>
      <w:proofErr w:type="spellEnd"/>
      <w:r w:rsidR="003C0EDD" w:rsidRPr="000060FB">
        <w:rPr>
          <w:rFonts w:cstheme="minorHAnsi"/>
        </w:rPr>
        <w:t xml:space="preserve"> model of mandatory </w:t>
      </w:r>
      <w:r w:rsidR="00272630" w:rsidRPr="000060FB">
        <w:rPr>
          <w:rFonts w:cstheme="minorHAnsi"/>
        </w:rPr>
        <w:t xml:space="preserve">universal health </w:t>
      </w:r>
      <w:r w:rsidR="003C0EDD" w:rsidRPr="000060FB">
        <w:rPr>
          <w:rFonts w:cstheme="minorHAnsi"/>
        </w:rPr>
        <w:t xml:space="preserve">coverage </w:t>
      </w:r>
      <w:r w:rsidR="00272630" w:rsidRPr="000060FB">
        <w:rPr>
          <w:rFonts w:cstheme="minorHAnsi"/>
        </w:rPr>
        <w:t xml:space="preserve">through private insurers </w:t>
      </w:r>
      <w:r w:rsidR="00B320CA" w:rsidRPr="000060FB">
        <w:rPr>
          <w:rFonts w:cstheme="minorHAnsi"/>
        </w:rPr>
        <w:t>which are required to accept all applicants.</w:t>
      </w:r>
      <w:r w:rsidR="00D014D1" w:rsidRPr="000060FB">
        <w:rPr>
          <w:rFonts w:cstheme="minorHAnsi"/>
        </w:rPr>
        <w:t xml:space="preserve"> </w:t>
      </w:r>
      <w:r w:rsidR="004B423C" w:rsidRPr="000060FB">
        <w:rPr>
          <w:rFonts w:cstheme="minorHAnsi"/>
        </w:rPr>
        <w:t>In addition, most of the population (</w:t>
      </w:r>
      <w:r w:rsidR="00D014D1" w:rsidRPr="000060FB">
        <w:rPr>
          <w:rFonts w:cstheme="minorHAnsi"/>
        </w:rPr>
        <w:t>84%</w:t>
      </w:r>
      <w:r w:rsidR="004B423C" w:rsidRPr="000060FB">
        <w:rPr>
          <w:rFonts w:cstheme="minorHAnsi"/>
        </w:rPr>
        <w:t xml:space="preserve">) </w:t>
      </w:r>
      <w:r w:rsidR="00D014D1" w:rsidRPr="000060FB">
        <w:rPr>
          <w:rFonts w:cstheme="minorHAnsi"/>
        </w:rPr>
        <w:t xml:space="preserve">own </w:t>
      </w:r>
      <w:r w:rsidR="004B423C" w:rsidRPr="000060FB">
        <w:rPr>
          <w:rFonts w:cstheme="minorHAnsi"/>
        </w:rPr>
        <w:t xml:space="preserve">supplementary voluntary insurance covering a range of services not covered by statutory insurance, such as dental care, </w:t>
      </w:r>
      <w:r w:rsidR="0093332A">
        <w:rPr>
          <w:rFonts w:cstheme="minorHAnsi"/>
        </w:rPr>
        <w:t>complementary</w:t>
      </w:r>
      <w:r w:rsidR="004B423C" w:rsidRPr="000060FB">
        <w:rPr>
          <w:rFonts w:cstheme="minorHAnsi"/>
        </w:rPr>
        <w:t xml:space="preserve"> medicine, and </w:t>
      </w:r>
      <w:r w:rsidR="004B423C" w:rsidRPr="00352F05">
        <w:rPr>
          <w:rFonts w:cstheme="minorHAnsi"/>
        </w:rPr>
        <w:t>contraceptives</w:t>
      </w:r>
      <w:r w:rsidR="003B505A" w:rsidRPr="00352F05">
        <w:rPr>
          <w:rFonts w:cstheme="minorHAnsi"/>
        </w:rPr>
        <w:t xml:space="preserve"> </w:t>
      </w:r>
      <w:bookmarkStart w:id="0" w:name="_Hlk129939882"/>
      <w:r w:rsidR="003B505A" w:rsidRPr="00352F05">
        <w:rPr>
          <w:rFonts w:cstheme="minorHAnsi"/>
        </w:rPr>
        <w:fldChar w:fldCharType="begin"/>
      </w:r>
      <w:r w:rsidR="003B505A" w:rsidRPr="00352F05">
        <w:rPr>
          <w:rFonts w:cstheme="minorHAnsi"/>
        </w:rPr>
        <w:instrText xml:space="preserve"> ADDIN ZOTERO_ITEM CSL_CITATION {"citationID":"KWfjIbUu","properties":{"formattedCitation":"(Wammes, Stadhouders, and Westert 2020)","plainCitation":"(Wammes, Stadhouders, and Westert 2020)","noteIndex":0},"citationItems":[{"id":128,"uris":["http://zotero.org/groups/4926219/items/AEU32HAJ"],"itemData":{"id":128,"type":"report","publisher":"The Commonwealth Fund","title":"International Health Care System Profiles:  Netherlands","URL":"https://www.commonwealthfund.org/international-health-policy-center/countries/netherlands","author":[{"family":"Wammes","given":"Joost"},{"family":"Stadhouders","given":"Niek"},{"family":"Westert","given":"Gert"}],"issued":{"date-parts":[["2020"]]}}}],"schema":"https://github.com/citation-style-language/schema/raw/master/csl-citation.json"} </w:instrText>
      </w:r>
      <w:r w:rsidR="003B505A" w:rsidRPr="00352F05">
        <w:rPr>
          <w:rFonts w:cstheme="minorHAnsi"/>
        </w:rPr>
        <w:fldChar w:fldCharType="separate"/>
      </w:r>
      <w:r w:rsidR="003B505A" w:rsidRPr="00352F05">
        <w:rPr>
          <w:rFonts w:cstheme="minorHAnsi"/>
        </w:rPr>
        <w:t>(</w:t>
      </w:r>
      <w:proofErr w:type="spellStart"/>
      <w:r w:rsidR="003B505A" w:rsidRPr="00352F05">
        <w:rPr>
          <w:rFonts w:cstheme="minorHAnsi"/>
        </w:rPr>
        <w:t>Wammes</w:t>
      </w:r>
      <w:proofErr w:type="spellEnd"/>
      <w:r w:rsidR="003B505A" w:rsidRPr="00352F05">
        <w:rPr>
          <w:rFonts w:cstheme="minorHAnsi"/>
        </w:rPr>
        <w:t xml:space="preserve">, </w:t>
      </w:r>
      <w:proofErr w:type="spellStart"/>
      <w:r w:rsidR="003B505A" w:rsidRPr="00352F05">
        <w:rPr>
          <w:rFonts w:cstheme="minorHAnsi"/>
        </w:rPr>
        <w:t>Stadhouders</w:t>
      </w:r>
      <w:proofErr w:type="spellEnd"/>
      <w:r w:rsidR="001E64F0" w:rsidRPr="00352F05">
        <w:rPr>
          <w:rFonts w:cstheme="minorHAnsi"/>
        </w:rPr>
        <w:t xml:space="preserve"> &amp;</w:t>
      </w:r>
      <w:r w:rsidR="003B505A" w:rsidRPr="00352F05">
        <w:rPr>
          <w:rFonts w:cstheme="minorHAnsi"/>
        </w:rPr>
        <w:t xml:space="preserve"> </w:t>
      </w:r>
      <w:proofErr w:type="spellStart"/>
      <w:r w:rsidR="003B505A" w:rsidRPr="00352F05">
        <w:rPr>
          <w:rFonts w:cstheme="minorHAnsi"/>
        </w:rPr>
        <w:t>Westert</w:t>
      </w:r>
      <w:proofErr w:type="spellEnd"/>
      <w:r w:rsidR="001E64F0" w:rsidRPr="00352F05">
        <w:rPr>
          <w:rFonts w:cstheme="minorHAnsi"/>
        </w:rPr>
        <w:t>,</w:t>
      </w:r>
      <w:r w:rsidR="003B505A" w:rsidRPr="00352F05">
        <w:rPr>
          <w:rFonts w:cstheme="minorHAnsi"/>
        </w:rPr>
        <w:t xml:space="preserve"> 2020)</w:t>
      </w:r>
      <w:r w:rsidR="003B505A" w:rsidRPr="00352F05">
        <w:rPr>
          <w:rFonts w:cstheme="minorHAnsi"/>
        </w:rPr>
        <w:fldChar w:fldCharType="end"/>
      </w:r>
      <w:r w:rsidR="005E3A58" w:rsidRPr="00352F05">
        <w:rPr>
          <w:rFonts w:cstheme="minorHAnsi"/>
        </w:rPr>
        <w:t>.</w:t>
      </w:r>
    </w:p>
    <w:bookmarkEnd w:id="0"/>
    <w:p w14:paraId="515AC40A" w14:textId="10B19988" w:rsidR="003B505A" w:rsidRPr="000060FB" w:rsidRDefault="003B505A" w:rsidP="000060FB">
      <w:pPr>
        <w:bidi w:val="0"/>
        <w:spacing w:after="120" w:line="360" w:lineRule="auto"/>
        <w:jc w:val="both"/>
        <w:rPr>
          <w:rFonts w:cstheme="minorHAnsi"/>
        </w:rPr>
      </w:pPr>
      <w:r w:rsidRPr="000060FB">
        <w:rPr>
          <w:rFonts w:cstheme="minorHAnsi"/>
        </w:rPr>
        <w:t xml:space="preserve">The Netherlands spends </w:t>
      </w:r>
      <w:r w:rsidR="00B84DB9" w:rsidRPr="000060FB">
        <w:rPr>
          <w:rFonts w:cstheme="minorHAnsi"/>
        </w:rPr>
        <w:t>about 11%</w:t>
      </w:r>
      <w:r w:rsidRPr="000060FB">
        <w:rPr>
          <w:rFonts w:cstheme="minorHAnsi"/>
        </w:rPr>
        <w:t xml:space="preserve"> </w:t>
      </w:r>
      <w:r w:rsidR="00B84DB9" w:rsidRPr="000060FB">
        <w:rPr>
          <w:rFonts w:cstheme="minorHAnsi"/>
        </w:rPr>
        <w:t>of its GDP on health. The share of its public spending out of the total spending on health is</w:t>
      </w:r>
      <w:r w:rsidRPr="000060FB">
        <w:rPr>
          <w:rFonts w:cstheme="minorHAnsi"/>
        </w:rPr>
        <w:t xml:space="preserve"> one of the highest </w:t>
      </w:r>
      <w:r w:rsidR="00B84DB9" w:rsidRPr="000060FB">
        <w:rPr>
          <w:rFonts w:cstheme="minorHAnsi"/>
        </w:rPr>
        <w:t xml:space="preserve">in the OECD </w:t>
      </w:r>
      <w:r w:rsidRPr="000060FB">
        <w:rPr>
          <w:rFonts w:cstheme="minorHAnsi"/>
        </w:rPr>
        <w:t>(85%)</w:t>
      </w:r>
      <w:r w:rsidR="00CC41C5" w:rsidRPr="000060FB">
        <w:rPr>
          <w:rFonts w:cstheme="minorHAnsi"/>
        </w:rPr>
        <w:t>.</w:t>
      </w:r>
      <w:r w:rsidRPr="000060FB">
        <w:rPr>
          <w:rFonts w:cstheme="minorHAnsi"/>
        </w:rPr>
        <w:t xml:space="preserve"> </w:t>
      </w:r>
      <w:r w:rsidR="00B84DB9" w:rsidRPr="000060FB">
        <w:rPr>
          <w:rFonts w:cstheme="minorHAnsi"/>
        </w:rPr>
        <w:t>Accordingly, the out-of-pocket expenditure as a share of total spending in the Netherlands is the third lowest in the OECD</w:t>
      </w:r>
      <w:r w:rsidR="00CC41C5" w:rsidRPr="000060FB">
        <w:rPr>
          <w:rFonts w:cstheme="minorHAnsi"/>
        </w:rPr>
        <w:t xml:space="preserve"> (after France and Luxemburg) with 9.3% compared to </w:t>
      </w:r>
      <w:r w:rsidR="000E62B5">
        <w:rPr>
          <w:rFonts w:cstheme="minorHAnsi"/>
        </w:rPr>
        <w:t xml:space="preserve">the </w:t>
      </w:r>
      <w:r w:rsidR="00CC41C5" w:rsidRPr="000060FB">
        <w:rPr>
          <w:rFonts w:cstheme="minorHAnsi"/>
        </w:rPr>
        <w:t xml:space="preserve">OECD </w:t>
      </w:r>
      <w:r w:rsidR="00CC41C5" w:rsidRPr="007579F7">
        <w:rPr>
          <w:rFonts w:cstheme="minorHAnsi"/>
        </w:rPr>
        <w:t>average of 18.1%</w:t>
      </w:r>
      <w:r w:rsidR="00B84DB9" w:rsidRPr="007579F7">
        <w:rPr>
          <w:rFonts w:cstheme="minorHAnsi"/>
        </w:rPr>
        <w:t xml:space="preserve"> </w:t>
      </w:r>
      <w:r w:rsidR="00CC41C5" w:rsidRPr="007579F7">
        <w:rPr>
          <w:rFonts w:cstheme="minorHAnsi"/>
        </w:rPr>
        <w:t xml:space="preserve">(OECD </w:t>
      </w:r>
      <w:r w:rsidR="001E64F0" w:rsidRPr="007579F7">
        <w:rPr>
          <w:rFonts w:cstheme="minorHAnsi"/>
        </w:rPr>
        <w:t>H</w:t>
      </w:r>
      <w:r w:rsidR="00CC41C5" w:rsidRPr="007579F7">
        <w:rPr>
          <w:rFonts w:cstheme="minorHAnsi"/>
        </w:rPr>
        <w:t xml:space="preserve">ealth </w:t>
      </w:r>
      <w:r w:rsidR="001E64F0" w:rsidRPr="007579F7">
        <w:rPr>
          <w:rFonts w:cstheme="minorHAnsi"/>
        </w:rPr>
        <w:t>S</w:t>
      </w:r>
      <w:r w:rsidR="00CC41C5" w:rsidRPr="007579F7">
        <w:rPr>
          <w:rFonts w:cstheme="minorHAnsi"/>
        </w:rPr>
        <w:t>tatistics</w:t>
      </w:r>
      <w:r w:rsidR="001E64F0" w:rsidRPr="007579F7">
        <w:rPr>
          <w:rFonts w:cstheme="minorHAnsi"/>
        </w:rPr>
        <w:t>,</w:t>
      </w:r>
      <w:r w:rsidR="00CC41C5" w:rsidRPr="007579F7">
        <w:rPr>
          <w:rFonts w:cstheme="minorHAnsi"/>
        </w:rPr>
        <w:t xml:space="preserve"> 2022).</w:t>
      </w:r>
    </w:p>
    <w:p w14:paraId="55C0EFEC" w14:textId="177FFBE3" w:rsidR="00634136" w:rsidRPr="000060FB" w:rsidRDefault="00C350E3" w:rsidP="000060FB">
      <w:pPr>
        <w:bidi w:val="0"/>
        <w:spacing w:after="120" w:line="360" w:lineRule="auto"/>
        <w:jc w:val="both"/>
        <w:rPr>
          <w:rFonts w:cstheme="minorHAnsi"/>
        </w:rPr>
      </w:pPr>
      <w:r w:rsidRPr="000060FB">
        <w:rPr>
          <w:rFonts w:cstheme="minorHAnsi"/>
        </w:rPr>
        <w:t xml:space="preserve">Due to concerns over inefficiencies, long waiting </w:t>
      </w:r>
      <w:r w:rsidR="006E5A1E" w:rsidRPr="000060FB">
        <w:rPr>
          <w:rFonts w:cstheme="minorHAnsi"/>
        </w:rPr>
        <w:t xml:space="preserve">time </w:t>
      </w:r>
      <w:r w:rsidRPr="000060FB">
        <w:rPr>
          <w:rFonts w:cstheme="minorHAnsi"/>
        </w:rPr>
        <w:t>and rising costs, the Netherlands ha</w:t>
      </w:r>
      <w:r w:rsidR="006E5A1E" w:rsidRPr="000060FB">
        <w:rPr>
          <w:rFonts w:cstheme="minorHAnsi"/>
        </w:rPr>
        <w:t>s</w:t>
      </w:r>
      <w:r w:rsidRPr="000060FB">
        <w:rPr>
          <w:rFonts w:cstheme="minorHAnsi"/>
        </w:rPr>
        <w:t xml:space="preserve"> been implementing market-oriented reforms in its healthcare system such as creating managed competition between private health insurers, shifting from budget-oriented reimbursement </w:t>
      </w:r>
      <w:r w:rsidR="006E5A1E" w:rsidRPr="000060FB">
        <w:rPr>
          <w:rFonts w:cstheme="minorHAnsi"/>
        </w:rPr>
        <w:t>of</w:t>
      </w:r>
      <w:r w:rsidRPr="000060FB">
        <w:rPr>
          <w:rFonts w:cstheme="minorHAnsi"/>
        </w:rPr>
        <w:t xml:space="preserve"> healthcare providers to a performance- and outcome-driven approach</w:t>
      </w:r>
      <w:r w:rsidR="00634136" w:rsidRPr="000060FB">
        <w:rPr>
          <w:rFonts w:cstheme="minorHAnsi"/>
        </w:rPr>
        <w:t xml:space="preserve"> </w:t>
      </w:r>
      <w:r w:rsidR="00634136" w:rsidRPr="000060FB">
        <w:rPr>
          <w:rFonts w:cstheme="minorHAnsi"/>
        </w:rPr>
        <w:fldChar w:fldCharType="begin"/>
      </w:r>
      <w:r w:rsidR="008611DB" w:rsidRPr="000060FB">
        <w:rPr>
          <w:rFonts w:cstheme="minorHAnsi"/>
        </w:rPr>
        <w:instrText xml:space="preserve"> ADDIN ZOTERO_ITEM CSL_CITATION {"citationID":"NNqT4S1o","properties":{"formattedCitation":"(Wammes, Stadhouders, and Westert 2020)","plainCitation":"(Wammes, Stadhouders, and Westert 2020)","noteIndex":0},"citationItems":[{"id":128,"uris":["http://zotero.org/groups/4926219/items/AEU32HAJ"],"itemData":{"id":128,"type":"report","publisher":"The Commonwealth Fund","title":"International Health Care System Profiles:  Netherlands","URL":"https://www.commonwealthfund.org/international-health-policy-center/countries/netherlands","author":[{"family":"Wammes","given":"Joost"},{"family":"Stadhouders","given":"Niek"},{"family":"Westert","given":"Gert"}],"issued":{"date-parts":[["2020"]]}}}],"schema":"https://github.com/citation-style-language/schema/raw/master/csl-citation.json"} </w:instrText>
      </w:r>
      <w:r w:rsidR="00634136" w:rsidRPr="000060FB">
        <w:rPr>
          <w:rFonts w:cstheme="minorHAnsi"/>
        </w:rPr>
        <w:fldChar w:fldCharType="separate"/>
      </w:r>
      <w:r w:rsidR="00634136" w:rsidRPr="000060FB">
        <w:rPr>
          <w:rFonts w:cstheme="minorHAnsi"/>
        </w:rPr>
        <w:t>(</w:t>
      </w:r>
      <w:proofErr w:type="spellStart"/>
      <w:r w:rsidR="00634136" w:rsidRPr="000060FB">
        <w:rPr>
          <w:rFonts w:cstheme="minorHAnsi"/>
        </w:rPr>
        <w:t>Wammes</w:t>
      </w:r>
      <w:proofErr w:type="spellEnd"/>
      <w:r w:rsidR="00634136" w:rsidRPr="000060FB">
        <w:rPr>
          <w:rFonts w:cstheme="minorHAnsi"/>
        </w:rPr>
        <w:t xml:space="preserve">, </w:t>
      </w:r>
      <w:proofErr w:type="spellStart"/>
      <w:r w:rsidR="00634136" w:rsidRPr="000060FB">
        <w:rPr>
          <w:rFonts w:cstheme="minorHAnsi"/>
        </w:rPr>
        <w:t>Stadhouders</w:t>
      </w:r>
      <w:proofErr w:type="spellEnd"/>
      <w:r w:rsidR="00634136" w:rsidRPr="000060FB">
        <w:rPr>
          <w:rFonts w:cstheme="minorHAnsi"/>
        </w:rPr>
        <w:t xml:space="preserve"> </w:t>
      </w:r>
      <w:r w:rsidR="001E64F0">
        <w:rPr>
          <w:rFonts w:cstheme="minorHAnsi"/>
        </w:rPr>
        <w:t>&amp;</w:t>
      </w:r>
      <w:r w:rsidR="00634136" w:rsidRPr="000060FB">
        <w:rPr>
          <w:rFonts w:cstheme="minorHAnsi"/>
        </w:rPr>
        <w:t xml:space="preserve"> </w:t>
      </w:r>
      <w:proofErr w:type="spellStart"/>
      <w:r w:rsidR="00634136" w:rsidRPr="000060FB">
        <w:rPr>
          <w:rFonts w:cstheme="minorHAnsi"/>
        </w:rPr>
        <w:t>Westert</w:t>
      </w:r>
      <w:proofErr w:type="spellEnd"/>
      <w:r w:rsidR="001E64F0">
        <w:rPr>
          <w:rFonts w:cstheme="minorHAnsi"/>
        </w:rPr>
        <w:t>,</w:t>
      </w:r>
      <w:r w:rsidR="00634136" w:rsidRPr="000060FB">
        <w:rPr>
          <w:rFonts w:cstheme="minorHAnsi"/>
        </w:rPr>
        <w:t xml:space="preserve"> 2020)</w:t>
      </w:r>
      <w:r w:rsidR="00634136" w:rsidRPr="000060FB">
        <w:rPr>
          <w:rFonts w:cstheme="minorHAnsi"/>
        </w:rPr>
        <w:fldChar w:fldCharType="end"/>
      </w:r>
      <w:r w:rsidR="00634136" w:rsidRPr="000060FB">
        <w:rPr>
          <w:rFonts w:cstheme="minorHAnsi"/>
        </w:rPr>
        <w:t xml:space="preserve">. Additional notable reforms were </w:t>
      </w:r>
      <w:r w:rsidR="00D17C21" w:rsidRPr="000060FB">
        <w:rPr>
          <w:rFonts w:cstheme="minorHAnsi"/>
        </w:rPr>
        <w:t xml:space="preserve">decentralization </w:t>
      </w:r>
      <w:r w:rsidR="00634136" w:rsidRPr="000060FB">
        <w:rPr>
          <w:rFonts w:cstheme="minorHAnsi"/>
        </w:rPr>
        <w:t>of long-term care</w:t>
      </w:r>
      <w:r w:rsidR="00D17C21" w:rsidRPr="000060FB">
        <w:rPr>
          <w:rFonts w:cstheme="minorHAnsi"/>
        </w:rPr>
        <w:t>,</w:t>
      </w:r>
      <w:r w:rsidR="00634136" w:rsidRPr="000060FB">
        <w:rPr>
          <w:rFonts w:cstheme="minorHAnsi"/>
        </w:rPr>
        <w:t xml:space="preserve"> </w:t>
      </w:r>
      <w:r w:rsidR="00D17C21" w:rsidRPr="000060FB">
        <w:rPr>
          <w:rFonts w:cstheme="minorHAnsi"/>
        </w:rPr>
        <w:t xml:space="preserve">re-organization </w:t>
      </w:r>
      <w:r w:rsidR="006E5A1E" w:rsidRPr="000060FB">
        <w:rPr>
          <w:rFonts w:cstheme="minorHAnsi"/>
        </w:rPr>
        <w:t xml:space="preserve">of </w:t>
      </w:r>
      <w:r w:rsidR="00634136" w:rsidRPr="000060FB">
        <w:rPr>
          <w:rFonts w:cstheme="minorHAnsi"/>
        </w:rPr>
        <w:t xml:space="preserve">mental healthcare and development of </w:t>
      </w:r>
      <w:r w:rsidR="006E5A1E" w:rsidRPr="000060FB">
        <w:rPr>
          <w:rFonts w:cstheme="minorHAnsi"/>
        </w:rPr>
        <w:t>new</w:t>
      </w:r>
      <w:r w:rsidR="00634136" w:rsidRPr="000060FB">
        <w:rPr>
          <w:rFonts w:cstheme="minorHAnsi"/>
        </w:rPr>
        <w:t xml:space="preserve"> roles such as advanced-practice nurse and physician </w:t>
      </w:r>
      <w:r w:rsidR="00634136" w:rsidRPr="00352F05">
        <w:rPr>
          <w:rFonts w:cstheme="minorHAnsi"/>
        </w:rPr>
        <w:t>assistant</w:t>
      </w:r>
      <w:r w:rsidR="008611DB" w:rsidRPr="00352F05">
        <w:rPr>
          <w:rFonts w:cstheme="minorHAnsi"/>
        </w:rPr>
        <w:t xml:space="preserve"> </w:t>
      </w:r>
      <w:r w:rsidR="008611DB" w:rsidRPr="00352F05">
        <w:rPr>
          <w:rFonts w:cstheme="minorHAnsi"/>
        </w:rPr>
        <w:fldChar w:fldCharType="begin"/>
      </w:r>
      <w:r w:rsidR="008611DB" w:rsidRPr="00352F05">
        <w:rPr>
          <w:rFonts w:cstheme="minorHAnsi"/>
        </w:rPr>
        <w:instrText xml:space="preserve"> ADDIN ZOTERO_ITEM CSL_CITATION {"citationID":"8tw6Xpyn","properties":{"formattedCitation":"(Kroneman et al. 2016)","plainCitation":"(Kroneman et al. 2016)","noteIndex":0},"citationItems":[{"id":137,"uris":["http://zotero.org/groups/4926219/items/6CNYRM3V"],"itemData":{"id":137,"type":"report","collection-title":"Health Systems in Transition","publisher":"European Observatory on Health Systems and Policies","title":"The Netherlands: health system review","URL":"https://www.euro.who.int/__data/assets/pdf_file/0016/314404/HIT_Netherlands.pdf","author":[{"family":"Kroneman","given":"Madelon"},{"family":"Boerma","given":"Wienke"},{"family":"Berg","given":"Michael","non-dropping-particle":"van den"},{"family":"Groenewegen","given":"Peter"},{"family":"Jong","given":"Judith","non-dropping-particle":"de"},{"family":"Ginneken","given":"Ewout","non-dropping-particle":"van"}],"issued":{"date-parts":[["2016"]]}}}],"schema":"https://github.com/citation-style-language/schema/raw/master/csl-citation.json"} </w:instrText>
      </w:r>
      <w:r w:rsidR="008611DB" w:rsidRPr="00352F05">
        <w:rPr>
          <w:rFonts w:cstheme="minorHAnsi"/>
        </w:rPr>
        <w:fldChar w:fldCharType="separate"/>
      </w:r>
      <w:r w:rsidR="008611DB" w:rsidRPr="00352F05">
        <w:rPr>
          <w:rFonts w:cstheme="minorHAnsi"/>
        </w:rPr>
        <w:t>(</w:t>
      </w:r>
      <w:proofErr w:type="spellStart"/>
      <w:r w:rsidR="008611DB" w:rsidRPr="00352F05">
        <w:rPr>
          <w:rFonts w:cstheme="minorHAnsi"/>
        </w:rPr>
        <w:t>Kroneman</w:t>
      </w:r>
      <w:proofErr w:type="spellEnd"/>
      <w:r w:rsidR="008611DB" w:rsidRPr="00352F05">
        <w:rPr>
          <w:rFonts w:cstheme="minorHAnsi"/>
        </w:rPr>
        <w:t xml:space="preserve"> et al.</w:t>
      </w:r>
      <w:r w:rsidR="001E64F0" w:rsidRPr="00352F05">
        <w:rPr>
          <w:rFonts w:cstheme="minorHAnsi"/>
        </w:rPr>
        <w:t>,</w:t>
      </w:r>
      <w:r w:rsidR="008611DB" w:rsidRPr="00352F05">
        <w:rPr>
          <w:rFonts w:cstheme="minorHAnsi"/>
        </w:rPr>
        <w:t xml:space="preserve"> 2016)</w:t>
      </w:r>
      <w:r w:rsidR="008611DB" w:rsidRPr="00352F05">
        <w:rPr>
          <w:rFonts w:cstheme="minorHAnsi"/>
        </w:rPr>
        <w:fldChar w:fldCharType="end"/>
      </w:r>
      <w:r w:rsidR="00634136" w:rsidRPr="00352F05">
        <w:rPr>
          <w:rFonts w:cstheme="minorHAnsi"/>
        </w:rPr>
        <w:t>.</w:t>
      </w:r>
      <w:r w:rsidR="00634136" w:rsidRPr="000060FB">
        <w:rPr>
          <w:rFonts w:cstheme="minorHAnsi"/>
        </w:rPr>
        <w:t xml:space="preserve"> </w:t>
      </w:r>
    </w:p>
    <w:p w14:paraId="5D6CB0FA" w14:textId="1F5E3D18" w:rsidR="001821C6" w:rsidRPr="000060FB" w:rsidRDefault="001821C6" w:rsidP="000060FB">
      <w:pPr>
        <w:bidi w:val="0"/>
        <w:spacing w:after="120" w:line="360" w:lineRule="auto"/>
        <w:jc w:val="both"/>
        <w:rPr>
          <w:rFonts w:cstheme="minorHAnsi"/>
          <w:b/>
          <w:bCs/>
        </w:rPr>
      </w:pPr>
      <w:r w:rsidRPr="000060FB">
        <w:rPr>
          <w:rFonts w:cstheme="minorHAnsi"/>
          <w:b/>
          <w:bCs/>
        </w:rPr>
        <w:t xml:space="preserve">Challenges </w:t>
      </w:r>
      <w:r w:rsidR="00524B81" w:rsidRPr="000060FB">
        <w:rPr>
          <w:rFonts w:cstheme="minorHAnsi"/>
          <w:b/>
          <w:bCs/>
        </w:rPr>
        <w:t>to</w:t>
      </w:r>
      <w:r w:rsidRPr="000060FB">
        <w:rPr>
          <w:rFonts w:cstheme="minorHAnsi"/>
          <w:b/>
          <w:bCs/>
        </w:rPr>
        <w:t xml:space="preserve"> </w:t>
      </w:r>
      <w:r w:rsidR="00615613" w:rsidRPr="000060FB">
        <w:rPr>
          <w:rFonts w:cstheme="minorHAnsi"/>
          <w:b/>
          <w:bCs/>
        </w:rPr>
        <w:t xml:space="preserve">the </w:t>
      </w:r>
      <w:r w:rsidR="0085050F" w:rsidRPr="000060FB">
        <w:rPr>
          <w:rFonts w:cstheme="minorHAnsi"/>
          <w:b/>
          <w:bCs/>
        </w:rPr>
        <w:t>e</w:t>
      </w:r>
      <w:r w:rsidRPr="000060FB">
        <w:rPr>
          <w:rFonts w:cstheme="minorHAnsi"/>
          <w:b/>
          <w:bCs/>
        </w:rPr>
        <w:t xml:space="preserve">mergency </w:t>
      </w:r>
      <w:r w:rsidR="00615613" w:rsidRPr="000060FB">
        <w:rPr>
          <w:rFonts w:cstheme="minorHAnsi"/>
          <w:b/>
          <w:bCs/>
        </w:rPr>
        <w:t>care</w:t>
      </w:r>
      <w:r w:rsidR="0085050F" w:rsidRPr="000060FB">
        <w:rPr>
          <w:rFonts w:cstheme="minorHAnsi"/>
          <w:b/>
          <w:bCs/>
        </w:rPr>
        <w:t xml:space="preserve"> system</w:t>
      </w:r>
      <w:r w:rsidRPr="000060FB">
        <w:rPr>
          <w:rFonts w:cstheme="minorHAnsi"/>
          <w:b/>
          <w:bCs/>
        </w:rPr>
        <w:t xml:space="preserve"> </w:t>
      </w:r>
    </w:p>
    <w:p w14:paraId="29C34FA4" w14:textId="3C4FECD6" w:rsidR="00AE5699" w:rsidRPr="000060FB" w:rsidRDefault="00823EAF" w:rsidP="001E64F0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cstheme="minorHAnsi"/>
          <w:rtl/>
        </w:rPr>
      </w:pPr>
      <w:r w:rsidRPr="000060FB">
        <w:rPr>
          <w:rFonts w:cstheme="minorHAnsi"/>
        </w:rPr>
        <w:t xml:space="preserve">There is </w:t>
      </w:r>
      <w:r w:rsidR="000060FB">
        <w:rPr>
          <w:rFonts w:cstheme="minorHAnsi"/>
        </w:rPr>
        <w:t xml:space="preserve">an </w:t>
      </w:r>
      <w:r w:rsidRPr="000060FB">
        <w:rPr>
          <w:rFonts w:cstheme="minorHAnsi"/>
        </w:rPr>
        <w:t>association between population</w:t>
      </w:r>
      <w:r w:rsidR="006E5A1E" w:rsidRPr="000060FB">
        <w:rPr>
          <w:rFonts w:cstheme="minorHAnsi"/>
        </w:rPr>
        <w:t xml:space="preserve"> aging</w:t>
      </w:r>
      <w:r w:rsidRPr="000060FB">
        <w:rPr>
          <w:rFonts w:cstheme="minorHAnsi"/>
        </w:rPr>
        <w:t xml:space="preserve"> and increased utilization of emergency</w:t>
      </w:r>
      <w:r w:rsidR="007703E4" w:rsidRPr="000060FB">
        <w:rPr>
          <w:rFonts w:cstheme="minorHAnsi"/>
        </w:rPr>
        <w:t xml:space="preserve"> care</w:t>
      </w:r>
      <w:r w:rsidRPr="000060FB">
        <w:rPr>
          <w:rFonts w:cstheme="minorHAnsi"/>
        </w:rPr>
        <w:t xml:space="preserve"> </w:t>
      </w:r>
      <w:r w:rsidRPr="000060FB">
        <w:rPr>
          <w:rFonts w:cstheme="minorHAnsi"/>
        </w:rPr>
        <w:fldChar w:fldCharType="begin"/>
      </w:r>
      <w:r w:rsidRPr="000060FB">
        <w:rPr>
          <w:rFonts w:cstheme="minorHAnsi"/>
        </w:rPr>
        <w:instrText xml:space="preserve"> ADDIN ZOTERO_ITEM CSL_CITATION {"citationID":"BiO8Gv4Z","properties":{"formattedCitation":"(Kremers et al. 2019)","plainCitation":"(Kremers et al. 2019)","noteIndex":0},"citationItems":[{"id":134,"uris":["http://zotero.org/groups/4926219/items/UR7I3TMX"],"itemData":{"id":134,"type":"article-journal","container-title":"BMC Emergency Medicine","DOI":"10.1186/s12873-019-0257-y","ISSN":"1471-227X","issue":"1","journalAbbreviation":"BMC Emerg Med","language":"en","page":"40","source":"DOI.org (Crossref)","title":"Strengths and weaknesses of the acute care systems in the United Kingdom and the Netherlands: what can we learn from each other?","title-short":"Strengths and weaknesses of the acute care systems in the United Kingdom and the Netherlands","volume":"19","author":[{"family":"Kremers","given":"Marjolein N. T."},{"family":"Nanayakkara","given":"Prabath W. B."},{"family":"Levi","given":"Marcel"},{"family":"Bell","given":"Derek"},{"family":"Haak","given":"Harm R."}],"issued":{"date-parts":[["2019",12]]}}}],"schema":"https://github.com/citation-style-language/schema/raw/master/csl-citation.json"} </w:instrText>
      </w:r>
      <w:r w:rsidRPr="000060FB">
        <w:rPr>
          <w:rFonts w:cstheme="minorHAnsi"/>
        </w:rPr>
        <w:fldChar w:fldCharType="separate"/>
      </w:r>
      <w:r w:rsidRPr="000060FB">
        <w:rPr>
          <w:rFonts w:cstheme="minorHAnsi"/>
        </w:rPr>
        <w:t>(</w:t>
      </w:r>
      <w:proofErr w:type="spellStart"/>
      <w:r w:rsidRPr="000060FB">
        <w:rPr>
          <w:rFonts w:cstheme="minorHAnsi"/>
        </w:rPr>
        <w:t>Kremers</w:t>
      </w:r>
      <w:proofErr w:type="spellEnd"/>
      <w:r w:rsidRPr="000060FB">
        <w:rPr>
          <w:rFonts w:cstheme="minorHAnsi"/>
        </w:rPr>
        <w:t xml:space="preserve"> et al.</w:t>
      </w:r>
      <w:r w:rsidR="001E64F0">
        <w:rPr>
          <w:rFonts w:cstheme="minorHAnsi"/>
        </w:rPr>
        <w:t>,</w:t>
      </w:r>
      <w:r w:rsidRPr="000060FB">
        <w:rPr>
          <w:rFonts w:cstheme="minorHAnsi"/>
        </w:rPr>
        <w:t xml:space="preserve"> 2019)</w:t>
      </w:r>
      <w:r w:rsidRPr="000060FB">
        <w:rPr>
          <w:rFonts w:cstheme="minorHAnsi"/>
        </w:rPr>
        <w:fldChar w:fldCharType="end"/>
      </w:r>
      <w:r w:rsidRPr="000060FB">
        <w:rPr>
          <w:rFonts w:cstheme="minorHAnsi"/>
        </w:rPr>
        <w:t xml:space="preserve">. </w:t>
      </w:r>
      <w:r w:rsidR="00FE138E" w:rsidRPr="000060FB">
        <w:rPr>
          <w:rFonts w:cstheme="minorHAnsi"/>
        </w:rPr>
        <w:t xml:space="preserve">In </w:t>
      </w:r>
      <w:r w:rsidRPr="000060FB">
        <w:rPr>
          <w:rFonts w:cstheme="minorHAnsi"/>
        </w:rPr>
        <w:t>the Netherlands,</w:t>
      </w:r>
      <w:r w:rsidR="00C06A62" w:rsidRPr="000060FB">
        <w:rPr>
          <w:rFonts w:cstheme="minorHAnsi"/>
        </w:rPr>
        <w:t xml:space="preserve"> </w:t>
      </w:r>
      <w:r w:rsidRPr="000060FB">
        <w:rPr>
          <w:rFonts w:cstheme="minorHAnsi"/>
        </w:rPr>
        <w:t xml:space="preserve">20% of the population are </w:t>
      </w:r>
      <w:r w:rsidR="00C06A62" w:rsidRPr="000060FB">
        <w:rPr>
          <w:rFonts w:cstheme="minorHAnsi"/>
        </w:rPr>
        <w:t>65 and over</w:t>
      </w:r>
      <w:r w:rsidRPr="000060FB">
        <w:rPr>
          <w:rFonts w:cstheme="minorHAnsi"/>
        </w:rPr>
        <w:t xml:space="preserve"> and their share is</w:t>
      </w:r>
      <w:r w:rsidR="00C06A62" w:rsidRPr="000060FB">
        <w:rPr>
          <w:rFonts w:cstheme="minorHAnsi"/>
        </w:rPr>
        <w:t xml:space="preserve"> projected to rise to</w:t>
      </w:r>
      <w:r w:rsidRPr="000060FB">
        <w:rPr>
          <w:rFonts w:cstheme="minorHAnsi"/>
        </w:rPr>
        <w:t xml:space="preserve"> 23%</w:t>
      </w:r>
      <w:r w:rsidR="00C06A62" w:rsidRPr="000060FB">
        <w:rPr>
          <w:rFonts w:cstheme="minorHAnsi"/>
        </w:rPr>
        <w:t xml:space="preserve"> in</w:t>
      </w:r>
      <w:r w:rsidRPr="000060FB">
        <w:rPr>
          <w:rFonts w:cstheme="minorHAnsi"/>
        </w:rPr>
        <w:t xml:space="preserve"> 2030</w:t>
      </w:r>
      <w:r w:rsidR="001E64F0">
        <w:rPr>
          <w:rFonts w:cstheme="minorHAnsi"/>
        </w:rPr>
        <w:t>,</w:t>
      </w:r>
      <w:r w:rsidR="006E5A1E" w:rsidRPr="000060FB">
        <w:rPr>
          <w:rFonts w:cstheme="minorHAnsi"/>
        </w:rPr>
        <w:t xml:space="preserve"> with even sharper increase of </w:t>
      </w:r>
      <w:r w:rsidR="007703E4" w:rsidRPr="000060FB">
        <w:rPr>
          <w:rFonts w:cstheme="minorHAnsi"/>
        </w:rPr>
        <w:t>over-</w:t>
      </w:r>
      <w:proofErr w:type="spellStart"/>
      <w:r w:rsidR="007703E4" w:rsidRPr="000060FB">
        <w:rPr>
          <w:rFonts w:cstheme="minorHAnsi"/>
        </w:rPr>
        <w:t>80s</w:t>
      </w:r>
      <w:proofErr w:type="spellEnd"/>
      <w:r w:rsidR="007703E4" w:rsidRPr="000060FB">
        <w:rPr>
          <w:rFonts w:cstheme="minorHAnsi"/>
        </w:rPr>
        <w:t xml:space="preserve"> </w:t>
      </w:r>
      <w:r w:rsidR="0078315A" w:rsidRPr="000E62B5">
        <w:rPr>
          <w:rFonts w:cstheme="minorHAnsi"/>
          <w:highlight w:val="yellow"/>
        </w:rPr>
        <w:fldChar w:fldCharType="begin"/>
      </w:r>
      <w:r w:rsidR="0078315A" w:rsidRPr="000E62B5">
        <w:rPr>
          <w:rFonts w:cstheme="minorHAnsi"/>
          <w:highlight w:val="yellow"/>
        </w:rPr>
        <w:instrText xml:space="preserve"> ADDIN ZOTERO_ITEM CSL_CITATION {"citationID":"XrDFnEnI","properties":{"formattedCitation":"(The World Bank 2022)","plainCitation":"(The World Bank 2022)","noteIndex":0},"citationItems":[{"id":139,"uris":["http://zotero.org/groups/4926219/items/S3TKLWBS"],"itemData":{"id":139,"type":"article-newspaper","title":"Population ages 65 and above (% of total population) - OECD members","URL":"https://data.worldbank.org/indicator/SP.POP.65UP.TO.ZS?locations=OE","author":[{"family":"The World Bank","given":""}],"issued":{"date-parts":[["2022"]]}},"label":"page"}],"schema":"https://github.com/citation-style-language/schema/raw/master/csl-citation.json"} </w:instrText>
      </w:r>
      <w:r w:rsidR="0078315A" w:rsidRPr="000E62B5">
        <w:rPr>
          <w:rFonts w:cstheme="minorHAnsi"/>
          <w:highlight w:val="yellow"/>
        </w:rPr>
        <w:fldChar w:fldCharType="separate"/>
      </w:r>
      <w:r w:rsidR="0078315A" w:rsidRPr="000E62B5">
        <w:rPr>
          <w:rFonts w:cstheme="minorHAnsi"/>
          <w:highlight w:val="yellow"/>
        </w:rPr>
        <w:t>(The World Bank</w:t>
      </w:r>
      <w:r w:rsidR="001E64F0" w:rsidRPr="000E62B5">
        <w:rPr>
          <w:rFonts w:cstheme="minorHAnsi"/>
          <w:highlight w:val="yellow"/>
        </w:rPr>
        <w:t>,</w:t>
      </w:r>
      <w:r w:rsidR="0078315A" w:rsidRPr="000E62B5">
        <w:rPr>
          <w:rFonts w:cstheme="minorHAnsi"/>
          <w:highlight w:val="yellow"/>
        </w:rPr>
        <w:t xml:space="preserve"> 2022)</w:t>
      </w:r>
      <w:r w:rsidR="0078315A" w:rsidRPr="000E62B5">
        <w:rPr>
          <w:rFonts w:cstheme="minorHAnsi"/>
          <w:highlight w:val="yellow"/>
        </w:rPr>
        <w:fldChar w:fldCharType="end"/>
      </w:r>
      <w:r w:rsidR="007703E4" w:rsidRPr="000060FB">
        <w:rPr>
          <w:rFonts w:cstheme="minorHAnsi"/>
        </w:rPr>
        <w:t>.</w:t>
      </w:r>
      <w:r w:rsidR="001E64F0">
        <w:rPr>
          <w:rFonts w:cstheme="minorHAnsi"/>
        </w:rPr>
        <w:t xml:space="preserve"> </w:t>
      </w:r>
      <w:r w:rsidR="00AE5699" w:rsidRPr="000060FB">
        <w:rPr>
          <w:rFonts w:cstheme="minorHAnsi"/>
        </w:rPr>
        <w:t>In view of these demographic trends</w:t>
      </w:r>
      <w:r w:rsidR="001E64F0">
        <w:rPr>
          <w:rFonts w:cstheme="minorHAnsi"/>
        </w:rPr>
        <w:t xml:space="preserve"> </w:t>
      </w:r>
      <w:r w:rsidR="007703E4" w:rsidRPr="000060FB">
        <w:rPr>
          <w:rFonts w:cstheme="minorHAnsi"/>
        </w:rPr>
        <w:t xml:space="preserve">an </w:t>
      </w:r>
      <w:r w:rsidR="00F958D2" w:rsidRPr="000060FB">
        <w:rPr>
          <w:rFonts w:cstheme="minorHAnsi"/>
        </w:rPr>
        <w:t>increase</w:t>
      </w:r>
      <w:r w:rsidR="007703E4" w:rsidRPr="000060FB">
        <w:rPr>
          <w:rFonts w:cstheme="minorHAnsi"/>
        </w:rPr>
        <w:t>d</w:t>
      </w:r>
      <w:r w:rsidRPr="000060FB">
        <w:rPr>
          <w:rFonts w:cstheme="minorHAnsi"/>
        </w:rPr>
        <w:t xml:space="preserve"> utilization of healthcare </w:t>
      </w:r>
      <w:r w:rsidRPr="000060FB">
        <w:rPr>
          <w:rFonts w:cstheme="minorHAnsi"/>
        </w:rPr>
        <w:lastRenderedPageBreak/>
        <w:t xml:space="preserve">services </w:t>
      </w:r>
      <w:r w:rsidR="00AE5699" w:rsidRPr="000060FB">
        <w:rPr>
          <w:rFonts w:cstheme="minorHAnsi"/>
        </w:rPr>
        <w:t>i</w:t>
      </w:r>
      <w:r w:rsidR="007703E4" w:rsidRPr="000060FB">
        <w:rPr>
          <w:rFonts w:cstheme="minorHAnsi"/>
        </w:rPr>
        <w:t>s expected in the Netherlands</w:t>
      </w:r>
      <w:r w:rsidR="00AE5699" w:rsidRPr="000060FB">
        <w:rPr>
          <w:rFonts w:cstheme="minorHAnsi"/>
        </w:rPr>
        <w:t>.</w:t>
      </w:r>
      <w:r w:rsidR="007703E4" w:rsidRPr="000060FB">
        <w:rPr>
          <w:rFonts w:cstheme="minorHAnsi"/>
        </w:rPr>
        <w:t xml:space="preserve"> </w:t>
      </w:r>
      <w:r w:rsidR="00AE5699" w:rsidRPr="000060FB">
        <w:rPr>
          <w:rFonts w:cstheme="minorHAnsi"/>
        </w:rPr>
        <w:t>C</w:t>
      </w:r>
      <w:r w:rsidR="00925ED1" w:rsidRPr="000060FB">
        <w:rPr>
          <w:rFonts w:cstheme="minorHAnsi"/>
        </w:rPr>
        <w:t xml:space="preserve">rowding of emergency departments (EDs) is </w:t>
      </w:r>
      <w:r w:rsidR="00AE5699" w:rsidRPr="000060FB">
        <w:rPr>
          <w:rFonts w:cstheme="minorHAnsi"/>
        </w:rPr>
        <w:t>becoming a</w:t>
      </w:r>
      <w:r w:rsidR="00925ED1" w:rsidRPr="000060FB">
        <w:rPr>
          <w:rFonts w:cstheme="minorHAnsi"/>
        </w:rPr>
        <w:t xml:space="preserve"> growing concern</w:t>
      </w:r>
      <w:r w:rsidR="00AE5699" w:rsidRPr="000060FB">
        <w:rPr>
          <w:rFonts w:cstheme="minorHAnsi"/>
        </w:rPr>
        <w:t xml:space="preserve">, driving measures to divert avoidable visits to hospital </w:t>
      </w:r>
      <w:proofErr w:type="spellStart"/>
      <w:r w:rsidR="00AE5699" w:rsidRPr="000060FB">
        <w:rPr>
          <w:rFonts w:cstheme="minorHAnsi"/>
        </w:rPr>
        <w:t>EDs</w:t>
      </w:r>
      <w:proofErr w:type="spellEnd"/>
      <w:r w:rsidR="00AE5699" w:rsidRPr="000060FB">
        <w:rPr>
          <w:rFonts w:cstheme="minorHAnsi"/>
        </w:rPr>
        <w:t xml:space="preserve"> </w:t>
      </w:r>
      <w:r w:rsidR="000128BE" w:rsidRPr="000060FB">
        <w:rPr>
          <w:rFonts w:cstheme="minorHAnsi"/>
        </w:rPr>
        <w:fldChar w:fldCharType="begin"/>
      </w:r>
      <w:r w:rsidR="000128BE" w:rsidRPr="000060FB">
        <w:rPr>
          <w:rFonts w:cstheme="minorHAnsi"/>
        </w:rPr>
        <w:instrText xml:space="preserve"> ADDIN ZOTERO_ITEM CSL_CITATION {"citationID":"gM29BoJf","properties":{"formattedCitation":"(Thijssen et al. 2016; Wackers et al. 2023)","plainCitation":"(Thijssen et al. 2016; Wackers et al. 2023)","noteIndex":0},"citationItems":[{"id":142,"uris":["http://zotero.org/groups/4926219/items/ZHBC5S5Q"],"itemData":{"id":142,"type":"article-journal","container-title":"BMC Health Services Research","DOI":"10.1186/s12913-016-1400-z","ISSN":"1472-6963","issue":"1","journalAbbreviation":"BMC Health Serv Res","language":"en","page":"149","source":"DOI.org (Crossref)","title":"Impact of a well-developed primary care system on the length of stay in emergency departments in the Netherlands: a multicenter study","title-short":"Impact of a well-developed primary care system on the length of stay in emergency departments in the Netherlands","volume":"16","author":[{"family":"Thijssen","given":"Wendy A. M. H."},{"family":"Kraaijvanger","given":"Nicole"},{"family":"Barten","given":"Dennis G."},{"family":"Boerma","given":"Marleen L. M."},{"family":"Giesen","given":"Paul"},{"family":"Wensing","given":"Michel"}],"issued":{"date-parts":[["2016",12]]}},"label":"page"},{"id":140,"uris":["http://zotero.org/groups/4926219/items/4ZFGIF93"],"itemData":{"id":140,"type":"article-journal","container-title":"European Journal of Emergency Medicine","DOI":"10.1097/MEJ.0000000000000969","ISSN":"0969-9546","issue":"1","language":"en","page":"15-20","source":"DOI.org (Crossref)","title":"Association between acute care collaborations and health care utilization as compared to stand-alone facilities in the Netherlands: a quasi-experimental study","title-short":"Association between acute care collaborations and health care utilization as compared to stand-alone facilities in the Netherlands","volume":"30","author":[{"family":"Wackers","given":"Erik M.E."},{"family":"Stadhouders","given":"Niek W."},{"family":"Maessen","given":"Martijn F.H."},{"family":"Tanke","given":"Marit A.C."},{"family":"Gaakeer","given":"Menno I."},{"family":"Dulmen","given":"Simone A.","non-dropping-particle":"van"},{"family":"Jeurissen","given":"Patrick P.T."}],"issued":{"date-parts":[["2023",2]]}},"label":"page"}],"schema":"https://github.com/citation-style-language/schema/raw/master/csl-citation.json"} </w:instrText>
      </w:r>
      <w:r w:rsidR="000128BE" w:rsidRPr="000060FB">
        <w:rPr>
          <w:rFonts w:cstheme="minorHAnsi"/>
        </w:rPr>
        <w:fldChar w:fldCharType="separate"/>
      </w:r>
      <w:r w:rsidR="000128BE" w:rsidRPr="000060FB">
        <w:rPr>
          <w:rFonts w:cstheme="minorHAnsi"/>
        </w:rPr>
        <w:t>(</w:t>
      </w:r>
      <w:proofErr w:type="spellStart"/>
      <w:r w:rsidR="000128BE" w:rsidRPr="000060FB">
        <w:rPr>
          <w:rFonts w:cstheme="minorHAnsi"/>
        </w:rPr>
        <w:t>Thijssen</w:t>
      </w:r>
      <w:proofErr w:type="spellEnd"/>
      <w:r w:rsidR="000128BE" w:rsidRPr="000060FB">
        <w:rPr>
          <w:rFonts w:cstheme="minorHAnsi"/>
        </w:rPr>
        <w:t xml:space="preserve"> et al.</w:t>
      </w:r>
      <w:r w:rsidR="001E64F0">
        <w:rPr>
          <w:rFonts w:cstheme="minorHAnsi"/>
        </w:rPr>
        <w:t xml:space="preserve">, </w:t>
      </w:r>
      <w:r w:rsidR="000128BE" w:rsidRPr="000060FB">
        <w:rPr>
          <w:rFonts w:cstheme="minorHAnsi"/>
        </w:rPr>
        <w:t xml:space="preserve">2016; </w:t>
      </w:r>
      <w:bookmarkStart w:id="1" w:name="_Hlk129945916"/>
      <w:proofErr w:type="spellStart"/>
      <w:r w:rsidR="000128BE" w:rsidRPr="000060FB">
        <w:rPr>
          <w:rFonts w:cstheme="minorHAnsi"/>
        </w:rPr>
        <w:t>Wackers</w:t>
      </w:r>
      <w:proofErr w:type="spellEnd"/>
      <w:r w:rsidR="000128BE" w:rsidRPr="000060FB">
        <w:rPr>
          <w:rFonts w:cstheme="minorHAnsi"/>
        </w:rPr>
        <w:t xml:space="preserve"> et al.</w:t>
      </w:r>
      <w:r w:rsidR="001E64F0">
        <w:rPr>
          <w:rFonts w:cstheme="minorHAnsi"/>
        </w:rPr>
        <w:t>,</w:t>
      </w:r>
      <w:r w:rsidR="000128BE" w:rsidRPr="000060FB">
        <w:rPr>
          <w:rFonts w:cstheme="minorHAnsi"/>
        </w:rPr>
        <w:t xml:space="preserve"> 2</w:t>
      </w:r>
      <w:r w:rsidR="00A90973">
        <w:rPr>
          <w:rFonts w:cstheme="minorHAnsi"/>
        </w:rPr>
        <w:t>02</w:t>
      </w:r>
      <w:r w:rsidR="00E85862">
        <w:rPr>
          <w:rFonts w:cstheme="minorHAnsi"/>
        </w:rPr>
        <w:t>3</w:t>
      </w:r>
      <w:bookmarkEnd w:id="1"/>
      <w:r w:rsidR="000128BE" w:rsidRPr="000060FB">
        <w:rPr>
          <w:rFonts w:cstheme="minorHAnsi"/>
        </w:rPr>
        <w:t>)</w:t>
      </w:r>
      <w:r w:rsidR="000128BE" w:rsidRPr="000060FB">
        <w:rPr>
          <w:rFonts w:cstheme="minorHAnsi"/>
        </w:rPr>
        <w:fldChar w:fldCharType="end"/>
      </w:r>
      <w:r w:rsidR="00AE5699" w:rsidRPr="000060FB">
        <w:rPr>
          <w:rFonts w:cstheme="minorHAnsi"/>
        </w:rPr>
        <w:t>.</w:t>
      </w:r>
      <w:r w:rsidR="00925ED1" w:rsidRPr="000060FB">
        <w:rPr>
          <w:rFonts w:cstheme="minorHAnsi"/>
        </w:rPr>
        <w:t xml:space="preserve"> </w:t>
      </w:r>
    </w:p>
    <w:p w14:paraId="6CF009E3" w14:textId="77777777" w:rsidR="00C467BD" w:rsidRPr="000060FB" w:rsidRDefault="00C467BD" w:rsidP="000060FB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</w:rPr>
      </w:pPr>
    </w:p>
    <w:p w14:paraId="46FA9A96" w14:textId="77777777" w:rsidR="000B2050" w:rsidRDefault="00E37B42" w:rsidP="000B2050">
      <w:pPr>
        <w:bidi w:val="0"/>
        <w:spacing w:after="120" w:line="360" w:lineRule="auto"/>
        <w:jc w:val="both"/>
        <w:rPr>
          <w:rFonts w:cstheme="minorHAnsi"/>
          <w:b/>
          <w:bCs/>
        </w:rPr>
      </w:pPr>
      <w:r w:rsidRPr="000060FB">
        <w:rPr>
          <w:rFonts w:cstheme="minorHAnsi"/>
          <w:b/>
          <w:bCs/>
        </w:rPr>
        <w:t>Measures of ED diversion</w:t>
      </w:r>
    </w:p>
    <w:p w14:paraId="00BB6E68" w14:textId="7962F209" w:rsidR="000B2050" w:rsidRPr="000B2050" w:rsidRDefault="001E64F0" w:rsidP="000B2050">
      <w:pPr>
        <w:bidi w:val="0"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Dutch</w:t>
      </w:r>
      <w:r w:rsidR="000B2050">
        <w:rPr>
          <w:rFonts w:cstheme="minorHAnsi"/>
        </w:rPr>
        <w:t xml:space="preserve"> </w:t>
      </w:r>
      <w:r w:rsidR="000060FB" w:rsidRPr="000060FB">
        <w:rPr>
          <w:rFonts w:cstheme="minorHAnsi"/>
        </w:rPr>
        <w:t xml:space="preserve">ED admissions, at </w:t>
      </w:r>
      <w:r w:rsidR="000B2050">
        <w:rPr>
          <w:rFonts w:cstheme="minorHAnsi"/>
        </w:rPr>
        <w:t>124</w:t>
      </w:r>
      <w:r w:rsidR="000060FB" w:rsidRPr="000060FB">
        <w:rPr>
          <w:rFonts w:cstheme="minorHAnsi"/>
        </w:rPr>
        <w:t xml:space="preserve"> per 1,000 inhabitants</w:t>
      </w:r>
      <w:r w:rsidR="000B2050">
        <w:rPr>
          <w:rFonts w:cstheme="minorHAnsi"/>
        </w:rPr>
        <w:t xml:space="preserve"> </w:t>
      </w:r>
      <w:r>
        <w:rPr>
          <w:rFonts w:cstheme="minorHAnsi"/>
        </w:rPr>
        <w:t xml:space="preserve">in </w:t>
      </w:r>
      <w:r w:rsidR="000B2050">
        <w:rPr>
          <w:rFonts w:cstheme="minorHAnsi"/>
        </w:rPr>
        <w:t>2012</w:t>
      </w:r>
      <w:r>
        <w:rPr>
          <w:rFonts w:cstheme="minorHAnsi"/>
        </w:rPr>
        <w:t>,</w:t>
      </w:r>
      <w:r w:rsidR="000B2050">
        <w:rPr>
          <w:rFonts w:cstheme="minorHAnsi"/>
        </w:rPr>
        <w:t xml:space="preserve"> were</w:t>
      </w:r>
      <w:r w:rsidR="000060FB" w:rsidRPr="000060FB">
        <w:rPr>
          <w:rFonts w:cstheme="minorHAnsi"/>
        </w:rPr>
        <w:t xml:space="preserve"> </w:t>
      </w:r>
      <w:r w:rsidR="000B2050">
        <w:rPr>
          <w:rFonts w:cstheme="minorHAnsi"/>
        </w:rPr>
        <w:t xml:space="preserve">lowest among benchmark countries of Australia, Denmark, England, </w:t>
      </w:r>
      <w:proofErr w:type="gramStart"/>
      <w:r w:rsidR="000B2050">
        <w:rPr>
          <w:rFonts w:cstheme="minorHAnsi"/>
        </w:rPr>
        <w:t>France</w:t>
      </w:r>
      <w:proofErr w:type="gramEnd"/>
      <w:r w:rsidR="000B2050">
        <w:rPr>
          <w:rFonts w:cstheme="minorHAnsi"/>
        </w:rPr>
        <w:t xml:space="preserve"> and Germany </w:t>
      </w:r>
      <w:r>
        <w:rPr>
          <w:rFonts w:cstheme="minorHAnsi"/>
        </w:rPr>
        <w:t>(</w:t>
      </w:r>
      <w:r w:rsidR="000060FB" w:rsidRPr="000060FB">
        <w:rPr>
          <w:rFonts w:cstheme="minorHAnsi"/>
        </w:rPr>
        <w:t>which range</w:t>
      </w:r>
      <w:r w:rsidR="000B2050">
        <w:rPr>
          <w:rFonts w:cstheme="minorHAnsi"/>
        </w:rPr>
        <w:t>d</w:t>
      </w:r>
      <w:r w:rsidR="000060FB" w:rsidRPr="000060FB">
        <w:rPr>
          <w:rFonts w:cstheme="minorHAnsi"/>
        </w:rPr>
        <w:t xml:space="preserve"> between </w:t>
      </w:r>
      <w:r w:rsidR="000B2050">
        <w:rPr>
          <w:rFonts w:cstheme="minorHAnsi"/>
        </w:rPr>
        <w:t xml:space="preserve">156 </w:t>
      </w:r>
      <w:r>
        <w:rPr>
          <w:rFonts w:cstheme="minorHAnsi"/>
        </w:rPr>
        <w:t>and</w:t>
      </w:r>
      <w:r w:rsidR="000B2050">
        <w:rPr>
          <w:rFonts w:cstheme="minorHAnsi"/>
        </w:rPr>
        <w:t xml:space="preserve"> 311</w:t>
      </w:r>
      <w:r>
        <w:rPr>
          <w:rFonts w:cstheme="minorHAnsi"/>
        </w:rPr>
        <w:t>)</w:t>
      </w:r>
      <w:r w:rsidR="000060FB" w:rsidRPr="000060FB">
        <w:rPr>
          <w:rFonts w:cstheme="minorHAnsi"/>
        </w:rPr>
        <w:t>.</w:t>
      </w:r>
      <w:r w:rsidR="000B2050">
        <w:rPr>
          <w:rFonts w:cstheme="minorHAnsi"/>
        </w:rPr>
        <w:t xml:space="preserve"> Moreover, its rates of non</w:t>
      </w:r>
      <w:r w:rsidR="000B2050">
        <w:rPr>
          <w:rFonts w:cstheme="minorHAnsi"/>
        </w:rPr>
        <w:t xml:space="preserve">-urgent ED visits </w:t>
      </w:r>
      <w:r w:rsidR="000B2050">
        <w:rPr>
          <w:rFonts w:cstheme="minorHAnsi"/>
        </w:rPr>
        <w:t>are similarly low</w:t>
      </w:r>
      <w:r>
        <w:rPr>
          <w:rFonts w:cstheme="minorHAnsi"/>
        </w:rPr>
        <w:t xml:space="preserve">—84 </w:t>
      </w:r>
      <w:r w:rsidR="000B2050">
        <w:rPr>
          <w:rFonts w:cstheme="minorHAnsi"/>
        </w:rPr>
        <w:t>per 1,000 inhabitants</w:t>
      </w:r>
      <w:r w:rsidR="000E62B5">
        <w:rPr>
          <w:rFonts w:cstheme="minorHAnsi"/>
        </w:rPr>
        <w:t>,</w:t>
      </w:r>
      <w:r w:rsidR="000B2050">
        <w:rPr>
          <w:rFonts w:cstheme="minorHAnsi"/>
        </w:rPr>
        <w:t xml:space="preserve"> </w:t>
      </w:r>
      <w:r>
        <w:rPr>
          <w:rFonts w:cstheme="minorHAnsi"/>
        </w:rPr>
        <w:t xml:space="preserve">compared to </w:t>
      </w:r>
      <w:r w:rsidR="000E62B5">
        <w:rPr>
          <w:rFonts w:cstheme="minorHAnsi"/>
        </w:rPr>
        <w:t xml:space="preserve">between </w:t>
      </w:r>
      <w:r w:rsidR="000B2050">
        <w:rPr>
          <w:rFonts w:cstheme="minorHAnsi"/>
        </w:rPr>
        <w:t>11</w:t>
      </w:r>
      <w:r>
        <w:rPr>
          <w:rFonts w:cstheme="minorHAnsi"/>
        </w:rPr>
        <w:t>1</w:t>
      </w:r>
      <w:r w:rsidR="000B2050">
        <w:rPr>
          <w:rFonts w:cstheme="minorHAnsi"/>
        </w:rPr>
        <w:t xml:space="preserve"> </w:t>
      </w:r>
      <w:r w:rsidR="000E62B5">
        <w:rPr>
          <w:rFonts w:cstheme="minorHAnsi"/>
        </w:rPr>
        <w:t>and</w:t>
      </w:r>
      <w:r w:rsidR="000B2050">
        <w:rPr>
          <w:rFonts w:cstheme="minorHAnsi"/>
        </w:rPr>
        <w:t xml:space="preserve"> 219 among these benchmark countries </w:t>
      </w:r>
      <w:r w:rsidR="000B2050" w:rsidRPr="000060FB">
        <w:rPr>
          <w:rFonts w:cstheme="minorHAnsi"/>
        </w:rPr>
        <w:t>(Baier et al, 2019)</w:t>
      </w:r>
      <w:r w:rsidR="000B2050">
        <w:rPr>
          <w:rFonts w:cstheme="minorHAnsi"/>
        </w:rPr>
        <w:t>.</w:t>
      </w:r>
    </w:p>
    <w:p w14:paraId="7F548A82" w14:textId="16352C5D" w:rsidR="004D5340" w:rsidRPr="000060FB" w:rsidRDefault="005540C5" w:rsidP="004D5340">
      <w:pPr>
        <w:bidi w:val="0"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Several </w:t>
      </w:r>
      <w:r w:rsidR="00FC0791">
        <w:rPr>
          <w:rFonts w:cstheme="minorHAnsi"/>
        </w:rPr>
        <w:t xml:space="preserve">ED diversion </w:t>
      </w:r>
      <w:r>
        <w:rPr>
          <w:rFonts w:cstheme="minorHAnsi"/>
        </w:rPr>
        <w:t xml:space="preserve">innovations contribute to these outcomes. </w:t>
      </w:r>
      <w:r w:rsidR="004D5340">
        <w:rPr>
          <w:rFonts w:cstheme="minorHAnsi"/>
        </w:rPr>
        <w:t xml:space="preserve">Common to many Western countries, the Netherlands established care pathways </w:t>
      </w:r>
      <w:r w:rsidR="004D5340" w:rsidRPr="000060FB">
        <w:rPr>
          <w:rFonts w:cstheme="minorHAnsi"/>
        </w:rPr>
        <w:t xml:space="preserve">in which ambulances bypass nearest ED for </w:t>
      </w:r>
      <w:r w:rsidR="004D5340">
        <w:rPr>
          <w:rFonts w:cstheme="minorHAnsi"/>
        </w:rPr>
        <w:t xml:space="preserve">the </w:t>
      </w:r>
      <w:r w:rsidR="004D5340" w:rsidRPr="000060FB">
        <w:rPr>
          <w:rFonts w:cstheme="minorHAnsi"/>
        </w:rPr>
        <w:t xml:space="preserve">best-equipped ED </w:t>
      </w:r>
      <w:r w:rsidR="004D5340">
        <w:rPr>
          <w:rFonts w:cstheme="minorHAnsi"/>
        </w:rPr>
        <w:t xml:space="preserve">(for trauma since the late </w:t>
      </w:r>
      <w:proofErr w:type="spellStart"/>
      <w:r w:rsidR="004D5340">
        <w:rPr>
          <w:rFonts w:cstheme="minorHAnsi"/>
        </w:rPr>
        <w:t>1990s</w:t>
      </w:r>
      <w:proofErr w:type="spellEnd"/>
      <w:r w:rsidR="004D5340">
        <w:rPr>
          <w:rFonts w:cstheme="minorHAnsi"/>
        </w:rPr>
        <w:t xml:space="preserve">, and for stroke and AMI since 2010), </w:t>
      </w:r>
      <w:r w:rsidR="004D5340" w:rsidRPr="000060FB">
        <w:rPr>
          <w:rFonts w:cstheme="minorHAnsi"/>
        </w:rPr>
        <w:t>(Baier et al., 2019).</w:t>
      </w:r>
      <w:r w:rsidR="004D5340">
        <w:rPr>
          <w:rFonts w:cstheme="minorHAnsi"/>
        </w:rPr>
        <w:t xml:space="preserve"> In addition, to provide an alternative to ED visits and hospitalization for elders with </w:t>
      </w:r>
      <w:r w:rsidR="00D27134">
        <w:rPr>
          <w:rFonts w:cstheme="minorHAnsi"/>
        </w:rPr>
        <w:t xml:space="preserve">complex </w:t>
      </w:r>
      <w:r w:rsidR="004D5340">
        <w:rPr>
          <w:rFonts w:cstheme="minorHAnsi"/>
        </w:rPr>
        <w:t xml:space="preserve">medical and/or social issues, </w:t>
      </w:r>
      <w:r w:rsidR="004D5340">
        <w:rPr>
          <w:rFonts w:cstheme="minorHAnsi"/>
          <w:i/>
          <w:iCs/>
        </w:rPr>
        <w:t xml:space="preserve">First Line Stay </w:t>
      </w:r>
      <w:r w:rsidR="001E64F0">
        <w:rPr>
          <w:rFonts w:cstheme="minorHAnsi"/>
        </w:rPr>
        <w:t xml:space="preserve">facilities </w:t>
      </w:r>
      <w:r w:rsidR="004D5340">
        <w:rPr>
          <w:rFonts w:cstheme="minorHAnsi"/>
        </w:rPr>
        <w:t>were established</w:t>
      </w:r>
      <w:r w:rsidR="001E64F0">
        <w:rPr>
          <w:rFonts w:cstheme="minorHAnsi"/>
        </w:rPr>
        <w:t xml:space="preserve"> that provide up to three months of care</w:t>
      </w:r>
      <w:r w:rsidR="004D5340">
        <w:rPr>
          <w:rFonts w:cstheme="minorHAnsi"/>
        </w:rPr>
        <w:t xml:space="preserve">. Despite their promise, however, ongoing bed shortages and imperfect information about </w:t>
      </w:r>
      <w:r w:rsidR="001E64F0">
        <w:rPr>
          <w:rFonts w:cstheme="minorHAnsi"/>
        </w:rPr>
        <w:t xml:space="preserve">bed </w:t>
      </w:r>
      <w:r w:rsidR="004D5340">
        <w:rPr>
          <w:rFonts w:cstheme="minorHAnsi"/>
        </w:rPr>
        <w:t>availab</w:t>
      </w:r>
      <w:r w:rsidR="001E64F0">
        <w:rPr>
          <w:rFonts w:cstheme="minorHAnsi"/>
        </w:rPr>
        <w:t>ility</w:t>
      </w:r>
      <w:r w:rsidR="004D5340">
        <w:rPr>
          <w:rFonts w:cstheme="minorHAnsi"/>
        </w:rPr>
        <w:t xml:space="preserve"> have meant that GPs in 2018 reported </w:t>
      </w:r>
      <w:r w:rsidR="004D5340" w:rsidRPr="000060FB">
        <w:rPr>
          <w:rFonts w:cstheme="minorHAnsi"/>
        </w:rPr>
        <w:t xml:space="preserve">that </w:t>
      </w:r>
      <w:r w:rsidR="00D27134">
        <w:rPr>
          <w:rFonts w:cstheme="minorHAnsi"/>
        </w:rPr>
        <w:t xml:space="preserve">they </w:t>
      </w:r>
      <w:r w:rsidR="004D5340">
        <w:rPr>
          <w:rFonts w:cstheme="minorHAnsi"/>
        </w:rPr>
        <w:t>found</w:t>
      </w:r>
      <w:r w:rsidR="004D5340" w:rsidRPr="000060FB">
        <w:rPr>
          <w:rFonts w:cstheme="minorHAnsi"/>
        </w:rPr>
        <w:t xml:space="preserve"> </w:t>
      </w:r>
      <w:r w:rsidR="00D27134" w:rsidRPr="00D27134">
        <w:rPr>
          <w:rFonts w:cstheme="minorHAnsi"/>
          <w:i/>
          <w:iCs/>
        </w:rPr>
        <w:t>First Line</w:t>
      </w:r>
      <w:r w:rsidR="004D5340" w:rsidRPr="000060FB">
        <w:rPr>
          <w:rFonts w:cstheme="minorHAnsi"/>
        </w:rPr>
        <w:t xml:space="preserve"> </w:t>
      </w:r>
      <w:r w:rsidR="004D5340">
        <w:rPr>
          <w:rFonts w:cstheme="minorHAnsi"/>
        </w:rPr>
        <w:t xml:space="preserve">beds </w:t>
      </w:r>
      <w:r w:rsidR="004D5340" w:rsidRPr="000060FB">
        <w:rPr>
          <w:rFonts w:cstheme="minorHAnsi"/>
        </w:rPr>
        <w:t>for only 21% of their cases on the same day.</w:t>
      </w:r>
      <w:r w:rsidR="001E64F0">
        <w:rPr>
          <w:rFonts w:cstheme="minorHAnsi"/>
        </w:rPr>
        <w:t xml:space="preserve"> </w:t>
      </w:r>
      <w:proofErr w:type="spellStart"/>
      <w:r w:rsidR="001E64F0" w:rsidRPr="000060FB">
        <w:rPr>
          <w:rFonts w:cstheme="minorHAnsi"/>
        </w:rPr>
        <w:t>Kremers</w:t>
      </w:r>
      <w:proofErr w:type="spellEnd"/>
      <w:r w:rsidR="001E64F0" w:rsidRPr="000060FB">
        <w:rPr>
          <w:rFonts w:cstheme="minorHAnsi"/>
        </w:rPr>
        <w:t xml:space="preserve"> et al. (2019) report that in 2017, 17% of patients over 65 years presenting at </w:t>
      </w:r>
      <w:proofErr w:type="spellStart"/>
      <w:r w:rsidR="001E64F0" w:rsidRPr="000060FB">
        <w:rPr>
          <w:rFonts w:cstheme="minorHAnsi"/>
        </w:rPr>
        <w:t>EDs</w:t>
      </w:r>
      <w:proofErr w:type="spellEnd"/>
      <w:r w:rsidR="001E64F0" w:rsidRPr="000060FB">
        <w:rPr>
          <w:rFonts w:cstheme="minorHAnsi"/>
        </w:rPr>
        <w:t xml:space="preserve"> could have</w:t>
      </w:r>
      <w:r w:rsidR="001E64F0">
        <w:rPr>
          <w:rFonts w:cstheme="minorHAnsi"/>
        </w:rPr>
        <w:t>—but did not—</w:t>
      </w:r>
      <w:r w:rsidR="001E64F0" w:rsidRPr="000060FB">
        <w:rPr>
          <w:rFonts w:cstheme="minorHAnsi"/>
        </w:rPr>
        <w:t xml:space="preserve">received care at </w:t>
      </w:r>
      <w:r w:rsidR="001E64F0" w:rsidRPr="004D5340">
        <w:rPr>
          <w:rFonts w:cstheme="minorHAnsi"/>
          <w:i/>
          <w:iCs/>
        </w:rPr>
        <w:t>First Line</w:t>
      </w:r>
      <w:r w:rsidR="001E64F0" w:rsidRPr="000060FB">
        <w:rPr>
          <w:rFonts w:cstheme="minorHAnsi"/>
        </w:rPr>
        <w:t xml:space="preserve"> facilities.</w:t>
      </w:r>
    </w:p>
    <w:p w14:paraId="2CB1DFCC" w14:textId="0AF39663" w:rsidR="00153F14" w:rsidRDefault="0093332A" w:rsidP="004D5340">
      <w:pPr>
        <w:bidi w:val="0"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The</w:t>
      </w:r>
      <w:r w:rsidR="00AE5699" w:rsidRPr="000060FB">
        <w:rPr>
          <w:rFonts w:cstheme="minorHAnsi"/>
        </w:rPr>
        <w:t xml:space="preserve"> </w:t>
      </w:r>
      <w:r>
        <w:rPr>
          <w:rFonts w:cstheme="minorHAnsi"/>
        </w:rPr>
        <w:t xml:space="preserve">main </w:t>
      </w:r>
      <w:r w:rsidR="00D27134">
        <w:rPr>
          <w:rFonts w:cstheme="minorHAnsi"/>
        </w:rPr>
        <w:t xml:space="preserve">innovations </w:t>
      </w:r>
      <w:r w:rsidR="001E64F0">
        <w:rPr>
          <w:rFonts w:cstheme="minorHAnsi"/>
        </w:rPr>
        <w:t xml:space="preserve">supporting </w:t>
      </w:r>
      <w:r>
        <w:rPr>
          <w:rFonts w:cstheme="minorHAnsi"/>
        </w:rPr>
        <w:t xml:space="preserve">ED diversion </w:t>
      </w:r>
      <w:r w:rsidR="00D27134">
        <w:rPr>
          <w:rFonts w:cstheme="minorHAnsi"/>
        </w:rPr>
        <w:t xml:space="preserve">in the Netherlands </w:t>
      </w:r>
      <w:r>
        <w:rPr>
          <w:rFonts w:cstheme="minorHAnsi"/>
        </w:rPr>
        <w:t xml:space="preserve">is its </w:t>
      </w:r>
      <w:r w:rsidR="00AE5699" w:rsidRPr="000060FB">
        <w:rPr>
          <w:rFonts w:cstheme="minorHAnsi"/>
        </w:rPr>
        <w:t>strong system of primary care</w:t>
      </w:r>
      <w:r w:rsidR="006153CE" w:rsidRPr="000060FB">
        <w:rPr>
          <w:rFonts w:cstheme="minorHAnsi"/>
        </w:rPr>
        <w:t xml:space="preserve">. During office-hours patients can </w:t>
      </w:r>
      <w:r w:rsidR="001E64F0">
        <w:rPr>
          <w:rFonts w:cstheme="minorHAnsi"/>
        </w:rPr>
        <w:t xml:space="preserve">usually </w:t>
      </w:r>
      <w:r w:rsidR="006153CE" w:rsidRPr="000060FB">
        <w:rPr>
          <w:rFonts w:cstheme="minorHAnsi"/>
        </w:rPr>
        <w:t xml:space="preserve">see their own </w:t>
      </w:r>
      <w:r w:rsidR="005540C5">
        <w:rPr>
          <w:rFonts w:cstheme="minorHAnsi"/>
        </w:rPr>
        <w:t>General Practitioner (GP)</w:t>
      </w:r>
      <w:r w:rsidR="006153CE" w:rsidRPr="000060FB">
        <w:rPr>
          <w:rFonts w:cstheme="minorHAnsi"/>
        </w:rPr>
        <w:t xml:space="preserve"> on the same day. </w:t>
      </w:r>
      <w:r w:rsidR="005540C5">
        <w:rPr>
          <w:rFonts w:cstheme="minorHAnsi"/>
        </w:rPr>
        <w:t>In addition, GPs are mandated to provide care during out-of-office hours (OOH)</w:t>
      </w:r>
      <w:r w:rsidR="00153F14">
        <w:rPr>
          <w:rFonts w:cstheme="minorHAnsi"/>
        </w:rPr>
        <w:t xml:space="preserve"> </w:t>
      </w:r>
      <w:r w:rsidR="001E64F0">
        <w:rPr>
          <w:rFonts w:cstheme="minorHAnsi"/>
        </w:rPr>
        <w:t xml:space="preserve">where they </w:t>
      </w:r>
      <w:r w:rsidR="00153F14">
        <w:rPr>
          <w:rFonts w:cstheme="minorHAnsi"/>
        </w:rPr>
        <w:t>act as gatekeepers to ED and hospital admission</w:t>
      </w:r>
      <w:r w:rsidR="005540C5">
        <w:rPr>
          <w:rFonts w:cstheme="minorHAnsi"/>
        </w:rPr>
        <w:t xml:space="preserve">. </w:t>
      </w:r>
      <w:r w:rsidR="001E64F0">
        <w:rPr>
          <w:rFonts w:cstheme="minorHAnsi"/>
        </w:rPr>
        <w:t>I</w:t>
      </w:r>
      <w:r w:rsidR="00153F14" w:rsidRPr="000060FB">
        <w:rPr>
          <w:rFonts w:cstheme="minorHAnsi"/>
        </w:rPr>
        <w:t xml:space="preserve">n 2016, </w:t>
      </w:r>
      <w:r w:rsidR="00EB1E2F">
        <w:rPr>
          <w:rFonts w:cstheme="minorHAnsi"/>
        </w:rPr>
        <w:t>4</w:t>
      </w:r>
      <w:r w:rsidR="00153F14" w:rsidRPr="000060FB">
        <w:rPr>
          <w:rFonts w:cstheme="minorHAnsi"/>
        </w:rPr>
        <w:t xml:space="preserve">9% of ED referrals </w:t>
      </w:r>
      <w:r w:rsidR="00153F14">
        <w:rPr>
          <w:rFonts w:cstheme="minorHAnsi"/>
        </w:rPr>
        <w:t>came via</w:t>
      </w:r>
      <w:r w:rsidR="00153F14" w:rsidRPr="000060FB">
        <w:rPr>
          <w:rFonts w:cstheme="minorHAnsi"/>
        </w:rPr>
        <w:t xml:space="preserve"> GPs</w:t>
      </w:r>
      <w:r w:rsidR="00EB1E2F">
        <w:rPr>
          <w:rFonts w:cstheme="minorHAnsi"/>
        </w:rPr>
        <w:t xml:space="preserve"> or other carers</w:t>
      </w:r>
      <w:r w:rsidR="001E64F0">
        <w:rPr>
          <w:rFonts w:cstheme="minorHAnsi"/>
        </w:rPr>
        <w:t>—m</w:t>
      </w:r>
      <w:r w:rsidR="00153F14">
        <w:rPr>
          <w:rFonts w:cstheme="minorHAnsi"/>
        </w:rPr>
        <w:t>uch higher, for example</w:t>
      </w:r>
      <w:r w:rsidR="001E64F0">
        <w:rPr>
          <w:rFonts w:cstheme="minorHAnsi"/>
        </w:rPr>
        <w:t>,</w:t>
      </w:r>
      <w:r w:rsidR="00153F14">
        <w:rPr>
          <w:rFonts w:cstheme="minorHAnsi"/>
        </w:rPr>
        <w:t xml:space="preserve"> than the UK’s </w:t>
      </w:r>
      <w:r w:rsidR="00EB1E2F">
        <w:rPr>
          <w:rFonts w:cstheme="minorHAnsi"/>
        </w:rPr>
        <w:t>2</w:t>
      </w:r>
      <w:r w:rsidR="00153F14" w:rsidRPr="000060FB">
        <w:rPr>
          <w:rFonts w:cstheme="minorHAnsi"/>
        </w:rPr>
        <w:t>5% (Monitor, 2014</w:t>
      </w:r>
      <w:r w:rsidR="00EB1E2F">
        <w:rPr>
          <w:rFonts w:cstheme="minorHAnsi"/>
        </w:rPr>
        <w:t>; Figure 1</w:t>
      </w:r>
      <w:r w:rsidR="00153F14" w:rsidRPr="000060FB">
        <w:rPr>
          <w:rFonts w:cstheme="minorHAnsi"/>
        </w:rPr>
        <w:t>).</w:t>
      </w:r>
    </w:p>
    <w:p w14:paraId="017B9F45" w14:textId="3D1F145A" w:rsidR="00FC0791" w:rsidRPr="00FC0791" w:rsidRDefault="00FC0791" w:rsidP="00FC0791">
      <w:pPr>
        <w:bidi w:val="0"/>
        <w:spacing w:after="120" w:line="360" w:lineRule="auto"/>
        <w:jc w:val="both"/>
        <w:rPr>
          <w:rFonts w:cstheme="minorHAnsi"/>
          <w:i/>
          <w:iCs/>
        </w:rPr>
      </w:pPr>
      <w:r w:rsidRPr="00FC0791">
        <w:rPr>
          <w:rFonts w:cstheme="minorHAnsi"/>
          <w:i/>
          <w:iCs/>
        </w:rPr>
        <w:t>Primary Care Centers (PCC)</w:t>
      </w:r>
    </w:p>
    <w:p w14:paraId="0FF52E65" w14:textId="209C117F" w:rsidR="00210CED" w:rsidRDefault="00D27134" w:rsidP="00210CED">
      <w:pPr>
        <w:bidi w:val="0"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153F14">
        <w:rPr>
          <w:rFonts w:cstheme="minorHAnsi"/>
        </w:rPr>
        <w:t xml:space="preserve">ince 2000, </w:t>
      </w:r>
      <w:r>
        <w:rPr>
          <w:rFonts w:cstheme="minorHAnsi"/>
        </w:rPr>
        <w:t>after hours</w:t>
      </w:r>
      <w:r w:rsidR="005540C5">
        <w:rPr>
          <w:rFonts w:cstheme="minorHAnsi"/>
        </w:rPr>
        <w:t xml:space="preserve"> care is provided </w:t>
      </w:r>
      <w:r w:rsidR="00FC0791">
        <w:rPr>
          <w:rFonts w:cstheme="minorHAnsi"/>
        </w:rPr>
        <w:t>via</w:t>
      </w:r>
      <w:r w:rsidR="005540C5">
        <w:rPr>
          <w:rFonts w:cstheme="minorHAnsi"/>
        </w:rPr>
        <w:t xml:space="preserve"> l</w:t>
      </w:r>
      <w:r w:rsidR="006153CE" w:rsidRPr="000060FB">
        <w:rPr>
          <w:rFonts w:cstheme="minorHAnsi"/>
        </w:rPr>
        <w:t xml:space="preserve">arge scale </w:t>
      </w:r>
      <w:r w:rsidR="00991938" w:rsidRPr="000060FB">
        <w:rPr>
          <w:rFonts w:cstheme="minorHAnsi"/>
        </w:rPr>
        <w:t>primary care cooperatives (PCCs)</w:t>
      </w:r>
      <w:r w:rsidR="005540C5" w:rsidRPr="000060FB">
        <w:rPr>
          <w:rFonts w:cstheme="minorHAnsi"/>
        </w:rPr>
        <w:t xml:space="preserve">. </w:t>
      </w:r>
      <w:r w:rsidR="00FC0791">
        <w:rPr>
          <w:rFonts w:cstheme="minorHAnsi"/>
        </w:rPr>
        <w:t xml:space="preserve">It is noteworthy that the </w:t>
      </w:r>
      <w:r w:rsidR="005540C5" w:rsidRPr="000060FB">
        <w:rPr>
          <w:rFonts w:cstheme="minorHAnsi"/>
        </w:rPr>
        <w:t xml:space="preserve">shift from </w:t>
      </w:r>
      <w:proofErr w:type="spellStart"/>
      <w:r w:rsidR="005540C5" w:rsidRPr="000060FB">
        <w:rPr>
          <w:rFonts w:cstheme="minorHAnsi"/>
        </w:rPr>
        <w:t>EDs</w:t>
      </w:r>
      <w:proofErr w:type="spellEnd"/>
      <w:r w:rsidR="005540C5" w:rsidRPr="000060FB">
        <w:rPr>
          <w:rFonts w:cstheme="minorHAnsi"/>
        </w:rPr>
        <w:t xml:space="preserve"> to PCCs didn’t occur without dispute: insurers offered shared savings programs to hospitals to compensate for lost revenue (Baier et al., 2019).</w:t>
      </w:r>
      <w:r w:rsidR="00FC0791">
        <w:rPr>
          <w:rFonts w:cstheme="minorHAnsi"/>
        </w:rPr>
        <w:t xml:space="preserve"> </w:t>
      </w:r>
      <w:r w:rsidR="005540C5">
        <w:rPr>
          <w:rFonts w:cstheme="minorHAnsi"/>
        </w:rPr>
        <w:t>Currently</w:t>
      </w:r>
      <w:r>
        <w:rPr>
          <w:rFonts w:cstheme="minorHAnsi"/>
        </w:rPr>
        <w:t>,</w:t>
      </w:r>
      <w:r w:rsidR="005540C5">
        <w:rPr>
          <w:rFonts w:cstheme="minorHAnsi"/>
        </w:rPr>
        <w:t xml:space="preserve"> </w:t>
      </w:r>
      <w:r w:rsidR="005540C5" w:rsidRPr="000060FB">
        <w:rPr>
          <w:rFonts w:cstheme="minorHAnsi"/>
        </w:rPr>
        <w:t xml:space="preserve">PCCs </w:t>
      </w:r>
      <w:r w:rsidR="005540C5">
        <w:rPr>
          <w:rFonts w:cstheme="minorHAnsi"/>
        </w:rPr>
        <w:t xml:space="preserve">provide </w:t>
      </w:r>
      <w:r w:rsidR="005540C5" w:rsidRPr="000060FB">
        <w:rPr>
          <w:rFonts w:cstheme="minorHAnsi"/>
        </w:rPr>
        <w:t xml:space="preserve">telephone advice (40% of contacts), clinic visits (50%) or home visits (10%) </w:t>
      </w:r>
      <w:r w:rsidR="00EB1E2F">
        <w:rPr>
          <w:rFonts w:cstheme="minorHAnsi"/>
        </w:rPr>
        <w:t>during OOH. They</w:t>
      </w:r>
      <w:r w:rsidR="005540C5">
        <w:rPr>
          <w:rFonts w:cstheme="minorHAnsi"/>
        </w:rPr>
        <w:t xml:space="preserve"> </w:t>
      </w:r>
      <w:r w:rsidR="005540C5" w:rsidRPr="000060FB">
        <w:rPr>
          <w:rFonts w:cstheme="minorHAnsi"/>
        </w:rPr>
        <w:t xml:space="preserve">employ a uniform, national </w:t>
      </w:r>
      <w:r>
        <w:rPr>
          <w:rFonts w:cstheme="minorHAnsi"/>
        </w:rPr>
        <w:t xml:space="preserve">care </w:t>
      </w:r>
      <w:r w:rsidR="005540C5" w:rsidRPr="000060FB">
        <w:rPr>
          <w:rFonts w:cstheme="minorHAnsi"/>
        </w:rPr>
        <w:t>model in which a nurse, supervised by physician</w:t>
      </w:r>
      <w:r w:rsidR="00596F85">
        <w:rPr>
          <w:rFonts w:cstheme="minorHAnsi"/>
        </w:rPr>
        <w:t>s using the same guidelines used during regular hours</w:t>
      </w:r>
      <w:r w:rsidR="005540C5" w:rsidRPr="000060FB">
        <w:rPr>
          <w:rFonts w:cstheme="minorHAnsi"/>
        </w:rPr>
        <w:t xml:space="preserve">, conducts </w:t>
      </w:r>
      <w:r w:rsidR="00EB1E2F">
        <w:rPr>
          <w:rFonts w:cstheme="minorHAnsi"/>
        </w:rPr>
        <w:t xml:space="preserve">standardized </w:t>
      </w:r>
      <w:r w:rsidR="005540C5" w:rsidRPr="000060FB">
        <w:rPr>
          <w:rFonts w:cstheme="minorHAnsi"/>
        </w:rPr>
        <w:lastRenderedPageBreak/>
        <w:t>telephone triage</w:t>
      </w:r>
      <w:r>
        <w:rPr>
          <w:rFonts w:cstheme="minorHAnsi"/>
        </w:rPr>
        <w:t>,</w:t>
      </w:r>
      <w:r w:rsidR="005540C5" w:rsidRPr="000060FB">
        <w:rPr>
          <w:rFonts w:cstheme="minorHAnsi"/>
        </w:rPr>
        <w:t xml:space="preserve"> </w:t>
      </w:r>
      <w:r w:rsidR="00153F14" w:rsidRPr="00EB1E2F">
        <w:rPr>
          <w:rFonts w:cstheme="minorHAnsi"/>
        </w:rPr>
        <w:t>and ph</w:t>
      </w:r>
      <w:r w:rsidR="005540C5" w:rsidRPr="00EB1E2F">
        <w:rPr>
          <w:rFonts w:cstheme="minorHAnsi"/>
        </w:rPr>
        <w:t xml:space="preserve">ysicians </w:t>
      </w:r>
      <w:r w:rsidR="005540C5" w:rsidRPr="000060FB">
        <w:rPr>
          <w:rFonts w:cstheme="minorHAnsi"/>
        </w:rPr>
        <w:t>are always onsite (Smits et al., 2017).</w:t>
      </w:r>
      <w:r w:rsidR="00153F14">
        <w:rPr>
          <w:rFonts w:cstheme="minorHAnsi"/>
        </w:rPr>
        <w:t xml:space="preserve"> </w:t>
      </w:r>
      <w:r w:rsidR="00EB1E2F">
        <w:rPr>
          <w:rFonts w:cstheme="minorHAnsi"/>
        </w:rPr>
        <w:t>In addition, all PCCs can conduct urine and glucose testing and a growing number also offer radiology and routine lab tests (Rutten et al., 2017). Consumer f</w:t>
      </w:r>
      <w:r w:rsidR="00210CED">
        <w:rPr>
          <w:rFonts w:cstheme="minorHAnsi"/>
        </w:rPr>
        <w:t xml:space="preserve">inancial incentives </w:t>
      </w:r>
      <w:r w:rsidR="00EB1E2F">
        <w:rPr>
          <w:rFonts w:cstheme="minorHAnsi"/>
        </w:rPr>
        <w:t xml:space="preserve">also </w:t>
      </w:r>
      <w:r w:rsidR="00210CED">
        <w:rPr>
          <w:rFonts w:cstheme="minorHAnsi"/>
        </w:rPr>
        <w:t>contribute to t</w:t>
      </w:r>
      <w:r w:rsidR="00210CED">
        <w:rPr>
          <w:rFonts w:cstheme="minorHAnsi"/>
        </w:rPr>
        <w:t>he use of PCCs as an ED alternative</w:t>
      </w:r>
      <w:r w:rsidR="00210CED" w:rsidRPr="000060FB">
        <w:rPr>
          <w:rFonts w:cstheme="minorHAnsi"/>
        </w:rPr>
        <w:t xml:space="preserve"> (</w:t>
      </w:r>
      <w:proofErr w:type="spellStart"/>
      <w:r w:rsidR="00210CED" w:rsidRPr="000060FB">
        <w:rPr>
          <w:rFonts w:cstheme="minorHAnsi"/>
        </w:rPr>
        <w:t>Kremers</w:t>
      </w:r>
      <w:proofErr w:type="spellEnd"/>
      <w:r w:rsidR="00210CED" w:rsidRPr="000060FB">
        <w:rPr>
          <w:rFonts w:cstheme="minorHAnsi"/>
        </w:rPr>
        <w:t xml:space="preserve"> et al., 2019)</w:t>
      </w:r>
      <w:r w:rsidR="00210CED">
        <w:rPr>
          <w:rFonts w:cstheme="minorHAnsi"/>
        </w:rPr>
        <w:t xml:space="preserve">. Until an annual cap is reached, consumers pay </w:t>
      </w:r>
      <w:r w:rsidR="00210CED">
        <w:rPr>
          <w:rFonts w:cstheme="minorHAnsi"/>
        </w:rPr>
        <w:t xml:space="preserve">relatively high deductibles </w:t>
      </w:r>
      <w:r>
        <w:rPr>
          <w:rFonts w:cstheme="minorHAnsi"/>
        </w:rPr>
        <w:t xml:space="preserve">for ED self-referrals </w:t>
      </w:r>
      <w:r w:rsidR="00210CED">
        <w:rPr>
          <w:rFonts w:cstheme="minorHAnsi"/>
        </w:rPr>
        <w:t>(</w:t>
      </w:r>
      <w:r w:rsidR="00210CED">
        <w:rPr>
          <w:rFonts w:ascii="Roboto" w:hAnsi="Roboto"/>
          <w:color w:val="202124"/>
          <w:sz w:val="21"/>
          <w:szCs w:val="21"/>
          <w:shd w:val="clear" w:color="auto" w:fill="FFFFFF"/>
        </w:rPr>
        <w:t>€</w:t>
      </w:r>
      <w:r w:rsidR="00210CED">
        <w:rPr>
          <w:rFonts w:cstheme="minorHAnsi"/>
        </w:rPr>
        <w:t xml:space="preserve">357 to </w:t>
      </w:r>
      <w:r w:rsidR="00210CED">
        <w:rPr>
          <w:rFonts w:ascii="Roboto" w:hAnsi="Roboto"/>
          <w:color w:val="202124"/>
          <w:sz w:val="21"/>
          <w:szCs w:val="21"/>
          <w:shd w:val="clear" w:color="auto" w:fill="FFFFFF"/>
        </w:rPr>
        <w:t>€</w:t>
      </w:r>
      <w:r w:rsidR="00210CED">
        <w:rPr>
          <w:rFonts w:cstheme="minorHAnsi"/>
        </w:rPr>
        <w:t xml:space="preserve">875 in 2015) </w:t>
      </w:r>
      <w:r w:rsidR="00210CED">
        <w:rPr>
          <w:rFonts w:cstheme="minorHAnsi"/>
        </w:rPr>
        <w:t xml:space="preserve">to </w:t>
      </w:r>
      <w:r w:rsidR="00210CED">
        <w:rPr>
          <w:rFonts w:cstheme="minorHAnsi"/>
        </w:rPr>
        <w:t>self-referral</w:t>
      </w:r>
      <w:r w:rsidR="00210CED">
        <w:rPr>
          <w:rFonts w:cstheme="minorHAnsi"/>
        </w:rPr>
        <w:t>s</w:t>
      </w:r>
      <w:r w:rsidR="00210CED" w:rsidRPr="000060FB">
        <w:rPr>
          <w:rFonts w:cstheme="minorHAnsi"/>
        </w:rPr>
        <w:t xml:space="preserve"> (Baier et al., 2019).</w:t>
      </w:r>
      <w:r w:rsidR="00210CED">
        <w:rPr>
          <w:rFonts w:cstheme="minorHAnsi"/>
        </w:rPr>
        <w:t xml:space="preserve"> </w:t>
      </w:r>
    </w:p>
    <w:p w14:paraId="4CB19516" w14:textId="1C36D982" w:rsidR="00C154D9" w:rsidRDefault="00FC0791" w:rsidP="00C154D9">
      <w:pPr>
        <w:bidi w:val="0"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Quality of care provided in PCCs is generally considered to be good. A </w:t>
      </w:r>
      <w:r w:rsidR="00153F14">
        <w:rPr>
          <w:rFonts w:cstheme="minorHAnsi"/>
        </w:rPr>
        <w:t xml:space="preserve">2017 study found that patients were either correctly triaged </w:t>
      </w:r>
      <w:r w:rsidR="00D27134">
        <w:rPr>
          <w:rFonts w:cstheme="minorHAnsi"/>
        </w:rPr>
        <w:t xml:space="preserve">(79%) </w:t>
      </w:r>
      <w:r w:rsidR="00153F14">
        <w:rPr>
          <w:rFonts w:cstheme="minorHAnsi"/>
        </w:rPr>
        <w:t xml:space="preserve">or incorrectly triaged </w:t>
      </w:r>
      <w:r w:rsidR="00D27134">
        <w:rPr>
          <w:rFonts w:cstheme="minorHAnsi"/>
        </w:rPr>
        <w:t xml:space="preserve">to </w:t>
      </w:r>
      <w:r w:rsidR="00153F14">
        <w:rPr>
          <w:rFonts w:cstheme="minorHAnsi"/>
        </w:rPr>
        <w:t>higher level of care</w:t>
      </w:r>
      <w:r w:rsidR="00D27134">
        <w:rPr>
          <w:rFonts w:cstheme="minorHAnsi"/>
        </w:rPr>
        <w:t xml:space="preserve"> (12%)</w:t>
      </w:r>
      <w:r w:rsidR="00153F14">
        <w:rPr>
          <w:rFonts w:cstheme="minorHAnsi"/>
        </w:rPr>
        <w:t xml:space="preserve"> and </w:t>
      </w:r>
      <w:r w:rsidR="00153F14" w:rsidRPr="000060FB">
        <w:rPr>
          <w:rFonts w:cstheme="minorHAnsi"/>
        </w:rPr>
        <w:t>conclud</w:t>
      </w:r>
      <w:r w:rsidR="00153F14">
        <w:rPr>
          <w:rFonts w:cstheme="minorHAnsi"/>
        </w:rPr>
        <w:t>ed</w:t>
      </w:r>
      <w:r w:rsidR="00153F14" w:rsidRPr="000060FB">
        <w:rPr>
          <w:rFonts w:cstheme="minorHAnsi"/>
        </w:rPr>
        <w:t xml:space="preserve"> that PCC care is “reasonably efficient and safe” (Rutten et al., 2017).</w:t>
      </w:r>
      <w:r w:rsidRPr="00FC0791">
        <w:rPr>
          <w:rFonts w:cstheme="minorHAnsi"/>
        </w:rPr>
        <w:t xml:space="preserve"> </w:t>
      </w:r>
      <w:r w:rsidRPr="000060FB">
        <w:rPr>
          <w:rFonts w:cstheme="minorHAnsi"/>
        </w:rPr>
        <w:t>Average waiting time is 30 minutes, with 90% of all patients needing a home visit reached within an hour, and 70% of those with life-threatening conditions reached within 15 minutes (Monitor, 2014).</w:t>
      </w:r>
      <w:r>
        <w:rPr>
          <w:rFonts w:cstheme="minorHAnsi"/>
        </w:rPr>
        <w:t xml:space="preserve"> Finally, as </w:t>
      </w:r>
      <w:r w:rsidR="00153F14" w:rsidRPr="000060FB">
        <w:rPr>
          <w:rFonts w:cstheme="minorHAnsi"/>
        </w:rPr>
        <w:t xml:space="preserve">PCCs </w:t>
      </w:r>
      <w:r>
        <w:rPr>
          <w:rFonts w:cstheme="minorHAnsi"/>
        </w:rPr>
        <w:t xml:space="preserve">resulted in declining OOH call hours from 19 to 4 hours per week, </w:t>
      </w:r>
      <w:r w:rsidR="00153F14" w:rsidRPr="000060FB">
        <w:rPr>
          <w:rFonts w:cstheme="minorHAnsi"/>
        </w:rPr>
        <w:t>GP</w:t>
      </w:r>
      <w:r>
        <w:rPr>
          <w:rFonts w:cstheme="minorHAnsi"/>
        </w:rPr>
        <w:t>s report</w:t>
      </w:r>
      <w:r w:rsidR="00153F14" w:rsidRPr="000060FB">
        <w:rPr>
          <w:rFonts w:cstheme="minorHAnsi"/>
        </w:rPr>
        <w:t xml:space="preserve"> </w:t>
      </w:r>
      <w:r w:rsidR="00EB1E2F">
        <w:rPr>
          <w:rFonts w:cstheme="minorHAnsi"/>
        </w:rPr>
        <w:t xml:space="preserve">greater </w:t>
      </w:r>
      <w:r w:rsidR="00153F14" w:rsidRPr="000060FB">
        <w:rPr>
          <w:rFonts w:cstheme="minorHAnsi"/>
        </w:rPr>
        <w:t xml:space="preserve">job satisfaction around work–life balance (Monitor, 2014). </w:t>
      </w:r>
    </w:p>
    <w:p w14:paraId="3F5CB0CE" w14:textId="29483AEC" w:rsidR="00C154D9" w:rsidRPr="000060FB" w:rsidRDefault="00C154D9" w:rsidP="00C154D9">
      <w:pPr>
        <w:bidi w:val="0"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As reported by Smits et al. (2017), patient c</w:t>
      </w:r>
      <w:r w:rsidRPr="000060FB">
        <w:rPr>
          <w:rFonts w:cstheme="minorHAnsi"/>
        </w:rPr>
        <w:t xml:space="preserve">ontacts with PCCs have been increasing since 2005, a large portion of which (45%) are considered to be nonurgent medically. GPs are </w:t>
      </w:r>
      <w:r w:rsidR="00D27134">
        <w:rPr>
          <w:rFonts w:cstheme="minorHAnsi"/>
        </w:rPr>
        <w:t xml:space="preserve">concerned </w:t>
      </w:r>
      <w:r w:rsidRPr="000060FB">
        <w:rPr>
          <w:rFonts w:cstheme="minorHAnsi"/>
        </w:rPr>
        <w:t xml:space="preserve">about the increasing </w:t>
      </w:r>
      <w:r w:rsidRPr="000060FB">
        <w:rPr>
          <w:rFonts w:cstheme="minorHAnsi"/>
        </w:rPr>
        <w:t>workload</w:t>
      </w:r>
      <w:r w:rsidRPr="000060FB">
        <w:rPr>
          <w:rFonts w:cstheme="minorHAnsi"/>
        </w:rPr>
        <w:t xml:space="preserve"> and have made a number of improvement suggestions. These include better triage and more telephone doctors to support nurses, higher consumer copays/deductibles, improvements in daytime access to GPs</w:t>
      </w:r>
      <w:r>
        <w:rPr>
          <w:rFonts w:cstheme="minorHAnsi"/>
        </w:rPr>
        <w:t>,</w:t>
      </w:r>
      <w:r w:rsidRPr="000060FB">
        <w:rPr>
          <w:rFonts w:cstheme="minorHAnsi"/>
        </w:rPr>
        <w:t xml:space="preserve"> and </w:t>
      </w:r>
      <w:r>
        <w:rPr>
          <w:rFonts w:cstheme="minorHAnsi"/>
        </w:rPr>
        <w:t xml:space="preserve">more </w:t>
      </w:r>
      <w:r w:rsidRPr="000060FB">
        <w:rPr>
          <w:rFonts w:cstheme="minorHAnsi"/>
        </w:rPr>
        <w:t xml:space="preserve">attention to </w:t>
      </w:r>
      <w:r w:rsidR="00D27134">
        <w:rPr>
          <w:rFonts w:cstheme="minorHAnsi"/>
        </w:rPr>
        <w:t xml:space="preserve">underlying </w:t>
      </w:r>
      <w:r w:rsidRPr="000060FB">
        <w:rPr>
          <w:rFonts w:cstheme="minorHAnsi"/>
        </w:rPr>
        <w:t xml:space="preserve">reasons </w:t>
      </w:r>
      <w:r w:rsidR="00D27134">
        <w:rPr>
          <w:rFonts w:cstheme="minorHAnsi"/>
        </w:rPr>
        <w:t xml:space="preserve">for higher </w:t>
      </w:r>
      <w:r w:rsidRPr="000060FB">
        <w:rPr>
          <w:rFonts w:cstheme="minorHAnsi"/>
        </w:rPr>
        <w:t>utilization in</w:t>
      </w:r>
      <w:r>
        <w:rPr>
          <w:rFonts w:cstheme="minorHAnsi"/>
        </w:rPr>
        <w:t xml:space="preserve"> communities </w:t>
      </w:r>
      <w:r w:rsidRPr="000060FB">
        <w:rPr>
          <w:rFonts w:cstheme="minorHAnsi"/>
        </w:rPr>
        <w:t xml:space="preserve">with more women, </w:t>
      </w:r>
      <w:r w:rsidR="001342E4" w:rsidRPr="000060FB">
        <w:rPr>
          <w:rFonts w:cstheme="minorHAnsi"/>
        </w:rPr>
        <w:t>low-income</w:t>
      </w:r>
      <w:r w:rsidRPr="000060FB">
        <w:rPr>
          <w:rFonts w:cstheme="minorHAnsi"/>
        </w:rPr>
        <w:t xml:space="preserve"> households</w:t>
      </w:r>
      <w:r w:rsidR="001342E4">
        <w:rPr>
          <w:rFonts w:cstheme="minorHAnsi"/>
        </w:rPr>
        <w:t>,</w:t>
      </w:r>
      <w:r w:rsidRPr="000060FB">
        <w:rPr>
          <w:rFonts w:cstheme="minorHAnsi"/>
        </w:rPr>
        <w:t xml:space="preserve"> and non-Western immigrants</w:t>
      </w:r>
      <w:r>
        <w:rPr>
          <w:rFonts w:cstheme="minorHAnsi"/>
        </w:rPr>
        <w:t>.</w:t>
      </w:r>
      <w:r w:rsidRPr="000060FB">
        <w:rPr>
          <w:rFonts w:cstheme="minorHAnsi"/>
        </w:rPr>
        <w:t xml:space="preserve"> </w:t>
      </w:r>
    </w:p>
    <w:p w14:paraId="35FDD274" w14:textId="57DA87BA" w:rsidR="00FC0791" w:rsidRPr="00FC0791" w:rsidRDefault="00FC0791" w:rsidP="00FC0791">
      <w:pPr>
        <w:bidi w:val="0"/>
        <w:rPr>
          <w:rFonts w:cstheme="minorHAnsi"/>
          <w:i/>
          <w:iCs/>
        </w:rPr>
      </w:pPr>
      <w:r w:rsidRPr="00FC0791">
        <w:rPr>
          <w:rFonts w:cstheme="minorHAnsi"/>
          <w:i/>
          <w:iCs/>
        </w:rPr>
        <w:t>Emergency Care Access Points (</w:t>
      </w:r>
      <w:r w:rsidRPr="00FC0791">
        <w:rPr>
          <w:rFonts w:cstheme="minorHAnsi"/>
          <w:i/>
          <w:iCs/>
        </w:rPr>
        <w:t>ECAP</w:t>
      </w:r>
      <w:r w:rsidRPr="00FC0791">
        <w:rPr>
          <w:rFonts w:cstheme="minorHAnsi"/>
          <w:i/>
          <w:iCs/>
        </w:rPr>
        <w:t>)</w:t>
      </w:r>
    </w:p>
    <w:p w14:paraId="33D4A49E" w14:textId="2BDB8D5F" w:rsidR="00EA2D9F" w:rsidRDefault="00210CED" w:rsidP="00210CED">
      <w:pPr>
        <w:bidi w:val="0"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Increasingly, PCCs are </w:t>
      </w:r>
      <w:r w:rsidRPr="000060FB">
        <w:rPr>
          <w:rFonts w:cstheme="minorHAnsi"/>
        </w:rPr>
        <w:t>located near hospital</w:t>
      </w:r>
      <w:r>
        <w:rPr>
          <w:rFonts w:cstheme="minorHAnsi"/>
        </w:rPr>
        <w:t>s</w:t>
      </w:r>
      <w:r w:rsidRPr="000060FB">
        <w:rPr>
          <w:rFonts w:cstheme="minorHAnsi"/>
        </w:rPr>
        <w:t xml:space="preserve"> </w:t>
      </w:r>
      <w:r>
        <w:rPr>
          <w:rFonts w:cstheme="minorHAnsi"/>
        </w:rPr>
        <w:t>or in formal collaboration</w:t>
      </w:r>
      <w:r w:rsidR="00D27134">
        <w:rPr>
          <w:rFonts w:cstheme="minorHAnsi"/>
        </w:rPr>
        <w:t>s</w:t>
      </w:r>
      <w:r>
        <w:rPr>
          <w:rFonts w:cstheme="minorHAnsi"/>
        </w:rPr>
        <w:t xml:space="preserve"> with </w:t>
      </w:r>
      <w:proofErr w:type="spellStart"/>
      <w:r>
        <w:rPr>
          <w:rFonts w:cstheme="minorHAnsi"/>
        </w:rPr>
        <w:t>EDs</w:t>
      </w:r>
      <w:proofErr w:type="spellEnd"/>
      <w:r>
        <w:rPr>
          <w:rFonts w:cstheme="minorHAnsi"/>
        </w:rPr>
        <w:t xml:space="preserve"> (Smits et al., 2017)</w:t>
      </w:r>
      <w:r w:rsidR="00D27134">
        <w:rPr>
          <w:rFonts w:cstheme="minorHAnsi"/>
        </w:rPr>
        <w:t>,</w:t>
      </w:r>
      <w:r w:rsidR="00EB1E2F">
        <w:rPr>
          <w:rFonts w:cstheme="minorHAnsi"/>
        </w:rPr>
        <w:t xml:space="preserve"> with </w:t>
      </w:r>
      <w:r>
        <w:rPr>
          <w:rFonts w:cstheme="minorHAnsi"/>
        </w:rPr>
        <w:t xml:space="preserve">the goal of redirecting non-urgent </w:t>
      </w:r>
      <w:r w:rsidR="00EB1E2F">
        <w:rPr>
          <w:rFonts w:cstheme="minorHAnsi"/>
        </w:rPr>
        <w:t xml:space="preserve">ED </w:t>
      </w:r>
      <w:r>
        <w:rPr>
          <w:rFonts w:cstheme="minorHAnsi"/>
        </w:rPr>
        <w:t>self-referrals to GPs</w:t>
      </w:r>
      <w:r w:rsidR="00FC0791">
        <w:rPr>
          <w:rFonts w:cstheme="minorHAnsi"/>
        </w:rPr>
        <w:t xml:space="preserve"> (</w:t>
      </w:r>
      <w:proofErr w:type="spellStart"/>
      <w:r w:rsidR="00FC0791">
        <w:rPr>
          <w:rFonts w:cstheme="minorHAnsi"/>
        </w:rPr>
        <w:t>Thijssen</w:t>
      </w:r>
      <w:proofErr w:type="spellEnd"/>
      <w:r w:rsidR="001342E4">
        <w:rPr>
          <w:rFonts w:cstheme="minorHAnsi"/>
        </w:rPr>
        <w:t xml:space="preserve"> et al.</w:t>
      </w:r>
      <w:r w:rsidR="00FC0791">
        <w:rPr>
          <w:rFonts w:cstheme="minorHAnsi"/>
        </w:rPr>
        <w:t xml:space="preserve">, 2016). These collaborations </w:t>
      </w:r>
      <w:r>
        <w:rPr>
          <w:rFonts w:cstheme="minorHAnsi"/>
        </w:rPr>
        <w:t xml:space="preserve">typically take </w:t>
      </w:r>
      <w:r w:rsidR="00FC0791">
        <w:rPr>
          <w:rFonts w:cstheme="minorHAnsi"/>
        </w:rPr>
        <w:t xml:space="preserve">the form of Emergency Care Access Points </w:t>
      </w:r>
      <w:r w:rsidR="00D27134">
        <w:rPr>
          <w:rFonts w:cstheme="minorHAnsi"/>
        </w:rPr>
        <w:t xml:space="preserve">(ECAP) </w:t>
      </w:r>
      <w:r>
        <w:rPr>
          <w:rFonts w:cstheme="minorHAnsi"/>
        </w:rPr>
        <w:t xml:space="preserve">in which all patients seeking emergency care enter </w:t>
      </w:r>
      <w:r w:rsidR="00EB1E2F">
        <w:rPr>
          <w:rFonts w:cstheme="minorHAnsi"/>
        </w:rPr>
        <w:t xml:space="preserve">(usually a hospital) </w:t>
      </w:r>
      <w:r>
        <w:rPr>
          <w:rFonts w:cstheme="minorHAnsi"/>
        </w:rPr>
        <w:t xml:space="preserve">through a single access point and are triaged to either GP or ED care </w:t>
      </w:r>
      <w:r w:rsidRPr="000060FB">
        <w:rPr>
          <w:rFonts w:cstheme="minorHAnsi"/>
        </w:rPr>
        <w:t xml:space="preserve">(Gils-van </w:t>
      </w:r>
      <w:proofErr w:type="spellStart"/>
      <w:r w:rsidRPr="000060FB">
        <w:rPr>
          <w:rFonts w:cstheme="minorHAnsi"/>
        </w:rPr>
        <w:t>Rooij</w:t>
      </w:r>
      <w:proofErr w:type="spellEnd"/>
      <w:r w:rsidRPr="000060FB">
        <w:rPr>
          <w:rFonts w:cstheme="minorHAnsi"/>
        </w:rPr>
        <w:t xml:space="preserve"> et al., 2015)</w:t>
      </w:r>
      <w:r w:rsidR="00FC0791">
        <w:rPr>
          <w:rFonts w:cstheme="minorHAnsi"/>
        </w:rPr>
        <w:t xml:space="preserve">. By 2015, </w:t>
      </w:r>
      <w:r w:rsidR="00596F85">
        <w:rPr>
          <w:rFonts w:cstheme="minorHAnsi"/>
        </w:rPr>
        <w:t xml:space="preserve">at least 71 of the country’s 122 PCCs </w:t>
      </w:r>
      <w:r w:rsidR="000060FB" w:rsidRPr="000060FB">
        <w:rPr>
          <w:rFonts w:cstheme="minorHAnsi"/>
        </w:rPr>
        <w:t xml:space="preserve">were </w:t>
      </w:r>
      <w:r w:rsidR="00EB1E2F">
        <w:rPr>
          <w:rFonts w:cstheme="minorHAnsi"/>
        </w:rPr>
        <w:t xml:space="preserve">part of an </w:t>
      </w:r>
      <w:r>
        <w:rPr>
          <w:rFonts w:cstheme="minorHAnsi"/>
        </w:rPr>
        <w:t xml:space="preserve">ECAP </w:t>
      </w:r>
      <w:r w:rsidR="00EB1E2F">
        <w:rPr>
          <w:rFonts w:cstheme="minorHAnsi"/>
        </w:rPr>
        <w:t>(</w:t>
      </w:r>
      <w:r w:rsidR="000060FB" w:rsidRPr="000060FB">
        <w:rPr>
          <w:rFonts w:cstheme="minorHAnsi"/>
        </w:rPr>
        <w:t>Smits et al., 2017).</w:t>
      </w:r>
      <w:r w:rsidR="00596F85">
        <w:rPr>
          <w:rFonts w:cstheme="minorHAnsi"/>
        </w:rPr>
        <w:t xml:space="preserve">  </w:t>
      </w:r>
    </w:p>
    <w:p w14:paraId="0EF95DB5" w14:textId="1FBDE205" w:rsidR="00AD55A2" w:rsidRDefault="00AC591A" w:rsidP="007F2EE9">
      <w:pPr>
        <w:bidi w:val="0"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Data are mixed about the impact of ECAPs on ED utilization. </w:t>
      </w:r>
      <w:r w:rsidR="00AD55A2">
        <w:rPr>
          <w:rFonts w:cstheme="minorHAnsi"/>
        </w:rPr>
        <w:t>A</w:t>
      </w:r>
      <w:r w:rsidR="00AD55A2" w:rsidRPr="000060FB">
        <w:rPr>
          <w:rFonts w:cstheme="minorHAnsi"/>
        </w:rPr>
        <w:t xml:space="preserve"> 2011 study found a 22% decrease and a 2013 study a 13% decrease in overall ED </w:t>
      </w:r>
      <w:r w:rsidR="00AD55A2">
        <w:rPr>
          <w:rFonts w:cstheme="minorHAnsi"/>
        </w:rPr>
        <w:t>admissions</w:t>
      </w:r>
      <w:r w:rsidR="00AD55A2">
        <w:rPr>
          <w:rFonts w:cstheme="minorHAnsi"/>
        </w:rPr>
        <w:t xml:space="preserve"> (</w:t>
      </w:r>
      <w:r w:rsidR="00AD55A2" w:rsidRPr="000060FB">
        <w:rPr>
          <w:rFonts w:cstheme="minorHAnsi"/>
        </w:rPr>
        <w:t>Smits et al.</w:t>
      </w:r>
      <w:r w:rsidR="00AD55A2">
        <w:rPr>
          <w:rFonts w:cstheme="minorHAnsi"/>
        </w:rPr>
        <w:t xml:space="preserve">, </w:t>
      </w:r>
      <w:r w:rsidR="00AD55A2" w:rsidRPr="000060FB">
        <w:rPr>
          <w:rFonts w:cstheme="minorHAnsi"/>
        </w:rPr>
        <w:t xml:space="preserve">2017). </w:t>
      </w:r>
      <w:r w:rsidR="00AD55A2">
        <w:rPr>
          <w:rFonts w:cstheme="minorHAnsi"/>
        </w:rPr>
        <w:t xml:space="preserve">Similarly, a 2016 study, while confirming the </w:t>
      </w:r>
      <w:r w:rsidR="00AD55A2" w:rsidRPr="000060FB">
        <w:rPr>
          <w:rFonts w:cstheme="minorHAnsi"/>
        </w:rPr>
        <w:t xml:space="preserve">association between </w:t>
      </w:r>
      <w:r w:rsidR="00AD55A2">
        <w:rPr>
          <w:rFonts w:cstheme="minorHAnsi"/>
        </w:rPr>
        <w:t>the Netherland’s</w:t>
      </w:r>
      <w:r w:rsidR="00AD55A2" w:rsidRPr="000060FB">
        <w:rPr>
          <w:rFonts w:cstheme="minorHAnsi"/>
        </w:rPr>
        <w:t xml:space="preserve"> well-developed primary care system and </w:t>
      </w:r>
      <w:proofErr w:type="gramStart"/>
      <w:r w:rsidR="00AD55A2">
        <w:rPr>
          <w:rFonts w:cstheme="minorHAnsi"/>
        </w:rPr>
        <w:t>overall</w:t>
      </w:r>
      <w:proofErr w:type="gramEnd"/>
      <w:r w:rsidR="00AD55A2">
        <w:rPr>
          <w:rFonts w:cstheme="minorHAnsi"/>
        </w:rPr>
        <w:t xml:space="preserve"> </w:t>
      </w:r>
      <w:r w:rsidR="00AD55A2" w:rsidRPr="000060FB">
        <w:rPr>
          <w:rFonts w:cstheme="minorHAnsi"/>
        </w:rPr>
        <w:t xml:space="preserve">ED </w:t>
      </w:r>
      <w:r w:rsidR="00D27134">
        <w:rPr>
          <w:rFonts w:cstheme="minorHAnsi"/>
        </w:rPr>
        <w:t>l</w:t>
      </w:r>
      <w:r w:rsidR="00AD55A2">
        <w:rPr>
          <w:rFonts w:cstheme="minorHAnsi"/>
        </w:rPr>
        <w:t xml:space="preserve">ength of </w:t>
      </w:r>
      <w:r w:rsidR="00D27134">
        <w:rPr>
          <w:rFonts w:cstheme="minorHAnsi"/>
        </w:rPr>
        <w:t>s</w:t>
      </w:r>
      <w:r w:rsidR="00AD55A2">
        <w:rPr>
          <w:rFonts w:cstheme="minorHAnsi"/>
        </w:rPr>
        <w:t>tay</w:t>
      </w:r>
      <w:r w:rsidR="00D27134">
        <w:rPr>
          <w:rFonts w:cstheme="minorHAnsi"/>
        </w:rPr>
        <w:t xml:space="preserve"> (LOS)</w:t>
      </w:r>
      <w:r w:rsidR="00AD55A2">
        <w:rPr>
          <w:rFonts w:cstheme="minorHAnsi"/>
        </w:rPr>
        <w:t>, f</w:t>
      </w:r>
      <w:r w:rsidR="00AD55A2" w:rsidRPr="000060FB">
        <w:rPr>
          <w:rFonts w:cstheme="minorHAnsi"/>
        </w:rPr>
        <w:t xml:space="preserve">ound no difference </w:t>
      </w:r>
      <w:r w:rsidR="00D27134">
        <w:rPr>
          <w:rFonts w:cstheme="minorHAnsi"/>
        </w:rPr>
        <w:t xml:space="preserve">between regular </w:t>
      </w:r>
      <w:proofErr w:type="spellStart"/>
      <w:r w:rsidR="00D27134">
        <w:rPr>
          <w:rFonts w:cstheme="minorHAnsi"/>
        </w:rPr>
        <w:t>EDs</w:t>
      </w:r>
      <w:proofErr w:type="spellEnd"/>
      <w:r w:rsidR="00D27134">
        <w:rPr>
          <w:rFonts w:cstheme="minorHAnsi"/>
        </w:rPr>
        <w:t xml:space="preserve"> and </w:t>
      </w:r>
      <w:r w:rsidR="00AD55A2">
        <w:rPr>
          <w:rFonts w:cstheme="minorHAnsi"/>
        </w:rPr>
        <w:t xml:space="preserve">ECAPs </w:t>
      </w:r>
      <w:r w:rsidR="00AD55A2" w:rsidRPr="004D5340">
        <w:rPr>
          <w:rFonts w:cstheme="minorHAnsi"/>
        </w:rPr>
        <w:t>(</w:t>
      </w:r>
      <w:proofErr w:type="spellStart"/>
      <w:r w:rsidR="00AD55A2" w:rsidRPr="004D5340">
        <w:rPr>
          <w:rFonts w:cstheme="minorHAnsi"/>
        </w:rPr>
        <w:t>Thijssen</w:t>
      </w:r>
      <w:proofErr w:type="spellEnd"/>
      <w:r w:rsidR="00AD55A2" w:rsidRPr="004D5340">
        <w:rPr>
          <w:rFonts w:cstheme="minorHAnsi"/>
        </w:rPr>
        <w:t xml:space="preserve"> </w:t>
      </w:r>
      <w:r w:rsidR="001342E4">
        <w:rPr>
          <w:rFonts w:cstheme="minorHAnsi"/>
        </w:rPr>
        <w:t>et al.,</w:t>
      </w:r>
      <w:r w:rsidR="001342E4">
        <w:rPr>
          <w:rFonts w:cstheme="minorHAnsi"/>
        </w:rPr>
        <w:t xml:space="preserve"> </w:t>
      </w:r>
      <w:r w:rsidR="00AD55A2" w:rsidRPr="004D5340">
        <w:rPr>
          <w:rFonts w:cstheme="minorHAnsi"/>
        </w:rPr>
        <w:t>2016).</w:t>
      </w:r>
      <w:r w:rsidR="00AD55A2">
        <w:rPr>
          <w:rFonts w:cstheme="minorHAnsi"/>
        </w:rPr>
        <w:t xml:space="preserve"> </w:t>
      </w:r>
      <w:r w:rsidR="007F2EE9">
        <w:rPr>
          <w:rFonts w:cstheme="minorHAnsi"/>
        </w:rPr>
        <w:t xml:space="preserve">Further, </w:t>
      </w:r>
      <w:r w:rsidR="00AD55A2">
        <w:rPr>
          <w:rFonts w:cstheme="minorHAnsi"/>
        </w:rPr>
        <w:t xml:space="preserve">despite PCC and ECAP alternatives, as well as financial incentives to avoid </w:t>
      </w:r>
      <w:proofErr w:type="spellStart"/>
      <w:r w:rsidR="00AD55A2">
        <w:rPr>
          <w:rFonts w:cstheme="minorHAnsi"/>
        </w:rPr>
        <w:t>EDs</w:t>
      </w:r>
      <w:proofErr w:type="spellEnd"/>
      <w:r w:rsidR="00AD55A2">
        <w:rPr>
          <w:rFonts w:cstheme="minorHAnsi"/>
        </w:rPr>
        <w:t xml:space="preserve">, as many as 23% of ED patients were </w:t>
      </w:r>
      <w:r w:rsidR="00AD55A2">
        <w:rPr>
          <w:rFonts w:cstheme="minorHAnsi"/>
        </w:rPr>
        <w:lastRenderedPageBreak/>
        <w:t>self-referred in 2016 (</w:t>
      </w:r>
      <w:proofErr w:type="spellStart"/>
      <w:r w:rsidR="00AD55A2">
        <w:rPr>
          <w:rFonts w:cstheme="minorHAnsi"/>
        </w:rPr>
        <w:t>Kremers</w:t>
      </w:r>
      <w:proofErr w:type="spellEnd"/>
      <w:r w:rsidR="00AD55A2">
        <w:rPr>
          <w:rFonts w:cstheme="minorHAnsi"/>
        </w:rPr>
        <w:t xml:space="preserve"> et al., 2019). Evaluations clearly show, however, that p</w:t>
      </w:r>
      <w:r w:rsidR="00AD55A2" w:rsidRPr="000060FB">
        <w:rPr>
          <w:rFonts w:cstheme="minorHAnsi"/>
        </w:rPr>
        <w:t>atients were less likely to be treated by the ED in ECAP</w:t>
      </w:r>
      <w:r w:rsidR="00AD55A2">
        <w:rPr>
          <w:rFonts w:cstheme="minorHAnsi"/>
        </w:rPr>
        <w:t xml:space="preserve"> arrangements</w:t>
      </w:r>
      <w:r w:rsidR="00AD55A2" w:rsidRPr="000060FB">
        <w:rPr>
          <w:rFonts w:cstheme="minorHAnsi"/>
        </w:rPr>
        <w:t xml:space="preserve">, </w:t>
      </w:r>
      <w:r w:rsidR="00AD55A2">
        <w:rPr>
          <w:rFonts w:cstheme="minorHAnsi"/>
        </w:rPr>
        <w:t xml:space="preserve">with </w:t>
      </w:r>
      <w:r w:rsidR="00AD55A2" w:rsidRPr="000060FB">
        <w:rPr>
          <w:rFonts w:cstheme="minorHAnsi"/>
        </w:rPr>
        <w:t xml:space="preserve">GPs </w:t>
      </w:r>
      <w:r w:rsidR="00AD55A2">
        <w:rPr>
          <w:rFonts w:cstheme="minorHAnsi"/>
        </w:rPr>
        <w:t>caring for</w:t>
      </w:r>
      <w:r w:rsidR="00AD55A2" w:rsidRPr="000060FB">
        <w:rPr>
          <w:rFonts w:cstheme="minorHAnsi"/>
        </w:rPr>
        <w:t xml:space="preserve"> </w:t>
      </w:r>
      <w:r w:rsidR="007F2EE9">
        <w:rPr>
          <w:rFonts w:cstheme="minorHAnsi"/>
        </w:rPr>
        <w:t>75%</w:t>
      </w:r>
      <w:r w:rsidR="00AD55A2" w:rsidRPr="000060FB">
        <w:rPr>
          <w:rFonts w:cstheme="minorHAnsi"/>
        </w:rPr>
        <w:t xml:space="preserve"> of self-referred </w:t>
      </w:r>
      <w:r w:rsidR="00AD55A2">
        <w:rPr>
          <w:rFonts w:cstheme="minorHAnsi"/>
        </w:rPr>
        <w:t xml:space="preserve">patients </w:t>
      </w:r>
      <w:r w:rsidR="00AD55A2" w:rsidRPr="000060FB">
        <w:rPr>
          <w:rFonts w:cstheme="minorHAnsi"/>
        </w:rPr>
        <w:t>who would otherwise have gone to the emergency department (Smits et al.., 2017).</w:t>
      </w:r>
      <w:r w:rsidR="00AD55A2">
        <w:rPr>
          <w:rFonts w:cstheme="minorHAnsi"/>
        </w:rPr>
        <w:t xml:space="preserve"> </w:t>
      </w:r>
    </w:p>
    <w:p w14:paraId="2A487197" w14:textId="5E0F379B" w:rsidR="0093332A" w:rsidRDefault="00AC591A" w:rsidP="007F2EE9">
      <w:pPr>
        <w:bidi w:val="0"/>
        <w:spacing w:after="12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Kremers</w:t>
      </w:r>
      <w:proofErr w:type="spellEnd"/>
      <w:r>
        <w:rPr>
          <w:rFonts w:cstheme="minorHAnsi"/>
        </w:rPr>
        <w:t xml:space="preserve"> et al. (2019) note </w:t>
      </w:r>
      <w:r w:rsidRPr="000060FB">
        <w:rPr>
          <w:rFonts w:cstheme="minorHAnsi"/>
        </w:rPr>
        <w:t>a slight decrease in overall ED visits between 2013 and 2016</w:t>
      </w:r>
      <w:r>
        <w:rPr>
          <w:rFonts w:cstheme="minorHAnsi"/>
        </w:rPr>
        <w:t xml:space="preserve"> but point to </w:t>
      </w:r>
      <w:r w:rsidRPr="000060FB">
        <w:rPr>
          <w:rFonts w:cstheme="minorHAnsi"/>
        </w:rPr>
        <w:t xml:space="preserve">a 14% increase </w:t>
      </w:r>
      <w:r>
        <w:rPr>
          <w:rFonts w:cstheme="minorHAnsi"/>
        </w:rPr>
        <w:t xml:space="preserve">over </w:t>
      </w:r>
      <w:r w:rsidRPr="000060FB">
        <w:rPr>
          <w:rFonts w:cstheme="minorHAnsi"/>
        </w:rPr>
        <w:t>this period in visits by patients older than 65 years</w:t>
      </w:r>
      <w:r w:rsidR="007F2EE9">
        <w:rPr>
          <w:rFonts w:cstheme="minorHAnsi"/>
        </w:rPr>
        <w:t xml:space="preserve"> </w:t>
      </w:r>
      <w:r>
        <w:rPr>
          <w:rFonts w:cstheme="minorHAnsi"/>
        </w:rPr>
        <w:t xml:space="preserve">as particularly concerning given that </w:t>
      </w:r>
      <w:r w:rsidRPr="000060FB">
        <w:rPr>
          <w:rFonts w:cstheme="minorHAnsi"/>
        </w:rPr>
        <w:t xml:space="preserve">their share of the population </w:t>
      </w:r>
      <w:r w:rsidR="007F2EE9">
        <w:rPr>
          <w:rFonts w:cstheme="minorHAnsi"/>
        </w:rPr>
        <w:t xml:space="preserve">had </w:t>
      </w:r>
      <w:r w:rsidRPr="000060FB">
        <w:rPr>
          <w:rFonts w:cstheme="minorHAnsi"/>
        </w:rPr>
        <w:t>increased by only 8%</w:t>
      </w:r>
      <w:r>
        <w:rPr>
          <w:rFonts w:cstheme="minorHAnsi"/>
        </w:rPr>
        <w:t xml:space="preserve">. </w:t>
      </w:r>
      <w:r w:rsidR="007F2EE9">
        <w:rPr>
          <w:rFonts w:cstheme="minorHAnsi"/>
        </w:rPr>
        <w:t xml:space="preserve">Despite the pressure on </w:t>
      </w:r>
      <w:proofErr w:type="spellStart"/>
      <w:r w:rsidR="007F2EE9">
        <w:rPr>
          <w:rFonts w:cstheme="minorHAnsi"/>
        </w:rPr>
        <w:t>EDs</w:t>
      </w:r>
      <w:proofErr w:type="spellEnd"/>
      <w:r w:rsidR="007F2EE9">
        <w:rPr>
          <w:rFonts w:cstheme="minorHAnsi"/>
        </w:rPr>
        <w:t xml:space="preserve"> </w:t>
      </w:r>
      <w:r w:rsidR="007F2EE9">
        <w:rPr>
          <w:rFonts w:cstheme="minorHAnsi"/>
        </w:rPr>
        <w:t xml:space="preserve">associated with </w:t>
      </w:r>
      <w:r w:rsidR="007F2EE9">
        <w:rPr>
          <w:rFonts w:cstheme="minorHAnsi"/>
        </w:rPr>
        <w:t xml:space="preserve">caring for </w:t>
      </w:r>
      <w:r w:rsidR="007F2EE9">
        <w:rPr>
          <w:rFonts w:cstheme="minorHAnsi"/>
        </w:rPr>
        <w:t>a growing elder population, as well as possible supply-</w:t>
      </w:r>
      <w:r w:rsidR="001342E4">
        <w:rPr>
          <w:rFonts w:cstheme="minorHAnsi"/>
        </w:rPr>
        <w:t>induced</w:t>
      </w:r>
      <w:r w:rsidR="007F2EE9">
        <w:rPr>
          <w:rFonts w:cstheme="minorHAnsi"/>
        </w:rPr>
        <w:t xml:space="preserve"> effects on ED demand</w:t>
      </w:r>
      <w:r w:rsidR="00A90973">
        <w:rPr>
          <w:rFonts w:cstheme="minorHAnsi"/>
        </w:rPr>
        <w:t xml:space="preserve"> (</w:t>
      </w:r>
      <w:proofErr w:type="spellStart"/>
      <w:r w:rsidR="00A90973" w:rsidRPr="001342E4">
        <w:rPr>
          <w:rFonts w:cstheme="minorHAnsi"/>
        </w:rPr>
        <w:t>Wackers</w:t>
      </w:r>
      <w:proofErr w:type="spellEnd"/>
      <w:r w:rsidR="00A90973" w:rsidRPr="001342E4">
        <w:rPr>
          <w:rFonts w:cstheme="minorHAnsi"/>
        </w:rPr>
        <w:t xml:space="preserve"> et al.</w:t>
      </w:r>
      <w:r w:rsidR="001342E4">
        <w:rPr>
          <w:rFonts w:cstheme="minorHAnsi"/>
        </w:rPr>
        <w:t>,</w:t>
      </w:r>
      <w:r w:rsidR="00A90973" w:rsidRPr="001342E4">
        <w:rPr>
          <w:rFonts w:cstheme="minorHAnsi"/>
        </w:rPr>
        <w:t xml:space="preserve"> 2023</w:t>
      </w:r>
      <w:r w:rsidR="00A90973" w:rsidRPr="001342E4">
        <w:rPr>
          <w:rFonts w:cstheme="minorHAnsi"/>
        </w:rPr>
        <w:t>)</w:t>
      </w:r>
      <w:r w:rsidR="007F2EE9">
        <w:rPr>
          <w:rFonts w:cstheme="minorHAnsi"/>
        </w:rPr>
        <w:t xml:space="preserve">, there are </w:t>
      </w:r>
      <w:r w:rsidR="007F2EE9" w:rsidRPr="000060FB">
        <w:rPr>
          <w:rFonts w:cstheme="minorHAnsi"/>
        </w:rPr>
        <w:t>indicati</w:t>
      </w:r>
      <w:r w:rsidR="007F2EE9">
        <w:rPr>
          <w:rFonts w:cstheme="minorHAnsi"/>
        </w:rPr>
        <w:t xml:space="preserve">ons </w:t>
      </w:r>
      <w:r w:rsidR="007F2EE9" w:rsidRPr="000060FB">
        <w:rPr>
          <w:rFonts w:cstheme="minorHAnsi"/>
        </w:rPr>
        <w:t xml:space="preserve">that ED use </w:t>
      </w:r>
      <w:r w:rsidR="007F2EE9">
        <w:rPr>
          <w:rFonts w:cstheme="minorHAnsi"/>
        </w:rPr>
        <w:t>is</w:t>
      </w:r>
      <w:r w:rsidR="007F2EE9" w:rsidRPr="000060FB">
        <w:rPr>
          <w:rFonts w:cstheme="minorHAnsi"/>
        </w:rPr>
        <w:t xml:space="preserve"> appropriate</w:t>
      </w:r>
      <w:r w:rsidR="007F2EE9">
        <w:rPr>
          <w:rFonts w:cstheme="minorHAnsi"/>
        </w:rPr>
        <w:t xml:space="preserve">ly focusing on patients in need of acute care. </w:t>
      </w:r>
      <w:r w:rsidR="007F2EE9">
        <w:rPr>
          <w:rFonts w:cstheme="minorHAnsi"/>
        </w:rPr>
        <w:t>A</w:t>
      </w:r>
      <w:r w:rsidR="007F2EE9" w:rsidRPr="000060FB">
        <w:rPr>
          <w:rFonts w:cstheme="minorHAnsi"/>
        </w:rPr>
        <w:t xml:space="preserve"> 2013 study found that patients using ECAPs were older and more likely to be </w:t>
      </w:r>
      <w:r w:rsidR="007F2EE9">
        <w:rPr>
          <w:rFonts w:cstheme="minorHAnsi"/>
        </w:rPr>
        <w:t>triaged</w:t>
      </w:r>
      <w:r w:rsidR="007F2EE9" w:rsidRPr="000060FB">
        <w:rPr>
          <w:rFonts w:cstheme="minorHAnsi"/>
        </w:rPr>
        <w:t xml:space="preserve"> to the ED and to be admitted to hospital (Smits et al., 2017). </w:t>
      </w:r>
      <w:proofErr w:type="spellStart"/>
      <w:r w:rsidR="000060FB" w:rsidRPr="000060FB">
        <w:rPr>
          <w:rFonts w:cstheme="minorHAnsi"/>
        </w:rPr>
        <w:t>Wackers</w:t>
      </w:r>
      <w:proofErr w:type="spellEnd"/>
      <w:r w:rsidR="000060FB" w:rsidRPr="000060FB">
        <w:rPr>
          <w:rFonts w:cstheme="minorHAnsi"/>
        </w:rPr>
        <w:t xml:space="preserve"> et al. (202</w:t>
      </w:r>
      <w:r w:rsidR="00E85862">
        <w:rPr>
          <w:rFonts w:cstheme="minorHAnsi"/>
        </w:rPr>
        <w:t>3</w:t>
      </w:r>
      <w:r w:rsidR="000060FB" w:rsidRPr="000060FB">
        <w:rPr>
          <w:rFonts w:cstheme="minorHAnsi"/>
        </w:rPr>
        <w:t>), using 2017 data</w:t>
      </w:r>
      <w:r w:rsidR="007F2EE9">
        <w:rPr>
          <w:rFonts w:cstheme="minorHAnsi"/>
        </w:rPr>
        <w:t>,</w:t>
      </w:r>
      <w:r w:rsidR="00596F85">
        <w:rPr>
          <w:rFonts w:cstheme="minorHAnsi"/>
        </w:rPr>
        <w:t xml:space="preserve"> </w:t>
      </w:r>
      <w:r w:rsidR="000060FB" w:rsidRPr="000060FB">
        <w:rPr>
          <w:rFonts w:cstheme="minorHAnsi"/>
        </w:rPr>
        <w:t xml:space="preserve">found that ECAPs were associated with </w:t>
      </w:r>
      <w:r w:rsidR="007F2EE9">
        <w:rPr>
          <w:rFonts w:cstheme="minorHAnsi"/>
        </w:rPr>
        <w:t xml:space="preserve">significant </w:t>
      </w:r>
      <w:r w:rsidR="000060FB" w:rsidRPr="000060FB">
        <w:rPr>
          <w:rFonts w:cstheme="minorHAnsi"/>
        </w:rPr>
        <w:t>increase</w:t>
      </w:r>
      <w:r w:rsidR="007F2EE9">
        <w:rPr>
          <w:rFonts w:cstheme="minorHAnsi"/>
        </w:rPr>
        <w:t>s</w:t>
      </w:r>
      <w:r w:rsidR="000060FB" w:rsidRPr="000060FB">
        <w:rPr>
          <w:rFonts w:cstheme="minorHAnsi"/>
        </w:rPr>
        <w:t xml:space="preserve"> in hospital admissions and </w:t>
      </w:r>
      <w:r w:rsidR="007F2EE9">
        <w:rPr>
          <w:rFonts w:cstheme="minorHAnsi"/>
        </w:rPr>
        <w:t xml:space="preserve">total </w:t>
      </w:r>
      <w:r w:rsidR="000060FB" w:rsidRPr="000060FB">
        <w:rPr>
          <w:rFonts w:cstheme="minorHAnsi"/>
        </w:rPr>
        <w:t>costs</w:t>
      </w:r>
      <w:r w:rsidR="00596F85">
        <w:rPr>
          <w:rFonts w:cstheme="minorHAnsi"/>
        </w:rPr>
        <w:t xml:space="preserve">—a finding </w:t>
      </w:r>
      <w:r>
        <w:rPr>
          <w:rFonts w:cstheme="minorHAnsi"/>
        </w:rPr>
        <w:t xml:space="preserve">corroborated by </w:t>
      </w:r>
      <w:proofErr w:type="spellStart"/>
      <w:r>
        <w:rPr>
          <w:rFonts w:cstheme="minorHAnsi"/>
        </w:rPr>
        <w:t>Kremers</w:t>
      </w:r>
      <w:proofErr w:type="spellEnd"/>
      <w:r>
        <w:rPr>
          <w:rFonts w:cstheme="minorHAnsi"/>
        </w:rPr>
        <w:t xml:space="preserve"> et al. (2019) showing an increase </w:t>
      </w:r>
      <w:r>
        <w:rPr>
          <w:rFonts w:cstheme="minorHAnsi"/>
        </w:rPr>
        <w:t>from 33.2% to 35.5%</w:t>
      </w:r>
      <w:r>
        <w:rPr>
          <w:rFonts w:cstheme="minorHAnsi"/>
        </w:rPr>
        <w:t xml:space="preserve"> in hospital admissions between 2012 and 2015</w:t>
      </w:r>
      <w:r w:rsidRPr="000060FB">
        <w:rPr>
          <w:rFonts w:cstheme="minorHAnsi"/>
        </w:rPr>
        <w:t xml:space="preserve">. </w:t>
      </w:r>
    </w:p>
    <w:p w14:paraId="68A2E254" w14:textId="6A3CE290" w:rsidR="006C2A1B" w:rsidRPr="000060FB" w:rsidRDefault="006C2A1B" w:rsidP="000060FB">
      <w:pPr>
        <w:bidi w:val="0"/>
        <w:spacing w:after="120" w:line="360" w:lineRule="auto"/>
        <w:jc w:val="both"/>
        <w:rPr>
          <w:rFonts w:cstheme="minorHAnsi"/>
          <w:b/>
          <w:bCs/>
        </w:rPr>
      </w:pPr>
      <w:r w:rsidRPr="000060FB">
        <w:rPr>
          <w:rFonts w:cstheme="minorHAnsi"/>
          <w:b/>
          <w:bCs/>
        </w:rPr>
        <w:t>Conclusion</w:t>
      </w:r>
    </w:p>
    <w:p w14:paraId="15B5BA03" w14:textId="654175D1" w:rsidR="00A90973" w:rsidRDefault="0093332A" w:rsidP="00A90973">
      <w:pPr>
        <w:bidi w:val="0"/>
        <w:spacing w:after="120" w:line="360" w:lineRule="auto"/>
        <w:jc w:val="both"/>
        <w:rPr>
          <w:rFonts w:cstheme="minorHAnsi"/>
        </w:rPr>
      </w:pPr>
      <w:r w:rsidRPr="0093332A">
        <w:rPr>
          <w:rFonts w:cstheme="minorHAnsi"/>
        </w:rPr>
        <w:t xml:space="preserve">The Netherlands </w:t>
      </w:r>
      <w:r>
        <w:rPr>
          <w:rFonts w:cstheme="minorHAnsi"/>
        </w:rPr>
        <w:t>benefits from some of the lowest ED utilization rates among Western countries</w:t>
      </w:r>
      <w:r w:rsidR="00C154D9">
        <w:rPr>
          <w:rFonts w:cstheme="minorHAnsi"/>
        </w:rPr>
        <w:t>, chiefly</w:t>
      </w:r>
      <w:r>
        <w:rPr>
          <w:rFonts w:cstheme="minorHAnsi"/>
        </w:rPr>
        <w:t xml:space="preserve"> as a result of its strong primary care system. Despite a number of innovations and organizational changes, however, ED utilization rates are rising</w:t>
      </w:r>
      <w:r w:rsidR="00C154D9">
        <w:rPr>
          <w:rFonts w:cstheme="minorHAnsi"/>
        </w:rPr>
        <w:t xml:space="preserve">—at least in part due to </w:t>
      </w:r>
      <w:r>
        <w:rPr>
          <w:rFonts w:cstheme="minorHAnsi"/>
        </w:rPr>
        <w:t>the country’s growing number of elders</w:t>
      </w:r>
      <w:r w:rsidR="00C154D9">
        <w:rPr>
          <w:rFonts w:cstheme="minorHAnsi"/>
        </w:rPr>
        <w:t xml:space="preserve"> with increasingly complex medical issues. Suggestions for improving care for this population in ways that avoid </w:t>
      </w:r>
      <w:r w:rsidR="00A90973">
        <w:rPr>
          <w:rFonts w:cstheme="minorHAnsi"/>
        </w:rPr>
        <w:t xml:space="preserve">both </w:t>
      </w:r>
      <w:r w:rsidR="00C154D9">
        <w:rPr>
          <w:rFonts w:cstheme="minorHAnsi"/>
        </w:rPr>
        <w:t>ED</w:t>
      </w:r>
      <w:r w:rsidR="00A90973">
        <w:rPr>
          <w:rFonts w:cstheme="minorHAnsi"/>
        </w:rPr>
        <w:t xml:space="preserve"> visits</w:t>
      </w:r>
      <w:r w:rsidR="00C154D9">
        <w:rPr>
          <w:rFonts w:cstheme="minorHAnsi"/>
        </w:rPr>
        <w:t xml:space="preserve"> and hospital admissions </w:t>
      </w:r>
      <w:proofErr w:type="gramStart"/>
      <w:r w:rsidR="00C154D9">
        <w:rPr>
          <w:rFonts w:cstheme="minorHAnsi"/>
        </w:rPr>
        <w:t>include:</w:t>
      </w:r>
      <w:proofErr w:type="gramEnd"/>
      <w:r w:rsidR="00C154D9">
        <w:rPr>
          <w:rFonts w:cstheme="minorHAnsi"/>
        </w:rPr>
        <w:t xml:space="preserve"> </w:t>
      </w:r>
      <w:r w:rsidR="00A90973">
        <w:rPr>
          <w:rFonts w:cstheme="minorHAnsi"/>
        </w:rPr>
        <w:t>i</w:t>
      </w:r>
      <w:r w:rsidR="00C154D9">
        <w:rPr>
          <w:rFonts w:cstheme="minorHAnsi"/>
        </w:rPr>
        <w:t xml:space="preserve">mproving </w:t>
      </w:r>
      <w:r w:rsidR="00A90973">
        <w:rPr>
          <w:rFonts w:cstheme="minorHAnsi"/>
        </w:rPr>
        <w:t xml:space="preserve">skill set of </w:t>
      </w:r>
      <w:r w:rsidR="00C154D9">
        <w:rPr>
          <w:rFonts w:cstheme="minorHAnsi"/>
        </w:rPr>
        <w:t>GPs on handling emergency care in community care settings</w:t>
      </w:r>
      <w:r w:rsidR="00A90973">
        <w:rPr>
          <w:rFonts w:cstheme="minorHAnsi"/>
        </w:rPr>
        <w:t xml:space="preserve">; </w:t>
      </w:r>
      <w:r w:rsidR="00C154D9">
        <w:rPr>
          <w:rFonts w:cstheme="minorHAnsi"/>
        </w:rPr>
        <w:t xml:space="preserve">increasing the number of emergency room specialists; </w:t>
      </w:r>
      <w:r w:rsidR="00A90973">
        <w:rPr>
          <w:rFonts w:cstheme="minorHAnsi"/>
        </w:rPr>
        <w:t>i</w:t>
      </w:r>
      <w:r w:rsidR="00C154D9">
        <w:rPr>
          <w:rFonts w:cstheme="minorHAnsi"/>
        </w:rPr>
        <w:t>ncreasing use of multidisciplinary care teams</w:t>
      </w:r>
      <w:r w:rsidR="005D55F0">
        <w:rPr>
          <w:rFonts w:cstheme="minorHAnsi"/>
        </w:rPr>
        <w:t>,</w:t>
      </w:r>
      <w:r w:rsidR="00C154D9">
        <w:rPr>
          <w:rFonts w:cstheme="minorHAnsi"/>
        </w:rPr>
        <w:t xml:space="preserve"> training </w:t>
      </w:r>
      <w:r w:rsidR="005D55F0">
        <w:rPr>
          <w:rFonts w:cstheme="minorHAnsi"/>
        </w:rPr>
        <w:t xml:space="preserve">physician </w:t>
      </w:r>
      <w:r w:rsidR="00C154D9">
        <w:rPr>
          <w:rFonts w:cstheme="minorHAnsi"/>
        </w:rPr>
        <w:t xml:space="preserve">superspecialists (as opposed </w:t>
      </w:r>
      <w:r w:rsidR="00A90973">
        <w:rPr>
          <w:rFonts w:cstheme="minorHAnsi"/>
        </w:rPr>
        <w:t xml:space="preserve">subspecialists) and </w:t>
      </w:r>
      <w:r w:rsidR="00C154D9" w:rsidRPr="00C154D9">
        <w:rPr>
          <w:rFonts w:cstheme="minorHAnsi"/>
        </w:rPr>
        <w:t>implementing care pathways specific to chronic conditions</w:t>
      </w:r>
      <w:r w:rsidR="00A90973">
        <w:rPr>
          <w:rFonts w:cstheme="minorHAnsi"/>
        </w:rPr>
        <w:t xml:space="preserve"> (</w:t>
      </w:r>
      <w:r w:rsidR="00A90973" w:rsidRPr="000060FB">
        <w:rPr>
          <w:rFonts w:cstheme="minorHAnsi"/>
        </w:rPr>
        <w:t>Smits et al., 2017</w:t>
      </w:r>
      <w:r w:rsidR="00A90973">
        <w:rPr>
          <w:rFonts w:cstheme="minorHAnsi"/>
        </w:rPr>
        <w:t xml:space="preserve">; </w:t>
      </w:r>
      <w:proofErr w:type="spellStart"/>
      <w:r w:rsidR="00C154D9" w:rsidRPr="00C154D9">
        <w:rPr>
          <w:rFonts w:cstheme="minorHAnsi"/>
        </w:rPr>
        <w:t>Kremers</w:t>
      </w:r>
      <w:proofErr w:type="spellEnd"/>
      <w:r w:rsidR="00C154D9" w:rsidRPr="00C154D9">
        <w:rPr>
          <w:rFonts w:cstheme="minorHAnsi"/>
        </w:rPr>
        <w:t xml:space="preserve"> et al.</w:t>
      </w:r>
      <w:r w:rsidR="00A90973">
        <w:rPr>
          <w:rFonts w:cstheme="minorHAnsi"/>
        </w:rPr>
        <w:t xml:space="preserve">, </w:t>
      </w:r>
      <w:r w:rsidR="00C154D9" w:rsidRPr="00C154D9">
        <w:rPr>
          <w:rFonts w:cstheme="minorHAnsi"/>
        </w:rPr>
        <w:t>2019)</w:t>
      </w:r>
      <w:r w:rsidR="00A90973">
        <w:rPr>
          <w:rFonts w:cstheme="minorHAnsi"/>
        </w:rPr>
        <w:t>.</w:t>
      </w:r>
    </w:p>
    <w:p w14:paraId="199367F0" w14:textId="77777777" w:rsidR="00A90973" w:rsidRDefault="00A07A4F" w:rsidP="00A90973">
      <w:pPr>
        <w:bidi w:val="0"/>
        <w:spacing w:after="120" w:line="360" w:lineRule="auto"/>
        <w:jc w:val="both"/>
        <w:rPr>
          <w:rFonts w:cstheme="minorHAnsi"/>
        </w:rPr>
      </w:pPr>
      <w:r w:rsidRPr="000060FB">
        <w:rPr>
          <w:rFonts w:cstheme="minorHAnsi"/>
          <w:b/>
          <w:bCs/>
          <w:u w:val="single"/>
        </w:rPr>
        <w:t>Questions for the expert</w:t>
      </w:r>
      <w:r w:rsidRPr="000060FB">
        <w:rPr>
          <w:rFonts w:cstheme="minorHAnsi"/>
        </w:rPr>
        <w:t>:</w:t>
      </w:r>
    </w:p>
    <w:p w14:paraId="26727378" w14:textId="75AEF30A" w:rsidR="00CA0400" w:rsidRPr="000060FB" w:rsidRDefault="0093332A" w:rsidP="00A90973">
      <w:pPr>
        <w:bidi w:val="0"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Dutch PCC</w:t>
      </w:r>
      <w:r w:rsidR="00A90973">
        <w:rPr>
          <w:rFonts w:cstheme="minorHAnsi"/>
        </w:rPr>
        <w:t xml:space="preserve">s </w:t>
      </w:r>
      <w:r>
        <w:rPr>
          <w:rFonts w:cstheme="minorHAnsi"/>
        </w:rPr>
        <w:t>apparently triag</w:t>
      </w:r>
      <w:r w:rsidR="00A90973">
        <w:rPr>
          <w:rFonts w:cstheme="minorHAnsi"/>
        </w:rPr>
        <w:t>e</w:t>
      </w:r>
      <w:r>
        <w:rPr>
          <w:rFonts w:cstheme="minorHAnsi"/>
        </w:rPr>
        <w:t xml:space="preserve"> patients appropriately</w:t>
      </w:r>
      <w:r w:rsidR="00A90973">
        <w:rPr>
          <w:rFonts w:cstheme="minorHAnsi"/>
        </w:rPr>
        <w:t xml:space="preserve"> and</w:t>
      </w:r>
      <w:r>
        <w:rPr>
          <w:rFonts w:cstheme="minorHAnsi"/>
        </w:rPr>
        <w:t xml:space="preserve"> provid</w:t>
      </w:r>
      <w:r w:rsidR="00A90973">
        <w:rPr>
          <w:rFonts w:cstheme="minorHAnsi"/>
        </w:rPr>
        <w:t>e</w:t>
      </w:r>
      <w:r>
        <w:rPr>
          <w:rFonts w:cstheme="minorHAnsi"/>
        </w:rPr>
        <w:t xml:space="preserve"> good overall care</w:t>
      </w:r>
      <w:r w:rsidR="00A90973">
        <w:rPr>
          <w:rFonts w:cstheme="minorHAnsi"/>
        </w:rPr>
        <w:t xml:space="preserve">. Given the fact that they have had access to patients’ daytime electronic health records only since 2017—and only with explicit patient permission </w:t>
      </w:r>
      <w:r w:rsidR="00A90973" w:rsidRPr="000060FB">
        <w:rPr>
          <w:rFonts w:cstheme="minorHAnsi"/>
        </w:rPr>
        <w:t>(Smits et al., 2017)</w:t>
      </w:r>
      <w:r w:rsidR="00A90973">
        <w:rPr>
          <w:rFonts w:cstheme="minorHAnsi"/>
        </w:rPr>
        <w:t xml:space="preserve">—how important is </w:t>
      </w:r>
      <w:proofErr w:type="spellStart"/>
      <w:r w:rsidR="00A90973">
        <w:rPr>
          <w:rFonts w:cstheme="minorHAnsi"/>
        </w:rPr>
        <w:t>EHR</w:t>
      </w:r>
      <w:proofErr w:type="spellEnd"/>
      <w:r w:rsidR="00A90973">
        <w:rPr>
          <w:rFonts w:cstheme="minorHAnsi"/>
        </w:rPr>
        <w:t xml:space="preserve"> access to successful ED diversion strategies? </w:t>
      </w:r>
    </w:p>
    <w:p w14:paraId="4B91FE09" w14:textId="04CE7E02" w:rsidR="001342E4" w:rsidRDefault="001342E4">
      <w:pPr>
        <w:bidi w:val="0"/>
        <w:rPr>
          <w:rFonts w:cstheme="minorHAnsi"/>
          <w:b/>
          <w:bCs/>
        </w:rPr>
      </w:pPr>
    </w:p>
    <w:p w14:paraId="2A90E805" w14:textId="77777777" w:rsidR="005D55F0" w:rsidRDefault="005D55F0">
      <w:pPr>
        <w:bidi w:val="0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912D584" w14:textId="1B51C21F" w:rsidR="006941CD" w:rsidRPr="004C35B4" w:rsidRDefault="006941CD" w:rsidP="000060FB">
      <w:pPr>
        <w:bidi w:val="0"/>
        <w:spacing w:after="120" w:line="360" w:lineRule="auto"/>
        <w:jc w:val="both"/>
        <w:rPr>
          <w:rFonts w:cstheme="minorHAnsi"/>
          <w:b/>
          <w:bCs/>
        </w:rPr>
      </w:pPr>
      <w:r w:rsidRPr="004C35B4">
        <w:rPr>
          <w:rFonts w:cstheme="minorHAnsi"/>
          <w:b/>
          <w:bCs/>
        </w:rPr>
        <w:lastRenderedPageBreak/>
        <w:t>References</w:t>
      </w:r>
    </w:p>
    <w:p w14:paraId="771806FF" w14:textId="77777777" w:rsidR="004C35B4" w:rsidRPr="004C35B4" w:rsidRDefault="00E85862" w:rsidP="004C35B4">
      <w:pPr>
        <w:bidi w:val="0"/>
        <w:spacing w:after="0" w:line="240" w:lineRule="auto"/>
        <w:ind w:left="720" w:hanging="720"/>
        <w:rPr>
          <w:rFonts w:cstheme="minorHAnsi"/>
          <w:color w:val="2E2E2E"/>
        </w:rPr>
      </w:pPr>
      <w:r w:rsidRPr="004C35B4">
        <w:rPr>
          <w:rFonts w:cstheme="minorHAnsi"/>
        </w:rPr>
        <w:t xml:space="preserve">Baier, </w:t>
      </w:r>
      <w:r w:rsidRPr="004C35B4">
        <w:rPr>
          <w:rStyle w:val="given-name"/>
          <w:rFonts w:cstheme="minorHAnsi"/>
        </w:rPr>
        <w:t>Natalie</w:t>
      </w:r>
      <w:r w:rsidRPr="004C35B4">
        <w:rPr>
          <w:rFonts w:cstheme="minorHAnsi"/>
        </w:rPr>
        <w:t>, </w:t>
      </w:r>
      <w:r w:rsidRPr="004C35B4">
        <w:rPr>
          <w:rStyle w:val="given-name"/>
          <w:rFonts w:cstheme="minorHAnsi"/>
        </w:rPr>
        <w:t>Alexander</w:t>
      </w:r>
      <w:r w:rsidRPr="004C35B4">
        <w:rPr>
          <w:rStyle w:val="react-xocs-alternative-link"/>
          <w:rFonts w:cstheme="minorHAnsi"/>
        </w:rPr>
        <w:t> </w:t>
      </w:r>
      <w:r w:rsidRPr="004C35B4">
        <w:rPr>
          <w:rStyle w:val="text"/>
          <w:rFonts w:cstheme="minorHAnsi"/>
        </w:rPr>
        <w:t>Geissler</w:t>
      </w:r>
      <w:r w:rsidRPr="004C35B4">
        <w:rPr>
          <w:rFonts w:cstheme="minorHAnsi"/>
        </w:rPr>
        <w:t>, </w:t>
      </w:r>
      <w:r w:rsidRPr="004C35B4">
        <w:rPr>
          <w:rStyle w:val="given-name"/>
          <w:rFonts w:cstheme="minorHAnsi"/>
        </w:rPr>
        <w:t>Mickael</w:t>
      </w:r>
      <w:r w:rsidRPr="004C35B4">
        <w:rPr>
          <w:rStyle w:val="react-xocs-alternative-link"/>
          <w:rFonts w:cstheme="minorHAnsi"/>
        </w:rPr>
        <w:t> </w:t>
      </w:r>
      <w:r w:rsidRPr="004C35B4">
        <w:rPr>
          <w:rStyle w:val="text"/>
          <w:rFonts w:cstheme="minorHAnsi"/>
        </w:rPr>
        <w:t>Bech</w:t>
      </w:r>
      <w:r w:rsidRPr="004C35B4">
        <w:rPr>
          <w:rFonts w:cstheme="minorHAnsi"/>
        </w:rPr>
        <w:t>, </w:t>
      </w:r>
      <w:r w:rsidRPr="004C35B4">
        <w:rPr>
          <w:rStyle w:val="given-name"/>
          <w:rFonts w:cstheme="minorHAnsi"/>
        </w:rPr>
        <w:t>David</w:t>
      </w:r>
      <w:r w:rsidRPr="004C35B4">
        <w:rPr>
          <w:rStyle w:val="react-xocs-alternative-link"/>
          <w:rFonts w:cstheme="minorHAnsi"/>
        </w:rPr>
        <w:t> </w:t>
      </w:r>
      <w:r w:rsidRPr="004C35B4">
        <w:rPr>
          <w:rStyle w:val="text"/>
          <w:rFonts w:cstheme="minorHAnsi"/>
        </w:rPr>
        <w:t>Bernstein</w:t>
      </w:r>
      <w:r w:rsidRPr="004C35B4">
        <w:rPr>
          <w:rFonts w:cstheme="minorHAnsi"/>
        </w:rPr>
        <w:t>, </w:t>
      </w:r>
      <w:r w:rsidRPr="004C35B4">
        <w:rPr>
          <w:rStyle w:val="given-name"/>
          <w:rFonts w:cstheme="minorHAnsi"/>
        </w:rPr>
        <w:t>Thomas E.</w:t>
      </w:r>
      <w:r w:rsidRPr="004C35B4">
        <w:rPr>
          <w:rStyle w:val="react-xocs-alternative-link"/>
          <w:rFonts w:cstheme="minorHAnsi"/>
        </w:rPr>
        <w:t> </w:t>
      </w:r>
      <w:r w:rsidRPr="004C35B4">
        <w:rPr>
          <w:rStyle w:val="text"/>
          <w:rFonts w:cstheme="minorHAnsi"/>
        </w:rPr>
        <w:t>Cowling</w:t>
      </w:r>
      <w:r w:rsidRPr="004C35B4">
        <w:rPr>
          <w:rFonts w:cstheme="minorHAnsi"/>
        </w:rPr>
        <w:t>, </w:t>
      </w:r>
      <w:r w:rsidRPr="004C35B4">
        <w:rPr>
          <w:rStyle w:val="given-name"/>
          <w:rFonts w:cstheme="minorHAnsi"/>
        </w:rPr>
        <w:t>Terri</w:t>
      </w:r>
      <w:r w:rsidRPr="004C35B4">
        <w:rPr>
          <w:rStyle w:val="react-xocs-alternative-link"/>
          <w:rFonts w:cstheme="minorHAnsi"/>
        </w:rPr>
        <w:t> </w:t>
      </w:r>
      <w:r w:rsidRPr="004C35B4">
        <w:rPr>
          <w:rStyle w:val="text"/>
          <w:rFonts w:cstheme="minorHAnsi"/>
        </w:rPr>
        <w:t>Jackson</w:t>
      </w:r>
      <w:r w:rsidRPr="004C35B4">
        <w:rPr>
          <w:rFonts w:cstheme="minorHAnsi"/>
        </w:rPr>
        <w:t>, </w:t>
      </w:r>
      <w:r w:rsidRPr="004C35B4">
        <w:rPr>
          <w:rStyle w:val="given-name"/>
          <w:rFonts w:cstheme="minorHAnsi"/>
        </w:rPr>
        <w:t>Johan</w:t>
      </w:r>
      <w:r w:rsidRPr="004C35B4">
        <w:rPr>
          <w:rStyle w:val="react-xocs-alternative-link"/>
          <w:rFonts w:cstheme="minorHAnsi"/>
        </w:rPr>
        <w:t> </w:t>
      </w:r>
      <w:r w:rsidRPr="004C35B4">
        <w:rPr>
          <w:rStyle w:val="text"/>
          <w:rFonts w:cstheme="minorHAnsi"/>
        </w:rPr>
        <w:t xml:space="preserve">van </w:t>
      </w:r>
      <w:proofErr w:type="spellStart"/>
      <w:r w:rsidRPr="004C35B4">
        <w:rPr>
          <w:rStyle w:val="text"/>
          <w:rFonts w:cstheme="minorHAnsi"/>
        </w:rPr>
        <w:t>Manen</w:t>
      </w:r>
      <w:proofErr w:type="spellEnd"/>
      <w:r w:rsidRPr="004C35B4">
        <w:rPr>
          <w:rFonts w:cstheme="minorHAnsi"/>
        </w:rPr>
        <w:t>, </w:t>
      </w:r>
      <w:r w:rsidRPr="004C35B4">
        <w:rPr>
          <w:rStyle w:val="given-name"/>
          <w:rFonts w:cstheme="minorHAnsi"/>
        </w:rPr>
        <w:t>Andreas</w:t>
      </w:r>
      <w:r w:rsidRPr="004C35B4">
        <w:rPr>
          <w:rStyle w:val="react-xocs-alternative-link"/>
          <w:rFonts w:cstheme="minorHAnsi"/>
        </w:rPr>
        <w:t> </w:t>
      </w:r>
      <w:proofErr w:type="spellStart"/>
      <w:r w:rsidRPr="004C35B4">
        <w:rPr>
          <w:rStyle w:val="text"/>
          <w:rFonts w:cstheme="minorHAnsi"/>
        </w:rPr>
        <w:t>Rudkjøbing</w:t>
      </w:r>
      <w:proofErr w:type="spellEnd"/>
      <w:r w:rsidRPr="004C35B4">
        <w:rPr>
          <w:rFonts w:cstheme="minorHAnsi"/>
        </w:rPr>
        <w:t xml:space="preserve">, and </w:t>
      </w:r>
      <w:proofErr w:type="spellStart"/>
      <w:r w:rsidRPr="004C35B4">
        <w:rPr>
          <w:rStyle w:val="given-name"/>
          <w:rFonts w:cstheme="minorHAnsi"/>
        </w:rPr>
        <w:t>Wilm</w:t>
      </w:r>
      <w:proofErr w:type="spellEnd"/>
      <w:r w:rsidRPr="004C35B4">
        <w:rPr>
          <w:rStyle w:val="react-xocs-alternative-link"/>
          <w:rFonts w:cstheme="minorHAnsi"/>
        </w:rPr>
        <w:t> </w:t>
      </w:r>
      <w:r w:rsidRPr="004C35B4">
        <w:rPr>
          <w:rStyle w:val="text"/>
          <w:rFonts w:cstheme="minorHAnsi"/>
        </w:rPr>
        <w:t>Quentin. 2019</w:t>
      </w:r>
      <w:r w:rsidRPr="004C35B4">
        <w:rPr>
          <w:rFonts w:cstheme="minorHAnsi"/>
          <w:shd w:val="clear" w:color="auto" w:fill="FFFFFF"/>
        </w:rPr>
        <w:t>. “</w:t>
      </w:r>
      <w:r w:rsidRPr="004C35B4">
        <w:rPr>
          <w:rFonts w:cstheme="minorHAnsi"/>
        </w:rPr>
        <w:t>Emergency and urgent care systems in Australia, Denmark, England, France, Germany and the Netherlands – Analyzing organization, payment and reforms.”</w:t>
      </w:r>
      <w:r w:rsidRPr="004C35B4">
        <w:rPr>
          <w:rFonts w:cstheme="minorHAnsi"/>
          <w:b/>
          <w:bCs/>
        </w:rPr>
        <w:t xml:space="preserve"> </w:t>
      </w:r>
      <w:r w:rsidRPr="004C35B4">
        <w:rPr>
          <w:rFonts w:cstheme="minorHAnsi"/>
          <w:i/>
          <w:iCs/>
        </w:rPr>
        <w:t>Health Policy</w:t>
      </w:r>
      <w:r w:rsidRPr="004C35B4">
        <w:rPr>
          <w:rFonts w:cstheme="minorHAnsi"/>
        </w:rPr>
        <w:t xml:space="preserve"> 123 (1): 1-10</w:t>
      </w:r>
      <w:r w:rsidRPr="004C35B4">
        <w:rPr>
          <w:rFonts w:cstheme="minorHAnsi"/>
          <w:color w:val="2E2E2E"/>
        </w:rPr>
        <w:t>.</w:t>
      </w:r>
      <w:r w:rsidRPr="004C35B4">
        <w:rPr>
          <w:rFonts w:cstheme="minorHAnsi"/>
          <w:b/>
          <w:bCs/>
          <w:color w:val="2E2E2E"/>
        </w:rPr>
        <w:t xml:space="preserve"> </w:t>
      </w:r>
      <w:hyperlink r:id="rId11" w:history="1">
        <w:r w:rsidRPr="004C35B4">
          <w:rPr>
            <w:rStyle w:val="Hyperlink"/>
            <w:rFonts w:cstheme="minorHAnsi"/>
          </w:rPr>
          <w:t>https://doi.org/10.1016/j.healthpol.2018.11.001</w:t>
        </w:r>
      </w:hyperlink>
    </w:p>
    <w:p w14:paraId="4BF18210" w14:textId="77777777" w:rsidR="004C35B4" w:rsidRPr="004C35B4" w:rsidRDefault="004C35B4" w:rsidP="004C35B4">
      <w:pPr>
        <w:bidi w:val="0"/>
        <w:spacing w:after="0" w:line="240" w:lineRule="auto"/>
        <w:ind w:left="720" w:hanging="720"/>
        <w:rPr>
          <w:rFonts w:cstheme="minorHAnsi"/>
          <w:color w:val="2E2E2E"/>
        </w:rPr>
      </w:pPr>
    </w:p>
    <w:p w14:paraId="78B7C332" w14:textId="77777777" w:rsidR="00352F05" w:rsidRDefault="00A06106" w:rsidP="00352F05">
      <w:pPr>
        <w:bidi w:val="0"/>
        <w:spacing w:after="0" w:line="240" w:lineRule="auto"/>
        <w:ind w:left="720" w:hanging="720"/>
        <w:rPr>
          <w:rFonts w:eastAsia="Times New Roman" w:cstheme="minorHAnsi"/>
          <w:color w:val="212121"/>
        </w:rPr>
      </w:pPr>
      <w:proofErr w:type="spellStart"/>
      <w:r w:rsidRPr="004C35B4">
        <w:rPr>
          <w:rFonts w:eastAsia="Times New Roman" w:cstheme="minorHAnsi"/>
        </w:rPr>
        <w:t>Kremers</w:t>
      </w:r>
      <w:proofErr w:type="spellEnd"/>
      <w:r w:rsidRPr="004C35B4">
        <w:rPr>
          <w:rFonts w:eastAsia="Times New Roman" w:cstheme="minorHAnsi"/>
        </w:rPr>
        <w:t xml:space="preserve">, </w:t>
      </w:r>
      <w:proofErr w:type="spellStart"/>
      <w:r w:rsidRPr="00A06106">
        <w:rPr>
          <w:rFonts w:eastAsia="Times New Roman" w:cstheme="minorHAnsi"/>
        </w:rPr>
        <w:t>Marjolein</w:t>
      </w:r>
      <w:proofErr w:type="spellEnd"/>
      <w:r w:rsidRPr="00A06106">
        <w:rPr>
          <w:rFonts w:eastAsia="Times New Roman" w:cstheme="minorHAnsi"/>
        </w:rPr>
        <w:t xml:space="preserve"> N</w:t>
      </w:r>
      <w:r w:rsidRPr="004C35B4">
        <w:rPr>
          <w:rFonts w:eastAsia="Times New Roman" w:cstheme="minorHAnsi"/>
        </w:rPr>
        <w:t>.</w:t>
      </w:r>
      <w:r w:rsidRPr="00A06106">
        <w:rPr>
          <w:rFonts w:eastAsia="Times New Roman" w:cstheme="minorHAnsi"/>
        </w:rPr>
        <w:t>T</w:t>
      </w:r>
      <w:r w:rsidRPr="004C35B4">
        <w:rPr>
          <w:rFonts w:eastAsia="Times New Roman" w:cstheme="minorHAnsi"/>
        </w:rPr>
        <w:t>.</w:t>
      </w:r>
      <w:r w:rsidRPr="00A06106">
        <w:rPr>
          <w:rFonts w:eastAsia="Times New Roman" w:cstheme="minorHAnsi"/>
        </w:rPr>
        <w:t>, Prabath W</w:t>
      </w:r>
      <w:r w:rsidRPr="004C35B4">
        <w:rPr>
          <w:rFonts w:eastAsia="Times New Roman" w:cstheme="minorHAnsi"/>
        </w:rPr>
        <w:t>.</w:t>
      </w:r>
      <w:r w:rsidRPr="00A06106">
        <w:rPr>
          <w:rFonts w:eastAsia="Times New Roman" w:cstheme="minorHAnsi"/>
        </w:rPr>
        <w:t xml:space="preserve"> B</w:t>
      </w:r>
      <w:r w:rsidRPr="004C35B4">
        <w:rPr>
          <w:rFonts w:eastAsia="Times New Roman" w:cstheme="minorHAnsi"/>
        </w:rPr>
        <w:t>.</w:t>
      </w:r>
      <w:r w:rsidRPr="00A06106">
        <w:rPr>
          <w:rFonts w:eastAsia="Times New Roman" w:cstheme="minorHAnsi"/>
        </w:rPr>
        <w:t xml:space="preserve"> </w:t>
      </w:r>
      <w:proofErr w:type="spellStart"/>
      <w:r w:rsidRPr="00A06106">
        <w:rPr>
          <w:rFonts w:eastAsia="Times New Roman" w:cstheme="minorHAnsi"/>
        </w:rPr>
        <w:t>Nanayakkara</w:t>
      </w:r>
      <w:proofErr w:type="spellEnd"/>
      <w:r w:rsidRPr="00A06106">
        <w:rPr>
          <w:rFonts w:eastAsia="Times New Roman" w:cstheme="minorHAnsi"/>
        </w:rPr>
        <w:t xml:space="preserve">, Marcel Levi, Derek </w:t>
      </w:r>
      <w:proofErr w:type="gramStart"/>
      <w:r w:rsidRPr="00A06106">
        <w:rPr>
          <w:rFonts w:eastAsia="Times New Roman" w:cstheme="minorHAnsi"/>
        </w:rPr>
        <w:t>Bell</w:t>
      </w:r>
      <w:proofErr w:type="gramEnd"/>
      <w:r w:rsidRPr="004C35B4">
        <w:rPr>
          <w:rFonts w:eastAsia="Times New Roman" w:cstheme="minorHAnsi"/>
        </w:rPr>
        <w:t xml:space="preserve"> and</w:t>
      </w:r>
      <w:r w:rsidRPr="00A06106">
        <w:rPr>
          <w:rFonts w:eastAsia="Times New Roman" w:cstheme="minorHAnsi"/>
        </w:rPr>
        <w:t> Harm R</w:t>
      </w:r>
      <w:r w:rsidRPr="004C35B4">
        <w:rPr>
          <w:rFonts w:eastAsia="Times New Roman" w:cstheme="minorHAnsi"/>
        </w:rPr>
        <w:t>.</w:t>
      </w:r>
      <w:r w:rsidRPr="00A06106">
        <w:rPr>
          <w:rFonts w:eastAsia="Times New Roman" w:cstheme="minorHAnsi"/>
        </w:rPr>
        <w:t xml:space="preserve"> </w:t>
      </w:r>
      <w:proofErr w:type="spellStart"/>
      <w:r w:rsidRPr="00A06106">
        <w:rPr>
          <w:rFonts w:eastAsia="Times New Roman" w:cstheme="minorHAnsi"/>
        </w:rPr>
        <w:t>Haak</w:t>
      </w:r>
      <w:proofErr w:type="spellEnd"/>
      <w:r w:rsidRPr="004C35B4">
        <w:rPr>
          <w:rFonts w:eastAsia="Times New Roman" w:cstheme="minorHAnsi"/>
        </w:rPr>
        <w:t xml:space="preserve">. 2019.  </w:t>
      </w:r>
      <w:r w:rsidRPr="00A06106">
        <w:rPr>
          <w:rFonts w:eastAsia="Times New Roman" w:cstheme="minorHAnsi"/>
          <w:kern w:val="36"/>
        </w:rPr>
        <w:t>Strengths and weaknesses of the acute care systems in the United Kingdom and the Netherlands: what can we learn from each other?</w:t>
      </w:r>
      <w:r w:rsidRPr="004C35B4">
        <w:rPr>
          <w:rFonts w:eastAsia="Times New Roman" w:cstheme="minorHAnsi"/>
          <w:kern w:val="36"/>
        </w:rPr>
        <w:t xml:space="preserve"> BMC </w:t>
      </w:r>
      <w:proofErr w:type="spellStart"/>
      <w:r w:rsidRPr="004C35B4">
        <w:rPr>
          <w:rFonts w:eastAsia="Times New Roman" w:cstheme="minorHAnsi"/>
          <w:kern w:val="36"/>
        </w:rPr>
        <w:t>Emerg</w:t>
      </w:r>
      <w:proofErr w:type="spellEnd"/>
      <w:r w:rsidRPr="004C35B4">
        <w:rPr>
          <w:rFonts w:eastAsia="Times New Roman" w:cstheme="minorHAnsi"/>
          <w:kern w:val="36"/>
        </w:rPr>
        <w:t xml:space="preserve"> Med 19 (1). </w:t>
      </w:r>
      <w:r w:rsidRPr="00A06106">
        <w:rPr>
          <w:rFonts w:eastAsia="Times New Roman" w:cstheme="minorHAnsi"/>
        </w:rPr>
        <w:t>DOI: </w:t>
      </w:r>
      <w:hyperlink r:id="rId12" w:tgtFrame="_blank" w:history="1">
        <w:r w:rsidRPr="00A06106">
          <w:rPr>
            <w:rFonts w:eastAsia="Times New Roman" w:cstheme="minorHAnsi"/>
            <w:color w:val="0071BC"/>
          </w:rPr>
          <w:t>10.1186/</w:t>
        </w:r>
        <w:proofErr w:type="spellStart"/>
        <w:r w:rsidRPr="00A06106">
          <w:rPr>
            <w:rFonts w:eastAsia="Times New Roman" w:cstheme="minorHAnsi"/>
            <w:color w:val="0071BC"/>
          </w:rPr>
          <w:t>s12873</w:t>
        </w:r>
        <w:proofErr w:type="spellEnd"/>
        <w:r w:rsidRPr="00A06106">
          <w:rPr>
            <w:rFonts w:eastAsia="Times New Roman" w:cstheme="minorHAnsi"/>
            <w:color w:val="0071BC"/>
          </w:rPr>
          <w:t>-019-0257-</w:t>
        </w:r>
        <w:proofErr w:type="spellStart"/>
        <w:r w:rsidRPr="00A06106">
          <w:rPr>
            <w:rFonts w:eastAsia="Times New Roman" w:cstheme="minorHAnsi"/>
            <w:color w:val="0071BC"/>
          </w:rPr>
          <w:t>y</w:t>
        </w:r>
      </w:hyperlink>
      <w:proofErr w:type="spellEnd"/>
    </w:p>
    <w:p w14:paraId="6D15422B" w14:textId="77777777" w:rsidR="00352F05" w:rsidRDefault="00352F05" w:rsidP="00352F05">
      <w:pPr>
        <w:bidi w:val="0"/>
        <w:spacing w:after="0" w:line="240" w:lineRule="auto"/>
        <w:ind w:left="720" w:hanging="720"/>
        <w:rPr>
          <w:rFonts w:ascii="Segoe UI" w:eastAsia="Times New Roman" w:hAnsi="Segoe UI" w:cs="Segoe UI"/>
          <w:sz w:val="24"/>
          <w:szCs w:val="24"/>
        </w:rPr>
      </w:pPr>
    </w:p>
    <w:p w14:paraId="6654F5A8" w14:textId="6E4D5160" w:rsidR="00352F05" w:rsidRPr="00352F05" w:rsidRDefault="00352F05" w:rsidP="00352F05">
      <w:pPr>
        <w:bidi w:val="0"/>
        <w:spacing w:after="0" w:line="240" w:lineRule="auto"/>
        <w:ind w:left="720" w:hanging="720"/>
        <w:rPr>
          <w:rFonts w:eastAsia="Times New Roman" w:cstheme="minorHAnsi"/>
          <w:color w:val="212121"/>
        </w:rPr>
      </w:pPr>
      <w:proofErr w:type="spellStart"/>
      <w:r w:rsidRPr="00352F05">
        <w:rPr>
          <w:rFonts w:eastAsia="Times New Roman" w:cstheme="minorHAnsi"/>
        </w:rPr>
        <w:t>Kroneman</w:t>
      </w:r>
      <w:proofErr w:type="spellEnd"/>
      <w:r w:rsidRPr="00352F05">
        <w:rPr>
          <w:rFonts w:eastAsia="Times New Roman" w:cstheme="minorHAnsi"/>
        </w:rPr>
        <w:t xml:space="preserve">, </w:t>
      </w:r>
      <w:proofErr w:type="spellStart"/>
      <w:r w:rsidRPr="00352F05">
        <w:rPr>
          <w:rFonts w:eastAsia="Times New Roman" w:cstheme="minorHAnsi"/>
        </w:rPr>
        <w:t>Madelon</w:t>
      </w:r>
      <w:proofErr w:type="spellEnd"/>
      <w:r w:rsidRPr="00352F05">
        <w:rPr>
          <w:rFonts w:eastAsia="Times New Roman" w:cstheme="minorHAnsi"/>
        </w:rPr>
        <w:t xml:space="preserve">, </w:t>
      </w:r>
      <w:r w:rsidRPr="00352F05">
        <w:rPr>
          <w:rFonts w:eastAsia="Times New Roman" w:cstheme="minorHAnsi"/>
        </w:rPr>
        <w:t xml:space="preserve">Wienke </w:t>
      </w:r>
      <w:proofErr w:type="spellStart"/>
      <w:r w:rsidRPr="00352F05">
        <w:rPr>
          <w:rFonts w:eastAsia="Times New Roman" w:cstheme="minorHAnsi"/>
        </w:rPr>
        <w:t>Boerma</w:t>
      </w:r>
      <w:proofErr w:type="spellEnd"/>
      <w:r w:rsidRPr="00352F05">
        <w:rPr>
          <w:rFonts w:eastAsia="Times New Roman" w:cstheme="minorHAnsi"/>
        </w:rPr>
        <w:t>, Michael van den Berg, Peter Groenewegen, Judith de Jong</w:t>
      </w:r>
      <w:r w:rsidRPr="00352F05">
        <w:rPr>
          <w:rFonts w:eastAsia="Times New Roman" w:cstheme="minorHAnsi"/>
        </w:rPr>
        <w:t xml:space="preserve"> and</w:t>
      </w:r>
      <w:r w:rsidRPr="00352F05">
        <w:rPr>
          <w:rFonts w:eastAsia="Times New Roman" w:cstheme="minorHAnsi"/>
        </w:rPr>
        <w:t> </w:t>
      </w:r>
      <w:proofErr w:type="spellStart"/>
      <w:r w:rsidRPr="00352F05">
        <w:rPr>
          <w:rFonts w:eastAsia="Times New Roman" w:cstheme="minorHAnsi"/>
        </w:rPr>
        <w:t>Ewout</w:t>
      </w:r>
      <w:proofErr w:type="spellEnd"/>
      <w:r w:rsidRPr="00352F05">
        <w:rPr>
          <w:rFonts w:eastAsia="Times New Roman" w:cstheme="minorHAnsi"/>
        </w:rPr>
        <w:t xml:space="preserve"> van </w:t>
      </w:r>
      <w:proofErr w:type="spellStart"/>
      <w:r w:rsidRPr="00352F05">
        <w:rPr>
          <w:rFonts w:eastAsia="Times New Roman" w:cstheme="minorHAnsi"/>
        </w:rPr>
        <w:t>Ginneken</w:t>
      </w:r>
      <w:proofErr w:type="spellEnd"/>
      <w:r w:rsidRPr="00352F05">
        <w:rPr>
          <w:rFonts w:eastAsia="Times New Roman" w:cstheme="minorHAnsi"/>
        </w:rPr>
        <w:t>. 2016.</w:t>
      </w:r>
      <w:r w:rsidRPr="00352F05">
        <w:rPr>
          <w:rFonts w:eastAsia="Times New Roman" w:cstheme="minorHAnsi"/>
          <w:color w:val="212121"/>
          <w:kern w:val="36"/>
        </w:rPr>
        <w:t xml:space="preserve"> </w:t>
      </w:r>
      <w:r w:rsidRPr="00352F05">
        <w:rPr>
          <w:rFonts w:eastAsia="Times New Roman" w:cstheme="minorHAnsi"/>
          <w:color w:val="212121"/>
          <w:kern w:val="36"/>
        </w:rPr>
        <w:t>Netherlands: Health System Review</w:t>
      </w:r>
      <w:r w:rsidRPr="00352F05">
        <w:rPr>
          <w:rFonts w:eastAsia="Times New Roman" w:cstheme="minorHAnsi"/>
          <w:color w:val="212121"/>
          <w:kern w:val="36"/>
        </w:rPr>
        <w:t xml:space="preserve">. </w:t>
      </w:r>
      <w:r w:rsidRPr="00352F05">
        <w:rPr>
          <w:rFonts w:eastAsia="Times New Roman" w:cstheme="minorHAnsi"/>
          <w:i/>
          <w:iCs/>
          <w:color w:val="212121"/>
          <w:kern w:val="36"/>
        </w:rPr>
        <w:t xml:space="preserve">Health Syst Trans </w:t>
      </w:r>
      <w:r w:rsidRPr="00352F05">
        <w:rPr>
          <w:rFonts w:eastAsia="Times New Roman" w:cstheme="minorHAnsi"/>
          <w:color w:val="212121"/>
          <w:kern w:val="36"/>
        </w:rPr>
        <w:t xml:space="preserve">18 (2). </w:t>
      </w:r>
      <w:proofErr w:type="spellStart"/>
      <w:r w:rsidRPr="00352F05">
        <w:rPr>
          <w:rFonts w:cstheme="minorHAnsi"/>
          <w:color w:val="212121"/>
          <w:shd w:val="clear" w:color="auto" w:fill="FFFFFF"/>
        </w:rPr>
        <w:t>PMID</w:t>
      </w:r>
      <w:proofErr w:type="spellEnd"/>
      <w:r w:rsidRPr="00352F05">
        <w:rPr>
          <w:rFonts w:cstheme="minorHAnsi"/>
          <w:color w:val="212121"/>
          <w:shd w:val="clear" w:color="auto" w:fill="FFFFFF"/>
        </w:rPr>
        <w:t>: 27467715.</w:t>
      </w:r>
    </w:p>
    <w:p w14:paraId="09FD1303" w14:textId="77777777" w:rsidR="00352F05" w:rsidRPr="004C35B4" w:rsidRDefault="00352F05" w:rsidP="00352F05">
      <w:pPr>
        <w:bidi w:val="0"/>
        <w:spacing w:after="0" w:line="240" w:lineRule="auto"/>
        <w:ind w:left="720" w:hanging="720"/>
        <w:rPr>
          <w:rFonts w:cstheme="minorHAnsi"/>
          <w:color w:val="2E2E2E"/>
        </w:rPr>
      </w:pPr>
    </w:p>
    <w:p w14:paraId="1D232013" w14:textId="4B5A64B7" w:rsidR="004C35B4" w:rsidRDefault="001342E4" w:rsidP="004C35B4">
      <w:pPr>
        <w:bidi w:val="0"/>
        <w:spacing w:after="0" w:line="240" w:lineRule="auto"/>
        <w:ind w:left="720" w:hanging="720"/>
        <w:rPr>
          <w:rFonts w:eastAsia="Times New Roman" w:cstheme="minorHAnsi"/>
          <w:color w:val="212121"/>
        </w:rPr>
      </w:pPr>
      <w:r w:rsidRPr="004C35B4">
        <w:rPr>
          <w:rFonts w:eastAsia="Times New Roman" w:cstheme="minorHAnsi"/>
        </w:rPr>
        <w:t xml:space="preserve">Monitor, United Kingdom. Exploring international acute care models. 2014. </w:t>
      </w:r>
      <w:hyperlink r:id="rId13" w:history="1">
        <w:r w:rsidRPr="004C35B4">
          <w:rPr>
            <w:rStyle w:val="Hyperlink"/>
            <w:rFonts w:eastAsia="Times New Roman" w:cstheme="minorHAnsi"/>
          </w:rPr>
          <w:t>https://assets.publishing.service.gov.uk/government/uploads/system/uploads/attachment_data/file/383021/ExploringInternationalAcutes.pdf</w:t>
        </w:r>
      </w:hyperlink>
    </w:p>
    <w:p w14:paraId="65D6ACC0" w14:textId="77AE2DA5" w:rsidR="007579F7" w:rsidRDefault="007579F7" w:rsidP="007579F7">
      <w:pPr>
        <w:bidi w:val="0"/>
        <w:spacing w:after="0" w:line="240" w:lineRule="auto"/>
        <w:ind w:left="720" w:hanging="720"/>
        <w:rPr>
          <w:rFonts w:eastAsia="Times New Roman" w:cstheme="minorHAnsi"/>
          <w:color w:val="212121"/>
        </w:rPr>
      </w:pPr>
    </w:p>
    <w:p w14:paraId="701A025B" w14:textId="04B159C8" w:rsidR="007579F7" w:rsidRPr="004C35B4" w:rsidRDefault="007579F7" w:rsidP="007579F7">
      <w:pPr>
        <w:bidi w:val="0"/>
        <w:spacing w:after="0" w:line="240" w:lineRule="auto"/>
        <w:ind w:left="720" w:hanging="720"/>
        <w:rPr>
          <w:rFonts w:eastAsia="Times New Roman" w:cstheme="minorHAnsi"/>
          <w:color w:val="212121"/>
        </w:rPr>
      </w:pPr>
      <w:r>
        <w:rPr>
          <w:rFonts w:eastAsia="Times New Roman" w:cstheme="minorHAnsi"/>
          <w:color w:val="212121"/>
        </w:rPr>
        <w:t xml:space="preserve">OECD Health Statistics. 2022. Netherlands. </w:t>
      </w:r>
      <w:hyperlink r:id="rId14" w:history="1">
        <w:r w:rsidRPr="00B51FA4">
          <w:rPr>
            <w:rStyle w:val="Hyperlink"/>
            <w:rFonts w:eastAsia="Times New Roman" w:cstheme="minorHAnsi"/>
          </w:rPr>
          <w:t>https://www.oecd.org/netherlands/</w:t>
        </w:r>
      </w:hyperlink>
    </w:p>
    <w:p w14:paraId="6F330618" w14:textId="77777777" w:rsidR="004C35B4" w:rsidRPr="004C35B4" w:rsidRDefault="004C35B4" w:rsidP="004C35B4">
      <w:pPr>
        <w:bidi w:val="0"/>
        <w:spacing w:after="0" w:line="240" w:lineRule="auto"/>
        <w:ind w:left="720" w:hanging="720"/>
        <w:rPr>
          <w:rFonts w:eastAsia="Times New Roman" w:cstheme="minorHAnsi"/>
          <w:color w:val="212121"/>
        </w:rPr>
      </w:pPr>
    </w:p>
    <w:p w14:paraId="30D5CEBB" w14:textId="77777777" w:rsidR="004C35B4" w:rsidRPr="004C35B4" w:rsidRDefault="004C35B4" w:rsidP="004C35B4">
      <w:pPr>
        <w:bidi w:val="0"/>
        <w:spacing w:after="0" w:line="240" w:lineRule="auto"/>
        <w:ind w:left="720" w:hanging="720"/>
        <w:rPr>
          <w:rFonts w:cstheme="minorHAnsi"/>
          <w:color w:val="2E2E2E"/>
        </w:rPr>
      </w:pPr>
      <w:r w:rsidRPr="004C35B4">
        <w:rPr>
          <w:rFonts w:eastAsia="Times New Roman" w:cstheme="minorHAnsi"/>
        </w:rPr>
        <w:t xml:space="preserve">Rutten, </w:t>
      </w:r>
      <w:proofErr w:type="spellStart"/>
      <w:r w:rsidRPr="004C35B4">
        <w:rPr>
          <w:rFonts w:eastAsia="Times New Roman" w:cstheme="minorHAnsi"/>
        </w:rPr>
        <w:t>Martijn</w:t>
      </w:r>
      <w:proofErr w:type="spellEnd"/>
      <w:r w:rsidRPr="004C35B4">
        <w:rPr>
          <w:rFonts w:eastAsia="Times New Roman" w:cstheme="minorHAnsi"/>
        </w:rPr>
        <w:t xml:space="preserve">, </w:t>
      </w:r>
      <w:proofErr w:type="spellStart"/>
      <w:r w:rsidRPr="004C35B4">
        <w:rPr>
          <w:rFonts w:eastAsia="Times New Roman" w:cstheme="minorHAnsi"/>
        </w:rPr>
        <w:t>Fieke</w:t>
      </w:r>
      <w:proofErr w:type="spellEnd"/>
      <w:r w:rsidRPr="004C35B4">
        <w:rPr>
          <w:rFonts w:eastAsia="Times New Roman" w:cstheme="minorHAnsi"/>
        </w:rPr>
        <w:t xml:space="preserve"> </w:t>
      </w:r>
      <w:proofErr w:type="spellStart"/>
      <w:r w:rsidRPr="004C35B4">
        <w:rPr>
          <w:rFonts w:eastAsia="Times New Roman" w:cstheme="minorHAnsi"/>
        </w:rPr>
        <w:t>Vrielink</w:t>
      </w:r>
      <w:proofErr w:type="spellEnd"/>
      <w:r w:rsidRPr="004C35B4">
        <w:rPr>
          <w:rFonts w:eastAsia="Times New Roman" w:cstheme="minorHAnsi"/>
        </w:rPr>
        <w:t xml:space="preserve">, Marleen Smits and Paul </w:t>
      </w:r>
      <w:proofErr w:type="spellStart"/>
      <w:r w:rsidRPr="004C35B4">
        <w:rPr>
          <w:rFonts w:eastAsia="Times New Roman" w:cstheme="minorHAnsi"/>
        </w:rPr>
        <w:t>Giesen</w:t>
      </w:r>
      <w:proofErr w:type="spellEnd"/>
      <w:r w:rsidRPr="004C35B4">
        <w:rPr>
          <w:rFonts w:eastAsia="Times New Roman" w:cstheme="minorHAnsi"/>
        </w:rPr>
        <w:t xml:space="preserve">. 2017. Patient and care characteristics of self-referrals treated by general practitioner cooperatives at emergency-care-access-points in the Netherlands. </w:t>
      </w:r>
      <w:r w:rsidRPr="004C35B4">
        <w:rPr>
          <w:rFonts w:eastAsia="Times New Roman" w:cstheme="minorHAnsi"/>
          <w:i/>
          <w:iCs/>
        </w:rPr>
        <w:t xml:space="preserve">BMC Family Practice </w:t>
      </w:r>
      <w:r w:rsidRPr="004C35B4">
        <w:rPr>
          <w:rFonts w:eastAsia="Times New Roman" w:cstheme="minorHAnsi"/>
        </w:rPr>
        <w:t xml:space="preserve">18 (62). </w:t>
      </w:r>
      <w:r w:rsidRPr="004C35B4">
        <w:rPr>
          <w:rFonts w:eastAsia="Times New Roman" w:cstheme="minorHAnsi"/>
          <w:color w:val="212121"/>
        </w:rPr>
        <w:t>DOI: </w:t>
      </w:r>
      <w:hyperlink r:id="rId15" w:tgtFrame="_blank" w:history="1">
        <w:r w:rsidRPr="004C35B4">
          <w:rPr>
            <w:rFonts w:eastAsia="Times New Roman" w:cstheme="minorHAnsi"/>
            <w:color w:val="0071BC"/>
            <w:u w:val="single"/>
          </w:rPr>
          <w:t>10.1186/</w:t>
        </w:r>
        <w:proofErr w:type="spellStart"/>
        <w:r w:rsidRPr="004C35B4">
          <w:rPr>
            <w:rFonts w:eastAsia="Times New Roman" w:cstheme="minorHAnsi"/>
            <w:color w:val="0071BC"/>
            <w:u w:val="single"/>
          </w:rPr>
          <w:t>s12875</w:t>
        </w:r>
        <w:proofErr w:type="spellEnd"/>
        <w:r w:rsidRPr="004C35B4">
          <w:rPr>
            <w:rFonts w:eastAsia="Times New Roman" w:cstheme="minorHAnsi"/>
            <w:color w:val="0071BC"/>
            <w:u w:val="single"/>
          </w:rPr>
          <w:t>-017-0633-1</w:t>
        </w:r>
      </w:hyperlink>
    </w:p>
    <w:p w14:paraId="6B631200" w14:textId="77777777" w:rsidR="004C35B4" w:rsidRPr="004C35B4" w:rsidRDefault="004C35B4" w:rsidP="004C35B4">
      <w:pPr>
        <w:bidi w:val="0"/>
        <w:spacing w:after="0" w:line="240" w:lineRule="auto"/>
        <w:ind w:left="720" w:hanging="720"/>
        <w:rPr>
          <w:rFonts w:eastAsia="Times New Roman" w:cstheme="minorHAnsi"/>
        </w:rPr>
      </w:pPr>
    </w:p>
    <w:p w14:paraId="2D82EA6C" w14:textId="77777777" w:rsidR="004C35B4" w:rsidRDefault="001342E4" w:rsidP="004C35B4">
      <w:pPr>
        <w:bidi w:val="0"/>
        <w:spacing w:after="0" w:line="240" w:lineRule="auto"/>
        <w:ind w:left="720" w:hanging="720"/>
        <w:rPr>
          <w:rFonts w:eastAsia="Times New Roman" w:cstheme="minorHAnsi"/>
          <w:color w:val="212121"/>
        </w:rPr>
      </w:pPr>
      <w:r w:rsidRPr="004C35B4">
        <w:rPr>
          <w:rFonts w:eastAsia="Times New Roman" w:cstheme="minorHAnsi"/>
        </w:rPr>
        <w:t xml:space="preserve">Smits, Marleen, </w:t>
      </w:r>
      <w:proofErr w:type="spellStart"/>
      <w:r w:rsidRPr="001342E4">
        <w:rPr>
          <w:rFonts w:eastAsia="Times New Roman" w:cstheme="minorHAnsi"/>
        </w:rPr>
        <w:t>Martijn</w:t>
      </w:r>
      <w:proofErr w:type="spellEnd"/>
      <w:r w:rsidRPr="001342E4">
        <w:rPr>
          <w:rFonts w:eastAsia="Times New Roman" w:cstheme="minorHAnsi"/>
        </w:rPr>
        <w:t xml:space="preserve"> Rutten</w:t>
      </w:r>
      <w:r w:rsidRPr="004C35B4">
        <w:rPr>
          <w:rFonts w:eastAsia="Times New Roman" w:cstheme="minorHAnsi"/>
        </w:rPr>
        <w:t>,</w:t>
      </w:r>
      <w:r w:rsidRPr="001342E4">
        <w:rPr>
          <w:rFonts w:eastAsia="Times New Roman" w:cstheme="minorHAnsi"/>
        </w:rPr>
        <w:t xml:space="preserve"> Ellen Keizer, Michel </w:t>
      </w:r>
      <w:proofErr w:type="spellStart"/>
      <w:r w:rsidRPr="001342E4">
        <w:rPr>
          <w:rFonts w:eastAsia="Times New Roman" w:cstheme="minorHAnsi"/>
        </w:rPr>
        <w:t>Wensing</w:t>
      </w:r>
      <w:proofErr w:type="spellEnd"/>
      <w:r w:rsidRPr="001342E4">
        <w:rPr>
          <w:rFonts w:eastAsia="Times New Roman" w:cstheme="minorHAnsi"/>
        </w:rPr>
        <w:t xml:space="preserve">, Gert </w:t>
      </w:r>
      <w:proofErr w:type="spellStart"/>
      <w:r w:rsidRPr="001342E4">
        <w:rPr>
          <w:rFonts w:eastAsia="Times New Roman" w:cstheme="minorHAnsi"/>
        </w:rPr>
        <w:t>Westert</w:t>
      </w:r>
      <w:proofErr w:type="spellEnd"/>
      <w:r w:rsidRPr="004C35B4">
        <w:rPr>
          <w:rFonts w:eastAsia="Times New Roman" w:cstheme="minorHAnsi"/>
        </w:rPr>
        <w:t xml:space="preserve"> and</w:t>
      </w:r>
      <w:r w:rsidRPr="001342E4">
        <w:rPr>
          <w:rFonts w:eastAsia="Times New Roman" w:cstheme="minorHAnsi"/>
        </w:rPr>
        <w:t xml:space="preserve"> Paul </w:t>
      </w:r>
      <w:proofErr w:type="spellStart"/>
      <w:r w:rsidRPr="001342E4">
        <w:rPr>
          <w:rFonts w:eastAsia="Times New Roman" w:cstheme="minorHAnsi"/>
        </w:rPr>
        <w:t>Giesen</w:t>
      </w:r>
      <w:proofErr w:type="spellEnd"/>
      <w:r w:rsidRPr="004C35B4">
        <w:rPr>
          <w:rFonts w:eastAsia="Times New Roman" w:cstheme="minorHAnsi"/>
        </w:rPr>
        <w:t xml:space="preserve">. 2017. </w:t>
      </w:r>
      <w:r w:rsidRPr="001342E4">
        <w:rPr>
          <w:rFonts w:eastAsia="Times New Roman" w:cstheme="minorHAnsi"/>
          <w:kern w:val="36"/>
        </w:rPr>
        <w:t>The Development and Performance of After-Hours Primary Care in the Netherlands: A Narrative Review</w:t>
      </w:r>
      <w:r w:rsidRPr="004C35B4">
        <w:rPr>
          <w:rFonts w:eastAsia="Times New Roman" w:cstheme="minorHAnsi"/>
          <w:kern w:val="36"/>
        </w:rPr>
        <w:t xml:space="preserve">. </w:t>
      </w:r>
      <w:r w:rsidRPr="004C35B4">
        <w:rPr>
          <w:rFonts w:eastAsia="Times New Roman" w:cstheme="minorHAnsi"/>
          <w:i/>
          <w:iCs/>
          <w:kern w:val="36"/>
        </w:rPr>
        <w:t xml:space="preserve">Ann Intern Med </w:t>
      </w:r>
      <w:r w:rsidRPr="004C35B4">
        <w:rPr>
          <w:rFonts w:eastAsia="Times New Roman" w:cstheme="minorHAnsi"/>
          <w:kern w:val="36"/>
        </w:rPr>
        <w:t xml:space="preserve">166 (10). </w:t>
      </w:r>
      <w:r w:rsidRPr="004C35B4">
        <w:rPr>
          <w:rFonts w:eastAsia="Times New Roman" w:cstheme="minorHAnsi"/>
        </w:rPr>
        <w:t>DOI</w:t>
      </w:r>
      <w:r w:rsidRPr="004C35B4">
        <w:rPr>
          <w:rFonts w:eastAsia="Times New Roman" w:cstheme="minorHAnsi"/>
          <w:color w:val="212121"/>
        </w:rPr>
        <w:t>: </w:t>
      </w:r>
      <w:hyperlink r:id="rId16" w:tgtFrame="_blank" w:history="1">
        <w:r w:rsidRPr="004C35B4">
          <w:rPr>
            <w:rFonts w:eastAsia="Times New Roman" w:cstheme="minorHAnsi"/>
            <w:color w:val="0071BC"/>
            <w:u w:val="single"/>
          </w:rPr>
          <w:t>10.7326/</w:t>
        </w:r>
        <w:proofErr w:type="spellStart"/>
        <w:r w:rsidRPr="004C35B4">
          <w:rPr>
            <w:rFonts w:eastAsia="Times New Roman" w:cstheme="minorHAnsi"/>
            <w:color w:val="0071BC"/>
            <w:u w:val="single"/>
          </w:rPr>
          <w:t>M16</w:t>
        </w:r>
        <w:proofErr w:type="spellEnd"/>
        <w:r w:rsidRPr="004C35B4">
          <w:rPr>
            <w:rFonts w:eastAsia="Times New Roman" w:cstheme="minorHAnsi"/>
            <w:color w:val="0071BC"/>
            <w:u w:val="single"/>
          </w:rPr>
          <w:t>-2776</w:t>
        </w:r>
      </w:hyperlink>
    </w:p>
    <w:p w14:paraId="39308F99" w14:textId="77777777" w:rsidR="004C35B4" w:rsidRDefault="004C35B4" w:rsidP="004C35B4">
      <w:pPr>
        <w:bidi w:val="0"/>
        <w:spacing w:after="0" w:line="240" w:lineRule="auto"/>
        <w:ind w:left="720" w:hanging="720"/>
        <w:rPr>
          <w:rFonts w:eastAsia="Times New Roman" w:cstheme="minorHAnsi"/>
          <w:color w:val="212121"/>
        </w:rPr>
      </w:pPr>
    </w:p>
    <w:p w14:paraId="3A0081D9" w14:textId="58A3C184" w:rsidR="004C35B4" w:rsidRPr="004C35B4" w:rsidRDefault="001342E4" w:rsidP="004C35B4">
      <w:pPr>
        <w:bidi w:val="0"/>
        <w:spacing w:after="0" w:line="240" w:lineRule="auto"/>
        <w:ind w:left="720" w:hanging="720"/>
        <w:rPr>
          <w:rFonts w:eastAsia="Times New Roman" w:cstheme="minorHAnsi"/>
          <w:color w:val="212121"/>
        </w:rPr>
      </w:pPr>
      <w:proofErr w:type="spellStart"/>
      <w:r w:rsidRPr="004C35B4">
        <w:rPr>
          <w:rFonts w:cstheme="minorHAnsi"/>
        </w:rPr>
        <w:t>Thijssen</w:t>
      </w:r>
      <w:proofErr w:type="spellEnd"/>
      <w:r w:rsidRPr="004C35B4">
        <w:rPr>
          <w:rFonts w:cstheme="minorHAnsi"/>
        </w:rPr>
        <w:t>, Wendy A. M. H.</w:t>
      </w:r>
      <w:r w:rsidRPr="004C35B4">
        <w:rPr>
          <w:rFonts w:cstheme="minorHAnsi"/>
        </w:rPr>
        <w:t xml:space="preserve">, </w:t>
      </w:r>
      <w:r w:rsidRPr="004C35B4">
        <w:rPr>
          <w:rFonts w:cstheme="minorHAnsi"/>
        </w:rPr>
        <w:t xml:space="preserve">Nicole </w:t>
      </w:r>
      <w:proofErr w:type="spellStart"/>
      <w:r w:rsidRPr="004C35B4">
        <w:rPr>
          <w:rFonts w:cstheme="minorHAnsi"/>
        </w:rPr>
        <w:t>Kraaijvanger</w:t>
      </w:r>
      <w:proofErr w:type="spellEnd"/>
      <w:r w:rsidRPr="004C35B4">
        <w:rPr>
          <w:rFonts w:cstheme="minorHAnsi"/>
        </w:rPr>
        <w:t xml:space="preserve">, Dennis G. </w:t>
      </w:r>
      <w:proofErr w:type="spellStart"/>
      <w:r w:rsidRPr="004C35B4">
        <w:rPr>
          <w:rFonts w:cstheme="minorHAnsi"/>
        </w:rPr>
        <w:t>Barten</w:t>
      </w:r>
      <w:proofErr w:type="spellEnd"/>
      <w:r w:rsidRPr="004C35B4">
        <w:rPr>
          <w:rFonts w:cstheme="minorHAnsi"/>
        </w:rPr>
        <w:t xml:space="preserve">, Marleen L. M. </w:t>
      </w:r>
      <w:proofErr w:type="spellStart"/>
      <w:r w:rsidRPr="004C35B4">
        <w:rPr>
          <w:rFonts w:cstheme="minorHAnsi"/>
        </w:rPr>
        <w:t>Boerma</w:t>
      </w:r>
      <w:proofErr w:type="spellEnd"/>
      <w:r w:rsidRPr="004C35B4">
        <w:rPr>
          <w:rFonts w:cstheme="minorHAnsi"/>
        </w:rPr>
        <w:t xml:space="preserve">, Paul </w:t>
      </w:r>
      <w:proofErr w:type="spellStart"/>
      <w:r w:rsidRPr="004C35B4">
        <w:rPr>
          <w:rFonts w:cstheme="minorHAnsi"/>
        </w:rPr>
        <w:t>Giesen</w:t>
      </w:r>
      <w:proofErr w:type="spellEnd"/>
      <w:r w:rsidRPr="004C35B4">
        <w:rPr>
          <w:rFonts w:cstheme="minorHAnsi"/>
        </w:rPr>
        <w:t> </w:t>
      </w:r>
      <w:r w:rsidR="00A06106" w:rsidRPr="004C35B4">
        <w:rPr>
          <w:rFonts w:cstheme="minorHAnsi"/>
        </w:rPr>
        <w:t xml:space="preserve">and </w:t>
      </w:r>
      <w:r w:rsidRPr="004C35B4">
        <w:rPr>
          <w:rFonts w:cstheme="minorHAnsi"/>
        </w:rPr>
        <w:t xml:space="preserve">Michel </w:t>
      </w:r>
      <w:proofErr w:type="spellStart"/>
      <w:r w:rsidRPr="004C35B4">
        <w:rPr>
          <w:rFonts w:cstheme="minorHAnsi"/>
        </w:rPr>
        <w:t>Wensing</w:t>
      </w:r>
      <w:proofErr w:type="spellEnd"/>
      <w:r w:rsidR="00A06106" w:rsidRPr="004C35B4">
        <w:rPr>
          <w:rFonts w:cstheme="minorHAnsi"/>
        </w:rPr>
        <w:t>.</w:t>
      </w:r>
      <w:r w:rsidRPr="004C35B4">
        <w:rPr>
          <w:rFonts w:cstheme="minorHAnsi"/>
        </w:rPr>
        <w:t> </w:t>
      </w:r>
      <w:r w:rsidR="00A06106" w:rsidRPr="004C35B4">
        <w:rPr>
          <w:rFonts w:cstheme="minorHAnsi"/>
        </w:rPr>
        <w:t xml:space="preserve">2016. </w:t>
      </w:r>
      <w:r w:rsidR="00A06106" w:rsidRPr="004C35B4">
        <w:rPr>
          <w:rFonts w:cstheme="minorHAnsi"/>
        </w:rPr>
        <w:t>Impact of a well-developed primary care system on the length of stay in emergency departments in the Netherlands: a multicenter study</w:t>
      </w:r>
      <w:r w:rsidR="00A06106" w:rsidRPr="004C35B4">
        <w:rPr>
          <w:rFonts w:cstheme="minorHAnsi"/>
        </w:rPr>
        <w:t xml:space="preserve">. </w:t>
      </w:r>
      <w:r w:rsidRPr="004C35B4">
        <w:rPr>
          <w:rFonts w:cstheme="minorHAnsi"/>
          <w:i/>
          <w:iCs/>
        </w:rPr>
        <w:t>BMC Health Services Research</w:t>
      </w:r>
      <w:r w:rsidRPr="004C35B4">
        <w:rPr>
          <w:rFonts w:cstheme="minorHAnsi"/>
        </w:rPr>
        <w:t> </w:t>
      </w:r>
      <w:r w:rsidR="00A06106" w:rsidRPr="004C35B4">
        <w:rPr>
          <w:rFonts w:cstheme="minorHAnsi"/>
        </w:rPr>
        <w:t xml:space="preserve">16 (149). </w:t>
      </w:r>
      <w:r w:rsidR="004C35B4" w:rsidRPr="004C35B4">
        <w:rPr>
          <w:rFonts w:eastAsia="Times New Roman" w:cstheme="minorHAnsi"/>
        </w:rPr>
        <w:t>DOI</w:t>
      </w:r>
      <w:r w:rsidR="004C35B4" w:rsidRPr="004C35B4">
        <w:rPr>
          <w:rFonts w:eastAsia="Times New Roman" w:cstheme="minorHAnsi"/>
          <w:color w:val="333333"/>
        </w:rPr>
        <w:t xml:space="preserve">: </w:t>
      </w:r>
      <w:hyperlink r:id="rId17" w:history="1">
        <w:r w:rsidR="004C35B4" w:rsidRPr="004C35B4">
          <w:rPr>
            <w:rStyle w:val="Hyperlink"/>
            <w:rFonts w:eastAsia="Times New Roman" w:cstheme="minorHAnsi"/>
          </w:rPr>
          <w:t>https://doi.org/10.1186/s12913-016-1400-z</w:t>
        </w:r>
      </w:hyperlink>
      <w:r w:rsidR="004C35B4">
        <w:rPr>
          <w:rFonts w:ascii="Segoe UI" w:eastAsia="Times New Roman" w:hAnsi="Segoe UI" w:cs="Segoe UI"/>
          <w:color w:val="333333"/>
          <w:sz w:val="27"/>
          <w:szCs w:val="27"/>
        </w:rPr>
        <w:t xml:space="preserve"> </w:t>
      </w:r>
    </w:p>
    <w:p w14:paraId="4B463B1F" w14:textId="77777777" w:rsidR="004C35B4" w:rsidRPr="004C35B4" w:rsidRDefault="004C35B4" w:rsidP="004C35B4">
      <w:pPr>
        <w:bidi w:val="0"/>
        <w:spacing w:after="0" w:line="240" w:lineRule="auto"/>
        <w:ind w:left="720" w:hanging="720"/>
        <w:rPr>
          <w:rFonts w:eastAsia="Times New Roman" w:cstheme="minorHAnsi"/>
        </w:rPr>
      </w:pPr>
    </w:p>
    <w:p w14:paraId="3C8FFA58" w14:textId="77777777" w:rsidR="004C35B4" w:rsidRPr="004C35B4" w:rsidRDefault="007D55DB" w:rsidP="004C35B4">
      <w:pPr>
        <w:bidi w:val="0"/>
        <w:spacing w:after="0" w:line="240" w:lineRule="auto"/>
        <w:ind w:left="720" w:hanging="720"/>
        <w:rPr>
          <w:rFonts w:cstheme="minorHAnsi"/>
          <w:color w:val="2E2E2E"/>
        </w:rPr>
      </w:pPr>
      <w:r w:rsidRPr="004C35B4">
        <w:rPr>
          <w:rFonts w:eastAsia="Times New Roman" w:cstheme="minorHAnsi"/>
        </w:rPr>
        <w:t xml:space="preserve">Van Gils-van </w:t>
      </w:r>
      <w:proofErr w:type="spellStart"/>
      <w:r w:rsidRPr="004C35B4">
        <w:rPr>
          <w:rFonts w:eastAsia="Times New Roman" w:cstheme="minorHAnsi"/>
        </w:rPr>
        <w:t>Rooij</w:t>
      </w:r>
      <w:proofErr w:type="spellEnd"/>
      <w:r w:rsidRPr="004C35B4">
        <w:rPr>
          <w:rFonts w:eastAsia="Times New Roman" w:cstheme="minorHAnsi"/>
        </w:rPr>
        <w:t xml:space="preserve">, </w:t>
      </w:r>
      <w:r w:rsidRPr="007D55DB">
        <w:rPr>
          <w:rFonts w:eastAsia="Times New Roman" w:cstheme="minorHAnsi"/>
        </w:rPr>
        <w:t xml:space="preserve">Elisabeth </w:t>
      </w:r>
      <w:proofErr w:type="spellStart"/>
      <w:r w:rsidRPr="007D55DB">
        <w:rPr>
          <w:rFonts w:eastAsia="Times New Roman" w:cstheme="minorHAnsi"/>
        </w:rPr>
        <w:t>Sybilla</w:t>
      </w:r>
      <w:proofErr w:type="spellEnd"/>
      <w:r w:rsidRPr="007D55DB">
        <w:rPr>
          <w:rFonts w:eastAsia="Times New Roman" w:cstheme="minorHAnsi"/>
        </w:rPr>
        <w:t xml:space="preserve"> Johanna, Christoffel Joris </w:t>
      </w:r>
      <w:proofErr w:type="spellStart"/>
      <w:r w:rsidRPr="007D55DB">
        <w:rPr>
          <w:rFonts w:eastAsia="Times New Roman" w:cstheme="minorHAnsi"/>
        </w:rPr>
        <w:t>Yzermans</w:t>
      </w:r>
      <w:proofErr w:type="spellEnd"/>
      <w:r w:rsidRPr="007D55DB">
        <w:rPr>
          <w:rFonts w:eastAsia="Times New Roman" w:cstheme="minorHAnsi"/>
        </w:rPr>
        <w:t>, </w:t>
      </w:r>
      <w:proofErr w:type="spellStart"/>
      <w:r w:rsidRPr="007D55DB">
        <w:rPr>
          <w:rFonts w:eastAsia="Times New Roman" w:cstheme="minorHAnsi"/>
        </w:rPr>
        <w:t>Sjoerd</w:t>
      </w:r>
      <w:proofErr w:type="spellEnd"/>
      <w:r w:rsidRPr="007D55DB">
        <w:rPr>
          <w:rFonts w:eastAsia="Times New Roman" w:cstheme="minorHAnsi"/>
        </w:rPr>
        <w:t xml:space="preserve"> Michael </w:t>
      </w:r>
      <w:proofErr w:type="spellStart"/>
      <w:r w:rsidRPr="007D55DB">
        <w:rPr>
          <w:rFonts w:eastAsia="Times New Roman" w:cstheme="minorHAnsi"/>
        </w:rPr>
        <w:t>Broekman</w:t>
      </w:r>
      <w:proofErr w:type="spellEnd"/>
      <w:r w:rsidRPr="007D55DB">
        <w:rPr>
          <w:rFonts w:eastAsia="Times New Roman" w:cstheme="minorHAnsi"/>
        </w:rPr>
        <w:t xml:space="preserve">, Berthold Rudy </w:t>
      </w:r>
      <w:proofErr w:type="spellStart"/>
      <w:r w:rsidRPr="007D55DB">
        <w:rPr>
          <w:rFonts w:eastAsia="Times New Roman" w:cstheme="minorHAnsi"/>
        </w:rPr>
        <w:t>Meijboom</w:t>
      </w:r>
      <w:proofErr w:type="spellEnd"/>
      <w:r w:rsidRPr="007D55DB">
        <w:rPr>
          <w:rFonts w:eastAsia="Times New Roman" w:cstheme="minorHAnsi"/>
        </w:rPr>
        <w:t>, </w:t>
      </w:r>
      <w:proofErr w:type="spellStart"/>
      <w:r w:rsidRPr="007D55DB">
        <w:rPr>
          <w:rFonts w:eastAsia="Times New Roman" w:cstheme="minorHAnsi"/>
        </w:rPr>
        <w:t>Gerben</w:t>
      </w:r>
      <w:proofErr w:type="spellEnd"/>
      <w:r w:rsidRPr="007D55DB">
        <w:rPr>
          <w:rFonts w:eastAsia="Times New Roman" w:cstheme="minorHAnsi"/>
        </w:rPr>
        <w:t xml:space="preserve"> Paul Welling</w:t>
      </w:r>
      <w:r w:rsidRPr="004C35B4">
        <w:rPr>
          <w:rFonts w:eastAsia="Times New Roman" w:cstheme="minorHAnsi"/>
        </w:rPr>
        <w:t xml:space="preserve"> and</w:t>
      </w:r>
      <w:r w:rsidRPr="007D55DB">
        <w:rPr>
          <w:rFonts w:eastAsia="Times New Roman" w:cstheme="minorHAnsi"/>
        </w:rPr>
        <w:t> </w:t>
      </w:r>
      <w:proofErr w:type="spellStart"/>
      <w:r w:rsidRPr="007D55DB">
        <w:rPr>
          <w:rFonts w:eastAsia="Times New Roman" w:cstheme="minorHAnsi"/>
        </w:rPr>
        <w:t>Dingenus</w:t>
      </w:r>
      <w:proofErr w:type="spellEnd"/>
      <w:r w:rsidRPr="007D55DB">
        <w:rPr>
          <w:rFonts w:eastAsia="Times New Roman" w:cstheme="minorHAnsi"/>
        </w:rPr>
        <w:t xml:space="preserve"> Herman de Bakker</w:t>
      </w:r>
      <w:r w:rsidRPr="004C35B4">
        <w:rPr>
          <w:rFonts w:eastAsia="Times New Roman" w:cstheme="minorHAnsi"/>
        </w:rPr>
        <w:t xml:space="preserve">. 2015. </w:t>
      </w:r>
      <w:r w:rsidRPr="007D55DB">
        <w:rPr>
          <w:rFonts w:eastAsia="Times New Roman" w:cstheme="minorHAnsi"/>
          <w:kern w:val="36"/>
        </w:rPr>
        <w:t>Out-of</w:t>
      </w:r>
      <w:r w:rsidRPr="007D55DB">
        <w:rPr>
          <w:rFonts w:eastAsia="Times New Roman" w:cstheme="minorHAnsi"/>
          <w:color w:val="212121"/>
          <w:kern w:val="36"/>
        </w:rPr>
        <w:t>-Hours Care Collaboration between General Practitioners and Hospital Emergency Departments in the Netherlands</w:t>
      </w:r>
      <w:r w:rsidRPr="004C35B4">
        <w:rPr>
          <w:rFonts w:eastAsia="Times New Roman" w:cstheme="minorHAnsi"/>
          <w:color w:val="212121"/>
          <w:kern w:val="36"/>
        </w:rPr>
        <w:t xml:space="preserve">. </w:t>
      </w:r>
      <w:r w:rsidRPr="004C35B4">
        <w:rPr>
          <w:rFonts w:eastAsia="Times New Roman" w:cstheme="minorHAnsi"/>
          <w:i/>
          <w:iCs/>
          <w:color w:val="212121"/>
          <w:kern w:val="36"/>
        </w:rPr>
        <w:t xml:space="preserve">J Am Board Fam Med </w:t>
      </w:r>
      <w:r w:rsidRPr="004C35B4">
        <w:rPr>
          <w:rFonts w:eastAsia="Times New Roman" w:cstheme="minorHAnsi"/>
          <w:color w:val="212121"/>
          <w:kern w:val="36"/>
        </w:rPr>
        <w:t xml:space="preserve">28 (6). </w:t>
      </w:r>
      <w:r w:rsidRPr="007D55DB">
        <w:rPr>
          <w:rFonts w:eastAsia="Times New Roman" w:cstheme="minorHAnsi"/>
          <w:color w:val="212121"/>
        </w:rPr>
        <w:t>DOI: </w:t>
      </w:r>
      <w:hyperlink r:id="rId18" w:tgtFrame="_blank" w:history="1">
        <w:r w:rsidRPr="007D55DB">
          <w:rPr>
            <w:rFonts w:eastAsia="Times New Roman" w:cstheme="minorHAnsi"/>
            <w:color w:val="0071BC"/>
          </w:rPr>
          <w:t>10.3122/</w:t>
        </w:r>
        <w:proofErr w:type="spellStart"/>
        <w:r w:rsidRPr="007D55DB">
          <w:rPr>
            <w:rFonts w:eastAsia="Times New Roman" w:cstheme="minorHAnsi"/>
            <w:color w:val="0071BC"/>
          </w:rPr>
          <w:t>jabfm.2015.06.140261</w:t>
        </w:r>
      </w:hyperlink>
      <w:proofErr w:type="spellEnd"/>
    </w:p>
    <w:p w14:paraId="31888F5F" w14:textId="77777777" w:rsidR="004C35B4" w:rsidRPr="004C35B4" w:rsidRDefault="004C35B4" w:rsidP="004C35B4">
      <w:pPr>
        <w:bidi w:val="0"/>
        <w:spacing w:after="0" w:line="240" w:lineRule="auto"/>
        <w:ind w:left="720" w:hanging="720"/>
        <w:rPr>
          <w:rFonts w:cstheme="minorHAnsi"/>
          <w:color w:val="2E2E2E"/>
        </w:rPr>
      </w:pPr>
    </w:p>
    <w:p w14:paraId="08F59F0C" w14:textId="1945ECCF" w:rsidR="004C35B4" w:rsidRPr="004C35B4" w:rsidRDefault="004C35B4" w:rsidP="004C35B4">
      <w:pPr>
        <w:bidi w:val="0"/>
        <w:spacing w:after="0" w:line="240" w:lineRule="auto"/>
        <w:ind w:left="720" w:hanging="720"/>
        <w:rPr>
          <w:rFonts w:cstheme="minorHAnsi"/>
          <w:color w:val="2E2E2E"/>
        </w:rPr>
      </w:pPr>
      <w:proofErr w:type="spellStart"/>
      <w:r w:rsidRPr="004C35B4">
        <w:rPr>
          <w:rFonts w:eastAsia="Times New Roman" w:cstheme="minorHAnsi"/>
          <w:color w:val="212121"/>
        </w:rPr>
        <w:t>Wackers</w:t>
      </w:r>
      <w:proofErr w:type="spellEnd"/>
      <w:r w:rsidRPr="004C35B4">
        <w:rPr>
          <w:rFonts w:eastAsia="Times New Roman" w:cstheme="minorHAnsi"/>
          <w:color w:val="212121"/>
        </w:rPr>
        <w:t xml:space="preserve">, Erik M.E., </w:t>
      </w:r>
      <w:r w:rsidRPr="004C35B4">
        <w:rPr>
          <w:rFonts w:eastAsia="Times New Roman" w:cstheme="minorHAnsi"/>
        </w:rPr>
        <w:t xml:space="preserve">Niek W </w:t>
      </w:r>
      <w:proofErr w:type="spellStart"/>
      <w:r w:rsidRPr="004C35B4">
        <w:rPr>
          <w:rFonts w:eastAsia="Times New Roman" w:cstheme="minorHAnsi"/>
        </w:rPr>
        <w:t>Stadhouders</w:t>
      </w:r>
      <w:proofErr w:type="spellEnd"/>
      <w:r w:rsidRPr="004C35B4">
        <w:rPr>
          <w:rFonts w:eastAsia="Times New Roman" w:cstheme="minorHAnsi"/>
        </w:rPr>
        <w:t>, </w:t>
      </w:r>
      <w:proofErr w:type="spellStart"/>
      <w:r w:rsidRPr="004C35B4">
        <w:rPr>
          <w:rFonts w:eastAsia="Times New Roman" w:cstheme="minorHAnsi"/>
        </w:rPr>
        <w:t>Martijn</w:t>
      </w:r>
      <w:proofErr w:type="spellEnd"/>
      <w:r w:rsidRPr="004C35B4">
        <w:rPr>
          <w:rFonts w:eastAsia="Times New Roman" w:cstheme="minorHAnsi"/>
        </w:rPr>
        <w:t xml:space="preserve"> F</w:t>
      </w:r>
      <w:r w:rsidRPr="004C35B4">
        <w:rPr>
          <w:rFonts w:eastAsia="Times New Roman" w:cstheme="minorHAnsi"/>
        </w:rPr>
        <w:t>.</w:t>
      </w:r>
      <w:r w:rsidRPr="004C35B4">
        <w:rPr>
          <w:rFonts w:eastAsia="Times New Roman" w:cstheme="minorHAnsi"/>
        </w:rPr>
        <w:t>H</w:t>
      </w:r>
      <w:r w:rsidRPr="004C35B4">
        <w:rPr>
          <w:rFonts w:eastAsia="Times New Roman" w:cstheme="minorHAnsi"/>
        </w:rPr>
        <w:t>.</w:t>
      </w:r>
      <w:r w:rsidRPr="004C35B4">
        <w:rPr>
          <w:rFonts w:eastAsia="Times New Roman" w:cstheme="minorHAnsi"/>
        </w:rPr>
        <w:t xml:space="preserve"> Maessen, </w:t>
      </w:r>
      <w:proofErr w:type="spellStart"/>
      <w:r w:rsidRPr="004C35B4">
        <w:rPr>
          <w:rFonts w:eastAsia="Times New Roman" w:cstheme="minorHAnsi"/>
        </w:rPr>
        <w:t>Marit</w:t>
      </w:r>
      <w:proofErr w:type="spellEnd"/>
      <w:r w:rsidRPr="004C35B4">
        <w:rPr>
          <w:rFonts w:eastAsia="Times New Roman" w:cstheme="minorHAnsi"/>
        </w:rPr>
        <w:t xml:space="preserve"> A</w:t>
      </w:r>
      <w:r w:rsidRPr="004C35B4">
        <w:rPr>
          <w:rFonts w:eastAsia="Times New Roman" w:cstheme="minorHAnsi"/>
        </w:rPr>
        <w:t>.</w:t>
      </w:r>
      <w:r w:rsidRPr="004C35B4">
        <w:rPr>
          <w:rFonts w:eastAsia="Times New Roman" w:cstheme="minorHAnsi"/>
        </w:rPr>
        <w:t>C</w:t>
      </w:r>
      <w:r w:rsidRPr="004C35B4">
        <w:rPr>
          <w:rFonts w:eastAsia="Times New Roman" w:cstheme="minorHAnsi"/>
        </w:rPr>
        <w:t>.</w:t>
      </w:r>
      <w:r w:rsidRPr="004C35B4">
        <w:rPr>
          <w:rFonts w:eastAsia="Times New Roman" w:cstheme="minorHAnsi"/>
        </w:rPr>
        <w:t xml:space="preserve"> </w:t>
      </w:r>
      <w:proofErr w:type="spellStart"/>
      <w:r w:rsidRPr="004C35B4">
        <w:rPr>
          <w:rFonts w:eastAsia="Times New Roman" w:cstheme="minorHAnsi"/>
        </w:rPr>
        <w:t>Tanke</w:t>
      </w:r>
      <w:proofErr w:type="spellEnd"/>
      <w:r w:rsidRPr="004C35B4">
        <w:rPr>
          <w:rFonts w:eastAsia="Times New Roman" w:cstheme="minorHAnsi"/>
        </w:rPr>
        <w:t>, Menno I</w:t>
      </w:r>
      <w:r w:rsidRPr="004C35B4">
        <w:rPr>
          <w:rFonts w:eastAsia="Times New Roman" w:cstheme="minorHAnsi"/>
        </w:rPr>
        <w:t>.</w:t>
      </w:r>
      <w:r w:rsidRPr="004C35B4">
        <w:rPr>
          <w:rFonts w:eastAsia="Times New Roman" w:cstheme="minorHAnsi"/>
        </w:rPr>
        <w:t xml:space="preserve"> </w:t>
      </w:r>
      <w:proofErr w:type="spellStart"/>
      <w:r w:rsidRPr="004C35B4">
        <w:rPr>
          <w:rFonts w:eastAsia="Times New Roman" w:cstheme="minorHAnsi"/>
        </w:rPr>
        <w:t>Gaakeer</w:t>
      </w:r>
      <w:proofErr w:type="spellEnd"/>
      <w:r w:rsidRPr="004C35B4">
        <w:rPr>
          <w:rFonts w:eastAsia="Times New Roman" w:cstheme="minorHAnsi"/>
        </w:rPr>
        <w:t>, Simone A</w:t>
      </w:r>
      <w:r w:rsidRPr="004C35B4">
        <w:rPr>
          <w:rFonts w:eastAsia="Times New Roman" w:cstheme="minorHAnsi"/>
        </w:rPr>
        <w:t>.</w:t>
      </w:r>
      <w:r w:rsidRPr="004C35B4">
        <w:rPr>
          <w:rFonts w:eastAsia="Times New Roman" w:cstheme="minorHAnsi"/>
        </w:rPr>
        <w:t xml:space="preserve"> van </w:t>
      </w:r>
      <w:proofErr w:type="spellStart"/>
      <w:r w:rsidRPr="004C35B4">
        <w:rPr>
          <w:rFonts w:eastAsia="Times New Roman" w:cstheme="minorHAnsi"/>
        </w:rPr>
        <w:t>Dulmen</w:t>
      </w:r>
      <w:proofErr w:type="spellEnd"/>
      <w:r w:rsidRPr="004C35B4">
        <w:rPr>
          <w:rFonts w:eastAsia="Times New Roman" w:cstheme="minorHAnsi"/>
        </w:rPr>
        <w:t xml:space="preserve"> and</w:t>
      </w:r>
      <w:r w:rsidRPr="004C35B4">
        <w:rPr>
          <w:rFonts w:eastAsia="Times New Roman" w:cstheme="minorHAnsi"/>
        </w:rPr>
        <w:t> Patrick P</w:t>
      </w:r>
      <w:r w:rsidRPr="004C35B4">
        <w:rPr>
          <w:rFonts w:eastAsia="Times New Roman" w:cstheme="minorHAnsi"/>
        </w:rPr>
        <w:t>.</w:t>
      </w:r>
      <w:r w:rsidRPr="004C35B4">
        <w:rPr>
          <w:rFonts w:eastAsia="Times New Roman" w:cstheme="minorHAnsi"/>
        </w:rPr>
        <w:t>T</w:t>
      </w:r>
      <w:r w:rsidRPr="004C35B4">
        <w:rPr>
          <w:rFonts w:eastAsia="Times New Roman" w:cstheme="minorHAnsi"/>
        </w:rPr>
        <w:t>.</w:t>
      </w:r>
      <w:r w:rsidRPr="004C35B4">
        <w:rPr>
          <w:rFonts w:eastAsia="Times New Roman" w:cstheme="minorHAnsi"/>
        </w:rPr>
        <w:t xml:space="preserve"> </w:t>
      </w:r>
      <w:proofErr w:type="spellStart"/>
      <w:r w:rsidRPr="004C35B4">
        <w:rPr>
          <w:rFonts w:eastAsia="Times New Roman" w:cstheme="minorHAnsi"/>
        </w:rPr>
        <w:t>Jeurissen</w:t>
      </w:r>
      <w:proofErr w:type="spellEnd"/>
      <w:r w:rsidRPr="004C35B4">
        <w:rPr>
          <w:rFonts w:eastAsia="Times New Roman" w:cstheme="minorHAnsi"/>
        </w:rPr>
        <w:t xml:space="preserve">. 2023.  </w:t>
      </w:r>
      <w:r w:rsidRPr="004C35B4">
        <w:rPr>
          <w:rFonts w:eastAsia="Times New Roman" w:cstheme="minorHAnsi"/>
          <w:color w:val="212121"/>
          <w:kern w:val="36"/>
        </w:rPr>
        <w:t>Association between acute care collaborations and health care utilization as compared to stand-alone facilities in the Netherlands: a quasi-experimental study</w:t>
      </w:r>
      <w:r w:rsidRPr="004C35B4">
        <w:rPr>
          <w:rFonts w:eastAsia="Times New Roman" w:cstheme="minorHAnsi"/>
          <w:color w:val="212121"/>
          <w:kern w:val="36"/>
        </w:rPr>
        <w:t xml:space="preserve">. </w:t>
      </w:r>
      <w:proofErr w:type="spellStart"/>
      <w:r w:rsidRPr="004C35B4">
        <w:rPr>
          <w:rFonts w:eastAsia="Times New Roman" w:cstheme="minorHAnsi"/>
          <w:i/>
          <w:iCs/>
          <w:color w:val="212121"/>
          <w:kern w:val="36"/>
        </w:rPr>
        <w:t>Eur</w:t>
      </w:r>
      <w:proofErr w:type="spellEnd"/>
      <w:r w:rsidRPr="004C35B4">
        <w:rPr>
          <w:rFonts w:eastAsia="Times New Roman" w:cstheme="minorHAnsi"/>
          <w:i/>
          <w:iCs/>
          <w:color w:val="212121"/>
          <w:kern w:val="36"/>
        </w:rPr>
        <w:t xml:space="preserve"> J </w:t>
      </w:r>
      <w:proofErr w:type="spellStart"/>
      <w:r w:rsidRPr="004C35B4">
        <w:rPr>
          <w:rFonts w:eastAsia="Times New Roman" w:cstheme="minorHAnsi"/>
          <w:i/>
          <w:iCs/>
          <w:color w:val="212121"/>
          <w:kern w:val="36"/>
        </w:rPr>
        <w:t>Emerg</w:t>
      </w:r>
      <w:proofErr w:type="spellEnd"/>
      <w:r w:rsidRPr="004C35B4">
        <w:rPr>
          <w:rFonts w:eastAsia="Times New Roman" w:cstheme="minorHAnsi"/>
          <w:i/>
          <w:iCs/>
          <w:color w:val="212121"/>
          <w:kern w:val="36"/>
        </w:rPr>
        <w:t xml:space="preserve"> Med </w:t>
      </w:r>
      <w:r w:rsidRPr="004C35B4">
        <w:rPr>
          <w:rFonts w:eastAsia="Times New Roman" w:cstheme="minorHAnsi"/>
          <w:color w:val="212121"/>
          <w:kern w:val="36"/>
        </w:rPr>
        <w:t>30 (1).</w:t>
      </w:r>
      <w:r>
        <w:rPr>
          <w:rFonts w:eastAsia="Times New Roman" w:cstheme="minorHAnsi"/>
          <w:color w:val="212121"/>
          <w:kern w:val="36"/>
        </w:rPr>
        <w:t xml:space="preserve"> </w:t>
      </w:r>
      <w:r w:rsidRPr="004C35B4">
        <w:rPr>
          <w:rFonts w:eastAsia="Times New Roman" w:cstheme="minorHAnsi"/>
          <w:color w:val="212121"/>
        </w:rPr>
        <w:t>DOI: </w:t>
      </w:r>
      <w:hyperlink r:id="rId19" w:tgtFrame="_blank" w:history="1">
        <w:r w:rsidRPr="004C35B4">
          <w:rPr>
            <w:rFonts w:eastAsia="Times New Roman" w:cstheme="minorHAnsi"/>
            <w:color w:val="0071BC"/>
            <w:u w:val="single"/>
          </w:rPr>
          <w:t>10.1097/</w:t>
        </w:r>
        <w:proofErr w:type="spellStart"/>
        <w:r w:rsidRPr="004C35B4">
          <w:rPr>
            <w:rFonts w:eastAsia="Times New Roman" w:cstheme="minorHAnsi"/>
            <w:color w:val="0071BC"/>
            <w:u w:val="single"/>
          </w:rPr>
          <w:t>MEJ.0000000000000969</w:t>
        </w:r>
        <w:proofErr w:type="spellEnd"/>
      </w:hyperlink>
    </w:p>
    <w:p w14:paraId="33D823A3" w14:textId="64800180" w:rsidR="004C35B4" w:rsidRDefault="004C35B4" w:rsidP="004C35B4">
      <w:pPr>
        <w:shd w:val="clear" w:color="auto" w:fill="FFFFFF"/>
        <w:bidi w:val="0"/>
        <w:spacing w:after="0" w:line="240" w:lineRule="auto"/>
        <w:rPr>
          <w:rFonts w:eastAsia="Times New Roman" w:cstheme="minorHAnsi"/>
          <w:color w:val="212121"/>
        </w:rPr>
      </w:pPr>
    </w:p>
    <w:p w14:paraId="1DC66E7C" w14:textId="557125F7" w:rsidR="00713D8D" w:rsidRPr="004C35B4" w:rsidRDefault="00713D8D" w:rsidP="00713D8D">
      <w:pPr>
        <w:shd w:val="clear" w:color="auto" w:fill="FFFFFF"/>
        <w:bidi w:val="0"/>
        <w:spacing w:after="0" w:line="240" w:lineRule="auto"/>
        <w:rPr>
          <w:rFonts w:eastAsia="Times New Roman" w:cstheme="minorHAnsi"/>
          <w:i/>
          <w:iCs/>
          <w:color w:val="212121"/>
        </w:rPr>
      </w:pPr>
      <w:proofErr w:type="spellStart"/>
      <w:r w:rsidRPr="00713D8D">
        <w:rPr>
          <w:rStyle w:val="Emphasis"/>
          <w:i w:val="0"/>
          <w:iCs w:val="0"/>
          <w:color w:val="1A1A1A"/>
          <w:spacing w:val="-3"/>
          <w:shd w:val="clear" w:color="auto" w:fill="FFFFFF"/>
        </w:rPr>
        <w:lastRenderedPageBreak/>
        <w:t>Wammes</w:t>
      </w:r>
      <w:proofErr w:type="spellEnd"/>
      <w:r w:rsidRPr="00713D8D">
        <w:rPr>
          <w:rStyle w:val="Emphasis"/>
          <w:i w:val="0"/>
          <w:iCs w:val="0"/>
          <w:color w:val="1A1A1A"/>
          <w:spacing w:val="-3"/>
          <w:shd w:val="clear" w:color="auto" w:fill="FFFFFF"/>
        </w:rPr>
        <w:t>,</w:t>
      </w:r>
      <w:r w:rsidRPr="00713D8D">
        <w:rPr>
          <w:rStyle w:val="Emphasis"/>
          <w:i w:val="0"/>
          <w:iCs w:val="0"/>
          <w:color w:val="1A1A1A"/>
          <w:spacing w:val="-3"/>
          <w:shd w:val="clear" w:color="auto" w:fill="FFFFFF"/>
        </w:rPr>
        <w:t xml:space="preserve"> </w:t>
      </w:r>
      <w:r w:rsidRPr="00713D8D">
        <w:rPr>
          <w:rStyle w:val="Emphasis"/>
          <w:i w:val="0"/>
          <w:iCs w:val="0"/>
          <w:color w:val="1A1A1A"/>
          <w:spacing w:val="-3"/>
          <w:shd w:val="clear" w:color="auto" w:fill="FFFFFF"/>
        </w:rPr>
        <w:t>Joost</w:t>
      </w:r>
      <w:r w:rsidRPr="00713D8D">
        <w:rPr>
          <w:rStyle w:val="Emphasis"/>
          <w:i w:val="0"/>
          <w:iCs w:val="0"/>
          <w:color w:val="1A1A1A"/>
          <w:spacing w:val="-3"/>
          <w:shd w:val="clear" w:color="auto" w:fill="FFFFFF"/>
        </w:rPr>
        <w:t>,</w:t>
      </w:r>
      <w:r w:rsidRPr="00713D8D">
        <w:rPr>
          <w:rStyle w:val="Emphasis"/>
          <w:i w:val="0"/>
          <w:iCs w:val="0"/>
          <w:color w:val="1A1A1A"/>
          <w:spacing w:val="-3"/>
          <w:shd w:val="clear" w:color="auto" w:fill="FFFFFF"/>
        </w:rPr>
        <w:t xml:space="preserve"> Niek </w:t>
      </w:r>
      <w:proofErr w:type="spellStart"/>
      <w:r w:rsidRPr="00713D8D">
        <w:rPr>
          <w:rStyle w:val="Emphasis"/>
          <w:i w:val="0"/>
          <w:iCs w:val="0"/>
          <w:color w:val="1A1A1A"/>
          <w:spacing w:val="-3"/>
          <w:shd w:val="clear" w:color="auto" w:fill="FFFFFF"/>
        </w:rPr>
        <w:t>Stadhouders</w:t>
      </w:r>
      <w:proofErr w:type="spellEnd"/>
      <w:r w:rsidRPr="00713D8D">
        <w:rPr>
          <w:rStyle w:val="Emphasis"/>
          <w:i w:val="0"/>
          <w:iCs w:val="0"/>
          <w:color w:val="1A1A1A"/>
          <w:spacing w:val="-3"/>
          <w:shd w:val="clear" w:color="auto" w:fill="FFFFFF"/>
        </w:rPr>
        <w:t xml:space="preserve"> </w:t>
      </w:r>
      <w:r w:rsidRPr="00713D8D">
        <w:rPr>
          <w:rStyle w:val="Emphasis"/>
          <w:i w:val="0"/>
          <w:iCs w:val="0"/>
          <w:color w:val="1A1A1A"/>
          <w:spacing w:val="-3"/>
          <w:shd w:val="clear" w:color="auto" w:fill="FFFFFF"/>
        </w:rPr>
        <w:t xml:space="preserve">and Gert </w:t>
      </w:r>
      <w:proofErr w:type="spellStart"/>
      <w:r w:rsidRPr="00713D8D">
        <w:rPr>
          <w:rStyle w:val="Emphasis"/>
          <w:i w:val="0"/>
          <w:iCs w:val="0"/>
          <w:color w:val="1A1A1A"/>
          <w:spacing w:val="-3"/>
          <w:shd w:val="clear" w:color="auto" w:fill="FFFFFF"/>
        </w:rPr>
        <w:t>Westert</w:t>
      </w:r>
      <w:proofErr w:type="spellEnd"/>
      <w:r w:rsidR="00352F05">
        <w:rPr>
          <w:rStyle w:val="Emphasis"/>
          <w:i w:val="0"/>
          <w:iCs w:val="0"/>
          <w:color w:val="1A1A1A"/>
          <w:spacing w:val="-3"/>
          <w:shd w:val="clear" w:color="auto" w:fill="FFFFFF"/>
        </w:rPr>
        <w:t xml:space="preserve">. 2020. </w:t>
      </w:r>
      <w:r w:rsidR="00352F05" w:rsidRPr="002B1B4B">
        <w:rPr>
          <w:rFonts w:cstheme="minorHAnsi"/>
        </w:rPr>
        <w:t xml:space="preserve">“International Health Care System Profiles: </w:t>
      </w:r>
      <w:r w:rsidR="00352F05">
        <w:rPr>
          <w:rFonts w:cstheme="minorHAnsi"/>
        </w:rPr>
        <w:t>Netherlands</w:t>
      </w:r>
      <w:r w:rsidR="00352F05" w:rsidRPr="002B1B4B">
        <w:rPr>
          <w:rFonts w:cstheme="minorHAnsi"/>
        </w:rPr>
        <w:t>.” The Commonwealth Fund</w:t>
      </w:r>
      <w:r w:rsidR="00352F05">
        <w:rPr>
          <w:rFonts w:cstheme="minorHAnsi"/>
        </w:rPr>
        <w:t xml:space="preserve">. </w:t>
      </w:r>
      <w:hyperlink r:id="rId20" w:history="1">
        <w:r w:rsidR="00352F05" w:rsidRPr="00B51FA4">
          <w:rPr>
            <w:rStyle w:val="Hyperlink"/>
            <w:rFonts w:cstheme="minorHAnsi"/>
          </w:rPr>
          <w:t>https://www.commonwealthfund.org/international-health-policy-center/countries/netherlands</w:t>
        </w:r>
      </w:hyperlink>
      <w:r w:rsidR="00352F05">
        <w:rPr>
          <w:rFonts w:cstheme="minorHAnsi"/>
        </w:rPr>
        <w:t xml:space="preserve"> </w:t>
      </w:r>
      <w:r w:rsidR="00352F05" w:rsidRPr="002B1B4B">
        <w:rPr>
          <w:rFonts w:cstheme="minorHAnsi"/>
        </w:rPr>
        <w:t xml:space="preserve"> </w:t>
      </w:r>
    </w:p>
    <w:sectPr w:rsidR="00713D8D" w:rsidRPr="004C35B4" w:rsidSect="008F3098">
      <w:foot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0419" w14:textId="77777777" w:rsidR="00A54150" w:rsidRDefault="00A54150" w:rsidP="001C50D8">
      <w:pPr>
        <w:spacing w:after="0" w:line="240" w:lineRule="auto"/>
      </w:pPr>
      <w:r>
        <w:separator/>
      </w:r>
    </w:p>
  </w:endnote>
  <w:endnote w:type="continuationSeparator" w:id="0">
    <w:p w14:paraId="5B8DB7E5" w14:textId="77777777" w:rsidR="00A54150" w:rsidRDefault="00A54150" w:rsidP="001C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73013094"/>
      <w:docPartObj>
        <w:docPartGallery w:val="Page Numbers (Bottom of Page)"/>
        <w:docPartUnique/>
      </w:docPartObj>
    </w:sdtPr>
    <w:sdtContent>
      <w:p w14:paraId="765BF764" w14:textId="5578BE16" w:rsidR="001C50D8" w:rsidRDefault="001C50D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10B81DBC" w14:textId="77777777" w:rsidR="001C50D8" w:rsidRDefault="001C5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76CF" w14:textId="77777777" w:rsidR="00A54150" w:rsidRDefault="00A54150" w:rsidP="001C50D8">
      <w:pPr>
        <w:spacing w:after="0" w:line="240" w:lineRule="auto"/>
      </w:pPr>
      <w:r>
        <w:separator/>
      </w:r>
    </w:p>
  </w:footnote>
  <w:footnote w:type="continuationSeparator" w:id="0">
    <w:p w14:paraId="1FAA75A7" w14:textId="77777777" w:rsidR="00A54150" w:rsidRDefault="00A54150" w:rsidP="001C50D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5D3"/>
    <w:multiLevelType w:val="multilevel"/>
    <w:tmpl w:val="269C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11B76"/>
    <w:multiLevelType w:val="multilevel"/>
    <w:tmpl w:val="745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23982"/>
    <w:multiLevelType w:val="hybridMultilevel"/>
    <w:tmpl w:val="FE2EB05A"/>
    <w:lvl w:ilvl="0" w:tplc="C1FEA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7BF6FA0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2EA6E8">
      <w:start w:val="1"/>
      <w:numFmt w:val="lowerRoman"/>
      <w:lvlText w:val="%3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E2244"/>
    <w:multiLevelType w:val="multilevel"/>
    <w:tmpl w:val="8704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42E83"/>
    <w:multiLevelType w:val="multilevel"/>
    <w:tmpl w:val="0824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3318F"/>
    <w:multiLevelType w:val="multilevel"/>
    <w:tmpl w:val="F31A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B2D2F"/>
    <w:multiLevelType w:val="multilevel"/>
    <w:tmpl w:val="46BE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C17DF"/>
    <w:multiLevelType w:val="hybridMultilevel"/>
    <w:tmpl w:val="D8D02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97416"/>
    <w:multiLevelType w:val="hybridMultilevel"/>
    <w:tmpl w:val="11F8A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63047"/>
    <w:multiLevelType w:val="multilevel"/>
    <w:tmpl w:val="91A4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E86A9A"/>
    <w:multiLevelType w:val="multilevel"/>
    <w:tmpl w:val="D5A4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10C84"/>
    <w:multiLevelType w:val="multilevel"/>
    <w:tmpl w:val="C40A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C68FB"/>
    <w:multiLevelType w:val="hybridMultilevel"/>
    <w:tmpl w:val="71B4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A5FF1"/>
    <w:multiLevelType w:val="multilevel"/>
    <w:tmpl w:val="D5D4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8B03D3"/>
    <w:multiLevelType w:val="multilevel"/>
    <w:tmpl w:val="DC7E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2A7026"/>
    <w:multiLevelType w:val="hybridMultilevel"/>
    <w:tmpl w:val="821E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B57B2"/>
    <w:multiLevelType w:val="multilevel"/>
    <w:tmpl w:val="1802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3C489A"/>
    <w:multiLevelType w:val="multilevel"/>
    <w:tmpl w:val="0A14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A08C4"/>
    <w:multiLevelType w:val="multilevel"/>
    <w:tmpl w:val="EED8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8F785F"/>
    <w:multiLevelType w:val="multilevel"/>
    <w:tmpl w:val="634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9901D4"/>
    <w:multiLevelType w:val="hybridMultilevel"/>
    <w:tmpl w:val="75EC5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93807">
    <w:abstractNumId w:val="20"/>
  </w:num>
  <w:num w:numId="2" w16cid:durableId="1290167922">
    <w:abstractNumId w:val="7"/>
  </w:num>
  <w:num w:numId="3" w16cid:durableId="345594616">
    <w:abstractNumId w:val="12"/>
  </w:num>
  <w:num w:numId="4" w16cid:durableId="1221672083">
    <w:abstractNumId w:val="8"/>
  </w:num>
  <w:num w:numId="5" w16cid:durableId="396972258">
    <w:abstractNumId w:val="15"/>
  </w:num>
  <w:num w:numId="6" w16cid:durableId="1831366695">
    <w:abstractNumId w:val="2"/>
  </w:num>
  <w:num w:numId="7" w16cid:durableId="637760627">
    <w:abstractNumId w:val="17"/>
  </w:num>
  <w:num w:numId="8" w16cid:durableId="2026712312">
    <w:abstractNumId w:val="10"/>
  </w:num>
  <w:num w:numId="9" w16cid:durableId="827330465">
    <w:abstractNumId w:val="1"/>
  </w:num>
  <w:num w:numId="10" w16cid:durableId="1353145272">
    <w:abstractNumId w:val="13"/>
  </w:num>
  <w:num w:numId="11" w16cid:durableId="797722013">
    <w:abstractNumId w:val="16"/>
  </w:num>
  <w:num w:numId="12" w16cid:durableId="1207645555">
    <w:abstractNumId w:val="14"/>
  </w:num>
  <w:num w:numId="13" w16cid:durableId="1993219679">
    <w:abstractNumId w:val="4"/>
  </w:num>
  <w:num w:numId="14" w16cid:durableId="1487933704">
    <w:abstractNumId w:val="11"/>
  </w:num>
  <w:num w:numId="15" w16cid:durableId="1496146023">
    <w:abstractNumId w:val="19"/>
  </w:num>
  <w:num w:numId="16" w16cid:durableId="405957790">
    <w:abstractNumId w:val="9"/>
  </w:num>
  <w:num w:numId="17" w16cid:durableId="499464506">
    <w:abstractNumId w:val="5"/>
  </w:num>
  <w:num w:numId="18" w16cid:durableId="722674762">
    <w:abstractNumId w:val="18"/>
  </w:num>
  <w:num w:numId="19" w16cid:durableId="1684700644">
    <w:abstractNumId w:val="6"/>
  </w:num>
  <w:num w:numId="20" w16cid:durableId="1346204223">
    <w:abstractNumId w:val="3"/>
  </w:num>
  <w:num w:numId="21" w16cid:durableId="49049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8B"/>
    <w:rsid w:val="00002229"/>
    <w:rsid w:val="000060FB"/>
    <w:rsid w:val="00007813"/>
    <w:rsid w:val="000128BE"/>
    <w:rsid w:val="00051F1F"/>
    <w:rsid w:val="00060962"/>
    <w:rsid w:val="00067382"/>
    <w:rsid w:val="0007018B"/>
    <w:rsid w:val="00075CF0"/>
    <w:rsid w:val="00086CBC"/>
    <w:rsid w:val="00094AE5"/>
    <w:rsid w:val="000B2050"/>
    <w:rsid w:val="000B63BE"/>
    <w:rsid w:val="000B76E7"/>
    <w:rsid w:val="000C7A42"/>
    <w:rsid w:val="000C7E77"/>
    <w:rsid w:val="000D2520"/>
    <w:rsid w:val="000D6DC0"/>
    <w:rsid w:val="000E1C7C"/>
    <w:rsid w:val="000E423F"/>
    <w:rsid w:val="000E62B5"/>
    <w:rsid w:val="001324C9"/>
    <w:rsid w:val="001342E4"/>
    <w:rsid w:val="00137951"/>
    <w:rsid w:val="0014100C"/>
    <w:rsid w:val="001416D8"/>
    <w:rsid w:val="00153F14"/>
    <w:rsid w:val="001555A3"/>
    <w:rsid w:val="001602A4"/>
    <w:rsid w:val="00162EC7"/>
    <w:rsid w:val="00164FDD"/>
    <w:rsid w:val="001821C6"/>
    <w:rsid w:val="00183596"/>
    <w:rsid w:val="001B4007"/>
    <w:rsid w:val="001B55B4"/>
    <w:rsid w:val="001C1AE5"/>
    <w:rsid w:val="001C2257"/>
    <w:rsid w:val="001C50D8"/>
    <w:rsid w:val="001D0DD8"/>
    <w:rsid w:val="001D1E33"/>
    <w:rsid w:val="001E4A42"/>
    <w:rsid w:val="001E64F0"/>
    <w:rsid w:val="001F4E5A"/>
    <w:rsid w:val="002031F2"/>
    <w:rsid w:val="00207331"/>
    <w:rsid w:val="00210CED"/>
    <w:rsid w:val="00224A33"/>
    <w:rsid w:val="002343FC"/>
    <w:rsid w:val="00234B70"/>
    <w:rsid w:val="00237A83"/>
    <w:rsid w:val="002413CD"/>
    <w:rsid w:val="00242743"/>
    <w:rsid w:val="0024485A"/>
    <w:rsid w:val="002466B8"/>
    <w:rsid w:val="00257188"/>
    <w:rsid w:val="00272630"/>
    <w:rsid w:val="0028169B"/>
    <w:rsid w:val="00286521"/>
    <w:rsid w:val="00286E02"/>
    <w:rsid w:val="002902A5"/>
    <w:rsid w:val="002C0A38"/>
    <w:rsid w:val="002C0F27"/>
    <w:rsid w:val="002C2F7F"/>
    <w:rsid w:val="002D2B37"/>
    <w:rsid w:val="002E5B1B"/>
    <w:rsid w:val="00304490"/>
    <w:rsid w:val="003108D4"/>
    <w:rsid w:val="0031152F"/>
    <w:rsid w:val="003256BB"/>
    <w:rsid w:val="00344223"/>
    <w:rsid w:val="00346D75"/>
    <w:rsid w:val="003476B3"/>
    <w:rsid w:val="00352F05"/>
    <w:rsid w:val="00360F6A"/>
    <w:rsid w:val="00382750"/>
    <w:rsid w:val="00386A66"/>
    <w:rsid w:val="003B505A"/>
    <w:rsid w:val="003C0EDD"/>
    <w:rsid w:val="003C6AC3"/>
    <w:rsid w:val="003C6B34"/>
    <w:rsid w:val="003E152C"/>
    <w:rsid w:val="003E564B"/>
    <w:rsid w:val="003F25C1"/>
    <w:rsid w:val="003F3B74"/>
    <w:rsid w:val="003F49BF"/>
    <w:rsid w:val="003F6C09"/>
    <w:rsid w:val="004016A1"/>
    <w:rsid w:val="004059AF"/>
    <w:rsid w:val="00410871"/>
    <w:rsid w:val="004117C5"/>
    <w:rsid w:val="0041323E"/>
    <w:rsid w:val="004229A4"/>
    <w:rsid w:val="00431A97"/>
    <w:rsid w:val="00432AAB"/>
    <w:rsid w:val="004378C4"/>
    <w:rsid w:val="00440AA7"/>
    <w:rsid w:val="004413B8"/>
    <w:rsid w:val="00442EEE"/>
    <w:rsid w:val="00444ECB"/>
    <w:rsid w:val="0044631F"/>
    <w:rsid w:val="0045088F"/>
    <w:rsid w:val="004554C3"/>
    <w:rsid w:val="004610F4"/>
    <w:rsid w:val="0046545A"/>
    <w:rsid w:val="00467BA6"/>
    <w:rsid w:val="0047372A"/>
    <w:rsid w:val="00490C9A"/>
    <w:rsid w:val="004971F0"/>
    <w:rsid w:val="004A1987"/>
    <w:rsid w:val="004B2993"/>
    <w:rsid w:val="004B423C"/>
    <w:rsid w:val="004C35B4"/>
    <w:rsid w:val="004D3112"/>
    <w:rsid w:val="004D5340"/>
    <w:rsid w:val="004E1F6C"/>
    <w:rsid w:val="004E2CB6"/>
    <w:rsid w:val="004E4D1F"/>
    <w:rsid w:val="004E6A40"/>
    <w:rsid w:val="004F7929"/>
    <w:rsid w:val="0050050B"/>
    <w:rsid w:val="005038F2"/>
    <w:rsid w:val="005078F7"/>
    <w:rsid w:val="005139CD"/>
    <w:rsid w:val="00515DF5"/>
    <w:rsid w:val="00524B81"/>
    <w:rsid w:val="00530056"/>
    <w:rsid w:val="005328B7"/>
    <w:rsid w:val="0054055B"/>
    <w:rsid w:val="005418C1"/>
    <w:rsid w:val="005540C5"/>
    <w:rsid w:val="00554A52"/>
    <w:rsid w:val="00554F5C"/>
    <w:rsid w:val="00561581"/>
    <w:rsid w:val="00563304"/>
    <w:rsid w:val="00580310"/>
    <w:rsid w:val="005967B0"/>
    <w:rsid w:val="00596F85"/>
    <w:rsid w:val="005A37A0"/>
    <w:rsid w:val="005A5BD9"/>
    <w:rsid w:val="005A6A86"/>
    <w:rsid w:val="005B4DCD"/>
    <w:rsid w:val="005B4F8C"/>
    <w:rsid w:val="005B669D"/>
    <w:rsid w:val="005C3F75"/>
    <w:rsid w:val="005C4B55"/>
    <w:rsid w:val="005C4E51"/>
    <w:rsid w:val="005C5E99"/>
    <w:rsid w:val="005C62B7"/>
    <w:rsid w:val="005D55F0"/>
    <w:rsid w:val="005E0EFF"/>
    <w:rsid w:val="005E3A58"/>
    <w:rsid w:val="005F1053"/>
    <w:rsid w:val="00604BB1"/>
    <w:rsid w:val="0060608E"/>
    <w:rsid w:val="00607209"/>
    <w:rsid w:val="006153CE"/>
    <w:rsid w:val="00615613"/>
    <w:rsid w:val="0061781F"/>
    <w:rsid w:val="00634136"/>
    <w:rsid w:val="006341F5"/>
    <w:rsid w:val="00641BFC"/>
    <w:rsid w:val="006431CB"/>
    <w:rsid w:val="00652E63"/>
    <w:rsid w:val="006616E1"/>
    <w:rsid w:val="006941CD"/>
    <w:rsid w:val="006A324C"/>
    <w:rsid w:val="006B0863"/>
    <w:rsid w:val="006B1AD1"/>
    <w:rsid w:val="006B344D"/>
    <w:rsid w:val="006B3AE0"/>
    <w:rsid w:val="006B529E"/>
    <w:rsid w:val="006C1D18"/>
    <w:rsid w:val="006C2A1B"/>
    <w:rsid w:val="006D374D"/>
    <w:rsid w:val="006D485C"/>
    <w:rsid w:val="006E5A1E"/>
    <w:rsid w:val="006E6890"/>
    <w:rsid w:val="006F3497"/>
    <w:rsid w:val="006F6358"/>
    <w:rsid w:val="0070430D"/>
    <w:rsid w:val="00713D8D"/>
    <w:rsid w:val="0074384D"/>
    <w:rsid w:val="00750466"/>
    <w:rsid w:val="0075506C"/>
    <w:rsid w:val="007579F7"/>
    <w:rsid w:val="007675BE"/>
    <w:rsid w:val="00767AEB"/>
    <w:rsid w:val="007703E4"/>
    <w:rsid w:val="00774134"/>
    <w:rsid w:val="0078315A"/>
    <w:rsid w:val="0079226B"/>
    <w:rsid w:val="007A18B6"/>
    <w:rsid w:val="007B1CF9"/>
    <w:rsid w:val="007B55BF"/>
    <w:rsid w:val="007C09E6"/>
    <w:rsid w:val="007C5162"/>
    <w:rsid w:val="007C5562"/>
    <w:rsid w:val="007D041D"/>
    <w:rsid w:val="007D24EE"/>
    <w:rsid w:val="007D55DB"/>
    <w:rsid w:val="007E1251"/>
    <w:rsid w:val="007E2D30"/>
    <w:rsid w:val="007F0ABB"/>
    <w:rsid w:val="007F203A"/>
    <w:rsid w:val="007F2EE9"/>
    <w:rsid w:val="008066A6"/>
    <w:rsid w:val="0081076A"/>
    <w:rsid w:val="00813608"/>
    <w:rsid w:val="00813E25"/>
    <w:rsid w:val="008216E6"/>
    <w:rsid w:val="00823EAF"/>
    <w:rsid w:val="008326A3"/>
    <w:rsid w:val="00833A84"/>
    <w:rsid w:val="0085050F"/>
    <w:rsid w:val="008533DA"/>
    <w:rsid w:val="00853798"/>
    <w:rsid w:val="00857DE8"/>
    <w:rsid w:val="008611DB"/>
    <w:rsid w:val="00877714"/>
    <w:rsid w:val="00890E75"/>
    <w:rsid w:val="008936A6"/>
    <w:rsid w:val="00894E0C"/>
    <w:rsid w:val="008A7DAD"/>
    <w:rsid w:val="008D18DE"/>
    <w:rsid w:val="008D2420"/>
    <w:rsid w:val="008D2A5C"/>
    <w:rsid w:val="008D55E9"/>
    <w:rsid w:val="008E2CF0"/>
    <w:rsid w:val="008F3098"/>
    <w:rsid w:val="008F7FCC"/>
    <w:rsid w:val="00902554"/>
    <w:rsid w:val="00904468"/>
    <w:rsid w:val="009105E3"/>
    <w:rsid w:val="00910F78"/>
    <w:rsid w:val="0091221C"/>
    <w:rsid w:val="0092411F"/>
    <w:rsid w:val="00925ED1"/>
    <w:rsid w:val="0093332A"/>
    <w:rsid w:val="0095067E"/>
    <w:rsid w:val="00950CDB"/>
    <w:rsid w:val="009513CE"/>
    <w:rsid w:val="00976734"/>
    <w:rsid w:val="00976A95"/>
    <w:rsid w:val="00987689"/>
    <w:rsid w:val="00991938"/>
    <w:rsid w:val="00992814"/>
    <w:rsid w:val="009B0C2D"/>
    <w:rsid w:val="009C1882"/>
    <w:rsid w:val="009D212C"/>
    <w:rsid w:val="009D5A51"/>
    <w:rsid w:val="009E1423"/>
    <w:rsid w:val="009E7920"/>
    <w:rsid w:val="009F031E"/>
    <w:rsid w:val="00A06106"/>
    <w:rsid w:val="00A07A4F"/>
    <w:rsid w:val="00A2147B"/>
    <w:rsid w:val="00A25352"/>
    <w:rsid w:val="00A45F13"/>
    <w:rsid w:val="00A47755"/>
    <w:rsid w:val="00A501C8"/>
    <w:rsid w:val="00A5068B"/>
    <w:rsid w:val="00A523E9"/>
    <w:rsid w:val="00A54150"/>
    <w:rsid w:val="00A54DC2"/>
    <w:rsid w:val="00A6162A"/>
    <w:rsid w:val="00A61DBC"/>
    <w:rsid w:val="00A63301"/>
    <w:rsid w:val="00A653C6"/>
    <w:rsid w:val="00A667AF"/>
    <w:rsid w:val="00A75819"/>
    <w:rsid w:val="00A90973"/>
    <w:rsid w:val="00A91D6D"/>
    <w:rsid w:val="00AA5054"/>
    <w:rsid w:val="00AB4BCF"/>
    <w:rsid w:val="00AB524A"/>
    <w:rsid w:val="00AC3E95"/>
    <w:rsid w:val="00AC591A"/>
    <w:rsid w:val="00AD55A2"/>
    <w:rsid w:val="00AE067C"/>
    <w:rsid w:val="00AE5699"/>
    <w:rsid w:val="00AF40B5"/>
    <w:rsid w:val="00B0752B"/>
    <w:rsid w:val="00B1287D"/>
    <w:rsid w:val="00B25728"/>
    <w:rsid w:val="00B26622"/>
    <w:rsid w:val="00B31066"/>
    <w:rsid w:val="00B320CA"/>
    <w:rsid w:val="00B35583"/>
    <w:rsid w:val="00B5777B"/>
    <w:rsid w:val="00B57CEC"/>
    <w:rsid w:val="00B62FB7"/>
    <w:rsid w:val="00B77FDA"/>
    <w:rsid w:val="00B80DC2"/>
    <w:rsid w:val="00B84DB9"/>
    <w:rsid w:val="00BA23C0"/>
    <w:rsid w:val="00BC6381"/>
    <w:rsid w:val="00BC6561"/>
    <w:rsid w:val="00BD2740"/>
    <w:rsid w:val="00BD4672"/>
    <w:rsid w:val="00BD4698"/>
    <w:rsid w:val="00BD7AAA"/>
    <w:rsid w:val="00C06A62"/>
    <w:rsid w:val="00C15063"/>
    <w:rsid w:val="00C154D9"/>
    <w:rsid w:val="00C20373"/>
    <w:rsid w:val="00C33D74"/>
    <w:rsid w:val="00C350E3"/>
    <w:rsid w:val="00C35774"/>
    <w:rsid w:val="00C40645"/>
    <w:rsid w:val="00C439BE"/>
    <w:rsid w:val="00C467BD"/>
    <w:rsid w:val="00C52275"/>
    <w:rsid w:val="00C70D03"/>
    <w:rsid w:val="00C75E39"/>
    <w:rsid w:val="00C76089"/>
    <w:rsid w:val="00C87339"/>
    <w:rsid w:val="00C95ED8"/>
    <w:rsid w:val="00CA0400"/>
    <w:rsid w:val="00CA6170"/>
    <w:rsid w:val="00CB7495"/>
    <w:rsid w:val="00CC1451"/>
    <w:rsid w:val="00CC392B"/>
    <w:rsid w:val="00CC41C5"/>
    <w:rsid w:val="00CE0412"/>
    <w:rsid w:val="00D014D1"/>
    <w:rsid w:val="00D0640B"/>
    <w:rsid w:val="00D17C21"/>
    <w:rsid w:val="00D27134"/>
    <w:rsid w:val="00D302D9"/>
    <w:rsid w:val="00D354EA"/>
    <w:rsid w:val="00D641FE"/>
    <w:rsid w:val="00DA026F"/>
    <w:rsid w:val="00DA3C7E"/>
    <w:rsid w:val="00DB67AA"/>
    <w:rsid w:val="00DD12F1"/>
    <w:rsid w:val="00DD1B56"/>
    <w:rsid w:val="00DD2FDB"/>
    <w:rsid w:val="00DE699C"/>
    <w:rsid w:val="00E1158D"/>
    <w:rsid w:val="00E11E56"/>
    <w:rsid w:val="00E17E17"/>
    <w:rsid w:val="00E230B3"/>
    <w:rsid w:val="00E23807"/>
    <w:rsid w:val="00E24767"/>
    <w:rsid w:val="00E34FBD"/>
    <w:rsid w:val="00E37B42"/>
    <w:rsid w:val="00E5713E"/>
    <w:rsid w:val="00E62F29"/>
    <w:rsid w:val="00E66BF7"/>
    <w:rsid w:val="00E70945"/>
    <w:rsid w:val="00E7142D"/>
    <w:rsid w:val="00E72B08"/>
    <w:rsid w:val="00E76777"/>
    <w:rsid w:val="00E77184"/>
    <w:rsid w:val="00E85862"/>
    <w:rsid w:val="00E948E4"/>
    <w:rsid w:val="00EA2BAD"/>
    <w:rsid w:val="00EA2D9F"/>
    <w:rsid w:val="00EB1E2F"/>
    <w:rsid w:val="00EC01AB"/>
    <w:rsid w:val="00ED5C15"/>
    <w:rsid w:val="00EE57EE"/>
    <w:rsid w:val="00EF1398"/>
    <w:rsid w:val="00F01854"/>
    <w:rsid w:val="00F166F1"/>
    <w:rsid w:val="00F32735"/>
    <w:rsid w:val="00F5136E"/>
    <w:rsid w:val="00F54D53"/>
    <w:rsid w:val="00F61585"/>
    <w:rsid w:val="00F63E0E"/>
    <w:rsid w:val="00F65697"/>
    <w:rsid w:val="00F958D2"/>
    <w:rsid w:val="00FA2F8D"/>
    <w:rsid w:val="00FB27E8"/>
    <w:rsid w:val="00FB68D2"/>
    <w:rsid w:val="00FC0791"/>
    <w:rsid w:val="00FD098E"/>
    <w:rsid w:val="00FD4480"/>
    <w:rsid w:val="00FE138E"/>
    <w:rsid w:val="00FF3B4B"/>
    <w:rsid w:val="00FF71B8"/>
    <w:rsid w:val="021DFB35"/>
    <w:rsid w:val="0395C6AC"/>
    <w:rsid w:val="0505BEC5"/>
    <w:rsid w:val="1624FB3B"/>
    <w:rsid w:val="1872F5DB"/>
    <w:rsid w:val="1AC9EE48"/>
    <w:rsid w:val="1C65BEA9"/>
    <w:rsid w:val="1DE69173"/>
    <w:rsid w:val="24A78563"/>
    <w:rsid w:val="335E67FC"/>
    <w:rsid w:val="38992FB0"/>
    <w:rsid w:val="39C1AADA"/>
    <w:rsid w:val="3B090E24"/>
    <w:rsid w:val="3F3670AF"/>
    <w:rsid w:val="4179A737"/>
    <w:rsid w:val="4C6D3472"/>
    <w:rsid w:val="4DE6D836"/>
    <w:rsid w:val="58184432"/>
    <w:rsid w:val="598E9ABF"/>
    <w:rsid w:val="5A500CCE"/>
    <w:rsid w:val="622B917B"/>
    <w:rsid w:val="626DDAE6"/>
    <w:rsid w:val="6BB9F9A7"/>
    <w:rsid w:val="713CB77B"/>
    <w:rsid w:val="74EFC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D2BA"/>
  <w15:chartTrackingRefBased/>
  <w15:docId w15:val="{5F4319B3-4E50-4B8A-B41D-65A641F2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342E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0D8"/>
  </w:style>
  <w:style w:type="paragraph" w:styleId="Footer">
    <w:name w:val="footer"/>
    <w:basedOn w:val="Normal"/>
    <w:link w:val="FooterChar"/>
    <w:uiPriority w:val="99"/>
    <w:unhideWhenUsed/>
    <w:rsid w:val="001C5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0D8"/>
  </w:style>
  <w:style w:type="paragraph" w:styleId="FootnoteText">
    <w:name w:val="footnote text"/>
    <w:basedOn w:val="Normal"/>
    <w:link w:val="FootnoteTextChar"/>
    <w:uiPriority w:val="99"/>
    <w:semiHidden/>
    <w:unhideWhenUsed/>
    <w:rsid w:val="00CC14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4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1451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9B0C2D"/>
  </w:style>
  <w:style w:type="paragraph" w:styleId="NormalWeb">
    <w:name w:val="Normal (Web)"/>
    <w:basedOn w:val="Normal"/>
    <w:uiPriority w:val="99"/>
    <w:semiHidden/>
    <w:unhideWhenUsed/>
    <w:rsid w:val="004B423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060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C0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0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0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791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C154D9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4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342E4"/>
    <w:rPr>
      <w:color w:val="0000FF"/>
      <w:u w:val="single"/>
    </w:rPr>
  </w:style>
  <w:style w:type="character" w:customStyle="1" w:styleId="period">
    <w:name w:val="period"/>
    <w:basedOn w:val="DefaultParagraphFont"/>
    <w:rsid w:val="001342E4"/>
  </w:style>
  <w:style w:type="character" w:customStyle="1" w:styleId="cit">
    <w:name w:val="cit"/>
    <w:basedOn w:val="DefaultParagraphFont"/>
    <w:rsid w:val="001342E4"/>
  </w:style>
  <w:style w:type="character" w:customStyle="1" w:styleId="citation-doi">
    <w:name w:val="citation-doi"/>
    <w:basedOn w:val="DefaultParagraphFont"/>
    <w:rsid w:val="001342E4"/>
  </w:style>
  <w:style w:type="character" w:customStyle="1" w:styleId="secondary-date">
    <w:name w:val="secondary-date"/>
    <w:basedOn w:val="DefaultParagraphFont"/>
    <w:rsid w:val="001342E4"/>
  </w:style>
  <w:style w:type="character" w:customStyle="1" w:styleId="authors-list-item">
    <w:name w:val="authors-list-item"/>
    <w:basedOn w:val="DefaultParagraphFont"/>
    <w:rsid w:val="001342E4"/>
  </w:style>
  <w:style w:type="character" w:customStyle="1" w:styleId="author-sup-separator">
    <w:name w:val="author-sup-separator"/>
    <w:basedOn w:val="DefaultParagraphFont"/>
    <w:rsid w:val="001342E4"/>
  </w:style>
  <w:style w:type="character" w:customStyle="1" w:styleId="comma">
    <w:name w:val="comma"/>
    <w:basedOn w:val="DefaultParagraphFont"/>
    <w:rsid w:val="001342E4"/>
  </w:style>
  <w:style w:type="character" w:styleId="UnresolvedMention">
    <w:name w:val="Unresolved Mention"/>
    <w:basedOn w:val="DefaultParagraphFont"/>
    <w:uiPriority w:val="99"/>
    <w:semiHidden/>
    <w:unhideWhenUsed/>
    <w:rsid w:val="001342E4"/>
    <w:rPr>
      <w:color w:val="605E5C"/>
      <w:shd w:val="clear" w:color="auto" w:fill="E1DFDD"/>
    </w:rPr>
  </w:style>
  <w:style w:type="character" w:customStyle="1" w:styleId="identifier">
    <w:name w:val="identifier"/>
    <w:basedOn w:val="DefaultParagraphFont"/>
    <w:rsid w:val="001342E4"/>
  </w:style>
  <w:style w:type="character" w:customStyle="1" w:styleId="id-label">
    <w:name w:val="id-label"/>
    <w:basedOn w:val="DefaultParagraphFont"/>
    <w:rsid w:val="001342E4"/>
  </w:style>
  <w:style w:type="paragraph" w:customStyle="1" w:styleId="c-article-author-listitem">
    <w:name w:val="c-article-author-list__item"/>
    <w:basedOn w:val="Normal"/>
    <w:rsid w:val="001342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-article-info-details">
    <w:name w:val="c-article-info-details"/>
    <w:basedOn w:val="Normal"/>
    <w:rsid w:val="001342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visually-hidden">
    <w:name w:val="u-visually-hidden"/>
    <w:basedOn w:val="DefaultParagraphFont"/>
    <w:rsid w:val="001342E4"/>
  </w:style>
  <w:style w:type="paragraph" w:customStyle="1" w:styleId="c-article-metrics-barcount">
    <w:name w:val="c-article-metrics-bar__count"/>
    <w:basedOn w:val="Normal"/>
    <w:rsid w:val="001342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article-metrics-barlabel">
    <w:name w:val="c-article-metrics-bar__label"/>
    <w:basedOn w:val="DefaultParagraphFont"/>
    <w:rsid w:val="001342E4"/>
  </w:style>
  <w:style w:type="paragraph" w:customStyle="1" w:styleId="c-article-metrics-bardetails">
    <w:name w:val="c-article-metrics-bar__details"/>
    <w:basedOn w:val="Normal"/>
    <w:rsid w:val="001342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">
    <w:name w:val="title"/>
    <w:basedOn w:val="DefaultParagraphFont"/>
    <w:rsid w:val="00A06106"/>
  </w:style>
  <w:style w:type="character" w:styleId="Strong">
    <w:name w:val="Strong"/>
    <w:basedOn w:val="DefaultParagraphFont"/>
    <w:uiPriority w:val="22"/>
    <w:qFormat/>
    <w:rsid w:val="00A06106"/>
    <w:rPr>
      <w:b/>
      <w:bCs/>
    </w:rPr>
  </w:style>
  <w:style w:type="character" w:customStyle="1" w:styleId="free-label">
    <w:name w:val="free-label"/>
    <w:basedOn w:val="DefaultParagraphFont"/>
    <w:rsid w:val="007D55DB"/>
  </w:style>
  <w:style w:type="character" w:customStyle="1" w:styleId="react-xocs-alternative-link">
    <w:name w:val="react-xocs-alternative-link"/>
    <w:basedOn w:val="DefaultParagraphFont"/>
    <w:rsid w:val="00E85862"/>
  </w:style>
  <w:style w:type="character" w:customStyle="1" w:styleId="given-name">
    <w:name w:val="given-name"/>
    <w:basedOn w:val="DefaultParagraphFont"/>
    <w:rsid w:val="00E85862"/>
  </w:style>
  <w:style w:type="character" w:customStyle="1" w:styleId="text">
    <w:name w:val="text"/>
    <w:basedOn w:val="DefaultParagraphFont"/>
    <w:rsid w:val="00E85862"/>
  </w:style>
  <w:style w:type="character" w:styleId="FollowedHyperlink">
    <w:name w:val="FollowedHyperlink"/>
    <w:basedOn w:val="DefaultParagraphFont"/>
    <w:uiPriority w:val="99"/>
    <w:semiHidden/>
    <w:unhideWhenUsed/>
    <w:rsid w:val="004C35B4"/>
    <w:rPr>
      <w:color w:val="954F72" w:themeColor="followedHyperlink"/>
      <w:u w:val="single"/>
    </w:rPr>
  </w:style>
  <w:style w:type="character" w:customStyle="1" w:styleId="c-bibliographic-informationvalue">
    <w:name w:val="c-bibliographic-information__value"/>
    <w:basedOn w:val="DefaultParagraphFont"/>
    <w:rsid w:val="004C35B4"/>
  </w:style>
  <w:style w:type="character" w:styleId="Emphasis">
    <w:name w:val="Emphasis"/>
    <w:basedOn w:val="DefaultParagraphFont"/>
    <w:uiPriority w:val="20"/>
    <w:qFormat/>
    <w:rsid w:val="00713D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9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2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8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2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government/uploads/system/uploads/attachment_data/file/383021/ExploringInternationalAcutes.pdf" TargetMode="External"/><Relationship Id="rId18" Type="http://schemas.openxmlformats.org/officeDocument/2006/relationships/hyperlink" Target="https://doi.org/10.3122/jabfm.2015.06.140261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doi.org/10.1186/s12873-019-0257-y" TargetMode="External"/><Relationship Id="rId17" Type="http://schemas.openxmlformats.org/officeDocument/2006/relationships/hyperlink" Target="https://doi.org/10.1186/s12913-016-1400-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7326/m16-2776" TargetMode="External"/><Relationship Id="rId20" Type="http://schemas.openxmlformats.org/officeDocument/2006/relationships/hyperlink" Target="https://www.commonwealthfund.org/international-health-policy-center/countries/netherlan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16/j.healthpol.2018.11.001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doi.org/10.1186/s12875-017-0633-1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oi.org/10.1097/mej.000000000000096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ecd.org/netherland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01b788-1cd9-4077-899c-e646d0e75da3">
      <Terms xmlns="http://schemas.microsoft.com/office/infopath/2007/PartnerControls"/>
    </lcf76f155ced4ddcb4097134ff3c332f>
    <TaxCatchAll xmlns="de966fe4-4253-4f6d-b986-2d0834c5eb89" xsi:nil="true"/>
    <SharedWithUsers xmlns="de966fe4-4253-4f6d-b986-2d0834c5eb89">
      <UserInfo>
        <DisplayName>Sara Allin</DisplayName>
        <AccountId>12</AccountId>
        <AccountType/>
      </UserInfo>
      <UserInfo>
        <DisplayName>Husayn Marani</DisplayName>
        <AccountId>46</AccountId>
        <AccountType/>
      </UserInfo>
      <UserInfo>
        <DisplayName>Stefanie Tan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C803FC43D73D746B15A79520E728C95" ma:contentTypeVersion="10" ma:contentTypeDescription="צור מסמך חדש." ma:contentTypeScope="" ma:versionID="385dd4b1cfe0d41c3819ed6f1d93c1a3">
  <xsd:schema xmlns:xsd="http://www.w3.org/2001/XMLSchema" xmlns:xs="http://www.w3.org/2001/XMLSchema" xmlns:p="http://schemas.microsoft.com/office/2006/metadata/properties" xmlns:ns2="b701b788-1cd9-4077-899c-e646d0e75da3" xmlns:ns3="de966fe4-4253-4f6d-b986-2d0834c5eb89" targetNamespace="http://schemas.microsoft.com/office/2006/metadata/properties" ma:root="true" ma:fieldsID="dcfd9dea386c51e37c5b26c52243325a" ns2:_="" ns3:_="">
    <xsd:import namespace="b701b788-1cd9-4077-899c-e646d0e75da3"/>
    <xsd:import namespace="de966fe4-4253-4f6d-b986-2d0834c5e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1b788-1cd9-4077-899c-e646d0e7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תגיות תמונה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66fe4-4253-4f6d-b986-2d0834c5eb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d329c8-16b2-47e8-bfbe-bb5da1487db3}" ma:internalName="TaxCatchAll" ma:showField="CatchAllData" ma:web="de966fe4-4253-4f6d-b986-2d0834c5e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369BF-31CD-4607-8534-1D1906B340A4}">
  <ds:schemaRefs>
    <ds:schemaRef ds:uri="http://schemas.microsoft.com/office/2006/metadata/properties"/>
    <ds:schemaRef ds:uri="http://schemas.microsoft.com/office/infopath/2007/PartnerControls"/>
    <ds:schemaRef ds:uri="b701b788-1cd9-4077-899c-e646d0e75da3"/>
    <ds:schemaRef ds:uri="de966fe4-4253-4f6d-b986-2d0834c5eb89"/>
  </ds:schemaRefs>
</ds:datastoreItem>
</file>

<file path=customXml/itemProps2.xml><?xml version="1.0" encoding="utf-8"?>
<ds:datastoreItem xmlns:ds="http://schemas.openxmlformats.org/officeDocument/2006/customXml" ds:itemID="{24EA8BCB-A703-4365-BDC3-621E9D39D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5178F-D0D4-4213-A43D-834CE2783E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6FB88D-7BA0-40B0-81A9-D828A116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1b788-1cd9-4077-899c-e646d0e75da3"/>
    <ds:schemaRef ds:uri="de966fe4-4253-4f6d-b986-2d0834c5e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3071</Words>
  <Characters>17508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Baruch Levi</dc:creator>
  <cp:keywords/>
  <dc:description/>
  <cp:lastModifiedBy>Susan Elster</cp:lastModifiedBy>
  <cp:revision>14</cp:revision>
  <dcterms:created xsi:type="dcterms:W3CDTF">2023-03-29T12:00:00Z</dcterms:created>
  <dcterms:modified xsi:type="dcterms:W3CDTF">2023-03-30T12:59:00Z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zotero-version="6.0.23"&gt;&lt;session id="ObswiP5L"/&gt;&lt;style id="http://www.zotero.org/styles/american-political-science-association" locale="en-US" hasBibliography="1" bibliographyStyleHasBeenSet="1"/&gt;&lt;prefs&gt;&lt;pref name="fieldType" value=</vt:lpwstr>
  </property>
  <property fmtid="{D5CDD505-2E9C-101B-9397-08002B2CF9AE}" pid="3" name="ZOTERO_PREF_2">
    <vt:lpwstr>"Field"/&gt;&lt;/prefs&gt;&lt;/data&gt;</vt:lpwstr>
  </property>
  <property fmtid="{D5CDD505-2E9C-101B-9397-08002B2CF9AE}" pid="4" name="ContentTypeId">
    <vt:lpwstr>0x010100BC803FC43D73D746B15A79520E728C95</vt:lpwstr>
  </property>
  <property fmtid="{D5CDD505-2E9C-101B-9397-08002B2CF9AE}" pid="5" name="MediaServiceImageTags">
    <vt:lpwstr/>
  </property>
</Properties>
</file>