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DF" w:rsidRPr="001D3EDF" w:rsidRDefault="001D3EDF" w:rsidP="001D3EDF">
      <w:pPr>
        <w:spacing w:after="300" w:line="700" w:lineRule="atLeast"/>
        <w:jc w:val="center"/>
        <w:outlineLvl w:val="0"/>
        <w:rPr>
          <w:rFonts w:ascii="Times New Roman" w:eastAsia="Times New Roman" w:hAnsi="Times New Roman" w:cs="Times New Roman"/>
          <w:b w:val="0"/>
          <w:bCs w:val="0"/>
          <w:color w:val="auto"/>
          <w:kern w:val="36"/>
          <w:sz w:val="40"/>
          <w:szCs w:val="40"/>
          <w:u w:val="none"/>
        </w:rPr>
      </w:pPr>
      <w:r w:rsidRPr="001D3EDF">
        <w:rPr>
          <w:rFonts w:ascii="Times New Roman" w:eastAsia="Times New Roman" w:hAnsi="Times New Roman" w:cs="Times New Roman"/>
          <w:b w:val="0"/>
          <w:bCs w:val="0"/>
          <w:color w:val="auto"/>
          <w:kern w:val="36"/>
          <w:sz w:val="40"/>
          <w:szCs w:val="40"/>
          <w:u w:val="none"/>
        </w:rPr>
        <w:t>Contrasting Pictures of Intermarriage in Ruth and Nehemiah</w:t>
      </w:r>
    </w:p>
    <w:p w:rsidR="001D3EDF" w:rsidRPr="001D3EDF" w:rsidRDefault="001D3EDF" w:rsidP="001D3EDF">
      <w:pPr>
        <w:spacing w:after="100" w:line="370" w:lineRule="atLeast"/>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By comparing the aggressive approach of Nehemiah towards the foreign wives of the </w:t>
      </w:r>
      <w:proofErr w:type="spellStart"/>
      <w:r w:rsidRPr="001D3EDF">
        <w:rPr>
          <w:rFonts w:ascii="Times New Roman" w:eastAsia="Times New Roman" w:hAnsi="Times New Roman" w:cs="Times New Roman"/>
          <w:b w:val="0"/>
          <w:bCs w:val="0"/>
          <w:color w:val="auto"/>
          <w:sz w:val="20"/>
          <w:szCs w:val="20"/>
          <w:u w:val="none"/>
        </w:rPr>
        <w:t>Judahites</w:t>
      </w:r>
      <w:proofErr w:type="spellEnd"/>
      <w:r w:rsidRPr="001D3EDF">
        <w:rPr>
          <w:rFonts w:ascii="Times New Roman" w:eastAsia="Times New Roman" w:hAnsi="Times New Roman" w:cs="Times New Roman"/>
          <w:b w:val="0"/>
          <w:bCs w:val="0"/>
          <w:color w:val="auto"/>
          <w:sz w:val="20"/>
          <w:szCs w:val="20"/>
          <w:u w:val="none"/>
        </w:rPr>
        <w:t xml:space="preserve"> with the positive role of Ruth as a Moabite woman who married into an Israelite family, we can attempt to uncover the core messages about Jewish identity that the two texts have in common.</w:t>
      </w:r>
    </w:p>
    <w:p w:rsidR="001D3EDF" w:rsidRPr="001D3EDF" w:rsidRDefault="001D3EDF" w:rsidP="001D3EDF">
      <w:pPr>
        <w:spacing w:after="0" w:line="240" w:lineRule="auto"/>
        <w:rPr>
          <w:rFonts w:ascii="Times New Roman" w:eastAsia="Times New Roman" w:hAnsi="Times New Roman" w:cs="Times New Roman"/>
          <w:b w:val="0"/>
          <w:bCs w:val="0"/>
          <w:color w:val="2E2E2E"/>
          <w:sz w:val="24"/>
          <w:szCs w:val="24"/>
          <w:u w:val="none"/>
        </w:rPr>
      </w:pPr>
    </w:p>
    <w:p w:rsidR="001D3EDF" w:rsidRDefault="001D3EDF" w:rsidP="001D3EDF">
      <w:pPr>
        <w:spacing w:after="0" w:line="360" w:lineRule="atLeast"/>
        <w:ind w:right="160"/>
        <w:rPr>
          <w:rFonts w:ascii="Times New Roman" w:eastAsia="Times New Roman" w:hAnsi="Times New Roman" w:cs="Times New Roman"/>
          <w:b w:val="0"/>
          <w:bCs w:val="0"/>
          <w:color w:val="2E2E2E"/>
          <w:sz w:val="20"/>
          <w:szCs w:val="20"/>
          <w:u w:val="none"/>
        </w:rPr>
      </w:pPr>
      <w:r w:rsidRPr="001D3EDF">
        <w:rPr>
          <w:rFonts w:ascii="Times New Roman" w:eastAsia="Times New Roman" w:hAnsi="Times New Roman" w:cs="Times New Roman"/>
          <w:b w:val="0"/>
          <w:bCs w:val="0"/>
          <w:color w:val="2E2E2E"/>
          <w:sz w:val="20"/>
          <w:szCs w:val="20"/>
          <w:u w:val="none"/>
        </w:rPr>
        <w:t>Prof.</w:t>
      </w:r>
      <w:r>
        <w:rPr>
          <w:rFonts w:ascii="Times New Roman" w:eastAsia="Times New Roman" w:hAnsi="Times New Roman" w:cs="Times New Roman"/>
          <w:b w:val="0"/>
          <w:bCs w:val="0"/>
          <w:color w:val="auto"/>
          <w:sz w:val="20"/>
          <w:szCs w:val="20"/>
          <w:u w:val="none"/>
        </w:rPr>
        <w:t xml:space="preserve"> </w:t>
      </w:r>
      <w:r w:rsidRPr="001D3EDF">
        <w:rPr>
          <w:rFonts w:ascii="Times New Roman" w:eastAsia="Times New Roman" w:hAnsi="Times New Roman" w:cs="Times New Roman"/>
          <w:b w:val="0"/>
          <w:bCs w:val="0"/>
          <w:color w:val="2E2E2E"/>
          <w:sz w:val="20"/>
          <w:szCs w:val="20"/>
          <w:u w:val="none"/>
        </w:rPr>
        <w:t>Jacob L. Wright</w:t>
      </w:r>
    </w:p>
    <w:p w:rsidR="001D3EDF" w:rsidRPr="001D3EDF" w:rsidRDefault="001D3EDF" w:rsidP="001D3EDF">
      <w:pPr>
        <w:spacing w:after="0" w:line="360" w:lineRule="atLeast"/>
        <w:ind w:right="160"/>
        <w:rPr>
          <w:rFonts w:ascii="Times New Roman" w:eastAsia="Times New Roman" w:hAnsi="Times New Roman" w:cs="Times New Roman"/>
          <w:b w:val="0"/>
          <w:bCs w:val="0"/>
          <w:color w:val="auto"/>
          <w:sz w:val="20"/>
          <w:szCs w:val="20"/>
          <w:u w:val="none"/>
        </w:rPr>
      </w:pPr>
    </w:p>
    <w:p w:rsidR="001D3EDF" w:rsidRPr="001D3EDF" w:rsidRDefault="001D3EDF" w:rsidP="001D3EDF">
      <w:pPr>
        <w:spacing w:after="0" w:line="240" w:lineRule="auto"/>
        <w:rPr>
          <w:rFonts w:ascii="Times New Roman" w:eastAsia="Times New Roman" w:hAnsi="Times New Roman" w:cs="Times New Roman"/>
          <w:b w:val="0"/>
          <w:bCs w:val="0"/>
          <w:color w:val="2E2E2E"/>
          <w:sz w:val="24"/>
          <w:szCs w:val="24"/>
          <w:u w:val="none"/>
        </w:rPr>
      </w:pPr>
      <w:r w:rsidRPr="001D3EDF">
        <w:rPr>
          <w:rFonts w:ascii="Times New Roman" w:eastAsia="Times New Roman" w:hAnsi="Times New Roman" w:cs="Times New Roman"/>
          <w:b w:val="0"/>
          <w:bCs w:val="0"/>
          <w:color w:val="2E2E2E"/>
          <w:sz w:val="20"/>
          <w:szCs w:val="20"/>
          <w:u w:val="none"/>
        </w:rPr>
        <w:t>Prof. Rabbi</w:t>
      </w:r>
      <w:r>
        <w:rPr>
          <w:rFonts w:ascii="Times New Roman" w:eastAsia="Times New Roman" w:hAnsi="Times New Roman" w:cs="Times New Roman"/>
          <w:b w:val="0"/>
          <w:bCs w:val="0"/>
          <w:color w:val="auto"/>
          <w:sz w:val="20"/>
          <w:szCs w:val="20"/>
          <w:u w:val="none"/>
        </w:rPr>
        <w:t xml:space="preserve"> </w:t>
      </w:r>
      <w:r w:rsidRPr="001D3EDF">
        <w:rPr>
          <w:rFonts w:ascii="Times New Roman" w:eastAsia="Times New Roman" w:hAnsi="Times New Roman" w:cs="Times New Roman"/>
          <w:b w:val="0"/>
          <w:bCs w:val="0"/>
          <w:color w:val="2E2E2E"/>
          <w:sz w:val="20"/>
          <w:szCs w:val="20"/>
          <w:u w:val="none"/>
        </w:rPr>
        <w:t xml:space="preserve">Tamara Cohn </w:t>
      </w:r>
      <w:proofErr w:type="spellStart"/>
      <w:r w:rsidRPr="001D3EDF">
        <w:rPr>
          <w:rFonts w:ascii="Times New Roman" w:eastAsia="Times New Roman" w:hAnsi="Times New Roman" w:cs="Times New Roman"/>
          <w:b w:val="0"/>
          <w:bCs w:val="0"/>
          <w:color w:val="2E2E2E"/>
          <w:sz w:val="20"/>
          <w:szCs w:val="20"/>
          <w:u w:val="none"/>
        </w:rPr>
        <w:t>Eskenazi</w:t>
      </w:r>
      <w:proofErr w:type="spellEnd"/>
    </w:p>
    <w:p w:rsidR="001D3EDF" w:rsidRPr="001D3EDF" w:rsidRDefault="001D3EDF" w:rsidP="001D3EDF">
      <w:pPr>
        <w:spacing w:after="0" w:line="240" w:lineRule="auto"/>
        <w:rPr>
          <w:rFonts w:ascii="Times New Roman" w:eastAsia="Times New Roman" w:hAnsi="Times New Roman" w:cs="Times New Roman"/>
          <w:b w:val="0"/>
          <w:bCs w:val="0"/>
          <w:color w:val="auto"/>
          <w:sz w:val="24"/>
          <w:szCs w:val="24"/>
          <w:u w:val="none"/>
        </w:rPr>
      </w:pPr>
    </w:p>
    <w:p w:rsidR="001D3EDF" w:rsidRPr="001D3EDF" w:rsidRDefault="001D3EDF" w:rsidP="001D3EDF">
      <w:pPr>
        <w:spacing w:after="0" w:line="240" w:lineRule="auto"/>
        <w:rPr>
          <w:rFonts w:ascii="Times New Roman" w:eastAsia="Times New Roman" w:hAnsi="Times New Roman" w:cs="Times New Roman"/>
          <w:b w:val="0"/>
          <w:bCs w:val="0"/>
          <w:color w:val="auto"/>
          <w:sz w:val="24"/>
          <w:szCs w:val="24"/>
          <w:u w:val="none"/>
        </w:rPr>
      </w:pPr>
      <w:r>
        <w:rPr>
          <w:rFonts w:ascii="Times New Roman" w:eastAsia="Times New Roman" w:hAnsi="Times New Roman" w:cs="Times New Roman"/>
          <w:b w:val="0"/>
          <w:bCs w:val="0"/>
          <w:noProof/>
          <w:color w:val="auto"/>
          <w:sz w:val="24"/>
          <w:szCs w:val="24"/>
          <w:u w:val="none"/>
        </w:rPr>
        <w:drawing>
          <wp:inline distT="0" distB="0" distL="0" distR="0">
            <wp:extent cx="2868032" cy="2423052"/>
            <wp:effectExtent l="19050" t="0" r="8518" b="0"/>
            <wp:docPr id="4" name="תמונה 4" descr="Contrasting Pictures of Intermarriage in Ruth and Nehem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rasting Pictures of Intermarriage in Ruth and Nehemiah"/>
                    <pic:cNvPicPr>
                      <a:picLocks noChangeAspect="1" noChangeArrowheads="1"/>
                    </pic:cNvPicPr>
                  </pic:nvPicPr>
                  <pic:blipFill>
                    <a:blip r:embed="rId5"/>
                    <a:srcRect/>
                    <a:stretch>
                      <a:fillRect/>
                    </a:stretch>
                  </pic:blipFill>
                  <pic:spPr bwMode="auto">
                    <a:xfrm>
                      <a:off x="0" y="0"/>
                      <a:ext cx="2870135" cy="2424829"/>
                    </a:xfrm>
                    <a:prstGeom prst="rect">
                      <a:avLst/>
                    </a:prstGeom>
                    <a:noFill/>
                    <a:ln w="9525">
                      <a:noFill/>
                      <a:miter lim="800000"/>
                      <a:headEnd/>
                      <a:tailEnd/>
                    </a:ln>
                  </pic:spPr>
                </pic:pic>
              </a:graphicData>
            </a:graphic>
          </wp:inline>
        </w:drawing>
      </w:r>
    </w:p>
    <w:p w:rsidR="001D3EDF" w:rsidRPr="001D3EDF" w:rsidRDefault="001D3EDF" w:rsidP="001D3EDF">
      <w:pPr>
        <w:spacing w:after="100" w:line="280" w:lineRule="atLeast"/>
        <w:jc w:val="center"/>
        <w:rPr>
          <w:rFonts w:ascii="Times New Roman" w:eastAsia="Times New Roman" w:hAnsi="Times New Roman" w:cs="Times New Roman"/>
          <w:b w:val="0"/>
          <w:bCs w:val="0"/>
          <w:color w:val="auto"/>
          <w:sz w:val="13"/>
          <w:szCs w:val="13"/>
          <w:u w:val="none"/>
        </w:rPr>
      </w:pPr>
      <w:r w:rsidRPr="001D3EDF">
        <w:rPr>
          <w:rFonts w:ascii="Times New Roman" w:eastAsia="Times New Roman" w:hAnsi="Times New Roman" w:cs="Times New Roman"/>
          <w:b w:val="0"/>
          <w:bCs w:val="0"/>
          <w:i/>
          <w:iCs/>
          <w:color w:val="auto"/>
          <w:sz w:val="13"/>
          <w:u w:val="none"/>
        </w:rPr>
        <w:t>Ruth in Boaz’s Field</w:t>
      </w:r>
      <w:r w:rsidRPr="001D3EDF">
        <w:rPr>
          <w:rFonts w:ascii="Times New Roman" w:eastAsia="Times New Roman" w:hAnsi="Times New Roman" w:cs="Times New Roman"/>
          <w:b w:val="0"/>
          <w:bCs w:val="0"/>
          <w:color w:val="auto"/>
          <w:sz w:val="13"/>
          <w:szCs w:val="13"/>
          <w:u w:val="none"/>
        </w:rPr>
        <w:t xml:space="preserve">, Julius </w:t>
      </w:r>
      <w:proofErr w:type="spellStart"/>
      <w:r w:rsidRPr="001D3EDF">
        <w:rPr>
          <w:rFonts w:ascii="Times New Roman" w:eastAsia="Times New Roman" w:hAnsi="Times New Roman" w:cs="Times New Roman"/>
          <w:b w:val="0"/>
          <w:bCs w:val="0"/>
          <w:color w:val="auto"/>
          <w:sz w:val="13"/>
          <w:szCs w:val="13"/>
          <w:u w:val="none"/>
        </w:rPr>
        <w:t>Schnorr</w:t>
      </w:r>
      <w:proofErr w:type="spellEnd"/>
      <w:r w:rsidRPr="001D3EDF">
        <w:rPr>
          <w:rFonts w:ascii="Times New Roman" w:eastAsia="Times New Roman" w:hAnsi="Times New Roman" w:cs="Times New Roman"/>
          <w:b w:val="0"/>
          <w:bCs w:val="0"/>
          <w:color w:val="auto"/>
          <w:sz w:val="13"/>
          <w:szCs w:val="13"/>
          <w:u w:val="none"/>
        </w:rPr>
        <w:t xml:space="preserve"> von </w:t>
      </w:r>
      <w:proofErr w:type="spellStart"/>
      <w:r w:rsidRPr="001D3EDF">
        <w:rPr>
          <w:rFonts w:ascii="Times New Roman" w:eastAsia="Times New Roman" w:hAnsi="Times New Roman" w:cs="Times New Roman"/>
          <w:b w:val="0"/>
          <w:bCs w:val="0"/>
          <w:color w:val="auto"/>
          <w:sz w:val="13"/>
          <w:szCs w:val="13"/>
          <w:u w:val="none"/>
        </w:rPr>
        <w:t>Carolsfeld</w:t>
      </w:r>
      <w:proofErr w:type="spellEnd"/>
      <w:r w:rsidRPr="001D3EDF">
        <w:rPr>
          <w:rFonts w:ascii="Times New Roman" w:eastAsia="Times New Roman" w:hAnsi="Times New Roman" w:cs="Times New Roman"/>
          <w:b w:val="0"/>
          <w:bCs w:val="0"/>
          <w:color w:val="auto"/>
          <w:sz w:val="13"/>
          <w:szCs w:val="13"/>
          <w:u w:val="none"/>
        </w:rPr>
        <w:t xml:space="preserve"> (1794–1872).</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Shavuot as we have it in the Torah is a peculiar holiday. It’s not associated with an event in Israel’s history (similar to the way that Passover, for example, was eventually connected to the exodus). It seems to have competed with other harvest holidays (</w:t>
      </w:r>
      <w:r w:rsidRPr="001D3EDF">
        <w:rPr>
          <w:rFonts w:ascii="Times New Roman" w:eastAsia="Times New Roman" w:hAnsi="Times New Roman" w:cs="Times New Roman"/>
          <w:b w:val="0"/>
          <w:bCs w:val="0"/>
          <w:i/>
          <w:iCs/>
          <w:color w:val="000000"/>
          <w:sz w:val="17"/>
          <w:u w:val="none"/>
        </w:rPr>
        <w:t>hag ha-</w:t>
      </w:r>
      <w:proofErr w:type="spellStart"/>
      <w:r w:rsidRPr="001D3EDF">
        <w:rPr>
          <w:rFonts w:ascii="Times New Roman" w:eastAsia="Times New Roman" w:hAnsi="Times New Roman" w:cs="Times New Roman"/>
          <w:b w:val="0"/>
          <w:bCs w:val="0"/>
          <w:i/>
          <w:iCs/>
          <w:color w:val="000000"/>
          <w:sz w:val="17"/>
          <w:u w:val="none"/>
        </w:rPr>
        <w:t>kaqqatzir</w:t>
      </w:r>
      <w:proofErr w:type="spellEnd"/>
      <w:r w:rsidRPr="001D3EDF">
        <w:rPr>
          <w:rFonts w:ascii="Times New Roman" w:eastAsia="Times New Roman" w:hAnsi="Times New Roman" w:cs="Times New Roman"/>
          <w:b w:val="0"/>
          <w:bCs w:val="0"/>
          <w:color w:val="000000"/>
          <w:sz w:val="17"/>
          <w:szCs w:val="17"/>
          <w:u w:val="none"/>
        </w:rPr>
        <w:t>, </w:t>
      </w:r>
      <w:proofErr w:type="spellStart"/>
      <w:r w:rsidRPr="001D3EDF">
        <w:rPr>
          <w:rFonts w:ascii="Times New Roman" w:eastAsia="Times New Roman" w:hAnsi="Times New Roman" w:cs="Times New Roman"/>
          <w:b w:val="0"/>
          <w:bCs w:val="0"/>
          <w:i/>
          <w:iCs/>
          <w:color w:val="000000"/>
          <w:sz w:val="17"/>
          <w:u w:val="none"/>
        </w:rPr>
        <w:t>yom</w:t>
      </w:r>
      <w:proofErr w:type="spellEnd"/>
      <w:r w:rsidRPr="001D3EDF">
        <w:rPr>
          <w:rFonts w:ascii="Times New Roman" w:eastAsia="Times New Roman" w:hAnsi="Times New Roman" w:cs="Times New Roman"/>
          <w:b w:val="0"/>
          <w:bCs w:val="0"/>
          <w:i/>
          <w:iCs/>
          <w:color w:val="000000"/>
          <w:sz w:val="17"/>
          <w:u w:val="none"/>
        </w:rPr>
        <w:t xml:space="preserve"> ha-</w:t>
      </w:r>
      <w:proofErr w:type="spellStart"/>
      <w:r w:rsidRPr="001D3EDF">
        <w:rPr>
          <w:rFonts w:ascii="Times New Roman" w:eastAsia="Times New Roman" w:hAnsi="Times New Roman" w:cs="Times New Roman"/>
          <w:b w:val="0"/>
          <w:bCs w:val="0"/>
          <w:i/>
          <w:iCs/>
          <w:color w:val="000000"/>
          <w:sz w:val="17"/>
          <w:u w:val="none"/>
        </w:rPr>
        <w:t>bikkurim</w:t>
      </w:r>
      <w:proofErr w:type="spellEnd"/>
      <w:r w:rsidRPr="001D3EDF">
        <w:rPr>
          <w:rFonts w:ascii="Times New Roman" w:eastAsia="Times New Roman" w:hAnsi="Times New Roman" w:cs="Times New Roman"/>
          <w:b w:val="0"/>
          <w:bCs w:val="0"/>
          <w:color w:val="000000"/>
          <w:sz w:val="17"/>
          <w:szCs w:val="17"/>
          <w:u w:val="none"/>
        </w:rPr>
        <w:t>). It doesn’t have a fixed date, marked by month and day</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w:t>
      </w:r>
      <w:r w:rsidRPr="001D3EDF">
        <w:rPr>
          <w:rFonts w:ascii="Times New Roman" w:eastAsia="Times New Roman" w:hAnsi="Times New Roman" w:cs="Times New Roman"/>
          <w:b w:val="0"/>
          <w:bCs w:val="0"/>
          <w:color w:val="000000"/>
          <w:sz w:val="17"/>
          <w:szCs w:val="17"/>
          <w:u w:val="none"/>
        </w:rPr>
        <w:t xml:space="preserve"> Outside the Torah, it’s mentioned only one other time in the Bible (2 </w:t>
      </w:r>
      <w:proofErr w:type="spellStart"/>
      <w:r w:rsidRPr="001D3EDF">
        <w:rPr>
          <w:rFonts w:ascii="Times New Roman" w:eastAsia="Times New Roman" w:hAnsi="Times New Roman" w:cs="Times New Roman"/>
          <w:b w:val="0"/>
          <w:bCs w:val="0"/>
          <w:color w:val="000000"/>
          <w:sz w:val="17"/>
          <w:szCs w:val="17"/>
          <w:u w:val="none"/>
        </w:rPr>
        <w:t>Chron</w:t>
      </w:r>
      <w:proofErr w:type="spellEnd"/>
      <w:r w:rsidRPr="001D3EDF">
        <w:rPr>
          <w:rFonts w:ascii="Times New Roman" w:eastAsia="Times New Roman" w:hAnsi="Times New Roman" w:cs="Times New Roman"/>
          <w:b w:val="0"/>
          <w:bCs w:val="0"/>
          <w:color w:val="000000"/>
          <w:sz w:val="17"/>
          <w:szCs w:val="17"/>
          <w:u w:val="none"/>
        </w:rPr>
        <w:t xml:space="preserve"> 8:13), and it doesn’t even show up in Ezekiel’s festival calendar (45:18-46:7; exilic or early post-exilic period).</w:t>
      </w:r>
      <w:r w:rsidRPr="001D3EDF">
        <w:rPr>
          <w:rFonts w:ascii="Times New Roman" w:eastAsia="Times New Roman" w:hAnsi="Times New Roman" w:cs="Times New Roman"/>
          <w:b w:val="0"/>
          <w:bCs w:val="0"/>
          <w:color w:val="B22222"/>
          <w:sz w:val="15"/>
          <w:szCs w:val="15"/>
          <w:u w:val="none"/>
          <w:vertAlign w:val="superscript"/>
        </w:rPr>
        <w:t>[2]</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Like all biblical festivals, Shavuot evolved over time. Whatever its origins may be, biblical authors made it one of the three pilgrimage festivals (</w:t>
      </w:r>
      <w:proofErr w:type="spellStart"/>
      <w:r w:rsidRPr="001D3EDF">
        <w:rPr>
          <w:rFonts w:ascii="Times New Roman" w:eastAsia="Times New Roman" w:hAnsi="Times New Roman" w:cs="Times New Roman"/>
          <w:b w:val="0"/>
          <w:bCs w:val="0"/>
          <w:i/>
          <w:iCs/>
          <w:color w:val="000000"/>
          <w:sz w:val="17"/>
          <w:u w:val="none"/>
        </w:rPr>
        <w:t>shalosh</w:t>
      </w:r>
      <w:proofErr w:type="spellEnd"/>
      <w:r w:rsidRPr="001D3EDF">
        <w:rPr>
          <w:rFonts w:ascii="Times New Roman" w:eastAsia="Times New Roman" w:hAnsi="Times New Roman" w:cs="Times New Roman"/>
          <w:b w:val="0"/>
          <w:bCs w:val="0"/>
          <w:i/>
          <w:iCs/>
          <w:color w:val="000000"/>
          <w:sz w:val="17"/>
          <w:u w:val="none"/>
        </w:rPr>
        <w:t xml:space="preserve"> </w:t>
      </w:r>
      <w:proofErr w:type="spellStart"/>
      <w:r w:rsidRPr="001D3EDF">
        <w:rPr>
          <w:rFonts w:ascii="Times New Roman" w:eastAsia="Times New Roman" w:hAnsi="Times New Roman" w:cs="Times New Roman"/>
          <w:b w:val="0"/>
          <w:bCs w:val="0"/>
          <w:i/>
          <w:iCs/>
          <w:color w:val="000000"/>
          <w:sz w:val="17"/>
          <w:u w:val="none"/>
        </w:rPr>
        <w:t>regalim</w:t>
      </w:r>
      <w:proofErr w:type="spellEnd"/>
      <w:r w:rsidRPr="001D3EDF">
        <w:rPr>
          <w:rFonts w:ascii="Times New Roman" w:eastAsia="Times New Roman" w:hAnsi="Times New Roman" w:cs="Times New Roman"/>
          <w:b w:val="0"/>
          <w:bCs w:val="0"/>
          <w:color w:val="000000"/>
          <w:sz w:val="17"/>
          <w:szCs w:val="17"/>
          <w:u w:val="none"/>
        </w:rPr>
        <w:t>) during which all were expected to make their way to the Temple in Jerusalem.</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Beginning in Hellenistic times groups celebrated it as an occasion of covenantal renewal (see Jubilees and the Dead Sea Scrolls).</w:t>
      </w:r>
      <w:r w:rsidRPr="001D3EDF">
        <w:rPr>
          <w:rFonts w:ascii="Times New Roman" w:eastAsia="Times New Roman" w:hAnsi="Times New Roman" w:cs="Times New Roman"/>
          <w:b w:val="0"/>
          <w:bCs w:val="0"/>
          <w:color w:val="B22222"/>
          <w:sz w:val="15"/>
          <w:szCs w:val="15"/>
          <w:u w:val="none"/>
          <w:vertAlign w:val="superscript"/>
        </w:rPr>
        <w:t>[3]</w:t>
      </w:r>
      <w:r w:rsidRPr="001D3EDF">
        <w:rPr>
          <w:rFonts w:ascii="Times New Roman" w:eastAsia="Times New Roman" w:hAnsi="Times New Roman" w:cs="Times New Roman"/>
          <w:b w:val="0"/>
          <w:bCs w:val="0"/>
          <w:color w:val="000000"/>
          <w:sz w:val="17"/>
          <w:szCs w:val="17"/>
          <w:u w:val="none"/>
        </w:rPr>
        <w:t> The reason for celebration was now no longer solely the grain harvest but also Israel’s long history of redemption, culminating in the gift of the Torah at Sinai.</w:t>
      </w:r>
    </w:p>
    <w:p w:rsidR="001D3EDF" w:rsidRPr="001D3EDF" w:rsidRDefault="001D3EDF" w:rsidP="001D3EDF">
      <w:pPr>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1D3EDF">
        <w:rPr>
          <w:rFonts w:ascii="Times New Roman" w:eastAsia="Times New Roman" w:hAnsi="Times New Roman" w:cs="Times New Roman"/>
          <w:b w:val="0"/>
          <w:bCs w:val="0"/>
          <w:color w:val="000000"/>
          <w:sz w:val="25"/>
          <w:szCs w:val="25"/>
          <w:u w:val="none"/>
        </w:rPr>
        <w:t>Ruth as the Shavuot Reading: A Story which Contradicts the Torah</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lastRenderedPageBreak/>
        <w:t xml:space="preserve">The Sages left their mark on Shavuot by prescribing the reading of not only the Sinai account but also Ruth, a story that </w:t>
      </w:r>
      <w:proofErr w:type="spellStart"/>
      <w:r w:rsidRPr="001D3EDF">
        <w:rPr>
          <w:rFonts w:ascii="Times New Roman" w:eastAsia="Times New Roman" w:hAnsi="Times New Roman" w:cs="Times New Roman"/>
          <w:b w:val="0"/>
          <w:bCs w:val="0"/>
          <w:color w:val="000000"/>
          <w:sz w:val="17"/>
          <w:szCs w:val="17"/>
          <w:u w:val="none"/>
        </w:rPr>
        <w:t>extolls</w:t>
      </w:r>
      <w:proofErr w:type="spellEnd"/>
      <w:r w:rsidRPr="001D3EDF">
        <w:rPr>
          <w:rFonts w:ascii="Times New Roman" w:eastAsia="Times New Roman" w:hAnsi="Times New Roman" w:cs="Times New Roman"/>
          <w:b w:val="0"/>
          <w:bCs w:val="0"/>
          <w:color w:val="000000"/>
          <w:sz w:val="17"/>
          <w:szCs w:val="17"/>
          <w:u w:val="none"/>
        </w:rPr>
        <w:t xml:space="preserve"> the virtues of a Moabite woman and rewards her actions by making her nothing less than King David’s great-grandmother. The combination of these readings is incongruous, and probably intentionally so. The Torah, to which we renew our commitment on Shavuot, says about Moabites:</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3"/>
          <w:szCs w:val="13"/>
          <w:u w:val="none"/>
          <w:vertAlign w:val="superscript"/>
          <w:rtl/>
          <w:lang w:bidi="he-IL"/>
        </w:rPr>
        <w:t xml:space="preserve">דברים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:ד</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לֹא יָבֹא עַמּוֹנִי וּמוֹאָבִי בִּקְהַל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גַּם דּוֹר עֲשִׂירִי לֹא יָבֹא לָהֶם בִּקְהַל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עַד עוֹלָם.</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r w:rsidRPr="001D3EDF">
        <w:rPr>
          <w:rFonts w:ascii="Times New Roman" w:eastAsia="Times New Roman" w:hAnsi="Times New Roman" w:cs="Times New Roman"/>
          <w:b w:val="0"/>
          <w:bCs w:val="0"/>
          <w:color w:val="000000"/>
          <w:sz w:val="11"/>
          <w:szCs w:val="11"/>
          <w:u w:val="none"/>
          <w:vertAlign w:val="superscript"/>
        </w:rPr>
        <w:t>Deut 23:4</w:t>
      </w:r>
      <w:r w:rsidRPr="001D3EDF">
        <w:rPr>
          <w:rFonts w:ascii="Times New Roman" w:eastAsia="Times New Roman" w:hAnsi="Times New Roman" w:cs="Times New Roman"/>
          <w:b w:val="0"/>
          <w:bCs w:val="0"/>
          <w:color w:val="000000"/>
          <w:sz w:val="15"/>
          <w:szCs w:val="15"/>
          <w:u w:val="none"/>
        </w:rPr>
        <w:t> No Ammonite or Moabite shall be admitted to the assembly of YHWH. Even to the tenth generation, none of their descendants shall be admitted to the assembly of YHWH</w:t>
      </w:r>
      <w:proofErr w:type="gramStart"/>
      <w:r w:rsidRPr="001D3EDF">
        <w:rPr>
          <w:rFonts w:ascii="Times New Roman" w:eastAsia="Times New Roman" w:hAnsi="Times New Roman" w:cs="Times New Roman"/>
          <w:b w:val="0"/>
          <w:bCs w:val="0"/>
          <w:color w:val="000000"/>
          <w:sz w:val="15"/>
          <w:szCs w:val="15"/>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4]</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The text is straightforward: </w:t>
      </w:r>
      <w:r w:rsidRPr="001D3EDF">
        <w:rPr>
          <w:rFonts w:ascii="Times New Roman" w:eastAsia="Times New Roman" w:hAnsi="Times New Roman" w:cs="Times New Roman"/>
          <w:b w:val="0"/>
          <w:bCs w:val="0"/>
          <w:i/>
          <w:iCs/>
          <w:color w:val="000000"/>
          <w:sz w:val="17"/>
          <w:u w:val="none"/>
        </w:rPr>
        <w:t>No Ammonites or Moabites Allowed.</w:t>
      </w:r>
      <w:r w:rsidRPr="001D3EDF">
        <w:rPr>
          <w:rFonts w:ascii="Times New Roman" w:eastAsia="Times New Roman" w:hAnsi="Times New Roman" w:cs="Times New Roman"/>
          <w:b w:val="0"/>
          <w:bCs w:val="0"/>
          <w:color w:val="000000"/>
          <w:sz w:val="17"/>
          <w:szCs w:val="17"/>
          <w:u w:val="none"/>
        </w:rPr>
        <w:t xml:space="preserve"> So why </w:t>
      </w:r>
      <w:proofErr w:type="gramStart"/>
      <w:r w:rsidRPr="001D3EDF">
        <w:rPr>
          <w:rFonts w:ascii="Times New Roman" w:eastAsia="Times New Roman" w:hAnsi="Times New Roman" w:cs="Times New Roman"/>
          <w:b w:val="0"/>
          <w:bCs w:val="0"/>
          <w:color w:val="000000"/>
          <w:sz w:val="17"/>
          <w:szCs w:val="17"/>
          <w:u w:val="none"/>
        </w:rPr>
        <w:t>would the rabbis</w:t>
      </w:r>
      <w:proofErr w:type="gramEnd"/>
      <w:r w:rsidRPr="001D3EDF">
        <w:rPr>
          <w:rFonts w:ascii="Times New Roman" w:eastAsia="Times New Roman" w:hAnsi="Times New Roman" w:cs="Times New Roman"/>
          <w:b w:val="0"/>
          <w:bCs w:val="0"/>
          <w:color w:val="000000"/>
          <w:sz w:val="17"/>
          <w:szCs w:val="17"/>
          <w:u w:val="none"/>
        </w:rPr>
        <w:t xml:space="preserve"> have wanted their communities to read an account that undermines an explicit dictum of the Torah on a festival dedicated to the revelation of the Torah?</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Several explanations have been offered for the reading of Ruth on Shavuot, including that David was born and died on this holiday.</w:t>
      </w:r>
      <w:r w:rsidRPr="001D3EDF">
        <w:rPr>
          <w:rFonts w:ascii="Times New Roman" w:eastAsia="Times New Roman" w:hAnsi="Times New Roman" w:cs="Times New Roman"/>
          <w:b w:val="0"/>
          <w:bCs w:val="0"/>
          <w:color w:val="B22222"/>
          <w:sz w:val="15"/>
          <w:szCs w:val="15"/>
          <w:u w:val="none"/>
          <w:vertAlign w:val="superscript"/>
        </w:rPr>
        <w:t>[5]</w:t>
      </w:r>
      <w:r w:rsidRPr="001D3EDF">
        <w:rPr>
          <w:rFonts w:ascii="Times New Roman" w:eastAsia="Times New Roman" w:hAnsi="Times New Roman" w:cs="Times New Roman"/>
          <w:b w:val="0"/>
          <w:bCs w:val="0"/>
          <w:color w:val="000000"/>
          <w:sz w:val="17"/>
          <w:szCs w:val="17"/>
          <w:u w:val="none"/>
        </w:rPr>
        <w:t> But we suggest that the most likely reason has to do with the distinctive rabbinic approach to legal discourse: For every seemingly unequivocal injunction, there is an alternative position and perspective (</w:t>
      </w:r>
      <w:proofErr w:type="spellStart"/>
      <w:r w:rsidRPr="001D3EDF">
        <w:rPr>
          <w:rFonts w:ascii="Times New Roman" w:eastAsia="Times New Roman" w:hAnsi="Times New Roman" w:cs="Times New Roman"/>
          <w:b w:val="0"/>
          <w:bCs w:val="0"/>
          <w:i/>
          <w:iCs/>
          <w:color w:val="000000"/>
          <w:sz w:val="17"/>
          <w:u w:val="none"/>
        </w:rPr>
        <w:t>davar</w:t>
      </w:r>
      <w:proofErr w:type="spellEnd"/>
      <w:r w:rsidRPr="001D3EDF">
        <w:rPr>
          <w:rFonts w:ascii="Times New Roman" w:eastAsia="Times New Roman" w:hAnsi="Times New Roman" w:cs="Times New Roman"/>
          <w:b w:val="0"/>
          <w:bCs w:val="0"/>
          <w:i/>
          <w:iCs/>
          <w:color w:val="000000"/>
          <w:sz w:val="17"/>
          <w:u w:val="none"/>
        </w:rPr>
        <w:t xml:space="preserve"> </w:t>
      </w:r>
      <w:proofErr w:type="spellStart"/>
      <w:r w:rsidRPr="001D3EDF">
        <w:rPr>
          <w:rFonts w:ascii="Times New Roman" w:eastAsia="Times New Roman" w:hAnsi="Times New Roman" w:cs="Times New Roman"/>
          <w:b w:val="0"/>
          <w:bCs w:val="0"/>
          <w:i/>
          <w:iCs/>
          <w:color w:val="000000"/>
          <w:sz w:val="17"/>
          <w:u w:val="none"/>
        </w:rPr>
        <w:t>acher</w:t>
      </w:r>
      <w:proofErr w:type="spellEnd"/>
      <w:r w:rsidRPr="001D3EDF">
        <w:rPr>
          <w:rFonts w:ascii="Times New Roman" w:eastAsia="Times New Roman" w:hAnsi="Times New Roman" w:cs="Times New Roman"/>
          <w:b w:val="0"/>
          <w:bCs w:val="0"/>
          <w:color w:val="000000"/>
          <w:sz w:val="17"/>
          <w:szCs w:val="17"/>
          <w:u w:val="none"/>
        </w:rPr>
        <w:t>) to consider. The point is that nothing—even when it’s explicit as the Torah law cited above—is off limits to questioning</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6]</w:t>
      </w:r>
    </w:p>
    <w:p w:rsidR="001D3EDF" w:rsidRPr="001D3EDF" w:rsidRDefault="001D3EDF" w:rsidP="001D3EDF">
      <w:pPr>
        <w:spacing w:before="200" w:after="100" w:line="300" w:lineRule="atLeast"/>
        <w:outlineLvl w:val="2"/>
        <w:rPr>
          <w:rFonts w:ascii="Times New Roman" w:eastAsia="Times New Roman" w:hAnsi="Times New Roman" w:cs="Times New Roman"/>
          <w:b w:val="0"/>
          <w:bCs w:val="0"/>
          <w:color w:val="000000"/>
          <w:sz w:val="21"/>
          <w:szCs w:val="21"/>
          <w:u w:val="none"/>
        </w:rPr>
      </w:pPr>
      <w:r w:rsidRPr="001D3EDF">
        <w:rPr>
          <w:rFonts w:ascii="Times New Roman" w:eastAsia="Times New Roman" w:hAnsi="Times New Roman" w:cs="Times New Roman"/>
          <w:b w:val="0"/>
          <w:bCs w:val="0"/>
          <w:color w:val="000000"/>
          <w:sz w:val="21"/>
          <w:szCs w:val="21"/>
          <w:u w:val="none"/>
        </w:rPr>
        <w:t>Moabite Males, not Females</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The rabbis were uneasy with this tension and sought to reconcile it by claiming that the injunction applies only to Moabite </w:t>
      </w:r>
      <w:r w:rsidRPr="001D3EDF">
        <w:rPr>
          <w:rFonts w:ascii="Times New Roman" w:eastAsia="Times New Roman" w:hAnsi="Times New Roman" w:cs="Times New Roman"/>
          <w:b w:val="0"/>
          <w:bCs w:val="0"/>
          <w:i/>
          <w:iCs/>
          <w:color w:val="000000"/>
          <w:sz w:val="17"/>
          <w:u w:val="none"/>
        </w:rPr>
        <w:t>males</w:t>
      </w:r>
      <w:r w:rsidRPr="001D3EDF">
        <w:rPr>
          <w:rFonts w:ascii="Times New Roman" w:eastAsia="Times New Roman" w:hAnsi="Times New Roman" w:cs="Times New Roman"/>
          <w:b w:val="0"/>
          <w:bCs w:val="0"/>
          <w:color w:val="000000"/>
          <w:sz w:val="17"/>
          <w:szCs w:val="17"/>
          <w:u w:val="none"/>
        </w:rPr>
        <w:t>, so that marriage to a Moabite </w:t>
      </w:r>
      <w:r w:rsidRPr="001D3EDF">
        <w:rPr>
          <w:rFonts w:ascii="Times New Roman" w:eastAsia="Times New Roman" w:hAnsi="Times New Roman" w:cs="Times New Roman"/>
          <w:b w:val="0"/>
          <w:bCs w:val="0"/>
          <w:i/>
          <w:iCs/>
          <w:color w:val="000000"/>
          <w:sz w:val="17"/>
          <w:u w:val="none"/>
        </w:rPr>
        <w:t>woman</w:t>
      </w:r>
      <w:r w:rsidRPr="001D3EDF">
        <w:rPr>
          <w:rFonts w:ascii="Times New Roman" w:eastAsia="Times New Roman" w:hAnsi="Times New Roman" w:cs="Times New Roman"/>
          <w:b w:val="0"/>
          <w:bCs w:val="0"/>
          <w:color w:val="000000"/>
          <w:sz w:val="17"/>
          <w:szCs w:val="17"/>
          <w:u w:val="none"/>
        </w:rPr>
        <w:t xml:space="preserve"> like Ruth was not prohibited. This interpretation was canonized in </w:t>
      </w:r>
      <w:proofErr w:type="spellStart"/>
      <w:r w:rsidRPr="001D3EDF">
        <w:rPr>
          <w:rFonts w:ascii="Times New Roman" w:eastAsia="Times New Roman" w:hAnsi="Times New Roman" w:cs="Times New Roman"/>
          <w:b w:val="0"/>
          <w:bCs w:val="0"/>
          <w:color w:val="000000"/>
          <w:sz w:val="17"/>
          <w:szCs w:val="17"/>
          <w:u w:val="none"/>
        </w:rPr>
        <w:t>Mishna</w:t>
      </w:r>
      <w:proofErr w:type="spellEnd"/>
      <w:r w:rsidRPr="001D3EDF">
        <w:rPr>
          <w:rFonts w:ascii="Times New Roman" w:eastAsia="Times New Roman" w:hAnsi="Times New Roman" w:cs="Times New Roman"/>
          <w:b w:val="0"/>
          <w:bCs w:val="0"/>
          <w:color w:val="000000"/>
          <w:sz w:val="17"/>
          <w:szCs w:val="17"/>
          <w:u w:val="none"/>
        </w:rPr>
        <w:t> </w:t>
      </w:r>
      <w:proofErr w:type="spellStart"/>
      <w:r w:rsidRPr="001D3EDF">
        <w:rPr>
          <w:rFonts w:ascii="Times New Roman" w:eastAsia="Times New Roman" w:hAnsi="Times New Roman" w:cs="Times New Roman"/>
          <w:b w:val="0"/>
          <w:bCs w:val="0"/>
          <w:i/>
          <w:iCs/>
          <w:color w:val="000000"/>
          <w:sz w:val="17"/>
          <w:u w:val="none"/>
        </w:rPr>
        <w:t>Yebamot</w:t>
      </w:r>
      <w:proofErr w:type="spellEnd"/>
      <w:r w:rsidRPr="001D3EDF">
        <w:rPr>
          <w:rFonts w:ascii="Times New Roman" w:eastAsia="Times New Roman" w:hAnsi="Times New Roman" w:cs="Times New Roman"/>
          <w:b w:val="0"/>
          <w:bCs w:val="0"/>
          <w:color w:val="000000"/>
          <w:sz w:val="17"/>
          <w:szCs w:val="17"/>
          <w:u w:val="none"/>
        </w:rPr>
        <w:t> (8:3):</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tl/>
          <w:lang w:bidi="he-IL"/>
        </w:rPr>
        <w:t>עמוני ומואבי אסורים ואיסורן איסור עולם אבל נקבותיהם מותרות מיד</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r w:rsidRPr="001D3EDF">
        <w:rPr>
          <w:rFonts w:ascii="Times New Roman" w:eastAsia="Times New Roman" w:hAnsi="Times New Roman" w:cs="Times New Roman"/>
          <w:b w:val="0"/>
          <w:bCs w:val="0"/>
          <w:color w:val="000000"/>
          <w:sz w:val="15"/>
          <w:szCs w:val="15"/>
          <w:u w:val="none"/>
        </w:rPr>
        <w:t>Ammonites and Moabites are forbidden [to marry an Israelite], and this prohibition is eternal (i.e., falls upon the descendants.) But their women are permitted immediately.</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Yet biblical evidence reveals that already during the Persian period groups read the law as proscribing unions with Moabite women: The post-exilic book of Ezra-Nehemiah virtually quotes the law from Deuteronomy, concluding that Ammonite and Moabite women are ineligible for marriage to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xml:space="preserve"> men.</w:t>
      </w:r>
    </w:p>
    <w:p w:rsidR="001D3EDF" w:rsidRPr="001D3EDF" w:rsidRDefault="001D3EDF" w:rsidP="001D3EDF">
      <w:pPr>
        <w:numPr>
          <w:ilvl w:val="0"/>
          <w:numId w:val="1"/>
        </w:numPr>
        <w:spacing w:before="100" w:beforeAutospacing="1" w:after="70"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Nehemiah</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lang w:bidi="he-IL"/>
        </w:rPr>
      </w:pPr>
      <w:r w:rsidRPr="001D3EDF">
        <w:rPr>
          <w:rFonts w:ascii="Times New Roman" w:eastAsia="Times New Roman" w:hAnsi="Times New Roman" w:cs="Times New Roman" w:hint="cs"/>
          <w:b w:val="0"/>
          <w:bCs w:val="0"/>
          <w:color w:val="000000"/>
          <w:sz w:val="13"/>
          <w:szCs w:val="13"/>
          <w:u w:val="none"/>
          <w:vertAlign w:val="superscript"/>
          <w:rtl/>
          <w:lang w:bidi="he-IL"/>
        </w:rPr>
        <w:t xml:space="preserve">נחמיה </w:t>
      </w:r>
      <w:proofErr w:type="spellStart"/>
      <w:r w:rsidRPr="001D3EDF">
        <w:rPr>
          <w:rFonts w:ascii="Times New Roman" w:eastAsia="Times New Roman" w:hAnsi="Times New Roman" w:cs="Times New Roman" w:hint="cs"/>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hint="cs"/>
          <w:b w:val="0"/>
          <w:bCs w:val="0"/>
          <w:color w:val="000000"/>
          <w:sz w:val="13"/>
          <w:szCs w:val="13"/>
          <w:u w:val="none"/>
          <w:vertAlign w:val="superscript"/>
          <w:rtl/>
          <w:lang w:bidi="he-IL"/>
        </w:rPr>
        <w:t>:א</w:t>
      </w:r>
      <w:r w:rsidRPr="001D3EDF">
        <w:rPr>
          <w:rFonts w:ascii="Times New Roman" w:eastAsia="Times New Roman" w:hAnsi="Times New Roman" w:cs="Times New Roman" w:hint="cs"/>
          <w:b w:val="0"/>
          <w:bCs w:val="0"/>
          <w:color w:val="000000"/>
          <w:sz w:val="17"/>
          <w:szCs w:val="17"/>
          <w:u w:val="none"/>
          <w:rtl/>
          <w:lang w:bidi="he-IL"/>
        </w:rPr>
        <w:t xml:space="preserve"> בַּיּ֣וֹם הַה֗וּא נִקְרָ֛א בְּסֵ֥פֶר מֹשֶׁ֖ה בְּאָזְנֵ֣י הָעָ֑ם וְנִמְצָא֙ כָּת֣וּב בּ֔וֹ אֲ֠שֶׁר לֹא־יָב֨וֹא </w:t>
      </w:r>
      <w:proofErr w:type="spellStart"/>
      <w:r w:rsidRPr="001D3EDF">
        <w:rPr>
          <w:rFonts w:ascii="Times New Roman" w:eastAsia="Times New Roman" w:hAnsi="Times New Roman" w:cs="Times New Roman" w:hint="cs"/>
          <w:b w:val="0"/>
          <w:bCs w:val="0"/>
          <w:color w:val="000000"/>
          <w:sz w:val="17"/>
          <w:szCs w:val="17"/>
          <w:u w:val="none"/>
          <w:rtl/>
          <w:lang w:bidi="he-IL"/>
        </w:rPr>
        <w:t>עַמֹּנִ֧י</w:t>
      </w:r>
      <w:proofErr w:type="spellEnd"/>
      <w:r w:rsidRPr="001D3EDF">
        <w:rPr>
          <w:rFonts w:ascii="Times New Roman" w:eastAsia="Times New Roman" w:hAnsi="Times New Roman" w:cs="Times New Roman" w:hint="cs"/>
          <w:b w:val="0"/>
          <w:bCs w:val="0"/>
          <w:color w:val="000000"/>
          <w:sz w:val="17"/>
          <w:szCs w:val="17"/>
          <w:u w:val="none"/>
          <w:rtl/>
          <w:lang w:bidi="he-IL"/>
        </w:rPr>
        <w:t xml:space="preserve"> וּמֹאָבִ֛י בִּקְהַ֥ל </w:t>
      </w:r>
      <w:proofErr w:type="spellStart"/>
      <w:r w:rsidRPr="001D3EDF">
        <w:rPr>
          <w:rFonts w:ascii="Times New Roman" w:eastAsia="Times New Roman" w:hAnsi="Times New Roman" w:cs="Times New Roman" w:hint="cs"/>
          <w:b w:val="0"/>
          <w:bCs w:val="0"/>
          <w:color w:val="000000"/>
          <w:sz w:val="17"/>
          <w:szCs w:val="17"/>
          <w:u w:val="none"/>
          <w:rtl/>
          <w:lang w:bidi="he-IL"/>
        </w:rPr>
        <w:t>הָאֱלֹהִ֖ים</w:t>
      </w:r>
      <w:proofErr w:type="spellEnd"/>
      <w:r w:rsidRPr="001D3EDF">
        <w:rPr>
          <w:rFonts w:ascii="Times New Roman" w:eastAsia="Times New Roman" w:hAnsi="Times New Roman" w:cs="Times New Roman" w:hint="cs"/>
          <w:b w:val="0"/>
          <w:bCs w:val="0"/>
          <w:color w:val="000000"/>
          <w:sz w:val="17"/>
          <w:szCs w:val="17"/>
          <w:u w:val="none"/>
          <w:rtl/>
          <w:lang w:bidi="he-IL"/>
        </w:rPr>
        <w:t xml:space="preserve"> עַד־עוֹלָֽם: </w:t>
      </w:r>
      <w:proofErr w:type="spellStart"/>
      <w:r w:rsidRPr="001D3EDF">
        <w:rPr>
          <w:rFonts w:ascii="Times New Roman" w:eastAsia="Times New Roman" w:hAnsi="Times New Roman" w:cs="Times New Roman" w:hint="cs"/>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hint="cs"/>
          <w:b w:val="0"/>
          <w:bCs w:val="0"/>
          <w:color w:val="000000"/>
          <w:sz w:val="13"/>
          <w:szCs w:val="13"/>
          <w:u w:val="none"/>
          <w:vertAlign w:val="superscript"/>
          <w:rtl/>
          <w:lang w:bidi="he-IL"/>
        </w:rPr>
        <w:t>:ב</w:t>
      </w:r>
      <w:r w:rsidRPr="001D3EDF">
        <w:rPr>
          <w:rFonts w:ascii="Times New Roman" w:eastAsia="Times New Roman" w:hAnsi="Times New Roman" w:cs="Times New Roman" w:hint="cs"/>
          <w:b w:val="0"/>
          <w:bCs w:val="0"/>
          <w:color w:val="000000"/>
          <w:sz w:val="17"/>
          <w:szCs w:val="17"/>
          <w:u w:val="none"/>
          <w:rtl/>
          <w:lang w:bidi="he-IL"/>
        </w:rPr>
        <w:t xml:space="preserve"> כִּ֣י לֹ֧א קִדְּמ֛וּ אֶת־בְּנֵ֥י יִשְׂרָאֵ֖ל בַּלֶּ֣חֶם וּבַמָּ֑יִם וַיִּשְׂכֹּ֨ר עָלָ֤יו אֶת־בִּלְעָם֙ לְקַֽלְל֔וֹ וַיַּהֲפֹ֧ךְ </w:t>
      </w:r>
      <w:proofErr w:type="spellStart"/>
      <w:r w:rsidRPr="001D3EDF">
        <w:rPr>
          <w:rFonts w:ascii="Times New Roman" w:eastAsia="Times New Roman" w:hAnsi="Times New Roman" w:cs="Times New Roman" w:hint="cs"/>
          <w:b w:val="0"/>
          <w:bCs w:val="0"/>
          <w:color w:val="000000"/>
          <w:sz w:val="17"/>
          <w:szCs w:val="17"/>
          <w:u w:val="none"/>
          <w:rtl/>
          <w:lang w:bidi="he-IL"/>
        </w:rPr>
        <w:t>אֱלֹהֵ֛ינוּ</w:t>
      </w:r>
      <w:proofErr w:type="spellEnd"/>
      <w:r w:rsidRPr="001D3EDF">
        <w:rPr>
          <w:rFonts w:ascii="Times New Roman" w:eastAsia="Times New Roman" w:hAnsi="Times New Roman" w:cs="Times New Roman" w:hint="cs"/>
          <w:b w:val="0"/>
          <w:bCs w:val="0"/>
          <w:color w:val="000000"/>
          <w:sz w:val="17"/>
          <w:szCs w:val="17"/>
          <w:u w:val="none"/>
          <w:rtl/>
          <w:lang w:bidi="he-IL"/>
        </w:rPr>
        <w:t xml:space="preserve"> הַקְּלָלָ֖ה לִבְרָכָֽה: </w:t>
      </w:r>
      <w:proofErr w:type="spellStart"/>
      <w:r w:rsidRPr="001D3EDF">
        <w:rPr>
          <w:rFonts w:ascii="Times New Roman" w:eastAsia="Times New Roman" w:hAnsi="Times New Roman" w:cs="Times New Roman" w:hint="cs"/>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hint="cs"/>
          <w:b w:val="0"/>
          <w:bCs w:val="0"/>
          <w:color w:val="000000"/>
          <w:sz w:val="13"/>
          <w:szCs w:val="13"/>
          <w:u w:val="none"/>
          <w:vertAlign w:val="superscript"/>
          <w:rtl/>
          <w:lang w:bidi="he-IL"/>
        </w:rPr>
        <w:t>:ג</w:t>
      </w:r>
      <w:r w:rsidRPr="001D3EDF">
        <w:rPr>
          <w:rFonts w:ascii="Times New Roman" w:eastAsia="Times New Roman" w:hAnsi="Times New Roman" w:cs="Times New Roman" w:hint="cs"/>
          <w:b w:val="0"/>
          <w:bCs w:val="0"/>
          <w:color w:val="000000"/>
          <w:sz w:val="17"/>
          <w:szCs w:val="17"/>
          <w:u w:val="none"/>
          <w:rtl/>
          <w:lang w:bidi="he-IL"/>
        </w:rPr>
        <w:t> וַיְהִ֖י כְּשָׁמְעָ֣ם אֶת־הַתּוֹרָ֑ה וַיַּבְדִּ֥ילוּ כָל־עֵ֖רֶב מִיִּשְׂרָאֵֽל:</w:t>
      </w:r>
    </w:p>
    <w:p w:rsidR="001D3EDF" w:rsidRPr="001D3EDF" w:rsidRDefault="001D3EDF" w:rsidP="001D3EDF">
      <w:pPr>
        <w:spacing w:after="0" w:line="280" w:lineRule="atLeast"/>
        <w:rPr>
          <w:rFonts w:ascii="Times New Roman" w:eastAsia="Times New Roman" w:hAnsi="Times New Roman" w:cs="Times New Roman" w:hint="cs"/>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1D3EDF">
        <w:rPr>
          <w:rFonts w:ascii="Times New Roman" w:eastAsia="Times New Roman" w:hAnsi="Times New Roman" w:cs="Times New Roman"/>
          <w:b w:val="0"/>
          <w:bCs w:val="0"/>
          <w:color w:val="000000"/>
          <w:sz w:val="11"/>
          <w:szCs w:val="11"/>
          <w:u w:val="none"/>
          <w:vertAlign w:val="superscript"/>
        </w:rPr>
        <w:t>Neh</w:t>
      </w:r>
      <w:proofErr w:type="spellEnd"/>
      <w:r w:rsidRPr="001D3EDF">
        <w:rPr>
          <w:rFonts w:ascii="Times New Roman" w:eastAsia="Times New Roman" w:hAnsi="Times New Roman" w:cs="Times New Roman"/>
          <w:b w:val="0"/>
          <w:bCs w:val="0"/>
          <w:color w:val="000000"/>
          <w:sz w:val="11"/>
          <w:szCs w:val="11"/>
          <w:u w:val="none"/>
          <w:vertAlign w:val="superscript"/>
        </w:rPr>
        <w:t xml:space="preserve"> 13:1</w:t>
      </w:r>
      <w:r w:rsidRPr="001D3EDF">
        <w:rPr>
          <w:rFonts w:ascii="Times New Roman" w:eastAsia="Times New Roman" w:hAnsi="Times New Roman" w:cs="Times New Roman"/>
          <w:b w:val="0"/>
          <w:bCs w:val="0"/>
          <w:color w:val="000000"/>
          <w:sz w:val="15"/>
          <w:szCs w:val="15"/>
          <w:u w:val="none"/>
        </w:rPr>
        <w:t> On that day they read from the book of Moses in the hearing of the people; and in it was found written that no Ammonite or Moabite should ever enter the assembly of God, </w:t>
      </w:r>
      <w:r w:rsidRPr="001D3EDF">
        <w:rPr>
          <w:rFonts w:ascii="Times New Roman" w:eastAsia="Times New Roman" w:hAnsi="Times New Roman" w:cs="Times New Roman"/>
          <w:b w:val="0"/>
          <w:bCs w:val="0"/>
          <w:color w:val="000000"/>
          <w:sz w:val="11"/>
          <w:szCs w:val="11"/>
          <w:u w:val="none"/>
          <w:vertAlign w:val="superscript"/>
        </w:rPr>
        <w:t>13:2</w:t>
      </w:r>
      <w:r w:rsidRPr="001D3EDF">
        <w:rPr>
          <w:rFonts w:ascii="Times New Roman" w:eastAsia="Times New Roman" w:hAnsi="Times New Roman" w:cs="Times New Roman"/>
          <w:b w:val="0"/>
          <w:bCs w:val="0"/>
          <w:color w:val="000000"/>
          <w:sz w:val="15"/>
          <w:szCs w:val="15"/>
          <w:u w:val="none"/>
        </w:rPr>
        <w:t> because they did not meet the Israelites with bread and water, but hired Balaam against them to curse them– yet our God turned the curse into a blessing. </w:t>
      </w:r>
      <w:r w:rsidRPr="001D3EDF">
        <w:rPr>
          <w:rFonts w:ascii="Times New Roman" w:eastAsia="Times New Roman" w:hAnsi="Times New Roman" w:cs="Times New Roman"/>
          <w:b w:val="0"/>
          <w:bCs w:val="0"/>
          <w:color w:val="000000"/>
          <w:sz w:val="11"/>
          <w:szCs w:val="11"/>
          <w:u w:val="none"/>
          <w:vertAlign w:val="superscript"/>
        </w:rPr>
        <w:t>13:3</w:t>
      </w:r>
      <w:r w:rsidRPr="001D3EDF">
        <w:rPr>
          <w:rFonts w:ascii="Times New Roman" w:eastAsia="Times New Roman" w:hAnsi="Times New Roman" w:cs="Times New Roman"/>
          <w:b w:val="0"/>
          <w:bCs w:val="0"/>
          <w:color w:val="000000"/>
          <w:sz w:val="15"/>
          <w:szCs w:val="15"/>
          <w:u w:val="none"/>
        </w:rPr>
        <w:t> </w:t>
      </w:r>
      <w:proofErr w:type="gramStart"/>
      <w:r w:rsidRPr="001D3EDF">
        <w:rPr>
          <w:rFonts w:ascii="Times New Roman" w:eastAsia="Times New Roman" w:hAnsi="Times New Roman" w:cs="Times New Roman"/>
          <w:b w:val="0"/>
          <w:bCs w:val="0"/>
          <w:color w:val="000000"/>
          <w:sz w:val="15"/>
          <w:szCs w:val="15"/>
          <w:u w:val="none"/>
        </w:rPr>
        <w:t>When</w:t>
      </w:r>
      <w:proofErr w:type="gramEnd"/>
      <w:r w:rsidRPr="001D3EDF">
        <w:rPr>
          <w:rFonts w:ascii="Times New Roman" w:eastAsia="Times New Roman" w:hAnsi="Times New Roman" w:cs="Times New Roman"/>
          <w:b w:val="0"/>
          <w:bCs w:val="0"/>
          <w:color w:val="000000"/>
          <w:sz w:val="15"/>
          <w:szCs w:val="15"/>
          <w:u w:val="none"/>
        </w:rPr>
        <w:t xml:space="preserve"> the people heard the law, they separated from Israel all those of foreign descent.</w:t>
      </w:r>
    </w:p>
    <w:p w:rsidR="001D3EDF" w:rsidRPr="001D3EDF" w:rsidRDefault="001D3EDF" w:rsidP="001D3EDF">
      <w:pPr>
        <w:numPr>
          <w:ilvl w:val="0"/>
          <w:numId w:val="2"/>
        </w:numPr>
        <w:spacing w:before="100" w:beforeAutospacing="1" w:after="70"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Deuteronomy</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3"/>
          <w:szCs w:val="13"/>
          <w:u w:val="none"/>
          <w:vertAlign w:val="superscript"/>
          <w:rtl/>
          <w:lang w:bidi="he-IL"/>
        </w:rPr>
        <w:lastRenderedPageBreak/>
        <w:t xml:space="preserve">דברים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:ד</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לֹֽא־יָבֹ֧א עַמּוֹנִ֛י וּמוֹאָבִ֖י בִּקְהַ֣ל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גַּ֚ם דּ֣וֹר עֲשִׂירִ֔י לֹא־יָבֹ֥א לָהֶ֛ם בִּקְהַ֥ל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עַד־עוֹלָֽם:</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:ה</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 xml:space="preserve">עַל־דְּבַ֞ר אֲשֶׁ֨ר לֹא־קִדְּמ֤וּ אֶתְכֶם֙ בַּלֶּ֣חֶם וּבַמַּ֔יִם בַּדֶּ֖רֶךְ בְּצֵאתְכֶ֣ם מִמִּצְרָ֑יִם וַאֲשֶׁר֩ שָׂכַ֨ר עָלֶ֜יךָ אֶת־בִּלְעָ֣ם בֶּן־בְּע֗וֹר מִפְּת֛וֹר אֲרַ֥ם </w:t>
      </w:r>
      <w:proofErr w:type="spellStart"/>
      <w:r w:rsidRPr="001D3EDF">
        <w:rPr>
          <w:rFonts w:ascii="Times New Roman" w:eastAsia="Times New Roman" w:hAnsi="Times New Roman" w:cs="Times New Roman"/>
          <w:b w:val="0"/>
          <w:bCs w:val="0"/>
          <w:color w:val="000000"/>
          <w:sz w:val="17"/>
          <w:szCs w:val="17"/>
          <w:u w:val="none"/>
          <w:rtl/>
          <w:lang w:bidi="he-IL"/>
        </w:rPr>
        <w:t>נַהֲרַ֖יִם</w:t>
      </w:r>
      <w:proofErr w:type="spellEnd"/>
      <w:r w:rsidRPr="001D3EDF">
        <w:rPr>
          <w:rFonts w:ascii="Times New Roman" w:eastAsia="Times New Roman" w:hAnsi="Times New Roman" w:cs="Times New Roman"/>
          <w:b w:val="0"/>
          <w:bCs w:val="0"/>
          <w:color w:val="000000"/>
          <w:sz w:val="17"/>
          <w:szCs w:val="17"/>
          <w:u w:val="none"/>
          <w:rtl/>
          <w:lang w:bidi="he-IL"/>
        </w:rPr>
        <w:t xml:space="preserve"> לְקַֽלְלֶֽךָּ:</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:ו</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וְלֹֽא־אָבָ֞ה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אֱלֹהֶ֙יךָ֙</w:t>
      </w:r>
      <w:proofErr w:type="spellEnd"/>
      <w:r w:rsidRPr="001D3EDF">
        <w:rPr>
          <w:rFonts w:ascii="Times New Roman" w:eastAsia="Times New Roman" w:hAnsi="Times New Roman" w:cs="Times New Roman"/>
          <w:b w:val="0"/>
          <w:bCs w:val="0"/>
          <w:color w:val="000000"/>
          <w:sz w:val="17"/>
          <w:szCs w:val="17"/>
          <w:u w:val="none"/>
          <w:rtl/>
          <w:lang w:bidi="he-IL"/>
        </w:rPr>
        <w:t xml:space="preserve"> לִשְׁמֹ֣עַ אֶל־בִּלְעָ֔ם וַיַּהֲפֹךְ֩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אֱלֹהֶ֧יךָ</w:t>
      </w:r>
      <w:proofErr w:type="spellEnd"/>
      <w:r w:rsidRPr="001D3EDF">
        <w:rPr>
          <w:rFonts w:ascii="Times New Roman" w:eastAsia="Times New Roman" w:hAnsi="Times New Roman" w:cs="Times New Roman"/>
          <w:b w:val="0"/>
          <w:bCs w:val="0"/>
          <w:color w:val="000000"/>
          <w:sz w:val="17"/>
          <w:szCs w:val="17"/>
          <w:u w:val="none"/>
          <w:rtl/>
          <w:lang w:bidi="he-IL"/>
        </w:rPr>
        <w:t xml:space="preserve"> לְּךָ֛ אֶת־הַקְּלָלָ֖ה לִבְרָכָ֑ה כִּ֥י אֲהֵֽבְךָ֖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אֱלֹהֶֽיךָ</w:t>
      </w:r>
      <w:proofErr w:type="spellEnd"/>
      <w:r w:rsidRPr="001D3EDF">
        <w:rPr>
          <w:rFonts w:ascii="Times New Roman" w:eastAsia="Times New Roman" w:hAnsi="Times New Roman" w:cs="Times New Roman"/>
          <w:b w:val="0"/>
          <w:bCs w:val="0"/>
          <w:color w:val="000000"/>
          <w:sz w:val="17"/>
          <w:szCs w:val="17"/>
          <w:u w:val="none"/>
          <w:rtl/>
          <w:lang w:bidi="he-IL"/>
        </w:rPr>
        <w:t>:</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:ז</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לֹא־</w:t>
      </w:r>
      <w:proofErr w:type="spellStart"/>
      <w:r w:rsidRPr="001D3EDF">
        <w:rPr>
          <w:rFonts w:ascii="Times New Roman" w:eastAsia="Times New Roman" w:hAnsi="Times New Roman" w:cs="Times New Roman"/>
          <w:b w:val="0"/>
          <w:bCs w:val="0"/>
          <w:color w:val="000000"/>
          <w:sz w:val="17"/>
          <w:szCs w:val="17"/>
          <w:u w:val="none"/>
          <w:rtl/>
          <w:lang w:bidi="he-IL"/>
        </w:rPr>
        <w:t>תִדְרֹ֥שׁ</w:t>
      </w:r>
      <w:proofErr w:type="spellEnd"/>
      <w:r w:rsidRPr="001D3EDF">
        <w:rPr>
          <w:rFonts w:ascii="Times New Roman" w:eastAsia="Times New Roman" w:hAnsi="Times New Roman" w:cs="Times New Roman"/>
          <w:b w:val="0"/>
          <w:bCs w:val="0"/>
          <w:color w:val="000000"/>
          <w:sz w:val="17"/>
          <w:szCs w:val="17"/>
          <w:u w:val="none"/>
          <w:rtl/>
          <w:lang w:bidi="he-IL"/>
        </w:rPr>
        <w:t xml:space="preserve"> שְׁלֹמָ֖ם </w:t>
      </w:r>
      <w:proofErr w:type="spellStart"/>
      <w:r w:rsidRPr="001D3EDF">
        <w:rPr>
          <w:rFonts w:ascii="Times New Roman" w:eastAsia="Times New Roman" w:hAnsi="Times New Roman" w:cs="Times New Roman"/>
          <w:b w:val="0"/>
          <w:bCs w:val="0"/>
          <w:color w:val="000000"/>
          <w:sz w:val="17"/>
          <w:szCs w:val="17"/>
          <w:u w:val="none"/>
          <w:rtl/>
          <w:lang w:bidi="he-IL"/>
        </w:rPr>
        <w:t>וְטֹבָתָ֑ם</w:t>
      </w:r>
      <w:proofErr w:type="spellEnd"/>
      <w:r w:rsidRPr="001D3EDF">
        <w:rPr>
          <w:rFonts w:ascii="Times New Roman" w:eastAsia="Times New Roman" w:hAnsi="Times New Roman" w:cs="Times New Roman"/>
          <w:b w:val="0"/>
          <w:bCs w:val="0"/>
          <w:color w:val="000000"/>
          <w:sz w:val="17"/>
          <w:szCs w:val="17"/>
          <w:u w:val="none"/>
          <w:rtl/>
          <w:lang w:bidi="he-IL"/>
        </w:rPr>
        <w:t xml:space="preserve"> כָּל־יָמֶ֖יךָ לְעוֹלָֽם:</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r w:rsidRPr="001D3EDF">
        <w:rPr>
          <w:rFonts w:ascii="Times New Roman" w:eastAsia="Times New Roman" w:hAnsi="Times New Roman" w:cs="Times New Roman"/>
          <w:b w:val="0"/>
          <w:bCs w:val="0"/>
          <w:color w:val="000000"/>
          <w:sz w:val="11"/>
          <w:szCs w:val="11"/>
          <w:u w:val="none"/>
          <w:vertAlign w:val="superscript"/>
        </w:rPr>
        <w:t>Deut 23:3</w:t>
      </w:r>
      <w:r w:rsidRPr="001D3EDF">
        <w:rPr>
          <w:rFonts w:ascii="Times New Roman" w:eastAsia="Times New Roman" w:hAnsi="Times New Roman" w:cs="Times New Roman"/>
          <w:b w:val="0"/>
          <w:bCs w:val="0"/>
          <w:color w:val="000000"/>
          <w:sz w:val="15"/>
          <w:szCs w:val="15"/>
          <w:u w:val="none"/>
        </w:rPr>
        <w:t> No Ammonite or Moabite shall be admitted to the assembly of YHWH. Even to the tenth generation, none of their descendants shall be admitted to the assembly of YHWH, </w:t>
      </w:r>
      <w:r w:rsidRPr="001D3EDF">
        <w:rPr>
          <w:rFonts w:ascii="Times New Roman" w:eastAsia="Times New Roman" w:hAnsi="Times New Roman" w:cs="Times New Roman"/>
          <w:b w:val="0"/>
          <w:bCs w:val="0"/>
          <w:color w:val="000000"/>
          <w:sz w:val="11"/>
          <w:szCs w:val="11"/>
          <w:u w:val="none"/>
          <w:vertAlign w:val="superscript"/>
        </w:rPr>
        <w:t>23:4</w:t>
      </w:r>
      <w:r w:rsidRPr="001D3EDF">
        <w:rPr>
          <w:rFonts w:ascii="Times New Roman" w:eastAsia="Times New Roman" w:hAnsi="Times New Roman" w:cs="Times New Roman"/>
          <w:b w:val="0"/>
          <w:bCs w:val="0"/>
          <w:color w:val="000000"/>
          <w:sz w:val="15"/>
          <w:szCs w:val="15"/>
          <w:u w:val="none"/>
        </w:rPr>
        <w:t xml:space="preserve"> because they did not meet you with food and water on your journey out of Egypt, and because they hired against you Balaam son of </w:t>
      </w:r>
      <w:proofErr w:type="spellStart"/>
      <w:r w:rsidRPr="001D3EDF">
        <w:rPr>
          <w:rFonts w:ascii="Times New Roman" w:eastAsia="Times New Roman" w:hAnsi="Times New Roman" w:cs="Times New Roman"/>
          <w:b w:val="0"/>
          <w:bCs w:val="0"/>
          <w:color w:val="000000"/>
          <w:sz w:val="15"/>
          <w:szCs w:val="15"/>
          <w:u w:val="none"/>
        </w:rPr>
        <w:t>Beor</w:t>
      </w:r>
      <w:proofErr w:type="spellEnd"/>
      <w:r w:rsidRPr="001D3EDF">
        <w:rPr>
          <w:rFonts w:ascii="Times New Roman" w:eastAsia="Times New Roman" w:hAnsi="Times New Roman" w:cs="Times New Roman"/>
          <w:b w:val="0"/>
          <w:bCs w:val="0"/>
          <w:color w:val="000000"/>
          <w:sz w:val="15"/>
          <w:szCs w:val="15"/>
          <w:u w:val="none"/>
        </w:rPr>
        <w:t xml:space="preserve">, from </w:t>
      </w:r>
      <w:proofErr w:type="spellStart"/>
      <w:r w:rsidRPr="001D3EDF">
        <w:rPr>
          <w:rFonts w:ascii="Times New Roman" w:eastAsia="Times New Roman" w:hAnsi="Times New Roman" w:cs="Times New Roman"/>
          <w:b w:val="0"/>
          <w:bCs w:val="0"/>
          <w:color w:val="000000"/>
          <w:sz w:val="15"/>
          <w:szCs w:val="15"/>
          <w:u w:val="none"/>
        </w:rPr>
        <w:t>Pethor</w:t>
      </w:r>
      <w:proofErr w:type="spellEnd"/>
      <w:r w:rsidRPr="001D3EDF">
        <w:rPr>
          <w:rFonts w:ascii="Times New Roman" w:eastAsia="Times New Roman" w:hAnsi="Times New Roman" w:cs="Times New Roman"/>
          <w:b w:val="0"/>
          <w:bCs w:val="0"/>
          <w:color w:val="000000"/>
          <w:sz w:val="15"/>
          <w:szCs w:val="15"/>
          <w:u w:val="none"/>
        </w:rPr>
        <w:t xml:space="preserve"> of Mesopotamia, to curse you. </w:t>
      </w:r>
      <w:r w:rsidRPr="001D3EDF">
        <w:rPr>
          <w:rFonts w:ascii="Times New Roman" w:eastAsia="Times New Roman" w:hAnsi="Times New Roman" w:cs="Times New Roman"/>
          <w:b w:val="0"/>
          <w:bCs w:val="0"/>
          <w:color w:val="000000"/>
          <w:sz w:val="11"/>
          <w:szCs w:val="11"/>
          <w:u w:val="none"/>
          <w:vertAlign w:val="superscript"/>
        </w:rPr>
        <w:t>23:5</w:t>
      </w:r>
      <w:r w:rsidRPr="001D3EDF">
        <w:rPr>
          <w:rFonts w:ascii="Times New Roman" w:eastAsia="Times New Roman" w:hAnsi="Times New Roman" w:cs="Times New Roman"/>
          <w:b w:val="0"/>
          <w:bCs w:val="0"/>
          <w:color w:val="000000"/>
          <w:sz w:val="15"/>
          <w:szCs w:val="15"/>
          <w:u w:val="none"/>
        </w:rPr>
        <w:t> (Yet YHWH your God refused to heed Balaam; YHWH your God turned the curse into a blessing for you, because YHWH your God loved you.) </w:t>
      </w:r>
      <w:r w:rsidRPr="001D3EDF">
        <w:rPr>
          <w:rFonts w:ascii="Times New Roman" w:eastAsia="Times New Roman" w:hAnsi="Times New Roman" w:cs="Times New Roman"/>
          <w:b w:val="0"/>
          <w:bCs w:val="0"/>
          <w:color w:val="000000"/>
          <w:sz w:val="11"/>
          <w:szCs w:val="11"/>
          <w:u w:val="none"/>
          <w:vertAlign w:val="superscript"/>
        </w:rPr>
        <w:t>23:6</w:t>
      </w:r>
      <w:r w:rsidRPr="001D3EDF">
        <w:rPr>
          <w:rFonts w:ascii="Times New Roman" w:eastAsia="Times New Roman" w:hAnsi="Times New Roman" w:cs="Times New Roman"/>
          <w:b w:val="0"/>
          <w:bCs w:val="0"/>
          <w:color w:val="000000"/>
          <w:sz w:val="15"/>
          <w:szCs w:val="15"/>
          <w:u w:val="none"/>
        </w:rPr>
        <w:t> </w:t>
      </w:r>
      <w:proofErr w:type="gramStart"/>
      <w:r w:rsidRPr="001D3EDF">
        <w:rPr>
          <w:rFonts w:ascii="Times New Roman" w:eastAsia="Times New Roman" w:hAnsi="Times New Roman" w:cs="Times New Roman"/>
          <w:b w:val="0"/>
          <w:bCs w:val="0"/>
          <w:color w:val="000000"/>
          <w:sz w:val="15"/>
          <w:szCs w:val="15"/>
          <w:u w:val="none"/>
        </w:rPr>
        <w:t>You</w:t>
      </w:r>
      <w:proofErr w:type="gramEnd"/>
      <w:r w:rsidRPr="001D3EDF">
        <w:rPr>
          <w:rFonts w:ascii="Times New Roman" w:eastAsia="Times New Roman" w:hAnsi="Times New Roman" w:cs="Times New Roman"/>
          <w:b w:val="0"/>
          <w:bCs w:val="0"/>
          <w:color w:val="000000"/>
          <w:sz w:val="15"/>
          <w:szCs w:val="15"/>
          <w:u w:val="none"/>
        </w:rPr>
        <w:t xml:space="preserve"> shall never promote their welfare or their prosperity as long as you live.</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The people decide that those who had married them should send them away, together with their children (Ezra 9-10), and they vow to refrain from such unions in the future (</w:t>
      </w:r>
      <w:proofErr w:type="spellStart"/>
      <w:r w:rsidRPr="001D3EDF">
        <w:rPr>
          <w:rFonts w:ascii="Times New Roman" w:eastAsia="Times New Roman" w:hAnsi="Times New Roman" w:cs="Times New Roman"/>
          <w:b w:val="0"/>
          <w:bCs w:val="0"/>
          <w:color w:val="000000"/>
          <w:sz w:val="17"/>
          <w:szCs w:val="17"/>
          <w:u w:val="none"/>
        </w:rPr>
        <w:t>Neh</w:t>
      </w:r>
      <w:proofErr w:type="spellEnd"/>
      <w:r w:rsidRPr="001D3EDF">
        <w:rPr>
          <w:rFonts w:ascii="Times New Roman" w:eastAsia="Times New Roman" w:hAnsi="Times New Roman" w:cs="Times New Roman"/>
          <w:b w:val="0"/>
          <w:bCs w:val="0"/>
          <w:color w:val="000000"/>
          <w:sz w:val="17"/>
          <w:szCs w:val="17"/>
          <w:u w:val="none"/>
        </w:rPr>
        <w:t xml:space="preserve"> 13:23-29).</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Aware of these texts, rabbinic sources tacitly acknowledge that their restriction of the law to Moabite </w:t>
      </w:r>
      <w:r w:rsidRPr="001D3EDF">
        <w:rPr>
          <w:rFonts w:ascii="Times New Roman" w:eastAsia="Times New Roman" w:hAnsi="Times New Roman" w:cs="Times New Roman"/>
          <w:b w:val="0"/>
          <w:bCs w:val="0"/>
          <w:i/>
          <w:iCs/>
          <w:color w:val="000000"/>
          <w:sz w:val="17"/>
          <w:u w:val="none"/>
        </w:rPr>
        <w:t>men</w:t>
      </w:r>
      <w:r w:rsidRPr="001D3EDF">
        <w:rPr>
          <w:rFonts w:ascii="Times New Roman" w:eastAsia="Times New Roman" w:hAnsi="Times New Roman" w:cs="Times New Roman"/>
          <w:b w:val="0"/>
          <w:bCs w:val="0"/>
          <w:color w:val="000000"/>
          <w:sz w:val="17"/>
          <w:szCs w:val="17"/>
          <w:u w:val="none"/>
        </w:rPr>
        <w:t> poses problems. They thus depict Boaz saying to Ruth:</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tl/>
          <w:lang w:bidi="he-IL"/>
        </w:rPr>
        <w:t xml:space="preserve">שאילו בא </w:t>
      </w:r>
      <w:proofErr w:type="spellStart"/>
      <w:r w:rsidRPr="001D3EDF">
        <w:rPr>
          <w:rFonts w:ascii="Times New Roman" w:eastAsia="Times New Roman" w:hAnsi="Times New Roman" w:cs="Times New Roman"/>
          <w:b w:val="0"/>
          <w:bCs w:val="0"/>
          <w:color w:val="000000"/>
          <w:sz w:val="17"/>
          <w:szCs w:val="17"/>
          <w:u w:val="none"/>
          <w:rtl/>
          <w:lang w:bidi="he-IL"/>
        </w:rPr>
        <w:t>אצלינו</w:t>
      </w:r>
      <w:proofErr w:type="spellEnd"/>
      <w:r w:rsidRPr="001D3EDF">
        <w:rPr>
          <w:rFonts w:ascii="Times New Roman" w:eastAsia="Times New Roman" w:hAnsi="Times New Roman" w:cs="Times New Roman"/>
          <w:b w:val="0"/>
          <w:bCs w:val="0"/>
          <w:color w:val="000000"/>
          <w:sz w:val="17"/>
          <w:szCs w:val="17"/>
          <w:u w:val="none"/>
          <w:rtl/>
          <w:lang w:bidi="he-IL"/>
        </w:rPr>
        <w:t xml:space="preserve"> מתמול שלשם לא היינו </w:t>
      </w:r>
      <w:proofErr w:type="spellStart"/>
      <w:r w:rsidRPr="001D3EDF">
        <w:rPr>
          <w:rFonts w:ascii="Times New Roman" w:eastAsia="Times New Roman" w:hAnsi="Times New Roman" w:cs="Times New Roman"/>
          <w:b w:val="0"/>
          <w:bCs w:val="0"/>
          <w:color w:val="000000"/>
          <w:sz w:val="17"/>
          <w:szCs w:val="17"/>
          <w:u w:val="none"/>
          <w:rtl/>
          <w:lang w:bidi="he-IL"/>
        </w:rPr>
        <w:t>מקבלין</w:t>
      </w:r>
      <w:proofErr w:type="spellEnd"/>
      <w:r w:rsidRPr="001D3EDF">
        <w:rPr>
          <w:rFonts w:ascii="Times New Roman" w:eastAsia="Times New Roman" w:hAnsi="Times New Roman" w:cs="Times New Roman"/>
          <w:b w:val="0"/>
          <w:bCs w:val="0"/>
          <w:color w:val="000000"/>
          <w:sz w:val="17"/>
          <w:szCs w:val="17"/>
          <w:u w:val="none"/>
          <w:rtl/>
          <w:lang w:bidi="he-IL"/>
        </w:rPr>
        <w:t xml:space="preserve"> אותך שעדיין לא נתחדשה הלכה עמוני ולא עמונית מואבי ולא מואבית</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r w:rsidRPr="001D3EDF">
        <w:rPr>
          <w:rFonts w:ascii="Times New Roman" w:eastAsia="Times New Roman" w:hAnsi="Times New Roman" w:cs="Times New Roman"/>
          <w:b w:val="0"/>
          <w:bCs w:val="0"/>
          <w:color w:val="000000"/>
          <w:sz w:val="15"/>
          <w:szCs w:val="15"/>
          <w:u w:val="none"/>
        </w:rPr>
        <w:t xml:space="preserve">[H]ad you come earlier (lit., yesterday or before) we would not have accepted you because the </w:t>
      </w:r>
      <w:proofErr w:type="spellStart"/>
      <w:proofErr w:type="gramStart"/>
      <w:r w:rsidRPr="001D3EDF">
        <w:rPr>
          <w:rFonts w:ascii="Times New Roman" w:eastAsia="Times New Roman" w:hAnsi="Times New Roman" w:cs="Times New Roman"/>
          <w:b w:val="0"/>
          <w:bCs w:val="0"/>
          <w:color w:val="000000"/>
          <w:sz w:val="15"/>
          <w:szCs w:val="15"/>
          <w:u w:val="none"/>
        </w:rPr>
        <w:t>halacha</w:t>
      </w:r>
      <w:proofErr w:type="spellEnd"/>
      <w:proofErr w:type="gramEnd"/>
      <w:r w:rsidRPr="001D3EDF">
        <w:rPr>
          <w:rFonts w:ascii="Times New Roman" w:eastAsia="Times New Roman" w:hAnsi="Times New Roman" w:cs="Times New Roman"/>
          <w:b w:val="0"/>
          <w:bCs w:val="0"/>
          <w:color w:val="000000"/>
          <w:sz w:val="15"/>
          <w:szCs w:val="15"/>
          <w:u w:val="none"/>
        </w:rPr>
        <w:t xml:space="preserve"> had not yet been renewed to, “Ammonite men, not Ammonite women; Moabite men, not Moabite women.”</w:t>
      </w:r>
      <w:r w:rsidRPr="001D3EDF">
        <w:rPr>
          <w:rFonts w:ascii="Times New Roman" w:eastAsia="Times New Roman" w:hAnsi="Times New Roman" w:cs="Times New Roman"/>
          <w:b w:val="0"/>
          <w:bCs w:val="0"/>
          <w:color w:val="B22222"/>
          <w:sz w:val="15"/>
          <w:szCs w:val="15"/>
          <w:u w:val="none"/>
          <w:vertAlign w:val="superscript"/>
        </w:rPr>
        <w:t>[7]</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So on one hand, we have a story that honors the deeds of a Moabite woman, and on the other hand, we have a historical narrative that depicts the post-exilic community using the law of Deuteronomy to chastise men who had married women from Moab (and elsewhere). The choice to include both of these witnesses in the biblical corpus was, once again, intentional. It should provoke us to think more deeply about the messages of these texts.</w:t>
      </w:r>
    </w:p>
    <w:p w:rsidR="001D3EDF" w:rsidRPr="001D3EDF" w:rsidRDefault="001D3EDF" w:rsidP="001D3EDF">
      <w:pPr>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1D3EDF">
        <w:rPr>
          <w:rFonts w:ascii="Times New Roman" w:eastAsia="Times New Roman" w:hAnsi="Times New Roman" w:cs="Times New Roman"/>
          <w:b w:val="0"/>
          <w:bCs w:val="0"/>
          <w:color w:val="000000"/>
          <w:sz w:val="25"/>
          <w:szCs w:val="25"/>
          <w:u w:val="none"/>
        </w:rPr>
        <w:t>Ezra-Nehemiah versus Ruth</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Biblical scholars today are wont to pit Ezra-Nehemiah against Ruth: the one as conservative, the other liberal. To them, the authors of Ezra-Nehemiah are xenophobic, the authors of Ruth open their arms to the Other</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8]</w:t>
      </w:r>
      <w:r w:rsidRPr="001D3EDF">
        <w:rPr>
          <w:rFonts w:ascii="Times New Roman" w:eastAsia="Times New Roman" w:hAnsi="Times New Roman" w:cs="Times New Roman"/>
          <w:b w:val="0"/>
          <w:bCs w:val="0"/>
          <w:color w:val="000000"/>
          <w:sz w:val="17"/>
          <w:szCs w:val="17"/>
          <w:u w:val="none"/>
        </w:rPr>
        <w:t> The Bible contains two different political stances, and it’s up to us to choose the right one. Most Hebrew Bible introductory courses use this example to illustrate a point about the “dialogical” and “polyphonic” nature of biblical literature. It’s an ideal case because it relates to a central ethical problem: the integration of outsiders.</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To be sure, the biblical writings, like their rabbinic successors, work pedagogically by provoking questions rather than offering a single, authorized perspective. But as two scholars who have worked extensively on Ezra-Nehemiah (with one of us having also completed a commentary on the book of </w:t>
      </w:r>
      <w:proofErr w:type="gramStart"/>
      <w:r w:rsidRPr="001D3EDF">
        <w:rPr>
          <w:rFonts w:ascii="Times New Roman" w:eastAsia="Times New Roman" w:hAnsi="Times New Roman" w:cs="Times New Roman"/>
          <w:b w:val="0"/>
          <w:bCs w:val="0"/>
          <w:color w:val="000000"/>
          <w:sz w:val="17"/>
          <w:szCs w:val="17"/>
          <w:u w:val="none"/>
        </w:rPr>
        <w:t>Ruth</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9]</w:t>
      </w:r>
      <w:r w:rsidRPr="001D3EDF">
        <w:rPr>
          <w:rFonts w:ascii="Times New Roman" w:eastAsia="Times New Roman" w:hAnsi="Times New Roman" w:cs="Times New Roman"/>
          <w:b w:val="0"/>
          <w:bCs w:val="0"/>
          <w:color w:val="000000"/>
          <w:sz w:val="17"/>
          <w:szCs w:val="17"/>
          <w:u w:val="none"/>
        </w:rPr>
        <w:t>), we must challenge this approach to Ruth and Ezra-Nehemiah. Contrary to what is usually claimed, the two books do not offer mutually exclusive views on the treatment of Moabites and other non-Israelites.</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Most strikingly, Ezra-Nehemiah never </w:t>
      </w:r>
      <w:proofErr w:type="spellStart"/>
      <w:r w:rsidRPr="001D3EDF">
        <w:rPr>
          <w:rFonts w:ascii="Times New Roman" w:eastAsia="Times New Roman" w:hAnsi="Times New Roman" w:cs="Times New Roman"/>
          <w:b w:val="0"/>
          <w:bCs w:val="0"/>
          <w:color w:val="000000"/>
          <w:sz w:val="17"/>
          <w:szCs w:val="17"/>
          <w:u w:val="none"/>
        </w:rPr>
        <w:t>polemicizes</w:t>
      </w:r>
      <w:proofErr w:type="spellEnd"/>
      <w:r w:rsidRPr="001D3EDF">
        <w:rPr>
          <w:rFonts w:ascii="Times New Roman" w:eastAsia="Times New Roman" w:hAnsi="Times New Roman" w:cs="Times New Roman"/>
          <w:b w:val="0"/>
          <w:bCs w:val="0"/>
          <w:color w:val="000000"/>
          <w:sz w:val="17"/>
          <w:szCs w:val="17"/>
          <w:u w:val="none"/>
        </w:rPr>
        <w:t xml:space="preserve"> against women, whether Moabite or of any other nationality. It’s the men who are culpable. The book also never actually depicts women (and their children) being sent away</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10]</w:t>
      </w:r>
      <w:r w:rsidRPr="001D3EDF">
        <w:rPr>
          <w:rFonts w:ascii="Times New Roman" w:eastAsia="Times New Roman" w:hAnsi="Times New Roman" w:cs="Times New Roman"/>
          <w:b w:val="0"/>
          <w:bCs w:val="0"/>
          <w:color w:val="000000"/>
          <w:sz w:val="17"/>
          <w:szCs w:val="17"/>
          <w:u w:val="none"/>
        </w:rPr>
        <w:t xml:space="preserve"> The authors are more interested in drawing attention to the problem and the communal process for rectifying it. Most importantly, the problem that the </w:t>
      </w:r>
      <w:proofErr w:type="gramStart"/>
      <w:r w:rsidRPr="001D3EDF">
        <w:rPr>
          <w:rFonts w:ascii="Times New Roman" w:eastAsia="Times New Roman" w:hAnsi="Times New Roman" w:cs="Times New Roman"/>
          <w:b w:val="0"/>
          <w:bCs w:val="0"/>
          <w:color w:val="000000"/>
          <w:sz w:val="17"/>
          <w:szCs w:val="17"/>
          <w:u w:val="none"/>
        </w:rPr>
        <w:t>marriages poses</w:t>
      </w:r>
      <w:proofErr w:type="gramEnd"/>
      <w:r w:rsidRPr="001D3EDF">
        <w:rPr>
          <w:rFonts w:ascii="Times New Roman" w:eastAsia="Times New Roman" w:hAnsi="Times New Roman" w:cs="Times New Roman"/>
          <w:b w:val="0"/>
          <w:bCs w:val="0"/>
          <w:color w:val="000000"/>
          <w:sz w:val="17"/>
          <w:szCs w:val="17"/>
          <w:u w:val="none"/>
        </w:rPr>
        <w:t xml:space="preserve"> is not one that the marriage to Ruth poses.</w:t>
      </w:r>
    </w:p>
    <w:p w:rsidR="001D3EDF" w:rsidRPr="001D3EDF" w:rsidRDefault="001D3EDF" w:rsidP="001D3EDF">
      <w:pPr>
        <w:spacing w:before="200" w:after="100" w:line="300" w:lineRule="atLeast"/>
        <w:outlineLvl w:val="2"/>
        <w:rPr>
          <w:rFonts w:ascii="Times New Roman" w:eastAsia="Times New Roman" w:hAnsi="Times New Roman" w:cs="Times New Roman"/>
          <w:b w:val="0"/>
          <w:bCs w:val="0"/>
          <w:color w:val="000000"/>
          <w:sz w:val="21"/>
          <w:szCs w:val="21"/>
          <w:u w:val="none"/>
        </w:rPr>
      </w:pPr>
      <w:r w:rsidRPr="001D3EDF">
        <w:rPr>
          <w:rFonts w:ascii="Times New Roman" w:eastAsia="Times New Roman" w:hAnsi="Times New Roman" w:cs="Times New Roman"/>
          <w:b w:val="0"/>
          <w:bCs w:val="0"/>
          <w:color w:val="000000"/>
          <w:sz w:val="21"/>
          <w:szCs w:val="21"/>
          <w:u w:val="none"/>
        </w:rPr>
        <w:lastRenderedPageBreak/>
        <w:t>Ruth’s Transformation into an Israelite</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Ruth resolves to become a full-fledged member of Naomi’s people. Her pledge in the opening chapter of the book expresses her determination to pursue this end:</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3"/>
          <w:szCs w:val="13"/>
          <w:u w:val="none"/>
          <w:vertAlign w:val="superscript"/>
          <w:rtl/>
          <w:lang w:bidi="he-IL"/>
        </w:rPr>
        <w:t>רות א:טז</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אֶל־אֲשֶׁ֨ר תֵּלְכִ֜י אֵלֵ֗ךְ</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וּבַאֲשֶׁ֤ר תָּלִ֙ינִי֙ אָלִ֔ין</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עַמֵּ֣ךְ עַמִּ֔י</w:t>
      </w:r>
      <w:r w:rsidRPr="001D3EDF">
        <w:rPr>
          <w:rFonts w:ascii="Times New Roman" w:eastAsia="Times New Roman" w:hAnsi="Times New Roman" w:cs="Times New Roman"/>
          <w:b w:val="0"/>
          <w:bCs w:val="0"/>
          <w:color w:val="000000"/>
          <w:sz w:val="17"/>
          <w:szCs w:val="17"/>
          <w:u w:val="none"/>
          <w:rtl/>
        </w:rPr>
        <w:br/>
      </w:r>
      <w:proofErr w:type="spellStart"/>
      <w:r w:rsidRPr="001D3EDF">
        <w:rPr>
          <w:rFonts w:ascii="Times New Roman" w:eastAsia="Times New Roman" w:hAnsi="Times New Roman" w:cs="Times New Roman"/>
          <w:b w:val="0"/>
          <w:bCs w:val="0"/>
          <w:color w:val="000000"/>
          <w:sz w:val="17"/>
          <w:szCs w:val="17"/>
          <w:u w:val="none"/>
          <w:rtl/>
          <w:lang w:bidi="he-IL"/>
        </w:rPr>
        <w:t>וֵאלֹהַ֖יִךְ</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אֱלֹהָֽי</w:t>
      </w:r>
      <w:proofErr w:type="spellEnd"/>
      <w:r w:rsidRPr="001D3EDF">
        <w:rPr>
          <w:rFonts w:ascii="Times New Roman" w:eastAsia="Times New Roman" w:hAnsi="Times New Roman" w:cs="Times New Roman"/>
          <w:b w:val="0"/>
          <w:bCs w:val="0"/>
          <w:color w:val="000000"/>
          <w:sz w:val="17"/>
          <w:szCs w:val="17"/>
          <w:u w:val="none"/>
          <w:rtl/>
          <w:lang w:bidi="he-IL"/>
        </w:rPr>
        <w:t>:</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3"/>
          <w:szCs w:val="13"/>
          <w:u w:val="none"/>
          <w:vertAlign w:val="superscript"/>
          <w:rtl/>
          <w:lang w:bidi="he-IL"/>
        </w:rPr>
        <w:t>א:יז</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בַּאֲשֶׁ֤ר תָּמ֙וּתִי֙ אָמ֔וּת</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וְשָׁ֖ם אֶקָּבֵ֑ר</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כֹּה֩ יַעֲשֶׂ֨ה יְ־</w:t>
      </w:r>
      <w:proofErr w:type="spellStart"/>
      <w:r w:rsidRPr="001D3EDF">
        <w:rPr>
          <w:rFonts w:ascii="Times New Roman" w:eastAsia="Times New Roman" w:hAnsi="Times New Roman" w:cs="Times New Roman"/>
          <w:b w:val="0"/>
          <w:bCs w:val="0"/>
          <w:color w:val="000000"/>
          <w:sz w:val="17"/>
          <w:szCs w:val="17"/>
          <w:u w:val="none"/>
          <w:rtl/>
          <w:lang w:bidi="he-IL"/>
        </w:rPr>
        <w:t>הֹוָ֥ה</w:t>
      </w:r>
      <w:proofErr w:type="spellEnd"/>
      <w:r w:rsidRPr="001D3EDF">
        <w:rPr>
          <w:rFonts w:ascii="Times New Roman" w:eastAsia="Times New Roman" w:hAnsi="Times New Roman" w:cs="Times New Roman"/>
          <w:b w:val="0"/>
          <w:bCs w:val="0"/>
          <w:color w:val="000000"/>
          <w:sz w:val="17"/>
          <w:szCs w:val="17"/>
          <w:u w:val="none"/>
          <w:rtl/>
          <w:lang w:bidi="he-IL"/>
        </w:rPr>
        <w:t xml:space="preserve"> לִי֙</w:t>
      </w:r>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 xml:space="preserve">וְכֹ֣ה </w:t>
      </w:r>
      <w:proofErr w:type="spellStart"/>
      <w:r w:rsidRPr="001D3EDF">
        <w:rPr>
          <w:rFonts w:ascii="Times New Roman" w:eastAsia="Times New Roman" w:hAnsi="Times New Roman" w:cs="Times New Roman"/>
          <w:b w:val="0"/>
          <w:bCs w:val="0"/>
          <w:color w:val="000000"/>
          <w:sz w:val="17"/>
          <w:szCs w:val="17"/>
          <w:u w:val="none"/>
          <w:rtl/>
          <w:lang w:bidi="he-IL"/>
        </w:rPr>
        <w:t>יֹסִ֔יף</w:t>
      </w:r>
      <w:proofErr w:type="spellEnd"/>
      <w:r w:rsidRPr="001D3EDF">
        <w:rPr>
          <w:rFonts w:ascii="Times New Roman" w:eastAsia="Times New Roman" w:hAnsi="Times New Roman" w:cs="Times New Roman"/>
          <w:b w:val="0"/>
          <w:bCs w:val="0"/>
          <w:color w:val="000000"/>
          <w:sz w:val="17"/>
          <w:szCs w:val="17"/>
          <w:u w:val="none"/>
          <w:rtl/>
        </w:rPr>
        <w:br/>
      </w:r>
      <w:r w:rsidRPr="001D3EDF">
        <w:rPr>
          <w:rFonts w:ascii="Times New Roman" w:eastAsia="Times New Roman" w:hAnsi="Times New Roman" w:cs="Times New Roman"/>
          <w:b w:val="0"/>
          <w:bCs w:val="0"/>
          <w:color w:val="000000"/>
          <w:sz w:val="17"/>
          <w:szCs w:val="17"/>
          <w:u w:val="none"/>
          <w:rtl/>
          <w:lang w:bidi="he-IL"/>
        </w:rPr>
        <w:t xml:space="preserve">כִּ֣י </w:t>
      </w:r>
      <w:proofErr w:type="spellStart"/>
      <w:r w:rsidRPr="001D3EDF">
        <w:rPr>
          <w:rFonts w:ascii="Times New Roman" w:eastAsia="Times New Roman" w:hAnsi="Times New Roman" w:cs="Times New Roman"/>
          <w:b w:val="0"/>
          <w:bCs w:val="0"/>
          <w:color w:val="000000"/>
          <w:sz w:val="17"/>
          <w:szCs w:val="17"/>
          <w:u w:val="none"/>
          <w:rtl/>
          <w:lang w:bidi="he-IL"/>
        </w:rPr>
        <w:t>הַמָּ֔וֶת</w:t>
      </w:r>
      <w:proofErr w:type="spellEnd"/>
      <w:r w:rsidRPr="001D3EDF">
        <w:rPr>
          <w:rFonts w:ascii="Times New Roman" w:eastAsia="Times New Roman" w:hAnsi="Times New Roman" w:cs="Times New Roman"/>
          <w:b w:val="0"/>
          <w:bCs w:val="0"/>
          <w:color w:val="000000"/>
          <w:sz w:val="17"/>
          <w:szCs w:val="17"/>
          <w:u w:val="none"/>
          <w:rtl/>
          <w:lang w:bidi="he-IL"/>
        </w:rPr>
        <w:t xml:space="preserve"> יַפְרִ֖יד בֵּינִ֥י וּבֵינֵֽךְ:</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r w:rsidRPr="001D3EDF">
        <w:rPr>
          <w:rFonts w:ascii="Times New Roman" w:eastAsia="Times New Roman" w:hAnsi="Times New Roman" w:cs="Times New Roman"/>
          <w:b w:val="0"/>
          <w:bCs w:val="0"/>
          <w:color w:val="000000"/>
          <w:sz w:val="11"/>
          <w:szCs w:val="11"/>
          <w:u w:val="none"/>
          <w:vertAlign w:val="superscript"/>
        </w:rPr>
        <w:t>Ruth 1:16</w:t>
      </w:r>
      <w:r w:rsidRPr="001D3EDF">
        <w:rPr>
          <w:rFonts w:ascii="Times New Roman" w:eastAsia="Times New Roman" w:hAnsi="Times New Roman" w:cs="Times New Roman"/>
          <w:b w:val="0"/>
          <w:bCs w:val="0"/>
          <w:color w:val="000000"/>
          <w:sz w:val="15"/>
          <w:szCs w:val="15"/>
          <w:u w:val="none"/>
        </w:rPr>
        <w:t> Where you go, I will go</w:t>
      </w:r>
      <w:proofErr w:type="gramStart"/>
      <w:r w:rsidRPr="001D3EDF">
        <w:rPr>
          <w:rFonts w:ascii="Times New Roman" w:eastAsia="Times New Roman" w:hAnsi="Times New Roman" w:cs="Times New Roman"/>
          <w:b w:val="0"/>
          <w:bCs w:val="0"/>
          <w:color w:val="000000"/>
          <w:sz w:val="15"/>
          <w:szCs w:val="15"/>
          <w:u w:val="none"/>
        </w:rPr>
        <w:t>;</w:t>
      </w:r>
      <w:proofErr w:type="gramEnd"/>
      <w:r w:rsidRPr="001D3EDF">
        <w:rPr>
          <w:rFonts w:ascii="Times New Roman" w:eastAsia="Times New Roman" w:hAnsi="Times New Roman" w:cs="Times New Roman"/>
          <w:b w:val="0"/>
          <w:bCs w:val="0"/>
          <w:color w:val="000000"/>
          <w:sz w:val="15"/>
          <w:szCs w:val="15"/>
          <w:u w:val="none"/>
        </w:rPr>
        <w:br/>
        <w:t>where you lodge, I will lodge;</w:t>
      </w:r>
      <w:r w:rsidRPr="001D3EDF">
        <w:rPr>
          <w:rFonts w:ascii="Times New Roman" w:eastAsia="Times New Roman" w:hAnsi="Times New Roman" w:cs="Times New Roman"/>
          <w:b w:val="0"/>
          <w:bCs w:val="0"/>
          <w:color w:val="000000"/>
          <w:sz w:val="15"/>
          <w:szCs w:val="15"/>
          <w:u w:val="none"/>
        </w:rPr>
        <w:br/>
        <w:t>your people shall be my people,</w:t>
      </w:r>
      <w:r w:rsidRPr="001D3EDF">
        <w:rPr>
          <w:rFonts w:ascii="Times New Roman" w:eastAsia="Times New Roman" w:hAnsi="Times New Roman" w:cs="Times New Roman"/>
          <w:b w:val="0"/>
          <w:bCs w:val="0"/>
          <w:color w:val="000000"/>
          <w:sz w:val="15"/>
          <w:szCs w:val="15"/>
          <w:u w:val="none"/>
        </w:rPr>
        <w:br/>
        <w:t>and your God my God.</w:t>
      </w:r>
      <w:r w:rsidRPr="001D3EDF">
        <w:rPr>
          <w:rFonts w:ascii="Times New Roman" w:eastAsia="Times New Roman" w:hAnsi="Times New Roman" w:cs="Times New Roman"/>
          <w:b w:val="0"/>
          <w:bCs w:val="0"/>
          <w:color w:val="000000"/>
          <w:sz w:val="15"/>
          <w:szCs w:val="15"/>
          <w:u w:val="none"/>
        </w:rPr>
        <w:br/>
      </w:r>
      <w:r w:rsidRPr="001D3EDF">
        <w:rPr>
          <w:rFonts w:ascii="Times New Roman" w:eastAsia="Times New Roman" w:hAnsi="Times New Roman" w:cs="Times New Roman"/>
          <w:b w:val="0"/>
          <w:bCs w:val="0"/>
          <w:color w:val="000000"/>
          <w:sz w:val="11"/>
          <w:szCs w:val="11"/>
          <w:u w:val="none"/>
          <w:vertAlign w:val="superscript"/>
        </w:rPr>
        <w:t>1:17</w:t>
      </w:r>
      <w:r w:rsidRPr="001D3EDF">
        <w:rPr>
          <w:rFonts w:ascii="Times New Roman" w:eastAsia="Times New Roman" w:hAnsi="Times New Roman" w:cs="Times New Roman"/>
          <w:b w:val="0"/>
          <w:bCs w:val="0"/>
          <w:color w:val="000000"/>
          <w:sz w:val="15"/>
          <w:szCs w:val="15"/>
          <w:u w:val="none"/>
        </w:rPr>
        <w:t> Where you die, I will die—</w:t>
      </w:r>
      <w:r w:rsidRPr="001D3EDF">
        <w:rPr>
          <w:rFonts w:ascii="Times New Roman" w:eastAsia="Times New Roman" w:hAnsi="Times New Roman" w:cs="Times New Roman"/>
          <w:b w:val="0"/>
          <w:bCs w:val="0"/>
          <w:color w:val="000000"/>
          <w:sz w:val="15"/>
          <w:szCs w:val="15"/>
          <w:u w:val="none"/>
        </w:rPr>
        <w:br/>
        <w:t>there will I be buried.</w:t>
      </w:r>
      <w:r w:rsidRPr="001D3EDF">
        <w:rPr>
          <w:rFonts w:ascii="Times New Roman" w:eastAsia="Times New Roman" w:hAnsi="Times New Roman" w:cs="Times New Roman"/>
          <w:b w:val="0"/>
          <w:bCs w:val="0"/>
          <w:color w:val="000000"/>
          <w:sz w:val="15"/>
          <w:szCs w:val="15"/>
          <w:u w:val="none"/>
        </w:rPr>
        <w:br/>
        <w:t>May YHWH do thus and so to me</w:t>
      </w:r>
      <w:proofErr w:type="gramStart"/>
      <w:r w:rsidRPr="001D3EDF">
        <w:rPr>
          <w:rFonts w:ascii="Times New Roman" w:eastAsia="Times New Roman" w:hAnsi="Times New Roman" w:cs="Times New Roman"/>
          <w:b w:val="0"/>
          <w:bCs w:val="0"/>
          <w:color w:val="000000"/>
          <w:sz w:val="15"/>
          <w:szCs w:val="15"/>
          <w:u w:val="none"/>
        </w:rPr>
        <w:t>,</w:t>
      </w:r>
      <w:proofErr w:type="gramEnd"/>
      <w:r w:rsidRPr="001D3EDF">
        <w:rPr>
          <w:rFonts w:ascii="Times New Roman" w:eastAsia="Times New Roman" w:hAnsi="Times New Roman" w:cs="Times New Roman"/>
          <w:b w:val="0"/>
          <w:bCs w:val="0"/>
          <w:color w:val="000000"/>
          <w:sz w:val="15"/>
          <w:szCs w:val="15"/>
          <w:u w:val="none"/>
        </w:rPr>
        <w:br/>
        <w:t>and more as well,</w:t>
      </w:r>
      <w:r w:rsidRPr="001D3EDF">
        <w:rPr>
          <w:rFonts w:ascii="Times New Roman" w:eastAsia="Times New Roman" w:hAnsi="Times New Roman" w:cs="Times New Roman"/>
          <w:b w:val="0"/>
          <w:bCs w:val="0"/>
          <w:color w:val="000000"/>
          <w:sz w:val="15"/>
          <w:szCs w:val="15"/>
          <w:u w:val="none"/>
        </w:rPr>
        <w:br/>
        <w:t>if even death parts me from you!”</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The remarkably sophisticated narrative shows how the persevering protagonist undergoes a transformation from Ruth the Moabite” (in Ruth 4:10, for example) to simply “Ruth” (once the people approve the union; see Ruth 4:12-13). Through her union with Boaz, produces the line of King David</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11]</w:t>
      </w:r>
    </w:p>
    <w:p w:rsidR="001D3EDF" w:rsidRPr="001D3EDF" w:rsidRDefault="001D3EDF" w:rsidP="001D3EDF">
      <w:pPr>
        <w:spacing w:before="200" w:after="100" w:line="300" w:lineRule="atLeast"/>
        <w:outlineLvl w:val="2"/>
        <w:rPr>
          <w:rFonts w:ascii="Times New Roman" w:eastAsia="Times New Roman" w:hAnsi="Times New Roman" w:cs="Times New Roman"/>
          <w:b w:val="0"/>
          <w:bCs w:val="0"/>
          <w:color w:val="000000"/>
          <w:sz w:val="21"/>
          <w:szCs w:val="21"/>
          <w:u w:val="none"/>
        </w:rPr>
      </w:pPr>
      <w:r w:rsidRPr="001D3EDF">
        <w:rPr>
          <w:rFonts w:ascii="Times New Roman" w:eastAsia="Times New Roman" w:hAnsi="Times New Roman" w:cs="Times New Roman"/>
          <w:b w:val="0"/>
          <w:bCs w:val="0"/>
          <w:color w:val="000000"/>
          <w:sz w:val="21"/>
          <w:szCs w:val="21"/>
          <w:u w:val="none"/>
        </w:rPr>
        <w:t>The Foreignness of the Women in Ezra-Nehemiah</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The marriage unions at issue in Ezra-Nehemiah are very different</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12]</w:t>
      </w:r>
      <w:r w:rsidRPr="001D3EDF">
        <w:rPr>
          <w:rFonts w:ascii="Times New Roman" w:eastAsia="Times New Roman" w:hAnsi="Times New Roman" w:cs="Times New Roman"/>
          <w:b w:val="0"/>
          <w:bCs w:val="0"/>
          <w:color w:val="000000"/>
          <w:sz w:val="17"/>
          <w:szCs w:val="17"/>
          <w:u w:val="none"/>
        </w:rPr>
        <w:t> What enrages Nehemiah is that the non-</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xml:space="preserve"> women are not undergoing transformations similar to Ruth’s. Nehemiah’s main concern is not the women </w:t>
      </w:r>
      <w:r w:rsidRPr="001D3EDF">
        <w:rPr>
          <w:rFonts w:ascii="Times New Roman" w:eastAsia="Times New Roman" w:hAnsi="Times New Roman" w:cs="Times New Roman"/>
          <w:b w:val="0"/>
          <w:bCs w:val="0"/>
          <w:i/>
          <w:iCs/>
          <w:color w:val="000000"/>
          <w:sz w:val="17"/>
          <w:u w:val="none"/>
        </w:rPr>
        <w:t>per se</w:t>
      </w:r>
      <w:r w:rsidRPr="001D3EDF">
        <w:rPr>
          <w:rFonts w:ascii="Times New Roman" w:eastAsia="Times New Roman" w:hAnsi="Times New Roman" w:cs="Times New Roman"/>
          <w:b w:val="0"/>
          <w:bCs w:val="0"/>
          <w:color w:val="000000"/>
          <w:sz w:val="17"/>
          <w:szCs w:val="17"/>
          <w:u w:val="none"/>
        </w:rPr>
        <w:t>, but their children, specifically that they are estranged from their culture:</w:t>
      </w:r>
    </w:p>
    <w:p w:rsidR="001D3EDF" w:rsidRPr="001D3EDF" w:rsidRDefault="001D3EDF" w:rsidP="001D3EDF">
      <w:pPr>
        <w:bidi/>
        <w:spacing w:after="100" w:line="310" w:lineRule="atLeast"/>
        <w:textAlignment w:val="top"/>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3"/>
          <w:szCs w:val="13"/>
          <w:u w:val="none"/>
          <w:vertAlign w:val="superscript"/>
          <w:rtl/>
          <w:lang w:bidi="he-IL"/>
        </w:rPr>
        <w:t xml:space="preserve">נחמיה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כג</w:t>
      </w:r>
      <w:proofErr w:type="spellEnd"/>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גַּ֣ם׀ בַּיָּמִ֣ים הָהֵ֗ם רָאִ֤יתִי אֶת הַיְּהוּדִים֙ הֹשִׁ֗יבוּ נָשִׁים֙ (</w:t>
      </w:r>
      <w:proofErr w:type="spellStart"/>
      <w:r w:rsidRPr="001D3EDF">
        <w:rPr>
          <w:rFonts w:ascii="Times New Roman" w:eastAsia="Times New Roman" w:hAnsi="Times New Roman" w:cs="Times New Roman"/>
          <w:b w:val="0"/>
          <w:bCs w:val="0"/>
          <w:color w:val="000000"/>
          <w:sz w:val="17"/>
          <w:szCs w:val="17"/>
          <w:u w:val="none"/>
          <w:rtl/>
          <w:lang w:bidi="he-IL"/>
        </w:rPr>
        <w:t>אשדודיות</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אַשְׁדֳּדִיּ֔וֹת</w:t>
      </w:r>
      <w:proofErr w:type="spellEnd"/>
      <w:r w:rsidRPr="001D3EDF">
        <w:rPr>
          <w:rFonts w:ascii="Times New Roman" w:eastAsia="Times New Roman" w:hAnsi="Times New Roman" w:cs="Times New Roman"/>
          <w:b w:val="0"/>
          <w:bCs w:val="0"/>
          <w:color w:val="000000"/>
          <w:sz w:val="17"/>
          <w:szCs w:val="17"/>
          <w:u w:val="none"/>
          <w:rtl/>
          <w:lang w:bidi="he-IL"/>
        </w:rPr>
        <w:t xml:space="preserve"> (עמוניות) </w:t>
      </w:r>
      <w:proofErr w:type="spellStart"/>
      <w:r w:rsidRPr="001D3EDF">
        <w:rPr>
          <w:rFonts w:ascii="Times New Roman" w:eastAsia="Times New Roman" w:hAnsi="Times New Roman" w:cs="Times New Roman"/>
          <w:b w:val="0"/>
          <w:bCs w:val="0"/>
          <w:color w:val="000000"/>
          <w:sz w:val="17"/>
          <w:szCs w:val="17"/>
          <w:u w:val="none"/>
          <w:rtl/>
          <w:lang w:bidi="he-IL"/>
        </w:rPr>
        <w:t>עַמֳּנִיּ֖וֹת</w:t>
      </w:r>
      <w:proofErr w:type="spellEnd"/>
      <w:r w:rsidRPr="001D3EDF">
        <w:rPr>
          <w:rFonts w:ascii="Times New Roman" w:eastAsia="Times New Roman" w:hAnsi="Times New Roman" w:cs="Times New Roman"/>
          <w:b w:val="0"/>
          <w:bCs w:val="0"/>
          <w:color w:val="000000"/>
          <w:sz w:val="17"/>
          <w:szCs w:val="17"/>
          <w:u w:val="none"/>
          <w:rtl/>
          <w:lang w:bidi="he-IL"/>
        </w:rPr>
        <w:t xml:space="preserve"> מוֹאֲבִיּֽוֹת:</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:כד</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וּבְנֵיהֶ֗ם חֲצִי֙ מְדַבֵּ֣ר אַשְׁדּוֹדִ֔ית וְאֵינָ֥ם מַכִּירִ֖ים לְדַבֵּ֣ר יְהוּדִ֑ית וְכִלְשׁ֖וֹן עַ֥ם וָעָֽם:</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:כה</w:t>
      </w:r>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 xml:space="preserve">וָאָרִ֤יב עִמָּם֙ וָאֲקַֽלְלֵ֔ם וָאַכֶּ֥ה מֵהֶ֛ם אֲנָשִׁ֖ים וָֽאֶמְרְטֵ֑ם וָאַשְׁבִּיעֵ֣ם </w:t>
      </w:r>
      <w:proofErr w:type="spellStart"/>
      <w:r w:rsidRPr="001D3EDF">
        <w:rPr>
          <w:rFonts w:ascii="Times New Roman" w:eastAsia="Times New Roman" w:hAnsi="Times New Roman" w:cs="Times New Roman"/>
          <w:b w:val="0"/>
          <w:bCs w:val="0"/>
          <w:color w:val="000000"/>
          <w:sz w:val="17"/>
          <w:szCs w:val="17"/>
          <w:u w:val="none"/>
          <w:rtl/>
          <w:lang w:bidi="he-IL"/>
        </w:rPr>
        <w:t>בֵּֽאלֹהִ֗ים</w:t>
      </w:r>
      <w:proofErr w:type="spellEnd"/>
      <w:r w:rsidRPr="001D3EDF">
        <w:rPr>
          <w:rFonts w:ascii="Times New Roman" w:eastAsia="Times New Roman" w:hAnsi="Times New Roman" w:cs="Times New Roman"/>
          <w:b w:val="0"/>
          <w:bCs w:val="0"/>
          <w:color w:val="000000"/>
          <w:sz w:val="17"/>
          <w:szCs w:val="17"/>
          <w:u w:val="none"/>
          <w:rtl/>
          <w:lang w:bidi="he-IL"/>
        </w:rPr>
        <w:t xml:space="preserve"> אִם תִּתְּנ֤וּ בְנֹֽתֵיכֶם֙ לִבְנֵיהֶ֔ם וְאִם </w:t>
      </w:r>
      <w:proofErr w:type="spellStart"/>
      <w:r w:rsidRPr="001D3EDF">
        <w:rPr>
          <w:rFonts w:ascii="Times New Roman" w:eastAsia="Times New Roman" w:hAnsi="Times New Roman" w:cs="Times New Roman"/>
          <w:b w:val="0"/>
          <w:bCs w:val="0"/>
          <w:color w:val="000000"/>
          <w:sz w:val="17"/>
          <w:szCs w:val="17"/>
          <w:u w:val="none"/>
          <w:rtl/>
          <w:lang w:bidi="he-IL"/>
        </w:rPr>
        <w:t>תִּשְׂאוּ֙</w:t>
      </w:r>
      <w:proofErr w:type="spellEnd"/>
      <w:r w:rsidRPr="001D3EDF">
        <w:rPr>
          <w:rFonts w:ascii="Times New Roman" w:eastAsia="Times New Roman" w:hAnsi="Times New Roman" w:cs="Times New Roman"/>
          <w:b w:val="0"/>
          <w:bCs w:val="0"/>
          <w:color w:val="000000"/>
          <w:sz w:val="17"/>
          <w:szCs w:val="17"/>
          <w:u w:val="none"/>
          <w:rtl/>
          <w:lang w:bidi="he-IL"/>
        </w:rPr>
        <w:t xml:space="preserve"> </w:t>
      </w:r>
      <w:proofErr w:type="spellStart"/>
      <w:r w:rsidRPr="001D3EDF">
        <w:rPr>
          <w:rFonts w:ascii="Times New Roman" w:eastAsia="Times New Roman" w:hAnsi="Times New Roman" w:cs="Times New Roman"/>
          <w:b w:val="0"/>
          <w:bCs w:val="0"/>
          <w:color w:val="000000"/>
          <w:sz w:val="17"/>
          <w:szCs w:val="17"/>
          <w:u w:val="none"/>
          <w:rtl/>
          <w:lang w:bidi="he-IL"/>
        </w:rPr>
        <w:t>מִבְּנֹ֣תֵיהֶ֔ם</w:t>
      </w:r>
      <w:proofErr w:type="spellEnd"/>
      <w:r w:rsidRPr="001D3EDF">
        <w:rPr>
          <w:rFonts w:ascii="Times New Roman" w:eastAsia="Times New Roman" w:hAnsi="Times New Roman" w:cs="Times New Roman"/>
          <w:b w:val="0"/>
          <w:bCs w:val="0"/>
          <w:color w:val="000000"/>
          <w:sz w:val="17"/>
          <w:szCs w:val="17"/>
          <w:u w:val="none"/>
          <w:rtl/>
          <w:lang w:bidi="he-IL"/>
        </w:rPr>
        <w:t xml:space="preserve"> לִבְנֵיכֶ֖ם וְלָכֶֽם:</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כו</w:t>
      </w:r>
      <w:proofErr w:type="spellEnd"/>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 xml:space="preserve">הֲל֣וֹא עַל אֵ֣לֶּה חָטָֽא שְׁלֹמֹ֣ה מֶ֣לֶךְ יִשְׂרָאֵ֡ל </w:t>
      </w:r>
      <w:proofErr w:type="spellStart"/>
      <w:r w:rsidRPr="001D3EDF">
        <w:rPr>
          <w:rFonts w:ascii="Times New Roman" w:eastAsia="Times New Roman" w:hAnsi="Times New Roman" w:cs="Times New Roman"/>
          <w:b w:val="0"/>
          <w:bCs w:val="0"/>
          <w:color w:val="000000"/>
          <w:sz w:val="17"/>
          <w:szCs w:val="17"/>
          <w:u w:val="none"/>
          <w:rtl/>
          <w:lang w:bidi="he-IL"/>
        </w:rPr>
        <w:t>וּבַגּוֹיִ֣ם</w:t>
      </w:r>
      <w:proofErr w:type="spellEnd"/>
      <w:r w:rsidRPr="001D3EDF">
        <w:rPr>
          <w:rFonts w:ascii="Times New Roman" w:eastAsia="Times New Roman" w:hAnsi="Times New Roman" w:cs="Times New Roman"/>
          <w:b w:val="0"/>
          <w:bCs w:val="0"/>
          <w:color w:val="000000"/>
          <w:sz w:val="17"/>
          <w:szCs w:val="17"/>
          <w:u w:val="none"/>
          <w:rtl/>
          <w:lang w:bidi="he-IL"/>
        </w:rPr>
        <w:t xml:space="preserve"> הָרַבִּים֩ לֹֽא הָיָ֨ה מֶ֜לֶךְ כָּמֹ֗הוּ וְאָה֤וּב </w:t>
      </w:r>
      <w:proofErr w:type="spellStart"/>
      <w:r w:rsidRPr="001D3EDF">
        <w:rPr>
          <w:rFonts w:ascii="Times New Roman" w:eastAsia="Times New Roman" w:hAnsi="Times New Roman" w:cs="Times New Roman"/>
          <w:b w:val="0"/>
          <w:bCs w:val="0"/>
          <w:color w:val="000000"/>
          <w:sz w:val="17"/>
          <w:szCs w:val="17"/>
          <w:u w:val="none"/>
          <w:rtl/>
          <w:lang w:bidi="he-IL"/>
        </w:rPr>
        <w:t>לֵֽאלֹהָיו֙</w:t>
      </w:r>
      <w:proofErr w:type="spellEnd"/>
      <w:r w:rsidRPr="001D3EDF">
        <w:rPr>
          <w:rFonts w:ascii="Times New Roman" w:eastAsia="Times New Roman" w:hAnsi="Times New Roman" w:cs="Times New Roman"/>
          <w:b w:val="0"/>
          <w:bCs w:val="0"/>
          <w:color w:val="000000"/>
          <w:sz w:val="17"/>
          <w:szCs w:val="17"/>
          <w:u w:val="none"/>
          <w:rtl/>
          <w:lang w:bidi="he-IL"/>
        </w:rPr>
        <w:t xml:space="preserve"> הָיָ֔ה וַיִּתְּנֵ֣הוּ </w:t>
      </w:r>
      <w:proofErr w:type="spellStart"/>
      <w:r w:rsidRPr="001D3EDF">
        <w:rPr>
          <w:rFonts w:ascii="Times New Roman" w:eastAsia="Times New Roman" w:hAnsi="Times New Roman" w:cs="Times New Roman"/>
          <w:b w:val="0"/>
          <w:bCs w:val="0"/>
          <w:color w:val="000000"/>
          <w:sz w:val="17"/>
          <w:szCs w:val="17"/>
          <w:u w:val="none"/>
          <w:rtl/>
          <w:lang w:bidi="he-IL"/>
        </w:rPr>
        <w:t>אֱלֹהִ֔ים</w:t>
      </w:r>
      <w:proofErr w:type="spellEnd"/>
      <w:r w:rsidRPr="001D3EDF">
        <w:rPr>
          <w:rFonts w:ascii="Times New Roman" w:eastAsia="Times New Roman" w:hAnsi="Times New Roman" w:cs="Times New Roman"/>
          <w:b w:val="0"/>
          <w:bCs w:val="0"/>
          <w:color w:val="000000"/>
          <w:sz w:val="17"/>
          <w:szCs w:val="17"/>
          <w:u w:val="none"/>
          <w:rtl/>
          <w:lang w:bidi="he-IL"/>
        </w:rPr>
        <w:t xml:space="preserve"> מֶ֖לֶךְ עַל כָּל יִשְׂרָאֵ֑ל גַּם אוֹת֣וֹ הֶחֱטִ֔יאוּ הַנָּשִׁ֖ים הַנָּכְרִיּֽוֹת:</w:t>
      </w:r>
      <w:r w:rsidRPr="001D3EDF">
        <w:rPr>
          <w:rFonts w:ascii="Times New Roman" w:eastAsia="Times New Roman" w:hAnsi="Times New Roman" w:cs="Times New Roman"/>
          <w:b w:val="0"/>
          <w:bCs w:val="0"/>
          <w:color w:val="000000"/>
          <w:sz w:val="17"/>
          <w:szCs w:val="17"/>
          <w:u w:val="none"/>
          <w:rtl/>
        </w:rPr>
        <w:t> </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יג</w:t>
      </w:r>
      <w:proofErr w:type="spellEnd"/>
      <w:r w:rsidRPr="001D3EDF">
        <w:rPr>
          <w:rFonts w:ascii="Times New Roman" w:eastAsia="Times New Roman" w:hAnsi="Times New Roman" w:cs="Times New Roman"/>
          <w:b w:val="0"/>
          <w:bCs w:val="0"/>
          <w:color w:val="000000"/>
          <w:sz w:val="13"/>
          <w:szCs w:val="13"/>
          <w:u w:val="none"/>
          <w:vertAlign w:val="superscript"/>
          <w:rtl/>
          <w:lang w:bidi="he-IL"/>
        </w:rPr>
        <w:t>:</w:t>
      </w:r>
      <w:proofErr w:type="spellStart"/>
      <w:r w:rsidRPr="001D3EDF">
        <w:rPr>
          <w:rFonts w:ascii="Times New Roman" w:eastAsia="Times New Roman" w:hAnsi="Times New Roman" w:cs="Times New Roman"/>
          <w:b w:val="0"/>
          <w:bCs w:val="0"/>
          <w:color w:val="000000"/>
          <w:sz w:val="13"/>
          <w:szCs w:val="13"/>
          <w:u w:val="none"/>
          <w:vertAlign w:val="superscript"/>
          <w:rtl/>
          <w:lang w:bidi="he-IL"/>
        </w:rPr>
        <w:t>כז</w:t>
      </w:r>
      <w:proofErr w:type="spellEnd"/>
      <w:r w:rsidRPr="001D3EDF">
        <w:rPr>
          <w:rFonts w:ascii="Times New Roman" w:eastAsia="Times New Roman" w:hAnsi="Times New Roman" w:cs="Times New Roman"/>
          <w:b w:val="0"/>
          <w:bCs w:val="0"/>
          <w:color w:val="000000"/>
          <w:sz w:val="17"/>
          <w:szCs w:val="17"/>
          <w:u w:val="none"/>
          <w:rtl/>
        </w:rPr>
        <w:t> </w:t>
      </w:r>
      <w:r w:rsidRPr="001D3EDF">
        <w:rPr>
          <w:rFonts w:ascii="Times New Roman" w:eastAsia="Times New Roman" w:hAnsi="Times New Roman" w:cs="Times New Roman"/>
          <w:b w:val="0"/>
          <w:bCs w:val="0"/>
          <w:color w:val="000000"/>
          <w:sz w:val="17"/>
          <w:szCs w:val="17"/>
          <w:u w:val="none"/>
          <w:rtl/>
          <w:lang w:bidi="he-IL"/>
        </w:rPr>
        <w:t xml:space="preserve">וְלָכֶ֣ם הֲנִשְׁמַ֗ע לַעֲשֹׂת֙ אֵ֣ת כָּל הָרָעָ֤ה הַגְּדוֹלָה֙ הַזֹּ֔את לִמְעֹ֖ל </w:t>
      </w:r>
      <w:proofErr w:type="spellStart"/>
      <w:r w:rsidRPr="001D3EDF">
        <w:rPr>
          <w:rFonts w:ascii="Times New Roman" w:eastAsia="Times New Roman" w:hAnsi="Times New Roman" w:cs="Times New Roman"/>
          <w:b w:val="0"/>
          <w:bCs w:val="0"/>
          <w:color w:val="000000"/>
          <w:sz w:val="17"/>
          <w:szCs w:val="17"/>
          <w:u w:val="none"/>
          <w:rtl/>
          <w:lang w:bidi="he-IL"/>
        </w:rPr>
        <w:t>בֵּֽאלֹהֵ֑ינוּ</w:t>
      </w:r>
      <w:proofErr w:type="spellEnd"/>
      <w:r w:rsidRPr="001D3EDF">
        <w:rPr>
          <w:rFonts w:ascii="Times New Roman" w:eastAsia="Times New Roman" w:hAnsi="Times New Roman" w:cs="Times New Roman"/>
          <w:b w:val="0"/>
          <w:bCs w:val="0"/>
          <w:color w:val="000000"/>
          <w:sz w:val="17"/>
          <w:szCs w:val="17"/>
          <w:u w:val="none"/>
          <w:rtl/>
          <w:lang w:bidi="he-IL"/>
        </w:rPr>
        <w:t xml:space="preserve"> לְהֹשִׁ֖יב נָשִׁ֥ים נָכְרִיּֽוֹת:</w:t>
      </w:r>
    </w:p>
    <w:p w:rsidR="001D3EDF" w:rsidRPr="001D3EDF" w:rsidRDefault="001D3EDF" w:rsidP="001D3EDF">
      <w:pPr>
        <w:spacing w:after="0" w:line="280" w:lineRule="atLeast"/>
        <w:rPr>
          <w:rFonts w:ascii="Times New Roman" w:eastAsia="Times New Roman" w:hAnsi="Times New Roman" w:cs="Times New Roman"/>
          <w:b w:val="0"/>
          <w:bCs w:val="0"/>
          <w:color w:val="000000"/>
          <w:sz w:val="24"/>
          <w:szCs w:val="24"/>
          <w:u w:val="none"/>
          <w:rtl/>
        </w:rPr>
      </w:pPr>
      <w:r w:rsidRPr="001D3EDF">
        <w:rPr>
          <w:rFonts w:ascii="Times New Roman" w:eastAsia="Times New Roman" w:hAnsi="Times New Roman" w:cs="Times New Roman"/>
          <w:b w:val="0"/>
          <w:bCs w:val="0"/>
          <w:color w:val="000000"/>
          <w:sz w:val="24"/>
          <w:szCs w:val="24"/>
          <w:u w:val="none"/>
        </w:rPr>
        <w:t> </w:t>
      </w:r>
    </w:p>
    <w:p w:rsid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1D3EDF">
        <w:rPr>
          <w:rFonts w:ascii="Times New Roman" w:eastAsia="Times New Roman" w:hAnsi="Times New Roman" w:cs="Times New Roman"/>
          <w:b w:val="0"/>
          <w:bCs w:val="0"/>
          <w:color w:val="000000"/>
          <w:sz w:val="11"/>
          <w:szCs w:val="11"/>
          <w:u w:val="none"/>
          <w:vertAlign w:val="superscript"/>
        </w:rPr>
        <w:t>Neh</w:t>
      </w:r>
      <w:proofErr w:type="spellEnd"/>
      <w:r w:rsidRPr="001D3EDF">
        <w:rPr>
          <w:rFonts w:ascii="Times New Roman" w:eastAsia="Times New Roman" w:hAnsi="Times New Roman" w:cs="Times New Roman"/>
          <w:b w:val="0"/>
          <w:bCs w:val="0"/>
          <w:color w:val="000000"/>
          <w:sz w:val="11"/>
          <w:szCs w:val="11"/>
          <w:u w:val="none"/>
          <w:vertAlign w:val="superscript"/>
        </w:rPr>
        <w:t xml:space="preserve"> 13:23</w:t>
      </w:r>
      <w:r w:rsidRPr="001D3EDF">
        <w:rPr>
          <w:rFonts w:ascii="Times New Roman" w:eastAsia="Times New Roman" w:hAnsi="Times New Roman" w:cs="Times New Roman"/>
          <w:b w:val="0"/>
          <w:bCs w:val="0"/>
          <w:color w:val="000000"/>
          <w:sz w:val="15"/>
          <w:szCs w:val="15"/>
          <w:u w:val="none"/>
        </w:rPr>
        <w:t xml:space="preserve"> In those days also I saw Jews who had married women of Ashdod, </w:t>
      </w:r>
      <w:proofErr w:type="spellStart"/>
      <w:r w:rsidRPr="001D3EDF">
        <w:rPr>
          <w:rFonts w:ascii="Times New Roman" w:eastAsia="Times New Roman" w:hAnsi="Times New Roman" w:cs="Times New Roman"/>
          <w:b w:val="0"/>
          <w:bCs w:val="0"/>
          <w:color w:val="000000"/>
          <w:sz w:val="15"/>
          <w:szCs w:val="15"/>
          <w:u w:val="none"/>
        </w:rPr>
        <w:t>Ammon</w:t>
      </w:r>
      <w:proofErr w:type="spellEnd"/>
      <w:r w:rsidRPr="001D3EDF">
        <w:rPr>
          <w:rFonts w:ascii="Times New Roman" w:eastAsia="Times New Roman" w:hAnsi="Times New Roman" w:cs="Times New Roman"/>
          <w:b w:val="0"/>
          <w:bCs w:val="0"/>
          <w:color w:val="000000"/>
          <w:sz w:val="15"/>
          <w:szCs w:val="15"/>
          <w:u w:val="none"/>
        </w:rPr>
        <w:t>, and Moab; </w:t>
      </w:r>
      <w:r w:rsidRPr="001D3EDF">
        <w:rPr>
          <w:rFonts w:ascii="Times New Roman" w:eastAsia="Times New Roman" w:hAnsi="Times New Roman" w:cs="Times New Roman"/>
          <w:b w:val="0"/>
          <w:bCs w:val="0"/>
          <w:color w:val="000000"/>
          <w:sz w:val="11"/>
          <w:szCs w:val="11"/>
          <w:u w:val="none"/>
          <w:vertAlign w:val="superscript"/>
        </w:rPr>
        <w:t>13:24</w:t>
      </w:r>
      <w:r w:rsidRPr="001D3EDF">
        <w:rPr>
          <w:rFonts w:ascii="Times New Roman" w:eastAsia="Times New Roman" w:hAnsi="Times New Roman" w:cs="Times New Roman"/>
          <w:b w:val="0"/>
          <w:bCs w:val="0"/>
          <w:color w:val="000000"/>
          <w:sz w:val="15"/>
          <w:szCs w:val="15"/>
          <w:u w:val="none"/>
        </w:rPr>
        <w:t xml:space="preserve"> and half of their children spoke the language of Ashdod, and they could not speak </w:t>
      </w:r>
      <w:proofErr w:type="spellStart"/>
      <w:r w:rsidRPr="001D3EDF">
        <w:rPr>
          <w:rFonts w:ascii="Times New Roman" w:eastAsia="Times New Roman" w:hAnsi="Times New Roman" w:cs="Times New Roman"/>
          <w:b w:val="0"/>
          <w:bCs w:val="0"/>
          <w:color w:val="000000"/>
          <w:sz w:val="15"/>
          <w:szCs w:val="15"/>
          <w:u w:val="none"/>
        </w:rPr>
        <w:t>Judahite</w:t>
      </w:r>
      <w:proofErr w:type="spellEnd"/>
      <w:r w:rsidRPr="001D3EDF">
        <w:rPr>
          <w:rFonts w:ascii="Times New Roman" w:eastAsia="Times New Roman" w:hAnsi="Times New Roman" w:cs="Times New Roman"/>
          <w:b w:val="0"/>
          <w:bCs w:val="0"/>
          <w:color w:val="000000"/>
          <w:sz w:val="15"/>
          <w:szCs w:val="15"/>
          <w:u w:val="none"/>
        </w:rPr>
        <w:t>, but spoke the language of various peoples. </w:t>
      </w:r>
      <w:r w:rsidRPr="001D3EDF">
        <w:rPr>
          <w:rFonts w:ascii="Times New Roman" w:eastAsia="Times New Roman" w:hAnsi="Times New Roman" w:cs="Times New Roman"/>
          <w:b w:val="0"/>
          <w:bCs w:val="0"/>
          <w:color w:val="000000"/>
          <w:sz w:val="11"/>
          <w:szCs w:val="11"/>
          <w:u w:val="none"/>
          <w:vertAlign w:val="superscript"/>
        </w:rPr>
        <w:t>13:25</w:t>
      </w:r>
      <w:r w:rsidRPr="001D3EDF">
        <w:rPr>
          <w:rFonts w:ascii="Times New Roman" w:eastAsia="Times New Roman" w:hAnsi="Times New Roman" w:cs="Times New Roman"/>
          <w:b w:val="0"/>
          <w:bCs w:val="0"/>
          <w:color w:val="000000"/>
          <w:sz w:val="15"/>
          <w:szCs w:val="15"/>
          <w:u w:val="none"/>
        </w:rPr>
        <w:t xml:space="preserve"> And I contended with them and cursed them and beat some of them and pulled out their hair; and I made them take an oath in the name of God, saying, “You shall not give your daughters to their sons, or take their daughters for </w:t>
      </w:r>
      <w:r w:rsidRPr="001D3EDF">
        <w:rPr>
          <w:rFonts w:ascii="Times New Roman" w:eastAsia="Times New Roman" w:hAnsi="Times New Roman" w:cs="Times New Roman"/>
          <w:b w:val="0"/>
          <w:bCs w:val="0"/>
          <w:color w:val="000000"/>
          <w:sz w:val="15"/>
          <w:szCs w:val="15"/>
          <w:u w:val="none"/>
        </w:rPr>
        <w:lastRenderedPageBreak/>
        <w:t>your sons or for yourselves. </w:t>
      </w:r>
      <w:r w:rsidRPr="001D3EDF">
        <w:rPr>
          <w:rFonts w:ascii="Times New Roman" w:eastAsia="Times New Roman" w:hAnsi="Times New Roman" w:cs="Times New Roman"/>
          <w:b w:val="0"/>
          <w:bCs w:val="0"/>
          <w:color w:val="000000"/>
          <w:sz w:val="11"/>
          <w:szCs w:val="11"/>
          <w:u w:val="none"/>
          <w:vertAlign w:val="superscript"/>
        </w:rPr>
        <w:t>13:26</w:t>
      </w:r>
      <w:r w:rsidRPr="001D3EDF">
        <w:rPr>
          <w:rFonts w:ascii="Times New Roman" w:eastAsia="Times New Roman" w:hAnsi="Times New Roman" w:cs="Times New Roman"/>
          <w:b w:val="0"/>
          <w:bCs w:val="0"/>
          <w:color w:val="000000"/>
          <w:sz w:val="15"/>
          <w:szCs w:val="15"/>
          <w:u w:val="none"/>
        </w:rPr>
        <w:t> </w:t>
      </w:r>
      <w:proofErr w:type="gramStart"/>
      <w:r w:rsidRPr="001D3EDF">
        <w:rPr>
          <w:rFonts w:ascii="Times New Roman" w:eastAsia="Times New Roman" w:hAnsi="Times New Roman" w:cs="Times New Roman"/>
          <w:b w:val="0"/>
          <w:bCs w:val="0"/>
          <w:color w:val="000000"/>
          <w:sz w:val="15"/>
          <w:szCs w:val="15"/>
          <w:u w:val="none"/>
        </w:rPr>
        <w:t>Did</w:t>
      </w:r>
      <w:proofErr w:type="gramEnd"/>
      <w:r w:rsidRPr="001D3EDF">
        <w:rPr>
          <w:rFonts w:ascii="Times New Roman" w:eastAsia="Times New Roman" w:hAnsi="Times New Roman" w:cs="Times New Roman"/>
          <w:b w:val="0"/>
          <w:bCs w:val="0"/>
          <w:color w:val="000000"/>
          <w:sz w:val="15"/>
          <w:szCs w:val="15"/>
          <w:u w:val="none"/>
        </w:rPr>
        <w:t xml:space="preserve"> not King Solomon of Israel sin on account of such women? Among the many nations there was no king like him, and he was beloved by his God, and God made him king over all Israel; nevertheless, foreign women made even him to sin. </w:t>
      </w:r>
      <w:r w:rsidRPr="001D3EDF">
        <w:rPr>
          <w:rFonts w:ascii="Times New Roman" w:eastAsia="Times New Roman" w:hAnsi="Times New Roman" w:cs="Times New Roman"/>
          <w:b w:val="0"/>
          <w:bCs w:val="0"/>
          <w:color w:val="000000"/>
          <w:sz w:val="11"/>
          <w:szCs w:val="11"/>
          <w:u w:val="none"/>
          <w:vertAlign w:val="superscript"/>
        </w:rPr>
        <w:t>13:27</w:t>
      </w:r>
      <w:r w:rsidRPr="001D3EDF">
        <w:rPr>
          <w:rFonts w:ascii="Times New Roman" w:eastAsia="Times New Roman" w:hAnsi="Times New Roman" w:cs="Times New Roman"/>
          <w:b w:val="0"/>
          <w:bCs w:val="0"/>
          <w:color w:val="000000"/>
          <w:sz w:val="15"/>
          <w:szCs w:val="15"/>
          <w:u w:val="none"/>
        </w:rPr>
        <w:t> Shall we then listen to you and do all this great evil and act treacherously against our God by marrying foreign women?”</w:t>
      </w:r>
    </w:p>
    <w:p w:rsidR="001D3EDF" w:rsidRPr="001D3EDF" w:rsidRDefault="001D3EDF" w:rsidP="001D3EDF">
      <w:pPr>
        <w:spacing w:after="0" w:line="310" w:lineRule="atLeast"/>
        <w:textAlignment w:val="top"/>
        <w:rPr>
          <w:rFonts w:ascii="Times New Roman" w:eastAsia="Times New Roman" w:hAnsi="Times New Roman" w:cs="Times New Roman"/>
          <w:b w:val="0"/>
          <w:bCs w:val="0"/>
          <w:color w:val="000000"/>
          <w:sz w:val="15"/>
          <w:szCs w:val="15"/>
          <w:u w:val="none"/>
        </w:rPr>
      </w:pP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Nehemiah emphasizes that the offspring from these mixed unions “could not speak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[13]</w:t>
      </w:r>
      <w:r w:rsidRPr="001D3EDF">
        <w:rPr>
          <w:rFonts w:ascii="Times New Roman" w:eastAsia="Times New Roman" w:hAnsi="Times New Roman" w:cs="Times New Roman"/>
          <w:b w:val="0"/>
          <w:bCs w:val="0"/>
          <w:color w:val="000000"/>
          <w:sz w:val="17"/>
          <w:szCs w:val="17"/>
          <w:u w:val="none"/>
        </w:rPr>
        <w:t> (The term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is probably more than just a </w:t>
      </w:r>
      <w:r w:rsidRPr="001D3EDF">
        <w:rPr>
          <w:rFonts w:ascii="Times New Roman" w:eastAsia="Times New Roman" w:hAnsi="Times New Roman" w:cs="Times New Roman"/>
          <w:b w:val="0"/>
          <w:bCs w:val="0"/>
          <w:i/>
          <w:iCs/>
          <w:color w:val="000000"/>
          <w:sz w:val="17"/>
          <w:u w:val="none"/>
        </w:rPr>
        <w:t>language</w:t>
      </w:r>
      <w:r w:rsidRPr="001D3EDF">
        <w:rPr>
          <w:rFonts w:ascii="Times New Roman" w:eastAsia="Times New Roman" w:hAnsi="Times New Roman" w:cs="Times New Roman"/>
          <w:b w:val="0"/>
          <w:bCs w:val="0"/>
          <w:color w:val="000000"/>
          <w:sz w:val="17"/>
          <w:szCs w:val="17"/>
          <w:u w:val="none"/>
        </w:rPr>
        <w:t>; it is arguably akin to what we would call </w:t>
      </w:r>
      <w:r w:rsidRPr="001D3EDF">
        <w:rPr>
          <w:rFonts w:ascii="Times New Roman" w:eastAsia="Times New Roman" w:hAnsi="Times New Roman" w:cs="Times New Roman"/>
          <w:b w:val="0"/>
          <w:bCs w:val="0"/>
          <w:i/>
          <w:iCs/>
          <w:color w:val="000000"/>
          <w:sz w:val="17"/>
          <w:u w:val="none"/>
        </w:rPr>
        <w:t>culture</w:t>
      </w:r>
      <w:r w:rsidRPr="001D3EDF">
        <w:rPr>
          <w:rFonts w:ascii="Times New Roman" w:eastAsia="Times New Roman" w:hAnsi="Times New Roman" w:cs="Times New Roman"/>
          <w:b w:val="0"/>
          <w:bCs w:val="0"/>
          <w:color w:val="000000"/>
          <w:sz w:val="17"/>
          <w:szCs w:val="17"/>
          <w:u w:val="none"/>
        </w:rPr>
        <w:t xml:space="preserve">, as in “the kids don’t even speak Jewish.”) If the women were integrated fully into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xml:space="preserve"> society, this would not have been a problem.</w:t>
      </w:r>
    </w:p>
    <w:p w:rsidR="001D3EDF" w:rsidRPr="001D3EDF" w:rsidRDefault="001D3EDF" w:rsidP="001D3EDF">
      <w:pPr>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1D3EDF">
        <w:rPr>
          <w:rFonts w:ascii="Times New Roman" w:eastAsia="Times New Roman" w:hAnsi="Times New Roman" w:cs="Times New Roman"/>
          <w:b w:val="0"/>
          <w:bCs w:val="0"/>
          <w:color w:val="000000"/>
          <w:sz w:val="25"/>
          <w:szCs w:val="25"/>
          <w:u w:val="none"/>
        </w:rPr>
        <w:t>Of Societies Rebuilding and Societies Thriving</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The social conditions of Ruth are much different from those in Ezra-Nehemiah. Ezra-Nehemiah describes the constitution of Judah after destruction. The province is in the throes of re-consolidating from disparate, competing clans into a community with a common vision. Its inhabitants are in the process of figuring out what it means to be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The efforts of Judah’s men to establish their prestige by marrying women from illustrious foreign families undermined these consolidation efforts.</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In Ruth, conversely, Judah is an already established society for which the marriage of someone who wishes to integrate herself fully into this society does not pose a problem. In order to underscore the very different social situations, the authors of Ruth, likely writing after Ezra-Nehemiah, at a time when Judah was more firmly established, set their story in an epoch of Israel’s early history (“during the days of the Judges” Ruth 1:1).</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 xml:space="preserve">The authors of Ruth presuppose the achievements of Ezra and Nehemiah, and take their project a step forward. In the portrait of their protagonist, they present a model for including the </w:t>
      </w:r>
      <w:proofErr w:type="gramStart"/>
      <w:r w:rsidRPr="001D3EDF">
        <w:rPr>
          <w:rFonts w:ascii="Times New Roman" w:eastAsia="Times New Roman" w:hAnsi="Times New Roman" w:cs="Times New Roman"/>
          <w:b w:val="0"/>
          <w:bCs w:val="0"/>
          <w:color w:val="000000"/>
          <w:sz w:val="17"/>
          <w:szCs w:val="17"/>
          <w:u w:val="none"/>
        </w:rPr>
        <w:t>Other</w:t>
      </w:r>
      <w:proofErr w:type="gramEnd"/>
      <w:r w:rsidRPr="001D3EDF">
        <w:rPr>
          <w:rFonts w:ascii="Times New Roman" w:eastAsia="Times New Roman" w:hAnsi="Times New Roman" w:cs="Times New Roman"/>
          <w:b w:val="0"/>
          <w:bCs w:val="0"/>
          <w:color w:val="000000"/>
          <w:sz w:val="17"/>
          <w:szCs w:val="17"/>
          <w:u w:val="none"/>
        </w:rPr>
        <w:t xml:space="preserve"> in the newly reconsolidated community of Judah. Later the rabbis would, appropriately, point to Ruth as a paradigm for their new model of integrating outsiders (</w:t>
      </w:r>
      <w:proofErr w:type="spellStart"/>
      <w:r w:rsidRPr="001D3EDF">
        <w:rPr>
          <w:rFonts w:ascii="Times New Roman" w:eastAsia="Times New Roman" w:hAnsi="Times New Roman" w:cs="Times New Roman"/>
          <w:b w:val="0"/>
          <w:bCs w:val="0"/>
          <w:i/>
          <w:iCs/>
          <w:color w:val="000000"/>
          <w:sz w:val="17"/>
          <w:u w:val="none"/>
        </w:rPr>
        <w:t>giyyur</w:t>
      </w:r>
      <w:proofErr w:type="spellEnd"/>
      <w:r w:rsidRPr="001D3EDF">
        <w:rPr>
          <w:rFonts w:ascii="Times New Roman" w:eastAsia="Times New Roman" w:hAnsi="Times New Roman" w:cs="Times New Roman"/>
          <w:b w:val="0"/>
          <w:bCs w:val="0"/>
          <w:color w:val="000000"/>
          <w:sz w:val="17"/>
          <w:szCs w:val="17"/>
          <w:u w:val="none"/>
        </w:rPr>
        <w:t> or “conversion”)</w:t>
      </w:r>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14]</w:t>
      </w:r>
    </w:p>
    <w:p w:rsidR="001D3EDF" w:rsidRPr="001D3EDF" w:rsidRDefault="001D3EDF" w:rsidP="001D3EDF">
      <w:pPr>
        <w:spacing w:before="200" w:after="100" w:line="300" w:lineRule="atLeast"/>
        <w:outlineLvl w:val="2"/>
        <w:rPr>
          <w:rFonts w:ascii="Times New Roman" w:eastAsia="Times New Roman" w:hAnsi="Times New Roman" w:cs="Times New Roman"/>
          <w:b w:val="0"/>
          <w:bCs w:val="0"/>
          <w:color w:val="000000"/>
          <w:sz w:val="21"/>
          <w:szCs w:val="21"/>
          <w:u w:val="none"/>
        </w:rPr>
      </w:pPr>
      <w:r w:rsidRPr="001D3EDF">
        <w:rPr>
          <w:rFonts w:ascii="Times New Roman" w:eastAsia="Times New Roman" w:hAnsi="Times New Roman" w:cs="Times New Roman"/>
          <w:b w:val="0"/>
          <w:bCs w:val="0"/>
          <w:color w:val="000000"/>
          <w:sz w:val="21"/>
          <w:szCs w:val="21"/>
          <w:u w:val="none"/>
        </w:rPr>
        <w:t>A Diverse Yet Unified People</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But in the end, it’s Ezra-Nehemiah that offers the enduring model for rebuilding identity. For at the center of its narrative is the account of how the people of Israel come together in Jerusalem and implore Ezra to read the Torah to the entire community (Nehemiah 8). In a way that anticipates the unifying role of the constitution for the heterogeneous population of America,</w:t>
      </w:r>
      <w:r w:rsidRPr="001D3EDF">
        <w:rPr>
          <w:rFonts w:ascii="Times New Roman" w:eastAsia="Times New Roman" w:hAnsi="Times New Roman" w:cs="Times New Roman"/>
          <w:b w:val="0"/>
          <w:bCs w:val="0"/>
          <w:color w:val="B22222"/>
          <w:sz w:val="15"/>
          <w:szCs w:val="15"/>
          <w:u w:val="none"/>
          <w:vertAlign w:val="superscript"/>
        </w:rPr>
        <w:t>[15]</w:t>
      </w:r>
      <w:r w:rsidRPr="001D3EDF">
        <w:rPr>
          <w:rFonts w:ascii="Times New Roman" w:eastAsia="Times New Roman" w:hAnsi="Times New Roman" w:cs="Times New Roman"/>
          <w:b w:val="0"/>
          <w:bCs w:val="0"/>
          <w:color w:val="000000"/>
          <w:sz w:val="17"/>
          <w:szCs w:val="17"/>
          <w:u w:val="none"/>
        </w:rPr>
        <w:t xml:space="preserve"> this text becomes the point of convergence for all the disparate groups in </w:t>
      </w:r>
      <w:proofErr w:type="spellStart"/>
      <w:r w:rsidRPr="001D3EDF">
        <w:rPr>
          <w:rFonts w:ascii="Times New Roman" w:eastAsia="Times New Roman" w:hAnsi="Times New Roman" w:cs="Times New Roman"/>
          <w:b w:val="0"/>
          <w:bCs w:val="0"/>
          <w:color w:val="000000"/>
          <w:sz w:val="17"/>
          <w:szCs w:val="17"/>
          <w:u w:val="none"/>
        </w:rPr>
        <w:t>Judahite</w:t>
      </w:r>
      <w:proofErr w:type="spellEnd"/>
      <w:r w:rsidRPr="001D3EDF">
        <w:rPr>
          <w:rFonts w:ascii="Times New Roman" w:eastAsia="Times New Roman" w:hAnsi="Times New Roman" w:cs="Times New Roman"/>
          <w:b w:val="0"/>
          <w:bCs w:val="0"/>
          <w:color w:val="000000"/>
          <w:sz w:val="17"/>
          <w:szCs w:val="17"/>
          <w:u w:val="none"/>
        </w:rPr>
        <w:t xml:space="preserve"> society to come together and affirm their mutual belonging.</w:t>
      </w:r>
    </w:p>
    <w:p w:rsidR="001D3EDF" w:rsidRPr="001D3EDF" w:rsidRDefault="001D3EDF" w:rsidP="001D3EDF">
      <w:pPr>
        <w:spacing w:line="310" w:lineRule="atLeast"/>
        <w:rPr>
          <w:rFonts w:ascii="Times New Roman" w:eastAsia="Times New Roman" w:hAnsi="Times New Roman" w:cs="Times New Roman"/>
          <w:b w:val="0"/>
          <w:bCs w:val="0"/>
          <w:color w:val="000000"/>
          <w:sz w:val="17"/>
          <w:szCs w:val="17"/>
          <w:u w:val="none"/>
        </w:rPr>
      </w:pPr>
      <w:r w:rsidRPr="001D3EDF">
        <w:rPr>
          <w:rFonts w:ascii="Times New Roman" w:eastAsia="Times New Roman" w:hAnsi="Times New Roman" w:cs="Times New Roman"/>
          <w:b w:val="0"/>
          <w:bCs w:val="0"/>
          <w:color w:val="000000"/>
          <w:sz w:val="17"/>
          <w:szCs w:val="17"/>
          <w:u w:val="none"/>
        </w:rPr>
        <w:t>From this perspective, by reading Ruth on Shavuot, we celebrate the first </w:t>
      </w:r>
      <w:proofErr w:type="spellStart"/>
      <w:r w:rsidRPr="001D3EDF">
        <w:rPr>
          <w:rFonts w:ascii="Times New Roman" w:eastAsia="Times New Roman" w:hAnsi="Times New Roman" w:cs="Times New Roman"/>
          <w:b w:val="0"/>
          <w:bCs w:val="0"/>
          <w:i/>
          <w:iCs/>
          <w:color w:val="000000"/>
          <w:sz w:val="17"/>
          <w:u w:val="none"/>
        </w:rPr>
        <w:t>Matan</w:t>
      </w:r>
      <w:proofErr w:type="spellEnd"/>
      <w:r w:rsidRPr="001D3EDF">
        <w:rPr>
          <w:rFonts w:ascii="Times New Roman" w:eastAsia="Times New Roman" w:hAnsi="Times New Roman" w:cs="Times New Roman"/>
          <w:b w:val="0"/>
          <w:bCs w:val="0"/>
          <w:i/>
          <w:iCs/>
          <w:color w:val="000000"/>
          <w:sz w:val="17"/>
          <w:u w:val="none"/>
        </w:rPr>
        <w:t xml:space="preserve"> Torah</w:t>
      </w:r>
      <w:r w:rsidRPr="001D3EDF">
        <w:rPr>
          <w:rFonts w:ascii="Times New Roman" w:eastAsia="Times New Roman" w:hAnsi="Times New Roman" w:cs="Times New Roman"/>
          <w:b w:val="0"/>
          <w:bCs w:val="0"/>
          <w:color w:val="000000"/>
          <w:sz w:val="17"/>
          <w:szCs w:val="17"/>
          <w:u w:val="none"/>
        </w:rPr>
        <w:t>, the gift of the Torah, as the basis for belonging as a diverse, yet unified people. Those who integrate the rabbinic understanding of Ruth as a budding monotheist, committed to observance of Torah and </w:t>
      </w:r>
      <w:proofErr w:type="spellStart"/>
      <w:r w:rsidRPr="001D3EDF">
        <w:rPr>
          <w:rFonts w:ascii="Times New Roman" w:eastAsia="Times New Roman" w:hAnsi="Times New Roman" w:cs="Times New Roman"/>
          <w:b w:val="0"/>
          <w:bCs w:val="0"/>
          <w:i/>
          <w:iCs/>
          <w:color w:val="000000"/>
          <w:sz w:val="17"/>
          <w:u w:val="none"/>
        </w:rPr>
        <w:t>mitzvot</w:t>
      </w:r>
      <w:proofErr w:type="spellEnd"/>
      <w:proofErr w:type="gramStart"/>
      <w:r w:rsidRPr="001D3EDF">
        <w:rPr>
          <w:rFonts w:ascii="Times New Roman" w:eastAsia="Times New Roman" w:hAnsi="Times New Roman" w:cs="Times New Roman"/>
          <w:b w:val="0"/>
          <w:bCs w:val="0"/>
          <w:color w:val="000000"/>
          <w:sz w:val="17"/>
          <w:szCs w:val="17"/>
          <w:u w:val="none"/>
        </w:rPr>
        <w:t>,</w:t>
      </w:r>
      <w:r w:rsidRPr="001D3EDF">
        <w:rPr>
          <w:rFonts w:ascii="Times New Roman" w:eastAsia="Times New Roman" w:hAnsi="Times New Roman" w:cs="Times New Roman"/>
          <w:b w:val="0"/>
          <w:bCs w:val="0"/>
          <w:color w:val="B22222"/>
          <w:sz w:val="15"/>
          <w:szCs w:val="15"/>
          <w:u w:val="none"/>
          <w:vertAlign w:val="superscript"/>
        </w:rPr>
        <w:t>[</w:t>
      </w:r>
      <w:proofErr w:type="gramEnd"/>
      <w:r w:rsidRPr="001D3EDF">
        <w:rPr>
          <w:rFonts w:ascii="Times New Roman" w:eastAsia="Times New Roman" w:hAnsi="Times New Roman" w:cs="Times New Roman"/>
          <w:b w:val="0"/>
          <w:bCs w:val="0"/>
          <w:color w:val="B22222"/>
          <w:sz w:val="15"/>
          <w:szCs w:val="15"/>
          <w:u w:val="none"/>
          <w:vertAlign w:val="superscript"/>
        </w:rPr>
        <w:t>16]</w:t>
      </w:r>
      <w:r w:rsidRPr="001D3EDF">
        <w:rPr>
          <w:rFonts w:ascii="Times New Roman" w:eastAsia="Times New Roman" w:hAnsi="Times New Roman" w:cs="Times New Roman"/>
          <w:b w:val="0"/>
          <w:bCs w:val="0"/>
          <w:color w:val="000000"/>
          <w:sz w:val="17"/>
          <w:szCs w:val="17"/>
          <w:u w:val="none"/>
        </w:rPr>
        <w:t> understand Shavuot as more than an ethnic, agriculturally oriented celebration, and highlight as well the centrality of Torah and </w:t>
      </w:r>
      <w:proofErr w:type="spellStart"/>
      <w:r w:rsidRPr="001D3EDF">
        <w:rPr>
          <w:rFonts w:ascii="Times New Roman" w:eastAsia="Times New Roman" w:hAnsi="Times New Roman" w:cs="Times New Roman"/>
          <w:b w:val="0"/>
          <w:bCs w:val="0"/>
          <w:i/>
          <w:iCs/>
          <w:color w:val="000000"/>
          <w:sz w:val="17"/>
          <w:u w:val="none"/>
        </w:rPr>
        <w:t>mitzvot</w:t>
      </w:r>
      <w:proofErr w:type="spellEnd"/>
      <w:r w:rsidRPr="001D3EDF">
        <w:rPr>
          <w:rFonts w:ascii="Times New Roman" w:eastAsia="Times New Roman" w:hAnsi="Times New Roman" w:cs="Times New Roman"/>
          <w:b w:val="0"/>
          <w:bCs w:val="0"/>
          <w:color w:val="000000"/>
          <w:sz w:val="17"/>
          <w:szCs w:val="17"/>
          <w:u w:val="none"/>
        </w:rPr>
        <w:t> to their communal life.</w:t>
      </w:r>
    </w:p>
    <w:p w:rsidR="001D3EDF" w:rsidRPr="001D3EDF" w:rsidRDefault="001D3EDF" w:rsidP="001D3EDF">
      <w:pPr>
        <w:spacing w:after="0" w:line="240" w:lineRule="auto"/>
        <w:rPr>
          <w:rFonts w:ascii="Times New Roman" w:eastAsia="Times New Roman" w:hAnsi="Times New Roman" w:cs="Times New Roman"/>
          <w:b w:val="0"/>
          <w:bCs w:val="0"/>
          <w:color w:val="2E2E2E"/>
          <w:sz w:val="24"/>
          <w:szCs w:val="24"/>
          <w:u w:val="none"/>
        </w:rPr>
      </w:pPr>
      <w:r w:rsidRPr="001D3EDF">
        <w:rPr>
          <w:rFonts w:ascii="Times New Roman" w:eastAsia="Times New Roman" w:hAnsi="Times New Roman" w:cs="Times New Roman"/>
          <w:b w:val="0"/>
          <w:bCs w:val="0"/>
          <w:color w:val="auto"/>
          <w:sz w:val="24"/>
          <w:szCs w:val="24"/>
          <w:u w:val="none"/>
        </w:rPr>
        <w:fldChar w:fldCharType="begin"/>
      </w:r>
      <w:r w:rsidRPr="001D3EDF">
        <w:rPr>
          <w:rFonts w:ascii="Times New Roman" w:eastAsia="Times New Roman" w:hAnsi="Times New Roman" w:cs="Times New Roman"/>
          <w:b w:val="0"/>
          <w:bCs w:val="0"/>
          <w:color w:val="auto"/>
          <w:sz w:val="24"/>
          <w:szCs w:val="24"/>
          <w:u w:val="none"/>
        </w:rPr>
        <w:instrText xml:space="preserve"> HYPERLINK "https://www.thetorah.com/article/contrasting-pictures-of-intermarriage-in-ruth-and-nehemiah" </w:instrText>
      </w:r>
      <w:r w:rsidRPr="001D3EDF">
        <w:rPr>
          <w:rFonts w:ascii="Times New Roman" w:eastAsia="Times New Roman" w:hAnsi="Times New Roman" w:cs="Times New Roman"/>
          <w:b w:val="0"/>
          <w:bCs w:val="0"/>
          <w:color w:val="auto"/>
          <w:sz w:val="24"/>
          <w:szCs w:val="24"/>
          <w:u w:val="none"/>
        </w:rPr>
        <w:fldChar w:fldCharType="separate"/>
      </w:r>
    </w:p>
    <w:p w:rsidR="001D3EDF" w:rsidRPr="001D3EDF" w:rsidRDefault="001D3EDF" w:rsidP="001D3EDF">
      <w:pPr>
        <w:spacing w:after="0" w:line="240" w:lineRule="auto"/>
        <w:rPr>
          <w:rFonts w:ascii="Times New Roman" w:eastAsia="Times New Roman" w:hAnsi="Times New Roman" w:cs="Times New Roman"/>
          <w:b w:val="0"/>
          <w:bCs w:val="0"/>
          <w:color w:val="C32202"/>
          <w:sz w:val="20"/>
          <w:szCs w:val="20"/>
          <w:u w:val="none"/>
        </w:rPr>
      </w:pPr>
      <w:r w:rsidRPr="001D3EDF">
        <w:rPr>
          <w:rFonts w:ascii="Times New Roman" w:eastAsia="Times New Roman" w:hAnsi="Times New Roman" w:cs="Times New Roman"/>
          <w:b w:val="0"/>
          <w:bCs w:val="0"/>
          <w:color w:val="C32202"/>
          <w:sz w:val="20"/>
          <w:szCs w:val="20"/>
          <w:u w:val="none"/>
        </w:rPr>
        <w:t>View Footnotes</w:t>
      </w:r>
    </w:p>
    <w:p w:rsidR="001D3EDF" w:rsidRPr="001D3EDF" w:rsidRDefault="001D3EDF" w:rsidP="001D3EDF">
      <w:pPr>
        <w:spacing w:after="0" w:line="240" w:lineRule="auto"/>
        <w:rPr>
          <w:rFonts w:ascii="Times New Roman" w:eastAsia="Times New Roman" w:hAnsi="Times New Roman" w:cs="Times New Roman"/>
          <w:b w:val="0"/>
          <w:bCs w:val="0"/>
          <w:color w:val="auto"/>
          <w:sz w:val="24"/>
          <w:szCs w:val="24"/>
          <w:u w:val="none"/>
        </w:rPr>
      </w:pPr>
      <w:r w:rsidRPr="001D3EDF">
        <w:rPr>
          <w:rFonts w:ascii="Times New Roman" w:eastAsia="Times New Roman" w:hAnsi="Times New Roman" w:cs="Times New Roman"/>
          <w:b w:val="0"/>
          <w:bCs w:val="0"/>
          <w:color w:val="2E2E2E"/>
          <w:sz w:val="24"/>
          <w:szCs w:val="2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contrasting-pictures-of-intermarriage-in-ruth-and-nehemiah" style="width:24pt;height:24pt" o:button="t"/>
        </w:pict>
      </w:r>
      <w:r w:rsidRPr="001D3EDF">
        <w:rPr>
          <w:rFonts w:ascii="Times New Roman" w:eastAsia="Times New Roman" w:hAnsi="Times New Roman" w:cs="Times New Roman"/>
          <w:b w:val="0"/>
          <w:bCs w:val="0"/>
          <w:color w:val="auto"/>
          <w:sz w:val="24"/>
          <w:szCs w:val="24"/>
          <w:u w:val="none"/>
        </w:rPr>
        <w:fldChar w:fldCharType="end"/>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tl/>
        </w:rPr>
      </w:pPr>
      <w:r w:rsidRPr="001D3EDF">
        <w:rPr>
          <w:rFonts w:ascii="Times New Roman" w:eastAsia="Times New Roman" w:hAnsi="Times New Roman" w:cs="Times New Roman"/>
          <w:b w:val="0"/>
          <w:bCs w:val="0"/>
          <w:color w:val="auto"/>
          <w:sz w:val="20"/>
          <w:szCs w:val="20"/>
          <w:u w:val="none"/>
        </w:rPr>
        <w:t>In fact, it occurs on the fifteenth of the month in book Jubilees, similar to so many other biblical holidays. See the discussion in Jacob Wright’s TABS article, </w:t>
      </w:r>
      <w:hyperlink r:id="rId6" w:history="1">
        <w:r w:rsidRPr="001D3EDF">
          <w:rPr>
            <w:rFonts w:ascii="Times New Roman" w:eastAsia="Times New Roman" w:hAnsi="Times New Roman" w:cs="Times New Roman"/>
            <w:b w:val="0"/>
            <w:bCs w:val="0"/>
            <w:color w:val="0000FF"/>
            <w:sz w:val="20"/>
            <w:szCs w:val="20"/>
          </w:rPr>
          <w:t>“Shabbat of the Full Moon.”</w:t>
        </w:r>
      </w:hyperlink>
      <w:r w:rsidRPr="001D3EDF">
        <w:rPr>
          <w:rFonts w:ascii="Times New Roman" w:eastAsia="Times New Roman" w:hAnsi="Times New Roman" w:cs="Times New Roman"/>
          <w:b w:val="0"/>
          <w:bCs w:val="0"/>
          <w:color w:val="auto"/>
          <w:sz w:val="20"/>
          <w:szCs w:val="20"/>
          <w:u w:val="none"/>
        </w:rPr>
        <w:t> See also Michael Segal’s TABS essay, </w:t>
      </w:r>
      <w:hyperlink r:id="rId7" w:history="1">
        <w:r w:rsidRPr="001D3EDF">
          <w:rPr>
            <w:rFonts w:ascii="Times New Roman" w:eastAsia="Times New Roman" w:hAnsi="Times New Roman" w:cs="Times New Roman"/>
            <w:b w:val="0"/>
            <w:bCs w:val="0"/>
            <w:color w:val="0000FF"/>
            <w:sz w:val="20"/>
            <w:szCs w:val="20"/>
          </w:rPr>
          <w:t>“The Festival of Covenants,”</w:t>
        </w:r>
      </w:hyperlink>
      <w:r w:rsidRPr="001D3EDF">
        <w:rPr>
          <w:rFonts w:ascii="Times New Roman" w:eastAsia="Times New Roman" w:hAnsi="Times New Roman" w:cs="Times New Roman"/>
          <w:b w:val="0"/>
          <w:bCs w:val="0"/>
          <w:color w:val="auto"/>
          <w:sz w:val="20"/>
          <w:szCs w:val="20"/>
          <w:u w:val="none"/>
        </w:rPr>
        <w:t> for a discussion of Shavuot in Jubilees.</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lastRenderedPageBreak/>
        <w:t>For more on this, see Evan Hoffman’s TABS essay, </w:t>
      </w:r>
      <w:hyperlink r:id="rId8" w:history="1">
        <w:r w:rsidRPr="001D3EDF">
          <w:rPr>
            <w:rFonts w:ascii="Times New Roman" w:eastAsia="Times New Roman" w:hAnsi="Times New Roman" w:cs="Times New Roman"/>
            <w:b w:val="0"/>
            <w:bCs w:val="0"/>
            <w:color w:val="0000FF"/>
            <w:sz w:val="20"/>
            <w:szCs w:val="20"/>
          </w:rPr>
          <w:t>“Ezekiel’s Failure to Mention Shavuot.”</w:t>
        </w:r>
      </w:hyperlink>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See Norman Solomon’s TABS essay, </w:t>
      </w:r>
      <w:hyperlink r:id="rId9" w:history="1">
        <w:r w:rsidRPr="001D3EDF">
          <w:rPr>
            <w:rFonts w:ascii="Times New Roman" w:eastAsia="Times New Roman" w:hAnsi="Times New Roman" w:cs="Times New Roman"/>
            <w:b w:val="0"/>
            <w:bCs w:val="0"/>
            <w:color w:val="0000FF"/>
            <w:sz w:val="20"/>
            <w:szCs w:val="20"/>
          </w:rPr>
          <w:t>“Shavuot: How the Festival Grew,”</w:t>
        </w:r>
      </w:hyperlink>
      <w:r w:rsidRPr="001D3EDF">
        <w:rPr>
          <w:rFonts w:ascii="Times New Roman" w:eastAsia="Times New Roman" w:hAnsi="Times New Roman" w:cs="Times New Roman"/>
          <w:b w:val="0"/>
          <w:bCs w:val="0"/>
          <w:color w:val="auto"/>
          <w:sz w:val="20"/>
          <w:szCs w:val="20"/>
          <w:u w:val="none"/>
        </w:rPr>
        <w:t> as well as Michael Segal’s (op cit.).</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Bible translations NRSV with minor adjustments.</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David dying on </w:t>
      </w:r>
      <w:proofErr w:type="spellStart"/>
      <w:r w:rsidRPr="001D3EDF">
        <w:rPr>
          <w:rFonts w:ascii="Times New Roman" w:eastAsia="Times New Roman" w:hAnsi="Times New Roman" w:cs="Times New Roman"/>
          <w:b w:val="0"/>
          <w:bCs w:val="0"/>
          <w:color w:val="auto"/>
          <w:sz w:val="20"/>
          <w:szCs w:val="20"/>
          <w:u w:val="none"/>
        </w:rPr>
        <w:t>Atzeret</w:t>
      </w:r>
      <w:proofErr w:type="spellEnd"/>
      <w:r w:rsidRPr="001D3EDF">
        <w:rPr>
          <w:rFonts w:ascii="Times New Roman" w:eastAsia="Times New Roman" w:hAnsi="Times New Roman" w:cs="Times New Roman"/>
          <w:b w:val="0"/>
          <w:bCs w:val="0"/>
          <w:color w:val="auto"/>
          <w:sz w:val="20"/>
          <w:szCs w:val="20"/>
          <w:u w:val="none"/>
        </w:rPr>
        <w:t xml:space="preserve"> (=Shavuot) appears in j. </w:t>
      </w:r>
      <w:proofErr w:type="spellStart"/>
      <w:r w:rsidRPr="001D3EDF">
        <w:rPr>
          <w:rFonts w:ascii="Times New Roman" w:eastAsia="Times New Roman" w:hAnsi="Times New Roman" w:cs="Times New Roman"/>
          <w:b w:val="0"/>
          <w:bCs w:val="0"/>
          <w:i/>
          <w:iCs/>
          <w:color w:val="auto"/>
          <w:sz w:val="20"/>
          <w:szCs w:val="20"/>
          <w:u w:val="none"/>
        </w:rPr>
        <w:t>Chagigah</w:t>
      </w:r>
      <w:proofErr w:type="spellEnd"/>
      <w:r w:rsidRPr="001D3EDF">
        <w:rPr>
          <w:rFonts w:ascii="Times New Roman" w:eastAsia="Times New Roman" w:hAnsi="Times New Roman" w:cs="Times New Roman"/>
          <w:b w:val="0"/>
          <w:bCs w:val="0"/>
          <w:color w:val="auto"/>
          <w:sz w:val="20"/>
          <w:szCs w:val="20"/>
          <w:u w:val="none"/>
        </w:rPr>
        <w:t> 2:3, and </w:t>
      </w:r>
      <w:r w:rsidRPr="001D3EDF">
        <w:rPr>
          <w:rFonts w:ascii="Times New Roman" w:eastAsia="Times New Roman" w:hAnsi="Times New Roman" w:cs="Times New Roman"/>
          <w:b w:val="0"/>
          <w:bCs w:val="0"/>
          <w:i/>
          <w:iCs/>
          <w:color w:val="auto"/>
          <w:sz w:val="20"/>
          <w:szCs w:val="20"/>
          <w:u w:val="none"/>
        </w:rPr>
        <w:t xml:space="preserve">Ruth </w:t>
      </w:r>
      <w:proofErr w:type="spellStart"/>
      <w:r w:rsidRPr="001D3EDF">
        <w:rPr>
          <w:rFonts w:ascii="Times New Roman" w:eastAsia="Times New Roman" w:hAnsi="Times New Roman" w:cs="Times New Roman"/>
          <w:b w:val="0"/>
          <w:bCs w:val="0"/>
          <w:i/>
          <w:iCs/>
          <w:color w:val="auto"/>
          <w:sz w:val="20"/>
          <w:szCs w:val="20"/>
          <w:u w:val="none"/>
        </w:rPr>
        <w:t>Rabbah</w:t>
      </w:r>
      <w:proofErr w:type="spellEnd"/>
      <w:r w:rsidRPr="001D3EDF">
        <w:rPr>
          <w:rFonts w:ascii="Times New Roman" w:eastAsia="Times New Roman" w:hAnsi="Times New Roman" w:cs="Times New Roman"/>
          <w:b w:val="0"/>
          <w:bCs w:val="0"/>
          <w:color w:val="auto"/>
          <w:sz w:val="20"/>
          <w:szCs w:val="20"/>
          <w:u w:val="none"/>
        </w:rPr>
        <w:t> 3:2.</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In his </w:t>
      </w:r>
      <w:r w:rsidRPr="001D3EDF">
        <w:rPr>
          <w:rFonts w:ascii="Times New Roman" w:eastAsia="Times New Roman" w:hAnsi="Times New Roman" w:cs="Times New Roman"/>
          <w:b w:val="0"/>
          <w:bCs w:val="0"/>
          <w:i/>
          <w:iCs/>
          <w:color w:val="auto"/>
          <w:sz w:val="20"/>
          <w:szCs w:val="20"/>
          <w:u w:val="none"/>
        </w:rPr>
        <w:t>David, King of Israel, and Caleb in Biblical Memory </w:t>
      </w:r>
      <w:r w:rsidRPr="001D3EDF">
        <w:rPr>
          <w:rFonts w:ascii="Times New Roman" w:eastAsia="Times New Roman" w:hAnsi="Times New Roman" w:cs="Times New Roman"/>
          <w:b w:val="0"/>
          <w:bCs w:val="0"/>
          <w:color w:val="auto"/>
          <w:sz w:val="20"/>
          <w:szCs w:val="20"/>
          <w:u w:val="none"/>
        </w:rPr>
        <w:t xml:space="preserve">(New York: Cambridge Univ. Press, 2014), Wright shows how biblical author used war commemoration as a means of negotiating these issues of belonging, and how biblical narratives often provide readers with a basis for complicating simplistic application of the law. This idea is in line with current trends in </w:t>
      </w:r>
      <w:proofErr w:type="spellStart"/>
      <w:r w:rsidRPr="001D3EDF">
        <w:rPr>
          <w:rFonts w:ascii="Times New Roman" w:eastAsia="Times New Roman" w:hAnsi="Times New Roman" w:cs="Times New Roman"/>
          <w:b w:val="0"/>
          <w:bCs w:val="0"/>
          <w:color w:val="auto"/>
          <w:sz w:val="20"/>
          <w:szCs w:val="20"/>
          <w:u w:val="none"/>
        </w:rPr>
        <w:t>Bavli</w:t>
      </w:r>
      <w:proofErr w:type="spellEnd"/>
      <w:r w:rsidRPr="001D3EDF">
        <w:rPr>
          <w:rFonts w:ascii="Times New Roman" w:eastAsia="Times New Roman" w:hAnsi="Times New Roman" w:cs="Times New Roman"/>
          <w:b w:val="0"/>
          <w:bCs w:val="0"/>
          <w:color w:val="auto"/>
          <w:sz w:val="20"/>
          <w:szCs w:val="20"/>
          <w:u w:val="none"/>
        </w:rPr>
        <w:t xml:space="preserve"> studies with regard to about how the </w:t>
      </w:r>
      <w:proofErr w:type="spellStart"/>
      <w:r w:rsidRPr="001D3EDF">
        <w:rPr>
          <w:rFonts w:ascii="Times New Roman" w:eastAsia="Times New Roman" w:hAnsi="Times New Roman" w:cs="Times New Roman"/>
          <w:b w:val="0"/>
          <w:bCs w:val="0"/>
          <w:i/>
          <w:iCs/>
          <w:color w:val="auto"/>
          <w:sz w:val="20"/>
          <w:szCs w:val="20"/>
          <w:u w:val="none"/>
        </w:rPr>
        <w:t>stam</w:t>
      </w:r>
      <w:proofErr w:type="spellEnd"/>
      <w:r w:rsidRPr="001D3EDF">
        <w:rPr>
          <w:rFonts w:ascii="Times New Roman" w:eastAsia="Times New Roman" w:hAnsi="Times New Roman" w:cs="Times New Roman"/>
          <w:b w:val="0"/>
          <w:bCs w:val="0"/>
          <w:color w:val="auto"/>
          <w:sz w:val="20"/>
          <w:szCs w:val="20"/>
          <w:u w:val="none"/>
        </w:rPr>
        <w:t xml:space="preserve"> (unnamed editors) organized material, and specifically, the interplay between </w:t>
      </w:r>
      <w:proofErr w:type="spellStart"/>
      <w:proofErr w:type="gramStart"/>
      <w:r w:rsidRPr="001D3EDF">
        <w:rPr>
          <w:rFonts w:ascii="Times New Roman" w:eastAsia="Times New Roman" w:hAnsi="Times New Roman" w:cs="Times New Roman"/>
          <w:b w:val="0"/>
          <w:bCs w:val="0"/>
          <w:color w:val="auto"/>
          <w:sz w:val="20"/>
          <w:szCs w:val="20"/>
          <w:u w:val="none"/>
        </w:rPr>
        <w:t>halacha</w:t>
      </w:r>
      <w:proofErr w:type="spellEnd"/>
      <w:proofErr w:type="gramEnd"/>
      <w:r w:rsidRPr="001D3EDF">
        <w:rPr>
          <w:rFonts w:ascii="Times New Roman" w:eastAsia="Times New Roman" w:hAnsi="Times New Roman" w:cs="Times New Roman"/>
          <w:b w:val="0"/>
          <w:bCs w:val="0"/>
          <w:color w:val="auto"/>
          <w:sz w:val="20"/>
          <w:szCs w:val="20"/>
          <w:u w:val="none"/>
        </w:rPr>
        <w:t xml:space="preserve"> and </w:t>
      </w:r>
      <w:proofErr w:type="spellStart"/>
      <w:r w:rsidRPr="001D3EDF">
        <w:rPr>
          <w:rFonts w:ascii="Times New Roman" w:eastAsia="Times New Roman" w:hAnsi="Times New Roman" w:cs="Times New Roman"/>
          <w:b w:val="0"/>
          <w:bCs w:val="0"/>
          <w:color w:val="auto"/>
          <w:sz w:val="20"/>
          <w:szCs w:val="20"/>
          <w:u w:val="none"/>
        </w:rPr>
        <w:t>aggada</w:t>
      </w:r>
      <w:proofErr w:type="spellEnd"/>
      <w:r w:rsidRPr="001D3EDF">
        <w:rPr>
          <w:rFonts w:ascii="Times New Roman" w:eastAsia="Times New Roman" w:hAnsi="Times New Roman" w:cs="Times New Roman"/>
          <w:b w:val="0"/>
          <w:bCs w:val="0"/>
          <w:color w:val="auto"/>
          <w:sz w:val="20"/>
          <w:szCs w:val="20"/>
          <w:u w:val="none"/>
        </w:rPr>
        <w:t xml:space="preserve">. See, for example, Barry Scott </w:t>
      </w:r>
      <w:proofErr w:type="spellStart"/>
      <w:r w:rsidRPr="001D3EDF">
        <w:rPr>
          <w:rFonts w:ascii="Times New Roman" w:eastAsia="Times New Roman" w:hAnsi="Times New Roman" w:cs="Times New Roman"/>
          <w:b w:val="0"/>
          <w:bCs w:val="0"/>
          <w:color w:val="auto"/>
          <w:sz w:val="20"/>
          <w:szCs w:val="20"/>
          <w:u w:val="none"/>
        </w:rPr>
        <w:t>Wimpfheimer</w:t>
      </w:r>
      <w:proofErr w:type="spellEnd"/>
      <w:r w:rsidRPr="001D3EDF">
        <w:rPr>
          <w:rFonts w:ascii="Times New Roman" w:eastAsia="Times New Roman" w:hAnsi="Times New Roman" w:cs="Times New Roman"/>
          <w:b w:val="0"/>
          <w:bCs w:val="0"/>
          <w:color w:val="auto"/>
          <w:sz w:val="20"/>
          <w:szCs w:val="20"/>
          <w:u w:val="none"/>
        </w:rPr>
        <w:t>, </w:t>
      </w:r>
      <w:r w:rsidRPr="001D3EDF">
        <w:rPr>
          <w:rFonts w:ascii="Times New Roman" w:eastAsia="Times New Roman" w:hAnsi="Times New Roman" w:cs="Times New Roman"/>
          <w:b w:val="0"/>
          <w:bCs w:val="0"/>
          <w:i/>
          <w:iCs/>
          <w:color w:val="auto"/>
          <w:sz w:val="20"/>
          <w:szCs w:val="20"/>
          <w:u w:val="none"/>
        </w:rPr>
        <w:t xml:space="preserve">Narrating the Law: </w:t>
      </w:r>
      <w:proofErr w:type="gramStart"/>
      <w:r w:rsidRPr="001D3EDF">
        <w:rPr>
          <w:rFonts w:ascii="Times New Roman" w:eastAsia="Times New Roman" w:hAnsi="Times New Roman" w:cs="Times New Roman"/>
          <w:b w:val="0"/>
          <w:bCs w:val="0"/>
          <w:i/>
          <w:iCs/>
          <w:color w:val="auto"/>
          <w:sz w:val="20"/>
          <w:szCs w:val="20"/>
          <w:u w:val="none"/>
        </w:rPr>
        <w:t>A</w:t>
      </w:r>
      <w:proofErr w:type="gramEnd"/>
      <w:r w:rsidRPr="001D3EDF">
        <w:rPr>
          <w:rFonts w:ascii="Times New Roman" w:eastAsia="Times New Roman" w:hAnsi="Times New Roman" w:cs="Times New Roman"/>
          <w:b w:val="0"/>
          <w:bCs w:val="0"/>
          <w:i/>
          <w:iCs/>
          <w:color w:val="auto"/>
          <w:sz w:val="20"/>
          <w:szCs w:val="20"/>
          <w:u w:val="none"/>
        </w:rPr>
        <w:t xml:space="preserve"> Poetics of Talmudic Legal Stories</w:t>
      </w:r>
      <w:r w:rsidRPr="001D3EDF">
        <w:rPr>
          <w:rFonts w:ascii="Times New Roman" w:eastAsia="Times New Roman" w:hAnsi="Times New Roman" w:cs="Times New Roman"/>
          <w:b w:val="0"/>
          <w:bCs w:val="0"/>
          <w:color w:val="auto"/>
          <w:sz w:val="20"/>
          <w:szCs w:val="20"/>
          <w:u w:val="none"/>
        </w:rPr>
        <w:t> (Divinations: Rereading Late Ancient Religion; Philadelphia: University of Pennsylvania Press, 2011).</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See </w:t>
      </w:r>
      <w:proofErr w:type="spellStart"/>
      <w:r w:rsidRPr="001D3EDF">
        <w:rPr>
          <w:rFonts w:ascii="Times New Roman" w:eastAsia="Times New Roman" w:hAnsi="Times New Roman" w:cs="Times New Roman"/>
          <w:b w:val="0"/>
          <w:bCs w:val="0"/>
          <w:i/>
          <w:iCs/>
          <w:color w:val="auto"/>
          <w:sz w:val="20"/>
          <w:szCs w:val="20"/>
          <w:u w:val="none"/>
        </w:rPr>
        <w:t>Pesikta</w:t>
      </w:r>
      <w:proofErr w:type="spellEnd"/>
      <w:r w:rsidRPr="001D3EDF">
        <w:rPr>
          <w:rFonts w:ascii="Times New Roman" w:eastAsia="Times New Roman" w:hAnsi="Times New Roman" w:cs="Times New Roman"/>
          <w:b w:val="0"/>
          <w:bCs w:val="0"/>
          <w:i/>
          <w:iCs/>
          <w:color w:val="auto"/>
          <w:sz w:val="20"/>
          <w:szCs w:val="20"/>
          <w:u w:val="none"/>
        </w:rPr>
        <w:t xml:space="preserve"> de </w:t>
      </w:r>
      <w:proofErr w:type="spellStart"/>
      <w:r w:rsidRPr="001D3EDF">
        <w:rPr>
          <w:rFonts w:ascii="Times New Roman" w:eastAsia="Times New Roman" w:hAnsi="Times New Roman" w:cs="Times New Roman"/>
          <w:b w:val="0"/>
          <w:bCs w:val="0"/>
          <w:i/>
          <w:iCs/>
          <w:color w:val="auto"/>
          <w:sz w:val="20"/>
          <w:szCs w:val="20"/>
          <w:u w:val="none"/>
        </w:rPr>
        <w:t>Rav</w:t>
      </w:r>
      <w:proofErr w:type="spellEnd"/>
      <w:r w:rsidRPr="001D3EDF">
        <w:rPr>
          <w:rFonts w:ascii="Times New Roman" w:eastAsia="Times New Roman" w:hAnsi="Times New Roman" w:cs="Times New Roman"/>
          <w:b w:val="0"/>
          <w:bCs w:val="0"/>
          <w:i/>
          <w:iCs/>
          <w:color w:val="auto"/>
          <w:sz w:val="20"/>
          <w:szCs w:val="20"/>
          <w:u w:val="none"/>
        </w:rPr>
        <w:t xml:space="preserve"> </w:t>
      </w:r>
      <w:proofErr w:type="spellStart"/>
      <w:r w:rsidRPr="001D3EDF">
        <w:rPr>
          <w:rFonts w:ascii="Times New Roman" w:eastAsia="Times New Roman" w:hAnsi="Times New Roman" w:cs="Times New Roman"/>
          <w:b w:val="0"/>
          <w:bCs w:val="0"/>
          <w:i/>
          <w:iCs/>
          <w:color w:val="auto"/>
          <w:sz w:val="20"/>
          <w:szCs w:val="20"/>
          <w:u w:val="none"/>
        </w:rPr>
        <w:t>Kahana</w:t>
      </w:r>
      <w:proofErr w:type="spellEnd"/>
      <w:r w:rsidRPr="001D3EDF">
        <w:rPr>
          <w:rFonts w:ascii="Times New Roman" w:eastAsia="Times New Roman" w:hAnsi="Times New Roman" w:cs="Times New Roman"/>
          <w:b w:val="0"/>
          <w:bCs w:val="0"/>
          <w:color w:val="auto"/>
          <w:sz w:val="20"/>
          <w:szCs w:val="20"/>
          <w:u w:val="none"/>
        </w:rPr>
        <w:t> “</w:t>
      </w:r>
      <w:proofErr w:type="spellStart"/>
      <w:r w:rsidRPr="001D3EDF">
        <w:rPr>
          <w:rFonts w:ascii="Times New Roman" w:eastAsia="Times New Roman" w:hAnsi="Times New Roman" w:cs="Times New Roman"/>
          <w:b w:val="0"/>
          <w:bCs w:val="0"/>
          <w:color w:val="auto"/>
          <w:sz w:val="20"/>
          <w:szCs w:val="20"/>
          <w:u w:val="none"/>
        </w:rPr>
        <w:t>Nachamu</w:t>
      </w:r>
      <w:proofErr w:type="spellEnd"/>
      <w:r w:rsidRPr="001D3EDF">
        <w:rPr>
          <w:rFonts w:ascii="Times New Roman" w:eastAsia="Times New Roman" w:hAnsi="Times New Roman" w:cs="Times New Roman"/>
          <w:b w:val="0"/>
          <w:bCs w:val="0"/>
          <w:color w:val="auto"/>
          <w:sz w:val="20"/>
          <w:szCs w:val="20"/>
          <w:u w:val="none"/>
        </w:rPr>
        <w:t xml:space="preserve">” 16.1. Perhaps even more radical is the story in the </w:t>
      </w:r>
      <w:proofErr w:type="spellStart"/>
      <w:r w:rsidRPr="001D3EDF">
        <w:rPr>
          <w:rFonts w:ascii="Times New Roman" w:eastAsia="Times New Roman" w:hAnsi="Times New Roman" w:cs="Times New Roman"/>
          <w:b w:val="0"/>
          <w:bCs w:val="0"/>
          <w:color w:val="auto"/>
          <w:sz w:val="20"/>
          <w:szCs w:val="20"/>
          <w:u w:val="none"/>
        </w:rPr>
        <w:t>Bavli</w:t>
      </w:r>
      <w:proofErr w:type="spellEnd"/>
      <w:r w:rsidRPr="001D3EDF">
        <w:rPr>
          <w:rFonts w:ascii="Times New Roman" w:eastAsia="Times New Roman" w:hAnsi="Times New Roman" w:cs="Times New Roman"/>
          <w:b w:val="0"/>
          <w:bCs w:val="0"/>
          <w:color w:val="auto"/>
          <w:sz w:val="20"/>
          <w:szCs w:val="20"/>
          <w:u w:val="none"/>
        </w:rPr>
        <w:t xml:space="preserve"> about </w:t>
      </w:r>
      <w:proofErr w:type="spellStart"/>
      <w:r w:rsidRPr="001D3EDF">
        <w:rPr>
          <w:rFonts w:ascii="Times New Roman" w:eastAsia="Times New Roman" w:hAnsi="Times New Roman" w:cs="Times New Roman"/>
          <w:b w:val="0"/>
          <w:bCs w:val="0"/>
          <w:color w:val="auto"/>
          <w:sz w:val="20"/>
          <w:szCs w:val="20"/>
          <w:u w:val="none"/>
        </w:rPr>
        <w:t>Amasa</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ben</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Yeter</w:t>
      </w:r>
      <w:proofErr w:type="spellEnd"/>
      <w:r w:rsidRPr="001D3EDF">
        <w:rPr>
          <w:rFonts w:ascii="Times New Roman" w:eastAsia="Times New Roman" w:hAnsi="Times New Roman" w:cs="Times New Roman"/>
          <w:b w:val="0"/>
          <w:bCs w:val="0"/>
          <w:color w:val="auto"/>
          <w:sz w:val="20"/>
          <w:szCs w:val="20"/>
          <w:u w:val="none"/>
        </w:rPr>
        <w:t>, who is purported to have threatened to stab anybody who did not accept that the court of Samuel the Prophet already decided that the law does not apply to Ammonite or Moabite women (b. </w:t>
      </w:r>
      <w:proofErr w:type="spellStart"/>
      <w:r w:rsidRPr="001D3EDF">
        <w:rPr>
          <w:rFonts w:ascii="Times New Roman" w:eastAsia="Times New Roman" w:hAnsi="Times New Roman" w:cs="Times New Roman"/>
          <w:b w:val="0"/>
          <w:bCs w:val="0"/>
          <w:i/>
          <w:iCs/>
          <w:color w:val="auto"/>
          <w:sz w:val="20"/>
          <w:szCs w:val="20"/>
          <w:u w:val="none"/>
        </w:rPr>
        <w:t>Yebamot</w:t>
      </w:r>
      <w:proofErr w:type="spellEnd"/>
      <w:r w:rsidRPr="001D3EDF">
        <w:rPr>
          <w:rFonts w:ascii="Times New Roman" w:eastAsia="Times New Roman" w:hAnsi="Times New Roman" w:cs="Times New Roman"/>
          <w:b w:val="0"/>
          <w:bCs w:val="0"/>
          <w:color w:val="auto"/>
          <w:sz w:val="20"/>
          <w:szCs w:val="20"/>
          <w:u w:val="none"/>
        </w:rPr>
        <w:t xml:space="preserve"> 77a). For more on this, see Tamara Cohn </w:t>
      </w:r>
      <w:proofErr w:type="spellStart"/>
      <w:r w:rsidRPr="001D3EDF">
        <w:rPr>
          <w:rFonts w:ascii="Times New Roman" w:eastAsia="Times New Roman" w:hAnsi="Times New Roman" w:cs="Times New Roman"/>
          <w:b w:val="0"/>
          <w:bCs w:val="0"/>
          <w:color w:val="auto"/>
          <w:sz w:val="20"/>
          <w:szCs w:val="20"/>
          <w:u w:val="none"/>
        </w:rPr>
        <w:t>Eskanazi’s</w:t>
      </w:r>
      <w:proofErr w:type="spellEnd"/>
      <w:r w:rsidRPr="001D3EDF">
        <w:rPr>
          <w:rFonts w:ascii="Times New Roman" w:eastAsia="Times New Roman" w:hAnsi="Times New Roman" w:cs="Times New Roman"/>
          <w:b w:val="0"/>
          <w:bCs w:val="0"/>
          <w:color w:val="auto"/>
          <w:sz w:val="20"/>
          <w:szCs w:val="20"/>
          <w:u w:val="none"/>
        </w:rPr>
        <w:t xml:space="preserve"> TABS essay, </w:t>
      </w:r>
      <w:hyperlink r:id="rId10" w:history="1">
        <w:r w:rsidRPr="001D3EDF">
          <w:rPr>
            <w:rFonts w:ascii="Times New Roman" w:eastAsia="Times New Roman" w:hAnsi="Times New Roman" w:cs="Times New Roman"/>
            <w:b w:val="0"/>
            <w:bCs w:val="0"/>
            <w:color w:val="0000FF"/>
            <w:sz w:val="20"/>
            <w:szCs w:val="20"/>
          </w:rPr>
          <w:t>“</w:t>
        </w:r>
        <w:proofErr w:type="spellStart"/>
        <w:r w:rsidRPr="001D3EDF">
          <w:rPr>
            <w:rFonts w:ascii="Times New Roman" w:eastAsia="Times New Roman" w:hAnsi="Times New Roman" w:cs="Times New Roman"/>
            <w:b w:val="0"/>
            <w:bCs w:val="0"/>
            <w:color w:val="0000FF"/>
            <w:sz w:val="20"/>
            <w:szCs w:val="20"/>
          </w:rPr>
          <w:t>Megillat</w:t>
        </w:r>
        <w:proofErr w:type="spellEnd"/>
        <w:r w:rsidRPr="001D3EDF">
          <w:rPr>
            <w:rFonts w:ascii="Times New Roman" w:eastAsia="Times New Roman" w:hAnsi="Times New Roman" w:cs="Times New Roman"/>
            <w:b w:val="0"/>
            <w:bCs w:val="0"/>
            <w:color w:val="0000FF"/>
            <w:sz w:val="20"/>
            <w:szCs w:val="20"/>
          </w:rPr>
          <w:t xml:space="preserve"> Ruth: When Kindness Conflicts with Torah.”</w:t>
        </w:r>
      </w:hyperlink>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For a nuanced example of this kind of comparison, focusing on the philosophical differences between the two works with regard to the nature of Israel, see </w:t>
      </w:r>
      <w:proofErr w:type="spellStart"/>
      <w:r w:rsidRPr="001D3EDF">
        <w:rPr>
          <w:rFonts w:ascii="Times New Roman" w:eastAsia="Times New Roman" w:hAnsi="Times New Roman" w:cs="Times New Roman"/>
          <w:b w:val="0"/>
          <w:bCs w:val="0"/>
          <w:color w:val="auto"/>
          <w:sz w:val="20"/>
          <w:szCs w:val="20"/>
          <w:u w:val="none"/>
        </w:rPr>
        <w:t>Menachem</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Kellner’s</w:t>
      </w:r>
      <w:proofErr w:type="spellEnd"/>
      <w:r w:rsidRPr="001D3EDF">
        <w:rPr>
          <w:rFonts w:ascii="Times New Roman" w:eastAsia="Times New Roman" w:hAnsi="Times New Roman" w:cs="Times New Roman"/>
          <w:b w:val="0"/>
          <w:bCs w:val="0"/>
          <w:color w:val="auto"/>
          <w:sz w:val="20"/>
          <w:szCs w:val="20"/>
          <w:u w:val="none"/>
        </w:rPr>
        <w:t xml:space="preserve"> TABS essay, </w:t>
      </w:r>
      <w:hyperlink r:id="rId11" w:history="1">
        <w:r w:rsidRPr="001D3EDF">
          <w:rPr>
            <w:rFonts w:ascii="Times New Roman" w:eastAsia="Times New Roman" w:hAnsi="Times New Roman" w:cs="Times New Roman"/>
            <w:b w:val="0"/>
            <w:bCs w:val="0"/>
            <w:color w:val="0000FF"/>
            <w:sz w:val="20"/>
            <w:szCs w:val="20"/>
          </w:rPr>
          <w:t>“</w:t>
        </w:r>
        <w:proofErr w:type="spellStart"/>
        <w:r w:rsidRPr="001D3EDF">
          <w:rPr>
            <w:rFonts w:ascii="Times New Roman" w:eastAsia="Times New Roman" w:hAnsi="Times New Roman" w:cs="Times New Roman"/>
            <w:b w:val="0"/>
            <w:bCs w:val="0"/>
            <w:color w:val="0000FF"/>
            <w:sz w:val="20"/>
            <w:szCs w:val="20"/>
          </w:rPr>
          <w:t>Ralbag’s</w:t>
        </w:r>
        <w:proofErr w:type="spellEnd"/>
        <w:r w:rsidRPr="001D3EDF">
          <w:rPr>
            <w:rFonts w:ascii="Times New Roman" w:eastAsia="Times New Roman" w:hAnsi="Times New Roman" w:cs="Times New Roman"/>
            <w:b w:val="0"/>
            <w:bCs w:val="0"/>
            <w:color w:val="0000FF"/>
            <w:sz w:val="20"/>
            <w:szCs w:val="20"/>
          </w:rPr>
          <w:t xml:space="preserve"> Surprising Take on Ruth’s Conversion.”</w:t>
        </w:r>
      </w:hyperlink>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Tamara Cohn </w:t>
      </w:r>
      <w:proofErr w:type="spellStart"/>
      <w:r w:rsidRPr="001D3EDF">
        <w:rPr>
          <w:rFonts w:ascii="Times New Roman" w:eastAsia="Times New Roman" w:hAnsi="Times New Roman" w:cs="Times New Roman"/>
          <w:b w:val="0"/>
          <w:bCs w:val="0"/>
          <w:color w:val="auto"/>
          <w:sz w:val="20"/>
          <w:szCs w:val="20"/>
          <w:u w:val="none"/>
        </w:rPr>
        <w:t>Eskenazi</w:t>
      </w:r>
      <w:proofErr w:type="spellEnd"/>
      <w:r w:rsidRPr="001D3EDF">
        <w:rPr>
          <w:rFonts w:ascii="Times New Roman" w:eastAsia="Times New Roman" w:hAnsi="Times New Roman" w:cs="Times New Roman"/>
          <w:b w:val="0"/>
          <w:bCs w:val="0"/>
          <w:color w:val="auto"/>
          <w:sz w:val="20"/>
          <w:szCs w:val="20"/>
          <w:u w:val="none"/>
        </w:rPr>
        <w:t xml:space="preserve"> and </w:t>
      </w:r>
      <w:proofErr w:type="spellStart"/>
      <w:r w:rsidRPr="001D3EDF">
        <w:rPr>
          <w:rFonts w:ascii="Times New Roman" w:eastAsia="Times New Roman" w:hAnsi="Times New Roman" w:cs="Times New Roman"/>
          <w:b w:val="0"/>
          <w:bCs w:val="0"/>
          <w:color w:val="auto"/>
          <w:sz w:val="20"/>
          <w:szCs w:val="20"/>
          <w:u w:val="none"/>
        </w:rPr>
        <w:t>Tikva</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Frymer-Kensky</w:t>
      </w:r>
      <w:proofErr w:type="spellEnd"/>
      <w:r w:rsidRPr="001D3EDF">
        <w:rPr>
          <w:rFonts w:ascii="Times New Roman" w:eastAsia="Times New Roman" w:hAnsi="Times New Roman" w:cs="Times New Roman"/>
          <w:b w:val="0"/>
          <w:bCs w:val="0"/>
          <w:color w:val="auto"/>
          <w:sz w:val="20"/>
          <w:szCs w:val="20"/>
          <w:u w:val="none"/>
        </w:rPr>
        <w:t>, </w:t>
      </w:r>
      <w:r w:rsidRPr="001D3EDF">
        <w:rPr>
          <w:rFonts w:ascii="Times New Roman" w:eastAsia="Times New Roman" w:hAnsi="Times New Roman" w:cs="Times New Roman"/>
          <w:b w:val="0"/>
          <w:bCs w:val="0"/>
          <w:i/>
          <w:iCs/>
          <w:color w:val="auto"/>
          <w:sz w:val="20"/>
          <w:szCs w:val="20"/>
          <w:u w:val="none"/>
        </w:rPr>
        <w:t>JPS Bible Commentary: Ruth</w:t>
      </w:r>
      <w:r w:rsidRPr="001D3EDF">
        <w:rPr>
          <w:rFonts w:ascii="Times New Roman" w:eastAsia="Times New Roman" w:hAnsi="Times New Roman" w:cs="Times New Roman"/>
          <w:b w:val="0"/>
          <w:bCs w:val="0"/>
          <w:color w:val="auto"/>
          <w:sz w:val="20"/>
          <w:szCs w:val="20"/>
          <w:u w:val="none"/>
        </w:rPr>
        <w:t> (Philadelphia: JPS), 2012.</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See discussion in </w:t>
      </w:r>
      <w:proofErr w:type="spellStart"/>
      <w:r w:rsidRPr="001D3EDF">
        <w:rPr>
          <w:rFonts w:ascii="Times New Roman" w:eastAsia="Times New Roman" w:hAnsi="Times New Roman" w:cs="Times New Roman"/>
          <w:b w:val="0"/>
          <w:bCs w:val="0"/>
          <w:color w:val="auto"/>
          <w:sz w:val="20"/>
          <w:szCs w:val="20"/>
          <w:u w:val="none"/>
        </w:rPr>
        <w:t>Yonina</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Dor</w:t>
      </w:r>
      <w:proofErr w:type="spellEnd"/>
      <w:r w:rsidRPr="001D3EDF">
        <w:rPr>
          <w:rFonts w:ascii="Times New Roman" w:eastAsia="Times New Roman" w:hAnsi="Times New Roman" w:cs="Times New Roman"/>
          <w:b w:val="0"/>
          <w:bCs w:val="0"/>
          <w:color w:val="auto"/>
          <w:sz w:val="20"/>
          <w:szCs w:val="20"/>
          <w:u w:val="none"/>
        </w:rPr>
        <w:t>, </w:t>
      </w:r>
      <w:r w:rsidRPr="001D3EDF">
        <w:rPr>
          <w:rFonts w:ascii="Times New Roman" w:eastAsia="Times New Roman" w:hAnsi="Times New Roman" w:cs="Times New Roman"/>
          <w:b w:val="0"/>
          <w:bCs w:val="0"/>
          <w:i/>
          <w:iCs/>
          <w:color w:val="auto"/>
          <w:sz w:val="20"/>
          <w:szCs w:val="20"/>
          <w:u w:val="none"/>
        </w:rPr>
        <w:t>Have the “Foreign Women” Really been Expelled? Separation and Exclusion in the Restoration Period</w:t>
      </w:r>
      <w:r w:rsidRPr="001D3EDF">
        <w:rPr>
          <w:rFonts w:ascii="Times New Roman" w:eastAsia="Times New Roman" w:hAnsi="Times New Roman" w:cs="Times New Roman"/>
          <w:b w:val="0"/>
          <w:bCs w:val="0"/>
          <w:color w:val="auto"/>
          <w:sz w:val="20"/>
          <w:szCs w:val="20"/>
          <w:u w:val="none"/>
        </w:rPr>
        <w:t xml:space="preserve"> (Jerusalem: </w:t>
      </w:r>
      <w:proofErr w:type="spellStart"/>
      <w:r w:rsidRPr="001D3EDF">
        <w:rPr>
          <w:rFonts w:ascii="Times New Roman" w:eastAsia="Times New Roman" w:hAnsi="Times New Roman" w:cs="Times New Roman"/>
          <w:b w:val="0"/>
          <w:bCs w:val="0"/>
          <w:color w:val="auto"/>
          <w:sz w:val="20"/>
          <w:szCs w:val="20"/>
          <w:u w:val="none"/>
        </w:rPr>
        <w:t>Magness</w:t>
      </w:r>
      <w:proofErr w:type="spellEnd"/>
      <w:r w:rsidRPr="001D3EDF">
        <w:rPr>
          <w:rFonts w:ascii="Times New Roman" w:eastAsia="Times New Roman" w:hAnsi="Times New Roman" w:cs="Times New Roman"/>
          <w:b w:val="0"/>
          <w:bCs w:val="0"/>
          <w:color w:val="auto"/>
          <w:sz w:val="20"/>
          <w:szCs w:val="20"/>
          <w:u w:val="none"/>
        </w:rPr>
        <w:t>, 2002) [Hebrew].</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See, Neil Glover, “Your People, My People: An Exploration of Ethnicity in Ruth,” </w:t>
      </w:r>
      <w:r w:rsidRPr="001D3EDF">
        <w:rPr>
          <w:rFonts w:ascii="Times New Roman" w:eastAsia="Times New Roman" w:hAnsi="Times New Roman" w:cs="Times New Roman"/>
          <w:b w:val="0"/>
          <w:bCs w:val="0"/>
          <w:i/>
          <w:iCs/>
          <w:color w:val="auto"/>
          <w:sz w:val="20"/>
          <w:szCs w:val="20"/>
          <w:u w:val="none"/>
        </w:rPr>
        <w:t>JSOT</w:t>
      </w:r>
      <w:r w:rsidRPr="001D3EDF">
        <w:rPr>
          <w:rFonts w:ascii="Times New Roman" w:eastAsia="Times New Roman" w:hAnsi="Times New Roman" w:cs="Times New Roman"/>
          <w:b w:val="0"/>
          <w:bCs w:val="0"/>
          <w:color w:val="auto"/>
          <w:sz w:val="20"/>
          <w:szCs w:val="20"/>
          <w:u w:val="none"/>
        </w:rPr>
        <w:t xml:space="preserve"> 33 (2009): 293-313. Glover helpfully identifies stages in the construction of religious identity. Ruth herself expresses her commitment to Naomi with threefold categories: “Wherever you go, I </w:t>
      </w:r>
      <w:proofErr w:type="gramStart"/>
      <w:r w:rsidRPr="001D3EDF">
        <w:rPr>
          <w:rFonts w:ascii="Times New Roman" w:eastAsia="Times New Roman" w:hAnsi="Times New Roman" w:cs="Times New Roman"/>
          <w:b w:val="0"/>
          <w:bCs w:val="0"/>
          <w:color w:val="auto"/>
          <w:sz w:val="20"/>
          <w:szCs w:val="20"/>
          <w:u w:val="none"/>
        </w:rPr>
        <w:t>go, . . .</w:t>
      </w:r>
      <w:proofErr w:type="gramEnd"/>
      <w:r w:rsidRPr="001D3EDF">
        <w:rPr>
          <w:rFonts w:ascii="Times New Roman" w:eastAsia="Times New Roman" w:hAnsi="Times New Roman" w:cs="Times New Roman"/>
          <w:b w:val="0"/>
          <w:bCs w:val="0"/>
          <w:color w:val="auto"/>
          <w:sz w:val="20"/>
          <w:szCs w:val="20"/>
          <w:u w:val="none"/>
        </w:rPr>
        <w:t xml:space="preserve"> your people – my people; your God- my God.” (Ruth 1:16). Her journey begins with a unilateral commitment by her. But to be </w:t>
      </w:r>
      <w:r w:rsidRPr="001D3EDF">
        <w:rPr>
          <w:rFonts w:ascii="Times New Roman" w:eastAsia="Times New Roman" w:hAnsi="Times New Roman" w:cs="Times New Roman"/>
          <w:b w:val="0"/>
          <w:bCs w:val="0"/>
          <w:color w:val="auto"/>
          <w:sz w:val="20"/>
          <w:szCs w:val="20"/>
          <w:u w:val="none"/>
        </w:rPr>
        <w:lastRenderedPageBreak/>
        <w:t>effective, it requires responses from Naomi, the people, and God. As the book of Ruth unfolds, the responses gradually emerge: Naomi comes to treat her as a daughter whose welfare she seeks (Ruth 3:1). The community as a whole (“and all the people” in Ruth 4:11) welcomes her with a blessing (Ruth 4:11-12), and God’s approval is signaled when with a unique phrasing in the Bible “God gave her pregnancy and she bore a son” (4:13). Although she was called a Moabite still in 4:10, the Moabite label drops in 4:13.</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In truth, the issues in Ezra and Nehemiah are themselves different from each other—Ezra is concerned with </w:t>
      </w:r>
      <w:r w:rsidRPr="001D3EDF">
        <w:rPr>
          <w:rFonts w:ascii="Times New Roman" w:eastAsia="Times New Roman" w:hAnsi="Times New Roman" w:cs="Times New Roman"/>
          <w:b w:val="0"/>
          <w:bCs w:val="0"/>
          <w:color w:val="auto"/>
          <w:sz w:val="20"/>
          <w:szCs w:val="20"/>
          <w:u w:val="none"/>
          <w:rtl/>
          <w:lang w:bidi="he-IL"/>
        </w:rPr>
        <w:t>זרע הקדש</w:t>
      </w:r>
      <w:r w:rsidRPr="001D3EDF">
        <w:rPr>
          <w:rFonts w:ascii="Times New Roman" w:eastAsia="Times New Roman" w:hAnsi="Times New Roman" w:cs="Times New Roman"/>
          <w:b w:val="0"/>
          <w:bCs w:val="0"/>
          <w:color w:val="auto"/>
          <w:sz w:val="20"/>
          <w:szCs w:val="20"/>
          <w:u w:val="none"/>
        </w:rPr>
        <w:t xml:space="preserve"> (holy seed)—but this is not the place to parse that out.</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proofErr w:type="spellStart"/>
      <w:r w:rsidRPr="001D3EDF">
        <w:rPr>
          <w:rFonts w:ascii="Times New Roman" w:eastAsia="Times New Roman" w:hAnsi="Times New Roman" w:cs="Times New Roman"/>
          <w:b w:val="0"/>
          <w:bCs w:val="0"/>
          <w:color w:val="auto"/>
          <w:sz w:val="20"/>
          <w:szCs w:val="20"/>
          <w:u w:val="none"/>
        </w:rPr>
        <w:t>Neh</w:t>
      </w:r>
      <w:proofErr w:type="spellEnd"/>
      <w:r w:rsidRPr="001D3EDF">
        <w:rPr>
          <w:rFonts w:ascii="Times New Roman" w:eastAsia="Times New Roman" w:hAnsi="Times New Roman" w:cs="Times New Roman"/>
          <w:b w:val="0"/>
          <w:bCs w:val="0"/>
          <w:color w:val="auto"/>
          <w:sz w:val="20"/>
          <w:szCs w:val="20"/>
          <w:u w:val="none"/>
        </w:rPr>
        <w:t xml:space="preserve"> 13:24.</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See </w:t>
      </w:r>
      <w:proofErr w:type="spellStart"/>
      <w:r w:rsidRPr="001D3EDF">
        <w:rPr>
          <w:rFonts w:ascii="Times New Roman" w:eastAsia="Times New Roman" w:hAnsi="Times New Roman" w:cs="Times New Roman"/>
          <w:b w:val="0"/>
          <w:bCs w:val="0"/>
          <w:color w:val="auto"/>
          <w:sz w:val="20"/>
          <w:szCs w:val="20"/>
          <w:u w:val="none"/>
        </w:rPr>
        <w:t>Shaye</w:t>
      </w:r>
      <w:proofErr w:type="spellEnd"/>
      <w:r w:rsidRPr="001D3EDF">
        <w:rPr>
          <w:rFonts w:ascii="Times New Roman" w:eastAsia="Times New Roman" w:hAnsi="Times New Roman" w:cs="Times New Roman"/>
          <w:b w:val="0"/>
          <w:bCs w:val="0"/>
          <w:color w:val="auto"/>
          <w:sz w:val="20"/>
          <w:szCs w:val="20"/>
          <w:u w:val="none"/>
        </w:rPr>
        <w:t xml:space="preserve"> J. D. Cohen, </w:t>
      </w:r>
      <w:r w:rsidRPr="001D3EDF">
        <w:rPr>
          <w:rFonts w:ascii="Times New Roman" w:eastAsia="Times New Roman" w:hAnsi="Times New Roman" w:cs="Times New Roman"/>
          <w:b w:val="0"/>
          <w:bCs w:val="0"/>
          <w:i/>
          <w:iCs/>
          <w:color w:val="auto"/>
          <w:sz w:val="20"/>
          <w:szCs w:val="20"/>
          <w:u w:val="none"/>
        </w:rPr>
        <w:t xml:space="preserve">The Beginnings of </w:t>
      </w:r>
      <w:proofErr w:type="spellStart"/>
      <w:r w:rsidRPr="001D3EDF">
        <w:rPr>
          <w:rFonts w:ascii="Times New Roman" w:eastAsia="Times New Roman" w:hAnsi="Times New Roman" w:cs="Times New Roman"/>
          <w:b w:val="0"/>
          <w:bCs w:val="0"/>
          <w:i/>
          <w:iCs/>
          <w:color w:val="auto"/>
          <w:sz w:val="20"/>
          <w:szCs w:val="20"/>
          <w:u w:val="none"/>
        </w:rPr>
        <w:t>Jewishness</w:t>
      </w:r>
      <w:proofErr w:type="spellEnd"/>
      <w:r w:rsidRPr="001D3EDF">
        <w:rPr>
          <w:rFonts w:ascii="Times New Roman" w:eastAsia="Times New Roman" w:hAnsi="Times New Roman" w:cs="Times New Roman"/>
          <w:b w:val="0"/>
          <w:bCs w:val="0"/>
          <w:i/>
          <w:iCs/>
          <w:color w:val="auto"/>
          <w:sz w:val="20"/>
          <w:szCs w:val="20"/>
          <w:u w:val="none"/>
        </w:rPr>
        <w:t>: Boundaries, Varieties, Uncertainties</w:t>
      </w:r>
      <w:r w:rsidRPr="001D3EDF">
        <w:rPr>
          <w:rFonts w:ascii="Times New Roman" w:eastAsia="Times New Roman" w:hAnsi="Times New Roman" w:cs="Times New Roman"/>
          <w:b w:val="0"/>
          <w:bCs w:val="0"/>
          <w:color w:val="auto"/>
          <w:sz w:val="20"/>
          <w:szCs w:val="20"/>
          <w:u w:val="none"/>
        </w:rPr>
        <w:t> (Berkeley: University of California Press, 1999).</w:t>
      </w:r>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For another example of this kind of thinking in biblical texts, see Jacob Wright’s TABS essay, </w:t>
      </w:r>
      <w:hyperlink r:id="rId12" w:history="1">
        <w:r w:rsidRPr="001D3EDF">
          <w:rPr>
            <w:rFonts w:ascii="Times New Roman" w:eastAsia="Times New Roman" w:hAnsi="Times New Roman" w:cs="Times New Roman"/>
            <w:b w:val="0"/>
            <w:bCs w:val="0"/>
            <w:color w:val="0000FF"/>
            <w:sz w:val="20"/>
            <w:szCs w:val="20"/>
          </w:rPr>
          <w:t xml:space="preserve">“Redacting the Relationship to the </w:t>
        </w:r>
        <w:proofErr w:type="spellStart"/>
        <w:r w:rsidRPr="001D3EDF">
          <w:rPr>
            <w:rFonts w:ascii="Times New Roman" w:eastAsia="Times New Roman" w:hAnsi="Times New Roman" w:cs="Times New Roman"/>
            <w:b w:val="0"/>
            <w:bCs w:val="0"/>
            <w:color w:val="0000FF"/>
            <w:sz w:val="20"/>
            <w:szCs w:val="20"/>
          </w:rPr>
          <w:t>Transjordanian</w:t>
        </w:r>
        <w:proofErr w:type="spellEnd"/>
        <w:r w:rsidRPr="001D3EDF">
          <w:rPr>
            <w:rFonts w:ascii="Times New Roman" w:eastAsia="Times New Roman" w:hAnsi="Times New Roman" w:cs="Times New Roman"/>
            <w:b w:val="0"/>
            <w:bCs w:val="0"/>
            <w:color w:val="0000FF"/>
            <w:sz w:val="20"/>
            <w:szCs w:val="20"/>
          </w:rPr>
          <w:t xml:space="preserve"> Tribes: Kinship versus Commandment.”</w:t>
        </w:r>
      </w:hyperlink>
    </w:p>
    <w:p w:rsidR="001D3EDF" w:rsidRPr="001D3EDF" w:rsidRDefault="001D3EDF" w:rsidP="001D3EDF">
      <w:pPr>
        <w:numPr>
          <w:ilvl w:val="0"/>
          <w:numId w:val="3"/>
        </w:numPr>
        <w:spacing w:before="100" w:beforeAutospacing="1" w:after="0" w:line="480" w:lineRule="auto"/>
        <w:rPr>
          <w:rFonts w:ascii="Times New Roman" w:eastAsia="Times New Roman" w:hAnsi="Times New Roman" w:cs="Times New Roman"/>
          <w:b w:val="0"/>
          <w:bCs w:val="0"/>
          <w:color w:val="auto"/>
          <w:sz w:val="20"/>
          <w:szCs w:val="20"/>
          <w:u w:val="none"/>
        </w:rPr>
      </w:pPr>
      <w:r w:rsidRPr="001D3EDF">
        <w:rPr>
          <w:rFonts w:ascii="Times New Roman" w:eastAsia="Times New Roman" w:hAnsi="Times New Roman" w:cs="Times New Roman"/>
          <w:b w:val="0"/>
          <w:bCs w:val="0"/>
          <w:color w:val="auto"/>
          <w:sz w:val="20"/>
          <w:szCs w:val="20"/>
          <w:u w:val="none"/>
        </w:rPr>
        <w:t xml:space="preserve">See </w:t>
      </w:r>
      <w:proofErr w:type="spellStart"/>
      <w:r w:rsidRPr="001D3EDF">
        <w:rPr>
          <w:rFonts w:ascii="Times New Roman" w:eastAsia="Times New Roman" w:hAnsi="Times New Roman" w:cs="Times New Roman"/>
          <w:b w:val="0"/>
          <w:bCs w:val="0"/>
          <w:color w:val="auto"/>
          <w:sz w:val="20"/>
          <w:szCs w:val="20"/>
          <w:u w:val="none"/>
        </w:rPr>
        <w:t>Menachem</w:t>
      </w:r>
      <w:proofErr w:type="spellEnd"/>
      <w:r w:rsidRPr="001D3EDF">
        <w:rPr>
          <w:rFonts w:ascii="Times New Roman" w:eastAsia="Times New Roman" w:hAnsi="Times New Roman" w:cs="Times New Roman"/>
          <w:b w:val="0"/>
          <w:bCs w:val="0"/>
          <w:color w:val="auto"/>
          <w:sz w:val="20"/>
          <w:szCs w:val="20"/>
          <w:u w:val="none"/>
        </w:rPr>
        <w:t xml:space="preserve"> </w:t>
      </w:r>
      <w:proofErr w:type="spellStart"/>
      <w:r w:rsidRPr="001D3EDF">
        <w:rPr>
          <w:rFonts w:ascii="Times New Roman" w:eastAsia="Times New Roman" w:hAnsi="Times New Roman" w:cs="Times New Roman"/>
          <w:b w:val="0"/>
          <w:bCs w:val="0"/>
          <w:color w:val="auto"/>
          <w:sz w:val="20"/>
          <w:szCs w:val="20"/>
          <w:u w:val="none"/>
        </w:rPr>
        <w:t>Kellner</w:t>
      </w:r>
      <w:proofErr w:type="spellEnd"/>
      <w:r w:rsidRPr="001D3EDF">
        <w:rPr>
          <w:rFonts w:ascii="Times New Roman" w:eastAsia="Times New Roman" w:hAnsi="Times New Roman" w:cs="Times New Roman"/>
          <w:b w:val="0"/>
          <w:bCs w:val="0"/>
          <w:color w:val="auto"/>
          <w:sz w:val="20"/>
          <w:szCs w:val="20"/>
          <w:u w:val="none"/>
        </w:rPr>
        <w:t>, op cit.</w:t>
      </w:r>
    </w:p>
    <w:p w:rsidR="001D3EDF" w:rsidRPr="001D3EDF" w:rsidRDefault="001D3EDF" w:rsidP="001D3EDF">
      <w:pPr>
        <w:shd w:val="clear" w:color="auto" w:fill="F6F6F6"/>
        <w:spacing w:after="0" w:line="240" w:lineRule="auto"/>
        <w:rPr>
          <w:rFonts w:ascii="Times New Roman" w:eastAsia="Times New Roman" w:hAnsi="Times New Roman" w:cs="Times New Roman"/>
          <w:b w:val="0"/>
          <w:bCs w:val="0"/>
          <w:color w:val="2E2E2E"/>
          <w:sz w:val="20"/>
          <w:szCs w:val="20"/>
          <w:u w:val="none"/>
        </w:rPr>
      </w:pPr>
      <w:r w:rsidRPr="001D3EDF">
        <w:rPr>
          <w:rFonts w:ascii="Times New Roman" w:eastAsia="Times New Roman" w:hAnsi="Times New Roman" w:cs="Times New Roman"/>
          <w:b w:val="0"/>
          <w:bCs w:val="0"/>
          <w:color w:val="auto"/>
          <w:sz w:val="20"/>
          <w:szCs w:val="20"/>
          <w:u w:val="none"/>
        </w:rPr>
        <w:fldChar w:fldCharType="begin"/>
      </w:r>
      <w:r w:rsidRPr="001D3EDF">
        <w:rPr>
          <w:rFonts w:ascii="Times New Roman" w:eastAsia="Times New Roman" w:hAnsi="Times New Roman" w:cs="Times New Roman"/>
          <w:b w:val="0"/>
          <w:bCs w:val="0"/>
          <w:color w:val="auto"/>
          <w:sz w:val="20"/>
          <w:szCs w:val="20"/>
          <w:u w:val="none"/>
        </w:rPr>
        <w:instrText xml:space="preserve"> HYPERLINK "https://www.thetorah.com/author/jacob-l-wright" </w:instrText>
      </w:r>
      <w:r w:rsidRPr="001D3EDF">
        <w:rPr>
          <w:rFonts w:ascii="Times New Roman" w:eastAsia="Times New Roman" w:hAnsi="Times New Roman" w:cs="Times New Roman"/>
          <w:b w:val="0"/>
          <w:bCs w:val="0"/>
          <w:color w:val="auto"/>
          <w:sz w:val="20"/>
          <w:szCs w:val="20"/>
          <w:u w:val="none"/>
        </w:rPr>
        <w:fldChar w:fldCharType="separate"/>
      </w:r>
    </w:p>
    <w:p w:rsidR="006979AF" w:rsidRDefault="001D3EDF" w:rsidP="001D3EDF">
      <w:r w:rsidRPr="001D3EDF">
        <w:rPr>
          <w:rFonts w:ascii="Times New Roman" w:eastAsia="Times New Roman" w:hAnsi="Times New Roman" w:cs="Times New Roman"/>
          <w:b w:val="0"/>
          <w:bCs w:val="0"/>
          <w:color w:val="2E2E2E"/>
          <w:sz w:val="20"/>
          <w:szCs w:val="20"/>
          <w:u w:val="none"/>
        </w:rPr>
        <w:br/>
      </w:r>
      <w:r w:rsidRPr="001D3EDF">
        <w:rPr>
          <w:rFonts w:ascii="Times New Roman" w:eastAsia="Times New Roman" w:hAnsi="Times New Roman" w:cs="Times New Roman"/>
          <w:b w:val="0"/>
          <w:bCs w:val="0"/>
          <w:color w:val="auto"/>
          <w:sz w:val="20"/>
          <w:szCs w:val="20"/>
          <w:u w:val="none"/>
        </w:rPr>
        <w:fldChar w:fldCharType="end"/>
      </w:r>
    </w:p>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3A8"/>
    <w:multiLevelType w:val="multilevel"/>
    <w:tmpl w:val="3F5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A44CE"/>
    <w:multiLevelType w:val="multilevel"/>
    <w:tmpl w:val="BA50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F26959"/>
    <w:multiLevelType w:val="multilevel"/>
    <w:tmpl w:val="90D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D3EDF"/>
    <w:rsid w:val="001D3EDF"/>
    <w:rsid w:val="004C1974"/>
    <w:rsid w:val="006358A5"/>
    <w:rsid w:val="006979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1D3EDF"/>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1D3EDF"/>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1D3EDF"/>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D3EDF"/>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1D3EDF"/>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1D3EDF"/>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1D3ED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1D3EDF"/>
    <w:rPr>
      <w:color w:val="0000FF"/>
      <w:u w:val="single"/>
    </w:rPr>
  </w:style>
  <w:style w:type="paragraph" w:customStyle="1" w:styleId="name-big">
    <w:name w:val="name-big"/>
    <w:basedOn w:val="a"/>
    <w:rsid w:val="001D3ED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1D3ED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1D3EDF"/>
    <w:rPr>
      <w:i/>
      <w:iCs/>
    </w:rPr>
  </w:style>
  <w:style w:type="paragraph" w:customStyle="1" w:styleId="small-sorce">
    <w:name w:val="small-sorce"/>
    <w:basedOn w:val="a"/>
    <w:rsid w:val="001D3ED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1D3ED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D3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803030">
      <w:bodyDiv w:val="1"/>
      <w:marLeft w:val="0"/>
      <w:marRight w:val="0"/>
      <w:marTop w:val="0"/>
      <w:marBottom w:val="0"/>
      <w:divBdr>
        <w:top w:val="none" w:sz="0" w:space="0" w:color="auto"/>
        <w:left w:val="none" w:sz="0" w:space="0" w:color="auto"/>
        <w:bottom w:val="none" w:sz="0" w:space="0" w:color="auto"/>
        <w:right w:val="none" w:sz="0" w:space="0" w:color="auto"/>
      </w:divBdr>
      <w:divsChild>
        <w:div w:id="1492914374">
          <w:marLeft w:val="0"/>
          <w:marRight w:val="0"/>
          <w:marTop w:val="0"/>
          <w:marBottom w:val="0"/>
          <w:divBdr>
            <w:top w:val="none" w:sz="0" w:space="0" w:color="auto"/>
            <w:left w:val="none" w:sz="0" w:space="0" w:color="auto"/>
            <w:bottom w:val="none" w:sz="0" w:space="0" w:color="auto"/>
            <w:right w:val="none" w:sz="0" w:space="0" w:color="auto"/>
          </w:divBdr>
          <w:divsChild>
            <w:div w:id="266041898">
              <w:marLeft w:val="0"/>
              <w:marRight w:val="0"/>
              <w:marTop w:val="0"/>
              <w:marBottom w:val="0"/>
              <w:divBdr>
                <w:top w:val="none" w:sz="0" w:space="0" w:color="auto"/>
                <w:left w:val="none" w:sz="0" w:space="0" w:color="auto"/>
                <w:bottom w:val="none" w:sz="0" w:space="0" w:color="auto"/>
                <w:right w:val="none" w:sz="0" w:space="0" w:color="auto"/>
              </w:divBdr>
            </w:div>
            <w:div w:id="1542475527">
              <w:marLeft w:val="0"/>
              <w:marRight w:val="100"/>
              <w:marTop w:val="0"/>
              <w:marBottom w:val="0"/>
              <w:divBdr>
                <w:top w:val="none" w:sz="0" w:space="0" w:color="auto"/>
                <w:left w:val="none" w:sz="0" w:space="0" w:color="auto"/>
                <w:bottom w:val="none" w:sz="0" w:space="0" w:color="auto"/>
                <w:right w:val="none" w:sz="0" w:space="0" w:color="auto"/>
              </w:divBdr>
            </w:div>
            <w:div w:id="1439518672">
              <w:marLeft w:val="0"/>
              <w:marRight w:val="100"/>
              <w:marTop w:val="0"/>
              <w:marBottom w:val="0"/>
              <w:divBdr>
                <w:top w:val="none" w:sz="0" w:space="0" w:color="auto"/>
                <w:left w:val="none" w:sz="0" w:space="0" w:color="auto"/>
                <w:bottom w:val="none" w:sz="0" w:space="0" w:color="auto"/>
                <w:right w:val="none" w:sz="0" w:space="0" w:color="auto"/>
              </w:divBdr>
            </w:div>
            <w:div w:id="293291870">
              <w:marLeft w:val="-1300"/>
              <w:marRight w:val="-1300"/>
              <w:marTop w:val="0"/>
              <w:marBottom w:val="0"/>
              <w:divBdr>
                <w:top w:val="none" w:sz="0" w:space="0" w:color="auto"/>
                <w:left w:val="none" w:sz="0" w:space="0" w:color="auto"/>
                <w:bottom w:val="none" w:sz="0" w:space="0" w:color="auto"/>
                <w:right w:val="none" w:sz="0" w:space="0" w:color="auto"/>
              </w:divBdr>
              <w:divsChild>
                <w:div w:id="2017686580">
                  <w:marLeft w:val="200"/>
                  <w:marRight w:val="0"/>
                  <w:marTop w:val="0"/>
                  <w:marBottom w:val="0"/>
                  <w:divBdr>
                    <w:top w:val="none" w:sz="0" w:space="0" w:color="auto"/>
                    <w:left w:val="none" w:sz="0" w:space="0" w:color="auto"/>
                    <w:bottom w:val="none" w:sz="0" w:space="0" w:color="auto"/>
                    <w:right w:val="none" w:sz="0" w:space="0" w:color="auto"/>
                  </w:divBdr>
                  <w:divsChild>
                    <w:div w:id="1915695721">
                      <w:marLeft w:val="0"/>
                      <w:marRight w:val="0"/>
                      <w:marTop w:val="250"/>
                      <w:marBottom w:val="0"/>
                      <w:divBdr>
                        <w:top w:val="none" w:sz="0" w:space="0" w:color="auto"/>
                        <w:left w:val="none" w:sz="0" w:space="0" w:color="auto"/>
                        <w:bottom w:val="none" w:sz="0" w:space="0" w:color="auto"/>
                        <w:right w:val="none" w:sz="0" w:space="0" w:color="auto"/>
                      </w:divBdr>
                    </w:div>
                    <w:div w:id="1498031791">
                      <w:marLeft w:val="0"/>
                      <w:marRight w:val="0"/>
                      <w:marTop w:val="0"/>
                      <w:marBottom w:val="280"/>
                      <w:divBdr>
                        <w:top w:val="none" w:sz="0" w:space="0" w:color="auto"/>
                        <w:left w:val="none" w:sz="0" w:space="0" w:color="auto"/>
                        <w:bottom w:val="none" w:sz="0" w:space="0" w:color="auto"/>
                        <w:right w:val="none" w:sz="0" w:space="0" w:color="auto"/>
                      </w:divBdr>
                      <w:divsChild>
                        <w:div w:id="205680716">
                          <w:marLeft w:val="0"/>
                          <w:marRight w:val="0"/>
                          <w:marTop w:val="0"/>
                          <w:marBottom w:val="0"/>
                          <w:divBdr>
                            <w:top w:val="none" w:sz="0" w:space="0" w:color="auto"/>
                            <w:left w:val="none" w:sz="0" w:space="0" w:color="auto"/>
                            <w:bottom w:val="none" w:sz="0" w:space="0" w:color="auto"/>
                            <w:right w:val="none" w:sz="0" w:space="0" w:color="auto"/>
                          </w:divBdr>
                        </w:div>
                        <w:div w:id="1192840984">
                          <w:marLeft w:val="0"/>
                          <w:marRight w:val="0"/>
                          <w:marTop w:val="250"/>
                          <w:marBottom w:val="0"/>
                          <w:divBdr>
                            <w:top w:val="none" w:sz="0" w:space="0" w:color="auto"/>
                            <w:left w:val="none" w:sz="0" w:space="0" w:color="auto"/>
                            <w:bottom w:val="none" w:sz="0" w:space="0" w:color="auto"/>
                            <w:right w:val="none" w:sz="0" w:space="0" w:color="auto"/>
                          </w:divBdr>
                        </w:div>
                      </w:divsChild>
                    </w:div>
                    <w:div w:id="239368771">
                      <w:marLeft w:val="0"/>
                      <w:marRight w:val="0"/>
                      <w:marTop w:val="0"/>
                      <w:marBottom w:val="280"/>
                      <w:divBdr>
                        <w:top w:val="none" w:sz="0" w:space="0" w:color="auto"/>
                        <w:left w:val="none" w:sz="0" w:space="0" w:color="auto"/>
                        <w:bottom w:val="none" w:sz="0" w:space="0" w:color="auto"/>
                        <w:right w:val="none" w:sz="0" w:space="0" w:color="auto"/>
                      </w:divBdr>
                    </w:div>
                  </w:divsChild>
                </w:div>
                <w:div w:id="786001735">
                  <w:marLeft w:val="0"/>
                  <w:marRight w:val="0"/>
                  <w:marTop w:val="280"/>
                  <w:marBottom w:val="0"/>
                  <w:divBdr>
                    <w:top w:val="single" w:sz="4" w:space="0" w:color="D8D8D8"/>
                    <w:left w:val="none" w:sz="0" w:space="0" w:color="auto"/>
                    <w:bottom w:val="single" w:sz="4" w:space="5" w:color="D8D8D8"/>
                    <w:right w:val="none" w:sz="0" w:space="0" w:color="auto"/>
                  </w:divBdr>
                  <w:divsChild>
                    <w:div w:id="1102602645">
                      <w:marLeft w:val="0"/>
                      <w:marRight w:val="0"/>
                      <w:marTop w:val="0"/>
                      <w:marBottom w:val="0"/>
                      <w:divBdr>
                        <w:top w:val="none" w:sz="0" w:space="0" w:color="auto"/>
                        <w:left w:val="none" w:sz="0" w:space="0" w:color="auto"/>
                        <w:bottom w:val="none" w:sz="0" w:space="0" w:color="auto"/>
                        <w:right w:val="none" w:sz="0" w:space="0" w:color="auto"/>
                      </w:divBdr>
                      <w:divsChild>
                        <w:div w:id="265305888">
                          <w:marLeft w:val="0"/>
                          <w:marRight w:val="0"/>
                          <w:marTop w:val="0"/>
                          <w:marBottom w:val="0"/>
                          <w:divBdr>
                            <w:top w:val="none" w:sz="0" w:space="0" w:color="auto"/>
                            <w:left w:val="none" w:sz="0" w:space="0" w:color="auto"/>
                            <w:bottom w:val="none" w:sz="0" w:space="0" w:color="auto"/>
                            <w:right w:val="none" w:sz="0" w:space="0" w:color="auto"/>
                          </w:divBdr>
                          <w:divsChild>
                            <w:div w:id="5688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6479">
              <w:marLeft w:val="0"/>
              <w:marRight w:val="0"/>
              <w:marTop w:val="0"/>
              <w:marBottom w:val="100"/>
              <w:divBdr>
                <w:top w:val="none" w:sz="0" w:space="0" w:color="auto"/>
                <w:left w:val="none" w:sz="0" w:space="0" w:color="auto"/>
                <w:bottom w:val="none" w:sz="0" w:space="0" w:color="auto"/>
                <w:right w:val="none" w:sz="0" w:space="0" w:color="auto"/>
              </w:divBdr>
            </w:div>
            <w:div w:id="1983267073">
              <w:marLeft w:val="0"/>
              <w:marRight w:val="0"/>
              <w:marTop w:val="0"/>
              <w:marBottom w:val="0"/>
              <w:divBdr>
                <w:top w:val="none" w:sz="0" w:space="0" w:color="auto"/>
                <w:left w:val="none" w:sz="0" w:space="0" w:color="auto"/>
                <w:bottom w:val="none" w:sz="0" w:space="0" w:color="auto"/>
                <w:right w:val="none" w:sz="0" w:space="0" w:color="auto"/>
              </w:divBdr>
              <w:divsChild>
                <w:div w:id="204501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8438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45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17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6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4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8519827">
          <w:marLeft w:val="0"/>
          <w:marRight w:val="100"/>
          <w:marTop w:val="0"/>
          <w:marBottom w:val="0"/>
          <w:divBdr>
            <w:top w:val="none" w:sz="0" w:space="0" w:color="auto"/>
            <w:left w:val="none" w:sz="0" w:space="0" w:color="auto"/>
            <w:bottom w:val="none" w:sz="0" w:space="0" w:color="auto"/>
            <w:right w:val="none" w:sz="0" w:space="0" w:color="auto"/>
          </w:divBdr>
        </w:div>
        <w:div w:id="1261521498">
          <w:marLeft w:val="0"/>
          <w:marRight w:val="0"/>
          <w:marTop w:val="0"/>
          <w:marBottom w:val="0"/>
          <w:divBdr>
            <w:top w:val="none" w:sz="0" w:space="0" w:color="auto"/>
            <w:left w:val="none" w:sz="0" w:space="0" w:color="auto"/>
            <w:bottom w:val="none" w:sz="0" w:space="0" w:color="auto"/>
            <w:right w:val="none" w:sz="0" w:space="0" w:color="auto"/>
          </w:divBdr>
          <w:divsChild>
            <w:div w:id="515467219">
              <w:marLeft w:val="0"/>
              <w:marRight w:val="0"/>
              <w:marTop w:val="0"/>
              <w:marBottom w:val="0"/>
              <w:divBdr>
                <w:top w:val="none" w:sz="0" w:space="0" w:color="auto"/>
                <w:left w:val="none" w:sz="0" w:space="0" w:color="auto"/>
                <w:bottom w:val="none" w:sz="0" w:space="0" w:color="auto"/>
                <w:right w:val="none" w:sz="0" w:space="0" w:color="auto"/>
              </w:divBdr>
            </w:div>
            <w:div w:id="995570570">
              <w:marLeft w:val="0"/>
              <w:marRight w:val="0"/>
              <w:marTop w:val="0"/>
              <w:marBottom w:val="0"/>
              <w:divBdr>
                <w:top w:val="none" w:sz="0" w:space="0" w:color="auto"/>
                <w:left w:val="none" w:sz="0" w:space="0" w:color="auto"/>
                <w:bottom w:val="none" w:sz="0" w:space="0" w:color="auto"/>
                <w:right w:val="none" w:sz="0" w:space="0" w:color="auto"/>
              </w:divBdr>
            </w:div>
          </w:divsChild>
        </w:div>
        <w:div w:id="1934780572">
          <w:marLeft w:val="0"/>
          <w:marRight w:val="0"/>
          <w:marTop w:val="2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ezekiels-failure-to-mention-shavu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torah.com/the-festival-of-covenants/" TargetMode="External"/><Relationship Id="rId12" Type="http://schemas.openxmlformats.org/officeDocument/2006/relationships/hyperlink" Target="http://thetorah.com/redacting-the-relationship-to-the-transjordanian-tri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shabbat-of-the-full-moon/" TargetMode="External"/><Relationship Id="rId11" Type="http://schemas.openxmlformats.org/officeDocument/2006/relationships/hyperlink" Target="http://thetorah.com/ralbags-suprising-take-ruths-conversion/" TargetMode="External"/><Relationship Id="rId5" Type="http://schemas.openxmlformats.org/officeDocument/2006/relationships/image" Target="media/image1.jpeg"/><Relationship Id="rId10" Type="http://schemas.openxmlformats.org/officeDocument/2006/relationships/hyperlink" Target="http://thetorah.com/megillat-ruth-when-kindness-conflicts-with-torah/" TargetMode="External"/><Relationship Id="rId4" Type="http://schemas.openxmlformats.org/officeDocument/2006/relationships/webSettings" Target="webSettings.xml"/><Relationship Id="rId9" Type="http://schemas.openxmlformats.org/officeDocument/2006/relationships/hyperlink" Target="http://thetorah.com/shavuot-how-the-festival-of-harvest-grew/"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2828</Words>
  <Characters>16124</Characters>
  <Application>Microsoft Office Word</Application>
  <DocSecurity>0</DocSecurity>
  <Lines>134</Lines>
  <Paragraphs>37</Paragraphs>
  <ScaleCrop>false</ScaleCrop>
  <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2023-04-10T08:21:00Z</dcterms:created>
  <dcterms:modified xsi:type="dcterms:W3CDTF">2023-04-10T08:27:00Z</dcterms:modified>
</cp:coreProperties>
</file>