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FA277" w14:textId="77777777" w:rsidR="002865DB" w:rsidRPr="002865DB" w:rsidRDefault="009D52DC" w:rsidP="002865DB">
      <w:pPr>
        <w:pStyle w:val="Heading1"/>
        <w:spacing w:before="0" w:line="480" w:lineRule="auto"/>
        <w:rPr>
          <w:rFonts w:asciiTheme="minorBidi" w:hAnsiTheme="minorBidi" w:cstheme="minorBidi"/>
          <w:sz w:val="22"/>
          <w:szCs w:val="22"/>
          <w:lang w:val="en-US"/>
        </w:rPr>
      </w:pPr>
      <w:r w:rsidRPr="002865DB">
        <w:rPr>
          <w:rFonts w:asciiTheme="minorBidi" w:hAnsiTheme="minorBidi" w:cstheme="minorBidi"/>
          <w:sz w:val="22"/>
          <w:szCs w:val="22"/>
          <w:lang w:val="en-US"/>
        </w:rPr>
        <w:t>The top 100 most cited articles in Vitiligo: a bibliometric analysis</w:t>
      </w:r>
    </w:p>
    <w:p w14:paraId="20064D4E" w14:textId="4760FDF6" w:rsidR="00520F1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Zoé Attal</w:t>
      </w:r>
      <w:r w:rsidR="00804A17" w:rsidRPr="003E2597">
        <w:rPr>
          <w:rFonts w:asciiTheme="minorBidi" w:hAnsiTheme="minorBidi" w:cstheme="minorBidi"/>
          <w:sz w:val="32"/>
          <w:szCs w:val="32"/>
          <w:vertAlign w:val="superscript"/>
        </w:rPr>
        <w:t>*</w:t>
      </w:r>
      <w:r w:rsidRPr="003E2597">
        <w:rPr>
          <w:rFonts w:asciiTheme="minorBidi" w:hAnsiTheme="minorBidi" w:cstheme="minorBidi"/>
          <w:sz w:val="28"/>
          <w:szCs w:val="28"/>
        </w:rPr>
        <w:t xml:space="preserve">, </w:t>
      </w:r>
      <w:r w:rsidRPr="002865DB">
        <w:rPr>
          <w:rFonts w:asciiTheme="minorBidi" w:hAnsiTheme="minorBidi" w:cstheme="minorBidi"/>
          <w:sz w:val="22"/>
          <w:szCs w:val="22"/>
        </w:rPr>
        <w:t>Sapir Itzhaki Gabay MD</w:t>
      </w:r>
      <w:r w:rsidR="00F11F84">
        <w:rPr>
          <w:rFonts w:asciiTheme="minorBidi" w:hAnsiTheme="minorBidi" w:cstheme="minorBidi"/>
          <w:sz w:val="22"/>
          <w:szCs w:val="22"/>
        </w:rPr>
        <w:t>,MHA</w:t>
      </w:r>
      <w:r w:rsidR="00804A17" w:rsidRPr="003E2597">
        <w:rPr>
          <w:rFonts w:asciiTheme="minorBidi" w:hAnsiTheme="minorBidi" w:cstheme="minorBidi"/>
          <w:sz w:val="32"/>
          <w:szCs w:val="32"/>
          <w:vertAlign w:val="superscript"/>
        </w:rPr>
        <w:t>*</w:t>
      </w:r>
      <w:r w:rsidRPr="002865DB">
        <w:rPr>
          <w:rFonts w:asciiTheme="minorBidi" w:hAnsiTheme="minorBidi" w:cstheme="minorBidi"/>
          <w:sz w:val="22"/>
          <w:szCs w:val="22"/>
        </w:rPr>
        <w:t>, Galia Peles MD, Amir Horev MD</w:t>
      </w:r>
    </w:p>
    <w:p w14:paraId="2CD06DE6" w14:textId="77777777" w:rsidR="00520F1B" w:rsidRDefault="00520F1B" w:rsidP="002865DB">
      <w:pPr>
        <w:spacing w:line="480" w:lineRule="auto"/>
        <w:jc w:val="both"/>
        <w:rPr>
          <w:rFonts w:asciiTheme="minorBidi" w:hAnsiTheme="minorBidi" w:cstheme="minorBidi"/>
          <w:sz w:val="22"/>
          <w:szCs w:val="22"/>
        </w:rPr>
      </w:pPr>
    </w:p>
    <w:p w14:paraId="5314CBBF" w14:textId="766C882C" w:rsidR="00520F1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Corresponding Author: Zoé Attal, Medical school for international Health at Ben Gurion </w:t>
      </w:r>
      <w:r w:rsidR="003358A7">
        <w:rPr>
          <w:rFonts w:asciiTheme="minorBidi" w:hAnsiTheme="minorBidi" w:cstheme="minorBidi"/>
          <w:sz w:val="22"/>
          <w:szCs w:val="22"/>
        </w:rPr>
        <w:t>U</w:t>
      </w:r>
      <w:r w:rsidRPr="002865DB">
        <w:rPr>
          <w:rFonts w:asciiTheme="minorBidi" w:hAnsiTheme="minorBidi" w:cstheme="minorBidi"/>
          <w:sz w:val="22"/>
          <w:szCs w:val="22"/>
        </w:rPr>
        <w:t>niversity, Soroka</w:t>
      </w:r>
      <w:r w:rsidRPr="002865DB">
        <w:rPr>
          <w:rFonts w:asciiTheme="minorBidi" w:hAnsiTheme="minorBidi" w:cstheme="minorBidi"/>
          <w:sz w:val="22"/>
          <w:szCs w:val="22"/>
        </w:rPr>
        <w:t xml:space="preserve"> University Medical Center, Beer Sheva, Israel</w:t>
      </w:r>
    </w:p>
    <w:p w14:paraId="5FD94B42" w14:textId="77777777" w:rsidR="00520F1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Phone: +9720533219577</w:t>
      </w:r>
    </w:p>
    <w:p w14:paraId="2E28F9E5" w14:textId="77777777" w:rsidR="00520F1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Email: </w:t>
      </w:r>
      <w:hyperlink r:id="rId6" w:history="1">
        <w:r w:rsidRPr="002865DB">
          <w:rPr>
            <w:rStyle w:val="Hyperlink"/>
            <w:rFonts w:asciiTheme="minorBidi" w:hAnsiTheme="minorBidi" w:cstheme="minorBidi"/>
            <w:sz w:val="22"/>
            <w:szCs w:val="22"/>
          </w:rPr>
          <w:t>zoegabri@post.bgu.ac.il</w:t>
        </w:r>
      </w:hyperlink>
      <w:r w:rsidRPr="002865DB">
        <w:rPr>
          <w:rFonts w:asciiTheme="minorBidi" w:hAnsiTheme="minorBidi" w:cstheme="minorBidi"/>
          <w:sz w:val="22"/>
          <w:szCs w:val="22"/>
        </w:rPr>
        <w:t xml:space="preserve"> </w:t>
      </w:r>
    </w:p>
    <w:p w14:paraId="750794A3" w14:textId="77777777" w:rsidR="00520F1B" w:rsidRDefault="00520F1B" w:rsidP="002865DB">
      <w:pPr>
        <w:spacing w:line="480" w:lineRule="auto"/>
        <w:jc w:val="both"/>
        <w:rPr>
          <w:rFonts w:asciiTheme="minorBidi" w:hAnsiTheme="minorBidi" w:cstheme="minorBidi"/>
          <w:sz w:val="22"/>
          <w:szCs w:val="22"/>
        </w:rPr>
      </w:pPr>
    </w:p>
    <w:p w14:paraId="6D04E765" w14:textId="77777777" w:rsidR="00372887" w:rsidRPr="001D5336" w:rsidRDefault="009D52DC" w:rsidP="00372887">
      <w:pPr>
        <w:spacing w:line="480" w:lineRule="auto"/>
        <w:jc w:val="both"/>
        <w:rPr>
          <w:rFonts w:asciiTheme="minorBidi" w:hAnsiTheme="minorBidi"/>
          <w:sz w:val="22"/>
          <w:szCs w:val="22"/>
        </w:rPr>
      </w:pPr>
      <w:r>
        <w:rPr>
          <w:rFonts w:asciiTheme="minorBidi" w:hAnsiTheme="minorBidi"/>
          <w:sz w:val="22"/>
          <w:szCs w:val="22"/>
        </w:rPr>
        <w:t xml:space="preserve">*These authors contributed equally to this work </w:t>
      </w:r>
    </w:p>
    <w:p w14:paraId="12B8C69B" w14:textId="77777777" w:rsidR="00372887" w:rsidRPr="002865DB" w:rsidRDefault="00372887" w:rsidP="002865DB">
      <w:pPr>
        <w:spacing w:line="480" w:lineRule="auto"/>
        <w:jc w:val="both"/>
        <w:rPr>
          <w:rFonts w:asciiTheme="minorBidi" w:hAnsiTheme="minorBidi" w:cstheme="minorBidi"/>
          <w:sz w:val="22"/>
          <w:szCs w:val="22"/>
        </w:rPr>
      </w:pPr>
    </w:p>
    <w:p w14:paraId="3EDE383C" w14:textId="25385A84" w:rsidR="00520F1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Keywords: Vitiligo, dermatology, Bibliometric analysis</w:t>
      </w:r>
      <w:r w:rsidRPr="002865DB">
        <w:rPr>
          <w:rFonts w:asciiTheme="minorBidi" w:hAnsiTheme="minorBidi" w:cstheme="minorBidi"/>
          <w:sz w:val="22"/>
          <w:szCs w:val="22"/>
        </w:rPr>
        <w:t>,</w:t>
      </w:r>
      <w:r w:rsidR="00CA4599">
        <w:rPr>
          <w:rFonts w:asciiTheme="minorBidi" w:hAnsiTheme="minorBidi" w:cstheme="minorBidi"/>
          <w:sz w:val="22"/>
          <w:szCs w:val="22"/>
        </w:rPr>
        <w:t xml:space="preserve"> </w:t>
      </w:r>
      <w:r w:rsidRPr="002865DB">
        <w:rPr>
          <w:rFonts w:asciiTheme="minorBidi" w:hAnsiTheme="minorBidi" w:cstheme="minorBidi"/>
          <w:sz w:val="22"/>
          <w:szCs w:val="22"/>
        </w:rPr>
        <w:t>Autoimmune, psychology, repigmentation, epidemiology</w:t>
      </w:r>
    </w:p>
    <w:p w14:paraId="6E203BEC" w14:textId="77777777" w:rsidR="00520F1B" w:rsidRPr="002865DB" w:rsidRDefault="00520F1B" w:rsidP="002865DB">
      <w:pPr>
        <w:spacing w:line="480" w:lineRule="auto"/>
        <w:jc w:val="both"/>
        <w:rPr>
          <w:rFonts w:asciiTheme="minorBidi" w:hAnsiTheme="minorBidi" w:cstheme="minorBidi"/>
          <w:sz w:val="22"/>
          <w:szCs w:val="22"/>
        </w:rPr>
      </w:pPr>
    </w:p>
    <w:p w14:paraId="65A7BCAD" w14:textId="0E4341F5" w:rsidR="00520F1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Acknowledgements/Disclosures: no </w:t>
      </w:r>
      <w:r w:rsidR="00324AFA" w:rsidRPr="002865DB">
        <w:rPr>
          <w:rFonts w:asciiTheme="minorBidi" w:hAnsiTheme="minorBidi" w:cstheme="minorBidi"/>
          <w:sz w:val="22"/>
          <w:szCs w:val="22"/>
        </w:rPr>
        <w:t>conflicts of</w:t>
      </w:r>
      <w:r w:rsidRPr="002865DB">
        <w:rPr>
          <w:rFonts w:asciiTheme="minorBidi" w:hAnsiTheme="minorBidi" w:cstheme="minorBidi"/>
          <w:sz w:val="22"/>
          <w:szCs w:val="22"/>
        </w:rPr>
        <w:t xml:space="preserve"> interest. </w:t>
      </w:r>
    </w:p>
    <w:p w14:paraId="5E3C7848" w14:textId="77777777" w:rsidR="00804A17" w:rsidRPr="002865DB" w:rsidRDefault="00804A17" w:rsidP="002865DB">
      <w:pPr>
        <w:spacing w:line="480" w:lineRule="auto"/>
        <w:jc w:val="both"/>
        <w:rPr>
          <w:rFonts w:asciiTheme="minorBidi" w:hAnsiTheme="minorBidi" w:cstheme="minorBidi"/>
          <w:sz w:val="22"/>
          <w:szCs w:val="22"/>
        </w:rPr>
      </w:pPr>
    </w:p>
    <w:p w14:paraId="6EFE2112" w14:textId="77777777" w:rsidR="00520F1B" w:rsidRPr="002865DB" w:rsidRDefault="009D52DC" w:rsidP="002865DB">
      <w:pPr>
        <w:spacing w:before="100" w:beforeAutospacing="1" w:after="100" w:afterAutospacing="1" w:line="480" w:lineRule="auto"/>
        <w:rPr>
          <w:rFonts w:asciiTheme="minorBidi" w:hAnsiTheme="minorBidi" w:cstheme="minorBidi"/>
          <w:sz w:val="22"/>
          <w:szCs w:val="22"/>
        </w:rPr>
      </w:pPr>
      <w:r w:rsidRPr="002865DB">
        <w:rPr>
          <w:rFonts w:asciiTheme="minorBidi" w:hAnsiTheme="minorBidi" w:cstheme="minorBidi"/>
          <w:sz w:val="22"/>
          <w:szCs w:val="22"/>
          <w:u w:val="single"/>
        </w:rPr>
        <w:t>Funding/Support:</w:t>
      </w:r>
      <w:r w:rsidRPr="002865DB">
        <w:rPr>
          <w:rFonts w:asciiTheme="minorBidi" w:hAnsiTheme="minorBidi" w:cstheme="minorBidi"/>
          <w:sz w:val="22"/>
          <w:szCs w:val="22"/>
        </w:rPr>
        <w:t xml:space="preserve"> This study was not funded.</w:t>
      </w:r>
      <w:r w:rsidRPr="002865DB">
        <w:rPr>
          <w:rFonts w:asciiTheme="minorBidi" w:hAnsiTheme="minorBidi" w:cstheme="minorBidi"/>
          <w:sz w:val="22"/>
          <w:szCs w:val="22"/>
        </w:rPr>
        <w:br/>
      </w:r>
      <w:r w:rsidRPr="002865DB">
        <w:rPr>
          <w:rFonts w:asciiTheme="minorBidi" w:hAnsiTheme="minorBidi" w:cstheme="minorBidi"/>
          <w:sz w:val="22"/>
          <w:szCs w:val="22"/>
          <w:u w:val="single"/>
        </w:rPr>
        <w:t>Financial Disclosures:</w:t>
      </w:r>
      <w:r w:rsidRPr="002865DB">
        <w:rPr>
          <w:rFonts w:asciiTheme="minorBidi" w:hAnsiTheme="minorBidi" w:cstheme="minorBidi"/>
          <w:sz w:val="22"/>
          <w:szCs w:val="22"/>
        </w:rPr>
        <w:t xml:space="preserve"> No financial disclosures.</w:t>
      </w:r>
    </w:p>
    <w:p w14:paraId="2647A2C8" w14:textId="77777777" w:rsidR="00520F1B" w:rsidRPr="002865DB" w:rsidRDefault="009D52DC" w:rsidP="002865DB">
      <w:pPr>
        <w:spacing w:before="100" w:beforeAutospacing="1" w:after="100" w:afterAutospacing="1" w:line="480" w:lineRule="auto"/>
        <w:rPr>
          <w:rFonts w:asciiTheme="minorBidi" w:hAnsiTheme="minorBidi" w:cstheme="minorBidi"/>
          <w:sz w:val="22"/>
          <w:szCs w:val="22"/>
        </w:rPr>
      </w:pPr>
      <w:r w:rsidRPr="002865DB">
        <w:rPr>
          <w:rFonts w:asciiTheme="minorBidi" w:hAnsiTheme="minorBidi" w:cstheme="minorBidi"/>
          <w:sz w:val="22"/>
          <w:szCs w:val="22"/>
        </w:rPr>
        <w:br/>
        <w:t>Zoé</w:t>
      </w:r>
      <w:r w:rsidRPr="002865DB">
        <w:rPr>
          <w:rFonts w:asciiTheme="minorBidi" w:hAnsiTheme="minorBidi" w:cstheme="minorBidi"/>
          <w:sz w:val="22"/>
          <w:szCs w:val="22"/>
        </w:rPr>
        <w:t xml:space="preserve"> Attal wrote the first draft and is the first author of the manuscript. No honorarium, grant, or other forms of payment was given to anyone to produce the manuscript. </w:t>
      </w:r>
    </w:p>
    <w:p w14:paraId="253C9438" w14:textId="77777777" w:rsidR="008277DC" w:rsidRPr="002865DB" w:rsidRDefault="008277DC" w:rsidP="002865DB">
      <w:pPr>
        <w:spacing w:line="480" w:lineRule="auto"/>
        <w:rPr>
          <w:rFonts w:asciiTheme="minorBidi" w:hAnsiTheme="minorBidi" w:cstheme="minorBidi"/>
          <w:sz w:val="22"/>
          <w:szCs w:val="22"/>
        </w:rPr>
      </w:pPr>
    </w:p>
    <w:p w14:paraId="200EFFB6" w14:textId="77777777" w:rsidR="008277DC" w:rsidRPr="002865DB" w:rsidRDefault="008277DC" w:rsidP="002865DB">
      <w:pPr>
        <w:spacing w:line="480" w:lineRule="auto"/>
        <w:rPr>
          <w:rFonts w:asciiTheme="minorBidi" w:hAnsiTheme="minorBidi" w:cstheme="minorBidi"/>
          <w:sz w:val="22"/>
          <w:szCs w:val="22"/>
        </w:rPr>
      </w:pPr>
    </w:p>
    <w:p w14:paraId="4D9C8392" w14:textId="77777777" w:rsidR="009D52DC" w:rsidRDefault="009D52DC" w:rsidP="003E2597">
      <w:pPr>
        <w:spacing w:line="480" w:lineRule="auto"/>
        <w:ind w:left="2880" w:firstLine="720"/>
        <w:rPr>
          <w:rFonts w:asciiTheme="minorBidi" w:hAnsiTheme="minorBidi" w:cstheme="minorBidi"/>
          <w:sz w:val="22"/>
          <w:szCs w:val="22"/>
        </w:rPr>
      </w:pPr>
    </w:p>
    <w:p w14:paraId="4442AEC3" w14:textId="77777777" w:rsidR="009D52DC" w:rsidRDefault="009D52DC" w:rsidP="003E2597">
      <w:pPr>
        <w:spacing w:line="480" w:lineRule="auto"/>
        <w:ind w:left="2880" w:firstLine="720"/>
        <w:rPr>
          <w:rFonts w:asciiTheme="minorBidi" w:hAnsiTheme="minorBidi" w:cstheme="minorBidi"/>
          <w:sz w:val="22"/>
          <w:szCs w:val="22"/>
        </w:rPr>
      </w:pPr>
    </w:p>
    <w:p w14:paraId="05DB3459" w14:textId="77777777" w:rsidR="009D52DC" w:rsidRDefault="009D52DC" w:rsidP="003E2597">
      <w:pPr>
        <w:spacing w:line="480" w:lineRule="auto"/>
        <w:ind w:left="2880" w:firstLine="720"/>
        <w:rPr>
          <w:rFonts w:asciiTheme="minorBidi" w:hAnsiTheme="minorBidi" w:cstheme="minorBidi"/>
          <w:sz w:val="22"/>
          <w:szCs w:val="22"/>
        </w:rPr>
      </w:pPr>
    </w:p>
    <w:p w14:paraId="411A3CF8" w14:textId="1C586303" w:rsidR="00635A91" w:rsidRPr="002865DB" w:rsidRDefault="009D52DC" w:rsidP="003E2597">
      <w:pPr>
        <w:spacing w:line="480" w:lineRule="auto"/>
        <w:ind w:left="2880" w:firstLine="720"/>
        <w:rPr>
          <w:rFonts w:asciiTheme="minorBidi" w:hAnsiTheme="minorBidi" w:cstheme="minorBidi"/>
          <w:sz w:val="22"/>
          <w:szCs w:val="22"/>
          <w:u w:val="single"/>
        </w:rPr>
      </w:pPr>
      <w:r w:rsidRPr="002865DB">
        <w:rPr>
          <w:rFonts w:asciiTheme="minorBidi" w:hAnsiTheme="minorBidi" w:cstheme="minorBidi"/>
          <w:sz w:val="22"/>
          <w:szCs w:val="22"/>
          <w:u w:val="single"/>
        </w:rPr>
        <w:t>Abstract</w:t>
      </w:r>
    </w:p>
    <w:p w14:paraId="261513A2" w14:textId="77777777" w:rsidR="00635A91" w:rsidRPr="002865DB" w:rsidRDefault="009D52DC" w:rsidP="002865DB">
      <w:pPr>
        <w:spacing w:line="480" w:lineRule="auto"/>
        <w:jc w:val="both"/>
        <w:rPr>
          <w:rFonts w:asciiTheme="minorBidi" w:hAnsiTheme="minorBidi" w:cstheme="minorBidi"/>
          <w:sz w:val="22"/>
          <w:szCs w:val="22"/>
          <w:u w:val="single"/>
        </w:rPr>
      </w:pPr>
      <w:bookmarkStart w:id="0" w:name="_GoBack"/>
      <w:bookmarkEnd w:id="0"/>
      <w:r w:rsidRPr="002865DB">
        <w:rPr>
          <w:rFonts w:asciiTheme="minorBidi" w:hAnsiTheme="minorBidi" w:cstheme="minorBidi"/>
          <w:sz w:val="22"/>
          <w:szCs w:val="22"/>
          <w:u w:val="single"/>
        </w:rPr>
        <w:t xml:space="preserve">Introduction </w:t>
      </w:r>
    </w:p>
    <w:p w14:paraId="119EE201" w14:textId="2C51528E" w:rsidR="005D3176" w:rsidRPr="002865DB" w:rsidRDefault="009D52DC" w:rsidP="002865DB">
      <w:pPr>
        <w:spacing w:line="480" w:lineRule="auto"/>
        <w:jc w:val="both"/>
        <w:rPr>
          <w:rFonts w:asciiTheme="minorBidi" w:hAnsiTheme="minorBidi" w:cstheme="minorBidi"/>
          <w:sz w:val="22"/>
          <w:szCs w:val="22"/>
          <w:u w:val="single"/>
        </w:rPr>
      </w:pPr>
      <w:r w:rsidRPr="002865DB">
        <w:rPr>
          <w:rFonts w:asciiTheme="minorBidi" w:hAnsiTheme="minorBidi" w:cstheme="minorBidi"/>
          <w:sz w:val="22"/>
          <w:szCs w:val="22"/>
        </w:rPr>
        <w:t xml:space="preserve">Vitiligo is a skin disease targeting the melanocytes </w:t>
      </w:r>
      <w:r w:rsidR="002865DB" w:rsidRPr="002865DB">
        <w:rPr>
          <w:rFonts w:asciiTheme="minorBidi" w:hAnsiTheme="minorBidi" w:cstheme="minorBidi"/>
          <w:sz w:val="22"/>
          <w:szCs w:val="22"/>
          <w:lang w:val="en-US"/>
        </w:rPr>
        <w:t>characterized by the development of areas of depigmented skin lesions</w:t>
      </w:r>
      <w:r w:rsidRPr="002865DB">
        <w:rPr>
          <w:rFonts w:asciiTheme="minorBidi" w:hAnsiTheme="minorBidi" w:cstheme="minorBidi"/>
          <w:sz w:val="22"/>
          <w:szCs w:val="22"/>
        </w:rPr>
        <w:t>. Several theories surround the etiology of vitiligo</w:t>
      </w:r>
      <w:r w:rsidR="0066248D" w:rsidRPr="002865DB">
        <w:rPr>
          <w:rFonts w:asciiTheme="minorBidi" w:hAnsiTheme="minorBidi" w:cstheme="minorBidi"/>
          <w:sz w:val="22"/>
          <w:szCs w:val="22"/>
        </w:rPr>
        <w:t>,</w:t>
      </w:r>
      <w:r w:rsidRPr="002865DB">
        <w:rPr>
          <w:rFonts w:asciiTheme="minorBidi" w:hAnsiTheme="minorBidi" w:cstheme="minorBidi"/>
          <w:sz w:val="22"/>
          <w:szCs w:val="22"/>
        </w:rPr>
        <w:t xml:space="preserve"> including autoimmunity. </w:t>
      </w:r>
      <w:r w:rsidR="002865DB" w:rsidRPr="002865DB">
        <w:rPr>
          <w:rFonts w:asciiTheme="minorBidi" w:hAnsiTheme="minorBidi" w:cstheme="minorBidi"/>
          <w:sz w:val="22"/>
          <w:szCs w:val="22"/>
          <w:lang w:val="en-US"/>
        </w:rPr>
        <w:t>Bibliometric analysis is used to identify high-quality research articles using criteria such as total citations, annual citations, and journal impact factors.</w:t>
      </w:r>
      <w:r w:rsidRPr="002865DB">
        <w:rPr>
          <w:rFonts w:asciiTheme="minorBidi" w:hAnsiTheme="minorBidi" w:cstheme="minorBidi"/>
          <w:sz w:val="22"/>
          <w:szCs w:val="22"/>
        </w:rPr>
        <w:t xml:space="preserve">. </w:t>
      </w:r>
    </w:p>
    <w:p w14:paraId="17510407" w14:textId="77777777" w:rsidR="00635A91" w:rsidRPr="002865DB" w:rsidRDefault="00635A91" w:rsidP="002865DB">
      <w:pPr>
        <w:spacing w:line="480" w:lineRule="auto"/>
        <w:jc w:val="both"/>
        <w:rPr>
          <w:rFonts w:asciiTheme="minorBidi" w:hAnsiTheme="minorBidi" w:cstheme="minorBidi"/>
          <w:sz w:val="22"/>
          <w:szCs w:val="22"/>
          <w:u w:val="single"/>
        </w:rPr>
      </w:pPr>
    </w:p>
    <w:p w14:paraId="1A1434D8" w14:textId="77777777" w:rsidR="00635A91" w:rsidRPr="002865DB" w:rsidRDefault="009D52DC" w:rsidP="002865DB">
      <w:pPr>
        <w:spacing w:line="480" w:lineRule="auto"/>
        <w:jc w:val="both"/>
        <w:rPr>
          <w:rFonts w:asciiTheme="minorBidi" w:hAnsiTheme="minorBidi" w:cstheme="minorBidi"/>
          <w:sz w:val="22"/>
          <w:szCs w:val="22"/>
          <w:u w:val="single"/>
        </w:rPr>
      </w:pPr>
      <w:r w:rsidRPr="002865DB">
        <w:rPr>
          <w:rFonts w:asciiTheme="minorBidi" w:hAnsiTheme="minorBidi" w:cstheme="minorBidi"/>
          <w:sz w:val="22"/>
          <w:szCs w:val="22"/>
          <w:u w:val="single"/>
        </w:rPr>
        <w:t xml:space="preserve">Methods </w:t>
      </w:r>
    </w:p>
    <w:p w14:paraId="594FF98F" w14:textId="090049C7" w:rsidR="005D3176" w:rsidRPr="002865DB" w:rsidRDefault="009D52DC" w:rsidP="005946F6">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We extracted the 100 most cited articles on vitiligo </w:t>
      </w:r>
      <w:r w:rsidR="002865DB" w:rsidRPr="002865DB">
        <w:rPr>
          <w:rFonts w:asciiTheme="minorBidi" w:hAnsiTheme="minorBidi" w:cstheme="minorBidi"/>
          <w:sz w:val="22"/>
          <w:szCs w:val="22"/>
        </w:rPr>
        <w:t xml:space="preserve">using </w:t>
      </w:r>
      <w:r w:rsidRPr="002865DB">
        <w:rPr>
          <w:rFonts w:asciiTheme="minorBidi" w:hAnsiTheme="minorBidi" w:cstheme="minorBidi"/>
          <w:sz w:val="22"/>
          <w:szCs w:val="22"/>
        </w:rPr>
        <w:t xml:space="preserve">the </w:t>
      </w:r>
      <w:r w:rsidR="005946F6">
        <w:rPr>
          <w:rFonts w:asciiTheme="minorBidi" w:hAnsiTheme="minorBidi" w:cstheme="minorBidi"/>
          <w:sz w:val="22"/>
          <w:szCs w:val="22"/>
        </w:rPr>
        <w:t xml:space="preserve">Web </w:t>
      </w:r>
      <w:r w:rsidRPr="002865DB">
        <w:rPr>
          <w:rFonts w:asciiTheme="minorBidi" w:hAnsiTheme="minorBidi" w:cstheme="minorBidi"/>
          <w:sz w:val="22"/>
          <w:szCs w:val="22"/>
        </w:rPr>
        <w:t xml:space="preserve">of Science data base and analysed it on Microsoft excel 2019. Our search was limited to the keyword “vitiligo” being included </w:t>
      </w:r>
      <w:r w:rsidRPr="002865DB">
        <w:rPr>
          <w:rFonts w:asciiTheme="minorBidi" w:hAnsiTheme="minorBidi" w:cstheme="minorBidi"/>
          <w:sz w:val="22"/>
          <w:szCs w:val="22"/>
        </w:rPr>
        <w:t>in the title or abstract of the papers. The data extracted included title, author, corresponding author, institution affiliation</w:t>
      </w:r>
      <w:r w:rsidR="007A32D1" w:rsidRPr="002865DB">
        <w:rPr>
          <w:rFonts w:asciiTheme="minorBidi" w:hAnsiTheme="minorBidi" w:cstheme="minorBidi"/>
          <w:sz w:val="22"/>
          <w:szCs w:val="22"/>
        </w:rPr>
        <w:t>,</w:t>
      </w:r>
      <w:r w:rsidRPr="002865DB">
        <w:rPr>
          <w:rFonts w:asciiTheme="minorBidi" w:hAnsiTheme="minorBidi" w:cstheme="minorBidi"/>
          <w:sz w:val="22"/>
          <w:szCs w:val="22"/>
        </w:rPr>
        <w:t xml:space="preserve"> year of publication, journal of publications, total citations, </w:t>
      </w:r>
      <w:r w:rsidR="007A32D1" w:rsidRPr="002865DB">
        <w:rPr>
          <w:rFonts w:asciiTheme="minorBidi" w:hAnsiTheme="minorBidi" w:cstheme="minorBidi"/>
          <w:sz w:val="22"/>
          <w:szCs w:val="22"/>
        </w:rPr>
        <w:t xml:space="preserve">and </w:t>
      </w:r>
      <w:r w:rsidRPr="002865DB">
        <w:rPr>
          <w:rFonts w:asciiTheme="minorBidi" w:hAnsiTheme="minorBidi" w:cstheme="minorBidi"/>
          <w:sz w:val="22"/>
          <w:szCs w:val="22"/>
        </w:rPr>
        <w:t>research area. We also calculated an annual citation rate t</w:t>
      </w:r>
      <w:r w:rsidRPr="002865DB">
        <w:rPr>
          <w:rFonts w:asciiTheme="minorBidi" w:hAnsiTheme="minorBidi" w:cstheme="minorBidi"/>
          <w:sz w:val="22"/>
          <w:szCs w:val="22"/>
        </w:rPr>
        <w:t>o account for bias</w:t>
      </w:r>
      <w:r w:rsidR="007A32D1" w:rsidRPr="002865DB">
        <w:rPr>
          <w:rFonts w:asciiTheme="minorBidi" w:hAnsiTheme="minorBidi" w:cstheme="minorBidi"/>
          <w:sz w:val="22"/>
          <w:szCs w:val="22"/>
        </w:rPr>
        <w:t>,</w:t>
      </w:r>
      <w:r w:rsidRPr="002865DB">
        <w:rPr>
          <w:rFonts w:asciiTheme="minorBidi" w:hAnsiTheme="minorBidi" w:cstheme="minorBidi"/>
          <w:sz w:val="22"/>
          <w:szCs w:val="22"/>
        </w:rPr>
        <w:t xml:space="preserve"> as some publications are older than others. </w:t>
      </w:r>
    </w:p>
    <w:p w14:paraId="5FDAA298" w14:textId="6F68E11A" w:rsidR="00635A91" w:rsidRPr="002865DB" w:rsidRDefault="00635A91" w:rsidP="002865DB">
      <w:pPr>
        <w:spacing w:line="480" w:lineRule="auto"/>
        <w:jc w:val="both"/>
        <w:rPr>
          <w:rFonts w:asciiTheme="minorBidi" w:hAnsiTheme="minorBidi" w:cstheme="minorBidi"/>
          <w:sz w:val="22"/>
          <w:szCs w:val="22"/>
          <w:u w:val="single"/>
        </w:rPr>
      </w:pPr>
    </w:p>
    <w:p w14:paraId="619C99ED" w14:textId="77777777" w:rsidR="00635A91" w:rsidRPr="002865DB" w:rsidRDefault="009D52DC" w:rsidP="002865DB">
      <w:pPr>
        <w:spacing w:line="480" w:lineRule="auto"/>
        <w:jc w:val="both"/>
        <w:rPr>
          <w:rFonts w:asciiTheme="minorBidi" w:hAnsiTheme="minorBidi" w:cstheme="minorBidi"/>
          <w:sz w:val="22"/>
          <w:szCs w:val="22"/>
          <w:u w:val="single"/>
        </w:rPr>
      </w:pPr>
      <w:r w:rsidRPr="002865DB">
        <w:rPr>
          <w:rFonts w:asciiTheme="minorBidi" w:hAnsiTheme="minorBidi" w:cstheme="minorBidi"/>
          <w:sz w:val="22"/>
          <w:szCs w:val="22"/>
          <w:u w:val="single"/>
        </w:rPr>
        <w:t xml:space="preserve">Results </w:t>
      </w:r>
    </w:p>
    <w:p w14:paraId="4FCA0AD7" w14:textId="77777777" w:rsidR="00DB4F36"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A total of 6,189 studies were retrieved. </w:t>
      </w:r>
      <w:r w:rsidR="001E26C0" w:rsidRPr="002865DB">
        <w:rPr>
          <w:rFonts w:asciiTheme="minorBidi" w:hAnsiTheme="minorBidi" w:cstheme="minorBidi"/>
          <w:sz w:val="22"/>
          <w:szCs w:val="22"/>
        </w:rPr>
        <w:t xml:space="preserve"> The top 100 cited articles were published between 1976 and 2017</w:t>
      </w:r>
      <w:r w:rsidR="007A32D1" w:rsidRPr="002865DB">
        <w:rPr>
          <w:rFonts w:asciiTheme="minorBidi" w:hAnsiTheme="minorBidi" w:cstheme="minorBidi"/>
          <w:sz w:val="22"/>
          <w:szCs w:val="22"/>
        </w:rPr>
        <w:t xml:space="preserve">. </w:t>
      </w:r>
      <w:r w:rsidR="001E26C0" w:rsidRPr="002865DB">
        <w:rPr>
          <w:rFonts w:asciiTheme="minorBidi" w:hAnsiTheme="minorBidi" w:cstheme="minorBidi"/>
          <w:sz w:val="22"/>
          <w:szCs w:val="22"/>
        </w:rPr>
        <w:t xml:space="preserve">The articles were sorted by country of origin, determining the United States of America (USA) as the highest publisher overall. After controlling for population, the Netherlands ranked </w:t>
      </w:r>
      <w:r w:rsidR="002C7DA0" w:rsidRPr="002865DB">
        <w:rPr>
          <w:rFonts w:asciiTheme="minorBidi" w:hAnsiTheme="minorBidi" w:cstheme="minorBidi"/>
          <w:sz w:val="22"/>
          <w:szCs w:val="22"/>
        </w:rPr>
        <w:t>first</w:t>
      </w:r>
      <w:r w:rsidR="001E26C0" w:rsidRPr="002865DB">
        <w:rPr>
          <w:rFonts w:asciiTheme="minorBidi" w:hAnsiTheme="minorBidi" w:cstheme="minorBidi"/>
          <w:sz w:val="22"/>
          <w:szCs w:val="22"/>
        </w:rPr>
        <w:t xml:space="preserve">. </w:t>
      </w:r>
      <w:r w:rsidRPr="002865DB">
        <w:rPr>
          <w:rFonts w:asciiTheme="minorBidi" w:hAnsiTheme="minorBidi" w:cstheme="minorBidi"/>
          <w:sz w:val="22"/>
          <w:szCs w:val="22"/>
        </w:rPr>
        <w:t>The total citations of the top 100 articles ranged between 113 and 477 per individual article, with a sum of 19,528. The most published jo</w:t>
      </w:r>
      <w:r w:rsidRPr="002865DB">
        <w:rPr>
          <w:rFonts w:asciiTheme="minorBidi" w:hAnsiTheme="minorBidi" w:cstheme="minorBidi"/>
          <w:sz w:val="22"/>
          <w:szCs w:val="22"/>
        </w:rPr>
        <w:t>urnal was “</w:t>
      </w:r>
      <w:r w:rsidRPr="002865DB">
        <w:rPr>
          <w:rFonts w:asciiTheme="minorBidi" w:hAnsiTheme="minorBidi" w:cstheme="minorBidi"/>
          <w:i/>
          <w:iCs/>
          <w:sz w:val="22"/>
          <w:szCs w:val="22"/>
        </w:rPr>
        <w:t>Journal of Investigative Dermatology</w:t>
      </w:r>
      <w:r w:rsidRPr="002865DB">
        <w:rPr>
          <w:rFonts w:asciiTheme="minorBidi" w:hAnsiTheme="minorBidi" w:cstheme="minorBidi"/>
          <w:sz w:val="22"/>
          <w:szCs w:val="22"/>
        </w:rPr>
        <w:t>” (n=16). Of the 100 most cited articles, 75 were original articles</w:t>
      </w:r>
      <w:r w:rsidR="007A32D1" w:rsidRPr="002865DB">
        <w:rPr>
          <w:rFonts w:asciiTheme="minorBidi" w:hAnsiTheme="minorBidi" w:cstheme="minorBidi"/>
          <w:sz w:val="22"/>
          <w:szCs w:val="22"/>
        </w:rPr>
        <w:t>,</w:t>
      </w:r>
      <w:r w:rsidRPr="002865DB">
        <w:rPr>
          <w:rFonts w:asciiTheme="minorBidi" w:hAnsiTheme="minorBidi" w:cstheme="minorBidi"/>
          <w:sz w:val="22"/>
          <w:szCs w:val="22"/>
        </w:rPr>
        <w:t xml:space="preserve"> with the research focuses being majorly pathogenesis (29%) and treatment (26%). </w:t>
      </w:r>
    </w:p>
    <w:p w14:paraId="150EA99B" w14:textId="77777777" w:rsidR="00DB4F36"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lastRenderedPageBreak/>
        <w:t xml:space="preserve">We separately retrieved the highest cited data from </w:t>
      </w:r>
      <w:r w:rsidR="00996944" w:rsidRPr="002865DB">
        <w:rPr>
          <w:rFonts w:asciiTheme="minorBidi" w:hAnsiTheme="minorBidi" w:cstheme="minorBidi"/>
          <w:sz w:val="22"/>
          <w:szCs w:val="22"/>
        </w:rPr>
        <w:t>2018-2022 and</w:t>
      </w:r>
      <w:r w:rsidR="007A32D1" w:rsidRPr="002865DB">
        <w:rPr>
          <w:rFonts w:asciiTheme="minorBidi" w:hAnsiTheme="minorBidi" w:cstheme="minorBidi"/>
          <w:sz w:val="22"/>
          <w:szCs w:val="22"/>
        </w:rPr>
        <w:t xml:space="preserve"> </w:t>
      </w:r>
      <w:r w:rsidR="00F338BA" w:rsidRPr="002865DB">
        <w:rPr>
          <w:rFonts w:asciiTheme="minorBidi" w:hAnsiTheme="minorBidi" w:cstheme="minorBidi"/>
          <w:sz w:val="22"/>
          <w:szCs w:val="22"/>
        </w:rPr>
        <w:t>tabled the top 10. Five of the top 10 most cited articles since 2018 were original articles, and five were reviews</w:t>
      </w:r>
    </w:p>
    <w:p w14:paraId="6E8D6E6E" w14:textId="77777777" w:rsidR="00DB4F36" w:rsidRPr="002865DB" w:rsidRDefault="00DB4F36" w:rsidP="002865DB">
      <w:pPr>
        <w:spacing w:line="480" w:lineRule="auto"/>
        <w:jc w:val="both"/>
        <w:rPr>
          <w:rFonts w:asciiTheme="minorBidi" w:hAnsiTheme="minorBidi" w:cstheme="minorBidi"/>
          <w:sz w:val="22"/>
          <w:szCs w:val="22"/>
        </w:rPr>
      </w:pPr>
    </w:p>
    <w:p w14:paraId="42D26AF8" w14:textId="77777777" w:rsidR="00635A91" w:rsidRPr="002865DB" w:rsidRDefault="009D52DC" w:rsidP="002865DB">
      <w:pPr>
        <w:spacing w:line="480" w:lineRule="auto"/>
        <w:jc w:val="both"/>
        <w:rPr>
          <w:rFonts w:asciiTheme="minorBidi" w:hAnsiTheme="minorBidi" w:cstheme="minorBidi"/>
          <w:sz w:val="22"/>
          <w:szCs w:val="22"/>
          <w:u w:val="single"/>
        </w:rPr>
      </w:pPr>
      <w:r w:rsidRPr="002865DB">
        <w:rPr>
          <w:rFonts w:asciiTheme="minorBidi" w:hAnsiTheme="minorBidi" w:cstheme="minorBidi"/>
          <w:sz w:val="22"/>
          <w:szCs w:val="22"/>
          <w:u w:val="single"/>
        </w:rPr>
        <w:t>Conclusion</w:t>
      </w:r>
    </w:p>
    <w:p w14:paraId="2E5A8216" w14:textId="6DEB8ED1" w:rsidR="00996944" w:rsidRPr="002865DB" w:rsidRDefault="009D52DC" w:rsidP="003E2597">
      <w:pPr>
        <w:spacing w:line="480" w:lineRule="auto"/>
        <w:jc w:val="both"/>
        <w:rPr>
          <w:rFonts w:asciiTheme="minorBidi" w:hAnsiTheme="minorBidi" w:cstheme="minorBidi"/>
          <w:sz w:val="22"/>
          <w:szCs w:val="22"/>
        </w:rPr>
      </w:pPr>
      <w:r>
        <w:rPr>
          <w:rFonts w:asciiTheme="minorBidi" w:hAnsiTheme="minorBidi" w:cstheme="minorBidi"/>
          <w:sz w:val="22"/>
          <w:szCs w:val="22"/>
        </w:rPr>
        <w:t>This</w:t>
      </w:r>
      <w:r w:rsidR="00FB17C7" w:rsidRPr="002865DB">
        <w:rPr>
          <w:rFonts w:asciiTheme="minorBidi" w:hAnsiTheme="minorBidi" w:cstheme="minorBidi"/>
          <w:sz w:val="22"/>
          <w:szCs w:val="22"/>
        </w:rPr>
        <w:t xml:space="preserve"> </w:t>
      </w:r>
      <w:r w:rsidR="00893C5F" w:rsidRPr="002865DB">
        <w:rPr>
          <w:rFonts w:asciiTheme="minorBidi" w:hAnsiTheme="minorBidi" w:cstheme="minorBidi"/>
          <w:sz w:val="22"/>
          <w:szCs w:val="22"/>
        </w:rPr>
        <w:t>bibliometric analysis</w:t>
      </w:r>
      <w:r w:rsidR="00FB17C7" w:rsidRPr="002865DB">
        <w:rPr>
          <w:rFonts w:asciiTheme="minorBidi" w:hAnsiTheme="minorBidi" w:cstheme="minorBidi"/>
          <w:sz w:val="22"/>
          <w:szCs w:val="22"/>
        </w:rPr>
        <w:t xml:space="preserve"> </w:t>
      </w:r>
      <w:r w:rsidR="004B514C" w:rsidRPr="002865DB">
        <w:rPr>
          <w:rFonts w:asciiTheme="minorBidi" w:hAnsiTheme="minorBidi" w:cstheme="minorBidi"/>
          <w:sz w:val="22"/>
          <w:szCs w:val="22"/>
        </w:rPr>
        <w:t xml:space="preserve">provides insight into the current state of vitiligo literature by analysing </w:t>
      </w:r>
      <w:r>
        <w:rPr>
          <w:rFonts w:asciiTheme="minorBidi" w:hAnsiTheme="minorBidi" w:cstheme="minorBidi"/>
          <w:sz w:val="22"/>
          <w:szCs w:val="22"/>
        </w:rPr>
        <w:t xml:space="preserve">published </w:t>
      </w:r>
      <w:r w:rsidR="001A3CDC" w:rsidRPr="002865DB">
        <w:rPr>
          <w:rFonts w:asciiTheme="minorBidi" w:hAnsiTheme="minorBidi" w:cstheme="minorBidi"/>
          <w:sz w:val="22"/>
          <w:szCs w:val="22"/>
        </w:rPr>
        <w:t xml:space="preserve">tendencies </w:t>
      </w:r>
      <w:r w:rsidR="004B514C" w:rsidRPr="002865DB">
        <w:rPr>
          <w:rFonts w:asciiTheme="minorBidi" w:hAnsiTheme="minorBidi" w:cstheme="minorBidi"/>
          <w:sz w:val="22"/>
          <w:szCs w:val="22"/>
        </w:rPr>
        <w:t xml:space="preserve">and their significance. </w:t>
      </w:r>
      <w:r>
        <w:rPr>
          <w:rFonts w:asciiTheme="minorBidi" w:hAnsiTheme="minorBidi" w:cstheme="minorBidi"/>
          <w:sz w:val="22"/>
          <w:szCs w:val="22"/>
        </w:rPr>
        <w:t>In addition, w</w:t>
      </w:r>
      <w:r w:rsidR="004B514C" w:rsidRPr="002865DB">
        <w:rPr>
          <w:rFonts w:asciiTheme="minorBidi" w:hAnsiTheme="minorBidi" w:cstheme="minorBidi"/>
          <w:sz w:val="22"/>
          <w:szCs w:val="22"/>
        </w:rPr>
        <w:t xml:space="preserve">e </w:t>
      </w:r>
      <w:r>
        <w:rPr>
          <w:rFonts w:asciiTheme="minorBidi" w:hAnsiTheme="minorBidi" w:cstheme="minorBidi"/>
          <w:sz w:val="22"/>
          <w:szCs w:val="22"/>
        </w:rPr>
        <w:t xml:space="preserve">mapped the current research gaps </w:t>
      </w:r>
    </w:p>
    <w:p w14:paraId="504A5C37" w14:textId="518BECA3" w:rsidR="001A3CDC" w:rsidRPr="002865DB" w:rsidRDefault="001A3CDC" w:rsidP="002865DB">
      <w:pPr>
        <w:spacing w:line="480" w:lineRule="auto"/>
        <w:jc w:val="both"/>
        <w:rPr>
          <w:rFonts w:asciiTheme="minorBidi" w:hAnsiTheme="minorBidi" w:cstheme="minorBidi"/>
          <w:sz w:val="22"/>
          <w:szCs w:val="22"/>
        </w:rPr>
      </w:pPr>
    </w:p>
    <w:p w14:paraId="4FC09CD8" w14:textId="77777777" w:rsidR="006E53F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u w:val="single"/>
        </w:rPr>
        <w:t>Introduction</w:t>
      </w:r>
    </w:p>
    <w:p w14:paraId="2B4DF5C5" w14:textId="236B34A9" w:rsidR="00334A9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Vitiligo is a skin disease targeting the melanocytes </w:t>
      </w:r>
      <w:r w:rsidRPr="002865DB">
        <w:rPr>
          <w:rFonts w:asciiTheme="minorBidi" w:hAnsiTheme="minorBidi" w:cstheme="minorBidi"/>
          <w:sz w:val="22"/>
          <w:szCs w:val="22"/>
          <w:lang w:val="en-US"/>
        </w:rPr>
        <w:t>characterized by the development of areas of depigmented skin lesions</w:t>
      </w:r>
      <w:r w:rsidR="004B514C" w:rsidRPr="002865DB">
        <w:rPr>
          <w:rFonts w:asciiTheme="minorBidi" w:hAnsiTheme="minorBidi" w:cstheme="minorBidi"/>
          <w:sz w:val="22"/>
          <w:szCs w:val="22"/>
        </w:rPr>
        <w:t xml:space="preserve">. It typically develops between the ages of 10 and 30 </w:t>
      </w:r>
      <w:r w:rsidR="00893C5F" w:rsidRPr="002865DB">
        <w:rPr>
          <w:rFonts w:asciiTheme="minorBidi" w:hAnsiTheme="minorBidi" w:cstheme="minorBidi"/>
          <w:sz w:val="22"/>
          <w:szCs w:val="22"/>
        </w:rPr>
        <w:t xml:space="preserve">years </w:t>
      </w:r>
      <w:r w:rsidR="004B514C" w:rsidRPr="002865DB">
        <w:rPr>
          <w:rFonts w:asciiTheme="minorBidi" w:hAnsiTheme="minorBidi" w:cstheme="minorBidi"/>
          <w:sz w:val="22"/>
          <w:szCs w:val="22"/>
        </w:rPr>
        <w:t>in 0.5% to 1% of the global population</w:t>
      </w:r>
      <w:r w:rsidRPr="002865DB">
        <w:rPr>
          <w:rFonts w:asciiTheme="minorBidi" w:hAnsiTheme="minorBidi" w:cstheme="minorBidi"/>
          <w:sz w:val="22"/>
          <w:szCs w:val="22"/>
        </w:rPr>
        <w:fldChar w:fldCharType="begin"/>
      </w:r>
      <w:r w:rsidRPr="002865DB">
        <w:rPr>
          <w:rFonts w:asciiTheme="minorBidi" w:hAnsiTheme="minorBidi" w:cstheme="minorBidi"/>
          <w:sz w:val="22"/>
          <w:szCs w:val="22"/>
        </w:rPr>
        <w:instrText xml:space="preserve"> ADDIN ZOTERO_ITEM CSL_CITATION {"citationID":"AlhZUm8T","properties":{"formattedCitation":"\\super 1\\nosupersub{}","plainCitation":"1","noteIndex":0},"citat</w:instrText>
      </w:r>
      <w:r w:rsidRPr="002865DB">
        <w:rPr>
          <w:rFonts w:asciiTheme="minorBidi" w:hAnsiTheme="minorBidi" w:cstheme="minorBidi"/>
          <w:sz w:val="22"/>
          <w:szCs w:val="22"/>
        </w:rPr>
        <w:instrText>ionItems":[{"id":9,"uris":["http://zotero.org/users/local/0qy97rJQ/items/3Z9LTCEJ"],"itemData":{"id":9,"type":"article-journal","abstract":"Vitiligo, a common depigmenting skin disorder, has an estimated prevalence of 0.5–2% of the population worldwide. Th</w:instrText>
      </w:r>
      <w:r w:rsidRPr="002865DB">
        <w:rPr>
          <w:rFonts w:asciiTheme="minorBidi" w:hAnsiTheme="minorBidi" w:cstheme="minorBidi"/>
          <w:sz w:val="22"/>
          <w:szCs w:val="22"/>
        </w:rPr>
        <w:instrText>e disease is characterized by the selective loss of melanocytes which results in typical nonscaly, chalky-white macules. In recent years, considerable progress has been made in our understanding of the pathogenesis of vitiligo which is now clearly classifi</w:instrText>
      </w:r>
      <w:r w:rsidRPr="002865DB">
        <w:rPr>
          <w:rFonts w:asciiTheme="minorBidi" w:hAnsiTheme="minorBidi" w:cstheme="minorBidi"/>
          <w:sz w:val="22"/>
          <w:szCs w:val="22"/>
        </w:rPr>
        <w:instrText>ed as an autoimmune disease. Vitiligo is often dismissed as a cosmetic problem, although its effects can be psychologically devastating, often with a considerable burden on daily life. In 2011, an international consensus classified segmental vitiligo separ</w:instrText>
      </w:r>
      <w:r w:rsidRPr="002865DB">
        <w:rPr>
          <w:rFonts w:asciiTheme="minorBidi" w:hAnsiTheme="minorBidi" w:cstheme="minorBidi"/>
          <w:sz w:val="22"/>
          <w:szCs w:val="22"/>
        </w:rPr>
        <w:instrText>ately from all other forms of vitiligo, and the term vitiligo was defined to designate all forms of nonsegmental vitiligo. This review summarizes the current knowledge on vitiligo and attempts to give an overview of the future in vitiligo treatment.","cont</w:instrText>
      </w:r>
      <w:r w:rsidRPr="002865DB">
        <w:rPr>
          <w:rFonts w:asciiTheme="minorBidi" w:hAnsiTheme="minorBidi" w:cstheme="minorBidi"/>
          <w:sz w:val="22"/>
          <w:szCs w:val="22"/>
        </w:rPr>
        <w:instrText>ainer-title":"Dermatology","DOI":"10.1159/000506103","ISSN":"1018-8665, 1421-9832","issue":"6","journalAbbreviation":"Dermatology","language":"en","page":"571-592","source":"DOI.org (Crossref)","title":"Vitiligo: A Review","title-short":"Vitiligo","volume"</w:instrText>
      </w:r>
      <w:r w:rsidRPr="002865DB">
        <w:rPr>
          <w:rFonts w:asciiTheme="minorBidi" w:hAnsiTheme="minorBidi" w:cstheme="minorBidi"/>
          <w:sz w:val="22"/>
          <w:szCs w:val="22"/>
        </w:rPr>
        <w:instrText xml:space="preserve">:"236","author":[{"family":"Bergqvist","given":"Christina"},{"family":"Ezzedine","given":"Khaled"}],"issued":{"date-parts":[["2020"]]}}}],"schema":"https://github.com/citation-style-language/schema/raw/master/csl-citation.json"} </w:instrText>
      </w:r>
      <w:r w:rsidRPr="002865DB">
        <w:rPr>
          <w:rFonts w:asciiTheme="minorBidi" w:hAnsiTheme="minorBidi" w:cstheme="minorBidi"/>
          <w:sz w:val="22"/>
          <w:szCs w:val="22"/>
        </w:rPr>
        <w:fldChar w:fldCharType="separate"/>
      </w:r>
      <w:r w:rsidRPr="002865DB">
        <w:rPr>
          <w:rFonts w:asciiTheme="minorBidi" w:hAnsiTheme="minorBidi" w:cstheme="minorBidi"/>
          <w:sz w:val="22"/>
          <w:szCs w:val="22"/>
          <w:vertAlign w:val="superscript"/>
        </w:rPr>
        <w:t>1</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w:t>
      </w:r>
      <w:r w:rsidR="004B514C" w:rsidRPr="002865DB">
        <w:rPr>
          <w:rFonts w:asciiTheme="minorBidi" w:hAnsiTheme="minorBidi" w:cstheme="minorBidi"/>
          <w:sz w:val="22"/>
          <w:szCs w:val="22"/>
        </w:rPr>
        <w:t>. It is more prevalent in relatives of patients with the diseaseThere is no ethnicity or gender described as more prone to developing the condition.</w:t>
      </w:r>
    </w:p>
    <w:p w14:paraId="68DA3E3C" w14:textId="77777777" w:rsidR="006E53FB" w:rsidRPr="002865DB" w:rsidRDefault="009D52DC" w:rsidP="002865DB">
      <w:pPr>
        <w:pStyle w:val="NormalWeb"/>
        <w:spacing w:line="480" w:lineRule="auto"/>
        <w:jc w:val="both"/>
        <w:rPr>
          <w:rFonts w:asciiTheme="minorBidi" w:hAnsiTheme="minorBidi" w:cstheme="minorBidi"/>
          <w:sz w:val="22"/>
          <w:szCs w:val="22"/>
        </w:rPr>
      </w:pPr>
      <w:r w:rsidRPr="002865DB">
        <w:rPr>
          <w:rFonts w:asciiTheme="minorBidi" w:hAnsiTheme="minorBidi" w:cstheme="minorBidi"/>
          <w:sz w:val="22"/>
          <w:szCs w:val="22"/>
        </w:rPr>
        <w:t>Several theories surround the pathogenesis of vitiligo. One suggests that it is an autoimmune disease</w:t>
      </w:r>
      <w:r w:rsidR="0066248D" w:rsidRPr="002865DB">
        <w:rPr>
          <w:rFonts w:asciiTheme="minorBidi" w:hAnsiTheme="minorBidi" w:cstheme="minorBidi"/>
          <w:sz w:val="22"/>
          <w:szCs w:val="22"/>
        </w:rPr>
        <w:t xml:space="preserve"> in which </w:t>
      </w:r>
      <w:r w:rsidRPr="002865DB">
        <w:rPr>
          <w:rFonts w:asciiTheme="minorBidi" w:hAnsiTheme="minorBidi" w:cstheme="minorBidi"/>
          <w:sz w:val="22"/>
          <w:szCs w:val="22"/>
        </w:rPr>
        <w:t>autoreactive cytot</w:t>
      </w:r>
      <w:r w:rsidRPr="002865DB">
        <w:rPr>
          <w:rFonts w:asciiTheme="minorBidi" w:hAnsiTheme="minorBidi" w:cstheme="minorBidi"/>
          <w:sz w:val="22"/>
          <w:szCs w:val="22"/>
        </w:rPr>
        <w:t>oxic CD8+ T cells attack melanocytes and stimulate the secretion of IFN</w:t>
      </w:r>
      <w:r w:rsidR="001A3CDC" w:rsidRPr="002865DB">
        <w:rPr>
          <w:rFonts w:asciiTheme="minorBidi" w:hAnsiTheme="minorBidi" w:cstheme="minorBidi"/>
          <w:color w:val="4D5156"/>
          <w:sz w:val="22"/>
          <w:szCs w:val="22"/>
          <w:shd w:val="clear" w:color="auto" w:fill="FFFFFF"/>
        </w:rPr>
        <w:t xml:space="preserve">γ </w:t>
      </w:r>
      <w:r w:rsidRPr="002865DB">
        <w:rPr>
          <w:rFonts w:asciiTheme="minorBidi" w:hAnsiTheme="minorBidi" w:cstheme="minorBidi"/>
          <w:sz w:val="22"/>
          <w:szCs w:val="22"/>
        </w:rPr>
        <w:t>and chemokines from surrounding keratinocytes</w:t>
      </w:r>
      <w:r w:rsidRPr="002865DB">
        <w:rPr>
          <w:rFonts w:asciiTheme="minorBidi" w:hAnsiTheme="minorBidi" w:cstheme="minorBidi"/>
          <w:sz w:val="22"/>
          <w:szCs w:val="22"/>
        </w:rPr>
        <w:fldChar w:fldCharType="begin"/>
      </w:r>
      <w:r w:rsidRPr="002865DB">
        <w:rPr>
          <w:rFonts w:asciiTheme="minorBidi" w:hAnsiTheme="minorBidi" w:cstheme="minorBidi"/>
          <w:sz w:val="22"/>
          <w:szCs w:val="22"/>
        </w:rPr>
        <w:instrText xml:space="preserve"> ADDIN ZOTERO_ITEM CSL_CITATION {"citationID":"FjBO12d1","properties":{"formattedCitation":"\\super 2\\nosupersub{}","plainCitation":"2","</w:instrText>
      </w:r>
      <w:r w:rsidRPr="002865DB">
        <w:rPr>
          <w:rFonts w:asciiTheme="minorBidi" w:hAnsiTheme="minorBidi" w:cstheme="minorBidi"/>
          <w:sz w:val="22"/>
          <w:szCs w:val="22"/>
        </w:rPr>
        <w:instrText>noteIndex":0},"citationItems":[{"id":2,"uris":["http://zotero.org/users/local/0qy97rJQ/items/LE5EMB43"],"itemData":{"id":2,"type":"article-journal","container-title":"American Journal of Clinical Dermatology","DOI":"10.2165/00128071-200102030-00006","ISSN"</w:instrText>
      </w:r>
      <w:r w:rsidRPr="002865DB">
        <w:rPr>
          <w:rFonts w:asciiTheme="minorBidi" w:hAnsiTheme="minorBidi" w:cstheme="minorBidi"/>
          <w:sz w:val="22"/>
          <w:szCs w:val="22"/>
        </w:rPr>
        <w:instrText>:"1175-0561","issue":"3","journalAbbreviation":"American Journal of Clinical Dermatology","language":"en","page":"167-181","source":"DOI.org (Crossref)","title":"Vitiligo: Pathogenesis and Treatment","title-short":"Vitiligo","volume":"2","author":[{"family</w:instrText>
      </w:r>
      <w:r w:rsidRPr="002865DB">
        <w:rPr>
          <w:rFonts w:asciiTheme="minorBidi" w:hAnsiTheme="minorBidi" w:cstheme="minorBidi"/>
          <w:sz w:val="22"/>
          <w:szCs w:val="22"/>
        </w:rPr>
        <w:instrText xml:space="preserve">":"Njoo","given":"M. David"},{"family":"Westerhof","given":"Wiete"}],"issued":{"date-parts":[["2001"]]}}}],"schema":"https://github.com/citation-style-language/schema/raw/master/csl-citation.json"} </w:instrText>
      </w:r>
      <w:r w:rsidRPr="002865DB">
        <w:rPr>
          <w:rFonts w:asciiTheme="minorBidi" w:hAnsiTheme="minorBidi" w:cstheme="minorBidi"/>
          <w:sz w:val="22"/>
          <w:szCs w:val="22"/>
        </w:rPr>
        <w:fldChar w:fldCharType="separate"/>
      </w:r>
      <w:r w:rsidRPr="002865DB">
        <w:rPr>
          <w:rFonts w:asciiTheme="minorBidi" w:hAnsiTheme="minorBidi" w:cstheme="minorBidi"/>
          <w:sz w:val="22"/>
          <w:szCs w:val="22"/>
          <w:vertAlign w:val="superscript"/>
        </w:rPr>
        <w:t>2</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A strong stigma surround</w:t>
      </w:r>
      <w:r w:rsidR="00A06B60" w:rsidRPr="002865DB">
        <w:rPr>
          <w:rFonts w:asciiTheme="minorBidi" w:hAnsiTheme="minorBidi" w:cstheme="minorBidi"/>
          <w:sz w:val="22"/>
          <w:szCs w:val="22"/>
        </w:rPr>
        <w:t>s</w:t>
      </w:r>
      <w:r w:rsidRPr="002865DB">
        <w:rPr>
          <w:rFonts w:asciiTheme="minorBidi" w:hAnsiTheme="minorBidi" w:cstheme="minorBidi"/>
          <w:sz w:val="22"/>
          <w:szCs w:val="22"/>
        </w:rPr>
        <w:t xml:space="preserve"> vitiligo, and navigating these changes can often cause depression, anxiety</w:t>
      </w:r>
      <w:r w:rsidR="00A06B60" w:rsidRPr="002865DB">
        <w:rPr>
          <w:rFonts w:asciiTheme="minorBidi" w:hAnsiTheme="minorBidi" w:cstheme="minorBidi"/>
          <w:sz w:val="22"/>
          <w:szCs w:val="22"/>
        </w:rPr>
        <w:t>,</w:t>
      </w:r>
      <w:r w:rsidRPr="002865DB">
        <w:rPr>
          <w:rFonts w:asciiTheme="minorBidi" w:hAnsiTheme="minorBidi" w:cstheme="minorBidi"/>
          <w:sz w:val="22"/>
          <w:szCs w:val="22"/>
        </w:rPr>
        <w:t xml:space="preserve"> or embarrassment  </w:t>
      </w:r>
      <w:r w:rsidRPr="002865DB">
        <w:rPr>
          <w:rFonts w:asciiTheme="minorBidi" w:hAnsiTheme="minorBidi" w:cstheme="minorBidi"/>
          <w:sz w:val="22"/>
          <w:szCs w:val="22"/>
        </w:rPr>
        <w:fldChar w:fldCharType="begin"/>
      </w:r>
      <w:r w:rsidR="00587BE4" w:rsidRPr="002865DB">
        <w:rPr>
          <w:rFonts w:asciiTheme="minorBidi" w:hAnsiTheme="minorBidi" w:cstheme="minorBidi"/>
          <w:sz w:val="22"/>
          <w:szCs w:val="22"/>
        </w:rPr>
        <w:instrText xml:space="preserve"> ADDIN ZOTERO_ITEM CSL_CITATION {"citationID":"WIXP0nM2","properties":{"formattedCitation":"\\super 3\\nosupersub{}","plainCitation":"3","noteIndex":0},"citationItems":[{"id":23,"uris":["http://zotero.org/users/local/0qy97rJQ/items/Y77Z9QS2"],"itemData":{"id":23,"type":"article-journal","container-title":"Indian Journal of Dermatology","DOI":"10.4103/0019-5154.39745","ISSN":"0019-5154","issue":"1","journalAbbreviation":"Indian J Dermatol","language":"en","page":"40","source":"DOI.org (Crossref)","title":"Vitiligo: Is it just a dermatological disorder?","title-short":"Vitiligo","volume":"53","author":[{"family":"Pandve","given":"HarshalT"}],"issued":{"date-parts":[["2008"]]}}}],"schema":"https://github.com/citation-style-language/schema/raw/master/csl-citation.json"} </w:instrText>
      </w:r>
      <w:r w:rsidRPr="002865DB">
        <w:rPr>
          <w:rFonts w:asciiTheme="minorBidi" w:hAnsiTheme="minorBidi" w:cstheme="minorBidi"/>
          <w:sz w:val="22"/>
          <w:szCs w:val="22"/>
        </w:rPr>
        <w:fldChar w:fldCharType="separate"/>
      </w:r>
      <w:r w:rsidR="00587BE4" w:rsidRPr="002865DB">
        <w:rPr>
          <w:rFonts w:asciiTheme="minorBidi" w:hAnsiTheme="minorBidi" w:cstheme="minorBidi"/>
          <w:sz w:val="22"/>
          <w:szCs w:val="22"/>
          <w:vertAlign w:val="superscript"/>
        </w:rPr>
        <w:t>3</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Thus, homogenizing skin color can provide psychological benefit.</w:t>
      </w:r>
    </w:p>
    <w:p w14:paraId="1792826E" w14:textId="77777777" w:rsidR="006E53FB" w:rsidRPr="002865DB" w:rsidRDefault="009D52DC" w:rsidP="002865DB">
      <w:pPr>
        <w:pStyle w:val="NormalWeb"/>
        <w:spacing w:line="480" w:lineRule="auto"/>
        <w:jc w:val="both"/>
        <w:rPr>
          <w:rFonts w:asciiTheme="minorBidi" w:hAnsiTheme="minorBidi" w:cstheme="minorBidi"/>
          <w:sz w:val="22"/>
          <w:szCs w:val="22"/>
        </w:rPr>
      </w:pPr>
      <w:r w:rsidRPr="002865DB">
        <w:rPr>
          <w:rFonts w:asciiTheme="minorBidi" w:hAnsiTheme="minorBidi" w:cstheme="minorBidi"/>
          <w:sz w:val="22"/>
          <w:szCs w:val="22"/>
        </w:rPr>
        <w:t>The latest guideline</w:t>
      </w:r>
      <w:r w:rsidR="00196E6A" w:rsidRPr="002865DB">
        <w:rPr>
          <w:rFonts w:asciiTheme="minorBidi" w:hAnsiTheme="minorBidi" w:cstheme="minorBidi"/>
          <w:sz w:val="22"/>
          <w:szCs w:val="22"/>
        </w:rPr>
        <w:fldChar w:fldCharType="begin"/>
      </w:r>
      <w:r w:rsidR="00196E6A" w:rsidRPr="002865DB">
        <w:rPr>
          <w:rFonts w:asciiTheme="minorBidi" w:hAnsiTheme="minorBidi" w:cstheme="minorBidi"/>
          <w:sz w:val="22"/>
          <w:szCs w:val="22"/>
        </w:rPr>
        <w:instrText xml:space="preserve"> ADDIN ZOTERO_ITEM CSL_CITATION {"citationID":"6SLRCz6e","properties":{"formattedCitation":"\\super 4\\nosupersub{}","plainCitation":"4","noteIndex":0},"citationItems":[{"id":29,"uris":["http://zotero.org/users/local/0qy97rJQ/items/2TK57Y4R"],"itemData":{"id":29,"type":"article-journal","container-title":"British Journal of Dermatology","DOI":"10.1111/bjd.20596","ISSN":"0007-0963, 1365-2133","issue":"1","journalAbbreviation":"Br J Dermatol","language":"en","page":"18-29","source":"DOI.org (Crossref)","title":"British Association of Dermatologists guidelines for the management of people with vitiligo 2021*","volume":"186","author":[{"family":"Eleftheriadou","given":"V."},{"family":"Atkar","given":"R."},{"family":"Batchelor","given":"J."},{"family":"McDonald","given":"B."},{"family":"Novakovic","given":"L."},{"family":"Patel","given":"J.V."},{"family":"Ravenscroft","given":"J."},{"family":"Rush","given":"E."},{"family":"Shah","given":"D."},{"family":"Shah","given":"R."},{"family":"Shaw","given":"L."},{"family":"Thompson","given":"A.R."},{"family":"Hashme","given":"M."},{"family":"Exton","given":"L.S."},{"family":"Mohd Mustapa","given":"M.F."},{"family":"Manounah","given":"L."},{"literal":"the British Association of Dermatologists’ Clinical Standards Unit"}],"issued":{"date-parts":[["2022",1]]}}}],"schema":"https://github.com/citation-style-language/schema/raw/master/csl-citation.json"} </w:instrText>
      </w:r>
      <w:r w:rsidR="00196E6A" w:rsidRPr="002865DB">
        <w:rPr>
          <w:rFonts w:asciiTheme="minorBidi" w:hAnsiTheme="minorBidi" w:cstheme="minorBidi"/>
          <w:sz w:val="22"/>
          <w:szCs w:val="22"/>
        </w:rPr>
        <w:fldChar w:fldCharType="separate"/>
      </w:r>
      <w:r w:rsidR="00196E6A" w:rsidRPr="002865DB">
        <w:rPr>
          <w:rFonts w:asciiTheme="minorBidi" w:hAnsiTheme="minorBidi" w:cstheme="minorBidi"/>
          <w:sz w:val="22"/>
          <w:szCs w:val="22"/>
          <w:vertAlign w:val="superscript"/>
        </w:rPr>
        <w:t>4</w:t>
      </w:r>
      <w:r w:rsidR="00196E6A"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published on 2021</w:t>
      </w:r>
      <w:r w:rsidR="002865DB" w:rsidRPr="002865DB">
        <w:rPr>
          <w:rFonts w:asciiTheme="minorBidi" w:hAnsiTheme="minorBidi" w:cstheme="minorBidi"/>
          <w:sz w:val="22"/>
          <w:szCs w:val="22"/>
        </w:rPr>
        <w:t xml:space="preserve"> </w:t>
      </w:r>
      <w:r w:rsidRPr="002865DB">
        <w:rPr>
          <w:rFonts w:asciiTheme="minorBidi" w:hAnsiTheme="minorBidi" w:cstheme="minorBidi"/>
          <w:sz w:val="22"/>
          <w:szCs w:val="22"/>
        </w:rPr>
        <w:t xml:space="preserve">provide an algorithm for vitiligo diagnosis and treatment, according to severity and onset of the disease. Treatments currently focus on blocking IFNy </w:t>
      </w:r>
      <w:r w:rsidR="00D233F5" w:rsidRPr="002865DB">
        <w:rPr>
          <w:rFonts w:asciiTheme="minorBidi" w:hAnsiTheme="minorBidi" w:cstheme="minorBidi"/>
          <w:sz w:val="22"/>
          <w:szCs w:val="22"/>
        </w:rPr>
        <w:t>signa</w:t>
      </w:r>
      <w:r w:rsidR="00893C5F" w:rsidRPr="002865DB">
        <w:rPr>
          <w:rFonts w:asciiTheme="minorBidi" w:hAnsiTheme="minorBidi" w:cstheme="minorBidi"/>
          <w:sz w:val="22"/>
          <w:szCs w:val="22"/>
        </w:rPr>
        <w:t>l</w:t>
      </w:r>
      <w:r w:rsidR="00D233F5" w:rsidRPr="002865DB">
        <w:rPr>
          <w:rFonts w:asciiTheme="minorBidi" w:hAnsiTheme="minorBidi" w:cstheme="minorBidi"/>
          <w:sz w:val="22"/>
          <w:szCs w:val="22"/>
        </w:rPr>
        <w:t>ling</w:t>
      </w:r>
      <w:r w:rsidRPr="002865DB">
        <w:rPr>
          <w:rFonts w:asciiTheme="minorBidi" w:hAnsiTheme="minorBidi" w:cstheme="minorBidi"/>
          <w:sz w:val="22"/>
          <w:szCs w:val="22"/>
        </w:rPr>
        <w:t xml:space="preserve"> by using JAK inhibitors. </w:t>
      </w:r>
      <w:r w:rsidR="001A3CDC" w:rsidRPr="002865DB">
        <w:rPr>
          <w:rFonts w:asciiTheme="minorBidi" w:hAnsiTheme="minorBidi" w:cstheme="minorBidi"/>
          <w:sz w:val="22"/>
          <w:szCs w:val="22"/>
        </w:rPr>
        <w:t>Unfortunately</w:t>
      </w:r>
      <w:r w:rsidR="00A40F9B" w:rsidRPr="002865DB">
        <w:rPr>
          <w:rFonts w:asciiTheme="minorBidi" w:hAnsiTheme="minorBidi" w:cstheme="minorBidi"/>
          <w:sz w:val="22"/>
          <w:szCs w:val="22"/>
        </w:rPr>
        <w:t xml:space="preserve">, with </w:t>
      </w:r>
      <w:r w:rsidR="00D233F5" w:rsidRPr="002865DB">
        <w:rPr>
          <w:rFonts w:asciiTheme="minorBidi" w:hAnsiTheme="minorBidi" w:cstheme="minorBidi"/>
          <w:sz w:val="22"/>
          <w:szCs w:val="22"/>
        </w:rPr>
        <w:t xml:space="preserve">the </w:t>
      </w:r>
      <w:r w:rsidRPr="002865DB">
        <w:rPr>
          <w:rFonts w:asciiTheme="minorBidi" w:hAnsiTheme="minorBidi" w:cstheme="minorBidi"/>
          <w:sz w:val="22"/>
          <w:szCs w:val="22"/>
        </w:rPr>
        <w:t>discontinuation of use, relapse will occur. To prevent relapse, new treatments</w:t>
      </w:r>
      <w:r w:rsidR="00A40F9B" w:rsidRPr="002865DB">
        <w:rPr>
          <w:rFonts w:asciiTheme="minorBidi" w:hAnsiTheme="minorBidi" w:cstheme="minorBidi"/>
          <w:sz w:val="22"/>
          <w:szCs w:val="22"/>
        </w:rPr>
        <w:t>,</w:t>
      </w:r>
      <w:r w:rsidR="00D233F5" w:rsidRPr="002865DB">
        <w:rPr>
          <w:rFonts w:asciiTheme="minorBidi" w:hAnsiTheme="minorBidi" w:cstheme="minorBidi"/>
          <w:sz w:val="22"/>
          <w:szCs w:val="22"/>
        </w:rPr>
        <w:t xml:space="preserve"> such as Ruxolitinib,</w:t>
      </w:r>
      <w:r w:rsidRPr="002865DB">
        <w:rPr>
          <w:rFonts w:asciiTheme="minorBidi" w:hAnsiTheme="minorBidi" w:cstheme="minorBidi"/>
          <w:sz w:val="22"/>
          <w:szCs w:val="22"/>
        </w:rPr>
        <w:t xml:space="preserve"> focus on targeting memory T cells, providing long-lasting benefits of therapy  </w:t>
      </w:r>
      <w:r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{"citationID":"c3ZIEgAW","properties":{"formattedCitation":"\\super 5\\nosupersub{}","plainCitation":"5","noteIndex":0},"citationItems":[{"id":24,"uris":["http://zotero.org/users/local/0qy97rJQ/items/6FSPRNVW"],"itemData":{"id":24,"type":"article-journal","container-title":"The Lancet","DOI":"10.1016/S0140-6736(20)30609-7","ISSN":"01406736","issue":"10244","journalAbbreviation":"The Lancet","language":"en","page":"110-120","source":"DOI.org (Crossref)","title":"Ruxolitinib cream for treatment of vitiligo: a randomised, controlled, phase 2 trial","title-short":"Ruxolitinib cream for treatment of vitiligo","volume":"396","author":[{"family":"Rosmarin","given":"David"},{"family":"Pandya","given":"Amit G"},{"family":"Lebwohl","given":"Mark"},{"family":"Grimes","given":"Pearl"},{"family":"Hamzavi","given":"Iltefat"},{"family":"Gottlieb","given":"Alice B"},{"family":"Butler","given":"Kathleen"},{"family":"Kuo","given":"Fiona"},{"family":"Sun","given":"Kang"},{"family":"Ji","given":"Tao"},{"family":"Howell","given":"Michael D"},{"family":"Harris","given":"John E"}],"issued":{"date-parts":[["2020",7]]}}}],"schema":"https://github.com/citation-style-language/schema/raw/master/csl-citation.json"} </w:instrText>
      </w:r>
      <w:r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5</w:t>
      </w:r>
      <w:r w:rsidRPr="002865DB">
        <w:rPr>
          <w:rFonts w:asciiTheme="minorBidi" w:hAnsiTheme="minorBidi" w:cstheme="minorBidi"/>
          <w:sz w:val="22"/>
          <w:szCs w:val="22"/>
        </w:rPr>
        <w:fldChar w:fldCharType="end"/>
      </w:r>
      <w:r w:rsidRPr="002865DB">
        <w:rPr>
          <w:rFonts w:asciiTheme="minorBidi" w:hAnsiTheme="minorBidi" w:cstheme="minorBidi"/>
          <w:sz w:val="22"/>
          <w:szCs w:val="22"/>
          <w:vertAlign w:val="superscript"/>
        </w:rPr>
        <w:t>,</w:t>
      </w:r>
      <w:r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{"citationID":"AcH7qu0p","properties":{"formattedCitation":"\\super 6\\nosupersub{}","plainCitation":"6","noteIndex":0},"citationItems":[{"id":25,"uris":["http://zotero.org/users/local/0qy97rJQ/items/NQQYEQ7P"],"itemData":{"id":25,"type":"article-journal","abstract":"OBJECTIVE: To compare the efficacy and safety of 2 treatment modalities, topical psoralen plus UV-A (PUVA) with unsubstituted psoralen and 311-nm UV-B radiation, in patients with vitiligo.\nDESIGN: This intervention study was designed as a before-and-after trial with 2 arms, in which patients were consecutively included.\nPATIENTS: Male (n = 99) and female (n = 182) patients, who predominantly had skin type III, with extensive, generalized vitiligo of more than 3 months' duration.\nINTERVENTIONS: Two patient groups were investigated. The first group of patients was treated for 4 months with either topical PUVA (n = 28) or 311-nm UV-B radiation (n = 78). The second group of patients, treated twice weekly with 311-nm UV-B radiation, was followed up for 3 (n = 60), 6 (n = 27), 9 (n = 37), or 12 months (n = 51).\nRESULTS: Thirteen (46%) patients in the first group treated with topical PUVA showed repigmentation after 4 months. Fifty-two patients (67%) in the 311-nm UV-B treatment group showed repigmentation after 4 months. After 3 months, 5 patients (8%) in the second group showed more than 75% repigmentation of lesional skin compared with 32 patients (63%) after 12 months. As in other treatment modalities, the face showed good repigmentation, whereas hands and feet responded poorly. No adverse effects were encountered with treatment with narrowband UV-B radiation, contrary to those seen with topical PUVA treatment. The cumulative UV-B dose was very small compared with that of the topical PUVA treatment.\nCONCLUSIONS: According to our results, the treatment of patients with vitiligo with 311-nm UV-B radiation is as efficient as with topical PUVA and has fewer adverse effects.","container-title":"Archives of Dermatology","ISSN":"0003-987X","issue":"12","journalAbbreviation":"Arch Dermatol","language":"eng","note":"PMID: 9420536","page":"1525-1528","source":"PubMed","title":"Treatment of vitiligo with UV-B radiation vs topical psoralen plus UV-A","volume":"133","author":[{"family":"Westerhof","given":"W."},{"family":"Nieuweboer-Krobotova","given":"L."}],"issued":{"date-parts":[["1997",12]]}}}],"schema":"https://github.com/citation-style-language/schema/raw/master/csl-citation.json"} </w:instrText>
      </w:r>
      <w:r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6</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r w:rsidR="00052768" w:rsidRPr="002865DB">
        <w:rPr>
          <w:rFonts w:asciiTheme="minorBidi" w:hAnsiTheme="minorBidi" w:cstheme="minorBidi"/>
          <w:sz w:val="22"/>
          <w:szCs w:val="22"/>
        </w:rPr>
        <w:t>U</w:t>
      </w:r>
      <w:r w:rsidRPr="002865DB">
        <w:rPr>
          <w:rFonts w:asciiTheme="minorBidi" w:hAnsiTheme="minorBidi" w:cstheme="minorBidi"/>
          <w:sz w:val="22"/>
          <w:szCs w:val="22"/>
        </w:rPr>
        <w:t>sing sunscreen and clothing to protect affected areas</w:t>
      </w:r>
      <w:r w:rsidR="00052768" w:rsidRPr="002865DB">
        <w:rPr>
          <w:rFonts w:asciiTheme="minorBidi" w:hAnsiTheme="minorBidi" w:cstheme="minorBidi"/>
          <w:sz w:val="22"/>
          <w:szCs w:val="22"/>
        </w:rPr>
        <w:t xml:space="preserve"> is important to </w:t>
      </w:r>
      <w:r w:rsidRPr="002865DB">
        <w:rPr>
          <w:rFonts w:asciiTheme="minorBidi" w:hAnsiTheme="minorBidi" w:cstheme="minorBidi"/>
          <w:sz w:val="22"/>
          <w:szCs w:val="22"/>
        </w:rPr>
        <w:t xml:space="preserve">prevent severe sunburns </w:t>
      </w:r>
      <w:r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{"citationID":"eNdCFeaf","properties":{"formattedCitation":"\\super 7\\nosupersub{}","plainCitation":"7","noteIndex":0},"citationItems":[{"id":27,"uris":["http://zotero.org/users/local/0qy97rJQ/items/FYIMXR3W"],"itemData":{"id":27,"type":"article-journal","abstract":"INTRODUCTION: Vitiligo is a common chronic depigmentation disease. Patients are generally advised to protect themselves from the sun.\nMETHODS: One hundred fifty-three patients diagnosed with vitiligo and 106 healthy volunteers with no additional dermatological disease were included in the study. We evaluated the sun-protection habits of patients with vitiligo and controls, and also assessed their knowledge and attitudes toward sun exposure.\nRESULTS: Rates of sunscreen use, high-factor sunscreen use, and remaining in the shade were significantly higher among patients (p = 0.004, p = 0.028, p = 0.040). We found significantly higher rates of modifying vacation habits, high sun-protection factors (SPF) sunscreen use, and preferring to remain in the shade among patients using phototherapy (p = 0.016, p = 0.019, p = 0.028). We showed higher rates of modification of vacation habits, wearing sunglasses, and remaining in the shade among patients with longer disease durations (p = 0.026, p = 0.001, and p = 0.017).\nCONCLUSIONS: We determined higher rates of sunscreen use, high-SPF sunscreen use, and tendencies to remain in the shade in vitiligo patients compared to the general population. We also determined that disease duration and treatment with phototherapy alters sun-protection habits, but the presence of generalized disease and lesions in visible areas such as the face does not alter patients' habits.","container-title":"Acta Dermatovenerologica Alpina, Pannonica, Et Adriatica","ISSN":"1581-2979","issue":"1","journalAbbreviation":"Acta Dermatovenerol Alp Pannonica Adriat","language":"eng","note":"PMID: 32206816","page":"7-10","source":"PubMed","title":"Sun-protection habits and knowledge of patients with vitiligo","volume":"29","author":[{"family":"Baykal Selçuk","given":"Leyla"},{"family":"Katkat","given":"Esma"},{"family":"Aksu Arıca","given":"Deniz"},{"family":"Yaylı","given":"Savaş"},{"family":"Bahadır","given":"Sevgi"}],"issued":{"date-parts":[["2020",3]]}}}],"schema":"https://github.com/citation-style-language/schema/raw/master/csl-citation.json"} </w:instrText>
      </w:r>
      <w:r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7</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p>
    <w:p w14:paraId="6AA26863" w14:textId="2AD19DAC" w:rsidR="00F72149" w:rsidRPr="002865DB" w:rsidRDefault="009D52DC" w:rsidP="002865DB">
      <w:pPr>
        <w:pStyle w:val="NormalWeb"/>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A bibliometric analysis (BA) is defined as a scientific analysis of </w:t>
      </w:r>
      <w:r w:rsidR="005C072A" w:rsidRPr="002865DB">
        <w:rPr>
          <w:rFonts w:asciiTheme="minorBidi" w:hAnsiTheme="minorBidi" w:cstheme="minorBidi"/>
          <w:sz w:val="22"/>
          <w:szCs w:val="22"/>
        </w:rPr>
        <w:t xml:space="preserve">the existing literature on a chosen topic. It assesses the quality, quantity, </w:t>
      </w:r>
      <w:r w:rsidR="00052768" w:rsidRPr="002865DB">
        <w:rPr>
          <w:rFonts w:asciiTheme="minorBidi" w:hAnsiTheme="minorBidi" w:cstheme="minorBidi"/>
          <w:sz w:val="22"/>
          <w:szCs w:val="22"/>
        </w:rPr>
        <w:t xml:space="preserve">and </w:t>
      </w:r>
      <w:r w:rsidR="00A40F9B" w:rsidRPr="002865DB">
        <w:rPr>
          <w:rFonts w:asciiTheme="minorBidi" w:hAnsiTheme="minorBidi" w:cstheme="minorBidi"/>
          <w:sz w:val="22"/>
          <w:szCs w:val="22"/>
        </w:rPr>
        <w:t xml:space="preserve">major ideas through the most cited articles. </w:t>
      </w:r>
      <w:r w:rsidR="001E5005" w:rsidRPr="002865DB">
        <w:rPr>
          <w:rFonts w:asciiTheme="minorBidi" w:hAnsiTheme="minorBidi" w:cstheme="minorBidi"/>
          <w:sz w:val="22"/>
          <w:szCs w:val="22"/>
        </w:rPr>
        <w:t>Additionally, it identifies aspects where improvements could benefit the topic</w:t>
      </w:r>
      <w:r w:rsidR="00A40F9B" w:rsidRPr="002865DB">
        <w:rPr>
          <w:rFonts w:asciiTheme="minorBidi" w:hAnsiTheme="minorBidi" w:cstheme="minorBidi"/>
          <w:sz w:val="22"/>
          <w:szCs w:val="22"/>
        </w:rPr>
        <w:t>.</w:t>
      </w:r>
    </w:p>
    <w:p w14:paraId="738B812B" w14:textId="10ACA898" w:rsidR="00F72149" w:rsidRPr="002865DB" w:rsidRDefault="009D52DC" w:rsidP="002865DB">
      <w:pPr>
        <w:pStyle w:val="NormalWeb"/>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Several fields in dermatology have been explored by </w:t>
      </w:r>
      <w:r w:rsidR="00A155A9" w:rsidRPr="002865DB">
        <w:rPr>
          <w:rFonts w:asciiTheme="minorBidi" w:hAnsiTheme="minorBidi" w:cstheme="minorBidi"/>
          <w:sz w:val="22"/>
          <w:szCs w:val="22"/>
        </w:rPr>
        <w:t>BA</w:t>
      </w:r>
      <w:r w:rsidRPr="002865DB">
        <w:rPr>
          <w:rFonts w:asciiTheme="minorBidi" w:hAnsiTheme="minorBidi" w:cstheme="minorBidi"/>
          <w:sz w:val="22"/>
          <w:szCs w:val="22"/>
        </w:rPr>
        <w:t>, including atopic dermatitis</w:t>
      </w:r>
      <w:r w:rsidR="00B87263" w:rsidRPr="002865DB">
        <w:rPr>
          <w:rFonts w:asciiTheme="minorBidi" w:hAnsiTheme="minorBidi" w:cstheme="minorBidi"/>
          <w:sz w:val="22"/>
          <w:szCs w:val="22"/>
        </w:rPr>
        <w:t xml:space="preserve"> </w:t>
      </w:r>
      <w:r w:rsidR="00B87263"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{"citationID":"gsRpAwdc","properties":{"formattedCitation":"\\super 8\\nosupersub{}","plainCitation":"8","noteIndex":0},"citationItems":[{"id":33,"uris":["http://zotero.org/users/local/0qy97rJQ/items/P7TY9VSY"],"itemData":{"id":33,"type":"article-journal","abstract":"Atopic dermatitis (AD) has been increasing in prevalence over the past few decades; however, AD has never been analyzed using a bibliometric approach. We searched for AD studies in the dermatology and allergy category of the Web of Science and SCOPUS databases using the keywords “atopic dermatitis”, “eczema”, and “atopy”. In total, 53,460 documents were retrieved. We analyzed annual publication trends and performed keyword and co-authorship network analyses. The annual number of AD publications has increased over the years. Asthma, food allergies, the skin barrier, IgE, and epidemiology have received extensive attention. The keywords ‘allergic rhinitis’, ‘child(ren)’, ‘quality of life’, and ‘probiotics’ have become more commonly used in recent years. AD research has been led by only a few countries, such as the USA, Germany, and the UK, and longstanding research topics such as asthma, allergy, and the immune system continue to be important. We suggest that global collaborations, research in developing countries, and research that is more holistic (thus exploring how genes, the immune system, the environment, and the microbiome together impact AD) are necessary.","container-title":"Healthcare","DOI":"10.3390/healthcare9121749","ISSN":"2227-9032","issue":"12","journalAbbreviation":"Healthcare","language":"en","page":"1749","source":"DOI.org (Crossref)","title":"A Bibliometric Analysis of Atopic Dermatitis Research over the Past Three Decades and Future Perspectives","volume":"9","author":[{"family":"Kim","given":"Dongwon"},{"family":"Chae","given":"Younbyoung"},{"family":"Park","given":"Hi-Joon"},{"family":"Lee","given":"In-Seon"}],"issued":{"date-parts":[["2021",12,17]]}}}],"schema":"https://github.com/citation-style-language/schema/raw/master/csl-citation.json"} </w:instrText>
      </w:r>
      <w:r w:rsidR="00B87263"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8</w:t>
      </w:r>
      <w:r w:rsidR="00B87263" w:rsidRPr="002865DB">
        <w:rPr>
          <w:rFonts w:asciiTheme="minorBidi" w:hAnsiTheme="minorBidi" w:cstheme="minorBidi"/>
          <w:sz w:val="22"/>
          <w:szCs w:val="22"/>
        </w:rPr>
        <w:fldChar w:fldCharType="end"/>
      </w:r>
      <w:r w:rsidRPr="002865DB">
        <w:rPr>
          <w:rFonts w:asciiTheme="minorBidi" w:hAnsiTheme="minorBidi" w:cstheme="minorBidi"/>
          <w:sz w:val="22"/>
          <w:szCs w:val="22"/>
        </w:rPr>
        <w:t>,</w:t>
      </w:r>
      <w:r w:rsidRPr="002865DB">
        <w:rPr>
          <w:rFonts w:asciiTheme="minorBidi" w:hAnsiTheme="minorBidi" w:cstheme="minorBidi"/>
          <w:sz w:val="22"/>
          <w:szCs w:val="22"/>
          <w:lang w:val="en-US"/>
        </w:rPr>
        <w:t xml:space="preserve"> psoriasis</w:t>
      </w:r>
      <w:r w:rsidR="00B87263" w:rsidRPr="002865DB">
        <w:rPr>
          <w:rFonts w:asciiTheme="minorBidi" w:hAnsiTheme="minorBidi" w:cstheme="minorBidi"/>
          <w:sz w:val="22"/>
          <w:szCs w:val="22"/>
          <w:lang w:val="en-US"/>
        </w:rPr>
        <w:fldChar w:fldCharType="begin"/>
      </w:r>
      <w:r w:rsidR="00B87263" w:rsidRPr="002865DB">
        <w:rPr>
          <w:rFonts w:asciiTheme="minorBidi" w:hAnsiTheme="minorBidi" w:cstheme="minorBidi"/>
          <w:sz w:val="22"/>
          <w:szCs w:val="22"/>
          <w:lang w:val="en-US"/>
        </w:rPr>
        <w:instrText xml:space="preserve"> ADDIN ZOTERO_ITEM CSL_CITATION {"citationID":"hf5unOOe","properties":{"formattedCitation":"\\super 9\\nosupersub{}","plainCitation":"9","noteIndex":0},"citationItems":[{"id":81,"uris":["http://zotero.org/users/local/0qy97rJQ/items/SDKQGT7I"],"itemData":{"id":81,"type":"article-journal","container-title":"Australasian Journal of Dermatology","DOI":"10.1111/ajd.13407","ISSN":"0004-8380, 1440-0960","issue":"1","journalAbbreviation":"Australas J Dermatol","language":"en","source":"DOI.org (Crossref)","title":"Psoriasis: A bibliometric analysis in the Arab World (2004–2019)","title-short":"Psoriasis","URL":"https://onlinelibrary.wiley.com/doi/10.1111/ajd.13407","volume":"62","author":[{"family":"Daou","given":"Lea"},{"family":"El Hage","given":"Said"},{"family":"Wakim","given":"Elias"},{"family":"Safi","given":"Steven"},{"family":"Salameh","given":"Pascale"}],"accessed":{"date-parts":[["2023",3,6]]},"issued":{"date-parts":[["2021",2]]}}}],"schema":"https://github.com/citation-style-language/schema/raw/master/csl-citation.json"} </w:instrText>
      </w:r>
      <w:r w:rsidR="00B87263" w:rsidRPr="002865DB">
        <w:rPr>
          <w:rFonts w:asciiTheme="minorBidi" w:hAnsiTheme="minorBidi" w:cstheme="minorBidi"/>
          <w:sz w:val="22"/>
          <w:szCs w:val="22"/>
          <w:lang w:val="en-US"/>
        </w:rPr>
        <w:fldChar w:fldCharType="separate"/>
      </w:r>
      <w:r w:rsidR="00B87263" w:rsidRPr="002865DB">
        <w:rPr>
          <w:rFonts w:asciiTheme="minorBidi" w:hAnsiTheme="minorBidi" w:cstheme="minorBidi"/>
          <w:sz w:val="22"/>
          <w:szCs w:val="22"/>
          <w:vertAlign w:val="superscript"/>
        </w:rPr>
        <w:t>9</w:t>
      </w:r>
      <w:r w:rsidR="00B87263" w:rsidRPr="002865DB">
        <w:rPr>
          <w:rFonts w:asciiTheme="minorBidi" w:hAnsiTheme="minorBidi" w:cstheme="minorBidi"/>
          <w:sz w:val="22"/>
          <w:szCs w:val="22"/>
          <w:lang w:val="en-US"/>
        </w:rPr>
        <w:fldChar w:fldCharType="end"/>
      </w:r>
      <w:r w:rsidRPr="002865DB">
        <w:rPr>
          <w:rFonts w:asciiTheme="minorBidi" w:hAnsiTheme="minorBidi" w:cstheme="minorBidi"/>
          <w:sz w:val="22"/>
          <w:szCs w:val="22"/>
          <w:lang w:val="en-US"/>
        </w:rPr>
        <w:t>,</w:t>
      </w:r>
      <w:r w:rsidRPr="002865DB">
        <w:rPr>
          <w:rFonts w:asciiTheme="minorBidi" w:hAnsiTheme="minorBidi" w:cstheme="minorBidi"/>
          <w:sz w:val="22"/>
          <w:szCs w:val="22"/>
        </w:rPr>
        <w:t xml:space="preserve"> </w:t>
      </w:r>
      <w:r w:rsidRPr="002865DB">
        <w:rPr>
          <w:rFonts w:asciiTheme="minorBidi" w:hAnsiTheme="minorBidi" w:cstheme="minorBidi"/>
          <w:sz w:val="22"/>
          <w:szCs w:val="22"/>
          <w:lang w:val="en-US"/>
        </w:rPr>
        <w:t xml:space="preserve">nail </w:t>
      </w:r>
      <w:r w:rsidRPr="002865DB">
        <w:rPr>
          <w:rFonts w:asciiTheme="minorBidi" w:hAnsiTheme="minorBidi" w:cstheme="minorBidi"/>
          <w:sz w:val="22"/>
          <w:szCs w:val="22"/>
        </w:rPr>
        <w:t>psoriasis</w:t>
      </w:r>
      <w:r w:rsidR="00B87263"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{"citationID":"TnfBEa7E","properties":{"formattedCitation":"\\super 10\\nosupersub{}","plainCitation":"10","noteIndex":0},"citationItems":[{"id":35,"uris":["http://zotero.org/users/local/0qy97rJQ/items/B3RTHWPK"],"itemData":{"id":35,"type":"article-journal","abstract":"&lt;b&gt;&lt;i&gt;Introduction:&lt;/i&gt;&lt;/b&gt; Bibliometric analysis provides an objective assessment of current research patterns and highlights the impact of selected publications in any given scientific discipline. &lt;b&gt;&lt;i&gt;Methods:&lt;/i&gt;&lt;/b&gt; We sought to provide information about dynamic research trends in nail psoriasis by analyzing the 50 most cited articles on this topic, which were identified utilizing the Scopus citation database. &lt;b&gt;&lt;i&gt;Results:&lt;/i&gt;&lt;/b&gt; The median number of citations was 79 (range, 60–337) per article. Publication dates ranged from 1969 to 2020, while the majority of articles (46%) were published between 2000 and 2009. The top 50 highly cited articles were published in 19 different journals, with a median impact factor of 5.248 (range, 1.022–16.102). The &lt;i&gt;British Journal of Dermatology&lt;/i&gt; published the greatest number of highly cited articles (&lt;i&gt;n&lt;/i&gt; = 9). Most publications were original articles, and most cited research topics included medical treatment and correlation of nail psoriasis with psoriatic arthritis. Most publications originated from the USA and UK, while Phoebe Rich and Dennis McGonagle were the two most contributing authors. &lt;b&gt;&lt;i&gt;Conclusion:&lt;/i&gt;&lt;/b&gt; This analysis provides information about emerging bibliometric trends and may guide future research in the field of nail psoriasis.","container-title":"Skin Appendage Disorders","DOI":"10.1159/000519191","ISSN":"2296-9195, 2296-9160","issue":"2","journalAbbreviation":"Skin Appendage Disord","language":"en","page":"122-128","source":"DOI.org (Crossref)","title":"Bibliometric Trends in Nail Psoriasis Research Publications","volume":"8","author":[{"family":"Gregoriou","given":"Stamatios"},{"family":"Tsiogka","given":"Aikaterini"},{"family":"Rigopoulos","given":"Dimitris"}],"issued":{"date-parts":[["2022"]]}}}],"schema":"https://github.com/citation-style-language/schema/raw/master/csl-citation.json"} </w:instrText>
      </w:r>
      <w:r w:rsidR="00B87263"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10</w:t>
      </w:r>
      <w:r w:rsidR="00B87263" w:rsidRPr="002865DB">
        <w:rPr>
          <w:rFonts w:asciiTheme="minorBidi" w:hAnsiTheme="minorBidi" w:cstheme="minorBidi"/>
          <w:sz w:val="22"/>
          <w:szCs w:val="22"/>
        </w:rPr>
        <w:fldChar w:fldCharType="end"/>
      </w:r>
      <w:r w:rsidRPr="002865DB">
        <w:rPr>
          <w:rFonts w:asciiTheme="minorBidi" w:hAnsiTheme="minorBidi" w:cstheme="minorBidi"/>
          <w:sz w:val="22"/>
          <w:szCs w:val="22"/>
        </w:rPr>
        <w:t>, psoriatic arthritis</w:t>
      </w:r>
      <w:r w:rsidR="00B87263"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{"citationID":"WUYwuyMM","properties":{"formattedCitation":"\\super 11\\nosupersub{}","plainCitation":"11","noteIndex":0},"citationItems":[{"id":36,"uris":["http://zotero.org/users/local/0qy97rJQ/items/ALGLFL78"],"itemData":{"id":36,"type":"article-journal","container-title":"Rheumatology International","DOI":"10.1007/s00296-012-2428-y","ISSN":"0172-8172, 1437-160X","issue":"2","journalAbbreviation":"Rheumatol Int","language":"en","page":"361-367","source":"DOI.org (Crossref)","title":"Presentation of psoriatic arthritis in the literature: a twenty-year bibliometric evaluation","title-short":"Presentation of psoriatic arthritis in the literature","volume":"33","author":[{"family":"Jamshidi","given":"Ahmad-Reza"},{"family":"Gharibdoost","given":"Farhad"},{"family":"Nadji","given":"Abdolhadi"},{"family":"Nikou","given":"Mohammadali"},{"family":"Habibi","given":"Gholamreza"},{"family":"Mardani","given":"Amirhossein"},{"family":"Ghaemi","given":"Marjan"}],"issued":{"date-parts":[["2013",2]]}}}],"schema":"https://github.com/citation-style-language/schema/raw/master/csl-citation.json"} </w:instrText>
      </w:r>
      <w:r w:rsidR="00B87263"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11</w:t>
      </w:r>
      <w:r w:rsidR="00B87263" w:rsidRPr="002865DB">
        <w:rPr>
          <w:rFonts w:asciiTheme="minorBidi" w:hAnsiTheme="minorBidi" w:cstheme="minorBidi"/>
          <w:sz w:val="22"/>
          <w:szCs w:val="22"/>
        </w:rPr>
        <w:fldChar w:fldCharType="end"/>
      </w:r>
      <w:r w:rsidRPr="002865DB">
        <w:rPr>
          <w:rFonts w:asciiTheme="minorBidi" w:hAnsiTheme="minorBidi" w:cstheme="minorBidi"/>
          <w:sz w:val="22"/>
          <w:szCs w:val="22"/>
        </w:rPr>
        <w:t>, melanoma</w:t>
      </w:r>
      <w:r w:rsidR="00B87263"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{"citationID":"0VudPDYa","properties":{"formattedCitation":"\\super 12\\nosupersub{}","plainCitation":"12","noteIndex":0},"citationItems":[{"id":37,"uris":["http://zotero.org/users/local/0qy97rJQ/items/IMVZ8ZQV"],"itemData":{"id":37,"type":"article-journal","abstract":"Introduction\n              Melanoma is a severe skin cancer that metastasizes quickly. Bibliometric analysis can quantify hotspots of research interest. Google Trends can provide information to address public concerns.\n            \n            \n              Methods\n              The top 15 most frequently cited articles on melanoma each year from 2015 to 2019, according to annual citations, were retrieved from the Web of Science database. Original articles, reviews, and research letters were included in this research. For the Google Trends analysis, the topic “Melanoma” was selected as the keyword. Online search data from 2004 to 2019 were collected. Four countries (New Zealand, Australia, the United States and the United Kingdom) were selected for seasonal analysis. Annual trends in relative search volume and seasonal variation were analyzed, and the top related topics and rising related topics were also selected and analyzed.\n            \n            \n              Results\n              The top 15 most frequently cited articles each year were all original articles that focused on immunotherapy (n=8), omics (n=5), and the microbiome (n=2). The average relative search volume remained relatively stable across the years. The seasonal variation analysis revealed that the peak appeared in summer, and the valley appeared in winter. The diseases associated with or manifestations of melanoma, treatment options, risk factors, diagnostic tools, and prognosis were the topics in which the public was most interested. Most of the topics revealed by bibliometric and Google Trends analyses were consistent, with the exception of issues related to the molecular biology of melanoma.\n            \n            \n              Conclusion\n              This study revealed the trends in research interest and public interest in melanoma, which may pave the way for further research.","container-title":"Frontiers in Oncology","DOI":"10.3389/fonc.2021.629687","ISSN":"2234-943X","journalAbbreviation":"Front. Oncol.","page":"629687","source":"DOI.org (Crossref)","title":"Research Interest and Public Interest in Melanoma: A Bibliometric and Google Trends Analysis","title-short":"Research Interest and Public Interest in Melanoma","volume":"11","author":[{"family":"Zhang","given":"Hanlin"},{"family":"Wang","given":"Yuanzhuo"},{"family":"Zheng","given":"Qingyue"},{"family":"Tang","given":"Keyun"},{"family":"Fang","given":"Rouyu"},{"family":"Wang","given":"Yuchen"},{"family":"Sun","given":"Qiuning"}],"issued":{"date-parts":[["2021",2,18]]}}}],"schema":"https://github.com/citation-style-language/schema/raw/master/csl-citation.json"} </w:instrText>
      </w:r>
      <w:r w:rsidR="00B87263"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12</w:t>
      </w:r>
      <w:r w:rsidR="00B87263" w:rsidRPr="002865DB">
        <w:rPr>
          <w:rFonts w:asciiTheme="minorBidi" w:hAnsiTheme="minorBidi" w:cstheme="minorBidi"/>
          <w:sz w:val="22"/>
          <w:szCs w:val="22"/>
        </w:rPr>
        <w:fldChar w:fldCharType="end"/>
      </w:r>
      <w:r w:rsidRPr="002865DB">
        <w:rPr>
          <w:rFonts w:asciiTheme="minorBidi" w:hAnsiTheme="minorBidi" w:cstheme="minorBidi"/>
          <w:sz w:val="22"/>
          <w:szCs w:val="22"/>
        </w:rPr>
        <w:t>, hidradenitis suppurativ</w:t>
      </w:r>
      <w:r w:rsidR="00B87263" w:rsidRPr="002865DB">
        <w:rPr>
          <w:rFonts w:asciiTheme="minorBidi" w:hAnsiTheme="minorBidi" w:cstheme="minorBidi"/>
          <w:sz w:val="22"/>
          <w:szCs w:val="22"/>
        </w:rPr>
        <w:t>a</w:t>
      </w:r>
      <w:r w:rsidR="000F185A">
        <w:rPr>
          <w:rFonts w:asciiTheme="minorBidi" w:hAnsiTheme="minorBidi" w:cstheme="minorBidi"/>
          <w:sz w:val="22"/>
          <w:szCs w:val="22"/>
        </w:rPr>
        <w:fldChar w:fldCharType="begin"/>
      </w:r>
      <w:r w:rsidR="000F185A">
        <w:rPr>
          <w:rFonts w:asciiTheme="minorBidi" w:hAnsiTheme="minorBidi" w:cstheme="minorBidi"/>
          <w:sz w:val="22"/>
          <w:szCs w:val="22"/>
        </w:rPr>
        <w:instrText xml:space="preserve"> ADDIN ZOTERO_ITEM CSL_CITATION {"citationID":"tQctqwU8","properties":{"formattedCitation":"\\super 13\\nosupersub{}","plainCitation":"13","noteIndex":0},"citationItems":[{"id":112,"uris":["http://zotero.org/users/local/0qy97rJQ/items/VTXL5LX9"],"itemData":{"id":112,"type":"article-journal","container-title":"International Journal of Dermatology","DOI":"10.1111/ijd.16585","ISSN":"0011-9059, 1365-4632","issue":"4","journalAbbreviation":"Int J Dermatology","language":"en","page":"534-546","source":"DOI.org (Crossref)","title":"A bibliometric analysis of hidradenitis suppurativa literature over the past 50 years","volume":"62","author":[{"family":"Peles","given":"Galia"},{"family":"Horev","given":"Amir"}],"issued":{"date-parts":[["2023",4]]}}}],"schema":"https://github.com/citation-style-language/schema/raw/master/csl-citation.json"} </w:instrText>
      </w:r>
      <w:r w:rsidR="000F185A">
        <w:rPr>
          <w:rFonts w:asciiTheme="minorBidi" w:hAnsiTheme="minorBidi" w:cstheme="minorBidi"/>
          <w:sz w:val="22"/>
          <w:szCs w:val="22"/>
        </w:rPr>
        <w:fldChar w:fldCharType="separate"/>
      </w:r>
      <w:r w:rsidR="000F185A" w:rsidRPr="000F185A">
        <w:rPr>
          <w:rFonts w:ascii="Arial" w:hAnsiTheme="minorHAnsi" w:cs="Arial"/>
          <w:sz w:val="22"/>
          <w:vertAlign w:val="superscript"/>
        </w:rPr>
        <w:t>13</w:t>
      </w:r>
      <w:r w:rsidR="000F185A">
        <w:rPr>
          <w:rFonts w:asciiTheme="minorBidi" w:hAnsiTheme="minorBidi" w:cstheme="minorBidi"/>
          <w:sz w:val="22"/>
          <w:szCs w:val="22"/>
        </w:rPr>
        <w:fldChar w:fldCharType="end"/>
      </w:r>
      <w:r w:rsidRPr="002865DB">
        <w:rPr>
          <w:rFonts w:asciiTheme="minorBidi" w:hAnsiTheme="minorBidi" w:cstheme="minorBidi"/>
          <w:sz w:val="22"/>
          <w:szCs w:val="22"/>
        </w:rPr>
        <w:t xml:space="preserve"> and rosacea</w:t>
      </w:r>
      <w:r w:rsidR="00B87263"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{"citationID":"OlHVwv8g","properties":{"formattedCitation":"\\super 14\\nosupersub{}","plainCitation":"14","noteIndex":0},"citationItems":[{"id":17,"uris":["http://zotero.org/users/local/0qy97rJQ/items/TSPDI7MX"],"itemData":{"id":17,"type":"article-journal","container-title":"Journal of the European Academy of Dermatology and Venereology","DOI":"10.1111/jdv.16305","ISSN":"0926-9959, 1468-3083","issue":"10","journalAbbreviation":"J Eur Acad Dermatol Venereol","language":"en","page":"2177-2182","source":"DOI.org (Crossref)","title":"The top 100 most cited articles in rosacea: a bibliometric analysis","title-short":"The top 100 most cited articles in rosacea","volume":"34","author":[{"family":"Wang","given":"Y."},{"family":"Zhang","given":"H."},{"family":"Fang","given":"R."},{"family":"Tang","given":"K."},{"family":"Sun","given":"Q."}],"issued":{"date-parts":[["2020",10]]}}}],"schema":"https://github.com/citation-style-language/schema/raw/master/csl-citation.json"} </w:instrText>
      </w:r>
      <w:r w:rsidR="00B87263"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14</w:t>
      </w:r>
      <w:r w:rsidR="00B87263" w:rsidRPr="002865DB">
        <w:rPr>
          <w:rFonts w:asciiTheme="minorBidi" w:hAnsiTheme="minorBidi" w:cstheme="minorBidi"/>
          <w:sz w:val="22"/>
          <w:szCs w:val="22"/>
        </w:rPr>
        <w:fldChar w:fldCharType="end"/>
      </w:r>
      <w:r w:rsidRPr="002865DB">
        <w:rPr>
          <w:rFonts w:asciiTheme="minorBidi" w:hAnsiTheme="minorBidi" w:cstheme="minorBidi"/>
          <w:sz w:val="22"/>
          <w:szCs w:val="22"/>
        </w:rPr>
        <w:t>.</w:t>
      </w:r>
      <w:r w:rsidR="002865DB" w:rsidRPr="002865DB">
        <w:rPr>
          <w:rFonts w:asciiTheme="minorBidi" w:hAnsiTheme="minorBidi" w:cstheme="minorBidi"/>
          <w:sz w:val="22"/>
          <w:szCs w:val="22"/>
        </w:rPr>
        <w:t>T</w:t>
      </w:r>
      <w:r w:rsidRPr="002865DB">
        <w:rPr>
          <w:rFonts w:asciiTheme="minorBidi" w:hAnsiTheme="minorBidi" w:cstheme="minorBidi"/>
          <w:sz w:val="22"/>
          <w:szCs w:val="22"/>
        </w:rPr>
        <w:t xml:space="preserve">he last </w:t>
      </w:r>
      <w:r w:rsidR="00A155A9" w:rsidRPr="002865DB">
        <w:rPr>
          <w:rFonts w:asciiTheme="minorBidi" w:hAnsiTheme="minorBidi" w:cstheme="minorBidi"/>
          <w:sz w:val="22"/>
          <w:szCs w:val="22"/>
        </w:rPr>
        <w:t>BA</w:t>
      </w:r>
      <w:r w:rsidRPr="002865DB">
        <w:rPr>
          <w:rFonts w:asciiTheme="minorBidi" w:hAnsiTheme="minorBidi" w:cstheme="minorBidi"/>
          <w:sz w:val="22"/>
          <w:szCs w:val="22"/>
        </w:rPr>
        <w:t xml:space="preserve"> on vitiligo was published </w:t>
      </w:r>
      <w:r w:rsidR="00A40F9B" w:rsidRPr="002865DB">
        <w:rPr>
          <w:rFonts w:asciiTheme="minorBidi" w:hAnsiTheme="minorBidi" w:cstheme="minorBidi"/>
          <w:sz w:val="22"/>
          <w:szCs w:val="22"/>
        </w:rPr>
        <w:t xml:space="preserve">five </w:t>
      </w:r>
      <w:r w:rsidRPr="002865DB">
        <w:rPr>
          <w:rFonts w:asciiTheme="minorBidi" w:hAnsiTheme="minorBidi" w:cstheme="minorBidi"/>
          <w:sz w:val="22"/>
          <w:szCs w:val="22"/>
        </w:rPr>
        <w:t xml:space="preserve">years ago and included all literature existing on vitiligo since 1975 </w:t>
      </w:r>
      <w:r w:rsidRPr="002865DB">
        <w:rPr>
          <w:rFonts w:asciiTheme="minorBidi" w:hAnsiTheme="minorBidi" w:cstheme="minorBidi"/>
          <w:sz w:val="22"/>
          <w:szCs w:val="22"/>
        </w:rPr>
        <w:fldChar w:fldCharType="begin"/>
      </w:r>
      <w:r w:rsidR="00B87263" w:rsidRPr="002865DB">
        <w:rPr>
          <w:rFonts w:asciiTheme="minorBidi" w:hAnsiTheme="minorBidi" w:cstheme="minorBidi"/>
          <w:sz w:val="22"/>
          <w:szCs w:val="22"/>
        </w:rPr>
        <w:instrText xml:space="preserve"> ADDIN ZOTERO_ITEM CSL_CITATION {"citationID":"ZY1l58BZ","properties":{"formattedCitation":"\\super 15\\nosupersub{}","plainCitation":"15","noteIndex":0},"citationItems":[{"id":18,"uris":["http://zotero.org/users/local/0qy97rJQ/items/IW6JGZHE"],"itemData":{"id":18,"type":"article-journal","container-title":"Indian Journal of Dermatology","DOI":"10.4103/ijd.IJD_390_18","ISSN":"0019-5154","issue":"5","journalAbbreviation":"Indian J Dermatol","language":"en","page":"388","source":"DOI.org (Crossref)","title":"The depigmented literature: A holistic analysis of global vitiligo publications between 1975 and 2017","title-short":"The depigmented literature","volume":"65","author":[{"family":"Şenel","given":"Engin"}],"issued":{"date-parts":[["2020"]]}}}],"schema":"https://github.com/citation-style-language/schema/raw/master/csl-citation.json"} </w:instrText>
      </w:r>
      <w:r w:rsidRPr="002865DB">
        <w:rPr>
          <w:rFonts w:asciiTheme="minorBidi" w:hAnsiTheme="minorBidi" w:cstheme="minorBidi"/>
          <w:sz w:val="22"/>
          <w:szCs w:val="22"/>
        </w:rPr>
        <w:fldChar w:fldCharType="separate"/>
      </w:r>
      <w:r w:rsidR="00B87263" w:rsidRPr="002865DB">
        <w:rPr>
          <w:rFonts w:asciiTheme="minorBidi" w:hAnsiTheme="minorBidi" w:cstheme="minorBidi"/>
          <w:sz w:val="22"/>
          <w:szCs w:val="22"/>
          <w:vertAlign w:val="superscript"/>
        </w:rPr>
        <w:t>15</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r w:rsidR="002865DB" w:rsidRPr="002865DB">
        <w:rPr>
          <w:rFonts w:asciiTheme="minorBidi" w:hAnsiTheme="minorBidi" w:cstheme="minorBidi"/>
          <w:sz w:val="22"/>
          <w:szCs w:val="22"/>
        </w:rPr>
        <w:t>However, w</w:t>
      </w:r>
      <w:r w:rsidRPr="002865DB">
        <w:rPr>
          <w:rFonts w:asciiTheme="minorBidi" w:hAnsiTheme="minorBidi" w:cstheme="minorBidi"/>
          <w:sz w:val="22"/>
          <w:szCs w:val="22"/>
        </w:rPr>
        <w:t xml:space="preserve">e chose a different approach, by focusing solely on highly cited articles to extract the most significant data possible.  We detailed the publications framing </w:t>
      </w:r>
      <w:r w:rsidR="00A40F9B" w:rsidRPr="002865DB">
        <w:rPr>
          <w:rFonts w:asciiTheme="minorBidi" w:hAnsiTheme="minorBidi" w:cstheme="minorBidi"/>
          <w:sz w:val="22"/>
          <w:szCs w:val="22"/>
        </w:rPr>
        <w:t>vitiligo</w:t>
      </w:r>
      <w:r w:rsidRPr="002865DB">
        <w:rPr>
          <w:rFonts w:asciiTheme="minorBidi" w:hAnsiTheme="minorBidi" w:cstheme="minorBidi"/>
          <w:sz w:val="22"/>
          <w:szCs w:val="22"/>
        </w:rPr>
        <w:t xml:space="preserve"> practice by establishing crucial bibliometric characteristics in the top 100 cited vitiligo articles since 1972.  </w:t>
      </w:r>
    </w:p>
    <w:p w14:paraId="49E73B57" w14:textId="77777777" w:rsidR="00A40F9B" w:rsidRPr="002865DB" w:rsidRDefault="009D52DC" w:rsidP="002865DB">
      <w:pPr>
        <w:spacing w:line="480" w:lineRule="auto"/>
        <w:rPr>
          <w:rFonts w:asciiTheme="minorBidi" w:hAnsiTheme="minorBidi" w:cstheme="minorBidi"/>
          <w:sz w:val="22"/>
          <w:szCs w:val="22"/>
          <w:u w:val="single"/>
        </w:rPr>
      </w:pPr>
      <w:r w:rsidRPr="002865DB">
        <w:rPr>
          <w:rFonts w:asciiTheme="minorBidi" w:hAnsiTheme="minorBidi" w:cstheme="minorBidi"/>
          <w:sz w:val="22"/>
          <w:szCs w:val="22"/>
          <w:u w:val="single"/>
        </w:rPr>
        <w:br w:type="page"/>
      </w:r>
    </w:p>
    <w:p w14:paraId="46DC6806" w14:textId="77777777" w:rsidR="00A40F9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u w:val="single"/>
        </w:rPr>
        <w:t>Materials and methods:</w:t>
      </w:r>
    </w:p>
    <w:p w14:paraId="108F8BD8" w14:textId="77777777" w:rsidR="00A40F9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b/>
          <w:bCs/>
          <w:sz w:val="22"/>
          <w:szCs w:val="22"/>
        </w:rPr>
        <w:t>Searching strategy</w:t>
      </w:r>
    </w:p>
    <w:p w14:paraId="6DF492E4" w14:textId="77777777" w:rsidR="00A40F9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We extracted the top 100 most cited articles on vitiligo from the Clarivate Web of </w:t>
      </w:r>
      <w:r w:rsidRPr="002865DB">
        <w:rPr>
          <w:rFonts w:asciiTheme="minorBidi" w:hAnsiTheme="minorBidi" w:cstheme="minorBidi"/>
          <w:sz w:val="22"/>
          <w:szCs w:val="22"/>
        </w:rPr>
        <w:t>Science (WoS) database on September 18</w:t>
      </w:r>
      <w:r w:rsidRPr="002865DB">
        <w:rPr>
          <w:rFonts w:asciiTheme="minorBidi" w:hAnsiTheme="minorBidi" w:cstheme="minorBidi"/>
          <w:sz w:val="22"/>
          <w:szCs w:val="22"/>
          <w:vertAlign w:val="superscript"/>
        </w:rPr>
        <w:t>th</w:t>
      </w:r>
      <w:r w:rsidRPr="002865DB">
        <w:rPr>
          <w:rFonts w:asciiTheme="minorBidi" w:hAnsiTheme="minorBidi" w:cstheme="minorBidi"/>
          <w:sz w:val="22"/>
          <w:szCs w:val="22"/>
        </w:rPr>
        <w:t xml:space="preserve"> 2022. Our search was limited to the keyword “Vitiligo” being included in the title or abstract of the papers. Article type, country of origin, language or research area were not limited to include all the trends and</w:t>
      </w:r>
      <w:r w:rsidRPr="002865DB">
        <w:rPr>
          <w:rFonts w:asciiTheme="minorBidi" w:hAnsiTheme="minorBidi" w:cstheme="minorBidi"/>
          <w:sz w:val="22"/>
          <w:szCs w:val="22"/>
        </w:rPr>
        <w:t xml:space="preserve"> novelties in the field between 1972 and 2022. Our BA did not require approval from an ethics committee, as the researcher did not analyze patient data or interact with patients in any way. </w:t>
      </w:r>
    </w:p>
    <w:p w14:paraId="5AB42239" w14:textId="77777777" w:rsidR="00A40F9B" w:rsidRPr="002865DB" w:rsidRDefault="00A40F9B" w:rsidP="002865DB">
      <w:pPr>
        <w:spacing w:line="480" w:lineRule="auto"/>
        <w:jc w:val="both"/>
        <w:rPr>
          <w:rFonts w:asciiTheme="minorBidi" w:hAnsiTheme="minorBidi" w:cstheme="minorBidi"/>
          <w:b/>
          <w:bCs/>
          <w:sz w:val="22"/>
          <w:szCs w:val="22"/>
        </w:rPr>
      </w:pPr>
    </w:p>
    <w:p w14:paraId="4B91C60A" w14:textId="77777777" w:rsidR="00A40F9B" w:rsidRPr="002865DB" w:rsidRDefault="009D52DC" w:rsidP="002865DB">
      <w:pPr>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Data extraction and bibliometric parameters</w:t>
      </w:r>
    </w:p>
    <w:p w14:paraId="3267459A" w14:textId="77777777" w:rsidR="00A40F9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Data from the 100 most cited articles on vitiligo was downloaded from the WoS and extracted to Microsoft Excel 2019. This included title, author, corresponding author, institution affiliation, year of publication, journal of publications, total citations (</w:t>
      </w:r>
      <w:r w:rsidRPr="002865DB">
        <w:rPr>
          <w:rFonts w:asciiTheme="minorBidi" w:hAnsiTheme="minorBidi" w:cstheme="minorBidi"/>
          <w:sz w:val="22"/>
          <w:szCs w:val="22"/>
        </w:rPr>
        <w:t xml:space="preserve">TC), and research area. </w:t>
      </w:r>
    </w:p>
    <w:p w14:paraId="3EE5E1DD" w14:textId="77777777" w:rsidR="00A40F9B"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We calculated an annual citation (AC) rate (total citations divided by the age of publication) to counter the bias arising from publications being older than others. We included both total citations and annual rates in our table of</w:t>
      </w:r>
      <w:r w:rsidRPr="002865DB">
        <w:rPr>
          <w:rFonts w:asciiTheme="minorBidi" w:hAnsiTheme="minorBidi" w:cstheme="minorBidi"/>
          <w:sz w:val="22"/>
          <w:szCs w:val="22"/>
        </w:rPr>
        <w:t xml:space="preserve"> the 100 most cited vitiligo articles</w:t>
      </w:r>
    </w:p>
    <w:p w14:paraId="1416A89D" w14:textId="77777777" w:rsidR="00A40F9B" w:rsidRPr="002865DB" w:rsidRDefault="00A40F9B" w:rsidP="002865DB">
      <w:pPr>
        <w:spacing w:line="480" w:lineRule="auto"/>
        <w:jc w:val="both"/>
        <w:rPr>
          <w:rFonts w:asciiTheme="minorBidi" w:hAnsiTheme="minorBidi" w:cstheme="minorBidi"/>
          <w:sz w:val="22"/>
          <w:szCs w:val="22"/>
        </w:rPr>
      </w:pPr>
    </w:p>
    <w:p w14:paraId="444F53E5" w14:textId="6E04C75F" w:rsidR="00A40F9B" w:rsidRPr="002865DB" w:rsidRDefault="009D52DC" w:rsidP="002865DB">
      <w:pPr>
        <w:spacing w:line="480" w:lineRule="auto"/>
        <w:jc w:val="both"/>
        <w:rPr>
          <w:rFonts w:asciiTheme="minorBidi" w:hAnsiTheme="minorBidi" w:cstheme="minorBidi"/>
          <w:sz w:val="22"/>
          <w:szCs w:val="22"/>
        </w:rPr>
        <w:sectPr w:rsidR="00A40F9B" w:rsidRPr="002865DB" w:rsidSect="002865DB">
          <w:pgSz w:w="11906" w:h="16838"/>
          <w:pgMar w:top="1440" w:right="1440" w:bottom="1440" w:left="1440" w:header="708" w:footer="708" w:gutter="0"/>
          <w:lnNumType w:countBy="1" w:restart="continuous"/>
          <w:cols w:space="708"/>
          <w:docGrid w:linePitch="360"/>
        </w:sectPr>
      </w:pPr>
      <w:r w:rsidRPr="002865DB">
        <w:rPr>
          <w:rFonts w:asciiTheme="minorBidi" w:hAnsiTheme="minorBidi" w:cstheme="minorBidi"/>
          <w:sz w:val="22"/>
          <w:szCs w:val="22"/>
        </w:rPr>
        <w:t>The manuscript type was described as an original article, review, rapid communication, or editorial material. The study design and research foci were identified by screening the abstract, avail</w:t>
      </w:r>
      <w:r w:rsidRPr="002865DB">
        <w:rPr>
          <w:rFonts w:asciiTheme="minorBidi" w:hAnsiTheme="minorBidi" w:cstheme="minorBidi"/>
          <w:sz w:val="22"/>
          <w:szCs w:val="22"/>
        </w:rPr>
        <w:t>able full texts, and keywords for each of the 100 articles. The resea</w:t>
      </w:r>
      <w:r w:rsidR="00804A17">
        <w:rPr>
          <w:rFonts w:asciiTheme="minorBidi" w:hAnsiTheme="minorBidi" w:cstheme="minorBidi"/>
          <w:sz w:val="22"/>
          <w:szCs w:val="22"/>
        </w:rPr>
        <w:t>r</w:t>
      </w:r>
      <w:r w:rsidRPr="002865DB">
        <w:rPr>
          <w:rFonts w:asciiTheme="minorBidi" w:hAnsiTheme="minorBidi" w:cstheme="minorBidi"/>
          <w:sz w:val="22"/>
          <w:szCs w:val="22"/>
        </w:rPr>
        <w:t xml:space="preserve">ch area was extracted directly from WoS and examined. Country and institution affiliation were identified based on the first author’s information for each article. Journal impact factor </w:t>
      </w:r>
      <w:r w:rsidRPr="002865DB">
        <w:rPr>
          <w:rFonts w:asciiTheme="minorBidi" w:hAnsiTheme="minorBidi" w:cstheme="minorBidi"/>
          <w:sz w:val="22"/>
          <w:szCs w:val="22"/>
        </w:rPr>
        <w:t>from 2021 was acquired from WoS database.</w:t>
      </w:r>
    </w:p>
    <w:p w14:paraId="32524F42" w14:textId="77777777" w:rsidR="008A786C" w:rsidRPr="002865DB" w:rsidRDefault="009D52DC" w:rsidP="002865DB">
      <w:pPr>
        <w:spacing w:line="480" w:lineRule="auto"/>
        <w:rPr>
          <w:rFonts w:asciiTheme="minorBidi" w:hAnsiTheme="minorBidi" w:cstheme="minorBidi"/>
          <w:sz w:val="22"/>
          <w:szCs w:val="22"/>
          <w:u w:val="single"/>
        </w:rPr>
      </w:pPr>
      <w:r w:rsidRPr="002865DB">
        <w:rPr>
          <w:rFonts w:asciiTheme="minorBidi" w:hAnsiTheme="minorBidi" w:cstheme="minorBidi"/>
          <w:sz w:val="22"/>
          <w:szCs w:val="22"/>
          <w:u w:val="single"/>
        </w:rPr>
        <w:t xml:space="preserve">Results </w:t>
      </w:r>
    </w:p>
    <w:p w14:paraId="1AB7735E" w14:textId="77777777"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A total of 6,189 studies were retrieved. The top 100 cited articles were listed in figure 1 and ranked by </w:t>
      </w:r>
      <w:r w:rsidRPr="002865DB">
        <w:rPr>
          <w:rFonts w:asciiTheme="minorBidi" w:hAnsiTheme="minorBidi" w:cstheme="minorBidi"/>
          <w:sz w:val="22"/>
          <w:szCs w:val="22"/>
          <w:lang w:val="en-US"/>
        </w:rPr>
        <w:t>AC</w:t>
      </w:r>
      <w:r w:rsidRPr="002865DB">
        <w:rPr>
          <w:rFonts w:asciiTheme="minorBidi" w:hAnsiTheme="minorBidi" w:cstheme="minorBidi"/>
          <w:sz w:val="22"/>
          <w:szCs w:val="22"/>
        </w:rPr>
        <w:t>.</w:t>
      </w:r>
    </w:p>
    <w:p w14:paraId="0AD18F34" w14:textId="77777777" w:rsidR="008A786C" w:rsidRPr="002865DB" w:rsidRDefault="009D52DC" w:rsidP="002865DB">
      <w:pPr>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Year of publication</w:t>
      </w:r>
    </w:p>
    <w:p w14:paraId="246F7E42" w14:textId="77777777"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The top 100 cited articles were published between 1976 and 2017. Figure 2 s</w:t>
      </w:r>
      <w:r w:rsidRPr="002865DB">
        <w:rPr>
          <w:rFonts w:asciiTheme="minorBidi" w:hAnsiTheme="minorBidi" w:cstheme="minorBidi"/>
          <w:sz w:val="22"/>
          <w:szCs w:val="22"/>
        </w:rPr>
        <w:t>hows the number of articles published in each 10-year interval. The increase in publications began after 1992, with prior intervals accountable for 15 articles, reaching its peak between 1993 and 2002 (n =37), followed by 34 articles in the next decade, an</w:t>
      </w:r>
      <w:r w:rsidRPr="002865DB">
        <w:rPr>
          <w:rFonts w:asciiTheme="minorBidi" w:hAnsiTheme="minorBidi" w:cstheme="minorBidi"/>
          <w:sz w:val="22"/>
          <w:szCs w:val="22"/>
        </w:rPr>
        <w:t xml:space="preserve">d a significant decrease between 2013 and 2022 (n = 11). </w:t>
      </w:r>
    </w:p>
    <w:p w14:paraId="644B5E93" w14:textId="77777777" w:rsidR="008A786C" w:rsidRPr="002865DB" w:rsidRDefault="009D52DC" w:rsidP="002865DB">
      <w:pPr>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Citations</w:t>
      </w:r>
    </w:p>
    <w:p w14:paraId="3A781AE0" w14:textId="77777777"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The total citations (TC) of the top 100 articles ranged between 113 and 477 per individual article, with a sum of 19,528. The median of TC was 163 (133, 248). </w:t>
      </w:r>
      <w:r w:rsidRPr="002865DB">
        <w:rPr>
          <w:rFonts w:asciiTheme="minorBidi" w:hAnsiTheme="minorBidi" w:cstheme="minorBidi"/>
          <w:sz w:val="22"/>
          <w:szCs w:val="22"/>
          <w:lang w:val="en-US"/>
        </w:rPr>
        <w:t>The t</w:t>
      </w:r>
      <w:r w:rsidRPr="002865DB">
        <w:rPr>
          <w:rFonts w:asciiTheme="minorBidi" w:hAnsiTheme="minorBidi" w:cstheme="minorBidi"/>
          <w:sz w:val="22"/>
          <w:szCs w:val="22"/>
        </w:rPr>
        <w:t>op 10 most cited article</w:t>
      </w:r>
      <w:r w:rsidRPr="002865DB">
        <w:rPr>
          <w:rFonts w:asciiTheme="minorBidi" w:hAnsiTheme="minorBidi" w:cstheme="minorBidi"/>
          <w:sz w:val="22"/>
          <w:szCs w:val="22"/>
        </w:rPr>
        <w:t>s accounted for 19.68% (n= 3,843) of the total citations. Five of the top 10 ranked articles by highest AC remained in the top 10 when ranked according to TC. The AC ranged from 2.9 to 69.7 with a median of 8.5 (5.83, 15.14). The average AC has increase th</w:t>
      </w:r>
      <w:r w:rsidRPr="002865DB">
        <w:rPr>
          <w:rFonts w:asciiTheme="minorBidi" w:hAnsiTheme="minorBidi" w:cstheme="minorBidi"/>
          <w:sz w:val="22"/>
          <w:szCs w:val="22"/>
        </w:rPr>
        <w:t xml:space="preserve">roughout the decades, however the increase has not been steady. Figure 3 shows the citation analysis for the average AC and TC in each 10-year interval from 1972 to 2017. From 1972 to 2017, the average AC increased parallel with the average TC until 2003. </w:t>
      </w:r>
      <w:r w:rsidRPr="002865DB">
        <w:rPr>
          <w:rFonts w:asciiTheme="minorBidi" w:hAnsiTheme="minorBidi" w:cstheme="minorBidi"/>
          <w:sz w:val="22"/>
          <w:szCs w:val="22"/>
        </w:rPr>
        <w:t>The last decade (2003-2017) has a TC</w:t>
      </w:r>
      <w:r w:rsidR="007B1238" w:rsidRPr="002865DB">
        <w:rPr>
          <w:rFonts w:asciiTheme="minorBidi" w:hAnsiTheme="minorBidi" w:cstheme="minorBidi"/>
          <w:sz w:val="22"/>
          <w:szCs w:val="22"/>
        </w:rPr>
        <w:t xml:space="preserve"> sum</w:t>
      </w:r>
      <w:r w:rsidRPr="002865DB">
        <w:rPr>
          <w:rFonts w:asciiTheme="minorBidi" w:hAnsiTheme="minorBidi" w:cstheme="minorBidi"/>
          <w:sz w:val="22"/>
          <w:szCs w:val="22"/>
        </w:rPr>
        <w:t xml:space="preserve"> of 2678 compared to 7217 in the previous 10 year interval. </w:t>
      </w:r>
    </w:p>
    <w:p w14:paraId="2CABC550" w14:textId="77777777" w:rsidR="008A786C" w:rsidRPr="002865DB" w:rsidRDefault="009D52DC" w:rsidP="002865DB">
      <w:pPr>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 xml:space="preserve">Countries, institutes, and corresponding authors </w:t>
      </w:r>
    </w:p>
    <w:p w14:paraId="54BD61E8" w14:textId="78FC90E2"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The articles were sorted by country of origin, determining the United States of America (USA), The </w:t>
      </w:r>
      <w:r w:rsidRPr="002865DB">
        <w:rPr>
          <w:rFonts w:asciiTheme="minorBidi" w:hAnsiTheme="minorBidi" w:cstheme="minorBidi"/>
          <w:sz w:val="22"/>
          <w:szCs w:val="22"/>
        </w:rPr>
        <w:t>Netherlands, and England as the highest publishers, with n=35, n=13, and n=12 publications</w:t>
      </w:r>
      <w:r w:rsidRPr="002865DB">
        <w:rPr>
          <w:rFonts w:asciiTheme="minorBidi" w:hAnsiTheme="minorBidi" w:cstheme="minorBidi"/>
          <w:sz w:val="22"/>
          <w:szCs w:val="22"/>
          <w:lang w:val="en-US"/>
        </w:rPr>
        <w:t>,</w:t>
      </w:r>
      <w:r w:rsidRPr="002865DB">
        <w:rPr>
          <w:rFonts w:asciiTheme="minorBidi" w:hAnsiTheme="minorBidi" w:cstheme="minorBidi"/>
          <w:sz w:val="22"/>
          <w:szCs w:val="22"/>
        </w:rPr>
        <w:t xml:space="preserve"> respectively (Fig. 4)</w:t>
      </w:r>
      <w:r w:rsidRPr="002865DB">
        <w:rPr>
          <w:rFonts w:asciiTheme="minorBidi" w:hAnsiTheme="minorBidi" w:cstheme="minorBidi"/>
          <w:sz w:val="22"/>
          <w:szCs w:val="22"/>
          <w:lang w:val="en-US"/>
        </w:rPr>
        <w:t>. After controlling for populations, The Netherlands (n=</w:t>
      </w:r>
      <m:oMath>
        <m:r>
          <w:rPr>
            <w:rFonts w:ascii="Cambria Math" w:hAnsi="Cambria Math" w:cstheme="minorBidi"/>
            <w:sz w:val="22"/>
            <w:szCs w:val="22"/>
          </w:rPr>
          <m:t>7.45×</m:t>
        </m:r>
        <m:sSup>
          <m:sSupPr>
            <m:ctrlPr>
              <w:rPr>
                <w:rFonts w:ascii="Cambria Math" w:hAnsi="Cambria Math" w:cstheme="minorBidi"/>
                <w:i/>
                <w:sz w:val="22"/>
                <w:szCs w:val="22"/>
              </w:rPr>
            </m:ctrlPr>
          </m:sSupPr>
          <m:e>
            <m:r>
              <w:rPr>
                <w:rFonts w:ascii="Cambria Math" w:hAnsi="Cambria Math" w:cstheme="minorBidi"/>
                <w:sz w:val="22"/>
                <w:szCs w:val="22"/>
              </w:rPr>
              <m:t>10</m:t>
            </m:r>
          </m:e>
          <m:sup>
            <m:r>
              <w:rPr>
                <w:rFonts w:ascii="Cambria Math" w:hAnsi="Cambria Math" w:cstheme="minorBidi"/>
                <w:sz w:val="22"/>
                <w:szCs w:val="22"/>
              </w:rPr>
              <m:t>0</m:t>
            </m:r>
          </m:sup>
        </m:sSup>
      </m:oMath>
      <w:r w:rsidRPr="002865DB">
        <w:rPr>
          <w:rFonts w:asciiTheme="minorBidi" w:hAnsiTheme="minorBidi" w:cstheme="minorBidi"/>
          <w:sz w:val="22"/>
          <w:szCs w:val="22"/>
        </w:rPr>
        <w:t>)</w:t>
      </w:r>
      <w:r w:rsidRPr="002865DB">
        <w:rPr>
          <w:rFonts w:asciiTheme="minorBidi" w:hAnsiTheme="minorBidi" w:cstheme="minorBidi"/>
          <w:sz w:val="22"/>
          <w:szCs w:val="22"/>
          <w:lang w:val="en-US"/>
        </w:rPr>
        <w:t>, Belgium</w:t>
      </w:r>
      <w:r w:rsidR="00804A17">
        <w:rPr>
          <w:rFonts w:asciiTheme="minorBidi" w:hAnsiTheme="minorBidi" w:cstheme="minorBidi"/>
          <w:sz w:val="22"/>
          <w:szCs w:val="22"/>
          <w:lang w:val="en-US"/>
        </w:rPr>
        <w:t xml:space="preserve"> </w:t>
      </w:r>
      <w:r w:rsidR="009D6F1C">
        <w:rPr>
          <w:rFonts w:asciiTheme="minorBidi" w:hAnsiTheme="minorBidi" w:cstheme="minorBidi"/>
          <w:sz w:val="22"/>
          <w:szCs w:val="22"/>
          <w:lang w:val="en-US"/>
        </w:rPr>
        <w:t>(n=</w:t>
      </w:r>
      <m:oMath>
        <m:r>
          <w:rPr>
            <w:rFonts w:ascii="Cambria Math" w:hAnsi="Cambria Math" w:cstheme="minorBidi"/>
            <w:sz w:val="22"/>
            <w:szCs w:val="22"/>
          </w:rPr>
          <m:t>2.59×</m:t>
        </m:r>
        <m:sSup>
          <m:sSupPr>
            <m:ctrlPr>
              <w:rPr>
                <w:rFonts w:ascii="Cambria Math" w:hAnsi="Cambria Math" w:cstheme="minorBidi"/>
                <w:i/>
                <w:sz w:val="22"/>
                <w:szCs w:val="22"/>
              </w:rPr>
            </m:ctrlPr>
          </m:sSupPr>
          <m:e>
            <m:r>
              <w:rPr>
                <w:rFonts w:ascii="Cambria Math" w:hAnsi="Cambria Math" w:cstheme="minorBidi"/>
                <w:sz w:val="22"/>
                <w:szCs w:val="22"/>
              </w:rPr>
              <m:t>10</m:t>
            </m:r>
          </m:e>
          <m:sup>
            <m:r>
              <w:rPr>
                <w:rFonts w:ascii="Cambria Math" w:hAnsi="Cambria Math" w:cstheme="minorBidi"/>
                <w:sz w:val="22"/>
                <w:szCs w:val="22"/>
              </w:rPr>
              <m:t>7</m:t>
            </m:r>
          </m:sup>
        </m:sSup>
      </m:oMath>
      <w:r w:rsidR="009D6F1C">
        <w:rPr>
          <w:rFonts w:asciiTheme="minorBidi" w:hAnsiTheme="minorBidi" w:cstheme="minorBidi"/>
          <w:sz w:val="22"/>
          <w:szCs w:val="22"/>
        </w:rPr>
        <w:t>)</w:t>
      </w:r>
      <w:r w:rsidR="007B1238" w:rsidRPr="002865DB">
        <w:rPr>
          <w:rFonts w:asciiTheme="minorBidi" w:hAnsiTheme="minorBidi" w:cstheme="minorBidi"/>
          <w:sz w:val="22"/>
          <w:szCs w:val="22"/>
          <w:lang w:val="en-US"/>
        </w:rPr>
        <w:t xml:space="preserve">, and </w:t>
      </w:r>
      <w:r w:rsidRPr="002865DB">
        <w:rPr>
          <w:rFonts w:asciiTheme="minorBidi" w:hAnsiTheme="minorBidi" w:cstheme="minorBidi"/>
          <w:sz w:val="22"/>
          <w:szCs w:val="22"/>
          <w:lang w:val="en-US"/>
        </w:rPr>
        <w:t>England (</w:t>
      </w:r>
      <w:r w:rsidR="00804A17">
        <w:rPr>
          <w:rFonts w:asciiTheme="minorBidi" w:hAnsiTheme="minorBidi" w:cstheme="minorBidi"/>
          <w:sz w:val="22"/>
          <w:szCs w:val="22"/>
          <w:lang w:val="en-US"/>
        </w:rPr>
        <w:t>n=</w:t>
      </w:r>
      <m:oMath>
        <m:r>
          <w:rPr>
            <w:rFonts w:ascii="Cambria Math" w:hAnsi="Cambria Math" w:cstheme="minorBidi"/>
            <w:sz w:val="22"/>
            <w:szCs w:val="22"/>
          </w:rPr>
          <m:t>2.14×</m:t>
        </m:r>
        <m:sSup>
          <m:sSupPr>
            <m:ctrlPr>
              <w:rPr>
                <w:rFonts w:ascii="Cambria Math" w:hAnsi="Cambria Math" w:cstheme="minorBidi"/>
                <w:i/>
                <w:sz w:val="22"/>
                <w:szCs w:val="22"/>
              </w:rPr>
            </m:ctrlPr>
          </m:sSupPr>
          <m:e>
            <m:r>
              <w:rPr>
                <w:rFonts w:ascii="Cambria Math" w:hAnsi="Cambria Math" w:cstheme="minorBidi"/>
                <w:sz w:val="22"/>
                <w:szCs w:val="22"/>
              </w:rPr>
              <m:t>10</m:t>
            </m:r>
          </m:e>
          <m:sup>
            <m:r>
              <w:rPr>
                <w:rFonts w:ascii="Cambria Math" w:hAnsi="Cambria Math" w:cstheme="minorBidi"/>
                <w:sz w:val="22"/>
                <w:szCs w:val="22"/>
              </w:rPr>
              <m:t>7</m:t>
            </m:r>
          </m:sup>
        </m:sSup>
      </m:oMath>
      <w:r w:rsidR="009D6F1C">
        <w:rPr>
          <w:rFonts w:asciiTheme="minorBidi" w:hAnsiTheme="minorBidi" w:cstheme="minorBidi"/>
          <w:sz w:val="22"/>
          <w:szCs w:val="22"/>
        </w:rPr>
        <w:t>)</w:t>
      </w:r>
      <w:r w:rsidRPr="002865DB">
        <w:rPr>
          <w:rFonts w:asciiTheme="minorBidi" w:hAnsiTheme="minorBidi" w:cstheme="minorBidi"/>
          <w:sz w:val="22"/>
          <w:szCs w:val="22"/>
          <w:lang w:val="en-US"/>
        </w:rPr>
        <w:t xml:space="preserve"> were the highest three publishers and the USA (n= </w:t>
      </w:r>
      <m:oMath>
        <m:r>
          <w:rPr>
            <w:rFonts w:ascii="Cambria Math" w:hAnsi="Cambria Math" w:cstheme="minorBidi"/>
            <w:sz w:val="22"/>
            <w:szCs w:val="22"/>
          </w:rPr>
          <m:t>1.06×</m:t>
        </m:r>
        <m:sSup>
          <m:sSupPr>
            <m:ctrlPr>
              <w:rPr>
                <w:rFonts w:ascii="Cambria Math" w:hAnsi="Cambria Math" w:cstheme="minorBidi"/>
                <w:i/>
                <w:sz w:val="22"/>
                <w:szCs w:val="22"/>
              </w:rPr>
            </m:ctrlPr>
          </m:sSupPr>
          <m:e>
            <m:r>
              <w:rPr>
                <w:rFonts w:ascii="Cambria Math" w:hAnsi="Cambria Math" w:cstheme="minorBidi"/>
                <w:sz w:val="22"/>
                <w:szCs w:val="22"/>
              </w:rPr>
              <m:t>10</m:t>
            </m:r>
          </m:e>
          <m:sup>
            <m:r>
              <w:rPr>
                <w:rFonts w:ascii="Cambria Math" w:hAnsi="Cambria Math" w:cstheme="minorBidi"/>
                <w:sz w:val="22"/>
                <w:szCs w:val="22"/>
              </w:rPr>
              <m:t>7</m:t>
            </m:r>
          </m:sup>
        </m:sSup>
      </m:oMath>
      <w:r w:rsidR="009D6F1C">
        <w:rPr>
          <w:rFonts w:asciiTheme="minorBidi" w:hAnsiTheme="minorBidi" w:cstheme="minorBidi"/>
          <w:sz w:val="22"/>
          <w:szCs w:val="22"/>
        </w:rPr>
        <w:t>)</w:t>
      </w:r>
      <w:r w:rsidR="009D6F1C" w:rsidRPr="002865DB">
        <w:rPr>
          <w:rFonts w:asciiTheme="minorBidi" w:hAnsiTheme="minorBidi" w:cstheme="minorBidi"/>
          <w:sz w:val="22"/>
          <w:szCs w:val="22"/>
          <w:lang w:val="en-US"/>
        </w:rPr>
        <w:t>,</w:t>
      </w:r>
      <w:r w:rsidRPr="002865DB">
        <w:rPr>
          <w:rFonts w:asciiTheme="minorBidi" w:hAnsiTheme="minorBidi" w:cstheme="minorBidi"/>
          <w:sz w:val="22"/>
          <w:szCs w:val="22"/>
        </w:rPr>
        <w:t xml:space="preserve"> </w:t>
      </w:r>
      <w:r w:rsidR="00E96BE0" w:rsidRPr="002865DB">
        <w:rPr>
          <w:rFonts w:asciiTheme="minorBidi" w:hAnsiTheme="minorBidi" w:cstheme="minorBidi"/>
          <w:sz w:val="22"/>
          <w:szCs w:val="22"/>
          <w:lang w:val="en-US"/>
        </w:rPr>
        <w:t>w</w:t>
      </w:r>
      <w:r w:rsidRPr="002865DB">
        <w:rPr>
          <w:rFonts w:asciiTheme="minorBidi" w:hAnsiTheme="minorBidi" w:cstheme="minorBidi"/>
          <w:sz w:val="22"/>
          <w:szCs w:val="22"/>
          <w:lang w:val="en-US"/>
        </w:rPr>
        <w:t>as low as 8</w:t>
      </w:r>
      <w:r w:rsidRPr="002865DB">
        <w:rPr>
          <w:rFonts w:asciiTheme="minorBidi" w:hAnsiTheme="minorBidi" w:cstheme="minorBidi"/>
          <w:sz w:val="22"/>
          <w:szCs w:val="22"/>
          <w:vertAlign w:val="superscript"/>
          <w:lang w:val="en-US"/>
        </w:rPr>
        <w:t xml:space="preserve">th </w:t>
      </w:r>
      <w:r w:rsidRPr="002865DB">
        <w:rPr>
          <w:rFonts w:asciiTheme="minorBidi" w:hAnsiTheme="minorBidi" w:cstheme="minorBidi"/>
          <w:sz w:val="22"/>
          <w:szCs w:val="22"/>
          <w:lang w:val="en-US"/>
        </w:rPr>
        <w:t xml:space="preserve">position. </w:t>
      </w:r>
      <w:r w:rsidRPr="002865DB">
        <w:rPr>
          <w:rFonts w:asciiTheme="minorBidi" w:hAnsiTheme="minorBidi" w:cstheme="minorBidi"/>
          <w:sz w:val="22"/>
          <w:szCs w:val="22"/>
        </w:rPr>
        <w:t xml:space="preserve">The countries of origin that published the most original articles are listed in figure 4 with their most affiliated publishing institute, corresponding author, and their respective number of published articles. </w:t>
      </w:r>
    </w:p>
    <w:p w14:paraId="469894FE" w14:textId="77777777" w:rsidR="008A786C" w:rsidRPr="002865DB" w:rsidRDefault="009D52DC" w:rsidP="002865DB">
      <w:pPr>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Journal of publication</w:t>
      </w:r>
    </w:p>
    <w:p w14:paraId="6698AAE4" w14:textId="77777777"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The 100 articles were</w:t>
      </w:r>
      <w:r w:rsidRPr="002865DB">
        <w:rPr>
          <w:rFonts w:asciiTheme="minorBidi" w:hAnsiTheme="minorBidi" w:cstheme="minorBidi"/>
          <w:sz w:val="22"/>
          <w:szCs w:val="22"/>
        </w:rPr>
        <w:t xml:space="preserve"> published in 28 different journals. The most published journal was “</w:t>
      </w:r>
      <w:r w:rsidRPr="002865DB">
        <w:rPr>
          <w:rFonts w:asciiTheme="minorBidi" w:hAnsiTheme="minorBidi" w:cstheme="minorBidi"/>
          <w:i/>
          <w:iCs/>
          <w:sz w:val="22"/>
          <w:szCs w:val="22"/>
        </w:rPr>
        <w:t>Journal of Investigative Dermatology</w:t>
      </w:r>
      <w:r w:rsidRPr="002865DB">
        <w:rPr>
          <w:rFonts w:asciiTheme="minorBidi" w:hAnsiTheme="minorBidi" w:cstheme="minorBidi"/>
          <w:sz w:val="22"/>
          <w:szCs w:val="22"/>
        </w:rPr>
        <w:t>” (n=16), followed by “</w:t>
      </w:r>
      <w:r w:rsidRPr="002865DB">
        <w:rPr>
          <w:rFonts w:asciiTheme="minorBidi" w:hAnsiTheme="minorBidi" w:cstheme="minorBidi"/>
          <w:i/>
          <w:iCs/>
          <w:sz w:val="22"/>
          <w:szCs w:val="22"/>
        </w:rPr>
        <w:t>Pigment Cell Research</w:t>
      </w:r>
      <w:r w:rsidRPr="002865DB">
        <w:rPr>
          <w:rFonts w:asciiTheme="minorBidi" w:hAnsiTheme="minorBidi" w:cstheme="minorBidi"/>
          <w:sz w:val="22"/>
          <w:szCs w:val="22"/>
        </w:rPr>
        <w:t>” (n=13), “</w:t>
      </w:r>
      <w:r w:rsidRPr="002865DB">
        <w:rPr>
          <w:rFonts w:asciiTheme="minorBidi" w:hAnsiTheme="minorBidi" w:cstheme="minorBidi"/>
          <w:i/>
          <w:iCs/>
          <w:sz w:val="22"/>
          <w:szCs w:val="22"/>
        </w:rPr>
        <w:t>Archives of Dermatology</w:t>
      </w:r>
      <w:r w:rsidRPr="002865DB">
        <w:rPr>
          <w:rFonts w:asciiTheme="minorBidi" w:hAnsiTheme="minorBidi" w:cstheme="minorBidi"/>
          <w:sz w:val="22"/>
          <w:szCs w:val="22"/>
        </w:rPr>
        <w:t>” (n=13)</w:t>
      </w:r>
      <w:r w:rsidR="0038029C" w:rsidRPr="002865DB">
        <w:rPr>
          <w:rFonts w:asciiTheme="minorBidi" w:hAnsiTheme="minorBidi" w:cstheme="minorBidi"/>
          <w:sz w:val="22"/>
          <w:szCs w:val="22"/>
        </w:rPr>
        <w:t>,</w:t>
      </w:r>
      <w:r w:rsidRPr="002865DB">
        <w:rPr>
          <w:rFonts w:asciiTheme="minorBidi" w:hAnsiTheme="minorBidi" w:cstheme="minorBidi"/>
          <w:sz w:val="22"/>
          <w:szCs w:val="22"/>
        </w:rPr>
        <w:t xml:space="preserve"> and “</w:t>
      </w:r>
      <w:r w:rsidRPr="002865DB">
        <w:rPr>
          <w:rFonts w:asciiTheme="minorBidi" w:hAnsiTheme="minorBidi" w:cstheme="minorBidi"/>
          <w:i/>
          <w:iCs/>
          <w:sz w:val="22"/>
          <w:szCs w:val="22"/>
        </w:rPr>
        <w:t xml:space="preserve">Journal of the American Academy of Dermatology” </w:t>
      </w:r>
      <w:r w:rsidRPr="002865DB">
        <w:rPr>
          <w:rFonts w:asciiTheme="minorBidi" w:hAnsiTheme="minorBidi" w:cstheme="minorBidi"/>
          <w:sz w:val="22"/>
          <w:szCs w:val="22"/>
        </w:rPr>
        <w:t>(n=10</w:t>
      </w:r>
      <w:r w:rsidRPr="002865DB">
        <w:rPr>
          <w:rFonts w:asciiTheme="minorBidi" w:hAnsiTheme="minorBidi" w:cstheme="minorBidi"/>
          <w:i/>
          <w:iCs/>
          <w:sz w:val="22"/>
          <w:szCs w:val="22"/>
        </w:rPr>
        <w:t>)</w:t>
      </w:r>
      <w:r w:rsidRPr="002865DB">
        <w:rPr>
          <w:rFonts w:asciiTheme="minorBidi" w:hAnsiTheme="minorBidi" w:cstheme="minorBidi"/>
          <w:sz w:val="22"/>
          <w:szCs w:val="22"/>
        </w:rPr>
        <w:t>.  T</w:t>
      </w:r>
      <w:r w:rsidRPr="002865DB">
        <w:rPr>
          <w:rFonts w:asciiTheme="minorBidi" w:hAnsiTheme="minorBidi" w:cstheme="minorBidi"/>
          <w:sz w:val="22"/>
          <w:szCs w:val="22"/>
        </w:rPr>
        <w:t>he top 4 journals contain 52% of the articles published (Fig.6). The impact factor, which highlights the exposure of the study worldwide (Fig. 7), outlines that 9 was the median impact factor. A total of 46 articles were published in journals with an impac</w:t>
      </w:r>
      <w:r w:rsidRPr="002865DB">
        <w:rPr>
          <w:rFonts w:asciiTheme="minorBidi" w:hAnsiTheme="minorBidi" w:cstheme="minorBidi"/>
          <w:sz w:val="22"/>
          <w:szCs w:val="22"/>
        </w:rPr>
        <w:t xml:space="preserve">t factor of 9 and above. </w:t>
      </w:r>
    </w:p>
    <w:p w14:paraId="09E0D428" w14:textId="77777777" w:rsidR="008A786C" w:rsidRPr="002865DB" w:rsidRDefault="008A786C" w:rsidP="002865DB">
      <w:pPr>
        <w:spacing w:line="480" w:lineRule="auto"/>
        <w:jc w:val="both"/>
        <w:rPr>
          <w:rFonts w:asciiTheme="minorBidi" w:hAnsiTheme="minorBidi" w:cstheme="minorBidi"/>
          <w:sz w:val="22"/>
          <w:szCs w:val="22"/>
        </w:rPr>
      </w:pPr>
    </w:p>
    <w:p w14:paraId="1137C884" w14:textId="77777777" w:rsidR="008A786C" w:rsidRPr="002865DB" w:rsidRDefault="009D52DC" w:rsidP="002865DB">
      <w:pPr>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Article design, research focus, and research area</w:t>
      </w:r>
    </w:p>
    <w:p w14:paraId="24143C75" w14:textId="77777777"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Of the 100 most cited articles, 75 were original articles, 21 were reviews, </w:t>
      </w:r>
      <w:r w:rsidR="00E96BE0" w:rsidRPr="002865DB">
        <w:rPr>
          <w:rFonts w:asciiTheme="minorBidi" w:hAnsiTheme="minorBidi" w:cstheme="minorBidi"/>
          <w:sz w:val="22"/>
          <w:szCs w:val="22"/>
        </w:rPr>
        <w:t xml:space="preserve">two </w:t>
      </w:r>
      <w:r w:rsidRPr="002865DB">
        <w:rPr>
          <w:rFonts w:asciiTheme="minorBidi" w:hAnsiTheme="minorBidi" w:cstheme="minorBidi"/>
          <w:sz w:val="22"/>
          <w:szCs w:val="22"/>
        </w:rPr>
        <w:t xml:space="preserve">were rapid communications, </w:t>
      </w:r>
      <w:r w:rsidR="00E96BE0" w:rsidRPr="002865DB">
        <w:rPr>
          <w:rFonts w:asciiTheme="minorBidi" w:hAnsiTheme="minorBidi" w:cstheme="minorBidi"/>
          <w:sz w:val="22"/>
          <w:szCs w:val="22"/>
        </w:rPr>
        <w:t xml:space="preserve">one </w:t>
      </w:r>
      <w:r w:rsidRPr="002865DB">
        <w:rPr>
          <w:rFonts w:asciiTheme="minorBidi" w:hAnsiTheme="minorBidi" w:cstheme="minorBidi"/>
          <w:sz w:val="22"/>
          <w:szCs w:val="22"/>
        </w:rPr>
        <w:t xml:space="preserve">was editorial material and </w:t>
      </w:r>
      <w:r w:rsidR="00E96BE0" w:rsidRPr="002865DB">
        <w:rPr>
          <w:rFonts w:asciiTheme="minorBidi" w:hAnsiTheme="minorBidi" w:cstheme="minorBidi"/>
          <w:sz w:val="22"/>
          <w:szCs w:val="22"/>
        </w:rPr>
        <w:t xml:space="preserve">one </w:t>
      </w:r>
      <w:r w:rsidRPr="002865DB">
        <w:rPr>
          <w:rFonts w:asciiTheme="minorBidi" w:hAnsiTheme="minorBidi" w:cstheme="minorBidi"/>
          <w:sz w:val="22"/>
          <w:szCs w:val="22"/>
        </w:rPr>
        <w:t xml:space="preserve">was a note. </w:t>
      </w:r>
    </w:p>
    <w:p w14:paraId="37601970" w14:textId="77777777" w:rsidR="008A786C"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The 100 most cited artic</w:t>
      </w:r>
      <w:r w:rsidRPr="002865DB">
        <w:rPr>
          <w:rFonts w:asciiTheme="minorBidi" w:hAnsiTheme="minorBidi" w:cstheme="minorBidi"/>
          <w:sz w:val="22"/>
          <w:szCs w:val="22"/>
        </w:rPr>
        <w:t>les were classified into different research focuses: pathogenesis (29%), treatment (26%), epidemiology (16%), immunopathology (10%), and others (19%).  Additionally, they were divided by research areas: dermatology (71%), general&amp;</w:t>
      </w:r>
      <w:r w:rsidR="00E96BE0" w:rsidRPr="002865DB">
        <w:rPr>
          <w:rFonts w:asciiTheme="minorBidi" w:hAnsiTheme="minorBidi" w:cstheme="minorBidi"/>
          <w:sz w:val="22"/>
          <w:szCs w:val="22"/>
        </w:rPr>
        <w:t xml:space="preserve"> </w:t>
      </w:r>
      <w:r w:rsidRPr="002865DB">
        <w:rPr>
          <w:rFonts w:asciiTheme="minorBidi" w:hAnsiTheme="minorBidi" w:cstheme="minorBidi"/>
          <w:sz w:val="22"/>
          <w:szCs w:val="22"/>
        </w:rPr>
        <w:t>internal medicine (7%), o</w:t>
      </w:r>
      <w:r w:rsidRPr="002865DB">
        <w:rPr>
          <w:rFonts w:asciiTheme="minorBidi" w:hAnsiTheme="minorBidi" w:cstheme="minorBidi"/>
          <w:sz w:val="22"/>
          <w:szCs w:val="22"/>
        </w:rPr>
        <w:t xml:space="preserve">ncology (5%), and others (17%) (Fig.8). The original articles were separated into different study design per decade. Out of them, 40% were case-control studies (n=30), 12% were clinical trials (n=9) and 12% were </w:t>
      </w:r>
      <w:r w:rsidR="00E96BE0" w:rsidRPr="002865DB">
        <w:rPr>
          <w:rFonts w:asciiTheme="minorBidi" w:hAnsiTheme="minorBidi" w:cstheme="minorBidi"/>
          <w:sz w:val="22"/>
          <w:szCs w:val="22"/>
        </w:rPr>
        <w:t>c</w:t>
      </w:r>
      <w:r w:rsidRPr="002865DB">
        <w:rPr>
          <w:rFonts w:asciiTheme="minorBidi" w:hAnsiTheme="minorBidi" w:cstheme="minorBidi"/>
          <w:sz w:val="22"/>
          <w:szCs w:val="22"/>
        </w:rPr>
        <w:t>ohort studies (n=9) (Fig. 9).    The origin</w:t>
      </w:r>
      <w:r w:rsidRPr="002865DB">
        <w:rPr>
          <w:rFonts w:asciiTheme="minorBidi" w:hAnsiTheme="minorBidi" w:cstheme="minorBidi"/>
          <w:sz w:val="22"/>
          <w:szCs w:val="22"/>
        </w:rPr>
        <w:t>al articles were then classified into research focuses per decades: treatment (28%), pathogenesis (28%), epidemiology (14.7%), immunopathology (10.7%), genetics (5.3%), treatment outcome (4%), basic science (4%), pathophysiology (2.7%), comprehensive revie</w:t>
      </w:r>
      <w:r w:rsidRPr="002865DB">
        <w:rPr>
          <w:rFonts w:asciiTheme="minorBidi" w:hAnsiTheme="minorBidi" w:cstheme="minorBidi"/>
          <w:sz w:val="22"/>
          <w:szCs w:val="22"/>
        </w:rPr>
        <w:t xml:space="preserve">w (1.3%) and diagnostics (1.3%) (Fig.10 </w:t>
      </w:r>
    </w:p>
    <w:p w14:paraId="7CBCBBB8" w14:textId="77777777" w:rsidR="008A786C" w:rsidRPr="002865DB" w:rsidRDefault="008A786C" w:rsidP="002865DB">
      <w:pPr>
        <w:tabs>
          <w:tab w:val="left" w:pos="8378"/>
        </w:tabs>
        <w:spacing w:line="480" w:lineRule="auto"/>
        <w:jc w:val="both"/>
        <w:rPr>
          <w:rFonts w:asciiTheme="minorBidi" w:hAnsiTheme="minorBidi" w:cstheme="minorBidi"/>
          <w:sz w:val="22"/>
          <w:szCs w:val="22"/>
        </w:rPr>
      </w:pPr>
    </w:p>
    <w:p w14:paraId="499F7AE6" w14:textId="77777777" w:rsidR="008A786C" w:rsidRPr="002865DB" w:rsidRDefault="009D52DC" w:rsidP="002865DB">
      <w:pPr>
        <w:tabs>
          <w:tab w:val="left" w:pos="8378"/>
        </w:tabs>
        <w:spacing w:line="480" w:lineRule="auto"/>
        <w:jc w:val="both"/>
        <w:rPr>
          <w:rFonts w:asciiTheme="minorBidi" w:hAnsiTheme="minorBidi" w:cstheme="minorBidi"/>
          <w:b/>
          <w:bCs/>
          <w:sz w:val="22"/>
          <w:szCs w:val="22"/>
        </w:rPr>
      </w:pPr>
      <w:r w:rsidRPr="002865DB">
        <w:rPr>
          <w:rFonts w:asciiTheme="minorBidi" w:hAnsiTheme="minorBidi" w:cstheme="minorBidi"/>
          <w:b/>
          <w:bCs/>
          <w:sz w:val="22"/>
          <w:szCs w:val="22"/>
        </w:rPr>
        <w:t xml:space="preserve">Recent articles </w:t>
      </w:r>
    </w:p>
    <w:p w14:paraId="063A9469" w14:textId="2A86D1EA" w:rsidR="008A786C" w:rsidRPr="002865DB" w:rsidRDefault="009D52DC" w:rsidP="004B514C">
      <w:pPr>
        <w:tabs>
          <w:tab w:val="left" w:pos="8378"/>
        </w:tabs>
        <w:spacing w:line="480" w:lineRule="auto"/>
        <w:jc w:val="both"/>
        <w:rPr>
          <w:rFonts w:asciiTheme="minorBidi" w:hAnsiTheme="minorBidi" w:cstheme="minorBidi"/>
          <w:sz w:val="22"/>
          <w:szCs w:val="22"/>
        </w:rPr>
      </w:pPr>
      <w:r>
        <w:rPr>
          <w:rFonts w:asciiTheme="minorBidi" w:hAnsiTheme="minorBidi" w:cstheme="minorBidi"/>
          <w:sz w:val="22"/>
          <w:szCs w:val="22"/>
        </w:rPr>
        <w:t>Although the</w:t>
      </w:r>
      <w:r w:rsidRPr="002865DB">
        <w:rPr>
          <w:rFonts w:asciiTheme="minorBidi" w:hAnsiTheme="minorBidi" w:cstheme="minorBidi"/>
          <w:sz w:val="22"/>
          <w:szCs w:val="22"/>
        </w:rPr>
        <w:t xml:space="preserve"> last article dates from 2017we extracted </w:t>
      </w:r>
      <w:r>
        <w:rPr>
          <w:rFonts w:asciiTheme="minorBidi" w:hAnsiTheme="minorBidi" w:cstheme="minorBidi"/>
          <w:sz w:val="22"/>
          <w:szCs w:val="22"/>
        </w:rPr>
        <w:t xml:space="preserve">and sub-analysed </w:t>
      </w:r>
      <w:r w:rsidRPr="002865DB">
        <w:rPr>
          <w:rFonts w:asciiTheme="minorBidi" w:hAnsiTheme="minorBidi" w:cstheme="minorBidi"/>
          <w:sz w:val="22"/>
          <w:szCs w:val="22"/>
        </w:rPr>
        <w:t xml:space="preserve">the top articles since 2018 separately, as this data could </w:t>
      </w:r>
      <w:r w:rsidR="0038029C" w:rsidRPr="002865DB">
        <w:rPr>
          <w:rFonts w:asciiTheme="minorBidi" w:hAnsiTheme="minorBidi" w:cstheme="minorBidi"/>
          <w:sz w:val="22"/>
          <w:szCs w:val="22"/>
        </w:rPr>
        <w:t>indicate</w:t>
      </w:r>
      <w:r w:rsidRPr="002865DB">
        <w:rPr>
          <w:rFonts w:asciiTheme="minorBidi" w:hAnsiTheme="minorBidi" w:cstheme="minorBidi"/>
          <w:sz w:val="22"/>
          <w:szCs w:val="22"/>
        </w:rPr>
        <w:t xml:space="preserve"> upcoming trends in vitiligo research. We tabled the top 10 highest cited articles since 2018 (Fig.11).</w:t>
      </w:r>
      <w:r w:rsidR="00DB4F36" w:rsidRPr="002865DB">
        <w:rPr>
          <w:rFonts w:asciiTheme="minorBidi" w:hAnsiTheme="minorBidi" w:cstheme="minorBidi"/>
          <w:sz w:val="22"/>
          <w:szCs w:val="22"/>
        </w:rPr>
        <w:t xml:space="preserve"> </w:t>
      </w:r>
      <w:r w:rsidRPr="002865DB">
        <w:rPr>
          <w:rFonts w:asciiTheme="minorBidi" w:hAnsiTheme="minorBidi" w:cstheme="minorBidi"/>
          <w:sz w:val="22"/>
          <w:szCs w:val="22"/>
        </w:rPr>
        <w:t xml:space="preserve">Total </w:t>
      </w:r>
      <w:r w:rsidR="00E96BE0" w:rsidRPr="002865DB">
        <w:rPr>
          <w:rFonts w:asciiTheme="minorBidi" w:hAnsiTheme="minorBidi" w:cstheme="minorBidi"/>
          <w:sz w:val="22"/>
          <w:szCs w:val="22"/>
        </w:rPr>
        <w:t>citations</w:t>
      </w:r>
      <w:r w:rsidRPr="002865DB">
        <w:rPr>
          <w:rFonts w:asciiTheme="minorBidi" w:hAnsiTheme="minorBidi" w:cstheme="minorBidi"/>
          <w:sz w:val="22"/>
          <w:szCs w:val="22"/>
        </w:rPr>
        <w:t xml:space="preserve"> ranged between 49 and 108, with a median of 64.5 (55.5, 92.25). The AC was between 16.3 and 46.5, with a median of 24 (18.5, 30.8). The median of ACs was significantly higher than the top 100 articles (24 compared to 8.5). However, the opposite was observ</w:t>
      </w:r>
      <w:r w:rsidRPr="002865DB">
        <w:rPr>
          <w:rFonts w:asciiTheme="minorBidi" w:hAnsiTheme="minorBidi" w:cstheme="minorBidi"/>
          <w:sz w:val="22"/>
          <w:szCs w:val="22"/>
        </w:rPr>
        <w:t>ed for TC. The TC of recent articles was much lower than for previous articles with a median of 64.5 compared to 163 (2.5x fold difference). Five of the top 10 most cited articles since 2018 were original articles, and five were reviews. The countries of o</w:t>
      </w:r>
      <w:r w:rsidRPr="002865DB">
        <w:rPr>
          <w:rFonts w:asciiTheme="minorBidi" w:hAnsiTheme="minorBidi" w:cstheme="minorBidi"/>
          <w:sz w:val="22"/>
          <w:szCs w:val="22"/>
        </w:rPr>
        <w:t xml:space="preserve">rigin include the USA (n=5), France (n=3), and China, PRC (n=2). The study designs included 50% of reviews (n=5), 40% of basic or applied science (n=4) and 10% of RCT (n=1). </w:t>
      </w:r>
    </w:p>
    <w:p w14:paraId="105C453B" w14:textId="77777777" w:rsidR="00A47B2E" w:rsidRPr="002865DB" w:rsidRDefault="009D52DC" w:rsidP="002865DB">
      <w:pPr>
        <w:tabs>
          <w:tab w:val="left" w:pos="8378"/>
        </w:tabs>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The research focuses of the 10 articles were immunopathology (n=4), epidemiology </w:t>
      </w:r>
      <w:r w:rsidRPr="002865DB">
        <w:rPr>
          <w:rFonts w:asciiTheme="minorBidi" w:hAnsiTheme="minorBidi" w:cstheme="minorBidi"/>
          <w:sz w:val="22"/>
          <w:szCs w:val="22"/>
        </w:rPr>
        <w:t>(n=3), pathogenesis (n=2) and treatment (n=1).</w:t>
      </w:r>
    </w:p>
    <w:p w14:paraId="3ED8AE0B" w14:textId="77777777" w:rsidR="003B1CA3" w:rsidRPr="002865DB" w:rsidRDefault="003B1CA3" w:rsidP="002865DB">
      <w:pPr>
        <w:tabs>
          <w:tab w:val="left" w:pos="8378"/>
        </w:tabs>
        <w:spacing w:line="480" w:lineRule="auto"/>
        <w:jc w:val="both"/>
        <w:rPr>
          <w:rFonts w:asciiTheme="minorBidi" w:hAnsiTheme="minorBidi" w:cstheme="minorBidi"/>
          <w:sz w:val="22"/>
          <w:szCs w:val="22"/>
        </w:rPr>
      </w:pPr>
    </w:p>
    <w:p w14:paraId="55652038" w14:textId="7EF0F388" w:rsidR="00A47B2E" w:rsidRPr="002865DB" w:rsidRDefault="009D52DC" w:rsidP="004B514C">
      <w:pPr>
        <w:spacing w:line="480" w:lineRule="auto"/>
        <w:rPr>
          <w:rFonts w:asciiTheme="minorBidi" w:hAnsiTheme="minorBidi" w:cstheme="minorBidi"/>
          <w:sz w:val="22"/>
          <w:szCs w:val="22"/>
        </w:rPr>
      </w:pPr>
      <w:r w:rsidRPr="002865DB">
        <w:rPr>
          <w:rFonts w:asciiTheme="minorBidi" w:hAnsiTheme="minorBidi" w:cstheme="minorBidi"/>
          <w:b/>
          <w:bCs/>
          <w:sz w:val="22"/>
          <w:szCs w:val="22"/>
          <w:u w:val="single"/>
        </w:rPr>
        <w:t xml:space="preserve">Discussion </w:t>
      </w:r>
    </w:p>
    <w:p w14:paraId="2391EE38" w14:textId="77777777" w:rsidR="00A47B2E" w:rsidRPr="002865DB" w:rsidRDefault="009D52DC" w:rsidP="002865DB">
      <w:pPr>
        <w:spacing w:line="480" w:lineRule="auto"/>
        <w:rPr>
          <w:rFonts w:asciiTheme="minorBidi" w:hAnsiTheme="minorBidi" w:cstheme="minorBidi"/>
          <w:sz w:val="22"/>
          <w:szCs w:val="22"/>
        </w:rPr>
      </w:pPr>
      <w:r w:rsidRPr="002865DB">
        <w:rPr>
          <w:rFonts w:asciiTheme="minorBidi" w:hAnsiTheme="minorBidi" w:cstheme="minorBidi"/>
          <w:sz w:val="22"/>
          <w:szCs w:val="22"/>
        </w:rPr>
        <w:t xml:space="preserve">In this BA we identified trends in the data relating to vitiligo and the areas where research was lacking. </w:t>
      </w:r>
    </w:p>
    <w:p w14:paraId="53523761" w14:textId="4A01CA79" w:rsidR="00A47B2E" w:rsidRPr="002865DB" w:rsidRDefault="009D52DC" w:rsidP="003E2597">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The largest number of articles published in a single decade was between 1993 and 2002</w:t>
      </w:r>
      <w:r w:rsidRPr="002865DB">
        <w:rPr>
          <w:rFonts w:asciiTheme="minorBidi" w:hAnsiTheme="minorBidi" w:cstheme="minorBidi"/>
          <w:sz w:val="22"/>
          <w:szCs w:val="22"/>
        </w:rPr>
        <w:t xml:space="preserve">, with 37 of </w:t>
      </w:r>
      <w:r w:rsidRPr="002865DB">
        <w:rPr>
          <w:rFonts w:asciiTheme="minorBidi" w:hAnsiTheme="minorBidi" w:cstheme="minorBidi"/>
          <w:sz w:val="22"/>
          <w:szCs w:val="22"/>
          <w:lang w:val="en-US"/>
        </w:rPr>
        <w:t>published articles</w:t>
      </w:r>
      <w:r w:rsidRPr="002865DB">
        <w:rPr>
          <w:rFonts w:asciiTheme="minorBidi" w:hAnsiTheme="minorBidi" w:cstheme="minorBidi"/>
          <w:sz w:val="22"/>
          <w:szCs w:val="22"/>
        </w:rPr>
        <w:t xml:space="preserve"> (Fig.2). This finding could be explained by three articles in our 100 list published in 1993. Specifically, the article “Vitiligo: where do we stand”</w:t>
      </w:r>
      <w:r w:rsidR="00041D96"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{"citationID":"lMlJEkkb","properties":{"formattedCitation":"\\super 16\\nosupersub{}","plainCitation":"16","noteIndex":0},"citationItems":[{"id":109,"uris":["http://zotero.org/users/local/0qy97rJQ/items/YUC4IHP7"],"itemData":{"id":109,"type":"article-journal","container-title":"Pigment Cell Research","DOI":"10.1111/j.1600-0749.1993.tb00584.x","ISSN":"0893-5785, 1600-0749","issue":"2","journalAbbreviation":"Pigment Cell Res","language":"en","page":"61-72","source":"DOI.org (Crossref)","title":"Vitiligo: Where Do We Stand?","title-short":"Vitiligo","volume":"6","author":[{"family":"Ortonne","given":"Jean-Paul"},{"family":"Bose","given":"Sumit Kumar"}],"issued":{"date-parts":[["1993",3]]}}}],"schema":"https://github.com/citation-style-language/schema/raw/master/csl-citation.json"} </w:instrText>
      </w:r>
      <w:r w:rsidR="00041D96"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16</w:t>
      </w:r>
      <w:r w:rsidR="00041D96"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(Ortonne,JP</w:t>
      </w:r>
      <w:r w:rsidRPr="002865DB">
        <w:rPr>
          <w:rFonts w:asciiTheme="minorBidi" w:hAnsiTheme="minorBidi" w:cstheme="minorBidi"/>
          <w:sz w:val="22"/>
          <w:szCs w:val="22"/>
        </w:rPr>
        <w:t xml:space="preserve"> et al)</w:t>
      </w:r>
      <w:r w:rsidRPr="002865DB">
        <w:rPr>
          <w:rFonts w:asciiTheme="minorBidi" w:eastAsiaTheme="minorHAnsi" w:hAnsiTheme="minorBidi" w:cstheme="minorBidi"/>
          <w:color w:val="000000"/>
          <w:sz w:val="22"/>
          <w:szCs w:val="22"/>
          <w:lang w:eastAsia="en-US"/>
        </w:rPr>
        <w:t xml:space="preserve"> </w:t>
      </w:r>
      <w:r w:rsidR="002D4150" w:rsidRPr="002865DB">
        <w:rPr>
          <w:rFonts w:asciiTheme="minorBidi" w:hAnsiTheme="minorBidi" w:cstheme="minorBidi"/>
          <w:sz w:val="22"/>
          <w:szCs w:val="22"/>
        </w:rPr>
        <w:t xml:space="preserve">that </w:t>
      </w:r>
      <w:r w:rsidRPr="002865DB">
        <w:rPr>
          <w:rFonts w:asciiTheme="minorBidi" w:hAnsiTheme="minorBidi" w:cstheme="minorBidi"/>
          <w:sz w:val="22"/>
          <w:szCs w:val="22"/>
        </w:rPr>
        <w:t xml:space="preserve">expressed the advances in vitiligo research, treatment, </w:t>
      </w:r>
      <w:r w:rsidR="001C1AF6" w:rsidRPr="002865DB">
        <w:rPr>
          <w:rFonts w:asciiTheme="minorBidi" w:hAnsiTheme="minorBidi" w:cstheme="minorBidi"/>
          <w:sz w:val="22"/>
          <w:szCs w:val="22"/>
        </w:rPr>
        <w:t xml:space="preserve">and </w:t>
      </w:r>
      <w:r w:rsidRPr="002865DB">
        <w:rPr>
          <w:rFonts w:asciiTheme="minorBidi" w:hAnsiTheme="minorBidi" w:cstheme="minorBidi"/>
          <w:sz w:val="22"/>
          <w:szCs w:val="22"/>
        </w:rPr>
        <w:t xml:space="preserve">epidemiology and could have encouraged subsequent publications. Another possible explanation for the popularity of the vitiligo topic </w:t>
      </w:r>
      <w:r w:rsidR="002D4150" w:rsidRPr="002865DB">
        <w:rPr>
          <w:rFonts w:asciiTheme="minorBidi" w:hAnsiTheme="minorBidi" w:cstheme="minorBidi"/>
          <w:sz w:val="22"/>
          <w:szCs w:val="22"/>
        </w:rPr>
        <w:t>at</w:t>
      </w:r>
      <w:r w:rsidRPr="002865DB">
        <w:rPr>
          <w:rFonts w:asciiTheme="minorBidi" w:hAnsiTheme="minorBidi" w:cstheme="minorBidi"/>
          <w:sz w:val="22"/>
          <w:szCs w:val="22"/>
        </w:rPr>
        <w:t xml:space="preserve"> that </w:t>
      </w:r>
      <w:r w:rsidR="00D72D28" w:rsidRPr="002865DB">
        <w:rPr>
          <w:rFonts w:asciiTheme="minorBidi" w:hAnsiTheme="minorBidi" w:cstheme="minorBidi"/>
          <w:sz w:val="22"/>
          <w:szCs w:val="22"/>
        </w:rPr>
        <w:t>time</w:t>
      </w:r>
      <w:r w:rsidR="001C1AF6" w:rsidRPr="002865DB">
        <w:rPr>
          <w:rFonts w:asciiTheme="minorBidi" w:hAnsiTheme="minorBidi" w:cstheme="minorBidi"/>
          <w:sz w:val="22"/>
          <w:szCs w:val="22"/>
        </w:rPr>
        <w:t xml:space="preserve"> </w:t>
      </w:r>
      <w:r w:rsidRPr="002865DB">
        <w:rPr>
          <w:rFonts w:asciiTheme="minorBidi" w:hAnsiTheme="minorBidi" w:cstheme="minorBidi"/>
          <w:sz w:val="22"/>
          <w:szCs w:val="22"/>
        </w:rPr>
        <w:t>is the breadth of scientific advance</w:t>
      </w:r>
      <w:r w:rsidRPr="002865DB">
        <w:rPr>
          <w:rFonts w:asciiTheme="minorBidi" w:hAnsiTheme="minorBidi" w:cstheme="minorBidi"/>
          <w:sz w:val="22"/>
          <w:szCs w:val="22"/>
        </w:rPr>
        <w:t>s and techniques that emerged in the 1990s and 2000s. For example, The Clustered Regularly Interspaced Short Palindromic Repeats (CRISPR)</w:t>
      </w:r>
      <w:r w:rsidR="00E2729D" w:rsidRPr="002865DB">
        <w:rPr>
          <w:rFonts w:asciiTheme="minorBidi" w:hAnsiTheme="minorBidi" w:cstheme="minorBidi"/>
          <w:sz w:val="22"/>
          <w:szCs w:val="22"/>
        </w:rPr>
        <w:t>, a gene editing s</w:t>
      </w:r>
      <w:r w:rsidRPr="002865DB">
        <w:rPr>
          <w:rFonts w:asciiTheme="minorBidi" w:hAnsiTheme="minorBidi" w:cstheme="minorBidi"/>
          <w:sz w:val="22"/>
          <w:szCs w:val="22"/>
        </w:rPr>
        <w:t>ystem</w:t>
      </w:r>
      <w:r w:rsidR="002D4150" w:rsidRPr="002865DB">
        <w:rPr>
          <w:rFonts w:asciiTheme="minorBidi" w:hAnsiTheme="minorBidi" w:cstheme="minorBidi"/>
          <w:sz w:val="22"/>
          <w:szCs w:val="22"/>
        </w:rPr>
        <w:t>,</w:t>
      </w:r>
      <w:r w:rsidRPr="002865DB">
        <w:rPr>
          <w:rFonts w:asciiTheme="minorBidi" w:hAnsiTheme="minorBidi" w:cstheme="minorBidi"/>
          <w:sz w:val="22"/>
          <w:szCs w:val="22"/>
        </w:rPr>
        <w:t xml:space="preserve"> was first characterized within that decade. Therapeutic targets of dermatologic conditions can</w:t>
      </w:r>
      <w:r w:rsidRPr="002865DB">
        <w:rPr>
          <w:rFonts w:asciiTheme="minorBidi" w:hAnsiTheme="minorBidi" w:cstheme="minorBidi"/>
          <w:sz w:val="22"/>
          <w:szCs w:val="22"/>
        </w:rPr>
        <w:t xml:space="preserve"> be fulfilled by CRISPR</w:t>
      </w:r>
      <w:r w:rsidR="002D4150" w:rsidRPr="002865DB">
        <w:rPr>
          <w:rFonts w:asciiTheme="minorBidi" w:hAnsiTheme="minorBidi" w:cstheme="minorBidi"/>
          <w:sz w:val="22"/>
          <w:szCs w:val="22"/>
        </w:rPr>
        <w:t>,</w:t>
      </w:r>
      <w:r w:rsidRPr="002865DB">
        <w:rPr>
          <w:rFonts w:asciiTheme="minorBidi" w:hAnsiTheme="minorBidi" w:cstheme="minorBidi"/>
          <w:sz w:val="22"/>
          <w:szCs w:val="22"/>
        </w:rPr>
        <w:t xml:space="preserve"> which is appealing to researchers </w:t>
      </w:r>
      <w:r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{"citationID":"p99kaRB6","properties":{"formattedCitation":"\\super 17\\nosupersub{}","plainCitation":"17","noteIndex":0},"citationItems":[{"id":47,"uris":["http://zotero.org/users/local/0qy97rJQ/items/E8AZ6IBG"],"itemData":{"id":47,"type":"article-journal","abstract":"The discovery of the Clustered Regularly Interspaced Short Palindromic Repeats (CRISPR) system has revolutionized gene editing research. Through the repurposing of programmable RNA-guided CRISPR-associated (Cas) nucleases, CRISPR-based genome editing systems allow for the precise modification of specific sites in the human genome and inspire novel approaches for the study and treatment of inherited and acquired human diseases. Here, we review how CRISPR technologies have stimulated key advances in dermatologic research.  We discuss the role of CRISPR in genome editing for cutaneous disease and highlight studies on the use of CRISPR-Cas technologies for genodermatoses, cutaneous viruses and bacteria, and melanoma. Additionally, we examine key limitations of current CRISPR technologies, including the challenges these limitations pose for the widespread therapeutic application of CRISPR-based therapeutics.","container-title":"F1000Research","DOI":"10.12688/f1000research.23185.2","ISSN":"2046-1402","journalAbbreviation":"F1000Res","language":"en","page":"281","source":"DOI.org (Crossref)","title":"Gene editing in dermatology: Harnessing CRISPR for the treatment of cutaneous disease","title-short":"Gene editing in dermatology","volume":"9","author":[{"family":"Baker","given":"Catherine"},{"family":"Hayden","given":"Matthew S."}],"issued":{"date-parts":[["2020",10,7]]}}}],"schema":"https://github.com/citation-style-language/schema/raw/master/csl-citation.json"} </w:instrText>
      </w:r>
      <w:r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17</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p>
    <w:p w14:paraId="142355EA" w14:textId="77777777"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Total citations divided by 10-year intervals mostly increased until 2002, stabilized until 2012, and </w:t>
      </w:r>
      <w:r w:rsidR="002D4150" w:rsidRPr="002865DB">
        <w:rPr>
          <w:rFonts w:asciiTheme="minorBidi" w:hAnsiTheme="minorBidi" w:cstheme="minorBidi"/>
          <w:sz w:val="22"/>
          <w:szCs w:val="22"/>
        </w:rPr>
        <w:t>have</w:t>
      </w:r>
      <w:r w:rsidRPr="002865DB">
        <w:rPr>
          <w:rFonts w:asciiTheme="minorBidi" w:hAnsiTheme="minorBidi" w:cstheme="minorBidi"/>
          <w:sz w:val="22"/>
          <w:szCs w:val="22"/>
        </w:rPr>
        <w:t xml:space="preserve"> declined since. However, ACs divided by a 10-year interval have </w:t>
      </w:r>
      <w:r w:rsidR="00996944" w:rsidRPr="002865DB">
        <w:rPr>
          <w:rFonts w:asciiTheme="minorBidi" w:hAnsiTheme="minorBidi" w:cstheme="minorBidi"/>
          <w:sz w:val="22"/>
          <w:szCs w:val="22"/>
        </w:rPr>
        <w:t>majorly</w:t>
      </w:r>
      <w:r w:rsidRPr="002865DB">
        <w:rPr>
          <w:rFonts w:asciiTheme="minorBidi" w:hAnsiTheme="minorBidi" w:cstheme="minorBidi"/>
          <w:sz w:val="22"/>
          <w:szCs w:val="22"/>
        </w:rPr>
        <w:t xml:space="preserve"> inc</w:t>
      </w:r>
      <w:r w:rsidRPr="002865DB">
        <w:rPr>
          <w:rFonts w:asciiTheme="minorBidi" w:hAnsiTheme="minorBidi" w:cstheme="minorBidi"/>
          <w:sz w:val="22"/>
          <w:szCs w:val="22"/>
        </w:rPr>
        <w:t>reased since 1972 with a sharp ascension beginning in 2002 (Fig.3). These</w:t>
      </w:r>
      <w:r w:rsidR="00996944" w:rsidRPr="002865DB">
        <w:rPr>
          <w:rFonts w:asciiTheme="minorBidi" w:hAnsiTheme="minorBidi" w:cstheme="minorBidi"/>
          <w:sz w:val="22"/>
          <w:szCs w:val="22"/>
        </w:rPr>
        <w:t xml:space="preserve"> combined</w:t>
      </w:r>
      <w:r w:rsidRPr="002865DB">
        <w:rPr>
          <w:rFonts w:asciiTheme="minorBidi" w:hAnsiTheme="minorBidi" w:cstheme="minorBidi"/>
          <w:sz w:val="22"/>
          <w:szCs w:val="22"/>
        </w:rPr>
        <w:t xml:space="preserve"> findings</w:t>
      </w:r>
      <w:r w:rsidR="00996944" w:rsidRPr="002865DB">
        <w:rPr>
          <w:rFonts w:asciiTheme="minorBidi" w:hAnsiTheme="minorBidi" w:cstheme="minorBidi"/>
          <w:sz w:val="22"/>
          <w:szCs w:val="22"/>
        </w:rPr>
        <w:t xml:space="preserve"> about ACs and TCs </w:t>
      </w:r>
      <w:r w:rsidRPr="002865DB">
        <w:rPr>
          <w:rFonts w:asciiTheme="minorBidi" w:hAnsiTheme="minorBidi" w:cstheme="minorBidi"/>
          <w:sz w:val="22"/>
          <w:szCs w:val="22"/>
        </w:rPr>
        <w:t xml:space="preserve">can be correlated to the number of publications emerging between 1993 and 2002 (37% of total vitiligo publications). </w:t>
      </w:r>
      <w:r w:rsidR="00041D96" w:rsidRPr="002865DB">
        <w:rPr>
          <w:rFonts w:asciiTheme="minorBidi" w:hAnsiTheme="minorBidi" w:cstheme="minorBidi"/>
          <w:sz w:val="22"/>
          <w:szCs w:val="22"/>
        </w:rPr>
        <w:t xml:space="preserve">It is possible that due to recent articles being more </w:t>
      </w:r>
      <w:r w:rsidR="002D4150" w:rsidRPr="002865DB">
        <w:rPr>
          <w:rFonts w:asciiTheme="minorBidi" w:hAnsiTheme="minorBidi" w:cstheme="minorBidi"/>
          <w:sz w:val="22"/>
          <w:szCs w:val="22"/>
        </w:rPr>
        <w:t>up-to-date</w:t>
      </w:r>
      <w:r w:rsidR="00041D96" w:rsidRPr="002865DB">
        <w:rPr>
          <w:rFonts w:asciiTheme="minorBidi" w:hAnsiTheme="minorBidi" w:cstheme="minorBidi"/>
          <w:sz w:val="22"/>
          <w:szCs w:val="22"/>
        </w:rPr>
        <w:t>, they tend to be more highly cited in recent years</w:t>
      </w:r>
      <w:r w:rsidR="00041D96"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{"citationID":"FQysFaxs","properties":{"formattedCitation":"\\super 18\\nosupersub{}","plainCitation":"18","noteIndex":0},"citationItems":[{"id":110,"uris":["http://zotero.org/users/local/0qy97rJQ/items/J7UKYQ95"],"itemData":{"id":110,"type":"article-journal","abstract":"Abstract\n            Timely dissemination of knowledge is essential and fosters development of knowledge both within academe and the wider society, not least for knowledge that serves practises outside of academia. Here, we compare six disciplines which provide health-related knowledge that serve the health and social services. Most previous research compares the size and impact of the body of publications belonging to each discipline, which ignores the distribution of seniority, productivity, and impact amongst researchers. Instead, we consider the whole population of academics in Sweden employed or active within each discipline, including those who have nil publications. The disciplines form three clusters, where researchers in Public Health and Nursing and Caring science claim about 15 articles per author, Psychology about 10, and Education, Sociology and Social Work less than four. Their numbers of citations follow the same pattern, and are substantially correlated with the number of articles. Tenured or full professors had about 50% more publications and citations per publication than had associate professors. The distributions indicate clear modes at 0, 4, and 16 publications for each cluster, and provide the proportions of researchers within each discipline who have no such publications at all. We discuss the implications of these results for policy, practice, and knowledge quality in the social services and the welfare sector.","container-title":"Scientometrics","DOI":"10.1007/s11192-022-04495-3","ISSN":"0138-9130, 1588-2861","issue":"10","journalAbbreviation":"Scientometrics","language":"en","page":"6029-6046","source":"DOI.org (Crossref)","title":"Numbers of publications and citations for researchers in fields pertinent to the social services: a comparison of peer-reviewed journal publications across six disciplines","title-short":"Numbers of publications and citations for researchers in fields pertinent to the social services","volume":"127","author":[{"family":"Madison","given":"Guy"},{"family":"Sundell","given":"Knut"}],"issued":{"date-parts":[["2022",10]]}}}],"schema":"https://github.com/citation-style-language/schema/raw/master/csl-citation.json"} </w:instrText>
      </w:r>
      <w:r w:rsidR="00041D96"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18</w:t>
      </w:r>
      <w:r w:rsidR="00041D96" w:rsidRPr="002865DB">
        <w:rPr>
          <w:rFonts w:asciiTheme="minorBidi" w:hAnsiTheme="minorBidi" w:cstheme="minorBidi"/>
          <w:sz w:val="22"/>
          <w:szCs w:val="22"/>
        </w:rPr>
        <w:fldChar w:fldCharType="end"/>
      </w:r>
      <w:r w:rsidR="00041D96" w:rsidRPr="002865DB">
        <w:rPr>
          <w:rFonts w:asciiTheme="minorBidi" w:hAnsiTheme="minorBidi" w:cstheme="minorBidi"/>
          <w:sz w:val="22"/>
          <w:szCs w:val="22"/>
        </w:rPr>
        <w:t xml:space="preserve">. </w:t>
      </w:r>
      <w:r w:rsidRPr="002865DB">
        <w:rPr>
          <w:rFonts w:asciiTheme="minorBidi" w:hAnsiTheme="minorBidi" w:cstheme="minorBidi"/>
          <w:sz w:val="22"/>
          <w:szCs w:val="22"/>
        </w:rPr>
        <w:t xml:space="preserve">Additionally, in 2002, research output emphasized the oxidative stress link to vitiligo and elicited curiosity around the topic. </w:t>
      </w:r>
      <w:r w:rsidR="00D72D28" w:rsidRPr="002865DB">
        <w:rPr>
          <w:rFonts w:asciiTheme="minorBidi" w:hAnsiTheme="minorBidi" w:cstheme="minorBidi"/>
          <w:sz w:val="22"/>
          <w:szCs w:val="22"/>
        </w:rPr>
        <w:t>For example, t</w:t>
      </w:r>
      <w:r w:rsidRPr="002865DB">
        <w:rPr>
          <w:rFonts w:asciiTheme="minorBidi" w:hAnsiTheme="minorBidi" w:cstheme="minorBidi"/>
          <w:sz w:val="22"/>
          <w:szCs w:val="22"/>
        </w:rPr>
        <w:t>he CAT gene’s correlation to accumulated hydrogen peroxide (H2O2)</w:t>
      </w:r>
      <w:r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{"citationID":"hzrp5X6I","properties":{"formattedCitation":"\\super 19\\nosupersub{}","plainCitation":"19","noteIndex":0},"citationItems":[{"id":55,"uris":["http://zotero.org/users/local/0qy97rJQ/items/Q9K2XHGA"],"itemData":{"id":55,"type":"article-journal","container-title":"Pigment Cell Research","DOI":"10.1034/j.1600-0749.2002.00057.x","ISSN":"08935785","issue":"1","language":"en","page":"62-66","source":"DOI.org (Crossref)","title":"Genetic Association of the &lt;i&gt;Catalase&lt;/i&gt; Gene ( &lt;i&gt;CAT&lt;/i&gt; ) with Vitiligo Susceptibility","volume":"15","author":[{"family":"Casp","given":"Courtney B."},{"family":"She","given":"Jin-Xiong"},{"family":"Mccormack","given":"Wayne T."}],"issued":{"date-parts":[["2002",2]]}}}],"schema":"https://github.com/citation-style-language/schema/raw/master/csl-citation.json"} </w:instrText>
      </w:r>
      <w:r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19</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and photo-oxidation of pterins producing H2O2</w:t>
      </w:r>
      <w:r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{"citationID":"0zbQgpmO","properties":{"formattedCitation":"\\super 20\\nosupersub{}","plainCitation":"20","noteIndex":0},"citationItems":[{"id":56,"uris":["http://zotero.org/users/local/0qy97rJQ/items/CNQXA9X6"],"itemData":{"id":56,"type":"article-journal","container-title":"Biochemical and Biophysical Research Communications","DOI":"10.1006/bbrc.2002.6727","ISSN":"0006291X","issue":"4","journalAbbreviation":"Biochemical and Biophysical Research Communications","language":"en","page":"805-811","source":"DOI.org (Crossref)","title":"Oxidative Stress in Vitiligo: Photo-oxidation of Pterins Produces H2O2 and Pterin-6-carboxylic Acid","title-short":"Oxidative Stress in Vitiligo","volume":"292","author":[{"family":"Rokos","given":"Hartmut"},{"family":"Beazley","given":"Wayne D."},{"family":"Schallreuter","given":"Karin U."}],"issued":{"date-parts":[["2002",4]]}}}],"schema":"https://github.com/citation-style-language/schema/raw/master/csl-citation.json"} </w:instrText>
      </w:r>
      <w:r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20</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w:t>
      </w:r>
    </w:p>
    <w:p w14:paraId="62FF187E" w14:textId="77777777" w:rsidR="00A47B2E" w:rsidRPr="002865DB" w:rsidRDefault="00A47B2E" w:rsidP="002865DB">
      <w:pPr>
        <w:spacing w:line="480" w:lineRule="auto"/>
        <w:rPr>
          <w:rFonts w:asciiTheme="minorBidi" w:hAnsiTheme="minorBidi" w:cstheme="minorBidi"/>
          <w:sz w:val="22"/>
          <w:szCs w:val="22"/>
          <w:u w:val="single"/>
        </w:rPr>
      </w:pPr>
    </w:p>
    <w:p w14:paraId="261275CF" w14:textId="4A564862" w:rsidR="00A47B2E" w:rsidRPr="002865DB" w:rsidRDefault="009D52DC" w:rsidP="003E2597">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Our research identified that most of the top cited articles per country of origin</w:t>
      </w:r>
      <w:r>
        <w:rPr>
          <w:rFonts w:asciiTheme="minorBidi" w:hAnsiTheme="minorBidi" w:cstheme="minorBidi"/>
          <w:sz w:val="22"/>
          <w:szCs w:val="22"/>
        </w:rPr>
        <w:t>,</w:t>
      </w:r>
      <w:r w:rsidRPr="002865DB">
        <w:rPr>
          <w:rFonts w:asciiTheme="minorBidi" w:hAnsiTheme="minorBidi" w:cstheme="minorBidi"/>
          <w:sz w:val="22"/>
          <w:szCs w:val="22"/>
        </w:rPr>
        <w:t xml:space="preserve"> after </w:t>
      </w:r>
      <w:r>
        <w:rPr>
          <w:rFonts w:asciiTheme="minorBidi" w:hAnsiTheme="minorBidi" w:cstheme="minorBidi"/>
          <w:sz w:val="22"/>
          <w:szCs w:val="22"/>
        </w:rPr>
        <w:t>controlling</w:t>
      </w:r>
      <w:r w:rsidRPr="002865DB">
        <w:rPr>
          <w:rFonts w:asciiTheme="minorBidi" w:hAnsiTheme="minorBidi" w:cstheme="minorBidi"/>
          <w:sz w:val="22"/>
          <w:szCs w:val="22"/>
        </w:rPr>
        <w:t xml:space="preserve"> for population</w:t>
      </w:r>
      <w:r>
        <w:rPr>
          <w:rFonts w:asciiTheme="minorBidi" w:hAnsiTheme="minorBidi" w:cstheme="minorBidi"/>
          <w:sz w:val="22"/>
          <w:szCs w:val="22"/>
        </w:rPr>
        <w:t>,</w:t>
      </w:r>
      <w:r w:rsidRPr="002865DB">
        <w:rPr>
          <w:rFonts w:asciiTheme="minorBidi" w:hAnsiTheme="minorBidi" w:cstheme="minorBidi"/>
          <w:sz w:val="22"/>
          <w:szCs w:val="22"/>
        </w:rPr>
        <w:t xml:space="preserve"> were from the Netherlands, Belgium </w:t>
      </w:r>
      <w:r w:rsidRPr="002865DB">
        <w:rPr>
          <w:rFonts w:asciiTheme="minorBidi" w:hAnsiTheme="minorBidi" w:cstheme="minorBidi"/>
          <w:sz w:val="22"/>
          <w:szCs w:val="22"/>
        </w:rPr>
        <w:t>and England. Interestingly, regardless of population, the Netherlands (2</w:t>
      </w:r>
      <w:r w:rsidRPr="002865DB">
        <w:rPr>
          <w:rFonts w:asciiTheme="minorBidi" w:hAnsiTheme="minorBidi" w:cstheme="minorBidi"/>
          <w:sz w:val="22"/>
          <w:szCs w:val="22"/>
          <w:vertAlign w:val="superscript"/>
        </w:rPr>
        <w:t>nd</w:t>
      </w:r>
      <w:r w:rsidRPr="002865DB">
        <w:rPr>
          <w:rFonts w:asciiTheme="minorBidi" w:hAnsiTheme="minorBidi" w:cstheme="minorBidi"/>
          <w:sz w:val="22"/>
          <w:szCs w:val="22"/>
        </w:rPr>
        <w:t>), and England (3</w:t>
      </w:r>
      <w:r w:rsidRPr="002865DB">
        <w:rPr>
          <w:rFonts w:asciiTheme="minorBidi" w:hAnsiTheme="minorBidi" w:cstheme="minorBidi"/>
          <w:sz w:val="22"/>
          <w:szCs w:val="22"/>
          <w:vertAlign w:val="superscript"/>
        </w:rPr>
        <w:t>rd</w:t>
      </w:r>
      <w:r w:rsidRPr="002865DB">
        <w:rPr>
          <w:rFonts w:asciiTheme="minorBidi" w:hAnsiTheme="minorBidi" w:cstheme="minorBidi"/>
          <w:sz w:val="22"/>
          <w:szCs w:val="22"/>
        </w:rPr>
        <w:t>) are still the topmost published countries (Fig.4). Research</w:t>
      </w:r>
      <w:r w:rsidR="00587BE4"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{"citationID":"RiFP2bcH","properties":{"formattedCitation":"\\super 21\\nosupersub{}","plainCitation":"21","noteIndex":0},"citationItems":[{"id":105,"uris":["http://zotero.org/users/local/0qy97rJQ/items/VXCM44FE"],"itemData":{"id":105,"type":"article-journal","container-title":"Pigment Cell Research","DOI":"10.1034/j.1600-0749.2003.00032.x","ISSN":"08935785, 16000749","issue":"3","language":"en","page":"208-214","source":"DOI.org (Crossref)","title":"Epidemiology of Vitiligo and Associated Autoimmune Diseases in Caucasian Probands and Their Families","volume":"16","author":[{"family":"Alkhateeb","given":"Asem"},{"family":"Fain","given":"Pamela R."},{"family":"Thody","given":"Anthony"},{"family":"Bennett","given":"Dorothy C."},{"family":"Spritz","given":"Richard A."}],"issued":{"date-parts":[["2003",6]]}}}],"schema":"https://github.com/citation-style-language/schema/raw/master/csl-citation.json"} </w:instrText>
      </w:r>
      <w:r w:rsidR="00587BE4"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21</w:t>
      </w:r>
      <w:r w:rsidR="00587BE4" w:rsidRPr="002865DB">
        <w:rPr>
          <w:rFonts w:asciiTheme="minorBidi" w:hAnsiTheme="minorBidi" w:cstheme="minorBidi"/>
          <w:sz w:val="22"/>
          <w:szCs w:val="22"/>
        </w:rPr>
        <w:fldChar w:fldCharType="end"/>
      </w:r>
      <w:r w:rsidR="00587BE4" w:rsidRPr="002865DB">
        <w:rPr>
          <w:rFonts w:asciiTheme="minorBidi" w:hAnsiTheme="minorBidi" w:cstheme="minorBidi"/>
          <w:sz w:val="22"/>
          <w:szCs w:val="22"/>
          <w:vertAlign w:val="superscript"/>
        </w:rPr>
        <w:t>,</w:t>
      </w:r>
      <w:r w:rsidR="00587BE4"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{"citationID":"KsnjnKkv","properties":{"formattedCitation":"\\super 22\\nosupersub{}","plainCitation":"22","noteIndex":0},"citationItems":[{"id":106,"uris":["http://zotero.org/users/local/0qy97rJQ/items/KMNPNZA4"],"itemData":{"id":106,"type":"article-journal","container-title":"Archives of Dermatology","DOI":"10.1001/archderm.1977.01640010049006","ISSN":"0003-987X","issue":"1","journalAbbreviation":"Arch Dermatol","language":"en","page":"47","source":"DOI.org (Crossref)","title":"Prevalence of Vitiligo: Epidemiological Survey on the Isle of Bornholm, Denmark","title-short":"Prevalence of Vitiligo","volume":"113","author":[{"family":"Howitz","given":"Jette"}],"issued":{"date-parts":[["1977",1,1]]}}}],"schema":"https://github.com/citation-style-language/schema/raw/master/csl-citation.json"} </w:instrText>
      </w:r>
      <w:r w:rsidR="00587BE4"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22</w:t>
      </w:r>
      <w:r w:rsidR="00587BE4"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shows Europe having a slightly higher vitiligo prevalence than the USA (1.6% vs 1.4%), and overall higher than light-skin Asian countries such as Japan (0.5%)</w:t>
      </w:r>
      <w:r w:rsidRPr="002865DB">
        <w:rPr>
          <w:rFonts w:asciiTheme="minorBidi" w:hAnsiTheme="minorBidi" w:cstheme="minorBidi"/>
          <w:sz w:val="22"/>
          <w:szCs w:val="22"/>
        </w:rPr>
        <w:fldChar w:fldCharType="begin"/>
      </w:r>
      <w:r w:rsidR="00041D96" w:rsidRPr="002865DB">
        <w:rPr>
          <w:rFonts w:asciiTheme="minorBidi" w:hAnsiTheme="minorBidi" w:cstheme="minorBidi"/>
          <w:sz w:val="22"/>
          <w:szCs w:val="22"/>
        </w:rPr>
        <w:instrText xml:space="preserve"> ADDIN ZOTERO_ITEM CSL_CITATION {"citationID":"w3S1jYej","properties":{"formattedCitation":"\\super 23\\nosupersub{}","plainCitation":"23","noteIndex":0},"citationItems":[{"id":43,"uris":["http://zotero.org/users/local/0qy97rJQ/items/AD5663TH"],"itemData":{"id":43,"type":"article-journal","container-title":"Journal of the European Academy of Dermatology and Venereology","DOI":"10.1111/jdv.18257","ISSN":"0926-9959, 1468-3083","issue":"10","journalAbbreviation":"Acad Dermatol Venereol","language":"en","page":"1831-1844","source":"DOI.org (Crossref)","title":"Vitiligo prevalence and quality of life among adults in Europe, Japan and the USA","volume":"36","author":[{"family":"Bibeau","given":"K."},{"family":"Pandya","given":"A.G."},{"family":"Ezzedine","given":"K."},{"family":"Jones","given":"H."},{"family":"Gao","given":"J."},{"family":"Lindley","given":"A."},{"family":"Harris","given":"J.E."}],"issued":{"date-parts":[["2022",10]]}}}],"schema":"https://github.com/citation-style-language/schema/raw/master/csl-citation.json"} </w:instrText>
      </w:r>
      <w:r w:rsidRPr="002865DB">
        <w:rPr>
          <w:rFonts w:asciiTheme="minorBidi" w:hAnsiTheme="minorBidi" w:cstheme="minorBidi"/>
          <w:sz w:val="22"/>
          <w:szCs w:val="22"/>
        </w:rPr>
        <w:fldChar w:fldCharType="separate"/>
      </w:r>
      <w:r w:rsidR="00041D96" w:rsidRPr="002865DB">
        <w:rPr>
          <w:rFonts w:asciiTheme="minorBidi" w:hAnsiTheme="minorBidi" w:cstheme="minorBidi"/>
          <w:sz w:val="22"/>
          <w:szCs w:val="22"/>
          <w:vertAlign w:val="superscript"/>
        </w:rPr>
        <w:t>23</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p>
    <w:p w14:paraId="2D3E40DF" w14:textId="183A9212"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Over half of the top cited articles were published in the Journal of Investigative Dermatology</w:t>
      </w:r>
      <w:r w:rsidRPr="002865DB">
        <w:rPr>
          <w:rFonts w:asciiTheme="minorBidi" w:hAnsiTheme="minorBidi" w:cstheme="minorBidi"/>
          <w:sz w:val="22"/>
          <w:szCs w:val="22"/>
        </w:rPr>
        <w:t>, followed by Pigment Cell Research, Archives of Dermatology and Journal of the American Academy of Dermatology (Fig 6.). This can be attributed to the high standard of these journals</w:t>
      </w:r>
      <w:r w:rsidR="00720002">
        <w:rPr>
          <w:rFonts w:asciiTheme="minorBidi" w:hAnsiTheme="minorBidi" w:cstheme="minorBidi"/>
          <w:sz w:val="22"/>
          <w:szCs w:val="22"/>
        </w:rPr>
        <w:fldChar w:fldCharType="begin"/>
      </w:r>
      <w:r w:rsidR="00720002">
        <w:rPr>
          <w:rFonts w:asciiTheme="minorBidi" w:hAnsiTheme="minorBidi" w:cstheme="minorBidi"/>
          <w:sz w:val="22"/>
          <w:szCs w:val="22"/>
        </w:rPr>
        <w:instrText xml:space="preserve"> ADDIN ZOTERO_ITEM CSL_CITATION {"citationID":"1IdWdYGt","properties":{"formattedCitation":"\\super 24\\nosupersub{}","plainCitation":"24","noteIndex":0},"citationItems":[{"id":113,"uris":["http://zotero.org/users/local/0qy97rJQ/items/WXBR37PB"],"itemData":{"id":113,"type":"article-journal","container-title":"Journal of Investigative Dermatology","DOI":"10.1038/jid.2011.391","ISSN":"0022202X","issue":"3","journalAbbreviation":"Journal of Investigative Dermatology","language":"en","page":"1050-1060","source":"DOI.org (Crossref)","title":"A Review of the Journal of Investigative Dermatology's Most Cited Publications over the Past 25 Years and the Use of Developing Bibliometric Methodologies to Assess Journal Quality","volume":"132","author":[{"family":"Bickers","given":"David R."},{"family":"Modlin","given":"Robert L."}],"issued":{"date-parts":[["2012",3]]}}}],"schema":"https://github.com/citation-style-language/schema/raw/master/csl-citation.json"} </w:instrText>
      </w:r>
      <w:r w:rsidR="00720002">
        <w:rPr>
          <w:rFonts w:asciiTheme="minorBidi" w:hAnsiTheme="minorBidi" w:cstheme="minorBidi"/>
          <w:sz w:val="22"/>
          <w:szCs w:val="22"/>
        </w:rPr>
        <w:fldChar w:fldCharType="separate"/>
      </w:r>
      <w:r w:rsidR="00720002" w:rsidRPr="00720002">
        <w:rPr>
          <w:rFonts w:ascii="Arial" w:hAnsiTheme="minorHAnsi" w:cs="Arial"/>
          <w:sz w:val="22"/>
          <w:vertAlign w:val="superscript"/>
        </w:rPr>
        <w:t>24</w:t>
      </w:r>
      <w:r w:rsidR="00720002">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p>
    <w:p w14:paraId="484B671B" w14:textId="0721FD3F"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Additionally, the median impact factor (IF) of </w:t>
      </w:r>
      <w:r w:rsidR="003358A7">
        <w:rPr>
          <w:rFonts w:asciiTheme="minorBidi" w:hAnsiTheme="minorBidi" w:cstheme="minorBidi"/>
          <w:sz w:val="22"/>
          <w:szCs w:val="22"/>
        </w:rPr>
        <w:t xml:space="preserve">nine </w:t>
      </w:r>
      <w:r w:rsidRPr="002865DB">
        <w:rPr>
          <w:rFonts w:asciiTheme="minorBidi" w:hAnsiTheme="minorBidi" w:cstheme="minorBidi"/>
          <w:sz w:val="22"/>
          <w:szCs w:val="22"/>
        </w:rPr>
        <w:t xml:space="preserve">is high and signifies that researchers are prone to choose high IF journals for citations </w:t>
      </w:r>
      <w:r w:rsidRPr="002865DB">
        <w:rPr>
          <w:rFonts w:asciiTheme="minorBidi" w:hAnsiTheme="minorBidi" w:cstheme="minorBidi"/>
          <w:sz w:val="22"/>
          <w:szCs w:val="22"/>
        </w:rPr>
        <w:fldChar w:fldCharType="begin"/>
      </w:r>
      <w:r w:rsidR="00372887">
        <w:rPr>
          <w:rFonts w:asciiTheme="minorBidi" w:hAnsiTheme="minorBidi" w:cstheme="minorBidi"/>
          <w:sz w:val="22"/>
          <w:szCs w:val="22"/>
        </w:rPr>
        <w:instrText xml:space="preserve"> ADDIN ZOTERO_ITEM CSL_CITATION {"citationID":"H4GSLTz8","properties":{"formattedCitation":"\\super 25\\nosupersub{}","plainCitation":"25","noteIndex":0},"citationItems":[{"id":51,"uris":["http://zotero.org/users/local/0qy97rJQ/items/2HSI4HHJ"],"itemData":{"id":51,"type":"article-journal","abstract":"The scholarly publication landscape continues to grow in complexity, presenting researchers with ever-increasing dilemmas regarding journal choice. However, research into the decision-making processes associated with journal choice is limited. This article contributes by reporting on an international survey of researchers in various disciplines and with varying levels of experience. The study examines the extent to which various journal characteristics affect journal selection, perceptions of the extent to which university and national research policies impact on their journal choice, and the influence of academics’ familiarity, confidence and objectives on journal choice. The most important factors influencing journal choice were as follows: reliability of reviewing, usefulness of reviewers’ feedback, the reputation of the journal and confidence that their article is in scope for the journal. Publishing productivity, publishing experience, researcher role and discipline had little impact on the ranking of journal choice factors, suggesting that the research community is homogeneous.","container-title":"Journal of Information Science","DOI":"10.1177/0165551520958591","ISSN":"0165-5515, 1741-6485","issue":"3","journalAbbreviation":"Journal of Information Science","language":"en","page":"321-335","source":"DOI.org (Crossref)","title":"Factors influencing researchers’ journal selection decisions","volume":"48","author":[{"family":"Rowley","given":"Jennifer"},{"family":"Sbaffi","given":"Laura"},{"family":"Sugden","given":"Martin"},{"family":"Gilbert","given":"Anna"}],"issued":{"date-parts":[["2022",6]]}}}],"schema":"https://github.com/citation-style-language/schema/raw/master/csl-citation.json"} </w:instrText>
      </w:r>
      <w:r w:rsidRPr="002865DB">
        <w:rPr>
          <w:rFonts w:asciiTheme="minorBidi" w:hAnsiTheme="minorBidi" w:cstheme="minorBidi"/>
          <w:sz w:val="22"/>
          <w:szCs w:val="22"/>
        </w:rPr>
        <w:fldChar w:fldCharType="separate"/>
      </w:r>
      <w:r w:rsidR="00372887" w:rsidRPr="00372887">
        <w:rPr>
          <w:rFonts w:ascii="Arial" w:hAnsiTheme="minorHAnsi" w:cs="Arial"/>
          <w:sz w:val="22"/>
          <w:vertAlign w:val="superscript"/>
        </w:rPr>
        <w:t>25</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Journal selection is a complex decision, however, IF is almost systematically an important selection factor </w:t>
      </w:r>
      <w:r w:rsidRPr="002865DB">
        <w:rPr>
          <w:rFonts w:asciiTheme="minorBidi" w:hAnsiTheme="minorBidi" w:cstheme="minorBidi"/>
          <w:sz w:val="22"/>
          <w:szCs w:val="22"/>
        </w:rPr>
        <w:fldChar w:fldCharType="begin"/>
      </w:r>
      <w:r w:rsidR="00372887">
        <w:rPr>
          <w:rFonts w:asciiTheme="minorBidi" w:hAnsiTheme="minorBidi" w:cstheme="minorBidi"/>
          <w:sz w:val="22"/>
          <w:szCs w:val="22"/>
        </w:rPr>
        <w:instrText xml:space="preserve"> ADDIN ZOTERO_ITEM CSL_CITATION {"citationID":"bZtIlOuM","properties":{"formattedCitation":"\\super 25\\nosupersub{}","plainCitation":"25","noteIndex":0},"citationItems":[{"id":51,"uris":["http://zotero.org/users/local/0qy97rJQ/items/2HSI4HHJ"],"itemData":{"id":51,"type":"article-journal","abstract":"The scholarly publication landscape continues to grow in complexity, presenting researchers with ever-increasing dilemmas regarding journal choice. However, research into the decision-making processes associated with journal choice is limited. This article contributes by reporting on an international survey of researchers in various disciplines and with varying levels of experience. The study examines the extent to which various journal characteristics affect journal selection, perceptions of the extent to which university and national research policies impact on their journal choice, and the influence of academics’ familiarity, confidence and objectives on journal choice. The most important factors influencing journal choice were as follows: reliability of reviewing, usefulness of reviewers’ feedback, the reputation of the journal and confidence that their article is in scope for the journal. Publishing productivity, publishing experience, researcher role and discipline had little impact on the ranking of journal choice factors, suggesting that the research community is homogeneous.","container-title":"Journal of Information Science","DOI":"10.1177/0165551520958591","ISSN":"0165-5515, 1741-6485","issue":"3","journalAbbreviation":"Journal of Information Science","language":"en","page":"321-335","source":"DOI.org (Crossref)","title":"Factors influencing researchers’ journal selection decisions","volume":"48","author":[{"family":"Rowley","given":"Jennifer"},{"family":"Sbaffi","given":"Laura"},{"family":"Sugden","given":"Martin"},{"family":"Gilbert","given":"Anna"}],"issued":{"date-parts":[["2022",6]]}}}],"schema":"https://github.com/citation-style-language/schema/raw/master/csl-citation.json"} </w:instrText>
      </w:r>
      <w:r w:rsidRPr="002865DB">
        <w:rPr>
          <w:rFonts w:asciiTheme="minorBidi" w:hAnsiTheme="minorBidi" w:cstheme="minorBidi"/>
          <w:sz w:val="22"/>
          <w:szCs w:val="22"/>
        </w:rPr>
        <w:fldChar w:fldCharType="separate"/>
      </w:r>
      <w:r w:rsidR="00372887" w:rsidRPr="00372887">
        <w:rPr>
          <w:rFonts w:ascii="Arial" w:hAnsiTheme="minorHAnsi" w:cs="Arial"/>
          <w:sz w:val="22"/>
          <w:vertAlign w:val="superscript"/>
        </w:rPr>
        <w:t>25</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w:t>
      </w:r>
    </w:p>
    <w:p w14:paraId="59C6C35C" w14:textId="206DCE5F"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Our study revealed that the study design by decade remained relatively </w:t>
      </w:r>
      <w:r w:rsidR="00285E5E">
        <w:rPr>
          <w:rFonts w:asciiTheme="minorBidi" w:hAnsiTheme="minorBidi" w:cstheme="minorBidi"/>
          <w:sz w:val="22"/>
          <w:szCs w:val="22"/>
        </w:rPr>
        <w:t>stable</w:t>
      </w:r>
      <w:r w:rsidR="00285E5E" w:rsidRPr="002865DB">
        <w:rPr>
          <w:rFonts w:asciiTheme="minorBidi" w:hAnsiTheme="minorBidi" w:cstheme="minorBidi"/>
          <w:sz w:val="22"/>
          <w:szCs w:val="22"/>
        </w:rPr>
        <w:t xml:space="preserve"> </w:t>
      </w:r>
      <w:r w:rsidRPr="002865DB">
        <w:rPr>
          <w:rFonts w:asciiTheme="minorBidi" w:hAnsiTheme="minorBidi" w:cstheme="minorBidi"/>
          <w:sz w:val="22"/>
          <w:szCs w:val="22"/>
        </w:rPr>
        <w:t>throughout the years except for case-control studies (Fig 9).</w:t>
      </w:r>
      <w:r w:rsidR="002706BE" w:rsidRPr="002865DB">
        <w:rPr>
          <w:rFonts w:asciiTheme="minorBidi" w:hAnsiTheme="minorBidi" w:cstheme="minorBidi"/>
          <w:sz w:val="22"/>
          <w:szCs w:val="22"/>
        </w:rPr>
        <w:t xml:space="preserve"> </w:t>
      </w:r>
      <w:r w:rsidR="002D4150" w:rsidRPr="002865DB">
        <w:rPr>
          <w:rFonts w:asciiTheme="minorBidi" w:hAnsiTheme="minorBidi" w:cstheme="minorBidi"/>
          <w:sz w:val="22"/>
          <w:szCs w:val="22"/>
        </w:rPr>
        <w:t>Case-control</w:t>
      </w:r>
      <w:r w:rsidRPr="002865DB">
        <w:rPr>
          <w:rFonts w:asciiTheme="minorBidi" w:hAnsiTheme="minorBidi" w:cstheme="minorBidi"/>
          <w:sz w:val="22"/>
          <w:szCs w:val="22"/>
        </w:rPr>
        <w:t xml:space="preserve"> studies peaked between 1993 and 2002 with 20 articles. A possible reason could be that </w:t>
      </w:r>
      <w:r w:rsidR="00EB0A13" w:rsidRPr="002865DB">
        <w:rPr>
          <w:rFonts w:asciiTheme="minorBidi" w:hAnsiTheme="minorBidi" w:cstheme="minorBidi"/>
          <w:sz w:val="22"/>
          <w:szCs w:val="22"/>
        </w:rPr>
        <w:t>case-control</w:t>
      </w:r>
      <w:r w:rsidRPr="002865DB">
        <w:rPr>
          <w:rFonts w:asciiTheme="minorBidi" w:hAnsiTheme="minorBidi" w:cstheme="minorBidi"/>
          <w:sz w:val="22"/>
          <w:szCs w:val="22"/>
        </w:rPr>
        <w:t xml:space="preserve"> studies require less resources than CTs or RCTs. </w:t>
      </w:r>
      <w:r w:rsidR="005377F9">
        <w:rPr>
          <w:rFonts w:asciiTheme="minorBidi" w:hAnsiTheme="minorBidi" w:cstheme="minorBidi"/>
          <w:sz w:val="22"/>
          <w:szCs w:val="22"/>
        </w:rPr>
        <w:t>Additionally, during  that same decade, treatment and pathogenesis research culminated. Case-control studies lend themselves well for a more general investigation of treatment or pathogenesis of vitiligo</w:t>
      </w:r>
      <w:r w:rsidR="00E45B05">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{"citationID":"Y2WmSVGP","properties":{"formattedCitation":"\\super 26\\nosupersub{}","plainCitation":"26","noteIndex":0},"citationItems":[{"id":117,"uris":["http://zotero.org/users/local/0qy97rJQ/items/X7R58ELH"],"itemData":{"id":117,"type":"article-journal","abstract":"Abstract\n            The objective of this paper is to highlight similarities and differences across various case study designs and to analyze their respective contributions to theory. Although different designs reveal some common underlying characteristics, a comparison of such case study research designs demonstrates that case study research incorporates different scientific goals and collection and analysis of data. This paper relates this comparison to a more general debate of how different research designs contribute to a theory continuum. The fine-grained analysis demonstrates that case study designs fit differently to the pathway of the theory continuum. The resulting contribution is a portfolio of case study research designs. This portfolio demonstrates the heterogeneous contributions of case study designs. Based on this portfolio, theoretical contributions of case study designs can be better evaluated in terms of understanding, theory-building, theory development, and theory testing.","container-title":"Business Research","DOI":"10.1007/s40685-017-0045-z","ISSN":"2198-3402, 2198-2627","issue":"2","journalAbbreviation":"Bus Res","language":"en","page":"281-305","source":"DOI.org (Crossref)","title":"The theory contribution of case study research designs","volume":"10","author":[{"family":"Ridder","given":"Hans-Gerd"}],"issued":{"date-parts":[["2017",10]]}}}],"schema":"https://github.com/citation-style-language/schema/raw/master/csl-citation.json"} </w:instrText>
      </w:r>
      <w:r w:rsidR="00E45B05">
        <w:rPr>
          <w:rFonts w:asciiTheme="minorBidi" w:hAnsiTheme="minorBidi" w:cstheme="minorBidi"/>
          <w:sz w:val="22"/>
          <w:szCs w:val="22"/>
        </w:rPr>
        <w:fldChar w:fldCharType="separate"/>
      </w:r>
      <w:r w:rsidR="00E45B05" w:rsidRPr="00E45B05">
        <w:rPr>
          <w:rFonts w:ascii="Arial" w:hAnsiTheme="minorHAnsi" w:cs="Arial"/>
          <w:sz w:val="22"/>
          <w:vertAlign w:val="superscript"/>
        </w:rPr>
        <w:t>26</w:t>
      </w:r>
      <w:r w:rsidR="00E45B05">
        <w:rPr>
          <w:rFonts w:asciiTheme="minorBidi" w:hAnsiTheme="minorBidi" w:cstheme="minorBidi"/>
          <w:sz w:val="22"/>
          <w:szCs w:val="22"/>
        </w:rPr>
        <w:fldChar w:fldCharType="end"/>
      </w:r>
      <w:r w:rsidR="005377F9">
        <w:rPr>
          <w:rFonts w:asciiTheme="minorBidi" w:hAnsiTheme="minorBidi" w:cstheme="minorBidi"/>
          <w:sz w:val="22"/>
          <w:szCs w:val="22"/>
        </w:rPr>
        <w:t xml:space="preserve"> . </w:t>
      </w:r>
    </w:p>
    <w:p w14:paraId="39417D2F" w14:textId="0A87ED9B"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It is widely believed that case-control studies are less valuable than CT/RCT</w:t>
      </w:r>
      <w:r w:rsidRPr="002865DB">
        <w:rPr>
          <w:rFonts w:asciiTheme="minorBidi" w:hAnsiTheme="minorBidi" w:cstheme="minorBidi"/>
          <w:sz w:val="22"/>
          <w:szCs w:val="22"/>
        </w:rPr>
        <w:t xml:space="preserve">s They provide odds ratios while RCTs yield relative risk (a superior measure of association). </w:t>
      </w:r>
      <w:r w:rsidR="003E7D57" w:rsidRPr="002865DB">
        <w:rPr>
          <w:rFonts w:asciiTheme="minorBidi" w:hAnsiTheme="minorBidi" w:cstheme="minorBidi"/>
          <w:sz w:val="22"/>
          <w:szCs w:val="22"/>
        </w:rPr>
        <w:t>T</w:t>
      </w:r>
      <w:r w:rsidRPr="002865DB">
        <w:rPr>
          <w:rFonts w:asciiTheme="minorBidi" w:hAnsiTheme="minorBidi" w:cstheme="minorBidi"/>
          <w:sz w:val="22"/>
          <w:szCs w:val="22"/>
        </w:rPr>
        <w:t xml:space="preserve">he hierarchy of </w:t>
      </w:r>
      <w:r w:rsidR="003E7D57" w:rsidRPr="002865DB">
        <w:rPr>
          <w:rFonts w:asciiTheme="minorBidi" w:hAnsiTheme="minorBidi" w:cstheme="minorBidi"/>
          <w:sz w:val="22"/>
          <w:szCs w:val="22"/>
        </w:rPr>
        <w:t xml:space="preserve">these two </w:t>
      </w:r>
      <w:r w:rsidRPr="002865DB">
        <w:rPr>
          <w:rFonts w:asciiTheme="minorBidi" w:hAnsiTheme="minorBidi" w:cstheme="minorBidi"/>
          <w:sz w:val="22"/>
          <w:szCs w:val="22"/>
        </w:rPr>
        <w:t xml:space="preserve">research designs is challenged as carefully constructed observational studies such as case-control yield similar results </w:t>
      </w:r>
      <w:r w:rsidR="00EB0A13" w:rsidRPr="002865DB">
        <w:rPr>
          <w:rFonts w:asciiTheme="minorBidi" w:hAnsiTheme="minorBidi" w:cstheme="minorBidi"/>
          <w:sz w:val="22"/>
          <w:szCs w:val="22"/>
        </w:rPr>
        <w:t>to</w:t>
      </w:r>
      <w:r w:rsidRPr="002865DB">
        <w:rPr>
          <w:rFonts w:asciiTheme="minorBidi" w:hAnsiTheme="minorBidi" w:cstheme="minorBidi"/>
          <w:sz w:val="22"/>
          <w:szCs w:val="22"/>
        </w:rPr>
        <w:t xml:space="preserve"> RCTs. </w:t>
      </w:r>
      <w:r w:rsidR="004C1898" w:rsidRPr="002865DB">
        <w:rPr>
          <w:rFonts w:asciiTheme="minorBidi" w:hAnsiTheme="minorBidi" w:cstheme="minorBidi"/>
          <w:sz w:val="22"/>
          <w:szCs w:val="22"/>
        </w:rPr>
        <w:t>However</w:t>
      </w:r>
      <w:r w:rsidRPr="002865DB">
        <w:rPr>
          <w:rFonts w:asciiTheme="minorBidi" w:hAnsiTheme="minorBidi" w:cstheme="minorBidi"/>
          <w:sz w:val="22"/>
          <w:szCs w:val="22"/>
        </w:rPr>
        <w:t>, as bias is still more prevalent in observational studies, it would be beneficial to produce more RCTs on vitiligo in the future</w:t>
      </w:r>
      <w:r w:rsidRPr="002865DB">
        <w:rPr>
          <w:rFonts w:asciiTheme="minorBidi" w:hAnsiTheme="minorBidi" w:cstheme="minorBidi"/>
          <w:sz w:val="22"/>
          <w:szCs w:val="22"/>
        </w:rPr>
        <w:fldChar w:fldCharType="begin"/>
      </w:r>
      <w:r w:rsidR="00372887">
        <w:rPr>
          <w:rFonts w:asciiTheme="minorBidi" w:hAnsiTheme="minorBidi" w:cstheme="minorBidi"/>
          <w:sz w:val="22"/>
          <w:szCs w:val="22"/>
        </w:rPr>
        <w:instrText xml:space="preserve"> ADDIN ZOTERO_ITEM CSL_CITATION {"citationID":"tZHMq4jz","properties":{"formattedCitation":"\\super 25\\nosupersub{}","plainCitation":"25","noteIndex":0},"citationItems":[{"id":51,"uris":["http://zotero.org/users/local/0qy97rJQ/items/2HSI4HHJ"],"itemData":{"id":51,"type":"article-journal","abstract":"The scholarly publication landscape continues to grow in complexity, presenting researchers with ever-increasing dilemmas regarding journal choice. However, research into the decision-making processes associated with journal choice is limited. This article contributes by reporting on an international survey of researchers in various disciplines and with varying levels of experience. The study examines the extent to which various journal characteristics affect journal selection, perceptions of the extent to which university and national research policies impact on their journal choice, and the influence of academics’ familiarity, confidence and objectives on journal choice. The most important factors influencing journal choice were as follows: reliability of reviewing, usefulness of reviewers’ feedback, the reputation of the journal and confidence that their article is in scope for the journal. Publishing productivity, publishing experience, researcher role and discipline had little impact on the ranking of journal choice factors, suggesting that the research community is homogeneous.","container-title":"Journal of Information Science","DOI":"10.1177/0165551520958591","ISSN":"0165-5515, 1741-6485","issue":"3","journalAbbreviation":"Journal of Information Science","language":"en","page":"321-335","source":"DOI.org (Crossref)","title":"Factors influencing researchers’ journal selection decisions","volume":"48","author":[{"family":"Rowley","given":"Jennifer"},{"family":"Sbaffi","given":"Laura"},{"family":"Sugden","given":"Martin"},{"family":"Gilbert","given":"Anna"}],"issued":{"date-parts":[["2022",6]]}}}],"schema":"https://github.com/citation-style-language/schema/raw/master/csl-citation.json"} </w:instrText>
      </w:r>
      <w:r w:rsidRPr="002865DB">
        <w:rPr>
          <w:rFonts w:asciiTheme="minorBidi" w:hAnsiTheme="minorBidi" w:cstheme="minorBidi"/>
          <w:sz w:val="22"/>
          <w:szCs w:val="22"/>
        </w:rPr>
        <w:fldChar w:fldCharType="separate"/>
      </w:r>
      <w:r w:rsidR="00372887" w:rsidRPr="00372887">
        <w:rPr>
          <w:rFonts w:ascii="Arial" w:hAnsiTheme="minorHAnsi" w:cs="Arial"/>
          <w:sz w:val="22"/>
          <w:vertAlign w:val="superscript"/>
        </w:rPr>
        <w:t>25</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w:t>
      </w:r>
    </w:p>
    <w:p w14:paraId="05D22ED2" w14:textId="1A19126C"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 xml:space="preserve">Out of the top cited original articles, the main research focuses included treatment (28%) and pathogenesis (28%) (Fig.10). Of the </w:t>
      </w:r>
      <w:r w:rsidR="004C1898" w:rsidRPr="002865DB">
        <w:rPr>
          <w:rFonts w:asciiTheme="minorBidi" w:hAnsiTheme="minorBidi" w:cstheme="minorBidi"/>
          <w:sz w:val="22"/>
          <w:szCs w:val="22"/>
        </w:rPr>
        <w:t>treatment-related</w:t>
      </w:r>
      <w:r w:rsidRPr="002865DB">
        <w:rPr>
          <w:rFonts w:asciiTheme="minorBidi" w:hAnsiTheme="minorBidi" w:cstheme="minorBidi"/>
          <w:sz w:val="22"/>
          <w:szCs w:val="22"/>
        </w:rPr>
        <w:t xml:space="preserve"> articles, 26.9%  discuss treatment using UVB therapy </w:t>
      </w:r>
      <w:r w:rsidRPr="002865DB">
        <w:rPr>
          <w:rFonts w:asciiTheme="minorBidi" w:hAnsiTheme="minorBidi" w:cstheme="minorBidi"/>
          <w:sz w:val="22"/>
          <w:szCs w:val="22"/>
        </w:rPr>
        <w:fldChar w:fldCharType="begin"/>
      </w:r>
      <w:r w:rsidRPr="002865DB">
        <w:rPr>
          <w:rFonts w:asciiTheme="minorBidi" w:hAnsiTheme="minorBidi" w:cstheme="minorBidi"/>
          <w:sz w:val="22"/>
          <w:szCs w:val="22"/>
        </w:rPr>
        <w:instrText xml:space="preserve"> ADDIN ZOTERO_ITEM CSL_CITATION {"citationID":"QVINTBAr","properties":{"formattedCitation":"\\super 6\\nosupersub{}","plainCitation":"6","noteIndex":0},"citationItems":[{"id":25,"uris":["http:</w:instrText>
      </w:r>
      <w:r w:rsidRPr="002865DB">
        <w:rPr>
          <w:rFonts w:asciiTheme="minorBidi" w:hAnsiTheme="minorBidi" w:cstheme="minorBidi"/>
          <w:sz w:val="22"/>
          <w:szCs w:val="22"/>
        </w:rPr>
        <w:instrText>//zotero.org/users/local/0qy97rJQ/items/NQQYEQ7P"],"itemData":{"id":25,"type":"article-journal","abstract":"OBJECTIVE: To compare the efficacy and safety of 2 treatment modalities, topical psoralen plus UV-A (PUVA) with unsubstituted psoralen and 311-nm UV</w:instrText>
      </w:r>
      <w:r w:rsidRPr="002865DB">
        <w:rPr>
          <w:rFonts w:asciiTheme="minorBidi" w:hAnsiTheme="minorBidi" w:cstheme="minorBidi"/>
          <w:sz w:val="22"/>
          <w:szCs w:val="22"/>
        </w:rPr>
        <w:instrText>-B radiation, in patients with vitiligo.\nDESIGN: This intervention study was designed as a before-and-after trial with 2 arms, in which patients were consecutively included.\nPATIENTS: Male (n = 99) and female (n = 182) patients, who predominantly had ski</w:instrText>
      </w:r>
      <w:r w:rsidRPr="002865DB">
        <w:rPr>
          <w:rFonts w:asciiTheme="minorBidi" w:hAnsiTheme="minorBidi" w:cstheme="minorBidi"/>
          <w:sz w:val="22"/>
          <w:szCs w:val="22"/>
        </w:rPr>
        <w:instrText>n type III, with extensive, generalized vitiligo of more than 3 months' duration.\nINTERVENTIONS: Two patient groups were investigated. The first group of patients was treated for 4 months with either topical PUVA (n = 28) or 311-nm UV-B radiation (n = 78)</w:instrText>
      </w:r>
      <w:r w:rsidRPr="002865DB">
        <w:rPr>
          <w:rFonts w:asciiTheme="minorBidi" w:hAnsiTheme="minorBidi" w:cstheme="minorBidi"/>
          <w:sz w:val="22"/>
          <w:szCs w:val="22"/>
        </w:rPr>
        <w:instrText>. The second group of patients, treated twice weekly with 311-nm UV-B radiation, was followed up for 3 (n = 60), 6 (n = 27), 9 (n = 37), or 12 months (n = 51).\nRESULTS: Thirteen (46%) patients in the first group treated with topical PUVA showed repigmenta</w:instrText>
      </w:r>
      <w:r w:rsidRPr="002865DB">
        <w:rPr>
          <w:rFonts w:asciiTheme="minorBidi" w:hAnsiTheme="minorBidi" w:cstheme="minorBidi"/>
          <w:sz w:val="22"/>
          <w:szCs w:val="22"/>
        </w:rPr>
        <w:instrText xml:space="preserve">tion after 4 months. Fifty-two patients (67%) in the 311-nm UV-B treatment group showed repigmentation after 4 months. After 3 months, 5 patients (8%) in the second group showed more than 75% repigmentation of lesional skin compared with 32 patients (63%) </w:instrText>
      </w:r>
      <w:r w:rsidRPr="002865DB">
        <w:rPr>
          <w:rFonts w:asciiTheme="minorBidi" w:hAnsiTheme="minorBidi" w:cstheme="minorBidi"/>
          <w:sz w:val="22"/>
          <w:szCs w:val="22"/>
        </w:rPr>
        <w:instrText>after 12 months. As in other treatment modalities, the face showed good repigmentation, whereas hands and feet responded poorly. No adverse effects were encountered with treatment with narrowband UV-B radiation, contrary to those seen with topical PUVA tre</w:instrText>
      </w:r>
      <w:r w:rsidRPr="002865DB">
        <w:rPr>
          <w:rFonts w:asciiTheme="minorBidi" w:hAnsiTheme="minorBidi" w:cstheme="minorBidi"/>
          <w:sz w:val="22"/>
          <w:szCs w:val="22"/>
        </w:rPr>
        <w:instrText xml:space="preserve">atment. The cumulative UV-B dose was very small compared with that of the topical PUVA treatment.\nCONCLUSIONS: According to our results, the treatment of patients with vitiligo with 311-nm UV-B radiation is as efficient as with topical PUVA and has fewer </w:instrText>
      </w:r>
      <w:r w:rsidRPr="002865DB">
        <w:rPr>
          <w:rFonts w:asciiTheme="minorBidi" w:hAnsiTheme="minorBidi" w:cstheme="minorBidi"/>
          <w:sz w:val="22"/>
          <w:szCs w:val="22"/>
        </w:rPr>
        <w:instrText>adverse effects.","container-title":"Archives of Dermatology","ISSN":"0003-987X","issue":"12","journalAbbreviation":"Arch Dermatol","language":"eng","note":"PMID: 9420536","page":"1525-1528","source":"PubMed","title":"Treatment of vitiligo with UV-B radiat</w:instrText>
      </w:r>
      <w:r w:rsidRPr="002865DB">
        <w:rPr>
          <w:rFonts w:asciiTheme="minorBidi" w:hAnsiTheme="minorBidi" w:cstheme="minorBidi"/>
          <w:sz w:val="22"/>
          <w:szCs w:val="22"/>
        </w:rPr>
        <w:instrText>ion vs topical psoralen plus UV-A","volume":"133","author":[{"family":"Westerhof","given":"W."},{"family":"Nieuweboer-Krobotova","given":"L."}],"issued":{"date-parts":[["1997",12]]}}}],"schema":"https://github.com/citation-style-language/schema/raw/master/</w:instrText>
      </w:r>
      <w:r w:rsidRPr="002865DB">
        <w:rPr>
          <w:rFonts w:asciiTheme="minorBidi" w:hAnsiTheme="minorBidi" w:cstheme="minorBidi"/>
          <w:sz w:val="22"/>
          <w:szCs w:val="22"/>
        </w:rPr>
        <w:instrText xml:space="preserve">csl-citation.json"} </w:instrText>
      </w:r>
      <w:r w:rsidRPr="002865DB">
        <w:rPr>
          <w:rFonts w:asciiTheme="minorBidi" w:hAnsiTheme="minorBidi" w:cstheme="minorBidi"/>
          <w:sz w:val="22"/>
          <w:szCs w:val="22"/>
        </w:rPr>
        <w:fldChar w:fldCharType="separate"/>
      </w:r>
      <w:r w:rsidRPr="002865DB">
        <w:rPr>
          <w:rFonts w:asciiTheme="minorBidi" w:hAnsiTheme="minorBidi" w:cstheme="minorBidi"/>
          <w:sz w:val="22"/>
          <w:szCs w:val="22"/>
          <w:vertAlign w:val="superscript"/>
        </w:rPr>
        <w:t>6</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This historical treatment has the most data supporting it compared to other treatment options making it a trending research topic </w:t>
      </w:r>
      <w:r w:rsidRPr="002865DB">
        <w:rPr>
          <w:rFonts w:asciiTheme="minorBidi" w:hAnsiTheme="minorBidi" w:cstheme="minorBidi"/>
          <w:sz w:val="22"/>
          <w:szCs w:val="22"/>
        </w:rPr>
        <w:fldChar w:fldCharType="begin"/>
      </w:r>
      <w:r w:rsidRPr="002865DB">
        <w:rPr>
          <w:rFonts w:asciiTheme="minorBidi" w:hAnsiTheme="minorBidi" w:cstheme="minorBidi"/>
          <w:sz w:val="22"/>
          <w:szCs w:val="22"/>
        </w:rPr>
        <w:instrText xml:space="preserve"> ADDIN ZOTERO_ITEM CSL_CITATION {"citationID":"JotCOI5Y","properties":{"formattedCitation":"\\super </w:instrText>
      </w:r>
      <w:r w:rsidRPr="002865DB">
        <w:rPr>
          <w:rFonts w:asciiTheme="minorBidi" w:hAnsiTheme="minorBidi" w:cstheme="minorBidi"/>
          <w:sz w:val="22"/>
          <w:szCs w:val="22"/>
        </w:rPr>
        <w:instrText>6\\nosupersub{}","plainCitation":"6","noteIndex":0},"citationItems":[{"id":25,"uris":["http://zotero.org/users/local/0qy97rJQ/items/NQQYEQ7P"],"itemData":{"id":25,"type":"article-journal","abstract":"OBJECTIVE: To compare the efficacy and safety of 2 treat</w:instrText>
      </w:r>
      <w:r w:rsidRPr="002865DB">
        <w:rPr>
          <w:rFonts w:asciiTheme="minorBidi" w:hAnsiTheme="minorBidi" w:cstheme="minorBidi"/>
          <w:sz w:val="22"/>
          <w:szCs w:val="22"/>
        </w:rPr>
        <w:instrText>ment modalities, topical psoralen plus UV-A (PUVA) with unsubstituted psoralen and 311-nm UV-B radiation, in patients with vitiligo.\nDESIGN: This intervention study was designed as a before-and-after trial with 2 arms, in which patients were consecutively</w:instrText>
      </w:r>
      <w:r w:rsidRPr="002865DB">
        <w:rPr>
          <w:rFonts w:asciiTheme="minorBidi" w:hAnsiTheme="minorBidi" w:cstheme="minorBidi"/>
          <w:sz w:val="22"/>
          <w:szCs w:val="22"/>
        </w:rPr>
        <w:instrText xml:space="preserve"> included.\nPATIENTS: Male (n = 99) and female (n = 182) patients, who predominantly had skin type III, with extensive, generalized vitiligo of more than 3 months' duration.\nINTERVENTIONS: Two patient groups were investigated. The first group of patients </w:instrText>
      </w:r>
      <w:r w:rsidRPr="002865DB">
        <w:rPr>
          <w:rFonts w:asciiTheme="minorBidi" w:hAnsiTheme="minorBidi" w:cstheme="minorBidi"/>
          <w:sz w:val="22"/>
          <w:szCs w:val="22"/>
        </w:rPr>
        <w:instrText>was treated for 4 months with either topical PUVA (n = 28) or 311-nm UV-B radiation (n = 78). The second group of patients, treated twice weekly with 311-nm UV-B radiation, was followed up for 3 (n = 60), 6 (n = 27), 9 (n = 37), or 12 months (n = 51).\nRES</w:instrText>
      </w:r>
      <w:r w:rsidRPr="002865DB">
        <w:rPr>
          <w:rFonts w:asciiTheme="minorBidi" w:hAnsiTheme="minorBidi" w:cstheme="minorBidi"/>
          <w:sz w:val="22"/>
          <w:szCs w:val="22"/>
        </w:rPr>
        <w:instrText>ULTS: Thirteen (46%) patients in the first group treated with topical PUVA showed repigmentation after 4 months. Fifty-two patients (67%) in the 311-nm UV-B treatment group showed repigmentation after 4 months. After 3 months, 5 patients (8%) in the second</w:instrText>
      </w:r>
      <w:r w:rsidRPr="002865DB">
        <w:rPr>
          <w:rFonts w:asciiTheme="minorBidi" w:hAnsiTheme="minorBidi" w:cstheme="minorBidi"/>
          <w:sz w:val="22"/>
          <w:szCs w:val="22"/>
        </w:rPr>
        <w:instrText xml:space="preserve"> group showed more than 75% repigmentation of lesional skin compared with 32 patients (63%) after 12 months. As in other treatment modalities, the face showed good repigmentation, whereas hands and feet responded poorly. No adverse effects were encountered</w:instrText>
      </w:r>
      <w:r w:rsidRPr="002865DB">
        <w:rPr>
          <w:rFonts w:asciiTheme="minorBidi" w:hAnsiTheme="minorBidi" w:cstheme="minorBidi"/>
          <w:sz w:val="22"/>
          <w:szCs w:val="22"/>
        </w:rPr>
        <w:instrText xml:space="preserve"> with treatment with narrowband UV-B radiation, contrary to those seen with topical PUVA treatment. The cumulative UV-B dose was very small compared with that of the topical PUVA treatment.\nCONCLUSIONS: According to our results, the treatment of patients </w:instrText>
      </w:r>
      <w:r w:rsidRPr="002865DB">
        <w:rPr>
          <w:rFonts w:asciiTheme="minorBidi" w:hAnsiTheme="minorBidi" w:cstheme="minorBidi"/>
          <w:sz w:val="22"/>
          <w:szCs w:val="22"/>
        </w:rPr>
        <w:instrText>with vitiligo with 311-nm UV-B radiation is as efficient as with topical PUVA and has fewer adverse effects.","container-title":"Archives of Dermatology","ISSN":"0003-987X","issue":"12","journalAbbreviation":"Arch Dermatol","language":"eng","note":"PMID: 9</w:instrText>
      </w:r>
      <w:r w:rsidRPr="002865DB">
        <w:rPr>
          <w:rFonts w:asciiTheme="minorBidi" w:hAnsiTheme="minorBidi" w:cstheme="minorBidi"/>
          <w:sz w:val="22"/>
          <w:szCs w:val="22"/>
        </w:rPr>
        <w:instrText>420536","page":"1525-1528","source":"PubMed","title":"Treatment of vitiligo with UV-B radiation vs topical psoralen plus UV-A","volume":"133","author":[{"family":"Westerhof","given":"W."},{"family":"Nieuweboer-Krobotova","given":"L."}],"issued":{"date-part</w:instrText>
      </w:r>
      <w:r w:rsidRPr="002865DB">
        <w:rPr>
          <w:rFonts w:asciiTheme="minorBidi" w:hAnsiTheme="minorBidi" w:cstheme="minorBidi"/>
          <w:sz w:val="22"/>
          <w:szCs w:val="22"/>
        </w:rPr>
        <w:instrText xml:space="preserve">s":[["1997",12]]}}}],"schema":"https://github.com/citation-style-language/schema/raw/master/csl-citation.json"} </w:instrText>
      </w:r>
      <w:r w:rsidRPr="002865DB">
        <w:rPr>
          <w:rFonts w:asciiTheme="minorBidi" w:hAnsiTheme="minorBidi" w:cstheme="minorBidi"/>
          <w:sz w:val="22"/>
          <w:szCs w:val="22"/>
        </w:rPr>
        <w:fldChar w:fldCharType="separate"/>
      </w:r>
      <w:r w:rsidRPr="002865DB">
        <w:rPr>
          <w:rFonts w:asciiTheme="minorBidi" w:hAnsiTheme="minorBidi" w:cstheme="minorBidi"/>
          <w:sz w:val="22"/>
          <w:szCs w:val="22"/>
          <w:vertAlign w:val="superscript"/>
        </w:rPr>
        <w:t>6</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Older vitiligo treatments target non-specific autoimmune suppression</w:t>
      </w:r>
      <w:r w:rsidR="00587BE4"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{"citationID":"AbcOVZR8","properties":{"formattedCitation":"\\super 27\\nosupersub{}","plainCitation":"27","noteIndex":0},"citationItems":[{"id":107,"uris":["http://zotero.org/users/local/0qy97rJQ/items/VUW5S9UQ"],"itemData":{"id":107,"type":"article-journal","container-title":"Journal of Investigative Dermatology","DOI":"10.1111/1523-1747.ep12461505","ISSN":"0022202X","issue":"6","journalAbbreviation":"Journal of Investigative Dermatology","language":"en","page":"783-789","source":"DOI.org (Crossref)","title":"Evidence for Immunologic Mechanisms in Human Vitiligo: Patients' Sera Induce Damage to Human Melanocytes In Vitro by Complement-Mediated Damage and Antibody-Dependent Cellular Cytotoxicity","title-short":"Evidence for Immunologic Mechanisms in Human Vitiligo","volume":"90","author":[{"family":"Norris","given":"David A."},{"family":"Kissinger","given":"R Mark."},{"family":"Naughton","given":"Gail M."},{"family":"Bystryn","given":"Jean Claude."}],"issued":{"date-parts":[["1988",6]]}}}],"schema":"https://github.com/citation-style-language/schema/raw/master/csl-citation.json"} </w:instrText>
      </w:r>
      <w:r w:rsidR="00587BE4"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27</w:t>
      </w:r>
      <w:r w:rsidR="00587BE4" w:rsidRPr="002865DB">
        <w:rPr>
          <w:rFonts w:asciiTheme="minorBidi" w:hAnsiTheme="minorBidi" w:cstheme="minorBidi"/>
          <w:sz w:val="22"/>
          <w:szCs w:val="22"/>
        </w:rPr>
        <w:fldChar w:fldCharType="end"/>
      </w:r>
      <w:r w:rsidR="009E44E6" w:rsidRPr="002865DB">
        <w:rPr>
          <w:rFonts w:asciiTheme="minorBidi" w:hAnsiTheme="minorBidi" w:cstheme="minorBidi"/>
          <w:sz w:val="22"/>
          <w:szCs w:val="22"/>
          <w:vertAlign w:val="superscript"/>
        </w:rPr>
        <w:t>,</w:t>
      </w:r>
      <w:r w:rsidR="009E44E6"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{"citationID":"YvSDU7wC","properties":{"formattedCitation":"\\super 28\\nosupersub{}","plainCitation":"28","noteIndex":0},"citationItems":[{"id":108,"uris":["http://zotero.org/users/local/0qy97rJQ/items/22SC7Q5E"],"itemData":{"id":108,"type":"article-journal","container-title":"Archives of Dermatology","DOI":"10.1001/archderm.1976.01630350007002","ISSN":"0003-987X","issue":"11","journalAbbreviation":"Arch Dermatol","language":"en","page":"1531","source":"DOI.org (Crossref)","title":"Photochemotherapy of Vitiligo: Use of Orally Administered Psoralens and a High-Intensity Long-Wave Ultraviolet Light System","title-short":"Photochemotherapy of Vitiligo","volume":"112","author":[{"family":"Parrish","given":"John A."}],"issued":{"date-parts":[["1976",11,1]]}}}],"schema":"https://github.com/citation-style-language/schema/raw/master/csl-citation.json"} </w:instrText>
      </w:r>
      <w:r w:rsidR="009E44E6"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28</w:t>
      </w:r>
      <w:r w:rsidR="009E44E6" w:rsidRPr="002865DB">
        <w:rPr>
          <w:rFonts w:asciiTheme="minorBidi" w:hAnsiTheme="minorBidi" w:cstheme="minorBidi"/>
          <w:sz w:val="22"/>
          <w:szCs w:val="22"/>
        </w:rPr>
        <w:fldChar w:fldCharType="end"/>
      </w:r>
      <w:r w:rsidRPr="002865DB">
        <w:rPr>
          <w:rFonts w:asciiTheme="minorBidi" w:hAnsiTheme="minorBidi" w:cstheme="minorBidi"/>
          <w:sz w:val="22"/>
          <w:szCs w:val="22"/>
        </w:rPr>
        <w:t>, however</w:t>
      </w:r>
      <w:r w:rsidR="00EB0A13" w:rsidRPr="002865DB">
        <w:rPr>
          <w:rFonts w:asciiTheme="minorBidi" w:hAnsiTheme="minorBidi" w:cstheme="minorBidi"/>
          <w:sz w:val="22"/>
          <w:szCs w:val="22"/>
        </w:rPr>
        <w:t>,</w:t>
      </w:r>
      <w:r w:rsidRPr="002865DB">
        <w:rPr>
          <w:rFonts w:asciiTheme="minorBidi" w:hAnsiTheme="minorBidi" w:cstheme="minorBidi"/>
          <w:sz w:val="22"/>
          <w:szCs w:val="22"/>
        </w:rPr>
        <w:t xml:space="preserve"> newer therapies focus on targeted approaches providing greater efficacy and safety</w:t>
      </w:r>
      <w:r w:rsidR="00EB0A13" w:rsidRPr="002865DB">
        <w:rPr>
          <w:rFonts w:asciiTheme="minorBidi" w:hAnsiTheme="minorBidi" w:cstheme="minorBidi"/>
          <w:sz w:val="22"/>
          <w:szCs w:val="22"/>
        </w:rPr>
        <w:t>,</w:t>
      </w:r>
      <w:r w:rsidRPr="002865DB">
        <w:rPr>
          <w:rFonts w:asciiTheme="minorBidi" w:hAnsiTheme="minorBidi" w:cstheme="minorBidi"/>
          <w:sz w:val="22"/>
          <w:szCs w:val="22"/>
        </w:rPr>
        <w:t xml:space="preserve"> such as Janus Kinase inhibitors </w:t>
      </w:r>
      <w:r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{"citationID":"Omh06Clf","properties":{"formattedCitation":"\\super 29\\nosupersub{}","plainCitation":"29","noteIndex":0},"citationItems":[{"id":98,"uris":["http://zotero.org/users/local/0qy97rJQ/items/YWW7BPJQ"],"itemData":{"id":98,"type":"article-journal","container-title":"JAMA Dermatology","DOI":"10.1001/jamadermatol.2015.1520","ISSN":"2168-6068","issue":"10","journalAbbreviation":"JAMA Dermatol","language":"en","page":"1110","source":"DOI.org (Crossref)","title":"Tofacitinib Citrate for the Treatment of Vitiligo: A Pathogenesis-Directed Therapy","title-short":"Tofacitinib Citrate for the Treatment of Vitiligo","volume":"151","author":[{"family":"Craiglow","given":"Brittany G."},{"family":"King","given":"Brett A."}],"issued":{"date-parts":[["2015",10,1]]}}}],"schema":"https://github.com/citation-style-language/schema/raw/master/csl-citation.json"} </w:instrText>
      </w:r>
      <w:r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29</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Recently, the FDA approved Opzelura (Ruxolotinib) a revolutionary treatment for vitiligo </w:t>
      </w:r>
      <w:r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{"citationID":"sWOcKvtw","properties":{"formattedCitation":"\\super 30\\nosupersub{}","plainCitation":"30","noteIndex":0},"citationItems":[{"id":96,"uris":["http://zotero.org/users/local/0qy97rJQ/items/UKM6ZZJ7"],"itemData":{"id":96,"type":"article-journal","container-title":"Annals of Medicine and Surgery","DOI":"10.1016/j.amsu.2022.104499","ISSN":"20490801","journalAbbreviation":"Annals of Medicine and Surgery","language":"en","page":"104499","source":"DOI.org (Crossref)","title":"FDA approves Ruxolitinib (Opzelura) for Vitiligo Therapy: A breakthrough in the field of dermatology","title-short":"FDA approves Ruxolitinib (Opzelura) for Vitiligo Therapy","volume":"81","author":[{"family":"Sheikh","given":"Ayesha"},{"family":"Rafique","given":"Warisha"},{"family":"Owais","given":"Rabia"},{"family":"Malik","given":"Farheen"},{"family":"Ali","given":"Eman"}],"issued":{"date-parts":[["2022",9]]}}}],"schema":"https://github.com/citation-style-language/schema/raw/master/csl-citation.json"} </w:instrText>
      </w:r>
      <w:r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30</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There has been a ne</w:t>
      </w:r>
      <w:r w:rsidRPr="002865DB">
        <w:rPr>
          <w:rFonts w:asciiTheme="minorBidi" w:hAnsiTheme="minorBidi" w:cstheme="minorBidi"/>
          <w:sz w:val="22"/>
          <w:szCs w:val="22"/>
        </w:rPr>
        <w:t>cessity to understand the pathogenesis/Immunopathology of the disease in order to develop better treatments</w:t>
      </w:r>
      <w:r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{"citationID":"vc1H06OB","properties":{"formattedCitation":"\\super 31\\nosupersub{}","plainCitation":"31","noteIndex":0},"citationItems":[{"id":57,"uris":["http://zotero.org/users/local/0qy97rJQ/items/TJEVZ52M"],"itemData":{"id":57,"type":"article-journal","container-title":"Dermatologic Clinics","DOI":"10.1016/j.det.2016.11.014","ISSN":"07338635","issue":"2","journalAbbreviation":"Dermatologic Clinics","language":"en","page":"257-265","source":"DOI.org (Crossref)","title":"Vitiligo Pathogenesis and Emerging Treatments","volume":"35","author":[{"family":"Rashighi","given":"Mehdi"},{"family":"Harris","given":"John E."}],"issued":{"date-parts":[["2017",4]]}}}],"schema":"https://github.com/citation-style-language/schema/raw/master/csl-citation.json"} </w:instrText>
      </w:r>
      <w:r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31</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This explains why since 1993 research in pathogenesis, immunopathology</w:t>
      </w:r>
      <w:r w:rsidR="00EB0A13" w:rsidRPr="002865DB">
        <w:rPr>
          <w:rFonts w:asciiTheme="minorBidi" w:hAnsiTheme="minorBidi" w:cstheme="minorBidi"/>
          <w:sz w:val="22"/>
          <w:szCs w:val="22"/>
        </w:rPr>
        <w:t>,</w:t>
      </w:r>
      <w:r w:rsidRPr="002865DB">
        <w:rPr>
          <w:rFonts w:asciiTheme="minorBidi" w:hAnsiTheme="minorBidi" w:cstheme="minorBidi"/>
          <w:sz w:val="22"/>
          <w:szCs w:val="22"/>
        </w:rPr>
        <w:t xml:space="preserve"> and epidemiology </w:t>
      </w:r>
      <w:r w:rsidR="00EB0A13" w:rsidRPr="002865DB">
        <w:rPr>
          <w:rFonts w:asciiTheme="minorBidi" w:hAnsiTheme="minorBidi" w:cstheme="minorBidi"/>
          <w:sz w:val="22"/>
          <w:szCs w:val="22"/>
        </w:rPr>
        <w:t xml:space="preserve">has </w:t>
      </w:r>
      <w:r w:rsidRPr="002865DB">
        <w:rPr>
          <w:rFonts w:asciiTheme="minorBidi" w:hAnsiTheme="minorBidi" w:cstheme="minorBidi"/>
          <w:sz w:val="22"/>
          <w:szCs w:val="22"/>
        </w:rPr>
        <w:t>increased drastically. Int</w:t>
      </w:r>
      <w:r w:rsidRPr="002865DB">
        <w:rPr>
          <w:rFonts w:asciiTheme="minorBidi" w:hAnsiTheme="minorBidi" w:cstheme="minorBidi"/>
          <w:sz w:val="22"/>
          <w:szCs w:val="22"/>
        </w:rPr>
        <w:t>erestingly, in the top 10 recent articles (2018-2020), this trend was also observed with immunopathology (40%) and epidemiology (30%) (Fig.11).</w:t>
      </w:r>
    </w:p>
    <w:p w14:paraId="18E46A42" w14:textId="33113F95" w:rsidR="001A3CDC" w:rsidRPr="002865DB" w:rsidRDefault="009D52DC" w:rsidP="004B514C">
      <w:pPr>
        <w:spacing w:line="480" w:lineRule="auto"/>
        <w:jc w:val="both"/>
        <w:rPr>
          <w:rFonts w:asciiTheme="minorBidi" w:hAnsiTheme="minorBidi" w:cstheme="minorBidi"/>
          <w:sz w:val="22"/>
          <w:szCs w:val="22"/>
        </w:rPr>
      </w:pPr>
      <w:r>
        <w:rPr>
          <w:rFonts w:asciiTheme="minorBidi" w:hAnsiTheme="minorBidi" w:cstheme="minorBidi"/>
          <w:sz w:val="22"/>
          <w:szCs w:val="22"/>
        </w:rPr>
        <w:t>V</w:t>
      </w:r>
      <w:r w:rsidRPr="002865DB">
        <w:rPr>
          <w:rFonts w:asciiTheme="minorBidi" w:hAnsiTheme="minorBidi" w:cstheme="minorBidi"/>
          <w:sz w:val="22"/>
          <w:szCs w:val="22"/>
        </w:rPr>
        <w:t xml:space="preserve">itiligo was found to be more progressive and extensive if beginning in childhood </w:t>
      </w:r>
      <w:r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{"citationID":"LJ2WSSDO","properties":{"formattedCitation":"\\super 32\\nosupersub{}","plainCitation":"32","noteIndex":0},"citationItems":[{"id":61,"uris":["http://zotero.org/users/local/0qy97rJQ/items/SY6YT3KA"],"itemData":{"id":61,"type":"article-journal","container-title":"Journal of the American Academy of Dermatology","DOI":"10.1016/j.jaad.2015.05.038","ISSN":"01909622","issue":"3","journalAbbreviation":"Journal of the American Academy of Dermatology","language":"en","page":"467-470","source":"DOI.org (Crossref)","title":"Early-onset childhood vitiligo is associated with a more extensive and progressive course","volume":"73","author":[{"family":"Mu","given":"Euphemia W."},{"family":"Cohen","given":"Brandon E."},{"family":"Orlow","given":"Seth J."}],"issued":{"date-parts":[["2015",9]]}}}],"schema":"https://github.com/citation-style-language/schema/raw/master/csl-citation.json"} </w:instrText>
      </w:r>
      <w:r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32</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Out of the top 100 cited articles, 7 articles discuss the pediatric population.  </w:t>
      </w:r>
      <w:r w:rsidR="00BB440C" w:rsidRPr="002865DB">
        <w:rPr>
          <w:rFonts w:asciiTheme="minorBidi" w:hAnsiTheme="minorBidi" w:cstheme="minorBidi"/>
          <w:sz w:val="22"/>
          <w:szCs w:val="22"/>
        </w:rPr>
        <w:t xml:space="preserve">Vitiligo can have different </w:t>
      </w:r>
      <w:r w:rsidR="00EB0A13" w:rsidRPr="002865DB">
        <w:rPr>
          <w:rFonts w:asciiTheme="minorBidi" w:hAnsiTheme="minorBidi" w:cstheme="minorBidi"/>
          <w:sz w:val="22"/>
          <w:szCs w:val="22"/>
        </w:rPr>
        <w:t>implications</w:t>
      </w:r>
      <w:r w:rsidR="00BB440C" w:rsidRPr="002865DB">
        <w:rPr>
          <w:rFonts w:asciiTheme="minorBidi" w:hAnsiTheme="minorBidi" w:cstheme="minorBidi"/>
          <w:sz w:val="22"/>
          <w:szCs w:val="22"/>
        </w:rPr>
        <w:t xml:space="preserve"> in adult vs pediatric populations. However, comparing the </w:t>
      </w:r>
      <w:r w:rsidRPr="002865DB">
        <w:rPr>
          <w:rFonts w:asciiTheme="minorBidi" w:hAnsiTheme="minorBidi" w:cstheme="minorBidi"/>
          <w:sz w:val="22"/>
          <w:szCs w:val="22"/>
        </w:rPr>
        <w:t>vitiligo prevalence in adult</w:t>
      </w:r>
      <w:r w:rsidR="000019B0" w:rsidRPr="002865DB">
        <w:rPr>
          <w:rFonts w:asciiTheme="minorBidi" w:hAnsiTheme="minorBidi" w:cstheme="minorBidi"/>
          <w:sz w:val="22"/>
          <w:szCs w:val="22"/>
        </w:rPr>
        <w:t>s</w:t>
      </w:r>
      <w:r w:rsidRPr="002865DB">
        <w:rPr>
          <w:rFonts w:asciiTheme="minorBidi" w:hAnsiTheme="minorBidi" w:cstheme="minorBidi"/>
          <w:sz w:val="22"/>
          <w:szCs w:val="22"/>
        </w:rPr>
        <w:t xml:space="preserve"> </w:t>
      </w:r>
      <w:r w:rsidR="00BB440C" w:rsidRPr="002865DB">
        <w:rPr>
          <w:rFonts w:asciiTheme="minorBidi" w:hAnsiTheme="minorBidi" w:cstheme="minorBidi"/>
          <w:sz w:val="22"/>
          <w:szCs w:val="22"/>
        </w:rPr>
        <w:t xml:space="preserve">and </w:t>
      </w:r>
      <w:r w:rsidRPr="002865DB">
        <w:rPr>
          <w:rFonts w:asciiTheme="minorBidi" w:hAnsiTheme="minorBidi" w:cstheme="minorBidi"/>
          <w:sz w:val="22"/>
          <w:szCs w:val="22"/>
        </w:rPr>
        <w:t>children is a delicate affair as many criteria are at play. Repigmentation</w:t>
      </w:r>
      <w:r w:rsidR="00D72D28" w:rsidRPr="002865DB">
        <w:rPr>
          <w:rFonts w:asciiTheme="minorBidi" w:hAnsiTheme="minorBidi" w:cstheme="minorBidi"/>
          <w:sz w:val="22"/>
          <w:szCs w:val="22"/>
        </w:rPr>
        <w:t xml:space="preserve"> following treatment </w:t>
      </w:r>
      <w:r w:rsidRPr="002865DB">
        <w:rPr>
          <w:rFonts w:asciiTheme="minorBidi" w:hAnsiTheme="minorBidi" w:cstheme="minorBidi"/>
          <w:sz w:val="22"/>
          <w:szCs w:val="22"/>
        </w:rPr>
        <w:t xml:space="preserve">is largely more significant in the children </w:t>
      </w:r>
      <w:r w:rsidRPr="002865DB">
        <w:rPr>
          <w:rFonts w:asciiTheme="minorBidi" w:hAnsiTheme="minorBidi" w:cstheme="minorBidi"/>
          <w:sz w:val="22"/>
          <w:szCs w:val="22"/>
        </w:rPr>
        <w:fldChar w:fldCharType="begin"/>
      </w:r>
      <w:r w:rsidR="00E45B05">
        <w:rPr>
          <w:rFonts w:asciiTheme="minorBidi" w:hAnsiTheme="minorBidi" w:cstheme="minorBidi"/>
          <w:sz w:val="22"/>
          <w:szCs w:val="22"/>
        </w:rPr>
        <w:instrText xml:space="preserve"> ADDIN ZOTERO_ITEM CSL_CITATION {"citationID":"wCMMXH7N","properties":{"formattedCitation":"\\super 33\\nosupersub{}","plainCitation":"33","noteIndex":0},"citationItems":[{"id":92,"uris":["http://zotero.org/users/local/0qy97rJQ/items/2STPB2RY"],"itemData":{"id":92,"type":"article-journal","abstract":"BACKGROUND: Vitiligo occurs in both children and adults, average age of onset is before twenty years in at least half of adult cases and five years in children. In Nigeria, there are relatively few literatures specifically comparing clinical characteristic between adult and childhood vitiligo in order to identify any differences in our environment as elsewhere.\n\n \n\nAIMS AND OBJECTIVES: The objectives were to identify any differences in clinical characteristics between childhood and adult vitiligo.\n\nMETHODOLOGY: A record based review of clinical characteristics of one hundred and one vitiligo patients at the out-patient clinic from 2005 to 2009 was conducted. Socio-demographic variables were assessed using a structured questionnaire.\n\nRESULTS: Prevalence of vitiligo was 6.5%. Of the 111cases retrieved, 68.5% were adults and 31.5% were children. Significant differences between adult and childhood vitiligo include; preponderance of females in childhood vitiligo (34.3% males versus 65.7% females) and of males in adult vitiligo (57.9% males versus 42.1% females). Re-pigmentation of lesions following treatment was more in children (82.4% versus 56.7% in adults). Reported history of spread of lesions was 72.7% in children and 49.2% in adults. Commonest class of vitiligo is segmental in childhood study population (45.7%) and acrofacial in adults (36%). The vulva as area of onset was observed only in children.\n\nCONCLUSION: Significant differences in clinical characteristics between adult and childhood vitiligo exist. These include; gender, re-pigmentation, spread of lesions and class of vitiligo. Only children have the vulva as the area of onset of vitiligo.","issue":"3","journalAbbreviation":"The Nigerian Health Journal","language":"English","page":"90-96","title":"Vitiligo: any differences in adult and childhood clinical characteristics","volume":"18","author":[{"family":"ANABA","given":"E. L."}],"issued":{"date-parts":[["2019"]]}}}],"schema":"https://github.com/citation-style-language/schema/raw/master/csl-citation.json"} </w:instrText>
      </w:r>
      <w:r w:rsidRPr="002865DB">
        <w:rPr>
          <w:rFonts w:asciiTheme="minorBidi" w:hAnsiTheme="minorBidi" w:cstheme="minorBidi"/>
          <w:sz w:val="22"/>
          <w:szCs w:val="22"/>
        </w:rPr>
        <w:fldChar w:fldCharType="separate"/>
      </w:r>
      <w:r w:rsidR="00E45B05" w:rsidRPr="00E45B05">
        <w:rPr>
          <w:rFonts w:ascii="Arial" w:hAnsiTheme="minorHAnsi" w:cs="Arial"/>
          <w:sz w:val="22"/>
          <w:vertAlign w:val="superscript"/>
        </w:rPr>
        <w:t>33</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Eventually studies suggest that vitiligo is more common in adults, with less lesions</w:t>
      </w:r>
      <w:r w:rsidR="004915C1" w:rsidRPr="002865DB">
        <w:rPr>
          <w:rFonts w:asciiTheme="minorBidi" w:hAnsiTheme="minorBidi" w:cstheme="minorBidi"/>
          <w:sz w:val="22"/>
          <w:szCs w:val="22"/>
        </w:rPr>
        <w:t xml:space="preserve"> than in children</w:t>
      </w:r>
      <w:r w:rsidRPr="002865DB">
        <w:rPr>
          <w:rFonts w:asciiTheme="minorBidi" w:hAnsiTheme="minorBidi" w:cstheme="minorBidi"/>
          <w:sz w:val="22"/>
          <w:szCs w:val="22"/>
        </w:rPr>
        <w:t xml:space="preserve"> but with poorer repigmentation</w:t>
      </w:r>
      <w:r w:rsidR="004915C1" w:rsidRPr="002865DB">
        <w:rPr>
          <w:rFonts w:asciiTheme="minorBidi" w:hAnsiTheme="minorBidi" w:cstheme="minorBidi"/>
          <w:sz w:val="22"/>
          <w:szCs w:val="22"/>
        </w:rPr>
        <w:t>.</w:t>
      </w:r>
      <w:r w:rsidR="00041D96" w:rsidRPr="002865DB">
        <w:rPr>
          <w:rFonts w:asciiTheme="minorBidi" w:hAnsiTheme="minorBidi" w:cstheme="minorBidi"/>
          <w:sz w:val="22"/>
          <w:szCs w:val="22"/>
        </w:rPr>
        <w:t xml:space="preserve"> </w:t>
      </w:r>
      <w:r w:rsidR="00D72D28" w:rsidRPr="002865DB">
        <w:rPr>
          <w:rFonts w:asciiTheme="minorBidi" w:hAnsiTheme="minorBidi" w:cstheme="minorBidi"/>
          <w:sz w:val="22"/>
          <w:szCs w:val="22"/>
        </w:rPr>
        <w:t xml:space="preserve">This could explain why a larger proportion of research is conducted on adults, to determine more efficient treatment for that population. </w:t>
      </w:r>
    </w:p>
    <w:p w14:paraId="0DCD18DB" w14:textId="77777777"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Further research on the impact of childhood vitiligo</w:t>
      </w:r>
      <w:r w:rsidR="009F5426" w:rsidRPr="002865DB">
        <w:rPr>
          <w:rFonts w:asciiTheme="minorBidi" w:hAnsiTheme="minorBidi" w:cstheme="minorBidi"/>
          <w:sz w:val="22"/>
          <w:szCs w:val="22"/>
        </w:rPr>
        <w:t>,</w:t>
      </w:r>
      <w:r w:rsidRPr="002865DB">
        <w:rPr>
          <w:rFonts w:asciiTheme="minorBidi" w:hAnsiTheme="minorBidi" w:cstheme="minorBidi"/>
          <w:sz w:val="22"/>
          <w:szCs w:val="22"/>
        </w:rPr>
        <w:t xml:space="preserve"> early </w:t>
      </w:r>
      <w:r w:rsidR="00196E6A" w:rsidRPr="002865DB">
        <w:rPr>
          <w:rFonts w:asciiTheme="minorBidi" w:hAnsiTheme="minorBidi" w:cstheme="minorBidi"/>
          <w:sz w:val="22"/>
          <w:szCs w:val="22"/>
        </w:rPr>
        <w:t>detection,</w:t>
      </w:r>
      <w:r w:rsidRPr="002865DB">
        <w:rPr>
          <w:rFonts w:asciiTheme="minorBidi" w:hAnsiTheme="minorBidi" w:cstheme="minorBidi"/>
          <w:sz w:val="22"/>
          <w:szCs w:val="22"/>
        </w:rPr>
        <w:t xml:space="preserve"> and treatment’s outcome on the </w:t>
      </w:r>
      <w:r w:rsidR="009F5426" w:rsidRPr="002865DB">
        <w:rPr>
          <w:rFonts w:asciiTheme="minorBidi" w:hAnsiTheme="minorBidi" w:cstheme="minorBidi"/>
          <w:sz w:val="22"/>
          <w:szCs w:val="22"/>
        </w:rPr>
        <w:t>patient's state</w:t>
      </w:r>
      <w:r w:rsidRPr="002865DB">
        <w:rPr>
          <w:rFonts w:asciiTheme="minorBidi" w:hAnsiTheme="minorBidi" w:cstheme="minorBidi"/>
          <w:sz w:val="22"/>
          <w:szCs w:val="22"/>
        </w:rPr>
        <w:t xml:space="preserve"> at adulthood would yield a better understanding of the disease progression. </w:t>
      </w:r>
    </w:p>
    <w:p w14:paraId="6700DDD3" w14:textId="77777777"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The study holds some limitations. Firstly, older articles are more likely to be cited</w:t>
      </w:r>
      <w:r w:rsidR="009F5426" w:rsidRPr="002865DB">
        <w:rPr>
          <w:rFonts w:asciiTheme="minorBidi" w:hAnsiTheme="minorBidi" w:cstheme="minorBidi"/>
          <w:sz w:val="22"/>
          <w:szCs w:val="22"/>
        </w:rPr>
        <w:t>,</w:t>
      </w:r>
      <w:r w:rsidRPr="002865DB">
        <w:rPr>
          <w:rFonts w:asciiTheme="minorBidi" w:hAnsiTheme="minorBidi" w:cstheme="minorBidi"/>
          <w:sz w:val="22"/>
          <w:szCs w:val="22"/>
        </w:rPr>
        <w:t xml:space="preserve"> which causes a bias. We aimed to tackle that bias by </w:t>
      </w:r>
      <w:r w:rsidR="00196E6A" w:rsidRPr="002865DB">
        <w:rPr>
          <w:rFonts w:asciiTheme="minorBidi" w:hAnsiTheme="minorBidi" w:cstheme="minorBidi"/>
          <w:sz w:val="22"/>
          <w:szCs w:val="22"/>
        </w:rPr>
        <w:t>analysing</w:t>
      </w:r>
      <w:r w:rsidRPr="002865DB">
        <w:rPr>
          <w:rFonts w:asciiTheme="minorBidi" w:hAnsiTheme="minorBidi" w:cstheme="minorBidi"/>
          <w:sz w:val="22"/>
          <w:szCs w:val="22"/>
        </w:rPr>
        <w:t xml:space="preserve"> ACs as well. Additionally, </w:t>
      </w:r>
      <w:r w:rsidRPr="002865DB">
        <w:rPr>
          <w:rFonts w:asciiTheme="minorBidi" w:hAnsiTheme="minorBidi" w:cstheme="minorBidi"/>
          <w:sz w:val="22"/>
          <w:szCs w:val="22"/>
        </w:rPr>
        <w:t>highly cited authors tend to cite their previous work on the topic</w:t>
      </w:r>
      <w:r w:rsidR="009F5426" w:rsidRPr="002865DB">
        <w:rPr>
          <w:rFonts w:asciiTheme="minorBidi" w:hAnsiTheme="minorBidi" w:cstheme="minorBidi"/>
          <w:sz w:val="22"/>
          <w:szCs w:val="22"/>
        </w:rPr>
        <w:t>,</w:t>
      </w:r>
      <w:r w:rsidRPr="002865DB">
        <w:rPr>
          <w:rFonts w:asciiTheme="minorBidi" w:hAnsiTheme="minorBidi" w:cstheme="minorBidi"/>
          <w:sz w:val="22"/>
          <w:szCs w:val="22"/>
        </w:rPr>
        <w:t xml:space="preserve"> thus increasing their TCs. This </w:t>
      </w:r>
      <w:r w:rsidR="009F5426" w:rsidRPr="002865DB">
        <w:rPr>
          <w:rFonts w:asciiTheme="minorBidi" w:hAnsiTheme="minorBidi" w:cstheme="minorBidi"/>
          <w:sz w:val="22"/>
          <w:szCs w:val="22"/>
        </w:rPr>
        <w:t xml:space="preserve">did not reflect article quality and significance but </w:t>
      </w:r>
      <w:r w:rsidRPr="002865DB">
        <w:rPr>
          <w:rFonts w:asciiTheme="minorBidi" w:hAnsiTheme="minorBidi" w:cstheme="minorBidi"/>
          <w:sz w:val="22"/>
          <w:szCs w:val="22"/>
        </w:rPr>
        <w:t xml:space="preserve">caused a bias in the TCs. </w:t>
      </w:r>
    </w:p>
    <w:p w14:paraId="274AD93F" w14:textId="77777777" w:rsidR="000019B0" w:rsidRPr="002865DB" w:rsidRDefault="000019B0" w:rsidP="002865DB">
      <w:pPr>
        <w:spacing w:line="480" w:lineRule="auto"/>
        <w:jc w:val="both"/>
        <w:rPr>
          <w:rFonts w:asciiTheme="minorBidi" w:hAnsiTheme="minorBidi" w:cstheme="minorBidi"/>
          <w:sz w:val="22"/>
          <w:szCs w:val="22"/>
        </w:rPr>
      </w:pPr>
    </w:p>
    <w:p w14:paraId="7D7D0772" w14:textId="77777777" w:rsidR="00A47B2E" w:rsidRPr="002865DB" w:rsidRDefault="009D52DC" w:rsidP="002865DB">
      <w:pPr>
        <w:spacing w:line="480" w:lineRule="auto"/>
        <w:jc w:val="both"/>
        <w:rPr>
          <w:rFonts w:asciiTheme="minorBidi" w:hAnsiTheme="minorBidi" w:cstheme="minorBidi"/>
          <w:sz w:val="22"/>
          <w:szCs w:val="22"/>
        </w:rPr>
      </w:pPr>
      <w:r w:rsidRPr="002865DB">
        <w:rPr>
          <w:rFonts w:asciiTheme="minorBidi" w:hAnsiTheme="minorBidi" w:cstheme="minorBidi"/>
          <w:sz w:val="22"/>
          <w:szCs w:val="22"/>
        </w:rPr>
        <w:t>To conclude, the existing vitiligo BA published in 2020</w:t>
      </w:r>
      <w:r w:rsidRPr="002865DB">
        <w:rPr>
          <w:rFonts w:asciiTheme="minorBidi" w:hAnsiTheme="minorBidi" w:cstheme="minorBidi"/>
          <w:sz w:val="22"/>
          <w:szCs w:val="22"/>
        </w:rPr>
        <w:fldChar w:fldCharType="begin"/>
      </w:r>
      <w:r w:rsidRPr="002865DB">
        <w:rPr>
          <w:rFonts w:asciiTheme="minorBidi" w:hAnsiTheme="minorBidi" w:cstheme="minorBidi"/>
          <w:sz w:val="22"/>
          <w:szCs w:val="22"/>
        </w:rPr>
        <w:instrText xml:space="preserve"> ADDIN ZOTERO_ITEM C</w:instrText>
      </w:r>
      <w:r w:rsidRPr="002865DB">
        <w:rPr>
          <w:rFonts w:asciiTheme="minorBidi" w:hAnsiTheme="minorBidi" w:cstheme="minorBidi"/>
          <w:sz w:val="22"/>
          <w:szCs w:val="22"/>
        </w:rPr>
        <w:instrText>SL_CITATION {"citationID":"MD4FOQsO","properties":{"formattedCitation":"\\super 15\\nosupersub{}","plainCitation":"15","noteIndex":0},"citationItems":[{"id":18,"uris":["http://zotero.org/users/local/0qy97rJQ/items/IW6JGZHE"],"itemData":{"id":18,"type":"art</w:instrText>
      </w:r>
      <w:r w:rsidRPr="002865DB">
        <w:rPr>
          <w:rFonts w:asciiTheme="minorBidi" w:hAnsiTheme="minorBidi" w:cstheme="minorBidi"/>
          <w:sz w:val="22"/>
          <w:szCs w:val="22"/>
        </w:rPr>
        <w:instrText>icle-journal","container-title":"Indian Journal of Dermatology","DOI":"10.4103/ijd.IJD_390_18","ISSN":"0019-5154","issue":"5","journalAbbreviation":"Indian J Dermatol","language":"en","page":"388","source":"DOI.org (Crossref)","title":"The depigmented lite</w:instrText>
      </w:r>
      <w:r w:rsidRPr="002865DB">
        <w:rPr>
          <w:rFonts w:asciiTheme="minorBidi" w:hAnsiTheme="minorBidi" w:cstheme="minorBidi"/>
          <w:sz w:val="22"/>
          <w:szCs w:val="22"/>
        </w:rPr>
        <w:instrText>rature: A holistic analysis of global vitiligo publications between 1975 and 2017","title-short":"The depigmented literature","volume":"65","author":[{"family":"Şenel","given":"Engin"}],"issued":{"date-parts":[["2020"]]}}}],"schema":"https://github.com/cit</w:instrText>
      </w:r>
      <w:r w:rsidRPr="002865DB">
        <w:rPr>
          <w:rFonts w:asciiTheme="minorBidi" w:hAnsiTheme="minorBidi" w:cstheme="minorBidi"/>
          <w:sz w:val="22"/>
          <w:szCs w:val="22"/>
        </w:rPr>
        <w:instrText xml:space="preserve">ation-style-language/schema/raw/master/csl-citation.json"} </w:instrText>
      </w:r>
      <w:r w:rsidRPr="002865DB">
        <w:rPr>
          <w:rFonts w:asciiTheme="minorBidi" w:hAnsiTheme="minorBidi" w:cstheme="minorBidi"/>
          <w:sz w:val="22"/>
          <w:szCs w:val="22"/>
        </w:rPr>
        <w:fldChar w:fldCharType="separate"/>
      </w:r>
      <w:r w:rsidRPr="002865DB">
        <w:rPr>
          <w:rFonts w:asciiTheme="minorBidi" w:hAnsiTheme="minorBidi" w:cstheme="minorBidi"/>
          <w:sz w:val="22"/>
          <w:szCs w:val="22"/>
          <w:vertAlign w:val="superscript"/>
        </w:rPr>
        <w:t>15</w:t>
      </w:r>
      <w:r w:rsidRPr="002865DB">
        <w:rPr>
          <w:rFonts w:asciiTheme="minorBidi" w:hAnsiTheme="minorBidi" w:cstheme="minorBidi"/>
          <w:sz w:val="22"/>
          <w:szCs w:val="22"/>
        </w:rPr>
        <w:fldChar w:fldCharType="end"/>
      </w:r>
      <w:r w:rsidRPr="002865DB">
        <w:rPr>
          <w:rFonts w:asciiTheme="minorBidi" w:hAnsiTheme="minorBidi" w:cstheme="minorBidi"/>
          <w:sz w:val="22"/>
          <w:szCs w:val="22"/>
        </w:rPr>
        <w:t xml:space="preserve"> focused on the correlation between Gross </w:t>
      </w:r>
      <w:r w:rsidR="007A32D1" w:rsidRPr="002865DB">
        <w:rPr>
          <w:rFonts w:asciiTheme="minorBidi" w:hAnsiTheme="minorBidi" w:cstheme="minorBidi"/>
          <w:sz w:val="22"/>
          <w:szCs w:val="22"/>
        </w:rPr>
        <w:t>Domestic</w:t>
      </w:r>
      <w:r w:rsidRPr="002865DB">
        <w:rPr>
          <w:rFonts w:asciiTheme="minorBidi" w:hAnsiTheme="minorBidi" w:cstheme="minorBidi"/>
          <w:sz w:val="22"/>
          <w:szCs w:val="22"/>
        </w:rPr>
        <w:t xml:space="preserve"> Product (GDP) per capita and publications per country. Their main finding was that developed countries published most of the vitiligo literat</w:t>
      </w:r>
      <w:r w:rsidRPr="002865DB">
        <w:rPr>
          <w:rFonts w:asciiTheme="minorBidi" w:hAnsiTheme="minorBidi" w:cstheme="minorBidi"/>
          <w:sz w:val="22"/>
          <w:szCs w:val="22"/>
        </w:rPr>
        <w:t xml:space="preserve">ure. Our BA confirms that statement while highlighting additional </w:t>
      </w:r>
      <w:r w:rsidR="003B1CA3" w:rsidRPr="002865DB">
        <w:rPr>
          <w:rFonts w:asciiTheme="minorBidi" w:hAnsiTheme="minorBidi" w:cstheme="minorBidi"/>
          <w:sz w:val="22"/>
          <w:szCs w:val="22"/>
        </w:rPr>
        <w:t>ramifications</w:t>
      </w:r>
      <w:r w:rsidR="00DC226E" w:rsidRPr="002865DB">
        <w:rPr>
          <w:rFonts w:asciiTheme="minorBidi" w:hAnsiTheme="minorBidi" w:cstheme="minorBidi"/>
          <w:sz w:val="22"/>
          <w:szCs w:val="22"/>
        </w:rPr>
        <w:t>,</w:t>
      </w:r>
      <w:r w:rsidR="007A32D1" w:rsidRPr="002865DB">
        <w:rPr>
          <w:rFonts w:asciiTheme="minorBidi" w:hAnsiTheme="minorBidi" w:cstheme="minorBidi"/>
          <w:sz w:val="22"/>
          <w:szCs w:val="22"/>
        </w:rPr>
        <w:t xml:space="preserve"> such as</w:t>
      </w:r>
      <w:r w:rsidR="00D72D28" w:rsidRPr="002865DB">
        <w:rPr>
          <w:rFonts w:asciiTheme="minorBidi" w:hAnsiTheme="minorBidi" w:cstheme="minorBidi"/>
          <w:sz w:val="22"/>
          <w:szCs w:val="22"/>
        </w:rPr>
        <w:t xml:space="preserve"> the different research designs </w:t>
      </w:r>
      <w:r w:rsidR="00DC226E" w:rsidRPr="002865DB">
        <w:rPr>
          <w:rFonts w:asciiTheme="minorBidi" w:hAnsiTheme="minorBidi" w:cstheme="minorBidi"/>
          <w:sz w:val="22"/>
          <w:szCs w:val="22"/>
        </w:rPr>
        <w:t>u</w:t>
      </w:r>
      <w:r w:rsidR="00D72D28" w:rsidRPr="002865DB">
        <w:rPr>
          <w:rFonts w:asciiTheme="minorBidi" w:hAnsiTheme="minorBidi" w:cstheme="minorBidi"/>
          <w:sz w:val="22"/>
          <w:szCs w:val="22"/>
        </w:rPr>
        <w:t xml:space="preserve">sed, the impact of new investigative techniques on publication output, </w:t>
      </w:r>
      <w:r w:rsidR="00DC226E" w:rsidRPr="002865DB">
        <w:rPr>
          <w:rFonts w:asciiTheme="minorBidi" w:hAnsiTheme="minorBidi" w:cstheme="minorBidi"/>
          <w:sz w:val="22"/>
          <w:szCs w:val="22"/>
        </w:rPr>
        <w:t xml:space="preserve">and </w:t>
      </w:r>
      <w:r w:rsidR="00D72D28" w:rsidRPr="002865DB">
        <w:rPr>
          <w:rFonts w:asciiTheme="minorBidi" w:hAnsiTheme="minorBidi" w:cstheme="minorBidi"/>
          <w:sz w:val="22"/>
          <w:szCs w:val="22"/>
        </w:rPr>
        <w:t>research prevalence in pediatric populations</w:t>
      </w:r>
      <w:r w:rsidR="00DC226E" w:rsidRPr="002865DB">
        <w:rPr>
          <w:rFonts w:asciiTheme="minorBidi" w:hAnsiTheme="minorBidi" w:cstheme="minorBidi"/>
          <w:sz w:val="22"/>
          <w:szCs w:val="22"/>
        </w:rPr>
        <w:t>.</w:t>
      </w:r>
      <w:r w:rsidRPr="002865DB">
        <w:rPr>
          <w:rFonts w:asciiTheme="minorBidi" w:hAnsiTheme="minorBidi" w:cstheme="minorBidi"/>
          <w:sz w:val="22"/>
          <w:szCs w:val="22"/>
        </w:rPr>
        <w:t xml:space="preserve"> We determined highly researched areas</w:t>
      </w:r>
      <w:r w:rsidR="000019B0" w:rsidRPr="002865DB">
        <w:rPr>
          <w:rFonts w:asciiTheme="minorBidi" w:hAnsiTheme="minorBidi" w:cstheme="minorBidi"/>
          <w:sz w:val="22"/>
          <w:szCs w:val="22"/>
        </w:rPr>
        <w:t>,</w:t>
      </w:r>
      <w:r w:rsidRPr="002865DB">
        <w:rPr>
          <w:rFonts w:asciiTheme="minorBidi" w:hAnsiTheme="minorBidi" w:cstheme="minorBidi"/>
          <w:sz w:val="22"/>
          <w:szCs w:val="22"/>
        </w:rPr>
        <w:t xml:space="preserve"> such as pathogenesis and treatment, and provided recommendations as to which areas would require more investigation. </w:t>
      </w:r>
    </w:p>
    <w:p w14:paraId="40939E25" w14:textId="77777777" w:rsidR="003E7D57" w:rsidRPr="002865DB" w:rsidRDefault="003E7D57" w:rsidP="002865DB">
      <w:pPr>
        <w:spacing w:line="480" w:lineRule="auto"/>
        <w:jc w:val="both"/>
        <w:rPr>
          <w:rFonts w:asciiTheme="minorBidi" w:hAnsiTheme="minorBidi" w:cstheme="minorBidi"/>
          <w:sz w:val="22"/>
          <w:szCs w:val="22"/>
        </w:rPr>
      </w:pPr>
    </w:p>
    <w:p w14:paraId="7A26C37C" w14:textId="77777777" w:rsidR="003E7D57" w:rsidRPr="002865DB" w:rsidRDefault="003E7D57" w:rsidP="002865DB">
      <w:pPr>
        <w:spacing w:line="480" w:lineRule="auto"/>
        <w:jc w:val="both"/>
        <w:rPr>
          <w:rFonts w:asciiTheme="minorBidi" w:hAnsiTheme="minorBidi" w:cstheme="minorBidi"/>
          <w:sz w:val="22"/>
          <w:szCs w:val="22"/>
        </w:rPr>
      </w:pPr>
    </w:p>
    <w:p w14:paraId="3C266847" w14:textId="77777777" w:rsidR="003B0944" w:rsidRPr="002865DB" w:rsidRDefault="009D52DC" w:rsidP="002865DB">
      <w:pPr>
        <w:spacing w:line="480" w:lineRule="auto"/>
        <w:rPr>
          <w:rFonts w:asciiTheme="minorBidi" w:hAnsiTheme="minorBidi" w:cstheme="minorBidi"/>
          <w:sz w:val="22"/>
          <w:szCs w:val="22"/>
          <w:u w:val="single"/>
        </w:rPr>
      </w:pPr>
      <w:r w:rsidRPr="002865DB">
        <w:rPr>
          <w:rFonts w:asciiTheme="minorBidi" w:hAnsiTheme="minorBidi" w:cstheme="minorBidi"/>
          <w:sz w:val="22"/>
          <w:szCs w:val="22"/>
          <w:u w:val="single"/>
        </w:rPr>
        <w:br w:type="page"/>
      </w:r>
    </w:p>
    <w:p w14:paraId="287B4BED" w14:textId="77777777" w:rsidR="00A47B2E" w:rsidRPr="002865DB" w:rsidRDefault="009D52DC" w:rsidP="002865DB">
      <w:pPr>
        <w:spacing w:line="480" w:lineRule="auto"/>
        <w:jc w:val="both"/>
        <w:rPr>
          <w:rFonts w:asciiTheme="minorBidi" w:hAnsiTheme="minorBidi" w:cstheme="minorBidi"/>
          <w:sz w:val="22"/>
          <w:szCs w:val="22"/>
          <w:u w:val="single"/>
        </w:rPr>
      </w:pPr>
      <w:r w:rsidRPr="002865DB">
        <w:rPr>
          <w:rFonts w:asciiTheme="minorBidi" w:hAnsiTheme="minorBidi" w:cstheme="minorBidi"/>
          <w:sz w:val="22"/>
          <w:szCs w:val="22"/>
          <w:u w:val="single"/>
        </w:rPr>
        <w:t>Bibliography</w:t>
      </w:r>
    </w:p>
    <w:p w14:paraId="1D1C9EAA" w14:textId="77777777" w:rsidR="00A47B2E" w:rsidRPr="002865DB" w:rsidRDefault="00A47B2E" w:rsidP="002865DB">
      <w:pPr>
        <w:spacing w:line="480" w:lineRule="auto"/>
        <w:jc w:val="both"/>
        <w:rPr>
          <w:rFonts w:asciiTheme="minorBidi" w:hAnsiTheme="minorBidi" w:cstheme="minorBidi"/>
          <w:sz w:val="22"/>
          <w:szCs w:val="22"/>
        </w:rPr>
      </w:pPr>
    </w:p>
    <w:p w14:paraId="34E24D48" w14:textId="77777777" w:rsidR="00E45B05" w:rsidRPr="00E45B05" w:rsidRDefault="009D52DC" w:rsidP="00E45B05">
      <w:pPr>
        <w:pStyle w:val="Bibliography"/>
        <w:rPr>
          <w:rFonts w:hAnsiTheme="minorHAnsi"/>
          <w:sz w:val="22"/>
        </w:rPr>
      </w:pPr>
      <w:r w:rsidRPr="002865DB">
        <w:rPr>
          <w:rFonts w:asciiTheme="minorBidi" w:hAnsiTheme="minorBidi" w:cstheme="minorBidi"/>
          <w:sz w:val="22"/>
          <w:szCs w:val="22"/>
          <w:u w:val="single"/>
        </w:rPr>
        <w:fldChar w:fldCharType="begin"/>
      </w:r>
      <w:r w:rsidRPr="002865DB">
        <w:rPr>
          <w:rFonts w:asciiTheme="minorBidi" w:hAnsiTheme="minorBidi" w:cstheme="minorBidi"/>
          <w:sz w:val="22"/>
          <w:szCs w:val="22"/>
          <w:u w:val="single"/>
        </w:rPr>
        <w:instrText xml:space="preserve"> ADDIN ZOTERO_BIBL {"uncited":[],"omitted":[],"custom":[]} CSL_BIBLIOGRAPHY </w:instrText>
      </w:r>
      <w:r w:rsidRPr="002865DB">
        <w:rPr>
          <w:rFonts w:asciiTheme="minorBidi" w:hAnsiTheme="minorBidi" w:cstheme="minorBidi"/>
          <w:sz w:val="22"/>
          <w:szCs w:val="22"/>
          <w:u w:val="single"/>
        </w:rPr>
        <w:fldChar w:fldCharType="separate"/>
      </w:r>
      <w:r w:rsidRPr="00E45B05">
        <w:rPr>
          <w:rFonts w:hAnsiTheme="minorHAnsi"/>
          <w:sz w:val="22"/>
        </w:rPr>
        <w:t>1.</w:t>
      </w:r>
      <w:r w:rsidRPr="00E45B05">
        <w:rPr>
          <w:rFonts w:hAnsiTheme="minorHAnsi"/>
          <w:sz w:val="22"/>
        </w:rPr>
        <w:tab/>
        <w:t>B</w:t>
      </w:r>
      <w:r w:rsidRPr="00E45B05">
        <w:rPr>
          <w:rFonts w:hAnsiTheme="minorHAnsi"/>
          <w:sz w:val="22"/>
        </w:rPr>
        <w:t xml:space="preserve">ergqvist C, Ezzedine K. Vitiligo: A Review. </w:t>
      </w:r>
      <w:r w:rsidRPr="00E45B05">
        <w:rPr>
          <w:rFonts w:hAnsiTheme="minorHAnsi"/>
          <w:i/>
          <w:iCs/>
          <w:sz w:val="22"/>
        </w:rPr>
        <w:t>Dermatology</w:t>
      </w:r>
      <w:r w:rsidRPr="00E45B05">
        <w:rPr>
          <w:rFonts w:hAnsiTheme="minorHAnsi"/>
          <w:sz w:val="22"/>
        </w:rPr>
        <w:t>. 2020;236(6):571-592. doi:10.1159/000506103</w:t>
      </w:r>
    </w:p>
    <w:p w14:paraId="68BB84DE" w14:textId="77777777" w:rsidR="00E45B05" w:rsidRPr="00E45B05" w:rsidRDefault="009D52DC" w:rsidP="00E45B05">
      <w:pPr>
        <w:pStyle w:val="Bibliography"/>
        <w:rPr>
          <w:rFonts w:hAnsiTheme="minorHAnsi"/>
          <w:sz w:val="22"/>
        </w:rPr>
      </w:pPr>
      <w:r w:rsidRPr="00E45B05">
        <w:rPr>
          <w:rFonts w:hAnsiTheme="minorHAnsi"/>
          <w:sz w:val="22"/>
        </w:rPr>
        <w:t>2.</w:t>
      </w:r>
      <w:r w:rsidRPr="00E45B05">
        <w:rPr>
          <w:rFonts w:hAnsiTheme="minorHAnsi"/>
          <w:sz w:val="22"/>
        </w:rPr>
        <w:tab/>
        <w:t xml:space="preserve">Njoo MD, Westerhof W. Vitiligo: Pathogenesis and Treatment. </w:t>
      </w:r>
      <w:r w:rsidRPr="00E45B05">
        <w:rPr>
          <w:rFonts w:hAnsiTheme="minorHAnsi"/>
          <w:i/>
          <w:iCs/>
          <w:sz w:val="22"/>
        </w:rPr>
        <w:t>American Journal of Clinical Dermatology</w:t>
      </w:r>
      <w:r w:rsidRPr="00E45B05">
        <w:rPr>
          <w:rFonts w:hAnsiTheme="minorHAnsi"/>
          <w:sz w:val="22"/>
        </w:rPr>
        <w:t>. 2001;2(3):167-181. doi:10.2165/00128071-200102030-0</w:t>
      </w:r>
      <w:r w:rsidRPr="00E45B05">
        <w:rPr>
          <w:rFonts w:hAnsiTheme="minorHAnsi"/>
          <w:sz w:val="22"/>
        </w:rPr>
        <w:t>0006</w:t>
      </w:r>
    </w:p>
    <w:p w14:paraId="7CE51DF3" w14:textId="77777777" w:rsidR="00E45B05" w:rsidRPr="00E45B05" w:rsidRDefault="009D52DC" w:rsidP="00E45B05">
      <w:pPr>
        <w:pStyle w:val="Bibliography"/>
        <w:rPr>
          <w:rFonts w:hAnsiTheme="minorHAnsi"/>
          <w:sz w:val="22"/>
        </w:rPr>
      </w:pPr>
      <w:r w:rsidRPr="00E45B05">
        <w:rPr>
          <w:rFonts w:hAnsiTheme="minorHAnsi"/>
          <w:sz w:val="22"/>
        </w:rPr>
        <w:t>3.</w:t>
      </w:r>
      <w:r w:rsidRPr="00E45B05">
        <w:rPr>
          <w:rFonts w:hAnsiTheme="minorHAnsi"/>
          <w:sz w:val="22"/>
        </w:rPr>
        <w:tab/>
        <w:t xml:space="preserve">Pandve H. Vitiligo: Is it just a dermatological disorder? </w:t>
      </w:r>
      <w:r w:rsidRPr="00E45B05">
        <w:rPr>
          <w:rFonts w:hAnsiTheme="minorHAnsi"/>
          <w:i/>
          <w:iCs/>
          <w:sz w:val="22"/>
        </w:rPr>
        <w:t>Indian J Dermatol</w:t>
      </w:r>
      <w:r w:rsidRPr="00E45B05">
        <w:rPr>
          <w:rFonts w:hAnsiTheme="minorHAnsi"/>
          <w:sz w:val="22"/>
        </w:rPr>
        <w:t>. 2008;53(1):40. doi:10.4103/0019-5154.39745</w:t>
      </w:r>
    </w:p>
    <w:p w14:paraId="7CBAE34B" w14:textId="77777777" w:rsidR="00E45B05" w:rsidRPr="00E45B05" w:rsidRDefault="009D52DC" w:rsidP="00E45B05">
      <w:pPr>
        <w:pStyle w:val="Bibliography"/>
        <w:rPr>
          <w:rFonts w:hAnsiTheme="minorHAnsi"/>
          <w:sz w:val="22"/>
        </w:rPr>
      </w:pPr>
      <w:r w:rsidRPr="00E45B05">
        <w:rPr>
          <w:rFonts w:hAnsiTheme="minorHAnsi"/>
          <w:sz w:val="22"/>
        </w:rPr>
        <w:t>4.</w:t>
      </w:r>
      <w:r w:rsidRPr="00E45B05">
        <w:rPr>
          <w:rFonts w:hAnsiTheme="minorHAnsi"/>
          <w:sz w:val="22"/>
        </w:rPr>
        <w:tab/>
        <w:t>Eleftheriadou V, Atkar R, Batchelor J, et al. British Association of Dermatologists guidelines for the management of people w</w:t>
      </w:r>
      <w:r w:rsidRPr="00E45B05">
        <w:rPr>
          <w:rFonts w:hAnsiTheme="minorHAnsi"/>
          <w:sz w:val="22"/>
        </w:rPr>
        <w:t xml:space="preserve">ith vitiligo 2021*. </w:t>
      </w:r>
      <w:r w:rsidRPr="00E45B05">
        <w:rPr>
          <w:rFonts w:hAnsiTheme="minorHAnsi"/>
          <w:i/>
          <w:iCs/>
          <w:sz w:val="22"/>
        </w:rPr>
        <w:t>Br J Dermatol</w:t>
      </w:r>
      <w:r w:rsidRPr="00E45B05">
        <w:rPr>
          <w:rFonts w:hAnsiTheme="minorHAnsi"/>
          <w:sz w:val="22"/>
        </w:rPr>
        <w:t>. 2022;186(1):18-29. doi:10.1111/bjd.20596</w:t>
      </w:r>
    </w:p>
    <w:p w14:paraId="28AEA35E" w14:textId="77777777" w:rsidR="00E45B05" w:rsidRPr="00E45B05" w:rsidRDefault="009D52DC" w:rsidP="00E45B05">
      <w:pPr>
        <w:pStyle w:val="Bibliography"/>
        <w:rPr>
          <w:rFonts w:hAnsiTheme="minorHAnsi"/>
          <w:sz w:val="22"/>
        </w:rPr>
      </w:pPr>
      <w:r w:rsidRPr="00E45B05">
        <w:rPr>
          <w:rFonts w:hAnsiTheme="minorHAnsi"/>
          <w:sz w:val="22"/>
        </w:rPr>
        <w:t>5.</w:t>
      </w:r>
      <w:r w:rsidRPr="00E45B05">
        <w:rPr>
          <w:rFonts w:hAnsiTheme="minorHAnsi"/>
          <w:sz w:val="22"/>
        </w:rPr>
        <w:tab/>
        <w:t xml:space="preserve">Rosmarin D, Pandya AG, Lebwohl M, et al. Ruxolitinib cream for treatment of vitiligo: a randomised, controlled, phase 2 trial. </w:t>
      </w:r>
      <w:r w:rsidRPr="00E45B05">
        <w:rPr>
          <w:rFonts w:hAnsiTheme="minorHAnsi"/>
          <w:i/>
          <w:iCs/>
          <w:sz w:val="22"/>
        </w:rPr>
        <w:t>The Lancet</w:t>
      </w:r>
      <w:r w:rsidRPr="00E45B05">
        <w:rPr>
          <w:rFonts w:hAnsiTheme="minorHAnsi"/>
          <w:sz w:val="22"/>
        </w:rPr>
        <w:t xml:space="preserve">. 2020;396(10244):110-120. </w:t>
      </w:r>
      <w:r w:rsidRPr="00E45B05">
        <w:rPr>
          <w:rFonts w:hAnsiTheme="minorHAnsi"/>
          <w:sz w:val="22"/>
        </w:rPr>
        <w:t>doi:10.1016/S0140-6736(20)30609-7</w:t>
      </w:r>
    </w:p>
    <w:p w14:paraId="4EBE0F03" w14:textId="77777777" w:rsidR="00E45B05" w:rsidRPr="00E45B05" w:rsidRDefault="009D52DC" w:rsidP="00E45B05">
      <w:pPr>
        <w:pStyle w:val="Bibliography"/>
        <w:rPr>
          <w:rFonts w:hAnsiTheme="minorHAnsi"/>
          <w:sz w:val="22"/>
        </w:rPr>
      </w:pPr>
      <w:r w:rsidRPr="00E45B05">
        <w:rPr>
          <w:rFonts w:hAnsiTheme="minorHAnsi"/>
          <w:sz w:val="22"/>
        </w:rPr>
        <w:t>6.</w:t>
      </w:r>
      <w:r w:rsidRPr="00E45B05">
        <w:rPr>
          <w:rFonts w:hAnsiTheme="minorHAnsi"/>
          <w:sz w:val="22"/>
        </w:rPr>
        <w:tab/>
        <w:t xml:space="preserve">Westerhof W, Nieuweboer-Krobotova L. Treatment of vitiligo with UV-B radiation vs topical psoralen plus UV-A. </w:t>
      </w:r>
      <w:r w:rsidRPr="00E45B05">
        <w:rPr>
          <w:rFonts w:hAnsiTheme="minorHAnsi"/>
          <w:i/>
          <w:iCs/>
          <w:sz w:val="22"/>
        </w:rPr>
        <w:t>Arch Dermatol</w:t>
      </w:r>
      <w:r w:rsidRPr="00E45B05">
        <w:rPr>
          <w:rFonts w:hAnsiTheme="minorHAnsi"/>
          <w:sz w:val="22"/>
        </w:rPr>
        <w:t>. 1997;133(12):1525-1528.</w:t>
      </w:r>
    </w:p>
    <w:p w14:paraId="6C52B2F7" w14:textId="77777777" w:rsidR="00E45B05" w:rsidRPr="00E45B05" w:rsidRDefault="009D52DC" w:rsidP="00E45B05">
      <w:pPr>
        <w:pStyle w:val="Bibliography"/>
        <w:rPr>
          <w:rFonts w:hAnsiTheme="minorHAnsi"/>
          <w:sz w:val="22"/>
        </w:rPr>
      </w:pPr>
      <w:r w:rsidRPr="00E45B05">
        <w:rPr>
          <w:rFonts w:hAnsiTheme="minorHAnsi"/>
          <w:sz w:val="22"/>
        </w:rPr>
        <w:t>7.</w:t>
      </w:r>
      <w:r w:rsidRPr="00E45B05">
        <w:rPr>
          <w:rFonts w:hAnsiTheme="minorHAnsi"/>
          <w:sz w:val="22"/>
        </w:rPr>
        <w:tab/>
        <w:t>Baykal Sel</w:t>
      </w:r>
      <w:r w:rsidRPr="00E45B05">
        <w:rPr>
          <w:rFonts w:hAnsiTheme="minorHAnsi"/>
          <w:sz w:val="22"/>
        </w:rPr>
        <w:t>ç</w:t>
      </w:r>
      <w:r w:rsidRPr="00E45B05">
        <w:rPr>
          <w:rFonts w:hAnsiTheme="minorHAnsi"/>
          <w:sz w:val="22"/>
        </w:rPr>
        <w:t>uk L, Katkat E, Aksu Ar</w:t>
      </w:r>
      <w:r w:rsidRPr="00E45B05">
        <w:rPr>
          <w:rFonts w:hAnsiTheme="minorHAnsi"/>
          <w:sz w:val="22"/>
        </w:rPr>
        <w:t>ı</w:t>
      </w:r>
      <w:r w:rsidRPr="00E45B05">
        <w:rPr>
          <w:rFonts w:hAnsiTheme="minorHAnsi"/>
          <w:sz w:val="22"/>
        </w:rPr>
        <w:t>ca D, Yayl</w:t>
      </w:r>
      <w:r w:rsidRPr="00E45B05">
        <w:rPr>
          <w:rFonts w:hAnsiTheme="minorHAnsi"/>
          <w:sz w:val="22"/>
        </w:rPr>
        <w:t>ı</w:t>
      </w:r>
      <w:r w:rsidRPr="00E45B05">
        <w:rPr>
          <w:rFonts w:hAnsiTheme="minorHAnsi"/>
          <w:sz w:val="22"/>
        </w:rPr>
        <w:t xml:space="preserve"> S, Bahad</w:t>
      </w:r>
      <w:r w:rsidRPr="00E45B05">
        <w:rPr>
          <w:rFonts w:hAnsiTheme="minorHAnsi"/>
          <w:sz w:val="22"/>
        </w:rPr>
        <w:t>ı</w:t>
      </w:r>
      <w:r w:rsidRPr="00E45B05">
        <w:rPr>
          <w:rFonts w:hAnsiTheme="minorHAnsi"/>
          <w:sz w:val="22"/>
        </w:rPr>
        <w:t>r S. Sun-pr</w:t>
      </w:r>
      <w:r w:rsidRPr="00E45B05">
        <w:rPr>
          <w:rFonts w:hAnsiTheme="minorHAnsi"/>
          <w:sz w:val="22"/>
        </w:rPr>
        <w:t xml:space="preserve">otection habits and knowledge of patients with vitiligo. </w:t>
      </w:r>
      <w:r w:rsidRPr="00E45B05">
        <w:rPr>
          <w:rFonts w:hAnsiTheme="minorHAnsi"/>
          <w:i/>
          <w:iCs/>
          <w:sz w:val="22"/>
        </w:rPr>
        <w:t>Acta Dermatovenerol Alp Pannonica Adriat</w:t>
      </w:r>
      <w:r w:rsidRPr="00E45B05">
        <w:rPr>
          <w:rFonts w:hAnsiTheme="minorHAnsi"/>
          <w:sz w:val="22"/>
        </w:rPr>
        <w:t>. 2020;29(1):7-10.</w:t>
      </w:r>
    </w:p>
    <w:p w14:paraId="3BA89582" w14:textId="77777777" w:rsidR="00E45B05" w:rsidRPr="00E45B05" w:rsidRDefault="009D52DC" w:rsidP="00E45B05">
      <w:pPr>
        <w:pStyle w:val="Bibliography"/>
        <w:rPr>
          <w:rFonts w:hAnsiTheme="minorHAnsi"/>
          <w:sz w:val="22"/>
        </w:rPr>
      </w:pPr>
      <w:r w:rsidRPr="00E45B05">
        <w:rPr>
          <w:rFonts w:hAnsiTheme="minorHAnsi"/>
          <w:sz w:val="22"/>
        </w:rPr>
        <w:t>8.</w:t>
      </w:r>
      <w:r w:rsidRPr="00E45B05">
        <w:rPr>
          <w:rFonts w:hAnsiTheme="minorHAnsi"/>
          <w:sz w:val="22"/>
        </w:rPr>
        <w:tab/>
        <w:t>Kim D, Chae Y, Park HJ, Lee IS. A Bibliometric Analysis of Atopic Dermatitis Research over the Past Three Decades and Future Perspectives</w:t>
      </w:r>
      <w:r w:rsidRPr="00E45B05">
        <w:rPr>
          <w:rFonts w:hAnsiTheme="minorHAnsi"/>
          <w:sz w:val="22"/>
        </w:rPr>
        <w:t xml:space="preserve">. </w:t>
      </w:r>
      <w:r w:rsidRPr="00E45B05">
        <w:rPr>
          <w:rFonts w:hAnsiTheme="minorHAnsi"/>
          <w:i/>
          <w:iCs/>
          <w:sz w:val="22"/>
        </w:rPr>
        <w:t>Healthcare</w:t>
      </w:r>
      <w:r w:rsidRPr="00E45B05">
        <w:rPr>
          <w:rFonts w:hAnsiTheme="minorHAnsi"/>
          <w:sz w:val="22"/>
        </w:rPr>
        <w:t>. 2021;9(12):1749. doi:10.3390/healthcare9121749</w:t>
      </w:r>
    </w:p>
    <w:p w14:paraId="4D7C65BB" w14:textId="77777777" w:rsidR="00E45B05" w:rsidRPr="00E45B05" w:rsidRDefault="009D52DC" w:rsidP="00E45B05">
      <w:pPr>
        <w:pStyle w:val="Bibliography"/>
        <w:rPr>
          <w:rFonts w:hAnsiTheme="minorHAnsi"/>
          <w:sz w:val="22"/>
        </w:rPr>
      </w:pPr>
      <w:r w:rsidRPr="00E45B05">
        <w:rPr>
          <w:rFonts w:hAnsiTheme="minorHAnsi"/>
          <w:sz w:val="22"/>
        </w:rPr>
        <w:t>9.</w:t>
      </w:r>
      <w:r w:rsidRPr="00E45B05">
        <w:rPr>
          <w:rFonts w:hAnsiTheme="minorHAnsi"/>
          <w:sz w:val="22"/>
        </w:rPr>
        <w:tab/>
        <w:t>Daou L, El Hage S, Wakim E, Safi S, Salameh P. Psoriasis: A bibliometric analysis in the Arab World (2004</w:t>
      </w:r>
      <w:r w:rsidRPr="00E45B05">
        <w:rPr>
          <w:rFonts w:hAnsiTheme="minorHAnsi"/>
          <w:sz w:val="22"/>
        </w:rPr>
        <w:t>–</w:t>
      </w:r>
      <w:r w:rsidRPr="00E45B05">
        <w:rPr>
          <w:rFonts w:hAnsiTheme="minorHAnsi"/>
          <w:sz w:val="22"/>
        </w:rPr>
        <w:t xml:space="preserve">2019). </w:t>
      </w:r>
      <w:r w:rsidRPr="00E45B05">
        <w:rPr>
          <w:rFonts w:hAnsiTheme="minorHAnsi"/>
          <w:i/>
          <w:iCs/>
          <w:sz w:val="22"/>
        </w:rPr>
        <w:t>Australas J Dermatol</w:t>
      </w:r>
      <w:r w:rsidRPr="00E45B05">
        <w:rPr>
          <w:rFonts w:hAnsiTheme="minorHAnsi"/>
          <w:sz w:val="22"/>
        </w:rPr>
        <w:t>. 2021;62(1). doi:10.1111/ajd.13407</w:t>
      </w:r>
    </w:p>
    <w:p w14:paraId="3857980B" w14:textId="77777777" w:rsidR="00E45B05" w:rsidRPr="003E2597" w:rsidRDefault="009D52DC" w:rsidP="00E45B05">
      <w:pPr>
        <w:pStyle w:val="Bibliography"/>
        <w:rPr>
          <w:rFonts w:hAnsiTheme="minorHAnsi"/>
          <w:sz w:val="22"/>
          <w:lang w:val="fr-FR"/>
        </w:rPr>
      </w:pPr>
      <w:r w:rsidRPr="00E45B05">
        <w:rPr>
          <w:rFonts w:hAnsiTheme="minorHAnsi"/>
          <w:sz w:val="22"/>
        </w:rPr>
        <w:t>10.</w:t>
      </w:r>
      <w:r w:rsidRPr="00E45B05">
        <w:rPr>
          <w:rFonts w:hAnsiTheme="minorHAnsi"/>
          <w:sz w:val="22"/>
        </w:rPr>
        <w:tab/>
      </w:r>
      <w:r w:rsidRPr="00E45B05">
        <w:rPr>
          <w:rFonts w:hAnsiTheme="minorHAnsi"/>
          <w:sz w:val="22"/>
        </w:rPr>
        <w:t xml:space="preserve">Gregoriou S, Tsiogka A, Rigopoulos D. Bibliometric Trends in Nail Psoriasis Research Publications. </w:t>
      </w:r>
      <w:r w:rsidRPr="003E2597">
        <w:rPr>
          <w:rFonts w:hAnsiTheme="minorHAnsi"/>
          <w:i/>
          <w:iCs/>
          <w:sz w:val="22"/>
          <w:lang w:val="fr-FR"/>
        </w:rPr>
        <w:t>Skin Appendage Disord</w:t>
      </w:r>
      <w:r w:rsidRPr="003E2597">
        <w:rPr>
          <w:rFonts w:hAnsiTheme="minorHAnsi"/>
          <w:sz w:val="22"/>
          <w:lang w:val="fr-FR"/>
        </w:rPr>
        <w:t>. 2022;8(2):122-128. doi:10.1159/000519191</w:t>
      </w:r>
    </w:p>
    <w:p w14:paraId="1370A10F" w14:textId="77777777" w:rsidR="00E45B05" w:rsidRPr="003E2597" w:rsidRDefault="009D52DC" w:rsidP="00E45B05">
      <w:pPr>
        <w:pStyle w:val="Bibliography"/>
        <w:rPr>
          <w:rFonts w:hAnsiTheme="minorHAnsi"/>
          <w:sz w:val="22"/>
          <w:lang w:val="fr-FR"/>
        </w:rPr>
      </w:pPr>
      <w:r w:rsidRPr="003E2597">
        <w:rPr>
          <w:rFonts w:hAnsiTheme="minorHAnsi"/>
          <w:sz w:val="22"/>
          <w:lang w:val="fr-FR"/>
        </w:rPr>
        <w:t>11.</w:t>
      </w:r>
      <w:r w:rsidRPr="003E2597">
        <w:rPr>
          <w:rFonts w:hAnsiTheme="minorHAnsi"/>
          <w:sz w:val="22"/>
          <w:lang w:val="fr-FR"/>
        </w:rPr>
        <w:tab/>
        <w:t xml:space="preserve">Jamshidi AR, Gharibdoost F, Nadji A, et al. </w:t>
      </w:r>
      <w:r w:rsidRPr="00E45B05">
        <w:rPr>
          <w:rFonts w:hAnsiTheme="minorHAnsi"/>
          <w:sz w:val="22"/>
        </w:rPr>
        <w:t>Presentation of psoriatic arthritis in the li</w:t>
      </w:r>
      <w:r w:rsidRPr="00E45B05">
        <w:rPr>
          <w:rFonts w:hAnsiTheme="minorHAnsi"/>
          <w:sz w:val="22"/>
        </w:rPr>
        <w:t xml:space="preserve">terature: a twenty-year bibliometric evaluation. </w:t>
      </w:r>
      <w:r w:rsidRPr="003E2597">
        <w:rPr>
          <w:rFonts w:hAnsiTheme="minorHAnsi"/>
          <w:i/>
          <w:iCs/>
          <w:sz w:val="22"/>
          <w:lang w:val="fr-FR"/>
        </w:rPr>
        <w:t>Rheumatol Int</w:t>
      </w:r>
      <w:r w:rsidRPr="003E2597">
        <w:rPr>
          <w:rFonts w:hAnsiTheme="minorHAnsi"/>
          <w:sz w:val="22"/>
          <w:lang w:val="fr-FR"/>
        </w:rPr>
        <w:t>. 2013;33(2):361-367. doi:10.1007/s00296-012-2428-y</w:t>
      </w:r>
    </w:p>
    <w:p w14:paraId="62DF85BA" w14:textId="77777777" w:rsidR="00E45B05" w:rsidRPr="00E45B05" w:rsidRDefault="009D52DC" w:rsidP="00E45B05">
      <w:pPr>
        <w:pStyle w:val="Bibliography"/>
        <w:rPr>
          <w:rFonts w:hAnsiTheme="minorHAnsi"/>
          <w:sz w:val="22"/>
        </w:rPr>
      </w:pPr>
      <w:r w:rsidRPr="003E2597">
        <w:rPr>
          <w:rFonts w:hAnsiTheme="minorHAnsi"/>
          <w:sz w:val="22"/>
          <w:lang w:val="fr-FR"/>
        </w:rPr>
        <w:t>12.</w:t>
      </w:r>
      <w:r w:rsidRPr="003E2597">
        <w:rPr>
          <w:rFonts w:hAnsiTheme="minorHAnsi"/>
          <w:sz w:val="22"/>
          <w:lang w:val="fr-FR"/>
        </w:rPr>
        <w:tab/>
        <w:t xml:space="preserve">Zhang H, Wang Y, Zheng Q, et al. </w:t>
      </w:r>
      <w:r w:rsidRPr="00E45B05">
        <w:rPr>
          <w:rFonts w:hAnsiTheme="minorHAnsi"/>
          <w:sz w:val="22"/>
        </w:rPr>
        <w:t xml:space="preserve">Research Interest and Public Interest in Melanoma: A Bibliometric and Google Trends Analysis. </w:t>
      </w:r>
      <w:r w:rsidRPr="00E45B05">
        <w:rPr>
          <w:rFonts w:hAnsiTheme="minorHAnsi"/>
          <w:i/>
          <w:iCs/>
          <w:sz w:val="22"/>
        </w:rPr>
        <w:t>Front Oncol</w:t>
      </w:r>
      <w:r w:rsidRPr="00E45B05">
        <w:rPr>
          <w:rFonts w:hAnsiTheme="minorHAnsi"/>
          <w:sz w:val="22"/>
        </w:rPr>
        <w:t>. 2021;11:629687. doi:10.3389/fonc.2021.629687</w:t>
      </w:r>
    </w:p>
    <w:p w14:paraId="341A2323" w14:textId="77777777" w:rsidR="00E45B05" w:rsidRPr="00E45B05" w:rsidRDefault="009D52DC" w:rsidP="00E45B05">
      <w:pPr>
        <w:pStyle w:val="Bibliography"/>
        <w:rPr>
          <w:rFonts w:hAnsiTheme="minorHAnsi"/>
          <w:sz w:val="22"/>
        </w:rPr>
      </w:pPr>
      <w:r w:rsidRPr="00E45B05">
        <w:rPr>
          <w:rFonts w:hAnsiTheme="minorHAnsi"/>
          <w:sz w:val="22"/>
        </w:rPr>
        <w:t>13.</w:t>
      </w:r>
      <w:r w:rsidRPr="00E45B05">
        <w:rPr>
          <w:rFonts w:hAnsiTheme="minorHAnsi"/>
          <w:sz w:val="22"/>
        </w:rPr>
        <w:tab/>
        <w:t xml:space="preserve">Peles G, Horev A. A bibliometric analysis of hidradenitis suppurativa literature over the past 50 years. </w:t>
      </w:r>
      <w:r w:rsidRPr="00E45B05">
        <w:rPr>
          <w:rFonts w:hAnsiTheme="minorHAnsi"/>
          <w:i/>
          <w:iCs/>
          <w:sz w:val="22"/>
        </w:rPr>
        <w:t>Int J Dermatology</w:t>
      </w:r>
      <w:r w:rsidRPr="00E45B05">
        <w:rPr>
          <w:rFonts w:hAnsiTheme="minorHAnsi"/>
          <w:sz w:val="22"/>
        </w:rPr>
        <w:t>. 2023;62(4):534-546. doi:10.1111/ijd.16585</w:t>
      </w:r>
    </w:p>
    <w:p w14:paraId="69C2C523" w14:textId="77777777" w:rsidR="00E45B05" w:rsidRPr="00E45B05" w:rsidRDefault="009D52DC" w:rsidP="00E45B05">
      <w:pPr>
        <w:pStyle w:val="Bibliography"/>
        <w:rPr>
          <w:rFonts w:hAnsiTheme="minorHAnsi"/>
          <w:sz w:val="22"/>
        </w:rPr>
      </w:pPr>
      <w:r w:rsidRPr="00E45B05">
        <w:rPr>
          <w:rFonts w:hAnsiTheme="minorHAnsi"/>
          <w:sz w:val="22"/>
        </w:rPr>
        <w:t>14.</w:t>
      </w:r>
      <w:r w:rsidRPr="00E45B05">
        <w:rPr>
          <w:rFonts w:hAnsiTheme="minorHAnsi"/>
          <w:sz w:val="22"/>
        </w:rPr>
        <w:tab/>
        <w:t>Wang Y, Zhang H, Fang R, Tang K, Su</w:t>
      </w:r>
      <w:r w:rsidRPr="00E45B05">
        <w:rPr>
          <w:rFonts w:hAnsiTheme="minorHAnsi"/>
          <w:sz w:val="22"/>
        </w:rPr>
        <w:t xml:space="preserve">n Q. The top 100 most cited articles in rosacea: a bibliometric analysis. </w:t>
      </w:r>
      <w:r w:rsidRPr="00E45B05">
        <w:rPr>
          <w:rFonts w:hAnsiTheme="minorHAnsi"/>
          <w:i/>
          <w:iCs/>
          <w:sz w:val="22"/>
        </w:rPr>
        <w:t>J Eur Acad Dermatol Venereol</w:t>
      </w:r>
      <w:r w:rsidRPr="00E45B05">
        <w:rPr>
          <w:rFonts w:hAnsiTheme="minorHAnsi"/>
          <w:sz w:val="22"/>
        </w:rPr>
        <w:t>. 2020;34(10):2177-2182. doi:10.1111/jdv.16305</w:t>
      </w:r>
    </w:p>
    <w:p w14:paraId="7011BE3B" w14:textId="77777777" w:rsidR="00E45B05" w:rsidRPr="003E2597" w:rsidRDefault="009D52DC" w:rsidP="00E45B05">
      <w:pPr>
        <w:pStyle w:val="Bibliography"/>
        <w:rPr>
          <w:rFonts w:hAnsiTheme="minorHAnsi"/>
          <w:sz w:val="22"/>
          <w:lang w:val="fr-FR"/>
        </w:rPr>
      </w:pPr>
      <w:r w:rsidRPr="00E45B05">
        <w:rPr>
          <w:rFonts w:hAnsiTheme="minorHAnsi"/>
          <w:sz w:val="22"/>
        </w:rPr>
        <w:t>15.</w:t>
      </w:r>
      <w:r w:rsidRPr="00E45B05">
        <w:rPr>
          <w:rFonts w:hAnsiTheme="minorHAnsi"/>
          <w:sz w:val="22"/>
        </w:rPr>
        <w:tab/>
      </w:r>
      <w:r w:rsidRPr="00E45B05">
        <w:rPr>
          <w:rFonts w:hAnsiTheme="minorHAnsi"/>
          <w:sz w:val="22"/>
        </w:rPr>
        <w:t>Ş</w:t>
      </w:r>
      <w:r w:rsidRPr="00E45B05">
        <w:rPr>
          <w:rFonts w:hAnsiTheme="minorHAnsi"/>
          <w:sz w:val="22"/>
        </w:rPr>
        <w:t>enel E. The depigmented literature: A holistic analysis of global vitiligo publications between 1975 a</w:t>
      </w:r>
      <w:r w:rsidRPr="00E45B05">
        <w:rPr>
          <w:rFonts w:hAnsiTheme="minorHAnsi"/>
          <w:sz w:val="22"/>
        </w:rPr>
        <w:t xml:space="preserve">nd 2017. </w:t>
      </w:r>
      <w:r w:rsidRPr="003E2597">
        <w:rPr>
          <w:rFonts w:hAnsiTheme="minorHAnsi"/>
          <w:i/>
          <w:iCs/>
          <w:sz w:val="22"/>
          <w:lang w:val="fr-FR"/>
        </w:rPr>
        <w:t>Indian J Dermatol</w:t>
      </w:r>
      <w:r w:rsidRPr="003E2597">
        <w:rPr>
          <w:rFonts w:hAnsiTheme="minorHAnsi"/>
          <w:sz w:val="22"/>
          <w:lang w:val="fr-FR"/>
        </w:rPr>
        <w:t>. 2020;65(5):388. doi:10.4103/ijd.IJD_390_18</w:t>
      </w:r>
    </w:p>
    <w:p w14:paraId="73BBDA90" w14:textId="77777777" w:rsidR="00E45B05" w:rsidRPr="003E2597" w:rsidRDefault="009D52DC" w:rsidP="00E45B05">
      <w:pPr>
        <w:pStyle w:val="Bibliography"/>
        <w:rPr>
          <w:rFonts w:hAnsiTheme="minorHAnsi"/>
          <w:sz w:val="22"/>
          <w:lang w:val="fr-FR"/>
        </w:rPr>
      </w:pPr>
      <w:r w:rsidRPr="003E2597">
        <w:rPr>
          <w:rFonts w:hAnsiTheme="minorHAnsi"/>
          <w:sz w:val="22"/>
          <w:lang w:val="fr-FR"/>
        </w:rPr>
        <w:t>16.</w:t>
      </w:r>
      <w:r w:rsidRPr="003E2597">
        <w:rPr>
          <w:rFonts w:hAnsiTheme="minorHAnsi"/>
          <w:sz w:val="22"/>
          <w:lang w:val="fr-FR"/>
        </w:rPr>
        <w:tab/>
        <w:t xml:space="preserve">Ortonne JP, Bose SK. </w:t>
      </w:r>
      <w:r w:rsidRPr="00E45B05">
        <w:rPr>
          <w:rFonts w:hAnsiTheme="minorHAnsi"/>
          <w:sz w:val="22"/>
        </w:rPr>
        <w:t xml:space="preserve">Vitiligo: Where Do We Stand? </w:t>
      </w:r>
      <w:r w:rsidRPr="003E2597">
        <w:rPr>
          <w:rFonts w:hAnsiTheme="minorHAnsi"/>
          <w:i/>
          <w:iCs/>
          <w:sz w:val="22"/>
          <w:lang w:val="fr-FR"/>
        </w:rPr>
        <w:t>Pigment Cell Res</w:t>
      </w:r>
      <w:r w:rsidRPr="003E2597">
        <w:rPr>
          <w:rFonts w:hAnsiTheme="minorHAnsi"/>
          <w:sz w:val="22"/>
          <w:lang w:val="fr-FR"/>
        </w:rPr>
        <w:t>. 1993;6(2):61-72. doi:10.1111/j.1600-0749.1993.tb00584.x</w:t>
      </w:r>
    </w:p>
    <w:p w14:paraId="08BCAD58" w14:textId="77777777" w:rsidR="00E45B05" w:rsidRPr="00E45B05" w:rsidRDefault="009D52DC" w:rsidP="00E45B05">
      <w:pPr>
        <w:pStyle w:val="Bibliography"/>
        <w:rPr>
          <w:rFonts w:hAnsiTheme="minorHAnsi"/>
          <w:sz w:val="22"/>
        </w:rPr>
      </w:pPr>
      <w:r w:rsidRPr="00E45B05">
        <w:rPr>
          <w:rFonts w:hAnsiTheme="minorHAnsi"/>
          <w:sz w:val="22"/>
        </w:rPr>
        <w:t>17.</w:t>
      </w:r>
      <w:r w:rsidRPr="00E45B05">
        <w:rPr>
          <w:rFonts w:hAnsiTheme="minorHAnsi"/>
          <w:sz w:val="22"/>
        </w:rPr>
        <w:tab/>
        <w:t>Baker C, Hayden MS. Gene editing in dermatology: Harn</w:t>
      </w:r>
      <w:r w:rsidRPr="00E45B05">
        <w:rPr>
          <w:rFonts w:hAnsiTheme="minorHAnsi"/>
          <w:sz w:val="22"/>
        </w:rPr>
        <w:t xml:space="preserve">essing CRISPR for the treatment of cutaneous disease. </w:t>
      </w:r>
      <w:r w:rsidRPr="00E45B05">
        <w:rPr>
          <w:rFonts w:hAnsiTheme="minorHAnsi"/>
          <w:i/>
          <w:iCs/>
          <w:sz w:val="22"/>
        </w:rPr>
        <w:t>F1000Res</w:t>
      </w:r>
      <w:r w:rsidRPr="00E45B05">
        <w:rPr>
          <w:rFonts w:hAnsiTheme="minorHAnsi"/>
          <w:sz w:val="22"/>
        </w:rPr>
        <w:t>. 2020;9:281. doi:10.12688/f1000research.23185.2</w:t>
      </w:r>
    </w:p>
    <w:p w14:paraId="4952B327" w14:textId="77777777" w:rsidR="00E45B05" w:rsidRPr="00E45B05" w:rsidRDefault="009D52DC" w:rsidP="00E45B05">
      <w:pPr>
        <w:pStyle w:val="Bibliography"/>
        <w:rPr>
          <w:rFonts w:hAnsiTheme="minorHAnsi"/>
          <w:sz w:val="22"/>
        </w:rPr>
      </w:pPr>
      <w:r w:rsidRPr="00E45B05">
        <w:rPr>
          <w:rFonts w:hAnsiTheme="minorHAnsi"/>
          <w:sz w:val="22"/>
        </w:rPr>
        <w:t>18.</w:t>
      </w:r>
      <w:r w:rsidRPr="00E45B05">
        <w:rPr>
          <w:rFonts w:hAnsiTheme="minorHAnsi"/>
          <w:sz w:val="22"/>
        </w:rPr>
        <w:tab/>
        <w:t>Madison G, Sundell K. Numbers of publications and citations for researchers in fields pertinent to the social services: a comparison of peer-</w:t>
      </w:r>
      <w:r w:rsidRPr="00E45B05">
        <w:rPr>
          <w:rFonts w:hAnsiTheme="minorHAnsi"/>
          <w:sz w:val="22"/>
        </w:rPr>
        <w:t xml:space="preserve">reviewed journal publications across six disciplines. </w:t>
      </w:r>
      <w:r w:rsidRPr="00E45B05">
        <w:rPr>
          <w:rFonts w:hAnsiTheme="minorHAnsi"/>
          <w:i/>
          <w:iCs/>
          <w:sz w:val="22"/>
        </w:rPr>
        <w:t>Scientometrics</w:t>
      </w:r>
      <w:r w:rsidRPr="00E45B05">
        <w:rPr>
          <w:rFonts w:hAnsiTheme="minorHAnsi"/>
          <w:sz w:val="22"/>
        </w:rPr>
        <w:t>. 2022;127(10):6029-6046. doi:10.1007/s11192-022-04495-3</w:t>
      </w:r>
    </w:p>
    <w:p w14:paraId="04AFC320" w14:textId="77777777" w:rsidR="00E45B05" w:rsidRPr="00E45B05" w:rsidRDefault="009D52DC" w:rsidP="00E45B05">
      <w:pPr>
        <w:pStyle w:val="Bibliography"/>
        <w:rPr>
          <w:rFonts w:hAnsiTheme="minorHAnsi"/>
          <w:sz w:val="22"/>
        </w:rPr>
      </w:pPr>
      <w:r w:rsidRPr="00E45B05">
        <w:rPr>
          <w:rFonts w:hAnsiTheme="minorHAnsi"/>
          <w:sz w:val="22"/>
        </w:rPr>
        <w:t>19.</w:t>
      </w:r>
      <w:r w:rsidRPr="00E45B05">
        <w:rPr>
          <w:rFonts w:hAnsiTheme="minorHAnsi"/>
          <w:sz w:val="22"/>
        </w:rPr>
        <w:tab/>
        <w:t xml:space="preserve">Casp CB, She JX, Mccormack WT. Genetic Association of the </w:t>
      </w:r>
      <w:r w:rsidRPr="00E45B05">
        <w:rPr>
          <w:rFonts w:hAnsiTheme="minorHAnsi"/>
          <w:i/>
          <w:iCs/>
          <w:sz w:val="22"/>
        </w:rPr>
        <w:t>Catalase</w:t>
      </w:r>
      <w:r w:rsidRPr="00E45B05">
        <w:rPr>
          <w:rFonts w:hAnsiTheme="minorHAnsi"/>
          <w:sz w:val="22"/>
        </w:rPr>
        <w:t xml:space="preserve"> Gene ( </w:t>
      </w:r>
      <w:r w:rsidRPr="00E45B05">
        <w:rPr>
          <w:rFonts w:hAnsiTheme="minorHAnsi"/>
          <w:i/>
          <w:iCs/>
          <w:sz w:val="22"/>
        </w:rPr>
        <w:t>CAT</w:t>
      </w:r>
      <w:r w:rsidRPr="00E45B05">
        <w:rPr>
          <w:rFonts w:hAnsiTheme="minorHAnsi"/>
          <w:sz w:val="22"/>
        </w:rPr>
        <w:t xml:space="preserve"> ) with Vitiligo Susceptibility. </w:t>
      </w:r>
      <w:r w:rsidRPr="00E45B05">
        <w:rPr>
          <w:rFonts w:hAnsiTheme="minorHAnsi"/>
          <w:i/>
          <w:iCs/>
          <w:sz w:val="22"/>
        </w:rPr>
        <w:t>Pigment Cell Rese</w:t>
      </w:r>
      <w:r w:rsidRPr="00E45B05">
        <w:rPr>
          <w:rFonts w:hAnsiTheme="minorHAnsi"/>
          <w:i/>
          <w:iCs/>
          <w:sz w:val="22"/>
        </w:rPr>
        <w:t>arch</w:t>
      </w:r>
      <w:r w:rsidRPr="00E45B05">
        <w:rPr>
          <w:rFonts w:hAnsiTheme="minorHAnsi"/>
          <w:sz w:val="22"/>
        </w:rPr>
        <w:t>. 2002;15(1):62-66. doi:10.1034/j.1600-0749.2002.00057.x</w:t>
      </w:r>
    </w:p>
    <w:p w14:paraId="65DD61F0" w14:textId="77777777" w:rsidR="00E45B05" w:rsidRPr="00E45B05" w:rsidRDefault="009D52DC" w:rsidP="00E45B05">
      <w:pPr>
        <w:pStyle w:val="Bibliography"/>
        <w:rPr>
          <w:rFonts w:hAnsiTheme="minorHAnsi"/>
          <w:sz w:val="22"/>
        </w:rPr>
      </w:pPr>
      <w:r w:rsidRPr="00E45B05">
        <w:rPr>
          <w:rFonts w:hAnsiTheme="minorHAnsi"/>
          <w:sz w:val="22"/>
        </w:rPr>
        <w:t>20.</w:t>
      </w:r>
      <w:r w:rsidRPr="00E45B05">
        <w:rPr>
          <w:rFonts w:hAnsiTheme="minorHAnsi"/>
          <w:sz w:val="22"/>
        </w:rPr>
        <w:tab/>
        <w:t xml:space="preserve">Rokos H, Beazley WD, Schallreuter KU. Oxidative Stress in Vitiligo: Photo-oxidation of Pterins Produces H2O2 and Pterin-6-carboxylic Acid. </w:t>
      </w:r>
      <w:r w:rsidRPr="00E45B05">
        <w:rPr>
          <w:rFonts w:hAnsiTheme="minorHAnsi"/>
          <w:i/>
          <w:iCs/>
          <w:sz w:val="22"/>
        </w:rPr>
        <w:t>Biochemical and Biophysical Research Communications</w:t>
      </w:r>
      <w:r w:rsidRPr="00E45B05">
        <w:rPr>
          <w:rFonts w:hAnsiTheme="minorHAnsi"/>
          <w:sz w:val="22"/>
        </w:rPr>
        <w:t>.</w:t>
      </w:r>
      <w:r w:rsidRPr="00E45B05">
        <w:rPr>
          <w:rFonts w:hAnsiTheme="minorHAnsi"/>
          <w:sz w:val="22"/>
        </w:rPr>
        <w:t xml:space="preserve"> 2002;292(4):805-811. doi:10.1006/bbrc.2002.6727</w:t>
      </w:r>
    </w:p>
    <w:p w14:paraId="790320AE" w14:textId="77777777" w:rsidR="00E45B05" w:rsidRPr="00E45B05" w:rsidRDefault="009D52DC" w:rsidP="00E45B05">
      <w:pPr>
        <w:pStyle w:val="Bibliography"/>
        <w:rPr>
          <w:rFonts w:hAnsiTheme="minorHAnsi"/>
          <w:sz w:val="22"/>
        </w:rPr>
      </w:pPr>
      <w:r w:rsidRPr="00E45B05">
        <w:rPr>
          <w:rFonts w:hAnsiTheme="minorHAnsi"/>
          <w:sz w:val="22"/>
        </w:rPr>
        <w:t>21.</w:t>
      </w:r>
      <w:r w:rsidRPr="00E45B05">
        <w:rPr>
          <w:rFonts w:hAnsiTheme="minorHAnsi"/>
          <w:sz w:val="22"/>
        </w:rPr>
        <w:tab/>
        <w:t xml:space="preserve">Alkhateeb A, Fain PR, Thody A, Bennett DC, Spritz RA. Epidemiology of Vitiligo and Associated Autoimmune Diseases in Caucasian Probands and Their Families. </w:t>
      </w:r>
      <w:r w:rsidRPr="00E45B05">
        <w:rPr>
          <w:rFonts w:hAnsiTheme="minorHAnsi"/>
          <w:i/>
          <w:iCs/>
          <w:sz w:val="22"/>
        </w:rPr>
        <w:t>Pigment Cell Research</w:t>
      </w:r>
      <w:r w:rsidRPr="00E45B05">
        <w:rPr>
          <w:rFonts w:hAnsiTheme="minorHAnsi"/>
          <w:sz w:val="22"/>
        </w:rPr>
        <w:t>. 2003;16(3):208-214. doi:</w:t>
      </w:r>
      <w:r w:rsidRPr="00E45B05">
        <w:rPr>
          <w:rFonts w:hAnsiTheme="minorHAnsi"/>
          <w:sz w:val="22"/>
        </w:rPr>
        <w:t>10.1034/j.1600-0749.2003.00032.x</w:t>
      </w:r>
    </w:p>
    <w:p w14:paraId="0809B404" w14:textId="77777777" w:rsidR="00E45B05" w:rsidRPr="00E45B05" w:rsidRDefault="009D52DC" w:rsidP="00E45B05">
      <w:pPr>
        <w:pStyle w:val="Bibliography"/>
        <w:rPr>
          <w:rFonts w:hAnsiTheme="minorHAnsi"/>
          <w:sz w:val="22"/>
        </w:rPr>
      </w:pPr>
      <w:r w:rsidRPr="00E45B05">
        <w:rPr>
          <w:rFonts w:hAnsiTheme="minorHAnsi"/>
          <w:sz w:val="22"/>
        </w:rPr>
        <w:t>22.</w:t>
      </w:r>
      <w:r w:rsidRPr="00E45B05">
        <w:rPr>
          <w:rFonts w:hAnsiTheme="minorHAnsi"/>
          <w:sz w:val="22"/>
        </w:rPr>
        <w:tab/>
        <w:t xml:space="preserve">Howitz J. Prevalence of Vitiligo: Epidemiological Survey on the Isle of Bornholm, Denmark. </w:t>
      </w:r>
      <w:r w:rsidRPr="00E45B05">
        <w:rPr>
          <w:rFonts w:hAnsiTheme="minorHAnsi"/>
          <w:i/>
          <w:iCs/>
          <w:sz w:val="22"/>
        </w:rPr>
        <w:t>Arch Dermatol</w:t>
      </w:r>
      <w:r w:rsidRPr="00E45B05">
        <w:rPr>
          <w:rFonts w:hAnsiTheme="minorHAnsi"/>
          <w:sz w:val="22"/>
        </w:rPr>
        <w:t>. 1977;113(1):47. doi:10.1001/archderm.1977.01640010049006</w:t>
      </w:r>
    </w:p>
    <w:p w14:paraId="774BBA38" w14:textId="77777777" w:rsidR="00E45B05" w:rsidRPr="00E45B05" w:rsidRDefault="009D52DC" w:rsidP="00E45B05">
      <w:pPr>
        <w:pStyle w:val="Bibliography"/>
        <w:rPr>
          <w:rFonts w:hAnsiTheme="minorHAnsi"/>
          <w:sz w:val="22"/>
        </w:rPr>
      </w:pPr>
      <w:r w:rsidRPr="00E45B05">
        <w:rPr>
          <w:rFonts w:hAnsiTheme="minorHAnsi"/>
          <w:sz w:val="22"/>
        </w:rPr>
        <w:t>23.</w:t>
      </w:r>
      <w:r w:rsidRPr="00E45B05">
        <w:rPr>
          <w:rFonts w:hAnsiTheme="minorHAnsi"/>
          <w:sz w:val="22"/>
        </w:rPr>
        <w:tab/>
      </w:r>
      <w:r w:rsidRPr="00E45B05">
        <w:rPr>
          <w:rFonts w:hAnsiTheme="minorHAnsi"/>
          <w:sz w:val="22"/>
        </w:rPr>
        <w:t xml:space="preserve">Bibeau K, Pandya AG, Ezzedine K, et al. Vitiligo prevalence and quality of life among adults in Europe, Japan and the USA. </w:t>
      </w:r>
      <w:r w:rsidRPr="00E45B05">
        <w:rPr>
          <w:rFonts w:hAnsiTheme="minorHAnsi"/>
          <w:i/>
          <w:iCs/>
          <w:sz w:val="22"/>
        </w:rPr>
        <w:t>Acad Dermatol Venereol</w:t>
      </w:r>
      <w:r w:rsidRPr="00E45B05">
        <w:rPr>
          <w:rFonts w:hAnsiTheme="minorHAnsi"/>
          <w:sz w:val="22"/>
        </w:rPr>
        <w:t>. 2022;36(10):1831-1844. doi:10.1111/jdv.18257</w:t>
      </w:r>
    </w:p>
    <w:p w14:paraId="2F33DC19" w14:textId="77777777" w:rsidR="00E45B05" w:rsidRPr="00E45B05" w:rsidRDefault="009D52DC" w:rsidP="00E45B05">
      <w:pPr>
        <w:pStyle w:val="Bibliography"/>
        <w:rPr>
          <w:rFonts w:hAnsiTheme="minorHAnsi"/>
          <w:sz w:val="22"/>
        </w:rPr>
      </w:pPr>
      <w:r w:rsidRPr="00E45B05">
        <w:rPr>
          <w:rFonts w:hAnsiTheme="minorHAnsi"/>
          <w:sz w:val="22"/>
        </w:rPr>
        <w:t>24.</w:t>
      </w:r>
      <w:r w:rsidRPr="00E45B05">
        <w:rPr>
          <w:rFonts w:hAnsiTheme="minorHAnsi"/>
          <w:sz w:val="22"/>
        </w:rPr>
        <w:tab/>
        <w:t>Bickers DR, Modlin RL. A Review of the Journal of Investigat</w:t>
      </w:r>
      <w:r w:rsidRPr="00E45B05">
        <w:rPr>
          <w:rFonts w:hAnsiTheme="minorHAnsi"/>
          <w:sz w:val="22"/>
        </w:rPr>
        <w:t>ive Dermatology</w:t>
      </w:r>
      <w:r w:rsidRPr="00E45B05">
        <w:rPr>
          <w:rFonts w:hAnsiTheme="minorHAnsi"/>
          <w:sz w:val="22"/>
        </w:rPr>
        <w:t>’</w:t>
      </w:r>
      <w:r w:rsidRPr="00E45B05">
        <w:rPr>
          <w:rFonts w:hAnsiTheme="minorHAnsi"/>
          <w:sz w:val="22"/>
        </w:rPr>
        <w:t xml:space="preserve">s Most Cited Publications over the Past 25 Years and the Use of Developing Bibliometric Methodologies to Assess Journal Quality. </w:t>
      </w:r>
      <w:r w:rsidRPr="00E45B05">
        <w:rPr>
          <w:rFonts w:hAnsiTheme="minorHAnsi"/>
          <w:i/>
          <w:iCs/>
          <w:sz w:val="22"/>
        </w:rPr>
        <w:t>Journal of Investigative Dermatology</w:t>
      </w:r>
      <w:r w:rsidRPr="00E45B05">
        <w:rPr>
          <w:rFonts w:hAnsiTheme="minorHAnsi"/>
          <w:sz w:val="22"/>
        </w:rPr>
        <w:t>. 2012;132(3):1050-1060. doi:10.1038/jid.2011.391</w:t>
      </w:r>
    </w:p>
    <w:p w14:paraId="738F7855" w14:textId="77777777" w:rsidR="00E45B05" w:rsidRPr="00E45B05" w:rsidRDefault="009D52DC" w:rsidP="00E45B05">
      <w:pPr>
        <w:pStyle w:val="Bibliography"/>
        <w:rPr>
          <w:rFonts w:hAnsiTheme="minorHAnsi"/>
          <w:sz w:val="22"/>
        </w:rPr>
      </w:pPr>
      <w:r w:rsidRPr="00E45B05">
        <w:rPr>
          <w:rFonts w:hAnsiTheme="minorHAnsi"/>
          <w:sz w:val="22"/>
        </w:rPr>
        <w:t>25.</w:t>
      </w:r>
      <w:r w:rsidRPr="00E45B05">
        <w:rPr>
          <w:rFonts w:hAnsiTheme="minorHAnsi"/>
          <w:sz w:val="22"/>
        </w:rPr>
        <w:tab/>
        <w:t>Rowley J, Sbaffi L, S</w:t>
      </w:r>
      <w:r w:rsidRPr="00E45B05">
        <w:rPr>
          <w:rFonts w:hAnsiTheme="minorHAnsi"/>
          <w:sz w:val="22"/>
        </w:rPr>
        <w:t>ugden M, Gilbert A. Factors influencing researchers</w:t>
      </w:r>
      <w:r w:rsidRPr="00E45B05">
        <w:rPr>
          <w:rFonts w:hAnsiTheme="minorHAnsi"/>
          <w:sz w:val="22"/>
        </w:rPr>
        <w:t>’</w:t>
      </w:r>
      <w:r w:rsidRPr="00E45B05">
        <w:rPr>
          <w:rFonts w:hAnsiTheme="minorHAnsi"/>
          <w:sz w:val="22"/>
        </w:rPr>
        <w:t xml:space="preserve"> journal selection decisions. </w:t>
      </w:r>
      <w:r w:rsidRPr="00E45B05">
        <w:rPr>
          <w:rFonts w:hAnsiTheme="minorHAnsi"/>
          <w:i/>
          <w:iCs/>
          <w:sz w:val="22"/>
        </w:rPr>
        <w:t>Journal of Information Science</w:t>
      </w:r>
      <w:r w:rsidRPr="00E45B05">
        <w:rPr>
          <w:rFonts w:hAnsiTheme="minorHAnsi"/>
          <w:sz w:val="22"/>
        </w:rPr>
        <w:t>. 2022;48(3):321-335. doi:10.1177/0165551520958591</w:t>
      </w:r>
    </w:p>
    <w:p w14:paraId="62083922" w14:textId="77777777" w:rsidR="00E45B05" w:rsidRPr="00E45B05" w:rsidRDefault="009D52DC" w:rsidP="00E45B05">
      <w:pPr>
        <w:pStyle w:val="Bibliography"/>
        <w:rPr>
          <w:rFonts w:hAnsiTheme="minorHAnsi"/>
          <w:sz w:val="22"/>
        </w:rPr>
      </w:pPr>
      <w:r w:rsidRPr="00E45B05">
        <w:rPr>
          <w:rFonts w:hAnsiTheme="minorHAnsi"/>
          <w:sz w:val="22"/>
        </w:rPr>
        <w:t>26.</w:t>
      </w:r>
      <w:r w:rsidRPr="00E45B05">
        <w:rPr>
          <w:rFonts w:hAnsiTheme="minorHAnsi"/>
          <w:sz w:val="22"/>
        </w:rPr>
        <w:tab/>
        <w:t xml:space="preserve">Ridder HG. The theory contribution of case study research designs. </w:t>
      </w:r>
      <w:r w:rsidRPr="00E45B05">
        <w:rPr>
          <w:rFonts w:hAnsiTheme="minorHAnsi"/>
          <w:i/>
          <w:iCs/>
          <w:sz w:val="22"/>
        </w:rPr>
        <w:t>Bus Res</w:t>
      </w:r>
      <w:r w:rsidRPr="00E45B05">
        <w:rPr>
          <w:rFonts w:hAnsiTheme="minorHAnsi"/>
          <w:sz w:val="22"/>
        </w:rPr>
        <w:t>. 2017;10(2):28</w:t>
      </w:r>
      <w:r w:rsidRPr="00E45B05">
        <w:rPr>
          <w:rFonts w:hAnsiTheme="minorHAnsi"/>
          <w:sz w:val="22"/>
        </w:rPr>
        <w:t>1-305. doi:10.1007/s40685-017-0045-z</w:t>
      </w:r>
    </w:p>
    <w:p w14:paraId="7084A8B0" w14:textId="77777777" w:rsidR="00E45B05" w:rsidRPr="00E45B05" w:rsidRDefault="009D52DC" w:rsidP="00E45B05">
      <w:pPr>
        <w:pStyle w:val="Bibliography"/>
        <w:rPr>
          <w:rFonts w:hAnsiTheme="minorHAnsi"/>
          <w:sz w:val="22"/>
        </w:rPr>
      </w:pPr>
      <w:r w:rsidRPr="00E45B05">
        <w:rPr>
          <w:rFonts w:hAnsiTheme="minorHAnsi"/>
          <w:sz w:val="22"/>
        </w:rPr>
        <w:t>27.</w:t>
      </w:r>
      <w:r w:rsidRPr="00E45B05">
        <w:rPr>
          <w:rFonts w:hAnsiTheme="minorHAnsi"/>
          <w:sz w:val="22"/>
        </w:rPr>
        <w:tab/>
        <w:t>Norris DA, Kissinger RMark, Naughton GM, Bystryn JClaude. Evidence for Immunologic Mechanisms in Human Vitiligo: Patients</w:t>
      </w:r>
      <w:r w:rsidRPr="00E45B05">
        <w:rPr>
          <w:rFonts w:hAnsiTheme="minorHAnsi"/>
          <w:sz w:val="22"/>
        </w:rPr>
        <w:t>’</w:t>
      </w:r>
      <w:r w:rsidRPr="00E45B05">
        <w:rPr>
          <w:rFonts w:hAnsiTheme="minorHAnsi"/>
          <w:sz w:val="22"/>
        </w:rPr>
        <w:t xml:space="preserve"> Sera Induce Damage to Human Melanocytes In Vitro by Complement-Mediated Damage and Antibody-</w:t>
      </w:r>
      <w:r w:rsidRPr="00E45B05">
        <w:rPr>
          <w:rFonts w:hAnsiTheme="minorHAnsi"/>
          <w:sz w:val="22"/>
        </w:rPr>
        <w:t xml:space="preserve">Dependent Cellular Cytotoxicity. </w:t>
      </w:r>
      <w:r w:rsidRPr="00E45B05">
        <w:rPr>
          <w:rFonts w:hAnsiTheme="minorHAnsi"/>
          <w:i/>
          <w:iCs/>
          <w:sz w:val="22"/>
        </w:rPr>
        <w:t>Journal of Investigative Dermatology</w:t>
      </w:r>
      <w:r w:rsidRPr="00E45B05">
        <w:rPr>
          <w:rFonts w:hAnsiTheme="minorHAnsi"/>
          <w:sz w:val="22"/>
        </w:rPr>
        <w:t>. 1988;90(6):783-789. doi:10.1111/1523-1747.ep12461505</w:t>
      </w:r>
    </w:p>
    <w:p w14:paraId="2C4851E3" w14:textId="77777777" w:rsidR="00E45B05" w:rsidRPr="00E45B05" w:rsidRDefault="009D52DC" w:rsidP="00E45B05">
      <w:pPr>
        <w:pStyle w:val="Bibliography"/>
        <w:rPr>
          <w:rFonts w:hAnsiTheme="minorHAnsi"/>
          <w:sz w:val="22"/>
        </w:rPr>
      </w:pPr>
      <w:r w:rsidRPr="00E45B05">
        <w:rPr>
          <w:rFonts w:hAnsiTheme="minorHAnsi"/>
          <w:sz w:val="22"/>
        </w:rPr>
        <w:t>28.</w:t>
      </w:r>
      <w:r w:rsidRPr="00E45B05">
        <w:rPr>
          <w:rFonts w:hAnsiTheme="minorHAnsi"/>
          <w:sz w:val="22"/>
        </w:rPr>
        <w:tab/>
        <w:t>Parrish JA. Photochemotherapy of Vitiligo: Use of Orally Administered Psoralens and a High-Intensity Long-Wave Ultraviolet Light</w:t>
      </w:r>
      <w:r w:rsidRPr="00E45B05">
        <w:rPr>
          <w:rFonts w:hAnsiTheme="minorHAnsi"/>
          <w:sz w:val="22"/>
        </w:rPr>
        <w:t xml:space="preserve"> System. </w:t>
      </w:r>
      <w:r w:rsidRPr="00E45B05">
        <w:rPr>
          <w:rFonts w:hAnsiTheme="minorHAnsi"/>
          <w:i/>
          <w:iCs/>
          <w:sz w:val="22"/>
        </w:rPr>
        <w:t>Arch Dermatol</w:t>
      </w:r>
      <w:r w:rsidRPr="00E45B05">
        <w:rPr>
          <w:rFonts w:hAnsiTheme="minorHAnsi"/>
          <w:sz w:val="22"/>
        </w:rPr>
        <w:t>. 1976;112(11):1531. doi:10.1001/archderm.1976.01630350007002</w:t>
      </w:r>
    </w:p>
    <w:p w14:paraId="6D7A454F" w14:textId="77777777" w:rsidR="00E45B05" w:rsidRPr="00E45B05" w:rsidRDefault="009D52DC" w:rsidP="00E45B05">
      <w:pPr>
        <w:pStyle w:val="Bibliography"/>
        <w:rPr>
          <w:rFonts w:hAnsiTheme="minorHAnsi"/>
          <w:sz w:val="22"/>
        </w:rPr>
      </w:pPr>
      <w:r w:rsidRPr="00E45B05">
        <w:rPr>
          <w:rFonts w:hAnsiTheme="minorHAnsi"/>
          <w:sz w:val="22"/>
        </w:rPr>
        <w:t>29.</w:t>
      </w:r>
      <w:r w:rsidRPr="00E45B05">
        <w:rPr>
          <w:rFonts w:hAnsiTheme="minorHAnsi"/>
          <w:sz w:val="22"/>
        </w:rPr>
        <w:tab/>
        <w:t xml:space="preserve">Craiglow BG, King BA. Tofacitinib Citrate for the Treatment of Vitiligo: A Pathogenesis-Directed Therapy. </w:t>
      </w:r>
      <w:r w:rsidRPr="00E45B05">
        <w:rPr>
          <w:rFonts w:hAnsiTheme="minorHAnsi"/>
          <w:i/>
          <w:iCs/>
          <w:sz w:val="22"/>
        </w:rPr>
        <w:t>JAMA Dermatol</w:t>
      </w:r>
      <w:r w:rsidRPr="00E45B05">
        <w:rPr>
          <w:rFonts w:hAnsiTheme="minorHAnsi"/>
          <w:sz w:val="22"/>
        </w:rPr>
        <w:t>. 2015;151(10):1110. doi:10.1001/jamadermatol.201</w:t>
      </w:r>
      <w:r w:rsidRPr="00E45B05">
        <w:rPr>
          <w:rFonts w:hAnsiTheme="minorHAnsi"/>
          <w:sz w:val="22"/>
        </w:rPr>
        <w:t>5.1520</w:t>
      </w:r>
    </w:p>
    <w:p w14:paraId="06C1CB5C" w14:textId="77777777" w:rsidR="00E45B05" w:rsidRPr="00E45B05" w:rsidRDefault="009D52DC" w:rsidP="00E45B05">
      <w:pPr>
        <w:pStyle w:val="Bibliography"/>
        <w:rPr>
          <w:rFonts w:hAnsiTheme="minorHAnsi"/>
          <w:sz w:val="22"/>
        </w:rPr>
      </w:pPr>
      <w:r w:rsidRPr="00E45B05">
        <w:rPr>
          <w:rFonts w:hAnsiTheme="minorHAnsi"/>
          <w:sz w:val="22"/>
        </w:rPr>
        <w:t>30.</w:t>
      </w:r>
      <w:r w:rsidRPr="00E45B05">
        <w:rPr>
          <w:rFonts w:hAnsiTheme="minorHAnsi"/>
          <w:sz w:val="22"/>
        </w:rPr>
        <w:tab/>
        <w:t xml:space="preserve">Sheikh A, Rafique W, Owais R, Malik F, Ali E. FDA approves Ruxolitinib (Opzelura) for Vitiligo Therapy: A breakthrough in the field of dermatology. </w:t>
      </w:r>
      <w:r w:rsidRPr="00E45B05">
        <w:rPr>
          <w:rFonts w:hAnsiTheme="minorHAnsi"/>
          <w:i/>
          <w:iCs/>
          <w:sz w:val="22"/>
        </w:rPr>
        <w:t>Annals of Medicine and Surgery</w:t>
      </w:r>
      <w:r w:rsidRPr="00E45B05">
        <w:rPr>
          <w:rFonts w:hAnsiTheme="minorHAnsi"/>
          <w:sz w:val="22"/>
        </w:rPr>
        <w:t>. 2022;81:104499. doi:10.1016/j.amsu.2022.104499</w:t>
      </w:r>
    </w:p>
    <w:p w14:paraId="53A32C03" w14:textId="77777777" w:rsidR="00E45B05" w:rsidRPr="00E45B05" w:rsidRDefault="009D52DC" w:rsidP="00E45B05">
      <w:pPr>
        <w:pStyle w:val="Bibliography"/>
        <w:rPr>
          <w:rFonts w:hAnsiTheme="minorHAnsi"/>
          <w:sz w:val="22"/>
        </w:rPr>
      </w:pPr>
      <w:r w:rsidRPr="00E45B05">
        <w:rPr>
          <w:rFonts w:hAnsiTheme="minorHAnsi"/>
          <w:sz w:val="22"/>
        </w:rPr>
        <w:t>31.</w:t>
      </w:r>
      <w:r w:rsidRPr="00E45B05">
        <w:rPr>
          <w:rFonts w:hAnsiTheme="minorHAnsi"/>
          <w:sz w:val="22"/>
        </w:rPr>
        <w:tab/>
        <w:t>Rashighi M, Ha</w:t>
      </w:r>
      <w:r w:rsidRPr="00E45B05">
        <w:rPr>
          <w:rFonts w:hAnsiTheme="minorHAnsi"/>
          <w:sz w:val="22"/>
        </w:rPr>
        <w:t xml:space="preserve">rris JE. Vitiligo Pathogenesis and Emerging Treatments. </w:t>
      </w:r>
      <w:r w:rsidRPr="00E45B05">
        <w:rPr>
          <w:rFonts w:hAnsiTheme="minorHAnsi"/>
          <w:i/>
          <w:iCs/>
          <w:sz w:val="22"/>
        </w:rPr>
        <w:t>Dermatologic Clinics</w:t>
      </w:r>
      <w:r w:rsidRPr="00E45B05">
        <w:rPr>
          <w:rFonts w:hAnsiTheme="minorHAnsi"/>
          <w:sz w:val="22"/>
        </w:rPr>
        <w:t>. 2017;35(2):257-265. doi:10.1016/j.det.2016.11.014</w:t>
      </w:r>
    </w:p>
    <w:p w14:paraId="35DC53A5" w14:textId="77777777" w:rsidR="00E45B05" w:rsidRPr="00E45B05" w:rsidRDefault="009D52DC" w:rsidP="00E45B05">
      <w:pPr>
        <w:pStyle w:val="Bibliography"/>
        <w:rPr>
          <w:rFonts w:hAnsiTheme="minorHAnsi"/>
          <w:sz w:val="22"/>
        </w:rPr>
      </w:pPr>
      <w:r w:rsidRPr="00E45B05">
        <w:rPr>
          <w:rFonts w:hAnsiTheme="minorHAnsi"/>
          <w:sz w:val="22"/>
        </w:rPr>
        <w:t>32.</w:t>
      </w:r>
      <w:r w:rsidRPr="00E45B05">
        <w:rPr>
          <w:rFonts w:hAnsiTheme="minorHAnsi"/>
          <w:sz w:val="22"/>
        </w:rPr>
        <w:tab/>
        <w:t xml:space="preserve">Mu EW, Cohen BE, Orlow SJ. Early-onset childhood vitiligo is associated with a more extensive and progressive course. </w:t>
      </w:r>
      <w:r w:rsidRPr="00E45B05">
        <w:rPr>
          <w:rFonts w:hAnsiTheme="minorHAnsi"/>
          <w:i/>
          <w:iCs/>
          <w:sz w:val="22"/>
        </w:rPr>
        <w:t>Journa</w:t>
      </w:r>
      <w:r w:rsidRPr="00E45B05">
        <w:rPr>
          <w:rFonts w:hAnsiTheme="minorHAnsi"/>
          <w:i/>
          <w:iCs/>
          <w:sz w:val="22"/>
        </w:rPr>
        <w:t>l of the American Academy of Dermatology</w:t>
      </w:r>
      <w:r w:rsidRPr="00E45B05">
        <w:rPr>
          <w:rFonts w:hAnsiTheme="minorHAnsi"/>
          <w:sz w:val="22"/>
        </w:rPr>
        <w:t>. 2015;73(3):467-470. doi:10.1016/j.jaad.2015.05.038</w:t>
      </w:r>
    </w:p>
    <w:p w14:paraId="6081B1A3" w14:textId="77777777" w:rsidR="00E45B05" w:rsidRPr="00E45B05" w:rsidRDefault="009D52DC" w:rsidP="00E45B05">
      <w:pPr>
        <w:pStyle w:val="Bibliography"/>
        <w:rPr>
          <w:rFonts w:hAnsiTheme="minorHAnsi"/>
          <w:sz w:val="22"/>
        </w:rPr>
      </w:pPr>
      <w:r w:rsidRPr="00E45B05">
        <w:rPr>
          <w:rFonts w:hAnsiTheme="minorHAnsi"/>
          <w:sz w:val="22"/>
        </w:rPr>
        <w:t>33.</w:t>
      </w:r>
      <w:r w:rsidRPr="00E45B05">
        <w:rPr>
          <w:rFonts w:hAnsiTheme="minorHAnsi"/>
          <w:sz w:val="22"/>
        </w:rPr>
        <w:tab/>
        <w:t xml:space="preserve">ANABA EL. Vitiligo: any differences in adult and childhood clinical characteristics. </w:t>
      </w:r>
      <w:r w:rsidRPr="00E45B05">
        <w:rPr>
          <w:rFonts w:hAnsiTheme="minorHAnsi"/>
          <w:i/>
          <w:iCs/>
          <w:sz w:val="22"/>
        </w:rPr>
        <w:t>The Nigerian Health Journal</w:t>
      </w:r>
      <w:r w:rsidRPr="00E45B05">
        <w:rPr>
          <w:rFonts w:hAnsiTheme="minorHAnsi"/>
          <w:sz w:val="22"/>
        </w:rPr>
        <w:t>. 2019;18(3):90-96.</w:t>
      </w:r>
    </w:p>
    <w:p w14:paraId="05E66438" w14:textId="2623B71E" w:rsidR="00A47B2E" w:rsidRPr="002865DB" w:rsidRDefault="009D52DC" w:rsidP="002865DB">
      <w:pPr>
        <w:spacing w:line="480" w:lineRule="auto"/>
        <w:jc w:val="both"/>
        <w:rPr>
          <w:rFonts w:asciiTheme="minorBidi" w:hAnsiTheme="minorBidi" w:cstheme="minorBidi"/>
          <w:sz w:val="22"/>
          <w:szCs w:val="22"/>
          <w:u w:val="single"/>
        </w:rPr>
      </w:pPr>
      <w:r w:rsidRPr="002865DB">
        <w:rPr>
          <w:rFonts w:asciiTheme="minorBidi" w:hAnsiTheme="minorBidi" w:cstheme="minorBidi"/>
          <w:sz w:val="22"/>
          <w:szCs w:val="22"/>
          <w:u w:val="single"/>
        </w:rPr>
        <w:fldChar w:fldCharType="end"/>
      </w:r>
    </w:p>
    <w:p w14:paraId="729F7B07" w14:textId="77777777" w:rsidR="00041D96" w:rsidRPr="00996944" w:rsidRDefault="00041D96" w:rsidP="00041D96">
      <w:pPr>
        <w:spacing w:line="360" w:lineRule="auto"/>
        <w:jc w:val="both"/>
      </w:pPr>
    </w:p>
    <w:p w14:paraId="6B3FAEB5" w14:textId="77777777" w:rsidR="00EF6435" w:rsidRDefault="00EF6435" w:rsidP="00EF6435"/>
    <w:p w14:paraId="051E36A4" w14:textId="77777777" w:rsidR="00EF6435" w:rsidRPr="00996944" w:rsidRDefault="009D52DC" w:rsidP="00041D96">
      <w:pPr>
        <w:ind w:left="2880" w:firstLine="720"/>
        <w:rPr>
          <w:b/>
          <w:bCs/>
          <w:sz w:val="28"/>
          <w:szCs w:val="28"/>
        </w:rPr>
      </w:pPr>
      <w:r w:rsidRPr="00996944">
        <w:rPr>
          <w:b/>
          <w:bCs/>
          <w:sz w:val="28"/>
          <w:szCs w:val="28"/>
        </w:rPr>
        <w:t>Figures</w:t>
      </w:r>
    </w:p>
    <w:p w14:paraId="7322DFCE" w14:textId="77777777" w:rsidR="00EF6435" w:rsidRDefault="00EF6435" w:rsidP="00EF6435"/>
    <w:p w14:paraId="1BF0E4D0" w14:textId="77777777" w:rsidR="00EF6435" w:rsidRDefault="009D52DC" w:rsidP="00EF6435">
      <w:r w:rsidRPr="00996944">
        <w:rPr>
          <w:u w:val="single"/>
        </w:rPr>
        <w:t>Figure 1:</w:t>
      </w:r>
      <w:r>
        <w:t xml:space="preserve"> Table if the 100 most cited articles in vitiligo literature between 1972 to September 8</w:t>
      </w:r>
      <w:r w:rsidRPr="00996944">
        <w:rPr>
          <w:vertAlign w:val="superscript"/>
        </w:rPr>
        <w:t>th</w:t>
      </w:r>
      <w:r>
        <w:t xml:space="preserve">  2022 </w:t>
      </w:r>
    </w:p>
    <w:p w14:paraId="0386C686" w14:textId="77777777" w:rsidR="00EF6435" w:rsidRDefault="00EF6435" w:rsidP="00EF6435"/>
    <w:p w14:paraId="647AB6AE" w14:textId="77777777" w:rsidR="00EF6435" w:rsidRDefault="009D52DC" w:rsidP="00EF6435">
      <w:r w:rsidRPr="00A47B2E">
        <w:rPr>
          <w:noProof/>
          <w:lang w:val="en-US" w:eastAsia="en-US"/>
        </w:rPr>
        <w:drawing>
          <wp:anchor distT="0" distB="0" distL="114300" distR="114300" simplePos="0" relativeHeight="251667456" behindDoc="0" locked="0" layoutInCell="1" allowOverlap="1">
            <wp:simplePos x="0" y="0"/>
            <wp:positionH relativeFrom="column">
              <wp:posOffset>0</wp:posOffset>
            </wp:positionH>
            <wp:positionV relativeFrom="paragraph">
              <wp:posOffset>3831774</wp:posOffset>
            </wp:positionV>
            <wp:extent cx="5731510" cy="36309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14:sizeRelH relativeFrom="page">
              <wp14:pctWidth>0</wp14:pctWidth>
            </wp14:sizeRelH>
            <wp14:sizeRelV relativeFrom="page">
              <wp14:pctHeight>0</wp14:pctHeight>
            </wp14:sizeRelV>
          </wp:anchor>
        </w:drawing>
      </w:r>
      <w:r w:rsidR="00A47B2E" w:rsidRPr="00A47B2E">
        <w:rPr>
          <w:noProof/>
          <w:lang w:val="en-US" w:eastAsia="en-US"/>
        </w:rPr>
        <w:drawing>
          <wp:inline distT="0" distB="0" distL="0" distR="0">
            <wp:extent cx="5731510" cy="3742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tretch>
                      <a:fillRect/>
                    </a:stretch>
                  </pic:blipFill>
                  <pic:spPr>
                    <a:xfrm>
                      <a:off x="0" y="0"/>
                      <a:ext cx="5731510" cy="3742055"/>
                    </a:xfrm>
                    <a:prstGeom prst="rect">
                      <a:avLst/>
                    </a:prstGeom>
                  </pic:spPr>
                </pic:pic>
              </a:graphicData>
            </a:graphic>
          </wp:inline>
        </w:drawing>
      </w:r>
      <w:r w:rsidR="00A47B2E">
        <w:br w:type="page"/>
      </w:r>
      <w:r w:rsidRPr="00EF6435">
        <w:rPr>
          <w:noProof/>
        </w:rPr>
        <w:t xml:space="preserve"> </w:t>
      </w:r>
      <w:r w:rsidRPr="00EF6435">
        <w:rPr>
          <w:noProof/>
          <w:lang w:val="en-US" w:eastAsia="en-US"/>
        </w:rPr>
        <w:drawing>
          <wp:anchor distT="0" distB="0" distL="114300" distR="114300" simplePos="0" relativeHeight="251668480" behindDoc="0" locked="0" layoutInCell="1" allowOverlap="1">
            <wp:simplePos x="0" y="0"/>
            <wp:positionH relativeFrom="column">
              <wp:posOffset>0</wp:posOffset>
            </wp:positionH>
            <wp:positionV relativeFrom="paragraph">
              <wp:posOffset>3796235</wp:posOffset>
            </wp:positionV>
            <wp:extent cx="5731510" cy="36455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14:sizeRelH relativeFrom="page">
              <wp14:pctWidth>0</wp14:pctWidth>
            </wp14:sizeRelH>
            <wp14:sizeRelV relativeFrom="page">
              <wp14:pctHeight>0</wp14:pctHeight>
            </wp14:sizeRelV>
          </wp:anchor>
        </w:drawing>
      </w:r>
      <w:r w:rsidRPr="00EF6435">
        <w:rPr>
          <w:noProof/>
          <w:lang w:val="en-US" w:eastAsia="en-US"/>
        </w:rPr>
        <w:drawing>
          <wp:inline distT="0" distB="0" distL="0" distR="0">
            <wp:extent cx="5731510" cy="34639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stretch>
                      <a:fillRect/>
                    </a:stretch>
                  </pic:blipFill>
                  <pic:spPr>
                    <a:xfrm>
                      <a:off x="0" y="0"/>
                      <a:ext cx="5731510" cy="3463925"/>
                    </a:xfrm>
                    <a:prstGeom prst="rect">
                      <a:avLst/>
                    </a:prstGeom>
                  </pic:spPr>
                </pic:pic>
              </a:graphicData>
            </a:graphic>
          </wp:inline>
        </w:drawing>
      </w:r>
    </w:p>
    <w:p w14:paraId="52BF0D4C" w14:textId="77777777" w:rsidR="00A47B2E" w:rsidRDefault="00A47B2E"/>
    <w:p w14:paraId="066DFF85" w14:textId="77777777" w:rsidR="008A786C" w:rsidRDefault="008A786C" w:rsidP="008A786C">
      <w:pPr>
        <w:jc w:val="both"/>
      </w:pPr>
    </w:p>
    <w:p w14:paraId="44F03BCD" w14:textId="77777777" w:rsidR="00EF6435" w:rsidRDefault="00EF6435" w:rsidP="008A786C">
      <w:pPr>
        <w:jc w:val="both"/>
      </w:pPr>
    </w:p>
    <w:p w14:paraId="4F3300F0" w14:textId="77777777" w:rsidR="00EF6435" w:rsidRPr="00996944" w:rsidRDefault="009D52DC" w:rsidP="008A786C">
      <w:pPr>
        <w:jc w:val="both"/>
        <w:rPr>
          <w:vertAlign w:val="subscript"/>
        </w:rPr>
        <w:sectPr w:rsidR="00EF6435" w:rsidRPr="00996944" w:rsidSect="002865DB">
          <w:pgSz w:w="11906" w:h="16838"/>
          <w:pgMar w:top="1440" w:right="1440" w:bottom="1440" w:left="1440" w:header="708" w:footer="708" w:gutter="0"/>
          <w:lnNumType w:countBy="1" w:restart="continuous"/>
          <w:cols w:space="708"/>
          <w:docGrid w:linePitch="360"/>
        </w:sectPr>
      </w:pPr>
      <w:r w:rsidRPr="00EF6435">
        <w:rPr>
          <w:noProof/>
          <w:lang w:val="en-US" w:eastAsia="en-US"/>
        </w:rPr>
        <w:drawing>
          <wp:inline distT="0" distB="0" distL="0" distR="0">
            <wp:extent cx="5731510" cy="3561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stretch>
                      <a:fillRect/>
                    </a:stretch>
                  </pic:blipFill>
                  <pic:spPr>
                    <a:xfrm>
                      <a:off x="0" y="0"/>
                      <a:ext cx="5731510" cy="3561080"/>
                    </a:xfrm>
                    <a:prstGeom prst="rect">
                      <a:avLst/>
                    </a:prstGeom>
                  </pic:spPr>
                </pic:pic>
              </a:graphicData>
            </a:graphic>
          </wp:inline>
        </w:drawing>
      </w:r>
      <w:r w:rsidRPr="00EF6435">
        <w:rPr>
          <w:noProof/>
        </w:rPr>
        <w:t xml:space="preserve"> </w:t>
      </w:r>
      <w:r w:rsidRPr="00EF6435">
        <w:rPr>
          <w:noProof/>
          <w:lang w:val="en-US" w:eastAsia="en-US"/>
        </w:rPr>
        <w:drawing>
          <wp:inline distT="0" distB="0" distL="0" distR="0">
            <wp:extent cx="5731510" cy="3770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a:stretch>
                      <a:fillRect/>
                    </a:stretch>
                  </pic:blipFill>
                  <pic:spPr>
                    <a:xfrm>
                      <a:off x="0" y="0"/>
                      <a:ext cx="5731510" cy="3770630"/>
                    </a:xfrm>
                    <a:prstGeom prst="rect">
                      <a:avLst/>
                    </a:prstGeom>
                  </pic:spPr>
                </pic:pic>
              </a:graphicData>
            </a:graphic>
          </wp:inline>
        </w:drawing>
      </w:r>
      <w:r w:rsidRPr="00EF6435">
        <w:rPr>
          <w:noProof/>
        </w:rPr>
        <w:t xml:space="preserve"> </w:t>
      </w:r>
      <w:r w:rsidRPr="00EF6435">
        <w:rPr>
          <w:noProof/>
          <w:lang w:val="en-US" w:eastAsia="en-US"/>
        </w:rPr>
        <w:drawing>
          <wp:inline distT="0" distB="0" distL="0" distR="0">
            <wp:extent cx="5731510" cy="2174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stretch>
                      <a:fillRect/>
                    </a:stretch>
                  </pic:blipFill>
                  <pic:spPr>
                    <a:xfrm>
                      <a:off x="0" y="0"/>
                      <a:ext cx="5731510" cy="2174240"/>
                    </a:xfrm>
                    <a:prstGeom prst="rect">
                      <a:avLst/>
                    </a:prstGeom>
                  </pic:spPr>
                </pic:pic>
              </a:graphicData>
            </a:graphic>
          </wp:inline>
        </w:drawing>
      </w:r>
    </w:p>
    <w:p w14:paraId="72B7CC61" w14:textId="77777777" w:rsidR="008A786C" w:rsidRDefault="008A786C" w:rsidP="008A786C">
      <w:pPr>
        <w:jc w:val="both"/>
      </w:pPr>
    </w:p>
    <w:p w14:paraId="1028933C" w14:textId="77777777" w:rsidR="008A786C" w:rsidRDefault="008A786C" w:rsidP="008A786C">
      <w:pPr>
        <w:jc w:val="both"/>
      </w:pPr>
    </w:p>
    <w:p w14:paraId="7FA53125" w14:textId="77777777" w:rsidR="008A786C" w:rsidRPr="00971F24" w:rsidRDefault="009D52DC" w:rsidP="008A786C">
      <w:pPr>
        <w:jc w:val="both"/>
        <w:rPr>
          <w:rFonts w:asciiTheme="majorBidi" w:hAnsiTheme="majorBidi" w:cstheme="majorBidi"/>
        </w:rPr>
      </w:pPr>
      <w:r w:rsidRPr="00971F24">
        <w:rPr>
          <w:rFonts w:asciiTheme="majorBidi" w:hAnsiTheme="majorBidi" w:cstheme="majorBidi"/>
          <w:u w:val="single"/>
        </w:rPr>
        <w:t xml:space="preserve">Figure </w:t>
      </w:r>
      <w:r>
        <w:rPr>
          <w:rFonts w:asciiTheme="majorBidi" w:hAnsiTheme="majorBidi" w:cstheme="majorBidi"/>
          <w:u w:val="single"/>
        </w:rPr>
        <w:t>2</w:t>
      </w:r>
      <w:r w:rsidRPr="00971F24">
        <w:rPr>
          <w:rFonts w:asciiTheme="majorBidi" w:hAnsiTheme="majorBidi" w:cstheme="majorBidi"/>
          <w:u w:val="single"/>
        </w:rPr>
        <w:t>:</w:t>
      </w:r>
      <w:r w:rsidRPr="00971F24">
        <w:rPr>
          <w:rFonts w:asciiTheme="majorBidi" w:hAnsiTheme="majorBidi" w:cstheme="majorBidi"/>
        </w:rPr>
        <w:t xml:space="preserve">  Publications per decade since 1972</w:t>
      </w:r>
    </w:p>
    <w:p w14:paraId="7F5B5C29" w14:textId="77777777" w:rsidR="008A786C" w:rsidRDefault="008A786C" w:rsidP="008A786C">
      <w:pPr>
        <w:jc w:val="both"/>
      </w:pPr>
    </w:p>
    <w:p w14:paraId="6EEB9DAF" w14:textId="77777777" w:rsidR="008A786C" w:rsidRDefault="009D52DC" w:rsidP="008A786C">
      <w:pPr>
        <w:jc w:val="both"/>
      </w:pPr>
      <w:r w:rsidRPr="00F57C93">
        <w:rPr>
          <w:noProof/>
          <w:u w:val="single"/>
          <w:lang w:val="en-US" w:eastAsia="en-US"/>
        </w:rPr>
        <w:drawing>
          <wp:anchor distT="0" distB="0" distL="114300" distR="114300" simplePos="0" relativeHeight="251658240" behindDoc="0" locked="0" layoutInCell="1" allowOverlap="1">
            <wp:simplePos x="0" y="0"/>
            <wp:positionH relativeFrom="column">
              <wp:posOffset>-597031</wp:posOffset>
            </wp:positionH>
            <wp:positionV relativeFrom="paragraph">
              <wp:posOffset>330046</wp:posOffset>
            </wp:positionV>
            <wp:extent cx="6896078" cy="4019512"/>
            <wp:effectExtent l="0" t="0" r="635" b="0"/>
            <wp:wrapSquare wrapText="bothSides"/>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96078" cy="4019512"/>
                    </a:xfrm>
                    <a:prstGeom prst="rect">
                      <a:avLst/>
                    </a:prstGeom>
                  </pic:spPr>
                </pic:pic>
              </a:graphicData>
            </a:graphic>
            <wp14:sizeRelH relativeFrom="page">
              <wp14:pctWidth>0</wp14:pctWidth>
            </wp14:sizeRelH>
            <wp14:sizeRelV relativeFrom="page">
              <wp14:pctHeight>0</wp14:pctHeight>
            </wp14:sizeRelV>
          </wp:anchor>
        </w:drawing>
      </w:r>
    </w:p>
    <w:p w14:paraId="600D281A" w14:textId="77777777" w:rsidR="008A786C" w:rsidRDefault="008A786C" w:rsidP="008A786C">
      <w:pPr>
        <w:jc w:val="both"/>
      </w:pPr>
    </w:p>
    <w:p w14:paraId="73C84C14" w14:textId="77777777" w:rsidR="008A786C" w:rsidRDefault="008A786C" w:rsidP="008A786C">
      <w:pPr>
        <w:jc w:val="both"/>
        <w:rPr>
          <w:lang w:val="en-US"/>
        </w:rPr>
      </w:pPr>
    </w:p>
    <w:p w14:paraId="661B84EA" w14:textId="77777777" w:rsidR="008A786C" w:rsidRDefault="008A786C" w:rsidP="008A786C">
      <w:pPr>
        <w:jc w:val="both"/>
        <w:rPr>
          <w:lang w:val="en-US"/>
        </w:rPr>
      </w:pPr>
    </w:p>
    <w:p w14:paraId="48C6E358" w14:textId="77777777" w:rsidR="008A786C" w:rsidRDefault="008A786C" w:rsidP="008A786C">
      <w:pPr>
        <w:jc w:val="both"/>
        <w:rPr>
          <w:lang w:val="en-US"/>
        </w:rPr>
      </w:pPr>
    </w:p>
    <w:p w14:paraId="110C74BF" w14:textId="77777777" w:rsidR="008A786C" w:rsidRDefault="008A786C" w:rsidP="008A786C">
      <w:pPr>
        <w:jc w:val="both"/>
        <w:rPr>
          <w:lang w:val="en-US"/>
        </w:rPr>
      </w:pPr>
    </w:p>
    <w:p w14:paraId="25E78BB2" w14:textId="77777777" w:rsidR="008A786C" w:rsidRDefault="008A786C" w:rsidP="008A786C">
      <w:pPr>
        <w:jc w:val="both"/>
        <w:rPr>
          <w:lang w:val="en-US"/>
        </w:rPr>
      </w:pPr>
    </w:p>
    <w:p w14:paraId="3EE6EA01" w14:textId="77777777" w:rsidR="008A786C" w:rsidRDefault="008A786C" w:rsidP="008A786C">
      <w:pPr>
        <w:jc w:val="both"/>
        <w:rPr>
          <w:lang w:val="en-US"/>
        </w:rPr>
      </w:pPr>
    </w:p>
    <w:p w14:paraId="3BAC0700" w14:textId="77777777" w:rsidR="008A786C" w:rsidRDefault="008A786C" w:rsidP="008A786C">
      <w:pPr>
        <w:jc w:val="both"/>
        <w:rPr>
          <w:lang w:val="en-US"/>
        </w:rPr>
      </w:pPr>
    </w:p>
    <w:p w14:paraId="51954E49" w14:textId="77777777" w:rsidR="008A786C" w:rsidRDefault="008A786C" w:rsidP="008A786C">
      <w:pPr>
        <w:jc w:val="both"/>
        <w:rPr>
          <w:lang w:val="en-US"/>
        </w:rPr>
      </w:pPr>
    </w:p>
    <w:p w14:paraId="67E924B4" w14:textId="77777777" w:rsidR="008A786C" w:rsidRDefault="008A786C" w:rsidP="008A786C">
      <w:pPr>
        <w:jc w:val="both"/>
        <w:rPr>
          <w:lang w:val="en-US"/>
        </w:rPr>
      </w:pPr>
    </w:p>
    <w:p w14:paraId="7631F397" w14:textId="77777777" w:rsidR="008A786C" w:rsidRDefault="008A786C" w:rsidP="008A786C">
      <w:pPr>
        <w:jc w:val="both"/>
        <w:rPr>
          <w:lang w:val="en-US"/>
        </w:rPr>
      </w:pPr>
    </w:p>
    <w:p w14:paraId="755ADEC4" w14:textId="77777777" w:rsidR="008A786C" w:rsidRDefault="008A786C" w:rsidP="008A786C">
      <w:pPr>
        <w:jc w:val="both"/>
        <w:rPr>
          <w:lang w:val="en-US"/>
        </w:rPr>
      </w:pPr>
    </w:p>
    <w:p w14:paraId="3A20E93C" w14:textId="77777777" w:rsidR="008A786C" w:rsidRDefault="008A786C" w:rsidP="008A786C">
      <w:pPr>
        <w:jc w:val="both"/>
        <w:rPr>
          <w:lang w:val="en-US"/>
        </w:rPr>
      </w:pPr>
    </w:p>
    <w:p w14:paraId="1BA06928" w14:textId="77777777" w:rsidR="008A786C" w:rsidRDefault="008A786C" w:rsidP="008A786C">
      <w:pPr>
        <w:jc w:val="both"/>
        <w:rPr>
          <w:lang w:val="en-US"/>
        </w:rPr>
      </w:pPr>
    </w:p>
    <w:p w14:paraId="73EEEC82" w14:textId="77777777" w:rsidR="008A786C" w:rsidRDefault="008A786C" w:rsidP="008A786C">
      <w:pPr>
        <w:jc w:val="both"/>
        <w:rPr>
          <w:lang w:val="en-US"/>
        </w:rPr>
      </w:pPr>
    </w:p>
    <w:p w14:paraId="2FF43448" w14:textId="77777777" w:rsidR="008A786C" w:rsidRDefault="008A786C" w:rsidP="008A786C">
      <w:pPr>
        <w:jc w:val="both"/>
        <w:rPr>
          <w:lang w:val="en-US"/>
        </w:rPr>
      </w:pPr>
    </w:p>
    <w:p w14:paraId="46868E24" w14:textId="77777777" w:rsidR="008A786C" w:rsidRDefault="008A786C" w:rsidP="008A786C">
      <w:pPr>
        <w:jc w:val="both"/>
        <w:rPr>
          <w:lang w:val="en-US"/>
        </w:rPr>
      </w:pPr>
    </w:p>
    <w:p w14:paraId="3307C8B4" w14:textId="77777777" w:rsidR="008A786C" w:rsidRDefault="008A786C" w:rsidP="008A786C">
      <w:pPr>
        <w:jc w:val="both"/>
        <w:rPr>
          <w:lang w:val="en-US"/>
        </w:rPr>
      </w:pPr>
    </w:p>
    <w:p w14:paraId="4CAB821F" w14:textId="77777777" w:rsidR="008A786C" w:rsidRDefault="008A786C" w:rsidP="008A786C">
      <w:pPr>
        <w:jc w:val="both"/>
        <w:rPr>
          <w:lang w:val="en-US"/>
        </w:rPr>
      </w:pPr>
    </w:p>
    <w:p w14:paraId="6AABCC35" w14:textId="77777777" w:rsidR="008A786C" w:rsidRDefault="008A786C" w:rsidP="008A786C">
      <w:pPr>
        <w:jc w:val="both"/>
        <w:rPr>
          <w:lang w:val="en-US"/>
        </w:rPr>
      </w:pPr>
    </w:p>
    <w:p w14:paraId="5BC5EB23" w14:textId="77777777" w:rsidR="008A786C" w:rsidRDefault="008A786C" w:rsidP="008A786C">
      <w:pPr>
        <w:jc w:val="both"/>
        <w:rPr>
          <w:lang w:val="en-US"/>
        </w:rPr>
      </w:pPr>
    </w:p>
    <w:p w14:paraId="52DA8E68" w14:textId="77777777" w:rsidR="008A786C" w:rsidRDefault="008A786C" w:rsidP="008A786C">
      <w:pPr>
        <w:jc w:val="both"/>
        <w:rPr>
          <w:lang w:val="en-US"/>
        </w:rPr>
      </w:pPr>
    </w:p>
    <w:p w14:paraId="25960CD1" w14:textId="77777777" w:rsidR="008A786C" w:rsidRDefault="008A786C" w:rsidP="008A786C">
      <w:pPr>
        <w:jc w:val="both"/>
        <w:rPr>
          <w:lang w:val="en-US"/>
        </w:rPr>
      </w:pPr>
    </w:p>
    <w:p w14:paraId="08766A06" w14:textId="77777777" w:rsidR="008A786C" w:rsidRDefault="008A786C" w:rsidP="008A786C">
      <w:pPr>
        <w:jc w:val="both"/>
        <w:rPr>
          <w:lang w:val="en-US"/>
        </w:rPr>
      </w:pPr>
    </w:p>
    <w:p w14:paraId="41CE0F38" w14:textId="77777777" w:rsidR="008A786C" w:rsidRDefault="008A786C" w:rsidP="008A786C">
      <w:pPr>
        <w:jc w:val="both"/>
        <w:rPr>
          <w:lang w:val="en-US"/>
        </w:rPr>
      </w:pPr>
    </w:p>
    <w:p w14:paraId="192AA32D" w14:textId="77777777" w:rsidR="008A786C" w:rsidRDefault="008A786C" w:rsidP="008A786C">
      <w:pPr>
        <w:jc w:val="both"/>
        <w:rPr>
          <w:lang w:val="en-US"/>
        </w:rPr>
      </w:pPr>
    </w:p>
    <w:p w14:paraId="13C2A1EF" w14:textId="77777777" w:rsidR="008A786C" w:rsidRPr="00971F24" w:rsidRDefault="009D52DC" w:rsidP="008A786C">
      <w:pPr>
        <w:jc w:val="both"/>
        <w:rPr>
          <w:rFonts w:asciiTheme="majorBidi" w:hAnsiTheme="majorBidi" w:cstheme="majorBidi"/>
        </w:rPr>
      </w:pPr>
      <w:r w:rsidRPr="00971F24">
        <w:rPr>
          <w:rFonts w:asciiTheme="majorBidi" w:hAnsiTheme="majorBidi" w:cstheme="majorBidi"/>
          <w:u w:val="single"/>
        </w:rPr>
        <w:t xml:space="preserve">Figure </w:t>
      </w:r>
      <w:r>
        <w:rPr>
          <w:rFonts w:asciiTheme="majorBidi" w:hAnsiTheme="majorBidi" w:cstheme="majorBidi"/>
          <w:u w:val="single"/>
        </w:rPr>
        <w:t>3</w:t>
      </w:r>
      <w:r w:rsidRPr="00971F24">
        <w:rPr>
          <w:rFonts w:asciiTheme="majorBidi" w:hAnsiTheme="majorBidi" w:cstheme="majorBidi"/>
        </w:rPr>
        <w:t xml:space="preserve">: Total citations and annual citations </w:t>
      </w:r>
    </w:p>
    <w:p w14:paraId="2CCB0439" w14:textId="77777777" w:rsidR="008A786C" w:rsidRDefault="009D52DC" w:rsidP="008A786C">
      <w:pPr>
        <w:jc w:val="both"/>
      </w:pPr>
      <w:r>
        <w:rPr>
          <w:noProof/>
          <w:lang w:val="en-US" w:eastAsia="en-US"/>
        </w:rPr>
        <w:drawing>
          <wp:anchor distT="0" distB="0" distL="114300" distR="114300" simplePos="0" relativeHeight="251663360" behindDoc="1" locked="0" layoutInCell="1" allowOverlap="1">
            <wp:simplePos x="0" y="0"/>
            <wp:positionH relativeFrom="column">
              <wp:posOffset>-291794</wp:posOffset>
            </wp:positionH>
            <wp:positionV relativeFrom="paragraph">
              <wp:posOffset>294750</wp:posOffset>
            </wp:positionV>
            <wp:extent cx="6512451" cy="3015484"/>
            <wp:effectExtent l="0" t="0" r="15875" b="7620"/>
            <wp:wrapTight wrapText="bothSides">
              <wp:wrapPolygon edited="0">
                <wp:start x="0" y="0"/>
                <wp:lineTo x="0" y="21564"/>
                <wp:lineTo x="21611" y="21564"/>
                <wp:lineTo x="21611" y="0"/>
                <wp:lineTo x="0" y="0"/>
              </wp:wrapPolygon>
            </wp:wrapTight>
            <wp:docPr id="33" name="Chart 33">
              <a:extLst xmlns:a="http://schemas.openxmlformats.org/drawingml/2006/main">
                <a:ext uri="{FF2B5EF4-FFF2-40B4-BE49-F238E27FC236}">
                  <a16:creationId xmlns:a16="http://schemas.microsoft.com/office/drawing/2014/main" id="{3E4A139C-0364-135A-D67E-635D286EB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36DD39B" w14:textId="77777777" w:rsidR="008A786C" w:rsidRDefault="008A786C" w:rsidP="008A786C">
      <w:pPr>
        <w:jc w:val="both"/>
      </w:pPr>
    </w:p>
    <w:p w14:paraId="275B8D12" w14:textId="77777777" w:rsidR="008A786C" w:rsidRDefault="008A786C" w:rsidP="008A786C">
      <w:pPr>
        <w:jc w:val="both"/>
      </w:pPr>
    </w:p>
    <w:p w14:paraId="7E3FA202" w14:textId="77777777" w:rsidR="008A786C" w:rsidRDefault="008A786C" w:rsidP="008A786C">
      <w:pPr>
        <w:jc w:val="both"/>
        <w:rPr>
          <w:lang w:val="en-US"/>
        </w:rPr>
      </w:pPr>
    </w:p>
    <w:p w14:paraId="6A3728F3" w14:textId="77777777" w:rsidR="008A786C" w:rsidRDefault="009D52DC" w:rsidP="008A786C">
      <w:pPr>
        <w:rPr>
          <w:lang w:val="en-US"/>
        </w:rPr>
      </w:pPr>
      <w:r>
        <w:rPr>
          <w:lang w:val="en-US"/>
        </w:rPr>
        <w:br w:type="page"/>
      </w:r>
    </w:p>
    <w:p w14:paraId="612AE6CA" w14:textId="77777777" w:rsidR="008A786C" w:rsidRDefault="008A786C" w:rsidP="008A786C">
      <w:pPr>
        <w:jc w:val="both"/>
        <w:rPr>
          <w:lang w:val="en-US"/>
        </w:rPr>
      </w:pPr>
    </w:p>
    <w:p w14:paraId="45E4BE88" w14:textId="77777777" w:rsidR="008A786C" w:rsidRPr="00971F24" w:rsidRDefault="009D52DC" w:rsidP="008A786C">
      <w:pPr>
        <w:jc w:val="both"/>
        <w:rPr>
          <w:rFonts w:asciiTheme="majorBidi" w:hAnsiTheme="majorBidi" w:cstheme="majorBidi"/>
          <w:lang w:val="en-US"/>
        </w:rPr>
      </w:pPr>
      <w:r w:rsidRPr="00971F24">
        <w:rPr>
          <w:rFonts w:asciiTheme="majorBidi" w:hAnsiTheme="majorBidi" w:cstheme="majorBidi"/>
          <w:u w:val="single"/>
          <w:lang w:val="en-US"/>
        </w:rPr>
        <w:t xml:space="preserve">Figure </w:t>
      </w:r>
      <w:r>
        <w:rPr>
          <w:rFonts w:asciiTheme="majorBidi" w:hAnsiTheme="majorBidi" w:cstheme="majorBidi"/>
          <w:u w:val="single"/>
          <w:lang w:val="en-US"/>
        </w:rPr>
        <w:t>4</w:t>
      </w:r>
      <w:r w:rsidRPr="00971F24">
        <w:rPr>
          <w:rFonts w:asciiTheme="majorBidi" w:hAnsiTheme="majorBidi" w:cstheme="majorBidi"/>
          <w:u w:val="single"/>
          <w:lang w:val="en-US"/>
        </w:rPr>
        <w:t>:</w:t>
      </w:r>
      <w:r w:rsidRPr="00971F24">
        <w:rPr>
          <w:rFonts w:asciiTheme="majorBidi" w:hAnsiTheme="majorBidi" w:cstheme="majorBidi"/>
          <w:lang w:val="en-US"/>
        </w:rPr>
        <w:t xml:space="preserve"> Country of origin of the 100 most cited articles </w:t>
      </w:r>
    </w:p>
    <w:p w14:paraId="736E3780" w14:textId="77777777" w:rsidR="008A786C" w:rsidRDefault="008A786C" w:rsidP="008A786C">
      <w:pPr>
        <w:jc w:val="both"/>
        <w:rPr>
          <w:lang w:val="en-US"/>
        </w:rPr>
      </w:pPr>
    </w:p>
    <w:p w14:paraId="6654305E" w14:textId="77777777" w:rsidR="008A786C" w:rsidRDefault="008A786C" w:rsidP="008A786C">
      <w:pPr>
        <w:jc w:val="both"/>
        <w:rPr>
          <w:u w:val="single"/>
          <w:lang w:val="en-US"/>
        </w:rPr>
      </w:pPr>
    </w:p>
    <w:p w14:paraId="46D0848D" w14:textId="77777777" w:rsidR="008A786C" w:rsidRDefault="009D52DC" w:rsidP="008A786C">
      <w:pPr>
        <w:jc w:val="both"/>
        <w:rPr>
          <w:u w:val="single"/>
          <w:lang w:val="en-US"/>
        </w:rPr>
      </w:pPr>
      <w:r w:rsidRPr="005B5DFA">
        <w:rPr>
          <w:noProof/>
          <w:u w:val="single"/>
          <w:lang w:val="en-US" w:eastAsia="en-US"/>
        </w:rPr>
        <w:drawing>
          <wp:anchor distT="0" distB="0" distL="114300" distR="114300" simplePos="0" relativeHeight="251666432" behindDoc="0" locked="0" layoutInCell="1" allowOverlap="1">
            <wp:simplePos x="0" y="0"/>
            <wp:positionH relativeFrom="column">
              <wp:posOffset>-327025</wp:posOffset>
            </wp:positionH>
            <wp:positionV relativeFrom="paragraph">
              <wp:posOffset>243205</wp:posOffset>
            </wp:positionV>
            <wp:extent cx="6187440" cy="396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rcRect l="949" b="1650"/>
                    <a:stretch>
                      <a:fillRect/>
                    </a:stretch>
                  </pic:blipFill>
                  <pic:spPr bwMode="auto">
                    <a:xfrm>
                      <a:off x="0" y="0"/>
                      <a:ext cx="6187440"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79FF79" w14:textId="77777777" w:rsidR="008A786C" w:rsidRDefault="008A786C" w:rsidP="008A786C">
      <w:pPr>
        <w:jc w:val="both"/>
        <w:rPr>
          <w:u w:val="single"/>
          <w:lang w:val="en-US"/>
        </w:rPr>
      </w:pPr>
    </w:p>
    <w:p w14:paraId="0B4A8E2A" w14:textId="77777777" w:rsidR="008A786C" w:rsidRDefault="008A786C" w:rsidP="008A786C">
      <w:pPr>
        <w:jc w:val="both"/>
        <w:rPr>
          <w:u w:val="single"/>
          <w:lang w:val="en-US"/>
        </w:rPr>
      </w:pPr>
    </w:p>
    <w:p w14:paraId="463CA67E" w14:textId="77777777" w:rsidR="008A786C" w:rsidRDefault="008A786C" w:rsidP="008A786C">
      <w:pPr>
        <w:jc w:val="both"/>
        <w:rPr>
          <w:u w:val="single"/>
          <w:lang w:val="en-US"/>
        </w:rPr>
      </w:pPr>
    </w:p>
    <w:p w14:paraId="1FCC0352" w14:textId="77777777" w:rsidR="008A786C" w:rsidRDefault="008A786C" w:rsidP="008A786C">
      <w:pPr>
        <w:jc w:val="both"/>
        <w:rPr>
          <w:u w:val="single"/>
          <w:lang w:val="en-US"/>
        </w:rPr>
      </w:pPr>
    </w:p>
    <w:p w14:paraId="70A82891" w14:textId="77777777" w:rsidR="008A786C" w:rsidRDefault="008A786C" w:rsidP="008A786C">
      <w:pPr>
        <w:jc w:val="both"/>
        <w:rPr>
          <w:u w:val="single"/>
          <w:lang w:val="en-US"/>
        </w:rPr>
      </w:pPr>
    </w:p>
    <w:p w14:paraId="7E294353" w14:textId="77777777" w:rsidR="008A786C" w:rsidRDefault="008A786C" w:rsidP="008A786C">
      <w:pPr>
        <w:jc w:val="both"/>
        <w:rPr>
          <w:u w:val="single"/>
          <w:lang w:val="en-US"/>
        </w:rPr>
      </w:pPr>
    </w:p>
    <w:p w14:paraId="1008C2B6" w14:textId="77777777" w:rsidR="008A786C" w:rsidRDefault="008A786C" w:rsidP="008A786C">
      <w:pPr>
        <w:jc w:val="both"/>
        <w:rPr>
          <w:u w:val="single"/>
          <w:lang w:val="en-US"/>
        </w:rPr>
      </w:pPr>
    </w:p>
    <w:p w14:paraId="3B2287D3" w14:textId="77777777" w:rsidR="008A786C" w:rsidRDefault="008A786C" w:rsidP="008A786C">
      <w:pPr>
        <w:jc w:val="both"/>
        <w:rPr>
          <w:u w:val="single"/>
          <w:lang w:val="en-US"/>
        </w:rPr>
      </w:pPr>
    </w:p>
    <w:p w14:paraId="36C17CF9" w14:textId="77777777" w:rsidR="008A786C" w:rsidRDefault="009D52DC" w:rsidP="008A786C">
      <w:pPr>
        <w:rPr>
          <w:u w:val="single"/>
          <w:lang w:val="en-US"/>
        </w:rPr>
      </w:pPr>
      <w:r>
        <w:rPr>
          <w:u w:val="single"/>
          <w:lang w:val="en-US"/>
        </w:rPr>
        <w:br w:type="page"/>
      </w:r>
    </w:p>
    <w:p w14:paraId="37E435B3" w14:textId="77777777" w:rsidR="008A786C" w:rsidRDefault="009D52DC" w:rsidP="008A786C">
      <w:pPr>
        <w:jc w:val="both"/>
        <w:rPr>
          <w:lang w:val="en-US"/>
        </w:rPr>
      </w:pPr>
      <w:r>
        <w:rPr>
          <w:u w:val="single"/>
          <w:lang w:val="en-US"/>
        </w:rPr>
        <w:t>Figure 5</w:t>
      </w:r>
      <w:r w:rsidRPr="002E6DB2">
        <w:rPr>
          <w:u w:val="single"/>
          <w:lang w:val="en-US"/>
        </w:rPr>
        <w:t>:</w:t>
      </w:r>
      <w:r>
        <w:rPr>
          <w:lang w:val="en-US"/>
        </w:rPr>
        <w:t xml:space="preserve"> Most published authors with their affiliated institution and countries </w:t>
      </w:r>
    </w:p>
    <w:p w14:paraId="48ECD451" w14:textId="77777777" w:rsidR="008A786C" w:rsidRDefault="008A786C" w:rsidP="008A786C">
      <w:pPr>
        <w:jc w:val="both"/>
        <w:rPr>
          <w:lang w:val="en-US"/>
        </w:rPr>
      </w:pPr>
    </w:p>
    <w:p w14:paraId="4099FB6C" w14:textId="77777777" w:rsidR="008A786C" w:rsidRDefault="009D52DC" w:rsidP="008A786C">
      <w:pPr>
        <w:jc w:val="both"/>
        <w:rPr>
          <w:lang w:val="en-US"/>
        </w:rPr>
      </w:pPr>
      <w:r w:rsidRPr="00F343CB">
        <w:rPr>
          <w:noProof/>
          <w:lang w:val="en-US" w:eastAsia="en-US"/>
        </w:rPr>
        <w:drawing>
          <wp:anchor distT="0" distB="0" distL="114300" distR="114300" simplePos="0" relativeHeight="251660288" behindDoc="1" locked="0" layoutInCell="1" allowOverlap="1">
            <wp:simplePos x="0" y="0"/>
            <wp:positionH relativeFrom="column">
              <wp:posOffset>-472221</wp:posOffset>
            </wp:positionH>
            <wp:positionV relativeFrom="paragraph">
              <wp:posOffset>227570</wp:posOffset>
            </wp:positionV>
            <wp:extent cx="6781077" cy="2030724"/>
            <wp:effectExtent l="0" t="0" r="1270" b="1905"/>
            <wp:wrapTight wrapText="bothSides">
              <wp:wrapPolygon edited="0">
                <wp:start x="0" y="0"/>
                <wp:lineTo x="0" y="21485"/>
                <wp:lineTo x="21564" y="21485"/>
                <wp:lineTo x="21564" y="0"/>
                <wp:lineTo x="0" y="0"/>
              </wp:wrapPolygon>
            </wp:wrapTight>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81077" cy="2030724"/>
                    </a:xfrm>
                    <a:prstGeom prst="rect">
                      <a:avLst/>
                    </a:prstGeom>
                  </pic:spPr>
                </pic:pic>
              </a:graphicData>
            </a:graphic>
            <wp14:sizeRelH relativeFrom="page">
              <wp14:pctWidth>0</wp14:pctWidth>
            </wp14:sizeRelH>
            <wp14:sizeRelV relativeFrom="page">
              <wp14:pctHeight>0</wp14:pctHeight>
            </wp14:sizeRelV>
          </wp:anchor>
        </w:drawing>
      </w:r>
    </w:p>
    <w:p w14:paraId="6E4F2976" w14:textId="77777777" w:rsidR="008A786C" w:rsidRDefault="008A786C" w:rsidP="008A786C">
      <w:pPr>
        <w:jc w:val="both"/>
        <w:rPr>
          <w:lang w:val="en-US"/>
        </w:rPr>
      </w:pPr>
    </w:p>
    <w:p w14:paraId="6DF67BCA" w14:textId="77777777" w:rsidR="008A786C" w:rsidRDefault="008A786C" w:rsidP="008A786C">
      <w:pPr>
        <w:jc w:val="both"/>
        <w:rPr>
          <w:lang w:val="en-US"/>
        </w:rPr>
      </w:pPr>
    </w:p>
    <w:p w14:paraId="23F7F231" w14:textId="77777777" w:rsidR="008A786C" w:rsidRDefault="008A786C" w:rsidP="008A786C">
      <w:pPr>
        <w:jc w:val="both"/>
        <w:rPr>
          <w:lang w:val="en-US"/>
        </w:rPr>
      </w:pPr>
    </w:p>
    <w:p w14:paraId="7A12F460" w14:textId="77777777" w:rsidR="008A786C" w:rsidRDefault="009D52DC" w:rsidP="008A786C">
      <w:pPr>
        <w:rPr>
          <w:lang w:val="en-US"/>
        </w:rPr>
      </w:pPr>
      <w:r>
        <w:rPr>
          <w:lang w:val="en-US"/>
        </w:rPr>
        <w:br w:type="page"/>
      </w:r>
    </w:p>
    <w:p w14:paraId="4435F804" w14:textId="77777777" w:rsidR="008A786C" w:rsidRDefault="008A786C" w:rsidP="008A786C">
      <w:pPr>
        <w:jc w:val="both"/>
        <w:rPr>
          <w:lang w:val="en-US"/>
        </w:rPr>
      </w:pPr>
    </w:p>
    <w:p w14:paraId="65789614" w14:textId="77777777" w:rsidR="008A786C" w:rsidRPr="00971F24" w:rsidRDefault="008A786C" w:rsidP="008A786C">
      <w:pPr>
        <w:jc w:val="both"/>
        <w:rPr>
          <w:rFonts w:asciiTheme="majorBidi" w:hAnsiTheme="majorBidi" w:cstheme="majorBidi"/>
          <w:lang w:val="en-US"/>
        </w:rPr>
      </w:pPr>
    </w:p>
    <w:p w14:paraId="5E227B4B" w14:textId="77777777" w:rsidR="008A786C" w:rsidRPr="00971F24" w:rsidRDefault="009D52DC" w:rsidP="008A786C">
      <w:pPr>
        <w:jc w:val="both"/>
        <w:rPr>
          <w:rFonts w:asciiTheme="majorBidi" w:hAnsiTheme="majorBidi" w:cstheme="majorBidi"/>
          <w:lang w:val="en-US"/>
        </w:rPr>
      </w:pPr>
      <w:r w:rsidRPr="00971F24">
        <w:rPr>
          <w:rFonts w:asciiTheme="majorBidi" w:hAnsiTheme="majorBidi" w:cstheme="majorBidi"/>
          <w:noProof/>
          <w:u w:val="single"/>
          <w:lang w:val="en-US" w:eastAsia="en-US"/>
        </w:rPr>
        <w:drawing>
          <wp:anchor distT="0" distB="0" distL="114300" distR="114300" simplePos="0" relativeHeight="251659264" behindDoc="1" locked="0" layoutInCell="1" allowOverlap="1">
            <wp:simplePos x="0" y="0"/>
            <wp:positionH relativeFrom="column">
              <wp:posOffset>-462937</wp:posOffset>
            </wp:positionH>
            <wp:positionV relativeFrom="paragraph">
              <wp:posOffset>342571</wp:posOffset>
            </wp:positionV>
            <wp:extent cx="6776720" cy="6179820"/>
            <wp:effectExtent l="0" t="0" r="17780" b="17780"/>
            <wp:wrapTight wrapText="bothSides">
              <wp:wrapPolygon edited="0">
                <wp:start x="0" y="0"/>
                <wp:lineTo x="0" y="21618"/>
                <wp:lineTo x="21616" y="21618"/>
                <wp:lineTo x="21616" y="0"/>
                <wp:lineTo x="0" y="0"/>
              </wp:wrapPolygon>
            </wp:wrapTight>
            <wp:docPr id="27" name="Chart 27">
              <a:extLst xmlns:a="http://schemas.openxmlformats.org/drawingml/2006/main">
                <a:ext uri="{FF2B5EF4-FFF2-40B4-BE49-F238E27FC236}">
                  <a16:creationId xmlns:a16="http://schemas.microsoft.com/office/drawing/2014/main" id="{A215DB5B-026B-B7A7-C4DB-920C4778E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71F24">
        <w:rPr>
          <w:rFonts w:asciiTheme="majorBidi" w:hAnsiTheme="majorBidi" w:cstheme="majorBidi"/>
          <w:noProof/>
          <w:u w:val="single"/>
        </w:rPr>
        <w:t>Figure</w:t>
      </w:r>
      <w:r w:rsidRPr="00971F24">
        <w:rPr>
          <w:rFonts w:asciiTheme="majorBidi" w:hAnsiTheme="majorBidi" w:cstheme="majorBidi"/>
          <w:u w:val="single"/>
          <w:lang w:val="en-US"/>
        </w:rPr>
        <w:t xml:space="preserve"> </w:t>
      </w:r>
      <w:r>
        <w:rPr>
          <w:rFonts w:asciiTheme="majorBidi" w:hAnsiTheme="majorBidi" w:cstheme="majorBidi"/>
          <w:u w:val="single"/>
          <w:lang w:val="en-US"/>
        </w:rPr>
        <w:t>6</w:t>
      </w:r>
      <w:r w:rsidRPr="00971F24">
        <w:rPr>
          <w:rFonts w:asciiTheme="majorBidi" w:hAnsiTheme="majorBidi" w:cstheme="majorBidi"/>
          <w:u w:val="single"/>
          <w:lang w:val="en-US"/>
        </w:rPr>
        <w:t>:</w:t>
      </w:r>
      <w:r w:rsidRPr="00971F24">
        <w:rPr>
          <w:rFonts w:asciiTheme="majorBidi" w:hAnsiTheme="majorBidi" w:cstheme="majorBidi"/>
          <w:lang w:val="en-US"/>
        </w:rPr>
        <w:t xml:space="preserve"> Top journals of publication</w:t>
      </w:r>
    </w:p>
    <w:p w14:paraId="6BE0DA04" w14:textId="77777777" w:rsidR="008A786C" w:rsidRDefault="008A786C" w:rsidP="008A786C">
      <w:pPr>
        <w:jc w:val="both"/>
        <w:rPr>
          <w:lang w:val="en-US"/>
        </w:rPr>
      </w:pPr>
    </w:p>
    <w:p w14:paraId="2C18A944" w14:textId="77777777" w:rsidR="008A786C" w:rsidRDefault="008A786C" w:rsidP="008A786C">
      <w:pPr>
        <w:rPr>
          <w:lang w:val="en-US"/>
        </w:rPr>
      </w:pPr>
    </w:p>
    <w:p w14:paraId="49225910" w14:textId="77777777" w:rsidR="008A786C" w:rsidRDefault="008A786C" w:rsidP="008A786C">
      <w:pPr>
        <w:rPr>
          <w:lang w:val="en-US"/>
        </w:rPr>
      </w:pPr>
    </w:p>
    <w:p w14:paraId="45BF9FF7" w14:textId="77777777" w:rsidR="008A786C" w:rsidRDefault="008A786C" w:rsidP="008A786C">
      <w:pPr>
        <w:rPr>
          <w:lang w:val="en-US"/>
        </w:rPr>
      </w:pPr>
    </w:p>
    <w:p w14:paraId="6368A8CF" w14:textId="77777777" w:rsidR="008A786C" w:rsidRDefault="008A786C" w:rsidP="008A786C">
      <w:pPr>
        <w:rPr>
          <w:lang w:val="en-US"/>
        </w:rPr>
      </w:pPr>
    </w:p>
    <w:p w14:paraId="4121047C" w14:textId="77777777" w:rsidR="008A786C" w:rsidRDefault="008A786C" w:rsidP="008A786C">
      <w:pPr>
        <w:rPr>
          <w:lang w:val="en-US"/>
        </w:rPr>
      </w:pPr>
    </w:p>
    <w:p w14:paraId="2AB5E97B" w14:textId="77777777" w:rsidR="008A786C" w:rsidRDefault="008A786C" w:rsidP="008A786C">
      <w:pPr>
        <w:rPr>
          <w:lang w:val="en-US"/>
        </w:rPr>
      </w:pPr>
    </w:p>
    <w:p w14:paraId="1FCAE4C2" w14:textId="77777777" w:rsidR="008A786C" w:rsidRDefault="008A786C" w:rsidP="008A786C">
      <w:pPr>
        <w:rPr>
          <w:lang w:val="en-US"/>
        </w:rPr>
      </w:pPr>
    </w:p>
    <w:p w14:paraId="45B6AE7C" w14:textId="77777777" w:rsidR="008A786C" w:rsidRDefault="008A786C" w:rsidP="008A786C">
      <w:pPr>
        <w:rPr>
          <w:lang w:val="en-US"/>
        </w:rPr>
      </w:pPr>
    </w:p>
    <w:p w14:paraId="0C5093E1" w14:textId="77777777" w:rsidR="008A786C" w:rsidRDefault="008A786C" w:rsidP="008A786C">
      <w:pPr>
        <w:rPr>
          <w:lang w:val="en-US"/>
        </w:rPr>
      </w:pPr>
    </w:p>
    <w:p w14:paraId="0A45E77F" w14:textId="77777777" w:rsidR="008A786C" w:rsidRDefault="008A786C" w:rsidP="008A786C">
      <w:pPr>
        <w:rPr>
          <w:lang w:val="en-US"/>
        </w:rPr>
      </w:pPr>
    </w:p>
    <w:p w14:paraId="36CEB4ED" w14:textId="77777777" w:rsidR="008A786C" w:rsidRDefault="009D52DC" w:rsidP="008A786C">
      <w:pPr>
        <w:jc w:val="both"/>
        <w:rPr>
          <w:lang w:val="en-US"/>
        </w:rPr>
      </w:pPr>
      <w:r w:rsidRPr="00C61510">
        <w:rPr>
          <w:u w:val="single"/>
          <w:lang w:val="en-US"/>
        </w:rPr>
        <w:t xml:space="preserve">Figure </w:t>
      </w:r>
      <w:r>
        <w:rPr>
          <w:u w:val="single"/>
          <w:lang w:val="en-US"/>
        </w:rPr>
        <w:t>7</w:t>
      </w:r>
      <w:r w:rsidRPr="00C61510">
        <w:rPr>
          <w:u w:val="single"/>
          <w:lang w:val="en-US"/>
        </w:rPr>
        <w:t>:</w:t>
      </w:r>
      <w:r>
        <w:rPr>
          <w:lang w:val="en-US"/>
        </w:rPr>
        <w:t xml:space="preserve"> Impact factor of Journal 2021</w:t>
      </w:r>
    </w:p>
    <w:p w14:paraId="32FFAE02" w14:textId="77777777" w:rsidR="008A786C" w:rsidRDefault="008A786C" w:rsidP="008A786C">
      <w:pPr>
        <w:jc w:val="both"/>
        <w:rPr>
          <w:rFonts w:asciiTheme="majorBidi" w:hAnsiTheme="majorBidi" w:cstheme="majorBidi"/>
          <w:u w:val="single"/>
          <w:lang w:val="en-US"/>
        </w:rPr>
      </w:pPr>
    </w:p>
    <w:p w14:paraId="15C34843" w14:textId="77777777" w:rsidR="008A786C" w:rsidRDefault="009D52DC" w:rsidP="008A786C">
      <w:pPr>
        <w:rPr>
          <w:lang w:val="en-US"/>
        </w:rPr>
      </w:pPr>
      <w:r>
        <w:rPr>
          <w:noProof/>
          <w:lang w:val="en-US" w:eastAsia="en-US"/>
        </w:rPr>
        <w:drawing>
          <wp:inline distT="0" distB="0" distL="0" distR="0">
            <wp:extent cx="5683546" cy="3573339"/>
            <wp:effectExtent l="0" t="0" r="6350" b="8255"/>
            <wp:docPr id="3" name="Chart 3">
              <a:extLst xmlns:a="http://schemas.openxmlformats.org/drawingml/2006/main">
                <a:ext uri="{FF2B5EF4-FFF2-40B4-BE49-F238E27FC236}">
                  <a16:creationId xmlns:a16="http://schemas.microsoft.com/office/drawing/2014/main" id="{AAD77DD1-94EE-C9B7-C359-0363C2409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lang w:val="en-US"/>
        </w:rPr>
        <w:t xml:space="preserve"> </w:t>
      </w:r>
      <w:r>
        <w:rPr>
          <w:lang w:val="en-US"/>
        </w:rPr>
        <w:br w:type="page"/>
      </w:r>
    </w:p>
    <w:p w14:paraId="7FB7FB64" w14:textId="77777777" w:rsidR="008A786C" w:rsidRDefault="008A786C" w:rsidP="008A786C">
      <w:pPr>
        <w:jc w:val="both"/>
        <w:rPr>
          <w:rFonts w:asciiTheme="majorBidi" w:hAnsiTheme="majorBidi" w:cstheme="majorBidi"/>
          <w:u w:val="single"/>
          <w:lang w:val="en-US"/>
        </w:rPr>
      </w:pPr>
    </w:p>
    <w:p w14:paraId="50342F5A" w14:textId="77777777" w:rsidR="008A786C" w:rsidRDefault="008A786C" w:rsidP="008A786C">
      <w:pPr>
        <w:jc w:val="both"/>
        <w:rPr>
          <w:rFonts w:asciiTheme="majorBidi" w:hAnsiTheme="majorBidi" w:cstheme="majorBidi"/>
          <w:u w:val="single"/>
          <w:lang w:val="en-US"/>
        </w:rPr>
      </w:pPr>
    </w:p>
    <w:p w14:paraId="7D096BA1" w14:textId="77777777" w:rsidR="008A786C" w:rsidRPr="00971F24" w:rsidRDefault="009D52DC" w:rsidP="008A786C">
      <w:pPr>
        <w:jc w:val="both"/>
        <w:rPr>
          <w:rFonts w:asciiTheme="majorBidi" w:hAnsiTheme="majorBidi" w:cstheme="majorBidi"/>
          <w:lang w:val="en-US"/>
        </w:rPr>
      </w:pPr>
      <w:r w:rsidRPr="00971F24">
        <w:rPr>
          <w:rFonts w:asciiTheme="majorBidi" w:hAnsiTheme="majorBidi" w:cstheme="majorBidi"/>
          <w:u w:val="single"/>
          <w:lang w:val="en-US"/>
        </w:rPr>
        <w:t xml:space="preserve">Figure </w:t>
      </w:r>
      <w:r>
        <w:rPr>
          <w:rFonts w:asciiTheme="majorBidi" w:hAnsiTheme="majorBidi" w:cstheme="majorBidi"/>
          <w:u w:val="single"/>
          <w:lang w:val="en-US"/>
        </w:rPr>
        <w:t>8</w:t>
      </w:r>
      <w:r w:rsidRPr="00971F24">
        <w:rPr>
          <w:rFonts w:asciiTheme="majorBidi" w:hAnsiTheme="majorBidi" w:cstheme="majorBidi"/>
          <w:u w:val="single"/>
          <w:lang w:val="en-US"/>
        </w:rPr>
        <w:t>:</w:t>
      </w:r>
      <w:r w:rsidRPr="00971F24">
        <w:rPr>
          <w:rFonts w:asciiTheme="majorBidi" w:hAnsiTheme="majorBidi" w:cstheme="majorBidi"/>
          <w:lang w:val="en-US"/>
        </w:rPr>
        <w:t xml:space="preserve"> Research areas of the 100 most cited articles</w:t>
      </w:r>
    </w:p>
    <w:p w14:paraId="6D72FAD1" w14:textId="77777777" w:rsidR="008A786C" w:rsidRDefault="008A786C" w:rsidP="008A786C">
      <w:pPr>
        <w:jc w:val="both"/>
        <w:rPr>
          <w:lang w:val="en-US"/>
        </w:rPr>
      </w:pPr>
    </w:p>
    <w:p w14:paraId="6F0D2387" w14:textId="77777777" w:rsidR="008A786C" w:rsidRDefault="009D52DC" w:rsidP="008A786C">
      <w:pPr>
        <w:rPr>
          <w:lang w:val="en-US"/>
        </w:rPr>
      </w:pPr>
      <w:r w:rsidRPr="00470A2E">
        <w:rPr>
          <w:noProof/>
          <w:lang w:val="en-US" w:eastAsia="en-US"/>
        </w:rPr>
        <w:drawing>
          <wp:anchor distT="0" distB="0" distL="114300" distR="114300" simplePos="0" relativeHeight="251662336" behindDoc="0" locked="0" layoutInCell="1" allowOverlap="1">
            <wp:simplePos x="0" y="0"/>
            <wp:positionH relativeFrom="column">
              <wp:posOffset>-53252</wp:posOffset>
            </wp:positionH>
            <wp:positionV relativeFrom="paragraph">
              <wp:posOffset>64048</wp:posOffset>
            </wp:positionV>
            <wp:extent cx="2807335" cy="4803775"/>
            <wp:effectExtent l="0" t="0" r="0" b="0"/>
            <wp:wrapSquare wrapText="bothSides"/>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07335" cy="4803775"/>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14:paraId="6618D8C5" w14:textId="77777777" w:rsidR="008A786C" w:rsidRDefault="008A786C" w:rsidP="008A786C">
      <w:pPr>
        <w:jc w:val="both"/>
      </w:pPr>
    </w:p>
    <w:p w14:paraId="6240D89A" w14:textId="77777777" w:rsidR="008A786C" w:rsidRPr="00971F24" w:rsidRDefault="009D52DC" w:rsidP="008A786C">
      <w:pPr>
        <w:jc w:val="both"/>
        <w:rPr>
          <w:rFonts w:asciiTheme="majorBidi" w:hAnsiTheme="majorBidi" w:cstheme="majorBidi"/>
        </w:rPr>
      </w:pPr>
      <w:r w:rsidRPr="00971F24">
        <w:rPr>
          <w:rFonts w:asciiTheme="majorBidi" w:hAnsiTheme="majorBidi" w:cstheme="majorBidi"/>
          <w:u w:val="single"/>
        </w:rPr>
        <w:t xml:space="preserve">Figure </w:t>
      </w:r>
      <w:r>
        <w:rPr>
          <w:rFonts w:asciiTheme="majorBidi" w:hAnsiTheme="majorBidi" w:cstheme="majorBidi"/>
          <w:u w:val="single"/>
        </w:rPr>
        <w:t>9</w:t>
      </w:r>
      <w:r w:rsidRPr="00971F24">
        <w:rPr>
          <w:rFonts w:asciiTheme="majorBidi" w:hAnsiTheme="majorBidi" w:cstheme="majorBidi"/>
          <w:u w:val="single"/>
        </w:rPr>
        <w:t>:</w:t>
      </w:r>
      <w:r w:rsidRPr="00971F24">
        <w:rPr>
          <w:rFonts w:asciiTheme="majorBidi" w:hAnsiTheme="majorBidi" w:cstheme="majorBidi"/>
        </w:rPr>
        <w:t xml:space="preserve"> Study design of original articles per decade </w:t>
      </w:r>
    </w:p>
    <w:p w14:paraId="6CC28062" w14:textId="77777777" w:rsidR="008A786C" w:rsidRDefault="009D52DC" w:rsidP="008A786C">
      <w:pPr>
        <w:jc w:val="both"/>
      </w:pPr>
      <w:r>
        <w:rPr>
          <w:noProof/>
          <w:lang w:val="en-US" w:eastAsia="en-US"/>
        </w:rPr>
        <w:drawing>
          <wp:anchor distT="0" distB="0" distL="114300" distR="114300" simplePos="0" relativeHeight="251661312" behindDoc="0" locked="0" layoutInCell="1" allowOverlap="1">
            <wp:simplePos x="0" y="0"/>
            <wp:positionH relativeFrom="column">
              <wp:posOffset>-519956</wp:posOffset>
            </wp:positionH>
            <wp:positionV relativeFrom="paragraph">
              <wp:posOffset>247934</wp:posOffset>
            </wp:positionV>
            <wp:extent cx="6677025" cy="4450080"/>
            <wp:effectExtent l="0" t="0" r="15875" b="7620"/>
            <wp:wrapSquare wrapText="bothSides"/>
            <wp:docPr id="36" name="Chart 36">
              <a:extLst xmlns:a="http://schemas.openxmlformats.org/drawingml/2006/main">
                <a:ext uri="{FF2B5EF4-FFF2-40B4-BE49-F238E27FC236}">
                  <a16:creationId xmlns:a16="http://schemas.microsoft.com/office/drawing/2014/main" id="{894C4BD7-9AEA-AB47-1AD2-997DC3B01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CC413C7" w14:textId="77777777" w:rsidR="008A786C" w:rsidRDefault="008A786C" w:rsidP="008A786C">
      <w:pPr>
        <w:jc w:val="both"/>
      </w:pPr>
    </w:p>
    <w:p w14:paraId="0937B3F4" w14:textId="77777777" w:rsidR="008A786C" w:rsidRDefault="008A786C" w:rsidP="008A786C">
      <w:pPr>
        <w:jc w:val="both"/>
      </w:pPr>
    </w:p>
    <w:p w14:paraId="38FF5874" w14:textId="77777777" w:rsidR="008A786C" w:rsidRDefault="008A786C" w:rsidP="008A786C">
      <w:pPr>
        <w:jc w:val="both"/>
      </w:pPr>
    </w:p>
    <w:p w14:paraId="36F1388D" w14:textId="77777777" w:rsidR="008A786C" w:rsidRDefault="008A786C" w:rsidP="008A786C">
      <w:pPr>
        <w:jc w:val="both"/>
      </w:pPr>
    </w:p>
    <w:p w14:paraId="5F134DF7" w14:textId="77777777" w:rsidR="008A786C" w:rsidRDefault="009D52DC" w:rsidP="008A786C">
      <w:r>
        <w:br w:type="page"/>
      </w:r>
    </w:p>
    <w:p w14:paraId="02A2E748" w14:textId="77777777" w:rsidR="008A786C" w:rsidRPr="00971F24" w:rsidRDefault="009D52DC" w:rsidP="008A786C">
      <w:pPr>
        <w:jc w:val="both"/>
        <w:rPr>
          <w:rFonts w:asciiTheme="majorBidi" w:hAnsiTheme="majorBidi" w:cstheme="majorBidi"/>
        </w:rPr>
      </w:pPr>
      <w:r w:rsidRPr="00971F24">
        <w:rPr>
          <w:rFonts w:asciiTheme="majorBidi" w:hAnsiTheme="majorBidi" w:cstheme="majorBidi"/>
          <w:u w:val="single"/>
        </w:rPr>
        <w:t xml:space="preserve">Figure </w:t>
      </w:r>
      <w:r>
        <w:rPr>
          <w:rFonts w:asciiTheme="majorBidi" w:hAnsiTheme="majorBidi" w:cstheme="majorBidi"/>
          <w:u w:val="single"/>
        </w:rPr>
        <w:t>10</w:t>
      </w:r>
      <w:r w:rsidRPr="00971F24">
        <w:rPr>
          <w:rFonts w:asciiTheme="majorBidi" w:hAnsiTheme="majorBidi" w:cstheme="majorBidi"/>
          <w:u w:val="single"/>
        </w:rPr>
        <w:t>:</w:t>
      </w:r>
      <w:r w:rsidRPr="00971F24">
        <w:rPr>
          <w:rFonts w:asciiTheme="majorBidi" w:hAnsiTheme="majorBidi" w:cstheme="majorBidi"/>
        </w:rPr>
        <w:t xml:space="preserve"> Research focus of original articles per decade </w:t>
      </w:r>
    </w:p>
    <w:p w14:paraId="3E8F73DF" w14:textId="77777777" w:rsidR="008A786C" w:rsidRDefault="009D52DC" w:rsidP="008A786C">
      <w:pPr>
        <w:jc w:val="both"/>
      </w:pPr>
      <w:r>
        <w:rPr>
          <w:noProof/>
          <w:lang w:val="en-US" w:eastAsia="en-US"/>
        </w:rPr>
        <w:drawing>
          <wp:anchor distT="0" distB="0" distL="114300" distR="114300" simplePos="0" relativeHeight="251665408" behindDoc="1" locked="0" layoutInCell="1" allowOverlap="1">
            <wp:simplePos x="0" y="0"/>
            <wp:positionH relativeFrom="column">
              <wp:posOffset>-558056</wp:posOffset>
            </wp:positionH>
            <wp:positionV relativeFrom="paragraph">
              <wp:posOffset>275940</wp:posOffset>
            </wp:positionV>
            <wp:extent cx="6716067" cy="4414301"/>
            <wp:effectExtent l="0" t="0" r="15240" b="18415"/>
            <wp:wrapTight wrapText="bothSides">
              <wp:wrapPolygon edited="0">
                <wp:start x="0" y="0"/>
                <wp:lineTo x="0" y="21628"/>
                <wp:lineTo x="21608" y="21628"/>
                <wp:lineTo x="21608" y="0"/>
                <wp:lineTo x="0" y="0"/>
              </wp:wrapPolygon>
            </wp:wrapTight>
            <wp:docPr id="37" name="Chart 37">
              <a:extLst xmlns:a="http://schemas.openxmlformats.org/drawingml/2006/main">
                <a:ext uri="{FF2B5EF4-FFF2-40B4-BE49-F238E27FC236}">
                  <a16:creationId xmlns:a16="http://schemas.microsoft.com/office/drawing/2014/main" id="{352530AB-0C01-CBF4-2E83-C0B7BB787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05D0D21" w14:textId="77777777" w:rsidR="008A786C" w:rsidRDefault="008A786C" w:rsidP="008A786C">
      <w:pPr>
        <w:jc w:val="both"/>
      </w:pPr>
    </w:p>
    <w:p w14:paraId="2CCD70AC" w14:textId="77777777" w:rsidR="008A786C" w:rsidRDefault="008A786C" w:rsidP="008A786C">
      <w:pPr>
        <w:jc w:val="both"/>
      </w:pPr>
    </w:p>
    <w:p w14:paraId="60684D79" w14:textId="77777777" w:rsidR="008A786C" w:rsidRDefault="009D52DC" w:rsidP="008A786C">
      <w:pPr>
        <w:rPr>
          <w:u w:val="single"/>
        </w:rPr>
      </w:pPr>
      <w:r>
        <w:rPr>
          <w:u w:val="single"/>
        </w:rPr>
        <w:br w:type="page"/>
      </w:r>
    </w:p>
    <w:p w14:paraId="1C7116BE" w14:textId="77777777" w:rsidR="008A786C" w:rsidRDefault="009D52DC" w:rsidP="008A786C">
      <w:pPr>
        <w:jc w:val="both"/>
      </w:pPr>
      <w:r w:rsidRPr="00971F24">
        <w:rPr>
          <w:rFonts w:asciiTheme="majorBidi" w:hAnsiTheme="majorBidi" w:cstheme="majorBidi"/>
          <w:noProof/>
          <w:lang w:val="en-US" w:eastAsia="en-US"/>
        </w:rPr>
        <w:drawing>
          <wp:anchor distT="0" distB="0" distL="114300" distR="114300" simplePos="0" relativeHeight="251664384" behindDoc="1" locked="0" layoutInCell="1" allowOverlap="1">
            <wp:simplePos x="0" y="0"/>
            <wp:positionH relativeFrom="column">
              <wp:posOffset>-671042</wp:posOffset>
            </wp:positionH>
            <wp:positionV relativeFrom="paragraph">
              <wp:posOffset>368362</wp:posOffset>
            </wp:positionV>
            <wp:extent cx="6956215" cy="3873675"/>
            <wp:effectExtent l="0" t="0" r="3810" b="0"/>
            <wp:wrapTight wrapText="bothSides">
              <wp:wrapPolygon edited="0">
                <wp:start x="0" y="0"/>
                <wp:lineTo x="0" y="21529"/>
                <wp:lineTo x="21572" y="21529"/>
                <wp:lineTo x="21572" y="0"/>
                <wp:lineTo x="0" y="0"/>
              </wp:wrapPolygon>
            </wp:wrapTight>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3" cstate="print">
                      <a:extLst>
                        <a:ext uri="{28A0092B-C50C-407E-A947-70E740481C1C}">
                          <a14:useLocalDpi xmlns:a14="http://schemas.microsoft.com/office/drawing/2010/main" val="0"/>
                        </a:ext>
                      </a:extLst>
                    </a:blip>
                    <a:srcRect b="1524"/>
                    <a:stretch>
                      <a:fillRect/>
                    </a:stretch>
                  </pic:blipFill>
                  <pic:spPr bwMode="auto">
                    <a:xfrm>
                      <a:off x="0" y="0"/>
                      <a:ext cx="6956215" cy="387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1F24">
        <w:rPr>
          <w:rFonts w:asciiTheme="majorBidi" w:hAnsiTheme="majorBidi" w:cstheme="majorBidi"/>
          <w:u w:val="single"/>
        </w:rPr>
        <w:t>Figure 1</w:t>
      </w:r>
      <w:r>
        <w:rPr>
          <w:rFonts w:asciiTheme="majorBidi" w:hAnsiTheme="majorBidi" w:cstheme="majorBidi"/>
          <w:u w:val="single"/>
        </w:rPr>
        <w:t>1</w:t>
      </w:r>
      <w:r w:rsidRPr="00971F24">
        <w:rPr>
          <w:rFonts w:asciiTheme="majorBidi" w:hAnsiTheme="majorBidi" w:cstheme="majorBidi"/>
        </w:rPr>
        <w:t>:</w:t>
      </w:r>
      <w:r w:rsidRPr="00971F24">
        <w:rPr>
          <w:rFonts w:asciiTheme="majorBidi" w:hAnsiTheme="majorBidi" w:cstheme="majorBidi"/>
        </w:rPr>
        <w:t xml:space="preserve"> Top 10 articles since 2018</w:t>
      </w:r>
      <w:r>
        <w:t xml:space="preserve">. </w:t>
      </w:r>
    </w:p>
    <w:p w14:paraId="39822D33" w14:textId="77777777" w:rsidR="008A786C" w:rsidRDefault="008A786C" w:rsidP="008A786C">
      <w:pPr>
        <w:jc w:val="both"/>
      </w:pPr>
    </w:p>
    <w:p w14:paraId="520CBD84" w14:textId="77777777" w:rsidR="008A786C" w:rsidRDefault="008A786C"/>
    <w:p w14:paraId="4DCF4F70" w14:textId="77777777" w:rsidR="008A786C" w:rsidRDefault="008A786C"/>
    <w:p w14:paraId="25275767" w14:textId="77777777" w:rsidR="00D01A2A" w:rsidRPr="00996944" w:rsidRDefault="00D01A2A" w:rsidP="001A3CDC">
      <w:pPr>
        <w:spacing w:line="360" w:lineRule="auto"/>
        <w:rPr>
          <w:rFonts w:asciiTheme="majorBidi" w:hAnsiTheme="majorBidi" w:cstheme="majorBidi"/>
        </w:rPr>
      </w:pPr>
    </w:p>
    <w:p w14:paraId="7150CA7B" w14:textId="77777777" w:rsidR="00D01A2A" w:rsidRDefault="00D01A2A" w:rsidP="0024040F"/>
    <w:p w14:paraId="4374B623" w14:textId="77777777" w:rsidR="00D01A2A" w:rsidRDefault="00D01A2A" w:rsidP="0024040F"/>
    <w:p w14:paraId="6F7C3474" w14:textId="77777777" w:rsidR="002950A9" w:rsidRDefault="002950A9" w:rsidP="0024040F"/>
    <w:p w14:paraId="0AF53AE2" w14:textId="77777777" w:rsidR="002950A9" w:rsidRDefault="002950A9" w:rsidP="0024040F"/>
    <w:p w14:paraId="7CE0A393" w14:textId="77777777" w:rsidR="002950A9" w:rsidRDefault="002950A9" w:rsidP="0024040F"/>
    <w:p w14:paraId="50F03670" w14:textId="77777777" w:rsidR="002950A9" w:rsidRDefault="002950A9" w:rsidP="0024040F"/>
    <w:p w14:paraId="2A65403A" w14:textId="77777777" w:rsidR="002950A9" w:rsidRDefault="002950A9" w:rsidP="0024040F"/>
    <w:p w14:paraId="095DCD3C" w14:textId="77777777" w:rsidR="002950A9" w:rsidRDefault="002950A9" w:rsidP="0024040F"/>
    <w:p w14:paraId="6E973A4E" w14:textId="77777777" w:rsidR="002950A9" w:rsidRDefault="002950A9" w:rsidP="0024040F"/>
    <w:p w14:paraId="3AA4B56D" w14:textId="77777777" w:rsidR="002950A9" w:rsidRDefault="002950A9" w:rsidP="0024040F"/>
    <w:p w14:paraId="5BD0F06F" w14:textId="77777777" w:rsidR="002950A9" w:rsidRDefault="002950A9" w:rsidP="0024040F"/>
    <w:p w14:paraId="79A4CA5B" w14:textId="77777777" w:rsidR="002950A9" w:rsidRDefault="002950A9" w:rsidP="0024040F"/>
    <w:p w14:paraId="41F404D0" w14:textId="77777777" w:rsidR="002950A9" w:rsidRDefault="002950A9" w:rsidP="0024040F"/>
    <w:p w14:paraId="49696DDD" w14:textId="77777777" w:rsidR="00D01A2A" w:rsidRDefault="00D01A2A" w:rsidP="0024040F"/>
    <w:p w14:paraId="6CA88A01" w14:textId="77777777" w:rsidR="00E2448A" w:rsidRDefault="00E2448A" w:rsidP="0024040F"/>
    <w:p w14:paraId="18C33696" w14:textId="77777777" w:rsidR="00787670" w:rsidRDefault="00787670" w:rsidP="0024040F"/>
    <w:p w14:paraId="1411D377" w14:textId="77777777" w:rsidR="00787670" w:rsidRDefault="00787670" w:rsidP="0024040F"/>
    <w:p w14:paraId="0AEA2DD6" w14:textId="77777777" w:rsidR="00787670" w:rsidRDefault="00787670" w:rsidP="0024040F"/>
    <w:p w14:paraId="54ED27A8" w14:textId="77777777" w:rsidR="00787670" w:rsidRDefault="00787670" w:rsidP="0024040F"/>
    <w:p w14:paraId="29174BB9" w14:textId="77777777" w:rsidR="00787670" w:rsidRDefault="00787670" w:rsidP="0024040F"/>
    <w:p w14:paraId="7DC0BD10" w14:textId="77777777" w:rsidR="00787670" w:rsidRDefault="00787670" w:rsidP="0024040F"/>
    <w:p w14:paraId="66220C3E" w14:textId="77777777" w:rsidR="00787670" w:rsidRDefault="00787670" w:rsidP="0024040F"/>
    <w:p w14:paraId="433C830F" w14:textId="77777777" w:rsidR="00787670" w:rsidRDefault="00787670" w:rsidP="0024040F"/>
    <w:p w14:paraId="037CBCCE" w14:textId="77777777" w:rsidR="00787670" w:rsidRDefault="00787670" w:rsidP="0024040F"/>
    <w:p w14:paraId="6363E2F5" w14:textId="77777777" w:rsidR="00787670" w:rsidRDefault="00787670" w:rsidP="0024040F"/>
    <w:p w14:paraId="0A06ACB8" w14:textId="77777777" w:rsidR="00787670" w:rsidRDefault="00787670" w:rsidP="0024040F"/>
    <w:p w14:paraId="3D1CCEE8" w14:textId="77777777" w:rsidR="00787670" w:rsidRDefault="00787670" w:rsidP="0024040F"/>
    <w:p w14:paraId="153A7FBD" w14:textId="77777777" w:rsidR="00E2448A" w:rsidRDefault="00E2448A" w:rsidP="0024040F"/>
    <w:p w14:paraId="004326E4" w14:textId="77777777" w:rsidR="00E2448A" w:rsidRDefault="00E2448A" w:rsidP="0024040F"/>
    <w:p w14:paraId="2B37B945" w14:textId="77777777" w:rsidR="00E2448A" w:rsidRDefault="00E2448A" w:rsidP="0024040F"/>
    <w:p w14:paraId="13CB47A4" w14:textId="77777777" w:rsidR="00E2448A" w:rsidRDefault="00E2448A" w:rsidP="0024040F"/>
    <w:p w14:paraId="78880995" w14:textId="77777777" w:rsidR="00E2448A" w:rsidRDefault="00E2448A" w:rsidP="0024040F"/>
    <w:p w14:paraId="15E4A360" w14:textId="77777777" w:rsidR="00E2448A" w:rsidRDefault="00E2448A" w:rsidP="0024040F"/>
    <w:p w14:paraId="7F5C524B" w14:textId="77777777" w:rsidR="00E2448A" w:rsidRDefault="00E2448A" w:rsidP="0024040F"/>
    <w:p w14:paraId="13CDFED6" w14:textId="77777777" w:rsidR="001568B5" w:rsidRPr="00B11460" w:rsidRDefault="001568B5" w:rsidP="00B11460">
      <w:pPr>
        <w:spacing w:line="360" w:lineRule="auto"/>
        <w:rPr>
          <w:rFonts w:ascii="Calibri" w:hAnsi="Calibri" w:cs="Calibri"/>
        </w:rPr>
      </w:pPr>
    </w:p>
    <w:sectPr w:rsidR="001568B5" w:rsidRPr="00B1146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6cex:commentExtensible w16cex:durableId="27E93F20" w16cex:dateUtc="2023-04-18T13:09:00Z"/>
  <w16cex:commentExtensible w16cex:durableId="27E93D70" w16cex:dateUtc="2023-04-18T1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6cid:commentId w16cid:paraId="5E2A9282" w16cid:durableId="27E6AF85"/>
  <w16cid:commentId w16cid:paraId="429D80BF" w16cid:durableId="27E93F20"/>
  <w16cid:commentId w16cid:paraId="2C25032B" w16cid:durableId="27E6AF86"/>
  <w16cid:commentId w16cid:paraId="066A6183" w16cid:durableId="27E6AF8A"/>
  <w16cid:commentId w16cid:paraId="34A43013" w16cid:durableId="27E6AF8B"/>
  <w16cid:commentId w16cid:paraId="0EB95A6A" w16cid:durableId="27E93D7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E2B78"/>
    <w:multiLevelType w:val="multilevel"/>
    <w:tmpl w:val="AFE09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66998"/>
    <w:multiLevelType w:val="hybridMultilevel"/>
    <w:tmpl w:val="F18AC280"/>
    <w:lvl w:ilvl="0" w:tplc="9BD02358">
      <w:start w:val="1"/>
      <w:numFmt w:val="decimal"/>
      <w:lvlText w:val="%1."/>
      <w:lvlJc w:val="left"/>
      <w:pPr>
        <w:ind w:left="360" w:hanging="360"/>
      </w:pPr>
      <w:rPr>
        <w:rFonts w:hint="default"/>
      </w:rPr>
    </w:lvl>
    <w:lvl w:ilvl="1" w:tplc="4ACAA64A">
      <w:start w:val="1"/>
      <w:numFmt w:val="lowerLetter"/>
      <w:lvlText w:val="%2."/>
      <w:lvlJc w:val="left"/>
      <w:pPr>
        <w:ind w:left="1440" w:hanging="360"/>
      </w:pPr>
      <w:rPr>
        <w:b w:val="0"/>
        <w:bCs w:val="0"/>
      </w:rPr>
    </w:lvl>
    <w:lvl w:ilvl="2" w:tplc="00AAEB52">
      <w:start w:val="1"/>
      <w:numFmt w:val="lowerRoman"/>
      <w:lvlText w:val="%3."/>
      <w:lvlJc w:val="right"/>
      <w:pPr>
        <w:ind w:left="2160" w:hanging="180"/>
      </w:pPr>
      <w:rPr>
        <w:b w:val="0"/>
        <w:bCs w:val="0"/>
      </w:rPr>
    </w:lvl>
    <w:lvl w:ilvl="3" w:tplc="3110B2DC" w:tentative="1">
      <w:start w:val="1"/>
      <w:numFmt w:val="decimal"/>
      <w:lvlText w:val="%4."/>
      <w:lvlJc w:val="left"/>
      <w:pPr>
        <w:ind w:left="2880" w:hanging="360"/>
      </w:pPr>
    </w:lvl>
    <w:lvl w:ilvl="4" w:tplc="407EB53C" w:tentative="1">
      <w:start w:val="1"/>
      <w:numFmt w:val="lowerLetter"/>
      <w:lvlText w:val="%5."/>
      <w:lvlJc w:val="left"/>
      <w:pPr>
        <w:ind w:left="3600" w:hanging="360"/>
      </w:pPr>
    </w:lvl>
    <w:lvl w:ilvl="5" w:tplc="71CE8E06" w:tentative="1">
      <w:start w:val="1"/>
      <w:numFmt w:val="lowerRoman"/>
      <w:lvlText w:val="%6."/>
      <w:lvlJc w:val="right"/>
      <w:pPr>
        <w:ind w:left="4320" w:hanging="180"/>
      </w:pPr>
    </w:lvl>
    <w:lvl w:ilvl="6" w:tplc="F2F897DC" w:tentative="1">
      <w:start w:val="1"/>
      <w:numFmt w:val="decimal"/>
      <w:lvlText w:val="%7."/>
      <w:lvlJc w:val="left"/>
      <w:pPr>
        <w:ind w:left="5040" w:hanging="360"/>
      </w:pPr>
    </w:lvl>
    <w:lvl w:ilvl="7" w:tplc="68E0E2E4" w:tentative="1">
      <w:start w:val="1"/>
      <w:numFmt w:val="lowerLetter"/>
      <w:lvlText w:val="%8."/>
      <w:lvlJc w:val="left"/>
      <w:pPr>
        <w:ind w:left="5760" w:hanging="360"/>
      </w:pPr>
    </w:lvl>
    <w:lvl w:ilvl="8" w:tplc="012C2C50" w:tentative="1">
      <w:start w:val="1"/>
      <w:numFmt w:val="lowerRoman"/>
      <w:lvlText w:val="%9."/>
      <w:lvlJc w:val="right"/>
      <w:pPr>
        <w:ind w:left="6480" w:hanging="180"/>
      </w:pPr>
    </w:lvl>
  </w:abstractNum>
  <w:abstractNum w:abstractNumId="2" w15:restartNumberingAfterBreak="0">
    <w:nsid w:val="43CC2B74"/>
    <w:multiLevelType w:val="hybridMultilevel"/>
    <w:tmpl w:val="ACB05068"/>
    <w:lvl w:ilvl="0" w:tplc="3D8A51E8">
      <w:start w:val="1"/>
      <w:numFmt w:val="decimal"/>
      <w:lvlText w:val="%1."/>
      <w:lvlJc w:val="left"/>
      <w:pPr>
        <w:ind w:left="720" w:hanging="360"/>
      </w:pPr>
      <w:rPr>
        <w:rFonts w:hint="default"/>
      </w:rPr>
    </w:lvl>
    <w:lvl w:ilvl="1" w:tplc="B30C4F6A" w:tentative="1">
      <w:start w:val="1"/>
      <w:numFmt w:val="lowerLetter"/>
      <w:lvlText w:val="%2."/>
      <w:lvlJc w:val="left"/>
      <w:pPr>
        <w:ind w:left="1440" w:hanging="360"/>
      </w:pPr>
    </w:lvl>
    <w:lvl w:ilvl="2" w:tplc="109EECE8" w:tentative="1">
      <w:start w:val="1"/>
      <w:numFmt w:val="lowerRoman"/>
      <w:lvlText w:val="%3."/>
      <w:lvlJc w:val="right"/>
      <w:pPr>
        <w:ind w:left="2160" w:hanging="180"/>
      </w:pPr>
    </w:lvl>
    <w:lvl w:ilvl="3" w:tplc="27E8478E" w:tentative="1">
      <w:start w:val="1"/>
      <w:numFmt w:val="decimal"/>
      <w:lvlText w:val="%4."/>
      <w:lvlJc w:val="left"/>
      <w:pPr>
        <w:ind w:left="2880" w:hanging="360"/>
      </w:pPr>
    </w:lvl>
    <w:lvl w:ilvl="4" w:tplc="97D6626C" w:tentative="1">
      <w:start w:val="1"/>
      <w:numFmt w:val="lowerLetter"/>
      <w:lvlText w:val="%5."/>
      <w:lvlJc w:val="left"/>
      <w:pPr>
        <w:ind w:left="3600" w:hanging="360"/>
      </w:pPr>
    </w:lvl>
    <w:lvl w:ilvl="5" w:tplc="5F28E264" w:tentative="1">
      <w:start w:val="1"/>
      <w:numFmt w:val="lowerRoman"/>
      <w:lvlText w:val="%6."/>
      <w:lvlJc w:val="right"/>
      <w:pPr>
        <w:ind w:left="4320" w:hanging="180"/>
      </w:pPr>
    </w:lvl>
    <w:lvl w:ilvl="6" w:tplc="A7FAB286" w:tentative="1">
      <w:start w:val="1"/>
      <w:numFmt w:val="decimal"/>
      <w:lvlText w:val="%7."/>
      <w:lvlJc w:val="left"/>
      <w:pPr>
        <w:ind w:left="5040" w:hanging="360"/>
      </w:pPr>
    </w:lvl>
    <w:lvl w:ilvl="7" w:tplc="4082413C" w:tentative="1">
      <w:start w:val="1"/>
      <w:numFmt w:val="lowerLetter"/>
      <w:lvlText w:val="%8."/>
      <w:lvlJc w:val="left"/>
      <w:pPr>
        <w:ind w:left="5760" w:hanging="360"/>
      </w:pPr>
    </w:lvl>
    <w:lvl w:ilvl="8" w:tplc="13760FE4" w:tentative="1">
      <w:start w:val="1"/>
      <w:numFmt w:val="lowerRoman"/>
      <w:lvlText w:val="%9."/>
      <w:lvlJc w:val="right"/>
      <w:pPr>
        <w:ind w:left="6480" w:hanging="180"/>
      </w:pPr>
    </w:lvl>
  </w:abstractNum>
  <w:abstractNum w:abstractNumId="3" w15:restartNumberingAfterBreak="0">
    <w:nsid w:val="4C7B4276"/>
    <w:multiLevelType w:val="hybridMultilevel"/>
    <w:tmpl w:val="EA020110"/>
    <w:lvl w:ilvl="0" w:tplc="DDA0064C">
      <w:start w:val="5"/>
      <w:numFmt w:val="bullet"/>
      <w:lvlText w:val=""/>
      <w:lvlJc w:val="left"/>
      <w:pPr>
        <w:ind w:left="720" w:hanging="360"/>
      </w:pPr>
      <w:rPr>
        <w:rFonts w:ascii="Symbol" w:eastAsia="Times New Roman" w:hAnsi="Symbol" w:cstheme="minorBidi" w:hint="default"/>
      </w:rPr>
    </w:lvl>
    <w:lvl w:ilvl="1" w:tplc="EA72B99A" w:tentative="1">
      <w:start w:val="1"/>
      <w:numFmt w:val="bullet"/>
      <w:lvlText w:val="o"/>
      <w:lvlJc w:val="left"/>
      <w:pPr>
        <w:ind w:left="1440" w:hanging="360"/>
      </w:pPr>
      <w:rPr>
        <w:rFonts w:ascii="Courier New" w:hAnsi="Courier New" w:cs="Courier New" w:hint="default"/>
      </w:rPr>
    </w:lvl>
    <w:lvl w:ilvl="2" w:tplc="EAEACFD6" w:tentative="1">
      <w:start w:val="1"/>
      <w:numFmt w:val="bullet"/>
      <w:lvlText w:val=""/>
      <w:lvlJc w:val="left"/>
      <w:pPr>
        <w:ind w:left="2160" w:hanging="360"/>
      </w:pPr>
      <w:rPr>
        <w:rFonts w:ascii="Wingdings" w:hAnsi="Wingdings" w:hint="default"/>
      </w:rPr>
    </w:lvl>
    <w:lvl w:ilvl="3" w:tplc="C8B086B8" w:tentative="1">
      <w:start w:val="1"/>
      <w:numFmt w:val="bullet"/>
      <w:lvlText w:val=""/>
      <w:lvlJc w:val="left"/>
      <w:pPr>
        <w:ind w:left="2880" w:hanging="360"/>
      </w:pPr>
      <w:rPr>
        <w:rFonts w:ascii="Symbol" w:hAnsi="Symbol" w:hint="default"/>
      </w:rPr>
    </w:lvl>
    <w:lvl w:ilvl="4" w:tplc="CFF8F6FA" w:tentative="1">
      <w:start w:val="1"/>
      <w:numFmt w:val="bullet"/>
      <w:lvlText w:val="o"/>
      <w:lvlJc w:val="left"/>
      <w:pPr>
        <w:ind w:left="3600" w:hanging="360"/>
      </w:pPr>
      <w:rPr>
        <w:rFonts w:ascii="Courier New" w:hAnsi="Courier New" w:cs="Courier New" w:hint="default"/>
      </w:rPr>
    </w:lvl>
    <w:lvl w:ilvl="5" w:tplc="7670358C" w:tentative="1">
      <w:start w:val="1"/>
      <w:numFmt w:val="bullet"/>
      <w:lvlText w:val=""/>
      <w:lvlJc w:val="left"/>
      <w:pPr>
        <w:ind w:left="4320" w:hanging="360"/>
      </w:pPr>
      <w:rPr>
        <w:rFonts w:ascii="Wingdings" w:hAnsi="Wingdings" w:hint="default"/>
      </w:rPr>
    </w:lvl>
    <w:lvl w:ilvl="6" w:tplc="BC4ADEA2" w:tentative="1">
      <w:start w:val="1"/>
      <w:numFmt w:val="bullet"/>
      <w:lvlText w:val=""/>
      <w:lvlJc w:val="left"/>
      <w:pPr>
        <w:ind w:left="5040" w:hanging="360"/>
      </w:pPr>
      <w:rPr>
        <w:rFonts w:ascii="Symbol" w:hAnsi="Symbol" w:hint="default"/>
      </w:rPr>
    </w:lvl>
    <w:lvl w:ilvl="7" w:tplc="99FAB02A" w:tentative="1">
      <w:start w:val="1"/>
      <w:numFmt w:val="bullet"/>
      <w:lvlText w:val="o"/>
      <w:lvlJc w:val="left"/>
      <w:pPr>
        <w:ind w:left="5760" w:hanging="360"/>
      </w:pPr>
      <w:rPr>
        <w:rFonts w:ascii="Courier New" w:hAnsi="Courier New" w:cs="Courier New" w:hint="default"/>
      </w:rPr>
    </w:lvl>
    <w:lvl w:ilvl="8" w:tplc="BBB6B1D2"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E36"/>
    <w:rsid w:val="000019B0"/>
    <w:rsid w:val="0000625C"/>
    <w:rsid w:val="00041D96"/>
    <w:rsid w:val="00052768"/>
    <w:rsid w:val="000529A0"/>
    <w:rsid w:val="00055D65"/>
    <w:rsid w:val="00082D85"/>
    <w:rsid w:val="00087438"/>
    <w:rsid w:val="000B4843"/>
    <w:rsid w:val="000B7E8A"/>
    <w:rsid w:val="000C5FF3"/>
    <w:rsid w:val="000C6120"/>
    <w:rsid w:val="000E29F4"/>
    <w:rsid w:val="000F185A"/>
    <w:rsid w:val="000F3D94"/>
    <w:rsid w:val="00124734"/>
    <w:rsid w:val="00132CFF"/>
    <w:rsid w:val="00141B79"/>
    <w:rsid w:val="001568B5"/>
    <w:rsid w:val="0016014C"/>
    <w:rsid w:val="001715FA"/>
    <w:rsid w:val="001807B9"/>
    <w:rsid w:val="001966AA"/>
    <w:rsid w:val="00196E6A"/>
    <w:rsid w:val="001A1E36"/>
    <w:rsid w:val="001A3CDC"/>
    <w:rsid w:val="001B6529"/>
    <w:rsid w:val="001C1AF6"/>
    <w:rsid w:val="001D36F4"/>
    <w:rsid w:val="001D5336"/>
    <w:rsid w:val="001D7C0E"/>
    <w:rsid w:val="001E26C0"/>
    <w:rsid w:val="001E5005"/>
    <w:rsid w:val="00215BFC"/>
    <w:rsid w:val="0022142A"/>
    <w:rsid w:val="002220B2"/>
    <w:rsid w:val="00235AC0"/>
    <w:rsid w:val="0024040F"/>
    <w:rsid w:val="00264607"/>
    <w:rsid w:val="002706BE"/>
    <w:rsid w:val="00285E5E"/>
    <w:rsid w:val="00286296"/>
    <w:rsid w:val="002865DB"/>
    <w:rsid w:val="002950A9"/>
    <w:rsid w:val="002A3B54"/>
    <w:rsid w:val="002B0A41"/>
    <w:rsid w:val="002B46F4"/>
    <w:rsid w:val="002B7D51"/>
    <w:rsid w:val="002C14AF"/>
    <w:rsid w:val="002C1E7A"/>
    <w:rsid w:val="002C321E"/>
    <w:rsid w:val="002C5BD6"/>
    <w:rsid w:val="002C7DA0"/>
    <w:rsid w:val="002D4150"/>
    <w:rsid w:val="002D6897"/>
    <w:rsid w:val="002E6DB2"/>
    <w:rsid w:val="00302475"/>
    <w:rsid w:val="00324AFA"/>
    <w:rsid w:val="0032512E"/>
    <w:rsid w:val="003277FB"/>
    <w:rsid w:val="0033424F"/>
    <w:rsid w:val="00334A9B"/>
    <w:rsid w:val="003358A7"/>
    <w:rsid w:val="0034120A"/>
    <w:rsid w:val="0034512B"/>
    <w:rsid w:val="00346E15"/>
    <w:rsid w:val="00360AFB"/>
    <w:rsid w:val="00372887"/>
    <w:rsid w:val="0038029C"/>
    <w:rsid w:val="003917A3"/>
    <w:rsid w:val="003A25EE"/>
    <w:rsid w:val="003A2737"/>
    <w:rsid w:val="003B0944"/>
    <w:rsid w:val="003B1CA3"/>
    <w:rsid w:val="003B6FA0"/>
    <w:rsid w:val="003C44F3"/>
    <w:rsid w:val="003E2597"/>
    <w:rsid w:val="003E7D57"/>
    <w:rsid w:val="003F5A2D"/>
    <w:rsid w:val="0041015A"/>
    <w:rsid w:val="00425F4A"/>
    <w:rsid w:val="00434522"/>
    <w:rsid w:val="004358A1"/>
    <w:rsid w:val="00443272"/>
    <w:rsid w:val="004526EF"/>
    <w:rsid w:val="004612C2"/>
    <w:rsid w:val="00466678"/>
    <w:rsid w:val="00480ED9"/>
    <w:rsid w:val="004915C1"/>
    <w:rsid w:val="004B1941"/>
    <w:rsid w:val="004B2715"/>
    <w:rsid w:val="004B514C"/>
    <w:rsid w:val="004C1898"/>
    <w:rsid w:val="0051193B"/>
    <w:rsid w:val="00520F1B"/>
    <w:rsid w:val="00525736"/>
    <w:rsid w:val="005377F9"/>
    <w:rsid w:val="00561980"/>
    <w:rsid w:val="00587BE4"/>
    <w:rsid w:val="005946F6"/>
    <w:rsid w:val="005A5323"/>
    <w:rsid w:val="005C072A"/>
    <w:rsid w:val="005D3176"/>
    <w:rsid w:val="005D685D"/>
    <w:rsid w:val="006052DF"/>
    <w:rsid w:val="006131D1"/>
    <w:rsid w:val="00615406"/>
    <w:rsid w:val="0061793E"/>
    <w:rsid w:val="006312BA"/>
    <w:rsid w:val="00635A91"/>
    <w:rsid w:val="00644999"/>
    <w:rsid w:val="0066248D"/>
    <w:rsid w:val="00683763"/>
    <w:rsid w:val="00685398"/>
    <w:rsid w:val="00685A27"/>
    <w:rsid w:val="006D10D0"/>
    <w:rsid w:val="006D50D0"/>
    <w:rsid w:val="006E53FB"/>
    <w:rsid w:val="006E7D2F"/>
    <w:rsid w:val="006F3C5F"/>
    <w:rsid w:val="00702A6E"/>
    <w:rsid w:val="007064A5"/>
    <w:rsid w:val="00716E0A"/>
    <w:rsid w:val="00720002"/>
    <w:rsid w:val="007214DC"/>
    <w:rsid w:val="00735D87"/>
    <w:rsid w:val="00741A3C"/>
    <w:rsid w:val="00744A16"/>
    <w:rsid w:val="0074746A"/>
    <w:rsid w:val="0076330C"/>
    <w:rsid w:val="00787670"/>
    <w:rsid w:val="007A32D1"/>
    <w:rsid w:val="007A3423"/>
    <w:rsid w:val="007B1238"/>
    <w:rsid w:val="007B2636"/>
    <w:rsid w:val="007B34F2"/>
    <w:rsid w:val="007E33E5"/>
    <w:rsid w:val="00804A17"/>
    <w:rsid w:val="00822AC2"/>
    <w:rsid w:val="008238EF"/>
    <w:rsid w:val="008277DC"/>
    <w:rsid w:val="0085527F"/>
    <w:rsid w:val="00882EF3"/>
    <w:rsid w:val="00887B0A"/>
    <w:rsid w:val="00893C5F"/>
    <w:rsid w:val="008A786C"/>
    <w:rsid w:val="008C55A5"/>
    <w:rsid w:val="008D5B1D"/>
    <w:rsid w:val="009023F5"/>
    <w:rsid w:val="00924722"/>
    <w:rsid w:val="00924CB4"/>
    <w:rsid w:val="00940F0C"/>
    <w:rsid w:val="009431C6"/>
    <w:rsid w:val="00943A63"/>
    <w:rsid w:val="0096212E"/>
    <w:rsid w:val="0096276E"/>
    <w:rsid w:val="00970876"/>
    <w:rsid w:val="00971F24"/>
    <w:rsid w:val="00980FA2"/>
    <w:rsid w:val="00983105"/>
    <w:rsid w:val="00994E6E"/>
    <w:rsid w:val="00995E61"/>
    <w:rsid w:val="00996944"/>
    <w:rsid w:val="009971B0"/>
    <w:rsid w:val="009A1153"/>
    <w:rsid w:val="009A300A"/>
    <w:rsid w:val="009B1D78"/>
    <w:rsid w:val="009D0707"/>
    <w:rsid w:val="009D52DC"/>
    <w:rsid w:val="009D6F1C"/>
    <w:rsid w:val="009E44E6"/>
    <w:rsid w:val="009E6B5C"/>
    <w:rsid w:val="009F5426"/>
    <w:rsid w:val="00A06B60"/>
    <w:rsid w:val="00A155A9"/>
    <w:rsid w:val="00A279A3"/>
    <w:rsid w:val="00A40F9B"/>
    <w:rsid w:val="00A42090"/>
    <w:rsid w:val="00A47B2E"/>
    <w:rsid w:val="00A50E74"/>
    <w:rsid w:val="00A64799"/>
    <w:rsid w:val="00A82E71"/>
    <w:rsid w:val="00A91383"/>
    <w:rsid w:val="00AB0C3C"/>
    <w:rsid w:val="00AB633E"/>
    <w:rsid w:val="00AE461D"/>
    <w:rsid w:val="00AF1947"/>
    <w:rsid w:val="00B06FAC"/>
    <w:rsid w:val="00B07007"/>
    <w:rsid w:val="00B07302"/>
    <w:rsid w:val="00B11460"/>
    <w:rsid w:val="00B12041"/>
    <w:rsid w:val="00B12A95"/>
    <w:rsid w:val="00B40764"/>
    <w:rsid w:val="00B57438"/>
    <w:rsid w:val="00B57D55"/>
    <w:rsid w:val="00B6311E"/>
    <w:rsid w:val="00B852A1"/>
    <w:rsid w:val="00B856A7"/>
    <w:rsid w:val="00B87263"/>
    <w:rsid w:val="00B918BE"/>
    <w:rsid w:val="00B974BA"/>
    <w:rsid w:val="00BB238E"/>
    <w:rsid w:val="00BB440C"/>
    <w:rsid w:val="00BF734B"/>
    <w:rsid w:val="00C030A5"/>
    <w:rsid w:val="00C07304"/>
    <w:rsid w:val="00C114A9"/>
    <w:rsid w:val="00C1300B"/>
    <w:rsid w:val="00C261A4"/>
    <w:rsid w:val="00C36447"/>
    <w:rsid w:val="00C44A51"/>
    <w:rsid w:val="00C46BE6"/>
    <w:rsid w:val="00C53C62"/>
    <w:rsid w:val="00C61510"/>
    <w:rsid w:val="00C76DAB"/>
    <w:rsid w:val="00CA4599"/>
    <w:rsid w:val="00CB26A6"/>
    <w:rsid w:val="00CF1DC9"/>
    <w:rsid w:val="00CF480E"/>
    <w:rsid w:val="00D01A2A"/>
    <w:rsid w:val="00D233F5"/>
    <w:rsid w:val="00D315F9"/>
    <w:rsid w:val="00D320C5"/>
    <w:rsid w:val="00D53B44"/>
    <w:rsid w:val="00D645F1"/>
    <w:rsid w:val="00D72D28"/>
    <w:rsid w:val="00D94746"/>
    <w:rsid w:val="00DA7FE0"/>
    <w:rsid w:val="00DB2F05"/>
    <w:rsid w:val="00DB4F36"/>
    <w:rsid w:val="00DC0C38"/>
    <w:rsid w:val="00DC226E"/>
    <w:rsid w:val="00DC362E"/>
    <w:rsid w:val="00DD0379"/>
    <w:rsid w:val="00DE6046"/>
    <w:rsid w:val="00E2448A"/>
    <w:rsid w:val="00E2729D"/>
    <w:rsid w:val="00E34623"/>
    <w:rsid w:val="00E427EC"/>
    <w:rsid w:val="00E43602"/>
    <w:rsid w:val="00E45B05"/>
    <w:rsid w:val="00E55874"/>
    <w:rsid w:val="00E55F1C"/>
    <w:rsid w:val="00E72384"/>
    <w:rsid w:val="00E74FF9"/>
    <w:rsid w:val="00E751A3"/>
    <w:rsid w:val="00E807DA"/>
    <w:rsid w:val="00E82768"/>
    <w:rsid w:val="00E96BE0"/>
    <w:rsid w:val="00EA5EED"/>
    <w:rsid w:val="00EB0A13"/>
    <w:rsid w:val="00EB22F7"/>
    <w:rsid w:val="00EC6520"/>
    <w:rsid w:val="00ED6F9D"/>
    <w:rsid w:val="00EE798E"/>
    <w:rsid w:val="00EF6435"/>
    <w:rsid w:val="00F11F84"/>
    <w:rsid w:val="00F22E46"/>
    <w:rsid w:val="00F249D5"/>
    <w:rsid w:val="00F25E57"/>
    <w:rsid w:val="00F338BA"/>
    <w:rsid w:val="00F60B77"/>
    <w:rsid w:val="00F72149"/>
    <w:rsid w:val="00F74FD5"/>
    <w:rsid w:val="00FA4639"/>
    <w:rsid w:val="00FB17C7"/>
    <w:rsid w:val="00FD1481"/>
    <w:rsid w:val="00FD4B69"/>
    <w:rsid w:val="00FF34E3"/>
    <w:rsid w:val="00FF623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79E00"/>
  <w15:chartTrackingRefBased/>
  <w15:docId w15:val="{777E2F4A-FD73-864B-8F3A-A872354D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21E"/>
    <w:rPr>
      <w:rFonts w:ascii="Times New Roman" w:eastAsia="Times New Roman" w:hAnsi="Times New Roman" w:cs="Times New Roman"/>
      <w:lang w:eastAsia="en-GB"/>
    </w:rPr>
  </w:style>
  <w:style w:type="paragraph" w:styleId="Heading1">
    <w:name w:val="heading 1"/>
    <w:basedOn w:val="Normal"/>
    <w:link w:val="Heading1Char"/>
    <w:uiPriority w:val="9"/>
    <w:qFormat/>
    <w:rsid w:val="002D689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85D"/>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semiHidden/>
    <w:unhideWhenUsed/>
    <w:rsid w:val="005D685D"/>
    <w:rPr>
      <w:color w:val="0000FF"/>
      <w:u w:val="single"/>
    </w:rPr>
  </w:style>
  <w:style w:type="character" w:customStyle="1" w:styleId="Heading1Char">
    <w:name w:val="Heading 1 Char"/>
    <w:basedOn w:val="DefaultParagraphFont"/>
    <w:link w:val="Heading1"/>
    <w:uiPriority w:val="9"/>
    <w:rsid w:val="002D6897"/>
    <w:rPr>
      <w:rFonts w:ascii="Times New Roman" w:eastAsia="Times New Roman" w:hAnsi="Times New Roman" w:cs="Times New Roman"/>
      <w:b/>
      <w:bCs/>
      <w:kern w:val="36"/>
      <w:sz w:val="48"/>
      <w:szCs w:val="48"/>
      <w:lang w:eastAsia="en-GB"/>
    </w:rPr>
  </w:style>
  <w:style w:type="character" w:customStyle="1" w:styleId="accordion-tabbedtab-mobile">
    <w:name w:val="accordion-tabbed__tab-mobile"/>
    <w:basedOn w:val="DefaultParagraphFont"/>
    <w:rsid w:val="00615406"/>
  </w:style>
  <w:style w:type="character" w:customStyle="1" w:styleId="comma-separator">
    <w:name w:val="comma-separator"/>
    <w:basedOn w:val="DefaultParagraphFont"/>
    <w:rsid w:val="00615406"/>
  </w:style>
  <w:style w:type="character" w:customStyle="1" w:styleId="Subtitle1">
    <w:name w:val="Subtitle1"/>
    <w:basedOn w:val="DefaultParagraphFont"/>
    <w:rsid w:val="00615406"/>
  </w:style>
  <w:style w:type="character" w:customStyle="1" w:styleId="wi-fullname">
    <w:name w:val="wi-fullname"/>
    <w:basedOn w:val="DefaultParagraphFont"/>
    <w:rsid w:val="00615406"/>
  </w:style>
  <w:style w:type="character" w:styleId="CommentReference">
    <w:name w:val="annotation reference"/>
    <w:basedOn w:val="DefaultParagraphFont"/>
    <w:uiPriority w:val="99"/>
    <w:semiHidden/>
    <w:unhideWhenUsed/>
    <w:rsid w:val="00D01A2A"/>
    <w:rPr>
      <w:sz w:val="16"/>
      <w:szCs w:val="16"/>
    </w:rPr>
  </w:style>
  <w:style w:type="paragraph" w:styleId="CommentText">
    <w:name w:val="annotation text"/>
    <w:basedOn w:val="Normal"/>
    <w:link w:val="CommentTextChar"/>
    <w:uiPriority w:val="99"/>
    <w:semiHidden/>
    <w:unhideWhenUsed/>
    <w:rsid w:val="00D01A2A"/>
    <w:rPr>
      <w:sz w:val="20"/>
      <w:szCs w:val="20"/>
    </w:rPr>
  </w:style>
  <w:style w:type="character" w:customStyle="1" w:styleId="CommentTextChar">
    <w:name w:val="Comment Text Char"/>
    <w:basedOn w:val="DefaultParagraphFont"/>
    <w:link w:val="CommentText"/>
    <w:uiPriority w:val="99"/>
    <w:semiHidden/>
    <w:rsid w:val="00D01A2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01A2A"/>
    <w:rPr>
      <w:b/>
      <w:bCs/>
    </w:rPr>
  </w:style>
  <w:style w:type="character" w:customStyle="1" w:styleId="CommentSubjectChar">
    <w:name w:val="Comment Subject Char"/>
    <w:basedOn w:val="CommentTextChar"/>
    <w:link w:val="CommentSubject"/>
    <w:uiPriority w:val="99"/>
    <w:semiHidden/>
    <w:rsid w:val="00D01A2A"/>
    <w:rPr>
      <w:rFonts w:ascii="Times New Roman" w:eastAsia="Times New Roman" w:hAnsi="Times New Roman" w:cs="Times New Roman"/>
      <w:b/>
      <w:bCs/>
      <w:sz w:val="20"/>
      <w:szCs w:val="20"/>
      <w:lang w:eastAsia="en-GB"/>
    </w:rPr>
  </w:style>
  <w:style w:type="paragraph" w:styleId="Revision">
    <w:name w:val="Revision"/>
    <w:hidden/>
    <w:uiPriority w:val="99"/>
    <w:semiHidden/>
    <w:rsid w:val="006052DF"/>
    <w:rPr>
      <w:rFonts w:ascii="Times New Roman" w:eastAsia="Times New Roman" w:hAnsi="Times New Roman" w:cs="Times New Roman"/>
      <w:lang w:eastAsia="en-GB"/>
    </w:rPr>
  </w:style>
  <w:style w:type="paragraph" w:styleId="Bibliography">
    <w:name w:val="Bibliography"/>
    <w:basedOn w:val="Normal"/>
    <w:next w:val="Normal"/>
    <w:uiPriority w:val="37"/>
    <w:unhideWhenUsed/>
    <w:rsid w:val="00055D65"/>
    <w:pPr>
      <w:tabs>
        <w:tab w:val="left" w:pos="260"/>
        <w:tab w:val="left" w:pos="380"/>
      </w:tabs>
      <w:spacing w:after="240"/>
      <w:ind w:left="384" w:hanging="384"/>
    </w:pPr>
  </w:style>
  <w:style w:type="paragraph" w:styleId="NormalWeb">
    <w:name w:val="Normal (Web)"/>
    <w:basedOn w:val="Normal"/>
    <w:uiPriority w:val="99"/>
    <w:unhideWhenUsed/>
    <w:rsid w:val="00716E0A"/>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2865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5DB"/>
    <w:rPr>
      <w:rFonts w:ascii="Segoe UI" w:eastAsia="Times New Roman" w:hAnsi="Segoe UI" w:cs="Segoe UI"/>
      <w:sz w:val="18"/>
      <w:szCs w:val="18"/>
      <w:lang w:eastAsia="en-GB"/>
    </w:rPr>
  </w:style>
  <w:style w:type="character" w:styleId="LineNumber">
    <w:name w:val="line number"/>
    <w:basedOn w:val="DefaultParagraphFont"/>
    <w:uiPriority w:val="99"/>
    <w:semiHidden/>
    <w:unhideWhenUsed/>
    <w:rsid w:val="002865DB"/>
  </w:style>
  <w:style w:type="character" w:styleId="PlaceholderText">
    <w:name w:val="Placeholder Text"/>
    <w:basedOn w:val="DefaultParagraphFont"/>
    <w:uiPriority w:val="99"/>
    <w:semiHidden/>
    <w:rsid w:val="000F18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2.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zoegabri@post.bgu.ac.il"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5.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Users/zoeattal/Desktop/Desktop%20-%20Zoe&#769;&#8217;s%20MacBook%20Air/2nd%20year%20/Vitiligo%20-%2023.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Users/zoeattal/Desktop/Desktop%20-%20Zoe&#769;&#8217;s%20MacBook%20Air/2nd%20year%20/Vitiligo%20-%2023.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Users/zoeattal/Desktop/Desktop%20-%20Zoe&#769;&#8217;s%20MacBook%20Air/2nd%20year%20/Vitiligo%20-%2023.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Users/zoeattal/Desktop/Desktop%20-%20Zoe&#769;&#8217;s%20MacBook%20Air/2nd%20year%20/Vitiligo%20-%2023.0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Users/zoeattal/Desktop/Desktop%20-%20Zoe&#769;&#8217;s%20MacBook%20Air/2nd%20year%20/Vitiligo%20-%2023.0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Citations</a:t>
            </a:r>
          </a:p>
        </c:rich>
      </c:tx>
      <c:layout>
        <c:manualLayout>
          <c:xMode val="edge"/>
          <c:yMode val="edge"/>
          <c:x val="0.47368393100422562"/>
          <c:y val="1.61812297734627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0.11804107880943035"/>
          <c:y val="0.12129636708032855"/>
          <c:w val="0.78593887824139286"/>
          <c:h val="0.71050357176226753"/>
        </c:manualLayout>
      </c:layout>
      <c:lineChart>
        <c:grouping val="standard"/>
        <c:varyColors val="0"/>
        <c:ser>
          <c:idx val="0"/>
          <c:order val="0"/>
          <c:tx>
            <c:strRef>
              <c:f>'citations per year '!$J$1</c:f>
              <c:strCache>
                <c:ptCount val="1"/>
                <c:pt idx="0">
                  <c:v>Total citations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'citations per year '!$I$2:$I$6</c:f>
              <c:strCache>
                <c:ptCount val="5"/>
                <c:pt idx="0">
                  <c:v>[1972-1982]</c:v>
                </c:pt>
                <c:pt idx="1">
                  <c:v>[1983-1992]</c:v>
                </c:pt>
                <c:pt idx="2">
                  <c:v>[1993-2002]</c:v>
                </c:pt>
                <c:pt idx="3">
                  <c:v>[2003-2012]</c:v>
                </c:pt>
                <c:pt idx="4">
                  <c:v>[2013-2017]</c:v>
                </c:pt>
              </c:strCache>
            </c:strRef>
          </c:cat>
          <c:val>
            <c:numRef>
              <c:f>'citations per year '!$J$2:$J$6</c:f>
              <c:numCache>
                <c:formatCode>General</c:formatCode>
                <c:ptCount val="5"/>
                <c:pt idx="0">
                  <c:v>824</c:v>
                </c:pt>
                <c:pt idx="1">
                  <c:v>1757</c:v>
                </c:pt>
                <c:pt idx="2">
                  <c:v>7052</c:v>
                </c:pt>
                <c:pt idx="3">
                  <c:v>7217</c:v>
                </c:pt>
                <c:pt idx="4">
                  <c:v>2678</c:v>
                </c:pt>
              </c:numCache>
            </c:numRef>
          </c:val>
          <c:smooth val="0"/>
          <c:extLst>
            <c:ext xmlns:c16="http://schemas.microsoft.com/office/drawing/2014/chart" uri="{C3380CC4-5D6E-409C-BE32-E72D297353CC}">
              <c16:uniqueId val="{00000000-3AFE-F841-9B74-A5BC48D333D2}"/>
            </c:ext>
          </c:extLst>
        </c:ser>
        <c:dLbls>
          <c:showLegendKey val="0"/>
          <c:showVal val="0"/>
          <c:showCatName val="0"/>
          <c:showSerName val="0"/>
          <c:showPercent val="0"/>
          <c:showBubbleSize val="0"/>
        </c:dLbls>
        <c:marker val="1"/>
        <c:smooth val="0"/>
        <c:axId val="1870085504"/>
        <c:axId val="1438927488"/>
      </c:lineChart>
      <c:lineChart>
        <c:grouping val="standard"/>
        <c:varyColors val="0"/>
        <c:ser>
          <c:idx val="1"/>
          <c:order val="1"/>
          <c:tx>
            <c:strRef>
              <c:f>'citations per year '!$K$1</c:f>
              <c:strCache>
                <c:ptCount val="1"/>
                <c:pt idx="0">
                  <c:v>Annual citation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'citations per year '!$I$2:$I$6</c:f>
              <c:strCache>
                <c:ptCount val="5"/>
                <c:pt idx="0">
                  <c:v>[1972-1982]</c:v>
                </c:pt>
                <c:pt idx="1">
                  <c:v>[1983-1992]</c:v>
                </c:pt>
                <c:pt idx="2">
                  <c:v>[1993-2002]</c:v>
                </c:pt>
                <c:pt idx="3">
                  <c:v>[2003-2012]</c:v>
                </c:pt>
                <c:pt idx="4">
                  <c:v>[2013-2017]</c:v>
                </c:pt>
              </c:strCache>
            </c:strRef>
          </c:cat>
          <c:val>
            <c:numRef>
              <c:f>'citations per year '!$K$2:$K$6</c:f>
              <c:numCache>
                <c:formatCode>General</c:formatCode>
                <c:ptCount val="5"/>
                <c:pt idx="0">
                  <c:v>164.8</c:v>
                </c:pt>
                <c:pt idx="1">
                  <c:v>183.5</c:v>
                </c:pt>
                <c:pt idx="2">
                  <c:v>185.6</c:v>
                </c:pt>
                <c:pt idx="3">
                  <c:v>206.2</c:v>
                </c:pt>
                <c:pt idx="4">
                  <c:v>223.2</c:v>
                </c:pt>
              </c:numCache>
            </c:numRef>
          </c:val>
          <c:smooth val="0"/>
          <c:extLst>
            <c:ext xmlns:c16="http://schemas.microsoft.com/office/drawing/2014/chart" uri="{C3380CC4-5D6E-409C-BE32-E72D297353CC}">
              <c16:uniqueId val="{00000001-3AFE-F841-9B74-A5BC48D333D2}"/>
            </c:ext>
          </c:extLst>
        </c:ser>
        <c:dLbls>
          <c:showLegendKey val="0"/>
          <c:showVal val="0"/>
          <c:showCatName val="0"/>
          <c:showSerName val="0"/>
          <c:showPercent val="0"/>
          <c:showBubbleSize val="0"/>
        </c:dLbls>
        <c:marker val="1"/>
        <c:smooth val="0"/>
        <c:axId val="867219599"/>
        <c:axId val="867217151"/>
      </c:lineChart>
      <c:catAx>
        <c:axId val="18700855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1438927488"/>
        <c:crosses val="autoZero"/>
        <c:auto val="1"/>
        <c:lblAlgn val="ctr"/>
        <c:lblOffset val="100"/>
        <c:noMultiLvlLbl val="0"/>
      </c:catAx>
      <c:valAx>
        <c:axId val="143892748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Total Citation</a:t>
                </a:r>
              </a:p>
            </c:rich>
          </c:tx>
          <c:layout>
            <c:manualLayout>
              <c:xMode val="edge"/>
              <c:yMode val="edge"/>
              <c:x val="2.9639319278638554E-2"/>
              <c:y val="0.428853978204180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70085504"/>
        <c:crosses val="autoZero"/>
        <c:crossBetween val="between"/>
      </c:valAx>
      <c:valAx>
        <c:axId val="867217151"/>
        <c:scaling>
          <c:orientation val="minMax"/>
          <c:min val="16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 citations</a:t>
                </a:r>
              </a:p>
            </c:rich>
          </c:tx>
          <c:layout>
            <c:manualLayout>
              <c:xMode val="edge"/>
              <c:yMode val="edge"/>
              <c:x val="0.95900189345833231"/>
              <c:y val="0.412672748430717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867219599"/>
        <c:crosses val="max"/>
        <c:crossBetween val="between"/>
      </c:valAx>
      <c:catAx>
        <c:axId val="867219599"/>
        <c:scaling>
          <c:orientation val="minMax"/>
        </c:scaling>
        <c:delete val="1"/>
        <c:axPos val="b"/>
        <c:numFmt formatCode="General" sourceLinked="1"/>
        <c:majorTickMark val="out"/>
        <c:minorTickMark val="none"/>
        <c:tickLblPos val="nextTo"/>
        <c:crossAx val="867217151"/>
        <c:crosses val="autoZero"/>
        <c:auto val="1"/>
        <c:lblAlgn val="ctr"/>
        <c:lblOffset val="100"/>
        <c:noMultiLvlLbl val="0"/>
      </c:catAx>
      <c:spPr>
        <a:noFill/>
        <a:ln>
          <a:noFill/>
        </a:ln>
        <a:effectLst/>
      </c:spPr>
    </c:plotArea>
    <c:legend>
      <c:legendPos val="r"/>
      <c:layout>
        <c:manualLayout>
          <c:xMode val="edge"/>
          <c:yMode val="edge"/>
          <c:x val="0.30548317823908377"/>
          <c:y val="0.88881414095082767"/>
          <c:w val="0.39979541413628283"/>
          <c:h val="0.1098718242743928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Most published journals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5.8389928727448324E-2"/>
          <c:y val="7.1173847651066088E-2"/>
          <c:w val="0.91547752871119181"/>
          <c:h val="0.54267044147571442"/>
        </c:manualLayout>
      </c:layout>
      <c:barChart>
        <c:barDir val="col"/>
        <c:grouping val="clustered"/>
        <c:varyColors val="0"/>
        <c:ser>
          <c:idx val="0"/>
          <c:order val="0"/>
          <c:tx>
            <c:strRef>
              <c:f>Journal!$F$1</c:f>
              <c:strCache>
                <c:ptCount val="1"/>
                <c:pt idx="0">
                  <c:v>Number of articles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Journal!$E$2:$E$29</c:f>
              <c:strCache>
                <c:ptCount val="28"/>
                <c:pt idx="0">
                  <c:v>JOURNAL OF INVESTIGATIVE DERMATOLOGY</c:v>
                </c:pt>
                <c:pt idx="1">
                  <c:v>PIGMENT CELL RESEARCH</c:v>
                </c:pt>
                <c:pt idx="2">
                  <c:v>ARCHIVES OF DERMATOLOGY</c:v>
                </c:pt>
                <c:pt idx="3">
                  <c:v>JOURNAL OF THE AMERICAN ACADEMY OF DERMATOLOGY</c:v>
                </c:pt>
                <c:pt idx="4">
                  <c:v>NEW ENGLAND JOURNAL OF MEDICINE</c:v>
                </c:pt>
                <c:pt idx="5">
                  <c:v>BRITISH JOURNAL OF DERMATOLOGY</c:v>
                </c:pt>
                <c:pt idx="6">
                  <c:v>NATURE GENETICS</c:v>
                </c:pt>
                <c:pt idx="7">
                  <c:v>JOURNAL OF EXPERIMENTAL MEDICINE</c:v>
                </c:pt>
                <c:pt idx="8">
                  <c:v>DERMATOLOGY</c:v>
                </c:pt>
                <c:pt idx="9">
                  <c:v>JAMA DERMATOLOGY</c:v>
                </c:pt>
                <c:pt idx="10">
                  <c:v>LANCET</c:v>
                </c:pt>
                <c:pt idx="11">
                  <c:v>PROCEEDINGS OF THE NATIONAL ACADEMY OF SCIENCES OF THE UNITED STATES OF AMERICA</c:v>
                </c:pt>
                <c:pt idx="12">
                  <c:v>LABORATORY INVESTIGATION</c:v>
                </c:pt>
                <c:pt idx="13">
                  <c:v>JOURNAL OF PATHOLOGY</c:v>
                </c:pt>
                <c:pt idx="14">
                  <c:v>BIOCHEMICAL AND BIOPHYSICAL RESEARCH COMMUNICATIONS</c:v>
                </c:pt>
                <c:pt idx="15">
                  <c:v>JOURNAL OF CLINICAL ONCOLOGY</c:v>
                </c:pt>
                <c:pt idx="16">
                  <c:v>PIGMENT CELL &amp; MELANOMA RESEARCH</c:v>
                </c:pt>
                <c:pt idx="17">
                  <c:v>SCIENCE TRANSLATIONAL MEDICINE</c:v>
                </c:pt>
                <c:pt idx="18">
                  <c:v>JOURNAL OF DERMATOLOGY</c:v>
                </c:pt>
                <c:pt idx="19">
                  <c:v>PLOS ONE</c:v>
                </c:pt>
                <c:pt idx="20">
                  <c:v>INTERNATIONAL JOURNAL OF DERMATOLOGY</c:v>
                </c:pt>
                <c:pt idx="21">
                  <c:v>NATURE REVIEWS DISEASE PRIMERS</c:v>
                </c:pt>
                <c:pt idx="22">
                  <c:v>EXPERIMENTAL DERMATOLOGY</c:v>
                </c:pt>
                <c:pt idx="23">
                  <c:v>JOURNAL OF INVESTIGATIVE DERMATOLOGY SYMPOSIUM PROCEEDINGS</c:v>
                </c:pt>
                <c:pt idx="24">
                  <c:v>JOURNAL OF IMMUNOTHERAPY</c:v>
                </c:pt>
                <c:pt idx="25">
                  <c:v>ANNALS OF ONCOLOGY</c:v>
                </c:pt>
                <c:pt idx="26">
                  <c:v>AMERICAN JOURNAL OF PATHOLOGY</c:v>
                </c:pt>
                <c:pt idx="27">
                  <c:v>CLINICAL AND EXPERIMENTAL DERMATOLOGY</c:v>
                </c:pt>
              </c:strCache>
            </c:strRef>
          </c:cat>
          <c:val>
            <c:numRef>
              <c:f>Journal!$F$2:$F$29</c:f>
              <c:numCache>
                <c:formatCode>General</c:formatCode>
                <c:ptCount val="28"/>
                <c:pt idx="0">
                  <c:v>16</c:v>
                </c:pt>
                <c:pt idx="1">
                  <c:v>13</c:v>
                </c:pt>
                <c:pt idx="2">
                  <c:v>13</c:v>
                </c:pt>
                <c:pt idx="3">
                  <c:v>10</c:v>
                </c:pt>
                <c:pt idx="4">
                  <c:v>4</c:v>
                </c:pt>
                <c:pt idx="5">
                  <c:v>4</c:v>
                </c:pt>
                <c:pt idx="6">
                  <c:v>3</c:v>
                </c:pt>
                <c:pt idx="7">
                  <c:v>3</c:v>
                </c:pt>
                <c:pt idx="8">
                  <c:v>3</c:v>
                </c:pt>
                <c:pt idx="9">
                  <c:v>2</c:v>
                </c:pt>
                <c:pt idx="10">
                  <c:v>2</c:v>
                </c:pt>
                <c:pt idx="11">
                  <c:v>2</c:v>
                </c:pt>
                <c:pt idx="12">
                  <c:v>2</c:v>
                </c:pt>
                <c:pt idx="13">
                  <c:v>2</c:v>
                </c:pt>
                <c:pt idx="14">
                  <c:v>2</c:v>
                </c:pt>
                <c:pt idx="15">
                  <c:v>1</c:v>
                </c:pt>
                <c:pt idx="16">
                  <c:v>1</c:v>
                </c:pt>
                <c:pt idx="17">
                  <c:v>1</c:v>
                </c:pt>
                <c:pt idx="18">
                  <c:v>1</c:v>
                </c:pt>
                <c:pt idx="19">
                  <c:v>1</c:v>
                </c:pt>
                <c:pt idx="20">
                  <c:v>1</c:v>
                </c:pt>
                <c:pt idx="21">
                  <c:v>1</c:v>
                </c:pt>
                <c:pt idx="22">
                  <c:v>1</c:v>
                </c:pt>
                <c:pt idx="23">
                  <c:v>1</c:v>
                </c:pt>
                <c:pt idx="24">
                  <c:v>1</c:v>
                </c:pt>
                <c:pt idx="25">
                  <c:v>1</c:v>
                </c:pt>
                <c:pt idx="26">
                  <c:v>1</c:v>
                </c:pt>
                <c:pt idx="27">
                  <c:v>1</c:v>
                </c:pt>
              </c:numCache>
            </c:numRef>
          </c:val>
          <c:extLst>
            <c:ext xmlns:c16="http://schemas.microsoft.com/office/drawing/2014/chart" uri="{C3380CC4-5D6E-409C-BE32-E72D297353CC}">
              <c16:uniqueId val="{00000000-5894-EA42-A89E-33118EECF60E}"/>
            </c:ext>
          </c:extLst>
        </c:ser>
        <c:dLbls>
          <c:dLblPos val="outEnd"/>
          <c:showLegendKey val="0"/>
          <c:showVal val="1"/>
          <c:showCatName val="0"/>
          <c:showSerName val="0"/>
          <c:showPercent val="0"/>
          <c:showBubbleSize val="0"/>
        </c:dLbls>
        <c:gapWidth val="38"/>
        <c:overlap val="8"/>
        <c:axId val="598175583"/>
        <c:axId val="1423521919"/>
      </c:barChart>
      <c:catAx>
        <c:axId val="598175583"/>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he-IL"/>
          </a:p>
        </c:txPr>
        <c:crossAx val="1423521919"/>
        <c:crosses val="autoZero"/>
        <c:auto val="1"/>
        <c:lblAlgn val="ctr"/>
        <c:lblOffset val="100"/>
        <c:noMultiLvlLbl val="0"/>
      </c:catAx>
      <c:valAx>
        <c:axId val="1423521919"/>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he-IL"/>
          </a:p>
        </c:txPr>
        <c:crossAx val="598175583"/>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Impact factor of journals</a:t>
            </a:r>
            <a:r>
              <a:rPr lang="en-GB" baseline="0"/>
              <a:t> </a:t>
            </a:r>
            <a:r>
              <a:rPr lang="en-GB"/>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0.13125086218636509"/>
          <c:y val="0.15336233059677487"/>
          <c:w val="0.78659922610328503"/>
          <c:h val="0.70026501937023766"/>
        </c:manualLayout>
      </c:layout>
      <c:barChart>
        <c:barDir val="col"/>
        <c:grouping val="clustered"/>
        <c:varyColors val="0"/>
        <c:ser>
          <c:idx val="0"/>
          <c:order val="0"/>
          <c:spPr>
            <a:solidFill>
              <a:schemeClr val="accent1"/>
            </a:solidFill>
            <a:ln>
              <a:noFill/>
            </a:ln>
            <a:effectLst/>
          </c:spPr>
          <c:invertIfNegative val="0"/>
          <c:cat>
            <c:strRef>
              <c:f>'Impact factor '!$Q$3:$Q$12</c:f>
              <c:strCache>
                <c:ptCount val="10"/>
                <c:pt idx="0">
                  <c:v>[0-3]</c:v>
                </c:pt>
                <c:pt idx="1">
                  <c:v>(3-5]</c:v>
                </c:pt>
                <c:pt idx="2">
                  <c:v>(5-7]</c:v>
                </c:pt>
                <c:pt idx="3">
                  <c:v>(7-9]</c:v>
                </c:pt>
                <c:pt idx="4">
                  <c:v>(9-11]</c:v>
                </c:pt>
                <c:pt idx="5">
                  <c:v>(11-13]</c:v>
                </c:pt>
                <c:pt idx="6">
                  <c:v>(13-15]</c:v>
                </c:pt>
                <c:pt idx="7">
                  <c:v>(15-17]</c:v>
                </c:pt>
                <c:pt idx="8">
                  <c:v>(17-20]</c:v>
                </c:pt>
                <c:pt idx="9">
                  <c:v>20+</c:v>
                </c:pt>
              </c:strCache>
            </c:strRef>
          </c:cat>
          <c:val>
            <c:numRef>
              <c:f>'Impact factor '!$R$3:$R$12</c:f>
              <c:numCache>
                <c:formatCode>General</c:formatCode>
                <c:ptCount val="10"/>
                <c:pt idx="0">
                  <c:v>5</c:v>
                </c:pt>
                <c:pt idx="1">
                  <c:v>7</c:v>
                </c:pt>
                <c:pt idx="2">
                  <c:v>2</c:v>
                </c:pt>
                <c:pt idx="3">
                  <c:v>2</c:v>
                </c:pt>
                <c:pt idx="4">
                  <c:v>1</c:v>
                </c:pt>
                <c:pt idx="5">
                  <c:v>6</c:v>
                </c:pt>
                <c:pt idx="6">
                  <c:v>0</c:v>
                </c:pt>
                <c:pt idx="7">
                  <c:v>0</c:v>
                </c:pt>
                <c:pt idx="8">
                  <c:v>2</c:v>
                </c:pt>
                <c:pt idx="9">
                  <c:v>6</c:v>
                </c:pt>
              </c:numCache>
            </c:numRef>
          </c:val>
          <c:extLst>
            <c:ext xmlns:c16="http://schemas.microsoft.com/office/drawing/2014/chart" uri="{C3380CC4-5D6E-409C-BE32-E72D297353CC}">
              <c16:uniqueId val="{00000000-E0A3-9F4F-9AFE-1991EB1F67CF}"/>
            </c:ext>
          </c:extLst>
        </c:ser>
        <c:dLbls>
          <c:showLegendKey val="0"/>
          <c:showVal val="0"/>
          <c:showCatName val="0"/>
          <c:showSerName val="0"/>
          <c:showPercent val="0"/>
          <c:showBubbleSize val="0"/>
        </c:dLbls>
        <c:gapWidth val="219"/>
        <c:overlap val="-27"/>
        <c:axId val="600294224"/>
        <c:axId val="600295904"/>
      </c:barChart>
      <c:catAx>
        <c:axId val="600294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Impact factor range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0295904"/>
        <c:crosses val="autoZero"/>
        <c:auto val="1"/>
        <c:lblAlgn val="ctr"/>
        <c:lblOffset val="100"/>
        <c:noMultiLvlLbl val="0"/>
      </c:catAx>
      <c:valAx>
        <c:axId val="60029590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publications</a:t>
                </a:r>
                <a:endParaRPr lang="en-GB"/>
              </a:p>
            </c:rich>
          </c:tx>
          <c:layout>
            <c:manualLayout>
              <c:xMode val="edge"/>
              <c:yMode val="edge"/>
              <c:x val="3.3423598321216066E-2"/>
              <c:y val="0.326636024703860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029422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study</a:t>
            </a:r>
            <a:r>
              <a:rPr lang="en-GB" baseline="0"/>
              <a:t> design of original articles</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3.8048828152583113E-2"/>
          <c:y val="8.3258500348884143E-2"/>
          <c:w val="0.94066517730991839"/>
          <c:h val="0.71190263803053366"/>
        </c:manualLayout>
      </c:layout>
      <c:barChart>
        <c:barDir val="col"/>
        <c:grouping val="clustered"/>
        <c:varyColors val="0"/>
        <c:ser>
          <c:idx val="0"/>
          <c:order val="0"/>
          <c:tx>
            <c:strRef>
              <c:f>'original articles '!$H$5</c:f>
              <c:strCache>
                <c:ptCount val="1"/>
                <c:pt idx="0">
                  <c:v>Clinical Trial </c:v>
                </c:pt>
              </c:strCache>
            </c:strRef>
          </c:tx>
          <c:spPr>
            <a:solidFill>
              <a:srgbClr val="92D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'!$H$6:$H$10</c:f>
              <c:numCache>
                <c:formatCode>General</c:formatCode>
                <c:ptCount val="5"/>
                <c:pt idx="0">
                  <c:v>1</c:v>
                </c:pt>
                <c:pt idx="2">
                  <c:v>5</c:v>
                </c:pt>
                <c:pt idx="3">
                  <c:v>2</c:v>
                </c:pt>
                <c:pt idx="4">
                  <c:v>1</c:v>
                </c:pt>
              </c:numCache>
            </c:numRef>
          </c:val>
          <c:extLst>
            <c:ext xmlns:c16="http://schemas.microsoft.com/office/drawing/2014/chart" uri="{C3380CC4-5D6E-409C-BE32-E72D297353CC}">
              <c16:uniqueId val="{00000000-46CB-B344-BEAC-9634ADB1CADE}"/>
            </c:ext>
          </c:extLst>
        </c:ser>
        <c:ser>
          <c:idx val="1"/>
          <c:order val="1"/>
          <c:tx>
            <c:strRef>
              <c:f>'original articles '!$I$5</c:f>
              <c:strCache>
                <c:ptCount val="1"/>
                <c:pt idx="0">
                  <c:v>Case Control study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'!$I$6:$I$10</c:f>
              <c:numCache>
                <c:formatCode>General</c:formatCode>
                <c:ptCount val="5"/>
                <c:pt idx="0">
                  <c:v>1</c:v>
                </c:pt>
                <c:pt idx="1">
                  <c:v>6</c:v>
                </c:pt>
                <c:pt idx="2">
                  <c:v>20</c:v>
                </c:pt>
                <c:pt idx="3">
                  <c:v>3</c:v>
                </c:pt>
              </c:numCache>
            </c:numRef>
          </c:val>
          <c:extLst>
            <c:ext xmlns:c16="http://schemas.microsoft.com/office/drawing/2014/chart" uri="{C3380CC4-5D6E-409C-BE32-E72D297353CC}">
              <c16:uniqueId val="{00000001-46CB-B344-BEAC-9634ADB1CADE}"/>
            </c:ext>
          </c:extLst>
        </c:ser>
        <c:ser>
          <c:idx val="2"/>
          <c:order val="2"/>
          <c:tx>
            <c:strRef>
              <c:f>'original articles '!$J$5</c:f>
              <c:strCache>
                <c:ptCount val="1"/>
                <c:pt idx="0">
                  <c:v>Questionnaire </c:v>
                </c:pt>
              </c:strCache>
            </c:strRef>
          </c:tx>
          <c:spPr>
            <a:solidFill>
              <a:srgbClr val="FE45F8"/>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'!$J$6:$J$10</c:f>
              <c:numCache>
                <c:formatCode>General</c:formatCode>
                <c:ptCount val="5"/>
                <c:pt idx="0">
                  <c:v>1</c:v>
                </c:pt>
                <c:pt idx="2">
                  <c:v>3</c:v>
                </c:pt>
                <c:pt idx="3">
                  <c:v>4</c:v>
                </c:pt>
              </c:numCache>
            </c:numRef>
          </c:val>
          <c:extLst>
            <c:ext xmlns:c16="http://schemas.microsoft.com/office/drawing/2014/chart" uri="{C3380CC4-5D6E-409C-BE32-E72D297353CC}">
              <c16:uniqueId val="{00000002-46CB-B344-BEAC-9634ADB1CADE}"/>
            </c:ext>
          </c:extLst>
        </c:ser>
        <c:ser>
          <c:idx val="3"/>
          <c:order val="3"/>
          <c:tx>
            <c:strRef>
              <c:f>'original articles '!$K$5</c:f>
              <c:strCache>
                <c:ptCount val="1"/>
                <c:pt idx="0">
                  <c:v>Case report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'!$K$6:$K$10</c:f>
              <c:numCache>
                <c:formatCode>General</c:formatCode>
                <c:ptCount val="5"/>
                <c:pt idx="0">
                  <c:v>1</c:v>
                </c:pt>
                <c:pt idx="2">
                  <c:v>1</c:v>
                </c:pt>
                <c:pt idx="4">
                  <c:v>1</c:v>
                </c:pt>
              </c:numCache>
            </c:numRef>
          </c:val>
          <c:extLst>
            <c:ext xmlns:c16="http://schemas.microsoft.com/office/drawing/2014/chart" uri="{C3380CC4-5D6E-409C-BE32-E72D297353CC}">
              <c16:uniqueId val="{00000003-46CB-B344-BEAC-9634ADB1CADE}"/>
            </c:ext>
          </c:extLst>
        </c:ser>
        <c:ser>
          <c:idx val="4"/>
          <c:order val="4"/>
          <c:tx>
            <c:strRef>
              <c:f>'original articles '!$L$5</c:f>
              <c:strCache>
                <c:ptCount val="1"/>
                <c:pt idx="0">
                  <c:v>RCT</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'!$L$6:$L$10</c:f>
              <c:numCache>
                <c:formatCode>General</c:formatCode>
                <c:ptCount val="5"/>
                <c:pt idx="3">
                  <c:v>3</c:v>
                </c:pt>
              </c:numCache>
            </c:numRef>
          </c:val>
          <c:extLst>
            <c:ext xmlns:c16="http://schemas.microsoft.com/office/drawing/2014/chart" uri="{C3380CC4-5D6E-409C-BE32-E72D297353CC}">
              <c16:uniqueId val="{00000004-46CB-B344-BEAC-9634ADB1CADE}"/>
            </c:ext>
          </c:extLst>
        </c:ser>
        <c:ser>
          <c:idx val="5"/>
          <c:order val="5"/>
          <c:tx>
            <c:strRef>
              <c:f>'original articles '!$M$5</c:f>
              <c:strCache>
                <c:ptCount val="1"/>
                <c:pt idx="0">
                  <c:v>Review</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'!$M$6:$M$10</c:f>
              <c:numCache>
                <c:formatCode>General</c:formatCode>
                <c:ptCount val="5"/>
              </c:numCache>
            </c:numRef>
          </c:val>
          <c:extLst>
            <c:ext xmlns:c16="http://schemas.microsoft.com/office/drawing/2014/chart" uri="{C3380CC4-5D6E-409C-BE32-E72D297353CC}">
              <c16:uniqueId val="{00000005-46CB-B344-BEAC-9634ADB1CADE}"/>
            </c:ext>
          </c:extLst>
        </c:ser>
        <c:ser>
          <c:idx val="6"/>
          <c:order val="6"/>
          <c:tx>
            <c:strRef>
              <c:f>'original articles '!$N$5</c:f>
              <c:strCache>
                <c:ptCount val="1"/>
                <c:pt idx="0">
                  <c:v>Cohort study </c:v>
                </c:pt>
              </c:strCache>
            </c:strRef>
          </c:tx>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'!$N$6:$N$10</c:f>
              <c:numCache>
                <c:formatCode>General</c:formatCode>
                <c:ptCount val="5"/>
                <c:pt idx="1">
                  <c:v>1</c:v>
                </c:pt>
                <c:pt idx="2">
                  <c:v>4</c:v>
                </c:pt>
                <c:pt idx="3">
                  <c:v>3</c:v>
                </c:pt>
                <c:pt idx="4">
                  <c:v>1</c:v>
                </c:pt>
              </c:numCache>
            </c:numRef>
          </c:val>
          <c:extLst>
            <c:ext xmlns:c16="http://schemas.microsoft.com/office/drawing/2014/chart" uri="{C3380CC4-5D6E-409C-BE32-E72D297353CC}">
              <c16:uniqueId val="{00000006-46CB-B344-BEAC-9634ADB1CADE}"/>
            </c:ext>
          </c:extLst>
        </c:ser>
        <c:ser>
          <c:idx val="7"/>
          <c:order val="7"/>
          <c:tx>
            <c:strRef>
              <c:f>'original articles '!$O$5</c:f>
              <c:strCache>
                <c:ptCount val="1"/>
                <c:pt idx="0">
                  <c:v>GWAS</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'!$O$6:$O$10</c:f>
              <c:numCache>
                <c:formatCode>General</c:formatCode>
                <c:ptCount val="5"/>
                <c:pt idx="3">
                  <c:v>3</c:v>
                </c:pt>
                <c:pt idx="4">
                  <c:v>1</c:v>
                </c:pt>
              </c:numCache>
            </c:numRef>
          </c:val>
          <c:extLst>
            <c:ext xmlns:c16="http://schemas.microsoft.com/office/drawing/2014/chart" uri="{C3380CC4-5D6E-409C-BE32-E72D297353CC}">
              <c16:uniqueId val="{00000007-46CB-B344-BEAC-9634ADB1CADE}"/>
            </c:ext>
          </c:extLst>
        </c:ser>
        <c:ser>
          <c:idx val="8"/>
          <c:order val="8"/>
          <c:tx>
            <c:strRef>
              <c:f>'original articles '!$P$5</c:f>
              <c:strCache>
                <c:ptCount val="1"/>
                <c:pt idx="0">
                  <c:v>Guideline</c:v>
                </c:pt>
              </c:strCache>
            </c:strRef>
          </c:tx>
          <c:spPr>
            <a:solidFill>
              <a:srgbClr val="4DFFDF"/>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'!$P$6:$P$10</c:f>
              <c:numCache>
                <c:formatCode>General</c:formatCode>
                <c:ptCount val="5"/>
                <c:pt idx="3">
                  <c:v>1</c:v>
                </c:pt>
              </c:numCache>
            </c:numRef>
          </c:val>
          <c:extLst>
            <c:ext xmlns:c16="http://schemas.microsoft.com/office/drawing/2014/chart" uri="{C3380CC4-5D6E-409C-BE32-E72D297353CC}">
              <c16:uniqueId val="{00000008-46CB-B344-BEAC-9634ADB1CADE}"/>
            </c:ext>
          </c:extLst>
        </c:ser>
        <c:ser>
          <c:idx val="9"/>
          <c:order val="9"/>
          <c:tx>
            <c:strRef>
              <c:f>'original articles '!$Q$5</c:f>
              <c:strCache>
                <c:ptCount val="1"/>
                <c:pt idx="0">
                  <c:v>Basic or Applied science</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'!$Q$6:$Q$10</c:f>
              <c:numCache>
                <c:formatCode>General</c:formatCode>
                <c:ptCount val="5"/>
                <c:pt idx="2">
                  <c:v>1</c:v>
                </c:pt>
                <c:pt idx="3">
                  <c:v>4</c:v>
                </c:pt>
                <c:pt idx="4">
                  <c:v>2</c:v>
                </c:pt>
              </c:numCache>
            </c:numRef>
          </c:val>
          <c:extLst>
            <c:ext xmlns:c16="http://schemas.microsoft.com/office/drawing/2014/chart" uri="{C3380CC4-5D6E-409C-BE32-E72D297353CC}">
              <c16:uniqueId val="{00000009-46CB-B344-BEAC-9634ADB1CADE}"/>
            </c:ext>
          </c:extLst>
        </c:ser>
        <c:ser>
          <c:idx val="10"/>
          <c:order val="10"/>
          <c:tx>
            <c:strRef>
              <c:f>'original articles '!$R$5</c:f>
              <c:strCache>
                <c:ptCount val="1"/>
                <c:pt idx="0">
                  <c:v>Meta-Analysis</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'!$G$6:$G$10</c:f>
              <c:strCache>
                <c:ptCount val="5"/>
                <c:pt idx="0">
                  <c:v>[1972-1982]</c:v>
                </c:pt>
                <c:pt idx="1">
                  <c:v>[1983-1992]</c:v>
                </c:pt>
                <c:pt idx="2">
                  <c:v>[1993-2002]</c:v>
                </c:pt>
                <c:pt idx="3">
                  <c:v>[2003-2012]</c:v>
                </c:pt>
                <c:pt idx="4">
                  <c:v>[2013-2017]</c:v>
                </c:pt>
              </c:strCache>
            </c:strRef>
          </c:cat>
          <c:val>
            <c:numRef>
              <c:f>'original articles '!$R$6:$R$10</c:f>
              <c:numCache>
                <c:formatCode>General</c:formatCode>
                <c:ptCount val="5"/>
                <c:pt idx="2">
                  <c:v>1</c:v>
                </c:pt>
              </c:numCache>
            </c:numRef>
          </c:val>
          <c:extLst>
            <c:ext xmlns:c16="http://schemas.microsoft.com/office/drawing/2014/chart" uri="{C3380CC4-5D6E-409C-BE32-E72D297353CC}">
              <c16:uniqueId val="{0000000A-46CB-B344-BEAC-9634ADB1CADE}"/>
            </c:ext>
          </c:extLst>
        </c:ser>
        <c:dLbls>
          <c:dLblPos val="outEnd"/>
          <c:showLegendKey val="0"/>
          <c:showVal val="1"/>
          <c:showCatName val="0"/>
          <c:showSerName val="0"/>
          <c:showPercent val="0"/>
          <c:showBubbleSize val="0"/>
        </c:dLbls>
        <c:gapWidth val="444"/>
        <c:overlap val="-90"/>
        <c:axId val="1899627520"/>
        <c:axId val="1899501888"/>
      </c:barChart>
      <c:catAx>
        <c:axId val="189962752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1899501888"/>
        <c:crosses val="autoZero"/>
        <c:auto val="1"/>
        <c:lblAlgn val="ctr"/>
        <c:lblOffset val="100"/>
        <c:noMultiLvlLbl val="0"/>
      </c:catAx>
      <c:valAx>
        <c:axId val="1899501888"/>
        <c:scaling>
          <c:orientation val="minMax"/>
        </c:scaling>
        <c:delete val="1"/>
        <c:axPos val="l"/>
        <c:numFmt formatCode="General" sourceLinked="1"/>
        <c:majorTickMark val="none"/>
        <c:minorTickMark val="none"/>
        <c:tickLblPos val="nextTo"/>
        <c:crossAx val="1899627520"/>
        <c:crosses val="autoZero"/>
        <c:crossBetween val="between"/>
      </c:valAx>
      <c:spPr>
        <a:noFill/>
        <a:ln>
          <a:noFill/>
        </a:ln>
        <a:effectLst/>
      </c:spPr>
    </c:plotArea>
    <c:legend>
      <c:legendPos val="t"/>
      <c:layout>
        <c:manualLayout>
          <c:xMode val="edge"/>
          <c:yMode val="edge"/>
          <c:x val="0.17601687784971798"/>
          <c:y val="0.87393988973307635"/>
          <c:w val="0.62850120483519945"/>
          <c:h val="0.113387525637841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Research</a:t>
            </a:r>
            <a:r>
              <a:rPr lang="en-GB" baseline="0"/>
              <a:t> focus of original articles</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2.7777760307916781E-2"/>
          <c:y val="0.10707588987817203"/>
          <c:w val="0.95086978943925937"/>
          <c:h val="0.63122056776801205"/>
        </c:manualLayout>
      </c:layout>
      <c:barChart>
        <c:barDir val="col"/>
        <c:grouping val="clustered"/>
        <c:varyColors val="0"/>
        <c:ser>
          <c:idx val="0"/>
          <c:order val="0"/>
          <c:tx>
            <c:strRef>
              <c:f>'original articles '!$H$14</c:f>
              <c:strCache>
                <c:ptCount val="1"/>
                <c:pt idx="0">
                  <c:v>Epidemiology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'!$H$15:$H$19</c:f>
              <c:numCache>
                <c:formatCode>General</c:formatCode>
                <c:ptCount val="5"/>
                <c:pt idx="0">
                  <c:v>1</c:v>
                </c:pt>
                <c:pt idx="1">
                  <c:v>1</c:v>
                </c:pt>
                <c:pt idx="2">
                  <c:v>4</c:v>
                </c:pt>
                <c:pt idx="3">
                  <c:v>5</c:v>
                </c:pt>
              </c:numCache>
            </c:numRef>
          </c:val>
          <c:extLst>
            <c:ext xmlns:c16="http://schemas.microsoft.com/office/drawing/2014/chart" uri="{C3380CC4-5D6E-409C-BE32-E72D297353CC}">
              <c16:uniqueId val="{00000000-2197-DA4E-B88A-72F2EA7304F1}"/>
            </c:ext>
          </c:extLst>
        </c:ser>
        <c:ser>
          <c:idx val="1"/>
          <c:order val="1"/>
          <c:tx>
            <c:strRef>
              <c:f>'original articles '!$I$14</c:f>
              <c:strCache>
                <c:ptCount val="1"/>
                <c:pt idx="0">
                  <c:v>Treatment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'!$I$15:$I$19</c:f>
              <c:numCache>
                <c:formatCode>General</c:formatCode>
                <c:ptCount val="5"/>
                <c:pt idx="0">
                  <c:v>1</c:v>
                </c:pt>
                <c:pt idx="1">
                  <c:v>1</c:v>
                </c:pt>
                <c:pt idx="2">
                  <c:v>11</c:v>
                </c:pt>
                <c:pt idx="3">
                  <c:v>7</c:v>
                </c:pt>
                <c:pt idx="4">
                  <c:v>1</c:v>
                </c:pt>
              </c:numCache>
            </c:numRef>
          </c:val>
          <c:extLst>
            <c:ext xmlns:c16="http://schemas.microsoft.com/office/drawing/2014/chart" uri="{C3380CC4-5D6E-409C-BE32-E72D297353CC}">
              <c16:uniqueId val="{00000001-2197-DA4E-B88A-72F2EA7304F1}"/>
            </c:ext>
          </c:extLst>
        </c:ser>
        <c:ser>
          <c:idx val="2"/>
          <c:order val="2"/>
          <c:tx>
            <c:strRef>
              <c:f>'original articles '!$J$14</c:f>
              <c:strCache>
                <c:ptCount val="1"/>
                <c:pt idx="0">
                  <c:v>Immunopathology</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'!$J$15:$J$19</c:f>
              <c:numCache>
                <c:formatCode>General</c:formatCode>
                <c:ptCount val="5"/>
                <c:pt idx="0">
                  <c:v>2</c:v>
                </c:pt>
                <c:pt idx="1">
                  <c:v>1</c:v>
                </c:pt>
                <c:pt idx="2">
                  <c:v>4</c:v>
                </c:pt>
                <c:pt idx="3">
                  <c:v>1</c:v>
                </c:pt>
              </c:numCache>
            </c:numRef>
          </c:val>
          <c:extLst>
            <c:ext xmlns:c16="http://schemas.microsoft.com/office/drawing/2014/chart" uri="{C3380CC4-5D6E-409C-BE32-E72D297353CC}">
              <c16:uniqueId val="{00000002-2197-DA4E-B88A-72F2EA7304F1}"/>
            </c:ext>
          </c:extLst>
        </c:ser>
        <c:ser>
          <c:idx val="3"/>
          <c:order val="3"/>
          <c:tx>
            <c:strRef>
              <c:f>'original articles '!$K$14</c:f>
              <c:strCache>
                <c:ptCount val="1"/>
                <c:pt idx="0">
                  <c:v>Comprehensive review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'!$K$15:$K$19</c:f>
              <c:numCache>
                <c:formatCode>General</c:formatCode>
                <c:ptCount val="5"/>
                <c:pt idx="1">
                  <c:v>1</c:v>
                </c:pt>
              </c:numCache>
            </c:numRef>
          </c:val>
          <c:extLst>
            <c:ext xmlns:c16="http://schemas.microsoft.com/office/drawing/2014/chart" uri="{C3380CC4-5D6E-409C-BE32-E72D297353CC}">
              <c16:uniqueId val="{00000003-2197-DA4E-B88A-72F2EA7304F1}"/>
            </c:ext>
          </c:extLst>
        </c:ser>
        <c:ser>
          <c:idx val="4"/>
          <c:order val="4"/>
          <c:tx>
            <c:strRef>
              <c:f>'original articles '!$L$14</c:f>
              <c:strCache>
                <c:ptCount val="1"/>
                <c:pt idx="0">
                  <c:v>Basic science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'!$L$15:$L$19</c:f>
              <c:numCache>
                <c:formatCode>General</c:formatCode>
                <c:ptCount val="5"/>
                <c:pt idx="1">
                  <c:v>1</c:v>
                </c:pt>
                <c:pt idx="2">
                  <c:v>1</c:v>
                </c:pt>
                <c:pt idx="3">
                  <c:v>1</c:v>
                </c:pt>
              </c:numCache>
            </c:numRef>
          </c:val>
          <c:extLst>
            <c:ext xmlns:c16="http://schemas.microsoft.com/office/drawing/2014/chart" uri="{C3380CC4-5D6E-409C-BE32-E72D297353CC}">
              <c16:uniqueId val="{00000004-2197-DA4E-B88A-72F2EA7304F1}"/>
            </c:ext>
          </c:extLst>
        </c:ser>
        <c:ser>
          <c:idx val="5"/>
          <c:order val="5"/>
          <c:tx>
            <c:strRef>
              <c:f>'original articles '!$M$14</c:f>
              <c:strCache>
                <c:ptCount val="1"/>
                <c:pt idx="0">
                  <c:v>Diagnostics</c:v>
                </c:pt>
              </c:strCache>
            </c:strRef>
          </c:tx>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'!$M$15:$M$19</c:f>
              <c:numCache>
                <c:formatCode>General</c:formatCode>
                <c:ptCount val="5"/>
                <c:pt idx="2">
                  <c:v>1</c:v>
                </c:pt>
              </c:numCache>
            </c:numRef>
          </c:val>
          <c:extLst>
            <c:ext xmlns:c16="http://schemas.microsoft.com/office/drawing/2014/chart" uri="{C3380CC4-5D6E-409C-BE32-E72D297353CC}">
              <c16:uniqueId val="{00000005-2197-DA4E-B88A-72F2EA7304F1}"/>
            </c:ext>
          </c:extLst>
        </c:ser>
        <c:ser>
          <c:idx val="6"/>
          <c:order val="6"/>
          <c:tx>
            <c:strRef>
              <c:f>'original articles '!$N$14</c:f>
              <c:strCache>
                <c:ptCount val="1"/>
                <c:pt idx="0">
                  <c:v>Pathogenesis</c:v>
                </c:pt>
              </c:strCache>
            </c:strRef>
          </c:tx>
          <c:spPr>
            <a:solidFill>
              <a:srgbClr val="92D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'!$N$15:$N$19</c:f>
              <c:numCache>
                <c:formatCode>General</c:formatCode>
                <c:ptCount val="5"/>
                <c:pt idx="2">
                  <c:v>13</c:v>
                </c:pt>
                <c:pt idx="3">
                  <c:v>5</c:v>
                </c:pt>
                <c:pt idx="4">
                  <c:v>3</c:v>
                </c:pt>
              </c:numCache>
            </c:numRef>
          </c:val>
          <c:extLst>
            <c:ext xmlns:c16="http://schemas.microsoft.com/office/drawing/2014/chart" uri="{C3380CC4-5D6E-409C-BE32-E72D297353CC}">
              <c16:uniqueId val="{00000006-2197-DA4E-B88A-72F2EA7304F1}"/>
            </c:ext>
          </c:extLst>
        </c:ser>
        <c:ser>
          <c:idx val="7"/>
          <c:order val="7"/>
          <c:tx>
            <c:strRef>
              <c:f>'original articles '!$O$14</c:f>
              <c:strCache>
                <c:ptCount val="1"/>
                <c:pt idx="0">
                  <c:v>Genetics</c:v>
                </c:pt>
              </c:strCache>
            </c:strRef>
          </c:tx>
          <c:spPr>
            <a:solidFill>
              <a:srgbClr val="FE45F8"/>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'!$O$15:$O$19</c:f>
              <c:numCache>
                <c:formatCode>General</c:formatCode>
                <c:ptCount val="5"/>
                <c:pt idx="2">
                  <c:v>1</c:v>
                </c:pt>
                <c:pt idx="3">
                  <c:v>3</c:v>
                </c:pt>
              </c:numCache>
            </c:numRef>
          </c:val>
          <c:extLst>
            <c:ext xmlns:c16="http://schemas.microsoft.com/office/drawing/2014/chart" uri="{C3380CC4-5D6E-409C-BE32-E72D297353CC}">
              <c16:uniqueId val="{00000007-2197-DA4E-B88A-72F2EA7304F1}"/>
            </c:ext>
          </c:extLst>
        </c:ser>
        <c:ser>
          <c:idx val="8"/>
          <c:order val="8"/>
          <c:tx>
            <c:strRef>
              <c:f>'original articles '!$P$14</c:f>
              <c:strCache>
                <c:ptCount val="1"/>
                <c:pt idx="0">
                  <c:v>Pathophysiology</c:v>
                </c:pt>
              </c:strCache>
            </c:strRef>
          </c:tx>
          <c:spPr>
            <a:solidFill>
              <a:srgbClr val="D7CBFF"/>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'!$P$15:$P$19</c:f>
              <c:numCache>
                <c:formatCode>General</c:formatCode>
                <c:ptCount val="5"/>
                <c:pt idx="1">
                  <c:v>2</c:v>
                </c:pt>
              </c:numCache>
            </c:numRef>
          </c:val>
          <c:extLst>
            <c:ext xmlns:c16="http://schemas.microsoft.com/office/drawing/2014/chart" uri="{C3380CC4-5D6E-409C-BE32-E72D297353CC}">
              <c16:uniqueId val="{00000008-2197-DA4E-B88A-72F2EA7304F1}"/>
            </c:ext>
          </c:extLst>
        </c:ser>
        <c:ser>
          <c:idx val="9"/>
          <c:order val="9"/>
          <c:tx>
            <c:strRef>
              <c:f>'original articles '!$Q$14</c:f>
              <c:strCache>
                <c:ptCount val="1"/>
                <c:pt idx="0">
                  <c:v>Treatment outcome</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'original articles '!$G$15:$G$19</c:f>
              <c:strCache>
                <c:ptCount val="5"/>
                <c:pt idx="0">
                  <c:v>[1972-1982]</c:v>
                </c:pt>
                <c:pt idx="1">
                  <c:v>[1983-1992]</c:v>
                </c:pt>
                <c:pt idx="2">
                  <c:v>[1993-2002]</c:v>
                </c:pt>
                <c:pt idx="3">
                  <c:v>[2003-2012]</c:v>
                </c:pt>
                <c:pt idx="4">
                  <c:v>[2013-2017]</c:v>
                </c:pt>
              </c:strCache>
            </c:strRef>
          </c:cat>
          <c:val>
            <c:numRef>
              <c:f>'original articles '!$Q$15:$Q$19</c:f>
              <c:numCache>
                <c:formatCode>General</c:formatCode>
                <c:ptCount val="5"/>
                <c:pt idx="3">
                  <c:v>1</c:v>
                </c:pt>
                <c:pt idx="4">
                  <c:v>2</c:v>
                </c:pt>
              </c:numCache>
            </c:numRef>
          </c:val>
          <c:extLst>
            <c:ext xmlns:c16="http://schemas.microsoft.com/office/drawing/2014/chart" uri="{C3380CC4-5D6E-409C-BE32-E72D297353CC}">
              <c16:uniqueId val="{00000009-2197-DA4E-B88A-72F2EA7304F1}"/>
            </c:ext>
          </c:extLst>
        </c:ser>
        <c:dLbls>
          <c:dLblPos val="outEnd"/>
          <c:showLegendKey val="0"/>
          <c:showVal val="1"/>
          <c:showCatName val="0"/>
          <c:showSerName val="0"/>
          <c:showPercent val="0"/>
          <c:showBubbleSize val="0"/>
        </c:dLbls>
        <c:gapWidth val="444"/>
        <c:overlap val="-90"/>
        <c:axId val="2133262768"/>
        <c:axId val="2101891504"/>
      </c:barChart>
      <c:catAx>
        <c:axId val="213326276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2101891504"/>
        <c:crosses val="autoZero"/>
        <c:auto val="1"/>
        <c:lblAlgn val="ctr"/>
        <c:lblOffset val="100"/>
        <c:noMultiLvlLbl val="0"/>
      </c:catAx>
      <c:valAx>
        <c:axId val="2101891504"/>
        <c:scaling>
          <c:orientation val="minMax"/>
        </c:scaling>
        <c:delete val="1"/>
        <c:axPos val="l"/>
        <c:numFmt formatCode="General" sourceLinked="1"/>
        <c:majorTickMark val="none"/>
        <c:minorTickMark val="none"/>
        <c:tickLblPos val="nextTo"/>
        <c:crossAx val="2133262768"/>
        <c:crosses val="autoZero"/>
        <c:crossBetween val="between"/>
      </c:valAx>
      <c:spPr>
        <a:noFill/>
        <a:ln>
          <a:noFill/>
        </a:ln>
        <a:effectLst/>
      </c:spPr>
    </c:plotArea>
    <c:legend>
      <c:legendPos val="t"/>
      <c:layout>
        <c:manualLayout>
          <c:xMode val="edge"/>
          <c:yMode val="edge"/>
          <c:x val="9.6870296162002684E-2"/>
          <c:y val="0.84138030097126182"/>
          <c:w val="0.763911703941342"/>
          <c:h val="0.14696411395653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B682-3657-4D21-932D-6F144148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13485</Words>
  <Characters>67429</Characters>
  <Application>Microsoft Office Word</Application>
  <DocSecurity>0</DocSecurity>
  <Lines>561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אמיר חורב ד''ר</dc:creator>
  <cp:lastModifiedBy>ד''ר אמיר חורב </cp:lastModifiedBy>
  <cp:revision>3</cp:revision>
  <dcterms:created xsi:type="dcterms:W3CDTF">2023-04-19T10:20:00Z</dcterms:created>
  <dcterms:modified xsi:type="dcterms:W3CDTF">2023-04-19T10:20:00Z</dcterms:modified>
</cp:coreProperties>
</file>