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596C4" w14:textId="77777777" w:rsidR="00DC37DE" w:rsidRDefault="00DC37DE" w:rsidP="00852A90">
      <w:pPr>
        <w:pStyle w:val="MDPI16affiliation"/>
        <w:ind w:hanging="311"/>
        <w:jc w:val="center"/>
        <w:rPr>
          <w:rFonts w:asciiTheme="majorBidi" w:hAnsiTheme="majorBidi" w:cstheme="majorBidi"/>
          <w:bCs/>
          <w:sz w:val="24"/>
          <w:szCs w:val="24"/>
        </w:rPr>
      </w:pPr>
      <w:r w:rsidRPr="00DC37DE">
        <w:rPr>
          <w:rFonts w:ascii="Times New Roman" w:eastAsia="Calibri" w:hAnsi="Times New Roman"/>
          <w:b/>
          <w:bCs/>
          <w:color w:val="auto"/>
          <w:kern w:val="2"/>
          <w:sz w:val="28"/>
          <w:szCs w:val="28"/>
          <w:lang w:eastAsia="en-US" w:bidi="he-IL"/>
          <w14:ligatures w14:val="standardContextual"/>
        </w:rPr>
        <w:t>Impact of Announcements on Capital Market Performance in Emerging Markets: A Parametric and Non-Parametric Analysis</w:t>
      </w:r>
    </w:p>
    <w:p w14:paraId="64E165F1" w14:textId="77777777" w:rsidR="00DC37DE" w:rsidRDefault="00DC37DE" w:rsidP="00852A90">
      <w:pPr>
        <w:pStyle w:val="MDPI16affiliation"/>
        <w:ind w:hanging="311"/>
        <w:jc w:val="center"/>
        <w:rPr>
          <w:rFonts w:asciiTheme="majorBidi" w:hAnsiTheme="majorBidi" w:cstheme="majorBidi"/>
          <w:bCs/>
          <w:sz w:val="24"/>
          <w:szCs w:val="24"/>
        </w:rPr>
      </w:pPr>
    </w:p>
    <w:p w14:paraId="3888F0F5" w14:textId="77777777" w:rsidR="00DC37DE" w:rsidRDefault="00DC37DE" w:rsidP="00852A90">
      <w:pPr>
        <w:pStyle w:val="MDPI16affiliation"/>
        <w:ind w:hanging="311"/>
        <w:jc w:val="center"/>
        <w:rPr>
          <w:rFonts w:asciiTheme="majorBidi" w:hAnsiTheme="majorBidi" w:cstheme="majorBidi"/>
          <w:bCs/>
          <w:sz w:val="24"/>
          <w:szCs w:val="24"/>
        </w:rPr>
      </w:pPr>
    </w:p>
    <w:p w14:paraId="63AE22E5" w14:textId="3610AB50" w:rsidR="00852A90" w:rsidRPr="00210D37" w:rsidRDefault="00852A90" w:rsidP="00852A90">
      <w:pPr>
        <w:pStyle w:val="MDPI16affiliation"/>
        <w:ind w:hanging="311"/>
        <w:jc w:val="center"/>
        <w:rPr>
          <w:rFonts w:asciiTheme="majorBidi" w:hAnsiTheme="majorBidi" w:cstheme="majorBidi"/>
          <w:bCs/>
          <w:sz w:val="24"/>
          <w:szCs w:val="24"/>
          <w:vertAlign w:val="superscript"/>
        </w:rPr>
      </w:pPr>
      <w:r w:rsidRPr="00210D37">
        <w:rPr>
          <w:rFonts w:asciiTheme="majorBidi" w:hAnsiTheme="majorBidi" w:cstheme="majorBidi"/>
          <w:bCs/>
          <w:sz w:val="24"/>
          <w:szCs w:val="24"/>
        </w:rPr>
        <w:t>Tchai Tavor</w:t>
      </w:r>
    </w:p>
    <w:p w14:paraId="2A7D9CEF" w14:textId="77777777" w:rsidR="00852A90" w:rsidRPr="00210D37" w:rsidRDefault="00852A90" w:rsidP="00852A90">
      <w:pPr>
        <w:pStyle w:val="MDPI16affiliation"/>
        <w:ind w:left="0" w:firstLine="0"/>
        <w:rPr>
          <w:rFonts w:asciiTheme="majorBidi" w:hAnsiTheme="majorBidi" w:cstheme="majorBidi"/>
          <w:sz w:val="24"/>
          <w:szCs w:val="24"/>
        </w:rPr>
      </w:pPr>
      <w:r w:rsidRPr="00210D37">
        <w:rPr>
          <w:rFonts w:asciiTheme="majorBidi" w:hAnsiTheme="majorBidi" w:cstheme="majorBidi"/>
          <w:sz w:val="24"/>
          <w:szCs w:val="24"/>
        </w:rPr>
        <w:t xml:space="preserve">Department of Economics and Management, The Max Stern Yezreel Valley College, Yezreel Valley, Israel. </w:t>
      </w:r>
      <w:r w:rsidRPr="00210D37">
        <w:rPr>
          <w:rFonts w:asciiTheme="majorBidi" w:hAnsiTheme="majorBidi" w:cstheme="majorBidi"/>
          <w:i/>
          <w:iCs/>
          <w:sz w:val="24"/>
          <w:szCs w:val="24"/>
        </w:rPr>
        <w:t xml:space="preserve">Email address: </w:t>
      </w:r>
      <w:hyperlink r:id="rId7" w:history="1">
        <w:r w:rsidRPr="00210D37">
          <w:rPr>
            <w:rStyle w:val="Hyperlink"/>
            <w:rFonts w:asciiTheme="majorBidi" w:hAnsiTheme="majorBidi" w:cstheme="majorBidi"/>
            <w:i/>
            <w:iCs/>
            <w:sz w:val="24"/>
            <w:szCs w:val="24"/>
          </w:rPr>
          <w:t>ttavor0@gmail.com</w:t>
        </w:r>
      </w:hyperlink>
    </w:p>
    <w:p w14:paraId="2FFA4C53" w14:textId="77777777" w:rsidR="00852A90" w:rsidRPr="00210D37" w:rsidRDefault="00852A90" w:rsidP="00852A90">
      <w:pPr>
        <w:bidi w:val="0"/>
        <w:jc w:val="center"/>
        <w:rPr>
          <w:rFonts w:asciiTheme="majorBidi" w:hAnsiTheme="majorBidi" w:cstheme="majorBidi"/>
          <w:b/>
          <w:bCs/>
        </w:rPr>
      </w:pPr>
    </w:p>
    <w:p w14:paraId="304EDB47" w14:textId="77777777" w:rsidR="00852A90" w:rsidRPr="00210D37" w:rsidRDefault="00852A90" w:rsidP="00852A90">
      <w:pPr>
        <w:bidi w:val="0"/>
        <w:jc w:val="center"/>
        <w:rPr>
          <w:rFonts w:asciiTheme="majorBidi" w:hAnsiTheme="majorBidi" w:cstheme="majorBidi"/>
          <w:b/>
          <w:bCs/>
        </w:rPr>
      </w:pPr>
    </w:p>
    <w:p w14:paraId="5C3F0570" w14:textId="77777777" w:rsidR="00852A90" w:rsidRPr="00210D37" w:rsidRDefault="00852A90" w:rsidP="00852A90">
      <w:pPr>
        <w:bidi w:val="0"/>
        <w:jc w:val="center"/>
      </w:pPr>
      <w:r w:rsidRPr="00210D37">
        <w:rPr>
          <w:rFonts w:asciiTheme="majorBidi" w:hAnsiTheme="majorBidi" w:cstheme="majorBidi"/>
          <w:b/>
          <w:bCs/>
        </w:rPr>
        <w:t>Abstract</w:t>
      </w:r>
    </w:p>
    <w:p w14:paraId="13C8BF7D" w14:textId="146FEE42" w:rsidR="006B110F" w:rsidRDefault="00852A90" w:rsidP="00852A90">
      <w:pPr>
        <w:bidi w:val="0"/>
        <w:spacing w:line="360" w:lineRule="auto"/>
        <w:jc w:val="both"/>
      </w:pPr>
      <w:r>
        <w:t>This study examines the potential for investors to generate excess profits in the stock market by leveraging Airbnb announcements concerning emerging markets. Using a combination of parametric and non-parametric tests, robustness checks, and regression analysis, the relationship between Airbnb announcements and stock market performance is investigated</w:t>
      </w:r>
      <w:r>
        <w:rPr>
          <w:rtl/>
        </w:rPr>
        <w:t>.</w:t>
      </w:r>
      <w:r>
        <w:t xml:space="preserve"> </w:t>
      </w:r>
      <w:r>
        <w:t>The findings indicate that investors can benefit from adapting their investment strategies to take advantage of the opportunities presented on the announcement day, resulting in the generation of cumulative abnormal returns. Additionally, the analysis reveals a positive influence of fluctuations in inbound tourism and GDP growth on the capital markets of emerging countries, suggesting that changes in these factors significantly impact stock market performance</w:t>
      </w:r>
      <w:r>
        <w:rPr>
          <w:rtl/>
        </w:rPr>
        <w:t>.</w:t>
      </w:r>
      <w:r>
        <w:t xml:space="preserve"> </w:t>
      </w:r>
      <w:r>
        <w:t>Moreover, the study finds that announcements related to emerging countries as a whole have a stronger impact on the stock index compared to announcements specific to cities within those countries. This implies that investors should pay closer attention to broad market trends rather than focusing solely on localized announcements</w:t>
      </w:r>
      <w:r>
        <w:rPr>
          <w:rtl/>
        </w:rPr>
        <w:t>.</w:t>
      </w:r>
      <w:r>
        <w:t xml:space="preserve"> </w:t>
      </w:r>
      <w:r>
        <w:t>Overall, this research highlights the potential for investors to leverage Airbnb announcements in emerging markets to achieve excess profits in the stock market. The findings underscore the importance of adapting investment strategies to capitalize on emerging opportunities and understanding the broader macroeconomic factors influencing the performance of emerging countries' capital markets.</w:t>
      </w:r>
    </w:p>
    <w:p w14:paraId="655BFFE6" w14:textId="27F398E4" w:rsidR="0024026A" w:rsidRPr="00B970ED" w:rsidRDefault="0024026A" w:rsidP="0024026A">
      <w:pPr>
        <w:pStyle w:val="keywords"/>
        <w:spacing w:after="0" w:line="480" w:lineRule="auto"/>
        <w:ind w:right="-99" w:firstLine="0"/>
        <w:rPr>
          <w:rFonts w:eastAsia="Calibri"/>
          <w:b w:val="0"/>
          <w:bCs w:val="0"/>
          <w:i w:val="0"/>
          <w:iCs w:val="0"/>
          <w:noProof w:val="0"/>
          <w:sz w:val="24"/>
          <w:szCs w:val="24"/>
          <w:lang w:bidi="he-IL"/>
        </w:rPr>
      </w:pPr>
      <w:r w:rsidRPr="00B970ED">
        <w:rPr>
          <w:rFonts w:eastAsia="Calibri"/>
          <w:i w:val="0"/>
          <w:iCs w:val="0"/>
          <w:noProof w:val="0"/>
          <w:sz w:val="24"/>
          <w:szCs w:val="24"/>
          <w:lang w:bidi="he-IL"/>
        </w:rPr>
        <w:t>Keywords</w:t>
      </w:r>
      <w:r w:rsidRPr="00B970ED">
        <w:rPr>
          <w:rFonts w:eastAsia="Calibri"/>
          <w:b w:val="0"/>
          <w:bCs w:val="0"/>
          <w:i w:val="0"/>
          <w:iCs w:val="0"/>
          <w:noProof w:val="0"/>
          <w:sz w:val="24"/>
          <w:szCs w:val="24"/>
          <w:lang w:bidi="he-IL"/>
        </w:rPr>
        <w:t xml:space="preserve">: </w:t>
      </w:r>
      <w:r w:rsidRPr="0024026A">
        <w:rPr>
          <w:rFonts w:eastAsia="Calibri"/>
          <w:b w:val="0"/>
          <w:bCs w:val="0"/>
          <w:i w:val="0"/>
          <w:iCs w:val="0"/>
          <w:noProof w:val="0"/>
          <w:sz w:val="24"/>
          <w:szCs w:val="24"/>
          <w:lang w:bidi="he-IL"/>
        </w:rPr>
        <w:t>Airbnb announcements</w:t>
      </w:r>
      <w:r w:rsidRPr="00B970ED">
        <w:rPr>
          <w:rFonts w:eastAsia="Calibri"/>
          <w:b w:val="0"/>
          <w:bCs w:val="0"/>
          <w:i w:val="0"/>
          <w:iCs w:val="0"/>
          <w:noProof w:val="0"/>
          <w:sz w:val="24"/>
          <w:szCs w:val="24"/>
          <w:lang w:bidi="he-IL"/>
        </w:rPr>
        <w:t xml:space="preserve">, </w:t>
      </w:r>
      <w:r w:rsidRPr="0024026A">
        <w:rPr>
          <w:rFonts w:eastAsia="Calibri"/>
          <w:b w:val="0"/>
          <w:bCs w:val="0"/>
          <w:i w:val="0"/>
          <w:iCs w:val="0"/>
          <w:noProof w:val="0"/>
          <w:sz w:val="24"/>
          <w:szCs w:val="24"/>
          <w:lang w:bidi="he-IL"/>
        </w:rPr>
        <w:t>Stock market performance</w:t>
      </w:r>
      <w:r w:rsidRPr="00B970ED">
        <w:rPr>
          <w:rFonts w:eastAsia="Calibri"/>
          <w:b w:val="0"/>
          <w:bCs w:val="0"/>
          <w:i w:val="0"/>
          <w:iCs w:val="0"/>
          <w:noProof w:val="0"/>
          <w:sz w:val="24"/>
          <w:szCs w:val="24"/>
          <w:lang w:bidi="he-IL"/>
        </w:rPr>
        <w:t xml:space="preserve">, </w:t>
      </w:r>
      <w:r w:rsidRPr="0024026A">
        <w:rPr>
          <w:rFonts w:eastAsia="Calibri"/>
          <w:b w:val="0"/>
          <w:bCs w:val="0"/>
          <w:i w:val="0"/>
          <w:iCs w:val="0"/>
          <w:noProof w:val="0"/>
          <w:sz w:val="24"/>
          <w:szCs w:val="24"/>
          <w:lang w:bidi="he-IL"/>
        </w:rPr>
        <w:t>Emerging markets</w:t>
      </w:r>
      <w:r w:rsidRPr="00B970ED">
        <w:rPr>
          <w:rFonts w:eastAsia="Calibri"/>
          <w:b w:val="0"/>
          <w:bCs w:val="0"/>
          <w:i w:val="0"/>
          <w:iCs w:val="0"/>
          <w:noProof w:val="0"/>
          <w:sz w:val="24"/>
          <w:szCs w:val="24"/>
          <w:lang w:bidi="he-IL"/>
        </w:rPr>
        <w:t xml:space="preserve">, </w:t>
      </w:r>
      <w:r w:rsidRPr="0024026A">
        <w:rPr>
          <w:rFonts w:eastAsia="Calibri"/>
          <w:b w:val="0"/>
          <w:bCs w:val="0"/>
          <w:i w:val="0"/>
          <w:iCs w:val="0"/>
          <w:noProof w:val="0"/>
          <w:sz w:val="24"/>
          <w:szCs w:val="24"/>
          <w:lang w:bidi="he-IL"/>
        </w:rPr>
        <w:t>Investment strategies</w:t>
      </w:r>
      <w:r w:rsidRPr="00B970ED">
        <w:rPr>
          <w:rFonts w:eastAsia="Calibri"/>
          <w:b w:val="0"/>
          <w:bCs w:val="0"/>
          <w:i w:val="0"/>
          <w:iCs w:val="0"/>
          <w:noProof w:val="0"/>
          <w:sz w:val="24"/>
          <w:szCs w:val="24"/>
          <w:lang w:bidi="he-IL"/>
        </w:rPr>
        <w:t xml:space="preserve">, </w:t>
      </w:r>
      <w:r w:rsidRPr="0024026A">
        <w:rPr>
          <w:rFonts w:eastAsia="Calibri"/>
          <w:b w:val="0"/>
          <w:bCs w:val="0"/>
          <w:i w:val="0"/>
          <w:iCs w:val="0"/>
          <w:noProof w:val="0"/>
          <w:sz w:val="24"/>
          <w:szCs w:val="24"/>
          <w:lang w:bidi="he-IL"/>
        </w:rPr>
        <w:t>Event studies approach</w:t>
      </w:r>
    </w:p>
    <w:p w14:paraId="6086BE31" w14:textId="063E3DF1" w:rsidR="0024026A" w:rsidRPr="00B970ED" w:rsidRDefault="0024026A" w:rsidP="0024026A">
      <w:pPr>
        <w:pStyle w:val="NormalWeb"/>
        <w:bidi w:val="0"/>
        <w:spacing w:after="0" w:line="360" w:lineRule="auto"/>
      </w:pPr>
      <w:r w:rsidRPr="00B970ED">
        <w:rPr>
          <w:b/>
          <w:bCs/>
        </w:rPr>
        <w:t>JEL Classifications:</w:t>
      </w:r>
      <w:r w:rsidRPr="00B970ED">
        <w:t xml:space="preserve"> G1</w:t>
      </w:r>
      <w:r>
        <w:t>4</w:t>
      </w:r>
      <w:r w:rsidRPr="00B970ED">
        <w:t>, G1</w:t>
      </w:r>
      <w:r>
        <w:t>5</w:t>
      </w:r>
      <w:r w:rsidRPr="00B970ED">
        <w:t xml:space="preserve">, </w:t>
      </w:r>
      <w:r>
        <w:t>O16, F36</w:t>
      </w:r>
    </w:p>
    <w:p w14:paraId="20A08CF6" w14:textId="77777777" w:rsidR="00852A90" w:rsidRDefault="00852A90" w:rsidP="00635A6F">
      <w:pPr>
        <w:bidi w:val="0"/>
        <w:spacing w:line="480" w:lineRule="auto"/>
        <w:jc w:val="both"/>
      </w:pPr>
    </w:p>
    <w:p w14:paraId="73095458" w14:textId="77777777" w:rsidR="00852A90" w:rsidRDefault="00852A90" w:rsidP="00852A90">
      <w:pPr>
        <w:bidi w:val="0"/>
        <w:spacing w:line="480" w:lineRule="auto"/>
        <w:jc w:val="both"/>
      </w:pPr>
    </w:p>
    <w:p w14:paraId="11FE65A4" w14:textId="47F59659" w:rsidR="00635A6F" w:rsidRPr="00635A6F" w:rsidRDefault="00635A6F" w:rsidP="00852A90">
      <w:pPr>
        <w:bidi w:val="0"/>
        <w:spacing w:line="480" w:lineRule="auto"/>
        <w:jc w:val="both"/>
        <w:rPr>
          <w:b/>
          <w:bCs/>
        </w:rPr>
      </w:pPr>
      <w:r w:rsidRPr="00635A6F">
        <w:rPr>
          <w:b/>
          <w:bCs/>
        </w:rPr>
        <w:lastRenderedPageBreak/>
        <w:t>Introduction</w:t>
      </w:r>
    </w:p>
    <w:p w14:paraId="455AD831" w14:textId="1F22B820" w:rsidR="00003E20" w:rsidRDefault="00EC581D" w:rsidP="00635A6F">
      <w:pPr>
        <w:bidi w:val="0"/>
        <w:spacing w:line="480" w:lineRule="auto"/>
        <w:jc w:val="both"/>
      </w:pPr>
      <w:r w:rsidRPr="00EC581D">
        <w:t xml:space="preserve">The emergence of the peer-to-peer economy has transformed traditional business models and impacted various aspects of people's lives, including work, travel, and living arrangements. However, limited knowledge exists regarding the penetration and adoption of this economy in non-Western countries, particularly in emerging markets that have been projected to benefit the most from the improved economic situation of citizens </w:t>
      </w:r>
      <w:r w:rsidR="00003E20">
        <w:t>(</w:t>
      </w:r>
      <w:r w:rsidR="00003E20" w:rsidRPr="00003E20">
        <w:t>Mhlanga</w:t>
      </w:r>
      <w:r w:rsidR="00003E20">
        <w:t>, 2019;</w:t>
      </w:r>
      <w:r w:rsidR="00003E20" w:rsidRPr="00003E20">
        <w:t xml:space="preserve"> Quattrone</w:t>
      </w:r>
      <w:r w:rsidR="00003E20">
        <w:t xml:space="preserve"> et al., 2022)</w:t>
      </w:r>
      <w:r w:rsidR="00145B22">
        <w:t>.</w:t>
      </w:r>
    </w:p>
    <w:p w14:paraId="2181E6B2" w14:textId="77777777" w:rsidR="00A66949" w:rsidRDefault="00A66949" w:rsidP="00145B22">
      <w:pPr>
        <w:bidi w:val="0"/>
        <w:spacing w:line="480" w:lineRule="auto"/>
        <w:jc w:val="both"/>
      </w:pPr>
      <w:r w:rsidRPr="00A66949">
        <w:t>The peer-to-peer economy owes a significant portion of its growth to Airbnb, a hosting provider that enables users to rent accommodations online from others. As a result, this growth has created competition with more conventional business models, such as hotels, motels, and bed and breakfasts, affecting the flow of tourists and visitors to the region (Hall et al., 2022).</w:t>
      </w:r>
    </w:p>
    <w:p w14:paraId="5DC9CF4B" w14:textId="77777777" w:rsidR="00174800" w:rsidRDefault="00174800" w:rsidP="0094281F">
      <w:pPr>
        <w:bidi w:val="0"/>
        <w:spacing w:line="480" w:lineRule="auto"/>
        <w:jc w:val="both"/>
      </w:pPr>
      <w:r w:rsidRPr="00174800">
        <w:t>Airbnb was established in 2008 by Brian Chesky, Joe Gebbia, and Nathan Blecharczyk as a means for travelers to rent homes from local hosts. The platform has experienced explosive growth, boasting over 4 million listings in over 220 countries and territories globally. The uniqueness of Airbnb's business model, which enables hosts to earn supplementary income by renting out their homes while simultaneously offering travelers a comfortable and distinctive lodging alternative, has been cited as a key factor in its remarkable success.</w:t>
      </w:r>
    </w:p>
    <w:p w14:paraId="11FEC6DB" w14:textId="77777777" w:rsidR="00E55827" w:rsidRDefault="00E55827" w:rsidP="002E7E3E">
      <w:pPr>
        <w:bidi w:val="0"/>
        <w:spacing w:line="480" w:lineRule="auto"/>
        <w:jc w:val="both"/>
      </w:pPr>
      <w:r w:rsidRPr="00E55827">
        <w:t xml:space="preserve">Adamiak (2022) conducted a study on the global utilization of Airbnb, which revealed that the platform is commonly employed for the rental of entire apartments by various hosts. Furthermore, it was observed that the presence of Airbnb listings in different countries is contingent upon the level of economic development and the volume of inbound tourism. Additionally, it was noted that the majority of Airbnb's inventory, </w:t>
      </w:r>
      <w:r w:rsidRPr="00E55827">
        <w:lastRenderedPageBreak/>
        <w:t>comprising two-thirds, is concentrated in urban centers and coastal areas, and the growth of apartment listings is most pronounced in newly emerging markets of the platform.</w:t>
      </w:r>
    </w:p>
    <w:p w14:paraId="706749F7" w14:textId="77777777" w:rsidR="00304D7E" w:rsidRDefault="00304D7E" w:rsidP="00304D7E">
      <w:pPr>
        <w:bidi w:val="0"/>
        <w:spacing w:line="480" w:lineRule="auto"/>
        <w:jc w:val="both"/>
      </w:pPr>
      <w:r>
        <w:t>Airbnb has had a significant impact on emerging economies by disrupting the traditional hotel industry and changing the way people travel and experience destinations. The platform's unique business model offers cheaper and personalized lodging options, which has attracted more travelers to visit and explore less-touristed destinations (Guttentag, 2015; Lorde &amp; Joseph, 2019)</w:t>
      </w:r>
      <w:r>
        <w:rPr>
          <w:rtl/>
        </w:rPr>
        <w:t>.</w:t>
      </w:r>
    </w:p>
    <w:p w14:paraId="458D7946" w14:textId="56643399" w:rsidR="00304D7E" w:rsidRDefault="00304D7E" w:rsidP="00304D7E">
      <w:pPr>
        <w:bidi w:val="0"/>
        <w:spacing w:line="480" w:lineRule="auto"/>
        <w:jc w:val="both"/>
      </w:pPr>
      <w:r>
        <w:t>Mhlanga (2019) conducted a study to investigate the impact of Airbnb on hotels performance in South Africa. The findings suggest that Airbnb had an adverse effect on the occupancy rates of hotels. However, there was no discernible impact on the prices of accommodation offered by hotels. The results of the study are consistent with those of Benítez-Aurioles (2022), who investigated the impact of Airbnb's expansion on hotels in Barcelona and found a comparable outcome</w:t>
      </w:r>
      <w:r>
        <w:rPr>
          <w:rtl/>
        </w:rPr>
        <w:t>.</w:t>
      </w:r>
    </w:p>
    <w:p w14:paraId="5F7245AC" w14:textId="77777777" w:rsidR="00304D7E" w:rsidRDefault="00304D7E" w:rsidP="00304D7E">
      <w:pPr>
        <w:bidi w:val="0"/>
        <w:spacing w:line="480" w:lineRule="auto"/>
        <w:jc w:val="both"/>
      </w:pPr>
      <w:r>
        <w:t>However, some studies suggest that Airbnb does not harm the conventional hospitality industry. For example, Shrestha &amp; Fissha (2017) investigated whether Airbnb affected hotel performance in Helsinki and found that despite the growth of Airbnb in the area, hotel performance was not affected. A similar conclusion was drawn when examining the impact of Airbnb on the Norwegian hotel market by Strømmen-Bakhtiar  &amp; Vinogradov</w:t>
      </w:r>
      <w:r>
        <w:rPr>
          <w:rtl/>
        </w:rPr>
        <w:t xml:space="preserve"> (2019).</w:t>
      </w:r>
    </w:p>
    <w:p w14:paraId="114EFCA6" w14:textId="77777777" w:rsidR="00D76762" w:rsidRDefault="00D76762" w:rsidP="00D76762">
      <w:pPr>
        <w:bidi w:val="0"/>
        <w:spacing w:line="480" w:lineRule="auto"/>
        <w:jc w:val="both"/>
      </w:pPr>
      <w:r w:rsidRPr="00D76762">
        <w:t xml:space="preserve">In addition to disrupting the traditional hotel industry, Airbnb also offers unique and authentic experiences that cannot be replicated in traditional hotels. Akarsu et al. (2020) examined how Airbnb affects users' experience and authenticity on the platform in Istanbul and found that Airbnb contributes significantly to hospitality in the area by </w:t>
      </w:r>
      <w:r w:rsidRPr="00D76762">
        <w:lastRenderedPageBreak/>
        <w:t>improving the attractiveness of the service, the authenticity, and the perceived experience of the guests. Similar studies have been conducted in China and South Africa, confirming Airbnb's impact on offering unique and authentic experiences to its users (Qiu et al., 2020; Visser et al., 2017).</w:t>
      </w:r>
    </w:p>
    <w:p w14:paraId="3DE7D01F" w14:textId="77777777" w:rsidR="00304D7E" w:rsidRDefault="00304D7E" w:rsidP="00304D7E">
      <w:pPr>
        <w:bidi w:val="0"/>
        <w:spacing w:line="480" w:lineRule="auto"/>
        <w:jc w:val="both"/>
      </w:pPr>
      <w:r>
        <w:t>The platform has also contributed to the growth of tourism in areas previously ignored by the traditional hotel industry. This is evidenced by Airbnb's internal research, which highlights the platform's positive impact on tourism revenue distribution, allowing more people and communities to benefit from the tourism industry (Airbnb, n.d.)</w:t>
      </w:r>
      <w:r>
        <w:rPr>
          <w:rtl/>
        </w:rPr>
        <w:t>.</w:t>
      </w:r>
    </w:p>
    <w:p w14:paraId="75A20F1A" w14:textId="77777777" w:rsidR="00304D7E" w:rsidRDefault="00304D7E" w:rsidP="00304D7E">
      <w:pPr>
        <w:bidi w:val="0"/>
        <w:spacing w:line="480" w:lineRule="auto"/>
        <w:jc w:val="both"/>
      </w:pPr>
      <w:r>
        <w:t>Moreover, Airbnb has facilitated the distribution of tourism revenue, promoting equity and benefiting local economies by generating revenue for small businesses and communities. This equitable distribution contrasts with traditional forms of tourism, such as hotels, which tend to concentrate tourism revenue in a few large companies and destinations</w:t>
      </w:r>
      <w:r>
        <w:rPr>
          <w:rtl/>
        </w:rPr>
        <w:t>.</w:t>
      </w:r>
    </w:p>
    <w:p w14:paraId="0DF888AE" w14:textId="5A42B62C" w:rsidR="004F2567" w:rsidRDefault="00D76762" w:rsidP="00D76762">
      <w:pPr>
        <w:bidi w:val="0"/>
        <w:spacing w:line="480" w:lineRule="auto"/>
        <w:jc w:val="both"/>
        <w:rPr>
          <w:rtl/>
        </w:rPr>
      </w:pPr>
      <w:r w:rsidRPr="00D76762">
        <w:t xml:space="preserve">The tourism industry has been significantly impacted by Airbnb; however, it has also encountered some challenges. Over-tourism in popular destinations, resulting in overcrowding, straining local infrastructure, and displacing local residents from their homes, has been attributed to Airbnb (Celata &amp; Romano, 2022; Gurran et al., 2018; Richards et al., 2020; Wachsmuth &amp; Weisler, 2018). Furthermore, Airbnb's noncompliance with local laws and regulations has been a subject of criticism, particularly in developing countries, where the tourism sector is strictly controlled, and hotel and other forms of accommodation are subjected to strict regulations (Adamiak, 2022; Visser et al., 2017). Airbnb's decentralized approach makes it difficult to enforce compliance with these regulations, resulting in negative outcomes for both hosts and guests. Hosts may face penalties or legal action for violating local rules (Leshinsky &amp; </w:t>
      </w:r>
      <w:r w:rsidRPr="00D76762">
        <w:lastRenderedPageBreak/>
        <w:t>Schatz, 2018), while guests may be exposed to health and safety hazards (Lorde &amp; Joseph, 2019)</w:t>
      </w:r>
      <w:r w:rsidRPr="00D76762">
        <w:rPr>
          <w:rtl/>
        </w:rPr>
        <w:t>.</w:t>
      </w:r>
    </w:p>
    <w:p w14:paraId="1336EFAF" w14:textId="77777777" w:rsidR="00E22B17" w:rsidRPr="00E22B17" w:rsidRDefault="00E22B17" w:rsidP="00E22B17">
      <w:pPr>
        <w:bidi w:val="0"/>
        <w:spacing w:line="480" w:lineRule="auto"/>
        <w:jc w:val="both"/>
        <w:rPr>
          <w:rFonts w:eastAsia="Calibri"/>
        </w:rPr>
      </w:pPr>
      <w:r w:rsidRPr="00E22B17">
        <w:rPr>
          <w:rFonts w:eastAsia="Calibri"/>
        </w:rPr>
        <w:t>Based on the aforementioned empirical evidence, the following hypotheses are proposed</w:t>
      </w:r>
      <w:r w:rsidRPr="00E22B17">
        <w:rPr>
          <w:rFonts w:eastAsia="Calibri"/>
          <w:rtl/>
        </w:rPr>
        <w:t>:</w:t>
      </w:r>
    </w:p>
    <w:p w14:paraId="62EA52DB" w14:textId="77777777" w:rsidR="00E22B17" w:rsidRPr="004720D8" w:rsidRDefault="00E22B17" w:rsidP="00E22B17">
      <w:pPr>
        <w:bidi w:val="0"/>
        <w:spacing w:line="480" w:lineRule="auto"/>
        <w:jc w:val="both"/>
        <w:rPr>
          <w:rFonts w:eastAsia="Calibri"/>
        </w:rPr>
      </w:pPr>
      <w:r w:rsidRPr="00E22B17">
        <w:rPr>
          <w:rFonts w:eastAsia="Calibri"/>
        </w:rPr>
        <w:t xml:space="preserve">H1: </w:t>
      </w:r>
      <w:r w:rsidRPr="004720D8">
        <w:rPr>
          <w:rFonts w:eastAsia="Calibri"/>
        </w:rPr>
        <w:t>The stock indices will be influenced by announcements pertaining to emerging countries on Airbnb.</w:t>
      </w:r>
    </w:p>
    <w:p w14:paraId="257C8F80" w14:textId="074B3E5B" w:rsidR="003911F9" w:rsidRDefault="00101F0D" w:rsidP="004720D8">
      <w:pPr>
        <w:bidi w:val="0"/>
        <w:spacing w:line="480" w:lineRule="auto"/>
        <w:jc w:val="both"/>
      </w:pPr>
      <w:r w:rsidRPr="004720D8">
        <w:rPr>
          <w:rFonts w:eastAsia="Calibri"/>
        </w:rPr>
        <w:t>H</w:t>
      </w:r>
      <w:r w:rsidR="0027553A" w:rsidRPr="004720D8">
        <w:rPr>
          <w:rFonts w:eastAsia="Calibri"/>
        </w:rPr>
        <w:t>2</w:t>
      </w:r>
      <w:r w:rsidRPr="004720D8">
        <w:rPr>
          <w:rFonts w:eastAsia="Calibri"/>
        </w:rPr>
        <w:t xml:space="preserve">: </w:t>
      </w:r>
      <w:r w:rsidR="004720D8" w:rsidRPr="004720D8">
        <w:rPr>
          <w:rFonts w:eastAsia="Calibri"/>
        </w:rPr>
        <w:t>The performance of stock indices is anticipated to be influenced by a range of macroeconomic and financial variables.</w:t>
      </w:r>
    </w:p>
    <w:p w14:paraId="63E335DD" w14:textId="77777777" w:rsidR="004720D8" w:rsidRDefault="004720D8" w:rsidP="004720D8">
      <w:pPr>
        <w:bidi w:val="0"/>
        <w:spacing w:line="480" w:lineRule="auto"/>
        <w:jc w:val="both"/>
      </w:pPr>
    </w:p>
    <w:p w14:paraId="437445D3" w14:textId="77777777" w:rsidR="006B110F" w:rsidRPr="00B970ED" w:rsidRDefault="006B110F" w:rsidP="006B110F">
      <w:pPr>
        <w:bidi w:val="0"/>
        <w:spacing w:line="480" w:lineRule="auto"/>
        <w:jc w:val="both"/>
        <w:rPr>
          <w:rFonts w:eastAsia="Calibri"/>
          <w:b/>
        </w:rPr>
      </w:pPr>
      <w:r w:rsidRPr="00B970ED">
        <w:rPr>
          <w:rFonts w:eastAsia="Calibri"/>
          <w:b/>
        </w:rPr>
        <w:t>Data and Empirical Strategy</w:t>
      </w:r>
    </w:p>
    <w:p w14:paraId="5EA7951B" w14:textId="77777777" w:rsidR="006B110F" w:rsidRPr="00B970ED" w:rsidRDefault="006B110F" w:rsidP="006B110F">
      <w:pPr>
        <w:bidi w:val="0"/>
        <w:spacing w:line="480" w:lineRule="auto"/>
        <w:jc w:val="both"/>
        <w:rPr>
          <w:rFonts w:eastAsia="Calibri"/>
          <w:b/>
          <w:i/>
          <w:lang w:bidi="ar-SA"/>
        </w:rPr>
      </w:pPr>
      <w:r w:rsidRPr="00B970ED">
        <w:rPr>
          <w:rFonts w:eastAsia="Calibri"/>
          <w:b/>
          <w:i/>
        </w:rPr>
        <w:t>Data</w:t>
      </w:r>
    </w:p>
    <w:p w14:paraId="27FC04A7" w14:textId="77777777" w:rsidR="0066428A" w:rsidRDefault="0066428A" w:rsidP="0066428A">
      <w:pPr>
        <w:bidi w:val="0"/>
        <w:spacing w:line="480" w:lineRule="auto"/>
        <w:jc w:val="both"/>
      </w:pPr>
      <w:r>
        <w:t>To investigate the impact of Airbnb announcements on emerging countries' capital markets, the present study undertook a comprehensive data collection effort. Specifically, all announcements related to emerging countries posted on Airbnb from January 2016 to January 2023 were collected, with a sample of these announcements presented in Table 1. The dataset comprises 112 announcements, with 71 announcements pertaining to emerging countries and 41 announcements pertaining to cities within these countries. The initial announcement appeared on July 11, 2016, and the final announcement on November 31, 2022</w:t>
      </w:r>
      <w:r>
        <w:rPr>
          <w:rtl/>
        </w:rPr>
        <w:t>.</w:t>
      </w:r>
    </w:p>
    <w:p w14:paraId="041E919F" w14:textId="77777777" w:rsidR="0066428A" w:rsidRDefault="0066428A" w:rsidP="0066428A">
      <w:pPr>
        <w:bidi w:val="0"/>
        <w:spacing w:line="480" w:lineRule="auto"/>
        <w:jc w:val="both"/>
      </w:pPr>
      <w:r>
        <w:t xml:space="preserve">To quantify the impact of Airbnb announcements on emerging countries' capital markets, this study used two local indices, Dow Jones Emerging Markets (DJEM) and MSCI Emerging Markets (MSCIEM), and two global indices, FTSE World (FTSEW) and MSCI World (MSCIW). For each announcement, daily returns of these indices </w:t>
      </w:r>
      <w:r>
        <w:lastRenderedPageBreak/>
        <w:t>were obtained from Investing.com for a total of 231 days, comprising a period of 215 days prior to the announcement and 15 days following it</w:t>
      </w:r>
      <w:r>
        <w:rPr>
          <w:rtl/>
        </w:rPr>
        <w:t>.</w:t>
      </w:r>
    </w:p>
    <w:p w14:paraId="3AF45BA6" w14:textId="60662ED6" w:rsidR="00254780" w:rsidRDefault="0066428A" w:rsidP="0066428A">
      <w:pPr>
        <w:bidi w:val="0"/>
        <w:spacing w:line="480" w:lineRule="auto"/>
        <w:jc w:val="both"/>
      </w:pPr>
      <w:r>
        <w:t>This data collection approach enabled to conduct an extensive analysis of the relationship between Airbnb announcements and emerging countries' capital markets. By gathering a diverse set of announcements over a significant period and utilizing established indices, the present study provides a rigorous and insightful examination of the potential impact of Airbnb on emerging countries' capital markets.</w:t>
      </w:r>
    </w:p>
    <w:p w14:paraId="5FD5849E" w14:textId="77777777" w:rsidR="0066428A" w:rsidRPr="0066428A" w:rsidRDefault="0066428A" w:rsidP="0066428A">
      <w:pPr>
        <w:bidi w:val="0"/>
        <w:spacing w:line="240" w:lineRule="auto"/>
        <w:jc w:val="both"/>
        <w:rPr>
          <w:rFonts w:eastAsia="Calibri"/>
          <w:b/>
          <w:bCs/>
          <w:kern w:val="0"/>
          <w:sz w:val="20"/>
          <w:szCs w:val="20"/>
          <w14:ligatures w14:val="none"/>
        </w:rPr>
      </w:pPr>
      <w:r w:rsidRPr="0066428A">
        <w:rPr>
          <w:rFonts w:eastAsia="Calibri"/>
          <w:b/>
          <w:bCs/>
          <w:kern w:val="0"/>
          <w:sz w:val="20"/>
          <w:szCs w:val="20"/>
          <w14:ligatures w14:val="none"/>
        </w:rPr>
        <w:t>Table 1</w:t>
      </w:r>
    </w:p>
    <w:p w14:paraId="1C748A07" w14:textId="3DB57EFC" w:rsidR="0066428A" w:rsidRDefault="008617AD" w:rsidP="0066428A">
      <w:pPr>
        <w:bidi w:val="0"/>
        <w:spacing w:line="240" w:lineRule="auto"/>
        <w:jc w:val="both"/>
      </w:pPr>
      <w:r>
        <w:rPr>
          <w:rFonts w:eastAsia="Calibri"/>
          <w:kern w:val="0"/>
          <w:sz w:val="20"/>
          <w:szCs w:val="20"/>
          <w14:ligatures w14:val="none"/>
        </w:rPr>
        <w:t>S</w:t>
      </w:r>
      <w:r w:rsidRPr="004F63C7">
        <w:rPr>
          <w:rFonts w:eastAsia="Calibri"/>
          <w:kern w:val="0"/>
          <w:sz w:val="20"/>
          <w:szCs w:val="20"/>
          <w14:ligatures w14:val="none"/>
        </w:rPr>
        <w:t>ample announcements related to Airbnb by emerging countries</w:t>
      </w:r>
    </w:p>
    <w:tbl>
      <w:tblPr>
        <w:tblW w:w="10430" w:type="dxa"/>
        <w:tblInd w:w="-1052" w:type="dxa"/>
        <w:tblLook w:val="04A0" w:firstRow="1" w:lastRow="0" w:firstColumn="1" w:lastColumn="0" w:noHBand="0" w:noVBand="1"/>
      </w:tblPr>
      <w:tblGrid>
        <w:gridCol w:w="1302"/>
        <w:gridCol w:w="1880"/>
        <w:gridCol w:w="1128"/>
        <w:gridCol w:w="1080"/>
        <w:gridCol w:w="5040"/>
      </w:tblGrid>
      <w:tr w:rsidR="005115B7" w:rsidRPr="005115B7" w14:paraId="447ECD62" w14:textId="77777777" w:rsidTr="005115B7">
        <w:trPr>
          <w:trHeight w:val="330"/>
        </w:trPr>
        <w:tc>
          <w:tcPr>
            <w:tcW w:w="1302" w:type="dxa"/>
            <w:tcBorders>
              <w:top w:val="single" w:sz="4" w:space="0" w:color="auto"/>
              <w:left w:val="nil"/>
              <w:bottom w:val="single" w:sz="4" w:space="0" w:color="auto"/>
              <w:right w:val="nil"/>
            </w:tcBorders>
            <w:shd w:val="clear" w:color="auto" w:fill="auto"/>
            <w:noWrap/>
            <w:vAlign w:val="center"/>
            <w:hideMark/>
          </w:tcPr>
          <w:p w14:paraId="4D8ED6C0"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Country</w:t>
            </w:r>
          </w:p>
        </w:tc>
        <w:tc>
          <w:tcPr>
            <w:tcW w:w="1880" w:type="dxa"/>
            <w:tcBorders>
              <w:top w:val="single" w:sz="4" w:space="0" w:color="auto"/>
              <w:left w:val="nil"/>
              <w:bottom w:val="single" w:sz="4" w:space="0" w:color="auto"/>
              <w:right w:val="nil"/>
            </w:tcBorders>
            <w:shd w:val="clear" w:color="auto" w:fill="auto"/>
            <w:noWrap/>
            <w:vAlign w:val="center"/>
            <w:hideMark/>
          </w:tcPr>
          <w:p w14:paraId="7BD155CB"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Index</w:t>
            </w:r>
          </w:p>
        </w:tc>
        <w:tc>
          <w:tcPr>
            <w:tcW w:w="1128" w:type="dxa"/>
            <w:tcBorders>
              <w:top w:val="single" w:sz="4" w:space="0" w:color="auto"/>
              <w:left w:val="nil"/>
              <w:bottom w:val="single" w:sz="4" w:space="0" w:color="auto"/>
              <w:right w:val="nil"/>
            </w:tcBorders>
            <w:shd w:val="clear" w:color="auto" w:fill="auto"/>
            <w:noWrap/>
            <w:vAlign w:val="center"/>
            <w:hideMark/>
          </w:tcPr>
          <w:p w14:paraId="28D548FB"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Date</w:t>
            </w:r>
          </w:p>
        </w:tc>
        <w:tc>
          <w:tcPr>
            <w:tcW w:w="1080" w:type="dxa"/>
            <w:tcBorders>
              <w:top w:val="single" w:sz="4" w:space="0" w:color="auto"/>
              <w:left w:val="nil"/>
              <w:bottom w:val="single" w:sz="4" w:space="0" w:color="auto"/>
              <w:right w:val="nil"/>
            </w:tcBorders>
            <w:shd w:val="clear" w:color="auto" w:fill="auto"/>
            <w:noWrap/>
            <w:vAlign w:val="center"/>
            <w:hideMark/>
          </w:tcPr>
          <w:p w14:paraId="195D7EF5"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Event</w:t>
            </w:r>
          </w:p>
        </w:tc>
        <w:tc>
          <w:tcPr>
            <w:tcW w:w="5040" w:type="dxa"/>
            <w:tcBorders>
              <w:top w:val="single" w:sz="4" w:space="0" w:color="auto"/>
              <w:left w:val="nil"/>
              <w:bottom w:val="single" w:sz="4" w:space="0" w:color="auto"/>
              <w:right w:val="nil"/>
            </w:tcBorders>
            <w:shd w:val="clear" w:color="auto" w:fill="auto"/>
            <w:noWrap/>
            <w:vAlign w:val="center"/>
            <w:hideMark/>
          </w:tcPr>
          <w:p w14:paraId="32DC3234"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Description</w:t>
            </w:r>
          </w:p>
        </w:tc>
      </w:tr>
      <w:tr w:rsidR="005115B7" w:rsidRPr="005115B7" w14:paraId="27DEA5BB" w14:textId="77777777" w:rsidTr="005115B7">
        <w:trPr>
          <w:trHeight w:val="510"/>
        </w:trPr>
        <w:tc>
          <w:tcPr>
            <w:tcW w:w="1302" w:type="dxa"/>
            <w:tcBorders>
              <w:top w:val="nil"/>
              <w:left w:val="nil"/>
              <w:bottom w:val="nil"/>
              <w:right w:val="nil"/>
            </w:tcBorders>
            <w:shd w:val="clear" w:color="auto" w:fill="auto"/>
            <w:noWrap/>
            <w:vAlign w:val="center"/>
            <w:hideMark/>
          </w:tcPr>
          <w:p w14:paraId="4F99EFEF"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Brazil</w:t>
            </w:r>
          </w:p>
        </w:tc>
        <w:tc>
          <w:tcPr>
            <w:tcW w:w="1880" w:type="dxa"/>
            <w:tcBorders>
              <w:top w:val="nil"/>
              <w:left w:val="nil"/>
              <w:bottom w:val="nil"/>
              <w:right w:val="nil"/>
            </w:tcBorders>
            <w:shd w:val="clear" w:color="auto" w:fill="auto"/>
            <w:noWrap/>
            <w:vAlign w:val="center"/>
            <w:hideMark/>
          </w:tcPr>
          <w:p w14:paraId="5F967AAA"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Bovespa </w:t>
            </w:r>
          </w:p>
        </w:tc>
        <w:tc>
          <w:tcPr>
            <w:tcW w:w="1128" w:type="dxa"/>
            <w:tcBorders>
              <w:top w:val="nil"/>
              <w:left w:val="nil"/>
              <w:bottom w:val="nil"/>
              <w:right w:val="nil"/>
            </w:tcBorders>
            <w:shd w:val="clear" w:color="auto" w:fill="auto"/>
            <w:noWrap/>
            <w:vAlign w:val="center"/>
            <w:hideMark/>
          </w:tcPr>
          <w:p w14:paraId="2AECB99B"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28/02/2019</w:t>
            </w:r>
          </w:p>
        </w:tc>
        <w:tc>
          <w:tcPr>
            <w:tcW w:w="1080" w:type="dxa"/>
            <w:tcBorders>
              <w:top w:val="nil"/>
              <w:left w:val="nil"/>
              <w:bottom w:val="nil"/>
              <w:right w:val="nil"/>
            </w:tcBorders>
            <w:shd w:val="clear" w:color="auto" w:fill="auto"/>
            <w:noWrap/>
            <w:vAlign w:val="center"/>
            <w:hideMark/>
          </w:tcPr>
          <w:p w14:paraId="56992DB9"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6</w:t>
            </w:r>
          </w:p>
        </w:tc>
        <w:tc>
          <w:tcPr>
            <w:tcW w:w="5040" w:type="dxa"/>
            <w:tcBorders>
              <w:top w:val="nil"/>
              <w:left w:val="nil"/>
              <w:bottom w:val="nil"/>
              <w:right w:val="nil"/>
            </w:tcBorders>
            <w:shd w:val="clear" w:color="auto" w:fill="auto"/>
            <w:vAlign w:val="center"/>
            <w:hideMark/>
          </w:tcPr>
          <w:p w14:paraId="4D7BF7CF"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To inspire: meet some of our hosts and learn more about Experiences in Brazil</w:t>
            </w:r>
          </w:p>
        </w:tc>
      </w:tr>
      <w:tr w:rsidR="005115B7" w:rsidRPr="005115B7" w14:paraId="6D922B43" w14:textId="77777777" w:rsidTr="005115B7">
        <w:trPr>
          <w:trHeight w:val="510"/>
        </w:trPr>
        <w:tc>
          <w:tcPr>
            <w:tcW w:w="1302" w:type="dxa"/>
            <w:tcBorders>
              <w:top w:val="nil"/>
              <w:left w:val="nil"/>
              <w:bottom w:val="nil"/>
              <w:right w:val="nil"/>
            </w:tcBorders>
            <w:shd w:val="clear" w:color="auto" w:fill="auto"/>
            <w:noWrap/>
            <w:vAlign w:val="center"/>
            <w:hideMark/>
          </w:tcPr>
          <w:p w14:paraId="2388AF22"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Mexico</w:t>
            </w:r>
          </w:p>
        </w:tc>
        <w:tc>
          <w:tcPr>
            <w:tcW w:w="1880" w:type="dxa"/>
            <w:tcBorders>
              <w:top w:val="nil"/>
              <w:left w:val="nil"/>
              <w:bottom w:val="nil"/>
              <w:right w:val="nil"/>
            </w:tcBorders>
            <w:shd w:val="clear" w:color="auto" w:fill="auto"/>
            <w:noWrap/>
            <w:vAlign w:val="center"/>
            <w:hideMark/>
          </w:tcPr>
          <w:p w14:paraId="4DB367AB"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FTSE BIVA</w:t>
            </w:r>
          </w:p>
        </w:tc>
        <w:tc>
          <w:tcPr>
            <w:tcW w:w="1128" w:type="dxa"/>
            <w:tcBorders>
              <w:top w:val="nil"/>
              <w:left w:val="nil"/>
              <w:bottom w:val="nil"/>
              <w:right w:val="nil"/>
            </w:tcBorders>
            <w:shd w:val="clear" w:color="auto" w:fill="auto"/>
            <w:noWrap/>
            <w:vAlign w:val="center"/>
            <w:hideMark/>
          </w:tcPr>
          <w:p w14:paraId="769CED6D"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02/06/2021</w:t>
            </w:r>
          </w:p>
        </w:tc>
        <w:tc>
          <w:tcPr>
            <w:tcW w:w="1080" w:type="dxa"/>
            <w:tcBorders>
              <w:top w:val="nil"/>
              <w:left w:val="nil"/>
              <w:bottom w:val="nil"/>
              <w:right w:val="nil"/>
            </w:tcBorders>
            <w:shd w:val="clear" w:color="auto" w:fill="auto"/>
            <w:noWrap/>
            <w:vAlign w:val="center"/>
            <w:hideMark/>
          </w:tcPr>
          <w:p w14:paraId="7D4D546C"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17</w:t>
            </w:r>
          </w:p>
        </w:tc>
        <w:tc>
          <w:tcPr>
            <w:tcW w:w="5040" w:type="dxa"/>
            <w:tcBorders>
              <w:top w:val="nil"/>
              <w:left w:val="nil"/>
              <w:bottom w:val="nil"/>
              <w:right w:val="nil"/>
            </w:tcBorders>
            <w:shd w:val="clear" w:color="auto" w:fill="auto"/>
            <w:vAlign w:val="center"/>
            <w:hideMark/>
          </w:tcPr>
          <w:p w14:paraId="1AACADBF"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New Mexico and Airbnb launch new campaign to support travel across state</w:t>
            </w:r>
          </w:p>
        </w:tc>
      </w:tr>
      <w:tr w:rsidR="005115B7" w:rsidRPr="005115B7" w14:paraId="3D298E55" w14:textId="77777777" w:rsidTr="005115B7">
        <w:trPr>
          <w:trHeight w:val="510"/>
        </w:trPr>
        <w:tc>
          <w:tcPr>
            <w:tcW w:w="1302" w:type="dxa"/>
            <w:tcBorders>
              <w:top w:val="nil"/>
              <w:left w:val="nil"/>
              <w:bottom w:val="nil"/>
              <w:right w:val="nil"/>
            </w:tcBorders>
            <w:shd w:val="clear" w:color="auto" w:fill="auto"/>
            <w:noWrap/>
            <w:vAlign w:val="center"/>
            <w:hideMark/>
          </w:tcPr>
          <w:p w14:paraId="1B928FFF"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China</w:t>
            </w:r>
          </w:p>
        </w:tc>
        <w:tc>
          <w:tcPr>
            <w:tcW w:w="1880" w:type="dxa"/>
            <w:tcBorders>
              <w:top w:val="nil"/>
              <w:left w:val="nil"/>
              <w:bottom w:val="nil"/>
              <w:right w:val="nil"/>
            </w:tcBorders>
            <w:shd w:val="clear" w:color="auto" w:fill="auto"/>
            <w:noWrap/>
            <w:vAlign w:val="center"/>
            <w:hideMark/>
          </w:tcPr>
          <w:p w14:paraId="60AAD76B"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 xml:space="preserve">Shanghai </w:t>
            </w:r>
          </w:p>
        </w:tc>
        <w:tc>
          <w:tcPr>
            <w:tcW w:w="1128" w:type="dxa"/>
            <w:tcBorders>
              <w:top w:val="nil"/>
              <w:left w:val="nil"/>
              <w:bottom w:val="nil"/>
              <w:right w:val="nil"/>
            </w:tcBorders>
            <w:shd w:val="clear" w:color="auto" w:fill="auto"/>
            <w:noWrap/>
            <w:vAlign w:val="center"/>
            <w:hideMark/>
          </w:tcPr>
          <w:p w14:paraId="1516FD0A"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08/12/2017</w:t>
            </w:r>
          </w:p>
        </w:tc>
        <w:tc>
          <w:tcPr>
            <w:tcW w:w="1080" w:type="dxa"/>
            <w:tcBorders>
              <w:top w:val="nil"/>
              <w:left w:val="nil"/>
              <w:bottom w:val="nil"/>
              <w:right w:val="nil"/>
            </w:tcBorders>
            <w:shd w:val="clear" w:color="auto" w:fill="auto"/>
            <w:noWrap/>
            <w:vAlign w:val="center"/>
            <w:hideMark/>
          </w:tcPr>
          <w:p w14:paraId="2DF621F4"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20</w:t>
            </w:r>
          </w:p>
        </w:tc>
        <w:tc>
          <w:tcPr>
            <w:tcW w:w="5040" w:type="dxa"/>
            <w:tcBorders>
              <w:top w:val="nil"/>
              <w:left w:val="nil"/>
              <w:bottom w:val="nil"/>
              <w:right w:val="nil"/>
            </w:tcBorders>
            <w:shd w:val="clear" w:color="auto" w:fill="auto"/>
            <w:vAlign w:val="center"/>
            <w:hideMark/>
          </w:tcPr>
          <w:p w14:paraId="568165C1"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Investing in Our Future: Quality, Customer Service and Partnerships in China</w:t>
            </w:r>
          </w:p>
        </w:tc>
      </w:tr>
      <w:tr w:rsidR="005115B7" w:rsidRPr="005115B7" w14:paraId="16E06678" w14:textId="77777777" w:rsidTr="005115B7">
        <w:trPr>
          <w:trHeight w:val="255"/>
        </w:trPr>
        <w:tc>
          <w:tcPr>
            <w:tcW w:w="1302" w:type="dxa"/>
            <w:tcBorders>
              <w:top w:val="nil"/>
              <w:left w:val="nil"/>
              <w:bottom w:val="nil"/>
              <w:right w:val="nil"/>
            </w:tcBorders>
            <w:shd w:val="clear" w:color="auto" w:fill="auto"/>
            <w:noWrap/>
            <w:vAlign w:val="center"/>
            <w:hideMark/>
          </w:tcPr>
          <w:p w14:paraId="7E4617F6"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Philippines</w:t>
            </w:r>
          </w:p>
        </w:tc>
        <w:tc>
          <w:tcPr>
            <w:tcW w:w="1880" w:type="dxa"/>
            <w:tcBorders>
              <w:top w:val="nil"/>
              <w:left w:val="nil"/>
              <w:bottom w:val="nil"/>
              <w:right w:val="nil"/>
            </w:tcBorders>
            <w:shd w:val="clear" w:color="auto" w:fill="auto"/>
            <w:noWrap/>
            <w:vAlign w:val="center"/>
            <w:hideMark/>
          </w:tcPr>
          <w:p w14:paraId="62122456"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PSEi Composite</w:t>
            </w:r>
          </w:p>
        </w:tc>
        <w:tc>
          <w:tcPr>
            <w:tcW w:w="1128" w:type="dxa"/>
            <w:tcBorders>
              <w:top w:val="nil"/>
              <w:left w:val="nil"/>
              <w:bottom w:val="nil"/>
              <w:right w:val="nil"/>
            </w:tcBorders>
            <w:shd w:val="clear" w:color="auto" w:fill="auto"/>
            <w:noWrap/>
            <w:vAlign w:val="center"/>
            <w:hideMark/>
          </w:tcPr>
          <w:p w14:paraId="6D08EDB4"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29/11/2021</w:t>
            </w:r>
          </w:p>
        </w:tc>
        <w:tc>
          <w:tcPr>
            <w:tcW w:w="1080" w:type="dxa"/>
            <w:tcBorders>
              <w:top w:val="nil"/>
              <w:left w:val="nil"/>
              <w:bottom w:val="nil"/>
              <w:right w:val="nil"/>
            </w:tcBorders>
            <w:shd w:val="clear" w:color="auto" w:fill="auto"/>
            <w:noWrap/>
            <w:vAlign w:val="center"/>
            <w:hideMark/>
          </w:tcPr>
          <w:p w14:paraId="0A93F2E7"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24</w:t>
            </w:r>
          </w:p>
        </w:tc>
        <w:tc>
          <w:tcPr>
            <w:tcW w:w="5040" w:type="dxa"/>
            <w:tcBorders>
              <w:top w:val="nil"/>
              <w:left w:val="nil"/>
              <w:bottom w:val="nil"/>
              <w:right w:val="nil"/>
            </w:tcBorders>
            <w:shd w:val="clear" w:color="auto" w:fill="auto"/>
            <w:vAlign w:val="center"/>
            <w:hideMark/>
          </w:tcPr>
          <w:p w14:paraId="68DA3998"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New form of ‘conscious travel’ emerges in the Philippines</w:t>
            </w:r>
          </w:p>
        </w:tc>
      </w:tr>
      <w:tr w:rsidR="005115B7" w:rsidRPr="005115B7" w14:paraId="22330D27" w14:textId="77777777" w:rsidTr="005115B7">
        <w:trPr>
          <w:trHeight w:val="765"/>
        </w:trPr>
        <w:tc>
          <w:tcPr>
            <w:tcW w:w="1302" w:type="dxa"/>
            <w:tcBorders>
              <w:top w:val="nil"/>
              <w:left w:val="nil"/>
              <w:bottom w:val="nil"/>
              <w:right w:val="nil"/>
            </w:tcBorders>
            <w:shd w:val="clear" w:color="auto" w:fill="auto"/>
            <w:noWrap/>
            <w:vAlign w:val="center"/>
            <w:hideMark/>
          </w:tcPr>
          <w:p w14:paraId="39C7D2CD"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Thailand</w:t>
            </w:r>
          </w:p>
        </w:tc>
        <w:tc>
          <w:tcPr>
            <w:tcW w:w="1880" w:type="dxa"/>
            <w:tcBorders>
              <w:top w:val="nil"/>
              <w:left w:val="nil"/>
              <w:bottom w:val="nil"/>
              <w:right w:val="nil"/>
            </w:tcBorders>
            <w:shd w:val="clear" w:color="auto" w:fill="auto"/>
            <w:noWrap/>
            <w:vAlign w:val="center"/>
            <w:hideMark/>
          </w:tcPr>
          <w:p w14:paraId="41EEC7B5"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 xml:space="preserve">SET </w:t>
            </w:r>
          </w:p>
        </w:tc>
        <w:tc>
          <w:tcPr>
            <w:tcW w:w="1128" w:type="dxa"/>
            <w:tcBorders>
              <w:top w:val="nil"/>
              <w:left w:val="nil"/>
              <w:bottom w:val="nil"/>
              <w:right w:val="nil"/>
            </w:tcBorders>
            <w:shd w:val="clear" w:color="auto" w:fill="auto"/>
            <w:noWrap/>
            <w:vAlign w:val="center"/>
            <w:hideMark/>
          </w:tcPr>
          <w:p w14:paraId="00703E4E"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31/03/2022</w:t>
            </w:r>
          </w:p>
        </w:tc>
        <w:tc>
          <w:tcPr>
            <w:tcW w:w="1080" w:type="dxa"/>
            <w:tcBorders>
              <w:top w:val="nil"/>
              <w:left w:val="nil"/>
              <w:bottom w:val="nil"/>
              <w:right w:val="nil"/>
            </w:tcBorders>
            <w:shd w:val="clear" w:color="auto" w:fill="auto"/>
            <w:noWrap/>
            <w:vAlign w:val="center"/>
            <w:hideMark/>
          </w:tcPr>
          <w:p w14:paraId="6D12D7C0"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39</w:t>
            </w:r>
          </w:p>
        </w:tc>
        <w:tc>
          <w:tcPr>
            <w:tcW w:w="5040" w:type="dxa"/>
            <w:tcBorders>
              <w:top w:val="nil"/>
              <w:left w:val="nil"/>
              <w:bottom w:val="nil"/>
              <w:right w:val="nil"/>
            </w:tcBorders>
            <w:shd w:val="clear" w:color="auto" w:fill="auto"/>
            <w:vAlign w:val="center"/>
            <w:hideMark/>
          </w:tcPr>
          <w:p w14:paraId="06EBE168"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Planning a trip to Thailand? Airbnb is launching the ultimate designer getaway in Phuket’s iconic heritage mansion</w:t>
            </w:r>
          </w:p>
        </w:tc>
      </w:tr>
      <w:tr w:rsidR="005115B7" w:rsidRPr="005115B7" w14:paraId="0BA352E8" w14:textId="77777777" w:rsidTr="005115B7">
        <w:trPr>
          <w:trHeight w:val="510"/>
        </w:trPr>
        <w:tc>
          <w:tcPr>
            <w:tcW w:w="1302" w:type="dxa"/>
            <w:tcBorders>
              <w:top w:val="nil"/>
              <w:left w:val="nil"/>
              <w:bottom w:val="nil"/>
              <w:right w:val="nil"/>
            </w:tcBorders>
            <w:shd w:val="clear" w:color="auto" w:fill="auto"/>
            <w:noWrap/>
            <w:vAlign w:val="center"/>
            <w:hideMark/>
          </w:tcPr>
          <w:p w14:paraId="1B8C57C1"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Malaysia</w:t>
            </w:r>
          </w:p>
        </w:tc>
        <w:tc>
          <w:tcPr>
            <w:tcW w:w="1880" w:type="dxa"/>
            <w:tcBorders>
              <w:top w:val="nil"/>
              <w:left w:val="nil"/>
              <w:bottom w:val="nil"/>
              <w:right w:val="nil"/>
            </w:tcBorders>
            <w:shd w:val="clear" w:color="auto" w:fill="auto"/>
            <w:noWrap/>
            <w:vAlign w:val="center"/>
            <w:hideMark/>
          </w:tcPr>
          <w:p w14:paraId="720F3EA2"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FTSE Malaysia</w:t>
            </w:r>
          </w:p>
        </w:tc>
        <w:tc>
          <w:tcPr>
            <w:tcW w:w="1128" w:type="dxa"/>
            <w:tcBorders>
              <w:top w:val="nil"/>
              <w:left w:val="nil"/>
              <w:bottom w:val="nil"/>
              <w:right w:val="nil"/>
            </w:tcBorders>
            <w:shd w:val="clear" w:color="auto" w:fill="auto"/>
            <w:noWrap/>
            <w:vAlign w:val="center"/>
            <w:hideMark/>
          </w:tcPr>
          <w:p w14:paraId="4DE2BD8B"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29/04/2020</w:t>
            </w:r>
          </w:p>
        </w:tc>
        <w:tc>
          <w:tcPr>
            <w:tcW w:w="1080" w:type="dxa"/>
            <w:tcBorders>
              <w:top w:val="nil"/>
              <w:left w:val="nil"/>
              <w:bottom w:val="nil"/>
              <w:right w:val="nil"/>
            </w:tcBorders>
            <w:shd w:val="clear" w:color="auto" w:fill="auto"/>
            <w:noWrap/>
            <w:vAlign w:val="center"/>
            <w:hideMark/>
          </w:tcPr>
          <w:p w14:paraId="0E8E5E88"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41</w:t>
            </w:r>
          </w:p>
        </w:tc>
        <w:tc>
          <w:tcPr>
            <w:tcW w:w="5040" w:type="dxa"/>
            <w:tcBorders>
              <w:top w:val="nil"/>
              <w:left w:val="nil"/>
              <w:bottom w:val="nil"/>
              <w:right w:val="nil"/>
            </w:tcBorders>
            <w:shd w:val="clear" w:color="auto" w:fill="auto"/>
            <w:vAlign w:val="center"/>
            <w:hideMark/>
          </w:tcPr>
          <w:p w14:paraId="06CD4381"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Airbnb Launches Initiative to Support Malaysian Frontline Responders</w:t>
            </w:r>
          </w:p>
        </w:tc>
      </w:tr>
      <w:tr w:rsidR="005115B7" w:rsidRPr="005115B7" w14:paraId="18FC6E1B" w14:textId="77777777" w:rsidTr="005115B7">
        <w:trPr>
          <w:trHeight w:val="510"/>
        </w:trPr>
        <w:tc>
          <w:tcPr>
            <w:tcW w:w="1302" w:type="dxa"/>
            <w:tcBorders>
              <w:top w:val="nil"/>
              <w:left w:val="nil"/>
              <w:bottom w:val="nil"/>
              <w:right w:val="nil"/>
            </w:tcBorders>
            <w:shd w:val="clear" w:color="auto" w:fill="auto"/>
            <w:noWrap/>
            <w:vAlign w:val="center"/>
            <w:hideMark/>
          </w:tcPr>
          <w:p w14:paraId="13B033C0"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South Korea</w:t>
            </w:r>
          </w:p>
        </w:tc>
        <w:tc>
          <w:tcPr>
            <w:tcW w:w="1880" w:type="dxa"/>
            <w:tcBorders>
              <w:top w:val="nil"/>
              <w:left w:val="nil"/>
              <w:bottom w:val="nil"/>
              <w:right w:val="nil"/>
            </w:tcBorders>
            <w:shd w:val="clear" w:color="auto" w:fill="auto"/>
            <w:noWrap/>
            <w:vAlign w:val="center"/>
            <w:hideMark/>
          </w:tcPr>
          <w:p w14:paraId="69BDF955"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 xml:space="preserve">KOSPI </w:t>
            </w:r>
          </w:p>
        </w:tc>
        <w:tc>
          <w:tcPr>
            <w:tcW w:w="1128" w:type="dxa"/>
            <w:tcBorders>
              <w:top w:val="nil"/>
              <w:left w:val="nil"/>
              <w:bottom w:val="nil"/>
              <w:right w:val="nil"/>
            </w:tcBorders>
            <w:shd w:val="clear" w:color="auto" w:fill="auto"/>
            <w:noWrap/>
            <w:vAlign w:val="center"/>
            <w:hideMark/>
          </w:tcPr>
          <w:p w14:paraId="38130EA4"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17/01/2021</w:t>
            </w:r>
          </w:p>
        </w:tc>
        <w:tc>
          <w:tcPr>
            <w:tcW w:w="1080" w:type="dxa"/>
            <w:tcBorders>
              <w:top w:val="nil"/>
              <w:left w:val="nil"/>
              <w:bottom w:val="nil"/>
              <w:right w:val="nil"/>
            </w:tcBorders>
            <w:shd w:val="clear" w:color="auto" w:fill="auto"/>
            <w:noWrap/>
            <w:vAlign w:val="center"/>
            <w:hideMark/>
          </w:tcPr>
          <w:p w14:paraId="4E257E79"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42</w:t>
            </w:r>
          </w:p>
        </w:tc>
        <w:tc>
          <w:tcPr>
            <w:tcW w:w="5040" w:type="dxa"/>
            <w:tcBorders>
              <w:top w:val="nil"/>
              <w:left w:val="nil"/>
              <w:bottom w:val="nil"/>
              <w:right w:val="nil"/>
            </w:tcBorders>
            <w:shd w:val="clear" w:color="auto" w:fill="auto"/>
            <w:vAlign w:val="center"/>
            <w:hideMark/>
          </w:tcPr>
          <w:p w14:paraId="0F71BA15"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Airbnb Launches 'Inside K-Pop', Celebrating the World of Korean Pop Music</w:t>
            </w:r>
          </w:p>
        </w:tc>
      </w:tr>
      <w:tr w:rsidR="005115B7" w:rsidRPr="005115B7" w14:paraId="17C47410" w14:textId="77777777" w:rsidTr="005115B7">
        <w:trPr>
          <w:trHeight w:val="510"/>
        </w:trPr>
        <w:tc>
          <w:tcPr>
            <w:tcW w:w="1302" w:type="dxa"/>
            <w:tcBorders>
              <w:top w:val="nil"/>
              <w:left w:val="nil"/>
              <w:bottom w:val="nil"/>
              <w:right w:val="nil"/>
            </w:tcBorders>
            <w:shd w:val="clear" w:color="auto" w:fill="auto"/>
            <w:noWrap/>
            <w:vAlign w:val="center"/>
            <w:hideMark/>
          </w:tcPr>
          <w:p w14:paraId="2718B74F"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South Africa</w:t>
            </w:r>
          </w:p>
        </w:tc>
        <w:tc>
          <w:tcPr>
            <w:tcW w:w="1880" w:type="dxa"/>
            <w:tcBorders>
              <w:top w:val="nil"/>
              <w:left w:val="nil"/>
              <w:bottom w:val="nil"/>
              <w:right w:val="nil"/>
            </w:tcBorders>
            <w:shd w:val="clear" w:color="auto" w:fill="auto"/>
            <w:noWrap/>
            <w:vAlign w:val="center"/>
            <w:hideMark/>
          </w:tcPr>
          <w:p w14:paraId="7A3D1FB2"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South Africa Top 40</w:t>
            </w:r>
          </w:p>
        </w:tc>
        <w:tc>
          <w:tcPr>
            <w:tcW w:w="1128" w:type="dxa"/>
            <w:tcBorders>
              <w:top w:val="nil"/>
              <w:left w:val="nil"/>
              <w:bottom w:val="nil"/>
              <w:right w:val="nil"/>
            </w:tcBorders>
            <w:shd w:val="clear" w:color="auto" w:fill="auto"/>
            <w:noWrap/>
            <w:vAlign w:val="center"/>
            <w:hideMark/>
          </w:tcPr>
          <w:p w14:paraId="15F5F33E"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21/09/2021</w:t>
            </w:r>
          </w:p>
        </w:tc>
        <w:tc>
          <w:tcPr>
            <w:tcW w:w="1080" w:type="dxa"/>
            <w:tcBorders>
              <w:top w:val="nil"/>
              <w:left w:val="nil"/>
              <w:bottom w:val="nil"/>
              <w:right w:val="nil"/>
            </w:tcBorders>
            <w:shd w:val="clear" w:color="auto" w:fill="auto"/>
            <w:noWrap/>
            <w:vAlign w:val="center"/>
            <w:hideMark/>
          </w:tcPr>
          <w:p w14:paraId="17814381"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54</w:t>
            </w:r>
          </w:p>
        </w:tc>
        <w:tc>
          <w:tcPr>
            <w:tcW w:w="5040" w:type="dxa"/>
            <w:tcBorders>
              <w:top w:val="nil"/>
              <w:left w:val="nil"/>
              <w:bottom w:val="nil"/>
              <w:right w:val="nil"/>
            </w:tcBorders>
            <w:shd w:val="clear" w:color="auto" w:fill="auto"/>
            <w:vAlign w:val="center"/>
            <w:hideMark/>
          </w:tcPr>
          <w:p w14:paraId="55076542"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Supporting a diverse and inclusive tourism economy in South Africa</w:t>
            </w:r>
          </w:p>
        </w:tc>
      </w:tr>
      <w:tr w:rsidR="005115B7" w:rsidRPr="005115B7" w14:paraId="3ADA0940" w14:textId="77777777" w:rsidTr="005115B7">
        <w:trPr>
          <w:trHeight w:val="255"/>
        </w:trPr>
        <w:tc>
          <w:tcPr>
            <w:tcW w:w="1302" w:type="dxa"/>
            <w:tcBorders>
              <w:top w:val="nil"/>
              <w:left w:val="nil"/>
              <w:bottom w:val="nil"/>
              <w:right w:val="nil"/>
            </w:tcBorders>
            <w:shd w:val="clear" w:color="auto" w:fill="auto"/>
            <w:noWrap/>
            <w:vAlign w:val="center"/>
            <w:hideMark/>
          </w:tcPr>
          <w:p w14:paraId="66A5508B"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Russia</w:t>
            </w:r>
          </w:p>
        </w:tc>
        <w:tc>
          <w:tcPr>
            <w:tcW w:w="1880" w:type="dxa"/>
            <w:tcBorders>
              <w:top w:val="nil"/>
              <w:left w:val="nil"/>
              <w:bottom w:val="nil"/>
              <w:right w:val="nil"/>
            </w:tcBorders>
            <w:shd w:val="clear" w:color="auto" w:fill="auto"/>
            <w:noWrap/>
            <w:vAlign w:val="center"/>
            <w:hideMark/>
          </w:tcPr>
          <w:p w14:paraId="6F0FD051"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 xml:space="preserve">MOEX </w:t>
            </w:r>
          </w:p>
        </w:tc>
        <w:tc>
          <w:tcPr>
            <w:tcW w:w="1128" w:type="dxa"/>
            <w:tcBorders>
              <w:top w:val="nil"/>
              <w:left w:val="nil"/>
              <w:bottom w:val="nil"/>
              <w:right w:val="nil"/>
            </w:tcBorders>
            <w:shd w:val="clear" w:color="auto" w:fill="auto"/>
            <w:noWrap/>
            <w:vAlign w:val="center"/>
            <w:hideMark/>
          </w:tcPr>
          <w:p w14:paraId="4CB79BE0"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18/12/2017</w:t>
            </w:r>
          </w:p>
        </w:tc>
        <w:tc>
          <w:tcPr>
            <w:tcW w:w="1080" w:type="dxa"/>
            <w:tcBorders>
              <w:top w:val="nil"/>
              <w:left w:val="nil"/>
              <w:bottom w:val="nil"/>
              <w:right w:val="nil"/>
            </w:tcBorders>
            <w:shd w:val="clear" w:color="auto" w:fill="auto"/>
            <w:noWrap/>
            <w:vAlign w:val="center"/>
            <w:hideMark/>
          </w:tcPr>
          <w:p w14:paraId="3AE3C24F"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56</w:t>
            </w:r>
          </w:p>
        </w:tc>
        <w:tc>
          <w:tcPr>
            <w:tcW w:w="5040" w:type="dxa"/>
            <w:tcBorders>
              <w:top w:val="nil"/>
              <w:left w:val="nil"/>
              <w:bottom w:val="nil"/>
              <w:right w:val="nil"/>
            </w:tcBorders>
            <w:shd w:val="clear" w:color="auto" w:fill="auto"/>
            <w:vAlign w:val="center"/>
            <w:hideMark/>
          </w:tcPr>
          <w:p w14:paraId="4EA213AF"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Take a Russian Sports Holiday with Airbnb</w:t>
            </w:r>
          </w:p>
        </w:tc>
      </w:tr>
      <w:tr w:rsidR="005115B7" w:rsidRPr="005115B7" w14:paraId="49B13B2E" w14:textId="77777777" w:rsidTr="005115B7">
        <w:trPr>
          <w:trHeight w:val="510"/>
        </w:trPr>
        <w:tc>
          <w:tcPr>
            <w:tcW w:w="1302" w:type="dxa"/>
            <w:tcBorders>
              <w:top w:val="nil"/>
              <w:left w:val="nil"/>
              <w:bottom w:val="nil"/>
              <w:right w:val="nil"/>
            </w:tcBorders>
            <w:shd w:val="clear" w:color="auto" w:fill="auto"/>
            <w:noWrap/>
            <w:vAlign w:val="center"/>
            <w:hideMark/>
          </w:tcPr>
          <w:p w14:paraId="59A1AC92"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Ukraine</w:t>
            </w:r>
          </w:p>
        </w:tc>
        <w:tc>
          <w:tcPr>
            <w:tcW w:w="1880" w:type="dxa"/>
            <w:tcBorders>
              <w:top w:val="nil"/>
              <w:left w:val="nil"/>
              <w:bottom w:val="nil"/>
              <w:right w:val="nil"/>
            </w:tcBorders>
            <w:shd w:val="clear" w:color="auto" w:fill="auto"/>
            <w:noWrap/>
            <w:vAlign w:val="center"/>
            <w:hideMark/>
          </w:tcPr>
          <w:p w14:paraId="2A665274"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 xml:space="preserve">PFTS </w:t>
            </w:r>
          </w:p>
        </w:tc>
        <w:tc>
          <w:tcPr>
            <w:tcW w:w="1128" w:type="dxa"/>
            <w:tcBorders>
              <w:top w:val="nil"/>
              <w:left w:val="nil"/>
              <w:bottom w:val="nil"/>
              <w:right w:val="nil"/>
            </w:tcBorders>
            <w:shd w:val="clear" w:color="auto" w:fill="auto"/>
            <w:noWrap/>
            <w:vAlign w:val="center"/>
            <w:hideMark/>
          </w:tcPr>
          <w:p w14:paraId="3275F7D2"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31/08/2022</w:t>
            </w:r>
          </w:p>
        </w:tc>
        <w:tc>
          <w:tcPr>
            <w:tcW w:w="1080" w:type="dxa"/>
            <w:tcBorders>
              <w:top w:val="nil"/>
              <w:left w:val="nil"/>
              <w:bottom w:val="nil"/>
              <w:right w:val="nil"/>
            </w:tcBorders>
            <w:shd w:val="clear" w:color="auto" w:fill="auto"/>
            <w:noWrap/>
            <w:vAlign w:val="center"/>
            <w:hideMark/>
          </w:tcPr>
          <w:p w14:paraId="72B0F84C"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58</w:t>
            </w:r>
          </w:p>
        </w:tc>
        <w:tc>
          <w:tcPr>
            <w:tcW w:w="5040" w:type="dxa"/>
            <w:tcBorders>
              <w:top w:val="nil"/>
              <w:left w:val="nil"/>
              <w:bottom w:val="nil"/>
              <w:right w:val="nil"/>
            </w:tcBorders>
            <w:shd w:val="clear" w:color="auto" w:fill="auto"/>
            <w:vAlign w:val="center"/>
            <w:hideMark/>
          </w:tcPr>
          <w:p w14:paraId="0A32609E"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100,000 people fleeing Ukraine have found stays through Airbnb.org</w:t>
            </w:r>
          </w:p>
        </w:tc>
      </w:tr>
      <w:tr w:rsidR="005115B7" w:rsidRPr="005115B7" w14:paraId="0D0F5263" w14:textId="77777777" w:rsidTr="005115B7">
        <w:trPr>
          <w:trHeight w:val="255"/>
        </w:trPr>
        <w:tc>
          <w:tcPr>
            <w:tcW w:w="1302" w:type="dxa"/>
            <w:tcBorders>
              <w:top w:val="nil"/>
              <w:left w:val="nil"/>
              <w:bottom w:val="single" w:sz="4" w:space="0" w:color="auto"/>
              <w:right w:val="nil"/>
            </w:tcBorders>
            <w:shd w:val="clear" w:color="auto" w:fill="auto"/>
            <w:noWrap/>
            <w:vAlign w:val="center"/>
            <w:hideMark/>
          </w:tcPr>
          <w:p w14:paraId="2F382CE1"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Czech Republic</w:t>
            </w:r>
          </w:p>
        </w:tc>
        <w:tc>
          <w:tcPr>
            <w:tcW w:w="1880" w:type="dxa"/>
            <w:tcBorders>
              <w:top w:val="nil"/>
              <w:left w:val="nil"/>
              <w:bottom w:val="single" w:sz="4" w:space="0" w:color="auto"/>
              <w:right w:val="nil"/>
            </w:tcBorders>
            <w:shd w:val="clear" w:color="auto" w:fill="auto"/>
            <w:noWrap/>
            <w:vAlign w:val="center"/>
            <w:hideMark/>
          </w:tcPr>
          <w:p w14:paraId="191E6D10"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 xml:space="preserve">PX </w:t>
            </w:r>
          </w:p>
        </w:tc>
        <w:tc>
          <w:tcPr>
            <w:tcW w:w="1128" w:type="dxa"/>
            <w:tcBorders>
              <w:top w:val="nil"/>
              <w:left w:val="nil"/>
              <w:bottom w:val="single" w:sz="4" w:space="0" w:color="auto"/>
              <w:right w:val="nil"/>
            </w:tcBorders>
            <w:shd w:val="clear" w:color="auto" w:fill="auto"/>
            <w:noWrap/>
            <w:vAlign w:val="center"/>
            <w:hideMark/>
          </w:tcPr>
          <w:p w14:paraId="3F4AB091"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21/04/2020</w:t>
            </w:r>
          </w:p>
        </w:tc>
        <w:tc>
          <w:tcPr>
            <w:tcW w:w="1080" w:type="dxa"/>
            <w:tcBorders>
              <w:top w:val="nil"/>
              <w:left w:val="nil"/>
              <w:bottom w:val="single" w:sz="4" w:space="0" w:color="auto"/>
              <w:right w:val="nil"/>
            </w:tcBorders>
            <w:shd w:val="clear" w:color="auto" w:fill="auto"/>
            <w:noWrap/>
            <w:vAlign w:val="center"/>
            <w:hideMark/>
          </w:tcPr>
          <w:p w14:paraId="2F647588"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71</w:t>
            </w:r>
          </w:p>
        </w:tc>
        <w:tc>
          <w:tcPr>
            <w:tcW w:w="5040" w:type="dxa"/>
            <w:tcBorders>
              <w:top w:val="nil"/>
              <w:left w:val="nil"/>
              <w:bottom w:val="single" w:sz="4" w:space="0" w:color="auto"/>
              <w:right w:val="nil"/>
            </w:tcBorders>
            <w:shd w:val="clear" w:color="auto" w:fill="auto"/>
            <w:vAlign w:val="center"/>
            <w:hideMark/>
          </w:tcPr>
          <w:p w14:paraId="3BFDA77E"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Czech Hosts Provide Housing to Frontline Medical Staff</w:t>
            </w:r>
          </w:p>
        </w:tc>
      </w:tr>
    </w:tbl>
    <w:p w14:paraId="2954B3D4" w14:textId="166F7706" w:rsidR="006B110F" w:rsidRPr="007839F7" w:rsidRDefault="007839F7" w:rsidP="007839F7">
      <w:pPr>
        <w:bidi w:val="0"/>
        <w:spacing w:line="240" w:lineRule="auto"/>
        <w:jc w:val="both"/>
        <w:rPr>
          <w:sz w:val="20"/>
          <w:szCs w:val="20"/>
        </w:rPr>
      </w:pPr>
      <w:r w:rsidRPr="007839F7">
        <w:rPr>
          <w:sz w:val="20"/>
          <w:szCs w:val="20"/>
        </w:rPr>
        <w:t>Note: The table presents a selection of announcements from the dataset of 112 publications related to Airbnb by 11 emerging countries. Each country's primary stock index is provided alongside the date of the announcement, the number of the announcement within the sample, and a brief description of the announcement. This selection of announcements serves to illustrate the scope and nature of the data collection effort in the present study, providing insight into the types of announcements made by emerging countries related to Airbnb.</w:t>
      </w:r>
    </w:p>
    <w:p w14:paraId="1D9F0C5C" w14:textId="4BAF5E45" w:rsidR="006B110F" w:rsidRDefault="00522838" w:rsidP="006B110F">
      <w:pPr>
        <w:bidi w:val="0"/>
        <w:spacing w:line="480" w:lineRule="auto"/>
        <w:jc w:val="both"/>
      </w:pPr>
      <w:r w:rsidRPr="00522838">
        <w:t xml:space="preserve">Figure 1 illustrates the chronological distribution of Airbnb announcements released by emerging countries included in this study. It is apparent from the figure that some countries, such as Thailand and South Africa, exhibited a persistent pattern of </w:t>
      </w:r>
      <w:r w:rsidRPr="00522838">
        <w:lastRenderedPageBreak/>
        <w:t>continuous publication throughout the observed time frame. In contrast, certain countries demonstrated a more sporadic trend, with announcements concentrated in particular periods rather than being consistently published throughout the entire duration of the study. For instance, there were significant spikes in the number of Airbnb announcements released by China during the years 2017 and 2018, by Ukraine during the years 2021 and 2022 amidst the war with Russia, and by the Philippines during the period spanning 2020 to 2022.</w:t>
      </w:r>
    </w:p>
    <w:p w14:paraId="0E641988" w14:textId="218CB1B7" w:rsidR="00CB224D" w:rsidRPr="00CB224D" w:rsidRDefault="00CB224D" w:rsidP="00CB224D">
      <w:pPr>
        <w:bidi w:val="0"/>
        <w:spacing w:line="240" w:lineRule="auto"/>
        <w:jc w:val="both"/>
        <w:rPr>
          <w:b/>
          <w:bCs/>
          <w:sz w:val="20"/>
          <w:szCs w:val="20"/>
        </w:rPr>
      </w:pPr>
      <w:r w:rsidRPr="00CB224D">
        <w:rPr>
          <w:b/>
          <w:bCs/>
          <w:sz w:val="20"/>
          <w:szCs w:val="20"/>
        </w:rPr>
        <w:t>Figure 1</w:t>
      </w:r>
    </w:p>
    <w:p w14:paraId="61CEC822" w14:textId="2315454D" w:rsidR="00CB224D" w:rsidRPr="00CB224D" w:rsidRDefault="00071017" w:rsidP="00CB224D">
      <w:pPr>
        <w:bidi w:val="0"/>
        <w:spacing w:line="240" w:lineRule="auto"/>
        <w:jc w:val="both"/>
        <w:rPr>
          <w:sz w:val="20"/>
          <w:szCs w:val="20"/>
        </w:rPr>
      </w:pPr>
      <w:r w:rsidRPr="00071017">
        <w:rPr>
          <w:sz w:val="20"/>
          <w:szCs w:val="20"/>
        </w:rPr>
        <w:t xml:space="preserve">Analysis of Airbnb's </w:t>
      </w:r>
      <w:r>
        <w:rPr>
          <w:sz w:val="20"/>
          <w:szCs w:val="20"/>
        </w:rPr>
        <w:t>a</w:t>
      </w:r>
      <w:r w:rsidRPr="00071017">
        <w:rPr>
          <w:sz w:val="20"/>
          <w:szCs w:val="20"/>
        </w:rPr>
        <w:t xml:space="preserve">nnouncement </w:t>
      </w:r>
      <w:r>
        <w:rPr>
          <w:sz w:val="20"/>
          <w:szCs w:val="20"/>
        </w:rPr>
        <w:t>d</w:t>
      </w:r>
      <w:r w:rsidRPr="00071017">
        <w:rPr>
          <w:sz w:val="20"/>
          <w:szCs w:val="20"/>
        </w:rPr>
        <w:t xml:space="preserve">istribution in </w:t>
      </w:r>
      <w:r>
        <w:rPr>
          <w:sz w:val="20"/>
          <w:szCs w:val="20"/>
        </w:rPr>
        <w:t>e</w:t>
      </w:r>
      <w:r w:rsidRPr="00071017">
        <w:rPr>
          <w:sz w:val="20"/>
          <w:szCs w:val="20"/>
        </w:rPr>
        <w:t xml:space="preserve">merging </w:t>
      </w:r>
      <w:r>
        <w:rPr>
          <w:sz w:val="20"/>
          <w:szCs w:val="20"/>
        </w:rPr>
        <w:t>c</w:t>
      </w:r>
      <w:r w:rsidRPr="00071017">
        <w:rPr>
          <w:sz w:val="20"/>
          <w:szCs w:val="20"/>
        </w:rPr>
        <w:t>ountries</w:t>
      </w:r>
    </w:p>
    <w:p w14:paraId="077398E1" w14:textId="3AD1459A" w:rsidR="006B110F" w:rsidRDefault="00DD7127" w:rsidP="00D0764D">
      <w:pPr>
        <w:bidi w:val="0"/>
        <w:spacing w:line="240" w:lineRule="auto"/>
      </w:pPr>
      <w:r>
        <w:rPr>
          <w:noProof/>
        </w:rPr>
        <w:drawing>
          <wp:inline distT="0" distB="0" distL="0" distR="0" wp14:anchorId="0967F07A" wp14:editId="4963400F">
            <wp:extent cx="5274310" cy="2586990"/>
            <wp:effectExtent l="0" t="0" r="2540" b="3810"/>
            <wp:docPr id="1012866882"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866882" name="תמונה 1012866882"/>
                    <pic:cNvPicPr/>
                  </pic:nvPicPr>
                  <pic:blipFill>
                    <a:blip r:embed="rId8">
                      <a:extLst>
                        <a:ext uri="{28A0092B-C50C-407E-A947-70E740481C1C}">
                          <a14:useLocalDpi xmlns:a14="http://schemas.microsoft.com/office/drawing/2010/main" val="0"/>
                        </a:ext>
                      </a:extLst>
                    </a:blip>
                    <a:stretch>
                      <a:fillRect/>
                    </a:stretch>
                  </pic:blipFill>
                  <pic:spPr>
                    <a:xfrm>
                      <a:off x="0" y="0"/>
                      <a:ext cx="5274310" cy="2586990"/>
                    </a:xfrm>
                    <a:prstGeom prst="rect">
                      <a:avLst/>
                    </a:prstGeom>
                  </pic:spPr>
                </pic:pic>
              </a:graphicData>
            </a:graphic>
          </wp:inline>
        </w:drawing>
      </w:r>
    </w:p>
    <w:p w14:paraId="7A8BA718" w14:textId="6BA400DF" w:rsidR="006B110F" w:rsidRPr="00D0764D" w:rsidRDefault="00D0764D" w:rsidP="00D0764D">
      <w:pPr>
        <w:bidi w:val="0"/>
        <w:spacing w:line="240" w:lineRule="auto"/>
        <w:jc w:val="both"/>
        <w:rPr>
          <w:sz w:val="20"/>
          <w:szCs w:val="20"/>
        </w:rPr>
      </w:pPr>
      <w:r>
        <w:rPr>
          <w:sz w:val="20"/>
          <w:szCs w:val="20"/>
        </w:rPr>
        <w:t xml:space="preserve">Note: </w:t>
      </w:r>
      <w:r w:rsidRPr="00D0764D">
        <w:rPr>
          <w:sz w:val="20"/>
          <w:szCs w:val="20"/>
        </w:rPr>
        <w:t>The dissemination of Airbnb announcements across 11 emerging countries within the designated sample period ranging from July 11, 2016, to November 31, 2022. The visual representation depicts each country with a unique shape or symbol.</w:t>
      </w:r>
    </w:p>
    <w:p w14:paraId="507694F7" w14:textId="77777777" w:rsidR="006B110F" w:rsidRDefault="006B110F" w:rsidP="006B110F">
      <w:pPr>
        <w:bidi w:val="0"/>
        <w:spacing w:line="480" w:lineRule="auto"/>
        <w:jc w:val="both"/>
      </w:pPr>
    </w:p>
    <w:p w14:paraId="3AC3CD52" w14:textId="77777777" w:rsidR="006B110F" w:rsidRPr="00B970ED" w:rsidRDefault="006B110F" w:rsidP="006B110F">
      <w:pPr>
        <w:bidi w:val="0"/>
        <w:spacing w:line="480" w:lineRule="auto"/>
        <w:jc w:val="both"/>
        <w:rPr>
          <w:rFonts w:eastAsia="Calibri"/>
          <w:b/>
          <w:iCs/>
          <w:rtl/>
        </w:rPr>
      </w:pPr>
      <w:r w:rsidRPr="00B970ED">
        <w:rPr>
          <w:rFonts w:eastAsia="Calibri"/>
          <w:b/>
          <w:i/>
          <w:iCs/>
          <w:lang w:bidi="ar-SA"/>
        </w:rPr>
        <w:t>Empirical strategy</w:t>
      </w:r>
    </w:p>
    <w:p w14:paraId="04A89836" w14:textId="77777777" w:rsidR="006B110F" w:rsidRPr="00B970ED" w:rsidRDefault="006B110F" w:rsidP="006B110F">
      <w:pPr>
        <w:bidi w:val="0"/>
        <w:spacing w:line="480" w:lineRule="auto"/>
        <w:jc w:val="both"/>
        <w:rPr>
          <w:rFonts w:eastAsia="Calibri"/>
          <w:bCs/>
          <w:iCs/>
          <w:lang w:bidi="ar-SA"/>
        </w:rPr>
      </w:pPr>
      <w:bookmarkStart w:id="0" w:name="_Hlk134802365"/>
      <w:r w:rsidRPr="00B970ED">
        <w:rPr>
          <w:rFonts w:eastAsia="Calibri"/>
          <w:bCs/>
          <w:i/>
          <w:iCs/>
          <w:lang w:bidi="ar-SA"/>
        </w:rPr>
        <w:t>Event study</w:t>
      </w:r>
      <w:r w:rsidRPr="00B970ED">
        <w:rPr>
          <w:rFonts w:eastAsia="Calibri"/>
          <w:bCs/>
          <w:iCs/>
          <w:lang w:bidi="ar-SA"/>
        </w:rPr>
        <w:t xml:space="preserve"> </w:t>
      </w:r>
      <w:r w:rsidRPr="00B970ED">
        <w:rPr>
          <w:rFonts w:eastAsia="Calibri"/>
          <w:bCs/>
          <w:i/>
          <w:lang w:bidi="ar-SA"/>
        </w:rPr>
        <w:t>methodology</w:t>
      </w:r>
    </w:p>
    <w:bookmarkEnd w:id="0"/>
    <w:p w14:paraId="04F454CB" w14:textId="77777777" w:rsidR="004C70D3" w:rsidRDefault="004C70D3" w:rsidP="004C70D3">
      <w:pPr>
        <w:bidi w:val="0"/>
        <w:spacing w:line="480" w:lineRule="auto"/>
        <w:jc w:val="both"/>
      </w:pPr>
      <w:r>
        <w:t xml:space="preserve">The present study employed the event study methodology, a commonly employed technique in the financial literature, to investigate the impact of Airbnb website announcements on emerging countries' capital markets. This approach was first </w:t>
      </w:r>
      <w:r>
        <w:lastRenderedPageBreak/>
        <w:t>introduced in seminal works investigating the effect of stock splits (Ball &amp; Brown, 1968; Fama et al., 1969). Grounded in the efficient market hypothesis, the event study methodology assumes that stock prices reflect all available information, and that any new information is instantaneously incorporated into stock prices (Fama, 1970). However, subsequent research has revealed anomalies that permit investors to earn excess returns if they can forecast stock prices. As a result, this approach has gained widespread use among investors and scholars alike</w:t>
      </w:r>
      <w:r>
        <w:rPr>
          <w:rtl/>
        </w:rPr>
        <w:t>.</w:t>
      </w:r>
    </w:p>
    <w:p w14:paraId="08944265" w14:textId="4E059A90" w:rsidR="006B110F" w:rsidRDefault="004C70D3" w:rsidP="004C70D3">
      <w:pPr>
        <w:bidi w:val="0"/>
        <w:spacing w:line="480" w:lineRule="auto"/>
        <w:jc w:val="both"/>
      </w:pPr>
      <w:r>
        <w:t>This technique has since expanded and is currently employed in numerous domains, including accounting (</w:t>
      </w:r>
      <w:r w:rsidRPr="004C70D3">
        <w:t xml:space="preserve">Duso </w:t>
      </w:r>
      <w:r>
        <w:t>et al., 2010), economics (</w:t>
      </w:r>
      <w:r w:rsidR="004F29AB" w:rsidRPr="004F29AB">
        <w:t>Palatnik et al., 2019</w:t>
      </w:r>
      <w:r w:rsidR="004F29AB">
        <w:t xml:space="preserve">; </w:t>
      </w:r>
      <w:r>
        <w:t>Tavor, 2023), tourism (Teitler-Regev &amp; Tavor, 2023), and healthcare (</w:t>
      </w:r>
      <w:r w:rsidR="004F29AB" w:rsidRPr="004F29AB">
        <w:t>Alam</w:t>
      </w:r>
      <w:r w:rsidR="004F29AB">
        <w:t xml:space="preserve"> et al.</w:t>
      </w:r>
      <w:r>
        <w:t>, 2020).</w:t>
      </w:r>
    </w:p>
    <w:p w14:paraId="266E6872" w14:textId="222BDEE3" w:rsidR="005115B7" w:rsidRDefault="00953791" w:rsidP="004C70D3">
      <w:pPr>
        <w:bidi w:val="0"/>
        <w:spacing w:line="480" w:lineRule="auto"/>
        <w:jc w:val="both"/>
      </w:pPr>
      <w:r w:rsidRPr="00953791">
        <w:t>The present research employed abnormal returns (AR) and cumulative abnormal returns (CAR) to examine the reactions of capital markets in emerging countries to Airbnb's announcements. A market model was constructed to illustrate the association between the returns of emerging countries' indices, DJEM and MSCIEM, and the market returns on the day of the event i at time t (</w:t>
      </w:r>
      <w:r w:rsidRPr="00670687">
        <w:rPr>
          <w:i/>
          <w:iCs/>
        </w:rPr>
        <w:t>R</w:t>
      </w:r>
      <w:r w:rsidRPr="00670687">
        <w:rPr>
          <w:i/>
          <w:iCs/>
          <w:vertAlign w:val="subscript"/>
        </w:rPr>
        <w:t>it</w:t>
      </w:r>
      <w:r w:rsidRPr="00953791">
        <w:t>) under normal market conditions (</w:t>
      </w:r>
      <w:r w:rsidRPr="00670687">
        <w:rPr>
          <w:i/>
          <w:iCs/>
        </w:rPr>
        <w:t>R</w:t>
      </w:r>
      <w:r w:rsidRPr="00670687">
        <w:rPr>
          <w:i/>
          <w:iCs/>
          <w:vertAlign w:val="subscript"/>
        </w:rPr>
        <w:t>mt</w:t>
      </w:r>
      <w:r w:rsidRPr="00953791">
        <w:t>), i.e., in the absence of unexpected events. The global indices FTSEW and MSCIW were employed to represent the market returns.</w:t>
      </w:r>
    </w:p>
    <w:p w14:paraId="3D0E70F9" w14:textId="11D48805" w:rsidR="00D64D13" w:rsidRPr="00B970ED" w:rsidRDefault="00000000" w:rsidP="00D64D13">
      <w:pPr>
        <w:pStyle w:val="a3"/>
        <w:numPr>
          <w:ilvl w:val="0"/>
          <w:numId w:val="2"/>
        </w:numPr>
        <w:bidi w:val="0"/>
        <w:spacing w:after="200" w:line="480" w:lineRule="auto"/>
        <w:ind w:left="284"/>
        <w:jc w:val="both"/>
        <w:rPr>
          <w:rFonts w:asciiTheme="majorBidi" w:hAnsiTheme="majorBidi" w:cstheme="majorBidi"/>
          <w:bCs/>
          <w:i/>
          <w:iCs/>
        </w:rPr>
      </w:pPr>
      <m:oMath>
        <m:sSub>
          <m:sSubPr>
            <m:ctrlPr>
              <w:rPr>
                <w:rFonts w:ascii="Cambria Math" w:hAnsi="Cambria Math" w:cstheme="majorBidi"/>
                <w:bCs/>
                <w:i/>
              </w:rPr>
            </m:ctrlPr>
          </m:sSubPr>
          <m:e>
            <m:r>
              <w:rPr>
                <w:rFonts w:ascii="Cambria Math" w:hAnsi="Cambria Math" w:cstheme="majorBidi"/>
              </w:rPr>
              <m:t>R</m:t>
            </m:r>
          </m:e>
          <m:sub>
            <m:r>
              <w:rPr>
                <w:rFonts w:ascii="Cambria Math" w:hAnsi="Cambria Math" w:cstheme="majorBidi"/>
              </w:rPr>
              <m:t>it</m:t>
            </m:r>
          </m:sub>
        </m:sSub>
        <m:r>
          <w:rPr>
            <w:rFonts w:ascii="Cambria Math" w:hAnsi="Cambria Math" w:cstheme="majorBidi"/>
          </w:rPr>
          <m:t>=</m:t>
        </m:r>
        <m:sSub>
          <m:sSubPr>
            <m:ctrlPr>
              <w:rPr>
                <w:rFonts w:ascii="Cambria Math" w:hAnsi="Cambria Math" w:cstheme="majorBidi"/>
                <w:bCs/>
                <w:i/>
              </w:rPr>
            </m:ctrlPr>
          </m:sSubPr>
          <m:e>
            <m:r>
              <w:rPr>
                <w:rFonts w:ascii="Cambria Math" w:hAnsi="Cambria Math" w:cstheme="majorBidi"/>
              </w:rPr>
              <m:t>α</m:t>
            </m:r>
          </m:e>
          <m:sub>
            <m:r>
              <w:rPr>
                <w:rFonts w:ascii="Cambria Math" w:hAnsi="Cambria Math" w:cstheme="majorBidi"/>
              </w:rPr>
              <m:t>i</m:t>
            </m:r>
          </m:sub>
        </m:sSub>
        <m:r>
          <w:rPr>
            <w:rFonts w:ascii="Cambria Math" w:hAnsi="Cambria Math" w:cstheme="majorBidi"/>
          </w:rPr>
          <m:t>+</m:t>
        </m:r>
        <m:sSub>
          <m:sSubPr>
            <m:ctrlPr>
              <w:rPr>
                <w:rFonts w:ascii="Cambria Math" w:hAnsi="Cambria Math" w:cstheme="majorBidi"/>
                <w:bCs/>
                <w:i/>
              </w:rPr>
            </m:ctrlPr>
          </m:sSubPr>
          <m:e>
            <m:r>
              <w:rPr>
                <w:rFonts w:ascii="Cambria Math" w:hAnsi="Cambria Math" w:cstheme="majorBidi"/>
              </w:rPr>
              <m:t>β</m:t>
            </m:r>
          </m:e>
          <m:sub>
            <m:r>
              <w:rPr>
                <w:rFonts w:ascii="Cambria Math" w:hAnsi="Cambria Math" w:cstheme="majorBidi"/>
              </w:rPr>
              <m:t>i</m:t>
            </m:r>
          </m:sub>
        </m:sSub>
        <m:sSub>
          <m:sSubPr>
            <m:ctrlPr>
              <w:rPr>
                <w:rFonts w:ascii="Cambria Math" w:hAnsi="Cambria Math" w:cstheme="majorBidi"/>
                <w:bCs/>
                <w:i/>
              </w:rPr>
            </m:ctrlPr>
          </m:sSubPr>
          <m:e>
            <m:r>
              <w:rPr>
                <w:rFonts w:ascii="Cambria Math" w:hAnsi="Cambria Math" w:cstheme="majorBidi"/>
              </w:rPr>
              <m:t>R</m:t>
            </m:r>
          </m:e>
          <m:sub>
            <m:r>
              <w:rPr>
                <w:rFonts w:ascii="Cambria Math" w:hAnsi="Cambria Math" w:cstheme="majorBidi"/>
              </w:rPr>
              <m:t>mt</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ξ</m:t>
            </m:r>
          </m:e>
          <m:sub>
            <m:r>
              <w:rPr>
                <w:rFonts w:ascii="Cambria Math" w:hAnsi="Cambria Math" w:cstheme="majorBidi"/>
              </w:rPr>
              <m:t>it</m:t>
            </m:r>
          </m:sub>
        </m:sSub>
      </m:oMath>
      <w:r w:rsidR="00D64D13" w:rsidRPr="00B970ED">
        <w:rPr>
          <w:rFonts w:asciiTheme="majorBidi" w:hAnsiTheme="majorBidi" w:cstheme="majorBidi"/>
          <w:i/>
          <w:iCs/>
        </w:rPr>
        <w:t xml:space="preserve">, </w:t>
      </w:r>
      <w:r w:rsidR="00D64D13" w:rsidRPr="00B970ED">
        <w:rPr>
          <w:rFonts w:asciiTheme="majorBidi" w:hAnsiTheme="majorBidi" w:cstheme="majorBidi"/>
          <w:bCs/>
          <w:i/>
          <w:iCs/>
        </w:rPr>
        <w:t xml:space="preserve">  t </w:t>
      </w:r>
      <m:oMath>
        <m:r>
          <m:rPr>
            <m:sty m:val="p"/>
          </m:rPr>
          <w:rPr>
            <w:rFonts w:ascii="Cambria Math" w:hAnsi="Cambria Math" w:cstheme="majorBidi"/>
          </w:rPr>
          <m:t>∈</m:t>
        </m:r>
      </m:oMath>
      <w:r w:rsidR="00D64D13" w:rsidRPr="00B970ED">
        <w:rPr>
          <w:rFonts w:asciiTheme="majorBidi" w:hAnsiTheme="majorBidi" w:cstheme="majorBidi"/>
          <w:bCs/>
        </w:rPr>
        <w:t>[-</w:t>
      </w:r>
      <w:r w:rsidR="00D64D13">
        <w:rPr>
          <w:rFonts w:asciiTheme="majorBidi" w:hAnsiTheme="majorBidi" w:cstheme="majorBidi"/>
          <w:bCs/>
        </w:rPr>
        <w:t>215</w:t>
      </w:r>
      <w:r w:rsidR="00D64D13" w:rsidRPr="00B970ED">
        <w:rPr>
          <w:rFonts w:asciiTheme="majorBidi" w:hAnsiTheme="majorBidi" w:cstheme="majorBidi"/>
          <w:bCs/>
        </w:rPr>
        <w:t>,-</w:t>
      </w:r>
      <w:r w:rsidR="00D64D13">
        <w:rPr>
          <w:rFonts w:asciiTheme="majorBidi" w:hAnsiTheme="majorBidi" w:cstheme="majorBidi"/>
          <w:bCs/>
        </w:rPr>
        <w:t>16</w:t>
      </w:r>
      <w:r w:rsidR="00D64D13" w:rsidRPr="00B970ED">
        <w:rPr>
          <w:rFonts w:asciiTheme="majorBidi" w:hAnsiTheme="majorBidi" w:cstheme="majorBidi"/>
          <w:bCs/>
        </w:rPr>
        <w:t>],</w:t>
      </w:r>
      <w:r w:rsidR="00D64D13" w:rsidRPr="00B970ED">
        <w:rPr>
          <w:rFonts w:asciiTheme="majorBidi" w:hAnsiTheme="majorBidi" w:cstheme="majorBidi"/>
          <w:bCs/>
          <w:i/>
          <w:iCs/>
        </w:rPr>
        <w:t xml:space="preserve">  i</w:t>
      </w:r>
      <w:r w:rsidR="00D64D13" w:rsidRPr="00B970ED">
        <w:rPr>
          <w:rFonts w:asciiTheme="majorBidi" w:hAnsiTheme="majorBidi" w:cstheme="majorBidi"/>
          <w:bCs/>
        </w:rPr>
        <w:t xml:space="preserve"> = 1, 2, …., </w:t>
      </w:r>
      <w:r w:rsidR="00D64D13">
        <w:rPr>
          <w:rFonts w:asciiTheme="majorBidi" w:hAnsiTheme="majorBidi" w:cstheme="majorBidi"/>
          <w:bCs/>
        </w:rPr>
        <w:t>112</w:t>
      </w:r>
    </w:p>
    <w:p w14:paraId="6E10CAB5" w14:textId="28AE2C7C" w:rsidR="00D64D13" w:rsidRPr="00B970ED" w:rsidRDefault="00D64D13" w:rsidP="00D64D13">
      <w:pPr>
        <w:bidi w:val="0"/>
        <w:spacing w:line="480" w:lineRule="auto"/>
        <w:jc w:val="both"/>
        <w:rPr>
          <w:rFonts w:eastAsia="Times New Roman"/>
        </w:rPr>
      </w:pPr>
      <w:r w:rsidRPr="00B970ED">
        <w:rPr>
          <w:bCs/>
        </w:rPr>
        <w:t>The returns (</w:t>
      </w:r>
      <w:r w:rsidRPr="00B970ED">
        <w:rPr>
          <w:bCs/>
          <w:i/>
          <w:iCs/>
        </w:rPr>
        <w:t>R</w:t>
      </w:r>
      <w:r w:rsidRPr="00B970ED">
        <w:rPr>
          <w:bCs/>
          <w:i/>
          <w:iCs/>
          <w:vertAlign w:val="subscript"/>
        </w:rPr>
        <w:t>it</w:t>
      </w:r>
      <w:r w:rsidRPr="00B970ED">
        <w:rPr>
          <w:bCs/>
        </w:rPr>
        <w:t xml:space="preserve">) </w:t>
      </w:r>
      <w:r w:rsidRPr="00D64D13">
        <w:rPr>
          <w:rFonts w:eastAsia="Times New Roman"/>
        </w:rPr>
        <w:t xml:space="preserve">are composed of an expected value </w:t>
      </w:r>
      <w:r w:rsidRPr="00B970ED">
        <w:rPr>
          <w:rFonts w:eastAsia="Times New Roman"/>
        </w:rPr>
        <w:t>E[</w:t>
      </w:r>
      <w:r w:rsidRPr="00B970ED">
        <w:rPr>
          <w:bCs/>
          <w:i/>
          <w:iCs/>
        </w:rPr>
        <w:t>R</w:t>
      </w:r>
      <w:r w:rsidRPr="00B970ED">
        <w:rPr>
          <w:bCs/>
          <w:i/>
          <w:iCs/>
          <w:vertAlign w:val="subscript"/>
        </w:rPr>
        <w:t>it</w:t>
      </w:r>
      <w:r w:rsidRPr="00B970ED">
        <w:rPr>
          <w:rFonts w:eastAsia="Times New Roman"/>
        </w:rPr>
        <w:t>] = μ</w:t>
      </w:r>
      <w:r w:rsidRPr="00B970ED">
        <w:rPr>
          <w:rFonts w:eastAsia="Times New Roman"/>
          <w:vertAlign w:val="subscript"/>
        </w:rPr>
        <w:t>i</w:t>
      </w:r>
      <w:r>
        <w:rPr>
          <w:rFonts w:eastAsia="Times New Roman"/>
        </w:rPr>
        <w:t>,</w:t>
      </w:r>
      <w:r w:rsidRPr="00B970ED">
        <w:rPr>
          <w:rFonts w:eastAsia="Times New Roman"/>
        </w:rPr>
        <w:t xml:space="preserve"> Var[</w:t>
      </w:r>
      <w:r w:rsidRPr="00B970ED">
        <w:rPr>
          <w:bCs/>
          <w:i/>
          <w:iCs/>
        </w:rPr>
        <w:t>R</w:t>
      </w:r>
      <w:r w:rsidRPr="00B970ED">
        <w:rPr>
          <w:bCs/>
          <w:i/>
          <w:iCs/>
          <w:vertAlign w:val="subscript"/>
        </w:rPr>
        <w:t>it</w:t>
      </w:r>
      <w:r w:rsidRPr="00B970ED">
        <w:rPr>
          <w:rFonts w:eastAsia="Times New Roman"/>
        </w:rPr>
        <w:t xml:space="preserve">] = </w:t>
      </w:r>
      <m:oMath>
        <m:sSubSup>
          <m:sSubSupPr>
            <m:ctrlPr>
              <w:rPr>
                <w:rFonts w:ascii="Cambria Math" w:eastAsia="Times New Roman" w:hAnsi="Cambria Math"/>
                <w:i/>
              </w:rPr>
            </m:ctrlPr>
          </m:sSubSupPr>
          <m:e>
            <m:r>
              <w:rPr>
                <w:rFonts w:ascii="Cambria Math" w:eastAsia="Times New Roman" w:hAnsi="Cambria Math"/>
              </w:rPr>
              <m:t>σ</m:t>
            </m:r>
          </m:e>
          <m:sub>
            <m:r>
              <w:rPr>
                <w:rFonts w:ascii="Cambria Math" w:eastAsia="Times New Roman" w:hAnsi="Cambria Math"/>
              </w:rPr>
              <m:t>i</m:t>
            </m:r>
          </m:sub>
          <m:sup>
            <m:r>
              <w:rPr>
                <w:rFonts w:ascii="Cambria Math" w:eastAsia="Times New Roman" w:hAnsi="Cambria Math"/>
              </w:rPr>
              <m:t>2</m:t>
            </m:r>
          </m:sup>
        </m:sSubSup>
      </m:oMath>
      <w:r w:rsidRPr="00B970ED">
        <w:rPr>
          <w:rFonts w:eastAsia="Times New Roman"/>
        </w:rPr>
        <w:t xml:space="preserve"> and Cov[</w:t>
      </w:r>
      <w:r w:rsidRPr="00B970ED">
        <w:rPr>
          <w:bCs/>
          <w:i/>
          <w:iCs/>
        </w:rPr>
        <w:t>R</w:t>
      </w:r>
      <w:r w:rsidRPr="00B970ED">
        <w:rPr>
          <w:bCs/>
          <w:i/>
          <w:iCs/>
          <w:vertAlign w:val="subscript"/>
        </w:rPr>
        <w:t>it</w:t>
      </w:r>
      <w:r w:rsidRPr="00B970ED">
        <w:rPr>
          <w:bCs/>
          <w:i/>
          <w:iCs/>
        </w:rPr>
        <w:t>, R</w:t>
      </w:r>
      <w:r w:rsidRPr="00B970ED">
        <w:rPr>
          <w:bCs/>
          <w:i/>
          <w:iCs/>
          <w:vertAlign w:val="subscript"/>
        </w:rPr>
        <w:t>ih</w:t>
      </w:r>
      <w:r w:rsidRPr="00B970ED">
        <w:rPr>
          <w:rFonts w:eastAsia="Times New Roman"/>
        </w:rPr>
        <w:t xml:space="preserve">] = 0 </w:t>
      </w:r>
      <w:r w:rsidRPr="00D64D13">
        <w:t>of asset i for time period t</w:t>
      </w:r>
      <w:r>
        <w:rPr>
          <w:rFonts w:eastAsia="Times New Roman"/>
        </w:rPr>
        <w:t>, when</w:t>
      </w:r>
      <w:r w:rsidRPr="00B970ED">
        <w:rPr>
          <w:rFonts w:eastAsia="Times New Roman"/>
        </w:rPr>
        <w:t xml:space="preserve"> t ≠ h.</w:t>
      </w:r>
    </w:p>
    <w:p w14:paraId="44EF3F45" w14:textId="77777777" w:rsidR="00D52C17" w:rsidRPr="00D64D13" w:rsidRDefault="00D64D13" w:rsidP="00D52C17">
      <w:pPr>
        <w:bidi w:val="0"/>
        <w:spacing w:line="480" w:lineRule="auto"/>
        <w:jc w:val="both"/>
      </w:pPr>
      <w:r w:rsidRPr="00D64D13">
        <w:rPr>
          <w:rFonts w:eastAsia="Calibri"/>
          <w:kern w:val="0"/>
          <w14:ligatures w14:val="none"/>
        </w:rPr>
        <w:t xml:space="preserve">The expected value of the return, </w:t>
      </w:r>
      <w:r w:rsidRPr="00D64D13">
        <w:rPr>
          <w:rFonts w:eastAsia="Calibri"/>
          <w:i/>
          <w:iCs/>
          <w:kern w:val="0"/>
          <w14:ligatures w14:val="none"/>
        </w:rPr>
        <w:t>E(r</w:t>
      </w:r>
      <w:r w:rsidRPr="00D64D13">
        <w:rPr>
          <w:rFonts w:eastAsia="Calibri"/>
          <w:i/>
          <w:iCs/>
          <w:kern w:val="0"/>
          <w:vertAlign w:val="subscript"/>
          <w14:ligatures w14:val="none"/>
        </w:rPr>
        <w:t>it</w:t>
      </w:r>
      <w:r w:rsidRPr="00D64D13">
        <w:rPr>
          <w:rFonts w:eastAsia="Calibri"/>
          <w:i/>
          <w:iCs/>
          <w:kern w:val="0"/>
          <w14:ligatures w14:val="none"/>
        </w:rPr>
        <w:t>|I</w:t>
      </w:r>
      <w:r w:rsidRPr="00D64D13">
        <w:rPr>
          <w:rFonts w:eastAsia="Calibri"/>
          <w:i/>
          <w:iCs/>
          <w:kern w:val="0"/>
          <w:vertAlign w:val="subscript"/>
          <w14:ligatures w14:val="none"/>
        </w:rPr>
        <w:t>t</w:t>
      </w:r>
      <w:r w:rsidRPr="00D64D13">
        <w:rPr>
          <w:rFonts w:eastAsia="Calibri"/>
          <w:i/>
          <w:iCs/>
          <w:kern w:val="0"/>
          <w14:ligatures w14:val="none"/>
        </w:rPr>
        <w:t>),</w:t>
      </w:r>
      <w:r w:rsidRPr="00D64D13">
        <w:rPr>
          <w:rFonts w:eastAsia="Calibri"/>
          <w:kern w:val="0"/>
          <w14:ligatures w14:val="none"/>
        </w:rPr>
        <w:t xml:space="preserve"> </w:t>
      </w:r>
      <w:r w:rsidRPr="00D64D13">
        <w:t xml:space="preserve">under normal conditions </w:t>
      </w:r>
      <w:r w:rsidRPr="00D64D13">
        <w:rPr>
          <w:rFonts w:eastAsia="Calibri"/>
          <w:kern w:val="0"/>
          <w14:ligatures w14:val="none"/>
        </w:rPr>
        <w:t xml:space="preserve">given information </w:t>
      </w:r>
      <w:r>
        <w:rPr>
          <w:rFonts w:eastAsia="Calibri"/>
          <w:kern w:val="0"/>
          <w14:ligatures w14:val="none"/>
        </w:rPr>
        <w:t xml:space="preserve">I </w:t>
      </w:r>
      <w:r w:rsidRPr="00D64D13">
        <w:rPr>
          <w:rFonts w:eastAsia="Calibri"/>
          <w:kern w:val="0"/>
          <w14:ligatures w14:val="none"/>
        </w:rPr>
        <w:t xml:space="preserve">on day t, is obtained through the use of ordinary least squares (OLS) regression. The estimates for the intercept </w:t>
      </w:r>
      <m:oMath>
        <m:sSub>
          <m:sSubPr>
            <m:ctrlPr>
              <w:rPr>
                <w:rFonts w:ascii="Cambria Math" w:eastAsia="Times New Roman" w:hAnsi="Cambria Math"/>
                <w:i/>
                <w:kern w:val="0"/>
                <w14:ligatures w14:val="none"/>
              </w:rPr>
            </m:ctrlPr>
          </m:sSubPr>
          <m:e>
            <m:acc>
              <m:accPr>
                <m:ctrlPr>
                  <w:rPr>
                    <w:rFonts w:ascii="Cambria Math" w:eastAsia="Times New Roman" w:hAnsi="Cambria Math"/>
                    <w:i/>
                    <w:kern w:val="0"/>
                    <w14:ligatures w14:val="none"/>
                  </w:rPr>
                </m:ctrlPr>
              </m:accPr>
              <m:e>
                <m:r>
                  <w:rPr>
                    <w:rFonts w:ascii="Cambria Math" w:eastAsia="Times New Roman" w:hAnsi="Cambria Math"/>
                    <w:kern w:val="0"/>
                    <w14:ligatures w14:val="none"/>
                  </w:rPr>
                  <m:t>α</m:t>
                </m:r>
              </m:e>
            </m:acc>
          </m:e>
          <m:sub>
            <m:r>
              <w:rPr>
                <w:rFonts w:ascii="Cambria Math" w:eastAsia="Times New Roman" w:hAnsi="Cambria Math"/>
                <w:kern w:val="0"/>
                <w14:ligatures w14:val="none"/>
              </w:rPr>
              <m:t>i</m:t>
            </m:r>
          </m:sub>
        </m:sSub>
      </m:oMath>
      <w:r w:rsidRPr="00D64D13">
        <w:rPr>
          <w:rFonts w:eastAsia="Times New Roman"/>
          <w:kern w:val="0"/>
          <w14:ligatures w14:val="none"/>
        </w:rPr>
        <w:t xml:space="preserve"> </w:t>
      </w:r>
      <w:r w:rsidRPr="00D64D13">
        <w:t xml:space="preserve">and the slope coefficient </w:t>
      </w:r>
      <m:oMath>
        <m:sSub>
          <m:sSubPr>
            <m:ctrlPr>
              <w:rPr>
                <w:rFonts w:ascii="Cambria Math" w:eastAsia="Times New Roman" w:hAnsi="Cambria Math"/>
                <w:i/>
                <w:kern w:val="0"/>
                <w14:ligatures w14:val="none"/>
              </w:rPr>
            </m:ctrlPr>
          </m:sSubPr>
          <m:e>
            <m:acc>
              <m:accPr>
                <m:ctrlPr>
                  <w:rPr>
                    <w:rFonts w:ascii="Cambria Math" w:eastAsia="Times New Roman" w:hAnsi="Cambria Math"/>
                    <w:i/>
                    <w:kern w:val="0"/>
                    <w14:ligatures w14:val="none"/>
                  </w:rPr>
                </m:ctrlPr>
              </m:accPr>
              <m:e>
                <m:r>
                  <w:rPr>
                    <w:rFonts w:ascii="Cambria Math" w:eastAsia="Times New Roman" w:hAnsi="Cambria Math"/>
                    <w:kern w:val="0"/>
                    <w14:ligatures w14:val="none"/>
                  </w:rPr>
                  <m:t>β</m:t>
                </m:r>
              </m:e>
            </m:acc>
          </m:e>
          <m:sub>
            <m:r>
              <w:rPr>
                <w:rFonts w:ascii="Cambria Math" w:eastAsia="Times New Roman" w:hAnsi="Cambria Math"/>
                <w:kern w:val="0"/>
                <w14:ligatures w14:val="none"/>
              </w:rPr>
              <m:t>i</m:t>
            </m:r>
          </m:sub>
        </m:sSub>
      </m:oMath>
      <w:r>
        <w:rPr>
          <w:rFonts w:eastAsia="Calibri"/>
          <w:bCs/>
          <w:kern w:val="0"/>
          <w14:ligatures w14:val="none"/>
        </w:rPr>
        <w:t xml:space="preserve"> </w:t>
      </w:r>
      <w:r w:rsidR="00D52C17" w:rsidRPr="00D64D13">
        <w:t>are used to compute the expected return.</w:t>
      </w:r>
    </w:p>
    <w:p w14:paraId="4233966F" w14:textId="0C6440CE" w:rsidR="008F7EA5" w:rsidRPr="00B970ED" w:rsidRDefault="008F7EA5" w:rsidP="008F7EA5">
      <w:pPr>
        <w:pStyle w:val="a3"/>
        <w:numPr>
          <w:ilvl w:val="0"/>
          <w:numId w:val="2"/>
        </w:numPr>
        <w:bidi w:val="0"/>
        <w:spacing w:after="200" w:line="480" w:lineRule="auto"/>
        <w:ind w:left="284"/>
        <w:jc w:val="both"/>
        <w:rPr>
          <w:rFonts w:asciiTheme="majorBidi" w:hAnsiTheme="majorBidi" w:cstheme="majorBidi"/>
          <w:bCs/>
        </w:rPr>
      </w:pPr>
      <w:bookmarkStart w:id="1" w:name="_Hlk34303699"/>
      <m:oMath>
        <m:r>
          <w:rPr>
            <w:rFonts w:ascii="Cambria Math" w:hAnsi="Cambria Math" w:cstheme="majorBidi"/>
          </w:rPr>
          <w:lastRenderedPageBreak/>
          <m:t>E(</m:t>
        </m:r>
        <m:sSub>
          <m:sSubPr>
            <m:ctrlPr>
              <w:rPr>
                <w:rFonts w:ascii="Cambria Math" w:hAnsi="Cambria Math" w:cstheme="majorBidi"/>
                <w:i/>
              </w:rPr>
            </m:ctrlPr>
          </m:sSubPr>
          <m:e>
            <m:r>
              <w:rPr>
                <w:rFonts w:ascii="Cambria Math" w:hAnsi="Cambria Math" w:cstheme="majorBidi"/>
              </w:rPr>
              <m:t>R</m:t>
            </m:r>
          </m:e>
          <m:sub>
            <m:r>
              <w:rPr>
                <w:rFonts w:ascii="Cambria Math" w:hAnsi="Cambria Math" w:cstheme="majorBidi"/>
              </w:rPr>
              <m:t>it</m:t>
            </m:r>
          </m:sub>
        </m:sSub>
        <m:d>
          <m:dPr>
            <m:begChr m:val="|"/>
            <m:endChr m:val=""/>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I</m:t>
                </m:r>
              </m:e>
              <m:sub>
                <m:r>
                  <w:rPr>
                    <w:rFonts w:ascii="Cambria Math" w:hAnsi="Cambria Math" w:cstheme="majorBidi"/>
                  </w:rPr>
                  <m:t>t</m:t>
                </m:r>
              </m:sub>
            </m:sSub>
          </m:e>
        </m:d>
        <m:r>
          <w:rPr>
            <w:rFonts w:ascii="Cambria Math" w:hAnsi="Cambria Math" w:cstheme="majorBidi"/>
          </w:rPr>
          <m:t>)=</m:t>
        </m:r>
        <m:sSub>
          <m:sSubPr>
            <m:ctrlPr>
              <w:rPr>
                <w:rFonts w:ascii="Cambria Math" w:hAnsi="Cambria Math" w:cstheme="majorBidi"/>
                <w:i/>
              </w:rPr>
            </m:ctrlPr>
          </m:sSubPr>
          <m:e>
            <m:acc>
              <m:accPr>
                <m:ctrlPr>
                  <w:rPr>
                    <w:rFonts w:ascii="Cambria Math" w:hAnsi="Cambria Math" w:cstheme="majorBidi"/>
                    <w:i/>
                  </w:rPr>
                </m:ctrlPr>
              </m:accPr>
              <m:e>
                <m:r>
                  <w:rPr>
                    <w:rFonts w:ascii="Cambria Math" w:hAnsi="Cambria Math" w:cstheme="majorBidi"/>
                  </w:rPr>
                  <m:t>α</m:t>
                </m:r>
              </m:e>
            </m:acc>
          </m:e>
          <m:sub>
            <m:r>
              <w:rPr>
                <w:rFonts w:ascii="Cambria Math" w:hAnsi="Cambria Math" w:cstheme="majorBidi"/>
              </w:rPr>
              <m:t>i</m:t>
            </m:r>
          </m:sub>
        </m:sSub>
        <m:r>
          <w:rPr>
            <w:rFonts w:ascii="Cambria Math" w:hAnsi="Cambria Math" w:cstheme="majorBidi"/>
          </w:rPr>
          <m:t>+</m:t>
        </m:r>
        <m:sSub>
          <m:sSubPr>
            <m:ctrlPr>
              <w:rPr>
                <w:rFonts w:ascii="Cambria Math" w:hAnsi="Cambria Math" w:cstheme="majorBidi"/>
                <w:i/>
              </w:rPr>
            </m:ctrlPr>
          </m:sSubPr>
          <m:e>
            <m:acc>
              <m:accPr>
                <m:ctrlPr>
                  <w:rPr>
                    <w:rFonts w:ascii="Cambria Math" w:hAnsi="Cambria Math" w:cstheme="majorBidi"/>
                    <w:i/>
                  </w:rPr>
                </m:ctrlPr>
              </m:accPr>
              <m:e>
                <m:r>
                  <w:rPr>
                    <w:rFonts w:ascii="Cambria Math" w:hAnsi="Cambria Math" w:cstheme="majorBidi"/>
                  </w:rPr>
                  <m:t>β</m:t>
                </m:r>
              </m:e>
            </m:acc>
          </m:e>
          <m:sub>
            <m:r>
              <w:rPr>
                <w:rFonts w:ascii="Cambria Math" w:hAnsi="Cambria Math" w:cstheme="majorBidi"/>
              </w:rPr>
              <m:t>i</m:t>
            </m:r>
          </m:sub>
        </m:sSub>
        <m:sSub>
          <m:sSubPr>
            <m:ctrlPr>
              <w:rPr>
                <w:rFonts w:ascii="Cambria Math" w:hAnsi="Cambria Math" w:cstheme="majorBidi"/>
                <w:i/>
              </w:rPr>
            </m:ctrlPr>
          </m:sSubPr>
          <m:e>
            <m:r>
              <w:rPr>
                <w:rFonts w:ascii="Cambria Math" w:hAnsi="Cambria Math" w:cstheme="majorBidi"/>
              </w:rPr>
              <m:t>R</m:t>
            </m:r>
          </m:e>
          <m:sub>
            <m:r>
              <w:rPr>
                <w:rFonts w:ascii="Cambria Math" w:hAnsi="Cambria Math" w:cstheme="majorBidi"/>
              </w:rPr>
              <m:t>mt</m:t>
            </m:r>
          </m:sub>
        </m:sSub>
      </m:oMath>
      <w:bookmarkEnd w:id="1"/>
      <w:r w:rsidRPr="00B970ED">
        <w:rPr>
          <w:rFonts w:asciiTheme="majorBidi" w:hAnsiTheme="majorBidi" w:cstheme="majorBidi"/>
          <w:bCs/>
        </w:rPr>
        <w:t xml:space="preserve">, </w:t>
      </w:r>
      <w:r w:rsidRPr="00B970ED">
        <w:rPr>
          <w:rFonts w:asciiTheme="majorBidi" w:hAnsiTheme="majorBidi" w:cstheme="majorBidi"/>
          <w:bCs/>
          <w:i/>
          <w:iCs/>
        </w:rPr>
        <w:t xml:space="preserve"> t </w:t>
      </w:r>
      <m:oMath>
        <m:r>
          <m:rPr>
            <m:sty m:val="p"/>
          </m:rPr>
          <w:rPr>
            <w:rFonts w:ascii="Cambria Math" w:hAnsi="Cambria Math" w:cstheme="majorBidi"/>
          </w:rPr>
          <m:t>∈</m:t>
        </m:r>
      </m:oMath>
      <w:r w:rsidRPr="00B970ED">
        <w:rPr>
          <w:rFonts w:asciiTheme="majorBidi" w:hAnsiTheme="majorBidi" w:cstheme="majorBidi"/>
          <w:bCs/>
        </w:rPr>
        <w:t>[-</w:t>
      </w:r>
      <w:r>
        <w:rPr>
          <w:rFonts w:asciiTheme="majorBidi" w:hAnsiTheme="majorBidi" w:cstheme="majorBidi"/>
          <w:bCs/>
        </w:rPr>
        <w:t>215</w:t>
      </w:r>
      <w:r w:rsidRPr="00B970ED">
        <w:rPr>
          <w:rFonts w:asciiTheme="majorBidi" w:hAnsiTheme="majorBidi" w:cstheme="majorBidi"/>
          <w:bCs/>
        </w:rPr>
        <w:t>,-</w:t>
      </w:r>
      <w:r>
        <w:rPr>
          <w:rFonts w:asciiTheme="majorBidi" w:hAnsiTheme="majorBidi" w:cstheme="majorBidi"/>
          <w:bCs/>
        </w:rPr>
        <w:t>16</w:t>
      </w:r>
      <w:r w:rsidRPr="00B970ED">
        <w:rPr>
          <w:rFonts w:asciiTheme="majorBidi" w:hAnsiTheme="majorBidi" w:cstheme="majorBidi"/>
          <w:bCs/>
        </w:rPr>
        <w:t>],</w:t>
      </w:r>
      <w:r w:rsidRPr="00B970ED">
        <w:rPr>
          <w:rFonts w:asciiTheme="majorBidi" w:hAnsiTheme="majorBidi" w:cstheme="majorBidi"/>
          <w:bCs/>
          <w:i/>
          <w:iCs/>
        </w:rPr>
        <w:t xml:space="preserve">  i</w:t>
      </w:r>
      <w:r w:rsidRPr="00B970ED">
        <w:rPr>
          <w:rFonts w:asciiTheme="majorBidi" w:hAnsiTheme="majorBidi" w:cstheme="majorBidi"/>
          <w:bCs/>
        </w:rPr>
        <w:t xml:space="preserve">= 1, 2, …., </w:t>
      </w:r>
      <w:r>
        <w:rPr>
          <w:rFonts w:asciiTheme="majorBidi" w:hAnsiTheme="majorBidi" w:cstheme="majorBidi"/>
          <w:bCs/>
        </w:rPr>
        <w:t>112</w:t>
      </w:r>
    </w:p>
    <w:p w14:paraId="06452289" w14:textId="3D5AF49B" w:rsidR="00D64D13" w:rsidRPr="00D64D13" w:rsidRDefault="008F7EA5" w:rsidP="00D64D13">
      <w:pPr>
        <w:bidi w:val="0"/>
        <w:spacing w:line="480" w:lineRule="auto"/>
        <w:jc w:val="both"/>
        <w:rPr>
          <w:rFonts w:eastAsia="Calibri"/>
          <w:kern w:val="0"/>
          <w14:ligatures w14:val="none"/>
        </w:rPr>
      </w:pPr>
      <w:r w:rsidRPr="008F7EA5">
        <w:rPr>
          <w:rFonts w:eastAsia="Calibri"/>
          <w:kern w:val="0"/>
          <w14:ligatures w14:val="none"/>
        </w:rPr>
        <w:t>Subsequently, the abnormal return (</w:t>
      </w:r>
      <w:r w:rsidRPr="00B970ED">
        <w:rPr>
          <w:i/>
          <w:iCs/>
        </w:rPr>
        <w:t>AR</w:t>
      </w:r>
      <w:r w:rsidRPr="00B970ED">
        <w:rPr>
          <w:i/>
          <w:iCs/>
          <w:vertAlign w:val="subscript"/>
        </w:rPr>
        <w:t>it</w:t>
      </w:r>
      <w:r w:rsidRPr="00B970ED">
        <w:t>,</w:t>
      </w:r>
      <w:r w:rsidRPr="008F7EA5">
        <w:rPr>
          <w:rFonts w:eastAsia="Calibri"/>
          <w:kern w:val="0"/>
          <w14:ligatures w14:val="none"/>
        </w:rPr>
        <w:t>) was computed as the difference between the realized return and the expected return for event i on day t.</w:t>
      </w:r>
    </w:p>
    <w:p w14:paraId="76D03535" w14:textId="42A668AC" w:rsidR="008F7EA5" w:rsidRPr="00B970ED" w:rsidRDefault="00000000" w:rsidP="008F7EA5">
      <w:pPr>
        <w:pStyle w:val="a3"/>
        <w:numPr>
          <w:ilvl w:val="0"/>
          <w:numId w:val="2"/>
        </w:numPr>
        <w:bidi w:val="0"/>
        <w:spacing w:after="200" w:line="480" w:lineRule="auto"/>
        <w:ind w:left="284"/>
        <w:jc w:val="both"/>
        <w:rPr>
          <w:rFonts w:asciiTheme="majorBidi" w:hAnsiTheme="majorBidi" w:cstheme="majorBidi"/>
          <w:bCs/>
        </w:rPr>
      </w:pPr>
      <m:oMath>
        <m:sSub>
          <m:sSubPr>
            <m:ctrlPr>
              <w:rPr>
                <w:rFonts w:ascii="Cambria Math" w:hAnsi="Cambria Math"/>
                <w:i/>
              </w:rPr>
            </m:ctrlPr>
          </m:sSubPr>
          <m:e>
            <m:r>
              <w:rPr>
                <w:rFonts w:ascii="Cambria Math" w:hAnsi="Cambria Math"/>
              </w:rPr>
              <m:t xml:space="preserve"> AR</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it</m:t>
            </m:r>
          </m:sub>
        </m:sSub>
        <m:r>
          <w:rPr>
            <w:rFonts w:ascii="Cambria Math" w:hAnsi="Cambria Math"/>
          </w:rPr>
          <m:t>-</m:t>
        </m:r>
        <m:r>
          <w:rPr>
            <w:rFonts w:ascii="Cambria Math" w:hAnsi="Cambria Math" w:cstheme="majorBidi"/>
          </w:rPr>
          <m:t>E(</m:t>
        </m:r>
        <m:sSub>
          <m:sSubPr>
            <m:ctrlPr>
              <w:rPr>
                <w:rFonts w:ascii="Cambria Math" w:hAnsi="Cambria Math" w:cstheme="majorBidi"/>
                <w:i/>
              </w:rPr>
            </m:ctrlPr>
          </m:sSubPr>
          <m:e>
            <m:r>
              <w:rPr>
                <w:rFonts w:ascii="Cambria Math" w:hAnsi="Cambria Math" w:cstheme="majorBidi"/>
              </w:rPr>
              <m:t>R</m:t>
            </m:r>
          </m:e>
          <m:sub>
            <m:r>
              <w:rPr>
                <w:rFonts w:ascii="Cambria Math" w:hAnsi="Cambria Math" w:cstheme="majorBidi"/>
              </w:rPr>
              <m:t>it</m:t>
            </m:r>
          </m:sub>
        </m:sSub>
        <m:d>
          <m:dPr>
            <m:begChr m:val="|"/>
            <m:endChr m:val=""/>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I</m:t>
                </m:r>
              </m:e>
              <m:sub>
                <m:r>
                  <w:rPr>
                    <w:rFonts w:ascii="Cambria Math" w:hAnsi="Cambria Math" w:cstheme="majorBidi"/>
                  </w:rPr>
                  <m:t>t</m:t>
                </m:r>
              </m:sub>
            </m:sSub>
          </m:e>
        </m:d>
        <m:r>
          <w:rPr>
            <w:rFonts w:ascii="Cambria Math" w:hAnsi="Cambria Math" w:cstheme="majorBidi"/>
          </w:rPr>
          <m:t>)</m:t>
        </m:r>
      </m:oMath>
      <w:r w:rsidR="008F7EA5" w:rsidRPr="00B970ED">
        <w:rPr>
          <w:rFonts w:asciiTheme="majorBidi" w:hAnsiTheme="majorBidi" w:cstheme="majorBidi"/>
          <w:bCs/>
        </w:rPr>
        <w:t xml:space="preserve"> , </w:t>
      </w:r>
      <w:r w:rsidR="008F7EA5" w:rsidRPr="00B970ED">
        <w:rPr>
          <w:rFonts w:asciiTheme="majorBidi" w:hAnsiTheme="majorBidi" w:cstheme="majorBidi"/>
          <w:bCs/>
          <w:i/>
          <w:iCs/>
        </w:rPr>
        <w:t xml:space="preserve"> t </w:t>
      </w:r>
      <m:oMath>
        <m:r>
          <m:rPr>
            <m:sty m:val="p"/>
          </m:rPr>
          <w:rPr>
            <w:rFonts w:ascii="Cambria Math" w:hAnsi="Cambria Math" w:cstheme="majorBidi"/>
          </w:rPr>
          <m:t>∈</m:t>
        </m:r>
      </m:oMath>
      <w:r w:rsidR="008F7EA5" w:rsidRPr="00B970ED">
        <w:rPr>
          <w:rFonts w:asciiTheme="majorBidi" w:hAnsiTheme="majorBidi" w:cstheme="majorBidi"/>
          <w:bCs/>
        </w:rPr>
        <w:t>[-</w:t>
      </w:r>
      <w:r w:rsidR="008F7EA5">
        <w:rPr>
          <w:rFonts w:asciiTheme="majorBidi" w:hAnsiTheme="majorBidi" w:cstheme="majorBidi"/>
          <w:bCs/>
        </w:rPr>
        <w:t>215</w:t>
      </w:r>
      <w:r w:rsidR="008F7EA5" w:rsidRPr="00B970ED">
        <w:rPr>
          <w:rFonts w:asciiTheme="majorBidi" w:hAnsiTheme="majorBidi" w:cstheme="majorBidi"/>
          <w:bCs/>
        </w:rPr>
        <w:t>,-</w:t>
      </w:r>
      <w:r w:rsidR="008F7EA5">
        <w:rPr>
          <w:rFonts w:asciiTheme="majorBidi" w:hAnsiTheme="majorBidi" w:cstheme="majorBidi"/>
          <w:bCs/>
        </w:rPr>
        <w:t>16</w:t>
      </w:r>
      <w:r w:rsidR="008F7EA5" w:rsidRPr="00B970ED">
        <w:rPr>
          <w:rFonts w:asciiTheme="majorBidi" w:hAnsiTheme="majorBidi" w:cstheme="majorBidi"/>
          <w:bCs/>
        </w:rPr>
        <w:t>],</w:t>
      </w:r>
      <w:r w:rsidR="008F7EA5" w:rsidRPr="00B970ED">
        <w:rPr>
          <w:rFonts w:asciiTheme="majorBidi" w:hAnsiTheme="majorBidi" w:cstheme="majorBidi"/>
          <w:bCs/>
          <w:i/>
          <w:iCs/>
        </w:rPr>
        <w:t xml:space="preserve">  i</w:t>
      </w:r>
      <w:r w:rsidR="008F7EA5" w:rsidRPr="00B970ED">
        <w:rPr>
          <w:rFonts w:asciiTheme="majorBidi" w:hAnsiTheme="majorBidi" w:cstheme="majorBidi"/>
          <w:bCs/>
        </w:rPr>
        <w:t xml:space="preserve">= 1, 2, …., </w:t>
      </w:r>
      <w:r w:rsidR="008F7EA5">
        <w:rPr>
          <w:rFonts w:asciiTheme="majorBidi" w:hAnsiTheme="majorBidi" w:cstheme="majorBidi"/>
          <w:bCs/>
        </w:rPr>
        <w:t>112</w:t>
      </w:r>
    </w:p>
    <w:p w14:paraId="663CE2A4" w14:textId="37153C68" w:rsidR="007B562A" w:rsidRDefault="007B562A" w:rsidP="007B562A">
      <w:pPr>
        <w:bidi w:val="0"/>
        <w:spacing w:line="480" w:lineRule="auto"/>
        <w:jc w:val="both"/>
      </w:pPr>
      <w:r w:rsidRPr="007B562A">
        <w:t xml:space="preserve">The cumulative abnormal return for a given event i on a specific day t </w:t>
      </w:r>
      <w:r w:rsidRPr="00B970ED">
        <w:rPr>
          <w:bCs/>
        </w:rPr>
        <w:t>(</w:t>
      </w:r>
      <w:r w:rsidRPr="00B970ED">
        <w:rPr>
          <w:bCs/>
          <w:i/>
          <w:iCs/>
        </w:rPr>
        <w:t>CAR</w:t>
      </w:r>
      <w:r w:rsidRPr="00B970ED">
        <w:rPr>
          <w:bCs/>
          <w:i/>
          <w:iCs/>
          <w:vertAlign w:val="subscript"/>
        </w:rPr>
        <w:t>it</w:t>
      </w:r>
      <w:r w:rsidRPr="00B970ED">
        <w:rPr>
          <w:bCs/>
        </w:rPr>
        <w:t>)</w:t>
      </w:r>
      <w:r w:rsidRPr="00B970ED">
        <w:t xml:space="preserve"> </w:t>
      </w:r>
      <w:r w:rsidRPr="007B562A">
        <w:t>is a metric that assesses the aggregate impact of said event over a defined time interval</w:t>
      </w:r>
      <w:r w:rsidRPr="00B970ED">
        <w:t xml:space="preserve">, </w:t>
      </w:r>
      <w:r w:rsidRPr="00585224">
        <w:rPr>
          <w:rFonts w:asciiTheme="majorBidi" w:hAnsiTheme="majorBidi" w:cstheme="majorBidi"/>
          <w:bCs/>
          <w:i/>
          <w:iCs/>
        </w:rPr>
        <w:t>t</w:t>
      </w:r>
      <m:oMath>
        <m:r>
          <m:rPr>
            <m:sty m:val="p"/>
          </m:rPr>
          <w:rPr>
            <w:rFonts w:ascii="Cambria Math" w:hAnsi="Cambria Math" w:cstheme="majorBidi"/>
          </w:rPr>
          <m:t>∈</m:t>
        </m:r>
      </m:oMath>
      <w:r w:rsidRPr="00585224">
        <w:rPr>
          <w:rFonts w:asciiTheme="majorBidi" w:hAnsiTheme="majorBidi" w:cstheme="majorBidi"/>
          <w:bCs/>
        </w:rPr>
        <w:t>[t</w:t>
      </w:r>
      <w:r w:rsidRPr="00585224">
        <w:rPr>
          <w:rFonts w:asciiTheme="majorBidi" w:hAnsiTheme="majorBidi" w:cstheme="majorBidi"/>
          <w:bCs/>
          <w:vertAlign w:val="subscript"/>
        </w:rPr>
        <w:t>1</w:t>
      </w:r>
      <w:r w:rsidRPr="00585224">
        <w:rPr>
          <w:rFonts w:asciiTheme="majorBidi" w:hAnsiTheme="majorBidi" w:cstheme="majorBidi"/>
          <w:bCs/>
        </w:rPr>
        <w:t>,t</w:t>
      </w:r>
      <w:r w:rsidRPr="00585224">
        <w:rPr>
          <w:rFonts w:asciiTheme="majorBidi" w:hAnsiTheme="majorBidi" w:cstheme="majorBidi"/>
          <w:bCs/>
          <w:vertAlign w:val="subscript"/>
        </w:rPr>
        <w:t>2</w:t>
      </w:r>
      <w:r w:rsidRPr="00585224">
        <w:rPr>
          <w:rFonts w:asciiTheme="majorBidi" w:hAnsiTheme="majorBidi" w:cstheme="majorBidi"/>
          <w:bCs/>
        </w:rPr>
        <w:t>]</w:t>
      </w:r>
      <w:r w:rsidRPr="00B970ED">
        <w:rPr>
          <w:bCs/>
        </w:rPr>
        <w:t xml:space="preserve">. </w:t>
      </w:r>
    </w:p>
    <w:p w14:paraId="48CF8ACA" w14:textId="50C273DD" w:rsidR="007B562A" w:rsidRPr="00585224" w:rsidRDefault="007B562A" w:rsidP="00585224">
      <w:pPr>
        <w:pStyle w:val="a3"/>
        <w:numPr>
          <w:ilvl w:val="0"/>
          <w:numId w:val="2"/>
        </w:numPr>
        <w:bidi w:val="0"/>
        <w:spacing w:line="480" w:lineRule="auto"/>
        <w:ind w:left="284"/>
        <w:jc w:val="both"/>
        <w:rPr>
          <w:rFonts w:asciiTheme="majorBidi" w:hAnsiTheme="majorBidi" w:cstheme="majorBidi"/>
          <w:bCs/>
        </w:rPr>
      </w:pPr>
      <m:oMath>
        <m:r>
          <w:rPr>
            <w:rFonts w:ascii="Cambria Math" w:hAnsi="Cambria Math" w:cstheme="majorBidi"/>
          </w:rPr>
          <m:t>CA</m:t>
        </m:r>
        <m:sSub>
          <m:sSubPr>
            <m:ctrlPr>
              <w:rPr>
                <w:rFonts w:ascii="Cambria Math" w:hAnsi="Cambria Math" w:cstheme="majorBidi"/>
                <w:i/>
              </w:rPr>
            </m:ctrlPr>
          </m:sSubPr>
          <m:e>
            <m:r>
              <w:rPr>
                <w:rFonts w:ascii="Cambria Math" w:hAnsi="Cambria Math" w:cstheme="majorBidi"/>
              </w:rPr>
              <m:t>R</m:t>
            </m:r>
          </m:e>
          <m:sub>
            <m:r>
              <w:rPr>
                <w:rFonts w:ascii="Cambria Math" w:hAnsi="Cambria Math" w:cstheme="majorBidi"/>
              </w:rPr>
              <m:t>i,</m:t>
            </m:r>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1</m:t>
                </m:r>
              </m:sub>
            </m:sSub>
            <m:r>
              <w:rPr>
                <w:rFonts w:ascii="Cambria Math" w:eastAsia="SimSun" w:hAnsi="Cambria Math"/>
                <w:color w:val="000000"/>
                <w:lang w:eastAsia="he-IL" w:bidi="ar-SA"/>
              </w:rPr>
              <m:t>,</m:t>
            </m:r>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2</m:t>
                </m:r>
              </m:sub>
            </m:sSub>
          </m:sub>
        </m:sSub>
        <m:r>
          <w:rPr>
            <w:rFonts w:ascii="Cambria Math" w:hAnsi="Cambria Math" w:cstheme="majorBidi"/>
          </w:rPr>
          <m:t>=</m:t>
        </m:r>
        <m:nary>
          <m:naryPr>
            <m:chr m:val="∑"/>
            <m:ctrlPr>
              <w:rPr>
                <w:rFonts w:ascii="Cambria Math" w:hAnsi="Cambria Math" w:cstheme="majorBidi"/>
                <w:i/>
              </w:rPr>
            </m:ctrlPr>
          </m:naryPr>
          <m:sub>
            <m:r>
              <w:rPr>
                <w:rFonts w:ascii="Cambria Math" w:hAnsi="Cambria Math" w:cstheme="majorBidi"/>
              </w:rPr>
              <m:t>t=</m:t>
            </m:r>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1</m:t>
                </m:r>
              </m:sub>
            </m:sSub>
          </m:sub>
          <m:sup>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2</m:t>
                </m:r>
              </m:sub>
            </m:sSub>
          </m:sup>
          <m:e>
            <m:r>
              <w:rPr>
                <w:rFonts w:ascii="Cambria Math" w:hAnsi="Cambria Math" w:cstheme="majorBidi"/>
              </w:rPr>
              <m:t>A</m:t>
            </m:r>
            <m:sSub>
              <m:sSubPr>
                <m:ctrlPr>
                  <w:rPr>
                    <w:rFonts w:ascii="Cambria Math" w:hAnsi="Cambria Math" w:cstheme="majorBidi"/>
                    <w:i/>
                  </w:rPr>
                </m:ctrlPr>
              </m:sSubPr>
              <m:e>
                <m:r>
                  <w:rPr>
                    <w:rFonts w:ascii="Cambria Math" w:hAnsi="Cambria Math" w:cstheme="majorBidi"/>
                  </w:rPr>
                  <m:t>R</m:t>
                </m:r>
              </m:e>
              <m:sub>
                <m:r>
                  <w:rPr>
                    <w:rFonts w:ascii="Cambria Math" w:hAnsi="Cambria Math" w:cstheme="majorBidi"/>
                  </w:rPr>
                  <m:t>it</m:t>
                </m:r>
              </m:sub>
            </m:sSub>
          </m:e>
        </m:nary>
      </m:oMath>
      <w:r w:rsidRPr="00585224">
        <w:rPr>
          <w:rFonts w:asciiTheme="majorBidi" w:hAnsiTheme="majorBidi" w:cstheme="majorBidi"/>
        </w:rPr>
        <w:t xml:space="preserve">, </w:t>
      </w:r>
      <w:r w:rsidRPr="00585224">
        <w:rPr>
          <w:rFonts w:asciiTheme="majorBidi" w:hAnsiTheme="majorBidi" w:cstheme="majorBidi"/>
          <w:bCs/>
          <w:i/>
          <w:iCs/>
        </w:rPr>
        <w:t xml:space="preserve">t </w:t>
      </w:r>
      <m:oMath>
        <m:r>
          <m:rPr>
            <m:sty m:val="p"/>
          </m:rPr>
          <w:rPr>
            <w:rFonts w:ascii="Cambria Math" w:hAnsi="Cambria Math" w:cstheme="majorBidi"/>
          </w:rPr>
          <m:t>∈</m:t>
        </m:r>
      </m:oMath>
      <w:r w:rsidRPr="00585224">
        <w:rPr>
          <w:rFonts w:asciiTheme="majorBidi" w:hAnsiTheme="majorBidi" w:cstheme="majorBidi"/>
          <w:bCs/>
        </w:rPr>
        <w:t>[t</w:t>
      </w:r>
      <w:r w:rsidRPr="00585224">
        <w:rPr>
          <w:rFonts w:asciiTheme="majorBidi" w:hAnsiTheme="majorBidi" w:cstheme="majorBidi"/>
          <w:bCs/>
          <w:vertAlign w:val="subscript"/>
        </w:rPr>
        <w:t>1</w:t>
      </w:r>
      <w:r w:rsidRPr="00585224">
        <w:rPr>
          <w:rFonts w:asciiTheme="majorBidi" w:hAnsiTheme="majorBidi" w:cstheme="majorBidi"/>
          <w:bCs/>
        </w:rPr>
        <w:t>,t</w:t>
      </w:r>
      <w:r w:rsidRPr="00585224">
        <w:rPr>
          <w:rFonts w:asciiTheme="majorBidi" w:hAnsiTheme="majorBidi" w:cstheme="majorBidi"/>
          <w:bCs/>
          <w:vertAlign w:val="subscript"/>
        </w:rPr>
        <w:t>2</w:t>
      </w:r>
      <w:r w:rsidRPr="00585224">
        <w:rPr>
          <w:rFonts w:asciiTheme="majorBidi" w:hAnsiTheme="majorBidi" w:cstheme="majorBidi"/>
          <w:bCs/>
        </w:rPr>
        <w:t>]</w:t>
      </w:r>
    </w:p>
    <w:p w14:paraId="6455ED82" w14:textId="34E51B34" w:rsidR="00D64D13" w:rsidRDefault="00585224" w:rsidP="00D64D13">
      <w:pPr>
        <w:bidi w:val="0"/>
        <w:spacing w:line="480" w:lineRule="auto"/>
        <w:jc w:val="both"/>
      </w:pPr>
      <w:r w:rsidRPr="00585224">
        <w:t>Furthermore, the cumulative average abnormal returns (CAAR) over the event window were computed and denoted by</w:t>
      </w:r>
      <w:r>
        <w:t xml:space="preserve"> </w:t>
      </w:r>
      <m:oMath>
        <m:sSub>
          <m:sSubPr>
            <m:ctrlPr>
              <w:rPr>
                <w:rFonts w:ascii="Cambria Math" w:eastAsia="SimSun" w:hAnsi="Cambria Math"/>
                <w:color w:val="000000"/>
                <w:kern w:val="0"/>
                <w:lang w:eastAsia="he-IL" w:bidi="ar-SA"/>
                <w14:ligatures w14:val="none"/>
              </w:rPr>
            </m:ctrlPr>
          </m:sSubPr>
          <m:e>
            <m:r>
              <w:rPr>
                <w:rFonts w:ascii="Cambria Math" w:eastAsia="SimSun" w:hAnsi="Cambria Math"/>
                <w:color w:val="000000"/>
                <w:kern w:val="0"/>
                <w:lang w:eastAsia="he-IL" w:bidi="ar-SA"/>
                <w14:ligatures w14:val="none"/>
              </w:rPr>
              <m:t>CAAR</m:t>
            </m:r>
          </m:e>
          <m:sub>
            <m:sSub>
              <m:sSubPr>
                <m:ctrlPr>
                  <w:rPr>
                    <w:rFonts w:ascii="Cambria Math" w:eastAsia="Calibri" w:hAnsi="Cambria Math"/>
                    <w:i/>
                    <w:kern w:val="0"/>
                    <w14:ligatures w14:val="none"/>
                  </w:rPr>
                </m:ctrlPr>
              </m:sSubPr>
              <m:e>
                <m:r>
                  <w:rPr>
                    <w:rFonts w:ascii="Cambria Math" w:eastAsia="Calibri" w:hAnsi="Cambria Math"/>
                    <w:kern w:val="0"/>
                    <w14:ligatures w14:val="none"/>
                  </w:rPr>
                  <m:t>t</m:t>
                </m:r>
              </m:e>
              <m:sub>
                <m:r>
                  <w:rPr>
                    <w:rFonts w:ascii="Cambria Math" w:eastAsia="Calibri" w:hAnsi="Cambria Math"/>
                    <w:kern w:val="0"/>
                    <w14:ligatures w14:val="none"/>
                  </w:rPr>
                  <m:t>1</m:t>
                </m:r>
              </m:sub>
            </m:sSub>
            <m:r>
              <w:rPr>
                <w:rFonts w:ascii="Cambria Math" w:eastAsia="SimSun" w:hAnsi="Cambria Math"/>
                <w:color w:val="000000"/>
                <w:kern w:val="0"/>
                <w:lang w:eastAsia="he-IL" w:bidi="ar-SA"/>
                <w14:ligatures w14:val="none"/>
              </w:rPr>
              <m:t>,</m:t>
            </m:r>
            <m:sSub>
              <m:sSubPr>
                <m:ctrlPr>
                  <w:rPr>
                    <w:rFonts w:ascii="Cambria Math" w:eastAsia="Calibri" w:hAnsi="Cambria Math"/>
                    <w:i/>
                    <w:kern w:val="0"/>
                    <w14:ligatures w14:val="none"/>
                  </w:rPr>
                </m:ctrlPr>
              </m:sSubPr>
              <m:e>
                <m:r>
                  <w:rPr>
                    <w:rFonts w:ascii="Cambria Math" w:eastAsia="Calibri" w:hAnsi="Cambria Math"/>
                    <w:kern w:val="0"/>
                    <w14:ligatures w14:val="none"/>
                  </w:rPr>
                  <m:t>t</m:t>
                </m:r>
              </m:e>
              <m:sub>
                <m:r>
                  <w:rPr>
                    <w:rFonts w:ascii="Cambria Math" w:eastAsia="Calibri" w:hAnsi="Cambria Math"/>
                    <w:kern w:val="0"/>
                    <w14:ligatures w14:val="none"/>
                  </w:rPr>
                  <m:t>2</m:t>
                </m:r>
              </m:sub>
            </m:sSub>
          </m:sub>
        </m:sSub>
      </m:oMath>
      <w:r>
        <w:rPr>
          <w:rFonts w:eastAsiaTheme="minorEastAsia"/>
        </w:rPr>
        <w:t>.</w:t>
      </w:r>
    </w:p>
    <w:p w14:paraId="6309F74C" w14:textId="77777777" w:rsidR="00585224" w:rsidRPr="00B970ED" w:rsidRDefault="00585224" w:rsidP="00585224">
      <w:pPr>
        <w:pStyle w:val="a3"/>
        <w:numPr>
          <w:ilvl w:val="0"/>
          <w:numId w:val="2"/>
        </w:numPr>
        <w:tabs>
          <w:tab w:val="left" w:pos="426"/>
          <w:tab w:val="right" w:pos="9000"/>
        </w:tabs>
        <w:bidi w:val="0"/>
        <w:spacing w:after="0" w:line="480" w:lineRule="auto"/>
        <w:ind w:left="284"/>
        <w:rPr>
          <w:rFonts w:asciiTheme="majorBidi" w:eastAsia="Times New Roman" w:hAnsiTheme="majorBidi" w:cstheme="majorBidi"/>
        </w:rPr>
      </w:pPr>
      <m:oMath>
        <m:r>
          <w:rPr>
            <w:rFonts w:ascii="Cambria Math" w:hAnsi="Cambria Math" w:cstheme="majorBidi"/>
          </w:rPr>
          <m:t>CAA</m:t>
        </m:r>
        <m:sSub>
          <m:sSubPr>
            <m:ctrlPr>
              <w:rPr>
                <w:rFonts w:ascii="Cambria Math" w:hAnsi="Cambria Math" w:cstheme="majorBidi"/>
                <w:i/>
              </w:rPr>
            </m:ctrlPr>
          </m:sSubPr>
          <m:e>
            <m:r>
              <w:rPr>
                <w:rFonts w:ascii="Cambria Math" w:hAnsi="Cambria Math" w:cstheme="majorBidi"/>
              </w:rPr>
              <m:t>R</m:t>
            </m:r>
          </m:e>
          <m:sub>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1</m:t>
                </m:r>
              </m:sub>
            </m:sSub>
            <m:r>
              <w:rPr>
                <w:rFonts w:ascii="Cambria Math" w:eastAsia="SimSun" w:hAnsi="Cambria Math"/>
                <w:color w:val="000000"/>
                <w:lang w:eastAsia="he-IL" w:bidi="ar-SA"/>
              </w:rPr>
              <m:t>,</m:t>
            </m:r>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2</m:t>
                </m:r>
              </m:sub>
            </m:sSub>
          </m:sub>
        </m:sSub>
        <m:r>
          <w:rPr>
            <w:rFonts w:ascii="Cambria Math" w:hAnsi="Cambria Math" w:cstheme="majorBidi"/>
          </w:rPr>
          <m:t>=</m:t>
        </m:r>
        <m:f>
          <m:fPr>
            <m:ctrlPr>
              <w:rPr>
                <w:rFonts w:ascii="Cambria Math" w:hAnsi="Cambria Math" w:cstheme="majorBidi"/>
                <w:i/>
              </w:rPr>
            </m:ctrlPr>
          </m:fPr>
          <m:num>
            <m:nary>
              <m:naryPr>
                <m:chr m:val="∑"/>
                <m:ctrlPr>
                  <w:rPr>
                    <w:rFonts w:ascii="Cambria Math" w:hAnsi="Cambria Math" w:cstheme="majorBidi"/>
                    <w:i/>
                  </w:rPr>
                </m:ctrlPr>
              </m:naryPr>
              <m:sub>
                <m:r>
                  <w:rPr>
                    <w:rFonts w:ascii="Cambria Math" w:hAnsi="Cambria Math" w:cstheme="majorBidi"/>
                  </w:rPr>
                  <m:t>i=1</m:t>
                </m:r>
              </m:sub>
              <m:sup>
                <m:r>
                  <w:rPr>
                    <w:rFonts w:ascii="Cambria Math" w:hAnsi="Cambria Math" w:cstheme="majorBidi"/>
                  </w:rPr>
                  <m:t>N</m:t>
                </m:r>
              </m:sup>
              <m:e>
                <m:r>
                  <w:rPr>
                    <w:rFonts w:ascii="Cambria Math" w:hAnsi="Cambria Math" w:cstheme="majorBidi"/>
                  </w:rPr>
                  <m:t>CA</m:t>
                </m:r>
                <m:sSub>
                  <m:sSubPr>
                    <m:ctrlPr>
                      <w:rPr>
                        <w:rFonts w:ascii="Cambria Math" w:hAnsi="Cambria Math" w:cstheme="majorBidi"/>
                        <w:i/>
                      </w:rPr>
                    </m:ctrlPr>
                  </m:sSubPr>
                  <m:e>
                    <m:r>
                      <w:rPr>
                        <w:rFonts w:ascii="Cambria Math" w:hAnsi="Cambria Math" w:cstheme="majorBidi"/>
                      </w:rPr>
                      <m:t>e</m:t>
                    </m:r>
                  </m:e>
                  <m:sub>
                    <m:r>
                      <w:rPr>
                        <w:rFonts w:ascii="Cambria Math" w:hAnsi="Cambria Math" w:cstheme="majorBidi"/>
                      </w:rPr>
                      <m:t>it</m:t>
                    </m:r>
                  </m:sub>
                </m:sSub>
              </m:e>
            </m:nary>
          </m:num>
          <m:den>
            <m:r>
              <w:rPr>
                <w:rFonts w:ascii="Cambria Math" w:hAnsi="Cambria Math" w:cstheme="majorBidi"/>
              </w:rPr>
              <m:t>N</m:t>
            </m:r>
          </m:den>
        </m:f>
      </m:oMath>
      <w:r w:rsidRPr="00B970ED">
        <w:rPr>
          <w:rFonts w:asciiTheme="majorBidi" w:eastAsia="Times New Roman" w:hAnsiTheme="majorBidi" w:cstheme="majorBidi"/>
        </w:rPr>
        <w:t xml:space="preserve"> </w:t>
      </w:r>
    </w:p>
    <w:p w14:paraId="51AA9C7F" w14:textId="19EBCDE0" w:rsidR="00D64D13" w:rsidRDefault="00705738" w:rsidP="00D64D13">
      <w:pPr>
        <w:bidi w:val="0"/>
        <w:spacing w:line="480" w:lineRule="auto"/>
        <w:jc w:val="both"/>
      </w:pPr>
      <w:r w:rsidRPr="00705738">
        <w:t>Upon computing the abnormal returns and cumulative abnormal returns, the statistical significance of their values was tested through the utilization of a combination of three parametric and two non-parametric tests, as presented in Table 2. Parametric tests are grounded on certain assumptions regarding the data distribution within an event study framework. Conversely, non-parametric tests, commonly referred to as distribution-free tests, are statistical techniques that do not rely on any presumptions concerning the data distribution, and rather evaluate the significance based on rankings.</w:t>
      </w:r>
    </w:p>
    <w:p w14:paraId="783EF9C2" w14:textId="7A175E39" w:rsidR="00D64D13" w:rsidRPr="00E25FAB" w:rsidRDefault="00E25FAB" w:rsidP="00E25FAB">
      <w:pPr>
        <w:bidi w:val="0"/>
        <w:spacing w:line="240" w:lineRule="auto"/>
        <w:jc w:val="both"/>
        <w:rPr>
          <w:b/>
          <w:bCs/>
          <w:sz w:val="20"/>
          <w:szCs w:val="20"/>
        </w:rPr>
      </w:pPr>
      <w:r w:rsidRPr="00E25FAB">
        <w:rPr>
          <w:b/>
          <w:bCs/>
          <w:sz w:val="20"/>
          <w:szCs w:val="20"/>
        </w:rPr>
        <w:t>Table 2</w:t>
      </w:r>
    </w:p>
    <w:p w14:paraId="3A9BFD89" w14:textId="79BBE4EF" w:rsidR="00E25FAB" w:rsidRPr="00E25FAB" w:rsidRDefault="008B35E3" w:rsidP="00E25FAB">
      <w:pPr>
        <w:bidi w:val="0"/>
        <w:spacing w:line="240" w:lineRule="auto"/>
        <w:jc w:val="both"/>
        <w:rPr>
          <w:sz w:val="20"/>
          <w:szCs w:val="20"/>
        </w:rPr>
      </w:pPr>
      <w:r w:rsidRPr="008B35E3">
        <w:rPr>
          <w:sz w:val="20"/>
          <w:szCs w:val="20"/>
        </w:rPr>
        <w:t>The statistical analyses employed in the</w:t>
      </w:r>
      <w:r>
        <w:rPr>
          <w:sz w:val="20"/>
          <w:szCs w:val="20"/>
        </w:rPr>
        <w:t xml:space="preserve"> study</w:t>
      </w:r>
    </w:p>
    <w:tbl>
      <w:tblPr>
        <w:tblW w:w="8040" w:type="dxa"/>
        <w:tblLook w:val="04A0" w:firstRow="1" w:lastRow="0" w:firstColumn="1" w:lastColumn="0" w:noHBand="0" w:noVBand="1"/>
      </w:tblPr>
      <w:tblGrid>
        <w:gridCol w:w="1460"/>
        <w:gridCol w:w="6580"/>
      </w:tblGrid>
      <w:tr w:rsidR="005115B7" w:rsidRPr="005115B7" w14:paraId="79F3F1B4" w14:textId="77777777" w:rsidTr="005115B7">
        <w:trPr>
          <w:trHeight w:val="330"/>
        </w:trPr>
        <w:tc>
          <w:tcPr>
            <w:tcW w:w="1460" w:type="dxa"/>
            <w:tcBorders>
              <w:top w:val="single" w:sz="4" w:space="0" w:color="auto"/>
              <w:left w:val="nil"/>
              <w:bottom w:val="single" w:sz="4" w:space="0" w:color="auto"/>
              <w:right w:val="nil"/>
            </w:tcBorders>
            <w:shd w:val="clear" w:color="auto" w:fill="auto"/>
            <w:noWrap/>
            <w:vAlign w:val="center"/>
            <w:hideMark/>
          </w:tcPr>
          <w:p w14:paraId="7E50DD69"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 xml:space="preserve">Statistical Test </w:t>
            </w:r>
          </w:p>
        </w:tc>
        <w:tc>
          <w:tcPr>
            <w:tcW w:w="6580" w:type="dxa"/>
            <w:tcBorders>
              <w:top w:val="single" w:sz="4" w:space="0" w:color="auto"/>
              <w:left w:val="nil"/>
              <w:bottom w:val="single" w:sz="4" w:space="0" w:color="auto"/>
              <w:right w:val="nil"/>
            </w:tcBorders>
            <w:shd w:val="clear" w:color="auto" w:fill="auto"/>
            <w:noWrap/>
            <w:vAlign w:val="center"/>
            <w:hideMark/>
          </w:tcPr>
          <w:p w14:paraId="7F4AF708"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Assumptions</w:t>
            </w:r>
          </w:p>
        </w:tc>
      </w:tr>
      <w:tr w:rsidR="005115B7" w:rsidRPr="005115B7" w14:paraId="0D3FE78F" w14:textId="77777777" w:rsidTr="00D04EBA">
        <w:trPr>
          <w:trHeight w:val="345"/>
        </w:trPr>
        <w:tc>
          <w:tcPr>
            <w:tcW w:w="8040" w:type="dxa"/>
            <w:gridSpan w:val="2"/>
            <w:tcBorders>
              <w:top w:val="single" w:sz="4" w:space="0" w:color="auto"/>
              <w:left w:val="nil"/>
              <w:bottom w:val="nil"/>
              <w:right w:val="nil"/>
            </w:tcBorders>
            <w:shd w:val="clear" w:color="auto" w:fill="auto"/>
            <w:noWrap/>
            <w:vAlign w:val="center"/>
            <w:hideMark/>
          </w:tcPr>
          <w:p w14:paraId="1E8C73B7"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 xml:space="preserve">Parametric tests </w:t>
            </w:r>
          </w:p>
        </w:tc>
      </w:tr>
      <w:tr w:rsidR="005115B7" w:rsidRPr="005115B7" w14:paraId="772DA801" w14:textId="77777777" w:rsidTr="00D04EBA">
        <w:trPr>
          <w:trHeight w:val="1054"/>
        </w:trPr>
        <w:tc>
          <w:tcPr>
            <w:tcW w:w="1460" w:type="dxa"/>
            <w:tcBorders>
              <w:top w:val="nil"/>
              <w:left w:val="nil"/>
              <w:bottom w:val="nil"/>
              <w:right w:val="nil"/>
            </w:tcBorders>
            <w:shd w:val="clear" w:color="auto" w:fill="auto"/>
            <w:noWrap/>
            <w:hideMark/>
          </w:tcPr>
          <w:p w14:paraId="67A315A4"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ORDIN</w:t>
            </w:r>
          </w:p>
        </w:tc>
        <w:tc>
          <w:tcPr>
            <w:tcW w:w="6580" w:type="dxa"/>
            <w:tcBorders>
              <w:top w:val="nil"/>
              <w:left w:val="nil"/>
              <w:bottom w:val="nil"/>
              <w:right w:val="nil"/>
            </w:tcBorders>
            <w:shd w:val="clear" w:color="auto" w:fill="auto"/>
            <w:hideMark/>
          </w:tcPr>
          <w:p w14:paraId="7682135C" w14:textId="28543AA1" w:rsidR="005115B7" w:rsidRPr="005115B7" w:rsidRDefault="005115B7" w:rsidP="008B35E3">
            <w:pPr>
              <w:bidi w:val="0"/>
              <w:spacing w:after="0" w:line="240" w:lineRule="auto"/>
              <w:jc w:val="both"/>
              <w:rPr>
                <w:rFonts w:eastAsia="Times New Roman"/>
                <w:color w:val="000000"/>
                <w:kern w:val="0"/>
                <w:sz w:val="20"/>
                <w:szCs w:val="20"/>
                <w14:ligatures w14:val="none"/>
              </w:rPr>
            </w:pPr>
            <w:r w:rsidRPr="005115B7">
              <w:rPr>
                <w:rFonts w:eastAsia="Times New Roman"/>
                <w:i/>
                <w:iCs/>
                <w:color w:val="000000"/>
                <w:kern w:val="0"/>
                <w:sz w:val="20"/>
                <w:szCs w:val="20"/>
                <w14:ligatures w14:val="none"/>
              </w:rPr>
              <w:t xml:space="preserve">Ordinary t-test </w:t>
            </w:r>
            <w:r w:rsidRPr="005115B7">
              <w:rPr>
                <w:rFonts w:eastAsia="Times New Roman"/>
                <w:color w:val="000000"/>
                <w:kern w:val="0"/>
                <w:sz w:val="20"/>
                <w:szCs w:val="20"/>
                <w14:ligatures w14:val="none"/>
              </w:rPr>
              <w:t xml:space="preserve">- </w:t>
            </w:r>
            <w:r w:rsidR="008B35E3" w:rsidRPr="008B35E3">
              <w:rPr>
                <w:rFonts w:eastAsia="Times New Roman"/>
                <w:color w:val="000000"/>
                <w:kern w:val="0"/>
                <w:sz w:val="20"/>
                <w:szCs w:val="20"/>
                <w14:ligatures w14:val="none"/>
              </w:rPr>
              <w:t>The test, which is predicated on the t-distribution, requires the assumption of normal distribution and independence of observations. References such as Brown and Warner (1985) and Campbell et al. (1997) provide further information on this statistical test.</w:t>
            </w:r>
          </w:p>
        </w:tc>
      </w:tr>
      <w:tr w:rsidR="005115B7" w:rsidRPr="005115B7" w14:paraId="74A98746" w14:textId="77777777" w:rsidTr="00D04EBA">
        <w:trPr>
          <w:trHeight w:val="842"/>
        </w:trPr>
        <w:tc>
          <w:tcPr>
            <w:tcW w:w="1460" w:type="dxa"/>
            <w:tcBorders>
              <w:top w:val="nil"/>
              <w:left w:val="nil"/>
              <w:bottom w:val="nil"/>
              <w:right w:val="nil"/>
            </w:tcBorders>
            <w:shd w:val="clear" w:color="auto" w:fill="auto"/>
            <w:noWrap/>
            <w:hideMark/>
          </w:tcPr>
          <w:p w14:paraId="2D932AAC"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lastRenderedPageBreak/>
              <w:t>PATELL</w:t>
            </w:r>
          </w:p>
        </w:tc>
        <w:tc>
          <w:tcPr>
            <w:tcW w:w="6580" w:type="dxa"/>
            <w:tcBorders>
              <w:top w:val="nil"/>
              <w:left w:val="nil"/>
              <w:bottom w:val="nil"/>
              <w:right w:val="nil"/>
            </w:tcBorders>
            <w:shd w:val="clear" w:color="auto" w:fill="auto"/>
            <w:hideMark/>
          </w:tcPr>
          <w:p w14:paraId="01D8C927" w14:textId="3DCEC088" w:rsidR="005115B7" w:rsidRPr="005115B7" w:rsidRDefault="005115B7" w:rsidP="007F2C4A">
            <w:pPr>
              <w:bidi w:val="0"/>
              <w:spacing w:after="0" w:line="240" w:lineRule="auto"/>
              <w:jc w:val="both"/>
              <w:rPr>
                <w:rFonts w:eastAsia="Times New Roman"/>
                <w:color w:val="000000"/>
                <w:kern w:val="0"/>
                <w:sz w:val="20"/>
                <w:szCs w:val="20"/>
                <w14:ligatures w14:val="none"/>
              </w:rPr>
            </w:pPr>
            <w:r w:rsidRPr="005115B7">
              <w:rPr>
                <w:rFonts w:eastAsia="Times New Roman"/>
                <w:i/>
                <w:iCs/>
                <w:color w:val="000000"/>
                <w:kern w:val="0"/>
                <w:sz w:val="20"/>
                <w:szCs w:val="20"/>
                <w14:ligatures w14:val="none"/>
              </w:rPr>
              <w:t xml:space="preserve">The standardized residual test </w:t>
            </w:r>
            <w:r w:rsidRPr="005115B7">
              <w:rPr>
                <w:rFonts w:eastAsia="Times New Roman"/>
                <w:color w:val="000000"/>
                <w:kern w:val="0"/>
                <w:sz w:val="20"/>
                <w:szCs w:val="20"/>
                <w14:ligatures w14:val="none"/>
              </w:rPr>
              <w:t xml:space="preserve"> - </w:t>
            </w:r>
            <w:r w:rsidR="007F2C4A" w:rsidRPr="007F2C4A">
              <w:rPr>
                <w:rFonts w:eastAsia="Times New Roman"/>
                <w:color w:val="000000"/>
                <w:kern w:val="0"/>
                <w:sz w:val="20"/>
                <w:szCs w:val="20"/>
                <w14:ligatures w14:val="none"/>
              </w:rPr>
              <w:t>The test exhibits robustness against the weakness of the Ordinary t-test in the context of event-induced volatility, as noted by Patell (1976).</w:t>
            </w:r>
          </w:p>
        </w:tc>
      </w:tr>
      <w:tr w:rsidR="005115B7" w:rsidRPr="005115B7" w14:paraId="71AC45C5" w14:textId="77777777" w:rsidTr="00D04EBA">
        <w:trPr>
          <w:trHeight w:val="675"/>
        </w:trPr>
        <w:tc>
          <w:tcPr>
            <w:tcW w:w="1460" w:type="dxa"/>
            <w:tcBorders>
              <w:top w:val="nil"/>
              <w:left w:val="nil"/>
              <w:bottom w:val="nil"/>
              <w:right w:val="nil"/>
            </w:tcBorders>
            <w:shd w:val="clear" w:color="auto" w:fill="auto"/>
            <w:noWrap/>
            <w:hideMark/>
          </w:tcPr>
          <w:p w14:paraId="26B78BC8"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BMP</w:t>
            </w:r>
          </w:p>
        </w:tc>
        <w:tc>
          <w:tcPr>
            <w:tcW w:w="6580" w:type="dxa"/>
            <w:tcBorders>
              <w:top w:val="nil"/>
              <w:left w:val="nil"/>
              <w:bottom w:val="nil"/>
              <w:right w:val="nil"/>
            </w:tcBorders>
            <w:shd w:val="clear" w:color="auto" w:fill="auto"/>
            <w:hideMark/>
          </w:tcPr>
          <w:p w14:paraId="6A7A5218" w14:textId="30B58FB2" w:rsidR="005115B7" w:rsidRPr="005115B7" w:rsidRDefault="005115B7" w:rsidP="00D04EBA">
            <w:pPr>
              <w:bidi w:val="0"/>
              <w:spacing w:after="0" w:line="240" w:lineRule="auto"/>
              <w:jc w:val="both"/>
              <w:rPr>
                <w:rFonts w:eastAsia="Times New Roman"/>
                <w:color w:val="000000"/>
                <w:kern w:val="0"/>
                <w:sz w:val="20"/>
                <w:szCs w:val="20"/>
                <w14:ligatures w14:val="none"/>
              </w:rPr>
            </w:pPr>
            <w:r w:rsidRPr="005115B7">
              <w:rPr>
                <w:rFonts w:eastAsia="Times New Roman"/>
                <w:i/>
                <w:iCs/>
                <w:color w:val="000000"/>
                <w:kern w:val="0"/>
                <w:sz w:val="20"/>
                <w:szCs w:val="20"/>
                <w14:ligatures w14:val="none"/>
              </w:rPr>
              <w:t>The Standardized Cross-Sectional Approach -</w:t>
            </w:r>
            <w:r w:rsidRPr="005115B7">
              <w:rPr>
                <w:rFonts w:eastAsia="Times New Roman"/>
                <w:color w:val="000000"/>
                <w:kern w:val="0"/>
                <w:sz w:val="20"/>
                <w:szCs w:val="20"/>
                <w14:ligatures w14:val="none"/>
              </w:rPr>
              <w:t xml:space="preserve"> </w:t>
            </w:r>
            <w:r w:rsidR="00D04EBA" w:rsidRPr="00D04EBA">
              <w:rPr>
                <w:rFonts w:eastAsia="Times New Roman"/>
                <w:color w:val="000000"/>
                <w:kern w:val="0"/>
                <w:sz w:val="20"/>
                <w:szCs w:val="20"/>
                <w14:ligatures w14:val="none"/>
              </w:rPr>
              <w:t xml:space="preserve">The test exhibits robustness against the weakness of the Ordinary t-test in the context of event-induced variance, as noted by </w:t>
            </w:r>
            <w:r w:rsidRPr="005115B7">
              <w:rPr>
                <w:rFonts w:eastAsia="Times New Roman"/>
                <w:color w:val="000000"/>
                <w:kern w:val="0"/>
                <w:sz w:val="20"/>
                <w:szCs w:val="20"/>
                <w14:ligatures w14:val="none"/>
              </w:rPr>
              <w:t>Boehmer et al., (1991)</w:t>
            </w:r>
          </w:p>
        </w:tc>
      </w:tr>
      <w:tr w:rsidR="005115B7" w:rsidRPr="005115B7" w14:paraId="344B8CC7" w14:textId="77777777" w:rsidTr="00D04EBA">
        <w:trPr>
          <w:trHeight w:val="396"/>
        </w:trPr>
        <w:tc>
          <w:tcPr>
            <w:tcW w:w="8040" w:type="dxa"/>
            <w:gridSpan w:val="2"/>
            <w:tcBorders>
              <w:top w:val="nil"/>
              <w:left w:val="nil"/>
              <w:bottom w:val="nil"/>
              <w:right w:val="nil"/>
            </w:tcBorders>
            <w:shd w:val="clear" w:color="auto" w:fill="auto"/>
            <w:noWrap/>
            <w:vAlign w:val="center"/>
            <w:hideMark/>
          </w:tcPr>
          <w:p w14:paraId="78FD9BB6"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Non-parametric tests</w:t>
            </w:r>
          </w:p>
        </w:tc>
      </w:tr>
      <w:tr w:rsidR="005115B7" w:rsidRPr="005115B7" w14:paraId="492FE8FA" w14:textId="77777777" w:rsidTr="00D04EBA">
        <w:trPr>
          <w:trHeight w:val="930"/>
        </w:trPr>
        <w:tc>
          <w:tcPr>
            <w:tcW w:w="1460" w:type="dxa"/>
            <w:tcBorders>
              <w:top w:val="nil"/>
              <w:left w:val="nil"/>
              <w:bottom w:val="nil"/>
              <w:right w:val="nil"/>
            </w:tcBorders>
            <w:shd w:val="clear" w:color="auto" w:fill="auto"/>
            <w:noWrap/>
            <w:hideMark/>
          </w:tcPr>
          <w:p w14:paraId="51648B47"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RANK</w:t>
            </w:r>
          </w:p>
        </w:tc>
        <w:tc>
          <w:tcPr>
            <w:tcW w:w="6580" w:type="dxa"/>
            <w:tcBorders>
              <w:top w:val="nil"/>
              <w:left w:val="nil"/>
              <w:bottom w:val="nil"/>
              <w:right w:val="nil"/>
            </w:tcBorders>
            <w:shd w:val="clear" w:color="auto" w:fill="auto"/>
            <w:hideMark/>
          </w:tcPr>
          <w:p w14:paraId="19400C98" w14:textId="36D43F9D" w:rsidR="005115B7" w:rsidRPr="005115B7" w:rsidRDefault="005115B7" w:rsidP="009D27C7">
            <w:pPr>
              <w:bidi w:val="0"/>
              <w:spacing w:after="0" w:line="240" w:lineRule="auto"/>
              <w:jc w:val="both"/>
              <w:rPr>
                <w:rFonts w:eastAsia="Times New Roman"/>
                <w:color w:val="000000"/>
                <w:kern w:val="0"/>
                <w:sz w:val="20"/>
                <w:szCs w:val="20"/>
                <w14:ligatures w14:val="none"/>
              </w:rPr>
            </w:pPr>
            <w:r w:rsidRPr="005115B7">
              <w:rPr>
                <w:rFonts w:eastAsia="Times New Roman"/>
                <w:i/>
                <w:iCs/>
                <w:color w:val="000000"/>
                <w:kern w:val="0"/>
                <w:sz w:val="20"/>
                <w:szCs w:val="20"/>
                <w14:ligatures w14:val="none"/>
              </w:rPr>
              <w:t>The Rank Test</w:t>
            </w:r>
            <w:r w:rsidRPr="005115B7">
              <w:rPr>
                <w:rFonts w:eastAsia="Times New Roman"/>
                <w:color w:val="000000"/>
                <w:kern w:val="0"/>
                <w:sz w:val="20"/>
                <w:szCs w:val="20"/>
                <w14:ligatures w14:val="none"/>
              </w:rPr>
              <w:t xml:space="preserve"> - </w:t>
            </w:r>
            <w:r w:rsidR="009D27C7" w:rsidRPr="009D27C7">
              <w:rPr>
                <w:rFonts w:eastAsia="Times New Roman"/>
                <w:color w:val="000000"/>
                <w:kern w:val="0"/>
                <w:sz w:val="20"/>
                <w:szCs w:val="20"/>
                <w14:ligatures w14:val="none"/>
              </w:rPr>
              <w:t>The test does not rely on any distributional assumptions, Instead, the test involves comparing the ranks during the event period with the expected rank, as noted by Corrado (1989).</w:t>
            </w:r>
          </w:p>
        </w:tc>
      </w:tr>
      <w:tr w:rsidR="005115B7" w:rsidRPr="005115B7" w14:paraId="1549EE8E" w14:textId="77777777" w:rsidTr="00C87305">
        <w:trPr>
          <w:trHeight w:val="771"/>
        </w:trPr>
        <w:tc>
          <w:tcPr>
            <w:tcW w:w="1460" w:type="dxa"/>
            <w:tcBorders>
              <w:top w:val="nil"/>
              <w:left w:val="nil"/>
              <w:bottom w:val="single" w:sz="4" w:space="0" w:color="auto"/>
              <w:right w:val="nil"/>
            </w:tcBorders>
            <w:shd w:val="clear" w:color="auto" w:fill="auto"/>
            <w:noWrap/>
            <w:hideMark/>
          </w:tcPr>
          <w:p w14:paraId="4E099CC8"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WSRT</w:t>
            </w:r>
          </w:p>
        </w:tc>
        <w:tc>
          <w:tcPr>
            <w:tcW w:w="6580" w:type="dxa"/>
            <w:tcBorders>
              <w:top w:val="nil"/>
              <w:left w:val="nil"/>
              <w:bottom w:val="single" w:sz="4" w:space="0" w:color="auto"/>
              <w:right w:val="nil"/>
            </w:tcBorders>
            <w:shd w:val="clear" w:color="auto" w:fill="auto"/>
            <w:hideMark/>
          </w:tcPr>
          <w:p w14:paraId="61D075F4" w14:textId="1BCA50AF" w:rsidR="005115B7" w:rsidRPr="005115B7" w:rsidRDefault="005115B7" w:rsidP="009D27C7">
            <w:pPr>
              <w:bidi w:val="0"/>
              <w:spacing w:after="0" w:line="240" w:lineRule="auto"/>
              <w:jc w:val="both"/>
              <w:rPr>
                <w:rFonts w:eastAsia="Times New Roman"/>
                <w:color w:val="000000"/>
                <w:kern w:val="0"/>
                <w:sz w:val="20"/>
                <w:szCs w:val="20"/>
                <w14:ligatures w14:val="none"/>
              </w:rPr>
            </w:pPr>
            <w:r w:rsidRPr="005115B7">
              <w:rPr>
                <w:rFonts w:eastAsia="Times New Roman"/>
                <w:i/>
                <w:iCs/>
                <w:color w:val="000000"/>
                <w:kern w:val="0"/>
                <w:sz w:val="20"/>
                <w:szCs w:val="20"/>
                <w14:ligatures w14:val="none"/>
              </w:rPr>
              <w:t xml:space="preserve">The Wilcoxon Signed-Ranks Test </w:t>
            </w:r>
            <w:r w:rsidRPr="005115B7">
              <w:rPr>
                <w:rFonts w:eastAsia="Times New Roman"/>
                <w:color w:val="000000"/>
                <w:kern w:val="0"/>
                <w:sz w:val="20"/>
                <w:szCs w:val="20"/>
                <w14:ligatures w14:val="none"/>
              </w:rPr>
              <w:t xml:space="preserve">- The test </w:t>
            </w:r>
            <w:r w:rsidR="009D27C7" w:rsidRPr="009D27C7">
              <w:rPr>
                <w:rFonts w:eastAsia="Times New Roman"/>
                <w:color w:val="000000"/>
                <w:kern w:val="0"/>
                <w:sz w:val="20"/>
                <w:szCs w:val="20"/>
                <w14:ligatures w14:val="none"/>
              </w:rPr>
              <w:t>does not make any distributional assumptions. Moreover, the test takes into account the sign and power of the parameter, thereby highlighting its importance, as noted by</w:t>
            </w:r>
            <w:r w:rsidRPr="005115B7">
              <w:rPr>
                <w:rFonts w:eastAsia="Times New Roman"/>
                <w:color w:val="000000"/>
                <w:kern w:val="0"/>
                <w:sz w:val="20"/>
                <w:szCs w:val="20"/>
                <w14:ligatures w14:val="none"/>
              </w:rPr>
              <w:t xml:space="preserve"> Wilcoxon (1945)</w:t>
            </w:r>
            <w:r w:rsidR="009D27C7">
              <w:rPr>
                <w:rFonts w:eastAsia="Times New Roman"/>
                <w:color w:val="000000"/>
                <w:kern w:val="0"/>
                <w:sz w:val="20"/>
                <w:szCs w:val="20"/>
                <w14:ligatures w14:val="none"/>
              </w:rPr>
              <w:t>.</w:t>
            </w:r>
          </w:p>
        </w:tc>
      </w:tr>
    </w:tbl>
    <w:p w14:paraId="36F63F0B" w14:textId="0D077892" w:rsidR="005115B7" w:rsidRPr="003E673B" w:rsidRDefault="003E673B" w:rsidP="003E673B">
      <w:pPr>
        <w:bidi w:val="0"/>
        <w:spacing w:line="240" w:lineRule="auto"/>
        <w:ind w:right="226"/>
        <w:jc w:val="both"/>
        <w:rPr>
          <w:sz w:val="20"/>
          <w:szCs w:val="20"/>
        </w:rPr>
      </w:pPr>
      <w:r>
        <w:rPr>
          <w:sz w:val="20"/>
          <w:szCs w:val="20"/>
        </w:rPr>
        <w:t xml:space="preserve">Note: </w:t>
      </w:r>
      <w:r w:rsidRPr="003E673B">
        <w:rPr>
          <w:sz w:val="20"/>
          <w:szCs w:val="20"/>
        </w:rPr>
        <w:t>The study utilized five statistical analyses, comprising three parametric tests, namely ORDIN, PATELL, and BMP, and two non-parametric tests, namely RANK and WRST.</w:t>
      </w:r>
    </w:p>
    <w:p w14:paraId="088E8C73" w14:textId="77777777" w:rsidR="006B110F" w:rsidRDefault="006B110F" w:rsidP="006B110F">
      <w:pPr>
        <w:bidi w:val="0"/>
        <w:spacing w:line="480" w:lineRule="auto"/>
        <w:jc w:val="both"/>
      </w:pPr>
    </w:p>
    <w:p w14:paraId="4E814266" w14:textId="71711802" w:rsidR="006B110F" w:rsidRPr="00B970ED" w:rsidRDefault="006B110F" w:rsidP="006B110F">
      <w:pPr>
        <w:bidi w:val="0"/>
        <w:spacing w:line="480" w:lineRule="auto"/>
        <w:jc w:val="both"/>
        <w:rPr>
          <w:rFonts w:eastAsia="Calibri"/>
          <w:bCs/>
          <w:iCs/>
          <w:lang w:bidi="ar-SA"/>
        </w:rPr>
      </w:pPr>
      <w:r w:rsidRPr="00291473">
        <w:rPr>
          <w:rFonts w:eastAsia="Calibri"/>
          <w:bCs/>
          <w:i/>
          <w:iCs/>
          <w:lang w:bidi="ar-SA"/>
        </w:rPr>
        <w:t>Regression</w:t>
      </w:r>
    </w:p>
    <w:p w14:paraId="69C815B7" w14:textId="4B58B3F6" w:rsidR="008D5762" w:rsidRDefault="008D5762" w:rsidP="008D5762">
      <w:pPr>
        <w:bidi w:val="0"/>
        <w:spacing w:line="480" w:lineRule="auto"/>
        <w:jc w:val="both"/>
      </w:pPr>
      <w:r w:rsidRPr="008D5762">
        <w:t>The conduct of investors within the capital market represents a fundamental aspect that significantly impacts the pricing of financial indices. As such, it is crucial to conduct an in-depth examination of investor behavior in relation to supplementary variables. In pursuit of this objective, this study endeavors to assess the impact of financial and macroeconomic variables on cumulative abnormal returns through the application of the regression analysis as follow</w:t>
      </w:r>
      <w:r>
        <w:t>:</w:t>
      </w:r>
    </w:p>
    <w:p w14:paraId="2D7234CC" w14:textId="1B1EAD57" w:rsidR="003F3657" w:rsidRPr="00B970ED" w:rsidRDefault="00000000" w:rsidP="003F3657">
      <w:pPr>
        <w:pStyle w:val="a3"/>
        <w:numPr>
          <w:ilvl w:val="0"/>
          <w:numId w:val="2"/>
        </w:numPr>
        <w:tabs>
          <w:tab w:val="right" w:pos="567"/>
          <w:tab w:val="right" w:pos="6804"/>
        </w:tabs>
        <w:bidi w:val="0"/>
        <w:spacing w:after="200" w:line="480" w:lineRule="auto"/>
        <w:ind w:left="567" w:hanging="567"/>
        <w:jc w:val="both"/>
        <w:rPr>
          <w:bCs/>
        </w:rPr>
      </w:pPr>
      <m:oMath>
        <m:sSub>
          <m:sSubPr>
            <m:ctrlPr>
              <w:rPr>
                <w:rFonts w:ascii="Cambria Math" w:hAnsi="Cambria Math"/>
                <w:bCs/>
                <w:i/>
              </w:rPr>
            </m:ctrlPr>
          </m:sSubPr>
          <m:e>
            <m:r>
              <w:rPr>
                <w:rFonts w:ascii="Cambria Math" w:hAnsi="Cambria Math"/>
              </w:rPr>
              <m:t>CAR</m:t>
            </m:r>
            <m:d>
              <m:dPr>
                <m:begChr m:val="["/>
                <m:endChr m:val="]"/>
                <m:ctrlPr>
                  <w:rPr>
                    <w:rFonts w:ascii="Cambria Math" w:hAnsi="Cambria Math"/>
                    <w:bCs/>
                    <w:i/>
                  </w:rPr>
                </m:ctrlPr>
              </m:dPr>
              <m:e>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1</m:t>
                    </m:r>
                  </m:sub>
                </m:sSub>
                <m:r>
                  <w:rPr>
                    <w:rFonts w:ascii="Cambria Math" w:eastAsia="SimSun" w:hAnsi="Cambria Math"/>
                    <w:color w:val="000000"/>
                    <w:lang w:eastAsia="he-IL" w:bidi="ar-SA"/>
                  </w:rPr>
                  <m:t>,</m:t>
                </m:r>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2</m:t>
                    </m:r>
                  </m:sub>
                </m:sSub>
              </m:e>
            </m:d>
          </m:e>
          <m:sub>
            <m:r>
              <w:rPr>
                <w:rFonts w:ascii="Cambria Math" w:hAnsi="Cambria Math"/>
              </w:rPr>
              <m:t>i</m:t>
            </m:r>
          </m:sub>
        </m:sSub>
        <m:r>
          <w:rPr>
            <w:rFonts w:ascii="Cambria Math" w:hAnsi="Cambria Math"/>
          </w:rPr>
          <m:t>=α+</m:t>
        </m:r>
        <m:sSub>
          <m:sSubPr>
            <m:ctrlPr>
              <w:rPr>
                <w:rFonts w:ascii="Cambria Math" w:hAnsi="Cambria Math"/>
                <w:bCs/>
                <w:i/>
              </w:rPr>
            </m:ctrlPr>
          </m:sSubPr>
          <m:e>
            <m:r>
              <w:rPr>
                <w:rFonts w:ascii="Cambria Math" w:hAnsi="Cambria Math"/>
              </w:rPr>
              <m:t>β</m:t>
            </m:r>
          </m:e>
          <m:sub>
            <m:r>
              <w:rPr>
                <w:rFonts w:ascii="Cambria Math" w:hAnsi="Cambria Math"/>
              </w:rPr>
              <m:t>i</m:t>
            </m:r>
          </m:sub>
        </m:sSub>
        <m:sSub>
          <m:sSubPr>
            <m:ctrlPr>
              <w:rPr>
                <w:rFonts w:ascii="Cambria Math" w:hAnsi="Cambria Math"/>
                <w:bCs/>
                <w:i/>
              </w:rPr>
            </m:ctrlPr>
          </m:sSubPr>
          <m:e>
            <m:r>
              <w:rPr>
                <w:rFonts w:ascii="Cambria Math" w:hAnsi="Cambria Math"/>
              </w:rPr>
              <m:t>CAR</m:t>
            </m:r>
            <m:d>
              <m:dPr>
                <m:begChr m:val="["/>
                <m:endChr m:val="]"/>
                <m:ctrlPr>
                  <w:rPr>
                    <w:rFonts w:ascii="Cambria Math" w:hAnsi="Cambria Math"/>
                    <w:bCs/>
                    <w:i/>
                  </w:rPr>
                </m:ctrlPr>
              </m:dPr>
              <m:e>
                <m:r>
                  <w:rPr>
                    <w:rFonts w:ascii="Cambria Math" w:hAnsi="Cambria Math"/>
                  </w:rPr>
                  <m:t>-15,-8</m:t>
                </m:r>
              </m:e>
            </m:d>
          </m:e>
          <m:sub>
            <m:r>
              <w:rPr>
                <w:rFonts w:ascii="Cambria Math" w:hAnsi="Cambria Math"/>
              </w:rPr>
              <m:t>i</m:t>
            </m:r>
          </m:sub>
        </m:sSub>
        <m:r>
          <w:rPr>
            <w:rFonts w:ascii="Cambria Math" w:hAnsi="Cambria Math"/>
          </w:rPr>
          <m:t>+</m:t>
        </m:r>
        <m:sSub>
          <m:sSubPr>
            <m:ctrlPr>
              <w:rPr>
                <w:rFonts w:ascii="Cambria Math" w:hAnsi="Cambria Math"/>
                <w:bCs/>
                <w:i/>
              </w:rPr>
            </m:ctrlPr>
          </m:sSubPr>
          <m:e>
            <m:r>
              <w:rPr>
                <w:rFonts w:ascii="Cambria Math" w:hAnsi="Cambria Math"/>
              </w:rPr>
              <m:t>γ</m:t>
            </m:r>
          </m:e>
          <m:sub>
            <m:r>
              <w:rPr>
                <w:rFonts w:ascii="Cambria Math" w:hAnsi="Cambria Math"/>
              </w:rPr>
              <m:t>1,i</m:t>
            </m:r>
          </m:sub>
        </m:sSub>
        <m:sSub>
          <m:sSubPr>
            <m:ctrlPr>
              <w:rPr>
                <w:rFonts w:ascii="Cambria Math" w:hAnsi="Cambria Math"/>
                <w:bCs/>
                <w:i/>
              </w:rPr>
            </m:ctrlPr>
          </m:sSubPr>
          <m:e>
            <m:r>
              <w:rPr>
                <w:rFonts w:ascii="Cambria Math" w:hAnsi="Cambria Math"/>
              </w:rPr>
              <m:t>GDPG</m:t>
            </m:r>
          </m:e>
          <m:sub>
            <m:r>
              <w:rPr>
                <w:rFonts w:ascii="Cambria Math" w:hAnsi="Cambria Math"/>
              </w:rPr>
              <m:t>i</m:t>
            </m:r>
          </m:sub>
        </m:sSub>
        <m:r>
          <w:rPr>
            <w:rFonts w:ascii="Cambria Math" w:hAnsi="Cambria Math"/>
          </w:rPr>
          <m:t>+</m:t>
        </m:r>
        <m:sSub>
          <m:sSubPr>
            <m:ctrlPr>
              <w:rPr>
                <w:rFonts w:ascii="Cambria Math" w:hAnsi="Cambria Math"/>
                <w:bCs/>
                <w:i/>
              </w:rPr>
            </m:ctrlPr>
          </m:sSubPr>
          <m:e>
            <m:r>
              <w:rPr>
                <w:rFonts w:ascii="Cambria Math" w:hAnsi="Cambria Math"/>
              </w:rPr>
              <m:t xml:space="preserve">                           +γ</m:t>
            </m:r>
          </m:e>
          <m:sub>
            <m:r>
              <w:rPr>
                <w:rFonts w:ascii="Cambria Math" w:hAnsi="Cambria Math"/>
              </w:rPr>
              <m:t>2,i</m:t>
            </m:r>
          </m:sub>
        </m:sSub>
        <m:sSub>
          <m:sSubPr>
            <m:ctrlPr>
              <w:rPr>
                <w:rFonts w:ascii="Cambria Math" w:hAnsi="Cambria Math"/>
                <w:bCs/>
                <w:i/>
              </w:rPr>
            </m:ctrlPr>
          </m:sSubPr>
          <m:e>
            <m:r>
              <w:rPr>
                <w:rFonts w:ascii="Cambria Math" w:hAnsi="Cambria Math"/>
              </w:rPr>
              <m:t>Return</m:t>
            </m:r>
          </m:e>
          <m:sub>
            <m:r>
              <w:rPr>
                <w:rFonts w:ascii="Cambria Math" w:hAnsi="Cambria Math"/>
              </w:rPr>
              <m:t>i</m:t>
            </m:r>
          </m:sub>
        </m:sSub>
        <m:r>
          <w:rPr>
            <w:rFonts w:ascii="Cambria Math" w:hAnsi="Cambria Math"/>
          </w:rPr>
          <m:t>+</m:t>
        </m:r>
        <m:sSub>
          <m:sSubPr>
            <m:ctrlPr>
              <w:rPr>
                <w:rFonts w:ascii="Cambria Math" w:hAnsi="Cambria Math"/>
                <w:bCs/>
                <w:i/>
              </w:rPr>
            </m:ctrlPr>
          </m:sSubPr>
          <m:e>
            <m:r>
              <w:rPr>
                <w:rFonts w:ascii="Cambria Math" w:hAnsi="Cambria Math"/>
              </w:rPr>
              <m:t>γ</m:t>
            </m:r>
          </m:e>
          <m:sub>
            <m:r>
              <w:rPr>
                <w:rFonts w:ascii="Cambria Math" w:hAnsi="Cambria Math"/>
              </w:rPr>
              <m:t>3,i</m:t>
            </m:r>
          </m:sub>
        </m:sSub>
        <m:sSub>
          <m:sSubPr>
            <m:ctrlPr>
              <w:rPr>
                <w:rFonts w:ascii="Cambria Math" w:hAnsi="Cambria Math"/>
                <w:bCs/>
                <w:i/>
              </w:rPr>
            </m:ctrlPr>
          </m:sSubPr>
          <m:e>
            <m:r>
              <w:rPr>
                <w:rFonts w:ascii="Cambria Math" w:hAnsi="Cambria Math"/>
              </w:rPr>
              <m:t>HDI</m:t>
            </m:r>
          </m:e>
          <m:sub>
            <m:r>
              <w:rPr>
                <w:rFonts w:ascii="Cambria Math" w:hAnsi="Cambria Math"/>
              </w:rPr>
              <m:t>i</m:t>
            </m:r>
          </m:sub>
        </m:sSub>
        <m:r>
          <w:rPr>
            <w:rFonts w:ascii="Cambria Math" w:hAnsi="Cambria Math"/>
          </w:rPr>
          <m:t>+</m:t>
        </m:r>
        <m:sSub>
          <m:sSubPr>
            <m:ctrlPr>
              <w:rPr>
                <w:rFonts w:ascii="Cambria Math" w:hAnsi="Cambria Math"/>
                <w:bCs/>
                <w:i/>
              </w:rPr>
            </m:ctrlPr>
          </m:sSubPr>
          <m:e>
            <m:r>
              <w:rPr>
                <w:rFonts w:ascii="Cambria Math" w:hAnsi="Cambria Math"/>
              </w:rPr>
              <m:t>γ</m:t>
            </m:r>
          </m:e>
          <m:sub>
            <m:r>
              <w:rPr>
                <w:rFonts w:ascii="Cambria Math" w:hAnsi="Cambria Math"/>
              </w:rPr>
              <m:t>4,i</m:t>
            </m:r>
          </m:sub>
        </m:sSub>
        <m:sSub>
          <m:sSubPr>
            <m:ctrlPr>
              <w:rPr>
                <w:rFonts w:ascii="Cambria Math" w:hAnsi="Cambria Math"/>
                <w:bCs/>
                <w:i/>
              </w:rPr>
            </m:ctrlPr>
          </m:sSubPr>
          <m:e>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Tourism</m:t>
                    </m:r>
                  </m:e>
                </m:d>
              </m:e>
            </m:func>
          </m:e>
          <m:sub>
            <m:r>
              <w:rPr>
                <w:rFonts w:ascii="Cambria Math" w:hAnsi="Cambria Math"/>
              </w:rPr>
              <m:t>i</m:t>
            </m:r>
          </m:sub>
        </m:sSub>
        <m:r>
          <w:rPr>
            <w:rFonts w:ascii="Cambria Math" w:hAnsi="Cambria Math"/>
          </w:rPr>
          <m:t>+</m:t>
        </m:r>
        <m:sSub>
          <m:sSubPr>
            <m:ctrlPr>
              <w:rPr>
                <w:rFonts w:ascii="Cambria Math" w:hAnsi="Cambria Math"/>
                <w:bCs/>
                <w:i/>
              </w:rPr>
            </m:ctrlPr>
          </m:sSubPr>
          <m:e>
            <m:r>
              <w:rPr>
                <w:rFonts w:ascii="Cambria Math" w:hAnsi="Cambria Math"/>
              </w:rPr>
              <m:t xml:space="preserve">                           +γ</m:t>
            </m:r>
          </m:e>
          <m:sub>
            <m:r>
              <w:rPr>
                <w:rFonts w:ascii="Cambria Math" w:hAnsi="Cambria Math"/>
              </w:rPr>
              <m:t>5,i</m:t>
            </m:r>
          </m:sub>
        </m:sSub>
        <m:sSub>
          <m:sSubPr>
            <m:ctrlPr>
              <w:rPr>
                <w:rFonts w:ascii="Cambria Math" w:hAnsi="Cambria Math"/>
                <w:bCs/>
                <w:i/>
              </w:rPr>
            </m:ctrlPr>
          </m:sSubPr>
          <m:e>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Population</m:t>
                    </m:r>
                  </m:e>
                </m:d>
              </m:e>
            </m:func>
          </m:e>
          <m:sub>
            <m:r>
              <w:rPr>
                <w:rFonts w:ascii="Cambria Math" w:hAnsi="Cambria Math"/>
              </w:rPr>
              <m:t>i</m:t>
            </m:r>
          </m:sub>
        </m:sSub>
        <m:r>
          <w:rPr>
            <w:rFonts w:ascii="Cambria Math" w:hAnsi="Cambria Math"/>
          </w:rPr>
          <m:t>+</m:t>
        </m:r>
        <m:sSub>
          <m:sSubPr>
            <m:ctrlPr>
              <w:rPr>
                <w:rFonts w:ascii="Cambria Math" w:hAnsi="Cambria Math"/>
                <w:bCs/>
                <w:i/>
              </w:rPr>
            </m:ctrlPr>
          </m:sSubPr>
          <m:e>
            <m:r>
              <w:rPr>
                <w:rFonts w:ascii="Cambria Math" w:hAnsi="Cambria Math"/>
              </w:rPr>
              <m:t>γ</m:t>
            </m:r>
          </m:e>
          <m:sub>
            <m:r>
              <w:rPr>
                <w:rFonts w:ascii="Cambria Math" w:hAnsi="Cambria Math"/>
              </w:rPr>
              <m:t>6,i</m:t>
            </m:r>
          </m:sub>
        </m:sSub>
        <m:sSub>
          <m:sSubPr>
            <m:ctrlPr>
              <w:rPr>
                <w:rFonts w:ascii="Cambria Math" w:hAnsi="Cambria Math"/>
                <w:bCs/>
                <w:i/>
              </w:rPr>
            </m:ctrlPr>
          </m:sSubPr>
          <m:e>
            <m:r>
              <w:rPr>
                <w:rFonts w:ascii="Cambria Math" w:hAnsi="Cambria Math"/>
              </w:rPr>
              <m:t>Location</m:t>
            </m:r>
          </m:e>
          <m:sub>
            <m:r>
              <w:rPr>
                <w:rFonts w:ascii="Cambria Math" w:hAnsi="Cambria Math"/>
              </w:rPr>
              <m:t>i</m:t>
            </m:r>
          </m:sub>
        </m:sSub>
      </m:oMath>
    </w:p>
    <w:p w14:paraId="0EE32B63" w14:textId="53BF570E" w:rsidR="008D5762" w:rsidRDefault="004A0AB9" w:rsidP="008D5762">
      <w:pPr>
        <w:bidi w:val="0"/>
        <w:spacing w:line="480" w:lineRule="auto"/>
        <w:jc w:val="both"/>
      </w:pPr>
      <w:r w:rsidRPr="004A0AB9">
        <w:t>In the given equation, the variable "i" denotes the event number, ranging from 1 to 112. The independent variables used in the regression analysis include GDP growth (represented as GDPG), market index returns (Return), Human Development Index (HDI), number of incoming tourists</w:t>
      </w:r>
      <w:r w:rsidR="006C2026">
        <w:t xml:space="preserve"> </w:t>
      </w:r>
      <w:r w:rsidR="006C2026" w:rsidRPr="006C2026">
        <w:t xml:space="preserve">in millions </w:t>
      </w:r>
      <w:r w:rsidRPr="004A0AB9">
        <w:t>(Tourism), and the population size of countries</w:t>
      </w:r>
      <w:r w:rsidR="006C2026">
        <w:t xml:space="preserve"> </w:t>
      </w:r>
      <w:r w:rsidR="006C2026" w:rsidRPr="006C2026">
        <w:t xml:space="preserve">in millions </w:t>
      </w:r>
      <w:r w:rsidRPr="004A0AB9">
        <w:t xml:space="preserve">(Population). These data were obtained from The World Bank </w:t>
      </w:r>
      <w:r w:rsidRPr="004A0AB9">
        <w:lastRenderedPageBreak/>
        <w:t>(2023). Additionally, a categorical variable named "Location" is incorporated in the regression model, which takes the value of 1 for announcements pertaining to cities in emerging countries and 2 for announcements relating to emerging countries.</w:t>
      </w:r>
    </w:p>
    <w:p w14:paraId="6B26F0A4" w14:textId="77777777" w:rsidR="006B110F" w:rsidRDefault="006B110F" w:rsidP="006B110F">
      <w:pPr>
        <w:bidi w:val="0"/>
        <w:spacing w:line="480" w:lineRule="auto"/>
        <w:jc w:val="both"/>
      </w:pPr>
    </w:p>
    <w:p w14:paraId="1F51B0E5" w14:textId="77777777" w:rsidR="006B110F" w:rsidRPr="00B970ED" w:rsidRDefault="006B110F" w:rsidP="006B110F">
      <w:pPr>
        <w:bidi w:val="0"/>
        <w:spacing w:line="480" w:lineRule="auto"/>
        <w:jc w:val="both"/>
        <w:rPr>
          <w:rFonts w:eastAsia="Calibri"/>
          <w:bCs/>
          <w:iCs/>
          <w:lang w:bidi="ar-SA"/>
        </w:rPr>
      </w:pPr>
      <w:r w:rsidRPr="00B970ED">
        <w:rPr>
          <w:rFonts w:eastAsia="Calibri"/>
          <w:b/>
          <w:bCs/>
          <w:iCs/>
          <w:lang w:bidi="ar-SA"/>
        </w:rPr>
        <w:t>Empirical results</w:t>
      </w:r>
    </w:p>
    <w:p w14:paraId="7A54B932" w14:textId="05168EF9" w:rsidR="006B110F" w:rsidRDefault="00291473" w:rsidP="006B110F">
      <w:pPr>
        <w:bidi w:val="0"/>
        <w:spacing w:line="480" w:lineRule="auto"/>
        <w:jc w:val="both"/>
      </w:pPr>
      <w:r w:rsidRPr="00291473">
        <w:t>The present study endeavors to investigate two pertinent research inquiries. Firstly, the investigation seeks to discern the potential for investors to capitalize on the information provided by Airbnb's website concerning emerging economies and consequently yield abnormal profits following the release of such announcements. Secondly, the study endeavors to scrutinize whether additional variables may exert influence on the cumulative abnormal returns within emerging economies during the period proximal to the announcement's release.</w:t>
      </w:r>
    </w:p>
    <w:p w14:paraId="7C96D07A" w14:textId="77777777" w:rsidR="006B110F" w:rsidRDefault="006B110F" w:rsidP="006B110F">
      <w:pPr>
        <w:bidi w:val="0"/>
        <w:spacing w:line="480" w:lineRule="auto"/>
        <w:jc w:val="both"/>
      </w:pPr>
    </w:p>
    <w:p w14:paraId="17EC2289" w14:textId="77777777" w:rsidR="006B110F" w:rsidRPr="00B970ED" w:rsidRDefault="006B110F" w:rsidP="006B110F">
      <w:pPr>
        <w:bidi w:val="0"/>
        <w:spacing w:line="480" w:lineRule="auto"/>
        <w:jc w:val="both"/>
        <w:rPr>
          <w:rFonts w:eastAsia="Calibri"/>
          <w:bCs/>
          <w:i/>
          <w:lang w:bidi="ar-SA"/>
        </w:rPr>
      </w:pPr>
      <w:r w:rsidRPr="00B970ED">
        <w:rPr>
          <w:rFonts w:eastAsia="Calibri"/>
          <w:bCs/>
          <w:i/>
          <w:lang w:bidi="ar-SA"/>
        </w:rPr>
        <w:t>Descriptive statistics</w:t>
      </w:r>
    </w:p>
    <w:p w14:paraId="720DD688" w14:textId="19FC2859" w:rsidR="006B110F" w:rsidRDefault="00410AB5" w:rsidP="006B110F">
      <w:pPr>
        <w:bidi w:val="0"/>
        <w:spacing w:line="480" w:lineRule="auto"/>
        <w:jc w:val="both"/>
      </w:pPr>
      <w:r w:rsidRPr="00410AB5">
        <w:t>Table 3 presents a comprehensive summary of the descriptive statistics obtained from the study. Panel A of the table provides detailed information on the four indices collected for the event study approach, where the DJEM and FTSEW indices refer to the stock index and market index, respectively, for the regular test. Conversely, the MSCIEM and MSCIW indices represent the stock index and market index, respectively, for the robustness check. Panel B of the table displays the results gathered for the six macroeconomic and financial variables that were utilized in the regressions: GDPG, Return, HDI, Tourism, Population, and Location.</w:t>
      </w:r>
    </w:p>
    <w:p w14:paraId="533EA29C" w14:textId="77777777" w:rsidR="00942397" w:rsidRPr="00B970ED" w:rsidRDefault="00942397" w:rsidP="00942397">
      <w:pPr>
        <w:bidi w:val="0"/>
        <w:spacing w:line="240" w:lineRule="auto"/>
        <w:jc w:val="both"/>
        <w:rPr>
          <w:rFonts w:eastAsia="Calibri"/>
          <w:b/>
          <w:bCs/>
          <w:sz w:val="20"/>
          <w:szCs w:val="20"/>
        </w:rPr>
      </w:pPr>
      <w:r w:rsidRPr="00B970ED">
        <w:rPr>
          <w:rFonts w:eastAsia="Calibri"/>
          <w:b/>
          <w:bCs/>
          <w:sz w:val="20"/>
          <w:szCs w:val="20"/>
        </w:rPr>
        <w:t>Table 3</w:t>
      </w:r>
    </w:p>
    <w:p w14:paraId="24F1242C" w14:textId="4D1CCB1D" w:rsidR="00942397" w:rsidRPr="00B970ED" w:rsidRDefault="00942397" w:rsidP="00942397">
      <w:pPr>
        <w:bidi w:val="0"/>
        <w:spacing w:line="240" w:lineRule="auto"/>
        <w:jc w:val="both"/>
        <w:rPr>
          <w:rFonts w:eastAsia="Calibri"/>
          <w:sz w:val="20"/>
          <w:szCs w:val="20"/>
        </w:rPr>
      </w:pPr>
      <w:r w:rsidRPr="00942397">
        <w:rPr>
          <w:rFonts w:eastAsia="Calibri"/>
          <w:sz w:val="20"/>
          <w:szCs w:val="20"/>
        </w:rPr>
        <w:t xml:space="preserve">Summary of </w:t>
      </w:r>
      <w:r>
        <w:rPr>
          <w:rFonts w:eastAsia="Calibri"/>
          <w:sz w:val="20"/>
          <w:szCs w:val="20"/>
        </w:rPr>
        <w:t>d</w:t>
      </w:r>
      <w:r w:rsidRPr="00942397">
        <w:rPr>
          <w:rFonts w:eastAsia="Calibri"/>
          <w:sz w:val="20"/>
          <w:szCs w:val="20"/>
        </w:rPr>
        <w:t xml:space="preserve">escriptive </w:t>
      </w:r>
      <w:r>
        <w:rPr>
          <w:rFonts w:eastAsia="Calibri"/>
          <w:sz w:val="20"/>
          <w:szCs w:val="20"/>
        </w:rPr>
        <w:t>s</w:t>
      </w:r>
      <w:r w:rsidRPr="00942397">
        <w:rPr>
          <w:rFonts w:eastAsia="Calibri"/>
          <w:sz w:val="20"/>
          <w:szCs w:val="20"/>
        </w:rPr>
        <w:t xml:space="preserve">tatistics for </w:t>
      </w:r>
      <w:r>
        <w:rPr>
          <w:rFonts w:eastAsia="Calibri"/>
          <w:sz w:val="20"/>
          <w:szCs w:val="20"/>
        </w:rPr>
        <w:t>i</w:t>
      </w:r>
      <w:r w:rsidRPr="00942397">
        <w:rPr>
          <w:rFonts w:eastAsia="Calibri"/>
          <w:sz w:val="20"/>
          <w:szCs w:val="20"/>
        </w:rPr>
        <w:t xml:space="preserve">ndices and </w:t>
      </w:r>
      <w:r>
        <w:rPr>
          <w:rFonts w:eastAsia="Calibri"/>
          <w:sz w:val="20"/>
          <w:szCs w:val="20"/>
        </w:rPr>
        <w:t>r</w:t>
      </w:r>
      <w:r w:rsidRPr="00942397">
        <w:rPr>
          <w:rFonts w:eastAsia="Calibri"/>
          <w:sz w:val="20"/>
          <w:szCs w:val="20"/>
        </w:rPr>
        <w:t xml:space="preserve">egression </w:t>
      </w:r>
      <w:r>
        <w:rPr>
          <w:rFonts w:eastAsia="Calibri"/>
          <w:sz w:val="20"/>
          <w:szCs w:val="20"/>
        </w:rPr>
        <w:t>v</w:t>
      </w:r>
      <w:r w:rsidRPr="00942397">
        <w:rPr>
          <w:rFonts w:eastAsia="Calibri"/>
          <w:sz w:val="20"/>
          <w:szCs w:val="20"/>
        </w:rPr>
        <w:t>ariable</w:t>
      </w:r>
    </w:p>
    <w:tbl>
      <w:tblPr>
        <w:tblW w:w="7560" w:type="dxa"/>
        <w:tblLook w:val="04A0" w:firstRow="1" w:lastRow="0" w:firstColumn="1" w:lastColumn="0" w:noHBand="0" w:noVBand="1"/>
      </w:tblPr>
      <w:tblGrid>
        <w:gridCol w:w="1598"/>
        <w:gridCol w:w="656"/>
        <w:gridCol w:w="1037"/>
        <w:gridCol w:w="1114"/>
        <w:gridCol w:w="987"/>
        <w:gridCol w:w="978"/>
        <w:gridCol w:w="1190"/>
      </w:tblGrid>
      <w:tr w:rsidR="005115B7" w:rsidRPr="005115B7" w14:paraId="5614BEAE" w14:textId="77777777" w:rsidTr="005115B7">
        <w:trPr>
          <w:trHeight w:val="390"/>
        </w:trPr>
        <w:tc>
          <w:tcPr>
            <w:tcW w:w="7560" w:type="dxa"/>
            <w:gridSpan w:val="7"/>
            <w:tcBorders>
              <w:top w:val="single" w:sz="4" w:space="0" w:color="auto"/>
              <w:left w:val="nil"/>
              <w:bottom w:val="single" w:sz="4" w:space="0" w:color="auto"/>
              <w:right w:val="nil"/>
            </w:tcBorders>
            <w:shd w:val="clear" w:color="auto" w:fill="auto"/>
            <w:noWrap/>
            <w:vAlign w:val="center"/>
            <w:hideMark/>
          </w:tcPr>
          <w:p w14:paraId="6726C9B3"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lastRenderedPageBreak/>
              <w:t>Panel A: Market model</w:t>
            </w:r>
          </w:p>
        </w:tc>
      </w:tr>
      <w:tr w:rsidR="005115B7" w:rsidRPr="005115B7" w14:paraId="055D708D" w14:textId="77777777" w:rsidTr="005115B7">
        <w:trPr>
          <w:trHeight w:val="330"/>
        </w:trPr>
        <w:tc>
          <w:tcPr>
            <w:tcW w:w="1598" w:type="dxa"/>
            <w:tcBorders>
              <w:top w:val="nil"/>
              <w:left w:val="nil"/>
              <w:bottom w:val="single" w:sz="4" w:space="0" w:color="auto"/>
              <w:right w:val="nil"/>
            </w:tcBorders>
            <w:shd w:val="clear" w:color="auto" w:fill="auto"/>
            <w:noWrap/>
            <w:vAlign w:val="center"/>
            <w:hideMark/>
          </w:tcPr>
          <w:p w14:paraId="74E3ED34"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Variables</w:t>
            </w:r>
          </w:p>
        </w:tc>
        <w:tc>
          <w:tcPr>
            <w:tcW w:w="656" w:type="dxa"/>
            <w:tcBorders>
              <w:top w:val="nil"/>
              <w:left w:val="nil"/>
              <w:bottom w:val="single" w:sz="4" w:space="0" w:color="auto"/>
              <w:right w:val="nil"/>
            </w:tcBorders>
            <w:shd w:val="clear" w:color="auto" w:fill="auto"/>
            <w:noWrap/>
            <w:vAlign w:val="center"/>
            <w:hideMark/>
          </w:tcPr>
          <w:p w14:paraId="670FD57B"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N</w:t>
            </w:r>
          </w:p>
        </w:tc>
        <w:tc>
          <w:tcPr>
            <w:tcW w:w="1037" w:type="dxa"/>
            <w:tcBorders>
              <w:top w:val="nil"/>
              <w:left w:val="nil"/>
              <w:bottom w:val="single" w:sz="4" w:space="0" w:color="auto"/>
              <w:right w:val="nil"/>
            </w:tcBorders>
            <w:shd w:val="clear" w:color="auto" w:fill="auto"/>
            <w:noWrap/>
            <w:vAlign w:val="center"/>
            <w:hideMark/>
          </w:tcPr>
          <w:p w14:paraId="657DB79B"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Mean</w:t>
            </w:r>
          </w:p>
        </w:tc>
        <w:tc>
          <w:tcPr>
            <w:tcW w:w="1114" w:type="dxa"/>
            <w:tcBorders>
              <w:top w:val="nil"/>
              <w:left w:val="nil"/>
              <w:bottom w:val="single" w:sz="4" w:space="0" w:color="auto"/>
              <w:right w:val="nil"/>
            </w:tcBorders>
            <w:shd w:val="clear" w:color="auto" w:fill="auto"/>
            <w:noWrap/>
            <w:vAlign w:val="center"/>
            <w:hideMark/>
          </w:tcPr>
          <w:p w14:paraId="22F9B30A"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Std. Dev</w:t>
            </w:r>
          </w:p>
        </w:tc>
        <w:tc>
          <w:tcPr>
            <w:tcW w:w="987" w:type="dxa"/>
            <w:tcBorders>
              <w:top w:val="nil"/>
              <w:left w:val="nil"/>
              <w:bottom w:val="single" w:sz="4" w:space="0" w:color="auto"/>
              <w:right w:val="nil"/>
            </w:tcBorders>
            <w:shd w:val="clear" w:color="auto" w:fill="auto"/>
            <w:noWrap/>
            <w:vAlign w:val="center"/>
            <w:hideMark/>
          </w:tcPr>
          <w:p w14:paraId="60565887"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Min</w:t>
            </w:r>
          </w:p>
        </w:tc>
        <w:tc>
          <w:tcPr>
            <w:tcW w:w="978" w:type="dxa"/>
            <w:tcBorders>
              <w:top w:val="nil"/>
              <w:left w:val="nil"/>
              <w:bottom w:val="single" w:sz="4" w:space="0" w:color="auto"/>
              <w:right w:val="nil"/>
            </w:tcBorders>
            <w:shd w:val="clear" w:color="auto" w:fill="auto"/>
            <w:noWrap/>
            <w:vAlign w:val="center"/>
            <w:hideMark/>
          </w:tcPr>
          <w:p w14:paraId="6B8F2156"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Median</w:t>
            </w:r>
          </w:p>
        </w:tc>
        <w:tc>
          <w:tcPr>
            <w:tcW w:w="1190" w:type="dxa"/>
            <w:tcBorders>
              <w:top w:val="nil"/>
              <w:left w:val="nil"/>
              <w:bottom w:val="single" w:sz="4" w:space="0" w:color="auto"/>
              <w:right w:val="nil"/>
            </w:tcBorders>
            <w:shd w:val="clear" w:color="auto" w:fill="auto"/>
            <w:noWrap/>
            <w:vAlign w:val="center"/>
            <w:hideMark/>
          </w:tcPr>
          <w:p w14:paraId="6CFEC877"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Max</w:t>
            </w:r>
          </w:p>
        </w:tc>
      </w:tr>
      <w:tr w:rsidR="005115B7" w:rsidRPr="005115B7" w14:paraId="3B5BB6B4" w14:textId="77777777" w:rsidTr="005115B7">
        <w:trPr>
          <w:trHeight w:val="300"/>
        </w:trPr>
        <w:tc>
          <w:tcPr>
            <w:tcW w:w="7560" w:type="dxa"/>
            <w:gridSpan w:val="7"/>
            <w:tcBorders>
              <w:top w:val="single" w:sz="4" w:space="0" w:color="auto"/>
              <w:left w:val="nil"/>
              <w:bottom w:val="nil"/>
              <w:right w:val="nil"/>
            </w:tcBorders>
            <w:shd w:val="clear" w:color="auto" w:fill="auto"/>
            <w:noWrap/>
            <w:vAlign w:val="center"/>
            <w:hideMark/>
          </w:tcPr>
          <w:p w14:paraId="6CB37350"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Stock indices</w:t>
            </w:r>
          </w:p>
        </w:tc>
      </w:tr>
      <w:tr w:rsidR="005115B7" w:rsidRPr="005115B7" w14:paraId="0B104B00" w14:textId="77777777" w:rsidTr="005115B7">
        <w:trPr>
          <w:trHeight w:val="255"/>
        </w:trPr>
        <w:tc>
          <w:tcPr>
            <w:tcW w:w="1598" w:type="dxa"/>
            <w:tcBorders>
              <w:top w:val="nil"/>
              <w:left w:val="nil"/>
              <w:bottom w:val="nil"/>
              <w:right w:val="nil"/>
            </w:tcBorders>
            <w:shd w:val="clear" w:color="auto" w:fill="auto"/>
            <w:noWrap/>
            <w:vAlign w:val="center"/>
            <w:hideMark/>
          </w:tcPr>
          <w:p w14:paraId="487CEDEF"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DJEM</w:t>
            </w:r>
          </w:p>
        </w:tc>
        <w:tc>
          <w:tcPr>
            <w:tcW w:w="656" w:type="dxa"/>
            <w:tcBorders>
              <w:top w:val="nil"/>
              <w:left w:val="nil"/>
              <w:bottom w:val="nil"/>
              <w:right w:val="nil"/>
            </w:tcBorders>
            <w:shd w:val="clear" w:color="auto" w:fill="auto"/>
            <w:noWrap/>
            <w:vAlign w:val="center"/>
            <w:hideMark/>
          </w:tcPr>
          <w:p w14:paraId="7BC0BBCB"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2192</w:t>
            </w:r>
          </w:p>
        </w:tc>
        <w:tc>
          <w:tcPr>
            <w:tcW w:w="1037" w:type="dxa"/>
            <w:tcBorders>
              <w:top w:val="nil"/>
              <w:left w:val="nil"/>
              <w:bottom w:val="nil"/>
              <w:right w:val="nil"/>
            </w:tcBorders>
            <w:shd w:val="clear" w:color="auto" w:fill="auto"/>
            <w:noWrap/>
            <w:vAlign w:val="center"/>
            <w:hideMark/>
          </w:tcPr>
          <w:p w14:paraId="2BF15003"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0.008</w:t>
            </w:r>
          </w:p>
        </w:tc>
        <w:tc>
          <w:tcPr>
            <w:tcW w:w="1114" w:type="dxa"/>
            <w:tcBorders>
              <w:top w:val="nil"/>
              <w:left w:val="nil"/>
              <w:bottom w:val="nil"/>
              <w:right w:val="nil"/>
            </w:tcBorders>
            <w:shd w:val="clear" w:color="auto" w:fill="auto"/>
            <w:noWrap/>
            <w:vAlign w:val="center"/>
            <w:hideMark/>
          </w:tcPr>
          <w:p w14:paraId="639740E7"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0.968</w:t>
            </w:r>
          </w:p>
        </w:tc>
        <w:tc>
          <w:tcPr>
            <w:tcW w:w="987" w:type="dxa"/>
            <w:tcBorders>
              <w:top w:val="nil"/>
              <w:left w:val="nil"/>
              <w:bottom w:val="nil"/>
              <w:right w:val="nil"/>
            </w:tcBorders>
            <w:shd w:val="clear" w:color="auto" w:fill="auto"/>
            <w:noWrap/>
            <w:vAlign w:val="center"/>
            <w:hideMark/>
          </w:tcPr>
          <w:p w14:paraId="3CA1D880"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-7.010</w:t>
            </w:r>
          </w:p>
        </w:tc>
        <w:tc>
          <w:tcPr>
            <w:tcW w:w="978" w:type="dxa"/>
            <w:tcBorders>
              <w:top w:val="nil"/>
              <w:left w:val="nil"/>
              <w:bottom w:val="nil"/>
              <w:right w:val="nil"/>
            </w:tcBorders>
            <w:shd w:val="clear" w:color="auto" w:fill="auto"/>
            <w:noWrap/>
            <w:vAlign w:val="center"/>
            <w:hideMark/>
          </w:tcPr>
          <w:p w14:paraId="27FB86A3"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0.040</w:t>
            </w:r>
          </w:p>
        </w:tc>
        <w:tc>
          <w:tcPr>
            <w:tcW w:w="1190" w:type="dxa"/>
            <w:tcBorders>
              <w:top w:val="nil"/>
              <w:left w:val="nil"/>
              <w:bottom w:val="nil"/>
              <w:right w:val="nil"/>
            </w:tcBorders>
            <w:shd w:val="clear" w:color="auto" w:fill="auto"/>
            <w:noWrap/>
            <w:vAlign w:val="center"/>
            <w:hideMark/>
          </w:tcPr>
          <w:p w14:paraId="7768D069"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5.560</w:t>
            </w:r>
          </w:p>
        </w:tc>
      </w:tr>
      <w:tr w:rsidR="005115B7" w:rsidRPr="005115B7" w14:paraId="7B93BC7D" w14:textId="77777777" w:rsidTr="005115B7">
        <w:trPr>
          <w:trHeight w:val="255"/>
        </w:trPr>
        <w:tc>
          <w:tcPr>
            <w:tcW w:w="1598" w:type="dxa"/>
            <w:tcBorders>
              <w:top w:val="nil"/>
              <w:left w:val="nil"/>
              <w:bottom w:val="nil"/>
              <w:right w:val="nil"/>
            </w:tcBorders>
            <w:shd w:val="clear" w:color="auto" w:fill="auto"/>
            <w:noWrap/>
            <w:vAlign w:val="center"/>
            <w:hideMark/>
          </w:tcPr>
          <w:p w14:paraId="0B1A0669"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MSCIEM</w:t>
            </w:r>
          </w:p>
        </w:tc>
        <w:tc>
          <w:tcPr>
            <w:tcW w:w="656" w:type="dxa"/>
            <w:tcBorders>
              <w:top w:val="nil"/>
              <w:left w:val="nil"/>
              <w:bottom w:val="nil"/>
              <w:right w:val="nil"/>
            </w:tcBorders>
            <w:shd w:val="clear" w:color="auto" w:fill="auto"/>
            <w:noWrap/>
            <w:vAlign w:val="center"/>
            <w:hideMark/>
          </w:tcPr>
          <w:p w14:paraId="0074A198"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2167</w:t>
            </w:r>
          </w:p>
        </w:tc>
        <w:tc>
          <w:tcPr>
            <w:tcW w:w="1037" w:type="dxa"/>
            <w:tcBorders>
              <w:top w:val="nil"/>
              <w:left w:val="nil"/>
              <w:bottom w:val="nil"/>
              <w:right w:val="nil"/>
            </w:tcBorders>
            <w:shd w:val="clear" w:color="auto" w:fill="auto"/>
            <w:noWrap/>
            <w:vAlign w:val="center"/>
            <w:hideMark/>
          </w:tcPr>
          <w:p w14:paraId="15680795"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0.007</w:t>
            </w:r>
          </w:p>
        </w:tc>
        <w:tc>
          <w:tcPr>
            <w:tcW w:w="1114" w:type="dxa"/>
            <w:tcBorders>
              <w:top w:val="nil"/>
              <w:left w:val="nil"/>
              <w:bottom w:val="nil"/>
              <w:right w:val="nil"/>
            </w:tcBorders>
            <w:shd w:val="clear" w:color="auto" w:fill="auto"/>
            <w:noWrap/>
            <w:vAlign w:val="center"/>
            <w:hideMark/>
          </w:tcPr>
          <w:p w14:paraId="52F79DEB"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1.031</w:t>
            </w:r>
          </w:p>
        </w:tc>
        <w:tc>
          <w:tcPr>
            <w:tcW w:w="987" w:type="dxa"/>
            <w:tcBorders>
              <w:top w:val="nil"/>
              <w:left w:val="nil"/>
              <w:bottom w:val="nil"/>
              <w:right w:val="nil"/>
            </w:tcBorders>
            <w:shd w:val="clear" w:color="auto" w:fill="auto"/>
            <w:noWrap/>
            <w:vAlign w:val="center"/>
            <w:hideMark/>
          </w:tcPr>
          <w:p w14:paraId="00722DF5"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-6.710</w:t>
            </w:r>
          </w:p>
        </w:tc>
        <w:tc>
          <w:tcPr>
            <w:tcW w:w="978" w:type="dxa"/>
            <w:tcBorders>
              <w:top w:val="nil"/>
              <w:left w:val="nil"/>
              <w:bottom w:val="nil"/>
              <w:right w:val="nil"/>
            </w:tcBorders>
            <w:shd w:val="clear" w:color="auto" w:fill="auto"/>
            <w:noWrap/>
            <w:vAlign w:val="center"/>
            <w:hideMark/>
          </w:tcPr>
          <w:p w14:paraId="3759C940"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0.050</w:t>
            </w:r>
          </w:p>
        </w:tc>
        <w:tc>
          <w:tcPr>
            <w:tcW w:w="1190" w:type="dxa"/>
            <w:tcBorders>
              <w:top w:val="nil"/>
              <w:left w:val="nil"/>
              <w:bottom w:val="nil"/>
              <w:right w:val="nil"/>
            </w:tcBorders>
            <w:shd w:val="clear" w:color="auto" w:fill="auto"/>
            <w:noWrap/>
            <w:vAlign w:val="center"/>
            <w:hideMark/>
          </w:tcPr>
          <w:p w14:paraId="0A8A6D67"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5.730</w:t>
            </w:r>
          </w:p>
        </w:tc>
      </w:tr>
      <w:tr w:rsidR="005115B7" w:rsidRPr="005115B7" w14:paraId="099973F4" w14:textId="77777777" w:rsidTr="005115B7">
        <w:trPr>
          <w:trHeight w:val="300"/>
        </w:trPr>
        <w:tc>
          <w:tcPr>
            <w:tcW w:w="7560" w:type="dxa"/>
            <w:gridSpan w:val="7"/>
            <w:tcBorders>
              <w:top w:val="nil"/>
              <w:left w:val="nil"/>
              <w:bottom w:val="nil"/>
              <w:right w:val="nil"/>
            </w:tcBorders>
            <w:shd w:val="clear" w:color="auto" w:fill="auto"/>
            <w:noWrap/>
            <w:vAlign w:val="center"/>
            <w:hideMark/>
          </w:tcPr>
          <w:p w14:paraId="6DB310D4"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Market indices</w:t>
            </w:r>
          </w:p>
        </w:tc>
      </w:tr>
      <w:tr w:rsidR="005115B7" w:rsidRPr="005115B7" w14:paraId="4692D2B3" w14:textId="77777777" w:rsidTr="005115B7">
        <w:trPr>
          <w:trHeight w:val="255"/>
        </w:trPr>
        <w:tc>
          <w:tcPr>
            <w:tcW w:w="1598" w:type="dxa"/>
            <w:tcBorders>
              <w:top w:val="nil"/>
              <w:left w:val="nil"/>
              <w:bottom w:val="nil"/>
              <w:right w:val="nil"/>
            </w:tcBorders>
            <w:shd w:val="clear" w:color="auto" w:fill="auto"/>
            <w:noWrap/>
            <w:vAlign w:val="center"/>
            <w:hideMark/>
          </w:tcPr>
          <w:p w14:paraId="5F021082"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FTSEW</w:t>
            </w:r>
          </w:p>
        </w:tc>
        <w:tc>
          <w:tcPr>
            <w:tcW w:w="656" w:type="dxa"/>
            <w:tcBorders>
              <w:top w:val="nil"/>
              <w:left w:val="nil"/>
              <w:bottom w:val="nil"/>
              <w:right w:val="nil"/>
            </w:tcBorders>
            <w:shd w:val="clear" w:color="auto" w:fill="auto"/>
            <w:noWrap/>
            <w:vAlign w:val="center"/>
            <w:hideMark/>
          </w:tcPr>
          <w:p w14:paraId="6D404642"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2244</w:t>
            </w:r>
          </w:p>
        </w:tc>
        <w:tc>
          <w:tcPr>
            <w:tcW w:w="1037" w:type="dxa"/>
            <w:tcBorders>
              <w:top w:val="nil"/>
              <w:left w:val="nil"/>
              <w:bottom w:val="nil"/>
              <w:right w:val="nil"/>
            </w:tcBorders>
            <w:shd w:val="clear" w:color="auto" w:fill="auto"/>
            <w:noWrap/>
            <w:vAlign w:val="center"/>
            <w:hideMark/>
          </w:tcPr>
          <w:p w14:paraId="55D4358E"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0.026</w:t>
            </w:r>
          </w:p>
        </w:tc>
        <w:tc>
          <w:tcPr>
            <w:tcW w:w="1114" w:type="dxa"/>
            <w:tcBorders>
              <w:top w:val="nil"/>
              <w:left w:val="nil"/>
              <w:bottom w:val="nil"/>
              <w:right w:val="nil"/>
            </w:tcBorders>
            <w:shd w:val="clear" w:color="auto" w:fill="auto"/>
            <w:noWrap/>
            <w:vAlign w:val="center"/>
            <w:hideMark/>
          </w:tcPr>
          <w:p w14:paraId="491771DC"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0.949</w:t>
            </w:r>
          </w:p>
        </w:tc>
        <w:tc>
          <w:tcPr>
            <w:tcW w:w="987" w:type="dxa"/>
            <w:tcBorders>
              <w:top w:val="nil"/>
              <w:left w:val="nil"/>
              <w:bottom w:val="nil"/>
              <w:right w:val="nil"/>
            </w:tcBorders>
            <w:shd w:val="clear" w:color="auto" w:fill="auto"/>
            <w:noWrap/>
            <w:vAlign w:val="center"/>
            <w:hideMark/>
          </w:tcPr>
          <w:p w14:paraId="2377E6A1"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-9.760</w:t>
            </w:r>
          </w:p>
        </w:tc>
        <w:tc>
          <w:tcPr>
            <w:tcW w:w="978" w:type="dxa"/>
            <w:tcBorders>
              <w:top w:val="nil"/>
              <w:left w:val="nil"/>
              <w:bottom w:val="nil"/>
              <w:right w:val="nil"/>
            </w:tcBorders>
            <w:shd w:val="clear" w:color="auto" w:fill="auto"/>
            <w:noWrap/>
            <w:vAlign w:val="center"/>
            <w:hideMark/>
          </w:tcPr>
          <w:p w14:paraId="49D782EF"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0.030</w:t>
            </w:r>
          </w:p>
        </w:tc>
        <w:tc>
          <w:tcPr>
            <w:tcW w:w="1190" w:type="dxa"/>
            <w:tcBorders>
              <w:top w:val="nil"/>
              <w:left w:val="nil"/>
              <w:bottom w:val="nil"/>
              <w:right w:val="nil"/>
            </w:tcBorders>
            <w:shd w:val="clear" w:color="auto" w:fill="auto"/>
            <w:noWrap/>
            <w:vAlign w:val="center"/>
            <w:hideMark/>
          </w:tcPr>
          <w:p w14:paraId="6BC6D97F"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8.610</w:t>
            </w:r>
          </w:p>
        </w:tc>
      </w:tr>
      <w:tr w:rsidR="005115B7" w:rsidRPr="005115B7" w14:paraId="7EF095C4" w14:textId="77777777" w:rsidTr="005115B7">
        <w:trPr>
          <w:trHeight w:val="255"/>
        </w:trPr>
        <w:tc>
          <w:tcPr>
            <w:tcW w:w="1598" w:type="dxa"/>
            <w:tcBorders>
              <w:top w:val="nil"/>
              <w:left w:val="nil"/>
              <w:bottom w:val="nil"/>
              <w:right w:val="nil"/>
            </w:tcBorders>
            <w:shd w:val="clear" w:color="auto" w:fill="auto"/>
            <w:noWrap/>
            <w:vAlign w:val="center"/>
            <w:hideMark/>
          </w:tcPr>
          <w:p w14:paraId="09A9F6B8"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MSCIW</w:t>
            </w:r>
          </w:p>
        </w:tc>
        <w:tc>
          <w:tcPr>
            <w:tcW w:w="656" w:type="dxa"/>
            <w:tcBorders>
              <w:top w:val="nil"/>
              <w:left w:val="nil"/>
              <w:bottom w:val="nil"/>
              <w:right w:val="nil"/>
            </w:tcBorders>
            <w:shd w:val="clear" w:color="auto" w:fill="auto"/>
            <w:noWrap/>
            <w:vAlign w:val="center"/>
            <w:hideMark/>
          </w:tcPr>
          <w:p w14:paraId="586AB494"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2166</w:t>
            </w:r>
          </w:p>
        </w:tc>
        <w:tc>
          <w:tcPr>
            <w:tcW w:w="1037" w:type="dxa"/>
            <w:tcBorders>
              <w:top w:val="nil"/>
              <w:left w:val="nil"/>
              <w:bottom w:val="nil"/>
              <w:right w:val="nil"/>
            </w:tcBorders>
            <w:shd w:val="clear" w:color="auto" w:fill="auto"/>
            <w:noWrap/>
            <w:vAlign w:val="center"/>
            <w:hideMark/>
          </w:tcPr>
          <w:p w14:paraId="109E7367"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0.028</w:t>
            </w:r>
          </w:p>
        </w:tc>
        <w:tc>
          <w:tcPr>
            <w:tcW w:w="1114" w:type="dxa"/>
            <w:tcBorders>
              <w:top w:val="nil"/>
              <w:left w:val="nil"/>
              <w:bottom w:val="nil"/>
              <w:right w:val="nil"/>
            </w:tcBorders>
            <w:shd w:val="clear" w:color="auto" w:fill="auto"/>
            <w:noWrap/>
            <w:vAlign w:val="center"/>
            <w:hideMark/>
          </w:tcPr>
          <w:p w14:paraId="29BDDD88"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0.989</w:t>
            </w:r>
          </w:p>
        </w:tc>
        <w:tc>
          <w:tcPr>
            <w:tcW w:w="987" w:type="dxa"/>
            <w:tcBorders>
              <w:top w:val="nil"/>
              <w:left w:val="nil"/>
              <w:bottom w:val="nil"/>
              <w:right w:val="nil"/>
            </w:tcBorders>
            <w:shd w:val="clear" w:color="auto" w:fill="auto"/>
            <w:noWrap/>
            <w:vAlign w:val="center"/>
            <w:hideMark/>
          </w:tcPr>
          <w:p w14:paraId="73E87D33"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-9.910</w:t>
            </w:r>
          </w:p>
        </w:tc>
        <w:tc>
          <w:tcPr>
            <w:tcW w:w="978" w:type="dxa"/>
            <w:tcBorders>
              <w:top w:val="nil"/>
              <w:left w:val="nil"/>
              <w:bottom w:val="nil"/>
              <w:right w:val="nil"/>
            </w:tcBorders>
            <w:shd w:val="clear" w:color="auto" w:fill="auto"/>
            <w:noWrap/>
            <w:vAlign w:val="center"/>
            <w:hideMark/>
          </w:tcPr>
          <w:p w14:paraId="391802B7"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0.050</w:t>
            </w:r>
          </w:p>
        </w:tc>
        <w:tc>
          <w:tcPr>
            <w:tcW w:w="1190" w:type="dxa"/>
            <w:tcBorders>
              <w:top w:val="nil"/>
              <w:left w:val="nil"/>
              <w:bottom w:val="nil"/>
              <w:right w:val="nil"/>
            </w:tcBorders>
            <w:shd w:val="clear" w:color="auto" w:fill="auto"/>
            <w:noWrap/>
            <w:vAlign w:val="center"/>
            <w:hideMark/>
          </w:tcPr>
          <w:p w14:paraId="692D039D"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8.770</w:t>
            </w:r>
          </w:p>
        </w:tc>
      </w:tr>
      <w:tr w:rsidR="005115B7" w:rsidRPr="005115B7" w14:paraId="39021633" w14:textId="77777777" w:rsidTr="005115B7">
        <w:trPr>
          <w:trHeight w:val="300"/>
        </w:trPr>
        <w:tc>
          <w:tcPr>
            <w:tcW w:w="7560" w:type="dxa"/>
            <w:gridSpan w:val="7"/>
            <w:tcBorders>
              <w:top w:val="single" w:sz="4" w:space="0" w:color="auto"/>
              <w:left w:val="nil"/>
              <w:bottom w:val="single" w:sz="4" w:space="0" w:color="auto"/>
              <w:right w:val="nil"/>
            </w:tcBorders>
            <w:shd w:val="clear" w:color="auto" w:fill="auto"/>
            <w:noWrap/>
            <w:vAlign w:val="center"/>
            <w:hideMark/>
          </w:tcPr>
          <w:p w14:paraId="6EAE8A71"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Panel B: Regression</w:t>
            </w:r>
          </w:p>
        </w:tc>
      </w:tr>
      <w:tr w:rsidR="005115B7" w:rsidRPr="005115B7" w14:paraId="788261E1" w14:textId="77777777" w:rsidTr="005115B7">
        <w:trPr>
          <w:trHeight w:val="330"/>
        </w:trPr>
        <w:tc>
          <w:tcPr>
            <w:tcW w:w="1598" w:type="dxa"/>
            <w:tcBorders>
              <w:top w:val="nil"/>
              <w:left w:val="nil"/>
              <w:bottom w:val="single" w:sz="4" w:space="0" w:color="auto"/>
              <w:right w:val="nil"/>
            </w:tcBorders>
            <w:shd w:val="clear" w:color="auto" w:fill="auto"/>
            <w:noWrap/>
            <w:vAlign w:val="center"/>
            <w:hideMark/>
          </w:tcPr>
          <w:p w14:paraId="201A73D4"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Variables</w:t>
            </w:r>
          </w:p>
        </w:tc>
        <w:tc>
          <w:tcPr>
            <w:tcW w:w="656" w:type="dxa"/>
            <w:tcBorders>
              <w:top w:val="nil"/>
              <w:left w:val="nil"/>
              <w:bottom w:val="single" w:sz="4" w:space="0" w:color="auto"/>
              <w:right w:val="nil"/>
            </w:tcBorders>
            <w:shd w:val="clear" w:color="auto" w:fill="auto"/>
            <w:noWrap/>
            <w:vAlign w:val="center"/>
            <w:hideMark/>
          </w:tcPr>
          <w:p w14:paraId="31DA4291"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N</w:t>
            </w:r>
          </w:p>
        </w:tc>
        <w:tc>
          <w:tcPr>
            <w:tcW w:w="1037" w:type="dxa"/>
            <w:tcBorders>
              <w:top w:val="nil"/>
              <w:left w:val="nil"/>
              <w:bottom w:val="single" w:sz="4" w:space="0" w:color="auto"/>
              <w:right w:val="nil"/>
            </w:tcBorders>
            <w:shd w:val="clear" w:color="auto" w:fill="auto"/>
            <w:noWrap/>
            <w:vAlign w:val="center"/>
            <w:hideMark/>
          </w:tcPr>
          <w:p w14:paraId="1D387125"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Mean</w:t>
            </w:r>
          </w:p>
        </w:tc>
        <w:tc>
          <w:tcPr>
            <w:tcW w:w="1114" w:type="dxa"/>
            <w:tcBorders>
              <w:top w:val="nil"/>
              <w:left w:val="nil"/>
              <w:bottom w:val="single" w:sz="4" w:space="0" w:color="auto"/>
              <w:right w:val="nil"/>
            </w:tcBorders>
            <w:shd w:val="clear" w:color="auto" w:fill="auto"/>
            <w:noWrap/>
            <w:vAlign w:val="center"/>
            <w:hideMark/>
          </w:tcPr>
          <w:p w14:paraId="19596253"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Std. Dev</w:t>
            </w:r>
          </w:p>
        </w:tc>
        <w:tc>
          <w:tcPr>
            <w:tcW w:w="987" w:type="dxa"/>
            <w:tcBorders>
              <w:top w:val="nil"/>
              <w:left w:val="nil"/>
              <w:bottom w:val="single" w:sz="4" w:space="0" w:color="auto"/>
              <w:right w:val="nil"/>
            </w:tcBorders>
            <w:shd w:val="clear" w:color="auto" w:fill="auto"/>
            <w:noWrap/>
            <w:vAlign w:val="center"/>
            <w:hideMark/>
          </w:tcPr>
          <w:p w14:paraId="151DC161"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Min</w:t>
            </w:r>
          </w:p>
        </w:tc>
        <w:tc>
          <w:tcPr>
            <w:tcW w:w="978" w:type="dxa"/>
            <w:tcBorders>
              <w:top w:val="nil"/>
              <w:left w:val="nil"/>
              <w:bottom w:val="single" w:sz="4" w:space="0" w:color="auto"/>
              <w:right w:val="nil"/>
            </w:tcBorders>
            <w:shd w:val="clear" w:color="auto" w:fill="auto"/>
            <w:noWrap/>
            <w:vAlign w:val="center"/>
            <w:hideMark/>
          </w:tcPr>
          <w:p w14:paraId="319054B2"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Median</w:t>
            </w:r>
          </w:p>
        </w:tc>
        <w:tc>
          <w:tcPr>
            <w:tcW w:w="1190" w:type="dxa"/>
            <w:tcBorders>
              <w:top w:val="nil"/>
              <w:left w:val="nil"/>
              <w:bottom w:val="single" w:sz="4" w:space="0" w:color="auto"/>
              <w:right w:val="nil"/>
            </w:tcBorders>
            <w:shd w:val="clear" w:color="auto" w:fill="auto"/>
            <w:noWrap/>
            <w:vAlign w:val="center"/>
            <w:hideMark/>
          </w:tcPr>
          <w:p w14:paraId="090DFBD2"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Max</w:t>
            </w:r>
          </w:p>
        </w:tc>
      </w:tr>
      <w:tr w:rsidR="005115B7" w:rsidRPr="005115B7" w14:paraId="60DCF44A" w14:textId="77777777" w:rsidTr="005115B7">
        <w:trPr>
          <w:trHeight w:val="255"/>
        </w:trPr>
        <w:tc>
          <w:tcPr>
            <w:tcW w:w="1598" w:type="dxa"/>
            <w:tcBorders>
              <w:top w:val="nil"/>
              <w:left w:val="nil"/>
              <w:bottom w:val="nil"/>
              <w:right w:val="nil"/>
            </w:tcBorders>
            <w:shd w:val="clear" w:color="auto" w:fill="auto"/>
            <w:noWrap/>
            <w:vAlign w:val="center"/>
            <w:hideMark/>
          </w:tcPr>
          <w:p w14:paraId="3CF1F697" w14:textId="7B619ED1"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GDP</w:t>
            </w:r>
            <w:r w:rsidR="008D5762">
              <w:rPr>
                <w:rFonts w:eastAsia="Times New Roman"/>
                <w:color w:val="000000"/>
                <w:kern w:val="0"/>
                <w:sz w:val="20"/>
                <w:szCs w:val="20"/>
                <w14:ligatures w14:val="none"/>
              </w:rPr>
              <w:t>G</w:t>
            </w:r>
          </w:p>
        </w:tc>
        <w:tc>
          <w:tcPr>
            <w:tcW w:w="656" w:type="dxa"/>
            <w:tcBorders>
              <w:top w:val="nil"/>
              <w:left w:val="nil"/>
              <w:bottom w:val="nil"/>
              <w:right w:val="nil"/>
            </w:tcBorders>
            <w:shd w:val="clear" w:color="auto" w:fill="auto"/>
            <w:noWrap/>
            <w:vAlign w:val="center"/>
            <w:hideMark/>
          </w:tcPr>
          <w:p w14:paraId="298DD074"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112</w:t>
            </w:r>
          </w:p>
        </w:tc>
        <w:tc>
          <w:tcPr>
            <w:tcW w:w="1037" w:type="dxa"/>
            <w:tcBorders>
              <w:top w:val="nil"/>
              <w:left w:val="nil"/>
              <w:bottom w:val="nil"/>
              <w:right w:val="nil"/>
            </w:tcBorders>
            <w:shd w:val="clear" w:color="auto" w:fill="auto"/>
            <w:noWrap/>
            <w:vAlign w:val="center"/>
            <w:hideMark/>
          </w:tcPr>
          <w:p w14:paraId="4082C490"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3.314</w:t>
            </w:r>
          </w:p>
        </w:tc>
        <w:tc>
          <w:tcPr>
            <w:tcW w:w="1114" w:type="dxa"/>
            <w:tcBorders>
              <w:top w:val="nil"/>
              <w:left w:val="nil"/>
              <w:bottom w:val="nil"/>
              <w:right w:val="nil"/>
            </w:tcBorders>
            <w:shd w:val="clear" w:color="auto" w:fill="auto"/>
            <w:noWrap/>
            <w:vAlign w:val="center"/>
            <w:hideMark/>
          </w:tcPr>
          <w:p w14:paraId="73BB9AA8"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2.732</w:t>
            </w:r>
          </w:p>
        </w:tc>
        <w:tc>
          <w:tcPr>
            <w:tcW w:w="987" w:type="dxa"/>
            <w:tcBorders>
              <w:top w:val="nil"/>
              <w:left w:val="nil"/>
              <w:bottom w:val="nil"/>
              <w:right w:val="nil"/>
            </w:tcBorders>
            <w:shd w:val="clear" w:color="auto" w:fill="auto"/>
            <w:noWrap/>
            <w:vAlign w:val="center"/>
            <w:hideMark/>
          </w:tcPr>
          <w:p w14:paraId="7F2910C5"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-10.000</w:t>
            </w:r>
          </w:p>
        </w:tc>
        <w:tc>
          <w:tcPr>
            <w:tcW w:w="978" w:type="dxa"/>
            <w:tcBorders>
              <w:top w:val="nil"/>
              <w:left w:val="nil"/>
              <w:bottom w:val="nil"/>
              <w:right w:val="nil"/>
            </w:tcBorders>
            <w:shd w:val="clear" w:color="auto" w:fill="auto"/>
            <w:noWrap/>
            <w:vAlign w:val="center"/>
            <w:hideMark/>
          </w:tcPr>
          <w:p w14:paraId="65754B94"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3.400</w:t>
            </w:r>
          </w:p>
        </w:tc>
        <w:tc>
          <w:tcPr>
            <w:tcW w:w="1190" w:type="dxa"/>
            <w:tcBorders>
              <w:top w:val="nil"/>
              <w:left w:val="nil"/>
              <w:bottom w:val="nil"/>
              <w:right w:val="nil"/>
            </w:tcBorders>
            <w:shd w:val="clear" w:color="auto" w:fill="auto"/>
            <w:noWrap/>
            <w:vAlign w:val="center"/>
            <w:hideMark/>
          </w:tcPr>
          <w:p w14:paraId="5FE149E6"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8.197</w:t>
            </w:r>
          </w:p>
        </w:tc>
      </w:tr>
      <w:tr w:rsidR="005115B7" w:rsidRPr="005115B7" w14:paraId="6AB9FB46" w14:textId="77777777" w:rsidTr="005115B7">
        <w:trPr>
          <w:trHeight w:val="255"/>
        </w:trPr>
        <w:tc>
          <w:tcPr>
            <w:tcW w:w="1598" w:type="dxa"/>
            <w:tcBorders>
              <w:top w:val="nil"/>
              <w:left w:val="nil"/>
              <w:bottom w:val="nil"/>
              <w:right w:val="nil"/>
            </w:tcBorders>
            <w:shd w:val="clear" w:color="auto" w:fill="auto"/>
            <w:noWrap/>
            <w:vAlign w:val="center"/>
            <w:hideMark/>
          </w:tcPr>
          <w:p w14:paraId="17949EC4"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Return</w:t>
            </w:r>
          </w:p>
        </w:tc>
        <w:tc>
          <w:tcPr>
            <w:tcW w:w="656" w:type="dxa"/>
            <w:tcBorders>
              <w:top w:val="nil"/>
              <w:left w:val="nil"/>
              <w:bottom w:val="nil"/>
              <w:right w:val="nil"/>
            </w:tcBorders>
            <w:shd w:val="clear" w:color="auto" w:fill="auto"/>
            <w:noWrap/>
            <w:vAlign w:val="center"/>
            <w:hideMark/>
          </w:tcPr>
          <w:p w14:paraId="3B9B7D8D"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112</w:t>
            </w:r>
          </w:p>
        </w:tc>
        <w:tc>
          <w:tcPr>
            <w:tcW w:w="1037" w:type="dxa"/>
            <w:tcBorders>
              <w:top w:val="nil"/>
              <w:left w:val="nil"/>
              <w:bottom w:val="nil"/>
              <w:right w:val="nil"/>
            </w:tcBorders>
            <w:shd w:val="clear" w:color="auto" w:fill="auto"/>
            <w:noWrap/>
            <w:vAlign w:val="center"/>
            <w:hideMark/>
          </w:tcPr>
          <w:p w14:paraId="572C547A"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1.848</w:t>
            </w:r>
          </w:p>
        </w:tc>
        <w:tc>
          <w:tcPr>
            <w:tcW w:w="1114" w:type="dxa"/>
            <w:tcBorders>
              <w:top w:val="nil"/>
              <w:left w:val="nil"/>
              <w:bottom w:val="nil"/>
              <w:right w:val="nil"/>
            </w:tcBorders>
            <w:shd w:val="clear" w:color="auto" w:fill="auto"/>
            <w:noWrap/>
            <w:vAlign w:val="center"/>
            <w:hideMark/>
          </w:tcPr>
          <w:p w14:paraId="5AB1A662"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13.461</w:t>
            </w:r>
          </w:p>
        </w:tc>
        <w:tc>
          <w:tcPr>
            <w:tcW w:w="987" w:type="dxa"/>
            <w:tcBorders>
              <w:top w:val="nil"/>
              <w:left w:val="nil"/>
              <w:bottom w:val="nil"/>
              <w:right w:val="nil"/>
            </w:tcBorders>
            <w:shd w:val="clear" w:color="auto" w:fill="auto"/>
            <w:noWrap/>
            <w:vAlign w:val="center"/>
            <w:hideMark/>
          </w:tcPr>
          <w:p w14:paraId="6C48E42D"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-25.748</w:t>
            </w:r>
          </w:p>
        </w:tc>
        <w:tc>
          <w:tcPr>
            <w:tcW w:w="978" w:type="dxa"/>
            <w:tcBorders>
              <w:top w:val="nil"/>
              <w:left w:val="nil"/>
              <w:bottom w:val="nil"/>
              <w:right w:val="nil"/>
            </w:tcBorders>
            <w:shd w:val="clear" w:color="auto" w:fill="auto"/>
            <w:noWrap/>
            <w:vAlign w:val="center"/>
            <w:hideMark/>
          </w:tcPr>
          <w:p w14:paraId="436685BD"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1.841</w:t>
            </w:r>
          </w:p>
        </w:tc>
        <w:tc>
          <w:tcPr>
            <w:tcW w:w="1190" w:type="dxa"/>
            <w:tcBorders>
              <w:top w:val="nil"/>
              <w:left w:val="nil"/>
              <w:bottom w:val="nil"/>
              <w:right w:val="nil"/>
            </w:tcBorders>
            <w:shd w:val="clear" w:color="auto" w:fill="auto"/>
            <w:noWrap/>
            <w:vAlign w:val="center"/>
            <w:hideMark/>
          </w:tcPr>
          <w:p w14:paraId="4F257302"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38.932</w:t>
            </w:r>
          </w:p>
        </w:tc>
      </w:tr>
      <w:tr w:rsidR="005115B7" w:rsidRPr="005115B7" w14:paraId="7E3CC99D" w14:textId="77777777" w:rsidTr="005115B7">
        <w:trPr>
          <w:trHeight w:val="255"/>
        </w:trPr>
        <w:tc>
          <w:tcPr>
            <w:tcW w:w="1598" w:type="dxa"/>
            <w:tcBorders>
              <w:top w:val="nil"/>
              <w:left w:val="nil"/>
              <w:bottom w:val="nil"/>
              <w:right w:val="nil"/>
            </w:tcBorders>
            <w:shd w:val="clear" w:color="auto" w:fill="auto"/>
            <w:noWrap/>
            <w:vAlign w:val="center"/>
            <w:hideMark/>
          </w:tcPr>
          <w:p w14:paraId="7BE9ADAD"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HDI</w:t>
            </w:r>
          </w:p>
        </w:tc>
        <w:tc>
          <w:tcPr>
            <w:tcW w:w="656" w:type="dxa"/>
            <w:tcBorders>
              <w:top w:val="nil"/>
              <w:left w:val="nil"/>
              <w:bottom w:val="nil"/>
              <w:right w:val="nil"/>
            </w:tcBorders>
            <w:shd w:val="clear" w:color="auto" w:fill="auto"/>
            <w:noWrap/>
            <w:vAlign w:val="center"/>
            <w:hideMark/>
          </w:tcPr>
          <w:p w14:paraId="4EB8D2B6"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112</w:t>
            </w:r>
          </w:p>
        </w:tc>
        <w:tc>
          <w:tcPr>
            <w:tcW w:w="1037" w:type="dxa"/>
            <w:tcBorders>
              <w:top w:val="nil"/>
              <w:left w:val="nil"/>
              <w:bottom w:val="nil"/>
              <w:right w:val="nil"/>
            </w:tcBorders>
            <w:shd w:val="clear" w:color="auto" w:fill="auto"/>
            <w:noWrap/>
            <w:vAlign w:val="center"/>
            <w:hideMark/>
          </w:tcPr>
          <w:p w14:paraId="23787C8A"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0.770</w:t>
            </w:r>
          </w:p>
        </w:tc>
        <w:tc>
          <w:tcPr>
            <w:tcW w:w="1114" w:type="dxa"/>
            <w:tcBorders>
              <w:top w:val="nil"/>
              <w:left w:val="nil"/>
              <w:bottom w:val="nil"/>
              <w:right w:val="nil"/>
            </w:tcBorders>
            <w:shd w:val="clear" w:color="auto" w:fill="auto"/>
            <w:noWrap/>
            <w:vAlign w:val="center"/>
            <w:hideMark/>
          </w:tcPr>
          <w:p w14:paraId="604E8D9A"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0.056</w:t>
            </w:r>
          </w:p>
        </w:tc>
        <w:tc>
          <w:tcPr>
            <w:tcW w:w="987" w:type="dxa"/>
            <w:tcBorders>
              <w:top w:val="nil"/>
              <w:left w:val="nil"/>
              <w:bottom w:val="nil"/>
              <w:right w:val="nil"/>
            </w:tcBorders>
            <w:shd w:val="clear" w:color="auto" w:fill="auto"/>
            <w:noWrap/>
            <w:vAlign w:val="center"/>
            <w:hideMark/>
          </w:tcPr>
          <w:p w14:paraId="409B341F"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0.699</w:t>
            </w:r>
          </w:p>
        </w:tc>
        <w:tc>
          <w:tcPr>
            <w:tcW w:w="978" w:type="dxa"/>
            <w:tcBorders>
              <w:top w:val="nil"/>
              <w:left w:val="nil"/>
              <w:bottom w:val="nil"/>
              <w:right w:val="nil"/>
            </w:tcBorders>
            <w:shd w:val="clear" w:color="auto" w:fill="auto"/>
            <w:noWrap/>
            <w:vAlign w:val="center"/>
            <w:hideMark/>
          </w:tcPr>
          <w:p w14:paraId="1D2B67AC"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0.758</w:t>
            </w:r>
          </w:p>
        </w:tc>
        <w:tc>
          <w:tcPr>
            <w:tcW w:w="1190" w:type="dxa"/>
            <w:tcBorders>
              <w:top w:val="nil"/>
              <w:left w:val="nil"/>
              <w:bottom w:val="nil"/>
              <w:right w:val="nil"/>
            </w:tcBorders>
            <w:shd w:val="clear" w:color="auto" w:fill="auto"/>
            <w:noWrap/>
            <w:vAlign w:val="center"/>
            <w:hideMark/>
          </w:tcPr>
          <w:p w14:paraId="2535063B"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0.925</w:t>
            </w:r>
          </w:p>
        </w:tc>
      </w:tr>
      <w:tr w:rsidR="005115B7" w:rsidRPr="005115B7" w14:paraId="0AA7D6F1" w14:textId="77777777" w:rsidTr="005115B7">
        <w:trPr>
          <w:trHeight w:val="255"/>
        </w:trPr>
        <w:tc>
          <w:tcPr>
            <w:tcW w:w="1598" w:type="dxa"/>
            <w:tcBorders>
              <w:top w:val="nil"/>
              <w:left w:val="nil"/>
              <w:bottom w:val="nil"/>
              <w:right w:val="nil"/>
            </w:tcBorders>
            <w:shd w:val="clear" w:color="auto" w:fill="auto"/>
            <w:noWrap/>
            <w:vAlign w:val="center"/>
            <w:hideMark/>
          </w:tcPr>
          <w:p w14:paraId="7D0F9779"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Tourism</w:t>
            </w:r>
          </w:p>
        </w:tc>
        <w:tc>
          <w:tcPr>
            <w:tcW w:w="656" w:type="dxa"/>
            <w:tcBorders>
              <w:top w:val="nil"/>
              <w:left w:val="nil"/>
              <w:bottom w:val="nil"/>
              <w:right w:val="nil"/>
            </w:tcBorders>
            <w:shd w:val="clear" w:color="auto" w:fill="auto"/>
            <w:noWrap/>
            <w:vAlign w:val="center"/>
            <w:hideMark/>
          </w:tcPr>
          <w:p w14:paraId="5A32FE82"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112</w:t>
            </w:r>
          </w:p>
        </w:tc>
        <w:tc>
          <w:tcPr>
            <w:tcW w:w="1037" w:type="dxa"/>
            <w:tcBorders>
              <w:top w:val="nil"/>
              <w:left w:val="nil"/>
              <w:bottom w:val="nil"/>
              <w:right w:val="nil"/>
            </w:tcBorders>
            <w:shd w:val="clear" w:color="auto" w:fill="auto"/>
            <w:noWrap/>
            <w:vAlign w:val="center"/>
            <w:hideMark/>
          </w:tcPr>
          <w:p w14:paraId="715A9D50"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44.065</w:t>
            </w:r>
          </w:p>
        </w:tc>
        <w:tc>
          <w:tcPr>
            <w:tcW w:w="1114" w:type="dxa"/>
            <w:tcBorders>
              <w:top w:val="nil"/>
              <w:left w:val="nil"/>
              <w:bottom w:val="nil"/>
              <w:right w:val="nil"/>
            </w:tcBorders>
            <w:shd w:val="clear" w:color="auto" w:fill="auto"/>
            <w:noWrap/>
            <w:vAlign w:val="center"/>
            <w:hideMark/>
          </w:tcPr>
          <w:p w14:paraId="3C51E8F8"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47.905</w:t>
            </w:r>
          </w:p>
        </w:tc>
        <w:tc>
          <w:tcPr>
            <w:tcW w:w="987" w:type="dxa"/>
            <w:tcBorders>
              <w:top w:val="nil"/>
              <w:left w:val="nil"/>
              <w:bottom w:val="nil"/>
              <w:right w:val="nil"/>
            </w:tcBorders>
            <w:shd w:val="clear" w:color="auto" w:fill="auto"/>
            <w:noWrap/>
            <w:vAlign w:val="center"/>
            <w:hideMark/>
          </w:tcPr>
          <w:p w14:paraId="2D6342F1"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0.000</w:t>
            </w:r>
          </w:p>
        </w:tc>
        <w:tc>
          <w:tcPr>
            <w:tcW w:w="978" w:type="dxa"/>
            <w:tcBorders>
              <w:top w:val="nil"/>
              <w:left w:val="nil"/>
              <w:bottom w:val="nil"/>
              <w:right w:val="nil"/>
            </w:tcBorders>
            <w:shd w:val="clear" w:color="auto" w:fill="auto"/>
            <w:noWrap/>
            <w:vAlign w:val="center"/>
            <w:hideMark/>
          </w:tcPr>
          <w:p w14:paraId="540BF104"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22.176</w:t>
            </w:r>
          </w:p>
        </w:tc>
        <w:tc>
          <w:tcPr>
            <w:tcW w:w="1190" w:type="dxa"/>
            <w:tcBorders>
              <w:top w:val="nil"/>
              <w:left w:val="nil"/>
              <w:bottom w:val="nil"/>
              <w:right w:val="nil"/>
            </w:tcBorders>
            <w:shd w:val="clear" w:color="auto" w:fill="auto"/>
            <w:noWrap/>
            <w:vAlign w:val="center"/>
            <w:hideMark/>
          </w:tcPr>
          <w:p w14:paraId="6929FBA5"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158.606</w:t>
            </w:r>
          </w:p>
        </w:tc>
      </w:tr>
      <w:tr w:rsidR="005115B7" w:rsidRPr="005115B7" w14:paraId="370A7BE6" w14:textId="77777777" w:rsidTr="005115B7">
        <w:trPr>
          <w:trHeight w:val="255"/>
        </w:trPr>
        <w:tc>
          <w:tcPr>
            <w:tcW w:w="1598" w:type="dxa"/>
            <w:tcBorders>
              <w:top w:val="nil"/>
              <w:left w:val="nil"/>
              <w:bottom w:val="nil"/>
              <w:right w:val="nil"/>
            </w:tcBorders>
            <w:shd w:val="clear" w:color="auto" w:fill="auto"/>
            <w:noWrap/>
            <w:vAlign w:val="center"/>
            <w:hideMark/>
          </w:tcPr>
          <w:p w14:paraId="63ED818A"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Population</w:t>
            </w:r>
          </w:p>
        </w:tc>
        <w:tc>
          <w:tcPr>
            <w:tcW w:w="656" w:type="dxa"/>
            <w:tcBorders>
              <w:top w:val="nil"/>
              <w:left w:val="nil"/>
              <w:bottom w:val="nil"/>
              <w:right w:val="nil"/>
            </w:tcBorders>
            <w:shd w:val="clear" w:color="auto" w:fill="auto"/>
            <w:noWrap/>
            <w:vAlign w:val="center"/>
            <w:hideMark/>
          </w:tcPr>
          <w:p w14:paraId="298F687F"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112</w:t>
            </w:r>
          </w:p>
        </w:tc>
        <w:tc>
          <w:tcPr>
            <w:tcW w:w="1037" w:type="dxa"/>
            <w:tcBorders>
              <w:top w:val="nil"/>
              <w:left w:val="nil"/>
              <w:bottom w:val="nil"/>
              <w:right w:val="nil"/>
            </w:tcBorders>
            <w:shd w:val="clear" w:color="auto" w:fill="auto"/>
            <w:noWrap/>
            <w:vAlign w:val="center"/>
            <w:hideMark/>
          </w:tcPr>
          <w:p w14:paraId="7DA8900C"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217.129</w:t>
            </w:r>
          </w:p>
        </w:tc>
        <w:tc>
          <w:tcPr>
            <w:tcW w:w="1114" w:type="dxa"/>
            <w:tcBorders>
              <w:top w:val="nil"/>
              <w:left w:val="nil"/>
              <w:bottom w:val="nil"/>
              <w:right w:val="nil"/>
            </w:tcBorders>
            <w:shd w:val="clear" w:color="auto" w:fill="auto"/>
            <w:noWrap/>
            <w:vAlign w:val="center"/>
            <w:hideMark/>
          </w:tcPr>
          <w:p w14:paraId="46AB1A3D"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399.094</w:t>
            </w:r>
          </w:p>
        </w:tc>
        <w:tc>
          <w:tcPr>
            <w:tcW w:w="987" w:type="dxa"/>
            <w:tcBorders>
              <w:top w:val="nil"/>
              <w:left w:val="nil"/>
              <w:bottom w:val="nil"/>
              <w:right w:val="nil"/>
            </w:tcBorders>
            <w:shd w:val="clear" w:color="auto" w:fill="auto"/>
            <w:noWrap/>
            <w:vAlign w:val="center"/>
            <w:hideMark/>
          </w:tcPr>
          <w:p w14:paraId="2D1A75FF"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10.495</w:t>
            </w:r>
          </w:p>
        </w:tc>
        <w:tc>
          <w:tcPr>
            <w:tcW w:w="978" w:type="dxa"/>
            <w:tcBorders>
              <w:top w:val="nil"/>
              <w:left w:val="nil"/>
              <w:bottom w:val="nil"/>
              <w:right w:val="nil"/>
            </w:tcBorders>
            <w:shd w:val="clear" w:color="auto" w:fill="auto"/>
            <w:noWrap/>
            <w:vAlign w:val="center"/>
            <w:hideMark/>
          </w:tcPr>
          <w:p w14:paraId="6B2D7753"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71.600</w:t>
            </w:r>
          </w:p>
        </w:tc>
        <w:tc>
          <w:tcPr>
            <w:tcW w:w="1190" w:type="dxa"/>
            <w:tcBorders>
              <w:top w:val="nil"/>
              <w:left w:val="nil"/>
              <w:bottom w:val="nil"/>
              <w:right w:val="nil"/>
            </w:tcBorders>
            <w:shd w:val="clear" w:color="auto" w:fill="auto"/>
            <w:noWrap/>
            <w:vAlign w:val="center"/>
            <w:hideMark/>
          </w:tcPr>
          <w:p w14:paraId="4A479420"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1412.400</w:t>
            </w:r>
          </w:p>
        </w:tc>
      </w:tr>
      <w:tr w:rsidR="005115B7" w:rsidRPr="005115B7" w14:paraId="513A3266" w14:textId="77777777" w:rsidTr="005115B7">
        <w:trPr>
          <w:trHeight w:val="255"/>
        </w:trPr>
        <w:tc>
          <w:tcPr>
            <w:tcW w:w="1598" w:type="dxa"/>
            <w:tcBorders>
              <w:top w:val="nil"/>
              <w:left w:val="nil"/>
              <w:bottom w:val="single" w:sz="4" w:space="0" w:color="auto"/>
              <w:right w:val="nil"/>
            </w:tcBorders>
            <w:shd w:val="clear" w:color="auto" w:fill="auto"/>
            <w:noWrap/>
            <w:vAlign w:val="center"/>
            <w:hideMark/>
          </w:tcPr>
          <w:p w14:paraId="283FEC17"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Location</w:t>
            </w:r>
          </w:p>
        </w:tc>
        <w:tc>
          <w:tcPr>
            <w:tcW w:w="656" w:type="dxa"/>
            <w:tcBorders>
              <w:top w:val="nil"/>
              <w:left w:val="nil"/>
              <w:bottom w:val="single" w:sz="4" w:space="0" w:color="auto"/>
              <w:right w:val="nil"/>
            </w:tcBorders>
            <w:shd w:val="clear" w:color="auto" w:fill="auto"/>
            <w:noWrap/>
            <w:vAlign w:val="center"/>
            <w:hideMark/>
          </w:tcPr>
          <w:p w14:paraId="3750F769"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112</w:t>
            </w:r>
          </w:p>
        </w:tc>
        <w:tc>
          <w:tcPr>
            <w:tcW w:w="1037" w:type="dxa"/>
            <w:tcBorders>
              <w:top w:val="nil"/>
              <w:left w:val="nil"/>
              <w:bottom w:val="single" w:sz="4" w:space="0" w:color="auto"/>
              <w:right w:val="nil"/>
            </w:tcBorders>
            <w:shd w:val="clear" w:color="auto" w:fill="auto"/>
            <w:noWrap/>
            <w:vAlign w:val="center"/>
            <w:hideMark/>
          </w:tcPr>
          <w:p w14:paraId="383054CE"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1.634</w:t>
            </w:r>
          </w:p>
        </w:tc>
        <w:tc>
          <w:tcPr>
            <w:tcW w:w="1114" w:type="dxa"/>
            <w:tcBorders>
              <w:top w:val="nil"/>
              <w:left w:val="nil"/>
              <w:bottom w:val="single" w:sz="4" w:space="0" w:color="auto"/>
              <w:right w:val="nil"/>
            </w:tcBorders>
            <w:shd w:val="clear" w:color="auto" w:fill="auto"/>
            <w:noWrap/>
            <w:vAlign w:val="center"/>
            <w:hideMark/>
          </w:tcPr>
          <w:p w14:paraId="31323EA0"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0.484</w:t>
            </w:r>
          </w:p>
        </w:tc>
        <w:tc>
          <w:tcPr>
            <w:tcW w:w="987" w:type="dxa"/>
            <w:tcBorders>
              <w:top w:val="nil"/>
              <w:left w:val="nil"/>
              <w:bottom w:val="single" w:sz="4" w:space="0" w:color="auto"/>
              <w:right w:val="nil"/>
            </w:tcBorders>
            <w:shd w:val="clear" w:color="auto" w:fill="auto"/>
            <w:noWrap/>
            <w:vAlign w:val="center"/>
            <w:hideMark/>
          </w:tcPr>
          <w:p w14:paraId="6F994728"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1.000</w:t>
            </w:r>
          </w:p>
        </w:tc>
        <w:tc>
          <w:tcPr>
            <w:tcW w:w="978" w:type="dxa"/>
            <w:tcBorders>
              <w:top w:val="nil"/>
              <w:left w:val="nil"/>
              <w:bottom w:val="single" w:sz="4" w:space="0" w:color="auto"/>
              <w:right w:val="nil"/>
            </w:tcBorders>
            <w:shd w:val="clear" w:color="auto" w:fill="auto"/>
            <w:noWrap/>
            <w:vAlign w:val="center"/>
            <w:hideMark/>
          </w:tcPr>
          <w:p w14:paraId="664BAADC"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2.000</w:t>
            </w:r>
          </w:p>
        </w:tc>
        <w:tc>
          <w:tcPr>
            <w:tcW w:w="1190" w:type="dxa"/>
            <w:tcBorders>
              <w:top w:val="nil"/>
              <w:left w:val="nil"/>
              <w:bottom w:val="single" w:sz="4" w:space="0" w:color="auto"/>
              <w:right w:val="nil"/>
            </w:tcBorders>
            <w:shd w:val="clear" w:color="auto" w:fill="auto"/>
            <w:noWrap/>
            <w:vAlign w:val="center"/>
            <w:hideMark/>
          </w:tcPr>
          <w:p w14:paraId="7FE6B853"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2.000</w:t>
            </w:r>
          </w:p>
        </w:tc>
      </w:tr>
    </w:tbl>
    <w:p w14:paraId="7AD9C440" w14:textId="73E7C31B" w:rsidR="005115B7" w:rsidRPr="00D7567C" w:rsidRDefault="00D7567C" w:rsidP="00D7567C">
      <w:pPr>
        <w:bidi w:val="0"/>
        <w:spacing w:line="240" w:lineRule="auto"/>
        <w:ind w:right="793"/>
        <w:jc w:val="both"/>
        <w:rPr>
          <w:sz w:val="20"/>
          <w:szCs w:val="20"/>
        </w:rPr>
      </w:pPr>
      <w:r>
        <w:rPr>
          <w:sz w:val="20"/>
          <w:szCs w:val="20"/>
        </w:rPr>
        <w:t xml:space="preserve">Note: </w:t>
      </w:r>
      <w:r w:rsidRPr="00D7567C">
        <w:rPr>
          <w:sz w:val="20"/>
          <w:szCs w:val="20"/>
        </w:rPr>
        <w:t>In Panel A of the table, the statistical descriptors for the mean, standard deviation, minimum, median, and maximum values are expressed as percentages. Notably, the DJEM and FTSEW indices denote the stock index and the market index, respectively, for the regular test. Conversely, the MSCIEM and MSCIW indices represent the stock index and market index, respectively, for the robustness check. In Panel B, the Return and GDPR variables are presented as percentages, while the Tourism and Population variables are expressed in millions.</w:t>
      </w:r>
    </w:p>
    <w:p w14:paraId="416F29DA" w14:textId="3B2E4686" w:rsidR="005115B7" w:rsidRDefault="00265B98" w:rsidP="005115B7">
      <w:pPr>
        <w:bidi w:val="0"/>
        <w:spacing w:line="480" w:lineRule="auto"/>
        <w:jc w:val="both"/>
      </w:pPr>
      <w:r w:rsidRPr="00265B98">
        <w:t>Based on the results presented in Panel A, it can be observed that the average returns and standard deviations in both stock indices are comparable. Moreover, the market indices also demonstrate comparable average returns and standard deviations. Nonetheless, a notable distinction in average return is noticeable between the two categories of indices, as the market indices exhibit a significantly higher average return (0.027%) than the stock indices (0.0075%).</w:t>
      </w:r>
    </w:p>
    <w:p w14:paraId="702FBA26" w14:textId="77777777" w:rsidR="00F06F4A" w:rsidRDefault="00F06F4A" w:rsidP="00F06F4A">
      <w:pPr>
        <w:bidi w:val="0"/>
        <w:spacing w:line="480" w:lineRule="auto"/>
        <w:jc w:val="both"/>
      </w:pPr>
      <w:r>
        <w:t>As panel B indicates, the average annual GDP growth rate of the emerging countries included in the analysis is 3.314%. The lowest annual growth rate was registered in Malaysia in 2020 (-10%), while the highest occurred in Russia in 2017 (8.197%). Furthermore, the average annual yield of the countries is 1.848%, with a considerable range spanning from -25.748% to 38.912%</w:t>
      </w:r>
      <w:r>
        <w:rPr>
          <w:rtl/>
        </w:rPr>
        <w:t>.</w:t>
      </w:r>
    </w:p>
    <w:p w14:paraId="72052941" w14:textId="77777777" w:rsidR="00F06F4A" w:rsidRDefault="00F06F4A" w:rsidP="00F06F4A">
      <w:pPr>
        <w:bidi w:val="0"/>
        <w:spacing w:line="480" w:lineRule="auto"/>
        <w:jc w:val="both"/>
      </w:pPr>
      <w:r>
        <w:t xml:space="preserve">Additionally, the study reports an average Human Development Index (HDI) of 0.77 with a standard deviation of 0.056, indicating that the emerging countries have an overall moderate level of human development. Moreover, the average annual number </w:t>
      </w:r>
      <w:r>
        <w:lastRenderedPageBreak/>
        <w:t>of tourists entering the countries is 44.065 million, with China being the country with the highest tourist arrivals. The average population size of the countries is 217.129 million, with China having the largest population (1,412.4 million) and the Czech Republic being the smallest country (10.495 million)</w:t>
      </w:r>
      <w:r>
        <w:rPr>
          <w:rtl/>
        </w:rPr>
        <w:t>.</w:t>
      </w:r>
    </w:p>
    <w:p w14:paraId="46FB34C2" w14:textId="4B0CA0B8" w:rsidR="005115B7" w:rsidRDefault="00F06F4A" w:rsidP="00F06F4A">
      <w:pPr>
        <w:bidi w:val="0"/>
        <w:spacing w:line="480" w:lineRule="auto"/>
        <w:jc w:val="both"/>
      </w:pPr>
      <w:r>
        <w:t>Furthermore, the location variable has an average value of 1.634, implying that 63.4% of the announcements in the sample pertain to emerging countries. These findings provide valuable insights into the macroeconomic and financial characteristics of the emerging countries in the study, facilitating a better understanding of their economic landscape.</w:t>
      </w:r>
    </w:p>
    <w:p w14:paraId="0E2E9AD8" w14:textId="77777777" w:rsidR="005115B7" w:rsidRDefault="005115B7" w:rsidP="005115B7">
      <w:pPr>
        <w:bidi w:val="0"/>
        <w:spacing w:line="480" w:lineRule="auto"/>
        <w:jc w:val="both"/>
      </w:pPr>
    </w:p>
    <w:p w14:paraId="7784EC65" w14:textId="7D16A96E" w:rsidR="00FF6D92" w:rsidRDefault="00FF6D92" w:rsidP="00707C4A">
      <w:pPr>
        <w:bidi w:val="0"/>
        <w:spacing w:line="240" w:lineRule="auto"/>
        <w:rPr>
          <w:rFonts w:eastAsia="Calibri"/>
          <w:b/>
          <w:bCs/>
          <w:kern w:val="0"/>
          <w:sz w:val="20"/>
          <w:szCs w:val="20"/>
          <w14:ligatures w14:val="none"/>
        </w:rPr>
      </w:pPr>
      <w:r w:rsidRPr="00FF6D92">
        <w:rPr>
          <w:rFonts w:eastAsia="Calibri"/>
          <w:b/>
          <w:i/>
          <w:iCs/>
          <w:lang w:bidi="ar-SA"/>
        </w:rPr>
        <w:t xml:space="preserve">The </w:t>
      </w:r>
      <w:r>
        <w:rPr>
          <w:rFonts w:eastAsia="Calibri"/>
          <w:b/>
          <w:i/>
          <w:iCs/>
          <w:lang w:bidi="ar-SA"/>
        </w:rPr>
        <w:t>i</w:t>
      </w:r>
      <w:r w:rsidRPr="00FF6D92">
        <w:rPr>
          <w:rFonts w:eastAsia="Calibri"/>
          <w:b/>
          <w:i/>
          <w:iCs/>
          <w:lang w:bidi="ar-SA"/>
        </w:rPr>
        <w:t xml:space="preserve">mpact of </w:t>
      </w:r>
      <w:r>
        <w:rPr>
          <w:rFonts w:eastAsia="Calibri"/>
          <w:b/>
          <w:i/>
          <w:iCs/>
          <w:lang w:bidi="ar-SA"/>
        </w:rPr>
        <w:t>a</w:t>
      </w:r>
      <w:r w:rsidRPr="00FF6D92">
        <w:rPr>
          <w:rFonts w:eastAsia="Calibri"/>
          <w:b/>
          <w:i/>
          <w:iCs/>
          <w:lang w:bidi="ar-SA"/>
        </w:rPr>
        <w:t xml:space="preserve">nnouncements on the </w:t>
      </w:r>
      <w:r>
        <w:rPr>
          <w:rFonts w:eastAsia="Calibri"/>
          <w:b/>
          <w:i/>
          <w:iCs/>
          <w:lang w:bidi="ar-SA"/>
        </w:rPr>
        <w:t>p</w:t>
      </w:r>
      <w:r w:rsidRPr="00FF6D92">
        <w:rPr>
          <w:rFonts w:eastAsia="Calibri"/>
          <w:b/>
          <w:i/>
          <w:iCs/>
          <w:lang w:bidi="ar-SA"/>
        </w:rPr>
        <w:t xml:space="preserve">erformance of </w:t>
      </w:r>
      <w:r>
        <w:rPr>
          <w:rFonts w:eastAsia="Calibri"/>
          <w:b/>
          <w:i/>
          <w:iCs/>
          <w:lang w:bidi="ar-SA"/>
        </w:rPr>
        <w:t>e</w:t>
      </w:r>
      <w:r w:rsidRPr="00FF6D92">
        <w:rPr>
          <w:rFonts w:eastAsia="Calibri"/>
          <w:b/>
          <w:i/>
          <w:iCs/>
          <w:lang w:bidi="ar-SA"/>
        </w:rPr>
        <w:t xml:space="preserve">merging </w:t>
      </w:r>
      <w:r>
        <w:rPr>
          <w:rFonts w:eastAsia="Calibri"/>
          <w:b/>
          <w:i/>
          <w:iCs/>
          <w:lang w:bidi="ar-SA"/>
        </w:rPr>
        <w:t>c</w:t>
      </w:r>
      <w:r w:rsidRPr="00FF6D92">
        <w:rPr>
          <w:rFonts w:eastAsia="Calibri"/>
          <w:b/>
          <w:i/>
          <w:iCs/>
          <w:lang w:bidi="ar-SA"/>
        </w:rPr>
        <w:t xml:space="preserve">ountries' </w:t>
      </w:r>
      <w:r>
        <w:rPr>
          <w:rFonts w:eastAsia="Calibri"/>
          <w:b/>
          <w:i/>
          <w:iCs/>
          <w:lang w:bidi="ar-SA"/>
        </w:rPr>
        <w:t>i</w:t>
      </w:r>
      <w:r w:rsidRPr="00FF6D92">
        <w:rPr>
          <w:rFonts w:eastAsia="Calibri"/>
          <w:b/>
          <w:i/>
          <w:iCs/>
          <w:lang w:bidi="ar-SA"/>
        </w:rPr>
        <w:t>ndices</w:t>
      </w:r>
    </w:p>
    <w:p w14:paraId="72957E05" w14:textId="05919371" w:rsidR="00C36BC6" w:rsidRPr="00C36BC6" w:rsidRDefault="00C36BC6" w:rsidP="00C36BC6">
      <w:pPr>
        <w:bidi w:val="0"/>
        <w:spacing w:line="480" w:lineRule="auto"/>
        <w:jc w:val="both"/>
      </w:pPr>
      <w:bookmarkStart w:id="2" w:name="_Hlk135036329"/>
      <w:r w:rsidRPr="00C36BC6">
        <w:t>Figure 2 depicts the behavior of the cumulative average abnormal return (CAAR</w:t>
      </w:r>
      <w:r w:rsidR="006454C6">
        <w:rPr>
          <w:vertAlign w:val="subscript"/>
        </w:rPr>
        <w:t>-15,+15</w:t>
      </w:r>
      <w:r w:rsidRPr="00C36BC6">
        <w:t>) across a 31-day event window surrounding the announcement day, ranging from 15 days prior to the announcement to 15 days following it. The study also presents Table 4, which provides the cumulative abnormal returns along with parametric and non-parametric tests conducted on 112 announcements by Airbnb regarding emerging economies</w:t>
      </w:r>
      <w:r w:rsidRPr="00C36BC6">
        <w:rPr>
          <w:rtl/>
        </w:rPr>
        <w:t>.</w:t>
      </w:r>
    </w:p>
    <w:p w14:paraId="3065B96C" w14:textId="11407780" w:rsidR="00FF6D92" w:rsidRPr="00C36BC6" w:rsidRDefault="00C36BC6" w:rsidP="00C36BC6">
      <w:pPr>
        <w:bidi w:val="0"/>
        <w:spacing w:line="480" w:lineRule="auto"/>
        <w:jc w:val="both"/>
      </w:pPr>
      <w:r w:rsidRPr="00C36BC6">
        <w:t xml:space="preserve">The results are demonstrated in two categories of event windows. The first category consists of three windows, namely [-1,+1], [-2,+2], and [-5,+5], signifying different time intervals surrounding the announcement day. The second type includes an additional seven windows, namely [-7,-1], [-5,-1], [-3,-1], [0,0], [0,+1], [0,+3], and [0,+5], representing the impact before, during, and after the announcement event. Column 2 of Table 4 reports the results of </w:t>
      </w:r>
      <m:oMath>
        <m:r>
          <w:rPr>
            <w:rFonts w:ascii="Cambria Math" w:hAnsi="Cambria Math"/>
          </w:rPr>
          <m:t>CA</m:t>
        </m:r>
        <m:sSub>
          <m:sSubPr>
            <m:ctrlPr>
              <w:rPr>
                <w:rFonts w:ascii="Cambria Math" w:hAnsi="Cambria Math"/>
                <w:i/>
              </w:rPr>
            </m:ctrlPr>
          </m:sSubPr>
          <m:e>
            <m:r>
              <w:rPr>
                <w:rFonts w:ascii="Cambria Math" w:hAnsi="Cambria Math"/>
              </w:rPr>
              <m:t>R</m:t>
            </m:r>
          </m:e>
          <m:sub>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eastAsia="SimSun" w:hAnsi="Cambria Math"/>
                <w:lang w:eastAsia="he-IL" w:bidi="ar-SA"/>
              </w:rPr>
              <m:t>,</m:t>
            </m:r>
            <m:sSub>
              <m:sSubPr>
                <m:ctrlPr>
                  <w:rPr>
                    <w:rFonts w:ascii="Cambria Math" w:hAnsi="Cambria Math"/>
                    <w:i/>
                  </w:rPr>
                </m:ctrlPr>
              </m:sSubPr>
              <m:e>
                <m:r>
                  <w:rPr>
                    <w:rFonts w:ascii="Cambria Math" w:hAnsi="Cambria Math"/>
                  </w:rPr>
                  <m:t>t</m:t>
                </m:r>
              </m:e>
              <m:sub>
                <m:r>
                  <w:rPr>
                    <w:rFonts w:ascii="Cambria Math" w:hAnsi="Cambria Math"/>
                  </w:rPr>
                  <m:t>2</m:t>
                </m:r>
              </m:sub>
            </m:sSub>
          </m:sub>
        </m:sSub>
      </m:oMath>
      <w:r w:rsidR="006454C6" w:rsidRPr="00B970ED">
        <w:t xml:space="preserve"> </w:t>
      </w:r>
      <w:r w:rsidRPr="00C36BC6">
        <w:t>for each window, while columns 3-</w:t>
      </w:r>
      <w:r w:rsidRPr="00C36BC6">
        <w:lastRenderedPageBreak/>
        <w:t>5 exhibit the outcomes of three parametric tests (ORDIN, PATELL, and BMP), and columns 6-7 display the results of two non-parametric tests (RANK and WSRT).</w:t>
      </w:r>
    </w:p>
    <w:p w14:paraId="20FD4A59" w14:textId="416DE7E3" w:rsidR="00707C4A" w:rsidRPr="00707C4A" w:rsidRDefault="00707C4A" w:rsidP="00FF6D92">
      <w:pPr>
        <w:bidi w:val="0"/>
        <w:spacing w:line="240" w:lineRule="auto"/>
        <w:rPr>
          <w:rFonts w:eastAsia="Calibri"/>
          <w:b/>
          <w:bCs/>
          <w:kern w:val="0"/>
          <w:sz w:val="20"/>
          <w:szCs w:val="20"/>
          <w14:ligatures w14:val="none"/>
        </w:rPr>
      </w:pPr>
      <w:r w:rsidRPr="00707C4A">
        <w:rPr>
          <w:rFonts w:eastAsia="Calibri"/>
          <w:b/>
          <w:bCs/>
          <w:kern w:val="0"/>
          <w:sz w:val="20"/>
          <w:szCs w:val="20"/>
          <w14:ligatures w14:val="none"/>
        </w:rPr>
        <w:t>Table 4</w:t>
      </w:r>
    </w:p>
    <w:p w14:paraId="3019F999" w14:textId="4A9B6D99" w:rsidR="00707C4A" w:rsidRPr="00707C4A" w:rsidRDefault="00892BA4" w:rsidP="00707C4A">
      <w:pPr>
        <w:bidi w:val="0"/>
        <w:spacing w:line="240" w:lineRule="auto"/>
        <w:rPr>
          <w:rFonts w:eastAsia="Calibri"/>
          <w:kern w:val="0"/>
          <w:sz w:val="20"/>
          <w:szCs w:val="20"/>
          <w14:ligatures w14:val="none"/>
        </w:rPr>
      </w:pPr>
      <w:bookmarkStart w:id="3" w:name="_Hlk135036668"/>
      <w:r w:rsidRPr="00892BA4">
        <w:rPr>
          <w:rFonts w:eastAsia="Calibri"/>
          <w:kern w:val="0"/>
          <w:sz w:val="20"/>
          <w:szCs w:val="20"/>
          <w14:ligatures w14:val="none"/>
        </w:rPr>
        <w:t xml:space="preserve">Analysis of cumulative abnormal returns (CAR) </w:t>
      </w:r>
      <w:r w:rsidR="00297ACB" w:rsidRPr="00297ACB">
        <w:rPr>
          <w:rFonts w:eastAsia="Calibri"/>
          <w:kern w:val="0"/>
          <w:sz w:val="20"/>
          <w:szCs w:val="20"/>
          <w14:ligatures w14:val="none"/>
        </w:rPr>
        <w:t>in emerging market indices</w:t>
      </w:r>
    </w:p>
    <w:tbl>
      <w:tblPr>
        <w:tblW w:w="8242" w:type="dxa"/>
        <w:tblLook w:val="04A0" w:firstRow="1" w:lastRow="0" w:firstColumn="1" w:lastColumn="0" w:noHBand="0" w:noVBand="1"/>
      </w:tblPr>
      <w:tblGrid>
        <w:gridCol w:w="1276"/>
        <w:gridCol w:w="1080"/>
        <w:gridCol w:w="1084"/>
        <w:gridCol w:w="1264"/>
        <w:gridCol w:w="1108"/>
        <w:gridCol w:w="266"/>
        <w:gridCol w:w="1090"/>
        <w:gridCol w:w="1074"/>
      </w:tblGrid>
      <w:tr w:rsidR="005115B7" w:rsidRPr="005115B7" w14:paraId="24319054" w14:textId="77777777" w:rsidTr="00707C4A">
        <w:trPr>
          <w:trHeight w:val="285"/>
        </w:trPr>
        <w:tc>
          <w:tcPr>
            <w:tcW w:w="1276" w:type="dxa"/>
            <w:tcBorders>
              <w:top w:val="single" w:sz="4" w:space="0" w:color="auto"/>
              <w:left w:val="nil"/>
              <w:bottom w:val="nil"/>
              <w:right w:val="nil"/>
            </w:tcBorders>
            <w:shd w:val="clear" w:color="auto" w:fill="auto"/>
            <w:noWrap/>
            <w:vAlign w:val="bottom"/>
            <w:hideMark/>
          </w:tcPr>
          <w:bookmarkEnd w:id="3"/>
          <w:p w14:paraId="6D003569"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 </w:t>
            </w:r>
          </w:p>
        </w:tc>
        <w:tc>
          <w:tcPr>
            <w:tcW w:w="1080" w:type="dxa"/>
            <w:tcBorders>
              <w:top w:val="single" w:sz="4" w:space="0" w:color="auto"/>
              <w:left w:val="nil"/>
              <w:bottom w:val="nil"/>
              <w:right w:val="nil"/>
            </w:tcBorders>
            <w:shd w:val="clear" w:color="auto" w:fill="auto"/>
            <w:noWrap/>
            <w:vAlign w:val="bottom"/>
            <w:hideMark/>
          </w:tcPr>
          <w:p w14:paraId="3C0DFAE0"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 </w:t>
            </w:r>
          </w:p>
        </w:tc>
        <w:tc>
          <w:tcPr>
            <w:tcW w:w="3456" w:type="dxa"/>
            <w:gridSpan w:val="3"/>
            <w:tcBorders>
              <w:top w:val="single" w:sz="4" w:space="0" w:color="auto"/>
              <w:left w:val="nil"/>
              <w:bottom w:val="single" w:sz="4" w:space="0" w:color="auto"/>
              <w:right w:val="nil"/>
            </w:tcBorders>
            <w:shd w:val="clear" w:color="auto" w:fill="auto"/>
            <w:noWrap/>
            <w:vAlign w:val="center"/>
            <w:hideMark/>
          </w:tcPr>
          <w:p w14:paraId="7F5E356B"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 xml:space="preserve">Parametric tests </w:t>
            </w:r>
          </w:p>
        </w:tc>
        <w:tc>
          <w:tcPr>
            <w:tcW w:w="266" w:type="dxa"/>
            <w:tcBorders>
              <w:top w:val="single" w:sz="4" w:space="0" w:color="auto"/>
              <w:left w:val="nil"/>
              <w:bottom w:val="nil"/>
              <w:right w:val="nil"/>
            </w:tcBorders>
            <w:shd w:val="clear" w:color="auto" w:fill="auto"/>
            <w:noWrap/>
            <w:vAlign w:val="bottom"/>
            <w:hideMark/>
          </w:tcPr>
          <w:p w14:paraId="5C34461A"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 </w:t>
            </w:r>
          </w:p>
        </w:tc>
        <w:tc>
          <w:tcPr>
            <w:tcW w:w="2164" w:type="dxa"/>
            <w:gridSpan w:val="2"/>
            <w:tcBorders>
              <w:top w:val="single" w:sz="4" w:space="0" w:color="auto"/>
              <w:left w:val="nil"/>
              <w:bottom w:val="single" w:sz="4" w:space="0" w:color="auto"/>
              <w:right w:val="nil"/>
            </w:tcBorders>
            <w:shd w:val="clear" w:color="auto" w:fill="auto"/>
            <w:noWrap/>
            <w:vAlign w:val="center"/>
            <w:hideMark/>
          </w:tcPr>
          <w:p w14:paraId="5C723394"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Non-parametric tests</w:t>
            </w:r>
          </w:p>
        </w:tc>
      </w:tr>
      <w:tr w:rsidR="005115B7" w:rsidRPr="005115B7" w14:paraId="17A55D72" w14:textId="77777777" w:rsidTr="00707C4A">
        <w:trPr>
          <w:trHeight w:val="315"/>
        </w:trPr>
        <w:tc>
          <w:tcPr>
            <w:tcW w:w="1276" w:type="dxa"/>
            <w:tcBorders>
              <w:top w:val="nil"/>
              <w:left w:val="nil"/>
              <w:bottom w:val="single" w:sz="4" w:space="0" w:color="auto"/>
              <w:right w:val="nil"/>
            </w:tcBorders>
            <w:shd w:val="clear" w:color="auto" w:fill="auto"/>
            <w:noWrap/>
            <w:vAlign w:val="center"/>
            <w:hideMark/>
          </w:tcPr>
          <w:p w14:paraId="1C7ABF02"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Daily time</w:t>
            </w:r>
          </w:p>
        </w:tc>
        <w:tc>
          <w:tcPr>
            <w:tcW w:w="1080" w:type="dxa"/>
            <w:tcBorders>
              <w:top w:val="nil"/>
              <w:left w:val="nil"/>
              <w:bottom w:val="single" w:sz="4" w:space="0" w:color="auto"/>
              <w:right w:val="nil"/>
            </w:tcBorders>
            <w:shd w:val="clear" w:color="auto" w:fill="auto"/>
            <w:noWrap/>
            <w:vAlign w:val="center"/>
            <w:hideMark/>
          </w:tcPr>
          <w:p w14:paraId="2BFE770F"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CAR(%)</w:t>
            </w:r>
          </w:p>
        </w:tc>
        <w:tc>
          <w:tcPr>
            <w:tcW w:w="1084" w:type="dxa"/>
            <w:tcBorders>
              <w:top w:val="nil"/>
              <w:left w:val="nil"/>
              <w:bottom w:val="single" w:sz="4" w:space="0" w:color="auto"/>
              <w:right w:val="nil"/>
            </w:tcBorders>
            <w:shd w:val="clear" w:color="auto" w:fill="auto"/>
            <w:noWrap/>
            <w:vAlign w:val="center"/>
            <w:hideMark/>
          </w:tcPr>
          <w:p w14:paraId="5C2A514A"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ORDIN</w:t>
            </w:r>
          </w:p>
        </w:tc>
        <w:tc>
          <w:tcPr>
            <w:tcW w:w="1264" w:type="dxa"/>
            <w:tcBorders>
              <w:top w:val="nil"/>
              <w:left w:val="nil"/>
              <w:bottom w:val="single" w:sz="4" w:space="0" w:color="auto"/>
              <w:right w:val="nil"/>
            </w:tcBorders>
            <w:shd w:val="clear" w:color="auto" w:fill="auto"/>
            <w:noWrap/>
            <w:vAlign w:val="center"/>
            <w:hideMark/>
          </w:tcPr>
          <w:p w14:paraId="5E7D71BA"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PATELL</w:t>
            </w:r>
          </w:p>
        </w:tc>
        <w:tc>
          <w:tcPr>
            <w:tcW w:w="1108" w:type="dxa"/>
            <w:tcBorders>
              <w:top w:val="nil"/>
              <w:left w:val="nil"/>
              <w:bottom w:val="single" w:sz="4" w:space="0" w:color="auto"/>
              <w:right w:val="nil"/>
            </w:tcBorders>
            <w:shd w:val="clear" w:color="auto" w:fill="auto"/>
            <w:noWrap/>
            <w:vAlign w:val="center"/>
            <w:hideMark/>
          </w:tcPr>
          <w:p w14:paraId="0D80D15A"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BMP</w:t>
            </w:r>
          </w:p>
        </w:tc>
        <w:tc>
          <w:tcPr>
            <w:tcW w:w="266" w:type="dxa"/>
            <w:tcBorders>
              <w:top w:val="nil"/>
              <w:left w:val="nil"/>
              <w:bottom w:val="single" w:sz="4" w:space="0" w:color="auto"/>
              <w:right w:val="nil"/>
            </w:tcBorders>
            <w:shd w:val="clear" w:color="auto" w:fill="auto"/>
            <w:noWrap/>
            <w:vAlign w:val="center"/>
            <w:hideMark/>
          </w:tcPr>
          <w:p w14:paraId="21EC28F0"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 </w:t>
            </w:r>
          </w:p>
        </w:tc>
        <w:tc>
          <w:tcPr>
            <w:tcW w:w="1090" w:type="dxa"/>
            <w:tcBorders>
              <w:top w:val="nil"/>
              <w:left w:val="nil"/>
              <w:bottom w:val="single" w:sz="4" w:space="0" w:color="auto"/>
              <w:right w:val="nil"/>
            </w:tcBorders>
            <w:shd w:val="clear" w:color="auto" w:fill="auto"/>
            <w:noWrap/>
            <w:vAlign w:val="center"/>
            <w:hideMark/>
          </w:tcPr>
          <w:p w14:paraId="7BEB3E59"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RANK</w:t>
            </w:r>
          </w:p>
        </w:tc>
        <w:tc>
          <w:tcPr>
            <w:tcW w:w="1074" w:type="dxa"/>
            <w:tcBorders>
              <w:top w:val="nil"/>
              <w:left w:val="nil"/>
              <w:bottom w:val="single" w:sz="4" w:space="0" w:color="auto"/>
              <w:right w:val="nil"/>
            </w:tcBorders>
            <w:shd w:val="clear" w:color="auto" w:fill="auto"/>
            <w:noWrap/>
            <w:vAlign w:val="center"/>
            <w:hideMark/>
          </w:tcPr>
          <w:p w14:paraId="0AC3E142"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WSRT</w:t>
            </w:r>
          </w:p>
        </w:tc>
      </w:tr>
      <w:tr w:rsidR="005115B7" w:rsidRPr="005115B7" w14:paraId="6D8B22D4" w14:textId="77777777" w:rsidTr="00707C4A">
        <w:trPr>
          <w:trHeight w:val="315"/>
        </w:trPr>
        <w:tc>
          <w:tcPr>
            <w:tcW w:w="8242" w:type="dxa"/>
            <w:gridSpan w:val="8"/>
            <w:tcBorders>
              <w:top w:val="single" w:sz="4" w:space="0" w:color="auto"/>
              <w:left w:val="nil"/>
              <w:bottom w:val="nil"/>
              <w:right w:val="nil"/>
            </w:tcBorders>
            <w:shd w:val="clear" w:color="auto" w:fill="auto"/>
            <w:noWrap/>
            <w:vAlign w:val="center"/>
            <w:hideMark/>
          </w:tcPr>
          <w:p w14:paraId="3DFEA84B"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Event window surrounding the event day</w:t>
            </w:r>
          </w:p>
        </w:tc>
      </w:tr>
      <w:tr w:rsidR="005115B7" w:rsidRPr="005115B7" w14:paraId="598259B5" w14:textId="77777777" w:rsidTr="00707C4A">
        <w:trPr>
          <w:trHeight w:val="255"/>
        </w:trPr>
        <w:tc>
          <w:tcPr>
            <w:tcW w:w="1276" w:type="dxa"/>
            <w:tcBorders>
              <w:top w:val="nil"/>
              <w:left w:val="nil"/>
              <w:bottom w:val="nil"/>
              <w:right w:val="nil"/>
            </w:tcBorders>
            <w:shd w:val="clear" w:color="auto" w:fill="auto"/>
            <w:noWrap/>
            <w:vAlign w:val="center"/>
            <w:hideMark/>
          </w:tcPr>
          <w:p w14:paraId="0DC41A33"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CAR[-1,+1]</w:t>
            </w:r>
          </w:p>
        </w:tc>
        <w:tc>
          <w:tcPr>
            <w:tcW w:w="1080" w:type="dxa"/>
            <w:tcBorders>
              <w:top w:val="nil"/>
              <w:left w:val="nil"/>
              <w:bottom w:val="nil"/>
              <w:right w:val="nil"/>
            </w:tcBorders>
            <w:shd w:val="clear" w:color="auto" w:fill="auto"/>
            <w:noWrap/>
            <w:vAlign w:val="center"/>
            <w:hideMark/>
          </w:tcPr>
          <w:p w14:paraId="372DE1AE"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0.239</w:t>
            </w:r>
          </w:p>
        </w:tc>
        <w:tc>
          <w:tcPr>
            <w:tcW w:w="1084" w:type="dxa"/>
            <w:tcBorders>
              <w:top w:val="nil"/>
              <w:left w:val="nil"/>
              <w:bottom w:val="nil"/>
              <w:right w:val="nil"/>
            </w:tcBorders>
            <w:shd w:val="clear" w:color="auto" w:fill="auto"/>
            <w:noWrap/>
            <w:vAlign w:val="center"/>
            <w:hideMark/>
          </w:tcPr>
          <w:p w14:paraId="7637B12A"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1.621</w:t>
            </w:r>
          </w:p>
        </w:tc>
        <w:tc>
          <w:tcPr>
            <w:tcW w:w="1264" w:type="dxa"/>
            <w:tcBorders>
              <w:top w:val="nil"/>
              <w:left w:val="nil"/>
              <w:bottom w:val="nil"/>
              <w:right w:val="nil"/>
            </w:tcBorders>
            <w:shd w:val="clear" w:color="auto" w:fill="auto"/>
            <w:noWrap/>
            <w:vAlign w:val="center"/>
            <w:hideMark/>
          </w:tcPr>
          <w:p w14:paraId="51949A1C"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1.390</w:t>
            </w:r>
          </w:p>
        </w:tc>
        <w:tc>
          <w:tcPr>
            <w:tcW w:w="1108" w:type="dxa"/>
            <w:tcBorders>
              <w:top w:val="nil"/>
              <w:left w:val="nil"/>
              <w:bottom w:val="nil"/>
              <w:right w:val="nil"/>
            </w:tcBorders>
            <w:shd w:val="clear" w:color="auto" w:fill="auto"/>
            <w:noWrap/>
            <w:vAlign w:val="center"/>
            <w:hideMark/>
          </w:tcPr>
          <w:p w14:paraId="4CE8F5C5"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1.128</w:t>
            </w:r>
          </w:p>
        </w:tc>
        <w:tc>
          <w:tcPr>
            <w:tcW w:w="266" w:type="dxa"/>
            <w:tcBorders>
              <w:top w:val="nil"/>
              <w:left w:val="nil"/>
              <w:bottom w:val="nil"/>
              <w:right w:val="nil"/>
            </w:tcBorders>
            <w:shd w:val="clear" w:color="auto" w:fill="auto"/>
            <w:noWrap/>
            <w:vAlign w:val="center"/>
            <w:hideMark/>
          </w:tcPr>
          <w:p w14:paraId="202958FD" w14:textId="77777777" w:rsidR="005115B7" w:rsidRPr="005115B7" w:rsidRDefault="005115B7" w:rsidP="005115B7">
            <w:pPr>
              <w:bidi w:val="0"/>
              <w:spacing w:after="0" w:line="240" w:lineRule="auto"/>
              <w:rPr>
                <w:rFonts w:eastAsia="Times New Roman"/>
                <w:color w:val="000000"/>
                <w:kern w:val="0"/>
                <w:sz w:val="20"/>
                <w:szCs w:val="20"/>
                <w14:ligatures w14:val="none"/>
              </w:rPr>
            </w:pPr>
          </w:p>
        </w:tc>
        <w:tc>
          <w:tcPr>
            <w:tcW w:w="1090" w:type="dxa"/>
            <w:tcBorders>
              <w:top w:val="nil"/>
              <w:left w:val="nil"/>
              <w:bottom w:val="nil"/>
              <w:right w:val="nil"/>
            </w:tcBorders>
            <w:shd w:val="clear" w:color="auto" w:fill="auto"/>
            <w:noWrap/>
            <w:vAlign w:val="center"/>
            <w:hideMark/>
          </w:tcPr>
          <w:p w14:paraId="6D47B441" w14:textId="6C89A016"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-1.849</w:t>
            </w:r>
            <w:r w:rsidR="00707C4A">
              <w:rPr>
                <w:rFonts w:eastAsia="Times New Roman"/>
                <w:color w:val="000000"/>
                <w:kern w:val="0"/>
                <w:sz w:val="20"/>
                <w:szCs w:val="20"/>
                <w14:ligatures w14:val="none"/>
              </w:rPr>
              <w:t>*</w:t>
            </w:r>
          </w:p>
        </w:tc>
        <w:tc>
          <w:tcPr>
            <w:tcW w:w="1074" w:type="dxa"/>
            <w:tcBorders>
              <w:top w:val="nil"/>
              <w:left w:val="nil"/>
              <w:bottom w:val="nil"/>
              <w:right w:val="nil"/>
            </w:tcBorders>
            <w:shd w:val="clear" w:color="auto" w:fill="auto"/>
            <w:noWrap/>
            <w:vAlign w:val="center"/>
            <w:hideMark/>
          </w:tcPr>
          <w:p w14:paraId="72DB135A"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0.914</w:t>
            </w:r>
          </w:p>
        </w:tc>
      </w:tr>
      <w:tr w:rsidR="005115B7" w:rsidRPr="005115B7" w14:paraId="3D40514D" w14:textId="77777777" w:rsidTr="00707C4A">
        <w:trPr>
          <w:trHeight w:val="255"/>
        </w:trPr>
        <w:tc>
          <w:tcPr>
            <w:tcW w:w="1276" w:type="dxa"/>
            <w:tcBorders>
              <w:top w:val="nil"/>
              <w:left w:val="nil"/>
              <w:bottom w:val="nil"/>
              <w:right w:val="nil"/>
            </w:tcBorders>
            <w:shd w:val="clear" w:color="auto" w:fill="auto"/>
            <w:noWrap/>
            <w:vAlign w:val="center"/>
            <w:hideMark/>
          </w:tcPr>
          <w:p w14:paraId="78B851E3"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CAR[-2,+2]</w:t>
            </w:r>
          </w:p>
        </w:tc>
        <w:tc>
          <w:tcPr>
            <w:tcW w:w="1080" w:type="dxa"/>
            <w:tcBorders>
              <w:top w:val="nil"/>
              <w:left w:val="nil"/>
              <w:bottom w:val="nil"/>
              <w:right w:val="nil"/>
            </w:tcBorders>
            <w:shd w:val="clear" w:color="auto" w:fill="auto"/>
            <w:noWrap/>
            <w:vAlign w:val="center"/>
            <w:hideMark/>
          </w:tcPr>
          <w:p w14:paraId="522A6933"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0.106</w:t>
            </w:r>
          </w:p>
        </w:tc>
        <w:tc>
          <w:tcPr>
            <w:tcW w:w="1084" w:type="dxa"/>
            <w:tcBorders>
              <w:top w:val="nil"/>
              <w:left w:val="nil"/>
              <w:bottom w:val="nil"/>
              <w:right w:val="nil"/>
            </w:tcBorders>
            <w:shd w:val="clear" w:color="auto" w:fill="auto"/>
            <w:noWrap/>
            <w:vAlign w:val="center"/>
            <w:hideMark/>
          </w:tcPr>
          <w:p w14:paraId="4012AD8F"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0.556</w:t>
            </w:r>
          </w:p>
        </w:tc>
        <w:tc>
          <w:tcPr>
            <w:tcW w:w="1264" w:type="dxa"/>
            <w:tcBorders>
              <w:top w:val="nil"/>
              <w:left w:val="nil"/>
              <w:bottom w:val="nil"/>
              <w:right w:val="nil"/>
            </w:tcBorders>
            <w:shd w:val="clear" w:color="auto" w:fill="auto"/>
            <w:noWrap/>
            <w:vAlign w:val="center"/>
            <w:hideMark/>
          </w:tcPr>
          <w:p w14:paraId="27990D3C"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-0.125</w:t>
            </w:r>
          </w:p>
        </w:tc>
        <w:tc>
          <w:tcPr>
            <w:tcW w:w="1108" w:type="dxa"/>
            <w:tcBorders>
              <w:top w:val="nil"/>
              <w:left w:val="nil"/>
              <w:bottom w:val="nil"/>
              <w:right w:val="nil"/>
            </w:tcBorders>
            <w:shd w:val="clear" w:color="auto" w:fill="auto"/>
            <w:noWrap/>
            <w:vAlign w:val="center"/>
            <w:hideMark/>
          </w:tcPr>
          <w:p w14:paraId="359D78CF"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-0.106</w:t>
            </w:r>
          </w:p>
        </w:tc>
        <w:tc>
          <w:tcPr>
            <w:tcW w:w="266" w:type="dxa"/>
            <w:tcBorders>
              <w:top w:val="nil"/>
              <w:left w:val="nil"/>
              <w:bottom w:val="nil"/>
              <w:right w:val="nil"/>
            </w:tcBorders>
            <w:shd w:val="clear" w:color="auto" w:fill="auto"/>
            <w:noWrap/>
            <w:vAlign w:val="center"/>
            <w:hideMark/>
          </w:tcPr>
          <w:p w14:paraId="75307802" w14:textId="77777777" w:rsidR="005115B7" w:rsidRPr="005115B7" w:rsidRDefault="005115B7" w:rsidP="005115B7">
            <w:pPr>
              <w:bidi w:val="0"/>
              <w:spacing w:after="0" w:line="240" w:lineRule="auto"/>
              <w:rPr>
                <w:rFonts w:eastAsia="Times New Roman"/>
                <w:color w:val="000000"/>
                <w:kern w:val="0"/>
                <w:sz w:val="20"/>
                <w:szCs w:val="20"/>
                <w14:ligatures w14:val="none"/>
              </w:rPr>
            </w:pPr>
          </w:p>
        </w:tc>
        <w:tc>
          <w:tcPr>
            <w:tcW w:w="1090" w:type="dxa"/>
            <w:tcBorders>
              <w:top w:val="nil"/>
              <w:left w:val="nil"/>
              <w:bottom w:val="nil"/>
              <w:right w:val="nil"/>
            </w:tcBorders>
            <w:shd w:val="clear" w:color="auto" w:fill="auto"/>
            <w:noWrap/>
            <w:vAlign w:val="center"/>
            <w:hideMark/>
          </w:tcPr>
          <w:p w14:paraId="5F78EA9F" w14:textId="29F1F6CA"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-2.969</w:t>
            </w:r>
            <w:r w:rsidR="00707C4A">
              <w:rPr>
                <w:rFonts w:eastAsia="Times New Roman"/>
                <w:color w:val="000000"/>
                <w:kern w:val="0"/>
                <w:sz w:val="20"/>
                <w:szCs w:val="20"/>
                <w14:ligatures w14:val="none"/>
              </w:rPr>
              <w:t>***</w:t>
            </w:r>
          </w:p>
        </w:tc>
        <w:tc>
          <w:tcPr>
            <w:tcW w:w="1074" w:type="dxa"/>
            <w:tcBorders>
              <w:top w:val="nil"/>
              <w:left w:val="nil"/>
              <w:bottom w:val="nil"/>
              <w:right w:val="nil"/>
            </w:tcBorders>
            <w:shd w:val="clear" w:color="auto" w:fill="auto"/>
            <w:noWrap/>
            <w:vAlign w:val="center"/>
            <w:hideMark/>
          </w:tcPr>
          <w:p w14:paraId="3CCDC661"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0.793</w:t>
            </w:r>
          </w:p>
        </w:tc>
      </w:tr>
      <w:tr w:rsidR="005115B7" w:rsidRPr="005115B7" w14:paraId="711930DD" w14:textId="77777777" w:rsidTr="00707C4A">
        <w:trPr>
          <w:trHeight w:val="255"/>
        </w:trPr>
        <w:tc>
          <w:tcPr>
            <w:tcW w:w="1276" w:type="dxa"/>
            <w:tcBorders>
              <w:top w:val="nil"/>
              <w:left w:val="nil"/>
              <w:bottom w:val="nil"/>
              <w:right w:val="nil"/>
            </w:tcBorders>
            <w:shd w:val="clear" w:color="auto" w:fill="auto"/>
            <w:noWrap/>
            <w:vAlign w:val="center"/>
            <w:hideMark/>
          </w:tcPr>
          <w:p w14:paraId="677BDD8C"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CAR[-5,+5]</w:t>
            </w:r>
          </w:p>
        </w:tc>
        <w:tc>
          <w:tcPr>
            <w:tcW w:w="1080" w:type="dxa"/>
            <w:tcBorders>
              <w:top w:val="nil"/>
              <w:left w:val="nil"/>
              <w:bottom w:val="nil"/>
              <w:right w:val="nil"/>
            </w:tcBorders>
            <w:shd w:val="clear" w:color="auto" w:fill="auto"/>
            <w:noWrap/>
            <w:vAlign w:val="center"/>
            <w:hideMark/>
          </w:tcPr>
          <w:p w14:paraId="15EF3740"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-0.278</w:t>
            </w:r>
          </w:p>
        </w:tc>
        <w:tc>
          <w:tcPr>
            <w:tcW w:w="1084" w:type="dxa"/>
            <w:tcBorders>
              <w:top w:val="nil"/>
              <w:left w:val="nil"/>
              <w:bottom w:val="nil"/>
              <w:right w:val="nil"/>
            </w:tcBorders>
            <w:shd w:val="clear" w:color="auto" w:fill="auto"/>
            <w:noWrap/>
            <w:vAlign w:val="center"/>
            <w:hideMark/>
          </w:tcPr>
          <w:p w14:paraId="1527619A"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-0.986</w:t>
            </w:r>
          </w:p>
        </w:tc>
        <w:tc>
          <w:tcPr>
            <w:tcW w:w="1264" w:type="dxa"/>
            <w:tcBorders>
              <w:top w:val="nil"/>
              <w:left w:val="nil"/>
              <w:bottom w:val="nil"/>
              <w:right w:val="nil"/>
            </w:tcBorders>
            <w:shd w:val="clear" w:color="auto" w:fill="auto"/>
            <w:noWrap/>
            <w:vAlign w:val="center"/>
            <w:hideMark/>
          </w:tcPr>
          <w:p w14:paraId="22D81223" w14:textId="6DBFB153"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-2.154</w:t>
            </w:r>
            <w:r w:rsidR="00707C4A">
              <w:rPr>
                <w:rFonts w:eastAsia="Times New Roman"/>
                <w:color w:val="000000"/>
                <w:kern w:val="0"/>
                <w:sz w:val="20"/>
                <w:szCs w:val="20"/>
                <w14:ligatures w14:val="none"/>
              </w:rPr>
              <w:t>**</w:t>
            </w:r>
          </w:p>
        </w:tc>
        <w:tc>
          <w:tcPr>
            <w:tcW w:w="1108" w:type="dxa"/>
            <w:tcBorders>
              <w:top w:val="nil"/>
              <w:left w:val="nil"/>
              <w:bottom w:val="nil"/>
              <w:right w:val="nil"/>
            </w:tcBorders>
            <w:shd w:val="clear" w:color="auto" w:fill="auto"/>
            <w:noWrap/>
            <w:vAlign w:val="center"/>
            <w:hideMark/>
          </w:tcPr>
          <w:p w14:paraId="563C7D3D" w14:textId="42957534"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-1.723</w:t>
            </w:r>
            <w:r w:rsidR="00707C4A">
              <w:rPr>
                <w:rFonts w:eastAsia="Times New Roman"/>
                <w:color w:val="000000"/>
                <w:kern w:val="0"/>
                <w:sz w:val="20"/>
                <w:szCs w:val="20"/>
                <w14:ligatures w14:val="none"/>
              </w:rPr>
              <w:t>*</w:t>
            </w:r>
          </w:p>
        </w:tc>
        <w:tc>
          <w:tcPr>
            <w:tcW w:w="266" w:type="dxa"/>
            <w:tcBorders>
              <w:top w:val="nil"/>
              <w:left w:val="nil"/>
              <w:bottom w:val="nil"/>
              <w:right w:val="nil"/>
            </w:tcBorders>
            <w:shd w:val="clear" w:color="auto" w:fill="auto"/>
            <w:noWrap/>
            <w:vAlign w:val="center"/>
            <w:hideMark/>
          </w:tcPr>
          <w:p w14:paraId="699D73A9" w14:textId="77777777" w:rsidR="005115B7" w:rsidRPr="005115B7" w:rsidRDefault="005115B7" w:rsidP="005115B7">
            <w:pPr>
              <w:bidi w:val="0"/>
              <w:spacing w:after="0" w:line="240" w:lineRule="auto"/>
              <w:rPr>
                <w:rFonts w:eastAsia="Times New Roman"/>
                <w:color w:val="000000"/>
                <w:kern w:val="0"/>
                <w:sz w:val="20"/>
                <w:szCs w:val="20"/>
                <w14:ligatures w14:val="none"/>
              </w:rPr>
            </w:pPr>
          </w:p>
        </w:tc>
        <w:tc>
          <w:tcPr>
            <w:tcW w:w="1090" w:type="dxa"/>
            <w:tcBorders>
              <w:top w:val="nil"/>
              <w:left w:val="nil"/>
              <w:bottom w:val="nil"/>
              <w:right w:val="nil"/>
            </w:tcBorders>
            <w:shd w:val="clear" w:color="auto" w:fill="auto"/>
            <w:noWrap/>
            <w:vAlign w:val="center"/>
            <w:hideMark/>
          </w:tcPr>
          <w:p w14:paraId="586B06D1"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-1.469</w:t>
            </w:r>
          </w:p>
        </w:tc>
        <w:tc>
          <w:tcPr>
            <w:tcW w:w="1074" w:type="dxa"/>
            <w:tcBorders>
              <w:top w:val="nil"/>
              <w:left w:val="nil"/>
              <w:bottom w:val="nil"/>
              <w:right w:val="nil"/>
            </w:tcBorders>
            <w:shd w:val="clear" w:color="auto" w:fill="auto"/>
            <w:noWrap/>
            <w:vAlign w:val="center"/>
            <w:hideMark/>
          </w:tcPr>
          <w:p w14:paraId="1CF15366"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-0.607</w:t>
            </w:r>
          </w:p>
        </w:tc>
      </w:tr>
      <w:tr w:rsidR="005115B7" w:rsidRPr="005115B7" w14:paraId="093A7B32" w14:textId="77777777" w:rsidTr="00707C4A">
        <w:trPr>
          <w:trHeight w:val="315"/>
        </w:trPr>
        <w:tc>
          <w:tcPr>
            <w:tcW w:w="8242" w:type="dxa"/>
            <w:gridSpan w:val="8"/>
            <w:tcBorders>
              <w:top w:val="nil"/>
              <w:left w:val="nil"/>
              <w:bottom w:val="nil"/>
              <w:right w:val="nil"/>
            </w:tcBorders>
            <w:shd w:val="clear" w:color="auto" w:fill="auto"/>
            <w:noWrap/>
            <w:vAlign w:val="center"/>
            <w:hideMark/>
          </w:tcPr>
          <w:p w14:paraId="6E74930E"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Pre-event and post-event window</w:t>
            </w:r>
          </w:p>
        </w:tc>
      </w:tr>
      <w:tr w:rsidR="005115B7" w:rsidRPr="005115B7" w14:paraId="32837E48" w14:textId="77777777" w:rsidTr="00707C4A">
        <w:trPr>
          <w:trHeight w:val="255"/>
        </w:trPr>
        <w:tc>
          <w:tcPr>
            <w:tcW w:w="1276" w:type="dxa"/>
            <w:tcBorders>
              <w:top w:val="nil"/>
              <w:left w:val="nil"/>
              <w:bottom w:val="nil"/>
              <w:right w:val="nil"/>
            </w:tcBorders>
            <w:shd w:val="clear" w:color="auto" w:fill="auto"/>
            <w:noWrap/>
            <w:vAlign w:val="center"/>
            <w:hideMark/>
          </w:tcPr>
          <w:p w14:paraId="2394F16D"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CAR[-7,-1]</w:t>
            </w:r>
          </w:p>
        </w:tc>
        <w:tc>
          <w:tcPr>
            <w:tcW w:w="1080" w:type="dxa"/>
            <w:tcBorders>
              <w:top w:val="nil"/>
              <w:left w:val="nil"/>
              <w:bottom w:val="nil"/>
              <w:right w:val="nil"/>
            </w:tcBorders>
            <w:shd w:val="clear" w:color="auto" w:fill="auto"/>
            <w:noWrap/>
            <w:vAlign w:val="center"/>
            <w:hideMark/>
          </w:tcPr>
          <w:p w14:paraId="23FEA848"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-0.607</w:t>
            </w:r>
          </w:p>
        </w:tc>
        <w:tc>
          <w:tcPr>
            <w:tcW w:w="1084" w:type="dxa"/>
            <w:tcBorders>
              <w:top w:val="nil"/>
              <w:left w:val="nil"/>
              <w:bottom w:val="nil"/>
              <w:right w:val="nil"/>
            </w:tcBorders>
            <w:shd w:val="clear" w:color="auto" w:fill="auto"/>
            <w:noWrap/>
            <w:vAlign w:val="center"/>
            <w:hideMark/>
          </w:tcPr>
          <w:p w14:paraId="7B8AA925" w14:textId="2A8E2F51"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-2.696</w:t>
            </w:r>
            <w:r w:rsidR="00707C4A">
              <w:rPr>
                <w:rFonts w:eastAsia="Times New Roman"/>
                <w:color w:val="000000"/>
                <w:kern w:val="0"/>
                <w:sz w:val="20"/>
                <w:szCs w:val="20"/>
                <w14:ligatures w14:val="none"/>
              </w:rPr>
              <w:t>***</w:t>
            </w:r>
          </w:p>
        </w:tc>
        <w:tc>
          <w:tcPr>
            <w:tcW w:w="1264" w:type="dxa"/>
            <w:tcBorders>
              <w:top w:val="nil"/>
              <w:left w:val="nil"/>
              <w:bottom w:val="nil"/>
              <w:right w:val="nil"/>
            </w:tcBorders>
            <w:shd w:val="clear" w:color="auto" w:fill="auto"/>
            <w:noWrap/>
            <w:vAlign w:val="center"/>
            <w:hideMark/>
          </w:tcPr>
          <w:p w14:paraId="1187EC3A" w14:textId="6FD6D43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-3.524</w:t>
            </w:r>
            <w:r w:rsidR="00707C4A">
              <w:rPr>
                <w:rFonts w:eastAsia="Times New Roman"/>
                <w:color w:val="000000"/>
                <w:kern w:val="0"/>
                <w:sz w:val="20"/>
                <w:szCs w:val="20"/>
                <w14:ligatures w14:val="none"/>
              </w:rPr>
              <w:t>***</w:t>
            </w:r>
          </w:p>
        </w:tc>
        <w:tc>
          <w:tcPr>
            <w:tcW w:w="1108" w:type="dxa"/>
            <w:tcBorders>
              <w:top w:val="nil"/>
              <w:left w:val="nil"/>
              <w:bottom w:val="nil"/>
              <w:right w:val="nil"/>
            </w:tcBorders>
            <w:shd w:val="clear" w:color="auto" w:fill="auto"/>
            <w:noWrap/>
            <w:vAlign w:val="center"/>
            <w:hideMark/>
          </w:tcPr>
          <w:p w14:paraId="267E233F" w14:textId="45917F5E"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-2.578</w:t>
            </w:r>
            <w:r w:rsidR="00707C4A">
              <w:rPr>
                <w:rFonts w:eastAsia="Times New Roman"/>
                <w:color w:val="000000"/>
                <w:kern w:val="0"/>
                <w:sz w:val="20"/>
                <w:szCs w:val="20"/>
                <w14:ligatures w14:val="none"/>
              </w:rPr>
              <w:t>***</w:t>
            </w:r>
          </w:p>
        </w:tc>
        <w:tc>
          <w:tcPr>
            <w:tcW w:w="266" w:type="dxa"/>
            <w:tcBorders>
              <w:top w:val="nil"/>
              <w:left w:val="nil"/>
              <w:bottom w:val="nil"/>
              <w:right w:val="nil"/>
            </w:tcBorders>
            <w:shd w:val="clear" w:color="auto" w:fill="auto"/>
            <w:noWrap/>
            <w:vAlign w:val="center"/>
            <w:hideMark/>
          </w:tcPr>
          <w:p w14:paraId="501AE7E0" w14:textId="77777777" w:rsidR="005115B7" w:rsidRPr="005115B7" w:rsidRDefault="005115B7" w:rsidP="005115B7">
            <w:pPr>
              <w:bidi w:val="0"/>
              <w:spacing w:after="0" w:line="240" w:lineRule="auto"/>
              <w:rPr>
                <w:rFonts w:eastAsia="Times New Roman"/>
                <w:color w:val="000000"/>
                <w:kern w:val="0"/>
                <w:sz w:val="20"/>
                <w:szCs w:val="20"/>
                <w14:ligatures w14:val="none"/>
              </w:rPr>
            </w:pPr>
          </w:p>
        </w:tc>
        <w:tc>
          <w:tcPr>
            <w:tcW w:w="1090" w:type="dxa"/>
            <w:tcBorders>
              <w:top w:val="nil"/>
              <w:left w:val="nil"/>
              <w:bottom w:val="nil"/>
              <w:right w:val="nil"/>
            </w:tcBorders>
            <w:shd w:val="clear" w:color="auto" w:fill="auto"/>
            <w:noWrap/>
            <w:vAlign w:val="center"/>
            <w:hideMark/>
          </w:tcPr>
          <w:p w14:paraId="333E5ADC"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0.329</w:t>
            </w:r>
          </w:p>
        </w:tc>
        <w:tc>
          <w:tcPr>
            <w:tcW w:w="1074" w:type="dxa"/>
            <w:tcBorders>
              <w:top w:val="nil"/>
              <w:left w:val="nil"/>
              <w:bottom w:val="nil"/>
              <w:right w:val="nil"/>
            </w:tcBorders>
            <w:shd w:val="clear" w:color="auto" w:fill="auto"/>
            <w:noWrap/>
            <w:vAlign w:val="center"/>
            <w:hideMark/>
          </w:tcPr>
          <w:p w14:paraId="7A3085A2"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-1.385</w:t>
            </w:r>
          </w:p>
        </w:tc>
      </w:tr>
      <w:tr w:rsidR="005115B7" w:rsidRPr="005115B7" w14:paraId="0AED8615" w14:textId="77777777" w:rsidTr="00707C4A">
        <w:trPr>
          <w:trHeight w:val="255"/>
        </w:trPr>
        <w:tc>
          <w:tcPr>
            <w:tcW w:w="1276" w:type="dxa"/>
            <w:tcBorders>
              <w:top w:val="nil"/>
              <w:left w:val="nil"/>
              <w:bottom w:val="nil"/>
              <w:right w:val="nil"/>
            </w:tcBorders>
            <w:shd w:val="clear" w:color="auto" w:fill="auto"/>
            <w:noWrap/>
            <w:vAlign w:val="center"/>
            <w:hideMark/>
          </w:tcPr>
          <w:p w14:paraId="79904F51"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CAR[-5,-1]</w:t>
            </w:r>
          </w:p>
        </w:tc>
        <w:tc>
          <w:tcPr>
            <w:tcW w:w="1080" w:type="dxa"/>
            <w:tcBorders>
              <w:top w:val="nil"/>
              <w:left w:val="nil"/>
              <w:bottom w:val="nil"/>
              <w:right w:val="nil"/>
            </w:tcBorders>
            <w:shd w:val="clear" w:color="auto" w:fill="auto"/>
            <w:noWrap/>
            <w:vAlign w:val="center"/>
            <w:hideMark/>
          </w:tcPr>
          <w:p w14:paraId="303FDB5A"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-0.472</w:t>
            </w:r>
          </w:p>
        </w:tc>
        <w:tc>
          <w:tcPr>
            <w:tcW w:w="1084" w:type="dxa"/>
            <w:tcBorders>
              <w:top w:val="nil"/>
              <w:left w:val="nil"/>
              <w:bottom w:val="nil"/>
              <w:right w:val="nil"/>
            </w:tcBorders>
            <w:shd w:val="clear" w:color="auto" w:fill="auto"/>
            <w:noWrap/>
            <w:vAlign w:val="center"/>
            <w:hideMark/>
          </w:tcPr>
          <w:p w14:paraId="1CCEC82A" w14:textId="24864740"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-2.483</w:t>
            </w:r>
            <w:r w:rsidR="00707C4A">
              <w:rPr>
                <w:rFonts w:eastAsia="Times New Roman"/>
                <w:color w:val="000000"/>
                <w:kern w:val="0"/>
                <w:sz w:val="20"/>
                <w:szCs w:val="20"/>
                <w14:ligatures w14:val="none"/>
              </w:rPr>
              <w:t>**</w:t>
            </w:r>
          </w:p>
        </w:tc>
        <w:tc>
          <w:tcPr>
            <w:tcW w:w="1264" w:type="dxa"/>
            <w:tcBorders>
              <w:top w:val="nil"/>
              <w:left w:val="nil"/>
              <w:bottom w:val="nil"/>
              <w:right w:val="nil"/>
            </w:tcBorders>
            <w:shd w:val="clear" w:color="auto" w:fill="auto"/>
            <w:noWrap/>
            <w:vAlign w:val="center"/>
            <w:hideMark/>
          </w:tcPr>
          <w:p w14:paraId="43E1BD23" w14:textId="55B5CE69"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-3.410</w:t>
            </w:r>
            <w:r w:rsidR="00707C4A">
              <w:rPr>
                <w:rFonts w:eastAsia="Times New Roman"/>
                <w:color w:val="000000"/>
                <w:kern w:val="0"/>
                <w:sz w:val="20"/>
                <w:szCs w:val="20"/>
                <w14:ligatures w14:val="none"/>
              </w:rPr>
              <w:t>***</w:t>
            </w:r>
          </w:p>
        </w:tc>
        <w:tc>
          <w:tcPr>
            <w:tcW w:w="1108" w:type="dxa"/>
            <w:tcBorders>
              <w:top w:val="nil"/>
              <w:left w:val="nil"/>
              <w:bottom w:val="nil"/>
              <w:right w:val="nil"/>
            </w:tcBorders>
            <w:shd w:val="clear" w:color="auto" w:fill="auto"/>
            <w:noWrap/>
            <w:vAlign w:val="center"/>
            <w:hideMark/>
          </w:tcPr>
          <w:p w14:paraId="4621C54D" w14:textId="631C4F1B"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-2.620</w:t>
            </w:r>
            <w:r w:rsidR="00707C4A">
              <w:rPr>
                <w:rFonts w:eastAsia="Times New Roman"/>
                <w:color w:val="000000"/>
                <w:kern w:val="0"/>
                <w:sz w:val="20"/>
                <w:szCs w:val="20"/>
                <w14:ligatures w14:val="none"/>
              </w:rPr>
              <w:t>***</w:t>
            </w:r>
          </w:p>
        </w:tc>
        <w:tc>
          <w:tcPr>
            <w:tcW w:w="266" w:type="dxa"/>
            <w:tcBorders>
              <w:top w:val="nil"/>
              <w:left w:val="nil"/>
              <w:bottom w:val="nil"/>
              <w:right w:val="nil"/>
            </w:tcBorders>
            <w:shd w:val="clear" w:color="auto" w:fill="auto"/>
            <w:noWrap/>
            <w:vAlign w:val="center"/>
            <w:hideMark/>
          </w:tcPr>
          <w:p w14:paraId="189AEFCB" w14:textId="77777777" w:rsidR="005115B7" w:rsidRPr="005115B7" w:rsidRDefault="005115B7" w:rsidP="005115B7">
            <w:pPr>
              <w:bidi w:val="0"/>
              <w:spacing w:after="0" w:line="240" w:lineRule="auto"/>
              <w:rPr>
                <w:rFonts w:eastAsia="Times New Roman"/>
                <w:color w:val="000000"/>
                <w:kern w:val="0"/>
                <w:sz w:val="20"/>
                <w:szCs w:val="20"/>
                <w14:ligatures w14:val="none"/>
              </w:rPr>
            </w:pPr>
          </w:p>
        </w:tc>
        <w:tc>
          <w:tcPr>
            <w:tcW w:w="1090" w:type="dxa"/>
            <w:tcBorders>
              <w:top w:val="nil"/>
              <w:left w:val="nil"/>
              <w:bottom w:val="nil"/>
              <w:right w:val="nil"/>
            </w:tcBorders>
            <w:shd w:val="clear" w:color="auto" w:fill="auto"/>
            <w:noWrap/>
            <w:vAlign w:val="center"/>
            <w:hideMark/>
          </w:tcPr>
          <w:p w14:paraId="0AEE09E7" w14:textId="202F0C4A"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2.061</w:t>
            </w:r>
            <w:r w:rsidR="00707C4A">
              <w:rPr>
                <w:rFonts w:eastAsia="Times New Roman"/>
                <w:color w:val="000000"/>
                <w:kern w:val="0"/>
                <w:sz w:val="20"/>
                <w:szCs w:val="20"/>
                <w14:ligatures w14:val="none"/>
              </w:rPr>
              <w:t>**</w:t>
            </w:r>
          </w:p>
        </w:tc>
        <w:tc>
          <w:tcPr>
            <w:tcW w:w="1074" w:type="dxa"/>
            <w:tcBorders>
              <w:top w:val="nil"/>
              <w:left w:val="nil"/>
              <w:bottom w:val="nil"/>
              <w:right w:val="nil"/>
            </w:tcBorders>
            <w:shd w:val="clear" w:color="auto" w:fill="auto"/>
            <w:noWrap/>
            <w:vAlign w:val="center"/>
            <w:hideMark/>
          </w:tcPr>
          <w:p w14:paraId="68FE9D82" w14:textId="73D4578F"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-1.629</w:t>
            </w:r>
          </w:p>
        </w:tc>
      </w:tr>
      <w:tr w:rsidR="005115B7" w:rsidRPr="005115B7" w14:paraId="20D6E0D9" w14:textId="77777777" w:rsidTr="00707C4A">
        <w:trPr>
          <w:trHeight w:val="255"/>
        </w:trPr>
        <w:tc>
          <w:tcPr>
            <w:tcW w:w="1276" w:type="dxa"/>
            <w:tcBorders>
              <w:top w:val="nil"/>
              <w:left w:val="nil"/>
              <w:bottom w:val="nil"/>
              <w:right w:val="nil"/>
            </w:tcBorders>
            <w:shd w:val="clear" w:color="auto" w:fill="auto"/>
            <w:noWrap/>
            <w:vAlign w:val="center"/>
            <w:hideMark/>
          </w:tcPr>
          <w:p w14:paraId="553D7EC9"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CAR[-3,-1]</w:t>
            </w:r>
          </w:p>
        </w:tc>
        <w:tc>
          <w:tcPr>
            <w:tcW w:w="1080" w:type="dxa"/>
            <w:tcBorders>
              <w:top w:val="nil"/>
              <w:left w:val="nil"/>
              <w:bottom w:val="nil"/>
              <w:right w:val="nil"/>
            </w:tcBorders>
            <w:shd w:val="clear" w:color="auto" w:fill="auto"/>
            <w:noWrap/>
            <w:vAlign w:val="center"/>
            <w:hideMark/>
          </w:tcPr>
          <w:p w14:paraId="3335D6D6"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-0.512</w:t>
            </w:r>
          </w:p>
        </w:tc>
        <w:tc>
          <w:tcPr>
            <w:tcW w:w="1084" w:type="dxa"/>
            <w:tcBorders>
              <w:top w:val="nil"/>
              <w:left w:val="nil"/>
              <w:bottom w:val="nil"/>
              <w:right w:val="nil"/>
            </w:tcBorders>
            <w:shd w:val="clear" w:color="auto" w:fill="auto"/>
            <w:noWrap/>
            <w:vAlign w:val="center"/>
            <w:hideMark/>
          </w:tcPr>
          <w:p w14:paraId="337FA636" w14:textId="55ABDA22"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-3.476</w:t>
            </w:r>
            <w:r w:rsidR="00707C4A">
              <w:rPr>
                <w:rFonts w:eastAsia="Times New Roman"/>
                <w:color w:val="000000"/>
                <w:kern w:val="0"/>
                <w:sz w:val="20"/>
                <w:szCs w:val="20"/>
                <w14:ligatures w14:val="none"/>
              </w:rPr>
              <w:t>***</w:t>
            </w:r>
          </w:p>
        </w:tc>
        <w:tc>
          <w:tcPr>
            <w:tcW w:w="1264" w:type="dxa"/>
            <w:tcBorders>
              <w:top w:val="nil"/>
              <w:left w:val="nil"/>
              <w:bottom w:val="nil"/>
              <w:right w:val="nil"/>
            </w:tcBorders>
            <w:shd w:val="clear" w:color="auto" w:fill="auto"/>
            <w:noWrap/>
            <w:vAlign w:val="center"/>
            <w:hideMark/>
          </w:tcPr>
          <w:p w14:paraId="4318309F" w14:textId="3C806C80"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-4.268</w:t>
            </w:r>
            <w:r w:rsidR="00707C4A">
              <w:rPr>
                <w:rFonts w:eastAsia="Times New Roman"/>
                <w:color w:val="000000"/>
                <w:kern w:val="0"/>
                <w:sz w:val="20"/>
                <w:szCs w:val="20"/>
                <w14:ligatures w14:val="none"/>
              </w:rPr>
              <w:t>***</w:t>
            </w:r>
          </w:p>
        </w:tc>
        <w:tc>
          <w:tcPr>
            <w:tcW w:w="1108" w:type="dxa"/>
            <w:tcBorders>
              <w:top w:val="nil"/>
              <w:left w:val="nil"/>
              <w:bottom w:val="nil"/>
              <w:right w:val="nil"/>
            </w:tcBorders>
            <w:shd w:val="clear" w:color="auto" w:fill="auto"/>
            <w:noWrap/>
            <w:vAlign w:val="center"/>
            <w:hideMark/>
          </w:tcPr>
          <w:p w14:paraId="120E16C9" w14:textId="2ADD83ED"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-3.596</w:t>
            </w:r>
            <w:r w:rsidR="00707C4A">
              <w:rPr>
                <w:rFonts w:eastAsia="Times New Roman"/>
                <w:color w:val="000000"/>
                <w:kern w:val="0"/>
                <w:sz w:val="20"/>
                <w:szCs w:val="20"/>
                <w14:ligatures w14:val="none"/>
              </w:rPr>
              <w:t>***</w:t>
            </w:r>
          </w:p>
        </w:tc>
        <w:tc>
          <w:tcPr>
            <w:tcW w:w="266" w:type="dxa"/>
            <w:tcBorders>
              <w:top w:val="nil"/>
              <w:left w:val="nil"/>
              <w:bottom w:val="nil"/>
              <w:right w:val="nil"/>
            </w:tcBorders>
            <w:shd w:val="clear" w:color="auto" w:fill="auto"/>
            <w:noWrap/>
            <w:vAlign w:val="center"/>
            <w:hideMark/>
          </w:tcPr>
          <w:p w14:paraId="418CDA63" w14:textId="77777777" w:rsidR="005115B7" w:rsidRPr="005115B7" w:rsidRDefault="005115B7" w:rsidP="005115B7">
            <w:pPr>
              <w:bidi w:val="0"/>
              <w:spacing w:after="0" w:line="240" w:lineRule="auto"/>
              <w:rPr>
                <w:rFonts w:eastAsia="Times New Roman"/>
                <w:color w:val="000000"/>
                <w:kern w:val="0"/>
                <w:sz w:val="20"/>
                <w:szCs w:val="20"/>
                <w14:ligatures w14:val="none"/>
              </w:rPr>
            </w:pPr>
          </w:p>
        </w:tc>
        <w:tc>
          <w:tcPr>
            <w:tcW w:w="1090" w:type="dxa"/>
            <w:tcBorders>
              <w:top w:val="nil"/>
              <w:left w:val="nil"/>
              <w:bottom w:val="nil"/>
              <w:right w:val="nil"/>
            </w:tcBorders>
            <w:shd w:val="clear" w:color="auto" w:fill="auto"/>
            <w:noWrap/>
            <w:vAlign w:val="center"/>
            <w:hideMark/>
          </w:tcPr>
          <w:p w14:paraId="53A2D8BD" w14:textId="5945C2EC"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4.431</w:t>
            </w:r>
            <w:r w:rsidR="00707C4A">
              <w:rPr>
                <w:rFonts w:eastAsia="Times New Roman"/>
                <w:color w:val="000000"/>
                <w:kern w:val="0"/>
                <w:sz w:val="20"/>
                <w:szCs w:val="20"/>
                <w14:ligatures w14:val="none"/>
              </w:rPr>
              <w:t>***</w:t>
            </w:r>
          </w:p>
        </w:tc>
        <w:tc>
          <w:tcPr>
            <w:tcW w:w="1074" w:type="dxa"/>
            <w:tcBorders>
              <w:top w:val="nil"/>
              <w:left w:val="nil"/>
              <w:bottom w:val="nil"/>
              <w:right w:val="nil"/>
            </w:tcBorders>
            <w:shd w:val="clear" w:color="auto" w:fill="auto"/>
            <w:noWrap/>
            <w:vAlign w:val="center"/>
            <w:hideMark/>
          </w:tcPr>
          <w:p w14:paraId="29619D28" w14:textId="7BC16FB3"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-2.552</w:t>
            </w:r>
            <w:r w:rsidR="00707C4A">
              <w:rPr>
                <w:rFonts w:eastAsia="Times New Roman"/>
                <w:color w:val="000000"/>
                <w:kern w:val="0"/>
                <w:sz w:val="20"/>
                <w:szCs w:val="20"/>
                <w14:ligatures w14:val="none"/>
              </w:rPr>
              <w:t>**</w:t>
            </w:r>
          </w:p>
        </w:tc>
      </w:tr>
      <w:tr w:rsidR="005115B7" w:rsidRPr="005115B7" w14:paraId="35EA6FBA" w14:textId="77777777" w:rsidTr="00707C4A">
        <w:trPr>
          <w:trHeight w:val="255"/>
        </w:trPr>
        <w:tc>
          <w:tcPr>
            <w:tcW w:w="1276" w:type="dxa"/>
            <w:tcBorders>
              <w:top w:val="nil"/>
              <w:left w:val="nil"/>
              <w:bottom w:val="nil"/>
              <w:right w:val="nil"/>
            </w:tcBorders>
            <w:shd w:val="clear" w:color="auto" w:fill="auto"/>
            <w:noWrap/>
            <w:vAlign w:val="center"/>
            <w:hideMark/>
          </w:tcPr>
          <w:p w14:paraId="6E7CAC16"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CAR[0,0]</w:t>
            </w:r>
          </w:p>
        </w:tc>
        <w:tc>
          <w:tcPr>
            <w:tcW w:w="1080" w:type="dxa"/>
            <w:tcBorders>
              <w:top w:val="nil"/>
              <w:left w:val="nil"/>
              <w:bottom w:val="nil"/>
              <w:right w:val="nil"/>
            </w:tcBorders>
            <w:shd w:val="clear" w:color="auto" w:fill="auto"/>
            <w:noWrap/>
            <w:vAlign w:val="center"/>
            <w:hideMark/>
          </w:tcPr>
          <w:p w14:paraId="3FE2BE3B"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0.181</w:t>
            </w:r>
          </w:p>
        </w:tc>
        <w:tc>
          <w:tcPr>
            <w:tcW w:w="1084" w:type="dxa"/>
            <w:tcBorders>
              <w:top w:val="nil"/>
              <w:left w:val="nil"/>
              <w:bottom w:val="nil"/>
              <w:right w:val="nil"/>
            </w:tcBorders>
            <w:shd w:val="clear" w:color="auto" w:fill="auto"/>
            <w:noWrap/>
            <w:vAlign w:val="center"/>
            <w:hideMark/>
          </w:tcPr>
          <w:p w14:paraId="78A8A92F" w14:textId="2945BEB4"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2.123</w:t>
            </w:r>
            <w:r w:rsidR="00707C4A">
              <w:rPr>
                <w:rFonts w:eastAsia="Times New Roman"/>
                <w:color w:val="000000"/>
                <w:kern w:val="0"/>
                <w:sz w:val="20"/>
                <w:szCs w:val="20"/>
                <w14:ligatures w14:val="none"/>
              </w:rPr>
              <w:t>**</w:t>
            </w:r>
          </w:p>
        </w:tc>
        <w:tc>
          <w:tcPr>
            <w:tcW w:w="1264" w:type="dxa"/>
            <w:tcBorders>
              <w:top w:val="nil"/>
              <w:left w:val="nil"/>
              <w:bottom w:val="nil"/>
              <w:right w:val="nil"/>
            </w:tcBorders>
            <w:shd w:val="clear" w:color="auto" w:fill="auto"/>
            <w:noWrap/>
            <w:vAlign w:val="center"/>
            <w:hideMark/>
          </w:tcPr>
          <w:p w14:paraId="796F6269" w14:textId="03D158B2"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2.015</w:t>
            </w:r>
            <w:r w:rsidR="00707C4A">
              <w:rPr>
                <w:rFonts w:eastAsia="Times New Roman"/>
                <w:color w:val="000000"/>
                <w:kern w:val="0"/>
                <w:sz w:val="20"/>
                <w:szCs w:val="20"/>
                <w14:ligatures w14:val="none"/>
              </w:rPr>
              <w:t>**</w:t>
            </w:r>
          </w:p>
        </w:tc>
        <w:tc>
          <w:tcPr>
            <w:tcW w:w="1108" w:type="dxa"/>
            <w:tcBorders>
              <w:top w:val="nil"/>
              <w:left w:val="nil"/>
              <w:bottom w:val="nil"/>
              <w:right w:val="nil"/>
            </w:tcBorders>
            <w:shd w:val="clear" w:color="auto" w:fill="auto"/>
            <w:noWrap/>
            <w:vAlign w:val="center"/>
            <w:hideMark/>
          </w:tcPr>
          <w:p w14:paraId="411F5D8A"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1.601</w:t>
            </w:r>
          </w:p>
        </w:tc>
        <w:tc>
          <w:tcPr>
            <w:tcW w:w="266" w:type="dxa"/>
            <w:tcBorders>
              <w:top w:val="nil"/>
              <w:left w:val="nil"/>
              <w:bottom w:val="nil"/>
              <w:right w:val="nil"/>
            </w:tcBorders>
            <w:shd w:val="clear" w:color="auto" w:fill="auto"/>
            <w:noWrap/>
            <w:vAlign w:val="center"/>
            <w:hideMark/>
          </w:tcPr>
          <w:p w14:paraId="6B5459A9" w14:textId="77777777" w:rsidR="005115B7" w:rsidRPr="005115B7" w:rsidRDefault="005115B7" w:rsidP="005115B7">
            <w:pPr>
              <w:bidi w:val="0"/>
              <w:spacing w:after="0" w:line="240" w:lineRule="auto"/>
              <w:rPr>
                <w:rFonts w:eastAsia="Times New Roman"/>
                <w:color w:val="000000"/>
                <w:kern w:val="0"/>
                <w:sz w:val="20"/>
                <w:szCs w:val="20"/>
                <w14:ligatures w14:val="none"/>
              </w:rPr>
            </w:pPr>
          </w:p>
        </w:tc>
        <w:tc>
          <w:tcPr>
            <w:tcW w:w="1090" w:type="dxa"/>
            <w:tcBorders>
              <w:top w:val="nil"/>
              <w:left w:val="nil"/>
              <w:bottom w:val="nil"/>
              <w:right w:val="nil"/>
            </w:tcBorders>
            <w:shd w:val="clear" w:color="auto" w:fill="auto"/>
            <w:noWrap/>
            <w:vAlign w:val="center"/>
            <w:hideMark/>
          </w:tcPr>
          <w:p w14:paraId="1E00A321"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-1.372</w:t>
            </w:r>
          </w:p>
        </w:tc>
        <w:tc>
          <w:tcPr>
            <w:tcW w:w="1074" w:type="dxa"/>
            <w:tcBorders>
              <w:top w:val="nil"/>
              <w:left w:val="nil"/>
              <w:bottom w:val="nil"/>
              <w:right w:val="nil"/>
            </w:tcBorders>
            <w:shd w:val="clear" w:color="auto" w:fill="auto"/>
            <w:noWrap/>
            <w:vAlign w:val="center"/>
            <w:hideMark/>
          </w:tcPr>
          <w:p w14:paraId="197EF0D9" w14:textId="11444ACE"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2.012</w:t>
            </w:r>
            <w:r w:rsidR="00707C4A">
              <w:rPr>
                <w:rFonts w:eastAsia="Times New Roman"/>
                <w:color w:val="000000"/>
                <w:kern w:val="0"/>
                <w:sz w:val="20"/>
                <w:szCs w:val="20"/>
                <w14:ligatures w14:val="none"/>
              </w:rPr>
              <w:t>*</w:t>
            </w:r>
          </w:p>
        </w:tc>
      </w:tr>
      <w:tr w:rsidR="005115B7" w:rsidRPr="005115B7" w14:paraId="6868ED0D" w14:textId="77777777" w:rsidTr="00707C4A">
        <w:trPr>
          <w:trHeight w:val="255"/>
        </w:trPr>
        <w:tc>
          <w:tcPr>
            <w:tcW w:w="1276" w:type="dxa"/>
            <w:tcBorders>
              <w:top w:val="nil"/>
              <w:left w:val="nil"/>
              <w:bottom w:val="nil"/>
              <w:right w:val="nil"/>
            </w:tcBorders>
            <w:shd w:val="clear" w:color="auto" w:fill="auto"/>
            <w:noWrap/>
            <w:vAlign w:val="center"/>
            <w:hideMark/>
          </w:tcPr>
          <w:p w14:paraId="7DCD0390"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CAR[0,+1]</w:t>
            </w:r>
          </w:p>
        </w:tc>
        <w:tc>
          <w:tcPr>
            <w:tcW w:w="1080" w:type="dxa"/>
            <w:tcBorders>
              <w:top w:val="nil"/>
              <w:left w:val="nil"/>
              <w:bottom w:val="nil"/>
              <w:right w:val="nil"/>
            </w:tcBorders>
            <w:shd w:val="clear" w:color="auto" w:fill="auto"/>
            <w:noWrap/>
            <w:vAlign w:val="center"/>
            <w:hideMark/>
          </w:tcPr>
          <w:p w14:paraId="3D0EB914"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0.343</w:t>
            </w:r>
          </w:p>
        </w:tc>
        <w:tc>
          <w:tcPr>
            <w:tcW w:w="1084" w:type="dxa"/>
            <w:tcBorders>
              <w:top w:val="nil"/>
              <w:left w:val="nil"/>
              <w:bottom w:val="nil"/>
              <w:right w:val="nil"/>
            </w:tcBorders>
            <w:shd w:val="clear" w:color="auto" w:fill="auto"/>
            <w:noWrap/>
            <w:vAlign w:val="center"/>
            <w:hideMark/>
          </w:tcPr>
          <w:p w14:paraId="78DF0137" w14:textId="1BFB503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2.850</w:t>
            </w:r>
            <w:r w:rsidR="00707C4A">
              <w:rPr>
                <w:rFonts w:eastAsia="Times New Roman"/>
                <w:color w:val="000000"/>
                <w:kern w:val="0"/>
                <w:sz w:val="20"/>
                <w:szCs w:val="20"/>
                <w14:ligatures w14:val="none"/>
              </w:rPr>
              <w:t>***</w:t>
            </w:r>
          </w:p>
        </w:tc>
        <w:tc>
          <w:tcPr>
            <w:tcW w:w="1264" w:type="dxa"/>
            <w:tcBorders>
              <w:top w:val="nil"/>
              <w:left w:val="nil"/>
              <w:bottom w:val="nil"/>
              <w:right w:val="nil"/>
            </w:tcBorders>
            <w:shd w:val="clear" w:color="auto" w:fill="auto"/>
            <w:noWrap/>
            <w:vAlign w:val="center"/>
            <w:hideMark/>
          </w:tcPr>
          <w:p w14:paraId="1E3E89BA" w14:textId="49634844"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2.808</w:t>
            </w:r>
            <w:r w:rsidR="00707C4A">
              <w:rPr>
                <w:rFonts w:eastAsia="Times New Roman"/>
                <w:color w:val="000000"/>
                <w:kern w:val="0"/>
                <w:sz w:val="20"/>
                <w:szCs w:val="20"/>
                <w14:ligatures w14:val="none"/>
              </w:rPr>
              <w:t>***</w:t>
            </w:r>
          </w:p>
        </w:tc>
        <w:tc>
          <w:tcPr>
            <w:tcW w:w="1108" w:type="dxa"/>
            <w:tcBorders>
              <w:top w:val="nil"/>
              <w:left w:val="nil"/>
              <w:bottom w:val="nil"/>
              <w:right w:val="nil"/>
            </w:tcBorders>
            <w:shd w:val="clear" w:color="auto" w:fill="auto"/>
            <w:noWrap/>
            <w:vAlign w:val="center"/>
            <w:hideMark/>
          </w:tcPr>
          <w:p w14:paraId="60366A07" w14:textId="0450CB0E"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2.315</w:t>
            </w:r>
            <w:r w:rsidR="00707C4A">
              <w:rPr>
                <w:rFonts w:eastAsia="Times New Roman"/>
                <w:color w:val="000000"/>
                <w:kern w:val="0"/>
                <w:sz w:val="20"/>
                <w:szCs w:val="20"/>
                <w14:ligatures w14:val="none"/>
              </w:rPr>
              <w:t>**</w:t>
            </w:r>
          </w:p>
        </w:tc>
        <w:tc>
          <w:tcPr>
            <w:tcW w:w="266" w:type="dxa"/>
            <w:tcBorders>
              <w:top w:val="nil"/>
              <w:left w:val="nil"/>
              <w:bottom w:val="nil"/>
              <w:right w:val="nil"/>
            </w:tcBorders>
            <w:shd w:val="clear" w:color="auto" w:fill="auto"/>
            <w:noWrap/>
            <w:vAlign w:val="center"/>
            <w:hideMark/>
          </w:tcPr>
          <w:p w14:paraId="228E76FF" w14:textId="77777777" w:rsidR="005115B7" w:rsidRPr="005115B7" w:rsidRDefault="005115B7" w:rsidP="005115B7">
            <w:pPr>
              <w:bidi w:val="0"/>
              <w:spacing w:after="0" w:line="240" w:lineRule="auto"/>
              <w:rPr>
                <w:rFonts w:eastAsia="Times New Roman"/>
                <w:color w:val="000000"/>
                <w:kern w:val="0"/>
                <w:sz w:val="20"/>
                <w:szCs w:val="20"/>
                <w14:ligatures w14:val="none"/>
              </w:rPr>
            </w:pPr>
          </w:p>
        </w:tc>
        <w:tc>
          <w:tcPr>
            <w:tcW w:w="1090" w:type="dxa"/>
            <w:tcBorders>
              <w:top w:val="nil"/>
              <w:left w:val="nil"/>
              <w:bottom w:val="nil"/>
              <w:right w:val="nil"/>
            </w:tcBorders>
            <w:shd w:val="clear" w:color="auto" w:fill="auto"/>
            <w:noWrap/>
            <w:vAlign w:val="center"/>
            <w:hideMark/>
          </w:tcPr>
          <w:p w14:paraId="4E77D00E" w14:textId="5C160039"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-3.070</w:t>
            </w:r>
            <w:r w:rsidR="00707C4A">
              <w:rPr>
                <w:rFonts w:eastAsia="Times New Roman"/>
                <w:color w:val="000000"/>
                <w:kern w:val="0"/>
                <w:sz w:val="20"/>
                <w:szCs w:val="20"/>
                <w14:ligatures w14:val="none"/>
              </w:rPr>
              <w:t>***</w:t>
            </w:r>
          </w:p>
        </w:tc>
        <w:tc>
          <w:tcPr>
            <w:tcW w:w="1074" w:type="dxa"/>
            <w:tcBorders>
              <w:top w:val="nil"/>
              <w:left w:val="nil"/>
              <w:bottom w:val="nil"/>
              <w:right w:val="nil"/>
            </w:tcBorders>
            <w:shd w:val="clear" w:color="auto" w:fill="auto"/>
            <w:noWrap/>
            <w:vAlign w:val="center"/>
            <w:hideMark/>
          </w:tcPr>
          <w:p w14:paraId="6575847F" w14:textId="29DB7272"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2.241</w:t>
            </w:r>
            <w:r w:rsidR="00707C4A">
              <w:rPr>
                <w:rFonts w:eastAsia="Times New Roman"/>
                <w:color w:val="000000"/>
                <w:kern w:val="0"/>
                <w:sz w:val="20"/>
                <w:szCs w:val="20"/>
                <w14:ligatures w14:val="none"/>
              </w:rPr>
              <w:t>**</w:t>
            </w:r>
          </w:p>
        </w:tc>
      </w:tr>
      <w:tr w:rsidR="005115B7" w:rsidRPr="005115B7" w14:paraId="640B422C" w14:textId="77777777" w:rsidTr="00707C4A">
        <w:trPr>
          <w:trHeight w:val="255"/>
        </w:trPr>
        <w:tc>
          <w:tcPr>
            <w:tcW w:w="1276" w:type="dxa"/>
            <w:tcBorders>
              <w:top w:val="nil"/>
              <w:left w:val="nil"/>
              <w:bottom w:val="nil"/>
              <w:right w:val="nil"/>
            </w:tcBorders>
            <w:shd w:val="clear" w:color="auto" w:fill="auto"/>
            <w:noWrap/>
            <w:vAlign w:val="center"/>
            <w:hideMark/>
          </w:tcPr>
          <w:p w14:paraId="1C5B01AA"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CAR[0,+3]</w:t>
            </w:r>
          </w:p>
        </w:tc>
        <w:tc>
          <w:tcPr>
            <w:tcW w:w="1080" w:type="dxa"/>
            <w:tcBorders>
              <w:top w:val="nil"/>
              <w:left w:val="nil"/>
              <w:bottom w:val="nil"/>
              <w:right w:val="nil"/>
            </w:tcBorders>
            <w:shd w:val="clear" w:color="auto" w:fill="auto"/>
            <w:noWrap/>
            <w:vAlign w:val="center"/>
            <w:hideMark/>
          </w:tcPr>
          <w:p w14:paraId="6A5B867C"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0.323</w:t>
            </w:r>
          </w:p>
        </w:tc>
        <w:tc>
          <w:tcPr>
            <w:tcW w:w="1084" w:type="dxa"/>
            <w:tcBorders>
              <w:top w:val="nil"/>
              <w:left w:val="nil"/>
              <w:bottom w:val="nil"/>
              <w:right w:val="nil"/>
            </w:tcBorders>
            <w:shd w:val="clear" w:color="auto" w:fill="auto"/>
            <w:noWrap/>
            <w:vAlign w:val="center"/>
            <w:hideMark/>
          </w:tcPr>
          <w:p w14:paraId="544337EF" w14:textId="62C24B51"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1.900</w:t>
            </w:r>
            <w:r w:rsidR="00707C4A">
              <w:rPr>
                <w:rFonts w:eastAsia="Times New Roman"/>
                <w:color w:val="000000"/>
                <w:kern w:val="0"/>
                <w:sz w:val="20"/>
                <w:szCs w:val="20"/>
                <w14:ligatures w14:val="none"/>
              </w:rPr>
              <w:t>*</w:t>
            </w:r>
          </w:p>
        </w:tc>
        <w:tc>
          <w:tcPr>
            <w:tcW w:w="1264" w:type="dxa"/>
            <w:tcBorders>
              <w:top w:val="nil"/>
              <w:left w:val="nil"/>
              <w:bottom w:val="nil"/>
              <w:right w:val="nil"/>
            </w:tcBorders>
            <w:shd w:val="clear" w:color="auto" w:fill="auto"/>
            <w:noWrap/>
            <w:vAlign w:val="center"/>
            <w:hideMark/>
          </w:tcPr>
          <w:p w14:paraId="31C5B374"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1.556</w:t>
            </w:r>
          </w:p>
        </w:tc>
        <w:tc>
          <w:tcPr>
            <w:tcW w:w="1108" w:type="dxa"/>
            <w:tcBorders>
              <w:top w:val="nil"/>
              <w:left w:val="nil"/>
              <w:bottom w:val="nil"/>
              <w:right w:val="nil"/>
            </w:tcBorders>
            <w:shd w:val="clear" w:color="auto" w:fill="auto"/>
            <w:noWrap/>
            <w:vAlign w:val="center"/>
            <w:hideMark/>
          </w:tcPr>
          <w:p w14:paraId="088224A3"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1.249</w:t>
            </w:r>
          </w:p>
        </w:tc>
        <w:tc>
          <w:tcPr>
            <w:tcW w:w="266" w:type="dxa"/>
            <w:tcBorders>
              <w:top w:val="nil"/>
              <w:left w:val="nil"/>
              <w:bottom w:val="nil"/>
              <w:right w:val="nil"/>
            </w:tcBorders>
            <w:shd w:val="clear" w:color="auto" w:fill="auto"/>
            <w:noWrap/>
            <w:vAlign w:val="center"/>
            <w:hideMark/>
          </w:tcPr>
          <w:p w14:paraId="03C43D3D" w14:textId="77777777" w:rsidR="005115B7" w:rsidRPr="005115B7" w:rsidRDefault="005115B7" w:rsidP="005115B7">
            <w:pPr>
              <w:bidi w:val="0"/>
              <w:spacing w:after="0" w:line="240" w:lineRule="auto"/>
              <w:rPr>
                <w:rFonts w:eastAsia="Times New Roman"/>
                <w:color w:val="000000"/>
                <w:kern w:val="0"/>
                <w:sz w:val="20"/>
                <w:szCs w:val="20"/>
                <w14:ligatures w14:val="none"/>
              </w:rPr>
            </w:pPr>
          </w:p>
        </w:tc>
        <w:tc>
          <w:tcPr>
            <w:tcW w:w="1090" w:type="dxa"/>
            <w:tcBorders>
              <w:top w:val="nil"/>
              <w:left w:val="nil"/>
              <w:bottom w:val="nil"/>
              <w:right w:val="nil"/>
            </w:tcBorders>
            <w:shd w:val="clear" w:color="auto" w:fill="auto"/>
            <w:noWrap/>
            <w:vAlign w:val="center"/>
            <w:hideMark/>
          </w:tcPr>
          <w:p w14:paraId="1A6DED3B" w14:textId="50D47C28"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-3.873</w:t>
            </w:r>
            <w:r w:rsidR="00707C4A">
              <w:rPr>
                <w:rFonts w:eastAsia="Times New Roman"/>
                <w:color w:val="000000"/>
                <w:kern w:val="0"/>
                <w:sz w:val="20"/>
                <w:szCs w:val="20"/>
                <w14:ligatures w14:val="none"/>
              </w:rPr>
              <w:t>***</w:t>
            </w:r>
          </w:p>
        </w:tc>
        <w:tc>
          <w:tcPr>
            <w:tcW w:w="1074" w:type="dxa"/>
            <w:tcBorders>
              <w:top w:val="nil"/>
              <w:left w:val="nil"/>
              <w:bottom w:val="nil"/>
              <w:right w:val="nil"/>
            </w:tcBorders>
            <w:shd w:val="clear" w:color="auto" w:fill="auto"/>
            <w:noWrap/>
            <w:vAlign w:val="center"/>
            <w:hideMark/>
          </w:tcPr>
          <w:p w14:paraId="0632C063" w14:textId="7703F2DD"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1.826</w:t>
            </w:r>
            <w:r w:rsidR="00707C4A">
              <w:rPr>
                <w:rFonts w:eastAsia="Times New Roman"/>
                <w:color w:val="000000"/>
                <w:kern w:val="0"/>
                <w:sz w:val="20"/>
                <w:szCs w:val="20"/>
                <w14:ligatures w14:val="none"/>
              </w:rPr>
              <w:t>*</w:t>
            </w:r>
          </w:p>
        </w:tc>
      </w:tr>
      <w:tr w:rsidR="005115B7" w:rsidRPr="005115B7" w14:paraId="413B7B89" w14:textId="77777777" w:rsidTr="00707C4A">
        <w:trPr>
          <w:trHeight w:val="255"/>
        </w:trPr>
        <w:tc>
          <w:tcPr>
            <w:tcW w:w="1276" w:type="dxa"/>
            <w:tcBorders>
              <w:top w:val="nil"/>
              <w:left w:val="nil"/>
              <w:bottom w:val="single" w:sz="4" w:space="0" w:color="auto"/>
              <w:right w:val="nil"/>
            </w:tcBorders>
            <w:shd w:val="clear" w:color="auto" w:fill="auto"/>
            <w:noWrap/>
            <w:vAlign w:val="center"/>
            <w:hideMark/>
          </w:tcPr>
          <w:p w14:paraId="1EF67245"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CAR[0,+5]</w:t>
            </w:r>
          </w:p>
        </w:tc>
        <w:tc>
          <w:tcPr>
            <w:tcW w:w="1080" w:type="dxa"/>
            <w:tcBorders>
              <w:top w:val="nil"/>
              <w:left w:val="nil"/>
              <w:bottom w:val="single" w:sz="4" w:space="0" w:color="auto"/>
              <w:right w:val="nil"/>
            </w:tcBorders>
            <w:shd w:val="clear" w:color="auto" w:fill="auto"/>
            <w:noWrap/>
            <w:vAlign w:val="center"/>
            <w:hideMark/>
          </w:tcPr>
          <w:p w14:paraId="6F8A8433"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0.194</w:t>
            </w:r>
          </w:p>
        </w:tc>
        <w:tc>
          <w:tcPr>
            <w:tcW w:w="1084" w:type="dxa"/>
            <w:tcBorders>
              <w:top w:val="nil"/>
              <w:left w:val="nil"/>
              <w:bottom w:val="single" w:sz="4" w:space="0" w:color="auto"/>
              <w:right w:val="nil"/>
            </w:tcBorders>
            <w:shd w:val="clear" w:color="auto" w:fill="auto"/>
            <w:noWrap/>
            <w:vAlign w:val="center"/>
            <w:hideMark/>
          </w:tcPr>
          <w:p w14:paraId="2FFE8F24"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0.932</w:t>
            </w:r>
          </w:p>
        </w:tc>
        <w:tc>
          <w:tcPr>
            <w:tcW w:w="1264" w:type="dxa"/>
            <w:tcBorders>
              <w:top w:val="nil"/>
              <w:left w:val="nil"/>
              <w:bottom w:val="single" w:sz="4" w:space="0" w:color="auto"/>
              <w:right w:val="nil"/>
            </w:tcBorders>
            <w:shd w:val="clear" w:color="auto" w:fill="auto"/>
            <w:noWrap/>
            <w:vAlign w:val="center"/>
            <w:hideMark/>
          </w:tcPr>
          <w:p w14:paraId="53C6203C"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0.196</w:t>
            </w:r>
          </w:p>
        </w:tc>
        <w:tc>
          <w:tcPr>
            <w:tcW w:w="1108" w:type="dxa"/>
            <w:tcBorders>
              <w:top w:val="nil"/>
              <w:left w:val="nil"/>
              <w:bottom w:val="single" w:sz="4" w:space="0" w:color="auto"/>
              <w:right w:val="nil"/>
            </w:tcBorders>
            <w:shd w:val="clear" w:color="auto" w:fill="auto"/>
            <w:noWrap/>
            <w:vAlign w:val="center"/>
            <w:hideMark/>
          </w:tcPr>
          <w:p w14:paraId="72CF7490"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0.154</w:t>
            </w:r>
          </w:p>
        </w:tc>
        <w:tc>
          <w:tcPr>
            <w:tcW w:w="266" w:type="dxa"/>
            <w:tcBorders>
              <w:top w:val="nil"/>
              <w:left w:val="nil"/>
              <w:bottom w:val="single" w:sz="4" w:space="0" w:color="auto"/>
              <w:right w:val="nil"/>
            </w:tcBorders>
            <w:shd w:val="clear" w:color="auto" w:fill="auto"/>
            <w:noWrap/>
            <w:vAlign w:val="center"/>
            <w:hideMark/>
          </w:tcPr>
          <w:p w14:paraId="1BB79F31"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 </w:t>
            </w:r>
          </w:p>
        </w:tc>
        <w:tc>
          <w:tcPr>
            <w:tcW w:w="1090" w:type="dxa"/>
            <w:tcBorders>
              <w:top w:val="nil"/>
              <w:left w:val="nil"/>
              <w:bottom w:val="single" w:sz="4" w:space="0" w:color="auto"/>
              <w:right w:val="nil"/>
            </w:tcBorders>
            <w:shd w:val="clear" w:color="auto" w:fill="auto"/>
            <w:noWrap/>
            <w:vAlign w:val="center"/>
            <w:hideMark/>
          </w:tcPr>
          <w:p w14:paraId="6E62DD69" w14:textId="3C4ECD5E"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-3.077</w:t>
            </w:r>
            <w:r w:rsidR="00707C4A">
              <w:rPr>
                <w:rFonts w:eastAsia="Times New Roman"/>
                <w:color w:val="000000"/>
                <w:kern w:val="0"/>
                <w:sz w:val="20"/>
                <w:szCs w:val="20"/>
                <w14:ligatures w14:val="none"/>
              </w:rPr>
              <w:t>***</w:t>
            </w:r>
          </w:p>
        </w:tc>
        <w:tc>
          <w:tcPr>
            <w:tcW w:w="1074" w:type="dxa"/>
            <w:tcBorders>
              <w:top w:val="nil"/>
              <w:left w:val="nil"/>
              <w:bottom w:val="single" w:sz="4" w:space="0" w:color="auto"/>
              <w:right w:val="nil"/>
            </w:tcBorders>
            <w:shd w:val="clear" w:color="auto" w:fill="auto"/>
            <w:noWrap/>
            <w:vAlign w:val="center"/>
            <w:hideMark/>
          </w:tcPr>
          <w:p w14:paraId="61D4F157" w14:textId="77777777" w:rsidR="005115B7" w:rsidRPr="005115B7" w:rsidRDefault="005115B7" w:rsidP="005115B7">
            <w:pPr>
              <w:bidi w:val="0"/>
              <w:spacing w:after="0" w:line="240" w:lineRule="auto"/>
              <w:rPr>
                <w:rFonts w:eastAsia="Times New Roman"/>
                <w:color w:val="000000"/>
                <w:kern w:val="0"/>
                <w:sz w:val="20"/>
                <w:szCs w:val="20"/>
                <w14:ligatures w14:val="none"/>
              </w:rPr>
            </w:pPr>
            <w:r w:rsidRPr="005115B7">
              <w:rPr>
                <w:rFonts w:eastAsia="Times New Roman"/>
                <w:color w:val="000000"/>
                <w:kern w:val="0"/>
                <w:sz w:val="20"/>
                <w:szCs w:val="20"/>
                <w14:ligatures w14:val="none"/>
              </w:rPr>
              <w:t>0.981</w:t>
            </w:r>
          </w:p>
        </w:tc>
      </w:tr>
    </w:tbl>
    <w:p w14:paraId="1EEFF001" w14:textId="78C2916C" w:rsidR="005115B7" w:rsidRPr="00E27EF0" w:rsidRDefault="00E27EF0" w:rsidP="00E27EF0">
      <w:pPr>
        <w:bidi w:val="0"/>
        <w:spacing w:line="240" w:lineRule="auto"/>
        <w:jc w:val="both"/>
        <w:rPr>
          <w:sz w:val="20"/>
          <w:szCs w:val="20"/>
        </w:rPr>
      </w:pPr>
      <w:r w:rsidRPr="00E27EF0">
        <w:rPr>
          <w:sz w:val="20"/>
          <w:szCs w:val="20"/>
        </w:rPr>
        <w:t xml:space="preserve">Note: This table presents the cumulative abnormal returns (CAR) for ten different test windows around the day of the event. The table reports parametric tests, including t-statistics (presented as ORDIN), Patell test results (presented as PATELL), and standardized cross-sectional approach outcomes (presented as BMP), in columns 3-5. Non-parametric tests, such as Corrado rank test results (presented as RANK) and Wilcoxon signed-rank test outcomes (presented as WSRT), are displayed in columns 6-7. </w:t>
      </w:r>
      <w:bookmarkStart w:id="4" w:name="_Hlk135038004"/>
      <w:r w:rsidRPr="00E27EF0">
        <w:rPr>
          <w:sz w:val="20"/>
          <w:szCs w:val="20"/>
        </w:rPr>
        <w:t>Statistical significance is indicated by p-values, with asterisks (*) denoting significance at the 10% level, double asterisks (**) indicating significance at the 5% level, and triple asterisks (***) signifying significance at the 1% level.</w:t>
      </w:r>
    </w:p>
    <w:bookmarkEnd w:id="4"/>
    <w:p w14:paraId="160C1B89" w14:textId="77777777" w:rsidR="00825F6F" w:rsidRPr="00825F6F" w:rsidRDefault="00825F6F" w:rsidP="007A03B9">
      <w:pPr>
        <w:bidi w:val="0"/>
        <w:spacing w:line="240" w:lineRule="auto"/>
        <w:rPr>
          <w:rFonts w:eastAsia="Calibri"/>
          <w:b/>
          <w:bCs/>
          <w:kern w:val="0"/>
          <w:sz w:val="20"/>
          <w:szCs w:val="20"/>
          <w14:ligatures w14:val="none"/>
        </w:rPr>
      </w:pPr>
      <w:r w:rsidRPr="00825F6F">
        <w:rPr>
          <w:rFonts w:eastAsia="Calibri"/>
          <w:b/>
          <w:bCs/>
          <w:kern w:val="0"/>
          <w:sz w:val="20"/>
          <w:szCs w:val="20"/>
          <w14:ligatures w14:val="none"/>
        </w:rPr>
        <w:t>Figure 2</w:t>
      </w:r>
    </w:p>
    <w:p w14:paraId="7065738A" w14:textId="56E111AA" w:rsidR="007A03B9" w:rsidRDefault="007A03B9" w:rsidP="007A03B9">
      <w:pPr>
        <w:bidi w:val="0"/>
        <w:spacing w:line="240" w:lineRule="auto"/>
        <w:ind w:right="1218"/>
        <w:jc w:val="both"/>
        <w:rPr>
          <w:rFonts w:eastAsia="Calibri"/>
          <w:kern w:val="0"/>
          <w:sz w:val="20"/>
          <w:szCs w:val="20"/>
          <w14:ligatures w14:val="none"/>
        </w:rPr>
      </w:pPr>
      <w:r w:rsidRPr="007A03B9">
        <w:rPr>
          <w:rFonts w:eastAsia="Calibri"/>
          <w:kern w:val="0"/>
          <w:sz w:val="20"/>
          <w:szCs w:val="20"/>
          <w14:ligatures w14:val="none"/>
        </w:rPr>
        <w:t xml:space="preserve">Analysis of the cumulative average abnormal return (CAAR) in emerging country </w:t>
      </w:r>
      <w:r>
        <w:rPr>
          <w:rFonts w:eastAsia="Calibri"/>
          <w:kern w:val="0"/>
          <w:sz w:val="20"/>
          <w:szCs w:val="20"/>
          <w14:ligatures w14:val="none"/>
        </w:rPr>
        <w:t>i</w:t>
      </w:r>
      <w:r w:rsidRPr="007A03B9">
        <w:rPr>
          <w:rFonts w:eastAsia="Calibri"/>
          <w:kern w:val="0"/>
          <w:sz w:val="20"/>
          <w:szCs w:val="20"/>
          <w14:ligatures w14:val="none"/>
        </w:rPr>
        <w:t>ndices across a 31-day event window</w:t>
      </w:r>
    </w:p>
    <w:p w14:paraId="148F78BD" w14:textId="51C0E6DC" w:rsidR="005115B7" w:rsidRDefault="005115B7" w:rsidP="007A03B9">
      <w:pPr>
        <w:bidi w:val="0"/>
        <w:spacing w:line="240" w:lineRule="auto"/>
      </w:pPr>
      <w:r>
        <w:rPr>
          <w:noProof/>
        </w:rPr>
        <w:drawing>
          <wp:inline distT="0" distB="0" distL="0" distR="0" wp14:anchorId="53F7BC87" wp14:editId="7E382647">
            <wp:extent cx="4572635" cy="2743200"/>
            <wp:effectExtent l="0" t="0" r="0" b="0"/>
            <wp:docPr id="1913694500"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1CB918E5" w14:textId="0E272315" w:rsidR="007A03B9" w:rsidRPr="007A03B9" w:rsidRDefault="007A03B9" w:rsidP="007A03B9">
      <w:pPr>
        <w:bidi w:val="0"/>
        <w:spacing w:line="240" w:lineRule="auto"/>
        <w:ind w:right="1218"/>
        <w:jc w:val="both"/>
        <w:rPr>
          <w:sz w:val="20"/>
          <w:szCs w:val="20"/>
        </w:rPr>
      </w:pPr>
      <w:r w:rsidRPr="007A03B9">
        <w:rPr>
          <w:sz w:val="20"/>
          <w:szCs w:val="20"/>
        </w:rPr>
        <w:t>Note: The horizontal axis of the figure displays the time period relative to the event day t = 0, while the 95% confidence intervals are illustrated using the dashed lines. The CAAR</w:t>
      </w:r>
      <w:r w:rsidRPr="007A03B9">
        <w:rPr>
          <w:sz w:val="20"/>
          <w:szCs w:val="20"/>
          <w:vertAlign w:val="subscript"/>
        </w:rPr>
        <w:t>-</w:t>
      </w:r>
      <w:r w:rsidRPr="007A03B9">
        <w:rPr>
          <w:sz w:val="20"/>
          <w:szCs w:val="20"/>
          <w:vertAlign w:val="subscript"/>
        </w:rPr>
        <w:lastRenderedPageBreak/>
        <w:t>15,+15</w:t>
      </w:r>
      <w:r w:rsidRPr="007A03B9">
        <w:rPr>
          <w:sz w:val="20"/>
          <w:szCs w:val="20"/>
        </w:rPr>
        <w:t>, representing the cumulative average abnormal return in emerging country indices, is denoted by the black lines</w:t>
      </w:r>
      <w:r>
        <w:rPr>
          <w:sz w:val="20"/>
          <w:szCs w:val="20"/>
        </w:rPr>
        <w:t>.</w:t>
      </w:r>
    </w:p>
    <w:p w14:paraId="1954A458" w14:textId="77777777" w:rsidR="005115B7" w:rsidRPr="007A03B9" w:rsidRDefault="005115B7" w:rsidP="007A03B9">
      <w:pPr>
        <w:bidi w:val="0"/>
        <w:spacing w:line="240" w:lineRule="auto"/>
        <w:jc w:val="both"/>
        <w:rPr>
          <w:sz w:val="20"/>
          <w:szCs w:val="20"/>
        </w:rPr>
      </w:pPr>
    </w:p>
    <w:p w14:paraId="2995E551" w14:textId="58EDDBEC" w:rsidR="005115B7" w:rsidRDefault="0013750D" w:rsidP="005115B7">
      <w:pPr>
        <w:bidi w:val="0"/>
        <w:spacing w:line="480" w:lineRule="auto"/>
        <w:jc w:val="both"/>
      </w:pPr>
      <w:r w:rsidRPr="0013750D">
        <w:t>Figure 2 demonstrates that the trend in cumulative abnormal returns (CAAR) was negative during the period preceding the announcement's publication. This observation suggests the presence of investors who possess the announcement information before it becomes publicly available on Airbnb's website and subsequently engage in short selling of the index. However, upon the announcement's release on Airbnb's website, the CAAR trend undergoes a reversal and turns positive for a duration of two days. During this interval, investors exposed to the announcement acquire the stock index on the day of its announcement and liquidate their position after two days. These findings align with earlier investigations by Teitler-Regev and Tavor (2023), who documented the influence of Airbnb website announcements on capital markets.</w:t>
      </w:r>
    </w:p>
    <w:p w14:paraId="71DF8F0E" w14:textId="6F8CBD73" w:rsidR="005115B7" w:rsidRDefault="00282AEB" w:rsidP="005115B7">
      <w:pPr>
        <w:bidi w:val="0"/>
        <w:spacing w:line="480" w:lineRule="auto"/>
        <w:jc w:val="both"/>
      </w:pPr>
      <w:r w:rsidRPr="00373078">
        <w:t>The present table examines the impact of Airbnb website announcements on stock indices of emerging countries, using a two-window event study methodology. The</w:t>
      </w:r>
      <w:r w:rsidRPr="00282AEB">
        <w:t xml:space="preserve"> analysis of the first window type, which investigates the effect around the announcement day, suggests that, except for some statistical tests, there is no significant effect on the stock index of the emerging countries. This lack of effect is mainly attributed to the reversal of the cumulative abnormal return, which becomes positive from the day of the announcement, after a period of decline prior to the announcement. However, the analysis of the second window type, which separates the cumulative abnormal return between the periods before and after the announcement, reveals a considerable effect of Airbnb website announcements on the stock indices of the emerging countries in both periods. The results of the PATELL parametric test and the RANK non-parametric test are particularly noteworthy.</w:t>
      </w:r>
    </w:p>
    <w:p w14:paraId="3E7E24B7" w14:textId="6058D422" w:rsidR="005B1DE7" w:rsidRDefault="005B1DE7" w:rsidP="005B1DE7">
      <w:pPr>
        <w:bidi w:val="0"/>
        <w:spacing w:line="480" w:lineRule="auto"/>
        <w:jc w:val="both"/>
      </w:pPr>
      <w:r>
        <w:lastRenderedPageBreak/>
        <w:t>The analysis of the first window type reveals that the cumulative abnormal return (CAR) is significantly negative during the period preceding the announcement in all test windows, except for individual tests. The most notable effect is observed during the three days leading up to the announcement day, [-3,-1], when the CAR</w:t>
      </w:r>
      <w:r w:rsidRPr="005B1DE7">
        <w:rPr>
          <w:vertAlign w:val="subscript"/>
        </w:rPr>
        <w:t>-3,-1</w:t>
      </w:r>
      <w:r>
        <w:t xml:space="preserve"> equals -0.512% and the Mean Absolute Value Test (MAVT) equals 3.664. Subsequently, following the announcement, the trend reverses, and the CAR becomes positive in all test windows, peaking on the day after the announcement, [0,+1], when the CAR</w:t>
      </w:r>
      <w:r w:rsidRPr="005B1DE7">
        <w:rPr>
          <w:vertAlign w:val="subscript"/>
        </w:rPr>
        <w:t>0,+1</w:t>
      </w:r>
      <w:r>
        <w:t xml:space="preserve"> equals 0.343% (MAVT = 2.657)</w:t>
      </w:r>
      <w:r>
        <w:rPr>
          <w:rtl/>
        </w:rPr>
        <w:t>.</w:t>
      </w:r>
    </w:p>
    <w:p w14:paraId="15612676" w14:textId="08D329A8" w:rsidR="00373078" w:rsidRDefault="006F41B5" w:rsidP="005B1DE7">
      <w:pPr>
        <w:bidi w:val="0"/>
        <w:spacing w:line="480" w:lineRule="auto"/>
        <w:jc w:val="both"/>
      </w:pPr>
      <w:r w:rsidRPr="006F41B5">
        <w:t xml:space="preserve">The findings in this window type provide empirical support for Hypothesis 1 and indicate that the primary impact of the announcement occurs during the five days surrounding the announcement day, [-3,+1], accompanied by two main investment positions. </w:t>
      </w:r>
      <w:r w:rsidR="005B1DE7">
        <w:t>The first investment position takes place in the period before the announcement is publicly available, where investors who possess prior knowledge of the announcement sell short the stock index of the emerging countries three days before the announcement day and close the position the day before the announcement, thereby gaining an excess profit of 0.512%. The second investment position takes place immediately after the announcement becomes public, as the remaining investors purchase the stock index of the emerging countries and close the position on the day after the announcement, resulting in an excess profit of 0.343%.</w:t>
      </w:r>
    </w:p>
    <w:p w14:paraId="272D644B" w14:textId="77777777" w:rsidR="00297ACB" w:rsidRDefault="00297ACB" w:rsidP="00297ACB">
      <w:pPr>
        <w:bidi w:val="0"/>
        <w:spacing w:line="480" w:lineRule="auto"/>
        <w:jc w:val="both"/>
      </w:pPr>
    </w:p>
    <w:p w14:paraId="629AC1DA" w14:textId="77777777" w:rsidR="006B110F" w:rsidRPr="00B970ED" w:rsidRDefault="006B110F" w:rsidP="006B110F">
      <w:pPr>
        <w:bidi w:val="0"/>
        <w:spacing w:line="480" w:lineRule="auto"/>
        <w:jc w:val="both"/>
        <w:rPr>
          <w:rFonts w:eastAsia="Calibri"/>
          <w:bCs/>
          <w:i/>
        </w:rPr>
      </w:pPr>
      <w:bookmarkStart w:id="5" w:name="_Hlk135036707"/>
      <w:bookmarkEnd w:id="2"/>
      <w:r w:rsidRPr="00B970ED">
        <w:rPr>
          <w:rFonts w:eastAsia="Calibri"/>
          <w:b/>
          <w:bCs/>
          <w:i/>
        </w:rPr>
        <w:t>Robustness Check</w:t>
      </w:r>
    </w:p>
    <w:bookmarkEnd w:id="5"/>
    <w:p w14:paraId="51859625" w14:textId="315229E5" w:rsidR="00864771" w:rsidRDefault="00864771" w:rsidP="00864771">
      <w:pPr>
        <w:bidi w:val="0"/>
        <w:spacing w:line="480" w:lineRule="auto"/>
        <w:jc w:val="both"/>
      </w:pPr>
      <w:r>
        <w:t>In order to reinforce the empirical results, this section conducted three robustness tests</w:t>
      </w:r>
      <w:r w:rsidR="00C669E4" w:rsidRPr="00C669E4">
        <w:t xml:space="preserve">, as presented in Table </w:t>
      </w:r>
      <w:r w:rsidR="00C669E4">
        <w:t>5</w:t>
      </w:r>
      <w:r w:rsidR="00C669E4" w:rsidRPr="00C669E4">
        <w:t>.</w:t>
      </w:r>
      <w:r>
        <w:t xml:space="preserve"> The first test incorporated an alternative emerging market stock index and a distinct global market index. The subsequent two tests focused on shorter </w:t>
      </w:r>
      <w:r>
        <w:lastRenderedPageBreak/>
        <w:t>event windows, namely [-5,+5] and [-10,+10], to discern the effects of the event more closely</w:t>
      </w:r>
      <w:r>
        <w:rPr>
          <w:rtl/>
        </w:rPr>
        <w:t>.</w:t>
      </w:r>
    </w:p>
    <w:p w14:paraId="2EC16F0F" w14:textId="759FA02D" w:rsidR="006B110F" w:rsidRDefault="00864771" w:rsidP="00864771">
      <w:pPr>
        <w:bidi w:val="0"/>
        <w:spacing w:line="480" w:lineRule="auto"/>
        <w:jc w:val="both"/>
      </w:pPr>
      <w:r>
        <w:t xml:space="preserve">The outcomes are presented in two categories of event windows. The first category encompasses three distinct windows: [-1,+1], [-2,+2], and [-5,+5], which represent various time intervals surrounding the announcement day. The second category consists of an additional seven windows: [-7,-1], [-5,-1], [-3,-1], [0,0], [0,+1], [0,+3], and [0,+5], signifying the impact before, during, and after the announcement event. Within each panel, the initial three columns indicate the </w:t>
      </w:r>
      <m:oMath>
        <m:r>
          <w:rPr>
            <w:rFonts w:ascii="Cambria Math" w:hAnsi="Cambria Math"/>
          </w:rPr>
          <m:t>CA</m:t>
        </m:r>
        <m:sSub>
          <m:sSubPr>
            <m:ctrlPr>
              <w:rPr>
                <w:rFonts w:ascii="Cambria Math" w:hAnsi="Cambria Math"/>
                <w:i/>
              </w:rPr>
            </m:ctrlPr>
          </m:sSubPr>
          <m:e>
            <m:r>
              <w:rPr>
                <w:rFonts w:ascii="Cambria Math" w:hAnsi="Cambria Math"/>
              </w:rPr>
              <m:t>R</m:t>
            </m:r>
          </m:e>
          <m:sub>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eastAsia="SimSun" w:hAnsi="Cambria Math"/>
                <w:lang w:eastAsia="he-IL" w:bidi="ar-SA"/>
              </w:rPr>
              <m:t>,</m:t>
            </m:r>
            <m:sSub>
              <m:sSubPr>
                <m:ctrlPr>
                  <w:rPr>
                    <w:rFonts w:ascii="Cambria Math" w:hAnsi="Cambria Math"/>
                    <w:i/>
                  </w:rPr>
                </m:ctrlPr>
              </m:sSubPr>
              <m:e>
                <m:r>
                  <w:rPr>
                    <w:rFonts w:ascii="Cambria Math" w:hAnsi="Cambria Math"/>
                  </w:rPr>
                  <m:t>t</m:t>
                </m:r>
              </m:e>
              <m:sub>
                <m:r>
                  <w:rPr>
                    <w:rFonts w:ascii="Cambria Math" w:hAnsi="Cambria Math"/>
                  </w:rPr>
                  <m:t>2</m:t>
                </m:r>
              </m:sub>
            </m:sSub>
          </m:sub>
        </m:sSub>
      </m:oMath>
      <w:r>
        <w:t xml:space="preserve">, </w:t>
      </w:r>
      <w:bookmarkStart w:id="6" w:name="_Hlk135039818"/>
      <w:r>
        <w:t>the proportion of announcements with positive CAR</w:t>
      </w:r>
      <w:bookmarkEnd w:id="6"/>
      <w:r>
        <w:t>, and the findings of the ORDIN test.</w:t>
      </w:r>
    </w:p>
    <w:p w14:paraId="1D6228B2" w14:textId="16B92B62" w:rsidR="006B110F" w:rsidRDefault="00C669E4" w:rsidP="00C669E4">
      <w:pPr>
        <w:bidi w:val="0"/>
        <w:spacing w:line="480" w:lineRule="auto"/>
        <w:jc w:val="center"/>
      </w:pPr>
      <w:r>
        <w:t>INSERT TABLE 5</w:t>
      </w:r>
      <w:r w:rsidR="004361D9">
        <w:t xml:space="preserve"> HERE</w:t>
      </w:r>
    </w:p>
    <w:p w14:paraId="33926F3B" w14:textId="175EBF89" w:rsidR="006B110F" w:rsidRDefault="004361D9" w:rsidP="006B110F">
      <w:pPr>
        <w:bidi w:val="0"/>
        <w:spacing w:line="480" w:lineRule="auto"/>
        <w:jc w:val="both"/>
      </w:pPr>
      <w:r w:rsidRPr="004361D9">
        <w:t>This section presents the results of three robustness tests, as displayed in Table 5, to validate and fortify the empirical findings previously reported. The analysis of the first window type indicates that, except for some statistical tests, there is no significant effect of Airbnb website announcements on the stock index of emerging countries across all panels. However, the analysis of the second window type reveals a substantial effect of these announcements on the stock indices of emerging countries during both pre- and post-announcement periods.</w:t>
      </w:r>
    </w:p>
    <w:p w14:paraId="31076C64" w14:textId="77777777" w:rsidR="004361D9" w:rsidRDefault="004361D9" w:rsidP="004361D9">
      <w:pPr>
        <w:bidi w:val="0"/>
        <w:spacing w:line="480" w:lineRule="auto"/>
        <w:jc w:val="both"/>
      </w:pPr>
      <w:r>
        <w:t>More specifically, the analysis of the first window type shows that the cumulative abnormal return (CAR) during the pre-announcement period is significantly negative across all test windows, except for individual tests. The most significant impact is observed in the three days leading up to the announcement day, [-3,-1]. Specifically, in panel A, the CAR-3,-1 is -0.391% (ORDIN = -3.076), in panel B it is -0.507% (ORDIN = -3.470), and in panel C, it is -0.505% (ORDIN = -3.456). Additionally, on average, 45.238% of the announcements have a positive CAR during this time period</w:t>
      </w:r>
      <w:r>
        <w:rPr>
          <w:rtl/>
        </w:rPr>
        <w:t>.</w:t>
      </w:r>
    </w:p>
    <w:p w14:paraId="15BA7CA3" w14:textId="04D5F6BF" w:rsidR="006B110F" w:rsidRDefault="004361D9" w:rsidP="004361D9">
      <w:pPr>
        <w:bidi w:val="0"/>
        <w:spacing w:line="480" w:lineRule="auto"/>
        <w:jc w:val="both"/>
      </w:pPr>
      <w:r>
        <w:lastRenderedPageBreak/>
        <w:t>In contrast, following the announcement, the trend changes, and the CAR becomes positive in all test windows, with the highest effect observed on the day after the announcement, [0,+1]. In panel A, the CAR0,+1 is 0.318% (ORDIN = 3.066), in panel B, it is 0.340% (ORDIN = 2.848), and in panel C, it is 0.336% (ORDIN = 2.817). Furthermore, on average, 59.226% of the announcements have a positive CAR during this period. Overall, these findings support the conclusion that Airbnb website announcements have a considerable impact on the stock indices of emerging countries.</w:t>
      </w:r>
    </w:p>
    <w:p w14:paraId="4EA19D05" w14:textId="77777777" w:rsidR="000E359E" w:rsidRDefault="000E359E" w:rsidP="000E359E">
      <w:pPr>
        <w:bidi w:val="0"/>
        <w:spacing w:line="480" w:lineRule="auto"/>
        <w:jc w:val="both"/>
      </w:pPr>
    </w:p>
    <w:p w14:paraId="282FEA8D" w14:textId="77777777" w:rsidR="00864771" w:rsidRPr="00B970ED" w:rsidRDefault="00864771" w:rsidP="00864771">
      <w:pPr>
        <w:bidi w:val="0"/>
        <w:spacing w:line="480" w:lineRule="auto"/>
        <w:jc w:val="both"/>
        <w:rPr>
          <w:rFonts w:eastAsia="Calibri"/>
          <w:b/>
          <w:iCs/>
          <w:lang w:bidi="ar-SA"/>
        </w:rPr>
      </w:pPr>
      <w:r>
        <w:rPr>
          <w:rFonts w:eastAsia="Calibri"/>
          <w:b/>
          <w:i/>
          <w:iCs/>
          <w:lang w:bidi="ar-SA"/>
        </w:rPr>
        <w:t>R</w:t>
      </w:r>
      <w:r w:rsidRPr="00B970ED">
        <w:rPr>
          <w:rFonts w:eastAsia="Calibri"/>
          <w:b/>
          <w:i/>
          <w:iCs/>
          <w:lang w:bidi="ar-SA"/>
        </w:rPr>
        <w:t>egression results</w:t>
      </w:r>
    </w:p>
    <w:p w14:paraId="4A1BB1AD" w14:textId="4B91A4EC" w:rsidR="00864771" w:rsidRDefault="00A265F5" w:rsidP="00864771">
      <w:pPr>
        <w:bidi w:val="0"/>
        <w:spacing w:line="480" w:lineRule="auto"/>
        <w:jc w:val="both"/>
      </w:pPr>
      <w:r w:rsidRPr="00A265F5">
        <w:t>Finally, in order to evaluate the effects of Airbnb's announcements on emerging countries, I employed multivariate regressions incorporating macroeconomic and financial indicators to analyze the six consecutive intervals of cumulative abnormal returns surrounding the announcement day. The outcomes of these analyses are presented in Table 6.</w:t>
      </w:r>
    </w:p>
    <w:p w14:paraId="790D37D4" w14:textId="73952D0E" w:rsidR="003A644E" w:rsidRDefault="003A644E" w:rsidP="003A644E">
      <w:pPr>
        <w:bidi w:val="0"/>
        <w:spacing w:line="480" w:lineRule="auto"/>
        <w:jc w:val="center"/>
      </w:pPr>
      <w:r>
        <w:t>INSERT TABLE 6 HERE</w:t>
      </w:r>
    </w:p>
    <w:p w14:paraId="695420E2" w14:textId="7E1DC6FD" w:rsidR="00864771" w:rsidRDefault="00052D95" w:rsidP="00864771">
      <w:pPr>
        <w:bidi w:val="0"/>
        <w:spacing w:line="480" w:lineRule="auto"/>
        <w:jc w:val="both"/>
      </w:pPr>
      <w:r w:rsidRPr="00052D95">
        <w:t xml:space="preserve">Based on the empirical findings presented in the table, it can be concluded that the results partially support Hypothesis 2. The analysis reveals that the majority of variables examined do not demonstrate a significant influence on the intervals of cumulative abnormal returns (CAR). </w:t>
      </w:r>
      <w:r w:rsidR="00E53310" w:rsidRPr="00E53310">
        <w:t xml:space="preserve">However, at the extremes of the interval, namely [-7,-1] and [0,+3], several variables appear to exert an effect on CAR. Specifically, during the [-7,-1] interval, the CAR is positively influenced by the return of the stock indices of the countries and the movement of inbound tourism. This suggests that higher returns or greater inbound tourism of countries mentioned in the announcement leads to a larger </w:t>
      </w:r>
      <w:r w:rsidR="00E53310" w:rsidRPr="00E53310">
        <w:lastRenderedPageBreak/>
        <w:t>abnormal return of the emerging market stock index in the period prior to the announcement.</w:t>
      </w:r>
    </w:p>
    <w:p w14:paraId="05BFBF27" w14:textId="1F2AAB7E" w:rsidR="00E53310" w:rsidRDefault="00E53310" w:rsidP="00E53310">
      <w:pPr>
        <w:bidi w:val="0"/>
        <w:spacing w:line="480" w:lineRule="auto"/>
        <w:jc w:val="both"/>
      </w:pPr>
      <w:r w:rsidRPr="00E53310">
        <w:t>In contrast, during the interval of [0,+3], different variables are found to be relevant. The GDP growth of the countries mentioned in the announcement has a positive impact on CAR. This implies that greater GDP growth of countries mentioned in the announcement leads to a larger abnormal return of the emerging market stock index in the period after the announcement. Additionally, it is observed that announcements about emerging countries have a stronger impact on the stock index when compared to announcements about cities belonging to emerging countries.</w:t>
      </w:r>
    </w:p>
    <w:p w14:paraId="4DBEB4EE" w14:textId="77777777" w:rsidR="00864771" w:rsidRDefault="00864771" w:rsidP="00864771">
      <w:pPr>
        <w:bidi w:val="0"/>
        <w:spacing w:line="480" w:lineRule="auto"/>
        <w:jc w:val="both"/>
      </w:pPr>
    </w:p>
    <w:p w14:paraId="2D2E8E67" w14:textId="77777777" w:rsidR="000471AF" w:rsidRPr="000471AF" w:rsidRDefault="000471AF" w:rsidP="000471AF">
      <w:pPr>
        <w:bidi w:val="0"/>
        <w:spacing w:line="480" w:lineRule="auto"/>
        <w:jc w:val="both"/>
        <w:rPr>
          <w:bCs/>
          <w:iCs/>
        </w:rPr>
      </w:pPr>
      <w:r w:rsidRPr="000471AF">
        <w:rPr>
          <w:b/>
          <w:bCs/>
          <w:iCs/>
        </w:rPr>
        <w:t>Conclusion and Policy Implications</w:t>
      </w:r>
    </w:p>
    <w:p w14:paraId="163FD430" w14:textId="29BBE8EA" w:rsidR="00301B09" w:rsidRPr="00301B09" w:rsidRDefault="00301B09" w:rsidP="000471AF">
      <w:pPr>
        <w:bidi w:val="0"/>
        <w:spacing w:line="480" w:lineRule="auto"/>
        <w:jc w:val="both"/>
        <w:rPr>
          <w:i/>
        </w:rPr>
      </w:pPr>
      <w:r w:rsidRPr="000471AF">
        <w:rPr>
          <w:i/>
        </w:rPr>
        <w:t>Conclusion</w:t>
      </w:r>
    </w:p>
    <w:p w14:paraId="0CDC606A" w14:textId="721B23F8" w:rsidR="000471AF" w:rsidRDefault="000471AF" w:rsidP="00301B09">
      <w:pPr>
        <w:bidi w:val="0"/>
        <w:spacing w:line="480" w:lineRule="auto"/>
        <w:jc w:val="both"/>
      </w:pPr>
      <w:r w:rsidRPr="000471AF">
        <w:t>In conclusion, this research has shed light on the influence of Airbnb announcements on capital markets in emerging countries. Through a rigorous data collection process, all relevant announcements on the Airbnb platform were collected and analyzed. The study employed parametric and non-parametric tests, along with robustness tests and regression analysis, to examine the statistical significance and validity of the findings.</w:t>
      </w:r>
    </w:p>
    <w:p w14:paraId="0D864D9D" w14:textId="378D11DE" w:rsidR="000471AF" w:rsidRDefault="000471AF" w:rsidP="000471AF">
      <w:pPr>
        <w:bidi w:val="0"/>
        <w:spacing w:line="480" w:lineRule="auto"/>
        <w:jc w:val="both"/>
      </w:pPr>
      <w:r>
        <w:t>The results indicate that investors should adapt their investment strategies to leverage the opportunities presented on the announcement day and generate cumulative abnormal returns</w:t>
      </w:r>
      <w:r>
        <w:rPr>
          <w:rtl/>
        </w:rPr>
        <w:t>.</w:t>
      </w:r>
      <w:r>
        <w:t xml:space="preserve"> Prior to the public release of the announcement, investors with privileged information engage in short selling of the stock index of emerging countries in the three days leading up to the announcement, closing their positions the day before. On the other hand, following the public disclosure of the announcement, other investors </w:t>
      </w:r>
      <w:r>
        <w:lastRenderedPageBreak/>
        <w:t>have the opportunity to purchase the stock index of emerging countries and close their positions the day after.</w:t>
      </w:r>
    </w:p>
    <w:p w14:paraId="1E4999D8" w14:textId="2AB70A25" w:rsidR="000471AF" w:rsidRDefault="00301B09" w:rsidP="000471AF">
      <w:pPr>
        <w:bidi w:val="0"/>
        <w:spacing w:line="480" w:lineRule="auto"/>
        <w:jc w:val="both"/>
      </w:pPr>
      <w:r w:rsidRPr="00301B09">
        <w:t>The robustness tests conducted using alternative indices and event windows further support the findings of the research. Additionally, the regression analysis reveals significant associations. Before the announcement day, the cumulative abnormal returns are influenced positively by the returns of the stock indices of the relevant countries and fluctuations in inbound tourism. However, after the announcement day, the GDP growth of the mentioned countries has a positive impact on the cumulative abnormal returns. Furthermore, the study finds that announcements related to emerging countries have a stronger impact on the stock index compared to announcements specific to cities within those countries.</w:t>
      </w:r>
    </w:p>
    <w:p w14:paraId="4C1F9AE0" w14:textId="7037180C" w:rsidR="00301B09" w:rsidRPr="00301B09" w:rsidRDefault="00301B09" w:rsidP="00301B09">
      <w:pPr>
        <w:bidi w:val="0"/>
        <w:spacing w:line="480" w:lineRule="auto"/>
        <w:jc w:val="both"/>
        <w:rPr>
          <w:i/>
          <w:iCs/>
        </w:rPr>
      </w:pPr>
      <w:r w:rsidRPr="00301B09">
        <w:rPr>
          <w:i/>
          <w:iCs/>
        </w:rPr>
        <w:t>Policy Implications</w:t>
      </w:r>
    </w:p>
    <w:p w14:paraId="50B7E1C0" w14:textId="77777777" w:rsidR="00301B09" w:rsidRDefault="00301B09" w:rsidP="00301B09">
      <w:pPr>
        <w:bidi w:val="0"/>
        <w:spacing w:line="480" w:lineRule="auto"/>
        <w:jc w:val="both"/>
      </w:pPr>
      <w:r>
        <w:t>The findings of this study have important policy implications for investors and policymakers in emerging countries. Firstly, investors should be aware of the potential impact of Airbnb announcements on the capital markets and adjust their investment strategies accordingly. By considering the announcement day as a key event, investors can capitalize on the opportunities presented by the market reactions</w:t>
      </w:r>
      <w:r>
        <w:rPr>
          <w:rtl/>
        </w:rPr>
        <w:t>.</w:t>
      </w:r>
    </w:p>
    <w:p w14:paraId="277B5CFA" w14:textId="77777777" w:rsidR="00301B09" w:rsidRDefault="00301B09" w:rsidP="00301B09">
      <w:pPr>
        <w:bidi w:val="0"/>
        <w:spacing w:line="480" w:lineRule="auto"/>
        <w:jc w:val="both"/>
      </w:pPr>
      <w:r>
        <w:t>Moreover, policymakers should recognize the significance of announcements related to emerging countries and their potential influence on the stock market. By monitoring and analyzing these announcements, policymakers can gain insights into the market dynamics and take appropriate measures to ensure market stability and investor confidence</w:t>
      </w:r>
      <w:r>
        <w:rPr>
          <w:rtl/>
        </w:rPr>
        <w:t>.</w:t>
      </w:r>
    </w:p>
    <w:p w14:paraId="2959C4FC" w14:textId="77777777" w:rsidR="00301B09" w:rsidRDefault="00301B09" w:rsidP="00301B09">
      <w:pPr>
        <w:bidi w:val="0"/>
        <w:spacing w:line="480" w:lineRule="auto"/>
        <w:jc w:val="both"/>
      </w:pPr>
      <w:r>
        <w:t xml:space="preserve">Furthermore, policymakers should also pay attention to the macroeconomic variables identified in this study. The positive association between cumulative abnormal returns </w:t>
      </w:r>
      <w:r>
        <w:lastRenderedPageBreak/>
        <w:t>and GDP growth suggests that policies aimed at fostering economic growth can have a positive impact on the stock market. Policies that promote tourism and attract foreign investment can also contribute to favorable market conditions</w:t>
      </w:r>
      <w:r>
        <w:rPr>
          <w:rtl/>
        </w:rPr>
        <w:t>.</w:t>
      </w:r>
    </w:p>
    <w:p w14:paraId="7649B3AC" w14:textId="77777777" w:rsidR="00301B09" w:rsidRDefault="00301B09" w:rsidP="00301B09">
      <w:pPr>
        <w:bidi w:val="0"/>
        <w:spacing w:line="480" w:lineRule="auto"/>
        <w:jc w:val="both"/>
      </w:pPr>
      <w:r>
        <w:t>While this study provides valuable insights, it is important to acknowledge its limitations. The focus on announcements exclusively from the Airbnb website may overlook alternative sources of information. Future research should consider expanding the sample size and incorporating additional sources to enhance the robustness and generalizability of the findings</w:t>
      </w:r>
      <w:r>
        <w:rPr>
          <w:rtl/>
        </w:rPr>
        <w:t>.</w:t>
      </w:r>
    </w:p>
    <w:p w14:paraId="506B6994" w14:textId="0E5839B0" w:rsidR="00301B09" w:rsidRDefault="00301B09" w:rsidP="00301B09">
      <w:pPr>
        <w:bidi w:val="0"/>
        <w:spacing w:line="480" w:lineRule="auto"/>
        <w:jc w:val="both"/>
      </w:pPr>
      <w:r>
        <w:t>Overall, this research contributes to the existing literature by investigating the impact of Airbnb announcements on capital markets in emerging countries. The findings and policy implications provide guidance for investors and policymakers seeking to navigate the dynamic relationship between online announcements, stock markets, and macroeconomic factors in emerging economies.</w:t>
      </w:r>
    </w:p>
    <w:p w14:paraId="27257CB4" w14:textId="77777777" w:rsidR="006B110F" w:rsidRDefault="006B110F" w:rsidP="006B110F">
      <w:pPr>
        <w:bidi w:val="0"/>
        <w:spacing w:line="480" w:lineRule="auto"/>
        <w:jc w:val="both"/>
      </w:pPr>
    </w:p>
    <w:p w14:paraId="06BF1F64" w14:textId="77777777" w:rsidR="003911F9" w:rsidRDefault="003911F9" w:rsidP="003911F9">
      <w:pPr>
        <w:bidi w:val="0"/>
        <w:spacing w:line="480" w:lineRule="auto"/>
        <w:jc w:val="both"/>
      </w:pPr>
    </w:p>
    <w:p w14:paraId="0B6B18B7" w14:textId="77777777" w:rsidR="006B110F" w:rsidRPr="00B970ED" w:rsidRDefault="006B110F" w:rsidP="006B110F">
      <w:pPr>
        <w:bidi w:val="0"/>
        <w:spacing w:line="480" w:lineRule="auto"/>
        <w:jc w:val="both"/>
        <w:rPr>
          <w:rFonts w:eastAsia="Calibri"/>
          <w:b/>
          <w:bCs/>
        </w:rPr>
      </w:pPr>
      <w:r w:rsidRPr="00B970ED">
        <w:rPr>
          <w:rFonts w:eastAsia="Calibri"/>
          <w:b/>
          <w:bCs/>
        </w:rPr>
        <w:t>References</w:t>
      </w:r>
    </w:p>
    <w:p w14:paraId="2DB02FFB" w14:textId="77777777" w:rsidR="005D6809" w:rsidRPr="005D6809" w:rsidRDefault="005D6809" w:rsidP="005D6809">
      <w:pPr>
        <w:bidi w:val="0"/>
        <w:spacing w:line="480" w:lineRule="auto"/>
        <w:jc w:val="both"/>
        <w:rPr>
          <w:rtl/>
        </w:rPr>
      </w:pPr>
      <w:bookmarkStart w:id="7" w:name="_Hlk134431352"/>
      <w:r w:rsidRPr="005D6809">
        <w:t>Adamiak, C. (2022)</w:t>
      </w:r>
      <w:bookmarkEnd w:id="7"/>
      <w:r w:rsidRPr="005D6809">
        <w:t>. Current state and development of Airbnb accommodation offer in 167 countries. </w:t>
      </w:r>
      <w:r w:rsidRPr="005D6809">
        <w:rPr>
          <w:i/>
          <w:iCs/>
        </w:rPr>
        <w:t>Current Issues in Tourism</w:t>
      </w:r>
      <w:r w:rsidRPr="005D6809">
        <w:t>, </w:t>
      </w:r>
      <w:r w:rsidRPr="005D6809">
        <w:rPr>
          <w:i/>
          <w:iCs/>
        </w:rPr>
        <w:t>25</w:t>
      </w:r>
      <w:r w:rsidRPr="005D6809">
        <w:t>(19), 3131-3149.</w:t>
      </w:r>
      <w:r w:rsidRPr="005D6809">
        <w:rPr>
          <w:rtl/>
        </w:rPr>
        <w:t>‏</w:t>
      </w:r>
    </w:p>
    <w:p w14:paraId="6A803EBB" w14:textId="77777777" w:rsidR="00207F35" w:rsidRDefault="00207F35" w:rsidP="00207F35">
      <w:pPr>
        <w:bidi w:val="0"/>
        <w:spacing w:line="480" w:lineRule="auto"/>
        <w:jc w:val="both"/>
      </w:pPr>
      <w:bookmarkStart w:id="8" w:name="_Hlk134431887"/>
      <w:r w:rsidRPr="00207F35">
        <w:t>Akarsu, T. N., Foroudi, P., &amp; Melewar, T. C. (2020)</w:t>
      </w:r>
      <w:bookmarkEnd w:id="8"/>
      <w:r w:rsidRPr="00207F35">
        <w:t>. What makes Airbnb likeable? Exploring the nexus between service attractiveness, country image, perceived authenticity and experience from a social exchange theory perspective within an emerging economy context. </w:t>
      </w:r>
      <w:r w:rsidRPr="00207F35">
        <w:rPr>
          <w:i/>
          <w:iCs/>
        </w:rPr>
        <w:t>International Journal of Hospitality Management</w:t>
      </w:r>
      <w:r w:rsidRPr="00207F35">
        <w:t>, </w:t>
      </w:r>
      <w:r w:rsidRPr="00207F35">
        <w:rPr>
          <w:i/>
          <w:iCs/>
        </w:rPr>
        <w:t>91</w:t>
      </w:r>
      <w:r w:rsidRPr="00207F35">
        <w:t>, 102635.</w:t>
      </w:r>
      <w:r w:rsidRPr="00207F35">
        <w:rPr>
          <w:rtl/>
        </w:rPr>
        <w:t>‏</w:t>
      </w:r>
    </w:p>
    <w:p w14:paraId="39F748E9" w14:textId="6A909791" w:rsidR="004F29AB" w:rsidRPr="00207F35" w:rsidRDefault="004F29AB" w:rsidP="004F29AB">
      <w:pPr>
        <w:bidi w:val="0"/>
        <w:spacing w:line="480" w:lineRule="auto"/>
        <w:jc w:val="both"/>
        <w:rPr>
          <w:rtl/>
        </w:rPr>
      </w:pPr>
      <w:r w:rsidRPr="004F29AB">
        <w:lastRenderedPageBreak/>
        <w:t>Alam, M. N., Alam, M. S., &amp; Chavali, K. (2020). Stock market response during COVID-19 lockdown period in India: An event study. </w:t>
      </w:r>
      <w:r w:rsidRPr="004F29AB">
        <w:rPr>
          <w:i/>
          <w:iCs/>
        </w:rPr>
        <w:t>The Journal of Asian Finance, Economics and Business</w:t>
      </w:r>
      <w:r w:rsidRPr="004F29AB">
        <w:t>, </w:t>
      </w:r>
      <w:r w:rsidRPr="004F29AB">
        <w:rPr>
          <w:i/>
          <w:iCs/>
        </w:rPr>
        <w:t>7</w:t>
      </w:r>
      <w:r w:rsidRPr="004F29AB">
        <w:t>(7), 131-137.</w:t>
      </w:r>
      <w:r w:rsidRPr="004F29AB">
        <w:rPr>
          <w:rtl/>
        </w:rPr>
        <w:t>‏</w:t>
      </w:r>
    </w:p>
    <w:p w14:paraId="550FC965" w14:textId="77777777" w:rsidR="004C70D3" w:rsidRPr="00B970ED" w:rsidRDefault="004C70D3" w:rsidP="004C70D3">
      <w:pPr>
        <w:bidi w:val="0"/>
        <w:spacing w:line="480" w:lineRule="auto"/>
        <w:jc w:val="both"/>
        <w:rPr>
          <w:rFonts w:eastAsia="Calibri"/>
        </w:rPr>
      </w:pPr>
      <w:r w:rsidRPr="00B970ED">
        <w:rPr>
          <w:rFonts w:eastAsia="Calibri"/>
        </w:rPr>
        <w:t xml:space="preserve">Ball, R., &amp; Brown, P. (1968). An empirical evaluation of accounting income numbers. </w:t>
      </w:r>
      <w:r w:rsidRPr="00B970ED">
        <w:rPr>
          <w:rFonts w:eastAsia="Calibri"/>
          <w:i/>
          <w:iCs/>
        </w:rPr>
        <w:t>Journal of Accounting Research</w:t>
      </w:r>
      <w:r w:rsidRPr="00B970ED">
        <w:rPr>
          <w:rFonts w:eastAsia="Calibri"/>
        </w:rPr>
        <w:t>, 159-178.</w:t>
      </w:r>
      <w:r w:rsidRPr="00B970ED">
        <w:rPr>
          <w:rFonts w:eastAsia="Calibri"/>
          <w:rtl/>
        </w:rPr>
        <w:t>‏</w:t>
      </w:r>
    </w:p>
    <w:p w14:paraId="39E14CE5" w14:textId="03CE2294" w:rsidR="00EB5CF4" w:rsidRDefault="00EB5CF4" w:rsidP="005D6809">
      <w:pPr>
        <w:bidi w:val="0"/>
        <w:spacing w:line="480" w:lineRule="auto"/>
        <w:jc w:val="both"/>
      </w:pPr>
      <w:r w:rsidRPr="00EB5CF4">
        <w:t>Benítez-Aurioles, B. (2022). Is Airbnb bad for hotels?. </w:t>
      </w:r>
      <w:r w:rsidRPr="00EB5CF4">
        <w:rPr>
          <w:i/>
          <w:iCs/>
        </w:rPr>
        <w:t>Current Issues in Tourism</w:t>
      </w:r>
      <w:r w:rsidRPr="00EB5CF4">
        <w:t>, </w:t>
      </w:r>
      <w:r w:rsidRPr="00EB5CF4">
        <w:rPr>
          <w:i/>
          <w:iCs/>
        </w:rPr>
        <w:t>25</w:t>
      </w:r>
      <w:r w:rsidRPr="00EB5CF4">
        <w:t>(19), 3076-3079.</w:t>
      </w:r>
      <w:r w:rsidRPr="00EB5CF4">
        <w:rPr>
          <w:rtl/>
        </w:rPr>
        <w:t>‏</w:t>
      </w:r>
    </w:p>
    <w:p w14:paraId="3CF18F79" w14:textId="77777777" w:rsidR="00C646C0" w:rsidRPr="00B970ED" w:rsidRDefault="00C646C0" w:rsidP="00C646C0">
      <w:pPr>
        <w:bidi w:val="0"/>
        <w:spacing w:line="480" w:lineRule="auto"/>
        <w:jc w:val="both"/>
        <w:rPr>
          <w:rFonts w:eastAsia="Calibri"/>
        </w:rPr>
      </w:pPr>
      <w:r w:rsidRPr="00B970ED">
        <w:rPr>
          <w:rFonts w:eastAsia="Calibri"/>
        </w:rPr>
        <w:t>Boehmer, E., Masumeci, J., &amp; Poulsen, A. B. (1991). Event-study methodology under conditions of event-induced variance. </w:t>
      </w:r>
      <w:r w:rsidRPr="00B970ED">
        <w:rPr>
          <w:rFonts w:eastAsia="Calibri"/>
          <w:i/>
          <w:iCs/>
        </w:rPr>
        <w:t>Journal of financial economics</w:t>
      </w:r>
      <w:r w:rsidRPr="00B970ED">
        <w:rPr>
          <w:rFonts w:eastAsia="Calibri"/>
        </w:rPr>
        <w:t>, </w:t>
      </w:r>
      <w:r w:rsidRPr="00B970ED">
        <w:rPr>
          <w:rFonts w:eastAsia="Calibri"/>
          <w:i/>
          <w:iCs/>
        </w:rPr>
        <w:t>30</w:t>
      </w:r>
      <w:r w:rsidRPr="00B970ED">
        <w:rPr>
          <w:rFonts w:eastAsia="Calibri"/>
        </w:rPr>
        <w:t>(2), 253-272.</w:t>
      </w:r>
      <w:r w:rsidRPr="00B970ED">
        <w:rPr>
          <w:rFonts w:eastAsia="Calibri"/>
          <w:rtl/>
        </w:rPr>
        <w:t>‏</w:t>
      </w:r>
    </w:p>
    <w:p w14:paraId="41C8920A" w14:textId="77777777" w:rsidR="00C646C0" w:rsidRDefault="00C646C0" w:rsidP="00C646C0">
      <w:pPr>
        <w:bidi w:val="0"/>
        <w:spacing w:line="480" w:lineRule="auto"/>
      </w:pPr>
      <w:r w:rsidRPr="00B970ED">
        <w:t xml:space="preserve">Brown, S. J., &amp; Warner, J. B. (1985). Using daily stock returns: The Case of Event Studies. </w:t>
      </w:r>
      <w:r w:rsidRPr="00B970ED">
        <w:rPr>
          <w:i/>
          <w:iCs/>
        </w:rPr>
        <w:t>Journal of Financial Economics, 14</w:t>
      </w:r>
      <w:r w:rsidRPr="00B970ED">
        <w:t>, 3-31.</w:t>
      </w:r>
    </w:p>
    <w:p w14:paraId="39759DC9" w14:textId="77777777" w:rsidR="00C646C0" w:rsidRPr="00B970ED" w:rsidRDefault="00C646C0" w:rsidP="00C646C0">
      <w:pPr>
        <w:bidi w:val="0"/>
        <w:spacing w:line="480" w:lineRule="auto"/>
        <w:rPr>
          <w:rFonts w:asciiTheme="majorBidi" w:hAnsiTheme="majorBidi" w:cstheme="majorBidi"/>
        </w:rPr>
      </w:pPr>
      <w:r w:rsidRPr="00B970ED">
        <w:rPr>
          <w:rFonts w:asciiTheme="majorBidi" w:hAnsiTheme="majorBidi" w:cstheme="majorBidi"/>
        </w:rPr>
        <w:t xml:space="preserve">Campbell, J. Y., Lo, A. W., &amp; MacKinlay, A. C. (1997). </w:t>
      </w:r>
      <w:r w:rsidRPr="00B970ED">
        <w:rPr>
          <w:rFonts w:asciiTheme="majorBidi" w:hAnsiTheme="majorBidi" w:cstheme="majorBidi"/>
          <w:i/>
        </w:rPr>
        <w:t>The Econometrics of Financial Markets</w:t>
      </w:r>
      <w:r w:rsidRPr="00B970ED">
        <w:rPr>
          <w:rFonts w:asciiTheme="majorBidi" w:hAnsiTheme="majorBidi" w:cstheme="majorBidi"/>
        </w:rPr>
        <w:t>.</w:t>
      </w:r>
      <w:r w:rsidRPr="00B970ED">
        <w:rPr>
          <w:rFonts w:asciiTheme="majorBidi" w:hAnsiTheme="majorBidi" w:cstheme="majorBidi"/>
          <w:rtl/>
        </w:rPr>
        <w:t>‏</w:t>
      </w:r>
      <w:r w:rsidRPr="00B970ED">
        <w:rPr>
          <w:rFonts w:asciiTheme="majorBidi" w:hAnsiTheme="majorBidi" w:cstheme="majorBidi"/>
        </w:rPr>
        <w:t xml:space="preserve"> </w:t>
      </w:r>
      <w:r w:rsidRPr="00B970ED">
        <w:rPr>
          <w:rFonts w:asciiTheme="majorBidi" w:hAnsiTheme="majorBidi" w:cstheme="majorBidi"/>
          <w:iCs/>
        </w:rPr>
        <w:t>Princeton University Press, New Jersey</w:t>
      </w:r>
      <w:r w:rsidRPr="00B970ED">
        <w:rPr>
          <w:rFonts w:asciiTheme="majorBidi" w:hAnsiTheme="majorBidi" w:cstheme="majorBidi"/>
        </w:rPr>
        <w:t>.</w:t>
      </w:r>
    </w:p>
    <w:p w14:paraId="458A6B4B" w14:textId="77777777" w:rsidR="00521DCF" w:rsidRDefault="00521DCF" w:rsidP="00521DCF">
      <w:pPr>
        <w:bidi w:val="0"/>
        <w:spacing w:line="480" w:lineRule="auto"/>
        <w:jc w:val="both"/>
      </w:pPr>
      <w:r w:rsidRPr="00521DCF">
        <w:t>Celata, F., &amp; Romano, A. (2022). Overtourism and online short-term rental platforms in Italian cities. </w:t>
      </w:r>
      <w:r w:rsidRPr="00521DCF">
        <w:rPr>
          <w:i/>
          <w:iCs/>
        </w:rPr>
        <w:t>Journal of Sustainable Tourism</w:t>
      </w:r>
      <w:r w:rsidRPr="00521DCF">
        <w:t>, </w:t>
      </w:r>
      <w:r w:rsidRPr="00521DCF">
        <w:rPr>
          <w:i/>
          <w:iCs/>
        </w:rPr>
        <w:t>30</w:t>
      </w:r>
      <w:r w:rsidRPr="00521DCF">
        <w:t>(5), 1020-1039.</w:t>
      </w:r>
      <w:r w:rsidRPr="00521DCF">
        <w:rPr>
          <w:rtl/>
        </w:rPr>
        <w:t>‏</w:t>
      </w:r>
    </w:p>
    <w:p w14:paraId="4ED8EE5C" w14:textId="77777777" w:rsidR="00C646C0" w:rsidRPr="00B970ED" w:rsidRDefault="00C646C0" w:rsidP="00C646C0">
      <w:pPr>
        <w:bidi w:val="0"/>
        <w:spacing w:line="480" w:lineRule="auto"/>
      </w:pPr>
      <w:r w:rsidRPr="00B970ED">
        <w:t>Corrado, C. J. (1989). A nonparametric test for abnormal security-price performance in event studies. </w:t>
      </w:r>
      <w:r w:rsidRPr="00B970ED">
        <w:rPr>
          <w:i/>
          <w:iCs/>
        </w:rPr>
        <w:t>Journal of Financial Economics</w:t>
      </w:r>
      <w:r w:rsidRPr="00B970ED">
        <w:t>, </w:t>
      </w:r>
      <w:r w:rsidRPr="00B970ED">
        <w:rPr>
          <w:i/>
          <w:iCs/>
        </w:rPr>
        <w:t>23</w:t>
      </w:r>
      <w:r w:rsidRPr="00B970ED">
        <w:t>(2), 385-395.</w:t>
      </w:r>
      <w:r w:rsidRPr="00B970ED">
        <w:rPr>
          <w:rtl/>
        </w:rPr>
        <w:t>‏</w:t>
      </w:r>
    </w:p>
    <w:p w14:paraId="3F113950" w14:textId="754B9E84" w:rsidR="004C70D3" w:rsidRDefault="004C70D3" w:rsidP="004C70D3">
      <w:pPr>
        <w:bidi w:val="0"/>
        <w:spacing w:line="480" w:lineRule="auto"/>
        <w:jc w:val="both"/>
      </w:pPr>
      <w:r w:rsidRPr="004C70D3">
        <w:t>Duso, T., Gugler, K., &amp; Yurtoglu, B. (2010). Is the event study methodology useful for merger analysis? A comparison of stock market and accounting data. </w:t>
      </w:r>
      <w:r w:rsidRPr="004C70D3">
        <w:rPr>
          <w:i/>
          <w:iCs/>
        </w:rPr>
        <w:t>International Review of Law and Economics</w:t>
      </w:r>
      <w:r w:rsidRPr="004C70D3">
        <w:t>, </w:t>
      </w:r>
      <w:r w:rsidRPr="004C70D3">
        <w:rPr>
          <w:i/>
          <w:iCs/>
        </w:rPr>
        <w:t>30</w:t>
      </w:r>
      <w:r w:rsidRPr="004C70D3">
        <w:t>(2), 186-192.</w:t>
      </w:r>
      <w:r w:rsidRPr="004C70D3">
        <w:rPr>
          <w:rtl/>
        </w:rPr>
        <w:t>‏</w:t>
      </w:r>
    </w:p>
    <w:p w14:paraId="66FC6723" w14:textId="77777777" w:rsidR="004C70D3" w:rsidRPr="00B970ED" w:rsidRDefault="004C70D3" w:rsidP="004C70D3">
      <w:pPr>
        <w:bidi w:val="0"/>
        <w:spacing w:line="480" w:lineRule="auto"/>
        <w:jc w:val="both"/>
        <w:rPr>
          <w:rFonts w:eastAsia="Calibri"/>
        </w:rPr>
      </w:pPr>
      <w:r w:rsidRPr="00B970ED">
        <w:rPr>
          <w:rFonts w:eastAsia="Calibri"/>
        </w:rPr>
        <w:t>Fama, E. F. (1970). Efficient capital markets: A review of theory and empirical work. </w:t>
      </w:r>
      <w:r w:rsidRPr="00B970ED">
        <w:rPr>
          <w:rFonts w:eastAsia="Calibri"/>
          <w:i/>
          <w:iCs/>
        </w:rPr>
        <w:t>The Journal of Finance</w:t>
      </w:r>
      <w:r w:rsidRPr="00B970ED">
        <w:rPr>
          <w:rFonts w:eastAsia="Calibri"/>
        </w:rPr>
        <w:t>, </w:t>
      </w:r>
      <w:r w:rsidRPr="00B970ED">
        <w:rPr>
          <w:rFonts w:eastAsia="Calibri"/>
          <w:i/>
          <w:iCs/>
        </w:rPr>
        <w:t>25</w:t>
      </w:r>
      <w:r w:rsidRPr="00B970ED">
        <w:rPr>
          <w:rFonts w:eastAsia="Calibri"/>
        </w:rPr>
        <w:t>(2), 383-417.</w:t>
      </w:r>
      <w:r w:rsidRPr="00B970ED">
        <w:rPr>
          <w:rFonts w:eastAsia="Calibri"/>
          <w:rtl/>
        </w:rPr>
        <w:t>‏</w:t>
      </w:r>
      <w:r w:rsidRPr="00B970ED">
        <w:rPr>
          <w:rFonts w:eastAsia="Calibri"/>
        </w:rPr>
        <w:t xml:space="preserve"> </w:t>
      </w:r>
    </w:p>
    <w:p w14:paraId="7C0D9648" w14:textId="77777777" w:rsidR="004C70D3" w:rsidRPr="00B970ED" w:rsidRDefault="004C70D3" w:rsidP="004C70D3">
      <w:pPr>
        <w:bidi w:val="0"/>
        <w:spacing w:line="480" w:lineRule="auto"/>
        <w:jc w:val="both"/>
        <w:rPr>
          <w:rFonts w:eastAsia="Calibri"/>
        </w:rPr>
      </w:pPr>
      <w:r w:rsidRPr="00B970ED">
        <w:rPr>
          <w:rFonts w:eastAsia="Calibri"/>
        </w:rPr>
        <w:lastRenderedPageBreak/>
        <w:t xml:space="preserve">Fama, E. F., Fisher, L., Jensen, M. C., &amp; Roll, R. (1969). The adjustment of stock prices to new information. </w:t>
      </w:r>
      <w:r w:rsidRPr="00B970ED">
        <w:rPr>
          <w:rFonts w:eastAsia="Calibri"/>
          <w:i/>
          <w:iCs/>
        </w:rPr>
        <w:t>International Economic Review</w:t>
      </w:r>
      <w:r w:rsidRPr="00B970ED">
        <w:rPr>
          <w:rFonts w:eastAsia="Calibri"/>
        </w:rPr>
        <w:t xml:space="preserve">, </w:t>
      </w:r>
      <w:r w:rsidRPr="00B970ED">
        <w:rPr>
          <w:rFonts w:eastAsia="Calibri"/>
          <w:i/>
          <w:iCs/>
        </w:rPr>
        <w:t>10</w:t>
      </w:r>
      <w:r w:rsidRPr="00B970ED">
        <w:rPr>
          <w:rFonts w:eastAsia="Calibri"/>
        </w:rPr>
        <w:t>(1), 1-21.</w:t>
      </w:r>
      <w:r w:rsidRPr="00B970ED">
        <w:rPr>
          <w:rFonts w:eastAsia="Calibri"/>
          <w:rtl/>
        </w:rPr>
        <w:t>‏</w:t>
      </w:r>
    </w:p>
    <w:p w14:paraId="6A42EC0B" w14:textId="77777777" w:rsidR="00521DCF" w:rsidRPr="00521DCF" w:rsidRDefault="00521DCF" w:rsidP="00521DCF">
      <w:pPr>
        <w:bidi w:val="0"/>
        <w:spacing w:line="480" w:lineRule="auto"/>
        <w:jc w:val="both"/>
      </w:pPr>
      <w:r w:rsidRPr="00521DCF">
        <w:t>Gurran, N., Searle, G., &amp; Phibbs, P. (2018). Urban planning in the age of Airbnb: Coase, property rights, and spatial regulation. </w:t>
      </w:r>
      <w:r w:rsidRPr="00521DCF">
        <w:rPr>
          <w:i/>
          <w:iCs/>
        </w:rPr>
        <w:t>Urban Policy and Research</w:t>
      </w:r>
      <w:r w:rsidRPr="00521DCF">
        <w:t>, </w:t>
      </w:r>
      <w:r w:rsidRPr="00521DCF">
        <w:rPr>
          <w:i/>
          <w:iCs/>
        </w:rPr>
        <w:t>36</w:t>
      </w:r>
      <w:r w:rsidRPr="00521DCF">
        <w:t>(4), 399-416.</w:t>
      </w:r>
      <w:r w:rsidRPr="00521DCF">
        <w:rPr>
          <w:rtl/>
        </w:rPr>
        <w:t>‏</w:t>
      </w:r>
    </w:p>
    <w:p w14:paraId="0B5F1109" w14:textId="77777777" w:rsidR="003911F9" w:rsidRDefault="003911F9" w:rsidP="003911F9">
      <w:pPr>
        <w:bidi w:val="0"/>
        <w:spacing w:line="480" w:lineRule="auto"/>
        <w:jc w:val="both"/>
      </w:pPr>
      <w:r w:rsidRPr="003911F9">
        <w:t>Guttentag, D. (2015). Airbnb: disruptive innovation and the rise of an informal tourism accommodation sector. </w:t>
      </w:r>
      <w:r w:rsidRPr="003911F9">
        <w:rPr>
          <w:i/>
          <w:iCs/>
        </w:rPr>
        <w:t>Current issues in Tourism</w:t>
      </w:r>
      <w:r w:rsidRPr="003911F9">
        <w:t>, </w:t>
      </w:r>
      <w:r w:rsidRPr="003911F9">
        <w:rPr>
          <w:i/>
          <w:iCs/>
        </w:rPr>
        <w:t>18</w:t>
      </w:r>
      <w:r w:rsidRPr="003911F9">
        <w:t>(12), 1192-1217.</w:t>
      </w:r>
      <w:r w:rsidRPr="003911F9">
        <w:rPr>
          <w:rtl/>
        </w:rPr>
        <w:t>‏</w:t>
      </w:r>
    </w:p>
    <w:p w14:paraId="52EBEB6B" w14:textId="77777777" w:rsidR="006B4BF1" w:rsidRDefault="006B4BF1" w:rsidP="006B4BF1">
      <w:pPr>
        <w:bidi w:val="0"/>
        <w:spacing w:line="480" w:lineRule="auto"/>
        <w:jc w:val="both"/>
      </w:pPr>
      <w:r w:rsidRPr="006B4BF1">
        <w:t>Hall, C. M., Prayag, G., Safonov, A., Coles, T., Gössling, S., &amp; Naderi Koupaei, S. (2022). Airbnb and the sharing economy. </w:t>
      </w:r>
      <w:r w:rsidRPr="006B4BF1">
        <w:rPr>
          <w:i/>
          <w:iCs/>
        </w:rPr>
        <w:t>Current Issues in Tourism</w:t>
      </w:r>
      <w:r w:rsidRPr="006B4BF1">
        <w:t>, </w:t>
      </w:r>
      <w:r w:rsidRPr="006B4BF1">
        <w:rPr>
          <w:i/>
          <w:iCs/>
        </w:rPr>
        <w:t>25</w:t>
      </w:r>
      <w:r w:rsidRPr="006B4BF1">
        <w:t>(19), 3057-3067.</w:t>
      </w:r>
      <w:r w:rsidRPr="006B4BF1">
        <w:rPr>
          <w:rtl/>
        </w:rPr>
        <w:t>‏</w:t>
      </w:r>
    </w:p>
    <w:p w14:paraId="55D5CAF7" w14:textId="77777777" w:rsidR="00BA05AA" w:rsidRPr="00BA05AA" w:rsidRDefault="00BA05AA" w:rsidP="00BA05AA">
      <w:pPr>
        <w:bidi w:val="0"/>
        <w:spacing w:line="480" w:lineRule="auto"/>
        <w:jc w:val="both"/>
      </w:pPr>
      <w:r w:rsidRPr="00BA05AA">
        <w:t>Leshinsky, R., &amp; Schatz, L. (2018). “I don’t think my landlord will find out:” Airbnb and the challenges of enforcement. </w:t>
      </w:r>
      <w:r w:rsidRPr="00BA05AA">
        <w:rPr>
          <w:i/>
          <w:iCs/>
        </w:rPr>
        <w:t>Urban Policy and Research</w:t>
      </w:r>
      <w:r w:rsidRPr="00BA05AA">
        <w:t>, </w:t>
      </w:r>
      <w:r w:rsidRPr="00BA05AA">
        <w:rPr>
          <w:i/>
          <w:iCs/>
        </w:rPr>
        <w:t>36</w:t>
      </w:r>
      <w:r w:rsidRPr="00BA05AA">
        <w:t>(4), 417-428.</w:t>
      </w:r>
      <w:r w:rsidRPr="00BA05AA">
        <w:rPr>
          <w:rtl/>
        </w:rPr>
        <w:t>‏</w:t>
      </w:r>
    </w:p>
    <w:p w14:paraId="017FBF87" w14:textId="77777777" w:rsidR="00EB5CF4" w:rsidRPr="00EB5CF4" w:rsidRDefault="00EB5CF4" w:rsidP="00EB5CF4">
      <w:pPr>
        <w:bidi w:val="0"/>
        <w:spacing w:line="480" w:lineRule="auto"/>
        <w:jc w:val="both"/>
      </w:pPr>
      <w:r w:rsidRPr="00EB5CF4">
        <w:t>Lorde, T., &amp; Joseph, T. S. (2019). Airbnb, technological change and disruption in Barbadian tourism: a theoretical framework. </w:t>
      </w:r>
      <w:r w:rsidRPr="00EB5CF4">
        <w:rPr>
          <w:i/>
          <w:iCs/>
        </w:rPr>
        <w:t>Third World Quarterly</w:t>
      </w:r>
      <w:r w:rsidRPr="00EB5CF4">
        <w:t>, </w:t>
      </w:r>
      <w:r w:rsidRPr="00EB5CF4">
        <w:rPr>
          <w:i/>
          <w:iCs/>
        </w:rPr>
        <w:t>40</w:t>
      </w:r>
      <w:r w:rsidRPr="00EB5CF4">
        <w:t>(12), 2190-2209.</w:t>
      </w:r>
      <w:r w:rsidRPr="00EB5CF4">
        <w:rPr>
          <w:rtl/>
        </w:rPr>
        <w:t>‏</w:t>
      </w:r>
    </w:p>
    <w:p w14:paraId="5D42568D" w14:textId="77777777" w:rsidR="00003E20" w:rsidRPr="00003E20" w:rsidRDefault="00003E20" w:rsidP="00003E20">
      <w:pPr>
        <w:bidi w:val="0"/>
        <w:spacing w:line="480" w:lineRule="auto"/>
        <w:jc w:val="both"/>
      </w:pPr>
      <w:r w:rsidRPr="00003E20">
        <w:t>Mhlanga, O. (2019). Peer-to-peer-travel: is Airbnb a friend or foe to hotels?. </w:t>
      </w:r>
      <w:r w:rsidRPr="00003E20">
        <w:rPr>
          <w:i/>
          <w:iCs/>
        </w:rPr>
        <w:t>International Journal of Culture, Tourism and Hospitality Research</w:t>
      </w:r>
      <w:r w:rsidRPr="00003E20">
        <w:t>.</w:t>
      </w:r>
      <w:r w:rsidRPr="00003E20">
        <w:rPr>
          <w:rtl/>
        </w:rPr>
        <w:t>‏</w:t>
      </w:r>
    </w:p>
    <w:p w14:paraId="1943633F" w14:textId="77777777" w:rsidR="008B6D78" w:rsidRPr="008B6D78" w:rsidRDefault="008B6D78" w:rsidP="008B6D78">
      <w:pPr>
        <w:bidi w:val="0"/>
        <w:spacing w:line="480" w:lineRule="auto"/>
        <w:jc w:val="both"/>
      </w:pPr>
      <w:bookmarkStart w:id="9" w:name="_Hlk134432279"/>
      <w:r w:rsidRPr="008B6D78">
        <w:t>Qiu</w:t>
      </w:r>
      <w:bookmarkEnd w:id="9"/>
      <w:r w:rsidRPr="008B6D78">
        <w:t>, D., Lin, P. M., Feng, S. Y., Peng, K. L., &amp; Fan, D. (2020). The future of Airbnb in China: industry perspective from hospitality leaders. </w:t>
      </w:r>
      <w:r w:rsidRPr="008B6D78">
        <w:rPr>
          <w:i/>
          <w:iCs/>
        </w:rPr>
        <w:t>Tourism Review</w:t>
      </w:r>
      <w:r w:rsidRPr="008B6D78">
        <w:t>.</w:t>
      </w:r>
      <w:r w:rsidRPr="008B6D78">
        <w:rPr>
          <w:rtl/>
        </w:rPr>
        <w:t>‏</w:t>
      </w:r>
    </w:p>
    <w:p w14:paraId="5E9BC2DB" w14:textId="77777777" w:rsidR="004F29AB" w:rsidRDefault="004F29AB" w:rsidP="004F29AB">
      <w:pPr>
        <w:bidi w:val="0"/>
        <w:spacing w:line="480" w:lineRule="auto"/>
        <w:rPr>
          <w:rFonts w:eastAsia="Calibri"/>
          <w:kern w:val="0"/>
          <w14:ligatures w14:val="none"/>
        </w:rPr>
      </w:pPr>
      <w:r w:rsidRPr="004F29AB">
        <w:rPr>
          <w:rFonts w:eastAsia="Calibri"/>
          <w:kern w:val="0"/>
          <w14:ligatures w14:val="none"/>
        </w:rPr>
        <w:t xml:space="preserve">Palatnik, R. R., Tavor, T., &amp; Voldman, L. (2019). The Symptoms of Illness: Does Israel Suffer from “Dutch Disease”? </w:t>
      </w:r>
      <w:r w:rsidRPr="004F29AB">
        <w:rPr>
          <w:rFonts w:eastAsia="Calibri"/>
          <w:i/>
          <w:iCs/>
          <w:kern w:val="0"/>
          <w14:ligatures w14:val="none"/>
        </w:rPr>
        <w:t>Energies</w:t>
      </w:r>
      <w:r w:rsidRPr="004F29AB">
        <w:rPr>
          <w:rFonts w:eastAsia="Calibri"/>
          <w:kern w:val="0"/>
          <w14:ligatures w14:val="none"/>
        </w:rPr>
        <w:t xml:space="preserve">, </w:t>
      </w:r>
      <w:r w:rsidRPr="004F29AB">
        <w:rPr>
          <w:rFonts w:eastAsia="Calibri"/>
          <w:i/>
          <w:iCs/>
          <w:kern w:val="0"/>
          <w14:ligatures w14:val="none"/>
        </w:rPr>
        <w:t>12</w:t>
      </w:r>
      <w:r w:rsidRPr="004F29AB">
        <w:rPr>
          <w:rFonts w:eastAsia="Calibri"/>
          <w:kern w:val="0"/>
          <w14:ligatures w14:val="none"/>
        </w:rPr>
        <w:t>(14), 2752.</w:t>
      </w:r>
      <w:r w:rsidRPr="004F29AB">
        <w:rPr>
          <w:rFonts w:eastAsia="Calibri"/>
          <w:kern w:val="0"/>
          <w:rtl/>
          <w14:ligatures w14:val="none"/>
        </w:rPr>
        <w:t>‏</w:t>
      </w:r>
    </w:p>
    <w:p w14:paraId="68B09A1B" w14:textId="77777777" w:rsidR="00C646C0" w:rsidRPr="00B970ED" w:rsidRDefault="00C646C0" w:rsidP="00C646C0">
      <w:pPr>
        <w:bidi w:val="0"/>
        <w:spacing w:line="480" w:lineRule="auto"/>
      </w:pPr>
      <w:r w:rsidRPr="00B970ED">
        <w:t>Patell, J. M. (1976). Corporate forecasts of earnings per share and stock price behavior: Empirical test. </w:t>
      </w:r>
      <w:r w:rsidRPr="00B970ED">
        <w:rPr>
          <w:i/>
          <w:iCs/>
        </w:rPr>
        <w:t>Journal of Accounting Research</w:t>
      </w:r>
      <w:r w:rsidRPr="00B970ED">
        <w:t>, 246-276.</w:t>
      </w:r>
      <w:r w:rsidRPr="00B970ED">
        <w:rPr>
          <w:rtl/>
        </w:rPr>
        <w:t>‏</w:t>
      </w:r>
    </w:p>
    <w:p w14:paraId="5594B3CE" w14:textId="77777777" w:rsidR="00003E20" w:rsidRDefault="00003E20" w:rsidP="00003E20">
      <w:pPr>
        <w:bidi w:val="0"/>
        <w:spacing w:line="480" w:lineRule="auto"/>
        <w:jc w:val="both"/>
      </w:pPr>
      <w:bookmarkStart w:id="10" w:name="_Hlk134344976"/>
      <w:r w:rsidRPr="00003E20">
        <w:lastRenderedPageBreak/>
        <w:t>Quattrone</w:t>
      </w:r>
      <w:bookmarkEnd w:id="10"/>
      <w:r w:rsidRPr="00003E20">
        <w:t>, G., Kusek, N., &amp; Capra, L. (2022). A global-scale analysis of the sharing economy model–an AirBnB case study</w:t>
      </w:r>
      <w:r w:rsidRPr="00003E20">
        <w:rPr>
          <w:i/>
          <w:iCs/>
        </w:rPr>
        <w:t>. EPJ Data Science, 11</w:t>
      </w:r>
      <w:r w:rsidRPr="00003E20">
        <w:t>(1), 36.</w:t>
      </w:r>
      <w:r w:rsidRPr="00003E20">
        <w:rPr>
          <w:rtl/>
        </w:rPr>
        <w:t>‏</w:t>
      </w:r>
    </w:p>
    <w:p w14:paraId="5025FCFA" w14:textId="77777777" w:rsidR="00521DCF" w:rsidRPr="00521DCF" w:rsidRDefault="00521DCF" w:rsidP="00521DCF">
      <w:pPr>
        <w:bidi w:val="0"/>
        <w:spacing w:line="480" w:lineRule="auto"/>
        <w:jc w:val="both"/>
      </w:pPr>
      <w:r w:rsidRPr="00521DCF">
        <w:t>Richards, S., Brown, L., &amp; Dilettuso, A. (2020). The Airbnb phenomenon: the resident’s perspective. </w:t>
      </w:r>
      <w:r w:rsidRPr="00521DCF">
        <w:rPr>
          <w:i/>
          <w:iCs/>
        </w:rPr>
        <w:t>International Journal of Tourism Cities</w:t>
      </w:r>
      <w:r w:rsidRPr="00521DCF">
        <w:t>, </w:t>
      </w:r>
      <w:r w:rsidRPr="00521DCF">
        <w:rPr>
          <w:i/>
          <w:iCs/>
        </w:rPr>
        <w:t>6</w:t>
      </w:r>
      <w:r w:rsidRPr="00521DCF">
        <w:t>(1), 8-26.</w:t>
      </w:r>
      <w:r w:rsidRPr="00521DCF">
        <w:rPr>
          <w:rtl/>
        </w:rPr>
        <w:t>‏</w:t>
      </w:r>
    </w:p>
    <w:p w14:paraId="14683B82" w14:textId="77777777" w:rsidR="00084AB3" w:rsidRPr="00084AB3" w:rsidRDefault="00084AB3" w:rsidP="00084AB3">
      <w:pPr>
        <w:bidi w:val="0"/>
        <w:spacing w:line="480" w:lineRule="auto"/>
        <w:jc w:val="both"/>
      </w:pPr>
      <w:bookmarkStart w:id="11" w:name="_Hlk134430731"/>
      <w:r w:rsidRPr="00084AB3">
        <w:t>Shrestha, A., &amp; Fissha, H. (2017)</w:t>
      </w:r>
      <w:bookmarkEnd w:id="11"/>
      <w:r w:rsidRPr="00084AB3">
        <w:t>. Impact of airbnb on hotel industry in helsinki.</w:t>
      </w:r>
      <w:r w:rsidRPr="00084AB3">
        <w:rPr>
          <w:rtl/>
        </w:rPr>
        <w:t>‏</w:t>
      </w:r>
    </w:p>
    <w:p w14:paraId="5BD74834" w14:textId="77777777" w:rsidR="00084AB3" w:rsidRPr="00084AB3" w:rsidRDefault="00084AB3" w:rsidP="00084AB3">
      <w:pPr>
        <w:bidi w:val="0"/>
        <w:spacing w:line="480" w:lineRule="auto"/>
        <w:jc w:val="both"/>
      </w:pPr>
      <w:bookmarkStart w:id="12" w:name="_Hlk134431151"/>
      <w:r w:rsidRPr="00084AB3">
        <w:t>Strømmen-Bakhtiar, A., &amp; Vinogradov, E. (2019)</w:t>
      </w:r>
      <w:bookmarkEnd w:id="12"/>
      <w:r w:rsidRPr="00084AB3">
        <w:t>. The effects of Airbnb on hotels in Norway. </w:t>
      </w:r>
      <w:r w:rsidRPr="00084AB3">
        <w:rPr>
          <w:i/>
          <w:iCs/>
        </w:rPr>
        <w:t>Society and Economy</w:t>
      </w:r>
      <w:r w:rsidRPr="00084AB3">
        <w:t>, </w:t>
      </w:r>
      <w:r w:rsidRPr="00084AB3">
        <w:rPr>
          <w:i/>
          <w:iCs/>
        </w:rPr>
        <w:t>41</w:t>
      </w:r>
      <w:r w:rsidRPr="00084AB3">
        <w:t>(1), 87-105.</w:t>
      </w:r>
      <w:r w:rsidRPr="00084AB3">
        <w:rPr>
          <w:rtl/>
        </w:rPr>
        <w:t>‏</w:t>
      </w:r>
    </w:p>
    <w:p w14:paraId="51D850F6" w14:textId="3F68F9D9" w:rsidR="004F29AB" w:rsidRPr="00B970ED" w:rsidRDefault="004F29AB" w:rsidP="004F29AB">
      <w:pPr>
        <w:bidi w:val="0"/>
        <w:spacing w:line="480" w:lineRule="auto"/>
        <w:jc w:val="both"/>
        <w:rPr>
          <w:rFonts w:eastAsia="Calibri"/>
        </w:rPr>
      </w:pPr>
      <w:r w:rsidRPr="00B970ED">
        <w:rPr>
          <w:rFonts w:eastAsia="Calibri"/>
        </w:rPr>
        <w:t xml:space="preserve">Tavor, T. (2023). The Effect of Natural Gas Discoveries in Israel on the Strength of Its Currency. </w:t>
      </w:r>
      <w:r w:rsidRPr="00B970ED">
        <w:rPr>
          <w:rFonts w:eastAsia="Calibri"/>
          <w:i/>
          <w:iCs/>
        </w:rPr>
        <w:t>Australian Economic Papers</w:t>
      </w:r>
      <w:r w:rsidRPr="00B970ED">
        <w:rPr>
          <w:rFonts w:eastAsia="Calibri"/>
        </w:rPr>
        <w:t xml:space="preserve">. </w:t>
      </w:r>
      <w:r w:rsidRPr="00B970ED">
        <w:rPr>
          <w:rFonts w:eastAsia="Calibri"/>
          <w:i/>
          <w:iCs/>
        </w:rPr>
        <w:t>Papers</w:t>
      </w:r>
      <w:r w:rsidRPr="00B970ED">
        <w:rPr>
          <w:rFonts w:eastAsia="Calibri"/>
        </w:rPr>
        <w:t>.</w:t>
      </w:r>
      <w:r w:rsidRPr="00B970ED">
        <w:rPr>
          <w:rFonts w:eastAsia="Calibri"/>
          <w:rtl/>
        </w:rPr>
        <w:t>‏</w:t>
      </w:r>
      <w:r w:rsidRPr="00B970ED">
        <w:rPr>
          <w:rFonts w:eastAsia="Calibri"/>
        </w:rPr>
        <w:t xml:space="preserve"> </w:t>
      </w:r>
    </w:p>
    <w:p w14:paraId="72A6CCF9" w14:textId="77777777" w:rsidR="004F29AB" w:rsidRDefault="004F29AB" w:rsidP="004F29AB">
      <w:pPr>
        <w:keepLines/>
        <w:bidi w:val="0"/>
        <w:spacing w:before="120" w:line="480" w:lineRule="auto"/>
        <w:rPr>
          <w:rFonts w:eastAsia="Calibri"/>
        </w:rPr>
      </w:pPr>
      <w:r w:rsidRPr="00FC2F77">
        <w:rPr>
          <w:rFonts w:eastAsia="Calibri"/>
        </w:rPr>
        <w:t>Teitler‐Regev, S., &amp; Tavor, T. (2023). The effect of Airbnb announcements on hotel stock prices. </w:t>
      </w:r>
      <w:r w:rsidRPr="00FC2F77">
        <w:rPr>
          <w:rFonts w:eastAsia="Calibri"/>
          <w:i/>
          <w:iCs/>
        </w:rPr>
        <w:t>Australian Economic Papers</w:t>
      </w:r>
      <w:r w:rsidRPr="00FC2F77">
        <w:rPr>
          <w:rFonts w:eastAsia="Calibri"/>
        </w:rPr>
        <w:t>, </w:t>
      </w:r>
      <w:r w:rsidRPr="00FC2F77">
        <w:rPr>
          <w:rFonts w:eastAsia="Calibri"/>
          <w:i/>
          <w:iCs/>
        </w:rPr>
        <w:t>62</w:t>
      </w:r>
      <w:r w:rsidRPr="00FC2F77">
        <w:rPr>
          <w:rFonts w:eastAsia="Calibri"/>
        </w:rPr>
        <w:t>(1), 78-100.</w:t>
      </w:r>
      <w:r w:rsidRPr="00FC2F77">
        <w:rPr>
          <w:rFonts w:eastAsia="Calibri"/>
          <w:rtl/>
        </w:rPr>
        <w:t>‏</w:t>
      </w:r>
      <w:r w:rsidRPr="00FC2F77">
        <w:rPr>
          <w:rFonts w:eastAsia="Calibri"/>
        </w:rPr>
        <w:t xml:space="preserve"> </w:t>
      </w:r>
    </w:p>
    <w:p w14:paraId="5BE4BE3C" w14:textId="77777777" w:rsidR="00BA6045" w:rsidRPr="00BA6045" w:rsidRDefault="00BA6045" w:rsidP="00BA6045">
      <w:pPr>
        <w:bidi w:val="0"/>
        <w:spacing w:line="480" w:lineRule="auto"/>
        <w:jc w:val="both"/>
        <w:rPr>
          <w:rtl/>
        </w:rPr>
      </w:pPr>
      <w:bookmarkStart w:id="13" w:name="_Hlk134432912"/>
      <w:r w:rsidRPr="00BA6045">
        <w:t>Visser</w:t>
      </w:r>
      <w:bookmarkEnd w:id="13"/>
      <w:r w:rsidRPr="00BA6045">
        <w:t>, G., Erasmus, I., &amp; Miller, M. (2017). Airbnb: The emergence of a new accommodation type in Cape Town, South Africa. </w:t>
      </w:r>
      <w:r w:rsidRPr="00BA6045">
        <w:rPr>
          <w:i/>
          <w:iCs/>
        </w:rPr>
        <w:t>Tourism Review International</w:t>
      </w:r>
      <w:r w:rsidRPr="00BA6045">
        <w:t>, </w:t>
      </w:r>
      <w:r w:rsidRPr="00BA6045">
        <w:rPr>
          <w:i/>
          <w:iCs/>
        </w:rPr>
        <w:t>21</w:t>
      </w:r>
      <w:r w:rsidRPr="00BA6045">
        <w:t>(2), 151-168.</w:t>
      </w:r>
      <w:r w:rsidRPr="00BA6045">
        <w:rPr>
          <w:rtl/>
        </w:rPr>
        <w:t>‏</w:t>
      </w:r>
    </w:p>
    <w:p w14:paraId="6724BA4F" w14:textId="77777777" w:rsidR="00713537" w:rsidRDefault="00713537" w:rsidP="00713537">
      <w:pPr>
        <w:bidi w:val="0"/>
        <w:spacing w:line="480" w:lineRule="auto"/>
        <w:jc w:val="both"/>
      </w:pPr>
      <w:r w:rsidRPr="00713537">
        <w:t>Wachsmuth, D., &amp; Weisler, A. (2018). Airbnb and the rent gap: Gentrification through the sharing economy. </w:t>
      </w:r>
      <w:r w:rsidRPr="00713537">
        <w:rPr>
          <w:i/>
          <w:iCs/>
        </w:rPr>
        <w:t>Environment and planning A: economy and space</w:t>
      </w:r>
      <w:r w:rsidRPr="00713537">
        <w:t>, </w:t>
      </w:r>
      <w:r w:rsidRPr="00713537">
        <w:rPr>
          <w:i/>
          <w:iCs/>
        </w:rPr>
        <w:t>50</w:t>
      </w:r>
      <w:r w:rsidRPr="00713537">
        <w:t>(6), 1147-1170.</w:t>
      </w:r>
      <w:r w:rsidRPr="00713537">
        <w:rPr>
          <w:rtl/>
        </w:rPr>
        <w:t>‏</w:t>
      </w:r>
    </w:p>
    <w:p w14:paraId="72E169DC" w14:textId="77777777" w:rsidR="00C646C0" w:rsidRPr="00B970ED" w:rsidRDefault="00C646C0" w:rsidP="00C646C0">
      <w:pPr>
        <w:keepLines/>
        <w:bidi w:val="0"/>
        <w:spacing w:before="120" w:line="480" w:lineRule="auto"/>
        <w:rPr>
          <w:rFonts w:eastAsia="Calibri"/>
        </w:rPr>
      </w:pPr>
      <w:r w:rsidRPr="00B970ED">
        <w:rPr>
          <w:rFonts w:eastAsia="Calibri"/>
        </w:rPr>
        <w:t>Wilcoxon, F. Individual comparisons by ranking methods (1945). </w:t>
      </w:r>
      <w:r w:rsidRPr="00B970ED">
        <w:rPr>
          <w:rFonts w:eastAsia="Calibri"/>
          <w:i/>
          <w:iCs/>
        </w:rPr>
        <w:t>Breakthroughs in Statistics</w:t>
      </w:r>
      <w:r w:rsidRPr="00B970ED">
        <w:rPr>
          <w:rFonts w:eastAsia="Calibri"/>
        </w:rPr>
        <w:t>, 196-202.</w:t>
      </w:r>
      <w:r w:rsidRPr="00B970ED">
        <w:rPr>
          <w:rFonts w:eastAsia="Calibri"/>
          <w:rtl/>
        </w:rPr>
        <w:t>‏</w:t>
      </w:r>
    </w:p>
    <w:p w14:paraId="31129B1E" w14:textId="77777777" w:rsidR="00C646C0" w:rsidRPr="00406168" w:rsidRDefault="00C646C0" w:rsidP="00C646C0">
      <w:pPr>
        <w:bidi w:val="0"/>
        <w:spacing w:line="480" w:lineRule="auto"/>
        <w:jc w:val="both"/>
      </w:pPr>
    </w:p>
    <w:sectPr w:rsidR="00C646C0" w:rsidRPr="00406168" w:rsidSect="00783D35">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E8B98" w14:textId="77777777" w:rsidR="00632AC7" w:rsidRDefault="00632AC7" w:rsidP="001C5B72">
      <w:pPr>
        <w:spacing w:after="0" w:line="240" w:lineRule="auto"/>
      </w:pPr>
      <w:r>
        <w:separator/>
      </w:r>
    </w:p>
  </w:endnote>
  <w:endnote w:type="continuationSeparator" w:id="0">
    <w:p w14:paraId="41638070" w14:textId="77777777" w:rsidR="00632AC7" w:rsidRDefault="00632AC7" w:rsidP="001C5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58263575"/>
      <w:docPartObj>
        <w:docPartGallery w:val="Page Numbers (Bottom of Page)"/>
        <w:docPartUnique/>
      </w:docPartObj>
    </w:sdtPr>
    <w:sdtContent>
      <w:p w14:paraId="014DDAA8" w14:textId="24F28A5B" w:rsidR="001C5B72" w:rsidRDefault="001C5B72">
        <w:pPr>
          <w:pStyle w:val="a6"/>
          <w:jc w:val="center"/>
        </w:pPr>
        <w:r>
          <w:fldChar w:fldCharType="begin"/>
        </w:r>
        <w:r>
          <w:instrText>PAGE   \* MERGEFORMAT</w:instrText>
        </w:r>
        <w:r>
          <w:fldChar w:fldCharType="separate"/>
        </w:r>
        <w:r>
          <w:rPr>
            <w:rtl/>
            <w:lang w:val="he-IL"/>
          </w:rPr>
          <w:t>2</w:t>
        </w:r>
        <w:r>
          <w:fldChar w:fldCharType="end"/>
        </w:r>
      </w:p>
    </w:sdtContent>
  </w:sdt>
  <w:p w14:paraId="6318695B" w14:textId="77777777" w:rsidR="001C5B72" w:rsidRDefault="001C5B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825A0" w14:textId="77777777" w:rsidR="00632AC7" w:rsidRDefault="00632AC7" w:rsidP="001C5B72">
      <w:pPr>
        <w:spacing w:after="0" w:line="240" w:lineRule="auto"/>
      </w:pPr>
      <w:r>
        <w:separator/>
      </w:r>
    </w:p>
  </w:footnote>
  <w:footnote w:type="continuationSeparator" w:id="0">
    <w:p w14:paraId="435BF423" w14:textId="77777777" w:rsidR="00632AC7" w:rsidRDefault="00632AC7" w:rsidP="001C5B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92DAC"/>
    <w:multiLevelType w:val="hybridMultilevel"/>
    <w:tmpl w:val="E63A00A2"/>
    <w:lvl w:ilvl="0" w:tplc="AD169C28">
      <w:start w:val="1"/>
      <w:numFmt w:val="decimal"/>
      <w:lvlText w:val="(%1)"/>
      <w:lvlJc w:val="left"/>
      <w:pPr>
        <w:ind w:left="720" w:hanging="360"/>
      </w:pPr>
      <w:rPr>
        <w:rFonts w:ascii="Times New Roman" w:hAnsi="Times New Roman" w:cs="Times New Roman"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E3797C"/>
    <w:multiLevelType w:val="hybridMultilevel"/>
    <w:tmpl w:val="D6DC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4180013">
    <w:abstractNumId w:val="1"/>
  </w:num>
  <w:num w:numId="2" w16cid:durableId="44254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EA"/>
    <w:rsid w:val="00003E20"/>
    <w:rsid w:val="000471AF"/>
    <w:rsid w:val="00052D95"/>
    <w:rsid w:val="00071017"/>
    <w:rsid w:val="00084AB3"/>
    <w:rsid w:val="00084BE9"/>
    <w:rsid w:val="00085DEF"/>
    <w:rsid w:val="000C1253"/>
    <w:rsid w:val="000D7667"/>
    <w:rsid w:val="000E359E"/>
    <w:rsid w:val="00101F0D"/>
    <w:rsid w:val="0013750D"/>
    <w:rsid w:val="00145B22"/>
    <w:rsid w:val="00174800"/>
    <w:rsid w:val="001C5B72"/>
    <w:rsid w:val="00207F35"/>
    <w:rsid w:val="002272F1"/>
    <w:rsid w:val="00233392"/>
    <w:rsid w:val="00235090"/>
    <w:rsid w:val="0024026A"/>
    <w:rsid w:val="00247CAC"/>
    <w:rsid w:val="00254780"/>
    <w:rsid w:val="00265B98"/>
    <w:rsid w:val="00270429"/>
    <w:rsid w:val="0027553A"/>
    <w:rsid w:val="0027658C"/>
    <w:rsid w:val="00282AEB"/>
    <w:rsid w:val="00291473"/>
    <w:rsid w:val="00297ACB"/>
    <w:rsid w:val="002C2B8D"/>
    <w:rsid w:val="002C5EE9"/>
    <w:rsid w:val="002E7E3E"/>
    <w:rsid w:val="00301B09"/>
    <w:rsid w:val="00304D7E"/>
    <w:rsid w:val="003072E9"/>
    <w:rsid w:val="00311C56"/>
    <w:rsid w:val="00373078"/>
    <w:rsid w:val="00386F0A"/>
    <w:rsid w:val="003911F9"/>
    <w:rsid w:val="003A644E"/>
    <w:rsid w:val="003B773D"/>
    <w:rsid w:val="003D4C49"/>
    <w:rsid w:val="003E673B"/>
    <w:rsid w:val="003F3657"/>
    <w:rsid w:val="0040443E"/>
    <w:rsid w:val="00406168"/>
    <w:rsid w:val="00410AB5"/>
    <w:rsid w:val="004361D9"/>
    <w:rsid w:val="0044583B"/>
    <w:rsid w:val="004720D8"/>
    <w:rsid w:val="004A0AB9"/>
    <w:rsid w:val="004B0AEA"/>
    <w:rsid w:val="004B213F"/>
    <w:rsid w:val="004B6F38"/>
    <w:rsid w:val="004B7D25"/>
    <w:rsid w:val="004C5F4D"/>
    <w:rsid w:val="004C70D3"/>
    <w:rsid w:val="004F19AB"/>
    <w:rsid w:val="004F2567"/>
    <w:rsid w:val="004F29AB"/>
    <w:rsid w:val="004F63C7"/>
    <w:rsid w:val="00504B95"/>
    <w:rsid w:val="00507258"/>
    <w:rsid w:val="005115B7"/>
    <w:rsid w:val="00521DCF"/>
    <w:rsid w:val="00522838"/>
    <w:rsid w:val="005411A5"/>
    <w:rsid w:val="005533A5"/>
    <w:rsid w:val="00585224"/>
    <w:rsid w:val="005B1DE7"/>
    <w:rsid w:val="005D6809"/>
    <w:rsid w:val="005F5A7E"/>
    <w:rsid w:val="005F7FF4"/>
    <w:rsid w:val="00632AC7"/>
    <w:rsid w:val="00635775"/>
    <w:rsid w:val="00635A6F"/>
    <w:rsid w:val="006454C6"/>
    <w:rsid w:val="0066428A"/>
    <w:rsid w:val="00670687"/>
    <w:rsid w:val="006A2B7B"/>
    <w:rsid w:val="006A6178"/>
    <w:rsid w:val="006B110F"/>
    <w:rsid w:val="006B4BF1"/>
    <w:rsid w:val="006C2026"/>
    <w:rsid w:val="006F41B5"/>
    <w:rsid w:val="007023A9"/>
    <w:rsid w:val="00705738"/>
    <w:rsid w:val="00707C4A"/>
    <w:rsid w:val="00713537"/>
    <w:rsid w:val="00721A60"/>
    <w:rsid w:val="00723EAD"/>
    <w:rsid w:val="00724576"/>
    <w:rsid w:val="007471BB"/>
    <w:rsid w:val="00776A52"/>
    <w:rsid w:val="007839F7"/>
    <w:rsid w:val="00783D35"/>
    <w:rsid w:val="007A03B9"/>
    <w:rsid w:val="007B170B"/>
    <w:rsid w:val="007B562A"/>
    <w:rsid w:val="007D4C53"/>
    <w:rsid w:val="007F2C4A"/>
    <w:rsid w:val="00825F6F"/>
    <w:rsid w:val="0083786F"/>
    <w:rsid w:val="00852A90"/>
    <w:rsid w:val="008617AD"/>
    <w:rsid w:val="00864771"/>
    <w:rsid w:val="00892BA4"/>
    <w:rsid w:val="008B35E3"/>
    <w:rsid w:val="008B6D78"/>
    <w:rsid w:val="008D5762"/>
    <w:rsid w:val="008F0E23"/>
    <w:rsid w:val="008F7EA5"/>
    <w:rsid w:val="00907D07"/>
    <w:rsid w:val="00912C5F"/>
    <w:rsid w:val="00942397"/>
    <w:rsid w:val="0094281F"/>
    <w:rsid w:val="00953791"/>
    <w:rsid w:val="009A69A9"/>
    <w:rsid w:val="009B6569"/>
    <w:rsid w:val="009C16C4"/>
    <w:rsid w:val="009D27C7"/>
    <w:rsid w:val="00A265F5"/>
    <w:rsid w:val="00A66949"/>
    <w:rsid w:val="00AD17FA"/>
    <w:rsid w:val="00AD2F67"/>
    <w:rsid w:val="00BA05AA"/>
    <w:rsid w:val="00BA6045"/>
    <w:rsid w:val="00BB1E3B"/>
    <w:rsid w:val="00BC5916"/>
    <w:rsid w:val="00BE17EB"/>
    <w:rsid w:val="00C36BC6"/>
    <w:rsid w:val="00C646C0"/>
    <w:rsid w:val="00C669E4"/>
    <w:rsid w:val="00C87305"/>
    <w:rsid w:val="00C9246F"/>
    <w:rsid w:val="00CB224D"/>
    <w:rsid w:val="00CE0E1D"/>
    <w:rsid w:val="00CF13FF"/>
    <w:rsid w:val="00CF5538"/>
    <w:rsid w:val="00D04EBA"/>
    <w:rsid w:val="00D0764D"/>
    <w:rsid w:val="00D321E7"/>
    <w:rsid w:val="00D36B47"/>
    <w:rsid w:val="00D52C17"/>
    <w:rsid w:val="00D64D13"/>
    <w:rsid w:val="00D74A8C"/>
    <w:rsid w:val="00D7567C"/>
    <w:rsid w:val="00D76762"/>
    <w:rsid w:val="00DA39E2"/>
    <w:rsid w:val="00DC37DE"/>
    <w:rsid w:val="00DD7127"/>
    <w:rsid w:val="00DF3608"/>
    <w:rsid w:val="00E22B17"/>
    <w:rsid w:val="00E25FAB"/>
    <w:rsid w:val="00E27EF0"/>
    <w:rsid w:val="00E47F7E"/>
    <w:rsid w:val="00E53310"/>
    <w:rsid w:val="00E55827"/>
    <w:rsid w:val="00E73465"/>
    <w:rsid w:val="00E937FE"/>
    <w:rsid w:val="00EA26A5"/>
    <w:rsid w:val="00EB5CF4"/>
    <w:rsid w:val="00EC581D"/>
    <w:rsid w:val="00F06F4A"/>
    <w:rsid w:val="00F14E5E"/>
    <w:rsid w:val="00F46297"/>
    <w:rsid w:val="00FA01C6"/>
    <w:rsid w:val="00FB7E73"/>
    <w:rsid w:val="00FF21CB"/>
    <w:rsid w:val="00FF6D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91A81"/>
  <w15:chartTrackingRefBased/>
  <w15:docId w15:val="{F2A46359-891F-4592-ACE6-CCA337FB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F0A"/>
    <w:pPr>
      <w:ind w:left="720"/>
      <w:contextualSpacing/>
    </w:pPr>
  </w:style>
  <w:style w:type="paragraph" w:styleId="a4">
    <w:name w:val="header"/>
    <w:basedOn w:val="a"/>
    <w:link w:val="a5"/>
    <w:uiPriority w:val="99"/>
    <w:unhideWhenUsed/>
    <w:rsid w:val="001C5B72"/>
    <w:pPr>
      <w:tabs>
        <w:tab w:val="center" w:pos="4153"/>
        <w:tab w:val="right" w:pos="8306"/>
      </w:tabs>
      <w:spacing w:after="0" w:line="240" w:lineRule="auto"/>
    </w:pPr>
  </w:style>
  <w:style w:type="character" w:customStyle="1" w:styleId="a5">
    <w:name w:val="כותרת עליונה תו"/>
    <w:basedOn w:val="a0"/>
    <w:link w:val="a4"/>
    <w:uiPriority w:val="99"/>
    <w:rsid w:val="001C5B72"/>
  </w:style>
  <w:style w:type="paragraph" w:styleId="a6">
    <w:name w:val="footer"/>
    <w:basedOn w:val="a"/>
    <w:link w:val="a7"/>
    <w:uiPriority w:val="99"/>
    <w:unhideWhenUsed/>
    <w:rsid w:val="001C5B72"/>
    <w:pPr>
      <w:tabs>
        <w:tab w:val="center" w:pos="4153"/>
        <w:tab w:val="right" w:pos="8306"/>
      </w:tabs>
      <w:spacing w:after="0" w:line="240" w:lineRule="auto"/>
    </w:pPr>
  </w:style>
  <w:style w:type="character" w:customStyle="1" w:styleId="a7">
    <w:name w:val="כותרת תחתונה תו"/>
    <w:basedOn w:val="a0"/>
    <w:link w:val="a6"/>
    <w:uiPriority w:val="99"/>
    <w:rsid w:val="001C5B72"/>
  </w:style>
  <w:style w:type="character" w:styleId="Hyperlink">
    <w:name w:val="Hyperlink"/>
    <w:basedOn w:val="a0"/>
    <w:uiPriority w:val="99"/>
    <w:unhideWhenUsed/>
    <w:rsid w:val="004F29AB"/>
    <w:rPr>
      <w:color w:val="0563C1" w:themeColor="hyperlink"/>
      <w:u w:val="single"/>
    </w:rPr>
  </w:style>
  <w:style w:type="paragraph" w:customStyle="1" w:styleId="MDPI16affiliation">
    <w:name w:val="MDPI_1.6_affiliation"/>
    <w:basedOn w:val="a"/>
    <w:qFormat/>
    <w:rsid w:val="00852A90"/>
    <w:pPr>
      <w:bidi w:val="0"/>
      <w:adjustRightInd w:val="0"/>
      <w:snapToGrid w:val="0"/>
      <w:spacing w:after="0" w:line="200" w:lineRule="atLeast"/>
      <w:ind w:left="311" w:hanging="198"/>
    </w:pPr>
    <w:rPr>
      <w:rFonts w:ascii="Palatino Linotype" w:eastAsia="Times New Roman" w:hAnsi="Palatino Linotype"/>
      <w:color w:val="000000"/>
      <w:kern w:val="0"/>
      <w:sz w:val="18"/>
      <w:szCs w:val="18"/>
      <w:lang w:eastAsia="de-DE" w:bidi="en-US"/>
      <w14:ligatures w14:val="none"/>
    </w:rPr>
  </w:style>
  <w:style w:type="paragraph" w:customStyle="1" w:styleId="keywords">
    <w:name w:val="key words"/>
    <w:rsid w:val="0024026A"/>
    <w:pPr>
      <w:spacing w:after="120" w:line="240" w:lineRule="auto"/>
      <w:ind w:firstLine="288"/>
      <w:jc w:val="both"/>
    </w:pPr>
    <w:rPr>
      <w:rFonts w:eastAsia="SimSun"/>
      <w:b/>
      <w:bCs/>
      <w:i/>
      <w:iCs/>
      <w:noProof/>
      <w:kern w:val="0"/>
      <w:sz w:val="18"/>
      <w:szCs w:val="18"/>
      <w:lang w:bidi="ar-SA"/>
      <w14:ligatures w14:val="none"/>
    </w:rPr>
  </w:style>
  <w:style w:type="paragraph" w:styleId="NormalWeb">
    <w:name w:val="Normal (Web)"/>
    <w:basedOn w:val="a"/>
    <w:uiPriority w:val="99"/>
    <w:semiHidden/>
    <w:unhideWhenUsed/>
    <w:rsid w:val="0024026A"/>
    <w:pPr>
      <w:spacing w:after="200" w:line="276" w:lineRule="auto"/>
    </w:pPr>
    <w:rPr>
      <w:rFonts w:eastAsia="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7614">
      <w:bodyDiv w:val="1"/>
      <w:marLeft w:val="0"/>
      <w:marRight w:val="0"/>
      <w:marTop w:val="0"/>
      <w:marBottom w:val="0"/>
      <w:divBdr>
        <w:top w:val="none" w:sz="0" w:space="0" w:color="auto"/>
        <w:left w:val="none" w:sz="0" w:space="0" w:color="auto"/>
        <w:bottom w:val="none" w:sz="0" w:space="0" w:color="auto"/>
        <w:right w:val="none" w:sz="0" w:space="0" w:color="auto"/>
      </w:divBdr>
    </w:div>
    <w:div w:id="537279800">
      <w:bodyDiv w:val="1"/>
      <w:marLeft w:val="0"/>
      <w:marRight w:val="0"/>
      <w:marTop w:val="0"/>
      <w:marBottom w:val="0"/>
      <w:divBdr>
        <w:top w:val="none" w:sz="0" w:space="0" w:color="auto"/>
        <w:left w:val="none" w:sz="0" w:space="0" w:color="auto"/>
        <w:bottom w:val="none" w:sz="0" w:space="0" w:color="auto"/>
        <w:right w:val="none" w:sz="0" w:space="0" w:color="auto"/>
      </w:divBdr>
      <w:divsChild>
        <w:div w:id="1545405778">
          <w:marLeft w:val="0"/>
          <w:marRight w:val="0"/>
          <w:marTop w:val="0"/>
          <w:marBottom w:val="0"/>
          <w:divBdr>
            <w:top w:val="single" w:sz="2" w:space="0" w:color="auto"/>
            <w:left w:val="single" w:sz="2" w:space="0" w:color="auto"/>
            <w:bottom w:val="single" w:sz="6" w:space="0" w:color="auto"/>
            <w:right w:val="single" w:sz="2" w:space="0" w:color="auto"/>
          </w:divBdr>
          <w:divsChild>
            <w:div w:id="272054422">
              <w:marLeft w:val="0"/>
              <w:marRight w:val="0"/>
              <w:marTop w:val="100"/>
              <w:marBottom w:val="100"/>
              <w:divBdr>
                <w:top w:val="single" w:sz="2" w:space="0" w:color="D9D9E3"/>
                <w:left w:val="single" w:sz="2" w:space="0" w:color="D9D9E3"/>
                <w:bottom w:val="single" w:sz="2" w:space="0" w:color="D9D9E3"/>
                <w:right w:val="single" w:sz="2" w:space="0" w:color="D9D9E3"/>
              </w:divBdr>
              <w:divsChild>
                <w:div w:id="1878425296">
                  <w:marLeft w:val="0"/>
                  <w:marRight w:val="0"/>
                  <w:marTop w:val="0"/>
                  <w:marBottom w:val="0"/>
                  <w:divBdr>
                    <w:top w:val="single" w:sz="2" w:space="0" w:color="D9D9E3"/>
                    <w:left w:val="single" w:sz="2" w:space="0" w:color="D9D9E3"/>
                    <w:bottom w:val="single" w:sz="2" w:space="0" w:color="D9D9E3"/>
                    <w:right w:val="single" w:sz="2" w:space="0" w:color="D9D9E3"/>
                  </w:divBdr>
                  <w:divsChild>
                    <w:div w:id="2062094263">
                      <w:marLeft w:val="0"/>
                      <w:marRight w:val="0"/>
                      <w:marTop w:val="0"/>
                      <w:marBottom w:val="0"/>
                      <w:divBdr>
                        <w:top w:val="single" w:sz="2" w:space="0" w:color="D9D9E3"/>
                        <w:left w:val="single" w:sz="2" w:space="0" w:color="D9D9E3"/>
                        <w:bottom w:val="single" w:sz="2" w:space="0" w:color="D9D9E3"/>
                        <w:right w:val="single" w:sz="2" w:space="0" w:color="D9D9E3"/>
                      </w:divBdr>
                      <w:divsChild>
                        <w:div w:id="804587053">
                          <w:marLeft w:val="0"/>
                          <w:marRight w:val="0"/>
                          <w:marTop w:val="0"/>
                          <w:marBottom w:val="0"/>
                          <w:divBdr>
                            <w:top w:val="single" w:sz="2" w:space="0" w:color="D9D9E3"/>
                            <w:left w:val="single" w:sz="2" w:space="0" w:color="D9D9E3"/>
                            <w:bottom w:val="single" w:sz="2" w:space="0" w:color="D9D9E3"/>
                            <w:right w:val="single" w:sz="2" w:space="0" w:color="D9D9E3"/>
                          </w:divBdr>
                          <w:divsChild>
                            <w:div w:id="16554032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20523223">
      <w:bodyDiv w:val="1"/>
      <w:marLeft w:val="0"/>
      <w:marRight w:val="0"/>
      <w:marTop w:val="0"/>
      <w:marBottom w:val="0"/>
      <w:divBdr>
        <w:top w:val="none" w:sz="0" w:space="0" w:color="auto"/>
        <w:left w:val="none" w:sz="0" w:space="0" w:color="auto"/>
        <w:bottom w:val="none" w:sz="0" w:space="0" w:color="auto"/>
        <w:right w:val="none" w:sz="0" w:space="0" w:color="auto"/>
      </w:divBdr>
    </w:div>
    <w:div w:id="1349789176">
      <w:bodyDiv w:val="1"/>
      <w:marLeft w:val="0"/>
      <w:marRight w:val="0"/>
      <w:marTop w:val="0"/>
      <w:marBottom w:val="0"/>
      <w:divBdr>
        <w:top w:val="none" w:sz="0" w:space="0" w:color="auto"/>
        <w:left w:val="none" w:sz="0" w:space="0" w:color="auto"/>
        <w:bottom w:val="none" w:sz="0" w:space="0" w:color="auto"/>
        <w:right w:val="none" w:sz="0" w:space="0" w:color="auto"/>
      </w:divBdr>
      <w:divsChild>
        <w:div w:id="978415723">
          <w:marLeft w:val="0"/>
          <w:marRight w:val="0"/>
          <w:marTop w:val="0"/>
          <w:marBottom w:val="0"/>
          <w:divBdr>
            <w:top w:val="single" w:sz="2" w:space="0" w:color="auto"/>
            <w:left w:val="single" w:sz="2" w:space="0" w:color="auto"/>
            <w:bottom w:val="single" w:sz="6" w:space="0" w:color="auto"/>
            <w:right w:val="single" w:sz="2" w:space="0" w:color="auto"/>
          </w:divBdr>
          <w:divsChild>
            <w:div w:id="2009598378">
              <w:marLeft w:val="0"/>
              <w:marRight w:val="0"/>
              <w:marTop w:val="100"/>
              <w:marBottom w:val="100"/>
              <w:divBdr>
                <w:top w:val="single" w:sz="2" w:space="0" w:color="D9D9E3"/>
                <w:left w:val="single" w:sz="2" w:space="0" w:color="D9D9E3"/>
                <w:bottom w:val="single" w:sz="2" w:space="0" w:color="D9D9E3"/>
                <w:right w:val="single" w:sz="2" w:space="0" w:color="D9D9E3"/>
              </w:divBdr>
              <w:divsChild>
                <w:div w:id="1548447368">
                  <w:marLeft w:val="0"/>
                  <w:marRight w:val="0"/>
                  <w:marTop w:val="0"/>
                  <w:marBottom w:val="0"/>
                  <w:divBdr>
                    <w:top w:val="single" w:sz="2" w:space="0" w:color="D9D9E3"/>
                    <w:left w:val="single" w:sz="2" w:space="0" w:color="D9D9E3"/>
                    <w:bottom w:val="single" w:sz="2" w:space="0" w:color="D9D9E3"/>
                    <w:right w:val="single" w:sz="2" w:space="0" w:color="D9D9E3"/>
                  </w:divBdr>
                  <w:divsChild>
                    <w:div w:id="1848055365">
                      <w:marLeft w:val="0"/>
                      <w:marRight w:val="0"/>
                      <w:marTop w:val="0"/>
                      <w:marBottom w:val="0"/>
                      <w:divBdr>
                        <w:top w:val="single" w:sz="2" w:space="0" w:color="D9D9E3"/>
                        <w:left w:val="single" w:sz="2" w:space="0" w:color="D9D9E3"/>
                        <w:bottom w:val="single" w:sz="2" w:space="0" w:color="D9D9E3"/>
                        <w:right w:val="single" w:sz="2" w:space="0" w:color="D9D9E3"/>
                      </w:divBdr>
                      <w:divsChild>
                        <w:div w:id="20767372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30589512">
      <w:bodyDiv w:val="1"/>
      <w:marLeft w:val="0"/>
      <w:marRight w:val="0"/>
      <w:marTop w:val="0"/>
      <w:marBottom w:val="0"/>
      <w:divBdr>
        <w:top w:val="none" w:sz="0" w:space="0" w:color="auto"/>
        <w:left w:val="none" w:sz="0" w:space="0" w:color="auto"/>
        <w:bottom w:val="none" w:sz="0" w:space="0" w:color="auto"/>
        <w:right w:val="none" w:sz="0" w:space="0" w:color="auto"/>
      </w:divBdr>
    </w:div>
    <w:div w:id="1517768339">
      <w:bodyDiv w:val="1"/>
      <w:marLeft w:val="0"/>
      <w:marRight w:val="0"/>
      <w:marTop w:val="0"/>
      <w:marBottom w:val="0"/>
      <w:divBdr>
        <w:top w:val="none" w:sz="0" w:space="0" w:color="auto"/>
        <w:left w:val="none" w:sz="0" w:space="0" w:color="auto"/>
        <w:bottom w:val="none" w:sz="0" w:space="0" w:color="auto"/>
        <w:right w:val="none" w:sz="0" w:space="0" w:color="auto"/>
      </w:divBdr>
      <w:divsChild>
        <w:div w:id="19939261">
          <w:marLeft w:val="0"/>
          <w:marRight w:val="0"/>
          <w:marTop w:val="0"/>
          <w:marBottom w:val="0"/>
          <w:divBdr>
            <w:top w:val="single" w:sz="2" w:space="0" w:color="auto"/>
            <w:left w:val="single" w:sz="2" w:space="0" w:color="auto"/>
            <w:bottom w:val="single" w:sz="6" w:space="0" w:color="auto"/>
            <w:right w:val="single" w:sz="2" w:space="0" w:color="auto"/>
          </w:divBdr>
          <w:divsChild>
            <w:div w:id="1032074324">
              <w:marLeft w:val="0"/>
              <w:marRight w:val="0"/>
              <w:marTop w:val="100"/>
              <w:marBottom w:val="100"/>
              <w:divBdr>
                <w:top w:val="single" w:sz="2" w:space="0" w:color="D9D9E3"/>
                <w:left w:val="single" w:sz="2" w:space="0" w:color="D9D9E3"/>
                <w:bottom w:val="single" w:sz="2" w:space="0" w:color="D9D9E3"/>
                <w:right w:val="single" w:sz="2" w:space="0" w:color="D9D9E3"/>
              </w:divBdr>
              <w:divsChild>
                <w:div w:id="1188445370">
                  <w:marLeft w:val="0"/>
                  <w:marRight w:val="0"/>
                  <w:marTop w:val="0"/>
                  <w:marBottom w:val="0"/>
                  <w:divBdr>
                    <w:top w:val="single" w:sz="2" w:space="0" w:color="D9D9E3"/>
                    <w:left w:val="single" w:sz="2" w:space="0" w:color="D9D9E3"/>
                    <w:bottom w:val="single" w:sz="2" w:space="0" w:color="D9D9E3"/>
                    <w:right w:val="single" w:sz="2" w:space="0" w:color="D9D9E3"/>
                  </w:divBdr>
                  <w:divsChild>
                    <w:div w:id="148984025">
                      <w:marLeft w:val="0"/>
                      <w:marRight w:val="0"/>
                      <w:marTop w:val="0"/>
                      <w:marBottom w:val="0"/>
                      <w:divBdr>
                        <w:top w:val="single" w:sz="2" w:space="0" w:color="D9D9E3"/>
                        <w:left w:val="single" w:sz="2" w:space="0" w:color="D9D9E3"/>
                        <w:bottom w:val="single" w:sz="2" w:space="0" w:color="D9D9E3"/>
                        <w:right w:val="single" w:sz="2" w:space="0" w:color="D9D9E3"/>
                      </w:divBdr>
                      <w:divsChild>
                        <w:div w:id="2054192474">
                          <w:marLeft w:val="0"/>
                          <w:marRight w:val="0"/>
                          <w:marTop w:val="0"/>
                          <w:marBottom w:val="0"/>
                          <w:divBdr>
                            <w:top w:val="single" w:sz="2" w:space="0" w:color="D9D9E3"/>
                            <w:left w:val="single" w:sz="2" w:space="0" w:color="D9D9E3"/>
                            <w:bottom w:val="single" w:sz="2" w:space="0" w:color="D9D9E3"/>
                            <w:right w:val="single" w:sz="2" w:space="0" w:color="D9D9E3"/>
                          </w:divBdr>
                          <w:divsChild>
                            <w:div w:id="9125489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06559683">
      <w:bodyDiv w:val="1"/>
      <w:marLeft w:val="0"/>
      <w:marRight w:val="0"/>
      <w:marTop w:val="0"/>
      <w:marBottom w:val="0"/>
      <w:divBdr>
        <w:top w:val="none" w:sz="0" w:space="0" w:color="auto"/>
        <w:left w:val="none" w:sz="0" w:space="0" w:color="auto"/>
        <w:bottom w:val="none" w:sz="0" w:space="0" w:color="auto"/>
        <w:right w:val="none" w:sz="0" w:space="0" w:color="auto"/>
      </w:divBdr>
      <w:divsChild>
        <w:div w:id="203445065">
          <w:marLeft w:val="0"/>
          <w:marRight w:val="0"/>
          <w:marTop w:val="0"/>
          <w:marBottom w:val="0"/>
          <w:divBdr>
            <w:top w:val="single" w:sz="2" w:space="0" w:color="auto"/>
            <w:left w:val="single" w:sz="2" w:space="0" w:color="auto"/>
            <w:bottom w:val="single" w:sz="6" w:space="0" w:color="auto"/>
            <w:right w:val="single" w:sz="2" w:space="0" w:color="auto"/>
          </w:divBdr>
          <w:divsChild>
            <w:div w:id="1260480620">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884753">
                  <w:marLeft w:val="0"/>
                  <w:marRight w:val="0"/>
                  <w:marTop w:val="0"/>
                  <w:marBottom w:val="0"/>
                  <w:divBdr>
                    <w:top w:val="single" w:sz="2" w:space="0" w:color="D9D9E3"/>
                    <w:left w:val="single" w:sz="2" w:space="0" w:color="D9D9E3"/>
                    <w:bottom w:val="single" w:sz="2" w:space="0" w:color="D9D9E3"/>
                    <w:right w:val="single" w:sz="2" w:space="0" w:color="D9D9E3"/>
                  </w:divBdr>
                  <w:divsChild>
                    <w:div w:id="1729718933">
                      <w:marLeft w:val="0"/>
                      <w:marRight w:val="0"/>
                      <w:marTop w:val="0"/>
                      <w:marBottom w:val="0"/>
                      <w:divBdr>
                        <w:top w:val="single" w:sz="2" w:space="0" w:color="D9D9E3"/>
                        <w:left w:val="single" w:sz="2" w:space="0" w:color="D9D9E3"/>
                        <w:bottom w:val="single" w:sz="2" w:space="0" w:color="D9D9E3"/>
                        <w:right w:val="single" w:sz="2" w:space="0" w:color="D9D9E3"/>
                      </w:divBdr>
                      <w:divsChild>
                        <w:div w:id="1843082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1195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ettings" Target="settings.xml"/><Relationship Id="rId7" Type="http://schemas.openxmlformats.org/officeDocument/2006/relationships/hyperlink" Target="mailto:ttavor0@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3522</TotalTime>
  <Pages>24</Pages>
  <Words>7052</Words>
  <Characters>35263</Characters>
  <Application>Microsoft Office Word</Application>
  <DocSecurity>0</DocSecurity>
  <Lines>293</Lines>
  <Paragraphs>84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Tchai Tavor</dc:creator>
  <cp:keywords/>
  <dc:description/>
  <cp:lastModifiedBy>Tchai Tavor</cp:lastModifiedBy>
  <cp:revision>126</cp:revision>
  <cp:lastPrinted>2023-05-07T05:34:00Z</cp:lastPrinted>
  <dcterms:created xsi:type="dcterms:W3CDTF">2023-05-03T06:31:00Z</dcterms:created>
  <dcterms:modified xsi:type="dcterms:W3CDTF">2023-05-17T04:35:00Z</dcterms:modified>
</cp:coreProperties>
</file>