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7D9C" w14:textId="2021B367" w:rsidR="00311680" w:rsidRPr="00EE5553" w:rsidRDefault="00FA7D6E" w:rsidP="00FA7D6E">
      <w:pPr>
        <w:jc w:val="both"/>
        <w:rPr>
          <w:b/>
          <w:bCs/>
          <w:sz w:val="24"/>
          <w:szCs w:val="24"/>
          <w:rtl/>
        </w:rPr>
      </w:pPr>
      <w:r w:rsidRPr="00EE5553">
        <w:rPr>
          <w:rFonts w:hint="cs"/>
          <w:b/>
          <w:bCs/>
          <w:sz w:val="24"/>
          <w:szCs w:val="24"/>
          <w:rtl/>
        </w:rPr>
        <w:t>תקציר</w:t>
      </w:r>
    </w:p>
    <w:p w14:paraId="4B7A3791" w14:textId="0569405B" w:rsidR="00FA7D6E" w:rsidRDefault="00FA7D6E" w:rsidP="00FA7D6E">
      <w:pPr>
        <w:jc w:val="both"/>
        <w:rPr>
          <w:sz w:val="24"/>
          <w:szCs w:val="24"/>
          <w:rtl/>
        </w:rPr>
      </w:pPr>
      <w:r w:rsidRPr="00FA7D6E">
        <w:rPr>
          <w:rFonts w:cs="Arial"/>
          <w:sz w:val="24"/>
          <w:szCs w:val="24"/>
          <w:rtl/>
        </w:rPr>
        <w:t>סיפור הבריאה היהודי-נוצרי יבחן במאמר זה בשלושה מעגלים: האחד, ברעיון הפילוג בין האל ובין העולם, השני, על אודות ה</w:t>
      </w:r>
      <w:r w:rsidRPr="00FA7D6E">
        <w:rPr>
          <w:rFonts w:cs="Arial" w:hint="cs"/>
          <w:sz w:val="24"/>
          <w:szCs w:val="24"/>
          <w:rtl/>
        </w:rPr>
        <w:t>שותפות של ה</w:t>
      </w:r>
      <w:r w:rsidRPr="00FA7D6E">
        <w:rPr>
          <w:rFonts w:cs="Arial"/>
          <w:sz w:val="24"/>
          <w:szCs w:val="24"/>
          <w:rtl/>
        </w:rPr>
        <w:t>אדם בבריאה; והשלישי, על הבריאה כמדרג היררכי</w:t>
      </w:r>
      <w:r w:rsidRPr="00FA7D6E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מעגלים אלו </w:t>
      </w:r>
      <w:r>
        <w:rPr>
          <w:rFonts w:cs="Arial" w:hint="cs"/>
          <w:sz w:val="24"/>
          <w:szCs w:val="24"/>
          <w:rtl/>
        </w:rPr>
        <w:t>יבחנו בהקשר ל</w:t>
      </w:r>
      <w:r w:rsidRPr="00FA7D6E">
        <w:rPr>
          <w:rFonts w:cs="Arial"/>
          <w:sz w:val="24"/>
          <w:szCs w:val="24"/>
          <w:rtl/>
        </w:rPr>
        <w:t xml:space="preserve">יחסו המנוכר של האדם לטבע </w:t>
      </w:r>
      <w:r>
        <w:rPr>
          <w:rFonts w:cs="Arial" w:hint="cs"/>
          <w:sz w:val="24"/>
          <w:szCs w:val="24"/>
          <w:rtl/>
        </w:rPr>
        <w:t xml:space="preserve">שהינו </w:t>
      </w:r>
      <w:r w:rsidRPr="00FA7D6E">
        <w:rPr>
          <w:rFonts w:cs="Arial"/>
          <w:sz w:val="24"/>
          <w:szCs w:val="24"/>
          <w:rtl/>
        </w:rPr>
        <w:t xml:space="preserve">מושרש </w:t>
      </w:r>
      <w:r>
        <w:rPr>
          <w:rFonts w:cs="Arial" w:hint="cs"/>
          <w:sz w:val="24"/>
          <w:szCs w:val="24"/>
          <w:rtl/>
        </w:rPr>
        <w:t xml:space="preserve">בתרבות המערב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 </w:t>
      </w:r>
      <w:r w:rsidRPr="00FA7D6E">
        <w:rPr>
          <w:rFonts w:cs="Arial"/>
          <w:sz w:val="24"/>
          <w:szCs w:val="24"/>
          <w:rtl/>
        </w:rPr>
        <w:t xml:space="preserve">כמבנה עומק שראשיתו דתי והמשכו חילוני. מבני עומק נשארים בתרבות גם לאחר שעברו תהליכי חילון על אף שמקורם נעוץ בדת.  </w:t>
      </w:r>
    </w:p>
    <w:p w14:paraId="10A0D112" w14:textId="0F8F1F64" w:rsidR="00FA7D6E" w:rsidRDefault="00FA7D6E" w:rsidP="00FA7D6E">
      <w:pPr>
        <w:jc w:val="both"/>
        <w:rPr>
          <w:rFonts w:cs="Arial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במאמר זה </w:t>
      </w:r>
      <w:r>
        <w:rPr>
          <w:rFonts w:cs="Arial" w:hint="cs"/>
          <w:sz w:val="24"/>
          <w:szCs w:val="24"/>
          <w:rtl/>
        </w:rPr>
        <w:t xml:space="preserve">נבחן את </w:t>
      </w:r>
      <w:r w:rsidRPr="00FA7D6E">
        <w:rPr>
          <w:rFonts w:cs="Arial"/>
          <w:sz w:val="24"/>
          <w:szCs w:val="24"/>
          <w:rtl/>
        </w:rPr>
        <w:t xml:space="preserve">שורשי היחס לטבע בסיפור הבריאה – כפי שהוא מופיע בטקסט המקראי ובהתייחס למסורת הנוצרית תוך נגיעה השוואתית </w:t>
      </w:r>
      <w:r>
        <w:rPr>
          <w:rFonts w:cs="Arial" w:hint="cs"/>
          <w:sz w:val="24"/>
          <w:szCs w:val="24"/>
          <w:rtl/>
        </w:rPr>
        <w:t>ל</w:t>
      </w:r>
      <w:r w:rsidRPr="00FA7D6E">
        <w:rPr>
          <w:rFonts w:cs="Arial"/>
          <w:sz w:val="24"/>
          <w:szCs w:val="24"/>
          <w:rtl/>
        </w:rPr>
        <w:t>מורשת הקלאסית.</w:t>
      </w:r>
      <w:r w:rsidRPr="00FA7D6E">
        <w:rPr>
          <w:rtl/>
        </w:rPr>
        <w:t xml:space="preserve"> </w:t>
      </w:r>
      <w:r w:rsidRPr="00FA7D6E">
        <w:rPr>
          <w:rFonts w:cs="Arial"/>
          <w:sz w:val="24"/>
          <w:szCs w:val="24"/>
          <w:rtl/>
        </w:rPr>
        <w:t xml:space="preserve">הנצרות, כדת היסטורית, מייחסת חשיבות מכרעת להתערבותו של האל בהיסטוריה: החל בבריאת העולם, עבור דרך ההתגלות ליחידים וכלה בגאולה לעתיד. הנצרות </w:t>
      </w:r>
      <w:proofErr w:type="spellStart"/>
      <w:r w:rsidRPr="00FA7D6E">
        <w:rPr>
          <w:rFonts w:cs="Arial"/>
          <w:sz w:val="24"/>
          <w:szCs w:val="24"/>
          <w:rtl/>
        </w:rPr>
        <w:t>הפאולינית</w:t>
      </w:r>
      <w:proofErr w:type="spellEnd"/>
      <w:r w:rsidRPr="00FA7D6E">
        <w:rPr>
          <w:rFonts w:cs="Arial"/>
          <w:sz w:val="24"/>
          <w:szCs w:val="24"/>
          <w:rtl/>
        </w:rPr>
        <w:t>, טרום אמונת השילוש הקדוש, מציגה את האמונה באל אחד בורא עולם, כנפרד מהטבע ואדון הטבע</w:t>
      </w:r>
      <w:r>
        <w:rPr>
          <w:rFonts w:hint="cs"/>
          <w:sz w:val="24"/>
          <w:szCs w:val="24"/>
          <w:rtl/>
        </w:rPr>
        <w:t>.</w:t>
      </w:r>
      <w:r w:rsidRPr="00FA7D6E">
        <w:rPr>
          <w:rtl/>
        </w:rPr>
        <w:t xml:space="preserve"> </w:t>
      </w:r>
      <w:r w:rsidRPr="00FA7D6E">
        <w:rPr>
          <w:rFonts w:cs="Arial"/>
          <w:sz w:val="24"/>
          <w:szCs w:val="24"/>
          <w:rtl/>
        </w:rPr>
        <w:t>במחשבת יוון, העולם לא נברא בידי כוח חיצוני. האלים לא בראו אותו, אלא נוצרו במהלך התפתחותו ואף הם כפופים לסדריו.</w:t>
      </w:r>
    </w:p>
    <w:p w14:paraId="58271727" w14:textId="658ECCC0" w:rsidR="00FA7D6E" w:rsidRDefault="00FA7D6E" w:rsidP="00FA7D6E">
      <w:pPr>
        <w:jc w:val="both"/>
        <w:rPr>
          <w:sz w:val="24"/>
          <w:szCs w:val="24"/>
          <w:rtl/>
        </w:rPr>
      </w:pPr>
      <w:r w:rsidRPr="00FA7D6E">
        <w:rPr>
          <w:rFonts w:cs="Arial"/>
          <w:sz w:val="24"/>
          <w:szCs w:val="24"/>
          <w:rtl/>
        </w:rPr>
        <w:t>התרבות המערבית, המבוססת על המסורת היהודית-נוצרית, מקדשת את האמונה שהעולם נברא למען המין האנושי.</w:t>
      </w:r>
      <w:r>
        <w:rPr>
          <w:rFonts w:hint="cs"/>
          <w:sz w:val="24"/>
          <w:szCs w:val="24"/>
          <w:rtl/>
        </w:rPr>
        <w:t xml:space="preserve"> זאת ועוד, </w:t>
      </w:r>
      <w:r w:rsidRPr="00FA7D6E">
        <w:rPr>
          <w:rFonts w:cs="Arial"/>
          <w:sz w:val="24"/>
          <w:szCs w:val="24"/>
          <w:rtl/>
        </w:rPr>
        <w:t>היסוד המקראי מציג היררכיה קיימת ובולטת בתחומים רבים של הבריאה.</w:t>
      </w:r>
      <w:r w:rsidRPr="00FA7D6E">
        <w:rPr>
          <w:rtl/>
        </w:rPr>
        <w:t xml:space="preserve"> </w:t>
      </w:r>
      <w:r w:rsidRPr="00FA7D6E">
        <w:rPr>
          <w:rFonts w:cs="Arial"/>
          <w:sz w:val="24"/>
          <w:szCs w:val="24"/>
          <w:rtl/>
        </w:rPr>
        <w:t>הנצרות אימצה את הקוסמולוגיה המקראית ועמה את הדרוג ההיררכי בין האל, בני האדם ושאר היצורים.</w:t>
      </w:r>
      <w:r>
        <w:rPr>
          <w:rFonts w:hint="cs"/>
          <w:sz w:val="24"/>
          <w:szCs w:val="24"/>
          <w:rtl/>
        </w:rPr>
        <w:t xml:space="preserve"> יחס זה </w:t>
      </w:r>
      <w:r w:rsidR="00EC0965">
        <w:rPr>
          <w:rFonts w:hint="cs"/>
          <w:sz w:val="24"/>
          <w:szCs w:val="24"/>
          <w:rtl/>
        </w:rPr>
        <w:t xml:space="preserve">של האדם </w:t>
      </w:r>
      <w:r>
        <w:rPr>
          <w:rFonts w:hint="cs"/>
          <w:sz w:val="24"/>
          <w:szCs w:val="24"/>
          <w:rtl/>
        </w:rPr>
        <w:t>לשאר הברואים מהווה</w:t>
      </w:r>
      <w:r w:rsidR="00EC0965">
        <w:rPr>
          <w:rFonts w:hint="cs"/>
          <w:sz w:val="24"/>
          <w:szCs w:val="24"/>
          <w:rtl/>
        </w:rPr>
        <w:t xml:space="preserve"> בסיס תרבותי לאי-קיימות בין האדם לטבע.</w:t>
      </w:r>
    </w:p>
    <w:p w14:paraId="0748427E" w14:textId="4647622B" w:rsidR="00EC0965" w:rsidRPr="00FA7D6E" w:rsidRDefault="00EC0965" w:rsidP="00FA7D6E">
      <w:pPr>
        <w:jc w:val="both"/>
        <w:rPr>
          <w:sz w:val="24"/>
          <w:szCs w:val="24"/>
          <w:rtl/>
        </w:rPr>
      </w:pPr>
      <w:r w:rsidRPr="00EE5553">
        <w:rPr>
          <w:rFonts w:hint="cs"/>
          <w:b/>
          <w:bCs/>
          <w:sz w:val="24"/>
          <w:szCs w:val="24"/>
          <w:rtl/>
        </w:rPr>
        <w:t>מילות מפתח</w:t>
      </w:r>
      <w:r>
        <w:rPr>
          <w:rFonts w:hint="cs"/>
          <w:sz w:val="24"/>
          <w:szCs w:val="24"/>
          <w:rtl/>
        </w:rPr>
        <w:t xml:space="preserve">: נרטיב יהודי-נוצרי, אי-קיימות, סיפור הבריאה, היררכיה בבריאה. </w:t>
      </w:r>
    </w:p>
    <w:p w14:paraId="03867826" w14:textId="04814827" w:rsidR="00FA7D6E" w:rsidRPr="00FA7D6E" w:rsidRDefault="00FA7D6E" w:rsidP="00FA7D6E">
      <w:pPr>
        <w:jc w:val="both"/>
        <w:rPr>
          <w:sz w:val="24"/>
          <w:szCs w:val="24"/>
        </w:rPr>
      </w:pPr>
    </w:p>
    <w:sectPr w:rsidR="00FA7D6E" w:rsidRPr="00FA7D6E" w:rsidSect="00EF0B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6E"/>
    <w:rsid w:val="00311680"/>
    <w:rsid w:val="00683B73"/>
    <w:rsid w:val="00EC0965"/>
    <w:rsid w:val="00EE5553"/>
    <w:rsid w:val="00EF0B4F"/>
    <w:rsid w:val="00FA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65973"/>
  <w15:chartTrackingRefBased/>
  <w15:docId w15:val="{9DEAB579-9AB8-48E8-8E1C-2AA16917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Nir</dc:creator>
  <cp:keywords/>
  <dc:description/>
  <cp:lastModifiedBy>Bina Nir</cp:lastModifiedBy>
  <cp:revision>2</cp:revision>
  <dcterms:created xsi:type="dcterms:W3CDTF">2023-06-13T15:13:00Z</dcterms:created>
  <dcterms:modified xsi:type="dcterms:W3CDTF">2023-06-13T15:26:00Z</dcterms:modified>
</cp:coreProperties>
</file>