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rPr>
          <w:lang w:val="en-GB"/>
        </w:rPr>
      </w:pPr>
      <w:r w:rsidRPr="000F1307">
        <w:rPr>
          <w:lang w:val="en-GB"/>
        </w:rPr>
        <w:t xml:space="preserve">Referat </w:t>
      </w:r>
      <w:r w:rsidRPr="000F1307" w:rsidR="000F1307">
        <w:rPr>
          <w:lang w:val="en-GB"/>
        </w:rPr>
        <w:t xml:space="preserve">5</w:t>
      </w:r>
    </w:p>
    <w:p>
      <w:pPr>
        <w:pStyle w:val="Heading1"/>
        <w:rPr>
          <w:lang w:val="en-GB"/>
        </w:rPr>
      </w:pPr>
      <w:r w:rsidRPr="000F1307">
        <w:rPr>
          <w:lang w:val="en-GB"/>
        </w:rPr>
        <w:t xml:space="preserve">Statistische Entscheidungstheorie</w:t>
      </w:r>
    </w:p>
    <w:p w:rsidRPr="000F1307" w:rsidR="00467ADD" w:rsidP="00467ADD" w:rsidRDefault="00467ADD" w14:paraId="1359C7AC" w14:textId="77777777">
      <w:pPr>
        <w:autoSpaceDE w:val="0"/>
        <w:autoSpaceDN w:val="0"/>
        <w:adjustRightInd w:val="0"/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</w:pPr>
      <w:r w:rsidRPr="000F1307"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  <w:t xml:space="preserve">STUDIENZIELE</w:t>
      </w:r>
    </w:p>
    <w:p>
      <w:pPr>
        <w:autoSpaceDE w:val="0"/>
        <w:autoSpaceDN w:val="0"/>
        <w:adjustRightInd w:val="0"/>
        <w:rPr>
          <w:rFonts w:ascii="`~|" w:hAnsi="`~|" w:cs="`~|"/>
          <w:color w:val="000000"/>
          <w:kern w:val="0"/>
          <w:sz w:val="20"/>
          <w:szCs w:val="20"/>
          <w:lang w:val="en-GB"/>
        </w:rPr>
      </w:pPr>
      <w:r w:rsidRPr="000F1307">
        <w:rPr>
          <w:rFonts w:ascii="`~|" w:hAnsi="`~|" w:cs="`~|"/>
          <w:color w:val="000000"/>
          <w:kern w:val="0"/>
          <w:sz w:val="20"/>
          <w:szCs w:val="20"/>
          <w:lang w:val="en-GB"/>
        </w:rPr>
        <w:t xml:space="preserve">Nach Abschluss dieser Einheit werden Sie gelernt haben...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- die grundlegenden Elemente der statistischen Entscheidungstheorie einschließlich Verlustfunktion, Entscheidungsfunktion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und Risikofunktion.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die Definitionen von Minimax-Risiko, Bayes-Risiko, Minimax-Entscheidungsfunktionen und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Bayes-Entscheidungsfunktionen.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die Definition der Zulässigkeit einer Entscheidungsfunktion.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über das Steinsche Paradoxon zusammen mit einer Veranschaulichung anhand des James-Stein-Schätzers für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mehrfache Mittelwerte.</w:t>
      </w:r>
    </w:p>
    <w:p>
      <w:pPr>
        <w:pStyle w:val="Heading1"/>
        <w:rPr>
          <w:lang w:val="en-GB"/>
        </w:rPr>
      </w:pPr>
      <w:r w:rsidRPr="000F1307">
        <w:rPr>
          <w:lang w:val="en-GB"/>
        </w:rPr>
        <w:t xml:space="preserve">5</w:t>
      </w:r>
      <w:r w:rsidRPr="000F1307" w:rsidR="00467ADD">
        <w:rPr>
          <w:lang w:val="en-GB"/>
        </w:rPr>
        <w:t xml:space="preserve">. </w:t>
      </w:r>
      <w:r w:rsidRPr="000F1307">
        <w:rPr>
          <w:lang w:val="en-GB"/>
        </w:rPr>
        <w:t xml:space="preserve">Statistische Entscheidungstheorie</w:t>
      </w:r>
    </w:p>
    <w:p>
      <w:pPr>
        <w:pStyle w:val="Heading3"/>
        <w:rPr>
          <w:lang w:val="en-GB"/>
        </w:rPr>
      </w:pPr>
      <w:r w:rsidRPr="000F1307">
        <w:rPr>
          <w:lang w:val="en-GB"/>
        </w:rPr>
        <w:t xml:space="preserve">Einführung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möchten einen Spam-Filter entwickeln, der eingehende E-Mails automatisch als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"Spam" oder "kein Spam"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klassifiziert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Wenn dieser Filter einen Fehler macht, entsteht dem Benutzer ein Verlust (verschwendete Zeit).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der Filter eine Spam-E-Mail durchlässt,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Benutzer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Zeit aufwenden, um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E-Mail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 löschen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(eine Sekunde). Wenn der Filter eine Nicht-Spam-E-Mail blockiert,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Benutzer 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Spam-Ordner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durchsuchen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um die "gute" E-Mail zu finden, und verliert viel Zeit (100 Sekunden). Auf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statistische Entscheidungstheorie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angewandt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wird der Spam-Filter als Entscheidungsfunktion bezeichnet, die versucht,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den wahren Zustand (Spam oder nicht Spam) einer zuvor nicht gesehenen (zufälligen) Beobachtung (einer E-Mail) zu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erraten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 dieser Lektion werden wir lernen, wie man die Qualität solcher Entscheidungsfunktionen misst.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 Abschnitt 1 werden die grundlegenden Elemente der statistischen Entscheidungstheorie einschließlich der Entscheidungs-,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Verlust- und Risikofunktionen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vorgestellt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werden sehen, wie diese Elemente verwendet werden können, um Fragen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darüber zu stellen, wie gut unsere Entscheidungsfunktion (Schätzer) funktioniert. In Abschnitt 5.2 betrachten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einige Möglichkeiten zur Definition einer optimalen Entscheidungsfunktion für einen Zielparameter von Interesse.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Insbesondere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das Mini-Max-Risiko zusammen mit der zugehörigen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Mini-Max-Entscheidungsfunktion (Schätzer). Wir definieren und diskutieren auch eine Bayes'sche Behandlung, bei der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Bayes-Risiko und die entsprechende Bayes-Entscheidungsfunktion (Bayes-Schätzer)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definieren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dieses Bayes-Risiko minimiert. Schließlich wird in Abschnitt 5.3 ein wichtiges Konzept, die Zulässigkeit, besprochen,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eine wünschenswerte Eigenschaft einer Entscheidungsfunktion ist. Entgegen der Intuition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werden wir sehen, dass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wenn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drei oder mehr unabhängige Zielparameter gleichzeitig schätzen wollen,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"gewöhnlich beste" Schätzer für jeden Parameter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die beste Option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Dieses eher paradoxe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Ergebnis wird als Steinsches Paradoxon bezeichnet. Abschnitt 5.3 endet mit dem James-Stein-Schätzer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(Entscheidungsfunktion) für die Schätzung von drei oder mehr Mittelwerten einer unabhängigen Gauß-Verteilung.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Ergebnis mag Sie überraschen.</w:t>
      </w:r>
    </w:p>
    <w:p w:rsidRPr="000F1307" w:rsidR="00EA6D5B" w:rsidP="00EA6D5B" w:rsidRDefault="00EA6D5B" w14:paraId="436F1707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pStyle w:val="Heading2"/>
        <w:rPr>
          <w:lang w:val="en-GB"/>
        </w:rPr>
      </w:pPr>
      <w:r w:rsidRPr="000F1307">
        <w:rPr>
          <w:lang w:val="en-GB"/>
        </w:rPr>
        <w:t xml:space="preserve">5</w:t>
      </w:r>
      <w:r w:rsidRPr="000F1307" w:rsidR="006F07F3">
        <w:rPr>
          <w:lang w:val="en-GB"/>
        </w:rPr>
        <w:t xml:space="preserve">.1 </w:t>
      </w:r>
      <w:r w:rsidRPr="000F1307">
        <w:rPr>
          <w:lang w:val="en-GB"/>
        </w:rPr>
        <w:t xml:space="preserve">Die Risikofunktion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das Problem der Feststellung, ob es sich bei einer E-Mail um Spam handelt. Wir wollen dies tun, indem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Entscheidung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auf der Grundlage einer Beobachtung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treffen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In diesem Fall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enthält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Informationen über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E-Mail, wie den Absender, die Betreffzeile oder den Text. Der Zustand der E-Mail ist die wahre Klassifizierung,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wir in der Variablen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kodieren können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Wir wählen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um "Spam" anzuzeigen und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1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um "gut" anzuzeigen. Unsere Aufgabe ist es, eine Entscheidungsfunktion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zu finden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einer gegebenen E-Mail, die durch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repräsentiert wird,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Null ("Spam") oder 1 ("gut")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zuweist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Wenn wir glauben, dass die E-Mail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"Spam"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dann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ist δ x =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Eine korrekte Entscheidung entspricht dem (wahren) Zustand. Dies kann in zwei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Fällen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geschehen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1. Die E-Mail ist Spam, und die Entscheidungsfunktion sagt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δ x = 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voraus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2. Die E-Mail ist gut, und die Entscheidungsfunktion sagt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δ x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voraus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Auch bei einer falschen Entscheidung gibt es zwei Fälle: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1. Die E-Mail ist Spam, aber die Entscheidungsfunktion stuft sie als gut ein: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= y ≠ δ x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A20D820" wp14:anchorId="4699C81A">
                <wp:simplePos x="0" y="0"/>
                <wp:positionH relativeFrom="column">
                  <wp:posOffset>5020733</wp:posOffset>
                </wp:positionH>
                <wp:positionV relativeFrom="paragraph">
                  <wp:posOffset>-28363</wp:posOffset>
                </wp:positionV>
                <wp:extent cx="1303699" cy="1348966"/>
                <wp:effectExtent l="0" t="0" r="17145" b="10160"/>
                <wp:wrapSquare wrapText="bothSides"/>
                <wp:docPr id="85645862" name="Text Box 8564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99" cy="134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Verlustfunktion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 Funktion misst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Qualität einer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gegen den wahren Zustand. Es ist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eine nicht-negative Funktion.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Da sie auf einer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zufälligen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Beobachtung beruht,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ist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Verlustfunktion eine Zufallsvariable.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99C81A">
                <v:stroke joinstyle="miter"/>
                <v:path gradientshapeok="t" o:connecttype="rect"/>
              </v:shapetype>
              <v:shape id="Text Box 85645862" style="position:absolute;margin-left:395.35pt;margin-top:-2.25pt;width:102.65pt;height:106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cDNOQIAAH0EAAAOAAAAZHJzL2Uyb0RvYy54bWysVE1v2zAMvQ/YfxB0X+x8NGuMOEWWIsOA&#13;&#10;oi2QDj0rshQbk0VNUmJnv36U7Hy022nYRaZE6ol8fPT8rq0VOQjrKtA5HQ5SSoTmUFR6l9PvL+tP&#13;&#10;t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&#13;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Verlustfunktion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 Funktion misst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Qualität einer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gegen den wahren Zustand. Es ist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eine nicht-negative Funktion.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Da sie auf einer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zufälligen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Beobachtung beruht,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ist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Verlustfunktion eine Zufallsvariable.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2. Die E-Mail ist gut, aber die Entscheidungsfunktion stuft sie als Spam ein: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= y ≠ δ x = 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Sobald wir eine Entscheidungsfunktion haben, wollen wir bewerten, wie gut sie funktioniert. Zu diesem Zweck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wollen wir jedem Paar y,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das den wahren Zustand und die Entscheidung enthält,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einen "Verlust" zuweisen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Werte des Paares übereinstimmen, haben wir keinen Verlust erlitten. Wenn die Werte des Paares nicht übereinstimmen,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haben wir eine falsche Entscheidung getroffen und erleiden einen (positiven) Verlust. Eine </w:t>
      </w:r>
      <w:r w:rsidRP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Verlustfunktion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nimmt ein solches Paar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gibt eine (nicht-negative) reelle Zahl zurück. Wenn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δ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ist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y, δ =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und wenn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≠ δ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y, δ &gt;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Im Beispiel der E-Mail-Klassifizierung ist eine gängige Verlustfunktion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Null-Eins-Verlust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(0-1)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der wie folgt definiert ist: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lastRenderedPageBreak/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 unserem Beispiel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können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sowohl der Zustand (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auch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Entscheidung (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) jeweils einen Wert von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(Spam) oder 1 (gut) annehmen. Die Null-Eins-Verlustfunktion kann für jedes mögliche Paar berechnet werden: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= L 1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= 0undL 0, 1 = L 1, 0 = 1</w:t>
      </w:r>
    </w:p>
    <w:p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lang w:val="en-GB"/>
        </w:rPr>
        <w:t xml:space="preserve">Manchmal ist es sinnvoll, diese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Werte in einer Verlustmatrix </w:t>
      </w:r>
      <w:r w:rsidRPr="00F25CC8">
        <w:rPr>
          <w:rFonts w:ascii="pli" w:hAnsi="pli" w:cs="pli"/>
          <w:kern w:val="0"/>
          <w:sz w:val="20"/>
          <w:szCs w:val="20"/>
          <w:lang w:val="en-GB"/>
        </w:rPr>
        <w:t xml:space="preserve">zusammenzufassen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 w:rsidRPr="000F1307" w:rsidR="000F1307" w:rsidP="00EA6D5B" w:rsidRDefault="000F1307" w14:paraId="38E824A4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27: Die Null-Eins-Verlustmatrix für die binäre Klassifizierung</w:t>
      </w:r>
    </w:p>
    <w:p w:rsidRPr="000F1307" w:rsidR="000F1307" w:rsidP="00EA6D5B" w:rsidRDefault="000F1307" w14:paraId="105FC5B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Verlustmatrix ist das analoge Objekt einer Konfusionsmatrix, die für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Klassifizierungsprobleme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verwendet wird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Jede Zelle dieser Matrix enthält den Wert des Verlustes, der durch den Wert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gewählten Entscheidungsfunktion (Zeilen) gegenüber dem wahren Zustand (Spalten)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entsteht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diese übereinstimmen,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Verlust gleich Null. Wenn sie nicht übereinstimmen, ist der Verlust positiv.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Bei dieser Verlustfunktion gehen wir davon aus, dass die Einstufung einer E-Mail als Spam, wenn sie gut ist,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genauso schlecht ist wie die Einstufung einer E-Mail als gut, wenn sie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tatsächlich Spam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 kann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wünschenswert sein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oder auch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nicht; vielleicht ist die Einstufung einer guten E-Mail als Spam teurer als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umgekehrte Fall. Vielleicht haben Sie eine E-Mail erwartet, die im Spam-Ordner landet, und Sie verbringen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mehr Zeit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Suche danach. Der umgekehrte Fall ist zwar ärgerlich, aber man kann die E-Mail auch einfach löschen, und es kostet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allzu viel Zeit. Um einen solchen unausgewogenen (gewichteten) Verlust zu modellieren, betrachten Sie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folgende Verlustfunktion, die der Klassifizierung einer guten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E-Mail als Spam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zehnmal mehr Gewicht zuweist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umgekehrt: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entsprechende Verlustmatrix ist gegeben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durch</w:t>
      </w:r>
    </w:p>
    <w:p w:rsidRPr="000F1307" w:rsidR="000F1307" w:rsidP="000F1307" w:rsidRDefault="000F1307" w14:paraId="17C9D03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28: Eine gewichtete Verlustmatrix für die binäre Klassifizierung</w:t>
      </w:r>
    </w:p>
    <w:p w:rsidRPr="000F1307" w:rsidR="000F1307" w:rsidP="000F1307" w:rsidRDefault="000F1307" w14:paraId="4CF6770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Erinnern Sie sich daran, dass in unserem Aufbau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E-Mail (Beobachtung) ist. Da wir unsere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 für jede beliebige eingehende E-Mail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erstellen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Realisierung eines Zufallsprozesses (Variable)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Diese Zufälligkeit macht die Entscheidungsfunktion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ebenfalls zufällig,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auch wenn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sie</w:t>
      </w:r>
      <w:r w:rsidR="009905CB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editId="2EFF019D" wp14:anchorId="3C4F81BC">
                <wp:simplePos x="0" y="0"/>
                <wp:positionH relativeFrom="column">
                  <wp:posOffset>5187636</wp:posOffset>
                </wp:positionH>
                <wp:positionV relativeFrom="paragraph">
                  <wp:posOffset>50240</wp:posOffset>
                </wp:positionV>
                <wp:extent cx="1249378" cy="769545"/>
                <wp:effectExtent l="0" t="0" r="8255" b="18415"/>
                <wp:wrapNone/>
                <wp:docPr id="1800295611" name="Text Box 1800295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378" cy="7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Risikofunktion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 ist der erwartete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Verlust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für eine gegebene Verlustfunktion</w:t>
                            </w:r>
                          </w:p>
                          <w:p xmlns:a="http://schemas.openxmlformats.org/drawingml/2006/main"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und eine bestimmte Entscheidungsfunktion.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800295611" style="position:absolute;margin-left:408.5pt;margin-top:3.95pt;width:98.4pt;height:60.6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" w14:anchorId="3C4F81BC">
                <v:textbox>
                  <w:txbxContent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Risikofunktion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 ist der erwartete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Verlust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für eine gegebene Verlustfunktion</w:t>
                      </w:r>
                    </w:p>
                    <w:p xmlns:w16du="http://schemas.microsoft.com/office/word/2023/wordml/word16du"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und eine bestimmte Entscheidungsfunktion.</w:t>
                      </w:r>
                    </w:p>
                  </w:txbxContent>
                </v:textbox>
              </v:shape>
            </w:pict>
          </mc:Fallback>
        </mc:AlternateConten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ein gewisses Muster haben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(sonst würden wir nur zufällig raten). Diese Zufälligkeit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wirkt sich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auch auf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Verlustfunktion aus. Wenn wir die Verlustfunktion explizit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y, δ X schreiben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wird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deutlich, dass es sich um eine Zufallsvariable handelt. Daher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können wir die Verlustfunktion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alle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Eingaben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bewerten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Daher können wir die "Güte" einer Entscheidungsfunktion quantifizieren, indem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den Erwartungswert der Verlustfunktion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analysieren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E L y, δ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Dieser Erwartungswert ist genau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Definition der </w:t>
      </w:r>
      <w:r w:rsidRPr="009905CB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Risikofunktion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Bei einer Verlustfunktion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einer Entscheidungsfunktion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einer Zufallsvariablen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deren Werte wir beobachten werden, ist die Risikofunktion gegeben durch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(Jiao et al., 2013)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 der Erwartungswert die Zufälligkeit von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absorbiert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ist die Risikofunktion eine deterministische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Funktion des Zustands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Wenn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diskrete Verteilung hat,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kontinuierliche Verteilung hat,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wobei f die Wahrscheinlichkeitsdichtefunktion (PDF) von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Um dieses (möglicherweise mehrdimensionale) Integral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müssen Sie sich nicht allzu sehr kümmern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werden uns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in dieser Einheit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mit der Bewertung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solcher Größen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beschäftigen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Stattdessen werden wir uns darauf konzentrieren, zu verstehen, wie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 definiert und quantifiziert wird und wie sie im nächsten Abschnitt optimiert werden kann. Zusammenfassend lässt sich sagen, dass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angesichts einer Verlustfunktion und der Verteilung der Beobachtungen, deren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Zustand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vorhersagen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wollen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Qualität unserer Entscheidungsfunktion durch die Risikofunktion quantifizieren.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werden nun ein vertrauteres Beispiel betrachten und untersuchen, wie die Schlüsselkonzepte in diesem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Abschnitt angewendet werden. Nehmen wir an, dass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einer Gaußverteilung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μ,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unbekanntem Mittelwert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Einheitsstandardabweichung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folgt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nehmen an, dass unsere Beobachtung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Form von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unabhängigen Beobachtungen aus dieser Verteilung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aus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...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iid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aus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μ,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(Wir erinnern uns, dass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iid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"unabhängig und identisch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verteilt"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steht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.) In diesem Fall ist der wahre Zustand der wahre Mittelwert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offensichtliche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Möglichkeit, diesen Mittelwert über eine Zufallsstichprobe zu schätzen, besteht darin, den Stichprobenmittelwert zu verwenden. Für die Beobachtung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schreiben wir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F25CC8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1nΣi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=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1nxi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und für die Stichprobe schreiben wir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F25CC8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1nΣi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=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1nXi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Worten, 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Option für die Entscheidungsfunktion ist der Stichprobenmittelwert.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x = 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eine bestimmte Beobachtung,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X = 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die Zufallsstichprobe. Eine Verlustfunktion, die sich an den gewöhnlichen kleinsten Quadraten orientiert, 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einfach die quadratische Differenz zwischen dem wahren Mittelwert und der Entscheidung: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μ, δ = μ - δ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wir den Verlust für eine bestimmte Beobachtung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Größe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μ, δ = μ - δ x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Zahl. Wenn wir jedoch den Verlust einer Zufallsstichprobe betrachten,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Menge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μ, δ = μ - δ X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Zufallsvariable.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erste Version ist recht einfach. Angenommen, wir beobachten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1, 3, 3, 2,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(hier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).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 ist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x = x =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+ 3 + 3 + 2 + 1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5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Wenn der wahre Zustand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dann ist der Verlust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5, 2 =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5 - 2 </w:t>
      </w:r>
      <w:r w:rsidRPr="00F25CC8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die Zufallsvariable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wollen wir die Zufälligkeit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anhand einer Simulation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untersuchen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legen den Stichprobenumfang auf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30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fest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nehmen an, dass der wahre Zustand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μ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erzeugen also 1000 zufällige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Beobachtungen (mit jeweils 30 Zahlen) aus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5,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Nächstes berechnen wir für jede Beobachtung die Entscheidung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nur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Stichprobenmittelwert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Zu diesem Zeitpunkt haben wir 1000 Stichprobenmittelwerte. Als Nächstes berechnen wir für jeden Stichprobenmittelwert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den Verlust, so wie wir es für die (kleine) Stichprobe am Anfang dieses Abschnitts getan haben.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 diesem Zeitpunkt haben wir 1000 Verlustwerte. Ein Histogramm dieser Verlustwerte ist in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folgenden Abbildung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dargestellt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Zusätzlich zeigen wir den mittleren Verlust der Stichprobe, eine Schätzung des Wertes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5,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einer roten vertikalen Linie.</w:t>
      </w:r>
    </w:p>
    <w:p w:rsidRPr="000F1307" w:rsidR="000F1307" w:rsidP="000F1307" w:rsidRDefault="000F1307" w14:paraId="37AD56D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45: Quadratischer Verlust für ein simuliertes Beispiel (Histogramm)</w:t>
      </w:r>
    </w:p>
    <w:p w:rsidRPr="000F1307" w:rsidR="000F1307" w:rsidP="000F1307" w:rsidRDefault="000F1307" w14:paraId="36CBF42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Wert </w:t>
      </w:r>
      <w:r w:rsidRPr="00145141">
        <w:rPr>
          <w:rFonts w:ascii="pli" w:hAnsi="pli" w:cs="pli"/>
          <w:kern w:val="0"/>
          <w:sz w:val="20"/>
          <w:szCs w:val="20"/>
          <w:lang w:val="en-GB"/>
        </w:rPr>
        <w:t xml:space="preserve">0 . </w:t>
      </w:r>
      <w:r w:rsidRPr="00145141">
        <w:rPr>
          <w:rFonts w:ascii="pli" w:hAnsi="pli" w:cs="pli"/>
          <w:kern w:val="0"/>
          <w:sz w:val="20"/>
          <w:szCs w:val="20"/>
          <w:lang w:val="en-GB"/>
        </w:rPr>
        <w:t xml:space="preserve">033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eine Schätzung für den Risikowert bei dem Zustand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können dieses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Experiment für viele Zustände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wiederholen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das Risiko als Funktion des Zustands aufzeichnen. Die folgende Abbildung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zeigt die Risikofunktion für verschiedene Werte von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 ist die primäre Art und Weise, in der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 untersucht werden muss, d. h. als Funktion des Zustands.</w:t>
      </w:r>
    </w:p>
    <w:p w:rsidRPr="000F1307" w:rsidR="000F1307" w:rsidP="000F1307" w:rsidRDefault="000F1307" w14:paraId="0F16B41C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46: Schätzungen der Risikofunktion für den quadratischen Verlust und den Stichprobenmittelwert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Entscheidungsfunktion mit Hilfe von Simulationen</w:t>
      </w:r>
    </w:p>
    <w:p w:rsidRPr="000F1307" w:rsidR="000F1307" w:rsidP="000F1307" w:rsidRDefault="000F1307" w14:paraId="26C97FB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die Entscheidung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wahren Mittelwert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übereinstimmt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liegt das daran, dass entweder unsere Schätzung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den Mittelwert unterschätzt (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&lt; μ)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oder ihn überschätzt (</w:t>
      </w: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&gt; μ)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In bestimmten Situationen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kann eine dieser beiden Möglichkeiten schlechter sein als die andere.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Ähnlich dem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gewichteten Verlust, den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das E-Mail-Klassifizierungsproblem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diskutiert haben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können wir eine Verlustfunktion definieren, die diese beiden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Szenarien unterschiedlich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modelliert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Nehmen wir an, dass eine Unterschätzung des Mittelwerts 100 Mal schlimmer ist als 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Überschätzung des Mittelwerts um den gleichen Betrag. Die Verlustfunktion, die dieses Ungleichgewicht kodiert,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kann wie folgt definiert werden: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 Verwendung dieser Verlustfunktion und der Entscheidungsfunktion (Stichprobenmittelwert)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kann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 durch Simulation geschätzt werden. Wir führen diese Simulation wie zuvor durch und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fassen das Ergebnis in der folgenden Abbildung zusammen.</w:t>
      </w:r>
    </w:p>
    <w:p w:rsidRPr="000F1307" w:rsidR="000F1307" w:rsidP="000F1307" w:rsidRDefault="000F1307" w14:paraId="12258E9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47: Schätzungen der Risikofunktion für den gewichteten quadratischen Verlust und die Stichprobe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25CC8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Mittlere Entscheidungsfunktion mit Hilfe von Simulationen</w:t>
      </w:r>
    </w:p>
    <w:p w:rsidRPr="000F1307" w:rsidR="000F1307" w:rsidP="000F1307" w:rsidRDefault="000F1307" w14:paraId="649708D7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Sie sehen können,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haben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Risikofunktionen für den gewichteten quadratischen Verlust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viel höhere Werte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die des (gewöhnlichen) quadratischen Verlusts. Dies legt nahe, dass wir 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wählen sollten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den Mittelwert überschätzt. Man könnte also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x = x + c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einen positiven Wert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wählen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 folgende Abbildung zeigt ähnliche Simulationen für verschiedene Werte von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horizontale Achse zeigt den wahren Mittelwert der Gaußschen Verteilung, die vertikale Achse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Risikowerte (erwartete Verluste). Jeder Punkt im Diagramm stellt eine beobachtete Stichprobe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das damit verbundene Risiko dar. Die verschiedenen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Farben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stehen für verschiedene Entscheidungsfunktionen,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parametrisiert sind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0F1307" w:rsidR="000F1307" w:rsidP="000F1307" w:rsidRDefault="000F1307" w14:paraId="589C70A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4701A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48: Schätzungen der Risikofunktion für den gewichteten quadratischen Verlust und die verzerrte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4701A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Mittlere Entscheidungsfunktion für verschiedene Verzerrungen anhand von Simulationen</w:t>
      </w:r>
    </w:p>
    <w:p w:rsidRPr="000F1307" w:rsidR="000F1307" w:rsidP="000F1307" w:rsidRDefault="000F1307" w14:paraId="276CC3B6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Sie sehen können,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schneiden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einige verzerrte Schätzer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&gt; 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besser ab als der unverzerrte Schätzer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 den von uns getesteten Schätzern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scheint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beste zu sein. Auch eine zu starke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Verzerrung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6 schneidet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schlechter ab als der unverzerrte Schätzer.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das Problem der Mittelwertschätzung für eine Gauß-Verteilung mit unbekannter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Standardabweichung haben wir gesehen, wie die Wahl der Verlustfunktion die Verwendung einer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 gegenüber einer anderen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diktiert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Bevor wir diesen Abschnitt abschließen, wollen wir noch eine letzte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Verlustfunktion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betrachten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Manchmal hängt der Verlust, der entsteht, wenn eine Entscheidung getroffen wird, die vom wahren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Zustand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abweicht,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auch von der Größe des wahren Zustands ab. Hier ist ein Beispiel für eine Verlustfunktion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einen solchen Fall modelliert: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Bei einer solchen Verlustfunktion gehen wir davon aus, dass der Verlust bei einer Differenz von z. B.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μ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δ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größer ist, wenn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klein ist (im absoluten Wert), als wenn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groß ist (im absoluten Wert). Hier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einige Zahlen zur Veranschaulichung. Angenommen, der wahre Mittelwert ist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unsere Entscheidung ist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δ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d. h. er liegt um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0 .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5. Dann ist der Verlust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1, 1,5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1 - 1,5 2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12 + 1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0,125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Nehmen wir nun an, der wahre Zustand ist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10, </w:t>
      </w:r>
      <w:r w:rsidRPr="00145141">
        <w:rPr>
          <w:rFonts w:ascii="pli" w:hAnsi="pli" w:cs="pli"/>
          <w:kern w:val="0"/>
          <w:sz w:val="20"/>
          <w:szCs w:val="20"/>
          <w:lang w:val="en-GB"/>
        </w:rPr>
        <w:t xml:space="preserve">und wir liegen um 0,5 d.h. unsere Entscheidung ist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10 .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5. </w:t>
      </w:r>
      <w:r w:rsidRPr="00145141">
        <w:rPr>
          <w:rFonts w:ascii="pli" w:hAnsi="pli" w:cs="pli"/>
          <w:kern w:val="0"/>
          <w:sz w:val="20"/>
          <w:szCs w:val="20"/>
          <w:lang w:val="en-GB"/>
        </w:rPr>
        <w:t xml:space="preserve">Dann </w:t>
      </w:r>
      <w:r w:rsidRPr="00145141">
        <w:rPr>
          <w:rFonts w:ascii="pli" w:hAnsi="pli" w:cs="pli"/>
          <w:kern w:val="0"/>
          <w:sz w:val="20"/>
          <w:szCs w:val="20"/>
          <w:lang w:val="en-GB"/>
        </w:rPr>
        <w:t xml:space="preserve">ist der Verlust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10, 10,5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10 - 10,5 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102 + 1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003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zuvor wollen wir die Risikofunktion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anhand einer Simulation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untersuchen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 folgende Abbildung zeigt die Ergebnisse.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Auf der horizontalen Achse befinden sich die Werte des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wahren Zustands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d. h. der wahre Mittelwert der Gaußschen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Verteilung. Auf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vertikalen Achse befinden sich die Risikowerte, d. h. der erwartete Verlust. Jeder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Punkt im Diagramm steht für eine beobachtete Stichprobe. Wie Sie sehen können, ist ein höheres Risiko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kleineren (absoluten) Werten des Mittelwerts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verbunden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0F1307" w:rsidR="000F1307" w:rsidP="000F1307" w:rsidRDefault="000F1307" w14:paraId="09CB5D5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49: Schätzungen der Risikofunktion für den quadratischen Verlust, gewichtet nach Größenordnung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des Mittelwerts und des Stichprobenmittelwerts als Entscheidungsfunktion anhand von Simulationen</w:t>
      </w:r>
    </w:p>
    <w:p w:rsidRPr="000F1307" w:rsidR="000F1307" w:rsidP="00EA6D5B" w:rsidRDefault="000F1307" w14:paraId="5B8AE52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früheren Risikofunktionen schienen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Funktionen des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Mittelwerts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mehr oder weniger konstant zu sein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Diese Risikofunktion hingegen ist gekrümmt. Schließlich können wir die Ideen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unterschiedlichen Bestrafung von Unter- und Überschätzungen zusammen mit der Größe des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Mittelwerts in unserer Verlustfunktion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kombinieren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zuvor, motiviert durch die Verlustfunktion, bevorzugen wir eine Überschätzung gegenüber einer Unterschätzung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könnten eine Entscheidungsfunktion in Betracht ziehen, die eine (möglicherweise) verzerrte Schätzung des Mittelwerts ist: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δ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x + c, c ≥ 0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Wiederum werden wir Simulationen verwenden, um die Risikofunktionen für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verschiedene Verzerrungen,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 untersuchen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 Abbildung ist wie die vorherige Abbildung aufgebaut, nur dass sie jetzt die Schätzungen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Risikowerte (vertikale Achse) (erwartete Verluste) für verschiedene wahre Zustände (horizontale Achse) für verschiedene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enthält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Punkte, die den verschiedenen Entscheidungsfunktionen entsprechen, sind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unterschiedlich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eingefärbt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Wie zuvor steht jeder Punkt für eine beobachtete Stichprobe.</w:t>
      </w:r>
    </w:p>
    <w:p w:rsidRPr="000F1307" w:rsidR="000F1307" w:rsidP="000F1307" w:rsidRDefault="000F1307" w14:paraId="580303DB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50: Schätzungen der Risikofunktion für den nach Richtung gewichteten quadratischen Verlust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und Größe und verzerrte mittlere Entscheidungsfunktion für verschiedene Verzerrungen anhand von Simulationen</w:t>
      </w:r>
    </w:p>
    <w:p w:rsidRPr="000F1307" w:rsidR="000F1307" w:rsidP="00EA6D5B" w:rsidRDefault="000F1307" w14:paraId="0199F7A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Kernelemente der statistischen Entscheidungstheorie sind folgende: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die Größe, die wir identifizieren wollen, d. h. den Zustand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 allen möglichen Zuständen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Zufallsvariable, die der zu beobachtenden Information entspricht, und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beobachtete Wert dieser Zufallsvariablen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eine Menge von Entscheidungsfunktionen,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145141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∈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Δ, wobei jede Entscheidungsfunktion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Entscheidung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δ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zuordnet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Werte im Zustandsraum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annimmt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eine Verlustfunktion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die Qualität einer Entscheidungsfunktion (einer Zufallsvariablen) bewertet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- eine Risikofunktion, die die Verlustfunktion auf eine einzige Zahl reduziert, indem ihr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Erwartungswert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berechnet wird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jedes dieser Elemente aus dem letzten Beispiel dieses Abschnitts, d. h. die Schätzung des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unbekannten Mittelwerts einer Gauß-Verteilung. Der Zustandsraum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 = -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alles reelle Zahlen. Der wahre Zustand ist eine Zahl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= μ </w:t>
      </w:r>
      <w:r w:rsidRPr="00145141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∈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Zufallsbeobachtung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eine Zufallsstichprobe der Größe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und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beobachteten Werte werden mit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bezeichnet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nächstes betrachten wir 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Schätzer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des Stichprobenmittelwerts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mögliche Entscheidungsfunktion: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X = X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Ein Beispiel für eine Verlustfunktion,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betrachteten, war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quadratische Verlust: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μ, δ = μ - δ X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μ - X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Beachten Sie, dass es sich hierbei um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Zufallsvariable handelt. Die Risikofunktion R schließlich ist der erwartete Verlust.</w:t>
      </w:r>
    </w:p>
    <w:p w:rsidRPr="000F1307" w:rsidR="000F1307" w:rsidP="000F1307" w:rsidRDefault="000F1307" w14:paraId="03E50E84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2"/>
        <w:rPr>
          <w:lang w:val="en-GB"/>
        </w:rPr>
      </w:pPr>
      <w:r w:rsidRPr="000F1307">
        <w:rPr>
          <w:lang w:val="en-GB"/>
        </w:rPr>
        <w:t xml:space="preserve">5.2 Maximum Likelihood, Minimax und Bayes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Maximum-Likelihood-, Minimax- und Bayes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δ-Funktion für eine gegebene Verlustfunktion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jedoch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sehen werden, ist dieser Prozess nicht einfach und es gibt einige verschiedene Ansätze.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beginnen mit einigen grundlegenden Beispielen und geben eine Zusammenfassung für den allgemeinen Fall.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Nehmen wir an, wir wollen den Mittelwert einer Gauß-Verteilung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μ,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schätzen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anderen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Worten, wir haben eine Gauß-Verteilung mit unbekanntem Mittelwert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bekannter Standardabweichung</w:t>
      </w:r>
      <w:r w:rsidR="004701AE">
        <w:rPr>
          <w:rFonts w:ascii="pli" w:hAnsi="pli" w:cs="pli"/>
          <w:kern w:val="0"/>
          <w:sz w:val="20"/>
          <w:szCs w:val="20"/>
          <w:lang w:val="en-GB"/>
        </w:rPr>
        <w:t xml:space="preserve"> σ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Zur Vereinfachung betrachten wir nur eine Stichprobe mit einer Zahl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N μ, 1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deren beobachteter Wert mit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bezeichnet wird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Außerdem verwenden wir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quadratische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Standardverlustfunktion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 μ, δ = μ - δ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die Zwei-Entscheidungsfunktion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X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x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2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Risikofunktionen sind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E μ - X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Var X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E μ - 2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μ </w:t>
      </w:r>
      <w:r w:rsidR="004701A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Um diese beiden Entscheidungsfunktionen zu vergleichen, vergleichen wir ihre entsprechenden Risikofunktionen. Wir möchten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 verwenden, die ein geringeres Risiko aufweist. Die Antwort hängt jedoch vom wahren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Wert von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ab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Wenn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&lt; μ &lt; 3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dann ist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bessere Entscheidungsfunktion, weil sie ein geringeres Risiko hat.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&lt;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&gt; 3,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 ist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die bessere Entscheidungsfunktion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weil ihr Risiko geringer ist.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 3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haben die beiden Entscheidungsfunktionen das gleiche Risiko, so dass man sich für eine von ihnen entscheiden kann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 folgende Abbildung zeigt ein Diagramm der beiden Risikofunktionen.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Auf der horizontalen Achse sind die Werte des wahren Zustands aufgetragen, d. h. der wahre Mittelwert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Gauß-Verteilung. Auf der vertikalen Achse ist das Risiko, also der erwartete Verlust, aufgetragen.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zum Beispiel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wahre Mittelwert Null ist,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beträgt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erwartete Verlust (Risiko) für die erste Entscheidungsfunktion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der erwartete Verlust der zweiten Entscheidungsfunktion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etwa 5.</w:t>
      </w:r>
    </w:p>
    <w:p w:rsidRPr="000F1307" w:rsidR="000F1307" w:rsidP="00EA6D5B" w:rsidRDefault="000F1307" w14:paraId="5BD597D3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51: Risikofunktionen für zwei Entscheidungsfunktionen: Schätzung des Mittelwerts auf der Grundlage einer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Beobachtung aus einer Gaußschen Verteilung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7D11BC94" wp14:anchorId="78C9275A">
                <wp:simplePos x="0" y="0"/>
                <wp:positionH relativeFrom="column">
                  <wp:posOffset>5151422</wp:posOffset>
                </wp:positionH>
                <wp:positionV relativeFrom="paragraph">
                  <wp:posOffset>77213</wp:posOffset>
                </wp:positionV>
                <wp:extent cx="1249378" cy="751438"/>
                <wp:effectExtent l="0" t="0" r="8255" b="10795"/>
                <wp:wrapNone/>
                <wp:docPr id="503282605" name="Text Box 503282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378" cy="751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Maximales Risiko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 ist der Höchstwert von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Risikofunktion über alle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mögliche Werte der</w:t>
                            </w:r>
                          </w:p>
                          <w:p xmlns:a="http://schemas.openxmlformats.org/drawingml/2006/main"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wahrer Zustand.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503282605" style="position:absolute;margin-left:405.6pt;margin-top:6.1pt;width:98.4pt;height:59.1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9TOwIAAIM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" w14:anchorId="78C9275A">
                <v:textbox>
                  <w:txbxContent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Maximales Risiko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 ist der Höchstwert von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Risikofunktion über alle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mögliche Werte der</w:t>
                      </w:r>
                    </w:p>
                    <w:p xmlns:w16du="http://schemas.microsoft.com/office/word/2023/wordml/word16du"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wahrer Zustand.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23D2BCC4" wp14:anchorId="47FF5390">
                <wp:simplePos x="0" y="0"/>
                <wp:positionH relativeFrom="column">
                  <wp:posOffset>5147310</wp:posOffset>
                </wp:positionH>
                <wp:positionV relativeFrom="paragraph">
                  <wp:posOffset>710988</wp:posOffset>
                </wp:positionV>
                <wp:extent cx="1249045" cy="878186"/>
                <wp:effectExtent l="0" t="0" r="8255" b="11430"/>
                <wp:wrapSquare wrapText="bothSides"/>
                <wp:docPr id="120096855" name="Text Box 120096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87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Bayes-Risiko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Für dieses erwartete Risiko wird der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wahre Zustand als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Zufallsvariable mit einer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bestimmten Prioritätsverteilung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behandelt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096855" style="position:absolute;margin-left:405.3pt;margin-top:56pt;width:98.35pt;height:69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moTPAIAAIM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" w14:anchorId="47FF5390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Bayes-Risiko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Für dieses erwartete Risiko wird der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wahre Zustand als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Zufallsvariable mit einer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bestimmten Prioritätsverteilung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behandelt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Wie Sie sehen können, liegt keine der beiden Risikofunktionen vollständig unter der anderen. Mit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Keine der beiden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Risikofunktionen ist gleichmäßig (für alle Werte von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) niedriger. Zur Klärung der Dinge benötigen wir eine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einzige Zahl für die Risikofunktion, die einer bestimmten Entscheidungsfunktion entspricht. Eine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Möglichkeit ist das </w:t>
      </w:r>
      <w:r w:rsidRPr="000F1307" w:rsid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maximale Risiko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(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Kasy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, 2014):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 δ =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maxμR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μ,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In unserem Fall ist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</w:t>
      </w:r>
      <w:r w:rsidRPr="00145141" w:rsidR="000F1307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</w:t>
      </w:r>
      <w:r w:rsidRPr="00145141" w:rsidR="000F1307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145141" w:rsidR="000F1307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145141" w:rsidR="000F1307">
        <w:rPr>
          <w:rFonts w:ascii="pli" w:hAnsi="pli" w:cs="pli"/>
          <w:kern w:val="0"/>
          <w:sz w:val="20"/>
          <w:szCs w:val="20"/>
          <w:lang w:val="en-GB"/>
        </w:rPr>
        <w:t xml:space="preserve">∞.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Auf der Grundlage dieser (einstelligen) Zusammenfassung der Risikofunktion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werden wir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daher</w:t>
      </w:r>
      <w:r w:rsidRPr="00145141" w:rsidR="000F1307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als die bessere Entscheidungsfunktion 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wählen</w:t>
      </w:r>
      <w:r w:rsidRPr="000F1307" w:rsid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andere Möglichkeit, eine einzige Zahl für die Risikofunktion einer Entscheidungsfunktion zu erhalten, ist die Berechnung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des </w:t>
      </w:r>
      <w:r w:rsidRP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Bayes-Risikos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Sie sich vielleicht erinnern, besteht eine Bayes'sche Formulierung zur Schätzung </w:t>
      </w:r>
      <w:r w:rsidR="00C115E0">
        <w:rPr>
          <w:rFonts w:ascii="pli" w:hAnsi="pli" w:cs="pli"/>
          <w:kern w:val="0"/>
          <w:sz w:val="20"/>
          <w:szCs w:val="20"/>
          <w:lang w:val="en-GB"/>
        </w:rPr>
        <w:t xml:space="preserve">eines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unbekannten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Parameters (in diesem Fall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) darin, eine Prior-Verteilung für diesen Parameter zu wählen.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Nehmen wir an, wir wählen den Prior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 ist das Bayes-Risiko definiert durch (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Kasy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2014)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RB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Eprior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 δ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∫-∞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∞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vor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dμ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die Verteilung des Priors diskret ist, würden wir das Integral durch eine Summe ersetzen.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Das Bayes-Risiko behandelt den unbekannten Parameter als Zufallsvariable, gibt ihm 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Prior-Verteilung und berechnet dann das erwartete Risiko unter Verwendung dieser Prior-Verteilung. Für unser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obiges Beispiel setzen wir einen Standard-Gauß-Prior ein: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prior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N 0,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Nun können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Bayes-Risiko für jeden der beiden Schätzer berechnen: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Wie Sie sehen können, ist das Bayes-Risiko für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geringer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und wir würden diese Funktion als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wählen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ein anderes Beispiel. Wir wollen die (unbekannte) Erfolgswahrscheinlichkeit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aus einer Bernoulli-Verteilung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schätzen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Bernoulli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erinnern uns, dass eine Variable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Bernoulli-Verteilung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folgt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wenn sie genau zwei Werte annehmen kann: 0 mit der Wahrscheinlichkeit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1-p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1 mit der Wahrscheinlichkeit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Wir verwenden eine Beobachtung mit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unabhängigen und identisch verteilten Variablen: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...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i.i.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dBernoulli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realisierten Werte sind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werden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beiden nachstehenden Entscheidungsfunktionen anwenden, die einem Beispiel aus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Wasserman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(2004) entnommen sind.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Berechnen wir nun die Risikofunktionen für jede dieser Entscheidungsfunktionen, damit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vergleichen können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Nehmen wir an, wir verwenden eine Beobachtung mit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n=400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Zahlen. Die folgende Abbildung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zeigt den Graphen von zwei Risikofunktionen.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horizontale Achse enthält die wahren Werte des wahren Zustands (die Erfolgswahrscheinlichkeit p einer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Bernoulli-Verteilung). Die vertikale Achse enthält das Risiko (erwarteter Verlust), das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jedem dieser wahren Zustände entspricht. Wenn beispielsweise der wahre Zustand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klein oder groß ist (weg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von 0,5),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mit der ersten Entscheidungsfunktion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verbundene Risiko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geringer.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Bei einem Wert von p nahe 0,5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zweite Entscheidungsfunktion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jedoch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 geringeres Risiko.</w:t>
      </w:r>
    </w:p>
    <w:p w:rsidRPr="000F1307" w:rsidR="000F1307" w:rsidP="000F1307" w:rsidRDefault="000F1307" w14:paraId="62735A0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52: Risikofunktionen für zwei Entscheidungsfunktionen: Schätzung der Wahrscheinlichkeitsparameter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der Bernoulli-Verteilung auf der Grundlage einer Stichprobe von zehn Zahlen</w:t>
      </w:r>
    </w:p>
    <w:p w:rsidRPr="000F1307" w:rsidR="000F1307" w:rsidP="000F1307" w:rsidRDefault="000F1307" w14:paraId="22E1983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Beachten Sie, dass keiner der beiden Werte gleichmäßig niedriger ist als der andere. Daher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können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unter Berücksichtigung aller Werte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sagen, welche besser ist. Nach dem Vorbild des vorangegangenen Beispiels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können wir für jede Risikofunktion eine Zusammenfassung mit einer Zahl berechnen und diejenige mit dem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niedrigeren Wert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wählen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Berechnen wir zunächst das maximale Risiko für jede der beiden Entscheidungsfunktionen: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bessere Entscheidungsfunktion (diejenige mit dem geringeren maximalen Risiko) ist daher</w:t>
      </w:r>
      <w:r w:rsidRPr="00145141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andere Möglichkeit zur Berechnung einer Ein-Zahlen-Zusammenfassung besteht darin, das Bayes-Risiko zu berechnen. Dazu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müssen wir eine Prior-Verteilung für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wählen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Wählen wir als Prior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= Beta p; 2, </w:t>
      </w: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Beta-Verteilung. Als Nächstes behandeln wir p als Zufallsvariable (gemäß dieser Prior-Verteilung) und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berechnen den Erwartungswert der Risikofunktionen unter diesem Prior: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145141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Somit hat die erste Entscheidungsfunktion ein (geringfügig) besseres Bayes-Risiko.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sind nun bereit, unsere Beobachtungen zusammenzufassen. In den beiden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oben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betrachteten Beispielen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hatten wir im Wesentlichen nur zwei konkurrierende Entscheidungsfunktionen. Nehmen wir nun an,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dass 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alle möglichen Entscheidungsfunktionen enthält, aus denen wir wählen können.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 Element von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Δ. Als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nächstes bezeichnen wir den Parameter, den wir schätzen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(den wahren Zustand) als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Im ersten Beispiel hatten wir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=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im zweiten Beispiel haben wir</w:t>
      </w:r>
      <w:r w:rsidR="00B6194A">
        <w:rPr>
          <w:rFonts w:ascii="pli" w:hAnsi="pli" w:cs="pli"/>
          <w:kern w:val="0"/>
          <w:sz w:val="20"/>
          <w:szCs w:val="20"/>
          <w:lang w:val="en-GB"/>
        </w:rPr>
        <w:t xml:space="preserve"> θ 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p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Als nächstes betrachten wir die Sammlung aller möglichen Werte von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Θ. Im Falle eines</w:t>
      </w: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editId="7FB205A0" wp14:anchorId="736B3088">
                <wp:simplePos x="0" y="0"/>
                <wp:positionH relativeFrom="column">
                  <wp:posOffset>5160475</wp:posOffset>
                </wp:positionH>
                <wp:positionV relativeFrom="paragraph">
                  <wp:posOffset>59464</wp:posOffset>
                </wp:positionV>
                <wp:extent cx="1348967" cy="1358019"/>
                <wp:effectExtent l="0" t="0" r="10160" b="13970"/>
                <wp:wrapNone/>
                <wp:docPr id="1560049149" name="Text Box 1560049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967" cy="135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Minimales Risiko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Für jede Entscheidungsfunktion,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berechnen wir das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schlechteste (maximale) Risiko für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alle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Werte des wahren Zustands.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Dann, unter all diesen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maximalen Risiken, nehmen wir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das kleinste über die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verschiedenen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Entscheidungsfunktionen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hinweg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id="Text Box 1560049149" style="position:absolute;margin-left:406.35pt;margin-top:4.7pt;width:106.2pt;height:106.9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" w14:anchorId="736B3088">
                <v:textbox>
                  <w:txbxContent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Minimales Risiko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Für jede Entscheidungsfunktion,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berechnen wir das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schlechteste (maximale) Risiko für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alle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Werte des wahren Zustands.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Dann, unter all diesen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maximalen Risiken, nehmen wir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das kleinste über die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verschiedenen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Entscheidungsfunktionen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hinweg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</v:shape>
            </w:pict>
          </mc:Fallback>
        </mc:AlternateConten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unbekannten Mittelwertes für einen Gauß, 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 = - 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, </w:t>
      </w:r>
      <w:r w:rsidRPr="00DB2905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∞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im Falle des unbekannten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Wahrscheinlichkeitsparameters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den Bernoulli, </w:t>
      </w:r>
      <w:r w:rsidRPr="00A707F4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 = 0,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eine feste Verlustfunktion wissen wir, dass das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 auf dem wahren Wert von</w:t>
      </w:r>
      <w:r w:rsidRPr="00A707F4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der Entscheidungsfunktion</w:t>
      </w:r>
      <w:r w:rsidRPr="00A707F4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beruht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Wenn wir nur zwei Risikofunktionen haben, finden wir das Maximum der Risikofunktion, indem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den wahren Parameter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variieren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 haben wir unter allen maximalen Risikowerten den kleineren ausgewählt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 wir dies für alle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392780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∈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tun wollen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dann haben wir das </w:t>
      </w:r>
      <w:r w:rsidRP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Minimax-Risiko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definiert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Rminimax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min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δ∈Δ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max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θ∈Θ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 δ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Sie können sich wahrscheinlich denken, warum dies Minimax genannt wird! Auch in unseren Beispielen haben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maximalen Risiken für jede der Entscheidungsfunktionen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: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δi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max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θ </w:t>
      </w:r>
      <w:r w:rsidRPr="00392780">
        <w:rPr>
          <w:rFonts w:ascii="Cambria Math" w:hAnsi="Cambria Math" w:cs="Cambria Math"/>
          <w:kern w:val="0"/>
          <w:sz w:val="16"/>
          <w:szCs w:val="16"/>
          <w:highlight w:val="yellow"/>
          <w:lang w:val="en-GB"/>
        </w:rPr>
        <w:t xml:space="preserve">∈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Θ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θ,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δi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für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1, 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Dann wählen wir das kleinere der beiden Risiken: min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δi </w:t>
      </w:r>
      <w:r w:rsidRPr="00392780">
        <w:rPr>
          <w:rFonts w:ascii="Cambria Math" w:hAnsi="Cambria Math" w:cs="Cambria Math"/>
          <w:kern w:val="0"/>
          <w:sz w:val="16"/>
          <w:szCs w:val="16"/>
          <w:highlight w:val="yellow"/>
          <w:lang w:val="en-GB"/>
        </w:rPr>
        <w:t xml:space="preserve">∈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Δ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δi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Δ =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andere Betrachtungsweise ist das "beste (min) schlechteste (max) Risiko". Schließlich wird die Entscheidungsfunktion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diesen Minimax-Wert erreicht, als Minimax-Entscheidungsfunktion (Schätzer) bezeichnet: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92780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anderen Worten,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92780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Bayes-Risiko wurde definiert als der Erwartungswert des Risikos in Bezug auf eine Prioritätsverteilung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des unbekannten Parameters. Für unsere Beispiele haben wir das Bayes-Risiko für jede</w:t>
      </w: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editId="146B3D5F" wp14:anchorId="244B752F">
                <wp:simplePos x="0" y="0"/>
                <wp:positionH relativeFrom="column">
                  <wp:posOffset>5205674</wp:posOffset>
                </wp:positionH>
                <wp:positionV relativeFrom="paragraph">
                  <wp:posOffset>92244</wp:posOffset>
                </wp:positionV>
                <wp:extent cx="1186004" cy="651850"/>
                <wp:effectExtent l="0" t="0" r="8255" b="8890"/>
                <wp:wrapNone/>
                <wp:docPr id="1872695045" name="Text Box 1872695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004" cy="65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Bayes-Entscheidungsfunktion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Entscheidungsfunktion</w:t>
                            </w:r>
                          </w:p>
                          <w:p xmlns:a="http://schemas.openxmlformats.org/drawingml/2006/main"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minimiert das Bayes-Risiko.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872695045" style="position:absolute;margin-left:409.9pt;margin-top:7.25pt;width:93.4pt;height:51.3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" w14:anchorId="244B752F">
                <v:textbox>
                  <w:txbxContent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Bayes-Entscheidungsfunktion</w:t>
                      </w:r>
                    </w:p>
                    <w:p xmlns:w16du="http://schemas.microsoft.com/office/word/2023/wordml/word16du"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Entscheidungsfunktion</w:t>
                      </w:r>
                    </w:p>
                    <w:p xmlns:w16du="http://schemas.microsoft.com/office/word/2023/wordml/word16du"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minimiert das Bayes-Risiko.</w:t>
                      </w:r>
                    </w:p>
                  </w:txbxContent>
                </v:textbox>
              </v:shape>
            </w:pict>
          </mc:Fallback>
        </mc:AlternateConten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der beiden Entscheidungsfunktionen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berechnet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dann diejenige mit dem niedrigeren Bayes-Risiko gewählt. Wenn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viele Entscheidungsfunktionen in </w:t>
      </w:r>
      <w:r w:rsidRPr="00392780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Δ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haben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machen wir im Grunde das Gleiche. Wir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wollen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Entscheidungsfunktion, die dieses Minimum erreicht, wird als Bayes-Entscheidungsfunktion (oder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Bayes-Schätzer) bezeichnet. Wenn wir diese </w:t>
      </w:r>
      <w:r w:rsidRP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Bayes-Entscheidungsfunktion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δBayes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bezeichnen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anderen Worten,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 w:rsidRPr="000F1307" w:rsidR="000F1307" w:rsidP="000F1307" w:rsidRDefault="000F1307" w14:paraId="75E8188C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2"/>
        <w:rPr>
          <w:lang w:val="en-GB"/>
        </w:rPr>
      </w:pPr>
      <w:r w:rsidRPr="000F1307">
        <w:rPr>
          <w:lang w:val="en-GB"/>
        </w:rPr>
        <w:t xml:space="preserve">5.3 Zulässigkeit und Steinsches Paradoxon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Bei zwei Entscheidungsfunktionen (Schätzern),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für einen unbekannten Parameter,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sagen wir,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dass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gegenüber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zulässig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wenn die mit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assoziierte Risikofunktion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gleichmäßig kleiner als (oder</w:t>
      </w:r>
      <w:r w:rsidRPr="000F1307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editId="16707825" wp14:anchorId="6D794000">
                <wp:simplePos x="0" y="0"/>
                <wp:positionH relativeFrom="column">
                  <wp:posOffset>5283200</wp:posOffset>
                </wp:positionH>
                <wp:positionV relativeFrom="paragraph">
                  <wp:posOffset>61595</wp:posOffset>
                </wp:positionV>
                <wp:extent cx="1149350" cy="1737995"/>
                <wp:effectExtent l="0" t="0" r="19050" b="14605"/>
                <wp:wrapSquare wrapText="bothSides"/>
                <wp:docPr id="125947407" name="Text Box 125947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73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Zulässige Entscheidung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Funktion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Risikofunktion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Entscheidungsfunktion wird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von jeder anderen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Entscheidungsfunktion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dominiert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Das heißt, ihr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Risiko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(erwarteter Verlust) ist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für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jeden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möglichen Wert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des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wahren Zustands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geringer als das jeder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anderen 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Entscheidungsfunktion</w:t>
                            </w:r>
                            <w:r w:rsidRPr="009905CB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947407" style="position:absolute;margin-left:416pt;margin-top:4.85pt;width:90.5pt;height:136.8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" w14:anchorId="6D794000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Zulässige Entscheidung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Funktion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Risikofunktion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Entscheidungsfunktion wird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von jeder anderen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Entscheidungsfunktion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dominiert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Das heißt, ihr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Risiko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(erwarteter Verlust) ist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für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jeden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möglichen Wert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des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wahren Zustands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geringer als das jeder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anderen 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Entscheidungsfunktion</w:t>
                      </w:r>
                      <w:r w:rsidRPr="009905CB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gleich) die mit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assoziierte Risikofunktion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 bedeutet, dass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θ,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≤ R θ,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jeden möglichen Wert von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ist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Wir betrachten noch einmal den Graphen der Risikofunktionen zweier Entscheidungsfunktionen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aus dem letzten Abschnitt (letzte Abbildung in Abschnitt 5.2). Beachten Sie, dass keine der beiden Risikofunktionen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vollständig unter der anderen liegt. Die Risikofunktion von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nur für Werte von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= p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die weit von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= 1/2 entfernt sind,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niedriger als die von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δ2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Betrachten wir nun die verschiedenen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Risikofunktionen in der letzten Abbildung von Abschnitt 5.1.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Es zeigt sich, dass die Entscheidungsfunktion, die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 =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entspricht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unter jeder anderen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liegt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Daher ist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δ0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X +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jede andere Risikofunktion </w:t>
      </w:r>
      <w:r w:rsidRPr="000F1307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zulässig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Ihr Graph liegt vollständig unter jeder anderen Risikofunktion.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Das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dieser Entscheidungsfunktion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verbundene Risiko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für jeden Wert des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Parameters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= μ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geringer als andere Risikofunktionen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der schönen Eigenschaften von Bayes-Schätzern ist die folgende Tatsache: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Wenn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ein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eindeutig bestimmter Bayes-Schätzer ist, dann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er zulässig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wenn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eine Prioritätsverteilung für den unbekannten Parameter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vorliegt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eines eindeutigen Bayes-Schätzers 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jeden Wert des Parameters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nicht größer als jede andere Risikofunktion (die einer beliebigen anderen Entscheidungsfunktion entspricht)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!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werden uns nicht mit dem Beweis dieser Tatsache befassen, aber 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eine wichtige Tatsache, die man sich merken sollte.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Angenommen, wir haben drei unverbundene Größen, von denen bekannt ist, dass sie (unabhängigen)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Gaußschen Verteilungen mit bekannter (Einheits-)Varianz, aber unbekannten Mittelwerten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folgen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anderen Worten,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wir haben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μi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1, 2, 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sind unabhängig. Wir beobachten eine Realisierung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von jedem Gauß und wollen diese Realisierung verwenden, um die drei unbekannten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Mittelwerte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zu schätzen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Die natürlichste Schätzung ist der Wert der Beobachtung selbst.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natürliche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 ist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Worten, unser bester Schätzwert für 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(unbekannten)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Mittelwert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für den ersten Gauß ist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ähnlich für die beiden anderen. Um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 Entscheidungsfunktion zu bewerten, verwenden wir den quadratischen Standardverlust: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lang w:val="en-GB"/>
        </w:rPr>
        <w:t xml:space="preserve">Die zugehörige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Risikofunktion, der Erwartungswert dieses Verlustes in Bezug auf die gemeinsame Verteilung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von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kann aufgrund der Unabhängigkeit Term für Term berechnet werden: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lastRenderedPageBreak/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Man könnte meinen, dass dies eine ziemlich gute Entscheidungsfunktion ist. Betrachten wir nun die (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James-Stein-) Entscheidungsfunktion, die durch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δ′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1 -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wobei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X1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X2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X3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Worten: Diese Entscheidungsfunktion schätzt den ersten Mittelwert um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</w:t>
      </w:r>
      <w:r w:rsidR="00B6194A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die anderen Mittelwerte in ähnlicher Weise. Es zeigt sich, dass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das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mit dieser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verbundene Risiko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Man beachte, dass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 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 der Wahrscheinlichkeit 1 ist. Daher ist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E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 0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somit 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μ, δ′ &lt; 3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 dies für alle Werte von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μ3 gilt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James-Stein-Entscheidungsfunktion (Schätzung) für die drei Mittelwerte in der Tat zulässig! Das Ergebnis 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aus folgendem Grund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recht paradox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Um</w:t>
      </w:r>
      <w:r w:rsidRPr="00392780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zu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schätzen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verwendet unsere Entscheidungsfunktion 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Schätzer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von 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X2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X3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abhängt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X1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jedoch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unabhängig von 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X2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X3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! Ein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konkretes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Beispiel: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μ1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durchschnittliche Teepreis in China,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μ2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die durchschnittliche Temperatur auf der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Marsoberfläche und</w:t>
      </w:r>
      <w:r w:rsidRPr="00392780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μ3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das durchschnittliche Kilogramm Futter, das ein Eisbär verzehrt. Das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Stein'sche Paradoxon besagt: Wenn wir diese drei Durchschnittswerte gleichzeitig schätzen wollen,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müssen wir zum Beispiel die Informationen über die Temperaturen auf dem Mars und 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Verbrauch von Eisbären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nutzen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um unsere Schätzung des durchschnittlichen Teepreises in China zu informieren!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Auf diese Weise wird das Risiko (der erwartete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quadratische Verlust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)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verringert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sich daraus ergebende Schätzung wird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im Durchschnitt besser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abschneiden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als eine Entscheidungsfunktion (Schätzung), deren Schätzungen für die drei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Mittelwerte jeweils nur von ihren jeweiligen Werten abhängen. Intuitiv lässt sich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 dadurch erklären, dass die drei Größen zwar nichts miteinander zu tun haben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 aber eine schlechte Schätzung für einen der Mittelwerte durch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anderen Variablen ausgeglichen werden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soll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Schauen Sie sich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Verlustfunktion noch einmal an. Für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James-Stein-Entscheidungsfunktion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der zugehörige Verlust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392780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Daher hängt jeder quadrierte Term von den Informationen aus allen drei Variablen ab. In gewisser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Weise wollen wir, wie oben erwähnt, gleichzeitig eine gute Schätzung für alle drei Mittelwerte.</w:t>
      </w:r>
    </w:p>
    <w:p w:rsidRPr="000F1307" w:rsidR="000F1307" w:rsidP="00EA6D5B" w:rsidRDefault="000F1307" w14:paraId="718B10B6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0F1307">
        <w:rPr>
          <w:lang w:val="en-GB"/>
        </w:rPr>
        <w:t xml:space="preserve">Zusammenfassung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 Einheit dient als allgemeine Einführung in die Kernkonzepte der statistischen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Entscheidungstheorie.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wichtigsten Elemente der statistischen Entscheidungstheorie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wurden in Abschnitt 5.1 vorgestellt.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wichtigsten Erkenntnisse aus diesem Abschnitt </w:t>
      </w:r>
      <w:r w:rsidR="00B6194A">
        <w:rPr>
          <w:rFonts w:ascii="pli" w:hAnsi="pli" w:cs="pli"/>
          <w:kern w:val="0"/>
          <w:sz w:val="20"/>
          <w:szCs w:val="20"/>
          <w:lang w:val="en-GB"/>
        </w:rPr>
        <w:t xml:space="preserve">waren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relevanten Definitionen des Zustandsraums, der Entscheidungsfunktionen und der Verlustfunktionen,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schließlich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Risikofunktion. Dies sind die Elemente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,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 in Bezug auf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Probleme der statistischen Entscheidungstheorie formuliert,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analysiert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und bewertet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werden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Konsolidierung einer Risikofunktion zu einer einzigen Zahl ist keine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sehr einfache Aufgabe. Es ist jedoch ein Ideal, das wir anstreben,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um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 beste Entscheidungsfunktion für ein bestimmtes Problem zu wählen. Zu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diesem Zweck haben wir Minimax- und Bayes-Risiken und die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damit verbundenen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Entscheidungsfunktionen.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Schließlich haben wir den Begriff der Zulässigkeit erörtert. Dieser Begriff ist eine Eigenschaft einer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Entscheidungsfunktion, die wünschenswert ist. Das Konzept der Zulässigkeit wurde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anhand einiger Beispiele erörtert. Das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Stein'sche Paradoxon war das letzte Thema von 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Abschnitt 5.3. Wir gaben ein Beispiel für einen James-Stein-Schätzer (</w:t>
      </w:r>
      <w:r w:rsidRPr="000F1307">
        <w:rPr>
          <w:rFonts w:ascii="pli" w:hAnsi="pli" w:cs="pli"/>
          <w:kern w:val="0"/>
          <w:sz w:val="20"/>
          <w:szCs w:val="20"/>
          <w:lang w:val="en-GB"/>
        </w:rPr>
        <w:t xml:space="preserve">Entscheidungsfunktion), der zulässig ist.</w:t>
      </w:r>
    </w:p>
    <w:sectPr w:rsidRPr="00B6194A" w:rsidR="002D4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`~|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li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8"/>
    <w:rsid w:val="00081A41"/>
    <w:rsid w:val="00094353"/>
    <w:rsid w:val="000F1307"/>
    <w:rsid w:val="0012522A"/>
    <w:rsid w:val="00145141"/>
    <w:rsid w:val="001C5359"/>
    <w:rsid w:val="002401C8"/>
    <w:rsid w:val="002435A4"/>
    <w:rsid w:val="00280966"/>
    <w:rsid w:val="002D4DB5"/>
    <w:rsid w:val="002E5D62"/>
    <w:rsid w:val="0036038D"/>
    <w:rsid w:val="00392224"/>
    <w:rsid w:val="00392780"/>
    <w:rsid w:val="00467ADD"/>
    <w:rsid w:val="004701AE"/>
    <w:rsid w:val="004C49F4"/>
    <w:rsid w:val="005E07C3"/>
    <w:rsid w:val="00602D1F"/>
    <w:rsid w:val="00641A23"/>
    <w:rsid w:val="006535E6"/>
    <w:rsid w:val="006F07F3"/>
    <w:rsid w:val="00737558"/>
    <w:rsid w:val="00741088"/>
    <w:rsid w:val="007513F8"/>
    <w:rsid w:val="00763ED3"/>
    <w:rsid w:val="007B634C"/>
    <w:rsid w:val="00807961"/>
    <w:rsid w:val="008209C4"/>
    <w:rsid w:val="00842298"/>
    <w:rsid w:val="00955A54"/>
    <w:rsid w:val="0095667A"/>
    <w:rsid w:val="009905CB"/>
    <w:rsid w:val="009E62E7"/>
    <w:rsid w:val="009F3506"/>
    <w:rsid w:val="009F4628"/>
    <w:rsid w:val="00A55AD5"/>
    <w:rsid w:val="00A707F4"/>
    <w:rsid w:val="00B6194A"/>
    <w:rsid w:val="00B823DA"/>
    <w:rsid w:val="00C02DCB"/>
    <w:rsid w:val="00C115E0"/>
    <w:rsid w:val="00C31BB8"/>
    <w:rsid w:val="00C34383"/>
    <w:rsid w:val="00DB2905"/>
    <w:rsid w:val="00EA6D5B"/>
    <w:rsid w:val="00F25CC8"/>
    <w:rsid w:val="00F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B9E01A"/>
  <w15:chartTrackingRefBased/>
  <w15:docId w15:val="{05EA11EA-E687-AD40-BC10-9079544F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B5"/>
  </w:style>
  <w:style w:type="paragraph" w:styleId="Heading1">
    <w:name w:val="heading 1"/>
    <w:basedOn w:val="Normal"/>
    <w:next w:val="Normal"/>
    <w:link w:val="Heading1Char"/>
    <w:uiPriority w:val="9"/>
    <w:qFormat/>
    <w:rsid w:val="00B82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19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A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19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A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193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1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DA"/>
    <w:rPr>
      <w:rFonts w:asciiTheme="majorHAnsi" w:eastAsiaTheme="majorEastAsia" w:hAnsiTheme="majorHAnsi" w:cstheme="majorBidi"/>
      <w:b/>
      <w:color w:val="009193"/>
      <w:sz w:val="36"/>
      <w:szCs w:val="32"/>
    </w:rPr>
  </w:style>
  <w:style w:type="paragraph" w:styleId="Title">
    <w:name w:val="Title"/>
    <w:aliases w:val="H3"/>
    <w:basedOn w:val="Normal"/>
    <w:next w:val="Normal"/>
    <w:link w:val="TitleChar"/>
    <w:uiPriority w:val="10"/>
    <w:qFormat/>
    <w:rsid w:val="00081A41"/>
    <w:pPr>
      <w:contextualSpacing/>
    </w:pPr>
    <w:rPr>
      <w:rFonts w:asciiTheme="majorHAnsi" w:eastAsiaTheme="majorEastAsia" w:hAnsiTheme="majorHAnsi" w:cstheme="majorBidi"/>
      <w:color w:val="009193"/>
      <w:spacing w:val="-10"/>
      <w:kern w:val="28"/>
      <w:sz w:val="32"/>
      <w:szCs w:val="56"/>
    </w:rPr>
  </w:style>
  <w:style w:type="character" w:customStyle="1" w:styleId="TitleChar">
    <w:name w:val="Title Char"/>
    <w:aliases w:val="H3 Char"/>
    <w:basedOn w:val="DefaultParagraphFont"/>
    <w:link w:val="Title"/>
    <w:uiPriority w:val="10"/>
    <w:rsid w:val="00081A41"/>
    <w:rPr>
      <w:rFonts w:asciiTheme="majorHAnsi" w:eastAsiaTheme="majorEastAsia" w:hAnsiTheme="majorHAnsi" w:cstheme="majorBidi"/>
      <w:color w:val="009193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1A41"/>
    <w:rPr>
      <w:rFonts w:asciiTheme="majorHAnsi" w:eastAsiaTheme="majorEastAsia" w:hAnsiTheme="majorHAnsi" w:cstheme="majorBidi"/>
      <w:b/>
      <w:color w:val="00919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A41"/>
    <w:rPr>
      <w:rFonts w:asciiTheme="majorHAnsi" w:eastAsiaTheme="majorEastAsia" w:hAnsiTheme="majorHAnsi" w:cstheme="majorBidi"/>
      <w:color w:val="00919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81A41"/>
    <w:rPr>
      <w:rFonts w:asciiTheme="majorHAnsi" w:eastAsiaTheme="majorEastAsia" w:hAnsiTheme="majorHAnsi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82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8</ap:TotalTime>
  <ap:Pages>7</ap:Pages>
  <ap:Words>4305</ap:Words>
  <ap:Characters>24540</ap:Characters>
  <ap:Application>Microsoft Office Word</ap:Application>
  <ap:DocSecurity>0</ap:DocSecurity>
  <ap:Lines>204</ap:Lines>
  <ap:Paragraphs>57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28788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Lila</dc:creator>
  <keywords>, docId:C6C23D8A94319B93D53BE55B3324A610</keywords>
  <dc:description/>
  <lastModifiedBy>Johnson, Lila</lastModifiedBy>
  <revision>30</revision>
  <dcterms:created xsi:type="dcterms:W3CDTF">2023-05-16T11:25:00.0000000Z</dcterms:created>
  <dcterms:modified xsi:type="dcterms:W3CDTF">2023-06-09T15:57:00.0000000Z</dcterms:modified>
</coreProperties>
</file>