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4F5A" w:rsidRPr="00202373" w:rsidRDefault="000C3D14" w:rsidP="00943C0A">
      <w:pPr>
        <w:pBdr>
          <w:top w:val="nil"/>
          <w:left w:val="nil"/>
          <w:bottom w:val="nil"/>
          <w:right w:val="nil"/>
          <w:between w:val="nil"/>
        </w:pBdr>
        <w:spacing w:after="120" w:line="360" w:lineRule="auto"/>
        <w:rPr>
          <w:rFonts w:asciiTheme="majorHAnsi" w:hAnsiTheme="majorHAnsi" w:cstheme="majorHAnsi"/>
          <w:b/>
          <w:color w:val="000000"/>
          <w:sz w:val="28"/>
          <w:szCs w:val="28"/>
        </w:rPr>
      </w:pPr>
      <w:r w:rsidRPr="00202373">
        <w:rPr>
          <w:rFonts w:asciiTheme="majorHAnsi" w:hAnsiTheme="majorHAnsi" w:cstheme="majorHAnsi"/>
          <w:b/>
          <w:color w:val="000000"/>
          <w:sz w:val="28"/>
          <w:szCs w:val="28"/>
        </w:rPr>
        <w:t>Wake Up and Keep Silent: Visualizing Jewish Aural Policies</w:t>
      </w:r>
    </w:p>
    <w:p w14:paraId="0000000A" w14:textId="77777777" w:rsidR="009B4F5A" w:rsidRPr="00202373" w:rsidRDefault="000C3D14" w:rsidP="00943C0A">
      <w:pPr>
        <w:pStyle w:val="Heading2"/>
        <w:rPr>
          <w:rFonts w:asciiTheme="majorHAnsi" w:hAnsiTheme="majorHAnsi" w:cstheme="majorHAnsi"/>
        </w:rPr>
      </w:pPr>
      <w:r w:rsidRPr="00202373">
        <w:rPr>
          <w:rFonts w:asciiTheme="majorHAnsi" w:hAnsiTheme="majorHAnsi" w:cstheme="majorHAnsi"/>
        </w:rPr>
        <w:t>Introduction: Visual Art in Aural Spaces</w:t>
      </w:r>
    </w:p>
    <w:p w14:paraId="0000000B" w14:textId="485CAEDC" w:rsidR="009B4F5A" w:rsidRPr="00202373" w:rsidRDefault="00FD6595" w:rsidP="00943C0A">
      <w:pPr>
        <w:spacing w:line="360" w:lineRule="auto"/>
        <w:rPr>
          <w:rFonts w:asciiTheme="majorHAnsi" w:hAnsiTheme="majorHAnsi" w:cstheme="majorHAnsi"/>
        </w:rPr>
      </w:pPr>
      <w:bookmarkStart w:id="0" w:name="_gjdgxs" w:colFirst="0" w:colLast="0"/>
      <w:bookmarkEnd w:id="0"/>
      <w:r>
        <w:rPr>
          <w:rFonts w:asciiTheme="majorHAnsi" w:hAnsiTheme="majorHAnsi" w:cstheme="majorHAnsi"/>
        </w:rPr>
        <w:t>T</w:t>
      </w:r>
      <w:r w:rsidR="00E230F7">
        <w:rPr>
          <w:rFonts w:asciiTheme="majorHAnsi" w:hAnsiTheme="majorHAnsi" w:cstheme="majorHAnsi"/>
        </w:rPr>
        <w:t>h</w:t>
      </w:r>
      <w:r>
        <w:rPr>
          <w:rFonts w:asciiTheme="majorHAnsi" w:hAnsiTheme="majorHAnsi" w:cstheme="majorHAnsi"/>
        </w:rPr>
        <w:t>e</w:t>
      </w:r>
      <w:r w:rsidR="00E230F7">
        <w:rPr>
          <w:rFonts w:asciiTheme="majorHAnsi" w:hAnsiTheme="majorHAnsi" w:cstheme="majorHAnsi"/>
        </w:rPr>
        <w:t xml:space="preserve"> </w:t>
      </w:r>
      <w:r w:rsidR="00654B80" w:rsidRPr="00202373">
        <w:rPr>
          <w:rFonts w:asciiTheme="majorHAnsi" w:hAnsiTheme="majorHAnsi" w:cstheme="majorHAnsi"/>
        </w:rPr>
        <w:t xml:space="preserve">chapter </w:t>
      </w:r>
      <w:r w:rsidR="0047576E">
        <w:rPr>
          <w:rFonts w:asciiTheme="majorHAnsi" w:hAnsiTheme="majorHAnsi" w:cstheme="majorHAnsi"/>
        </w:rPr>
        <w:t>on</w:t>
      </w:r>
      <w:r w:rsidR="00E230F7">
        <w:rPr>
          <w:rFonts w:asciiTheme="majorHAnsi" w:hAnsiTheme="majorHAnsi" w:cstheme="majorHAnsi"/>
        </w:rPr>
        <w:t xml:space="preserve"> </w:t>
      </w:r>
      <w:r w:rsidR="00654B80" w:rsidRPr="00202373">
        <w:rPr>
          <w:rFonts w:asciiTheme="majorHAnsi" w:hAnsiTheme="majorHAnsi" w:cstheme="majorHAnsi"/>
        </w:rPr>
        <w:t xml:space="preserve">ritual </w:t>
      </w:r>
      <w:r>
        <w:rPr>
          <w:rFonts w:asciiTheme="majorHAnsi" w:hAnsiTheme="majorHAnsi" w:cstheme="majorHAnsi"/>
        </w:rPr>
        <w:t>instruments,</w:t>
      </w:r>
      <w:r w:rsidR="00654B80" w:rsidRPr="00202373">
        <w:rPr>
          <w:rFonts w:asciiTheme="majorHAnsi" w:hAnsiTheme="majorHAnsi" w:cstheme="majorHAnsi"/>
        </w:rPr>
        <w:t xml:space="preserve"> </w:t>
      </w:r>
      <w:r w:rsidR="00E230F7">
        <w:rPr>
          <w:rFonts w:asciiTheme="majorHAnsi" w:hAnsiTheme="majorHAnsi" w:cstheme="majorHAnsi"/>
        </w:rPr>
        <w:t>inscriptions</w:t>
      </w:r>
      <w:r>
        <w:rPr>
          <w:rFonts w:asciiTheme="majorHAnsi" w:hAnsiTheme="majorHAnsi" w:cstheme="majorHAnsi"/>
        </w:rPr>
        <w:t>,</w:t>
      </w:r>
      <w:r w:rsidR="00E230F7">
        <w:rPr>
          <w:rFonts w:asciiTheme="majorHAnsi" w:hAnsiTheme="majorHAnsi" w:cstheme="majorHAnsi"/>
        </w:rPr>
        <w:t xml:space="preserve"> and images </w:t>
      </w:r>
      <w:r>
        <w:rPr>
          <w:rFonts w:asciiTheme="majorHAnsi" w:hAnsiTheme="majorHAnsi" w:cstheme="majorHAnsi"/>
        </w:rPr>
        <w:t xml:space="preserve">designed </w:t>
      </w:r>
      <w:r w:rsidR="00E230F7">
        <w:rPr>
          <w:rFonts w:asciiTheme="majorHAnsi" w:hAnsiTheme="majorHAnsi" w:cstheme="majorHAnsi"/>
        </w:rPr>
        <w:t xml:space="preserve">to </w:t>
      </w:r>
      <w:r w:rsidR="006C248D">
        <w:rPr>
          <w:rFonts w:asciiTheme="majorHAnsi" w:hAnsiTheme="majorHAnsi" w:cstheme="majorHAnsi"/>
        </w:rPr>
        <w:t xml:space="preserve">direct the behavior of Jewish </w:t>
      </w:r>
      <w:r w:rsidR="00C5195D" w:rsidRPr="00202373">
        <w:rPr>
          <w:rFonts w:asciiTheme="majorHAnsi" w:hAnsiTheme="majorHAnsi" w:cstheme="majorHAnsi"/>
        </w:rPr>
        <w:t xml:space="preserve">worshippers </w:t>
      </w:r>
      <w:r>
        <w:rPr>
          <w:rFonts w:asciiTheme="majorHAnsi" w:hAnsiTheme="majorHAnsi" w:cstheme="majorHAnsi"/>
        </w:rPr>
        <w:t xml:space="preserve">prior to </w:t>
      </w:r>
      <w:r w:rsidR="006C248D">
        <w:rPr>
          <w:rFonts w:asciiTheme="majorHAnsi" w:hAnsiTheme="majorHAnsi" w:cstheme="majorHAnsi"/>
        </w:rPr>
        <w:t xml:space="preserve">and </w:t>
      </w:r>
      <w:r w:rsidR="00654B80" w:rsidRPr="00202373">
        <w:rPr>
          <w:rFonts w:asciiTheme="majorHAnsi" w:hAnsiTheme="majorHAnsi" w:cstheme="majorHAnsi"/>
        </w:rPr>
        <w:t xml:space="preserve">during the </w:t>
      </w:r>
      <w:r w:rsidR="000D740B" w:rsidRPr="00202373">
        <w:rPr>
          <w:rFonts w:asciiTheme="majorHAnsi" w:hAnsiTheme="majorHAnsi" w:cstheme="majorHAnsi"/>
        </w:rPr>
        <w:t xml:space="preserve">synagogue </w:t>
      </w:r>
      <w:r w:rsidR="00654B80" w:rsidRPr="00202373">
        <w:rPr>
          <w:rFonts w:asciiTheme="majorHAnsi" w:hAnsiTheme="majorHAnsi" w:cstheme="majorHAnsi"/>
        </w:rPr>
        <w:t xml:space="preserve">service </w:t>
      </w:r>
      <w:r w:rsidR="000D740B" w:rsidRPr="00202373">
        <w:rPr>
          <w:rFonts w:asciiTheme="majorHAnsi" w:hAnsiTheme="majorHAnsi" w:cstheme="majorHAnsi"/>
        </w:rPr>
        <w:t xml:space="preserve">is my tribute to Prof. </w:t>
      </w:r>
      <w:r w:rsidR="000C3D14" w:rsidRPr="00202373">
        <w:rPr>
          <w:rFonts w:asciiTheme="majorHAnsi" w:hAnsiTheme="majorHAnsi" w:cstheme="majorHAnsi"/>
        </w:rPr>
        <w:t xml:space="preserve">Shalom </w:t>
      </w:r>
      <w:proofErr w:type="spellStart"/>
      <w:r w:rsidR="000C3D14" w:rsidRPr="00202373">
        <w:rPr>
          <w:rFonts w:asciiTheme="majorHAnsi" w:hAnsiTheme="majorHAnsi" w:cstheme="majorHAnsi"/>
        </w:rPr>
        <w:t>Sabar</w:t>
      </w:r>
      <w:proofErr w:type="spellEnd"/>
      <w:r w:rsidR="0047576E">
        <w:rPr>
          <w:rFonts w:asciiTheme="majorHAnsi" w:hAnsiTheme="majorHAnsi" w:cstheme="majorHAnsi"/>
        </w:rPr>
        <w:t>.</w:t>
      </w:r>
      <w:r w:rsidR="0047576E" w:rsidRPr="00202373">
        <w:rPr>
          <w:rFonts w:asciiTheme="majorHAnsi" w:hAnsiTheme="majorHAnsi" w:cstheme="majorHAnsi"/>
          <w:color w:val="000000"/>
          <w:vertAlign w:val="superscript"/>
        </w:rPr>
        <w:footnoteReference w:id="1"/>
      </w:r>
      <w:r w:rsidR="000C3D14" w:rsidRPr="00202373">
        <w:rPr>
          <w:rFonts w:asciiTheme="majorHAnsi" w:hAnsiTheme="majorHAnsi" w:cstheme="majorHAnsi"/>
        </w:rPr>
        <w:t xml:space="preserve"> </w:t>
      </w:r>
      <w:r w:rsidR="0047576E">
        <w:rPr>
          <w:rFonts w:asciiTheme="majorHAnsi" w:hAnsiTheme="majorHAnsi" w:cstheme="majorHAnsi"/>
        </w:rPr>
        <w:t xml:space="preserve">His </w:t>
      </w:r>
      <w:r w:rsidR="000C3D14" w:rsidRPr="00202373">
        <w:rPr>
          <w:rFonts w:asciiTheme="majorHAnsi" w:hAnsiTheme="majorHAnsi" w:cstheme="majorHAnsi"/>
        </w:rPr>
        <w:t xml:space="preserve">ample scientific oeuvre has expanded the scope of research of the artefacts produced in or for cohesive Jewish communities from the art historical and iconographic discourses to inquiries in a wider ethnographic perspective. His research of artistic crafts, mass art production, and ephemera has extended the tacit boundaries of Jewish art history that heretofore preoccupied with the masterworks, notable monuments, and most remarkable folk visual production. </w:t>
      </w:r>
      <w:proofErr w:type="spellStart"/>
      <w:r w:rsidR="000C3D14" w:rsidRPr="00202373">
        <w:rPr>
          <w:rFonts w:asciiTheme="majorHAnsi" w:hAnsiTheme="majorHAnsi" w:cstheme="majorHAnsi"/>
        </w:rPr>
        <w:t>Sabar’s</w:t>
      </w:r>
      <w:proofErr w:type="spellEnd"/>
      <w:r w:rsidR="000C3D14" w:rsidRPr="00202373">
        <w:rPr>
          <w:rFonts w:asciiTheme="majorHAnsi" w:hAnsiTheme="majorHAnsi" w:cstheme="majorHAnsi"/>
        </w:rPr>
        <w:t xml:space="preserve"> works suggest that ritual, liturgical, household, and personal decorated objects, as well as illuminated manuscripts, prints, and paintings, which nowadays are untouchable showpieces in museums and private collections can be deeper understood if imagined in their original environments and performative uses. To mention but a fraction of his diverse investigations, the illuminated marriage contracts, amulets, Hanukkah lamps, and </w:t>
      </w:r>
      <w:proofErr w:type="spellStart"/>
      <w:r w:rsidR="000C3D14" w:rsidRPr="00202373">
        <w:rPr>
          <w:rFonts w:asciiTheme="majorHAnsi" w:hAnsiTheme="majorHAnsi" w:cstheme="majorHAnsi"/>
          <w:i/>
        </w:rPr>
        <w:t>Simḥat</w:t>
      </w:r>
      <w:proofErr w:type="spellEnd"/>
      <w:r w:rsidR="000C3D14" w:rsidRPr="00202373">
        <w:rPr>
          <w:rFonts w:asciiTheme="majorHAnsi" w:hAnsiTheme="majorHAnsi" w:cstheme="majorHAnsi"/>
          <w:i/>
        </w:rPr>
        <w:t xml:space="preserve"> Torah</w:t>
      </w:r>
      <w:r w:rsidR="000C3D14" w:rsidRPr="00202373">
        <w:rPr>
          <w:rFonts w:asciiTheme="majorHAnsi" w:hAnsiTheme="majorHAnsi" w:cstheme="majorHAnsi"/>
        </w:rPr>
        <w:t xml:space="preserve"> paper flags were designed to play a </w:t>
      </w:r>
      <w:r w:rsidR="00943C0A" w:rsidRPr="00202373">
        <w:rPr>
          <w:rFonts w:asciiTheme="majorHAnsi" w:hAnsiTheme="majorHAnsi" w:cstheme="majorHAnsi"/>
        </w:rPr>
        <w:t>role</w:t>
      </w:r>
      <w:r w:rsidR="000C3D14" w:rsidRPr="00202373">
        <w:rPr>
          <w:rFonts w:asciiTheme="majorHAnsi" w:hAnsiTheme="majorHAnsi" w:cstheme="majorHAnsi"/>
        </w:rPr>
        <w:t xml:space="preserve"> in rituals, ceremonies, or casual performances that </w:t>
      </w:r>
      <w:r w:rsidR="0077580C" w:rsidRPr="00202373">
        <w:rPr>
          <w:rFonts w:asciiTheme="majorHAnsi" w:hAnsiTheme="majorHAnsi" w:cstheme="majorHAnsi"/>
        </w:rPr>
        <w:t xml:space="preserve">activate </w:t>
      </w:r>
      <w:r w:rsidR="000C3D14" w:rsidRPr="00202373">
        <w:rPr>
          <w:rFonts w:asciiTheme="majorHAnsi" w:hAnsiTheme="majorHAnsi" w:cstheme="majorHAnsi"/>
        </w:rPr>
        <w:t xml:space="preserve">a </w:t>
      </w:r>
      <w:r w:rsidR="0077580C" w:rsidRPr="00202373">
        <w:rPr>
          <w:rFonts w:asciiTheme="majorHAnsi" w:hAnsiTheme="majorHAnsi" w:cstheme="majorHAnsi"/>
        </w:rPr>
        <w:t xml:space="preserve">variety </w:t>
      </w:r>
      <w:r w:rsidR="000C3D14" w:rsidRPr="00202373">
        <w:rPr>
          <w:rFonts w:asciiTheme="majorHAnsi" w:hAnsiTheme="majorHAnsi" w:cstheme="majorHAnsi"/>
        </w:rPr>
        <w:t>of human faculties.</w:t>
      </w:r>
      <w:r w:rsidR="000C3D14" w:rsidRPr="00202373">
        <w:rPr>
          <w:rFonts w:asciiTheme="majorHAnsi" w:hAnsiTheme="majorHAnsi" w:cstheme="majorHAnsi"/>
          <w:vertAlign w:val="superscript"/>
        </w:rPr>
        <w:footnoteReference w:id="2"/>
      </w:r>
      <w:r w:rsidR="000C3D14" w:rsidRPr="00202373">
        <w:rPr>
          <w:rFonts w:asciiTheme="majorHAnsi" w:hAnsiTheme="majorHAnsi" w:cstheme="majorHAnsi"/>
        </w:rPr>
        <w:t xml:space="preserve"> </w:t>
      </w:r>
    </w:p>
    <w:p w14:paraId="37D2805A" w14:textId="153867CB" w:rsidR="001173BF" w:rsidRPr="00202373" w:rsidRDefault="00943C0A" w:rsidP="00103332">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lastRenderedPageBreak/>
        <w:t xml:space="preserve">This </w:t>
      </w:r>
      <w:r w:rsidR="00103332" w:rsidRPr="00202373">
        <w:rPr>
          <w:rFonts w:asciiTheme="majorHAnsi" w:hAnsiTheme="majorHAnsi" w:cstheme="majorHAnsi"/>
          <w:color w:val="000000"/>
        </w:rPr>
        <w:t>study</w:t>
      </w:r>
      <w:r w:rsidRPr="00202373">
        <w:rPr>
          <w:rFonts w:asciiTheme="majorHAnsi" w:hAnsiTheme="majorHAnsi" w:cstheme="majorHAnsi"/>
          <w:color w:val="000000"/>
        </w:rPr>
        <w:t xml:space="preserve"> </w:t>
      </w:r>
      <w:r w:rsidR="00E230F7">
        <w:rPr>
          <w:rFonts w:asciiTheme="majorHAnsi" w:hAnsiTheme="majorHAnsi" w:cstheme="majorHAnsi"/>
          <w:color w:val="000000"/>
        </w:rPr>
        <w:t>examines</w:t>
      </w:r>
      <w:r w:rsidR="00103332" w:rsidRPr="00202373">
        <w:rPr>
          <w:rFonts w:asciiTheme="majorHAnsi" w:hAnsiTheme="majorHAnsi" w:cstheme="majorHAnsi"/>
          <w:color w:val="000000"/>
        </w:rPr>
        <w:t xml:space="preserve"> </w:t>
      </w:r>
      <w:r w:rsidRPr="00202373">
        <w:rPr>
          <w:rFonts w:asciiTheme="majorHAnsi" w:hAnsiTheme="majorHAnsi" w:cstheme="majorHAnsi"/>
          <w:color w:val="000000"/>
        </w:rPr>
        <w:t>the art</w:t>
      </w:r>
      <w:r w:rsidR="00103332" w:rsidRPr="00202373">
        <w:rPr>
          <w:rFonts w:asciiTheme="majorHAnsi" w:hAnsiTheme="majorHAnsi" w:cstheme="majorHAnsi"/>
          <w:color w:val="000000"/>
        </w:rPr>
        <w:t>i</w:t>
      </w:r>
      <w:r w:rsidRPr="00202373">
        <w:rPr>
          <w:rFonts w:asciiTheme="majorHAnsi" w:hAnsiTheme="majorHAnsi" w:cstheme="majorHAnsi"/>
          <w:color w:val="000000"/>
        </w:rPr>
        <w:t>s</w:t>
      </w:r>
      <w:r w:rsidR="00103332" w:rsidRPr="00202373">
        <w:rPr>
          <w:rFonts w:asciiTheme="majorHAnsi" w:hAnsiTheme="majorHAnsi" w:cstheme="majorHAnsi"/>
          <w:color w:val="000000"/>
        </w:rPr>
        <w:t>tic craft</w:t>
      </w:r>
      <w:r w:rsidRPr="00202373">
        <w:rPr>
          <w:rFonts w:asciiTheme="majorHAnsi" w:hAnsiTheme="majorHAnsi" w:cstheme="majorHAnsi"/>
          <w:color w:val="000000"/>
        </w:rPr>
        <w:t xml:space="preserve"> </w:t>
      </w:r>
      <w:r w:rsidR="00E230F7">
        <w:rPr>
          <w:rFonts w:asciiTheme="majorHAnsi" w:hAnsiTheme="majorHAnsi" w:cstheme="majorHAnsi"/>
          <w:color w:val="000000"/>
        </w:rPr>
        <w:t xml:space="preserve">production that </w:t>
      </w:r>
      <w:r w:rsidRPr="00202373">
        <w:rPr>
          <w:rFonts w:asciiTheme="majorHAnsi" w:hAnsiTheme="majorHAnsi" w:cstheme="majorHAnsi"/>
          <w:color w:val="000000"/>
        </w:rPr>
        <w:t>appeal</w:t>
      </w:r>
      <w:r w:rsidR="00E230F7">
        <w:rPr>
          <w:rFonts w:asciiTheme="majorHAnsi" w:hAnsiTheme="majorHAnsi" w:cstheme="majorHAnsi"/>
          <w:color w:val="000000"/>
        </w:rPr>
        <w:t>s</w:t>
      </w:r>
      <w:r w:rsidRPr="00202373">
        <w:rPr>
          <w:rFonts w:asciiTheme="majorHAnsi" w:hAnsiTheme="majorHAnsi" w:cstheme="majorHAnsi"/>
          <w:color w:val="000000"/>
        </w:rPr>
        <w:t xml:space="preserve"> to the sense of hearing and contribute to the “aural space” or “soundscape” </w:t>
      </w:r>
      <w:r w:rsidR="00103332" w:rsidRPr="00202373">
        <w:rPr>
          <w:rFonts w:asciiTheme="majorHAnsi" w:hAnsiTheme="majorHAnsi" w:cstheme="majorHAnsi"/>
          <w:color w:val="000000"/>
        </w:rPr>
        <w:t xml:space="preserve">(that is, the perceiving and production of natural or artificial sounds) </w:t>
      </w:r>
      <w:r w:rsidRPr="00202373">
        <w:rPr>
          <w:rFonts w:asciiTheme="majorHAnsi" w:hAnsiTheme="majorHAnsi" w:cstheme="majorHAnsi"/>
          <w:color w:val="000000"/>
        </w:rPr>
        <w:t>of traditional Jewish communities.</w:t>
      </w:r>
      <w:r w:rsidRPr="00202373">
        <w:rPr>
          <w:rFonts w:asciiTheme="majorHAnsi" w:hAnsiTheme="majorHAnsi" w:cstheme="majorHAnsi"/>
          <w:color w:val="000000"/>
          <w:vertAlign w:val="superscript"/>
        </w:rPr>
        <w:footnoteReference w:id="3"/>
      </w:r>
      <w:r w:rsidRPr="00202373">
        <w:rPr>
          <w:rFonts w:asciiTheme="majorHAnsi" w:hAnsiTheme="majorHAnsi" w:cstheme="majorHAnsi"/>
          <w:color w:val="000000"/>
        </w:rPr>
        <w:t xml:space="preserve"> The shofar horns, Purim </w:t>
      </w:r>
      <w:r w:rsidR="00103332" w:rsidRPr="00202373">
        <w:rPr>
          <w:rFonts w:asciiTheme="majorHAnsi" w:hAnsiTheme="majorHAnsi" w:cstheme="majorHAnsi"/>
          <w:color w:val="000000"/>
        </w:rPr>
        <w:t>noise makers (</w:t>
      </w:r>
      <w:r w:rsidRPr="00202373">
        <w:rPr>
          <w:rFonts w:asciiTheme="majorHAnsi" w:hAnsiTheme="majorHAnsi" w:cstheme="majorHAnsi"/>
          <w:color w:val="000000"/>
        </w:rPr>
        <w:t>groggers, rattles, and mallets</w:t>
      </w:r>
      <w:r w:rsidR="00103332" w:rsidRPr="00202373">
        <w:rPr>
          <w:rFonts w:asciiTheme="majorHAnsi" w:hAnsiTheme="majorHAnsi" w:cstheme="majorHAnsi"/>
          <w:color w:val="000000"/>
        </w:rPr>
        <w:t>)</w:t>
      </w:r>
      <w:r w:rsidRPr="00202373">
        <w:rPr>
          <w:rFonts w:asciiTheme="majorHAnsi" w:hAnsiTheme="majorHAnsi" w:cstheme="majorHAnsi"/>
          <w:color w:val="000000"/>
        </w:rPr>
        <w:t xml:space="preserve"> </w:t>
      </w:r>
      <w:r w:rsidR="00103332" w:rsidRPr="00202373">
        <w:rPr>
          <w:rFonts w:asciiTheme="majorHAnsi" w:hAnsiTheme="majorHAnsi" w:cstheme="majorHAnsi"/>
          <w:color w:val="000000"/>
        </w:rPr>
        <w:t>and decorated or inscribed shofars are p</w:t>
      </w:r>
      <w:r w:rsidRPr="00202373">
        <w:rPr>
          <w:rFonts w:asciiTheme="majorHAnsi" w:hAnsiTheme="majorHAnsi" w:cstheme="majorHAnsi"/>
          <w:color w:val="000000"/>
        </w:rPr>
        <w:t xml:space="preserve">erhaps the most remarkable and better explored kinds of </w:t>
      </w:r>
      <w:r w:rsidR="00103332" w:rsidRPr="00202373">
        <w:rPr>
          <w:rFonts w:asciiTheme="majorHAnsi" w:hAnsiTheme="majorHAnsi" w:cstheme="majorHAnsi"/>
          <w:color w:val="000000"/>
        </w:rPr>
        <w:t xml:space="preserve">hearable </w:t>
      </w:r>
      <w:r w:rsidRPr="00202373">
        <w:rPr>
          <w:rFonts w:asciiTheme="majorHAnsi" w:hAnsiTheme="majorHAnsi" w:cstheme="majorHAnsi"/>
          <w:color w:val="000000"/>
        </w:rPr>
        <w:t>art</w:t>
      </w:r>
      <w:r w:rsidR="00103332" w:rsidRPr="00202373">
        <w:rPr>
          <w:rFonts w:asciiTheme="majorHAnsi" w:hAnsiTheme="majorHAnsi" w:cstheme="majorHAnsi"/>
          <w:color w:val="000000"/>
        </w:rPr>
        <w:t>efacts</w:t>
      </w:r>
      <w:r w:rsidRPr="00202373">
        <w:rPr>
          <w:rFonts w:asciiTheme="majorHAnsi" w:hAnsiTheme="majorHAnsi" w:cstheme="majorHAnsi"/>
          <w:color w:val="000000"/>
        </w:rPr>
        <w:t xml:space="preserve"> used for liturgical purposes.</w:t>
      </w:r>
      <w:r w:rsidRPr="00202373">
        <w:rPr>
          <w:rFonts w:asciiTheme="majorHAnsi" w:hAnsiTheme="majorHAnsi" w:cstheme="majorHAnsi"/>
          <w:color w:val="000000"/>
          <w:vertAlign w:val="superscript"/>
        </w:rPr>
        <w:footnoteReference w:id="4"/>
      </w:r>
      <w:r w:rsidRPr="00202373">
        <w:rPr>
          <w:rFonts w:asciiTheme="majorHAnsi" w:hAnsiTheme="majorHAnsi" w:cstheme="majorHAnsi"/>
          <w:color w:val="000000"/>
        </w:rPr>
        <w:t xml:space="preserve"> </w:t>
      </w:r>
      <w:r w:rsidR="00FD6595">
        <w:rPr>
          <w:rFonts w:asciiTheme="majorHAnsi" w:hAnsiTheme="majorHAnsi" w:cstheme="majorHAnsi"/>
          <w:color w:val="000000"/>
        </w:rPr>
        <w:t>In distinction, m</w:t>
      </w:r>
      <w:r w:rsidR="001173BF" w:rsidRPr="00202373">
        <w:rPr>
          <w:rFonts w:asciiTheme="majorHAnsi" w:hAnsiTheme="majorHAnsi" w:cstheme="majorHAnsi"/>
          <w:color w:val="000000"/>
        </w:rPr>
        <w:t xml:space="preserve">y </w:t>
      </w:r>
      <w:r w:rsidR="00FD6595">
        <w:rPr>
          <w:rFonts w:asciiTheme="majorHAnsi" w:hAnsiTheme="majorHAnsi" w:cstheme="majorHAnsi"/>
          <w:color w:val="000000"/>
        </w:rPr>
        <w:t>focus is on</w:t>
      </w:r>
      <w:r w:rsidR="001173BF" w:rsidRPr="00202373">
        <w:rPr>
          <w:rFonts w:asciiTheme="majorHAnsi" w:hAnsiTheme="majorHAnsi" w:cstheme="majorHAnsi"/>
          <w:color w:val="000000"/>
        </w:rPr>
        <w:t xml:space="preserve"> </w:t>
      </w:r>
      <w:r w:rsidR="00202373" w:rsidRPr="00202373">
        <w:rPr>
          <w:rFonts w:asciiTheme="majorHAnsi" w:hAnsiTheme="majorHAnsi" w:cstheme="majorHAnsi"/>
          <w:color w:val="000000"/>
        </w:rPr>
        <w:t xml:space="preserve">the </w:t>
      </w:r>
      <w:r w:rsidR="00103332" w:rsidRPr="00202373">
        <w:rPr>
          <w:rFonts w:asciiTheme="majorHAnsi" w:hAnsiTheme="majorHAnsi" w:cstheme="majorHAnsi"/>
          <w:color w:val="000000"/>
        </w:rPr>
        <w:t xml:space="preserve">hitherto understudied </w:t>
      </w:r>
      <w:r w:rsidR="001173BF" w:rsidRPr="00202373">
        <w:rPr>
          <w:rFonts w:asciiTheme="majorHAnsi" w:hAnsiTheme="majorHAnsi" w:cstheme="majorHAnsi"/>
          <w:color w:val="000000"/>
        </w:rPr>
        <w:t>artefacts that provide ancillary support to audible para-liturgical and liturgical activities: the knockers announcing the ritual times,</w:t>
      </w:r>
      <w:r w:rsidR="001173BF" w:rsidRPr="00202373">
        <w:rPr>
          <w:rFonts w:asciiTheme="majorHAnsi" w:hAnsiTheme="majorHAnsi" w:cstheme="majorHAnsi"/>
          <w:color w:val="000000"/>
          <w:vertAlign w:val="superscript"/>
        </w:rPr>
        <w:footnoteReference w:id="5"/>
      </w:r>
      <w:r w:rsidR="001173BF" w:rsidRPr="00202373">
        <w:rPr>
          <w:rFonts w:asciiTheme="majorHAnsi" w:hAnsiTheme="majorHAnsi" w:cstheme="majorHAnsi"/>
          <w:color w:val="000000"/>
        </w:rPr>
        <w:t xml:space="preserve"> the </w:t>
      </w:r>
      <w:r w:rsidR="001173BF" w:rsidRPr="00202373">
        <w:rPr>
          <w:rFonts w:asciiTheme="majorHAnsi" w:hAnsiTheme="majorHAnsi" w:cstheme="majorHAnsi"/>
          <w:color w:val="000000"/>
        </w:rPr>
        <w:lastRenderedPageBreak/>
        <w:t>pointers guiding the reading aloud of sacred texts; and the devices, inscriptions, and images urging the synagogue worshippers to abstain from chatting during the prayer.</w:t>
      </w:r>
    </w:p>
    <w:p w14:paraId="0000000D" w14:textId="77777777" w:rsidR="009B4F5A" w:rsidRPr="00202373" w:rsidRDefault="000C3D14" w:rsidP="00943C0A">
      <w:pPr>
        <w:pStyle w:val="Heading2"/>
        <w:rPr>
          <w:rFonts w:asciiTheme="majorHAnsi" w:hAnsiTheme="majorHAnsi" w:cstheme="majorHAnsi"/>
        </w:rPr>
      </w:pPr>
      <w:r w:rsidRPr="00202373">
        <w:rPr>
          <w:rFonts w:asciiTheme="majorHAnsi" w:hAnsiTheme="majorHAnsi" w:cstheme="majorHAnsi"/>
        </w:rPr>
        <w:t>Announcing the Times</w:t>
      </w:r>
    </w:p>
    <w:p w14:paraId="0000000E" w14:textId="77777777" w:rsidR="009B4F5A" w:rsidRPr="00202373" w:rsidRDefault="000C3D14" w:rsidP="00943C0A">
      <w:pPr>
        <w:spacing w:line="360" w:lineRule="auto"/>
        <w:rPr>
          <w:rFonts w:asciiTheme="majorHAnsi" w:hAnsiTheme="majorHAnsi" w:cstheme="majorHAnsi"/>
        </w:rPr>
      </w:pPr>
      <w:r w:rsidRPr="00202373">
        <w:rPr>
          <w:rFonts w:asciiTheme="majorHAnsi" w:hAnsiTheme="majorHAnsi" w:cstheme="majorHAnsi"/>
        </w:rPr>
        <w:t>Since the antiquity, the astronomical cycles inspired people to accept the continuous and irreversible timestream as cyclical. This perception created the calendars that group the days according to the sun’s and/or moon’s revolution, into weeks and months, and define a certain date as the “new year,” i.e., the starting point of an annual cycle.</w:t>
      </w:r>
      <w:r w:rsidRPr="00202373">
        <w:rPr>
          <w:rFonts w:asciiTheme="majorHAnsi" w:hAnsiTheme="majorHAnsi" w:cstheme="majorHAnsi"/>
          <w:vertAlign w:val="superscript"/>
        </w:rPr>
        <w:footnoteReference w:id="6"/>
      </w:r>
      <w:r w:rsidRPr="00202373">
        <w:rPr>
          <w:rFonts w:asciiTheme="majorHAnsi" w:hAnsiTheme="majorHAnsi" w:cstheme="majorHAnsi"/>
        </w:rPr>
        <w:t xml:space="preserve"> </w:t>
      </w:r>
    </w:p>
    <w:p w14:paraId="0000000F" w14:textId="77777777"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t>Mircea Eliade (1907–1986) contended that in traditional societies and religions, the rituals relying on the circular concept of time celebrated the “eternal return” of pivotal mythological or historical events.</w:t>
      </w:r>
      <w:r w:rsidRPr="00202373">
        <w:rPr>
          <w:rFonts w:asciiTheme="majorHAnsi" w:hAnsiTheme="majorHAnsi" w:cstheme="majorHAnsi"/>
          <w:color w:val="000000"/>
          <w:vertAlign w:val="superscript"/>
        </w:rPr>
        <w:footnoteReference w:id="7"/>
      </w:r>
      <w:r w:rsidRPr="00202373">
        <w:rPr>
          <w:rFonts w:asciiTheme="majorHAnsi" w:hAnsiTheme="majorHAnsi" w:cstheme="majorHAnsi"/>
          <w:color w:val="000000"/>
        </w:rPr>
        <w:t xml:space="preserve"> A common calendar consolidated the scattered adherents of a certain cult and assured their synchronic performance of identical rituals. When the astronomic observations necessary for reckoning the dates of rituals returned uncertain, social, and artificial means were employed to determine the cycle’s turning point. The Mishnaic tractate </w:t>
      </w:r>
      <w:r w:rsidRPr="00202373">
        <w:rPr>
          <w:rFonts w:asciiTheme="majorHAnsi" w:hAnsiTheme="majorHAnsi" w:cstheme="majorHAnsi"/>
          <w:i/>
          <w:color w:val="000000"/>
        </w:rPr>
        <w:t>Rosh ha-Shanah</w:t>
      </w:r>
      <w:r w:rsidRPr="00202373">
        <w:rPr>
          <w:rFonts w:asciiTheme="majorHAnsi" w:hAnsiTheme="majorHAnsi" w:cstheme="majorHAnsi"/>
          <w:color w:val="000000"/>
        </w:rPr>
        <w:t xml:space="preserve"> (New Year) provides a third-century CE record of Jewish methods of announcing a new month. A court of judges in Jerusalem validated the reports of witnesses who </w:t>
      </w:r>
      <w:r w:rsidRPr="00202373">
        <w:rPr>
          <w:rFonts w:asciiTheme="majorHAnsi" w:hAnsiTheme="majorHAnsi" w:cstheme="majorHAnsi"/>
          <w:color w:val="000000"/>
        </w:rPr>
        <w:lastRenderedPageBreak/>
        <w:t>had sighted the new moon.</w:t>
      </w:r>
      <w:r w:rsidRPr="00202373">
        <w:rPr>
          <w:rFonts w:asciiTheme="majorHAnsi" w:hAnsiTheme="majorHAnsi" w:cstheme="majorHAnsi"/>
          <w:color w:val="000000"/>
          <w:vertAlign w:val="superscript"/>
        </w:rPr>
        <w:footnoteReference w:id="8"/>
      </w:r>
      <w:r w:rsidRPr="00202373">
        <w:rPr>
          <w:rFonts w:asciiTheme="majorHAnsi" w:hAnsiTheme="majorHAnsi" w:cstheme="majorHAnsi"/>
          <w:color w:val="000000"/>
        </w:rPr>
        <w:t xml:space="preserve"> To transmit the court’s decision to the Jews in Babylonia, beacons were kindled on the mountaintops, from one peak to another. The optical signalization was fast, but vulnerable: the Samaritans corrupted it by lighting torches at the wrong times. Thus, the sages shifted to a slower but more secured communication by messengers who informed the Jews in the Diaspora of the start of the month.</w:t>
      </w:r>
      <w:r w:rsidRPr="00202373">
        <w:rPr>
          <w:rFonts w:asciiTheme="majorHAnsi" w:hAnsiTheme="majorHAnsi" w:cstheme="majorHAnsi"/>
          <w:color w:val="000000"/>
          <w:vertAlign w:val="superscript"/>
        </w:rPr>
        <w:footnoteReference w:id="9"/>
      </w:r>
    </w:p>
    <w:p w14:paraId="00000010" w14:textId="77777777" w:rsidR="009B4F5A" w:rsidRPr="00202373" w:rsidRDefault="000C3D14" w:rsidP="00943C0A">
      <w:pPr>
        <w:spacing w:line="360" w:lineRule="auto"/>
        <w:ind w:firstLine="720"/>
        <w:rPr>
          <w:rFonts w:asciiTheme="majorHAnsi" w:hAnsiTheme="majorHAnsi" w:cstheme="majorHAnsi"/>
        </w:rPr>
      </w:pPr>
      <w:r w:rsidRPr="00202373">
        <w:rPr>
          <w:rFonts w:asciiTheme="majorHAnsi" w:hAnsiTheme="majorHAnsi" w:cstheme="majorHAnsi"/>
        </w:rPr>
        <w:t>A diurnal cycle of the Earth’s revolution is sacralized by everyday worship.</w:t>
      </w:r>
      <w:r w:rsidRPr="00202373">
        <w:rPr>
          <w:rFonts w:asciiTheme="majorHAnsi" w:hAnsiTheme="majorHAnsi" w:cstheme="majorHAnsi"/>
          <w:vertAlign w:val="superscript"/>
        </w:rPr>
        <w:footnoteReference w:id="10"/>
      </w:r>
      <w:r w:rsidRPr="00202373">
        <w:rPr>
          <w:rFonts w:asciiTheme="majorHAnsi" w:hAnsiTheme="majorHAnsi" w:cstheme="majorHAnsi"/>
        </w:rPr>
        <w:t xml:space="preserve"> The sunrise and sunset establish the primary anchors for reckoning the times of recurring daily rituals and prayers. Before the invention of mechanical devices for measuring of time, the subdivision of the daylight and night periods into shorter lapses of time, which we call “hours,” was based mainly on social conventions.</w:t>
      </w:r>
      <w:r w:rsidRPr="00202373">
        <w:rPr>
          <w:rFonts w:asciiTheme="majorHAnsi" w:hAnsiTheme="majorHAnsi" w:cstheme="majorHAnsi"/>
          <w:vertAlign w:val="superscript"/>
        </w:rPr>
        <w:footnoteReference w:id="11"/>
      </w:r>
      <w:r w:rsidRPr="00202373">
        <w:rPr>
          <w:rFonts w:asciiTheme="majorHAnsi" w:hAnsiTheme="majorHAnsi" w:cstheme="majorHAnsi"/>
        </w:rPr>
        <w:t xml:space="preserve"> In the sunny climates, the people may observe the apparent progress of the moon and sun through the sky or the sun shadow’s length during the daylight. However, the common people could barely rely on celestial signs, shadows, or intuition to manage precise horology within the light and dark periods.</w:t>
      </w:r>
      <w:r w:rsidRPr="00202373">
        <w:rPr>
          <w:rFonts w:asciiTheme="majorHAnsi" w:hAnsiTheme="majorHAnsi" w:cstheme="majorHAnsi"/>
          <w:vertAlign w:val="superscript"/>
        </w:rPr>
        <w:footnoteReference w:id="12"/>
      </w:r>
      <w:r w:rsidRPr="00202373">
        <w:rPr>
          <w:rFonts w:asciiTheme="majorHAnsi" w:hAnsiTheme="majorHAnsi" w:cstheme="majorHAnsi"/>
        </w:rPr>
        <w:t xml:space="preserve"> To ensure that worshippers begin the daily ritual in the assigned time, the hour should be announced to the congregation in short advance. </w:t>
      </w:r>
    </w:p>
    <w:p w14:paraId="00000011" w14:textId="77777777" w:rsidR="009B4F5A" w:rsidRPr="00202373" w:rsidRDefault="000C3D14" w:rsidP="00943C0A">
      <w:pPr>
        <w:spacing w:line="360" w:lineRule="auto"/>
        <w:ind w:firstLine="720"/>
        <w:rPr>
          <w:rFonts w:asciiTheme="majorHAnsi" w:hAnsiTheme="majorHAnsi" w:cstheme="majorHAnsi"/>
        </w:rPr>
      </w:pPr>
      <w:bookmarkStart w:id="4" w:name="_30j0zll" w:colFirst="0" w:colLast="0"/>
      <w:bookmarkEnd w:id="4"/>
      <w:r w:rsidRPr="00202373">
        <w:rPr>
          <w:rFonts w:asciiTheme="majorHAnsi" w:hAnsiTheme="majorHAnsi" w:cstheme="majorHAnsi"/>
        </w:rPr>
        <w:t xml:space="preserve">A shofar (horn) and trumpets are referred to in the Bible and later Jewish sources as the instruments sounding to signify theophany, military alarm and triumph, and to accompany the </w:t>
      </w:r>
      <w:r w:rsidRPr="00202373">
        <w:rPr>
          <w:rFonts w:asciiTheme="majorHAnsi" w:hAnsiTheme="majorHAnsi" w:cstheme="majorHAnsi"/>
        </w:rPr>
        <w:lastRenderedPageBreak/>
        <w:t>temple activities.</w:t>
      </w:r>
      <w:r w:rsidRPr="00202373">
        <w:rPr>
          <w:rFonts w:asciiTheme="majorHAnsi" w:hAnsiTheme="majorHAnsi" w:cstheme="majorHAnsi"/>
          <w:vertAlign w:val="superscript"/>
        </w:rPr>
        <w:footnoteReference w:id="13"/>
      </w:r>
      <w:r w:rsidRPr="00202373">
        <w:rPr>
          <w:rFonts w:asciiTheme="majorHAnsi" w:hAnsiTheme="majorHAnsi" w:cstheme="majorHAnsi"/>
        </w:rPr>
        <w:t xml:space="preserve"> The horn and metallic wind instruments, though differing in the tone, issued piercing sounds that were apt to signal ritual times. Along with the employment of shofar’s voice for celebrating the Jubilee year, new year, Day of Atonement, and new moon (as well as in addition to its supernal, liturgical, ritual, ceremonial, apotropaic, mystical, and military uses),</w:t>
      </w:r>
      <w:r w:rsidRPr="00202373">
        <w:rPr>
          <w:rFonts w:asciiTheme="majorHAnsi" w:hAnsiTheme="majorHAnsi" w:cstheme="majorHAnsi"/>
          <w:vertAlign w:val="superscript"/>
        </w:rPr>
        <w:footnoteReference w:id="14"/>
      </w:r>
      <w:r w:rsidRPr="00202373">
        <w:rPr>
          <w:rFonts w:asciiTheme="majorHAnsi" w:hAnsiTheme="majorHAnsi" w:cstheme="majorHAnsi"/>
        </w:rPr>
        <w:t xml:space="preserve"> the ancient Jews blew the shofar and trumpet to announce daily times. In the precincts of the Herodian Temple in Jerusalem, the priests announced the opening of the gates in the morning and daily offerings with a blast of trumpets.</w:t>
      </w:r>
      <w:r w:rsidRPr="00202373">
        <w:rPr>
          <w:rFonts w:asciiTheme="majorHAnsi" w:hAnsiTheme="majorHAnsi" w:cstheme="majorHAnsi"/>
          <w:vertAlign w:val="superscript"/>
        </w:rPr>
        <w:footnoteReference w:id="15"/>
      </w:r>
      <w:r w:rsidRPr="00202373">
        <w:rPr>
          <w:rFonts w:asciiTheme="majorHAnsi" w:hAnsiTheme="majorHAnsi" w:cstheme="majorHAnsi"/>
        </w:rPr>
        <w:t xml:space="preserve"> Trumpets were sounded from the topmost pinnacle of the Temple Mount to communicate the signal approaching, beginning, and end of the Sabbath to the people in the city of Jerusalem.</w:t>
      </w:r>
      <w:r w:rsidRPr="00202373">
        <w:rPr>
          <w:rFonts w:asciiTheme="majorHAnsi" w:hAnsiTheme="majorHAnsi" w:cstheme="majorHAnsi"/>
          <w:vertAlign w:val="superscript"/>
        </w:rPr>
        <w:footnoteReference w:id="16"/>
      </w:r>
      <w:r w:rsidRPr="00202373">
        <w:rPr>
          <w:rFonts w:asciiTheme="majorHAnsi" w:hAnsiTheme="majorHAnsi" w:cstheme="majorHAnsi"/>
        </w:rPr>
        <w:t xml:space="preserve"> Babylonian Talmud informs that the </w:t>
      </w:r>
      <w:r w:rsidRPr="00202373">
        <w:rPr>
          <w:rFonts w:asciiTheme="majorHAnsi" w:hAnsiTheme="majorHAnsi" w:cstheme="majorHAnsi"/>
        </w:rPr>
        <w:lastRenderedPageBreak/>
        <w:t>shofar’s signals introduced the three stages of the preparations for Shabbat, and this voice was heard in the city and countryside.</w:t>
      </w:r>
      <w:r w:rsidRPr="00202373">
        <w:rPr>
          <w:rFonts w:asciiTheme="majorHAnsi" w:hAnsiTheme="majorHAnsi" w:cstheme="majorHAnsi"/>
          <w:vertAlign w:val="superscript"/>
        </w:rPr>
        <w:footnoteReference w:id="17"/>
      </w:r>
    </w:p>
    <w:p w14:paraId="00000012" w14:textId="56D2519D" w:rsidR="009B4F5A" w:rsidRPr="00202373" w:rsidRDefault="000C3D14" w:rsidP="00943C0A">
      <w:pPr>
        <w:spacing w:line="360" w:lineRule="auto"/>
        <w:ind w:firstLine="720"/>
        <w:rPr>
          <w:rFonts w:asciiTheme="majorHAnsi" w:hAnsiTheme="majorHAnsi" w:cstheme="majorHAnsi"/>
        </w:rPr>
      </w:pPr>
      <w:r w:rsidRPr="00202373">
        <w:rPr>
          <w:rFonts w:asciiTheme="majorHAnsi" w:hAnsiTheme="majorHAnsi" w:cstheme="majorHAnsi"/>
        </w:rPr>
        <w:t xml:space="preserve">The trumpet sounds also synchronized the activities of closely-knit groups at enclosed compounds. Flavius Josephus wrote that in the Roman camps, the times for the daily collective procedures were </w:t>
      </w:r>
      <w:r w:rsidRPr="00202373">
        <w:rPr>
          <w:rFonts w:asciiTheme="majorHAnsi" w:eastAsia="Times" w:hAnsiTheme="majorHAnsi" w:cstheme="majorHAnsi"/>
        </w:rPr>
        <w:t xml:space="preserve">notified beforehand by the sound of a </w:t>
      </w:r>
      <w:proofErr w:type="spellStart"/>
      <w:r w:rsidRPr="00202373">
        <w:rPr>
          <w:rFonts w:asciiTheme="majorHAnsi" w:eastAsia="Times" w:hAnsiTheme="majorHAnsi" w:cstheme="majorHAnsi"/>
        </w:rPr>
        <w:t>σάλ</w:t>
      </w:r>
      <w:proofErr w:type="spellEnd"/>
      <w:r w:rsidRPr="00202373">
        <w:rPr>
          <w:rFonts w:asciiTheme="majorHAnsi" w:eastAsia="Times" w:hAnsiTheme="majorHAnsi" w:cstheme="majorHAnsi"/>
        </w:rPr>
        <w:t>πιγξ (trumpet), and the trumpet sound signaled each of the three stages of the soldiers’ preparations for a march.</w:t>
      </w:r>
      <w:r w:rsidRPr="00202373">
        <w:rPr>
          <w:rFonts w:asciiTheme="majorHAnsi" w:eastAsia="Times" w:hAnsiTheme="majorHAnsi" w:cstheme="majorHAnsi"/>
          <w:vertAlign w:val="superscript"/>
        </w:rPr>
        <w:footnoteReference w:id="18"/>
      </w:r>
      <w:r w:rsidRPr="00202373">
        <w:rPr>
          <w:rFonts w:asciiTheme="majorHAnsi" w:eastAsia="Times" w:hAnsiTheme="majorHAnsi" w:cstheme="majorHAnsi"/>
          <w:vertAlign w:val="superscript"/>
        </w:rPr>
        <w:t xml:space="preserve"> </w:t>
      </w:r>
      <w:r w:rsidRPr="00202373">
        <w:rPr>
          <w:rFonts w:asciiTheme="majorHAnsi" w:hAnsiTheme="majorHAnsi" w:cstheme="majorHAnsi"/>
        </w:rPr>
        <w:t>In early-fourth-century Egypt, the voice of trumpet called the monks to assembly and daily prayers.</w:t>
      </w:r>
      <w:r w:rsidRPr="00202373">
        <w:rPr>
          <w:rFonts w:asciiTheme="majorHAnsi" w:hAnsiTheme="majorHAnsi" w:cstheme="majorHAnsi"/>
          <w:vertAlign w:val="superscript"/>
        </w:rPr>
        <w:footnoteReference w:id="19"/>
      </w:r>
      <w:r w:rsidRPr="00202373">
        <w:rPr>
          <w:rFonts w:asciiTheme="majorHAnsi" w:hAnsiTheme="majorHAnsi" w:cstheme="majorHAnsi"/>
        </w:rPr>
        <w:t xml:space="preserve"> </w:t>
      </w:r>
    </w:p>
    <w:p w14:paraId="00000013" w14:textId="60F2AE24" w:rsidR="009B4F5A" w:rsidRPr="00202373" w:rsidRDefault="000C3D14" w:rsidP="00943C0A">
      <w:pPr>
        <w:spacing w:line="360" w:lineRule="auto"/>
        <w:ind w:firstLine="720"/>
        <w:rPr>
          <w:rFonts w:asciiTheme="majorHAnsi" w:hAnsiTheme="majorHAnsi" w:cstheme="majorHAnsi"/>
        </w:rPr>
      </w:pPr>
      <w:r w:rsidRPr="00202373">
        <w:rPr>
          <w:rFonts w:asciiTheme="majorHAnsi" w:hAnsiTheme="majorHAnsi" w:cstheme="majorHAnsi"/>
        </w:rPr>
        <w:t>Jews and early Christians employed percussion sounds that could have been a ritual sign or convocation.</w:t>
      </w:r>
      <w:r w:rsidRPr="00202373">
        <w:rPr>
          <w:rFonts w:asciiTheme="majorHAnsi" w:hAnsiTheme="majorHAnsi" w:cstheme="majorHAnsi"/>
          <w:vertAlign w:val="superscript"/>
        </w:rPr>
        <w:footnoteReference w:id="20"/>
      </w:r>
      <w:r w:rsidRPr="00202373">
        <w:rPr>
          <w:rFonts w:asciiTheme="majorHAnsi" w:hAnsiTheme="majorHAnsi" w:cstheme="majorHAnsi"/>
        </w:rPr>
        <w:t xml:space="preserve"> The discussion of hand flaps </w:t>
      </w:r>
      <w:r w:rsidR="001C28AB">
        <w:rPr>
          <w:rFonts w:asciiTheme="majorHAnsi" w:hAnsiTheme="majorHAnsi" w:cstheme="majorHAnsi"/>
        </w:rPr>
        <w:t xml:space="preserve">on Sabbath </w:t>
      </w:r>
      <w:r w:rsidRPr="00202373">
        <w:rPr>
          <w:rFonts w:asciiTheme="majorHAnsi" w:hAnsiTheme="majorHAnsi" w:cstheme="majorHAnsi"/>
        </w:rPr>
        <w:t xml:space="preserve">in Jerusalem Talmud, </w:t>
      </w:r>
      <w:proofErr w:type="spellStart"/>
      <w:r w:rsidRPr="00202373">
        <w:rPr>
          <w:rFonts w:asciiTheme="majorHAnsi" w:hAnsiTheme="majorHAnsi" w:cstheme="majorHAnsi"/>
          <w:i/>
        </w:rPr>
        <w:t>Beiẓa</w:t>
      </w:r>
      <w:proofErr w:type="spellEnd"/>
      <w:r w:rsidRPr="00202373">
        <w:rPr>
          <w:rFonts w:asciiTheme="majorHAnsi" w:hAnsiTheme="majorHAnsi" w:cstheme="majorHAnsi"/>
        </w:rPr>
        <w:t xml:space="preserve"> 5:2 refers to Rabbi Samuel bar Isaac (active in the late third of early fourth century, moved from Babylonia to the Land of Israel</w:t>
      </w:r>
      <w:r w:rsidRPr="00202373">
        <w:rPr>
          <w:rFonts w:asciiTheme="majorHAnsi" w:hAnsiTheme="majorHAnsi" w:cstheme="majorHAnsi"/>
          <w:vertAlign w:val="superscript"/>
        </w:rPr>
        <w:footnoteReference w:id="21"/>
      </w:r>
      <w:r w:rsidRPr="00202373">
        <w:rPr>
          <w:rFonts w:asciiTheme="majorHAnsi" w:hAnsiTheme="majorHAnsi" w:cstheme="majorHAnsi"/>
        </w:rPr>
        <w:t>), who “was in the opinion to knock for a new synagogue.”</w:t>
      </w:r>
      <w:r w:rsidRPr="00202373">
        <w:rPr>
          <w:rFonts w:asciiTheme="majorHAnsi" w:hAnsiTheme="majorHAnsi" w:cstheme="majorHAnsi"/>
          <w:vertAlign w:val="superscript"/>
        </w:rPr>
        <w:footnoteReference w:id="22"/>
      </w:r>
      <w:r w:rsidRPr="00202373">
        <w:rPr>
          <w:rFonts w:asciiTheme="majorHAnsi" w:hAnsiTheme="majorHAnsi" w:cstheme="majorHAnsi"/>
        </w:rPr>
        <w:t xml:space="preserve"> The text specifies neither what was his intention nor whether he struck the synagogue (presumably, synagogue’s door) by hand or by any beater.</w:t>
      </w:r>
      <w:r w:rsidRPr="00202373">
        <w:rPr>
          <w:rFonts w:asciiTheme="majorHAnsi" w:hAnsiTheme="majorHAnsi" w:cstheme="majorHAnsi"/>
          <w:vertAlign w:val="superscript"/>
        </w:rPr>
        <w:footnoteReference w:id="23"/>
      </w:r>
      <w:r w:rsidRPr="00202373">
        <w:rPr>
          <w:rFonts w:asciiTheme="majorHAnsi" w:hAnsiTheme="majorHAnsi" w:cstheme="majorHAnsi"/>
        </w:rPr>
        <w:t xml:space="preserve"> </w:t>
      </w:r>
    </w:p>
    <w:p w14:paraId="00000014" w14:textId="77777777" w:rsidR="009B4F5A" w:rsidRPr="00202373" w:rsidRDefault="000C3D14" w:rsidP="00943C0A">
      <w:pPr>
        <w:spacing w:line="360" w:lineRule="auto"/>
        <w:ind w:firstLine="720"/>
        <w:rPr>
          <w:rFonts w:asciiTheme="majorHAnsi" w:hAnsiTheme="majorHAnsi" w:cstheme="majorHAnsi"/>
        </w:rPr>
      </w:pPr>
      <w:r w:rsidRPr="00202373">
        <w:rPr>
          <w:rFonts w:asciiTheme="majorHAnsi" w:hAnsiTheme="majorHAnsi" w:cstheme="majorHAnsi"/>
        </w:rPr>
        <w:lastRenderedPageBreak/>
        <w:t xml:space="preserve">Still in the </w:t>
      </w:r>
      <w:r w:rsidRPr="00202373">
        <w:rPr>
          <w:rFonts w:asciiTheme="majorHAnsi" w:hAnsiTheme="majorHAnsi" w:cstheme="majorHAnsi"/>
          <w:vertAlign w:val="superscript"/>
        </w:rPr>
        <w:t xml:space="preserve"> </w:t>
      </w:r>
      <w:r w:rsidRPr="00202373">
        <w:rPr>
          <w:rFonts w:asciiTheme="majorHAnsi" w:hAnsiTheme="majorHAnsi" w:cstheme="majorHAnsi"/>
        </w:rPr>
        <w:t xml:space="preserve">early fourth century, another sound – streaking a hollow wood or wooden plank called </w:t>
      </w:r>
      <w:r w:rsidRPr="00202373">
        <w:rPr>
          <w:rFonts w:asciiTheme="majorHAnsi" w:hAnsiTheme="majorHAnsi" w:cstheme="majorHAnsi"/>
          <w:i/>
        </w:rPr>
        <w:t>semantron</w:t>
      </w:r>
      <w:r w:rsidRPr="00202373">
        <w:rPr>
          <w:rFonts w:asciiTheme="majorHAnsi" w:hAnsiTheme="majorHAnsi" w:cstheme="majorHAnsi"/>
        </w:rPr>
        <w:t xml:space="preserve"> in Greek (</w:t>
      </w:r>
      <w:proofErr w:type="spellStart"/>
      <w:r w:rsidRPr="00202373">
        <w:rPr>
          <w:rFonts w:asciiTheme="majorHAnsi" w:hAnsiTheme="majorHAnsi" w:cstheme="majorHAnsi"/>
        </w:rPr>
        <w:t>σήμ</w:t>
      </w:r>
      <w:proofErr w:type="spellEnd"/>
      <w:r w:rsidRPr="00202373">
        <w:rPr>
          <w:rFonts w:asciiTheme="majorHAnsi" w:hAnsiTheme="majorHAnsi" w:cstheme="majorHAnsi"/>
        </w:rPr>
        <w:t xml:space="preserve">αντρον, from </w:t>
      </w:r>
      <w:proofErr w:type="spellStart"/>
      <w:r w:rsidRPr="00202373">
        <w:rPr>
          <w:rFonts w:asciiTheme="majorHAnsi" w:hAnsiTheme="majorHAnsi" w:cstheme="majorHAnsi"/>
        </w:rPr>
        <w:t>σημ</w:t>
      </w:r>
      <w:proofErr w:type="spellEnd"/>
      <w:r w:rsidRPr="00202373">
        <w:rPr>
          <w:rFonts w:asciiTheme="majorHAnsi" w:hAnsiTheme="majorHAnsi" w:cstheme="majorHAnsi"/>
        </w:rPr>
        <w:t>αίνειν: “to give a signal”</w:t>
      </w:r>
      <w:r w:rsidRPr="00202373">
        <w:rPr>
          <w:rFonts w:asciiTheme="majorHAnsi" w:hAnsiTheme="majorHAnsi" w:cstheme="majorHAnsi"/>
          <w:vertAlign w:val="superscript"/>
        </w:rPr>
        <w:footnoteReference w:id="24"/>
      </w:r>
      <w:r w:rsidRPr="00202373">
        <w:rPr>
          <w:rFonts w:asciiTheme="majorHAnsi" w:hAnsiTheme="majorHAnsi" w:cstheme="majorHAnsi"/>
        </w:rPr>
        <w:t xml:space="preserve">) or </w:t>
      </w:r>
      <w:proofErr w:type="spellStart"/>
      <w:r w:rsidRPr="00202373">
        <w:rPr>
          <w:rFonts w:asciiTheme="majorHAnsi" w:hAnsiTheme="majorHAnsi" w:cstheme="majorHAnsi"/>
          <w:i/>
        </w:rPr>
        <w:t>nāqūs</w:t>
      </w:r>
      <w:proofErr w:type="spellEnd"/>
      <w:r w:rsidRPr="00202373">
        <w:rPr>
          <w:rFonts w:asciiTheme="majorHAnsi" w:hAnsiTheme="majorHAnsi" w:cstheme="majorHAnsi"/>
        </w:rPr>
        <w:t xml:space="preserve"> (</w:t>
      </w:r>
      <w:proofErr w:type="spellStart"/>
      <w:r w:rsidRPr="00202373">
        <w:rPr>
          <w:rFonts w:asciiTheme="majorHAnsi" w:hAnsiTheme="majorHAnsi" w:cstheme="majorHAnsi"/>
          <w:rtl/>
        </w:rPr>
        <w:t>ناقوس</w:t>
      </w:r>
      <w:proofErr w:type="spellEnd"/>
      <w:r w:rsidRPr="00202373">
        <w:rPr>
          <w:rFonts w:asciiTheme="majorHAnsi" w:hAnsiTheme="majorHAnsi" w:cstheme="majorHAnsi"/>
        </w:rPr>
        <w:t>) in Arabic – summoned the members of monastic communities in Levant.</w:t>
      </w:r>
      <w:r w:rsidRPr="00202373">
        <w:rPr>
          <w:rFonts w:asciiTheme="majorHAnsi" w:hAnsiTheme="majorHAnsi" w:cstheme="majorHAnsi"/>
          <w:vertAlign w:val="superscript"/>
        </w:rPr>
        <w:footnoteReference w:id="25"/>
      </w:r>
      <w:r w:rsidRPr="00202373">
        <w:rPr>
          <w:rFonts w:asciiTheme="majorHAnsi" w:hAnsiTheme="majorHAnsi" w:cstheme="majorHAnsi"/>
        </w:rPr>
        <w:t xml:space="preserve"> Edward Williams speculated that John </w:t>
      </w:r>
      <w:proofErr w:type="spellStart"/>
      <w:r w:rsidRPr="00202373">
        <w:rPr>
          <w:rFonts w:asciiTheme="majorHAnsi" w:hAnsiTheme="majorHAnsi" w:cstheme="majorHAnsi"/>
        </w:rPr>
        <w:t>Climacus</w:t>
      </w:r>
      <w:proofErr w:type="spellEnd"/>
      <w:r w:rsidRPr="00202373">
        <w:rPr>
          <w:rFonts w:asciiTheme="majorHAnsi" w:hAnsiTheme="majorHAnsi" w:cstheme="majorHAnsi"/>
        </w:rPr>
        <w:t>’ (ca. 579–649) mention of the “spiritual trumpet” of convocation that had replaced the trumpet and horn on Sinai, implied a monastic semantron.</w:t>
      </w:r>
      <w:r w:rsidRPr="00202373">
        <w:rPr>
          <w:rFonts w:asciiTheme="majorHAnsi" w:hAnsiTheme="majorHAnsi" w:cstheme="majorHAnsi"/>
          <w:vertAlign w:val="superscript"/>
        </w:rPr>
        <w:footnoteReference w:id="26"/>
      </w:r>
      <w:r w:rsidRPr="00202373">
        <w:rPr>
          <w:rFonts w:asciiTheme="majorHAnsi" w:hAnsiTheme="majorHAnsi" w:cstheme="majorHAnsi"/>
        </w:rPr>
        <w:t xml:space="preserve"> The use of wooden </w:t>
      </w:r>
      <w:proofErr w:type="spellStart"/>
      <w:r w:rsidRPr="00202373">
        <w:rPr>
          <w:rFonts w:asciiTheme="majorHAnsi" w:hAnsiTheme="majorHAnsi" w:cstheme="majorHAnsi"/>
        </w:rPr>
        <w:t>semantra</w:t>
      </w:r>
      <w:proofErr w:type="spellEnd"/>
      <w:r w:rsidRPr="00202373">
        <w:rPr>
          <w:rFonts w:asciiTheme="majorHAnsi" w:hAnsiTheme="majorHAnsi" w:cstheme="majorHAnsi"/>
        </w:rPr>
        <w:t xml:space="preserve"> spread in the Christian East, was occasionally adopted in the Western Church, and has survived in the contemporary orthodox monasteries.</w:t>
      </w:r>
      <w:r w:rsidRPr="00202373">
        <w:rPr>
          <w:rFonts w:asciiTheme="majorHAnsi" w:hAnsiTheme="majorHAnsi" w:cstheme="majorHAnsi"/>
          <w:vertAlign w:val="superscript"/>
        </w:rPr>
        <w:footnoteReference w:id="27"/>
      </w:r>
      <w:r w:rsidRPr="00202373">
        <w:rPr>
          <w:rFonts w:asciiTheme="majorHAnsi" w:hAnsiTheme="majorHAnsi" w:cstheme="majorHAnsi"/>
        </w:rPr>
        <w:t xml:space="preserve"> </w:t>
      </w:r>
    </w:p>
    <w:p w14:paraId="00000015" w14:textId="77777777"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t xml:space="preserve">The methods of acoustic announcement of the times addressed a varying scope of audience: from the entire community or its part to a household or person. The loud voices of shofars, trumpets, stationary </w:t>
      </w:r>
      <w:proofErr w:type="spellStart"/>
      <w:r w:rsidRPr="00202373">
        <w:rPr>
          <w:rFonts w:asciiTheme="majorHAnsi" w:hAnsiTheme="majorHAnsi" w:cstheme="majorHAnsi"/>
          <w:color w:val="000000"/>
        </w:rPr>
        <w:t>semantra</w:t>
      </w:r>
      <w:proofErr w:type="spellEnd"/>
      <w:r w:rsidRPr="00202373">
        <w:rPr>
          <w:rFonts w:asciiTheme="majorHAnsi" w:hAnsiTheme="majorHAnsi" w:cstheme="majorHAnsi"/>
          <w:color w:val="000000"/>
        </w:rPr>
        <w:t xml:space="preserve">, later – church bells, and – after the emergence of Islam – muezzins dispersed from their fixed location around, over the neighborhood. The sound of a mallet or beater striking portable </w:t>
      </w:r>
      <w:proofErr w:type="spellStart"/>
      <w:r w:rsidRPr="00202373">
        <w:rPr>
          <w:rFonts w:asciiTheme="majorHAnsi" w:hAnsiTheme="majorHAnsi" w:cstheme="majorHAnsi"/>
          <w:color w:val="000000"/>
        </w:rPr>
        <w:t>semantra</w:t>
      </w:r>
      <w:proofErr w:type="spellEnd"/>
      <w:r w:rsidRPr="00202373">
        <w:rPr>
          <w:rFonts w:asciiTheme="majorHAnsi" w:hAnsiTheme="majorHAnsi" w:cstheme="majorHAnsi"/>
          <w:color w:val="000000"/>
        </w:rPr>
        <w:t xml:space="preserve"> that were carried across monastery grounds reached clusters of monks’ dwellings. In contrast, in fifth-century Egyptian and Palestinian monastic communities knocking the cell (assumingly, cell’s door) with an “awakening hammer” summoned each monk personally.</w:t>
      </w:r>
      <w:r w:rsidRPr="00202373">
        <w:rPr>
          <w:rFonts w:asciiTheme="majorHAnsi" w:hAnsiTheme="majorHAnsi" w:cstheme="majorHAnsi"/>
          <w:color w:val="000000"/>
          <w:vertAlign w:val="superscript"/>
        </w:rPr>
        <w:footnoteReference w:id="28"/>
      </w:r>
      <w:r w:rsidRPr="00202373">
        <w:rPr>
          <w:rFonts w:asciiTheme="majorHAnsi" w:hAnsiTheme="majorHAnsi" w:cstheme="majorHAnsi"/>
          <w:color w:val="000000"/>
        </w:rPr>
        <w:t xml:space="preserve">  </w:t>
      </w:r>
    </w:p>
    <w:p w14:paraId="00000016" w14:textId="2A3895A0"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t>As Christianity mutated from organized communities to dominating societies, the range of acoustic announcement of liturgical times grew. Since the sixth century, ringing the bells has become the paramount announcement of church services.</w:t>
      </w:r>
      <w:r w:rsidRPr="00202373">
        <w:rPr>
          <w:rFonts w:asciiTheme="majorHAnsi" w:hAnsiTheme="majorHAnsi" w:cstheme="majorHAnsi"/>
          <w:color w:val="000000"/>
          <w:vertAlign w:val="superscript"/>
        </w:rPr>
        <w:footnoteReference w:id="29"/>
      </w:r>
      <w:r w:rsidRPr="00202373">
        <w:rPr>
          <w:rFonts w:asciiTheme="majorHAnsi" w:hAnsiTheme="majorHAnsi" w:cstheme="majorHAnsi"/>
          <w:color w:val="000000"/>
        </w:rPr>
        <w:t xml:space="preserve"> The Christians adopted this sound </w:t>
      </w:r>
      <w:r w:rsidRPr="00202373">
        <w:rPr>
          <w:rFonts w:asciiTheme="majorHAnsi" w:hAnsiTheme="majorHAnsi" w:cstheme="majorHAnsi"/>
        </w:rPr>
        <w:t>despite the</w:t>
      </w:r>
      <w:r w:rsidRPr="00202373">
        <w:rPr>
          <w:rFonts w:asciiTheme="majorHAnsi" w:hAnsiTheme="majorHAnsi" w:cstheme="majorHAnsi"/>
          <w:color w:val="000000"/>
        </w:rPr>
        <w:t xml:space="preserve"> objection of Church Fathers to the use of ringing the bells and striking other metal </w:t>
      </w:r>
      <w:r w:rsidRPr="00202373">
        <w:rPr>
          <w:rFonts w:asciiTheme="majorHAnsi" w:hAnsiTheme="majorHAnsi" w:cstheme="majorHAnsi"/>
          <w:color w:val="000000"/>
        </w:rPr>
        <w:lastRenderedPageBreak/>
        <w:t>objects, which they denigrated as pagan sorcery against evil spirits.</w:t>
      </w:r>
      <w:r w:rsidRPr="00202373">
        <w:rPr>
          <w:rFonts w:asciiTheme="majorHAnsi" w:hAnsiTheme="majorHAnsi" w:cstheme="majorHAnsi"/>
          <w:color w:val="000000"/>
          <w:vertAlign w:val="superscript"/>
        </w:rPr>
        <w:footnoteReference w:id="30"/>
      </w:r>
      <w:r w:rsidRPr="00202373">
        <w:rPr>
          <w:rFonts w:asciiTheme="majorHAnsi" w:hAnsiTheme="majorHAnsi" w:cstheme="majorHAnsi"/>
          <w:color w:val="000000"/>
        </w:rPr>
        <w:t xml:space="preserve"> Upon gaining their dominance in the territories previously under the Christian rule, Muslims confined the volume of a </w:t>
      </w:r>
      <w:proofErr w:type="spellStart"/>
      <w:r w:rsidRPr="00202373">
        <w:rPr>
          <w:rFonts w:asciiTheme="majorHAnsi" w:hAnsiTheme="majorHAnsi" w:cstheme="majorHAnsi"/>
          <w:i/>
          <w:color w:val="000000"/>
        </w:rPr>
        <w:t>nāqūs</w:t>
      </w:r>
      <w:proofErr w:type="spellEnd"/>
      <w:r w:rsidRPr="00202373">
        <w:rPr>
          <w:rFonts w:asciiTheme="majorHAnsi" w:hAnsiTheme="majorHAnsi" w:cstheme="majorHAnsi"/>
          <w:i/>
          <w:color w:val="000000"/>
        </w:rPr>
        <w:t>-</w:t>
      </w:r>
      <w:r w:rsidRPr="00202373">
        <w:rPr>
          <w:rFonts w:asciiTheme="majorHAnsi" w:hAnsiTheme="majorHAnsi" w:cstheme="majorHAnsi"/>
          <w:color w:val="000000"/>
        </w:rPr>
        <w:t>semantron in churches.</w:t>
      </w:r>
      <w:r w:rsidRPr="00202373">
        <w:rPr>
          <w:rFonts w:asciiTheme="majorHAnsi" w:hAnsiTheme="majorHAnsi" w:cstheme="majorHAnsi"/>
          <w:color w:val="000000"/>
          <w:vertAlign w:val="superscript"/>
        </w:rPr>
        <w:footnoteReference w:id="31"/>
      </w:r>
      <w:r w:rsidRPr="00202373">
        <w:rPr>
          <w:rFonts w:asciiTheme="majorHAnsi" w:hAnsiTheme="majorHAnsi" w:cstheme="majorHAnsi"/>
          <w:color w:val="000000"/>
        </w:rPr>
        <w:t xml:space="preserve"> The </w:t>
      </w:r>
      <w:proofErr w:type="spellStart"/>
      <w:r w:rsidRPr="00202373">
        <w:rPr>
          <w:rFonts w:asciiTheme="majorHAnsi" w:hAnsiTheme="majorHAnsi" w:cstheme="majorHAnsi"/>
          <w:i/>
          <w:color w:val="000000"/>
        </w:rPr>
        <w:t>Ḥadīth</w:t>
      </w:r>
      <w:proofErr w:type="spellEnd"/>
      <w:r w:rsidRPr="00202373">
        <w:rPr>
          <w:rFonts w:asciiTheme="majorHAnsi" w:hAnsiTheme="majorHAnsi" w:cstheme="majorHAnsi"/>
          <w:color w:val="000000"/>
        </w:rPr>
        <w:t xml:space="preserve"> literature claimed that the Messenger of God established the muezzin’s chanting the </w:t>
      </w:r>
      <w:proofErr w:type="spellStart"/>
      <w:r w:rsidRPr="00202373">
        <w:rPr>
          <w:rFonts w:asciiTheme="majorHAnsi" w:hAnsiTheme="majorHAnsi" w:cstheme="majorHAnsi"/>
          <w:i/>
          <w:color w:val="000000"/>
        </w:rPr>
        <w:t>adhān</w:t>
      </w:r>
      <w:proofErr w:type="spellEnd"/>
      <w:r w:rsidRPr="00202373">
        <w:rPr>
          <w:rFonts w:asciiTheme="majorHAnsi" w:hAnsiTheme="majorHAnsi" w:cstheme="majorHAnsi"/>
          <w:color w:val="000000"/>
        </w:rPr>
        <w:t xml:space="preserve"> (call) for prayer as it differed from both Jewish (– blowing a shofar) and Christian (– striking a </w:t>
      </w:r>
      <w:proofErr w:type="spellStart"/>
      <w:r w:rsidRPr="00202373">
        <w:rPr>
          <w:rFonts w:asciiTheme="majorHAnsi" w:hAnsiTheme="majorHAnsi" w:cstheme="majorHAnsi"/>
          <w:i/>
          <w:color w:val="000000"/>
        </w:rPr>
        <w:t>nāqūs</w:t>
      </w:r>
      <w:proofErr w:type="spellEnd"/>
      <w:r w:rsidRPr="00202373">
        <w:rPr>
          <w:rFonts w:asciiTheme="majorHAnsi" w:hAnsiTheme="majorHAnsi" w:cstheme="majorHAnsi"/>
          <w:color w:val="000000"/>
        </w:rPr>
        <w:t>) summons.</w:t>
      </w:r>
      <w:r w:rsidRPr="00202373">
        <w:rPr>
          <w:rFonts w:asciiTheme="majorHAnsi" w:hAnsiTheme="majorHAnsi" w:cstheme="majorHAnsi"/>
          <w:color w:val="000000"/>
          <w:vertAlign w:val="superscript"/>
        </w:rPr>
        <w:footnoteReference w:id="32"/>
      </w:r>
      <w:r w:rsidRPr="00202373">
        <w:rPr>
          <w:rFonts w:asciiTheme="majorHAnsi" w:hAnsiTheme="majorHAnsi" w:cstheme="majorHAnsi"/>
          <w:color w:val="000000"/>
        </w:rPr>
        <w:t xml:space="preserve"> The call of the muezzin from a high minaret extended the Islamic dominance over the audial domain.</w:t>
      </w:r>
      <w:r w:rsidRPr="00202373">
        <w:rPr>
          <w:rFonts w:asciiTheme="majorHAnsi" w:hAnsiTheme="majorHAnsi" w:cstheme="majorHAnsi"/>
          <w:color w:val="000000"/>
          <w:vertAlign w:val="superscript"/>
        </w:rPr>
        <w:footnoteReference w:id="33"/>
      </w:r>
      <w:r w:rsidRPr="00202373">
        <w:rPr>
          <w:rFonts w:asciiTheme="majorHAnsi" w:hAnsiTheme="majorHAnsi" w:cstheme="majorHAnsi"/>
          <w:color w:val="000000"/>
        </w:rPr>
        <w:t xml:space="preserve"> When the Catholics expelled the Muslims from Seville, the sonar dimension of Christian power was regained by converting the ninth-century minaret of the Almohad congregational mosque, into the cathedral’s bell tower (known as the </w:t>
      </w:r>
      <w:proofErr w:type="spellStart"/>
      <w:r w:rsidRPr="00202373">
        <w:rPr>
          <w:rFonts w:asciiTheme="majorHAnsi" w:hAnsiTheme="majorHAnsi" w:cstheme="majorHAnsi"/>
          <w:color w:val="000000"/>
        </w:rPr>
        <w:t>Giralda</w:t>
      </w:r>
      <w:proofErr w:type="spellEnd"/>
      <w:r w:rsidRPr="00202373">
        <w:rPr>
          <w:rFonts w:asciiTheme="majorHAnsi" w:hAnsiTheme="majorHAnsi" w:cstheme="majorHAnsi"/>
          <w:color w:val="000000"/>
        </w:rPr>
        <w:t>).</w:t>
      </w:r>
      <w:r w:rsidRPr="00202373">
        <w:rPr>
          <w:rFonts w:asciiTheme="majorHAnsi" w:hAnsiTheme="majorHAnsi" w:cstheme="majorHAnsi"/>
          <w:color w:val="000000"/>
          <w:vertAlign w:val="superscript"/>
        </w:rPr>
        <w:footnoteReference w:id="34"/>
      </w:r>
      <w:r w:rsidRPr="00202373">
        <w:rPr>
          <w:rFonts w:asciiTheme="majorHAnsi" w:hAnsiTheme="majorHAnsi" w:cstheme="majorHAnsi"/>
          <w:color w:val="000000"/>
        </w:rPr>
        <w:t xml:space="preserve"> In the Christian oikumene, melodic chime from a high belfry enfolded the parish and welded the parishioners into a community – in other words, imposed the Christian primacy on the people, territory, and time.</w:t>
      </w:r>
      <w:r w:rsidRPr="00202373">
        <w:rPr>
          <w:rFonts w:asciiTheme="majorHAnsi" w:hAnsiTheme="majorHAnsi" w:cstheme="majorHAnsi"/>
          <w:color w:val="000000"/>
          <w:vertAlign w:val="superscript"/>
        </w:rPr>
        <w:footnoteReference w:id="35"/>
      </w:r>
    </w:p>
    <w:p w14:paraId="00000017" w14:textId="3B573337" w:rsidR="009B4F5A" w:rsidRPr="00202373" w:rsidRDefault="000C3D14" w:rsidP="00943C0A">
      <w:pPr>
        <w:spacing w:line="360" w:lineRule="auto"/>
        <w:rPr>
          <w:rFonts w:asciiTheme="majorHAnsi" w:hAnsiTheme="majorHAnsi" w:cstheme="majorHAnsi"/>
        </w:rPr>
      </w:pPr>
      <w:bookmarkStart w:id="12" w:name="_1fob9te" w:colFirst="0" w:colLast="0"/>
      <w:bookmarkEnd w:id="12"/>
      <w:r w:rsidRPr="00202373">
        <w:rPr>
          <w:rFonts w:asciiTheme="majorHAnsi" w:hAnsiTheme="majorHAnsi" w:cstheme="majorHAnsi"/>
        </w:rPr>
        <w:tab/>
        <w:t xml:space="preserve">The ringing church bells hegemonized the soundscape in medieval European Jewish quarters, too. The Jews, who sought to avoid any ideological dictate of the adverse religion, adopted a collateral signal for the synchronization of liturgical routines – knocking doors. The duty was imposed on the </w:t>
      </w:r>
      <w:r w:rsidRPr="00202373">
        <w:rPr>
          <w:rFonts w:asciiTheme="majorHAnsi" w:hAnsiTheme="majorHAnsi" w:cstheme="majorHAnsi"/>
          <w:i/>
        </w:rPr>
        <w:t>shamash</w:t>
      </w:r>
      <w:r w:rsidRPr="00202373">
        <w:rPr>
          <w:rFonts w:asciiTheme="majorHAnsi" w:hAnsiTheme="majorHAnsi" w:cstheme="majorHAnsi"/>
        </w:rPr>
        <w:t xml:space="preserve"> (synagogue beadle), and by the fifteenth century the terms </w:t>
      </w:r>
      <w:proofErr w:type="spellStart"/>
      <w:r w:rsidRPr="00202373">
        <w:rPr>
          <w:rFonts w:asciiTheme="majorHAnsi" w:hAnsiTheme="majorHAnsi" w:cstheme="majorHAnsi"/>
          <w:i/>
        </w:rPr>
        <w:lastRenderedPageBreak/>
        <w:t>schulklopfer</w:t>
      </w:r>
      <w:proofErr w:type="spellEnd"/>
      <w:r w:rsidRPr="00202373">
        <w:rPr>
          <w:rFonts w:asciiTheme="majorHAnsi" w:hAnsiTheme="majorHAnsi" w:cstheme="majorHAnsi"/>
        </w:rPr>
        <w:t xml:space="preserve"> (“synagogue knocker”) and, rarer, </w:t>
      </w:r>
      <w:proofErr w:type="spellStart"/>
      <w:r w:rsidRPr="00202373">
        <w:rPr>
          <w:rFonts w:asciiTheme="majorHAnsi" w:hAnsiTheme="majorHAnsi" w:cstheme="majorHAnsi"/>
          <w:i/>
        </w:rPr>
        <w:t>schulrufer</w:t>
      </w:r>
      <w:proofErr w:type="spellEnd"/>
      <w:r w:rsidRPr="00202373">
        <w:rPr>
          <w:rFonts w:asciiTheme="majorHAnsi" w:hAnsiTheme="majorHAnsi" w:cstheme="majorHAnsi"/>
        </w:rPr>
        <w:t xml:space="preserve"> (“synagogue caller”) were designated in </w:t>
      </w:r>
      <w:r w:rsidR="00A47DA7" w:rsidRPr="00202373">
        <w:rPr>
          <w:rFonts w:asciiTheme="majorHAnsi" w:hAnsiTheme="majorHAnsi" w:cstheme="majorHAnsi"/>
        </w:rPr>
        <w:t xml:space="preserve">German and </w:t>
      </w:r>
      <w:r w:rsidRPr="00202373">
        <w:rPr>
          <w:rFonts w:asciiTheme="majorHAnsi" w:hAnsiTheme="majorHAnsi" w:cstheme="majorHAnsi"/>
        </w:rPr>
        <w:t>Yiddish to define the shamash’s role of summoning people to prayer.</w:t>
      </w:r>
      <w:r w:rsidRPr="00202373">
        <w:rPr>
          <w:rFonts w:asciiTheme="majorHAnsi" w:hAnsiTheme="majorHAnsi" w:cstheme="majorHAnsi"/>
          <w:vertAlign w:val="superscript"/>
        </w:rPr>
        <w:footnoteReference w:id="36"/>
      </w:r>
      <w:r w:rsidRPr="00202373">
        <w:rPr>
          <w:rFonts w:asciiTheme="majorHAnsi" w:hAnsiTheme="majorHAnsi" w:cstheme="majorHAnsi"/>
        </w:rPr>
        <w:t xml:space="preserve"> This announcement was effective in a compact neighborhood and not openly contested the Christian sovereignty, though it was familiar to Christian townsfolk. According to Moritz </w:t>
      </w:r>
      <w:proofErr w:type="spellStart"/>
      <w:r w:rsidRPr="00202373">
        <w:rPr>
          <w:rFonts w:asciiTheme="majorHAnsi" w:hAnsiTheme="majorHAnsi" w:cstheme="majorHAnsi"/>
        </w:rPr>
        <w:t>Güdemann</w:t>
      </w:r>
      <w:proofErr w:type="spellEnd"/>
      <w:r w:rsidRPr="00202373">
        <w:rPr>
          <w:rFonts w:asciiTheme="majorHAnsi" w:hAnsiTheme="majorHAnsi" w:cstheme="majorHAnsi"/>
        </w:rPr>
        <w:t xml:space="preserve"> (1835–1918), Christians associated the Jewish </w:t>
      </w:r>
      <w:r w:rsidR="00A47DA7" w:rsidRPr="00202373">
        <w:rPr>
          <w:rFonts w:asciiTheme="majorHAnsi" w:hAnsiTheme="majorHAnsi" w:cstheme="majorHAnsi"/>
        </w:rPr>
        <w:t>synagogue knocker</w:t>
      </w:r>
      <w:r w:rsidR="00A47DA7">
        <w:rPr>
          <w:rFonts w:asciiTheme="majorHAnsi" w:hAnsiTheme="majorHAnsi" w:cstheme="majorHAnsi"/>
        </w:rPr>
        <w:t>s</w:t>
      </w:r>
      <w:r w:rsidRPr="00202373">
        <w:rPr>
          <w:rFonts w:asciiTheme="majorHAnsi" w:hAnsiTheme="majorHAnsi" w:cstheme="majorHAnsi"/>
        </w:rPr>
        <w:t xml:space="preserve"> with church bell-ringers called “</w:t>
      </w:r>
      <w:proofErr w:type="spellStart"/>
      <w:r w:rsidRPr="00202373">
        <w:rPr>
          <w:rFonts w:asciiTheme="majorHAnsi" w:hAnsiTheme="majorHAnsi" w:cstheme="majorHAnsi"/>
        </w:rPr>
        <w:t>campanatores</w:t>
      </w:r>
      <w:proofErr w:type="spellEnd"/>
      <w:r w:rsidRPr="00202373">
        <w:rPr>
          <w:rFonts w:asciiTheme="majorHAnsi" w:hAnsiTheme="majorHAnsi" w:cstheme="majorHAnsi"/>
        </w:rPr>
        <w:t>” in Latin and “</w:t>
      </w:r>
      <w:proofErr w:type="spellStart"/>
      <w:r w:rsidRPr="00202373">
        <w:rPr>
          <w:rFonts w:asciiTheme="majorHAnsi" w:hAnsiTheme="majorHAnsi" w:cstheme="majorHAnsi"/>
        </w:rPr>
        <w:t>Glöckener</w:t>
      </w:r>
      <w:proofErr w:type="spellEnd"/>
      <w:r w:rsidRPr="00202373">
        <w:rPr>
          <w:rFonts w:asciiTheme="majorHAnsi" w:hAnsiTheme="majorHAnsi" w:cstheme="majorHAnsi"/>
        </w:rPr>
        <w:t>” in German.</w:t>
      </w:r>
      <w:r w:rsidRPr="00202373">
        <w:rPr>
          <w:rFonts w:asciiTheme="majorHAnsi" w:hAnsiTheme="majorHAnsi" w:cstheme="majorHAnsi"/>
          <w:vertAlign w:val="superscript"/>
        </w:rPr>
        <w:footnoteReference w:id="37"/>
      </w:r>
      <w:r w:rsidRPr="00202373">
        <w:rPr>
          <w:rFonts w:asciiTheme="majorHAnsi" w:hAnsiTheme="majorHAnsi" w:cstheme="majorHAnsi"/>
        </w:rPr>
        <w:t xml:space="preserve"> Two fifteenth-century German carnival plays, Hans </w:t>
      </w:r>
      <w:proofErr w:type="spellStart"/>
      <w:r w:rsidRPr="00202373">
        <w:rPr>
          <w:rFonts w:asciiTheme="majorHAnsi" w:hAnsiTheme="majorHAnsi" w:cstheme="majorHAnsi"/>
        </w:rPr>
        <w:t>Folz’s</w:t>
      </w:r>
      <w:proofErr w:type="spellEnd"/>
      <w:r w:rsidRPr="00202373">
        <w:rPr>
          <w:rFonts w:asciiTheme="majorHAnsi" w:hAnsiTheme="majorHAnsi" w:cstheme="majorHAnsi"/>
        </w:rPr>
        <w:t xml:space="preserve"> (ca. 1437–1513) “Der </w:t>
      </w:r>
      <w:proofErr w:type="spellStart"/>
      <w:r w:rsidRPr="00202373">
        <w:rPr>
          <w:rFonts w:asciiTheme="majorHAnsi" w:hAnsiTheme="majorHAnsi" w:cstheme="majorHAnsi"/>
        </w:rPr>
        <w:t>Juden</w:t>
      </w:r>
      <w:proofErr w:type="spellEnd"/>
      <w:r w:rsidRPr="00202373">
        <w:rPr>
          <w:rFonts w:asciiTheme="majorHAnsi" w:hAnsiTheme="majorHAnsi" w:cstheme="majorHAnsi"/>
        </w:rPr>
        <w:t xml:space="preserve"> </w:t>
      </w:r>
      <w:proofErr w:type="spellStart"/>
      <w:r w:rsidRPr="00202373">
        <w:rPr>
          <w:rFonts w:asciiTheme="majorHAnsi" w:hAnsiTheme="majorHAnsi" w:cstheme="majorHAnsi"/>
        </w:rPr>
        <w:t>Messias</w:t>
      </w:r>
      <w:proofErr w:type="spellEnd"/>
      <w:r w:rsidRPr="00202373">
        <w:rPr>
          <w:rFonts w:asciiTheme="majorHAnsi" w:hAnsiTheme="majorHAnsi" w:cstheme="majorHAnsi"/>
        </w:rPr>
        <w:t xml:space="preserve">” and anonymous “Ein Spiel von dem </w:t>
      </w:r>
      <w:proofErr w:type="spellStart"/>
      <w:r w:rsidRPr="00202373">
        <w:rPr>
          <w:rFonts w:asciiTheme="majorHAnsi" w:hAnsiTheme="majorHAnsi" w:cstheme="majorHAnsi"/>
        </w:rPr>
        <w:t>einliften</w:t>
      </w:r>
      <w:proofErr w:type="spellEnd"/>
      <w:r w:rsidRPr="00202373">
        <w:rPr>
          <w:rFonts w:asciiTheme="majorHAnsi" w:hAnsiTheme="majorHAnsi" w:cstheme="majorHAnsi"/>
        </w:rPr>
        <w:t xml:space="preserve"> Finger,” mention a </w:t>
      </w:r>
      <w:proofErr w:type="spellStart"/>
      <w:r w:rsidRPr="00A47DA7">
        <w:rPr>
          <w:rFonts w:asciiTheme="majorHAnsi" w:hAnsiTheme="majorHAnsi" w:cstheme="majorHAnsi"/>
          <w:i/>
          <w:iCs/>
        </w:rPr>
        <w:t>schulklopfer</w:t>
      </w:r>
      <w:proofErr w:type="spellEnd"/>
      <w:r w:rsidRPr="00202373">
        <w:rPr>
          <w:rFonts w:asciiTheme="majorHAnsi" w:hAnsiTheme="majorHAnsi" w:cstheme="majorHAnsi"/>
        </w:rPr>
        <w:t>.</w:t>
      </w:r>
      <w:r w:rsidRPr="00202373">
        <w:rPr>
          <w:rFonts w:asciiTheme="majorHAnsi" w:hAnsiTheme="majorHAnsi" w:cstheme="majorHAnsi"/>
          <w:vertAlign w:val="superscript"/>
        </w:rPr>
        <w:footnoteReference w:id="38"/>
      </w:r>
      <w:r w:rsidRPr="00202373">
        <w:rPr>
          <w:rFonts w:asciiTheme="majorHAnsi" w:hAnsiTheme="majorHAnsi" w:cstheme="majorHAnsi"/>
        </w:rPr>
        <w:t xml:space="preserve"> With their harsh anti-Semitic temper, the plays </w:t>
      </w:r>
      <w:r w:rsidRPr="00202373">
        <w:rPr>
          <w:rFonts w:asciiTheme="majorHAnsi" w:hAnsiTheme="majorHAnsi" w:cstheme="majorHAnsi"/>
        </w:rPr>
        <w:lastRenderedPageBreak/>
        <w:t>portray the synagogue knocker as a personification of Jewish tumult.</w:t>
      </w:r>
      <w:r w:rsidRPr="00202373">
        <w:rPr>
          <w:rFonts w:asciiTheme="majorHAnsi" w:hAnsiTheme="majorHAnsi" w:cstheme="majorHAnsi"/>
          <w:vertAlign w:val="superscript"/>
        </w:rPr>
        <w:footnoteReference w:id="39"/>
      </w:r>
      <w:r w:rsidRPr="00202373">
        <w:rPr>
          <w:rFonts w:asciiTheme="majorHAnsi" w:hAnsiTheme="majorHAnsi" w:cstheme="majorHAnsi"/>
        </w:rPr>
        <w:t xml:space="preserve"> A synagogue mallet was found among the typical Jewish ritual objects exposed in an eighteenth-century Christian replica of a synagogue built in Regensburg to provide Germans with a close view of “Jewish curiosities” and better argument against Judaism.</w:t>
      </w:r>
      <w:r w:rsidRPr="00202373">
        <w:rPr>
          <w:rFonts w:asciiTheme="majorHAnsi" w:hAnsiTheme="majorHAnsi" w:cstheme="majorHAnsi"/>
          <w:vertAlign w:val="superscript"/>
        </w:rPr>
        <w:footnoteReference w:id="40"/>
      </w:r>
      <w:r w:rsidRPr="00202373">
        <w:rPr>
          <w:rFonts w:asciiTheme="majorHAnsi" w:hAnsiTheme="majorHAnsi" w:cstheme="majorHAnsi"/>
        </w:rPr>
        <w:t xml:space="preserve">  </w:t>
      </w:r>
    </w:p>
    <w:p w14:paraId="00000018" w14:textId="6616A8F2" w:rsidR="009B4F5A" w:rsidRPr="00202373" w:rsidRDefault="000C3D14" w:rsidP="00943C0A">
      <w:pPr>
        <w:spacing w:line="360" w:lineRule="auto"/>
        <w:ind w:firstLine="720"/>
        <w:rPr>
          <w:rFonts w:asciiTheme="majorHAnsi" w:hAnsiTheme="majorHAnsi" w:cstheme="majorHAnsi"/>
        </w:rPr>
      </w:pPr>
      <w:bookmarkStart w:id="14" w:name="_3znysh7" w:colFirst="0" w:colLast="0"/>
      <w:bookmarkEnd w:id="14"/>
      <w:r w:rsidRPr="00202373">
        <w:rPr>
          <w:rFonts w:asciiTheme="majorHAnsi" w:hAnsiTheme="majorHAnsi" w:cstheme="majorHAnsi"/>
        </w:rPr>
        <w:t>The earliest testimony of knocking doors to call the Jewish congregants to synagogue service comes from the twelfth-century Mainz. Rabbi Eliezer ben Nathan’s (</w:t>
      </w:r>
      <w:proofErr w:type="spellStart"/>
      <w:r w:rsidRPr="00202373">
        <w:rPr>
          <w:rFonts w:asciiTheme="majorHAnsi" w:hAnsiTheme="majorHAnsi" w:cstheme="majorHAnsi"/>
          <w:i/>
        </w:rPr>
        <w:t>Ra’avan</w:t>
      </w:r>
      <w:proofErr w:type="spellEnd"/>
      <w:r w:rsidRPr="00202373">
        <w:rPr>
          <w:rFonts w:asciiTheme="majorHAnsi" w:hAnsiTheme="majorHAnsi" w:cstheme="majorHAnsi"/>
        </w:rPr>
        <w:t>; 1090–1170) mention of a shamash knocking at a home entrance as an accustomed spectacle in his hometown suggests that the practice was even older.</w:t>
      </w:r>
      <w:r w:rsidRPr="00202373">
        <w:rPr>
          <w:rFonts w:asciiTheme="majorHAnsi" w:hAnsiTheme="majorHAnsi" w:cstheme="majorHAnsi"/>
          <w:vertAlign w:val="superscript"/>
        </w:rPr>
        <w:footnoteReference w:id="41"/>
      </w:r>
      <w:r w:rsidRPr="00202373">
        <w:rPr>
          <w:rFonts w:asciiTheme="majorHAnsi" w:hAnsiTheme="majorHAnsi" w:cstheme="majorHAnsi"/>
        </w:rPr>
        <w:t xml:space="preserve"> </w:t>
      </w:r>
      <w:proofErr w:type="spellStart"/>
      <w:r w:rsidRPr="00202373">
        <w:rPr>
          <w:rFonts w:asciiTheme="majorHAnsi" w:hAnsiTheme="majorHAnsi" w:cstheme="majorHAnsi"/>
        </w:rPr>
        <w:t>Ra’avan</w:t>
      </w:r>
      <w:proofErr w:type="spellEnd"/>
      <w:r w:rsidRPr="00202373">
        <w:rPr>
          <w:rFonts w:asciiTheme="majorHAnsi" w:hAnsiTheme="majorHAnsi" w:cstheme="majorHAnsi"/>
        </w:rPr>
        <w:t xml:space="preserve"> concerned whether making the noise transgressed the halakhic prohibition of performing any work on Sabbath. He referred to the abovementioned discussion of clapping and flapping on Sabbath in the Jerusalem Talmud tractate </w:t>
      </w:r>
      <w:proofErr w:type="spellStart"/>
      <w:r w:rsidRPr="00202373">
        <w:rPr>
          <w:rFonts w:asciiTheme="majorHAnsi" w:hAnsiTheme="majorHAnsi" w:cstheme="majorHAnsi"/>
          <w:i/>
        </w:rPr>
        <w:t>Beiẓa</w:t>
      </w:r>
      <w:proofErr w:type="spellEnd"/>
      <w:r w:rsidRPr="00202373">
        <w:rPr>
          <w:rFonts w:asciiTheme="majorHAnsi" w:hAnsiTheme="majorHAnsi" w:cstheme="majorHAnsi"/>
        </w:rPr>
        <w:t xml:space="preserve"> 5:2 that contains, inter alia, Rabbi Eleazar’s harsh conviction against “all sound making […] on the Sabbath</w:t>
      </w:r>
      <w:r w:rsidR="001C28AB">
        <w:rPr>
          <w:rFonts w:asciiTheme="majorHAnsi" w:hAnsiTheme="majorHAnsi" w:cstheme="majorHAnsi"/>
        </w:rPr>
        <w:t>.</w:t>
      </w:r>
      <w:r w:rsidRPr="00202373">
        <w:rPr>
          <w:rFonts w:asciiTheme="majorHAnsi" w:hAnsiTheme="majorHAnsi" w:cstheme="majorHAnsi"/>
        </w:rPr>
        <w:t>”</w:t>
      </w:r>
      <w:r w:rsidRPr="00202373">
        <w:rPr>
          <w:rFonts w:asciiTheme="majorHAnsi" w:hAnsiTheme="majorHAnsi" w:cstheme="majorHAnsi"/>
          <w:vertAlign w:val="superscript"/>
        </w:rPr>
        <w:footnoteReference w:id="42"/>
      </w:r>
      <w:r w:rsidRPr="00202373">
        <w:rPr>
          <w:rFonts w:asciiTheme="majorHAnsi" w:hAnsiTheme="majorHAnsi" w:cstheme="majorHAnsi"/>
        </w:rPr>
        <w:t xml:space="preserve">As we saw, the same section mentions of Rabbi Samuel’s “knocking for a new synagogue” without providing any reason for or whereabouts of the case. Nevertheless, </w:t>
      </w:r>
      <w:proofErr w:type="spellStart"/>
      <w:r w:rsidRPr="00202373">
        <w:rPr>
          <w:rFonts w:asciiTheme="majorHAnsi" w:hAnsiTheme="majorHAnsi" w:cstheme="majorHAnsi"/>
        </w:rPr>
        <w:t>Ra’avan</w:t>
      </w:r>
      <w:proofErr w:type="spellEnd"/>
      <w:r w:rsidRPr="00202373">
        <w:rPr>
          <w:rFonts w:asciiTheme="majorHAnsi" w:hAnsiTheme="majorHAnsi" w:cstheme="majorHAnsi"/>
        </w:rPr>
        <w:t xml:space="preserve"> accepted Rabbi Samuel’s deed as an etiological story and halakhic </w:t>
      </w:r>
      <w:r w:rsidRPr="00202373">
        <w:rPr>
          <w:rFonts w:asciiTheme="majorHAnsi" w:hAnsiTheme="majorHAnsi" w:cstheme="majorHAnsi"/>
        </w:rPr>
        <w:lastRenderedPageBreak/>
        <w:t xml:space="preserve">justification for the shamash’s duty to knock doors. </w:t>
      </w:r>
      <w:proofErr w:type="spellStart"/>
      <w:r w:rsidRPr="00202373">
        <w:rPr>
          <w:rFonts w:asciiTheme="majorHAnsi" w:hAnsiTheme="majorHAnsi" w:cstheme="majorHAnsi"/>
        </w:rPr>
        <w:t>Ra’avan</w:t>
      </w:r>
      <w:proofErr w:type="spellEnd"/>
      <w:r w:rsidRPr="00202373">
        <w:rPr>
          <w:rFonts w:asciiTheme="majorHAnsi" w:hAnsiTheme="majorHAnsi" w:cstheme="majorHAnsi"/>
        </w:rPr>
        <w:t xml:space="preserve"> permitted the knocking as a custom affirmed by the Talmud and done for the sake of obeying God’s commandments.</w:t>
      </w:r>
    </w:p>
    <w:p w14:paraId="00000019" w14:textId="2DC08622" w:rsidR="009B4F5A" w:rsidRPr="00202373" w:rsidRDefault="00E230F7" w:rsidP="00943C0A">
      <w:pPr>
        <w:pBdr>
          <w:top w:val="nil"/>
          <w:left w:val="nil"/>
          <w:bottom w:val="nil"/>
          <w:right w:val="nil"/>
          <w:between w:val="nil"/>
        </w:pBdr>
        <w:spacing w:line="360" w:lineRule="auto"/>
        <w:ind w:firstLine="720"/>
        <w:rPr>
          <w:rFonts w:asciiTheme="majorHAnsi" w:hAnsiTheme="majorHAnsi" w:cstheme="majorHAnsi"/>
          <w:color w:val="000000"/>
        </w:rPr>
      </w:pPr>
      <w:bookmarkStart w:id="16" w:name="_2et92p0" w:colFirst="0" w:colLast="0"/>
      <w:bookmarkEnd w:id="16"/>
      <w:r>
        <w:rPr>
          <w:rFonts w:asciiTheme="majorHAnsi" w:hAnsiTheme="majorHAnsi" w:cstheme="majorHAnsi"/>
          <w:color w:val="000000"/>
        </w:rPr>
        <w:t>C</w:t>
      </w:r>
      <w:r w:rsidR="000C3D14" w:rsidRPr="00202373">
        <w:rPr>
          <w:rFonts w:asciiTheme="majorHAnsi" w:hAnsiTheme="majorHAnsi" w:cstheme="majorHAnsi"/>
          <w:color w:val="000000"/>
        </w:rPr>
        <w:t>oncerns about noise making on Sabbath persisted for generations.</w:t>
      </w:r>
      <w:r w:rsidR="000C3D14" w:rsidRPr="00202373">
        <w:rPr>
          <w:rFonts w:asciiTheme="majorHAnsi" w:hAnsiTheme="majorHAnsi" w:cstheme="majorHAnsi"/>
          <w:color w:val="000000"/>
          <w:vertAlign w:val="superscript"/>
        </w:rPr>
        <w:footnoteReference w:id="43"/>
      </w:r>
      <w:r w:rsidR="000C3D14" w:rsidRPr="00202373">
        <w:rPr>
          <w:rFonts w:asciiTheme="majorHAnsi" w:hAnsiTheme="majorHAnsi" w:cstheme="majorHAnsi"/>
          <w:color w:val="000000"/>
        </w:rPr>
        <w:t xml:space="preserve"> Many rabbis of </w:t>
      </w:r>
      <w:proofErr w:type="spellStart"/>
      <w:r w:rsidR="000C3D14" w:rsidRPr="00202373">
        <w:rPr>
          <w:rFonts w:asciiTheme="majorHAnsi" w:hAnsiTheme="majorHAnsi" w:cstheme="majorHAnsi"/>
          <w:color w:val="000000"/>
        </w:rPr>
        <w:t>Ra’avan’s</w:t>
      </w:r>
      <w:proofErr w:type="spellEnd"/>
      <w:r w:rsidR="000C3D14" w:rsidRPr="00202373">
        <w:rPr>
          <w:rFonts w:asciiTheme="majorHAnsi" w:hAnsiTheme="majorHAnsi" w:cstheme="majorHAnsi"/>
          <w:color w:val="000000"/>
        </w:rPr>
        <w:t xml:space="preserve"> dynasty had to reiterate and elaborate his decision. It was supported by </w:t>
      </w:r>
      <w:proofErr w:type="spellStart"/>
      <w:r w:rsidR="000C3D14" w:rsidRPr="00202373">
        <w:rPr>
          <w:rFonts w:asciiTheme="majorHAnsi" w:hAnsiTheme="majorHAnsi" w:cstheme="majorHAnsi"/>
          <w:color w:val="000000"/>
        </w:rPr>
        <w:t>Ra’avan’s</w:t>
      </w:r>
      <w:proofErr w:type="spellEnd"/>
      <w:r w:rsidR="000C3D14" w:rsidRPr="00202373">
        <w:rPr>
          <w:rFonts w:asciiTheme="majorHAnsi" w:hAnsiTheme="majorHAnsi" w:cstheme="majorHAnsi"/>
          <w:color w:val="000000"/>
        </w:rPr>
        <w:t xml:space="preserve"> grandson, Mainz-born Rabbi Eliezer ben </w:t>
      </w:r>
      <w:proofErr w:type="spellStart"/>
      <w:r w:rsidR="000C3D14" w:rsidRPr="00202373">
        <w:rPr>
          <w:rFonts w:asciiTheme="majorHAnsi" w:hAnsiTheme="majorHAnsi" w:cstheme="majorHAnsi"/>
          <w:color w:val="000000"/>
        </w:rPr>
        <w:t>Yoel</w:t>
      </w:r>
      <w:proofErr w:type="spellEnd"/>
      <w:r w:rsidR="000C3D14" w:rsidRPr="00202373">
        <w:rPr>
          <w:rFonts w:asciiTheme="majorHAnsi" w:hAnsiTheme="majorHAnsi" w:cstheme="majorHAnsi"/>
          <w:color w:val="000000"/>
        </w:rPr>
        <w:t xml:space="preserve"> ha-Levi of Cologne (</w:t>
      </w:r>
      <w:proofErr w:type="spellStart"/>
      <w:r w:rsidR="000C3D14" w:rsidRPr="00202373">
        <w:rPr>
          <w:rFonts w:asciiTheme="majorHAnsi" w:hAnsiTheme="majorHAnsi" w:cstheme="majorHAnsi"/>
          <w:i/>
          <w:color w:val="000000"/>
        </w:rPr>
        <w:t>Raviyah</w:t>
      </w:r>
      <w:proofErr w:type="spellEnd"/>
      <w:r w:rsidR="000C3D14" w:rsidRPr="00202373">
        <w:rPr>
          <w:rFonts w:asciiTheme="majorHAnsi" w:hAnsiTheme="majorHAnsi" w:cstheme="majorHAnsi"/>
          <w:color w:val="000000"/>
        </w:rPr>
        <w:t>; 1140–1225);</w:t>
      </w:r>
      <w:r w:rsidR="000C3D14" w:rsidRPr="00202373">
        <w:rPr>
          <w:rFonts w:asciiTheme="majorHAnsi" w:hAnsiTheme="majorHAnsi" w:cstheme="majorHAnsi"/>
          <w:color w:val="000000"/>
          <w:vertAlign w:val="superscript"/>
        </w:rPr>
        <w:footnoteReference w:id="44"/>
      </w:r>
      <w:r w:rsidR="000C3D14" w:rsidRPr="00202373">
        <w:rPr>
          <w:rFonts w:asciiTheme="majorHAnsi" w:hAnsiTheme="majorHAnsi" w:cstheme="majorHAnsi"/>
          <w:color w:val="000000"/>
        </w:rPr>
        <w:t xml:space="preserve"> </w:t>
      </w:r>
      <w:proofErr w:type="spellStart"/>
      <w:r w:rsidR="000C3D14" w:rsidRPr="00202373">
        <w:rPr>
          <w:rFonts w:asciiTheme="majorHAnsi" w:hAnsiTheme="majorHAnsi" w:cstheme="majorHAnsi"/>
          <w:color w:val="000000"/>
        </w:rPr>
        <w:t>Raviyah’s</w:t>
      </w:r>
      <w:proofErr w:type="spellEnd"/>
      <w:r w:rsidR="000C3D14" w:rsidRPr="00202373">
        <w:rPr>
          <w:rFonts w:asciiTheme="majorHAnsi" w:hAnsiTheme="majorHAnsi" w:cstheme="majorHAnsi"/>
          <w:color w:val="000000"/>
        </w:rPr>
        <w:t xml:space="preserve"> descendent Rabbi Mordechai ben Hillel of Nuremberg (ca. 1250–1298);</w:t>
      </w:r>
      <w:r w:rsidR="000C3D14" w:rsidRPr="00202373">
        <w:rPr>
          <w:rFonts w:asciiTheme="majorHAnsi" w:hAnsiTheme="majorHAnsi" w:cstheme="majorHAnsi"/>
          <w:color w:val="000000"/>
          <w:vertAlign w:val="superscript"/>
        </w:rPr>
        <w:footnoteReference w:id="45"/>
      </w:r>
      <w:r w:rsidR="000C3D14" w:rsidRPr="00202373">
        <w:rPr>
          <w:rFonts w:asciiTheme="majorHAnsi" w:hAnsiTheme="majorHAnsi" w:cstheme="majorHAnsi"/>
          <w:color w:val="000000"/>
        </w:rPr>
        <w:t xml:space="preserve"> Mordechai’s Cologne-born relative Rabbi Asher ben </w:t>
      </w:r>
      <w:proofErr w:type="spellStart"/>
      <w:r w:rsidR="000C3D14" w:rsidRPr="00202373">
        <w:rPr>
          <w:rFonts w:asciiTheme="majorHAnsi" w:hAnsiTheme="majorHAnsi" w:cstheme="majorHAnsi"/>
          <w:color w:val="000000"/>
        </w:rPr>
        <w:t>Yeḥiel</w:t>
      </w:r>
      <w:proofErr w:type="spellEnd"/>
      <w:r w:rsidR="000C3D14" w:rsidRPr="00202373">
        <w:rPr>
          <w:rFonts w:asciiTheme="majorHAnsi" w:hAnsiTheme="majorHAnsi" w:cstheme="majorHAnsi"/>
          <w:color w:val="000000"/>
        </w:rPr>
        <w:t xml:space="preserve"> (</w:t>
      </w:r>
      <w:r w:rsidR="000C3D14" w:rsidRPr="00202373">
        <w:rPr>
          <w:rFonts w:asciiTheme="majorHAnsi" w:hAnsiTheme="majorHAnsi" w:cstheme="majorHAnsi"/>
          <w:i/>
          <w:color w:val="000000"/>
        </w:rPr>
        <w:t>Rosh</w:t>
      </w:r>
      <w:r w:rsidR="000C3D14" w:rsidRPr="00202373">
        <w:rPr>
          <w:rFonts w:asciiTheme="majorHAnsi" w:hAnsiTheme="majorHAnsi" w:cstheme="majorHAnsi"/>
          <w:color w:val="000000"/>
        </w:rPr>
        <w:t>; 1250/59–1327);</w:t>
      </w:r>
      <w:r w:rsidR="000C3D14" w:rsidRPr="00202373">
        <w:rPr>
          <w:rFonts w:asciiTheme="majorHAnsi" w:hAnsiTheme="majorHAnsi" w:cstheme="majorHAnsi"/>
          <w:color w:val="000000"/>
          <w:vertAlign w:val="superscript"/>
        </w:rPr>
        <w:footnoteReference w:id="46"/>
      </w:r>
      <w:r w:rsidR="000C3D14" w:rsidRPr="00202373">
        <w:rPr>
          <w:rFonts w:asciiTheme="majorHAnsi" w:hAnsiTheme="majorHAnsi" w:cstheme="majorHAnsi"/>
          <w:color w:val="000000"/>
        </w:rPr>
        <w:t xml:space="preserve"> and a pupil of Mordechai’s disciple, Rabbi Alexander </w:t>
      </w:r>
      <w:proofErr w:type="spellStart"/>
      <w:r w:rsidR="000C3D14" w:rsidRPr="00202373">
        <w:rPr>
          <w:rFonts w:asciiTheme="majorHAnsi" w:hAnsiTheme="majorHAnsi" w:cstheme="majorHAnsi"/>
          <w:color w:val="000000"/>
        </w:rPr>
        <w:t>Zuslin</w:t>
      </w:r>
      <w:proofErr w:type="spellEnd"/>
      <w:r w:rsidR="000C3D14" w:rsidRPr="00202373">
        <w:rPr>
          <w:rFonts w:asciiTheme="majorHAnsi" w:hAnsiTheme="majorHAnsi" w:cstheme="majorHAnsi"/>
          <w:color w:val="000000"/>
        </w:rPr>
        <w:t xml:space="preserve"> ha-Cohen of Erfurt, Worms, Cologne, and Frankfurt am Main (died 1349).</w:t>
      </w:r>
      <w:r w:rsidR="000C3D14" w:rsidRPr="00202373">
        <w:rPr>
          <w:rFonts w:asciiTheme="majorHAnsi" w:hAnsiTheme="majorHAnsi" w:cstheme="majorHAnsi"/>
          <w:color w:val="000000"/>
          <w:vertAlign w:val="superscript"/>
        </w:rPr>
        <w:footnoteReference w:id="47"/>
      </w:r>
      <w:r w:rsidR="000C3D14" w:rsidRPr="00202373">
        <w:rPr>
          <w:rFonts w:asciiTheme="majorHAnsi" w:hAnsiTheme="majorHAnsi" w:cstheme="majorHAnsi"/>
          <w:color w:val="000000"/>
        </w:rPr>
        <w:t xml:space="preserve"> The abovementioned geography of rabbinical offices and mobility indicates the dissemination of the custom up to the mid-fourteenth century. In the fifteenth century, Rabbi Israel </w:t>
      </w:r>
      <w:proofErr w:type="spellStart"/>
      <w:r w:rsidR="000C3D14" w:rsidRPr="00202373">
        <w:rPr>
          <w:rFonts w:asciiTheme="majorHAnsi" w:hAnsiTheme="majorHAnsi" w:cstheme="majorHAnsi"/>
          <w:color w:val="000000"/>
        </w:rPr>
        <w:t>Isserlein</w:t>
      </w:r>
      <w:proofErr w:type="spellEnd"/>
      <w:r w:rsidR="000C3D14" w:rsidRPr="00202373">
        <w:rPr>
          <w:rFonts w:asciiTheme="majorHAnsi" w:hAnsiTheme="majorHAnsi" w:cstheme="majorHAnsi"/>
          <w:color w:val="000000"/>
        </w:rPr>
        <w:t xml:space="preserve"> (1390–1460) reported about its local versions: in his native Wiener Neustadt, Austria, the shamash performed a combination of four strikes (single-double-single), whereas in German Jewish communities the customary signal comprised three strikes (single, then double).</w:t>
      </w:r>
      <w:r w:rsidR="000C3D14" w:rsidRPr="00202373">
        <w:rPr>
          <w:rFonts w:asciiTheme="majorHAnsi" w:hAnsiTheme="majorHAnsi" w:cstheme="majorHAnsi"/>
          <w:color w:val="000000"/>
          <w:vertAlign w:val="superscript"/>
        </w:rPr>
        <w:footnoteReference w:id="48"/>
      </w:r>
      <w:r w:rsidR="000C3D14" w:rsidRPr="00202373">
        <w:rPr>
          <w:rFonts w:asciiTheme="majorHAnsi" w:hAnsiTheme="majorHAnsi" w:cstheme="majorHAnsi"/>
          <w:color w:val="000000"/>
        </w:rPr>
        <w:t xml:space="preserve"> </w:t>
      </w:r>
    </w:p>
    <w:p w14:paraId="0000001A" w14:textId="57634AA0" w:rsidR="009B4F5A" w:rsidRPr="00202373" w:rsidRDefault="000C3D14" w:rsidP="00BC436B">
      <w:pPr>
        <w:pBdr>
          <w:top w:val="nil"/>
          <w:left w:val="nil"/>
          <w:bottom w:val="nil"/>
          <w:right w:val="nil"/>
          <w:between w:val="nil"/>
        </w:pBdr>
        <w:spacing w:line="360" w:lineRule="auto"/>
        <w:ind w:firstLine="720"/>
        <w:rPr>
          <w:rFonts w:asciiTheme="majorHAnsi" w:hAnsiTheme="majorHAnsi" w:cstheme="majorHAnsi"/>
          <w:color w:val="000000"/>
        </w:rPr>
      </w:pPr>
      <w:bookmarkStart w:id="17" w:name="_tyjcwt" w:colFirst="0" w:colLast="0"/>
      <w:bookmarkEnd w:id="17"/>
      <w:r w:rsidRPr="00202373">
        <w:rPr>
          <w:rFonts w:asciiTheme="majorHAnsi" w:hAnsiTheme="majorHAnsi" w:cstheme="majorHAnsi"/>
          <w:color w:val="000000"/>
        </w:rPr>
        <w:lastRenderedPageBreak/>
        <w:t xml:space="preserve">In the seventeenth century, </w:t>
      </w:r>
      <w:proofErr w:type="spellStart"/>
      <w:r w:rsidRPr="00202373">
        <w:rPr>
          <w:rFonts w:asciiTheme="majorHAnsi" w:hAnsiTheme="majorHAnsi" w:cstheme="majorHAnsi"/>
          <w:color w:val="000000"/>
        </w:rPr>
        <w:t>Juspa</w:t>
      </w:r>
      <w:proofErr w:type="spellEnd"/>
      <w:r w:rsidRPr="00202373">
        <w:rPr>
          <w:rFonts w:asciiTheme="majorHAnsi" w:hAnsiTheme="majorHAnsi" w:cstheme="majorHAnsi"/>
          <w:color w:val="000000"/>
        </w:rPr>
        <w:t xml:space="preserve"> (</w:t>
      </w:r>
      <w:proofErr w:type="spellStart"/>
      <w:r w:rsidRPr="00202373">
        <w:rPr>
          <w:rFonts w:asciiTheme="majorHAnsi" w:hAnsiTheme="majorHAnsi" w:cstheme="majorHAnsi"/>
          <w:color w:val="000000"/>
        </w:rPr>
        <w:t>Yiftah</w:t>
      </w:r>
      <w:proofErr w:type="spellEnd"/>
      <w:r w:rsidRPr="00202373">
        <w:rPr>
          <w:rFonts w:asciiTheme="majorHAnsi" w:hAnsiTheme="majorHAnsi" w:cstheme="majorHAnsi"/>
          <w:color w:val="000000"/>
        </w:rPr>
        <w:t xml:space="preserve"> </w:t>
      </w:r>
      <w:proofErr w:type="spellStart"/>
      <w:r w:rsidRPr="00202373">
        <w:rPr>
          <w:rFonts w:asciiTheme="majorHAnsi" w:hAnsiTheme="majorHAnsi" w:cstheme="majorHAnsi"/>
          <w:color w:val="000000"/>
        </w:rPr>
        <w:t>Juspa</w:t>
      </w:r>
      <w:proofErr w:type="spellEnd"/>
      <w:r w:rsidRPr="00202373">
        <w:rPr>
          <w:rFonts w:asciiTheme="majorHAnsi" w:hAnsiTheme="majorHAnsi" w:cstheme="majorHAnsi"/>
          <w:color w:val="000000"/>
        </w:rPr>
        <w:t>-Joseph Halevy, 1604–1678), a beadle</w:t>
      </w:r>
      <w:r w:rsidRPr="00202373">
        <w:rPr>
          <w:rFonts w:asciiTheme="majorHAnsi" w:hAnsiTheme="majorHAnsi" w:cstheme="majorHAnsi"/>
          <w:i/>
          <w:color w:val="000000"/>
        </w:rPr>
        <w:t xml:space="preserve"> </w:t>
      </w:r>
      <w:r w:rsidRPr="00202373">
        <w:rPr>
          <w:rFonts w:asciiTheme="majorHAnsi" w:hAnsiTheme="majorHAnsi" w:cstheme="majorHAnsi"/>
          <w:color w:val="000000"/>
        </w:rPr>
        <w:t>of the Worms synagogue, itemized a shamash-</w:t>
      </w:r>
      <w:proofErr w:type="spellStart"/>
      <w:r w:rsidR="00FC704B">
        <w:rPr>
          <w:rFonts w:asciiTheme="majorHAnsi" w:hAnsiTheme="majorHAnsi" w:cstheme="majorHAnsi"/>
          <w:color w:val="000000"/>
        </w:rPr>
        <w:t>shulklapper</w:t>
      </w:r>
      <w:r w:rsidRPr="00202373">
        <w:rPr>
          <w:rFonts w:asciiTheme="majorHAnsi" w:hAnsiTheme="majorHAnsi" w:cstheme="majorHAnsi"/>
          <w:color w:val="000000"/>
        </w:rPr>
        <w:t>’s</w:t>
      </w:r>
      <w:proofErr w:type="spellEnd"/>
      <w:r w:rsidRPr="00202373">
        <w:rPr>
          <w:rFonts w:asciiTheme="majorHAnsi" w:hAnsiTheme="majorHAnsi" w:cstheme="majorHAnsi"/>
          <w:color w:val="000000"/>
        </w:rPr>
        <w:t xml:space="preserve"> daily itinerary.</w:t>
      </w:r>
      <w:r w:rsidRPr="00202373">
        <w:rPr>
          <w:rFonts w:asciiTheme="majorHAnsi" w:hAnsiTheme="majorHAnsi" w:cstheme="majorHAnsi"/>
          <w:color w:val="000000"/>
          <w:vertAlign w:val="superscript"/>
        </w:rPr>
        <w:footnoteReference w:id="49"/>
      </w:r>
      <w:r w:rsidRPr="00202373">
        <w:rPr>
          <w:rFonts w:asciiTheme="majorHAnsi" w:hAnsiTheme="majorHAnsi" w:cstheme="majorHAnsi"/>
          <w:color w:val="000000"/>
        </w:rPr>
        <w:t xml:space="preserve"> Early in the morning (the hour depended on the season), the </w:t>
      </w:r>
      <w:proofErr w:type="spellStart"/>
      <w:r w:rsidR="00FC704B">
        <w:rPr>
          <w:rFonts w:asciiTheme="majorHAnsi" w:hAnsiTheme="majorHAnsi" w:cstheme="majorHAnsi"/>
          <w:color w:val="000000"/>
        </w:rPr>
        <w:t>shulklapper</w:t>
      </w:r>
      <w:proofErr w:type="spellEnd"/>
      <w:r w:rsidRPr="00202373">
        <w:rPr>
          <w:rFonts w:asciiTheme="majorHAnsi" w:hAnsiTheme="majorHAnsi" w:cstheme="majorHAnsi"/>
          <w:color w:val="000000"/>
        </w:rPr>
        <w:t xml:space="preserve"> departed to the synagogue, knocking on his way upon his own home and the synagogue women’s annex. After entering the synagogue and blessing the early attendees, he made a round of knocking selected doors of Jewish houses, then he returned to the synagogue to begin the morning service.</w:t>
      </w:r>
      <w:r w:rsidR="00AC05ED">
        <w:rPr>
          <w:rFonts w:asciiTheme="majorHAnsi" w:hAnsiTheme="majorHAnsi" w:cstheme="majorHAnsi"/>
          <w:color w:val="000000"/>
        </w:rPr>
        <w:t xml:space="preserve"> </w:t>
      </w:r>
      <w:r w:rsidR="00BC436B">
        <w:rPr>
          <w:rFonts w:asciiTheme="majorHAnsi" w:hAnsiTheme="majorHAnsi" w:cstheme="majorHAnsi"/>
          <w:color w:val="000000"/>
        </w:rPr>
        <w:t>I</w:t>
      </w:r>
      <w:r w:rsidR="00BC436B" w:rsidRPr="005E5402">
        <w:rPr>
          <w:rFonts w:asciiTheme="majorHAnsi" w:hAnsiTheme="majorHAnsi" w:cstheme="majorHAnsi"/>
          <w:color w:val="000000"/>
        </w:rPr>
        <w:t xml:space="preserve">n pre-industrial </w:t>
      </w:r>
      <w:r w:rsidR="00BC436B">
        <w:rPr>
          <w:rFonts w:asciiTheme="majorHAnsi" w:hAnsiTheme="majorHAnsi" w:cstheme="majorHAnsi"/>
          <w:color w:val="000000"/>
        </w:rPr>
        <w:t>urban environment</w:t>
      </w:r>
      <w:r w:rsidR="00BC436B" w:rsidRPr="005E5402">
        <w:rPr>
          <w:rFonts w:asciiTheme="majorHAnsi" w:hAnsiTheme="majorHAnsi" w:cstheme="majorHAnsi"/>
          <w:color w:val="000000"/>
        </w:rPr>
        <w:t xml:space="preserve">, the nighttime </w:t>
      </w:r>
      <w:r w:rsidR="00BC436B">
        <w:rPr>
          <w:rFonts w:asciiTheme="majorHAnsi" w:hAnsiTheme="majorHAnsi" w:cstheme="majorHAnsi"/>
          <w:color w:val="000000"/>
        </w:rPr>
        <w:t>knocking</w:t>
      </w:r>
      <w:r w:rsidR="00BC436B" w:rsidRPr="005E5402">
        <w:rPr>
          <w:rFonts w:asciiTheme="majorHAnsi" w:hAnsiTheme="majorHAnsi" w:cstheme="majorHAnsi"/>
          <w:color w:val="000000"/>
        </w:rPr>
        <w:t xml:space="preserve"> of the shamash could be heard from a</w:t>
      </w:r>
      <w:r w:rsidR="00BC436B">
        <w:rPr>
          <w:rFonts w:asciiTheme="majorHAnsi" w:hAnsiTheme="majorHAnsi" w:cstheme="majorHAnsi"/>
          <w:color w:val="000000"/>
        </w:rPr>
        <w:t xml:space="preserve">far, so that the mallet’s sound </w:t>
      </w:r>
      <w:r w:rsidR="00BC436B" w:rsidRPr="00CD1291">
        <w:rPr>
          <w:rFonts w:asciiTheme="majorHAnsi" w:hAnsiTheme="majorHAnsi" w:cstheme="majorHAnsi"/>
          <w:color w:val="000000"/>
        </w:rPr>
        <w:t xml:space="preserve">apparently </w:t>
      </w:r>
      <w:r w:rsidR="00BC436B">
        <w:rPr>
          <w:rFonts w:asciiTheme="majorHAnsi" w:hAnsiTheme="majorHAnsi" w:cstheme="majorHAnsi"/>
          <w:color w:val="000000"/>
        </w:rPr>
        <w:t>reached at every street of the Jewish quarter that measured about 200 by 400 meters.</w:t>
      </w:r>
      <w:r w:rsidR="00B4388F" w:rsidRPr="00202373">
        <w:rPr>
          <w:rFonts w:asciiTheme="majorHAnsi" w:hAnsiTheme="majorHAnsi" w:cstheme="majorHAnsi"/>
          <w:color w:val="000000"/>
          <w:vertAlign w:val="superscript"/>
        </w:rPr>
        <w:footnoteReference w:id="50"/>
      </w:r>
      <w:r w:rsidR="00BC436B">
        <w:rPr>
          <w:rFonts w:asciiTheme="majorHAnsi" w:hAnsiTheme="majorHAnsi" w:cstheme="majorHAnsi"/>
          <w:color w:val="000000"/>
        </w:rPr>
        <w:t xml:space="preserve"> </w:t>
      </w:r>
      <w:r w:rsidR="00CD1291" w:rsidRPr="00202373">
        <w:rPr>
          <w:rFonts w:asciiTheme="majorHAnsi" w:hAnsiTheme="majorHAnsi" w:cstheme="majorHAnsi"/>
          <w:color w:val="000000"/>
        </w:rPr>
        <w:t xml:space="preserve">The </w:t>
      </w:r>
      <w:r w:rsidR="00CC1EB5">
        <w:rPr>
          <w:rFonts w:asciiTheme="majorHAnsi" w:hAnsiTheme="majorHAnsi" w:cstheme="majorHAnsi"/>
          <w:color w:val="000000"/>
        </w:rPr>
        <w:t>selected</w:t>
      </w:r>
      <w:r w:rsidR="00CD1291" w:rsidRPr="00202373">
        <w:rPr>
          <w:rFonts w:asciiTheme="majorHAnsi" w:hAnsiTheme="majorHAnsi" w:cstheme="majorHAnsi"/>
          <w:color w:val="000000"/>
        </w:rPr>
        <w:t xml:space="preserve"> points </w:t>
      </w:r>
      <w:r w:rsidR="00BC436B">
        <w:rPr>
          <w:rFonts w:asciiTheme="majorHAnsi" w:hAnsiTheme="majorHAnsi" w:cstheme="majorHAnsi"/>
          <w:color w:val="000000"/>
        </w:rPr>
        <w:t xml:space="preserve">of the shamash’s route </w:t>
      </w:r>
      <w:r w:rsidR="00CD1291" w:rsidRPr="00202373">
        <w:rPr>
          <w:rFonts w:asciiTheme="majorHAnsi" w:hAnsiTheme="majorHAnsi" w:cstheme="majorHAnsi"/>
          <w:color w:val="000000"/>
        </w:rPr>
        <w:t xml:space="preserve">spotted the </w:t>
      </w:r>
      <w:r w:rsidR="00C206DB">
        <w:rPr>
          <w:rFonts w:asciiTheme="majorHAnsi" w:hAnsiTheme="majorHAnsi" w:cstheme="majorHAnsi"/>
          <w:color w:val="000000"/>
        </w:rPr>
        <w:t xml:space="preserve">territory of the </w:t>
      </w:r>
      <w:r w:rsidR="00CD1291">
        <w:rPr>
          <w:rFonts w:asciiTheme="majorHAnsi" w:hAnsiTheme="majorHAnsi" w:cstheme="majorHAnsi"/>
          <w:color w:val="000000"/>
        </w:rPr>
        <w:t xml:space="preserve">Jewish quarter and </w:t>
      </w:r>
      <w:r w:rsidR="00CD1291" w:rsidRPr="00202373">
        <w:rPr>
          <w:rFonts w:asciiTheme="majorHAnsi" w:hAnsiTheme="majorHAnsi" w:cstheme="majorHAnsi"/>
          <w:color w:val="000000"/>
        </w:rPr>
        <w:t xml:space="preserve">marked </w:t>
      </w:r>
      <w:r w:rsidR="00CD1291">
        <w:rPr>
          <w:rFonts w:asciiTheme="majorHAnsi" w:hAnsiTheme="majorHAnsi" w:cstheme="majorHAnsi"/>
          <w:color w:val="000000"/>
        </w:rPr>
        <w:t>its</w:t>
      </w:r>
      <w:r w:rsidR="00CD1291" w:rsidRPr="00202373">
        <w:rPr>
          <w:rFonts w:asciiTheme="majorHAnsi" w:hAnsiTheme="majorHAnsi" w:cstheme="majorHAnsi"/>
          <w:color w:val="000000"/>
        </w:rPr>
        <w:t xml:space="preserve"> core (the synagogue and residence of the Head of the Rabbinical Court) and </w:t>
      </w:r>
      <w:r w:rsidR="00CD1291">
        <w:rPr>
          <w:rFonts w:asciiTheme="majorHAnsi" w:hAnsiTheme="majorHAnsi" w:cstheme="majorHAnsi"/>
          <w:color w:val="000000"/>
        </w:rPr>
        <w:t xml:space="preserve">edges </w:t>
      </w:r>
      <w:r w:rsidR="00CD1291" w:rsidRPr="00202373">
        <w:rPr>
          <w:rFonts w:asciiTheme="majorHAnsi" w:hAnsiTheme="majorHAnsi" w:cstheme="majorHAnsi"/>
          <w:color w:val="000000"/>
        </w:rPr>
        <w:t xml:space="preserve">(the gates at </w:t>
      </w:r>
      <w:r w:rsidR="00CD1291">
        <w:rPr>
          <w:rFonts w:asciiTheme="majorHAnsi" w:hAnsiTheme="majorHAnsi" w:cstheme="majorHAnsi"/>
          <w:color w:val="000000"/>
        </w:rPr>
        <w:t>its</w:t>
      </w:r>
      <w:r w:rsidR="00CD1291" w:rsidRPr="00202373">
        <w:rPr>
          <w:rFonts w:asciiTheme="majorHAnsi" w:hAnsiTheme="majorHAnsi" w:cstheme="majorHAnsi"/>
          <w:color w:val="000000"/>
        </w:rPr>
        <w:t xml:space="preserve"> east and west sides).</w:t>
      </w:r>
      <w:r w:rsidR="00BC436B">
        <w:rPr>
          <w:rFonts w:asciiTheme="majorHAnsi" w:hAnsiTheme="majorHAnsi" w:cstheme="majorHAnsi"/>
          <w:color w:val="000000"/>
        </w:rPr>
        <w:t xml:space="preserve"> </w:t>
      </w:r>
      <w:r w:rsidR="00CD1291">
        <w:rPr>
          <w:rFonts w:asciiTheme="majorHAnsi" w:hAnsiTheme="majorHAnsi" w:cstheme="majorHAnsi"/>
          <w:color w:val="000000"/>
        </w:rPr>
        <w:t xml:space="preserve">The </w:t>
      </w:r>
      <w:r w:rsidR="00BC436B">
        <w:rPr>
          <w:rFonts w:asciiTheme="majorHAnsi" w:hAnsiTheme="majorHAnsi" w:cstheme="majorHAnsi"/>
          <w:color w:val="000000"/>
        </w:rPr>
        <w:t xml:space="preserve">daily </w:t>
      </w:r>
      <w:r w:rsidR="00CD1291">
        <w:rPr>
          <w:rFonts w:asciiTheme="majorHAnsi" w:hAnsiTheme="majorHAnsi" w:cstheme="majorHAnsi"/>
          <w:color w:val="000000"/>
        </w:rPr>
        <w:t xml:space="preserve">knocking </w:t>
      </w:r>
      <w:r w:rsidR="009E58BC">
        <w:rPr>
          <w:rFonts w:asciiTheme="majorHAnsi" w:hAnsiTheme="majorHAnsi" w:cstheme="majorHAnsi"/>
          <w:color w:val="000000"/>
        </w:rPr>
        <w:t xml:space="preserve">repeatedly </w:t>
      </w:r>
      <w:r w:rsidR="00CD1291">
        <w:rPr>
          <w:rFonts w:asciiTheme="majorHAnsi" w:hAnsiTheme="majorHAnsi" w:cstheme="majorHAnsi"/>
          <w:color w:val="000000"/>
        </w:rPr>
        <w:t xml:space="preserve">mapped and </w:t>
      </w:r>
      <w:r w:rsidR="009E58BC" w:rsidRPr="00CD1291">
        <w:rPr>
          <w:rFonts w:asciiTheme="majorHAnsi" w:hAnsiTheme="majorHAnsi" w:cstheme="majorHAnsi"/>
          <w:color w:val="000000"/>
        </w:rPr>
        <w:t>audibly</w:t>
      </w:r>
      <w:r w:rsidR="009E58BC">
        <w:rPr>
          <w:rFonts w:asciiTheme="majorHAnsi" w:hAnsiTheme="majorHAnsi" w:cstheme="majorHAnsi"/>
          <w:color w:val="000000"/>
        </w:rPr>
        <w:t xml:space="preserve"> </w:t>
      </w:r>
      <w:r w:rsidR="00BC436B">
        <w:rPr>
          <w:rFonts w:asciiTheme="majorHAnsi" w:hAnsiTheme="majorHAnsi" w:cstheme="majorHAnsi"/>
          <w:color w:val="000000"/>
        </w:rPr>
        <w:t>restated the Jewish</w:t>
      </w:r>
      <w:r w:rsidRPr="00202373">
        <w:rPr>
          <w:rFonts w:asciiTheme="majorHAnsi" w:hAnsiTheme="majorHAnsi" w:cstheme="majorHAnsi"/>
          <w:color w:val="000000"/>
        </w:rPr>
        <w:t xml:space="preserve">’s </w:t>
      </w:r>
      <w:r w:rsidR="00BC436B">
        <w:rPr>
          <w:rFonts w:asciiTheme="majorHAnsi" w:hAnsiTheme="majorHAnsi" w:cstheme="majorHAnsi"/>
          <w:color w:val="000000"/>
        </w:rPr>
        <w:t xml:space="preserve">enclave in the Christian city of Worms. </w:t>
      </w:r>
    </w:p>
    <w:p w14:paraId="0A605F67" w14:textId="13EE6BC6" w:rsidR="00951E51" w:rsidRDefault="007F3B2E" w:rsidP="00951E51">
      <w:pPr>
        <w:pBdr>
          <w:top w:val="nil"/>
          <w:left w:val="nil"/>
          <w:bottom w:val="nil"/>
          <w:right w:val="nil"/>
          <w:between w:val="nil"/>
        </w:pBdr>
        <w:spacing w:line="360" w:lineRule="auto"/>
        <w:ind w:firstLine="720"/>
        <w:rPr>
          <w:rFonts w:asciiTheme="majorHAnsi" w:hAnsiTheme="majorHAnsi" w:cstheme="majorHAnsi"/>
          <w:color w:val="000000"/>
        </w:rPr>
      </w:pPr>
      <w:bookmarkStart w:id="18" w:name="_3dy6vkm" w:colFirst="0" w:colLast="0"/>
      <w:bookmarkEnd w:id="18"/>
      <w:r>
        <w:rPr>
          <w:rFonts w:asciiTheme="majorHAnsi" w:hAnsiTheme="majorHAnsi" w:cstheme="majorHAnsi"/>
          <w:color w:val="000000"/>
        </w:rPr>
        <w:t xml:space="preserve">Written and visual testimonies </w:t>
      </w:r>
      <w:r w:rsidR="000C3D14" w:rsidRPr="00202373">
        <w:rPr>
          <w:rFonts w:asciiTheme="majorHAnsi" w:hAnsiTheme="majorHAnsi" w:cstheme="majorHAnsi"/>
          <w:color w:val="000000"/>
        </w:rPr>
        <w:t xml:space="preserve">approve that a sequence of mallet blows commencing at the synagogue, meandering across the neighborhood, and returning to the synagogue in morning and evening was a daily acoustic experience of Jews in </w:t>
      </w:r>
      <w:r w:rsidR="002828AC">
        <w:rPr>
          <w:rFonts w:asciiTheme="majorHAnsi" w:hAnsiTheme="majorHAnsi" w:cstheme="majorHAnsi"/>
          <w:color w:val="000000"/>
        </w:rPr>
        <w:t xml:space="preserve">central </w:t>
      </w:r>
      <w:r w:rsidR="000C3D14" w:rsidRPr="00202373">
        <w:rPr>
          <w:rFonts w:asciiTheme="majorHAnsi" w:hAnsiTheme="majorHAnsi" w:cstheme="majorHAnsi"/>
          <w:color w:val="000000"/>
        </w:rPr>
        <w:t>and east</w:t>
      </w:r>
      <w:r w:rsidR="00CC1EB5">
        <w:rPr>
          <w:rFonts w:asciiTheme="majorHAnsi" w:hAnsiTheme="majorHAnsi" w:cstheme="majorHAnsi"/>
          <w:color w:val="000000"/>
        </w:rPr>
        <w:t xml:space="preserve">ern </w:t>
      </w:r>
      <w:r w:rsidR="000C3D14" w:rsidRPr="00202373">
        <w:rPr>
          <w:rFonts w:asciiTheme="majorHAnsi" w:hAnsiTheme="majorHAnsi" w:cstheme="majorHAnsi"/>
          <w:color w:val="000000"/>
        </w:rPr>
        <w:t xml:space="preserve">Europe </w:t>
      </w:r>
      <w:r>
        <w:rPr>
          <w:rFonts w:asciiTheme="majorHAnsi" w:hAnsiTheme="majorHAnsi" w:cstheme="majorHAnsi"/>
          <w:color w:val="000000"/>
        </w:rPr>
        <w:t>through ages</w:t>
      </w:r>
      <w:r w:rsidR="000C3D14" w:rsidRPr="00202373">
        <w:rPr>
          <w:rFonts w:asciiTheme="majorHAnsi" w:hAnsiTheme="majorHAnsi" w:cstheme="majorHAnsi"/>
          <w:color w:val="000000"/>
        </w:rPr>
        <w:t>.</w:t>
      </w:r>
      <w:r>
        <w:rPr>
          <w:rFonts w:asciiTheme="majorHAnsi" w:hAnsiTheme="majorHAnsi" w:cstheme="majorHAnsi"/>
          <w:color w:val="000000"/>
        </w:rPr>
        <w:t xml:space="preserve"> </w:t>
      </w:r>
      <w:r w:rsidR="00BF5562">
        <w:rPr>
          <w:rFonts w:asciiTheme="majorHAnsi" w:hAnsiTheme="majorHAnsi" w:cstheme="majorHAnsi"/>
          <w:color w:val="000000"/>
        </w:rPr>
        <w:t xml:space="preserve">The </w:t>
      </w:r>
      <w:r w:rsidR="00BF5562" w:rsidRPr="00202373">
        <w:rPr>
          <w:rFonts w:asciiTheme="majorHAnsi" w:hAnsiTheme="majorHAnsi" w:cstheme="majorHAnsi"/>
          <w:color w:val="000000"/>
        </w:rPr>
        <w:t xml:space="preserve">known to me </w:t>
      </w:r>
      <w:r w:rsidR="00CC1EB5" w:rsidRPr="00202373">
        <w:rPr>
          <w:rFonts w:asciiTheme="majorHAnsi" w:hAnsiTheme="majorHAnsi" w:cstheme="majorHAnsi"/>
          <w:color w:val="000000"/>
        </w:rPr>
        <w:t xml:space="preserve">sources </w:t>
      </w:r>
      <w:r w:rsidR="00CC1EB5">
        <w:rPr>
          <w:rFonts w:asciiTheme="majorHAnsi" w:hAnsiTheme="majorHAnsi" w:cstheme="majorHAnsi"/>
          <w:color w:val="000000"/>
        </w:rPr>
        <w:t xml:space="preserve">coming from German </w:t>
      </w:r>
      <w:r w:rsidR="002828AC">
        <w:rPr>
          <w:rFonts w:asciiTheme="majorHAnsi" w:hAnsiTheme="majorHAnsi" w:cstheme="majorHAnsi"/>
          <w:color w:val="000000"/>
        </w:rPr>
        <w:t xml:space="preserve">and Austrian </w:t>
      </w:r>
      <w:r w:rsidR="00CC1EB5">
        <w:rPr>
          <w:rFonts w:asciiTheme="majorHAnsi" w:hAnsiTheme="majorHAnsi" w:cstheme="majorHAnsi"/>
          <w:color w:val="000000"/>
        </w:rPr>
        <w:t xml:space="preserve">cities and towns </w:t>
      </w:r>
      <w:r w:rsidR="002828AC">
        <w:rPr>
          <w:rFonts w:asciiTheme="majorHAnsi" w:hAnsiTheme="majorHAnsi" w:cstheme="majorHAnsi"/>
          <w:color w:val="000000"/>
        </w:rPr>
        <w:t xml:space="preserve">of the </w:t>
      </w:r>
      <w:r w:rsidR="00BF5562">
        <w:rPr>
          <w:rFonts w:asciiTheme="majorHAnsi" w:hAnsiTheme="majorHAnsi" w:cstheme="majorHAnsi"/>
          <w:color w:val="000000"/>
        </w:rPr>
        <w:t xml:space="preserve">eighteenth </w:t>
      </w:r>
      <w:r w:rsidR="001534B8">
        <w:rPr>
          <w:rFonts w:asciiTheme="majorHAnsi" w:hAnsiTheme="majorHAnsi" w:cstheme="majorHAnsi"/>
          <w:color w:val="000000"/>
        </w:rPr>
        <w:t xml:space="preserve">to </w:t>
      </w:r>
      <w:r w:rsidR="001534B8" w:rsidRPr="002828AC">
        <w:rPr>
          <w:rFonts w:asciiTheme="majorHAnsi" w:hAnsiTheme="majorHAnsi" w:cstheme="majorHAnsi"/>
          <w:color w:val="000000"/>
        </w:rPr>
        <w:t>early</w:t>
      </w:r>
      <w:r w:rsidR="002828AC" w:rsidRPr="002828AC">
        <w:rPr>
          <w:rFonts w:asciiTheme="majorHAnsi" w:hAnsiTheme="majorHAnsi" w:cstheme="majorHAnsi"/>
          <w:color w:val="000000"/>
        </w:rPr>
        <w:t xml:space="preserve"> </w:t>
      </w:r>
      <w:r w:rsidR="001534B8" w:rsidRPr="002828AC">
        <w:rPr>
          <w:rFonts w:asciiTheme="majorHAnsi" w:hAnsiTheme="majorHAnsi" w:cstheme="majorHAnsi"/>
          <w:color w:val="000000"/>
        </w:rPr>
        <w:t>twentieth</w:t>
      </w:r>
      <w:r w:rsidR="002828AC" w:rsidRPr="002828AC">
        <w:rPr>
          <w:rFonts w:asciiTheme="majorHAnsi" w:hAnsiTheme="majorHAnsi" w:cstheme="majorHAnsi"/>
          <w:color w:val="000000"/>
        </w:rPr>
        <w:t xml:space="preserve"> </w:t>
      </w:r>
      <w:r w:rsidR="001534B8" w:rsidRPr="002828AC">
        <w:rPr>
          <w:rFonts w:asciiTheme="majorHAnsi" w:hAnsiTheme="majorHAnsi" w:cstheme="majorHAnsi"/>
          <w:color w:val="000000"/>
        </w:rPr>
        <w:t>century</w:t>
      </w:r>
      <w:r w:rsidR="00BF5562">
        <w:rPr>
          <w:rFonts w:asciiTheme="majorHAnsi" w:hAnsiTheme="majorHAnsi" w:cstheme="majorHAnsi"/>
          <w:color w:val="000000"/>
        </w:rPr>
        <w:t xml:space="preserve"> </w:t>
      </w:r>
      <w:r w:rsidR="00BF5562" w:rsidRPr="00202373">
        <w:rPr>
          <w:rFonts w:asciiTheme="majorHAnsi" w:hAnsiTheme="majorHAnsi" w:cstheme="majorHAnsi"/>
          <w:color w:val="000000"/>
        </w:rPr>
        <w:t>d</w:t>
      </w:r>
      <w:r w:rsidR="001534B8">
        <w:rPr>
          <w:rFonts w:asciiTheme="majorHAnsi" w:hAnsiTheme="majorHAnsi" w:cstheme="majorHAnsi"/>
          <w:color w:val="000000"/>
        </w:rPr>
        <w:t>o</w:t>
      </w:r>
      <w:r w:rsidR="00BF5562" w:rsidRPr="00202373">
        <w:rPr>
          <w:rFonts w:asciiTheme="majorHAnsi" w:hAnsiTheme="majorHAnsi" w:cstheme="majorHAnsi"/>
          <w:color w:val="000000"/>
        </w:rPr>
        <w:t xml:space="preserve"> not specify any designated stations on the </w:t>
      </w:r>
      <w:proofErr w:type="spellStart"/>
      <w:r w:rsidR="00FC704B">
        <w:rPr>
          <w:rFonts w:asciiTheme="majorHAnsi" w:hAnsiTheme="majorHAnsi" w:cstheme="majorHAnsi"/>
          <w:color w:val="000000"/>
        </w:rPr>
        <w:t>shulklapper</w:t>
      </w:r>
      <w:r w:rsidR="00BF5562" w:rsidRPr="00202373">
        <w:rPr>
          <w:rFonts w:asciiTheme="majorHAnsi" w:hAnsiTheme="majorHAnsi" w:cstheme="majorHAnsi"/>
          <w:color w:val="000000"/>
        </w:rPr>
        <w:t>’s</w:t>
      </w:r>
      <w:proofErr w:type="spellEnd"/>
      <w:r w:rsidR="00BF5562" w:rsidRPr="00202373">
        <w:rPr>
          <w:rFonts w:asciiTheme="majorHAnsi" w:hAnsiTheme="majorHAnsi" w:cstheme="majorHAnsi"/>
          <w:color w:val="000000"/>
        </w:rPr>
        <w:t xml:space="preserve"> route</w:t>
      </w:r>
      <w:r w:rsidR="00BF5562">
        <w:rPr>
          <w:rFonts w:asciiTheme="majorHAnsi" w:hAnsiTheme="majorHAnsi" w:cstheme="majorHAnsi"/>
          <w:color w:val="000000"/>
        </w:rPr>
        <w:t>.</w:t>
      </w:r>
      <w:r w:rsidR="00BF5562" w:rsidRPr="00202373">
        <w:rPr>
          <w:rFonts w:asciiTheme="majorHAnsi" w:hAnsiTheme="majorHAnsi" w:cstheme="majorHAnsi"/>
          <w:color w:val="000000"/>
          <w:vertAlign w:val="superscript"/>
        </w:rPr>
        <w:footnoteReference w:id="51"/>
      </w:r>
      <w:r w:rsidR="00BF5562" w:rsidRPr="00202373">
        <w:rPr>
          <w:rFonts w:asciiTheme="majorHAnsi" w:hAnsiTheme="majorHAnsi" w:cstheme="majorHAnsi"/>
          <w:color w:val="000000"/>
        </w:rPr>
        <w:t xml:space="preserve"> </w:t>
      </w:r>
      <w:r w:rsidR="002828AC">
        <w:rPr>
          <w:rFonts w:asciiTheme="majorHAnsi" w:hAnsiTheme="majorHAnsi" w:cstheme="majorHAnsi"/>
          <w:color w:val="000000"/>
        </w:rPr>
        <w:t xml:space="preserve">In these places, the Jewish population was concentrated along one or </w:t>
      </w:r>
      <w:r w:rsidR="002828AC">
        <w:rPr>
          <w:rFonts w:asciiTheme="majorHAnsi" w:hAnsiTheme="majorHAnsi" w:cstheme="majorHAnsi"/>
          <w:color w:val="000000"/>
        </w:rPr>
        <w:lastRenderedPageBreak/>
        <w:t xml:space="preserve">several streets rather than being enclosed within the gates of a Jewish quarter as it was in medieval Worms. </w:t>
      </w:r>
      <w:r w:rsidR="00BF5562">
        <w:rPr>
          <w:rFonts w:asciiTheme="majorHAnsi" w:hAnsiTheme="majorHAnsi" w:cstheme="majorHAnsi"/>
          <w:color w:val="000000"/>
        </w:rPr>
        <w:t>S</w:t>
      </w:r>
      <w:r w:rsidR="00BF5562" w:rsidRPr="00202373">
        <w:rPr>
          <w:rFonts w:asciiTheme="majorHAnsi" w:hAnsiTheme="majorHAnsi" w:cstheme="majorHAnsi"/>
          <w:color w:val="000000"/>
        </w:rPr>
        <w:t xml:space="preserve">eemingly, </w:t>
      </w:r>
      <w:r w:rsidR="004A720F">
        <w:rPr>
          <w:rFonts w:asciiTheme="majorHAnsi" w:hAnsiTheme="majorHAnsi" w:cstheme="majorHAnsi"/>
          <w:color w:val="000000"/>
        </w:rPr>
        <w:t xml:space="preserve">to ensure that his signal to be heard by as many as possible, </w:t>
      </w:r>
      <w:r w:rsidR="00BF5562">
        <w:rPr>
          <w:rFonts w:asciiTheme="majorHAnsi" w:hAnsiTheme="majorHAnsi" w:cstheme="majorHAnsi"/>
          <w:color w:val="000000"/>
        </w:rPr>
        <w:t xml:space="preserve">the </w:t>
      </w:r>
      <w:proofErr w:type="spellStart"/>
      <w:r w:rsidR="00FC704B">
        <w:rPr>
          <w:rFonts w:asciiTheme="majorHAnsi" w:hAnsiTheme="majorHAnsi" w:cstheme="majorHAnsi"/>
          <w:color w:val="000000"/>
        </w:rPr>
        <w:t>shulklapper</w:t>
      </w:r>
      <w:proofErr w:type="spellEnd"/>
      <w:r w:rsidR="00BF5562" w:rsidRPr="00BF5562">
        <w:rPr>
          <w:rFonts w:asciiTheme="majorHAnsi" w:hAnsiTheme="majorHAnsi" w:cstheme="majorHAnsi"/>
          <w:color w:val="000000"/>
        </w:rPr>
        <w:t xml:space="preserve"> </w:t>
      </w:r>
      <w:r w:rsidR="004A720F">
        <w:rPr>
          <w:rFonts w:asciiTheme="majorHAnsi" w:hAnsiTheme="majorHAnsi" w:cstheme="majorHAnsi"/>
          <w:color w:val="000000"/>
        </w:rPr>
        <w:t xml:space="preserve">had to individualize it by </w:t>
      </w:r>
      <w:r w:rsidR="00BF5562" w:rsidRPr="00202373">
        <w:rPr>
          <w:rFonts w:asciiTheme="majorHAnsi" w:hAnsiTheme="majorHAnsi" w:cstheme="majorHAnsi"/>
          <w:color w:val="000000"/>
        </w:rPr>
        <w:t>knock</w:t>
      </w:r>
      <w:r w:rsidR="004A720F">
        <w:rPr>
          <w:rFonts w:asciiTheme="majorHAnsi" w:hAnsiTheme="majorHAnsi" w:cstheme="majorHAnsi"/>
          <w:color w:val="000000"/>
        </w:rPr>
        <w:t>ing</w:t>
      </w:r>
      <w:r w:rsidR="00BF5562" w:rsidRPr="00202373">
        <w:rPr>
          <w:rFonts w:asciiTheme="majorHAnsi" w:hAnsiTheme="majorHAnsi" w:cstheme="majorHAnsi"/>
          <w:color w:val="000000"/>
        </w:rPr>
        <w:t xml:space="preserve"> nearly each Jewish door or window shutter he passed by</w:t>
      </w:r>
      <w:r w:rsidR="00BF5562">
        <w:rPr>
          <w:rFonts w:asciiTheme="majorHAnsi" w:hAnsiTheme="majorHAnsi" w:cstheme="majorHAnsi"/>
          <w:color w:val="000000"/>
        </w:rPr>
        <w:t xml:space="preserve">. </w:t>
      </w:r>
      <w:r w:rsidR="004A720F" w:rsidRPr="004A720F">
        <w:rPr>
          <w:rFonts w:asciiTheme="majorHAnsi" w:hAnsiTheme="majorHAnsi" w:cstheme="majorHAnsi"/>
          <w:color w:val="000000"/>
        </w:rPr>
        <w:t>S</w:t>
      </w:r>
      <w:r w:rsidR="00B4388F">
        <w:rPr>
          <w:rFonts w:asciiTheme="majorHAnsi" w:hAnsiTheme="majorHAnsi" w:cstheme="majorHAnsi"/>
          <w:color w:val="000000"/>
        </w:rPr>
        <w:t>o</w:t>
      </w:r>
      <w:r w:rsidR="004A720F" w:rsidRPr="004A720F">
        <w:rPr>
          <w:rFonts w:asciiTheme="majorHAnsi" w:hAnsiTheme="majorHAnsi" w:cstheme="majorHAnsi"/>
          <w:color w:val="000000"/>
        </w:rPr>
        <w:t>lomo</w:t>
      </w:r>
      <w:r w:rsidR="00B4388F">
        <w:rPr>
          <w:rFonts w:asciiTheme="majorHAnsi" w:hAnsiTheme="majorHAnsi" w:cstheme="majorHAnsi"/>
          <w:color w:val="000000"/>
        </w:rPr>
        <w:t>n</w:t>
      </w:r>
      <w:r w:rsidR="004A720F" w:rsidRPr="004A720F">
        <w:rPr>
          <w:rFonts w:asciiTheme="majorHAnsi" w:hAnsiTheme="majorHAnsi" w:cstheme="majorHAnsi"/>
          <w:color w:val="000000"/>
        </w:rPr>
        <w:t xml:space="preserve"> </w:t>
      </w:r>
      <w:proofErr w:type="spellStart"/>
      <w:r w:rsidR="004A720F" w:rsidRPr="004A720F">
        <w:rPr>
          <w:rFonts w:asciiTheme="majorHAnsi" w:hAnsiTheme="majorHAnsi" w:cstheme="majorHAnsi"/>
          <w:color w:val="000000"/>
        </w:rPr>
        <w:t>Zalman</w:t>
      </w:r>
      <w:proofErr w:type="spellEnd"/>
      <w:r w:rsidR="004A720F" w:rsidRPr="004A720F">
        <w:rPr>
          <w:rFonts w:asciiTheme="majorHAnsi" w:hAnsiTheme="majorHAnsi" w:cstheme="majorHAnsi"/>
          <w:color w:val="000000"/>
        </w:rPr>
        <w:t xml:space="preserve"> Geiger</w:t>
      </w:r>
      <w:r w:rsidR="004A720F">
        <w:rPr>
          <w:rFonts w:asciiTheme="majorHAnsi" w:hAnsiTheme="majorHAnsi" w:cstheme="majorHAnsi"/>
          <w:color w:val="000000"/>
        </w:rPr>
        <w:t xml:space="preserve"> (d. 1775), a synagogue precentor and community </w:t>
      </w:r>
      <w:r w:rsidR="00DC1346">
        <w:rPr>
          <w:rFonts w:asciiTheme="majorHAnsi" w:hAnsiTheme="majorHAnsi" w:cstheme="majorHAnsi"/>
          <w:color w:val="000000"/>
        </w:rPr>
        <w:t>notable of</w:t>
      </w:r>
      <w:r w:rsidR="001534B8" w:rsidRPr="00202373">
        <w:rPr>
          <w:rFonts w:asciiTheme="majorHAnsi" w:hAnsiTheme="majorHAnsi" w:cstheme="majorHAnsi"/>
          <w:color w:val="000000"/>
          <w:lang w:val="de-DE"/>
        </w:rPr>
        <w:t xml:space="preserve"> </w:t>
      </w:r>
      <w:r w:rsidR="00BF5562" w:rsidRPr="00202373">
        <w:rPr>
          <w:rFonts w:asciiTheme="majorHAnsi" w:hAnsiTheme="majorHAnsi" w:cstheme="majorHAnsi"/>
          <w:color w:val="000000"/>
          <w:lang w:val="de-DE"/>
        </w:rPr>
        <w:t>Frankfurt am Main</w:t>
      </w:r>
      <w:r w:rsidR="00BF5562">
        <w:rPr>
          <w:rFonts w:asciiTheme="majorHAnsi" w:hAnsiTheme="majorHAnsi" w:cstheme="majorHAnsi"/>
          <w:color w:val="000000"/>
          <w:lang w:val="de-DE"/>
        </w:rPr>
        <w:t>,</w:t>
      </w:r>
      <w:r w:rsidR="001534B8">
        <w:rPr>
          <w:rFonts w:asciiTheme="majorHAnsi" w:hAnsiTheme="majorHAnsi" w:cstheme="majorHAnsi"/>
          <w:color w:val="000000"/>
          <w:lang w:val="de-DE"/>
        </w:rPr>
        <w:t xml:space="preserve"> </w:t>
      </w:r>
      <w:r w:rsidR="00E313AC">
        <w:rPr>
          <w:rFonts w:asciiTheme="majorHAnsi" w:hAnsiTheme="majorHAnsi" w:cstheme="majorHAnsi"/>
          <w:color w:val="000000"/>
          <w:lang w:val="de-DE"/>
        </w:rPr>
        <w:t>described t</w:t>
      </w:r>
      <w:r w:rsidR="00BF5562" w:rsidRPr="001534B8">
        <w:rPr>
          <w:rFonts w:asciiTheme="majorHAnsi" w:eastAsia="Times New Roman" w:hAnsiTheme="majorHAnsi" w:cstheme="majorHAnsi"/>
          <w:color w:val="000000"/>
        </w:rPr>
        <w:t xml:space="preserve">he </w:t>
      </w:r>
      <w:r w:rsidR="00BF5562" w:rsidRPr="001534B8">
        <w:rPr>
          <w:rFonts w:asciiTheme="majorHAnsi" w:eastAsia="Times New Roman" w:hAnsiTheme="majorHAnsi" w:cstheme="majorHAnsi"/>
          <w:i/>
          <w:iCs/>
          <w:color w:val="000000"/>
        </w:rPr>
        <w:t>shamash</w:t>
      </w:r>
      <w:r w:rsidR="00E313AC">
        <w:rPr>
          <w:rFonts w:asciiTheme="majorHAnsi" w:eastAsia="Times New Roman" w:hAnsiTheme="majorHAnsi" w:cstheme="majorHAnsi"/>
          <w:i/>
          <w:iCs/>
          <w:color w:val="000000"/>
        </w:rPr>
        <w:t xml:space="preserve"> </w:t>
      </w:r>
      <w:r w:rsidR="00E313AC">
        <w:rPr>
          <w:rFonts w:asciiTheme="majorHAnsi" w:eastAsia="Times New Roman" w:hAnsiTheme="majorHAnsi" w:cstheme="majorHAnsi"/>
          <w:color w:val="000000"/>
        </w:rPr>
        <w:t xml:space="preserve">going </w:t>
      </w:r>
      <w:r w:rsidR="00BF5562" w:rsidRPr="001534B8">
        <w:rPr>
          <w:rFonts w:asciiTheme="majorHAnsi" w:eastAsia="Times New Roman" w:hAnsiTheme="majorHAnsi" w:cstheme="majorHAnsi"/>
          <w:color w:val="000000"/>
        </w:rPr>
        <w:t xml:space="preserve">down on the </w:t>
      </w:r>
      <w:proofErr w:type="gramStart"/>
      <w:r w:rsidR="00BF5562" w:rsidRPr="001534B8">
        <w:rPr>
          <w:rFonts w:asciiTheme="majorHAnsi" w:eastAsia="Times New Roman" w:hAnsiTheme="majorHAnsi" w:cstheme="majorHAnsi"/>
          <w:color w:val="000000"/>
        </w:rPr>
        <w:t>Jewish street</w:t>
      </w:r>
      <w:proofErr w:type="gramEnd"/>
      <w:r w:rsidR="00BF5562" w:rsidRPr="001534B8">
        <w:rPr>
          <w:rFonts w:asciiTheme="majorHAnsi" w:eastAsia="Times New Roman" w:hAnsiTheme="majorHAnsi" w:cstheme="majorHAnsi"/>
          <w:color w:val="000000"/>
        </w:rPr>
        <w:t xml:space="preserve"> to the synagogue </w:t>
      </w:r>
      <w:r w:rsidR="00DC1346">
        <w:rPr>
          <w:rFonts w:asciiTheme="majorHAnsi" w:eastAsia="Times New Roman" w:hAnsiTheme="majorHAnsi" w:cstheme="majorHAnsi"/>
          <w:color w:val="000000"/>
        </w:rPr>
        <w:t xml:space="preserve">while </w:t>
      </w:r>
      <w:r w:rsidR="00BF5562" w:rsidRPr="001534B8">
        <w:rPr>
          <w:rFonts w:asciiTheme="majorHAnsi" w:eastAsia="Times New Roman" w:hAnsiTheme="majorHAnsi" w:cstheme="majorHAnsi"/>
          <w:color w:val="000000"/>
        </w:rPr>
        <w:t>knock</w:t>
      </w:r>
      <w:r w:rsidR="00DC1346">
        <w:rPr>
          <w:rFonts w:asciiTheme="majorHAnsi" w:eastAsia="Times New Roman" w:hAnsiTheme="majorHAnsi" w:cstheme="majorHAnsi"/>
          <w:color w:val="000000"/>
        </w:rPr>
        <w:t>ing</w:t>
      </w:r>
      <w:r w:rsidR="00BF5562" w:rsidRPr="001534B8">
        <w:rPr>
          <w:rFonts w:asciiTheme="majorHAnsi" w:eastAsia="Times New Roman" w:hAnsiTheme="majorHAnsi" w:cstheme="majorHAnsi"/>
          <w:color w:val="000000"/>
        </w:rPr>
        <w:t xml:space="preserve"> with a wooden hammer on the doors of houses</w:t>
      </w:r>
      <w:r w:rsidR="00E313AC">
        <w:rPr>
          <w:rFonts w:asciiTheme="majorHAnsi" w:eastAsia="Times New Roman" w:hAnsiTheme="majorHAnsi" w:cstheme="majorHAnsi"/>
          <w:color w:val="000000"/>
        </w:rPr>
        <w:t>. The route was performed twice a day:</w:t>
      </w:r>
      <w:r w:rsidR="00BF5562" w:rsidRPr="001534B8">
        <w:rPr>
          <w:rFonts w:asciiTheme="majorHAnsi" w:eastAsia="Times New Roman" w:hAnsiTheme="majorHAnsi" w:cstheme="majorHAnsi"/>
          <w:color w:val="000000"/>
        </w:rPr>
        <w:t xml:space="preserve"> </w:t>
      </w:r>
      <w:r w:rsidR="00E313AC">
        <w:rPr>
          <w:rFonts w:asciiTheme="majorHAnsi" w:eastAsia="Times New Roman" w:hAnsiTheme="majorHAnsi" w:cstheme="majorHAnsi"/>
          <w:color w:val="000000"/>
        </w:rPr>
        <w:t>“</w:t>
      </w:r>
      <w:r w:rsidR="00BF5562" w:rsidRPr="001534B8">
        <w:rPr>
          <w:rFonts w:asciiTheme="majorHAnsi" w:eastAsia="Times New Roman" w:hAnsiTheme="majorHAnsi" w:cstheme="majorHAnsi"/>
          <w:color w:val="000000"/>
        </w:rPr>
        <w:t>in the morning to wake up the sleepers, and in the evening to remind those who forgot that the time [for prayer] had come</w:t>
      </w:r>
      <w:r w:rsidR="001534B8" w:rsidRPr="001534B8">
        <w:rPr>
          <w:rFonts w:asciiTheme="majorHAnsi" w:eastAsia="Times New Roman" w:hAnsiTheme="majorHAnsi" w:cstheme="majorHAnsi"/>
          <w:color w:val="000000"/>
        </w:rPr>
        <w:t>.</w:t>
      </w:r>
      <w:r w:rsidR="001534B8">
        <w:rPr>
          <w:rFonts w:asciiTheme="majorHAnsi" w:eastAsia="Times New Roman" w:hAnsiTheme="majorHAnsi" w:cstheme="majorHAnsi"/>
          <w:color w:val="000000"/>
        </w:rPr>
        <w:t>”</w:t>
      </w:r>
      <w:r w:rsidR="00BF5562" w:rsidRPr="001534B8">
        <w:rPr>
          <w:rFonts w:asciiTheme="majorHAnsi" w:hAnsiTheme="majorHAnsi" w:cstheme="majorHAnsi"/>
          <w:color w:val="000000"/>
          <w:vertAlign w:val="superscript"/>
        </w:rPr>
        <w:t xml:space="preserve"> </w:t>
      </w:r>
      <w:r w:rsidR="00BF5562" w:rsidRPr="001534B8">
        <w:rPr>
          <w:rFonts w:asciiTheme="majorHAnsi" w:hAnsiTheme="majorHAnsi" w:cstheme="majorHAnsi"/>
          <w:color w:val="000000"/>
          <w:vertAlign w:val="superscript"/>
        </w:rPr>
        <w:footnoteReference w:id="52"/>
      </w:r>
      <w:r w:rsidR="001534B8">
        <w:rPr>
          <w:rFonts w:asciiTheme="majorHAnsi" w:hAnsiTheme="majorHAnsi" w:cstheme="majorHAnsi"/>
          <w:color w:val="000000"/>
          <w:vertAlign w:val="superscript"/>
        </w:rPr>
        <w:t xml:space="preserve"> </w:t>
      </w:r>
      <w:r w:rsidR="00951E51" w:rsidRPr="00951E51">
        <w:rPr>
          <w:rFonts w:asciiTheme="majorHAnsi" w:hAnsiTheme="majorHAnsi" w:cstheme="majorHAnsi"/>
          <w:color w:val="000000"/>
        </w:rPr>
        <w:t xml:space="preserve">A comparable pattern of </w:t>
      </w:r>
      <w:r w:rsidR="00172409">
        <w:rPr>
          <w:rFonts w:asciiTheme="majorHAnsi" w:hAnsiTheme="majorHAnsi" w:cstheme="majorHAnsi"/>
          <w:color w:val="000000"/>
        </w:rPr>
        <w:t xml:space="preserve">personal </w:t>
      </w:r>
      <w:r w:rsidR="00951E51" w:rsidRPr="00951E51">
        <w:rPr>
          <w:rFonts w:asciiTheme="majorHAnsi" w:hAnsiTheme="majorHAnsi" w:cstheme="majorHAnsi"/>
          <w:color w:val="000000"/>
        </w:rPr>
        <w:t xml:space="preserve">awakening among </w:t>
      </w:r>
      <w:r w:rsidR="00172409">
        <w:rPr>
          <w:rFonts w:asciiTheme="majorHAnsi" w:hAnsiTheme="majorHAnsi" w:cstheme="majorHAnsi"/>
          <w:color w:val="000000"/>
        </w:rPr>
        <w:t xml:space="preserve">homogenous </w:t>
      </w:r>
      <w:r w:rsidR="00172409" w:rsidRPr="00951E51">
        <w:rPr>
          <w:rFonts w:asciiTheme="majorHAnsi" w:hAnsiTheme="majorHAnsi" w:cstheme="majorHAnsi"/>
          <w:color w:val="000000"/>
        </w:rPr>
        <w:t xml:space="preserve">population </w:t>
      </w:r>
      <w:r w:rsidR="00951E51" w:rsidRPr="00951E51">
        <w:rPr>
          <w:rFonts w:asciiTheme="majorHAnsi" w:hAnsiTheme="majorHAnsi" w:cstheme="majorHAnsi"/>
          <w:color w:val="000000"/>
        </w:rPr>
        <w:t>adjacent</w:t>
      </w:r>
      <w:r w:rsidR="00172409">
        <w:rPr>
          <w:rFonts w:asciiTheme="majorHAnsi" w:hAnsiTheme="majorHAnsi" w:cstheme="majorHAnsi"/>
          <w:color w:val="000000"/>
        </w:rPr>
        <w:t>ly living</w:t>
      </w:r>
      <w:r w:rsidR="00951E51" w:rsidRPr="00951E51">
        <w:rPr>
          <w:rFonts w:asciiTheme="majorHAnsi" w:hAnsiTheme="majorHAnsi" w:cstheme="majorHAnsi"/>
          <w:color w:val="000000"/>
        </w:rPr>
        <w:t xml:space="preserve"> </w:t>
      </w:r>
      <w:r w:rsidR="00172409">
        <w:rPr>
          <w:rFonts w:asciiTheme="majorHAnsi" w:hAnsiTheme="majorHAnsi" w:cstheme="majorHAnsi"/>
          <w:color w:val="000000"/>
        </w:rPr>
        <w:t xml:space="preserve">in </w:t>
      </w:r>
      <w:r w:rsidR="00172409" w:rsidRPr="00951E51">
        <w:rPr>
          <w:rFonts w:asciiTheme="majorHAnsi" w:hAnsiTheme="majorHAnsi" w:cstheme="majorHAnsi"/>
          <w:color w:val="000000"/>
        </w:rPr>
        <w:t xml:space="preserve">the </w:t>
      </w:r>
      <w:r w:rsidR="00172409">
        <w:rPr>
          <w:rFonts w:asciiTheme="majorHAnsi" w:hAnsiTheme="majorHAnsi" w:cstheme="majorHAnsi"/>
          <w:color w:val="000000"/>
        </w:rPr>
        <w:t xml:space="preserve">modern </w:t>
      </w:r>
      <w:r w:rsidR="00172409" w:rsidRPr="00951E51">
        <w:rPr>
          <w:rFonts w:asciiTheme="majorHAnsi" w:hAnsiTheme="majorHAnsi" w:cstheme="majorHAnsi"/>
          <w:color w:val="000000"/>
        </w:rPr>
        <w:t>urban</w:t>
      </w:r>
      <w:r w:rsidR="00172409" w:rsidRPr="00172409">
        <w:t xml:space="preserve"> </w:t>
      </w:r>
      <w:r w:rsidR="00172409" w:rsidRPr="00172409">
        <w:rPr>
          <w:rFonts w:asciiTheme="majorHAnsi" w:hAnsiTheme="majorHAnsi" w:cstheme="majorHAnsi"/>
          <w:color w:val="000000"/>
        </w:rPr>
        <w:t>environment</w:t>
      </w:r>
      <w:r w:rsidR="00172409" w:rsidRPr="00951E51">
        <w:rPr>
          <w:rFonts w:asciiTheme="majorHAnsi" w:hAnsiTheme="majorHAnsi" w:cstheme="majorHAnsi"/>
          <w:color w:val="000000"/>
        </w:rPr>
        <w:t xml:space="preserve"> </w:t>
      </w:r>
      <w:r w:rsidR="00951E51" w:rsidRPr="00951E51">
        <w:rPr>
          <w:rFonts w:asciiTheme="majorHAnsi" w:hAnsiTheme="majorHAnsi" w:cstheme="majorHAnsi"/>
          <w:color w:val="000000"/>
        </w:rPr>
        <w:t xml:space="preserve">was observed in the residential zones of factory laborers of Britain </w:t>
      </w:r>
      <w:r w:rsidR="00951E51">
        <w:rPr>
          <w:rFonts w:asciiTheme="majorHAnsi" w:hAnsiTheme="majorHAnsi" w:cstheme="majorHAnsi"/>
          <w:color w:val="000000"/>
        </w:rPr>
        <w:t>after</w:t>
      </w:r>
      <w:r w:rsidR="00951E51" w:rsidRPr="00951E51">
        <w:rPr>
          <w:rFonts w:asciiTheme="majorHAnsi" w:hAnsiTheme="majorHAnsi" w:cstheme="majorHAnsi"/>
          <w:color w:val="000000"/>
        </w:rPr>
        <w:t xml:space="preserve"> the Industrial Revolution.</w:t>
      </w:r>
      <w:r w:rsidR="00EE5514">
        <w:rPr>
          <w:rFonts w:asciiTheme="majorHAnsi" w:hAnsiTheme="majorHAnsi" w:cstheme="majorHAnsi"/>
          <w:color w:val="000000"/>
        </w:rPr>
        <w:t xml:space="preserve"> </w:t>
      </w:r>
      <w:r w:rsidR="00951E51">
        <w:rPr>
          <w:rFonts w:asciiTheme="majorHAnsi" w:hAnsiTheme="majorHAnsi" w:cstheme="majorHAnsi"/>
          <w:color w:val="000000"/>
        </w:rPr>
        <w:t>T</w:t>
      </w:r>
      <w:r w:rsidR="00EE5514">
        <w:rPr>
          <w:rFonts w:asciiTheme="majorHAnsi" w:hAnsiTheme="majorHAnsi" w:cstheme="majorHAnsi"/>
          <w:color w:val="000000"/>
        </w:rPr>
        <w:t xml:space="preserve">he </w:t>
      </w:r>
      <w:r w:rsidR="00EE5514">
        <w:rPr>
          <w:color w:val="000000"/>
        </w:rPr>
        <w:t xml:space="preserve">“knocker-ups” </w:t>
      </w:r>
      <w:r w:rsidR="00EE5514" w:rsidRPr="00EE5514">
        <w:rPr>
          <w:rFonts w:asciiTheme="majorHAnsi" w:hAnsiTheme="majorHAnsi" w:cstheme="majorHAnsi"/>
          <w:color w:val="000000"/>
        </w:rPr>
        <w:t xml:space="preserve">tapped </w:t>
      </w:r>
      <w:r w:rsidR="00951E51">
        <w:rPr>
          <w:rFonts w:asciiTheme="majorHAnsi" w:hAnsiTheme="majorHAnsi" w:cstheme="majorHAnsi"/>
          <w:color w:val="000000"/>
        </w:rPr>
        <w:t xml:space="preserve">accurately </w:t>
      </w:r>
      <w:r w:rsidR="00EE5514" w:rsidRPr="00EE5514">
        <w:rPr>
          <w:rFonts w:asciiTheme="majorHAnsi" w:hAnsiTheme="majorHAnsi" w:cstheme="majorHAnsi"/>
          <w:color w:val="000000"/>
        </w:rPr>
        <w:t xml:space="preserve">at </w:t>
      </w:r>
      <w:r w:rsidR="00EE5514">
        <w:rPr>
          <w:rFonts w:asciiTheme="majorHAnsi" w:hAnsiTheme="majorHAnsi" w:cstheme="majorHAnsi"/>
          <w:color w:val="000000"/>
        </w:rPr>
        <w:t xml:space="preserve">the </w:t>
      </w:r>
      <w:r w:rsidR="00EE5514" w:rsidRPr="00EE5514">
        <w:rPr>
          <w:rFonts w:asciiTheme="majorHAnsi" w:hAnsiTheme="majorHAnsi" w:cstheme="majorHAnsi"/>
          <w:color w:val="000000"/>
        </w:rPr>
        <w:t>bedroom window of each worker</w:t>
      </w:r>
      <w:r w:rsidR="00951E51">
        <w:rPr>
          <w:rFonts w:asciiTheme="majorHAnsi" w:hAnsiTheme="majorHAnsi" w:cstheme="majorHAnsi"/>
          <w:color w:val="000000"/>
        </w:rPr>
        <w:t xml:space="preserve">, using </w:t>
      </w:r>
      <w:r w:rsidR="00951E51">
        <w:rPr>
          <w:color w:val="000000"/>
        </w:rPr>
        <w:t>long sticks or fishing rods to reach the windows situated on upper floors.</w:t>
      </w:r>
      <w:r w:rsidR="00951E51">
        <w:rPr>
          <w:color w:val="000000"/>
          <w:vertAlign w:val="superscript"/>
        </w:rPr>
        <w:footnoteReference w:id="53"/>
      </w:r>
    </w:p>
    <w:p w14:paraId="78A4C590" w14:textId="67E6E954" w:rsidR="00DC1346" w:rsidRDefault="00DC1346" w:rsidP="00951E51">
      <w:pPr>
        <w:pBdr>
          <w:top w:val="nil"/>
          <w:left w:val="nil"/>
          <w:bottom w:val="nil"/>
          <w:right w:val="nil"/>
          <w:between w:val="nil"/>
        </w:pBdr>
        <w:spacing w:line="360" w:lineRule="auto"/>
        <w:ind w:firstLine="720"/>
        <w:rPr>
          <w:rFonts w:asciiTheme="majorHAnsi" w:hAnsiTheme="majorHAnsi" w:cstheme="majorHAnsi"/>
          <w:color w:val="000000"/>
        </w:rPr>
      </w:pPr>
      <w:r>
        <w:rPr>
          <w:rFonts w:asciiTheme="majorHAnsi" w:hAnsiTheme="majorHAnsi" w:cstheme="majorHAnsi"/>
          <w:color w:val="000000"/>
        </w:rPr>
        <w:t>S</w:t>
      </w:r>
      <w:r w:rsidRPr="006F3617">
        <w:rPr>
          <w:rFonts w:asciiTheme="majorHAnsi" w:hAnsiTheme="majorHAnsi" w:cstheme="majorHAnsi"/>
          <w:color w:val="000000"/>
        </w:rPr>
        <w:t>ince the late nineteenth century</w:t>
      </w:r>
      <w:r>
        <w:rPr>
          <w:rFonts w:asciiTheme="majorHAnsi" w:hAnsiTheme="majorHAnsi" w:cstheme="majorHAnsi"/>
          <w:color w:val="000000"/>
        </w:rPr>
        <w:t>,</w:t>
      </w:r>
      <w:r w:rsidRPr="006F3617">
        <w:rPr>
          <w:rFonts w:asciiTheme="majorHAnsi" w:hAnsiTheme="majorHAnsi" w:cstheme="majorHAnsi"/>
          <w:color w:val="000000"/>
        </w:rPr>
        <w:t xml:space="preserve"> Jewish and Christian artists </w:t>
      </w:r>
      <w:r>
        <w:rPr>
          <w:rFonts w:asciiTheme="majorHAnsi" w:hAnsiTheme="majorHAnsi" w:cstheme="majorHAnsi"/>
          <w:color w:val="000000"/>
        </w:rPr>
        <w:t>represented</w:t>
      </w:r>
      <w:r w:rsidRPr="006F3617">
        <w:rPr>
          <w:rFonts w:asciiTheme="majorHAnsi" w:hAnsiTheme="majorHAnsi" w:cstheme="majorHAnsi"/>
          <w:color w:val="000000"/>
        </w:rPr>
        <w:t xml:space="preserve"> the </w:t>
      </w:r>
      <w:proofErr w:type="spellStart"/>
      <w:r>
        <w:rPr>
          <w:rFonts w:asciiTheme="majorHAnsi" w:hAnsiTheme="majorHAnsi" w:cstheme="majorHAnsi"/>
          <w:color w:val="000000"/>
        </w:rPr>
        <w:t>shulklapper</w:t>
      </w:r>
      <w:proofErr w:type="spellEnd"/>
      <w:r w:rsidRPr="006F3617">
        <w:rPr>
          <w:rFonts w:asciiTheme="majorHAnsi" w:hAnsiTheme="majorHAnsi" w:cstheme="majorHAnsi"/>
          <w:color w:val="000000"/>
        </w:rPr>
        <w:t xml:space="preserve"> as a characteristic</w:t>
      </w:r>
      <w:r>
        <w:rPr>
          <w:rFonts w:asciiTheme="majorHAnsi" w:hAnsiTheme="majorHAnsi" w:cstheme="majorHAnsi"/>
          <w:color w:val="000000"/>
        </w:rPr>
        <w:t xml:space="preserve"> </w:t>
      </w:r>
      <w:r w:rsidRPr="006F3617">
        <w:rPr>
          <w:rFonts w:asciiTheme="majorHAnsi" w:hAnsiTheme="majorHAnsi" w:cstheme="majorHAnsi"/>
          <w:color w:val="000000"/>
        </w:rPr>
        <w:t xml:space="preserve">figure of the traditionalist Jewish community. </w:t>
      </w:r>
      <w:r>
        <w:rPr>
          <w:rFonts w:asciiTheme="majorHAnsi" w:hAnsiTheme="majorHAnsi" w:cstheme="majorHAnsi"/>
          <w:color w:val="000000"/>
        </w:rPr>
        <w:t xml:space="preserve">An </w:t>
      </w:r>
      <w:r w:rsidRPr="00202373">
        <w:rPr>
          <w:rFonts w:asciiTheme="majorHAnsi" w:hAnsiTheme="majorHAnsi" w:cstheme="majorHAnsi"/>
          <w:color w:val="000000"/>
        </w:rPr>
        <w:t>Alsace</w:t>
      </w:r>
      <w:r>
        <w:rPr>
          <w:rFonts w:asciiTheme="majorHAnsi" w:hAnsiTheme="majorHAnsi" w:cstheme="majorHAnsi"/>
          <w:color w:val="000000"/>
        </w:rPr>
        <w:t>-born</w:t>
      </w:r>
      <w:r w:rsidRPr="00202373">
        <w:rPr>
          <w:rFonts w:asciiTheme="majorHAnsi" w:hAnsiTheme="majorHAnsi" w:cstheme="majorHAnsi"/>
          <w:color w:val="000000"/>
        </w:rPr>
        <w:t xml:space="preserve"> </w:t>
      </w:r>
      <w:r>
        <w:rPr>
          <w:rFonts w:asciiTheme="majorHAnsi" w:hAnsiTheme="majorHAnsi" w:cstheme="majorHAnsi"/>
          <w:color w:val="000000"/>
        </w:rPr>
        <w:t xml:space="preserve">Jewish artist </w:t>
      </w:r>
      <w:r w:rsidRPr="00202373">
        <w:rPr>
          <w:rFonts w:asciiTheme="majorHAnsi" w:hAnsiTheme="majorHAnsi" w:cstheme="majorHAnsi"/>
          <w:color w:val="000000"/>
        </w:rPr>
        <w:t xml:space="preserve">Alphonse Lévy (1843–1918) drew his memory of a </w:t>
      </w:r>
      <w:proofErr w:type="spellStart"/>
      <w:r>
        <w:rPr>
          <w:rFonts w:asciiTheme="majorHAnsi" w:hAnsiTheme="majorHAnsi" w:cstheme="majorHAnsi"/>
          <w:color w:val="000000"/>
        </w:rPr>
        <w:t>shulklapper</w:t>
      </w:r>
      <w:proofErr w:type="spellEnd"/>
      <w:r w:rsidRPr="00202373">
        <w:rPr>
          <w:rFonts w:asciiTheme="majorHAnsi" w:hAnsiTheme="majorHAnsi" w:cstheme="majorHAnsi"/>
          <w:color w:val="000000"/>
        </w:rPr>
        <w:t xml:space="preserve"> at a Jewish </w:t>
      </w:r>
      <w:r>
        <w:rPr>
          <w:rFonts w:asciiTheme="majorHAnsi" w:hAnsiTheme="majorHAnsi" w:cstheme="majorHAnsi"/>
          <w:color w:val="000000"/>
        </w:rPr>
        <w:t xml:space="preserve">home’s </w:t>
      </w:r>
      <w:r w:rsidRPr="00202373">
        <w:rPr>
          <w:rFonts w:asciiTheme="majorHAnsi" w:hAnsiTheme="majorHAnsi" w:cstheme="majorHAnsi"/>
          <w:color w:val="000000"/>
        </w:rPr>
        <w:t xml:space="preserve">door </w:t>
      </w:r>
      <w:r w:rsidR="002946E6">
        <w:rPr>
          <w:rFonts w:asciiTheme="majorHAnsi" w:hAnsiTheme="majorHAnsi" w:cstheme="majorHAnsi"/>
          <w:color w:val="000000"/>
        </w:rPr>
        <w:t>#</w:t>
      </w:r>
      <w:r>
        <w:rPr>
          <w:rFonts w:asciiTheme="majorHAnsi" w:hAnsiTheme="majorHAnsi" w:cstheme="majorHAnsi"/>
          <w:color w:val="000000"/>
        </w:rPr>
        <w:t xml:space="preserve">. Polish artist </w:t>
      </w:r>
      <w:r w:rsidRPr="00202373">
        <w:rPr>
          <w:rFonts w:asciiTheme="majorHAnsi" w:hAnsiTheme="majorHAnsi" w:cstheme="majorHAnsi"/>
          <w:color w:val="000000"/>
        </w:rPr>
        <w:t xml:space="preserve">Julian </w:t>
      </w:r>
      <w:proofErr w:type="spellStart"/>
      <w:r w:rsidRPr="00202373">
        <w:rPr>
          <w:rFonts w:asciiTheme="majorHAnsi" w:hAnsiTheme="majorHAnsi" w:cstheme="majorHAnsi"/>
          <w:color w:val="000000"/>
        </w:rPr>
        <w:t>Fałat</w:t>
      </w:r>
      <w:proofErr w:type="spellEnd"/>
      <w:r w:rsidRPr="00202373">
        <w:rPr>
          <w:rFonts w:asciiTheme="majorHAnsi" w:hAnsiTheme="majorHAnsi" w:cstheme="majorHAnsi"/>
          <w:color w:val="000000"/>
        </w:rPr>
        <w:t xml:space="preserve"> (1853–1929) depicted a </w:t>
      </w:r>
      <w:proofErr w:type="spellStart"/>
      <w:r>
        <w:rPr>
          <w:rFonts w:asciiTheme="majorHAnsi" w:hAnsiTheme="majorHAnsi" w:cstheme="majorHAnsi"/>
          <w:color w:val="000000"/>
        </w:rPr>
        <w:t>shulklapper</w:t>
      </w:r>
      <w:proofErr w:type="spellEnd"/>
      <w:r w:rsidRPr="00202373">
        <w:rPr>
          <w:rFonts w:asciiTheme="majorHAnsi" w:hAnsiTheme="majorHAnsi" w:cstheme="majorHAnsi"/>
          <w:color w:val="000000"/>
        </w:rPr>
        <w:t xml:space="preserve"> knocking a door in </w:t>
      </w:r>
      <w:r>
        <w:rPr>
          <w:rFonts w:asciiTheme="majorHAnsi" w:hAnsiTheme="majorHAnsi" w:cstheme="majorHAnsi"/>
          <w:color w:val="000000"/>
        </w:rPr>
        <w:t>his country</w:t>
      </w:r>
      <w:r w:rsidRPr="00202373">
        <w:rPr>
          <w:rFonts w:asciiTheme="majorHAnsi" w:hAnsiTheme="majorHAnsi" w:cstheme="majorHAnsi"/>
          <w:color w:val="000000"/>
        </w:rPr>
        <w:t xml:space="preserve"> </w:t>
      </w:r>
      <w:r w:rsidR="002946E6">
        <w:rPr>
          <w:rFonts w:asciiTheme="majorHAnsi" w:hAnsiTheme="majorHAnsi" w:cstheme="majorHAnsi"/>
          <w:color w:val="000000"/>
        </w:rPr>
        <w:t>#</w:t>
      </w:r>
      <w:r w:rsidRPr="00202373">
        <w:rPr>
          <w:rFonts w:asciiTheme="majorHAnsi" w:hAnsiTheme="majorHAnsi" w:cstheme="majorHAnsi"/>
          <w:color w:val="000000"/>
        </w:rPr>
        <w:t>.</w:t>
      </w:r>
      <w:r w:rsidR="00B4110B">
        <w:rPr>
          <w:rStyle w:val="FootnoteReference"/>
          <w:rFonts w:asciiTheme="majorHAnsi" w:hAnsiTheme="majorHAnsi" w:cstheme="majorHAnsi"/>
          <w:color w:val="000000"/>
        </w:rPr>
        <w:footnoteReference w:id="54"/>
      </w:r>
      <w:r w:rsidRPr="00202373">
        <w:rPr>
          <w:rFonts w:asciiTheme="majorHAnsi" w:hAnsiTheme="majorHAnsi" w:cstheme="majorHAnsi"/>
          <w:color w:val="000000"/>
        </w:rPr>
        <w:t xml:space="preserve"> </w:t>
      </w:r>
      <w:r>
        <w:rPr>
          <w:rFonts w:asciiTheme="majorHAnsi" w:hAnsiTheme="majorHAnsi" w:cstheme="majorHAnsi"/>
          <w:color w:val="000000"/>
        </w:rPr>
        <w:t xml:space="preserve">In the early-twentieth century, </w:t>
      </w:r>
      <w:r w:rsidRPr="00202373">
        <w:rPr>
          <w:rFonts w:asciiTheme="majorHAnsi" w:hAnsiTheme="majorHAnsi" w:cstheme="majorHAnsi"/>
          <w:color w:val="000000"/>
        </w:rPr>
        <w:t xml:space="preserve">Alter </w:t>
      </w:r>
      <w:proofErr w:type="spellStart"/>
      <w:r w:rsidRPr="00202373">
        <w:rPr>
          <w:rFonts w:asciiTheme="majorHAnsi" w:hAnsiTheme="majorHAnsi" w:cstheme="majorHAnsi"/>
          <w:color w:val="000000"/>
        </w:rPr>
        <w:t>Kacyzne</w:t>
      </w:r>
      <w:proofErr w:type="spellEnd"/>
      <w:r w:rsidRPr="00202373">
        <w:rPr>
          <w:rFonts w:asciiTheme="majorHAnsi" w:hAnsiTheme="majorHAnsi" w:cstheme="majorHAnsi"/>
          <w:color w:val="000000"/>
        </w:rPr>
        <w:t xml:space="preserve"> (1885–1941) took a photograph of </w:t>
      </w:r>
      <w:proofErr w:type="spellStart"/>
      <w:r w:rsidRPr="00202373">
        <w:rPr>
          <w:rFonts w:asciiTheme="majorHAnsi" w:hAnsiTheme="majorHAnsi" w:cstheme="majorHAnsi"/>
          <w:color w:val="000000"/>
        </w:rPr>
        <w:t>Ezrielke</w:t>
      </w:r>
      <w:proofErr w:type="spellEnd"/>
      <w:r w:rsidRPr="00202373">
        <w:rPr>
          <w:rFonts w:asciiTheme="majorHAnsi" w:hAnsiTheme="majorHAnsi" w:cstheme="majorHAnsi"/>
          <w:color w:val="000000"/>
        </w:rPr>
        <w:t xml:space="preserve"> the shamash knocking a shutter in </w:t>
      </w:r>
      <w:proofErr w:type="spellStart"/>
      <w:r w:rsidRPr="00202373">
        <w:rPr>
          <w:rFonts w:asciiTheme="majorHAnsi" w:hAnsiTheme="majorHAnsi" w:cstheme="majorHAnsi"/>
          <w:color w:val="000000"/>
        </w:rPr>
        <w:t>Biała</w:t>
      </w:r>
      <w:proofErr w:type="spellEnd"/>
      <w:r w:rsidRPr="00202373">
        <w:rPr>
          <w:rFonts w:asciiTheme="majorHAnsi" w:hAnsiTheme="majorHAnsi" w:cstheme="majorHAnsi"/>
          <w:color w:val="000000"/>
        </w:rPr>
        <w:t xml:space="preserve"> </w:t>
      </w:r>
      <w:proofErr w:type="spellStart"/>
      <w:r w:rsidRPr="00202373">
        <w:rPr>
          <w:rFonts w:asciiTheme="majorHAnsi" w:hAnsiTheme="majorHAnsi" w:cstheme="majorHAnsi"/>
          <w:color w:val="000000"/>
        </w:rPr>
        <w:t>Podlaska</w:t>
      </w:r>
      <w:proofErr w:type="spellEnd"/>
      <w:r w:rsidRPr="00202373">
        <w:rPr>
          <w:rFonts w:asciiTheme="majorHAnsi" w:hAnsiTheme="majorHAnsi" w:cstheme="majorHAnsi"/>
          <w:color w:val="000000"/>
        </w:rPr>
        <w:t xml:space="preserve"> </w:t>
      </w:r>
      <w:r w:rsidR="002946E6">
        <w:rPr>
          <w:rFonts w:asciiTheme="majorHAnsi" w:hAnsiTheme="majorHAnsi" w:cstheme="majorHAnsi"/>
          <w:color w:val="000000"/>
        </w:rPr>
        <w:t>#</w:t>
      </w:r>
      <w:r w:rsidRPr="00202373">
        <w:rPr>
          <w:rFonts w:asciiTheme="majorHAnsi" w:hAnsiTheme="majorHAnsi" w:cstheme="majorHAnsi"/>
          <w:color w:val="000000"/>
        </w:rPr>
        <w:t xml:space="preserve"> and Mayer </w:t>
      </w:r>
      <w:proofErr w:type="spellStart"/>
      <w:r w:rsidRPr="00202373">
        <w:rPr>
          <w:rFonts w:asciiTheme="majorHAnsi" w:hAnsiTheme="majorHAnsi" w:cstheme="majorHAnsi"/>
          <w:color w:val="000000"/>
        </w:rPr>
        <w:t>Kirshenblatt</w:t>
      </w:r>
      <w:proofErr w:type="spellEnd"/>
      <w:r w:rsidRPr="00202373">
        <w:rPr>
          <w:rFonts w:asciiTheme="majorHAnsi" w:hAnsiTheme="majorHAnsi" w:cstheme="majorHAnsi"/>
          <w:color w:val="000000"/>
        </w:rPr>
        <w:t xml:space="preserve"> (1916–2009) painted his memory of a Jewish knocker rapping the shutters in pre-Holocaust </w:t>
      </w:r>
      <w:proofErr w:type="spellStart"/>
      <w:r w:rsidRPr="00202373">
        <w:rPr>
          <w:rFonts w:asciiTheme="majorHAnsi" w:hAnsiTheme="majorHAnsi" w:cstheme="majorHAnsi"/>
          <w:color w:val="000000"/>
        </w:rPr>
        <w:t>Opatów</w:t>
      </w:r>
      <w:proofErr w:type="spellEnd"/>
      <w:r w:rsidRPr="00202373">
        <w:rPr>
          <w:rFonts w:asciiTheme="majorHAnsi" w:hAnsiTheme="majorHAnsi" w:cstheme="majorHAnsi"/>
          <w:color w:val="000000"/>
        </w:rPr>
        <w:t xml:space="preserve"> </w:t>
      </w:r>
      <w:r w:rsidR="002946E6">
        <w:rPr>
          <w:rFonts w:asciiTheme="majorHAnsi" w:hAnsiTheme="majorHAnsi" w:cstheme="majorHAnsi"/>
          <w:color w:val="000000"/>
        </w:rPr>
        <w:t>#</w:t>
      </w:r>
      <w:r w:rsidRPr="00202373">
        <w:rPr>
          <w:rFonts w:asciiTheme="majorHAnsi" w:hAnsiTheme="majorHAnsi" w:cstheme="majorHAnsi"/>
          <w:color w:val="000000"/>
        </w:rPr>
        <w:t xml:space="preserve">. </w:t>
      </w:r>
    </w:p>
    <w:p w14:paraId="0000001C" w14:textId="1CD72AF4"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t xml:space="preserve">An ingrained medium of daily convocations, the sounds of </w:t>
      </w:r>
      <w:proofErr w:type="spellStart"/>
      <w:r w:rsidR="00FC704B">
        <w:rPr>
          <w:rFonts w:asciiTheme="majorHAnsi" w:hAnsiTheme="majorHAnsi" w:cstheme="majorHAnsi"/>
          <w:color w:val="000000"/>
        </w:rPr>
        <w:t>shulklapper</w:t>
      </w:r>
      <w:r w:rsidRPr="00202373">
        <w:rPr>
          <w:rFonts w:asciiTheme="majorHAnsi" w:hAnsiTheme="majorHAnsi" w:cstheme="majorHAnsi"/>
          <w:color w:val="000000"/>
        </w:rPr>
        <w:t>’s</w:t>
      </w:r>
      <w:proofErr w:type="spellEnd"/>
      <w:r w:rsidRPr="00202373">
        <w:rPr>
          <w:rFonts w:asciiTheme="majorHAnsi" w:hAnsiTheme="majorHAnsi" w:cstheme="majorHAnsi"/>
          <w:color w:val="000000"/>
        </w:rPr>
        <w:t xml:space="preserve"> mallet were exploited for communicating supplementary annunciations and occasional messages.</w:t>
      </w:r>
      <w:r w:rsidR="009B28E4" w:rsidRPr="009B28E4">
        <w:t xml:space="preserve"> </w:t>
      </w:r>
      <w:r w:rsidR="009B28E4" w:rsidRPr="009B28E4">
        <w:rPr>
          <w:rFonts w:asciiTheme="majorHAnsi" w:hAnsiTheme="majorHAnsi" w:cstheme="majorHAnsi"/>
          <w:color w:val="000000"/>
        </w:rPr>
        <w:t xml:space="preserve">In early </w:t>
      </w:r>
      <w:r w:rsidR="009B28E4" w:rsidRPr="009B28E4">
        <w:rPr>
          <w:rFonts w:asciiTheme="majorHAnsi" w:hAnsiTheme="majorHAnsi" w:cstheme="majorHAnsi"/>
          <w:color w:val="000000"/>
        </w:rPr>
        <w:lastRenderedPageBreak/>
        <w:t xml:space="preserve">twentieth-century eastern Europe, the </w:t>
      </w:r>
      <w:proofErr w:type="spellStart"/>
      <w:r w:rsidR="00FC704B">
        <w:rPr>
          <w:rFonts w:asciiTheme="majorHAnsi" w:hAnsiTheme="majorHAnsi" w:cstheme="majorHAnsi"/>
          <w:color w:val="000000"/>
        </w:rPr>
        <w:t>shulklapper</w:t>
      </w:r>
      <w:proofErr w:type="spellEnd"/>
      <w:r w:rsidR="009B28E4" w:rsidRPr="009B28E4">
        <w:rPr>
          <w:rFonts w:asciiTheme="majorHAnsi" w:hAnsiTheme="majorHAnsi" w:cstheme="majorHAnsi"/>
          <w:color w:val="000000"/>
        </w:rPr>
        <w:t xml:space="preserve"> also called the people to synagogue on seasonal occasions: in the times of the </w:t>
      </w:r>
      <w:bookmarkStart w:id="20" w:name="_Hlk137383649"/>
      <w:proofErr w:type="spellStart"/>
      <w:r w:rsidR="00AC0F95">
        <w:rPr>
          <w:rFonts w:asciiTheme="majorHAnsi" w:hAnsiTheme="majorHAnsi" w:cstheme="majorHAnsi"/>
          <w:i/>
          <w:iCs/>
          <w:color w:val="000000"/>
        </w:rPr>
        <w:t>s</w:t>
      </w:r>
      <w:r w:rsidR="009B28E4" w:rsidRPr="009B28E4">
        <w:rPr>
          <w:rFonts w:asciiTheme="majorHAnsi" w:hAnsiTheme="majorHAnsi" w:cstheme="majorHAnsi"/>
          <w:i/>
          <w:iCs/>
          <w:color w:val="000000"/>
        </w:rPr>
        <w:t>eliḥot</w:t>
      </w:r>
      <w:proofErr w:type="spellEnd"/>
      <w:r w:rsidR="009B28E4" w:rsidRPr="009B28E4">
        <w:rPr>
          <w:rFonts w:asciiTheme="majorHAnsi" w:hAnsiTheme="majorHAnsi" w:cstheme="majorHAnsi"/>
          <w:color w:val="000000"/>
        </w:rPr>
        <w:t xml:space="preserve"> </w:t>
      </w:r>
      <w:bookmarkEnd w:id="20"/>
      <w:r w:rsidR="009B28E4">
        <w:rPr>
          <w:rFonts w:asciiTheme="majorHAnsi" w:hAnsiTheme="majorHAnsi" w:cstheme="majorHAnsi"/>
          <w:color w:val="000000"/>
        </w:rPr>
        <w:t>(</w:t>
      </w:r>
      <w:r w:rsidR="00AC0F95" w:rsidRPr="00AC0F95">
        <w:rPr>
          <w:rFonts w:asciiTheme="majorHAnsi" w:hAnsiTheme="majorHAnsi" w:cstheme="majorHAnsi"/>
          <w:color w:val="000000"/>
        </w:rPr>
        <w:t>penitential prayers</w:t>
      </w:r>
      <w:r w:rsidR="009B28E4">
        <w:rPr>
          <w:rFonts w:asciiTheme="majorHAnsi" w:hAnsiTheme="majorHAnsi" w:cstheme="majorHAnsi"/>
          <w:color w:val="000000"/>
        </w:rPr>
        <w:t xml:space="preserve">) </w:t>
      </w:r>
      <w:r w:rsidR="009B28E4" w:rsidRPr="009B28E4">
        <w:rPr>
          <w:rFonts w:asciiTheme="majorHAnsi" w:hAnsiTheme="majorHAnsi" w:cstheme="majorHAnsi"/>
          <w:color w:val="000000"/>
        </w:rPr>
        <w:t>and of the Psalm recitations</w:t>
      </w:r>
      <w:r w:rsidR="009B28E4">
        <w:rPr>
          <w:rFonts w:asciiTheme="majorHAnsi" w:hAnsiTheme="majorHAnsi" w:cstheme="majorHAnsi"/>
          <w:color w:val="000000"/>
        </w:rPr>
        <w:t>.</w:t>
      </w:r>
      <w:r w:rsidR="00A860C3" w:rsidRPr="00202373">
        <w:rPr>
          <w:rFonts w:asciiTheme="majorHAnsi" w:hAnsiTheme="majorHAnsi" w:cstheme="majorHAnsi"/>
          <w:color w:val="000000"/>
          <w:vertAlign w:val="superscript"/>
        </w:rPr>
        <w:footnoteReference w:id="55"/>
      </w:r>
      <w:r w:rsidRPr="00202373">
        <w:rPr>
          <w:rFonts w:asciiTheme="majorHAnsi" w:hAnsiTheme="majorHAnsi" w:cstheme="majorHAnsi"/>
          <w:color w:val="000000"/>
        </w:rPr>
        <w:t xml:space="preserve"> Like the ancient shofar blowers,</w:t>
      </w:r>
      <w:r w:rsidRPr="00202373">
        <w:rPr>
          <w:rFonts w:asciiTheme="majorHAnsi" w:hAnsiTheme="majorHAnsi" w:cstheme="majorHAnsi"/>
          <w:color w:val="000000"/>
          <w:vertAlign w:val="superscript"/>
        </w:rPr>
        <w:footnoteReference w:id="56"/>
      </w:r>
      <w:r w:rsidRPr="00202373">
        <w:rPr>
          <w:rFonts w:asciiTheme="majorHAnsi" w:hAnsiTheme="majorHAnsi" w:cstheme="majorHAnsi"/>
          <w:color w:val="000000"/>
        </w:rPr>
        <w:t xml:space="preserve"> on the eve of Sabbath the </w:t>
      </w:r>
      <w:proofErr w:type="spellStart"/>
      <w:r w:rsidR="00FC704B">
        <w:rPr>
          <w:rFonts w:asciiTheme="majorHAnsi" w:hAnsiTheme="majorHAnsi" w:cstheme="majorHAnsi"/>
          <w:color w:val="000000"/>
        </w:rPr>
        <w:t>shulklapper</w:t>
      </w:r>
      <w:proofErr w:type="spellEnd"/>
      <w:r w:rsidRPr="00202373">
        <w:rPr>
          <w:rFonts w:asciiTheme="majorHAnsi" w:hAnsiTheme="majorHAnsi" w:cstheme="majorHAnsi"/>
          <w:color w:val="000000"/>
        </w:rPr>
        <w:t xml:space="preserve"> signaled when the time came to stop trade and craft, shortly after did so again to close the shops, then he knocked once more to mark the imminent onset of the Sabbath.</w:t>
      </w:r>
      <w:r w:rsidRPr="00202373">
        <w:rPr>
          <w:rFonts w:asciiTheme="majorHAnsi" w:hAnsiTheme="majorHAnsi" w:cstheme="majorHAnsi"/>
          <w:color w:val="000000"/>
          <w:vertAlign w:val="superscript"/>
        </w:rPr>
        <w:footnoteReference w:id="57"/>
      </w:r>
      <w:r w:rsidRPr="00202373">
        <w:rPr>
          <w:rFonts w:asciiTheme="majorHAnsi" w:hAnsiTheme="majorHAnsi" w:cstheme="majorHAnsi"/>
          <w:color w:val="000000"/>
        </w:rPr>
        <w:t xml:space="preserve"> The </w:t>
      </w:r>
      <w:proofErr w:type="spellStart"/>
      <w:r w:rsidR="00FC704B">
        <w:rPr>
          <w:rFonts w:asciiTheme="majorHAnsi" w:hAnsiTheme="majorHAnsi" w:cstheme="majorHAnsi"/>
          <w:color w:val="000000"/>
        </w:rPr>
        <w:t>shulklapper</w:t>
      </w:r>
      <w:proofErr w:type="spellEnd"/>
      <w:r w:rsidRPr="00202373">
        <w:rPr>
          <w:rFonts w:asciiTheme="majorHAnsi" w:hAnsiTheme="majorHAnsi" w:cstheme="majorHAnsi"/>
          <w:color w:val="000000"/>
        </w:rPr>
        <w:t xml:space="preserve"> also performed the function of a herald transmitting information on casual occurrences and private festivities.</w:t>
      </w:r>
      <w:r w:rsidRPr="00202373">
        <w:rPr>
          <w:rFonts w:asciiTheme="majorHAnsi" w:hAnsiTheme="majorHAnsi" w:cstheme="majorHAnsi"/>
          <w:color w:val="000000"/>
          <w:vertAlign w:val="superscript"/>
        </w:rPr>
        <w:footnoteReference w:id="58"/>
      </w:r>
      <w:r w:rsidRPr="00202373">
        <w:rPr>
          <w:rFonts w:asciiTheme="majorHAnsi" w:hAnsiTheme="majorHAnsi" w:cstheme="majorHAnsi"/>
          <w:color w:val="000000"/>
        </w:rPr>
        <w:t xml:space="preserve"> The number of mallet strikes served an alert for either untroubled or grievous messages: two raps instead of the regular three ones notified of the death of a community member.</w:t>
      </w:r>
      <w:r w:rsidRPr="00202373">
        <w:rPr>
          <w:rFonts w:asciiTheme="majorHAnsi" w:hAnsiTheme="majorHAnsi" w:cstheme="majorHAnsi"/>
          <w:color w:val="000000"/>
          <w:vertAlign w:val="superscript"/>
        </w:rPr>
        <w:footnoteReference w:id="59"/>
      </w:r>
      <w:r w:rsidRPr="00202373">
        <w:rPr>
          <w:rFonts w:asciiTheme="majorHAnsi" w:hAnsiTheme="majorHAnsi" w:cstheme="majorHAnsi"/>
          <w:color w:val="000000"/>
        </w:rPr>
        <w:t xml:space="preserve">  </w:t>
      </w:r>
    </w:p>
    <w:p w14:paraId="41263E8D" w14:textId="5AF2EB0A" w:rsidR="00E72983" w:rsidRDefault="008F692A" w:rsidP="00A85495">
      <w:pPr>
        <w:pBdr>
          <w:top w:val="nil"/>
          <w:left w:val="nil"/>
          <w:bottom w:val="nil"/>
          <w:right w:val="nil"/>
          <w:between w:val="nil"/>
        </w:pBdr>
        <w:spacing w:line="360" w:lineRule="auto"/>
        <w:ind w:firstLine="720"/>
        <w:rPr>
          <w:rFonts w:asciiTheme="majorHAnsi" w:hAnsiTheme="majorHAnsi" w:cstheme="majorHAnsi"/>
          <w:color w:val="000000"/>
        </w:rPr>
      </w:pPr>
      <w:r>
        <w:rPr>
          <w:rFonts w:asciiTheme="majorHAnsi" w:hAnsiTheme="majorHAnsi" w:cstheme="majorHAnsi"/>
          <w:color w:val="000000"/>
        </w:rPr>
        <w:t>F</w:t>
      </w:r>
      <w:r w:rsidR="007A2FB0">
        <w:rPr>
          <w:rFonts w:asciiTheme="majorHAnsi" w:hAnsiTheme="majorHAnsi" w:cstheme="majorHAnsi"/>
          <w:color w:val="000000"/>
        </w:rPr>
        <w:t>urther dispersion of Jewish population</w:t>
      </w:r>
      <w:r>
        <w:rPr>
          <w:rFonts w:asciiTheme="majorHAnsi" w:hAnsiTheme="majorHAnsi" w:cstheme="majorHAnsi"/>
          <w:color w:val="000000"/>
        </w:rPr>
        <w:t xml:space="preserve"> in urban geography</w:t>
      </w:r>
      <w:r w:rsidR="007A2FB0">
        <w:rPr>
          <w:rFonts w:asciiTheme="majorHAnsi" w:hAnsiTheme="majorHAnsi" w:cstheme="majorHAnsi"/>
          <w:color w:val="000000"/>
        </w:rPr>
        <w:t xml:space="preserve">, increasing noise </w:t>
      </w:r>
      <w:r>
        <w:rPr>
          <w:rFonts w:asciiTheme="majorHAnsi" w:hAnsiTheme="majorHAnsi" w:cstheme="majorHAnsi"/>
          <w:color w:val="000000"/>
        </w:rPr>
        <w:t xml:space="preserve">of industrialized surroundings, and </w:t>
      </w:r>
      <w:r w:rsidR="0048002B">
        <w:rPr>
          <w:rFonts w:asciiTheme="majorHAnsi" w:hAnsiTheme="majorHAnsi" w:cstheme="majorHAnsi"/>
          <w:color w:val="000000"/>
        </w:rPr>
        <w:t>steady growing</w:t>
      </w:r>
      <w:r>
        <w:rPr>
          <w:rFonts w:asciiTheme="majorHAnsi" w:hAnsiTheme="majorHAnsi" w:cstheme="majorHAnsi"/>
          <w:color w:val="000000"/>
        </w:rPr>
        <w:t xml:space="preserve"> availability of </w:t>
      </w:r>
      <w:r w:rsidR="0048002B">
        <w:rPr>
          <w:rStyle w:val="rynqvb"/>
          <w:lang w:val="en"/>
        </w:rPr>
        <w:t xml:space="preserve">mechanical </w:t>
      </w:r>
      <w:r>
        <w:rPr>
          <w:rFonts w:asciiTheme="majorHAnsi" w:hAnsiTheme="majorHAnsi" w:cstheme="majorHAnsi"/>
          <w:color w:val="000000"/>
        </w:rPr>
        <w:t xml:space="preserve">timepieces, led to gradual </w:t>
      </w:r>
      <w:r w:rsidRPr="00202373">
        <w:rPr>
          <w:rFonts w:asciiTheme="majorHAnsi" w:hAnsiTheme="majorHAnsi" w:cstheme="majorHAnsi"/>
          <w:color w:val="000000"/>
        </w:rPr>
        <w:t xml:space="preserve">comedown for ritual knocking </w:t>
      </w:r>
      <w:r w:rsidR="00642DA2">
        <w:rPr>
          <w:rFonts w:asciiTheme="majorHAnsi" w:hAnsiTheme="majorHAnsi" w:cstheme="majorHAnsi"/>
          <w:color w:val="000000"/>
        </w:rPr>
        <w:t xml:space="preserve">at </w:t>
      </w:r>
      <w:r w:rsidRPr="00202373">
        <w:rPr>
          <w:rFonts w:asciiTheme="majorHAnsi" w:hAnsiTheme="majorHAnsi" w:cstheme="majorHAnsi"/>
          <w:color w:val="000000"/>
        </w:rPr>
        <w:t xml:space="preserve">the Jewish doors </w:t>
      </w:r>
      <w:r>
        <w:rPr>
          <w:rFonts w:asciiTheme="majorHAnsi" w:hAnsiTheme="majorHAnsi" w:cstheme="majorHAnsi"/>
          <w:color w:val="000000"/>
        </w:rPr>
        <w:t>in</w:t>
      </w:r>
      <w:r w:rsidR="00517C9D">
        <w:rPr>
          <w:rFonts w:asciiTheme="majorHAnsi" w:hAnsiTheme="majorHAnsi" w:cstheme="majorHAnsi"/>
          <w:color w:val="000000"/>
        </w:rPr>
        <w:t xml:space="preserve"> Ashkenazi communities</w:t>
      </w:r>
      <w:r>
        <w:rPr>
          <w:rFonts w:asciiTheme="majorHAnsi" w:hAnsiTheme="majorHAnsi" w:cstheme="majorHAnsi"/>
          <w:color w:val="000000"/>
        </w:rPr>
        <w:t>.</w:t>
      </w:r>
      <w:r w:rsidR="000C3D14" w:rsidRPr="00202373">
        <w:rPr>
          <w:rFonts w:asciiTheme="majorHAnsi" w:hAnsiTheme="majorHAnsi" w:cstheme="majorHAnsi"/>
          <w:color w:val="000000"/>
          <w:vertAlign w:val="superscript"/>
        </w:rPr>
        <w:footnoteReference w:id="60"/>
      </w:r>
      <w:r w:rsidR="000C3D14" w:rsidRPr="00202373">
        <w:rPr>
          <w:rFonts w:asciiTheme="majorHAnsi" w:hAnsiTheme="majorHAnsi" w:cstheme="majorHAnsi"/>
          <w:color w:val="000000"/>
        </w:rPr>
        <w:t xml:space="preserve"> </w:t>
      </w:r>
      <w:r w:rsidR="00642DA2" w:rsidRPr="00202373">
        <w:rPr>
          <w:rFonts w:asciiTheme="majorHAnsi" w:hAnsiTheme="majorHAnsi" w:cstheme="majorHAnsi"/>
          <w:color w:val="000000"/>
        </w:rPr>
        <w:t xml:space="preserve">Rabbi David Sperber of </w:t>
      </w:r>
      <w:proofErr w:type="spellStart"/>
      <w:r w:rsidR="00642DA2" w:rsidRPr="00202373">
        <w:rPr>
          <w:rFonts w:asciiTheme="majorHAnsi" w:hAnsiTheme="majorHAnsi" w:cstheme="majorHAnsi"/>
          <w:color w:val="000000"/>
        </w:rPr>
        <w:t>Brașov</w:t>
      </w:r>
      <w:proofErr w:type="spellEnd"/>
      <w:r w:rsidR="00642DA2" w:rsidRPr="00202373">
        <w:rPr>
          <w:rFonts w:asciiTheme="majorHAnsi" w:hAnsiTheme="majorHAnsi" w:cstheme="majorHAnsi"/>
          <w:color w:val="000000"/>
        </w:rPr>
        <w:t xml:space="preserve"> (1877–1962) </w:t>
      </w:r>
      <w:r w:rsidR="00642DA2">
        <w:rPr>
          <w:rFonts w:asciiTheme="majorHAnsi" w:hAnsiTheme="majorHAnsi" w:cstheme="majorHAnsi"/>
          <w:color w:val="000000"/>
        </w:rPr>
        <w:t xml:space="preserve">had to </w:t>
      </w:r>
      <w:r w:rsidR="00642DA2" w:rsidRPr="00F737D6">
        <w:rPr>
          <w:rFonts w:asciiTheme="majorHAnsi" w:hAnsiTheme="majorHAnsi" w:cstheme="majorHAnsi"/>
          <w:color w:val="000000"/>
        </w:rPr>
        <w:t>vehemently</w:t>
      </w:r>
      <w:r w:rsidR="00642DA2">
        <w:rPr>
          <w:rFonts w:asciiTheme="majorHAnsi" w:hAnsiTheme="majorHAnsi" w:cstheme="majorHAnsi"/>
          <w:color w:val="000000"/>
        </w:rPr>
        <w:t xml:space="preserve"> defend </w:t>
      </w:r>
      <w:r w:rsidR="00642DA2" w:rsidRPr="00642DA2">
        <w:rPr>
          <w:rFonts w:asciiTheme="majorHAnsi" w:hAnsiTheme="majorHAnsi" w:cstheme="majorHAnsi"/>
          <w:color w:val="000000"/>
        </w:rPr>
        <w:t xml:space="preserve">the </w:t>
      </w:r>
      <w:bookmarkStart w:id="25" w:name="_Hlk137407694"/>
      <w:proofErr w:type="spellStart"/>
      <w:r w:rsidR="00642DA2" w:rsidRPr="00642DA2">
        <w:rPr>
          <w:rFonts w:asciiTheme="majorHAnsi" w:hAnsiTheme="majorHAnsi" w:cstheme="majorHAnsi"/>
          <w:color w:val="000000"/>
        </w:rPr>
        <w:t>shulklapper’s</w:t>
      </w:r>
      <w:proofErr w:type="spellEnd"/>
      <w:r w:rsidR="00642DA2" w:rsidRPr="00642DA2">
        <w:rPr>
          <w:rFonts w:asciiTheme="majorHAnsi" w:hAnsiTheme="majorHAnsi" w:cstheme="majorHAnsi"/>
          <w:color w:val="000000"/>
        </w:rPr>
        <w:t xml:space="preserve"> </w:t>
      </w:r>
      <w:bookmarkEnd w:id="25"/>
      <w:r w:rsidR="00642DA2">
        <w:rPr>
          <w:rFonts w:asciiTheme="majorHAnsi" w:hAnsiTheme="majorHAnsi" w:cstheme="majorHAnsi"/>
          <w:color w:val="000000"/>
        </w:rPr>
        <w:t xml:space="preserve">knocking </w:t>
      </w:r>
      <w:r w:rsidR="00642DA2" w:rsidRPr="00202373">
        <w:rPr>
          <w:rFonts w:asciiTheme="majorHAnsi" w:hAnsiTheme="majorHAnsi" w:cstheme="majorHAnsi"/>
          <w:color w:val="000000"/>
        </w:rPr>
        <w:t>as a tradition sanctified by the Oral Law</w:t>
      </w:r>
      <w:r w:rsidR="00642DA2">
        <w:rPr>
          <w:rFonts w:asciiTheme="majorHAnsi" w:hAnsiTheme="majorHAnsi" w:cstheme="majorHAnsi"/>
          <w:color w:val="000000"/>
        </w:rPr>
        <w:t xml:space="preserve"> in his response to the voices sounded by e</w:t>
      </w:r>
      <w:r w:rsidR="00F737D6">
        <w:rPr>
          <w:rFonts w:asciiTheme="majorHAnsi" w:hAnsiTheme="majorHAnsi" w:cstheme="majorHAnsi"/>
          <w:color w:val="000000"/>
        </w:rPr>
        <w:t>mancipated</w:t>
      </w:r>
      <w:r w:rsidR="00F737D6" w:rsidRPr="00202373">
        <w:rPr>
          <w:rFonts w:asciiTheme="majorHAnsi" w:hAnsiTheme="majorHAnsi" w:cstheme="majorHAnsi"/>
          <w:color w:val="000000"/>
        </w:rPr>
        <w:t xml:space="preserve"> members of the Jewish community of </w:t>
      </w:r>
      <w:proofErr w:type="spellStart"/>
      <w:r w:rsidR="00F737D6" w:rsidRPr="0037222C">
        <w:rPr>
          <w:rFonts w:asciiTheme="majorHAnsi" w:hAnsiTheme="majorHAnsi" w:cstheme="majorHAnsi"/>
          <w:color w:val="000000"/>
        </w:rPr>
        <w:t>Sânpetru</w:t>
      </w:r>
      <w:proofErr w:type="spellEnd"/>
      <w:r w:rsidR="00F737D6" w:rsidRPr="0037222C">
        <w:rPr>
          <w:rFonts w:asciiTheme="majorHAnsi" w:hAnsiTheme="majorHAnsi" w:cstheme="majorHAnsi"/>
          <w:color w:val="000000"/>
        </w:rPr>
        <w:t xml:space="preserve"> </w:t>
      </w:r>
      <w:r w:rsidR="00F737D6">
        <w:rPr>
          <w:rFonts w:asciiTheme="majorHAnsi" w:hAnsiTheme="majorHAnsi" w:cstheme="majorHAnsi"/>
          <w:color w:val="000000"/>
        </w:rPr>
        <w:t>(</w:t>
      </w:r>
      <w:proofErr w:type="spellStart"/>
      <w:r w:rsidR="00F737D6" w:rsidRPr="00202373">
        <w:rPr>
          <w:rFonts w:asciiTheme="majorHAnsi" w:hAnsiTheme="majorHAnsi" w:cstheme="majorHAnsi"/>
          <w:color w:val="000000"/>
        </w:rPr>
        <w:t>Petersb</w:t>
      </w:r>
      <w:r w:rsidR="00F737D6">
        <w:rPr>
          <w:rFonts w:asciiTheme="majorHAnsi" w:hAnsiTheme="majorHAnsi" w:cstheme="majorHAnsi"/>
          <w:color w:val="000000"/>
        </w:rPr>
        <w:t>e</w:t>
      </w:r>
      <w:r w:rsidR="00F737D6" w:rsidRPr="00202373">
        <w:rPr>
          <w:rFonts w:asciiTheme="majorHAnsi" w:hAnsiTheme="majorHAnsi" w:cstheme="majorHAnsi"/>
          <w:color w:val="000000"/>
        </w:rPr>
        <w:t>rg</w:t>
      </w:r>
      <w:proofErr w:type="spellEnd"/>
      <w:r w:rsidR="00F737D6">
        <w:rPr>
          <w:rFonts w:asciiTheme="majorHAnsi" w:hAnsiTheme="majorHAnsi" w:cstheme="majorHAnsi"/>
          <w:color w:val="000000"/>
        </w:rPr>
        <w:t>) in Romania</w:t>
      </w:r>
      <w:r w:rsidR="00F737D6" w:rsidRPr="00202373">
        <w:rPr>
          <w:rFonts w:asciiTheme="majorHAnsi" w:hAnsiTheme="majorHAnsi" w:cstheme="majorHAnsi"/>
          <w:color w:val="000000"/>
        </w:rPr>
        <w:t xml:space="preserve"> </w:t>
      </w:r>
      <w:r w:rsidR="00642DA2">
        <w:rPr>
          <w:rFonts w:asciiTheme="majorHAnsi" w:hAnsiTheme="majorHAnsi" w:cstheme="majorHAnsi"/>
          <w:color w:val="000000"/>
        </w:rPr>
        <w:t xml:space="preserve">against that </w:t>
      </w:r>
      <w:r w:rsidR="00F737D6" w:rsidRPr="00202373">
        <w:rPr>
          <w:rFonts w:asciiTheme="majorHAnsi" w:hAnsiTheme="majorHAnsi" w:cstheme="majorHAnsi"/>
          <w:color w:val="000000"/>
        </w:rPr>
        <w:t>practi</w:t>
      </w:r>
      <w:r w:rsidR="00F737D6">
        <w:rPr>
          <w:rFonts w:asciiTheme="majorHAnsi" w:hAnsiTheme="majorHAnsi" w:cstheme="majorHAnsi"/>
          <w:color w:val="000000"/>
        </w:rPr>
        <w:t>c</w:t>
      </w:r>
      <w:r w:rsidR="00F737D6" w:rsidRPr="00202373">
        <w:rPr>
          <w:rFonts w:asciiTheme="majorHAnsi" w:hAnsiTheme="majorHAnsi" w:cstheme="majorHAnsi"/>
          <w:color w:val="000000"/>
        </w:rPr>
        <w:t>e</w:t>
      </w:r>
      <w:r w:rsidR="00642DA2">
        <w:rPr>
          <w:rFonts w:asciiTheme="majorHAnsi" w:hAnsiTheme="majorHAnsi" w:cstheme="majorHAnsi"/>
          <w:color w:val="000000"/>
        </w:rPr>
        <w:t>.</w:t>
      </w:r>
      <w:r w:rsidR="000C3D14" w:rsidRPr="00202373">
        <w:rPr>
          <w:rFonts w:asciiTheme="majorHAnsi" w:hAnsiTheme="majorHAnsi" w:cstheme="majorHAnsi"/>
          <w:color w:val="000000"/>
          <w:vertAlign w:val="superscript"/>
        </w:rPr>
        <w:footnoteReference w:id="61"/>
      </w:r>
      <w:r w:rsidR="000C3D14" w:rsidRPr="00202373">
        <w:rPr>
          <w:rFonts w:asciiTheme="majorHAnsi" w:hAnsiTheme="majorHAnsi" w:cstheme="majorHAnsi"/>
          <w:color w:val="000000"/>
        </w:rPr>
        <w:t xml:space="preserve"> </w:t>
      </w:r>
      <w:r w:rsidR="00A85495" w:rsidRPr="00A85495">
        <w:rPr>
          <w:rFonts w:asciiTheme="majorHAnsi" w:hAnsiTheme="majorHAnsi" w:cstheme="majorHAnsi"/>
          <w:color w:val="000000"/>
        </w:rPr>
        <w:t xml:space="preserve">In Poland during the 1920s, according to </w:t>
      </w:r>
      <w:proofErr w:type="spellStart"/>
      <w:r w:rsidR="00A85495" w:rsidRPr="00A85495">
        <w:rPr>
          <w:rFonts w:asciiTheme="majorHAnsi" w:hAnsiTheme="majorHAnsi" w:cstheme="majorHAnsi"/>
          <w:color w:val="000000"/>
        </w:rPr>
        <w:t>Majer</w:t>
      </w:r>
      <w:proofErr w:type="spellEnd"/>
      <w:r w:rsidR="00A85495" w:rsidRPr="00A85495">
        <w:rPr>
          <w:rFonts w:asciiTheme="majorHAnsi" w:hAnsiTheme="majorHAnsi" w:cstheme="majorHAnsi"/>
          <w:color w:val="000000"/>
        </w:rPr>
        <w:t xml:space="preserve"> </w:t>
      </w:r>
      <w:proofErr w:type="spellStart"/>
      <w:r w:rsidR="00A85495" w:rsidRPr="001030B2">
        <w:rPr>
          <w:rFonts w:asciiTheme="majorHAnsi" w:hAnsiTheme="majorHAnsi" w:cstheme="majorHAnsi"/>
          <w:color w:val="000000"/>
        </w:rPr>
        <w:t>Bałaban</w:t>
      </w:r>
      <w:proofErr w:type="spellEnd"/>
      <w:r w:rsidR="00A85495" w:rsidRPr="00A85495">
        <w:rPr>
          <w:rFonts w:asciiTheme="majorHAnsi" w:hAnsiTheme="majorHAnsi" w:cstheme="majorHAnsi"/>
          <w:color w:val="000000"/>
        </w:rPr>
        <w:t xml:space="preserve">, </w:t>
      </w:r>
      <w:proofErr w:type="spellStart"/>
      <w:r w:rsidR="00A85495" w:rsidRPr="00A85495">
        <w:rPr>
          <w:rFonts w:asciiTheme="majorHAnsi" w:hAnsiTheme="majorHAnsi" w:cstheme="majorHAnsi"/>
          <w:color w:val="000000"/>
        </w:rPr>
        <w:t>shulklappers</w:t>
      </w:r>
      <w:proofErr w:type="spellEnd"/>
      <w:r w:rsidR="00A85495" w:rsidRPr="00A85495">
        <w:rPr>
          <w:rFonts w:asciiTheme="majorHAnsi" w:hAnsiTheme="majorHAnsi" w:cstheme="majorHAnsi"/>
          <w:color w:val="000000"/>
        </w:rPr>
        <w:t xml:space="preserve"> remained only in small </w:t>
      </w:r>
      <w:r w:rsidR="00A85495" w:rsidRPr="00A85495">
        <w:rPr>
          <w:rFonts w:asciiTheme="majorHAnsi" w:hAnsiTheme="majorHAnsi" w:cstheme="majorHAnsi"/>
          <w:color w:val="000000"/>
        </w:rPr>
        <w:lastRenderedPageBreak/>
        <w:t xml:space="preserve">Jewish communities, whereas in larger cities they </w:t>
      </w:r>
      <w:r w:rsidR="00A85495">
        <w:rPr>
          <w:rFonts w:asciiTheme="majorHAnsi" w:hAnsiTheme="majorHAnsi" w:cstheme="majorHAnsi"/>
          <w:color w:val="000000"/>
        </w:rPr>
        <w:t>knocked at houses</w:t>
      </w:r>
      <w:r w:rsidR="00A85495" w:rsidRPr="00A85495">
        <w:rPr>
          <w:rFonts w:asciiTheme="majorHAnsi" w:hAnsiTheme="majorHAnsi" w:cstheme="majorHAnsi"/>
          <w:color w:val="000000"/>
        </w:rPr>
        <w:t xml:space="preserve"> in close proximity to the synagogue.</w:t>
      </w:r>
      <w:r w:rsidR="00A85495">
        <w:rPr>
          <w:rStyle w:val="FootnoteReference"/>
          <w:rFonts w:asciiTheme="majorHAnsi" w:hAnsiTheme="majorHAnsi" w:cstheme="majorHAnsi"/>
          <w:color w:val="000000"/>
        </w:rPr>
        <w:footnoteReference w:id="62"/>
      </w:r>
      <w:r w:rsidR="00A85495">
        <w:rPr>
          <w:rFonts w:asciiTheme="majorHAnsi" w:hAnsiTheme="majorHAnsi" w:cstheme="majorHAnsi"/>
          <w:color w:val="000000"/>
        </w:rPr>
        <w:t xml:space="preserve"> T</w:t>
      </w:r>
      <w:r w:rsidR="009B28E4" w:rsidRPr="009B28E4">
        <w:rPr>
          <w:rFonts w:asciiTheme="majorHAnsi" w:hAnsiTheme="majorHAnsi" w:cstheme="majorHAnsi"/>
          <w:color w:val="000000"/>
        </w:rPr>
        <w:t xml:space="preserve">he number of weekly rounds </w:t>
      </w:r>
      <w:r w:rsidR="00A85495">
        <w:rPr>
          <w:rFonts w:asciiTheme="majorHAnsi" w:hAnsiTheme="majorHAnsi" w:cstheme="majorHAnsi"/>
          <w:color w:val="000000"/>
        </w:rPr>
        <w:t xml:space="preserve">also </w:t>
      </w:r>
      <w:r w:rsidR="009B28E4" w:rsidRPr="009B28E4">
        <w:rPr>
          <w:rFonts w:asciiTheme="majorHAnsi" w:hAnsiTheme="majorHAnsi" w:cstheme="majorHAnsi"/>
          <w:color w:val="000000"/>
        </w:rPr>
        <w:t>decreased.</w:t>
      </w:r>
      <w:r w:rsidR="009B28E4">
        <w:rPr>
          <w:rFonts w:asciiTheme="majorHAnsi" w:hAnsiTheme="majorHAnsi" w:cstheme="majorHAnsi"/>
          <w:color w:val="000000"/>
        </w:rPr>
        <w:t xml:space="preserve"> </w:t>
      </w:r>
      <w:r w:rsidR="009B28E4" w:rsidRPr="009B28E4">
        <w:rPr>
          <w:rFonts w:asciiTheme="majorHAnsi" w:hAnsiTheme="majorHAnsi" w:cstheme="majorHAnsi"/>
          <w:color w:val="000000"/>
        </w:rPr>
        <w:t>As</w:t>
      </w:r>
      <w:r w:rsidR="00A85495">
        <w:rPr>
          <w:rFonts w:asciiTheme="majorHAnsi" w:hAnsiTheme="majorHAnsi" w:cstheme="majorHAnsi"/>
          <w:color w:val="000000"/>
        </w:rPr>
        <w:t xml:space="preserve"> in their notes to images, </w:t>
      </w:r>
      <w:proofErr w:type="spellStart"/>
      <w:r w:rsidR="009B28E4" w:rsidRPr="009B28E4">
        <w:rPr>
          <w:rFonts w:asciiTheme="majorHAnsi" w:hAnsiTheme="majorHAnsi" w:cstheme="majorHAnsi"/>
          <w:color w:val="000000"/>
        </w:rPr>
        <w:t>Kacyzne</w:t>
      </w:r>
      <w:proofErr w:type="spellEnd"/>
      <w:r w:rsidR="009B28E4" w:rsidRPr="009B28E4">
        <w:rPr>
          <w:rFonts w:asciiTheme="majorHAnsi" w:hAnsiTheme="majorHAnsi" w:cstheme="majorHAnsi"/>
          <w:color w:val="000000"/>
        </w:rPr>
        <w:t xml:space="preserve"> </w:t>
      </w:r>
      <w:r w:rsidR="002946E6">
        <w:rPr>
          <w:rFonts w:asciiTheme="majorHAnsi" w:hAnsiTheme="majorHAnsi" w:cstheme="majorHAnsi"/>
          <w:color w:val="000000"/>
        </w:rPr>
        <w:t>#</w:t>
      </w:r>
      <w:r w:rsidR="009B28E4" w:rsidRPr="009B28E4">
        <w:rPr>
          <w:rFonts w:asciiTheme="majorHAnsi" w:hAnsiTheme="majorHAnsi" w:cstheme="majorHAnsi"/>
          <w:color w:val="000000"/>
        </w:rPr>
        <w:t xml:space="preserve"> and </w:t>
      </w:r>
      <w:proofErr w:type="spellStart"/>
      <w:r w:rsidR="009B28E4" w:rsidRPr="009B28E4">
        <w:rPr>
          <w:rFonts w:asciiTheme="majorHAnsi" w:hAnsiTheme="majorHAnsi" w:cstheme="majorHAnsi"/>
          <w:color w:val="000000"/>
        </w:rPr>
        <w:t>Kirshenblatt</w:t>
      </w:r>
      <w:proofErr w:type="spellEnd"/>
      <w:r w:rsidR="009B28E4" w:rsidRPr="009B28E4">
        <w:rPr>
          <w:rFonts w:asciiTheme="majorHAnsi" w:hAnsiTheme="majorHAnsi" w:cstheme="majorHAnsi"/>
          <w:color w:val="000000"/>
        </w:rPr>
        <w:t xml:space="preserve"> </w:t>
      </w:r>
      <w:r w:rsidR="002946E6">
        <w:rPr>
          <w:rFonts w:asciiTheme="majorHAnsi" w:hAnsiTheme="majorHAnsi" w:cstheme="majorHAnsi"/>
          <w:color w:val="000000"/>
        </w:rPr>
        <w:t>#</w:t>
      </w:r>
      <w:r w:rsidR="009B28E4" w:rsidRPr="009B28E4">
        <w:rPr>
          <w:rFonts w:asciiTheme="majorHAnsi" w:hAnsiTheme="majorHAnsi" w:cstheme="majorHAnsi"/>
          <w:color w:val="000000"/>
        </w:rPr>
        <w:t xml:space="preserve"> similarly referred to the Jewish knocker as a </w:t>
      </w:r>
      <w:proofErr w:type="spellStart"/>
      <w:r w:rsidR="009B28E4" w:rsidRPr="009B28E4">
        <w:rPr>
          <w:rFonts w:asciiTheme="majorHAnsi" w:hAnsiTheme="majorHAnsi" w:cstheme="majorHAnsi"/>
          <w:i/>
          <w:iCs/>
          <w:color w:val="000000"/>
        </w:rPr>
        <w:t>Shabes-klaper</w:t>
      </w:r>
      <w:proofErr w:type="spellEnd"/>
      <w:r w:rsidR="009B28E4" w:rsidRPr="009B28E4">
        <w:rPr>
          <w:rFonts w:asciiTheme="majorHAnsi" w:hAnsiTheme="majorHAnsi" w:cstheme="majorHAnsi"/>
          <w:color w:val="000000"/>
        </w:rPr>
        <w:t xml:space="preserve"> (Sabbath-knocker),</w:t>
      </w:r>
      <w:r w:rsidR="009B28E4" w:rsidRPr="00202373">
        <w:rPr>
          <w:rFonts w:asciiTheme="majorHAnsi" w:hAnsiTheme="majorHAnsi" w:cstheme="majorHAnsi"/>
          <w:color w:val="000000"/>
          <w:vertAlign w:val="superscript"/>
        </w:rPr>
        <w:footnoteReference w:id="63"/>
      </w:r>
      <w:r w:rsidR="009B28E4" w:rsidRPr="009B28E4">
        <w:rPr>
          <w:rFonts w:asciiTheme="majorHAnsi" w:hAnsiTheme="majorHAnsi" w:cstheme="majorHAnsi"/>
          <w:color w:val="000000"/>
        </w:rPr>
        <w:t xml:space="preserve"> it is reasonable to infer that in their time, the </w:t>
      </w:r>
      <w:proofErr w:type="spellStart"/>
      <w:r w:rsidR="00FC704B">
        <w:rPr>
          <w:rFonts w:asciiTheme="majorHAnsi" w:hAnsiTheme="majorHAnsi" w:cstheme="majorHAnsi"/>
          <w:color w:val="000000"/>
        </w:rPr>
        <w:t>shulklapper</w:t>
      </w:r>
      <w:r w:rsidR="009B28E4">
        <w:rPr>
          <w:rFonts w:asciiTheme="majorHAnsi" w:hAnsiTheme="majorHAnsi" w:cstheme="majorHAnsi"/>
          <w:color w:val="000000"/>
        </w:rPr>
        <w:t>’</w:t>
      </w:r>
      <w:r w:rsidR="009B28E4" w:rsidRPr="009B28E4">
        <w:rPr>
          <w:rFonts w:asciiTheme="majorHAnsi" w:hAnsiTheme="majorHAnsi" w:cstheme="majorHAnsi"/>
          <w:color w:val="000000"/>
        </w:rPr>
        <w:t>s</w:t>
      </w:r>
      <w:proofErr w:type="spellEnd"/>
      <w:r w:rsidR="009B28E4" w:rsidRPr="009B28E4">
        <w:rPr>
          <w:rFonts w:asciiTheme="majorHAnsi" w:hAnsiTheme="majorHAnsi" w:cstheme="majorHAnsi"/>
          <w:color w:val="000000"/>
        </w:rPr>
        <w:t xml:space="preserve"> work was limited to a single performance per week and his mallet was typically not </w:t>
      </w:r>
      <w:r w:rsidR="009B28E4" w:rsidRPr="00202373">
        <w:rPr>
          <w:rFonts w:asciiTheme="majorHAnsi" w:hAnsiTheme="majorHAnsi" w:cstheme="majorHAnsi"/>
          <w:color w:val="000000"/>
        </w:rPr>
        <w:t xml:space="preserve">heard </w:t>
      </w:r>
      <w:r w:rsidR="009B28E4" w:rsidRPr="009B28E4">
        <w:rPr>
          <w:rFonts w:asciiTheme="majorHAnsi" w:hAnsiTheme="majorHAnsi" w:cstheme="majorHAnsi"/>
          <w:color w:val="000000"/>
        </w:rPr>
        <w:t>during the weekdays</w:t>
      </w:r>
      <w:r w:rsidR="000C3D14" w:rsidRPr="00202373">
        <w:rPr>
          <w:rFonts w:asciiTheme="majorHAnsi" w:hAnsiTheme="majorHAnsi" w:cstheme="majorHAnsi"/>
          <w:color w:val="000000"/>
        </w:rPr>
        <w:t xml:space="preserve">. </w:t>
      </w:r>
    </w:p>
    <w:p w14:paraId="2067A903" w14:textId="5F5C1DA0" w:rsidR="00172409" w:rsidRDefault="00E72983" w:rsidP="00F1546C">
      <w:pPr>
        <w:pBdr>
          <w:top w:val="nil"/>
          <w:left w:val="nil"/>
          <w:bottom w:val="nil"/>
          <w:right w:val="nil"/>
          <w:between w:val="nil"/>
        </w:pBdr>
        <w:spacing w:line="360" w:lineRule="auto"/>
        <w:ind w:firstLine="720"/>
        <w:rPr>
          <w:rFonts w:asciiTheme="majorHAnsi" w:hAnsiTheme="majorHAnsi" w:cstheme="majorHAnsi"/>
          <w:color w:val="000000"/>
        </w:rPr>
      </w:pPr>
      <w:r>
        <w:rPr>
          <w:rFonts w:asciiTheme="majorHAnsi" w:hAnsiTheme="majorHAnsi" w:cstheme="majorHAnsi"/>
          <w:color w:val="000000"/>
        </w:rPr>
        <w:t xml:space="preserve">The </w:t>
      </w:r>
      <w:r w:rsidR="00083929">
        <w:rPr>
          <w:rFonts w:asciiTheme="majorHAnsi" w:hAnsiTheme="majorHAnsi" w:cstheme="majorHAnsi"/>
          <w:color w:val="000000"/>
        </w:rPr>
        <w:t>personalized</w:t>
      </w:r>
      <w:r>
        <w:rPr>
          <w:rFonts w:asciiTheme="majorHAnsi" w:hAnsiTheme="majorHAnsi" w:cstheme="majorHAnsi"/>
          <w:color w:val="000000"/>
        </w:rPr>
        <w:t xml:space="preserve"> audial synchronization of communal life was effective only in neighborhoods with </w:t>
      </w:r>
      <w:r w:rsidR="00F1546C">
        <w:rPr>
          <w:rFonts w:asciiTheme="majorHAnsi" w:hAnsiTheme="majorHAnsi" w:cstheme="majorHAnsi"/>
          <w:color w:val="000000"/>
        </w:rPr>
        <w:t xml:space="preserve">a </w:t>
      </w:r>
      <w:r>
        <w:rPr>
          <w:rFonts w:asciiTheme="majorHAnsi" w:hAnsiTheme="majorHAnsi" w:cstheme="majorHAnsi"/>
          <w:color w:val="000000"/>
        </w:rPr>
        <w:t xml:space="preserve">homogenous population. </w:t>
      </w:r>
      <w:r w:rsidR="00F1546C" w:rsidRPr="00F1546C">
        <w:rPr>
          <w:rFonts w:asciiTheme="majorHAnsi" w:hAnsiTheme="majorHAnsi" w:cstheme="majorHAnsi"/>
          <w:color w:val="000000"/>
        </w:rPr>
        <w:t xml:space="preserve">In some </w:t>
      </w:r>
      <w:r w:rsidR="00F1546C">
        <w:rPr>
          <w:rFonts w:asciiTheme="majorHAnsi" w:hAnsiTheme="majorHAnsi" w:cstheme="majorHAnsi"/>
          <w:color w:val="000000"/>
        </w:rPr>
        <w:t>pockets</w:t>
      </w:r>
      <w:r w:rsidR="00F1546C" w:rsidRPr="00F1546C">
        <w:rPr>
          <w:rFonts w:asciiTheme="majorHAnsi" w:hAnsiTheme="majorHAnsi" w:cstheme="majorHAnsi"/>
          <w:color w:val="000000"/>
        </w:rPr>
        <w:t xml:space="preserve"> of traditional Jewish life in eastern Europe, the practi</w:t>
      </w:r>
      <w:r w:rsidR="00F1546C">
        <w:rPr>
          <w:rFonts w:asciiTheme="majorHAnsi" w:hAnsiTheme="majorHAnsi" w:cstheme="majorHAnsi"/>
          <w:color w:val="000000"/>
        </w:rPr>
        <w:t>c</w:t>
      </w:r>
      <w:r w:rsidR="00F1546C" w:rsidRPr="00F1546C">
        <w:rPr>
          <w:rFonts w:asciiTheme="majorHAnsi" w:hAnsiTheme="majorHAnsi" w:cstheme="majorHAnsi"/>
          <w:color w:val="000000"/>
        </w:rPr>
        <w:t xml:space="preserve">e of knocking on each door to summon synagogue-goers persisted until the Holocaust, </w:t>
      </w:r>
      <w:r w:rsidR="00F1546C">
        <w:rPr>
          <w:rFonts w:asciiTheme="majorHAnsi" w:hAnsiTheme="majorHAnsi" w:cstheme="majorHAnsi"/>
          <w:color w:val="000000"/>
        </w:rPr>
        <w:t>and</w:t>
      </w:r>
      <w:r w:rsidR="00F1546C" w:rsidRPr="00F1546C">
        <w:rPr>
          <w:rFonts w:asciiTheme="majorHAnsi" w:hAnsiTheme="majorHAnsi" w:cstheme="majorHAnsi"/>
          <w:color w:val="000000"/>
        </w:rPr>
        <w:t xml:space="preserve"> was never revived there.</w:t>
      </w:r>
      <w:r w:rsidR="00642DA2">
        <w:rPr>
          <w:rFonts w:asciiTheme="majorHAnsi" w:hAnsiTheme="majorHAnsi" w:cstheme="majorHAnsi"/>
          <w:color w:val="000000"/>
        </w:rPr>
        <w:t xml:space="preserve"> </w:t>
      </w:r>
      <w:r w:rsidR="0032722B">
        <w:rPr>
          <w:rFonts w:asciiTheme="majorHAnsi" w:hAnsiTheme="majorHAnsi" w:cstheme="majorHAnsi"/>
          <w:color w:val="000000"/>
        </w:rPr>
        <w:t>In contrast,</w:t>
      </w:r>
      <w:r>
        <w:rPr>
          <w:rFonts w:asciiTheme="majorHAnsi" w:hAnsiTheme="majorHAnsi" w:cstheme="majorHAnsi"/>
          <w:color w:val="000000"/>
        </w:rPr>
        <w:t xml:space="preserve"> </w:t>
      </w:r>
      <w:r w:rsidR="0032722B" w:rsidRPr="00202373">
        <w:rPr>
          <w:rFonts w:asciiTheme="majorHAnsi" w:hAnsiTheme="majorHAnsi" w:cstheme="majorHAnsi"/>
          <w:color w:val="000000"/>
        </w:rPr>
        <w:t xml:space="preserve">in </w:t>
      </w:r>
      <w:r w:rsidR="00F1546C">
        <w:rPr>
          <w:rFonts w:asciiTheme="majorHAnsi" w:hAnsiTheme="majorHAnsi" w:cstheme="majorHAnsi"/>
          <w:color w:val="000000"/>
        </w:rPr>
        <w:t xml:space="preserve">British </w:t>
      </w:r>
      <w:r w:rsidR="0032722B">
        <w:rPr>
          <w:rFonts w:asciiTheme="majorHAnsi" w:hAnsiTheme="majorHAnsi" w:cstheme="majorHAnsi"/>
          <w:color w:val="000000"/>
        </w:rPr>
        <w:t>industrial worker quarters</w:t>
      </w:r>
      <w:r>
        <w:rPr>
          <w:rFonts w:asciiTheme="majorHAnsi" w:hAnsiTheme="majorHAnsi" w:cstheme="majorHAnsi"/>
          <w:color w:val="000000"/>
        </w:rPr>
        <w:t>,</w:t>
      </w:r>
      <w:r w:rsidRPr="00202373">
        <w:rPr>
          <w:rFonts w:asciiTheme="majorHAnsi" w:hAnsiTheme="majorHAnsi" w:cstheme="majorHAnsi"/>
          <w:color w:val="000000"/>
        </w:rPr>
        <w:t xml:space="preserve"> knock-uppers </w:t>
      </w:r>
      <w:r w:rsidR="00F1546C">
        <w:rPr>
          <w:rFonts w:asciiTheme="majorHAnsi" w:hAnsiTheme="majorHAnsi" w:cstheme="majorHAnsi"/>
          <w:color w:val="000000"/>
        </w:rPr>
        <w:t xml:space="preserve">ceased to exist </w:t>
      </w:r>
      <w:r w:rsidR="00083929">
        <w:rPr>
          <w:rFonts w:asciiTheme="majorHAnsi" w:hAnsiTheme="majorHAnsi" w:cstheme="majorHAnsi"/>
          <w:color w:val="000000"/>
        </w:rPr>
        <w:t xml:space="preserve">only in </w:t>
      </w:r>
      <w:r w:rsidR="0032722B" w:rsidRPr="00202373">
        <w:rPr>
          <w:rFonts w:asciiTheme="majorHAnsi" w:hAnsiTheme="majorHAnsi" w:cstheme="majorHAnsi"/>
          <w:color w:val="000000"/>
        </w:rPr>
        <w:t xml:space="preserve">the early 1970s, long after the alarm clocks had become </w:t>
      </w:r>
      <w:r w:rsidR="00F1546C">
        <w:rPr>
          <w:rFonts w:asciiTheme="majorHAnsi" w:hAnsiTheme="majorHAnsi" w:cstheme="majorHAnsi"/>
          <w:color w:val="000000"/>
        </w:rPr>
        <w:t>widely</w:t>
      </w:r>
      <w:r w:rsidR="0032722B" w:rsidRPr="00202373">
        <w:rPr>
          <w:rFonts w:asciiTheme="majorHAnsi" w:hAnsiTheme="majorHAnsi" w:cstheme="majorHAnsi"/>
          <w:color w:val="000000"/>
        </w:rPr>
        <w:t xml:space="preserve"> available</w:t>
      </w:r>
      <w:r w:rsidR="0032722B">
        <w:rPr>
          <w:rFonts w:asciiTheme="majorHAnsi" w:hAnsiTheme="majorHAnsi" w:cstheme="majorHAnsi"/>
          <w:color w:val="000000"/>
        </w:rPr>
        <w:t>.</w:t>
      </w:r>
      <w:r w:rsidR="0032722B" w:rsidRPr="0032722B">
        <w:rPr>
          <w:rFonts w:asciiTheme="majorHAnsi" w:hAnsiTheme="majorHAnsi" w:cstheme="majorHAnsi"/>
          <w:color w:val="000000"/>
          <w:vertAlign w:val="superscript"/>
        </w:rPr>
        <w:t xml:space="preserve"> </w:t>
      </w:r>
      <w:r w:rsidR="0032722B" w:rsidRPr="00202373">
        <w:rPr>
          <w:rFonts w:asciiTheme="majorHAnsi" w:hAnsiTheme="majorHAnsi" w:cstheme="majorHAnsi"/>
          <w:color w:val="000000"/>
          <w:vertAlign w:val="superscript"/>
        </w:rPr>
        <w:footnoteReference w:id="64"/>
      </w:r>
      <w:r w:rsidR="00083929" w:rsidRPr="00083929">
        <w:rPr>
          <w:rFonts w:asciiTheme="majorHAnsi" w:hAnsiTheme="majorHAnsi" w:cstheme="majorHAnsi"/>
          <w:color w:val="000000"/>
        </w:rPr>
        <w:t xml:space="preserve"> </w:t>
      </w:r>
      <w:r w:rsidR="00083929">
        <w:rPr>
          <w:rFonts w:asciiTheme="majorHAnsi" w:hAnsiTheme="majorHAnsi" w:cstheme="majorHAnsi"/>
          <w:color w:val="000000"/>
        </w:rPr>
        <w:t>T</w:t>
      </w:r>
      <w:r w:rsidR="00083929" w:rsidRPr="00202373">
        <w:rPr>
          <w:rFonts w:asciiTheme="majorHAnsi" w:hAnsiTheme="majorHAnsi" w:cstheme="majorHAnsi"/>
          <w:color w:val="000000"/>
        </w:rPr>
        <w:t xml:space="preserve">he weekly </w:t>
      </w:r>
      <w:r w:rsidR="00083929">
        <w:rPr>
          <w:rFonts w:asciiTheme="majorHAnsi" w:hAnsiTheme="majorHAnsi" w:cstheme="majorHAnsi"/>
          <w:color w:val="000000"/>
        </w:rPr>
        <w:t>auditory</w:t>
      </w:r>
      <w:r w:rsidR="00083929" w:rsidRPr="00202373">
        <w:rPr>
          <w:rFonts w:asciiTheme="majorHAnsi" w:hAnsiTheme="majorHAnsi" w:cstheme="majorHAnsi"/>
          <w:color w:val="000000"/>
        </w:rPr>
        <w:t xml:space="preserve"> </w:t>
      </w:r>
      <w:r w:rsidR="00083929">
        <w:rPr>
          <w:rFonts w:asciiTheme="majorHAnsi" w:hAnsiTheme="majorHAnsi" w:cstheme="majorHAnsi"/>
          <w:color w:val="000000"/>
        </w:rPr>
        <w:t>notifications</w:t>
      </w:r>
      <w:r w:rsidR="00083929" w:rsidRPr="00202373">
        <w:rPr>
          <w:rFonts w:asciiTheme="majorHAnsi" w:hAnsiTheme="majorHAnsi" w:cstheme="majorHAnsi"/>
          <w:color w:val="000000"/>
        </w:rPr>
        <w:t xml:space="preserve"> of ritual times are </w:t>
      </w:r>
      <w:r w:rsidR="00083929">
        <w:rPr>
          <w:rFonts w:asciiTheme="majorHAnsi" w:hAnsiTheme="majorHAnsi" w:cstheme="majorHAnsi"/>
          <w:color w:val="000000"/>
        </w:rPr>
        <w:t>present</w:t>
      </w:r>
      <w:r w:rsidR="00083929" w:rsidRPr="00202373">
        <w:rPr>
          <w:rFonts w:asciiTheme="majorHAnsi" w:hAnsiTheme="majorHAnsi" w:cstheme="majorHAnsi"/>
          <w:color w:val="000000"/>
        </w:rPr>
        <w:t xml:space="preserve"> </w:t>
      </w:r>
      <w:r w:rsidR="00083929">
        <w:rPr>
          <w:rFonts w:asciiTheme="majorHAnsi" w:hAnsiTheme="majorHAnsi" w:cstheme="majorHAnsi"/>
          <w:color w:val="000000"/>
        </w:rPr>
        <w:t>i</w:t>
      </w:r>
      <w:r w:rsidR="00083929" w:rsidRPr="00202373">
        <w:rPr>
          <w:rFonts w:asciiTheme="majorHAnsi" w:hAnsiTheme="majorHAnsi" w:cstheme="majorHAnsi"/>
          <w:color w:val="000000"/>
        </w:rPr>
        <w:t>n the areas with prevailing Jewish religious population in contemporary Israel and in some Jewish neighborhoods in the United States</w:t>
      </w:r>
      <w:r w:rsidR="00083929">
        <w:rPr>
          <w:rFonts w:asciiTheme="majorHAnsi" w:hAnsiTheme="majorHAnsi" w:cstheme="majorHAnsi"/>
          <w:color w:val="000000"/>
        </w:rPr>
        <w:t>.</w:t>
      </w:r>
      <w:r w:rsidR="00083929" w:rsidRPr="00202373">
        <w:rPr>
          <w:rFonts w:asciiTheme="majorHAnsi" w:hAnsiTheme="majorHAnsi" w:cstheme="majorHAnsi"/>
          <w:color w:val="000000"/>
        </w:rPr>
        <w:t xml:space="preserve"> </w:t>
      </w:r>
      <w:r w:rsidR="00083929">
        <w:rPr>
          <w:rFonts w:asciiTheme="majorHAnsi" w:hAnsiTheme="majorHAnsi" w:cstheme="majorHAnsi"/>
          <w:color w:val="000000"/>
        </w:rPr>
        <w:t xml:space="preserve">However, lieu of individualized announcements, </w:t>
      </w:r>
      <w:r w:rsidR="00083929" w:rsidRPr="00202373">
        <w:rPr>
          <w:rFonts w:asciiTheme="majorHAnsi" w:hAnsiTheme="majorHAnsi" w:cstheme="majorHAnsi"/>
          <w:color w:val="000000"/>
        </w:rPr>
        <w:t>a siren is sounded to announce the required cessation of work and oncoming onset of Shabbat.</w:t>
      </w:r>
    </w:p>
    <w:p w14:paraId="0000001E" w14:textId="77777777" w:rsidR="009B4F5A" w:rsidRPr="00202373" w:rsidRDefault="000C3D14" w:rsidP="00943C0A">
      <w:pPr>
        <w:pStyle w:val="Heading2"/>
        <w:rPr>
          <w:rFonts w:asciiTheme="majorHAnsi" w:hAnsiTheme="majorHAnsi" w:cstheme="majorHAnsi"/>
        </w:rPr>
      </w:pPr>
      <w:proofErr w:type="spellStart"/>
      <w:r w:rsidRPr="00202373">
        <w:rPr>
          <w:rFonts w:asciiTheme="majorHAnsi" w:hAnsiTheme="majorHAnsi" w:cstheme="majorHAnsi"/>
        </w:rPr>
        <w:t>Homiletized</w:t>
      </w:r>
      <w:proofErr w:type="spellEnd"/>
      <w:r w:rsidRPr="00202373">
        <w:rPr>
          <w:rFonts w:asciiTheme="majorHAnsi" w:hAnsiTheme="majorHAnsi" w:cstheme="majorHAnsi"/>
        </w:rPr>
        <w:t xml:space="preserve"> Sounds</w:t>
      </w:r>
    </w:p>
    <w:p w14:paraId="0000001F" w14:textId="0597A0A5" w:rsidR="009B4F5A" w:rsidRPr="00202373" w:rsidRDefault="000C3D14" w:rsidP="00943C0A">
      <w:pPr>
        <w:widowControl w:val="0"/>
        <w:pBdr>
          <w:top w:val="nil"/>
          <w:left w:val="nil"/>
          <w:bottom w:val="nil"/>
          <w:right w:val="nil"/>
          <w:between w:val="nil"/>
        </w:pBdr>
        <w:spacing w:before="240" w:line="360" w:lineRule="auto"/>
        <w:rPr>
          <w:rFonts w:asciiTheme="majorHAnsi" w:hAnsiTheme="majorHAnsi" w:cstheme="majorHAnsi"/>
          <w:color w:val="000000"/>
        </w:rPr>
      </w:pPr>
      <w:bookmarkStart w:id="26" w:name="_1t3h5sf" w:colFirst="0" w:colLast="0"/>
      <w:bookmarkEnd w:id="26"/>
      <w:r w:rsidRPr="00202373">
        <w:rPr>
          <w:rFonts w:asciiTheme="majorHAnsi" w:hAnsiTheme="majorHAnsi" w:cstheme="majorHAnsi"/>
          <w:color w:val="000000"/>
        </w:rPr>
        <w:t xml:space="preserve">The </w:t>
      </w:r>
      <w:proofErr w:type="spellStart"/>
      <w:r w:rsidR="00FC704B">
        <w:rPr>
          <w:rFonts w:asciiTheme="majorHAnsi" w:hAnsiTheme="majorHAnsi" w:cstheme="majorHAnsi"/>
          <w:color w:val="000000"/>
        </w:rPr>
        <w:t>shulklapper</w:t>
      </w:r>
      <w:r w:rsidRPr="00202373">
        <w:rPr>
          <w:rFonts w:asciiTheme="majorHAnsi" w:hAnsiTheme="majorHAnsi" w:cstheme="majorHAnsi"/>
          <w:color w:val="000000"/>
        </w:rPr>
        <w:t>’s</w:t>
      </w:r>
      <w:proofErr w:type="spellEnd"/>
      <w:r w:rsidRPr="00202373">
        <w:rPr>
          <w:rFonts w:asciiTheme="majorHAnsi" w:hAnsiTheme="majorHAnsi" w:cstheme="majorHAnsi"/>
          <w:color w:val="000000"/>
        </w:rPr>
        <w:t xml:space="preserve"> knocking for announcing the times was accompanied by concurrent communication that elucidated, enhanced, or interpreted the primary non-verbal message. A simple yet potent elaboration of the custom was </w:t>
      </w:r>
      <w:proofErr w:type="spellStart"/>
      <w:r w:rsidR="00FC704B">
        <w:rPr>
          <w:rFonts w:asciiTheme="majorHAnsi" w:hAnsiTheme="majorHAnsi" w:cstheme="majorHAnsi"/>
          <w:color w:val="000000"/>
        </w:rPr>
        <w:t>shulklapper</w:t>
      </w:r>
      <w:r w:rsidRPr="00202373">
        <w:rPr>
          <w:rFonts w:asciiTheme="majorHAnsi" w:hAnsiTheme="majorHAnsi" w:cstheme="majorHAnsi"/>
          <w:color w:val="000000"/>
        </w:rPr>
        <w:t>’s</w:t>
      </w:r>
      <w:proofErr w:type="spellEnd"/>
      <w:r w:rsidRPr="00202373">
        <w:rPr>
          <w:rFonts w:asciiTheme="majorHAnsi" w:hAnsiTheme="majorHAnsi" w:cstheme="majorHAnsi"/>
          <w:color w:val="000000"/>
        </w:rPr>
        <w:t xml:space="preserve"> ceremonial utterances that verbalized the exhortation. For that sake, the </w:t>
      </w:r>
      <w:proofErr w:type="spellStart"/>
      <w:r w:rsidR="00FC704B">
        <w:rPr>
          <w:rFonts w:asciiTheme="majorHAnsi" w:hAnsiTheme="majorHAnsi" w:cstheme="majorHAnsi"/>
          <w:color w:val="000000"/>
        </w:rPr>
        <w:t>shulklapper</w:t>
      </w:r>
      <w:proofErr w:type="spellEnd"/>
      <w:r w:rsidRPr="00202373">
        <w:rPr>
          <w:rFonts w:asciiTheme="majorHAnsi" w:hAnsiTheme="majorHAnsi" w:cstheme="majorHAnsi"/>
          <w:color w:val="000000"/>
        </w:rPr>
        <w:t xml:space="preserve"> uttered straightforward commands, for example: </w:t>
      </w:r>
      <w:r w:rsidRPr="00202373">
        <w:rPr>
          <w:rFonts w:asciiTheme="majorHAnsi" w:hAnsiTheme="majorHAnsi" w:cstheme="majorHAnsi"/>
          <w:color w:val="000000"/>
          <w:rtl/>
        </w:rPr>
        <w:t xml:space="preserve">אין </w:t>
      </w:r>
      <w:proofErr w:type="spellStart"/>
      <w:r w:rsidRPr="00202373">
        <w:rPr>
          <w:rFonts w:asciiTheme="majorHAnsi" w:hAnsiTheme="majorHAnsi" w:cstheme="majorHAnsi"/>
          <w:color w:val="000000"/>
          <w:rtl/>
        </w:rPr>
        <w:t>שוּהל</w:t>
      </w:r>
      <w:proofErr w:type="spellEnd"/>
      <w:r w:rsidRPr="00202373">
        <w:rPr>
          <w:rFonts w:asciiTheme="majorHAnsi" w:hAnsiTheme="majorHAnsi" w:cstheme="majorHAnsi"/>
          <w:color w:val="000000"/>
          <w:rtl/>
        </w:rPr>
        <w:t xml:space="preserve"> </w:t>
      </w:r>
      <w:proofErr w:type="spellStart"/>
      <w:r w:rsidRPr="00202373">
        <w:rPr>
          <w:rFonts w:asciiTheme="majorHAnsi" w:hAnsiTheme="majorHAnsi" w:cstheme="majorHAnsi"/>
          <w:color w:val="000000"/>
          <w:rtl/>
        </w:rPr>
        <w:t>אַרײַן</w:t>
      </w:r>
      <w:proofErr w:type="spellEnd"/>
      <w:r w:rsidRPr="00202373">
        <w:rPr>
          <w:rFonts w:asciiTheme="majorHAnsi" w:hAnsiTheme="majorHAnsi" w:cstheme="majorHAnsi"/>
          <w:color w:val="000000"/>
        </w:rPr>
        <w:t xml:space="preserve"> (Yiddish: “To synagogue!”),</w:t>
      </w:r>
      <w:r w:rsidRPr="00202373">
        <w:rPr>
          <w:rFonts w:asciiTheme="majorHAnsi" w:hAnsiTheme="majorHAnsi" w:cstheme="majorHAnsi"/>
          <w:color w:val="000000"/>
          <w:vertAlign w:val="superscript"/>
        </w:rPr>
        <w:footnoteReference w:id="65"/>
      </w:r>
      <w:r w:rsidRPr="00202373">
        <w:rPr>
          <w:rFonts w:asciiTheme="majorHAnsi" w:hAnsiTheme="majorHAnsi" w:cstheme="majorHAnsi"/>
          <w:color w:val="000000"/>
        </w:rPr>
        <w:t xml:space="preserve"> </w:t>
      </w:r>
      <w:r w:rsidRPr="00202373">
        <w:rPr>
          <w:rFonts w:asciiTheme="majorHAnsi" w:hAnsiTheme="majorHAnsi" w:cstheme="majorHAnsi"/>
          <w:color w:val="000000"/>
          <w:rtl/>
        </w:rPr>
        <w:t xml:space="preserve">שטייט </w:t>
      </w:r>
      <w:proofErr w:type="spellStart"/>
      <w:r w:rsidRPr="00202373">
        <w:rPr>
          <w:rFonts w:asciiTheme="majorHAnsi" w:hAnsiTheme="majorHAnsi" w:cstheme="majorHAnsi"/>
          <w:color w:val="000000"/>
          <w:rtl/>
        </w:rPr>
        <w:t>אויף</w:t>
      </w:r>
      <w:proofErr w:type="spellEnd"/>
      <w:r w:rsidRPr="00202373">
        <w:rPr>
          <w:rFonts w:asciiTheme="majorHAnsi" w:hAnsiTheme="majorHAnsi" w:cstheme="majorHAnsi"/>
          <w:color w:val="000000"/>
          <w:rtl/>
        </w:rPr>
        <w:t xml:space="preserve"> צו סליחות</w:t>
      </w:r>
      <w:r w:rsidRPr="00202373">
        <w:rPr>
          <w:rFonts w:asciiTheme="majorHAnsi" w:hAnsiTheme="majorHAnsi" w:cstheme="majorHAnsi"/>
          <w:color w:val="000000"/>
        </w:rPr>
        <w:t xml:space="preserve"> (“wake up for the </w:t>
      </w:r>
      <w:proofErr w:type="spellStart"/>
      <w:r w:rsidR="00AC0F95">
        <w:rPr>
          <w:rFonts w:asciiTheme="majorHAnsi" w:hAnsiTheme="majorHAnsi" w:cstheme="majorHAnsi"/>
          <w:i/>
          <w:color w:val="000000"/>
        </w:rPr>
        <w:lastRenderedPageBreak/>
        <w:t>s</w:t>
      </w:r>
      <w:r w:rsidRPr="00202373">
        <w:rPr>
          <w:rFonts w:asciiTheme="majorHAnsi" w:hAnsiTheme="majorHAnsi" w:cstheme="majorHAnsi"/>
          <w:i/>
          <w:color w:val="000000"/>
        </w:rPr>
        <w:t>eliḥot</w:t>
      </w:r>
      <w:proofErr w:type="spellEnd"/>
      <w:r w:rsidRPr="00202373">
        <w:rPr>
          <w:rFonts w:asciiTheme="majorHAnsi" w:hAnsiTheme="majorHAnsi" w:cstheme="majorHAnsi"/>
          <w:color w:val="000000"/>
        </w:rPr>
        <w:t>”),</w:t>
      </w:r>
      <w:bookmarkStart w:id="27" w:name="_Ref137384322"/>
      <w:r w:rsidRPr="00202373">
        <w:rPr>
          <w:rFonts w:asciiTheme="majorHAnsi" w:hAnsiTheme="majorHAnsi" w:cstheme="majorHAnsi"/>
          <w:color w:val="000000"/>
          <w:vertAlign w:val="superscript"/>
        </w:rPr>
        <w:footnoteReference w:id="66"/>
      </w:r>
      <w:bookmarkEnd w:id="27"/>
      <w:r w:rsidRPr="00202373">
        <w:rPr>
          <w:rFonts w:asciiTheme="majorHAnsi" w:hAnsiTheme="majorHAnsi" w:cstheme="majorHAnsi"/>
          <w:color w:val="000000"/>
        </w:rPr>
        <w:t xml:space="preserve"> or “'Women, women! It’s time to light the candles and go to the synagogue.”</w:t>
      </w:r>
      <w:r w:rsidRPr="00202373">
        <w:rPr>
          <w:rFonts w:asciiTheme="majorHAnsi" w:hAnsiTheme="majorHAnsi" w:cstheme="majorHAnsi"/>
          <w:color w:val="000000"/>
          <w:vertAlign w:val="superscript"/>
        </w:rPr>
        <w:footnoteReference w:id="67"/>
      </w:r>
      <w:r w:rsidRPr="00202373">
        <w:rPr>
          <w:rFonts w:asciiTheme="majorHAnsi" w:hAnsiTheme="majorHAnsi" w:cstheme="majorHAnsi"/>
          <w:color w:val="000000"/>
        </w:rPr>
        <w:t xml:space="preserve"> He also could melodically chant utterances such as </w:t>
      </w:r>
      <w:r w:rsidRPr="00202373">
        <w:rPr>
          <w:rFonts w:asciiTheme="majorHAnsi" w:hAnsiTheme="majorHAnsi" w:cstheme="majorHAnsi"/>
          <w:color w:val="000000"/>
          <w:rtl/>
        </w:rPr>
        <w:t xml:space="preserve">שטייט </w:t>
      </w:r>
      <w:proofErr w:type="spellStart"/>
      <w:r w:rsidRPr="00202373">
        <w:rPr>
          <w:rFonts w:asciiTheme="majorHAnsi" w:hAnsiTheme="majorHAnsi" w:cstheme="majorHAnsi"/>
          <w:color w:val="000000"/>
          <w:rtl/>
        </w:rPr>
        <w:t>אויף</w:t>
      </w:r>
      <w:proofErr w:type="spellEnd"/>
      <w:r w:rsidRPr="00202373">
        <w:rPr>
          <w:rFonts w:asciiTheme="majorHAnsi" w:hAnsiTheme="majorHAnsi" w:cstheme="majorHAnsi"/>
          <w:color w:val="000000"/>
          <w:rtl/>
        </w:rPr>
        <w:t xml:space="preserve"> לעבודת הבורא</w:t>
      </w:r>
      <w:r w:rsidRPr="00202373">
        <w:rPr>
          <w:rFonts w:asciiTheme="majorHAnsi" w:hAnsiTheme="majorHAnsi" w:cstheme="majorHAnsi"/>
          <w:color w:val="000000"/>
        </w:rPr>
        <w:t xml:space="preserve"> in Yiddish or </w:t>
      </w:r>
      <w:r w:rsidRPr="00202373">
        <w:rPr>
          <w:rFonts w:asciiTheme="majorHAnsi" w:hAnsiTheme="majorHAnsi" w:cstheme="majorHAnsi"/>
          <w:color w:val="000000"/>
          <w:rtl/>
        </w:rPr>
        <w:t>קומי לעבודת הבורא</w:t>
      </w:r>
      <w:r w:rsidRPr="00202373">
        <w:rPr>
          <w:rFonts w:asciiTheme="majorHAnsi" w:hAnsiTheme="majorHAnsi" w:cstheme="majorHAnsi"/>
          <w:color w:val="000000"/>
        </w:rPr>
        <w:t xml:space="preserve"> in Hebrew (“Wake up for the service of the Creator”).</w:t>
      </w:r>
      <w:r w:rsidRPr="00202373">
        <w:rPr>
          <w:rFonts w:asciiTheme="majorHAnsi" w:hAnsiTheme="majorHAnsi" w:cstheme="majorHAnsi"/>
          <w:color w:val="000000"/>
          <w:vertAlign w:val="superscript"/>
        </w:rPr>
        <w:footnoteReference w:id="68"/>
      </w:r>
    </w:p>
    <w:p w14:paraId="00000020" w14:textId="77777777"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t xml:space="preserve">Rabbi Israel </w:t>
      </w:r>
      <w:proofErr w:type="spellStart"/>
      <w:r w:rsidRPr="00202373">
        <w:rPr>
          <w:rFonts w:asciiTheme="majorHAnsi" w:hAnsiTheme="majorHAnsi" w:cstheme="majorHAnsi"/>
          <w:color w:val="000000"/>
        </w:rPr>
        <w:t>Isserlein’s</w:t>
      </w:r>
      <w:proofErr w:type="spellEnd"/>
      <w:r w:rsidRPr="00202373">
        <w:rPr>
          <w:rFonts w:asciiTheme="majorHAnsi" w:hAnsiTheme="majorHAnsi" w:cstheme="majorHAnsi"/>
          <w:color w:val="000000"/>
        </w:rPr>
        <w:t xml:space="preserve"> writings disclose the fifteenth-century Jewish perception of the shamash’s signals as an esoteric code:</w:t>
      </w:r>
    </w:p>
    <w:p w14:paraId="00000021" w14:textId="77777777" w:rsidR="009B4F5A" w:rsidRPr="00202373" w:rsidRDefault="000C3D14" w:rsidP="00943C0A">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rFonts w:asciiTheme="majorHAnsi" w:hAnsiTheme="majorHAnsi" w:cstheme="majorHAnsi"/>
          <w:color w:val="000000"/>
        </w:rPr>
      </w:pPr>
      <w:r w:rsidRPr="00202373">
        <w:rPr>
          <w:rFonts w:asciiTheme="majorHAnsi" w:hAnsiTheme="majorHAnsi" w:cstheme="majorHAnsi"/>
          <w:color w:val="000000"/>
        </w:rPr>
        <w:t>[…] a reason of why the shamash strikes when he calls to the synagogue one strike and then two strikes and then one strike: and the reason is that this is similar to “</w:t>
      </w:r>
      <w:r w:rsidRPr="00202373">
        <w:rPr>
          <w:rFonts w:asciiTheme="majorHAnsi" w:hAnsiTheme="majorHAnsi" w:cstheme="majorHAnsi"/>
          <w:color w:val="000000"/>
          <w:rtl/>
        </w:rPr>
        <w:t>אָבֹא</w:t>
      </w:r>
      <w:r w:rsidRPr="00202373">
        <w:rPr>
          <w:rFonts w:asciiTheme="majorHAnsi" w:hAnsiTheme="majorHAnsi" w:cstheme="majorHAnsi"/>
          <w:color w:val="000000"/>
        </w:rPr>
        <w:t xml:space="preserve"> [I will come] unto thee and bless thee” [Exodus 20:20], the numerical value of the first latter of “</w:t>
      </w:r>
      <w:r w:rsidRPr="00202373">
        <w:rPr>
          <w:rFonts w:asciiTheme="majorHAnsi" w:hAnsiTheme="majorHAnsi" w:cstheme="majorHAnsi"/>
          <w:color w:val="000000"/>
          <w:rtl/>
        </w:rPr>
        <w:t>אָבֹא</w:t>
      </w:r>
      <w:r w:rsidRPr="00202373">
        <w:rPr>
          <w:rFonts w:asciiTheme="majorHAnsi" w:hAnsiTheme="majorHAnsi" w:cstheme="majorHAnsi"/>
          <w:color w:val="000000"/>
        </w:rPr>
        <w:t>” is one, of the second is two, and of the third is one.</w:t>
      </w:r>
      <w:r w:rsidRPr="00202373">
        <w:rPr>
          <w:rFonts w:asciiTheme="majorHAnsi" w:hAnsiTheme="majorHAnsi" w:cstheme="majorHAnsi"/>
          <w:color w:val="000000"/>
          <w:vertAlign w:val="superscript"/>
        </w:rPr>
        <w:footnoteReference w:id="69"/>
      </w:r>
      <w:r w:rsidRPr="00202373">
        <w:rPr>
          <w:rFonts w:asciiTheme="majorHAnsi" w:hAnsiTheme="majorHAnsi" w:cstheme="majorHAnsi"/>
          <w:color w:val="000000"/>
        </w:rPr>
        <w:t xml:space="preserve"> </w:t>
      </w:r>
    </w:p>
    <w:p w14:paraId="00000022" w14:textId="23B6B4A9" w:rsidR="009B4F5A" w:rsidRPr="00202373" w:rsidRDefault="000C3D14" w:rsidP="00943C0A">
      <w:pPr>
        <w:pBdr>
          <w:top w:val="nil"/>
          <w:left w:val="nil"/>
          <w:bottom w:val="nil"/>
          <w:right w:val="nil"/>
          <w:between w:val="nil"/>
        </w:pBdr>
        <w:spacing w:line="360" w:lineRule="auto"/>
        <w:rPr>
          <w:rFonts w:asciiTheme="majorHAnsi" w:hAnsiTheme="majorHAnsi" w:cstheme="majorHAnsi"/>
          <w:color w:val="000000"/>
        </w:rPr>
      </w:pPr>
      <w:r w:rsidRPr="00202373">
        <w:rPr>
          <w:rFonts w:asciiTheme="majorHAnsi" w:hAnsiTheme="majorHAnsi" w:cstheme="majorHAnsi"/>
          <w:color w:val="000000"/>
        </w:rPr>
        <w:t xml:space="preserve">The rapping was deemed a medium that transmitted letters of the Hebrew alphabet by an arrangement of elementary aural signals, a kind of medieval precursor of the modern Morse Code. Furthermore, the </w:t>
      </w:r>
      <w:proofErr w:type="spellStart"/>
      <w:r w:rsidR="00FC704B">
        <w:rPr>
          <w:rFonts w:asciiTheme="majorHAnsi" w:hAnsiTheme="majorHAnsi" w:cstheme="majorHAnsi"/>
          <w:color w:val="000000"/>
        </w:rPr>
        <w:t>shulklapper</w:t>
      </w:r>
      <w:r w:rsidRPr="00202373">
        <w:rPr>
          <w:rFonts w:asciiTheme="majorHAnsi" w:hAnsiTheme="majorHAnsi" w:cstheme="majorHAnsi"/>
          <w:color w:val="000000"/>
        </w:rPr>
        <w:t>’s</w:t>
      </w:r>
      <w:proofErr w:type="spellEnd"/>
      <w:r w:rsidRPr="00202373">
        <w:rPr>
          <w:rFonts w:asciiTheme="majorHAnsi" w:hAnsiTheme="majorHAnsi" w:cstheme="majorHAnsi"/>
          <w:color w:val="000000"/>
        </w:rPr>
        <w:t xml:space="preserve"> code is multilevel: the signals encode the letters that, in turn, form an acronym of a biblical verse containing God’s promise: “In every place where I cause My name to be mentioned I will come unto thee and bless thee” (Exodus 20:20). </w:t>
      </w:r>
    </w:p>
    <w:p w14:paraId="00000023" w14:textId="75119D29"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t xml:space="preserve">A mystical interpretation of the mallet knocks by preoccupation with the letters and their numerical values and linking their meaning to the Pentateuch imply the kabbalistic concepts of the ulterior dimensions of the creation and human activities, and of intemporal universalism of the divinely revealed Scripture. The evocation of divine presence to meet and bless the worshippers reveals a theurgical aspect of the </w:t>
      </w:r>
      <w:proofErr w:type="spellStart"/>
      <w:r w:rsidR="00FC704B">
        <w:rPr>
          <w:rFonts w:asciiTheme="majorHAnsi" w:hAnsiTheme="majorHAnsi" w:cstheme="majorHAnsi"/>
          <w:color w:val="000000"/>
        </w:rPr>
        <w:t>shulklapper</w:t>
      </w:r>
      <w:r w:rsidRPr="00202373">
        <w:rPr>
          <w:rFonts w:asciiTheme="majorHAnsi" w:hAnsiTheme="majorHAnsi" w:cstheme="majorHAnsi"/>
          <w:color w:val="000000"/>
        </w:rPr>
        <w:t>’s</w:t>
      </w:r>
      <w:proofErr w:type="spellEnd"/>
      <w:r w:rsidRPr="00202373">
        <w:rPr>
          <w:rFonts w:asciiTheme="majorHAnsi" w:hAnsiTheme="majorHAnsi" w:cstheme="majorHAnsi"/>
          <w:color w:val="000000"/>
        </w:rPr>
        <w:t xml:space="preserve"> encoded message.</w:t>
      </w:r>
      <w:r w:rsidRPr="00202373">
        <w:rPr>
          <w:rFonts w:asciiTheme="majorHAnsi" w:hAnsiTheme="majorHAnsi" w:cstheme="majorHAnsi"/>
          <w:color w:val="000000"/>
          <w:vertAlign w:val="superscript"/>
        </w:rPr>
        <w:footnoteReference w:id="70"/>
      </w:r>
      <w:r w:rsidRPr="00202373">
        <w:rPr>
          <w:rFonts w:asciiTheme="majorHAnsi" w:hAnsiTheme="majorHAnsi" w:cstheme="majorHAnsi"/>
          <w:color w:val="000000"/>
        </w:rPr>
        <w:t xml:space="preserve"> Israel </w:t>
      </w:r>
      <w:proofErr w:type="spellStart"/>
      <w:r w:rsidRPr="00202373">
        <w:rPr>
          <w:rFonts w:asciiTheme="majorHAnsi" w:hAnsiTheme="majorHAnsi" w:cstheme="majorHAnsi"/>
          <w:color w:val="000000"/>
        </w:rPr>
        <w:t>Isserlein’s</w:t>
      </w:r>
      <w:proofErr w:type="spellEnd"/>
      <w:r w:rsidRPr="00202373">
        <w:rPr>
          <w:rFonts w:asciiTheme="majorHAnsi" w:hAnsiTheme="majorHAnsi" w:cstheme="majorHAnsi"/>
          <w:color w:val="000000"/>
        </w:rPr>
        <w:t xml:space="preserve"> elucidation is rare evidence of esoteric interpretation of the </w:t>
      </w:r>
      <w:proofErr w:type="spellStart"/>
      <w:r w:rsidR="00FC704B">
        <w:rPr>
          <w:rFonts w:asciiTheme="majorHAnsi" w:hAnsiTheme="majorHAnsi" w:cstheme="majorHAnsi"/>
          <w:color w:val="000000"/>
        </w:rPr>
        <w:t>shulklapper</w:t>
      </w:r>
      <w:r w:rsidRPr="00202373">
        <w:rPr>
          <w:rFonts w:asciiTheme="majorHAnsi" w:hAnsiTheme="majorHAnsi" w:cstheme="majorHAnsi"/>
          <w:color w:val="000000"/>
        </w:rPr>
        <w:t>’s</w:t>
      </w:r>
      <w:proofErr w:type="spellEnd"/>
      <w:r w:rsidRPr="00202373">
        <w:rPr>
          <w:rFonts w:asciiTheme="majorHAnsi" w:hAnsiTheme="majorHAnsi" w:cstheme="majorHAnsi"/>
          <w:color w:val="000000"/>
        </w:rPr>
        <w:t xml:space="preserve"> mallet percussion. Along with its arcane meaning, the </w:t>
      </w:r>
      <w:proofErr w:type="spellStart"/>
      <w:r w:rsidR="00FC704B">
        <w:rPr>
          <w:rFonts w:asciiTheme="majorHAnsi" w:hAnsiTheme="majorHAnsi" w:cstheme="majorHAnsi"/>
          <w:color w:val="000000"/>
        </w:rPr>
        <w:t>shulklapper</w:t>
      </w:r>
      <w:r w:rsidRPr="00202373">
        <w:rPr>
          <w:rFonts w:asciiTheme="majorHAnsi" w:hAnsiTheme="majorHAnsi" w:cstheme="majorHAnsi"/>
          <w:color w:val="000000"/>
        </w:rPr>
        <w:t>’s</w:t>
      </w:r>
      <w:proofErr w:type="spellEnd"/>
      <w:r w:rsidRPr="00202373">
        <w:rPr>
          <w:rFonts w:asciiTheme="majorHAnsi" w:hAnsiTheme="majorHAnsi" w:cstheme="majorHAnsi"/>
          <w:color w:val="000000"/>
        </w:rPr>
        <w:t xml:space="preserve"> performance and concomitant oral </w:t>
      </w:r>
      <w:r w:rsidRPr="00202373">
        <w:rPr>
          <w:rFonts w:asciiTheme="majorHAnsi" w:hAnsiTheme="majorHAnsi" w:cstheme="majorHAnsi"/>
          <w:color w:val="000000"/>
        </w:rPr>
        <w:lastRenderedPageBreak/>
        <w:t xml:space="preserve">invocation connoted a wider homiletic sense: they encouraged the faithful to rush to godly worship. While the written sources provide inexplicit information on </w:t>
      </w:r>
      <w:proofErr w:type="spellStart"/>
      <w:r w:rsidR="00FC704B">
        <w:rPr>
          <w:rFonts w:asciiTheme="majorHAnsi" w:hAnsiTheme="majorHAnsi" w:cstheme="majorHAnsi"/>
          <w:color w:val="000000"/>
        </w:rPr>
        <w:t>shulklapper</w:t>
      </w:r>
      <w:r w:rsidRPr="00202373">
        <w:rPr>
          <w:rFonts w:asciiTheme="majorHAnsi" w:hAnsiTheme="majorHAnsi" w:cstheme="majorHAnsi"/>
          <w:color w:val="000000"/>
        </w:rPr>
        <w:t>’s</w:t>
      </w:r>
      <w:proofErr w:type="spellEnd"/>
      <w:r w:rsidRPr="00202373">
        <w:rPr>
          <w:rFonts w:asciiTheme="majorHAnsi" w:hAnsiTheme="majorHAnsi" w:cstheme="majorHAnsi"/>
          <w:color w:val="000000"/>
        </w:rPr>
        <w:t xml:space="preserve"> edificatory role, the homiletic aspect of his activity came to the fore in the design of post-medieval synagogue mallets. </w:t>
      </w:r>
    </w:p>
    <w:p w14:paraId="00000024" w14:textId="77777777" w:rsidR="009B4F5A" w:rsidRPr="00202373" w:rsidRDefault="000C3D14" w:rsidP="00943C0A">
      <w:pPr>
        <w:pStyle w:val="Heading2"/>
        <w:rPr>
          <w:rFonts w:asciiTheme="majorHAnsi" w:hAnsiTheme="majorHAnsi" w:cstheme="majorHAnsi"/>
        </w:rPr>
      </w:pPr>
      <w:r w:rsidRPr="00202373">
        <w:rPr>
          <w:rFonts w:asciiTheme="majorHAnsi" w:hAnsiTheme="majorHAnsi" w:cstheme="majorHAnsi"/>
        </w:rPr>
        <w:t xml:space="preserve">Sculpting the Voices </w:t>
      </w:r>
    </w:p>
    <w:p w14:paraId="00000025" w14:textId="29AFFE7F" w:rsidR="009B4F5A" w:rsidRPr="00202373" w:rsidRDefault="000C3D14" w:rsidP="00943C0A">
      <w:pPr>
        <w:spacing w:before="240" w:line="360" w:lineRule="auto"/>
        <w:rPr>
          <w:rFonts w:asciiTheme="majorHAnsi" w:hAnsiTheme="majorHAnsi" w:cstheme="majorHAnsi"/>
        </w:rPr>
      </w:pPr>
      <w:r w:rsidRPr="00202373">
        <w:rPr>
          <w:rFonts w:asciiTheme="majorHAnsi" w:hAnsiTheme="majorHAnsi" w:cstheme="majorHAnsi"/>
        </w:rPr>
        <w:t xml:space="preserve">Now let us focus on the shamash’s knocker. It’s early visual representation is a hammer that identifies the </w:t>
      </w:r>
      <w:proofErr w:type="spellStart"/>
      <w:r w:rsidR="00FC704B">
        <w:rPr>
          <w:rFonts w:asciiTheme="majorHAnsi" w:hAnsiTheme="majorHAnsi" w:cstheme="majorHAnsi"/>
        </w:rPr>
        <w:t>shulklapper</w:t>
      </w:r>
      <w:proofErr w:type="spellEnd"/>
      <w:r w:rsidRPr="00202373">
        <w:rPr>
          <w:rFonts w:asciiTheme="majorHAnsi" w:hAnsiTheme="majorHAnsi" w:cstheme="majorHAnsi"/>
        </w:rPr>
        <w:t xml:space="preserve"> among the small figures of Jewish community officers, which decorate the four corners of several German tower-like containers for spices that are smelt as part of the </w:t>
      </w:r>
      <w:proofErr w:type="spellStart"/>
      <w:r w:rsidRPr="00202373">
        <w:rPr>
          <w:rFonts w:asciiTheme="majorHAnsi" w:hAnsiTheme="majorHAnsi" w:cstheme="majorHAnsi"/>
          <w:i/>
        </w:rPr>
        <w:t>havdalah</w:t>
      </w:r>
      <w:proofErr w:type="spellEnd"/>
      <w:r w:rsidRPr="00202373">
        <w:rPr>
          <w:rFonts w:asciiTheme="majorHAnsi" w:hAnsiTheme="majorHAnsi" w:cstheme="majorHAnsi"/>
        </w:rPr>
        <w:t xml:space="preserve"> ceremony at the end of the Sabbath.</w:t>
      </w:r>
      <w:r w:rsidRPr="00202373">
        <w:rPr>
          <w:rFonts w:asciiTheme="majorHAnsi" w:hAnsiTheme="majorHAnsi" w:cstheme="majorHAnsi"/>
          <w:vertAlign w:val="superscript"/>
        </w:rPr>
        <w:footnoteReference w:id="71"/>
      </w:r>
      <w:r w:rsidRPr="00202373">
        <w:rPr>
          <w:rFonts w:asciiTheme="majorHAnsi" w:hAnsiTheme="majorHAnsi" w:cstheme="majorHAnsi"/>
        </w:rPr>
        <w:t xml:space="preserve"> Medieval rabbinical texts call the </w:t>
      </w:r>
      <w:proofErr w:type="spellStart"/>
      <w:r w:rsidR="00FC704B">
        <w:rPr>
          <w:rFonts w:asciiTheme="majorHAnsi" w:hAnsiTheme="majorHAnsi" w:cstheme="majorHAnsi"/>
        </w:rPr>
        <w:t>shulklapper</w:t>
      </w:r>
      <w:r w:rsidRPr="00202373">
        <w:rPr>
          <w:rFonts w:asciiTheme="majorHAnsi" w:hAnsiTheme="majorHAnsi" w:cstheme="majorHAnsi"/>
        </w:rPr>
        <w:t>’s</w:t>
      </w:r>
      <w:proofErr w:type="spellEnd"/>
      <w:r w:rsidRPr="00202373">
        <w:rPr>
          <w:rFonts w:asciiTheme="majorHAnsi" w:hAnsiTheme="majorHAnsi" w:cstheme="majorHAnsi"/>
        </w:rPr>
        <w:t xml:space="preserve"> instrument </w:t>
      </w:r>
      <w:proofErr w:type="spellStart"/>
      <w:r w:rsidRPr="00202373">
        <w:rPr>
          <w:rFonts w:asciiTheme="majorHAnsi" w:hAnsiTheme="majorHAnsi" w:cstheme="majorHAnsi"/>
          <w:rtl/>
        </w:rPr>
        <w:t>מכושא</w:t>
      </w:r>
      <w:proofErr w:type="spellEnd"/>
      <w:r w:rsidRPr="00202373">
        <w:rPr>
          <w:rFonts w:asciiTheme="majorHAnsi" w:hAnsiTheme="majorHAnsi" w:cstheme="majorHAnsi"/>
        </w:rPr>
        <w:t xml:space="preserve"> (</w:t>
      </w:r>
      <w:proofErr w:type="spellStart"/>
      <w:r w:rsidRPr="00202373">
        <w:rPr>
          <w:rFonts w:asciiTheme="majorHAnsi" w:hAnsiTheme="majorHAnsi" w:cstheme="majorHAnsi"/>
          <w:i/>
        </w:rPr>
        <w:t>makosha</w:t>
      </w:r>
      <w:proofErr w:type="spellEnd"/>
      <w:r w:rsidRPr="00202373">
        <w:rPr>
          <w:rFonts w:asciiTheme="majorHAnsi" w:hAnsiTheme="majorHAnsi" w:cstheme="majorHAnsi"/>
        </w:rPr>
        <w:t>, Aramaic: hammer),</w:t>
      </w:r>
      <w:r w:rsidRPr="00202373">
        <w:rPr>
          <w:rFonts w:asciiTheme="majorHAnsi" w:hAnsiTheme="majorHAnsi" w:cstheme="majorHAnsi"/>
          <w:vertAlign w:val="superscript"/>
        </w:rPr>
        <w:footnoteReference w:id="72"/>
      </w:r>
      <w:r w:rsidRPr="00202373">
        <w:rPr>
          <w:rFonts w:asciiTheme="majorHAnsi" w:hAnsiTheme="majorHAnsi" w:cstheme="majorHAnsi"/>
        </w:rPr>
        <w:t xml:space="preserve"> later Jewish sources mention a </w:t>
      </w:r>
      <w:r w:rsidRPr="00202373">
        <w:rPr>
          <w:rFonts w:asciiTheme="majorHAnsi" w:hAnsiTheme="majorHAnsi" w:cstheme="majorHAnsi"/>
          <w:rtl/>
        </w:rPr>
        <w:t>פטיש</w:t>
      </w:r>
      <w:r w:rsidRPr="00202373">
        <w:rPr>
          <w:rFonts w:asciiTheme="majorHAnsi" w:hAnsiTheme="majorHAnsi" w:cstheme="majorHAnsi"/>
        </w:rPr>
        <w:t xml:space="preserve"> or  </w:t>
      </w:r>
      <w:proofErr w:type="spellStart"/>
      <w:r w:rsidRPr="00202373">
        <w:rPr>
          <w:rFonts w:asciiTheme="majorHAnsi" w:hAnsiTheme="majorHAnsi" w:cstheme="majorHAnsi"/>
          <w:rtl/>
        </w:rPr>
        <w:t>האַמער</w:t>
      </w:r>
      <w:proofErr w:type="spellEnd"/>
      <w:r w:rsidR="00866183">
        <w:rPr>
          <w:rFonts w:asciiTheme="majorHAnsi" w:hAnsiTheme="majorHAnsi" w:cstheme="majorHAnsi"/>
        </w:rPr>
        <w:t xml:space="preserve"> </w:t>
      </w:r>
      <w:r w:rsidRPr="00202373">
        <w:rPr>
          <w:rFonts w:asciiTheme="majorHAnsi" w:hAnsiTheme="majorHAnsi" w:cstheme="majorHAnsi"/>
        </w:rPr>
        <w:t>(</w:t>
      </w:r>
      <w:proofErr w:type="spellStart"/>
      <w:r w:rsidRPr="00202373">
        <w:rPr>
          <w:rFonts w:asciiTheme="majorHAnsi" w:hAnsiTheme="majorHAnsi" w:cstheme="majorHAnsi"/>
          <w:i/>
        </w:rPr>
        <w:t>patish</w:t>
      </w:r>
      <w:proofErr w:type="spellEnd"/>
      <w:r w:rsidRPr="00202373">
        <w:rPr>
          <w:rFonts w:asciiTheme="majorHAnsi" w:hAnsiTheme="majorHAnsi" w:cstheme="majorHAnsi"/>
        </w:rPr>
        <w:t xml:space="preserve">, Hebrew, and </w:t>
      </w:r>
      <w:proofErr w:type="spellStart"/>
      <w:r w:rsidRPr="00202373">
        <w:rPr>
          <w:rFonts w:asciiTheme="majorHAnsi" w:hAnsiTheme="majorHAnsi" w:cstheme="majorHAnsi"/>
          <w:i/>
        </w:rPr>
        <w:t>hamer</w:t>
      </w:r>
      <w:proofErr w:type="spellEnd"/>
      <w:r w:rsidRPr="00202373">
        <w:rPr>
          <w:rFonts w:asciiTheme="majorHAnsi" w:hAnsiTheme="majorHAnsi" w:cstheme="majorHAnsi"/>
        </w:rPr>
        <w:t>, Yiddish: hammer)</w:t>
      </w:r>
      <w:r w:rsidR="00866183">
        <w:rPr>
          <w:rFonts w:asciiTheme="majorHAnsi" w:hAnsiTheme="majorHAnsi" w:cstheme="majorHAnsi"/>
        </w:rPr>
        <w:t xml:space="preserve"> and</w:t>
      </w:r>
      <w:r w:rsidRPr="00202373">
        <w:rPr>
          <w:rFonts w:asciiTheme="majorHAnsi" w:hAnsiTheme="majorHAnsi" w:cstheme="majorHAnsi"/>
        </w:rPr>
        <w:t xml:space="preserve"> </w:t>
      </w:r>
      <w:r w:rsidR="00866183" w:rsidRPr="00202373">
        <w:rPr>
          <w:rFonts w:asciiTheme="majorHAnsi" w:hAnsiTheme="majorHAnsi" w:cstheme="majorHAnsi"/>
          <w:rtl/>
        </w:rPr>
        <w:t xml:space="preserve">פטיש עץ </w:t>
      </w:r>
      <w:r w:rsidR="00866183">
        <w:rPr>
          <w:rFonts w:asciiTheme="majorHAnsi" w:hAnsiTheme="majorHAnsi" w:cstheme="majorHAnsi"/>
        </w:rPr>
        <w:t xml:space="preserve"> or</w:t>
      </w:r>
      <w:r w:rsidRPr="00202373">
        <w:rPr>
          <w:rFonts w:asciiTheme="majorHAnsi" w:hAnsiTheme="majorHAnsi" w:cstheme="majorHAnsi"/>
        </w:rPr>
        <w:t xml:space="preserve"> </w:t>
      </w:r>
      <w:proofErr w:type="spellStart"/>
      <w:r w:rsidRPr="00202373">
        <w:rPr>
          <w:rFonts w:asciiTheme="majorHAnsi" w:hAnsiTheme="majorHAnsi" w:cstheme="majorHAnsi"/>
          <w:rtl/>
        </w:rPr>
        <w:t>האָלצערנע</w:t>
      </w:r>
      <w:proofErr w:type="spellEnd"/>
      <w:r w:rsidRPr="00202373">
        <w:rPr>
          <w:rFonts w:asciiTheme="majorHAnsi" w:hAnsiTheme="majorHAnsi" w:cstheme="majorHAnsi"/>
          <w:rtl/>
        </w:rPr>
        <w:t xml:space="preserve"> </w:t>
      </w:r>
      <w:proofErr w:type="spellStart"/>
      <w:r w:rsidRPr="00202373">
        <w:rPr>
          <w:rFonts w:asciiTheme="majorHAnsi" w:hAnsiTheme="majorHAnsi" w:cstheme="majorHAnsi"/>
          <w:rtl/>
        </w:rPr>
        <w:t>האַמער</w:t>
      </w:r>
      <w:proofErr w:type="spellEnd"/>
      <w:r w:rsidRPr="00202373">
        <w:rPr>
          <w:rFonts w:asciiTheme="majorHAnsi" w:hAnsiTheme="majorHAnsi" w:cstheme="majorHAnsi"/>
        </w:rPr>
        <w:t xml:space="preserve"> (Hebrew </w:t>
      </w:r>
      <w:proofErr w:type="spellStart"/>
      <w:r w:rsidRPr="00202373">
        <w:rPr>
          <w:rFonts w:asciiTheme="majorHAnsi" w:hAnsiTheme="majorHAnsi" w:cstheme="majorHAnsi"/>
          <w:i/>
        </w:rPr>
        <w:t>patish</w:t>
      </w:r>
      <w:proofErr w:type="spellEnd"/>
      <w:r w:rsidRPr="00202373">
        <w:rPr>
          <w:rFonts w:asciiTheme="majorHAnsi" w:hAnsiTheme="majorHAnsi" w:cstheme="majorHAnsi"/>
          <w:i/>
        </w:rPr>
        <w:t xml:space="preserve"> </w:t>
      </w:r>
      <w:proofErr w:type="spellStart"/>
      <w:r w:rsidRPr="00202373">
        <w:rPr>
          <w:rFonts w:asciiTheme="majorHAnsi" w:hAnsiTheme="majorHAnsi" w:cstheme="majorHAnsi"/>
          <w:i/>
        </w:rPr>
        <w:t>eẓ</w:t>
      </w:r>
      <w:proofErr w:type="spellEnd"/>
      <w:r w:rsidRPr="00202373">
        <w:rPr>
          <w:rFonts w:asciiTheme="majorHAnsi" w:hAnsiTheme="majorHAnsi" w:cstheme="majorHAnsi"/>
        </w:rPr>
        <w:t xml:space="preserve"> and Yiddish </w:t>
      </w:r>
      <w:proofErr w:type="spellStart"/>
      <w:r w:rsidRPr="00202373">
        <w:rPr>
          <w:rFonts w:asciiTheme="majorHAnsi" w:hAnsiTheme="majorHAnsi" w:cstheme="majorHAnsi"/>
          <w:i/>
        </w:rPr>
        <w:t>holẓerne</w:t>
      </w:r>
      <w:proofErr w:type="spellEnd"/>
      <w:r w:rsidRPr="00202373">
        <w:rPr>
          <w:rFonts w:asciiTheme="majorHAnsi" w:hAnsiTheme="majorHAnsi" w:cstheme="majorHAnsi"/>
          <w:i/>
        </w:rPr>
        <w:t xml:space="preserve"> </w:t>
      </w:r>
      <w:proofErr w:type="spellStart"/>
      <w:r w:rsidRPr="00202373">
        <w:rPr>
          <w:rFonts w:asciiTheme="majorHAnsi" w:hAnsiTheme="majorHAnsi" w:cstheme="majorHAnsi"/>
          <w:i/>
        </w:rPr>
        <w:t>hamer</w:t>
      </w:r>
      <w:proofErr w:type="spellEnd"/>
      <w:r w:rsidRPr="00202373">
        <w:rPr>
          <w:rFonts w:asciiTheme="majorHAnsi" w:hAnsiTheme="majorHAnsi" w:cstheme="majorHAnsi"/>
        </w:rPr>
        <w:t xml:space="preserve">, literally, wooden hammer; i.e., mallet), and with a diminutive ending, </w:t>
      </w:r>
      <w:proofErr w:type="spellStart"/>
      <w:r w:rsidRPr="00202373">
        <w:rPr>
          <w:rFonts w:asciiTheme="majorHAnsi" w:hAnsiTheme="majorHAnsi" w:cstheme="majorHAnsi"/>
          <w:rtl/>
        </w:rPr>
        <w:t>הילצערן</w:t>
      </w:r>
      <w:proofErr w:type="spellEnd"/>
      <w:r w:rsidRPr="00202373">
        <w:rPr>
          <w:rFonts w:asciiTheme="majorHAnsi" w:hAnsiTheme="majorHAnsi" w:cstheme="majorHAnsi"/>
          <w:rtl/>
        </w:rPr>
        <w:t xml:space="preserve"> </w:t>
      </w:r>
      <w:proofErr w:type="spellStart"/>
      <w:r w:rsidRPr="00202373">
        <w:rPr>
          <w:rFonts w:asciiTheme="majorHAnsi" w:hAnsiTheme="majorHAnsi" w:cstheme="majorHAnsi"/>
          <w:rtl/>
        </w:rPr>
        <w:t>העמערל</w:t>
      </w:r>
      <w:proofErr w:type="spellEnd"/>
      <w:r w:rsidRPr="00202373">
        <w:rPr>
          <w:rFonts w:asciiTheme="majorHAnsi" w:hAnsiTheme="majorHAnsi" w:cstheme="majorHAnsi"/>
        </w:rPr>
        <w:t xml:space="preserve"> (Yiddish </w:t>
      </w:r>
      <w:proofErr w:type="spellStart"/>
      <w:r w:rsidRPr="00202373">
        <w:rPr>
          <w:rFonts w:asciiTheme="majorHAnsi" w:hAnsiTheme="majorHAnsi" w:cstheme="majorHAnsi"/>
          <w:i/>
        </w:rPr>
        <w:t>hilẓerne</w:t>
      </w:r>
      <w:proofErr w:type="spellEnd"/>
      <w:r w:rsidRPr="00202373">
        <w:rPr>
          <w:rFonts w:asciiTheme="majorHAnsi" w:hAnsiTheme="majorHAnsi" w:cstheme="majorHAnsi"/>
          <w:i/>
        </w:rPr>
        <w:t xml:space="preserve"> </w:t>
      </w:r>
      <w:proofErr w:type="spellStart"/>
      <w:r w:rsidRPr="00202373">
        <w:rPr>
          <w:rFonts w:asciiTheme="majorHAnsi" w:hAnsiTheme="majorHAnsi" w:cstheme="majorHAnsi"/>
          <w:i/>
        </w:rPr>
        <w:t>hemerl</w:t>
      </w:r>
      <w:proofErr w:type="spellEnd"/>
      <w:r w:rsidRPr="00202373">
        <w:rPr>
          <w:rFonts w:asciiTheme="majorHAnsi" w:hAnsiTheme="majorHAnsi" w:cstheme="majorHAnsi"/>
        </w:rPr>
        <w:t>, literally, “a small wooden hammer”).</w:t>
      </w:r>
      <w:r w:rsidRPr="00202373">
        <w:rPr>
          <w:rFonts w:asciiTheme="majorHAnsi" w:hAnsiTheme="majorHAnsi" w:cstheme="majorHAnsi"/>
          <w:vertAlign w:val="superscript"/>
        </w:rPr>
        <w:footnoteReference w:id="73"/>
      </w:r>
      <w:r w:rsidRPr="00202373">
        <w:rPr>
          <w:rFonts w:asciiTheme="majorHAnsi" w:hAnsiTheme="majorHAnsi" w:cstheme="majorHAnsi"/>
        </w:rPr>
        <w:t xml:space="preserve"> Hardwood mallets could be well resonant for issuing reverberant sounds and durable enough for long-time use. In some places they used a metal hammer such as that seen in a hand of </w:t>
      </w:r>
      <w:proofErr w:type="spellStart"/>
      <w:r w:rsidRPr="00202373">
        <w:rPr>
          <w:rFonts w:asciiTheme="majorHAnsi" w:hAnsiTheme="majorHAnsi" w:cstheme="majorHAnsi"/>
        </w:rPr>
        <w:t>Ezrielke</w:t>
      </w:r>
      <w:proofErr w:type="spellEnd"/>
      <w:r w:rsidRPr="00202373">
        <w:rPr>
          <w:rFonts w:asciiTheme="majorHAnsi" w:hAnsiTheme="majorHAnsi" w:cstheme="majorHAnsi"/>
        </w:rPr>
        <w:t xml:space="preserve"> the shamash from </w:t>
      </w:r>
      <w:proofErr w:type="spellStart"/>
      <w:r w:rsidRPr="00202373">
        <w:rPr>
          <w:rFonts w:asciiTheme="majorHAnsi" w:hAnsiTheme="majorHAnsi" w:cstheme="majorHAnsi"/>
        </w:rPr>
        <w:t>Biała</w:t>
      </w:r>
      <w:proofErr w:type="spellEnd"/>
      <w:r w:rsidRPr="00202373">
        <w:rPr>
          <w:rFonts w:asciiTheme="majorHAnsi" w:hAnsiTheme="majorHAnsi" w:cstheme="majorHAnsi"/>
        </w:rPr>
        <w:t xml:space="preserve"> </w:t>
      </w:r>
      <w:proofErr w:type="spellStart"/>
      <w:r w:rsidRPr="00202373">
        <w:rPr>
          <w:rFonts w:asciiTheme="majorHAnsi" w:hAnsiTheme="majorHAnsi" w:cstheme="majorHAnsi"/>
        </w:rPr>
        <w:t>Podlaska</w:t>
      </w:r>
      <w:proofErr w:type="spellEnd"/>
      <w:r w:rsidRPr="00202373">
        <w:rPr>
          <w:rFonts w:asciiTheme="majorHAnsi" w:hAnsiTheme="majorHAnsi" w:cstheme="majorHAnsi"/>
        </w:rPr>
        <w:t xml:space="preserve"> </w:t>
      </w:r>
      <w:r w:rsidR="002946E6">
        <w:rPr>
          <w:rFonts w:asciiTheme="majorHAnsi" w:hAnsiTheme="majorHAnsi" w:cstheme="majorHAnsi"/>
        </w:rPr>
        <w:t>#</w:t>
      </w:r>
      <w:r w:rsidRPr="00202373">
        <w:rPr>
          <w:rFonts w:asciiTheme="majorHAnsi" w:hAnsiTheme="majorHAnsi" w:cstheme="majorHAnsi"/>
        </w:rPr>
        <w:t xml:space="preserve">. </w:t>
      </w:r>
    </w:p>
    <w:p w14:paraId="00000026" w14:textId="59FEB4BA"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bookmarkStart w:id="33" w:name="_4d34og8" w:colFirst="0" w:colLast="0"/>
      <w:bookmarkEnd w:id="33"/>
      <w:r w:rsidRPr="00202373">
        <w:rPr>
          <w:rFonts w:asciiTheme="majorHAnsi" w:hAnsiTheme="majorHAnsi" w:cstheme="majorHAnsi"/>
          <w:color w:val="000000"/>
        </w:rPr>
        <w:t xml:space="preserve">When the </w:t>
      </w:r>
      <w:proofErr w:type="spellStart"/>
      <w:r w:rsidR="00FC704B">
        <w:rPr>
          <w:rFonts w:asciiTheme="majorHAnsi" w:hAnsiTheme="majorHAnsi" w:cstheme="majorHAnsi"/>
          <w:color w:val="000000"/>
        </w:rPr>
        <w:t>shulklapper</w:t>
      </w:r>
      <w:r w:rsidRPr="00202373">
        <w:rPr>
          <w:rFonts w:asciiTheme="majorHAnsi" w:hAnsiTheme="majorHAnsi" w:cstheme="majorHAnsi"/>
          <w:color w:val="000000"/>
        </w:rPr>
        <w:t>’s</w:t>
      </w:r>
      <w:proofErr w:type="spellEnd"/>
      <w:r w:rsidRPr="00202373">
        <w:rPr>
          <w:rFonts w:asciiTheme="majorHAnsi" w:hAnsiTheme="majorHAnsi" w:cstheme="majorHAnsi"/>
          <w:color w:val="000000"/>
        </w:rPr>
        <w:t xml:space="preserve"> mallet or hammer looks like an ordinary craftsman’s instrument, only auxiliary information or a proper context can help us to identify its ritual function. For example, personal memories of a family originated from </w:t>
      </w:r>
      <w:proofErr w:type="spellStart"/>
      <w:r w:rsidRPr="00202373">
        <w:rPr>
          <w:rFonts w:asciiTheme="majorHAnsi" w:hAnsiTheme="majorHAnsi" w:cstheme="majorHAnsi"/>
          <w:color w:val="000000"/>
        </w:rPr>
        <w:t>Mattersdorf</w:t>
      </w:r>
      <w:proofErr w:type="spellEnd"/>
      <w:r w:rsidRPr="00202373">
        <w:rPr>
          <w:rFonts w:asciiTheme="majorHAnsi" w:hAnsiTheme="majorHAnsi" w:cstheme="majorHAnsi"/>
          <w:color w:val="000000"/>
        </w:rPr>
        <w:t xml:space="preserve">, Austria, maintain an unadorned wooden mallet they keep in their home in Tel Aviv as a relic that was </w:t>
      </w:r>
      <w:r w:rsidRPr="00202373">
        <w:rPr>
          <w:rFonts w:asciiTheme="majorHAnsi" w:hAnsiTheme="majorHAnsi" w:cstheme="majorHAnsi"/>
          <w:color w:val="000000"/>
        </w:rPr>
        <w:lastRenderedPageBreak/>
        <w:t xml:space="preserve">used by the </w:t>
      </w:r>
      <w:proofErr w:type="spellStart"/>
      <w:r w:rsidR="00FC704B">
        <w:rPr>
          <w:rFonts w:asciiTheme="majorHAnsi" w:hAnsiTheme="majorHAnsi" w:cstheme="majorHAnsi"/>
          <w:color w:val="000000"/>
        </w:rPr>
        <w:t>shulklapper</w:t>
      </w:r>
      <w:proofErr w:type="spellEnd"/>
      <w:r w:rsidRPr="00202373">
        <w:rPr>
          <w:rFonts w:asciiTheme="majorHAnsi" w:hAnsiTheme="majorHAnsi" w:cstheme="majorHAnsi"/>
          <w:color w:val="000000"/>
        </w:rPr>
        <w:t xml:space="preserve"> in their native community.</w:t>
      </w:r>
      <w:r w:rsidRPr="00202373">
        <w:rPr>
          <w:rFonts w:asciiTheme="majorHAnsi" w:hAnsiTheme="majorHAnsi" w:cstheme="majorHAnsi"/>
          <w:color w:val="000000"/>
          <w:vertAlign w:val="superscript"/>
        </w:rPr>
        <w:footnoteReference w:id="74"/>
      </w:r>
      <w:r w:rsidRPr="00202373">
        <w:rPr>
          <w:rFonts w:asciiTheme="majorHAnsi" w:hAnsiTheme="majorHAnsi" w:cstheme="majorHAnsi"/>
          <w:color w:val="000000"/>
        </w:rPr>
        <w:t xml:space="preserve"> </w:t>
      </w:r>
      <w:r w:rsidR="004B519D">
        <w:rPr>
          <w:rFonts w:asciiTheme="majorHAnsi" w:hAnsiTheme="majorHAnsi" w:cstheme="majorHAnsi"/>
          <w:color w:val="000000"/>
        </w:rPr>
        <w:t xml:space="preserve">The provenance of an unadorned wooden mallet from the collection of synagogue items looted by Nazis from synagogues in Lublin area make possible its attribution as a </w:t>
      </w:r>
      <w:proofErr w:type="spellStart"/>
      <w:r w:rsidR="004B519D">
        <w:rPr>
          <w:rFonts w:asciiTheme="majorHAnsi" w:hAnsiTheme="majorHAnsi" w:cstheme="majorHAnsi"/>
          <w:color w:val="000000"/>
        </w:rPr>
        <w:t>shulklapper’s</w:t>
      </w:r>
      <w:proofErr w:type="spellEnd"/>
      <w:r w:rsidR="004B519D">
        <w:rPr>
          <w:rFonts w:asciiTheme="majorHAnsi" w:hAnsiTheme="majorHAnsi" w:cstheme="majorHAnsi"/>
          <w:color w:val="000000"/>
        </w:rPr>
        <w:t xml:space="preserve"> tool.</w:t>
      </w:r>
      <w:r w:rsidR="004B519D">
        <w:rPr>
          <w:rStyle w:val="FootnoteReference"/>
          <w:rFonts w:asciiTheme="majorHAnsi" w:hAnsiTheme="majorHAnsi" w:cstheme="majorHAnsi"/>
          <w:color w:val="000000"/>
        </w:rPr>
        <w:footnoteReference w:id="75"/>
      </w:r>
      <w:r w:rsidR="004B519D">
        <w:rPr>
          <w:rFonts w:asciiTheme="majorHAnsi" w:hAnsiTheme="majorHAnsi" w:cstheme="majorHAnsi"/>
          <w:color w:val="000000"/>
        </w:rPr>
        <w:t xml:space="preserve"> </w:t>
      </w:r>
      <w:r w:rsidRPr="00202373">
        <w:rPr>
          <w:rFonts w:asciiTheme="majorHAnsi" w:hAnsiTheme="majorHAnsi" w:cstheme="majorHAnsi"/>
          <w:color w:val="000000"/>
        </w:rPr>
        <w:t>The epigraph praising Michael-</w:t>
      </w:r>
      <w:proofErr w:type="spellStart"/>
      <w:r w:rsidRPr="00202373">
        <w:rPr>
          <w:rFonts w:asciiTheme="majorHAnsi" w:hAnsiTheme="majorHAnsi" w:cstheme="majorHAnsi"/>
          <w:color w:val="000000"/>
        </w:rPr>
        <w:t>Lezer</w:t>
      </w:r>
      <w:proofErr w:type="spellEnd"/>
      <w:r w:rsidRPr="00202373">
        <w:rPr>
          <w:rFonts w:asciiTheme="majorHAnsi" w:hAnsiTheme="majorHAnsi" w:cstheme="majorHAnsi"/>
          <w:color w:val="000000"/>
        </w:rPr>
        <w:t xml:space="preserve"> Bauer of </w:t>
      </w:r>
      <w:proofErr w:type="spellStart"/>
      <w:r w:rsidRPr="00202373">
        <w:rPr>
          <w:rFonts w:asciiTheme="majorHAnsi" w:hAnsiTheme="majorHAnsi" w:cstheme="majorHAnsi"/>
          <w:color w:val="000000"/>
        </w:rPr>
        <w:t>Kobersdorf</w:t>
      </w:r>
      <w:proofErr w:type="spellEnd"/>
      <w:r w:rsidRPr="00202373">
        <w:rPr>
          <w:rFonts w:asciiTheme="majorHAnsi" w:hAnsiTheme="majorHAnsi" w:cstheme="majorHAnsi"/>
          <w:color w:val="000000"/>
        </w:rPr>
        <w:t xml:space="preserve"> (died 1898) for his lifelong mission “to awake up each man for prayer” suggests that an image of a wooden mallet on his tombstone is his synagogue knocker </w:t>
      </w:r>
      <w:r w:rsidR="002946E6">
        <w:rPr>
          <w:rFonts w:asciiTheme="majorHAnsi" w:hAnsiTheme="majorHAnsi" w:cstheme="majorHAnsi"/>
          <w:color w:val="000000"/>
        </w:rPr>
        <w:t>#</w:t>
      </w:r>
      <w:r w:rsidRPr="00202373">
        <w:rPr>
          <w:rFonts w:asciiTheme="majorHAnsi" w:hAnsiTheme="majorHAnsi" w:cstheme="majorHAnsi"/>
          <w:color w:val="000000"/>
        </w:rPr>
        <w:t>.</w:t>
      </w:r>
      <w:r w:rsidRPr="00202373">
        <w:rPr>
          <w:rFonts w:asciiTheme="majorHAnsi" w:hAnsiTheme="majorHAnsi" w:cstheme="majorHAnsi"/>
          <w:color w:val="000000"/>
          <w:vertAlign w:val="superscript"/>
        </w:rPr>
        <w:footnoteReference w:id="76"/>
      </w:r>
      <w:r w:rsidRPr="00202373">
        <w:rPr>
          <w:rFonts w:asciiTheme="majorHAnsi" w:hAnsiTheme="majorHAnsi" w:cstheme="majorHAnsi"/>
          <w:color w:val="000000"/>
        </w:rPr>
        <w:t xml:space="preserve"> </w:t>
      </w:r>
    </w:p>
    <w:p w14:paraId="00000027" w14:textId="5D505EB3"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t xml:space="preserve">Note that the textual sources about synagogue </w:t>
      </w:r>
      <w:proofErr w:type="spellStart"/>
      <w:r w:rsidRPr="00202373">
        <w:rPr>
          <w:rFonts w:asciiTheme="majorHAnsi" w:hAnsiTheme="majorHAnsi" w:cstheme="majorHAnsi"/>
          <w:i/>
          <w:color w:val="000000"/>
        </w:rPr>
        <w:t>patishim</w:t>
      </w:r>
      <w:proofErr w:type="spellEnd"/>
      <w:r w:rsidRPr="00202373">
        <w:rPr>
          <w:rFonts w:asciiTheme="majorHAnsi" w:hAnsiTheme="majorHAnsi" w:cstheme="majorHAnsi"/>
          <w:color w:val="000000"/>
        </w:rPr>
        <w:t xml:space="preserve"> or </w:t>
      </w:r>
      <w:proofErr w:type="spellStart"/>
      <w:r w:rsidRPr="00202373">
        <w:rPr>
          <w:rFonts w:asciiTheme="majorHAnsi" w:hAnsiTheme="majorHAnsi" w:cstheme="majorHAnsi"/>
          <w:i/>
          <w:color w:val="000000"/>
        </w:rPr>
        <w:t>hamers</w:t>
      </w:r>
      <w:proofErr w:type="spellEnd"/>
      <w:r w:rsidRPr="00202373">
        <w:rPr>
          <w:rFonts w:asciiTheme="majorHAnsi" w:hAnsiTheme="majorHAnsi" w:cstheme="majorHAnsi"/>
          <w:color w:val="000000"/>
        </w:rPr>
        <w:t xml:space="preserve"> remain inattentive to their form and design. A unique German description of a synagogue hammer’s appearance </w:t>
      </w:r>
      <w:r w:rsidR="009469CB">
        <w:rPr>
          <w:rFonts w:asciiTheme="majorHAnsi" w:hAnsiTheme="majorHAnsi" w:cstheme="majorHAnsi"/>
          <w:color w:val="000000"/>
        </w:rPr>
        <w:t>as</w:t>
      </w:r>
      <w:r w:rsidRPr="00202373">
        <w:rPr>
          <w:rFonts w:asciiTheme="majorHAnsi" w:hAnsiTheme="majorHAnsi" w:cstheme="majorHAnsi"/>
          <w:color w:val="000000"/>
        </w:rPr>
        <w:t xml:space="preserve"> </w:t>
      </w:r>
      <w:r w:rsidR="009469CB">
        <w:rPr>
          <w:rFonts w:asciiTheme="majorHAnsi" w:hAnsiTheme="majorHAnsi" w:cstheme="majorHAnsi"/>
          <w:color w:val="000000"/>
        </w:rPr>
        <w:t>“</w:t>
      </w:r>
      <w:r w:rsidRPr="00202373">
        <w:rPr>
          <w:rFonts w:asciiTheme="majorHAnsi" w:hAnsiTheme="majorHAnsi" w:cstheme="majorHAnsi"/>
          <w:color w:val="000000"/>
        </w:rPr>
        <w:t>richly decorated” does not specify what the hammer looks like.</w:t>
      </w:r>
      <w:r w:rsidRPr="00202373">
        <w:rPr>
          <w:rFonts w:asciiTheme="majorHAnsi" w:hAnsiTheme="majorHAnsi" w:cstheme="majorHAnsi"/>
          <w:color w:val="000000"/>
          <w:vertAlign w:val="superscript"/>
        </w:rPr>
        <w:footnoteReference w:id="77"/>
      </w:r>
      <w:r w:rsidRPr="00202373">
        <w:rPr>
          <w:rFonts w:asciiTheme="majorHAnsi" w:hAnsiTheme="majorHAnsi" w:cstheme="majorHAnsi"/>
          <w:color w:val="000000"/>
        </w:rPr>
        <w:t xml:space="preserve"> </w:t>
      </w:r>
    </w:p>
    <w:p w14:paraId="00000028" w14:textId="4DA6647F"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t xml:space="preserve">Although scanty, the visual and material evidence testifies that the form of knockers was not limited to standard hammers or simple beaters as that Mayer </w:t>
      </w:r>
      <w:proofErr w:type="spellStart"/>
      <w:r w:rsidRPr="00202373">
        <w:rPr>
          <w:rFonts w:asciiTheme="majorHAnsi" w:hAnsiTheme="majorHAnsi" w:cstheme="majorHAnsi"/>
          <w:color w:val="000000"/>
        </w:rPr>
        <w:t>Kirshenblatt</w:t>
      </w:r>
      <w:proofErr w:type="spellEnd"/>
      <w:r w:rsidRPr="00202373">
        <w:rPr>
          <w:rFonts w:asciiTheme="majorHAnsi" w:hAnsiTheme="majorHAnsi" w:cstheme="majorHAnsi"/>
          <w:color w:val="000000"/>
        </w:rPr>
        <w:t xml:space="preserve"> gave in his painting to a </w:t>
      </w:r>
      <w:proofErr w:type="spellStart"/>
      <w:r w:rsidR="00FC704B">
        <w:rPr>
          <w:rFonts w:asciiTheme="majorHAnsi" w:hAnsiTheme="majorHAnsi" w:cstheme="majorHAnsi"/>
          <w:color w:val="000000"/>
        </w:rPr>
        <w:t>shulklapper</w:t>
      </w:r>
      <w:proofErr w:type="spellEnd"/>
      <w:r w:rsidRPr="00202373">
        <w:rPr>
          <w:rFonts w:asciiTheme="majorHAnsi" w:hAnsiTheme="majorHAnsi" w:cstheme="majorHAnsi"/>
          <w:color w:val="000000"/>
        </w:rPr>
        <w:t xml:space="preserve"> </w:t>
      </w:r>
      <w:r w:rsidR="002946E6">
        <w:rPr>
          <w:rFonts w:asciiTheme="majorHAnsi" w:hAnsiTheme="majorHAnsi" w:cstheme="majorHAnsi"/>
          <w:color w:val="000000"/>
        </w:rPr>
        <w:t>#</w:t>
      </w:r>
      <w:r w:rsidRPr="00202373">
        <w:rPr>
          <w:rFonts w:asciiTheme="majorHAnsi" w:hAnsiTheme="majorHAnsi" w:cstheme="majorHAnsi"/>
          <w:color w:val="000000"/>
        </w:rPr>
        <w:t xml:space="preserve">. Efforts were invested into designing more ergonomic and symbolically charged tools, an example of which is a wooden beater with a turned handle and round knocking head </w:t>
      </w:r>
      <w:r w:rsidR="002946E6">
        <w:rPr>
          <w:rFonts w:asciiTheme="majorHAnsi" w:hAnsiTheme="majorHAnsi" w:cstheme="majorHAnsi"/>
          <w:color w:val="000000"/>
        </w:rPr>
        <w:t>#</w:t>
      </w:r>
      <w:r w:rsidRPr="00202373">
        <w:rPr>
          <w:rFonts w:asciiTheme="majorHAnsi" w:hAnsiTheme="majorHAnsi" w:cstheme="majorHAnsi"/>
          <w:color w:val="000000"/>
        </w:rPr>
        <w:t xml:space="preserve">. The Hebrew inscription on the knob – </w:t>
      </w:r>
      <w:r w:rsidRPr="00202373">
        <w:rPr>
          <w:rFonts w:asciiTheme="majorHAnsi" w:hAnsiTheme="majorHAnsi" w:cstheme="majorHAnsi"/>
          <w:color w:val="000000"/>
          <w:rtl/>
        </w:rPr>
        <w:t xml:space="preserve">עורו </w:t>
      </w:r>
      <w:r w:rsidR="006D5EE9">
        <w:rPr>
          <w:rFonts w:asciiTheme="majorHAnsi" w:hAnsiTheme="majorHAnsi" w:cstheme="majorHAnsi" w:hint="cs"/>
          <w:color w:val="000000"/>
          <w:rtl/>
        </w:rPr>
        <w:t>/</w:t>
      </w:r>
      <w:r w:rsidRPr="00202373">
        <w:rPr>
          <w:rFonts w:asciiTheme="majorHAnsi" w:hAnsiTheme="majorHAnsi" w:cstheme="majorHAnsi"/>
          <w:color w:val="000000"/>
          <w:rtl/>
        </w:rPr>
        <w:t>/ קומו</w:t>
      </w:r>
      <w:r w:rsidRPr="00202373">
        <w:rPr>
          <w:rFonts w:asciiTheme="majorHAnsi" w:hAnsiTheme="majorHAnsi" w:cstheme="majorHAnsi"/>
          <w:color w:val="000000"/>
        </w:rPr>
        <w:t xml:space="preserve"> (</w:t>
      </w:r>
      <w:proofErr w:type="spellStart"/>
      <w:r w:rsidRPr="00202373">
        <w:rPr>
          <w:rFonts w:asciiTheme="majorHAnsi" w:hAnsiTheme="majorHAnsi" w:cstheme="majorHAnsi"/>
          <w:i/>
          <w:color w:val="000000"/>
        </w:rPr>
        <w:t>uru</w:t>
      </w:r>
      <w:proofErr w:type="spellEnd"/>
      <w:r w:rsidRPr="00202373">
        <w:rPr>
          <w:rFonts w:asciiTheme="majorHAnsi" w:hAnsiTheme="majorHAnsi" w:cstheme="majorHAnsi"/>
          <w:color w:val="000000"/>
        </w:rPr>
        <w:t xml:space="preserve"> </w:t>
      </w:r>
      <w:r w:rsidR="006D5EE9">
        <w:rPr>
          <w:rFonts w:asciiTheme="majorHAnsi" w:hAnsiTheme="majorHAnsi" w:cstheme="majorHAnsi"/>
          <w:color w:val="000000"/>
        </w:rPr>
        <w:t>/</w:t>
      </w:r>
      <w:r w:rsidRPr="00202373">
        <w:rPr>
          <w:rFonts w:asciiTheme="majorHAnsi" w:hAnsiTheme="majorHAnsi" w:cstheme="majorHAnsi"/>
          <w:color w:val="000000"/>
        </w:rPr>
        <w:t xml:space="preserve">/ </w:t>
      </w:r>
      <w:r w:rsidRPr="00202373">
        <w:rPr>
          <w:rFonts w:asciiTheme="majorHAnsi" w:hAnsiTheme="majorHAnsi" w:cstheme="majorHAnsi"/>
          <w:i/>
          <w:color w:val="000000"/>
        </w:rPr>
        <w:t>kumu</w:t>
      </w:r>
      <w:r w:rsidRPr="00202373">
        <w:rPr>
          <w:rFonts w:asciiTheme="majorHAnsi" w:hAnsiTheme="majorHAnsi" w:cstheme="majorHAnsi"/>
          <w:color w:val="000000"/>
        </w:rPr>
        <w:t xml:space="preserve">: wake up </w:t>
      </w:r>
      <w:r w:rsidR="006D5EE9">
        <w:rPr>
          <w:rFonts w:asciiTheme="majorHAnsi" w:hAnsiTheme="majorHAnsi" w:cstheme="majorHAnsi"/>
          <w:color w:val="000000"/>
        </w:rPr>
        <w:t>/</w:t>
      </w:r>
      <w:r w:rsidRPr="00202373">
        <w:rPr>
          <w:rFonts w:asciiTheme="majorHAnsi" w:hAnsiTheme="majorHAnsi" w:cstheme="majorHAnsi"/>
          <w:color w:val="000000"/>
        </w:rPr>
        <w:t xml:space="preserve">/ arise) – quotes the beginning of </w:t>
      </w:r>
      <w:proofErr w:type="spellStart"/>
      <w:r w:rsidR="00FC704B">
        <w:rPr>
          <w:rFonts w:asciiTheme="majorHAnsi" w:hAnsiTheme="majorHAnsi" w:cstheme="majorHAnsi"/>
          <w:color w:val="000000"/>
        </w:rPr>
        <w:t>shulklapper</w:t>
      </w:r>
      <w:r w:rsidRPr="00202373">
        <w:rPr>
          <w:rFonts w:asciiTheme="majorHAnsi" w:hAnsiTheme="majorHAnsi" w:cstheme="majorHAnsi"/>
          <w:color w:val="000000"/>
        </w:rPr>
        <w:t>’s</w:t>
      </w:r>
      <w:proofErr w:type="spellEnd"/>
      <w:r w:rsidRPr="00202373">
        <w:rPr>
          <w:rFonts w:asciiTheme="majorHAnsi" w:hAnsiTheme="majorHAnsi" w:cstheme="majorHAnsi"/>
          <w:color w:val="000000"/>
        </w:rPr>
        <w:t xml:space="preserve"> call, “Wake up for the service of the Creator”.</w:t>
      </w:r>
      <w:r w:rsidRPr="00202373">
        <w:rPr>
          <w:rFonts w:asciiTheme="majorHAnsi" w:hAnsiTheme="majorHAnsi" w:cstheme="majorHAnsi"/>
          <w:color w:val="000000"/>
          <w:vertAlign w:val="superscript"/>
        </w:rPr>
        <w:footnoteReference w:id="78"/>
      </w:r>
      <w:r w:rsidRPr="00202373">
        <w:rPr>
          <w:rFonts w:asciiTheme="majorHAnsi" w:hAnsiTheme="majorHAnsi" w:cstheme="majorHAnsi"/>
          <w:color w:val="000000"/>
        </w:rPr>
        <w:t xml:space="preserve"> The inscribed words not only identify the beater’s special function, but also record a vocal scenario of </w:t>
      </w:r>
      <w:proofErr w:type="spellStart"/>
      <w:r w:rsidR="00FC704B">
        <w:rPr>
          <w:rFonts w:asciiTheme="majorHAnsi" w:hAnsiTheme="majorHAnsi" w:cstheme="majorHAnsi"/>
          <w:color w:val="000000"/>
        </w:rPr>
        <w:t>shulklapper</w:t>
      </w:r>
      <w:r w:rsidRPr="00202373">
        <w:rPr>
          <w:rFonts w:asciiTheme="majorHAnsi" w:hAnsiTheme="majorHAnsi" w:cstheme="majorHAnsi"/>
          <w:color w:val="000000"/>
        </w:rPr>
        <w:t>’s</w:t>
      </w:r>
      <w:proofErr w:type="spellEnd"/>
      <w:r w:rsidRPr="00202373">
        <w:rPr>
          <w:rFonts w:asciiTheme="majorHAnsi" w:hAnsiTheme="majorHAnsi" w:cstheme="majorHAnsi"/>
          <w:color w:val="000000"/>
        </w:rPr>
        <w:t xml:space="preserve"> daily attendance and consign an association of the beater’s knocks with the officer’s verbal message. </w:t>
      </w:r>
    </w:p>
    <w:p w14:paraId="00000029" w14:textId="2DBB0391" w:rsidR="009B4F5A" w:rsidRPr="00202373" w:rsidRDefault="000C3D14" w:rsidP="00557B5B">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lastRenderedPageBreak/>
        <w:t xml:space="preserve">A crooked device in a hand of the Jew in Julian </w:t>
      </w:r>
      <w:proofErr w:type="spellStart"/>
      <w:r w:rsidRPr="00202373">
        <w:rPr>
          <w:rFonts w:asciiTheme="majorHAnsi" w:hAnsiTheme="majorHAnsi" w:cstheme="majorHAnsi"/>
          <w:color w:val="000000"/>
        </w:rPr>
        <w:t>Fałat’s</w:t>
      </w:r>
      <w:proofErr w:type="spellEnd"/>
      <w:r w:rsidRPr="00202373">
        <w:rPr>
          <w:rFonts w:asciiTheme="majorHAnsi" w:hAnsiTheme="majorHAnsi" w:cstheme="majorHAnsi"/>
          <w:color w:val="000000"/>
        </w:rPr>
        <w:t xml:space="preserve"> image (Fig. 1) and a similar eightieth-century Hungarian specimen from the Feuchtwanger Collection at the Israel Museum in Jerusalem </w:t>
      </w:r>
      <w:r w:rsidR="002946E6">
        <w:rPr>
          <w:rFonts w:asciiTheme="majorHAnsi" w:hAnsiTheme="majorHAnsi" w:cstheme="majorHAnsi"/>
          <w:color w:val="000000"/>
        </w:rPr>
        <w:t>#</w:t>
      </w:r>
      <w:r w:rsidRPr="00202373">
        <w:rPr>
          <w:rFonts w:asciiTheme="majorHAnsi" w:hAnsiTheme="majorHAnsi" w:cstheme="majorHAnsi"/>
          <w:color w:val="000000"/>
        </w:rPr>
        <w:t xml:space="preserve"> are functional objects that mimic something else – the shofar.</w:t>
      </w:r>
      <w:r w:rsidRPr="00202373">
        <w:rPr>
          <w:rFonts w:asciiTheme="majorHAnsi" w:hAnsiTheme="majorHAnsi" w:cstheme="majorHAnsi"/>
          <w:color w:val="000000"/>
          <w:vertAlign w:val="superscript"/>
        </w:rPr>
        <w:footnoteReference w:id="79"/>
      </w:r>
      <w:r w:rsidRPr="00202373">
        <w:rPr>
          <w:rFonts w:asciiTheme="majorHAnsi" w:hAnsiTheme="majorHAnsi" w:cstheme="majorHAnsi"/>
          <w:color w:val="000000"/>
        </w:rPr>
        <w:t xml:space="preserve"> </w:t>
      </w:r>
      <w:r w:rsidR="00557B5B">
        <w:rPr>
          <w:rFonts w:asciiTheme="majorHAnsi" w:hAnsiTheme="majorHAnsi" w:cstheme="majorHAnsi"/>
          <w:color w:val="000000"/>
        </w:rPr>
        <w:t xml:space="preserve">In 1925, Eliza Unger-Goldstein (1899–1983) drew one more shofar-shaped </w:t>
      </w:r>
      <w:r w:rsidR="00D21C49">
        <w:rPr>
          <w:rFonts w:asciiTheme="majorHAnsi" w:hAnsiTheme="majorHAnsi" w:cstheme="majorHAnsi"/>
          <w:color w:val="000000"/>
        </w:rPr>
        <w:t xml:space="preserve">knocker from the Golden Rose Synagogue of </w:t>
      </w:r>
      <w:proofErr w:type="spellStart"/>
      <w:r w:rsidR="00D21C49">
        <w:rPr>
          <w:rFonts w:asciiTheme="majorHAnsi" w:hAnsiTheme="majorHAnsi" w:cstheme="majorHAnsi"/>
          <w:color w:val="000000"/>
        </w:rPr>
        <w:t>Lviv</w:t>
      </w:r>
      <w:proofErr w:type="spellEnd"/>
      <w:r w:rsidR="00D21C49">
        <w:rPr>
          <w:rFonts w:asciiTheme="majorHAnsi" w:hAnsiTheme="majorHAnsi" w:cstheme="majorHAnsi"/>
          <w:color w:val="000000"/>
        </w:rPr>
        <w:t xml:space="preserve"> </w:t>
      </w:r>
      <w:r w:rsidR="002946E6">
        <w:rPr>
          <w:rFonts w:asciiTheme="majorHAnsi" w:hAnsiTheme="majorHAnsi" w:cstheme="majorHAnsi"/>
          <w:color w:val="000000"/>
        </w:rPr>
        <w:t>#</w:t>
      </w:r>
      <w:r w:rsidR="00D21C49">
        <w:rPr>
          <w:rFonts w:asciiTheme="majorHAnsi" w:hAnsiTheme="majorHAnsi" w:cstheme="majorHAnsi"/>
          <w:color w:val="000000"/>
        </w:rPr>
        <w:t xml:space="preserve">. </w:t>
      </w:r>
      <w:r w:rsidRPr="00202373">
        <w:rPr>
          <w:rFonts w:asciiTheme="majorHAnsi" w:hAnsiTheme="majorHAnsi" w:cstheme="majorHAnsi"/>
          <w:color w:val="000000"/>
        </w:rPr>
        <w:t xml:space="preserve">An odd sense of imitation of a fragile hollow horn by a wooden tool that should be solid enough to resist countless knocks is compensated by the associative bonds between the two instruments in Jewish minds. </w:t>
      </w:r>
      <w:r w:rsidR="00AC0F95">
        <w:rPr>
          <w:rFonts w:asciiTheme="majorHAnsi" w:hAnsiTheme="majorHAnsi" w:cstheme="majorHAnsi"/>
          <w:color w:val="000000"/>
        </w:rPr>
        <w:t>T</w:t>
      </w:r>
      <w:r w:rsidR="00AC0F95" w:rsidRPr="00202373">
        <w:rPr>
          <w:rFonts w:asciiTheme="majorHAnsi" w:hAnsiTheme="majorHAnsi" w:cstheme="majorHAnsi"/>
          <w:color w:val="000000"/>
        </w:rPr>
        <w:t>he shofar was an ancient Jewish instrument of convocation</w:t>
      </w:r>
      <w:r w:rsidR="00AC0F95">
        <w:rPr>
          <w:rFonts w:asciiTheme="majorHAnsi" w:hAnsiTheme="majorHAnsi" w:cstheme="majorHAnsi"/>
          <w:color w:val="000000"/>
        </w:rPr>
        <w:t>,</w:t>
      </w:r>
      <w:r w:rsidR="00AC0F95" w:rsidRPr="00202373">
        <w:rPr>
          <w:rFonts w:asciiTheme="majorHAnsi" w:hAnsiTheme="majorHAnsi" w:cstheme="majorHAnsi"/>
          <w:color w:val="000000"/>
          <w:vertAlign w:val="superscript"/>
        </w:rPr>
        <w:footnoteReference w:id="80"/>
      </w:r>
      <w:r w:rsidR="00AC0F95" w:rsidRPr="00202373">
        <w:rPr>
          <w:rFonts w:asciiTheme="majorHAnsi" w:hAnsiTheme="majorHAnsi" w:cstheme="majorHAnsi"/>
          <w:color w:val="000000"/>
        </w:rPr>
        <w:t xml:space="preserve"> </w:t>
      </w:r>
      <w:r w:rsidR="00AC0F95">
        <w:rPr>
          <w:rFonts w:asciiTheme="majorHAnsi" w:hAnsiTheme="majorHAnsi" w:cstheme="majorHAnsi"/>
          <w:color w:val="000000"/>
        </w:rPr>
        <w:t>and</w:t>
      </w:r>
      <w:r w:rsidRPr="00202373">
        <w:rPr>
          <w:rFonts w:asciiTheme="majorHAnsi" w:hAnsiTheme="majorHAnsi" w:cstheme="majorHAnsi"/>
          <w:color w:val="000000"/>
        </w:rPr>
        <w:t xml:space="preserve"> </w:t>
      </w:r>
      <w:r w:rsidR="00AC0F95" w:rsidRPr="00202373">
        <w:rPr>
          <w:rFonts w:asciiTheme="majorHAnsi" w:hAnsiTheme="majorHAnsi" w:cstheme="majorHAnsi"/>
          <w:color w:val="000000"/>
        </w:rPr>
        <w:t xml:space="preserve">the voice of shofar persisted to be a miraculous call for spiritual awakening </w:t>
      </w:r>
      <w:r w:rsidR="00AC0F95">
        <w:rPr>
          <w:rFonts w:asciiTheme="majorHAnsi" w:hAnsiTheme="majorHAnsi" w:cstheme="majorHAnsi"/>
          <w:color w:val="000000"/>
        </w:rPr>
        <w:t xml:space="preserve">in </w:t>
      </w:r>
      <w:r w:rsidRPr="00202373">
        <w:rPr>
          <w:rFonts w:asciiTheme="majorHAnsi" w:hAnsiTheme="majorHAnsi" w:cstheme="majorHAnsi"/>
          <w:color w:val="000000"/>
        </w:rPr>
        <w:t>Jewish liturgy through the ages.</w:t>
      </w:r>
      <w:r w:rsidRPr="00202373">
        <w:rPr>
          <w:rFonts w:asciiTheme="majorHAnsi" w:hAnsiTheme="majorHAnsi" w:cstheme="majorHAnsi"/>
          <w:color w:val="000000"/>
          <w:vertAlign w:val="superscript"/>
        </w:rPr>
        <w:footnoteReference w:id="81"/>
      </w:r>
      <w:r w:rsidRPr="00202373">
        <w:rPr>
          <w:rFonts w:asciiTheme="majorHAnsi" w:hAnsiTheme="majorHAnsi" w:cstheme="majorHAnsi"/>
          <w:color w:val="000000"/>
        </w:rPr>
        <w:t xml:space="preserve"> </w:t>
      </w:r>
      <w:r w:rsidR="005862CA" w:rsidRPr="005862CA">
        <w:rPr>
          <w:rFonts w:asciiTheme="majorHAnsi" w:hAnsiTheme="majorHAnsi" w:cstheme="majorHAnsi"/>
          <w:color w:val="000000"/>
        </w:rPr>
        <w:t xml:space="preserve">In a more pragmatic sense, the shofar-shaped mallet may have been created for the purpose of rousing people before dawn during </w:t>
      </w:r>
      <w:r w:rsidR="005862CA">
        <w:rPr>
          <w:rFonts w:asciiTheme="majorHAnsi" w:hAnsiTheme="majorHAnsi" w:cstheme="majorHAnsi"/>
          <w:color w:val="000000"/>
        </w:rPr>
        <w:t xml:space="preserve">the </w:t>
      </w:r>
      <w:proofErr w:type="spellStart"/>
      <w:r w:rsidR="005862CA" w:rsidRPr="00AC0F95">
        <w:rPr>
          <w:rFonts w:asciiTheme="majorHAnsi" w:hAnsiTheme="majorHAnsi" w:cstheme="majorHAnsi"/>
          <w:i/>
          <w:iCs/>
          <w:color w:val="000000"/>
        </w:rPr>
        <w:t>seliḥot</w:t>
      </w:r>
      <w:proofErr w:type="spellEnd"/>
      <w:r w:rsidR="005862CA">
        <w:rPr>
          <w:rFonts w:asciiTheme="majorHAnsi" w:hAnsiTheme="majorHAnsi" w:cstheme="majorHAnsi"/>
          <w:color w:val="000000"/>
        </w:rPr>
        <w:t xml:space="preserve"> of the High Holidays,</w:t>
      </w:r>
      <w:r w:rsidR="005862CA">
        <w:rPr>
          <w:rStyle w:val="FootnoteReference"/>
          <w:rFonts w:asciiTheme="majorHAnsi" w:hAnsiTheme="majorHAnsi" w:cstheme="majorHAnsi"/>
          <w:color w:val="000000"/>
        </w:rPr>
        <w:footnoteReference w:id="82"/>
      </w:r>
      <w:r w:rsidR="005862CA">
        <w:rPr>
          <w:rFonts w:asciiTheme="majorHAnsi" w:hAnsiTheme="majorHAnsi" w:cstheme="majorHAnsi"/>
          <w:color w:val="000000"/>
        </w:rPr>
        <w:t xml:space="preserve"> </w:t>
      </w:r>
      <w:r w:rsidR="005862CA" w:rsidRPr="005862CA">
        <w:rPr>
          <w:rFonts w:asciiTheme="majorHAnsi" w:hAnsiTheme="majorHAnsi" w:cstheme="majorHAnsi"/>
          <w:color w:val="000000"/>
        </w:rPr>
        <w:t>accompanied by the sound of the shofar.</w:t>
      </w:r>
    </w:p>
    <w:p w14:paraId="0000002A" w14:textId="4D8CA5F2"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t xml:space="preserve">The symbolic meaning of the knocker’s shofar-like body is enhanced by reliefs and letters on its sides. There are images of an eagle and deer that abruptly illustrate the Mishnaic tractate </w:t>
      </w:r>
      <w:proofErr w:type="spellStart"/>
      <w:r w:rsidRPr="00202373">
        <w:rPr>
          <w:rFonts w:asciiTheme="majorHAnsi" w:hAnsiTheme="majorHAnsi" w:cstheme="majorHAnsi"/>
          <w:i/>
          <w:color w:val="000000"/>
        </w:rPr>
        <w:t>Pirkei</w:t>
      </w:r>
      <w:proofErr w:type="spellEnd"/>
      <w:r w:rsidRPr="00202373">
        <w:rPr>
          <w:rFonts w:asciiTheme="majorHAnsi" w:hAnsiTheme="majorHAnsi" w:cstheme="majorHAnsi"/>
          <w:i/>
          <w:color w:val="000000"/>
        </w:rPr>
        <w:t xml:space="preserve"> </w:t>
      </w:r>
      <w:proofErr w:type="spellStart"/>
      <w:r w:rsidRPr="00202373">
        <w:rPr>
          <w:rFonts w:asciiTheme="majorHAnsi" w:hAnsiTheme="majorHAnsi" w:cstheme="majorHAnsi"/>
          <w:i/>
          <w:color w:val="000000"/>
        </w:rPr>
        <w:t>avot</w:t>
      </w:r>
      <w:proofErr w:type="spellEnd"/>
      <w:r w:rsidRPr="00202373">
        <w:rPr>
          <w:rFonts w:asciiTheme="majorHAnsi" w:hAnsiTheme="majorHAnsi" w:cstheme="majorHAnsi"/>
          <w:color w:val="000000"/>
        </w:rPr>
        <w:t xml:space="preserve"> (Ethics of the Fathers) 5:20: “Be as strong as a leopard, as light as an eagle, as swift as a deer, as brave as a lion to do the will of your Father in heaven.” Medieval Jewish legislator Jacob ben Asher (1270–ca. 1340) popularized this moralistic adage by quoting it the very beginning of his </w:t>
      </w:r>
      <w:proofErr w:type="spellStart"/>
      <w:proofErr w:type="gramStart"/>
      <w:r w:rsidRPr="00202373">
        <w:rPr>
          <w:rFonts w:asciiTheme="majorHAnsi" w:hAnsiTheme="majorHAnsi" w:cstheme="majorHAnsi"/>
          <w:i/>
          <w:color w:val="000000"/>
        </w:rPr>
        <w:t>Arba‘</w:t>
      </w:r>
      <w:proofErr w:type="gramEnd"/>
      <w:r w:rsidRPr="00202373">
        <w:rPr>
          <w:rFonts w:asciiTheme="majorHAnsi" w:hAnsiTheme="majorHAnsi" w:cstheme="majorHAnsi"/>
          <w:i/>
          <w:color w:val="000000"/>
        </w:rPr>
        <w:t>a</w:t>
      </w:r>
      <w:proofErr w:type="spellEnd"/>
      <w:r w:rsidRPr="00202373">
        <w:rPr>
          <w:rFonts w:asciiTheme="majorHAnsi" w:hAnsiTheme="majorHAnsi" w:cstheme="majorHAnsi"/>
          <w:i/>
          <w:color w:val="000000"/>
        </w:rPr>
        <w:t xml:space="preserve"> </w:t>
      </w:r>
      <w:proofErr w:type="spellStart"/>
      <w:r w:rsidRPr="00202373">
        <w:rPr>
          <w:rFonts w:asciiTheme="majorHAnsi" w:hAnsiTheme="majorHAnsi" w:cstheme="majorHAnsi"/>
          <w:i/>
          <w:color w:val="000000"/>
        </w:rPr>
        <w:t>turim</w:t>
      </w:r>
      <w:proofErr w:type="spellEnd"/>
      <w:r w:rsidRPr="00202373">
        <w:rPr>
          <w:rFonts w:asciiTheme="majorHAnsi" w:hAnsiTheme="majorHAnsi" w:cstheme="majorHAnsi"/>
          <w:i/>
          <w:color w:val="000000"/>
        </w:rPr>
        <w:t xml:space="preserve">: </w:t>
      </w:r>
      <w:proofErr w:type="spellStart"/>
      <w:r w:rsidRPr="00202373">
        <w:rPr>
          <w:rFonts w:asciiTheme="majorHAnsi" w:hAnsiTheme="majorHAnsi" w:cstheme="majorHAnsi"/>
          <w:i/>
          <w:color w:val="000000"/>
        </w:rPr>
        <w:t>Orakh</w:t>
      </w:r>
      <w:proofErr w:type="spellEnd"/>
      <w:r w:rsidRPr="00202373">
        <w:rPr>
          <w:rFonts w:asciiTheme="majorHAnsi" w:hAnsiTheme="majorHAnsi" w:cstheme="majorHAnsi"/>
          <w:i/>
          <w:color w:val="000000"/>
        </w:rPr>
        <w:t xml:space="preserve"> </w:t>
      </w:r>
      <w:proofErr w:type="spellStart"/>
      <w:r w:rsidRPr="00202373">
        <w:rPr>
          <w:rFonts w:asciiTheme="majorHAnsi" w:hAnsiTheme="majorHAnsi" w:cstheme="majorHAnsi"/>
          <w:i/>
          <w:color w:val="000000"/>
        </w:rPr>
        <w:t>ḥayim</w:t>
      </w:r>
      <w:proofErr w:type="spellEnd"/>
      <w:r w:rsidRPr="00202373">
        <w:rPr>
          <w:rFonts w:asciiTheme="majorHAnsi" w:hAnsiTheme="majorHAnsi" w:cstheme="majorHAnsi"/>
          <w:color w:val="000000"/>
        </w:rPr>
        <w:t xml:space="preserve">, in the section dealing with the halakhic rules upon awakening in the morning. From the fifteenth to century to the 1930’s, the zoomorphic tetrad appearing in a myriad of versions in synagogues and on Jewish books, ritual objects </w:t>
      </w:r>
      <w:r w:rsidR="002946E6">
        <w:rPr>
          <w:rFonts w:asciiTheme="majorHAnsi" w:hAnsiTheme="majorHAnsi" w:cstheme="majorHAnsi"/>
          <w:color w:val="000000"/>
        </w:rPr>
        <w:t>#</w:t>
      </w:r>
      <w:r w:rsidRPr="00202373">
        <w:rPr>
          <w:rFonts w:asciiTheme="majorHAnsi" w:hAnsiTheme="majorHAnsi" w:cstheme="majorHAnsi"/>
          <w:color w:val="000000"/>
        </w:rPr>
        <w:t>, and ephemera, was a ubiquitous and foremost visual symbol of virtues of a pious Jew.</w:t>
      </w:r>
      <w:r w:rsidRPr="00202373">
        <w:rPr>
          <w:rFonts w:asciiTheme="majorHAnsi" w:hAnsiTheme="majorHAnsi" w:cstheme="majorHAnsi"/>
          <w:color w:val="000000"/>
          <w:vertAlign w:val="superscript"/>
        </w:rPr>
        <w:footnoteReference w:id="83"/>
      </w:r>
      <w:r w:rsidRPr="00202373">
        <w:rPr>
          <w:rFonts w:asciiTheme="majorHAnsi" w:hAnsiTheme="majorHAnsi" w:cstheme="majorHAnsi"/>
          <w:color w:val="000000"/>
        </w:rPr>
        <w:t xml:space="preserve"> The pair of </w:t>
      </w:r>
      <w:r w:rsidRPr="00202373">
        <w:rPr>
          <w:rFonts w:asciiTheme="majorHAnsi" w:hAnsiTheme="majorHAnsi" w:cstheme="majorHAnsi"/>
          <w:color w:val="000000"/>
        </w:rPr>
        <w:lastRenderedPageBreak/>
        <w:t xml:space="preserve">eagle and deer chosen to decorate the shofar-shaped knocker alludes to the promptness of faithful in performing God’s commandments. The didactic message of zoomorphic reliefs is complemented with a hint at the solemn sake of the men’s rush: the Hebrew letters </w:t>
      </w:r>
      <w:r w:rsidRPr="00202373">
        <w:rPr>
          <w:rFonts w:asciiTheme="majorHAnsi" w:hAnsiTheme="majorHAnsi" w:cstheme="majorHAnsi"/>
          <w:color w:val="000000"/>
          <w:rtl/>
        </w:rPr>
        <w:t>ל</w:t>
      </w:r>
      <w:r w:rsidRPr="00202373">
        <w:rPr>
          <w:rFonts w:asciiTheme="majorHAnsi" w:hAnsiTheme="majorHAnsi" w:cstheme="majorHAnsi"/>
          <w:color w:val="000000"/>
        </w:rPr>
        <w:t xml:space="preserve"> (</w:t>
      </w:r>
      <w:r w:rsidRPr="00202373">
        <w:rPr>
          <w:rFonts w:asciiTheme="majorHAnsi" w:hAnsiTheme="majorHAnsi" w:cstheme="majorHAnsi"/>
          <w:i/>
          <w:color w:val="000000"/>
        </w:rPr>
        <w:t>lamed</w:t>
      </w:r>
      <w:r w:rsidRPr="00202373">
        <w:rPr>
          <w:rFonts w:asciiTheme="majorHAnsi" w:hAnsiTheme="majorHAnsi" w:cstheme="majorHAnsi"/>
          <w:color w:val="000000"/>
        </w:rPr>
        <w:t xml:space="preserve">) and </w:t>
      </w:r>
      <w:r w:rsidRPr="00202373">
        <w:rPr>
          <w:rFonts w:asciiTheme="majorHAnsi" w:hAnsiTheme="majorHAnsi" w:cstheme="majorHAnsi"/>
          <w:color w:val="000000"/>
          <w:rtl/>
        </w:rPr>
        <w:t>ב</w:t>
      </w:r>
      <w:r w:rsidRPr="00202373">
        <w:rPr>
          <w:rFonts w:asciiTheme="majorHAnsi" w:hAnsiTheme="majorHAnsi" w:cstheme="majorHAnsi"/>
          <w:color w:val="000000"/>
        </w:rPr>
        <w:t xml:space="preserve"> (</w:t>
      </w:r>
      <w:r w:rsidRPr="00202373">
        <w:rPr>
          <w:rFonts w:asciiTheme="majorHAnsi" w:hAnsiTheme="majorHAnsi" w:cstheme="majorHAnsi"/>
          <w:i/>
          <w:color w:val="000000"/>
        </w:rPr>
        <w:t>bet</w:t>
      </w:r>
      <w:r w:rsidRPr="00202373">
        <w:rPr>
          <w:rFonts w:asciiTheme="majorHAnsi" w:hAnsiTheme="majorHAnsi" w:cstheme="majorHAnsi"/>
          <w:color w:val="000000"/>
        </w:rPr>
        <w:t xml:space="preserve">) engraved on the knocker’s narrow side probably allude to </w:t>
      </w:r>
      <w:proofErr w:type="spellStart"/>
      <w:r w:rsidR="00FC704B">
        <w:rPr>
          <w:rFonts w:asciiTheme="majorHAnsi" w:hAnsiTheme="majorHAnsi" w:cstheme="majorHAnsi"/>
          <w:color w:val="000000"/>
        </w:rPr>
        <w:t>shulklapper</w:t>
      </w:r>
      <w:r w:rsidRPr="00202373">
        <w:rPr>
          <w:rFonts w:asciiTheme="majorHAnsi" w:hAnsiTheme="majorHAnsi" w:cstheme="majorHAnsi"/>
          <w:color w:val="000000"/>
        </w:rPr>
        <w:t>’s</w:t>
      </w:r>
      <w:proofErr w:type="spellEnd"/>
      <w:r w:rsidRPr="00202373">
        <w:rPr>
          <w:rFonts w:asciiTheme="majorHAnsi" w:hAnsiTheme="majorHAnsi" w:cstheme="majorHAnsi"/>
          <w:color w:val="000000"/>
        </w:rPr>
        <w:t xml:space="preserve"> standard proclamation </w:t>
      </w:r>
      <w:r w:rsidRPr="00202373">
        <w:rPr>
          <w:rFonts w:asciiTheme="majorHAnsi" w:hAnsiTheme="majorHAnsi" w:cstheme="majorHAnsi"/>
          <w:color w:val="000000"/>
          <w:rtl/>
        </w:rPr>
        <w:t>לעבודת הבורא</w:t>
      </w:r>
      <w:r w:rsidRPr="00202373">
        <w:rPr>
          <w:rFonts w:asciiTheme="majorHAnsi" w:hAnsiTheme="majorHAnsi" w:cstheme="majorHAnsi"/>
          <w:color w:val="000000"/>
        </w:rPr>
        <w:t xml:space="preserve"> (</w:t>
      </w:r>
      <w:r w:rsidRPr="00202373">
        <w:rPr>
          <w:rFonts w:asciiTheme="majorHAnsi" w:hAnsiTheme="majorHAnsi" w:cstheme="majorHAnsi"/>
          <w:i/>
          <w:color w:val="000000"/>
        </w:rPr>
        <w:t>l</w:t>
      </w:r>
      <w:r w:rsidR="00524661">
        <w:rPr>
          <w:rFonts w:asciiTheme="majorHAnsi" w:hAnsiTheme="majorHAnsi" w:cstheme="majorHAnsi"/>
          <w:i/>
          <w:color w:val="000000"/>
        </w:rPr>
        <w:t>a</w:t>
      </w:r>
      <w:r w:rsidRPr="00202373">
        <w:rPr>
          <w:rFonts w:asciiTheme="majorHAnsi" w:hAnsiTheme="majorHAnsi" w:cstheme="majorHAnsi"/>
          <w:color w:val="000000"/>
        </w:rPr>
        <w:t>-</w:t>
      </w:r>
      <w:proofErr w:type="spellStart"/>
      <w:r w:rsidRPr="00202373">
        <w:rPr>
          <w:rFonts w:asciiTheme="majorHAnsi" w:hAnsiTheme="majorHAnsi" w:cstheme="majorHAnsi"/>
          <w:i/>
          <w:color w:val="000000"/>
        </w:rPr>
        <w:t>avodat</w:t>
      </w:r>
      <w:proofErr w:type="spellEnd"/>
      <w:r w:rsidRPr="00202373">
        <w:rPr>
          <w:rFonts w:asciiTheme="majorHAnsi" w:hAnsiTheme="majorHAnsi" w:cstheme="majorHAnsi"/>
          <w:i/>
          <w:color w:val="000000"/>
        </w:rPr>
        <w:t xml:space="preserve"> ha-Bore</w:t>
      </w:r>
      <w:r w:rsidRPr="00202373">
        <w:rPr>
          <w:rFonts w:asciiTheme="majorHAnsi" w:hAnsiTheme="majorHAnsi" w:cstheme="majorHAnsi"/>
          <w:color w:val="000000"/>
        </w:rPr>
        <w:t xml:space="preserve"> or </w:t>
      </w:r>
      <w:r w:rsidRPr="00202373">
        <w:rPr>
          <w:rFonts w:asciiTheme="majorHAnsi" w:hAnsiTheme="majorHAnsi" w:cstheme="majorHAnsi"/>
          <w:color w:val="000000"/>
          <w:rtl/>
        </w:rPr>
        <w:t>לעבודת בוראו</w:t>
      </w:r>
      <w:r w:rsidRPr="00202373">
        <w:rPr>
          <w:rFonts w:asciiTheme="majorHAnsi" w:hAnsiTheme="majorHAnsi" w:cstheme="majorHAnsi"/>
          <w:color w:val="000000"/>
        </w:rPr>
        <w:t xml:space="preserve"> </w:t>
      </w:r>
      <w:r w:rsidRPr="00202373">
        <w:rPr>
          <w:rFonts w:asciiTheme="majorHAnsi" w:hAnsiTheme="majorHAnsi" w:cstheme="majorHAnsi"/>
          <w:i/>
          <w:color w:val="000000"/>
        </w:rPr>
        <w:t>l</w:t>
      </w:r>
      <w:r w:rsidR="00524661">
        <w:rPr>
          <w:rFonts w:asciiTheme="majorHAnsi" w:hAnsiTheme="majorHAnsi" w:cstheme="majorHAnsi"/>
          <w:i/>
          <w:color w:val="000000"/>
        </w:rPr>
        <w:t>a</w:t>
      </w:r>
      <w:r w:rsidRPr="00202373">
        <w:rPr>
          <w:rFonts w:asciiTheme="majorHAnsi" w:hAnsiTheme="majorHAnsi" w:cstheme="majorHAnsi"/>
          <w:i/>
          <w:color w:val="000000"/>
        </w:rPr>
        <w:t>-</w:t>
      </w:r>
      <w:proofErr w:type="spellStart"/>
      <w:r w:rsidRPr="00202373">
        <w:rPr>
          <w:rFonts w:asciiTheme="majorHAnsi" w:hAnsiTheme="majorHAnsi" w:cstheme="majorHAnsi"/>
          <w:i/>
          <w:color w:val="000000"/>
        </w:rPr>
        <w:t>avodat</w:t>
      </w:r>
      <w:proofErr w:type="spellEnd"/>
      <w:r w:rsidRPr="00202373">
        <w:rPr>
          <w:rFonts w:asciiTheme="majorHAnsi" w:hAnsiTheme="majorHAnsi" w:cstheme="majorHAnsi"/>
          <w:i/>
          <w:color w:val="000000"/>
        </w:rPr>
        <w:t xml:space="preserve"> </w:t>
      </w:r>
      <w:proofErr w:type="spellStart"/>
      <w:r w:rsidRPr="00202373">
        <w:rPr>
          <w:rFonts w:asciiTheme="majorHAnsi" w:hAnsiTheme="majorHAnsi" w:cstheme="majorHAnsi"/>
          <w:i/>
          <w:color w:val="000000"/>
        </w:rPr>
        <w:t>Bor’o</w:t>
      </w:r>
      <w:proofErr w:type="spellEnd"/>
      <w:r w:rsidRPr="00202373">
        <w:rPr>
          <w:rFonts w:asciiTheme="majorHAnsi" w:hAnsiTheme="majorHAnsi" w:cstheme="majorHAnsi"/>
          <w:color w:val="000000"/>
        </w:rPr>
        <w:t>; “for the service of the Creator /… his Creator”).</w:t>
      </w:r>
      <w:r w:rsidRPr="00202373">
        <w:rPr>
          <w:rFonts w:asciiTheme="majorHAnsi" w:hAnsiTheme="majorHAnsi" w:cstheme="majorHAnsi"/>
          <w:color w:val="000000"/>
          <w:vertAlign w:val="superscript"/>
        </w:rPr>
        <w:footnoteReference w:id="84"/>
      </w:r>
      <w:r w:rsidRPr="00202373">
        <w:rPr>
          <w:rFonts w:asciiTheme="majorHAnsi" w:hAnsiTheme="majorHAnsi" w:cstheme="majorHAnsi"/>
          <w:color w:val="000000"/>
        </w:rPr>
        <w:t xml:space="preserve"> </w:t>
      </w:r>
    </w:p>
    <w:p w14:paraId="0000002B" w14:textId="52D7AB0F"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t xml:space="preserve">Crafting the knocker as a statuary object was not a solely Jewish invention. For example, a small bronze cast lion with a ball in its paws used a door knocker in late-fifteenth or early-sixteenth century Germany </w:t>
      </w:r>
      <w:r w:rsidR="002946E6">
        <w:rPr>
          <w:rFonts w:asciiTheme="majorHAnsi" w:hAnsiTheme="majorHAnsi" w:cstheme="majorHAnsi"/>
          <w:color w:val="000000"/>
        </w:rPr>
        <w:t>#</w:t>
      </w:r>
      <w:r w:rsidRPr="00202373">
        <w:rPr>
          <w:rFonts w:asciiTheme="majorHAnsi" w:hAnsiTheme="majorHAnsi" w:cstheme="majorHAnsi"/>
          <w:color w:val="000000"/>
        </w:rPr>
        <w:t xml:space="preserve">. Jewish carvers shared the idea of a ball that acts simultaneously as an artistic component of mimetic sculpture and as a utilitarian projection that enables loudly knocking solid surfaces. A maker of an eighteenth-century synagogue mallet from Poland masterfully transfigured the mallet’s head into a double-headed lion with a large ball in each mouth </w:t>
      </w:r>
      <w:r w:rsidR="002946E6">
        <w:rPr>
          <w:rFonts w:asciiTheme="majorHAnsi" w:hAnsiTheme="majorHAnsi" w:cstheme="majorHAnsi"/>
          <w:color w:val="000000"/>
        </w:rPr>
        <w:t>#</w:t>
      </w:r>
      <w:r w:rsidRPr="00202373">
        <w:rPr>
          <w:rFonts w:asciiTheme="majorHAnsi" w:hAnsiTheme="majorHAnsi" w:cstheme="majorHAnsi"/>
          <w:color w:val="000000"/>
        </w:rPr>
        <w:t xml:space="preserve">. A </w:t>
      </w:r>
      <w:proofErr w:type="spellStart"/>
      <w:r w:rsidRPr="00202373">
        <w:rPr>
          <w:rFonts w:asciiTheme="majorHAnsi" w:hAnsiTheme="majorHAnsi" w:cstheme="majorHAnsi"/>
          <w:color w:val="000000"/>
        </w:rPr>
        <w:t>naïver</w:t>
      </w:r>
      <w:proofErr w:type="spellEnd"/>
      <w:r w:rsidRPr="00202373">
        <w:rPr>
          <w:rFonts w:asciiTheme="majorHAnsi" w:hAnsiTheme="majorHAnsi" w:cstheme="majorHAnsi"/>
          <w:color w:val="000000"/>
        </w:rPr>
        <w:t xml:space="preserve"> version of an animal-form Jewish knocker from </w:t>
      </w:r>
      <w:proofErr w:type="spellStart"/>
      <w:r w:rsidRPr="00202373">
        <w:rPr>
          <w:rFonts w:asciiTheme="majorHAnsi" w:hAnsiTheme="majorHAnsi" w:cstheme="majorHAnsi"/>
          <w:color w:val="000000"/>
        </w:rPr>
        <w:t>Lviv</w:t>
      </w:r>
      <w:proofErr w:type="spellEnd"/>
      <w:r w:rsidRPr="00202373">
        <w:rPr>
          <w:rFonts w:asciiTheme="majorHAnsi" w:hAnsiTheme="majorHAnsi" w:cstheme="majorHAnsi"/>
          <w:color w:val="000000"/>
        </w:rPr>
        <w:t xml:space="preserve"> features a dragon-like or serpentine creature with a knob in its mouth </w:t>
      </w:r>
      <w:r w:rsidR="002946E6">
        <w:rPr>
          <w:rFonts w:asciiTheme="majorHAnsi" w:hAnsiTheme="majorHAnsi" w:cstheme="majorHAnsi"/>
          <w:color w:val="000000"/>
        </w:rPr>
        <w:t>#</w:t>
      </w:r>
      <w:r w:rsidRPr="00202373">
        <w:rPr>
          <w:rFonts w:asciiTheme="majorHAnsi" w:hAnsiTheme="majorHAnsi" w:cstheme="majorHAnsi"/>
          <w:color w:val="000000"/>
        </w:rPr>
        <w:t>. The sculptural rendering of these knockers emblematically redelegates the action of acoustic convocation from the human who manipulates the knocker to rather supernatural powers symbolized by dreadful animals.</w:t>
      </w:r>
      <w:r w:rsidRPr="00202373">
        <w:rPr>
          <w:rFonts w:asciiTheme="majorHAnsi" w:hAnsiTheme="majorHAnsi" w:cstheme="majorHAnsi"/>
          <w:color w:val="000000"/>
          <w:vertAlign w:val="superscript"/>
        </w:rPr>
        <w:footnoteReference w:id="85"/>
      </w:r>
      <w:r w:rsidRPr="00202373">
        <w:rPr>
          <w:rFonts w:asciiTheme="majorHAnsi" w:hAnsiTheme="majorHAnsi" w:cstheme="majorHAnsi"/>
          <w:color w:val="000000"/>
        </w:rPr>
        <w:t xml:space="preserve"> </w:t>
      </w:r>
    </w:p>
    <w:p w14:paraId="0000002C" w14:textId="271D49A9"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t xml:space="preserve">The inscriptions on two sculpted knockers bear Hebrew mottos that address the synagogue, that is the destination where the </w:t>
      </w:r>
      <w:proofErr w:type="spellStart"/>
      <w:r w:rsidR="00FC704B">
        <w:rPr>
          <w:rFonts w:asciiTheme="majorHAnsi" w:hAnsiTheme="majorHAnsi" w:cstheme="majorHAnsi"/>
          <w:color w:val="000000"/>
        </w:rPr>
        <w:t>shulklapper</w:t>
      </w:r>
      <w:proofErr w:type="spellEnd"/>
      <w:r w:rsidRPr="00202373">
        <w:rPr>
          <w:rFonts w:asciiTheme="majorHAnsi" w:hAnsiTheme="majorHAnsi" w:cstheme="majorHAnsi"/>
          <w:color w:val="000000"/>
        </w:rPr>
        <w:t xml:space="preserve"> calls to. The inscriptions on the handle of the leonine-headed mallet (Fig. 9) read: </w:t>
      </w:r>
      <w:r w:rsidRPr="00202373">
        <w:rPr>
          <w:rFonts w:asciiTheme="majorHAnsi" w:hAnsiTheme="majorHAnsi" w:cstheme="majorHAnsi"/>
          <w:color w:val="000000"/>
          <w:rtl/>
        </w:rPr>
        <w:t>בבית ה' נהלך ברגש</w:t>
      </w:r>
      <w:r w:rsidRPr="00202373">
        <w:rPr>
          <w:rFonts w:asciiTheme="majorHAnsi" w:hAnsiTheme="majorHAnsi" w:cstheme="majorHAnsi"/>
          <w:color w:val="000000"/>
        </w:rPr>
        <w:t xml:space="preserve"> (“in the house of God we walked with the throng,” </w:t>
      </w:r>
      <w:bookmarkStart w:id="34" w:name="2s8eyo1" w:colFirst="0" w:colLast="0"/>
      <w:bookmarkEnd w:id="34"/>
      <w:r w:rsidRPr="00202373">
        <w:rPr>
          <w:rFonts w:asciiTheme="majorHAnsi" w:hAnsiTheme="majorHAnsi" w:cstheme="majorHAnsi"/>
          <w:color w:val="000000"/>
        </w:rPr>
        <w:t xml:space="preserve">Psalms 55:15) and </w:t>
      </w:r>
      <w:r w:rsidRPr="00202373">
        <w:rPr>
          <w:rFonts w:asciiTheme="majorHAnsi" w:hAnsiTheme="majorHAnsi" w:cstheme="majorHAnsi"/>
          <w:color w:val="000000"/>
          <w:rtl/>
        </w:rPr>
        <w:t>אני תפילתי לך ה' עת רצון</w:t>
      </w:r>
      <w:r w:rsidRPr="00202373">
        <w:rPr>
          <w:rFonts w:asciiTheme="majorHAnsi" w:hAnsiTheme="majorHAnsi" w:cstheme="majorHAnsi"/>
          <w:color w:val="000000"/>
        </w:rPr>
        <w:t xml:space="preserve"> (“as for me, let my prayer be unto Thee, O Lord, in an acceptable time,” Psalms 69:14). Both verses were recited in some communities at the beginning of the synagogue service.</w:t>
      </w:r>
      <w:r w:rsidRPr="00202373">
        <w:rPr>
          <w:rFonts w:asciiTheme="majorHAnsi" w:hAnsiTheme="majorHAnsi" w:cstheme="majorHAnsi"/>
          <w:color w:val="000000"/>
          <w:vertAlign w:val="superscript"/>
        </w:rPr>
        <w:footnoteReference w:id="86"/>
      </w:r>
      <w:r w:rsidRPr="00202373">
        <w:rPr>
          <w:rFonts w:asciiTheme="majorHAnsi" w:hAnsiTheme="majorHAnsi" w:cstheme="majorHAnsi"/>
          <w:color w:val="000000"/>
        </w:rPr>
        <w:t xml:space="preserve"> The phrase on the </w:t>
      </w:r>
      <w:proofErr w:type="spellStart"/>
      <w:r w:rsidRPr="00202373">
        <w:rPr>
          <w:rFonts w:asciiTheme="majorHAnsi" w:hAnsiTheme="majorHAnsi" w:cstheme="majorHAnsi"/>
          <w:color w:val="000000"/>
        </w:rPr>
        <w:t>Lviv</w:t>
      </w:r>
      <w:proofErr w:type="spellEnd"/>
      <w:r w:rsidRPr="00202373">
        <w:rPr>
          <w:rFonts w:asciiTheme="majorHAnsi" w:hAnsiTheme="majorHAnsi" w:cstheme="majorHAnsi"/>
          <w:color w:val="000000"/>
        </w:rPr>
        <w:t xml:space="preserve"> knocker, </w:t>
      </w:r>
      <w:r w:rsidRPr="00202373">
        <w:rPr>
          <w:rFonts w:asciiTheme="majorHAnsi" w:hAnsiTheme="majorHAnsi" w:cstheme="majorHAnsi"/>
          <w:color w:val="000000"/>
          <w:rtl/>
        </w:rPr>
        <w:t>שמחתי באמרים לי בית ה' נלך</w:t>
      </w:r>
      <w:r w:rsidRPr="00202373">
        <w:rPr>
          <w:rFonts w:asciiTheme="majorHAnsi" w:hAnsiTheme="majorHAnsi" w:cstheme="majorHAnsi"/>
          <w:color w:val="000000"/>
        </w:rPr>
        <w:t xml:space="preserve"> (“I rejoiced when they said unto me: ‘Let us go unto the house of the </w:t>
      </w:r>
      <w:r w:rsidRPr="00202373">
        <w:rPr>
          <w:rFonts w:asciiTheme="majorHAnsi" w:hAnsiTheme="majorHAnsi" w:cstheme="majorHAnsi"/>
          <w:color w:val="000000"/>
        </w:rPr>
        <w:lastRenderedPageBreak/>
        <w:t>Lord’,” Psalms 122:1), is also a part of the Ashkenazi liturgy and a wall inscription in several east-European synagogues.</w:t>
      </w:r>
      <w:bookmarkStart w:id="35" w:name="_Hlk137392234"/>
      <w:r w:rsidRPr="00202373">
        <w:rPr>
          <w:rFonts w:asciiTheme="majorHAnsi" w:hAnsiTheme="majorHAnsi" w:cstheme="majorHAnsi"/>
          <w:color w:val="000000"/>
          <w:vertAlign w:val="superscript"/>
        </w:rPr>
        <w:footnoteReference w:id="87"/>
      </w:r>
      <w:bookmarkEnd w:id="35"/>
      <w:r w:rsidRPr="00202373">
        <w:rPr>
          <w:rFonts w:asciiTheme="majorHAnsi" w:hAnsiTheme="majorHAnsi" w:cstheme="majorHAnsi"/>
          <w:color w:val="000000"/>
        </w:rPr>
        <w:t xml:space="preserve"> </w:t>
      </w:r>
    </w:p>
    <w:p w14:paraId="0000002D" w14:textId="77777777" w:rsidR="009B4F5A" w:rsidRPr="00202373" w:rsidRDefault="000C3D14" w:rsidP="00943C0A">
      <w:pPr>
        <w:pStyle w:val="Heading2"/>
        <w:rPr>
          <w:rFonts w:asciiTheme="majorHAnsi" w:hAnsiTheme="majorHAnsi" w:cstheme="majorHAnsi"/>
        </w:rPr>
      </w:pPr>
      <w:r w:rsidRPr="00202373">
        <w:rPr>
          <w:rFonts w:asciiTheme="majorHAnsi" w:hAnsiTheme="majorHAnsi" w:cstheme="majorHAnsi"/>
        </w:rPr>
        <w:t xml:space="preserve">Simulated Hand </w:t>
      </w:r>
    </w:p>
    <w:p w14:paraId="0000002E" w14:textId="0A08DC17" w:rsidR="009B4F5A" w:rsidRPr="00202373" w:rsidRDefault="000C3D14" w:rsidP="00766924">
      <w:pPr>
        <w:widowControl w:val="0"/>
        <w:pBdr>
          <w:top w:val="nil"/>
          <w:left w:val="nil"/>
          <w:bottom w:val="nil"/>
          <w:right w:val="nil"/>
          <w:between w:val="nil"/>
        </w:pBdr>
        <w:spacing w:before="240" w:line="360" w:lineRule="auto"/>
        <w:rPr>
          <w:rFonts w:asciiTheme="majorHAnsi" w:hAnsiTheme="majorHAnsi" w:cstheme="majorHAnsi"/>
          <w:color w:val="000000"/>
        </w:rPr>
      </w:pPr>
      <w:r w:rsidRPr="00202373">
        <w:rPr>
          <w:rFonts w:asciiTheme="majorHAnsi" w:hAnsiTheme="majorHAnsi" w:cstheme="majorHAnsi"/>
          <w:color w:val="000000"/>
        </w:rPr>
        <w:t xml:space="preserve">Whatever the form, all knockers are designed as tools to be conveniently manipulated by a human hand: they have a prolonged handgrip ending in a peen. Meeting the same practical demands, a knocker from the Furman family collection </w:t>
      </w:r>
      <w:r w:rsidR="002946E6">
        <w:rPr>
          <w:rFonts w:asciiTheme="majorHAnsi" w:hAnsiTheme="majorHAnsi" w:cstheme="majorHAnsi"/>
          <w:color w:val="000000"/>
        </w:rPr>
        <w:t>#</w:t>
      </w:r>
      <w:r w:rsidRPr="00202373">
        <w:rPr>
          <w:rFonts w:asciiTheme="majorHAnsi" w:hAnsiTheme="majorHAnsi" w:cstheme="majorHAnsi"/>
          <w:color w:val="000000"/>
        </w:rPr>
        <w:t xml:space="preserve"> also creates a likeness of an arm: the knocker’s handle resembles a sleeve that dresses a hand holding a ball. The phrase </w:t>
      </w:r>
      <w:r w:rsidRPr="00202373">
        <w:rPr>
          <w:rFonts w:asciiTheme="majorHAnsi" w:hAnsiTheme="majorHAnsi" w:cstheme="majorHAnsi"/>
          <w:color w:val="000000"/>
          <w:rtl/>
        </w:rPr>
        <w:t>שמרים לבקר</w:t>
      </w:r>
      <w:r w:rsidRPr="00202373">
        <w:rPr>
          <w:rFonts w:asciiTheme="majorHAnsi" w:hAnsiTheme="majorHAnsi" w:cstheme="majorHAnsi"/>
          <w:color w:val="000000"/>
        </w:rPr>
        <w:t xml:space="preserve"> (</w:t>
      </w:r>
      <w:proofErr w:type="spellStart"/>
      <w:r w:rsidR="00F94E33" w:rsidRPr="00F94E33">
        <w:rPr>
          <w:rFonts w:asciiTheme="majorHAnsi" w:hAnsiTheme="majorHAnsi" w:cstheme="majorHAnsi"/>
          <w:i/>
          <w:iCs/>
          <w:color w:val="000000"/>
        </w:rPr>
        <w:t>shom</w:t>
      </w:r>
      <w:r w:rsidR="00F94E33">
        <w:rPr>
          <w:rFonts w:asciiTheme="majorHAnsi" w:hAnsiTheme="majorHAnsi" w:cstheme="majorHAnsi"/>
          <w:i/>
          <w:iCs/>
          <w:color w:val="000000"/>
        </w:rPr>
        <w:t>e</w:t>
      </w:r>
      <w:r w:rsidR="00F94E33" w:rsidRPr="00F94E33">
        <w:rPr>
          <w:rFonts w:asciiTheme="majorHAnsi" w:hAnsiTheme="majorHAnsi" w:cstheme="majorHAnsi"/>
          <w:i/>
          <w:iCs/>
          <w:color w:val="000000"/>
        </w:rPr>
        <w:t>rim</w:t>
      </w:r>
      <w:proofErr w:type="spellEnd"/>
      <w:r w:rsidR="00F94E33" w:rsidRPr="00F94E33">
        <w:rPr>
          <w:rFonts w:asciiTheme="majorHAnsi" w:hAnsiTheme="majorHAnsi" w:cstheme="majorHAnsi"/>
          <w:i/>
          <w:iCs/>
          <w:color w:val="000000"/>
        </w:rPr>
        <w:t xml:space="preserve"> la-</w:t>
      </w:r>
      <w:proofErr w:type="spellStart"/>
      <w:r w:rsidR="00F94E33" w:rsidRPr="00F94E33">
        <w:rPr>
          <w:rFonts w:asciiTheme="majorHAnsi" w:hAnsiTheme="majorHAnsi" w:cstheme="majorHAnsi"/>
          <w:i/>
          <w:iCs/>
          <w:color w:val="000000"/>
        </w:rPr>
        <w:t>boker</w:t>
      </w:r>
      <w:proofErr w:type="spellEnd"/>
      <w:r w:rsidR="00F94E33">
        <w:rPr>
          <w:rFonts w:asciiTheme="majorHAnsi" w:hAnsiTheme="majorHAnsi" w:cstheme="majorHAnsi"/>
          <w:color w:val="000000"/>
        </w:rPr>
        <w:t>, “</w:t>
      </w:r>
      <w:r w:rsidR="006928E9">
        <w:rPr>
          <w:rFonts w:asciiTheme="majorHAnsi" w:hAnsiTheme="majorHAnsi" w:cstheme="majorHAnsi"/>
          <w:color w:val="000000"/>
        </w:rPr>
        <w:t xml:space="preserve">night </w:t>
      </w:r>
      <w:r w:rsidRPr="00202373">
        <w:rPr>
          <w:rFonts w:asciiTheme="majorHAnsi" w:hAnsiTheme="majorHAnsi" w:cstheme="majorHAnsi"/>
          <w:color w:val="000000"/>
        </w:rPr>
        <w:t>watchmen</w:t>
      </w:r>
      <w:r w:rsidR="00F94E33">
        <w:rPr>
          <w:rFonts w:asciiTheme="majorHAnsi" w:hAnsiTheme="majorHAnsi" w:cstheme="majorHAnsi"/>
          <w:color w:val="000000"/>
        </w:rPr>
        <w:t>”</w:t>
      </w:r>
      <w:r w:rsidRPr="00202373">
        <w:rPr>
          <w:rFonts w:asciiTheme="majorHAnsi" w:hAnsiTheme="majorHAnsi" w:cstheme="majorHAnsi"/>
          <w:color w:val="000000"/>
        </w:rPr>
        <w:t>) on the sleeve’s cuff</w:t>
      </w:r>
      <w:r w:rsidR="006928E9">
        <w:rPr>
          <w:rFonts w:asciiTheme="majorHAnsi" w:hAnsiTheme="majorHAnsi" w:cstheme="majorHAnsi"/>
          <w:color w:val="000000"/>
        </w:rPr>
        <w:t xml:space="preserve"> may attribute this piece to </w:t>
      </w:r>
      <w:r w:rsidR="00F96F27">
        <w:rPr>
          <w:rFonts w:asciiTheme="majorHAnsi" w:hAnsiTheme="majorHAnsi" w:cstheme="majorHAnsi"/>
          <w:color w:val="000000"/>
        </w:rPr>
        <w:t>one of the</w:t>
      </w:r>
      <w:r w:rsidR="006928E9">
        <w:rPr>
          <w:rFonts w:asciiTheme="majorHAnsi" w:hAnsiTheme="majorHAnsi" w:cstheme="majorHAnsi"/>
          <w:color w:val="000000"/>
        </w:rPr>
        <w:t xml:space="preserve"> </w:t>
      </w:r>
      <w:r w:rsidR="00F96F27">
        <w:rPr>
          <w:rFonts w:asciiTheme="majorHAnsi" w:hAnsiTheme="majorHAnsi" w:cstheme="majorHAnsi"/>
          <w:color w:val="000000"/>
        </w:rPr>
        <w:t xml:space="preserve">religious confraternities </w:t>
      </w:r>
      <w:r w:rsidR="006928E9">
        <w:rPr>
          <w:rFonts w:asciiTheme="majorHAnsi" w:hAnsiTheme="majorHAnsi" w:cstheme="majorHAnsi"/>
          <w:color w:val="000000"/>
        </w:rPr>
        <w:t>for night vigils</w:t>
      </w:r>
      <w:r w:rsidR="00F94E33">
        <w:rPr>
          <w:rFonts w:asciiTheme="majorHAnsi" w:hAnsiTheme="majorHAnsi" w:cstheme="majorHAnsi"/>
          <w:color w:val="000000"/>
        </w:rPr>
        <w:t xml:space="preserve">, </w:t>
      </w:r>
      <w:proofErr w:type="spellStart"/>
      <w:r w:rsidR="00F94E33" w:rsidRPr="00F94E33">
        <w:rPr>
          <w:rFonts w:asciiTheme="majorHAnsi" w:hAnsiTheme="majorHAnsi" w:cstheme="majorHAnsi"/>
          <w:i/>
          <w:iCs/>
          <w:color w:val="000000"/>
        </w:rPr>
        <w:t>Shom</w:t>
      </w:r>
      <w:r w:rsidR="00F94E33">
        <w:rPr>
          <w:rFonts w:asciiTheme="majorHAnsi" w:hAnsiTheme="majorHAnsi" w:cstheme="majorHAnsi"/>
          <w:i/>
          <w:iCs/>
          <w:color w:val="000000"/>
        </w:rPr>
        <w:t>e</w:t>
      </w:r>
      <w:r w:rsidR="00F94E33" w:rsidRPr="00F94E33">
        <w:rPr>
          <w:rFonts w:asciiTheme="majorHAnsi" w:hAnsiTheme="majorHAnsi" w:cstheme="majorHAnsi"/>
          <w:i/>
          <w:iCs/>
          <w:color w:val="000000"/>
        </w:rPr>
        <w:t>rim</w:t>
      </w:r>
      <w:proofErr w:type="spellEnd"/>
      <w:r w:rsidR="00F94E33" w:rsidRPr="00F94E33">
        <w:rPr>
          <w:rFonts w:asciiTheme="majorHAnsi" w:hAnsiTheme="majorHAnsi" w:cstheme="majorHAnsi"/>
          <w:i/>
          <w:iCs/>
          <w:color w:val="000000"/>
        </w:rPr>
        <w:t xml:space="preserve"> la-</w:t>
      </w:r>
      <w:proofErr w:type="spellStart"/>
      <w:r w:rsidR="00F94E33" w:rsidRPr="00F94E33">
        <w:rPr>
          <w:rFonts w:asciiTheme="majorHAnsi" w:hAnsiTheme="majorHAnsi" w:cstheme="majorHAnsi"/>
          <w:i/>
          <w:iCs/>
          <w:color w:val="000000"/>
        </w:rPr>
        <w:t>Boker</w:t>
      </w:r>
      <w:proofErr w:type="spellEnd"/>
      <w:r w:rsidR="00F94E33">
        <w:rPr>
          <w:rFonts w:asciiTheme="majorHAnsi" w:hAnsiTheme="majorHAnsi" w:cstheme="majorHAnsi"/>
          <w:color w:val="000000"/>
        </w:rPr>
        <w:t xml:space="preserve">, </w:t>
      </w:r>
      <w:r w:rsidR="00F96F27">
        <w:rPr>
          <w:rFonts w:asciiTheme="majorHAnsi" w:hAnsiTheme="majorHAnsi" w:cstheme="majorHAnsi"/>
          <w:color w:val="000000"/>
        </w:rPr>
        <w:t>which operated in numerous east-European Jewish communities.</w:t>
      </w:r>
      <w:r w:rsidR="00F96F27" w:rsidRPr="00F96F27">
        <w:rPr>
          <w:rFonts w:asciiTheme="majorHAnsi" w:hAnsiTheme="majorHAnsi" w:cstheme="majorHAnsi"/>
          <w:color w:val="000000"/>
          <w:vertAlign w:val="superscript"/>
        </w:rPr>
        <w:t xml:space="preserve"> </w:t>
      </w:r>
      <w:r w:rsidR="00F96F27" w:rsidRPr="00202373">
        <w:rPr>
          <w:rFonts w:asciiTheme="majorHAnsi" w:hAnsiTheme="majorHAnsi" w:cstheme="majorHAnsi"/>
          <w:color w:val="000000"/>
          <w:vertAlign w:val="superscript"/>
        </w:rPr>
        <w:footnoteReference w:id="88"/>
      </w:r>
      <w:r w:rsidR="00766924">
        <w:rPr>
          <w:rFonts w:asciiTheme="majorHAnsi" w:hAnsiTheme="majorHAnsi" w:cstheme="majorHAnsi"/>
          <w:color w:val="000000"/>
        </w:rPr>
        <w:t xml:space="preserve"> W</w:t>
      </w:r>
      <w:r w:rsidRPr="00202373">
        <w:rPr>
          <w:rFonts w:asciiTheme="majorHAnsi" w:hAnsiTheme="majorHAnsi" w:cstheme="majorHAnsi"/>
          <w:color w:val="000000"/>
        </w:rPr>
        <w:t>hen read in its wider context in Psalms 130:6</w:t>
      </w:r>
      <w:r w:rsidR="00C66E0F">
        <w:rPr>
          <w:rFonts w:asciiTheme="majorHAnsi" w:hAnsiTheme="majorHAnsi" w:cstheme="majorHAnsi"/>
          <w:color w:val="000000"/>
        </w:rPr>
        <w:t xml:space="preserve"> (</w:t>
      </w:r>
      <w:r w:rsidR="00C66E0F" w:rsidRPr="00C66E0F">
        <w:rPr>
          <w:rFonts w:asciiTheme="majorHAnsi" w:hAnsiTheme="majorHAnsi" w:cstheme="majorHAnsi"/>
          <w:color w:val="000000"/>
          <w:lang w:val="de-DE"/>
        </w:rPr>
        <w:t xml:space="preserve">“My soul waiteth for the Lord, more than watchmen for the </w:t>
      </w:r>
      <w:proofErr w:type="gramStart"/>
      <w:r w:rsidR="00C66E0F" w:rsidRPr="00C66E0F">
        <w:rPr>
          <w:rFonts w:asciiTheme="majorHAnsi" w:hAnsiTheme="majorHAnsi" w:cstheme="majorHAnsi"/>
          <w:color w:val="000000"/>
          <w:lang w:val="de-DE"/>
        </w:rPr>
        <w:t>morning</w:t>
      </w:r>
      <w:r w:rsidR="00C66E0F">
        <w:rPr>
          <w:rFonts w:asciiTheme="majorHAnsi" w:hAnsiTheme="majorHAnsi" w:cstheme="majorHAnsi"/>
          <w:color w:val="000000"/>
          <w:lang w:val="de-DE"/>
        </w:rPr>
        <w:t>“</w:t>
      </w:r>
      <w:proofErr w:type="gramEnd"/>
      <w:r w:rsidR="00C66E0F">
        <w:rPr>
          <w:rFonts w:asciiTheme="majorHAnsi" w:hAnsiTheme="majorHAnsi" w:cstheme="majorHAnsi"/>
          <w:color w:val="000000"/>
        </w:rPr>
        <w:t>)</w:t>
      </w:r>
      <w:r w:rsidRPr="00202373">
        <w:rPr>
          <w:rFonts w:asciiTheme="majorHAnsi" w:hAnsiTheme="majorHAnsi" w:cstheme="majorHAnsi"/>
          <w:color w:val="000000"/>
        </w:rPr>
        <w:t xml:space="preserve">, </w:t>
      </w:r>
      <w:r w:rsidR="00766924">
        <w:rPr>
          <w:rFonts w:asciiTheme="majorHAnsi" w:hAnsiTheme="majorHAnsi" w:cstheme="majorHAnsi"/>
          <w:color w:val="000000"/>
        </w:rPr>
        <w:t xml:space="preserve">the phrase </w:t>
      </w:r>
      <w:r w:rsidRPr="00202373">
        <w:rPr>
          <w:rFonts w:asciiTheme="majorHAnsi" w:hAnsiTheme="majorHAnsi" w:cstheme="majorHAnsi"/>
          <w:color w:val="000000"/>
        </w:rPr>
        <w:t>rehashes the abovementioned concept of the soul arousing for God like a man awaking from night sleep for a new day. The liturgical connotations of Psalm 130 relate to a vocal supplication of the faithful in distress to God: “Out of the depths have I called Thee, O Lord. Lord, hearken unto my voice” (1–2).</w:t>
      </w:r>
      <w:r w:rsidRPr="00202373">
        <w:rPr>
          <w:rFonts w:asciiTheme="majorHAnsi" w:hAnsiTheme="majorHAnsi" w:cstheme="majorHAnsi"/>
          <w:color w:val="000000"/>
          <w:vertAlign w:val="superscript"/>
        </w:rPr>
        <w:footnoteReference w:id="89"/>
      </w:r>
      <w:r w:rsidRPr="00202373">
        <w:rPr>
          <w:rFonts w:asciiTheme="majorHAnsi" w:hAnsiTheme="majorHAnsi" w:cstheme="majorHAnsi"/>
          <w:color w:val="000000"/>
        </w:rPr>
        <w:t xml:space="preserve"> In a visual aspect, the </w:t>
      </w:r>
      <w:proofErr w:type="spellStart"/>
      <w:r w:rsidR="00FC704B">
        <w:rPr>
          <w:rFonts w:asciiTheme="majorHAnsi" w:hAnsiTheme="majorHAnsi" w:cstheme="majorHAnsi"/>
          <w:color w:val="000000"/>
        </w:rPr>
        <w:t>shulklapper</w:t>
      </w:r>
      <w:r w:rsidRPr="00202373">
        <w:rPr>
          <w:rFonts w:asciiTheme="majorHAnsi" w:hAnsiTheme="majorHAnsi" w:cstheme="majorHAnsi"/>
          <w:color w:val="000000"/>
        </w:rPr>
        <w:t>’s</w:t>
      </w:r>
      <w:proofErr w:type="spellEnd"/>
      <w:r w:rsidRPr="00202373">
        <w:rPr>
          <w:rFonts w:asciiTheme="majorHAnsi" w:hAnsiTheme="majorHAnsi" w:cstheme="majorHAnsi"/>
          <w:color w:val="000000"/>
        </w:rPr>
        <w:t xml:space="preserve"> hand knocked doors with a tool, whose form duplicated the hand and its action.  </w:t>
      </w:r>
    </w:p>
    <w:p w14:paraId="0000002F" w14:textId="237F472C"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t xml:space="preserve">Such artificial hands were produced by and for Jews for a variety of ritual purposes. The most widespread of those is a </w:t>
      </w:r>
      <w:r w:rsidRPr="00202373">
        <w:rPr>
          <w:rFonts w:asciiTheme="majorHAnsi" w:hAnsiTheme="majorHAnsi" w:cstheme="majorHAnsi"/>
          <w:i/>
          <w:color w:val="000000"/>
        </w:rPr>
        <w:t>yad</w:t>
      </w:r>
      <w:r w:rsidRPr="00202373">
        <w:rPr>
          <w:rFonts w:asciiTheme="majorHAnsi" w:hAnsiTheme="majorHAnsi" w:cstheme="majorHAnsi"/>
          <w:color w:val="000000"/>
        </w:rPr>
        <w:t xml:space="preserve"> (Hebrew, literally: hand), a pointer to guide the reading of the Torah scroll in synagogues. Since the fifteenth century, the </w:t>
      </w:r>
      <w:r w:rsidRPr="00202373">
        <w:rPr>
          <w:rFonts w:asciiTheme="majorHAnsi" w:hAnsiTheme="majorHAnsi" w:cstheme="majorHAnsi"/>
          <w:i/>
          <w:color w:val="000000"/>
        </w:rPr>
        <w:t>yad</w:t>
      </w:r>
      <w:r w:rsidRPr="00202373">
        <w:rPr>
          <w:rFonts w:asciiTheme="majorHAnsi" w:hAnsiTheme="majorHAnsi" w:cstheme="majorHAnsi"/>
          <w:color w:val="000000"/>
        </w:rPr>
        <w:t xml:space="preserve"> is usually designed as an elongated arm with a hand terminating in a stretched out index finger (for example, see Fig. </w:t>
      </w:r>
      <w:r w:rsidRPr="00202373">
        <w:rPr>
          <w:rFonts w:asciiTheme="majorHAnsi" w:hAnsiTheme="majorHAnsi" w:cstheme="majorHAnsi"/>
          <w:color w:val="000000"/>
        </w:rPr>
        <w:lastRenderedPageBreak/>
        <w:t>12).</w:t>
      </w:r>
      <w:r w:rsidRPr="00202373">
        <w:rPr>
          <w:rFonts w:asciiTheme="majorHAnsi" w:hAnsiTheme="majorHAnsi" w:cstheme="majorHAnsi"/>
          <w:color w:val="000000"/>
          <w:vertAlign w:val="superscript"/>
        </w:rPr>
        <w:footnoteReference w:id="90"/>
      </w:r>
      <w:r w:rsidRPr="00202373">
        <w:rPr>
          <w:rFonts w:asciiTheme="majorHAnsi" w:hAnsiTheme="majorHAnsi" w:cstheme="majorHAnsi"/>
          <w:color w:val="000000"/>
        </w:rPr>
        <w:t xml:space="preserve"> The shaped </w:t>
      </w:r>
      <w:r w:rsidRPr="00202373">
        <w:rPr>
          <w:rFonts w:asciiTheme="majorHAnsi" w:hAnsiTheme="majorHAnsi" w:cstheme="majorHAnsi"/>
          <w:i/>
          <w:color w:val="000000"/>
        </w:rPr>
        <w:t>yad</w:t>
      </w:r>
      <w:r w:rsidRPr="00202373">
        <w:rPr>
          <w:rFonts w:asciiTheme="majorHAnsi" w:hAnsiTheme="majorHAnsi" w:cstheme="majorHAnsi"/>
          <w:color w:val="000000"/>
        </w:rPr>
        <w:t xml:space="preserve"> becomes not only an instrumental extension of but also its idealized counterpart of a human limb: a precious artistic model of a hand and its functional substitute that prevents the impure contact of the reader’s fingers with the sacred scroll.</w:t>
      </w:r>
      <w:r w:rsidRPr="00202373">
        <w:rPr>
          <w:rFonts w:asciiTheme="majorHAnsi" w:hAnsiTheme="majorHAnsi" w:cstheme="majorHAnsi"/>
          <w:color w:val="000000"/>
          <w:vertAlign w:val="superscript"/>
        </w:rPr>
        <w:footnoteReference w:id="91"/>
      </w:r>
      <w:r w:rsidRPr="00202373">
        <w:rPr>
          <w:rFonts w:asciiTheme="majorHAnsi" w:hAnsiTheme="majorHAnsi" w:cstheme="majorHAnsi"/>
          <w:color w:val="000000"/>
        </w:rPr>
        <w:t xml:space="preserve"> The pointer facilitates the proper chanting of the text, that is, again, visual art furnishes a sonic performance in a ritual space. A latent association of a Torah pointer’s outstretched finger with a be-quiet gesture of a finger placed on lips was disclosed by a graphic artist Michal </w:t>
      </w:r>
      <w:proofErr w:type="spellStart"/>
      <w:r w:rsidRPr="00202373">
        <w:rPr>
          <w:rFonts w:asciiTheme="majorHAnsi" w:hAnsiTheme="majorHAnsi" w:cstheme="majorHAnsi"/>
          <w:color w:val="000000"/>
        </w:rPr>
        <w:t>Levit</w:t>
      </w:r>
      <w:proofErr w:type="spellEnd"/>
      <w:r w:rsidRPr="00202373">
        <w:rPr>
          <w:rFonts w:asciiTheme="majorHAnsi" w:hAnsiTheme="majorHAnsi" w:cstheme="majorHAnsi"/>
          <w:color w:val="000000"/>
        </w:rPr>
        <w:t xml:space="preserve"> in her image calling to keep silence during worship and reading the Torah </w:t>
      </w:r>
      <w:r w:rsidR="002946E6">
        <w:rPr>
          <w:rFonts w:asciiTheme="majorHAnsi" w:hAnsiTheme="majorHAnsi" w:cstheme="majorHAnsi"/>
          <w:color w:val="000000"/>
        </w:rPr>
        <w:t>#.</w:t>
      </w:r>
      <w:r w:rsidRPr="00202373">
        <w:rPr>
          <w:rFonts w:asciiTheme="majorHAnsi" w:hAnsiTheme="majorHAnsi" w:cstheme="majorHAnsi"/>
          <w:color w:val="000000"/>
        </w:rPr>
        <w:t xml:space="preserve"> </w:t>
      </w:r>
    </w:p>
    <w:p w14:paraId="5D8BD32D" w14:textId="2E8C5B7E" w:rsidR="00CA554F" w:rsidRDefault="000C3D14" w:rsidP="00CA554F">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t xml:space="preserve">Indeed, </w:t>
      </w:r>
      <w:r w:rsidR="00AE5F01">
        <w:rPr>
          <w:rFonts w:asciiTheme="majorHAnsi" w:hAnsiTheme="majorHAnsi" w:cstheme="majorHAnsi"/>
          <w:color w:val="000000"/>
        </w:rPr>
        <w:t xml:space="preserve">stick extending a </w:t>
      </w:r>
      <w:r w:rsidR="0080705F">
        <w:rPr>
          <w:rFonts w:asciiTheme="majorHAnsi" w:hAnsiTheme="majorHAnsi" w:cstheme="majorHAnsi"/>
          <w:color w:val="000000"/>
        </w:rPr>
        <w:t>hand,</w:t>
      </w:r>
      <w:r w:rsidR="00AE5F01">
        <w:rPr>
          <w:rFonts w:asciiTheme="majorHAnsi" w:hAnsiTheme="majorHAnsi" w:cstheme="majorHAnsi"/>
          <w:color w:val="000000"/>
        </w:rPr>
        <w:t xml:space="preserve"> or </w:t>
      </w:r>
      <w:r w:rsidRPr="00202373">
        <w:rPr>
          <w:rFonts w:asciiTheme="majorHAnsi" w:hAnsiTheme="majorHAnsi" w:cstheme="majorHAnsi"/>
          <w:color w:val="000000"/>
        </w:rPr>
        <w:t>a simulated hand w</w:t>
      </w:r>
      <w:r w:rsidR="00AE5F01">
        <w:rPr>
          <w:rFonts w:asciiTheme="majorHAnsi" w:hAnsiTheme="majorHAnsi" w:cstheme="majorHAnsi"/>
          <w:color w:val="000000"/>
        </w:rPr>
        <w:t>ere</w:t>
      </w:r>
      <w:r w:rsidRPr="00202373">
        <w:rPr>
          <w:rFonts w:asciiTheme="majorHAnsi" w:hAnsiTheme="majorHAnsi" w:cstheme="majorHAnsi"/>
          <w:color w:val="000000"/>
        </w:rPr>
        <w:t xml:space="preserve"> the form</w:t>
      </w:r>
      <w:r w:rsidR="00AE5F01">
        <w:rPr>
          <w:rFonts w:asciiTheme="majorHAnsi" w:hAnsiTheme="majorHAnsi" w:cstheme="majorHAnsi"/>
          <w:color w:val="000000"/>
        </w:rPr>
        <w:t>s</w:t>
      </w:r>
      <w:r w:rsidRPr="00202373">
        <w:rPr>
          <w:rFonts w:asciiTheme="majorHAnsi" w:hAnsiTheme="majorHAnsi" w:cstheme="majorHAnsi"/>
          <w:color w:val="000000"/>
        </w:rPr>
        <w:t xml:space="preserve"> of beaters used for sounding signals to public during the worship. As noisy crowding or chatting disturbed the aural contact between the worshippers and prayer leader, the latter could signal to the congregation the times of their responses or other collective liturgical acts. A third-century C.E. rabbinical source relates to a visual signal – waving a kerchief from a wooden bimah (platform) – that a </w:t>
      </w:r>
      <w:proofErr w:type="spellStart"/>
      <w:r w:rsidRPr="00202373">
        <w:rPr>
          <w:rFonts w:asciiTheme="majorHAnsi" w:hAnsiTheme="majorHAnsi" w:cstheme="majorHAnsi"/>
          <w:i/>
          <w:color w:val="000000"/>
        </w:rPr>
        <w:t>ḥazan</w:t>
      </w:r>
      <w:proofErr w:type="spellEnd"/>
      <w:r w:rsidRPr="00202373">
        <w:rPr>
          <w:rFonts w:asciiTheme="majorHAnsi" w:hAnsiTheme="majorHAnsi" w:cstheme="majorHAnsi"/>
          <w:color w:val="000000"/>
        </w:rPr>
        <w:t xml:space="preserve"> (cantor) sent to the congregation in the synagogue of Alexandria.</w:t>
      </w:r>
      <w:r w:rsidRPr="00202373">
        <w:rPr>
          <w:rFonts w:asciiTheme="majorHAnsi" w:hAnsiTheme="majorHAnsi" w:cstheme="majorHAnsi"/>
          <w:color w:val="000000"/>
          <w:vertAlign w:val="superscript"/>
        </w:rPr>
        <w:footnoteReference w:id="92"/>
      </w:r>
      <w:r w:rsidRPr="00202373">
        <w:rPr>
          <w:rFonts w:asciiTheme="majorHAnsi" w:hAnsiTheme="majorHAnsi" w:cstheme="majorHAnsi"/>
          <w:color w:val="000000"/>
        </w:rPr>
        <w:t xml:space="preserve"> </w:t>
      </w:r>
      <w:r w:rsidR="00731D54">
        <w:rPr>
          <w:rFonts w:asciiTheme="majorHAnsi" w:hAnsiTheme="majorHAnsi" w:cstheme="majorHAnsi"/>
          <w:color w:val="000000"/>
        </w:rPr>
        <w:t>In t</w:t>
      </w:r>
      <w:r w:rsidRPr="00202373">
        <w:rPr>
          <w:rFonts w:asciiTheme="majorHAnsi" w:hAnsiTheme="majorHAnsi" w:cstheme="majorHAnsi"/>
          <w:color w:val="000000"/>
        </w:rPr>
        <w:t xml:space="preserve">he </w:t>
      </w:r>
      <w:r w:rsidR="00731D54">
        <w:rPr>
          <w:rFonts w:asciiTheme="majorHAnsi" w:hAnsiTheme="majorHAnsi" w:cstheme="majorHAnsi"/>
          <w:color w:val="000000"/>
        </w:rPr>
        <w:t xml:space="preserve">modern times, synagogue beadles used </w:t>
      </w:r>
      <w:r w:rsidR="00270CF8">
        <w:rPr>
          <w:rFonts w:asciiTheme="majorHAnsi" w:hAnsiTheme="majorHAnsi" w:cstheme="majorHAnsi"/>
          <w:color w:val="000000"/>
        </w:rPr>
        <w:t xml:space="preserve">loud </w:t>
      </w:r>
      <w:r w:rsidRPr="00202373">
        <w:rPr>
          <w:rFonts w:asciiTheme="majorHAnsi" w:hAnsiTheme="majorHAnsi" w:cstheme="majorHAnsi"/>
          <w:color w:val="000000"/>
        </w:rPr>
        <w:t xml:space="preserve">acoustic signals </w:t>
      </w:r>
      <w:r w:rsidR="00731D54" w:rsidRPr="00202373">
        <w:rPr>
          <w:rFonts w:asciiTheme="majorHAnsi" w:hAnsiTheme="majorHAnsi" w:cstheme="majorHAnsi"/>
          <w:color w:val="000000"/>
        </w:rPr>
        <w:t>to call the attention of congregants during the service</w:t>
      </w:r>
      <w:r w:rsidR="00731D54">
        <w:rPr>
          <w:rFonts w:asciiTheme="majorHAnsi" w:hAnsiTheme="majorHAnsi" w:cstheme="majorHAnsi"/>
          <w:color w:val="000000"/>
        </w:rPr>
        <w:t>.</w:t>
      </w:r>
      <w:r w:rsidR="00731D54" w:rsidRPr="00202373">
        <w:rPr>
          <w:rFonts w:asciiTheme="majorHAnsi" w:hAnsiTheme="majorHAnsi" w:cstheme="majorHAnsi"/>
          <w:color w:val="000000"/>
        </w:rPr>
        <w:t xml:space="preserve"> </w:t>
      </w:r>
      <w:proofErr w:type="spellStart"/>
      <w:r w:rsidR="00270CF8" w:rsidRPr="00270CF8">
        <w:rPr>
          <w:rFonts w:asciiTheme="majorHAnsi" w:hAnsiTheme="majorHAnsi" w:cstheme="majorHAnsi"/>
          <w:color w:val="000000"/>
        </w:rPr>
        <w:t>Bałaban</w:t>
      </w:r>
      <w:proofErr w:type="spellEnd"/>
      <w:r w:rsidR="00270CF8">
        <w:rPr>
          <w:rFonts w:asciiTheme="majorHAnsi" w:hAnsiTheme="majorHAnsi" w:cstheme="majorHAnsi"/>
          <w:color w:val="000000"/>
        </w:rPr>
        <w:t xml:space="preserve"> </w:t>
      </w:r>
      <w:r w:rsidR="00C66E0F" w:rsidRPr="00C66E0F">
        <w:rPr>
          <w:rFonts w:asciiTheme="majorHAnsi" w:hAnsiTheme="majorHAnsi" w:cstheme="majorHAnsi"/>
          <w:color w:val="000000"/>
        </w:rPr>
        <w:t xml:space="preserve">discovered in Polish synagogues </w:t>
      </w:r>
      <w:r w:rsidR="00413323">
        <w:rPr>
          <w:rFonts w:asciiTheme="majorHAnsi" w:hAnsiTheme="majorHAnsi" w:cstheme="majorHAnsi"/>
          <w:color w:val="000000"/>
        </w:rPr>
        <w:t xml:space="preserve">what was called </w:t>
      </w:r>
      <w:r w:rsidR="00C66E0F" w:rsidRPr="00C66E0F">
        <w:rPr>
          <w:rFonts w:asciiTheme="majorHAnsi" w:hAnsiTheme="majorHAnsi" w:cstheme="majorHAnsi"/>
          <w:color w:val="000000"/>
        </w:rPr>
        <w:t xml:space="preserve">a </w:t>
      </w:r>
      <w:bookmarkStart w:id="36" w:name="_Hlk137461769"/>
      <w:proofErr w:type="spellStart"/>
      <w:r w:rsidR="00C66E0F" w:rsidRPr="00C66E0F">
        <w:rPr>
          <w:rFonts w:asciiTheme="majorHAnsi" w:hAnsiTheme="majorHAnsi" w:cstheme="majorHAnsi"/>
          <w:i/>
          <w:iCs/>
          <w:color w:val="000000"/>
        </w:rPr>
        <w:t>pralnik</w:t>
      </w:r>
      <w:bookmarkEnd w:id="36"/>
      <w:proofErr w:type="spellEnd"/>
      <w:r w:rsidR="00B7211C">
        <w:rPr>
          <w:rFonts w:asciiTheme="majorHAnsi" w:hAnsiTheme="majorHAnsi" w:cstheme="majorHAnsi"/>
          <w:color w:val="000000"/>
        </w:rPr>
        <w:t>: a plank and</w:t>
      </w:r>
      <w:r w:rsidR="00B54EB1" w:rsidRPr="00C66E0F">
        <w:rPr>
          <w:rFonts w:asciiTheme="majorHAnsi" w:hAnsiTheme="majorHAnsi" w:cstheme="majorHAnsi"/>
          <w:color w:val="000000"/>
        </w:rPr>
        <w:t xml:space="preserve"> leather pillow</w:t>
      </w:r>
      <w:r w:rsidR="00D468CE">
        <w:rPr>
          <w:rFonts w:asciiTheme="majorHAnsi" w:hAnsiTheme="majorHAnsi" w:cstheme="majorHAnsi"/>
          <w:color w:val="000000"/>
        </w:rPr>
        <w:t>.</w:t>
      </w:r>
      <w:r w:rsidR="00B7211C">
        <w:rPr>
          <w:rStyle w:val="FootnoteReference"/>
          <w:rFonts w:asciiTheme="majorHAnsi" w:hAnsiTheme="majorHAnsi" w:cstheme="majorHAnsi"/>
          <w:color w:val="000000"/>
        </w:rPr>
        <w:footnoteReference w:id="93"/>
      </w:r>
      <w:r w:rsidR="00C66E0F" w:rsidRPr="00C66E0F">
        <w:rPr>
          <w:rFonts w:asciiTheme="majorHAnsi" w:hAnsiTheme="majorHAnsi" w:cstheme="majorHAnsi"/>
          <w:color w:val="000000"/>
        </w:rPr>
        <w:t xml:space="preserve"> </w:t>
      </w:r>
      <w:r w:rsidR="00D468CE">
        <w:rPr>
          <w:rFonts w:asciiTheme="majorHAnsi" w:hAnsiTheme="majorHAnsi" w:cstheme="majorHAnsi"/>
          <w:color w:val="000000"/>
        </w:rPr>
        <w:t>H</w:t>
      </w:r>
      <w:r w:rsidR="00C66E0F" w:rsidRPr="00C66E0F">
        <w:rPr>
          <w:rFonts w:asciiTheme="majorHAnsi" w:hAnsiTheme="majorHAnsi" w:cstheme="majorHAnsi"/>
          <w:color w:val="000000"/>
        </w:rPr>
        <w:t xml:space="preserve">e reported that the </w:t>
      </w:r>
      <w:r w:rsidR="004B5B64" w:rsidRPr="004B5B64">
        <w:rPr>
          <w:rFonts w:asciiTheme="majorHAnsi" w:hAnsiTheme="majorHAnsi" w:cstheme="majorHAnsi"/>
          <w:color w:val="000000"/>
        </w:rPr>
        <w:t>plank</w:t>
      </w:r>
      <w:r w:rsidR="00C66E0F" w:rsidRPr="00C66E0F">
        <w:rPr>
          <w:rFonts w:asciiTheme="majorHAnsi" w:hAnsiTheme="majorHAnsi" w:cstheme="majorHAnsi"/>
          <w:color w:val="000000"/>
        </w:rPr>
        <w:t xml:space="preserve"> </w:t>
      </w:r>
      <w:r w:rsidR="004B5B64">
        <w:rPr>
          <w:rFonts w:asciiTheme="majorHAnsi" w:hAnsiTheme="majorHAnsi" w:cstheme="majorHAnsi"/>
          <w:color w:val="000000"/>
        </w:rPr>
        <w:t xml:space="preserve">was </w:t>
      </w:r>
      <w:r w:rsidR="00D468CE">
        <w:rPr>
          <w:rFonts w:asciiTheme="majorHAnsi" w:hAnsiTheme="majorHAnsi" w:cstheme="majorHAnsi"/>
          <w:color w:val="000000"/>
        </w:rPr>
        <w:t xml:space="preserve">laid on the bimah’s table and </w:t>
      </w:r>
      <w:r w:rsidR="00C66E0F" w:rsidRPr="00C66E0F">
        <w:rPr>
          <w:rFonts w:asciiTheme="majorHAnsi" w:hAnsiTheme="majorHAnsi" w:cstheme="majorHAnsi"/>
          <w:color w:val="000000"/>
        </w:rPr>
        <w:t xml:space="preserve">used to maintain silence </w:t>
      </w:r>
      <w:r w:rsidR="00832E4F">
        <w:rPr>
          <w:rFonts w:asciiTheme="majorHAnsi" w:hAnsiTheme="majorHAnsi" w:cstheme="majorHAnsi"/>
          <w:color w:val="000000"/>
        </w:rPr>
        <w:t xml:space="preserve">(in fact, to stop chatting) </w:t>
      </w:r>
      <w:r w:rsidR="00C66E0F" w:rsidRPr="00C66E0F">
        <w:rPr>
          <w:rFonts w:asciiTheme="majorHAnsi" w:hAnsiTheme="majorHAnsi" w:cstheme="majorHAnsi"/>
          <w:color w:val="000000"/>
        </w:rPr>
        <w:t>during prayer by slapping the pillow.</w:t>
      </w:r>
      <w:r w:rsidR="00C66E0F">
        <w:rPr>
          <w:rStyle w:val="FootnoteReference"/>
          <w:rFonts w:asciiTheme="majorHAnsi" w:hAnsiTheme="majorHAnsi" w:cstheme="majorHAnsi"/>
          <w:color w:val="000000"/>
        </w:rPr>
        <w:footnoteReference w:id="94"/>
      </w:r>
      <w:r w:rsidR="00DD4531">
        <w:rPr>
          <w:rFonts w:asciiTheme="majorHAnsi" w:hAnsiTheme="majorHAnsi" w:cstheme="majorHAnsi"/>
          <w:color w:val="000000"/>
        </w:rPr>
        <w:t xml:space="preserve"> </w:t>
      </w:r>
      <w:r w:rsidR="00832E4F">
        <w:rPr>
          <w:rFonts w:asciiTheme="majorHAnsi" w:hAnsiTheme="majorHAnsi" w:cstheme="majorHAnsi"/>
          <w:color w:val="000000"/>
        </w:rPr>
        <w:t xml:space="preserve">Such a </w:t>
      </w:r>
      <w:r w:rsidR="00D468CE">
        <w:rPr>
          <w:rFonts w:asciiTheme="majorHAnsi" w:hAnsiTheme="majorHAnsi" w:cstheme="majorHAnsi"/>
          <w:color w:val="000000"/>
        </w:rPr>
        <w:t xml:space="preserve">wooden </w:t>
      </w:r>
      <w:r w:rsidR="00832E4F">
        <w:rPr>
          <w:rFonts w:asciiTheme="majorHAnsi" w:hAnsiTheme="majorHAnsi" w:cstheme="majorHAnsi"/>
          <w:color w:val="000000"/>
        </w:rPr>
        <w:t xml:space="preserve">stick and pillow are discerned in </w:t>
      </w:r>
      <w:r w:rsidR="00056033">
        <w:rPr>
          <w:rFonts w:asciiTheme="majorHAnsi" w:hAnsiTheme="majorHAnsi" w:cstheme="majorHAnsi"/>
          <w:color w:val="000000"/>
        </w:rPr>
        <w:t xml:space="preserve">photographs taken by Solomon </w:t>
      </w:r>
      <w:proofErr w:type="spellStart"/>
      <w:r w:rsidR="00056033">
        <w:rPr>
          <w:rFonts w:asciiTheme="majorHAnsi" w:hAnsiTheme="majorHAnsi" w:cstheme="majorHAnsi"/>
          <w:color w:val="000000"/>
        </w:rPr>
        <w:t>Yudovin</w:t>
      </w:r>
      <w:proofErr w:type="spellEnd"/>
      <w:r w:rsidR="00056033">
        <w:rPr>
          <w:rFonts w:asciiTheme="majorHAnsi" w:hAnsiTheme="majorHAnsi" w:cstheme="majorHAnsi"/>
          <w:color w:val="000000"/>
        </w:rPr>
        <w:t xml:space="preserve"> in the synagogues of </w:t>
      </w:r>
      <w:proofErr w:type="spellStart"/>
      <w:r w:rsidR="00056033">
        <w:rPr>
          <w:rFonts w:asciiTheme="majorHAnsi" w:hAnsiTheme="majorHAnsi" w:cstheme="majorHAnsi"/>
          <w:color w:val="000000"/>
        </w:rPr>
        <w:t>Dubno</w:t>
      </w:r>
      <w:proofErr w:type="spellEnd"/>
      <w:r w:rsidR="00056033">
        <w:rPr>
          <w:rFonts w:asciiTheme="majorHAnsi" w:hAnsiTheme="majorHAnsi" w:cstheme="majorHAnsi"/>
          <w:color w:val="000000"/>
        </w:rPr>
        <w:t xml:space="preserve"> and </w:t>
      </w:r>
      <w:proofErr w:type="spellStart"/>
      <w:r w:rsidR="00056033">
        <w:rPr>
          <w:rFonts w:asciiTheme="majorHAnsi" w:hAnsiTheme="majorHAnsi" w:cstheme="majorHAnsi"/>
          <w:color w:val="000000"/>
        </w:rPr>
        <w:t>Kremenets</w:t>
      </w:r>
      <w:proofErr w:type="spellEnd"/>
      <w:r w:rsidR="00056033">
        <w:rPr>
          <w:rFonts w:asciiTheme="majorHAnsi" w:hAnsiTheme="majorHAnsi" w:cstheme="majorHAnsi"/>
          <w:color w:val="000000"/>
        </w:rPr>
        <w:t xml:space="preserve"> in Ukraine in 1912–1913.</w:t>
      </w:r>
      <w:r w:rsidR="00056033">
        <w:rPr>
          <w:rStyle w:val="FootnoteReference"/>
          <w:rFonts w:asciiTheme="majorHAnsi" w:hAnsiTheme="majorHAnsi" w:cstheme="majorHAnsi"/>
          <w:color w:val="000000"/>
        </w:rPr>
        <w:footnoteReference w:id="95"/>
      </w:r>
      <w:r w:rsidR="00056033">
        <w:rPr>
          <w:rFonts w:asciiTheme="majorHAnsi" w:hAnsiTheme="majorHAnsi" w:cstheme="majorHAnsi"/>
          <w:color w:val="000000"/>
        </w:rPr>
        <w:t xml:space="preserve"> </w:t>
      </w:r>
    </w:p>
    <w:p w14:paraId="1EA53843" w14:textId="1E9C5308" w:rsidR="00AE5F01" w:rsidRDefault="00C4197E" w:rsidP="00C4197E">
      <w:pPr>
        <w:pBdr>
          <w:top w:val="nil"/>
          <w:left w:val="nil"/>
          <w:bottom w:val="nil"/>
          <w:right w:val="nil"/>
          <w:between w:val="nil"/>
        </w:pBdr>
        <w:spacing w:line="360" w:lineRule="auto"/>
        <w:ind w:firstLine="720"/>
        <w:rPr>
          <w:rFonts w:asciiTheme="majorHAnsi" w:hAnsiTheme="majorHAnsi" w:cstheme="majorHAnsi"/>
          <w:color w:val="000000"/>
        </w:rPr>
      </w:pPr>
      <w:r w:rsidRPr="00C4197E">
        <w:rPr>
          <w:rFonts w:asciiTheme="majorHAnsi" w:hAnsiTheme="majorHAnsi" w:cstheme="majorHAnsi"/>
          <w:color w:val="000000"/>
        </w:rPr>
        <w:lastRenderedPageBreak/>
        <w:t xml:space="preserve">In 1938, </w:t>
      </w:r>
      <w:r>
        <w:rPr>
          <w:rFonts w:asciiTheme="majorHAnsi" w:hAnsiTheme="majorHAnsi" w:cstheme="majorHAnsi"/>
          <w:color w:val="000000"/>
        </w:rPr>
        <w:t xml:space="preserve">a certain </w:t>
      </w:r>
      <w:r w:rsidRPr="00C4197E">
        <w:rPr>
          <w:rFonts w:asciiTheme="majorHAnsi" w:hAnsiTheme="majorHAnsi" w:cstheme="majorHAnsi"/>
          <w:color w:val="000000"/>
        </w:rPr>
        <w:t xml:space="preserve">Hannah </w:t>
      </w:r>
      <w:proofErr w:type="spellStart"/>
      <w:r w:rsidRPr="00C4197E">
        <w:rPr>
          <w:rFonts w:asciiTheme="majorHAnsi" w:hAnsiTheme="majorHAnsi" w:cstheme="majorHAnsi"/>
          <w:color w:val="000000"/>
        </w:rPr>
        <w:t>Ramba</w:t>
      </w:r>
      <w:proofErr w:type="spellEnd"/>
      <w:r w:rsidRPr="00C4197E">
        <w:rPr>
          <w:rFonts w:asciiTheme="majorHAnsi" w:hAnsiTheme="majorHAnsi" w:cstheme="majorHAnsi"/>
          <w:color w:val="000000"/>
        </w:rPr>
        <w:t xml:space="preserve"> donated a metal </w:t>
      </w:r>
      <w:r>
        <w:rPr>
          <w:rFonts w:asciiTheme="majorHAnsi" w:hAnsiTheme="majorHAnsi" w:cstheme="majorHAnsi"/>
          <w:color w:val="000000"/>
        </w:rPr>
        <w:t>rattle</w:t>
      </w:r>
      <w:r w:rsidRPr="00C4197E">
        <w:rPr>
          <w:rFonts w:asciiTheme="majorHAnsi" w:hAnsiTheme="majorHAnsi" w:cstheme="majorHAnsi"/>
          <w:color w:val="000000"/>
        </w:rPr>
        <w:t xml:space="preserve"> with a gilt-engraved dedicatory inscription </w:t>
      </w:r>
      <w:r w:rsidR="002946E6">
        <w:rPr>
          <w:rFonts w:asciiTheme="majorHAnsi" w:hAnsiTheme="majorHAnsi" w:cstheme="majorHAnsi"/>
          <w:color w:val="000000"/>
        </w:rPr>
        <w:t>#</w:t>
      </w:r>
      <w:r w:rsidRPr="00C4197E">
        <w:rPr>
          <w:rFonts w:asciiTheme="majorHAnsi" w:hAnsiTheme="majorHAnsi" w:cstheme="majorHAnsi"/>
          <w:color w:val="000000"/>
        </w:rPr>
        <w:t xml:space="preserve"> to the synagogue of Jewish emigrants from Jedwabne (Poland) in New York's Lower East Side neighborhood.</w:t>
      </w:r>
      <w:r>
        <w:rPr>
          <w:rStyle w:val="FootnoteReference"/>
          <w:rFonts w:asciiTheme="majorHAnsi" w:hAnsiTheme="majorHAnsi" w:cstheme="majorHAnsi"/>
          <w:color w:val="000000"/>
        </w:rPr>
        <w:footnoteReference w:id="96"/>
      </w:r>
      <w:r w:rsidRPr="00C4197E">
        <w:rPr>
          <w:rFonts w:asciiTheme="majorHAnsi" w:hAnsiTheme="majorHAnsi" w:cstheme="majorHAnsi"/>
          <w:color w:val="000000"/>
        </w:rPr>
        <w:t xml:space="preserve">  In her new place of residence, it is probable that </w:t>
      </w:r>
      <w:r>
        <w:rPr>
          <w:rFonts w:asciiTheme="majorHAnsi" w:hAnsiTheme="majorHAnsi" w:cstheme="majorHAnsi"/>
          <w:color w:val="000000"/>
        </w:rPr>
        <w:t>she</w:t>
      </w:r>
      <w:r w:rsidRPr="00C4197E">
        <w:rPr>
          <w:rFonts w:asciiTheme="majorHAnsi" w:hAnsiTheme="majorHAnsi" w:cstheme="majorHAnsi"/>
          <w:color w:val="000000"/>
        </w:rPr>
        <w:t xml:space="preserve"> desired to replant the old-home custom of using a Polish wooden </w:t>
      </w:r>
      <w:proofErr w:type="spellStart"/>
      <w:r w:rsidRPr="00C4197E">
        <w:rPr>
          <w:rFonts w:asciiTheme="majorHAnsi" w:hAnsiTheme="majorHAnsi" w:cstheme="majorHAnsi"/>
          <w:i/>
          <w:iCs/>
          <w:color w:val="000000"/>
        </w:rPr>
        <w:t>pralnik</w:t>
      </w:r>
      <w:proofErr w:type="spellEnd"/>
      <w:r w:rsidRPr="00C4197E">
        <w:rPr>
          <w:rFonts w:asciiTheme="majorHAnsi" w:hAnsiTheme="majorHAnsi" w:cstheme="majorHAnsi"/>
          <w:color w:val="000000"/>
        </w:rPr>
        <w:t xml:space="preserve"> with a more distinguished ceremonial object.</w:t>
      </w:r>
      <w:r>
        <w:rPr>
          <w:rFonts w:asciiTheme="majorHAnsi" w:hAnsiTheme="majorHAnsi" w:cstheme="majorHAnsi"/>
          <w:color w:val="000000"/>
        </w:rPr>
        <w:t xml:space="preserve"> </w:t>
      </w:r>
      <w:r w:rsidR="00AE5F01" w:rsidRPr="00AE5F01">
        <w:rPr>
          <w:rFonts w:asciiTheme="majorHAnsi" w:hAnsiTheme="majorHAnsi" w:cstheme="majorHAnsi"/>
          <w:color w:val="000000"/>
        </w:rPr>
        <w:t>In the Greenbank Drive Synagogue in Liverpool (built in 1857</w:t>
      </w:r>
      <w:r w:rsidR="0016514F">
        <w:rPr>
          <w:rFonts w:asciiTheme="majorHAnsi" w:hAnsiTheme="majorHAnsi" w:cstheme="majorHAnsi"/>
          <w:color w:val="000000"/>
        </w:rPr>
        <w:t>,</w:t>
      </w:r>
      <w:r w:rsidR="00AE5F01" w:rsidRPr="00AE5F01">
        <w:rPr>
          <w:rFonts w:asciiTheme="majorHAnsi" w:hAnsiTheme="majorHAnsi" w:cstheme="majorHAnsi"/>
          <w:color w:val="000000"/>
        </w:rPr>
        <w:t xml:space="preserve"> closed in 2008), the beadle called the congregation to order with a judge's gavel,</w:t>
      </w:r>
      <w:r w:rsidR="0016514F">
        <w:rPr>
          <w:rStyle w:val="FootnoteReference"/>
          <w:rFonts w:asciiTheme="majorHAnsi" w:hAnsiTheme="majorHAnsi" w:cstheme="majorHAnsi"/>
          <w:color w:val="000000"/>
        </w:rPr>
        <w:footnoteReference w:id="97"/>
      </w:r>
      <w:r w:rsidR="00AE5F01" w:rsidRPr="00AE5F01">
        <w:rPr>
          <w:rFonts w:asciiTheme="majorHAnsi" w:hAnsiTheme="majorHAnsi" w:cstheme="majorHAnsi"/>
          <w:color w:val="000000"/>
        </w:rPr>
        <w:t xml:space="preserve"> while in the </w:t>
      </w:r>
      <w:proofErr w:type="spellStart"/>
      <w:r w:rsidR="00AE5F01" w:rsidRPr="00AE5F01">
        <w:rPr>
          <w:rFonts w:asciiTheme="majorHAnsi" w:hAnsiTheme="majorHAnsi" w:cstheme="majorHAnsi"/>
          <w:color w:val="000000"/>
        </w:rPr>
        <w:t>Belz</w:t>
      </w:r>
      <w:proofErr w:type="spellEnd"/>
      <w:r w:rsidR="00AE5F01" w:rsidRPr="00AE5F01">
        <w:rPr>
          <w:rFonts w:asciiTheme="majorHAnsi" w:hAnsiTheme="majorHAnsi" w:cstheme="majorHAnsi"/>
          <w:color w:val="000000"/>
        </w:rPr>
        <w:t xml:space="preserve"> Great Synagogue in Jerusalem</w:t>
      </w:r>
      <w:r w:rsidR="00CA554F">
        <w:rPr>
          <w:rFonts w:asciiTheme="majorHAnsi" w:hAnsiTheme="majorHAnsi" w:cstheme="majorHAnsi"/>
          <w:color w:val="000000"/>
        </w:rPr>
        <w:t xml:space="preserve"> (built in 2000)</w:t>
      </w:r>
      <w:r w:rsidR="00AE5F01" w:rsidRPr="00AE5F01">
        <w:rPr>
          <w:rFonts w:asciiTheme="majorHAnsi" w:hAnsiTheme="majorHAnsi" w:cstheme="majorHAnsi"/>
          <w:color w:val="000000"/>
        </w:rPr>
        <w:t xml:space="preserve">, a large wooden spatula is </w:t>
      </w:r>
      <w:r w:rsidR="00AE5F01">
        <w:rPr>
          <w:rFonts w:asciiTheme="majorHAnsi" w:hAnsiTheme="majorHAnsi" w:cstheme="majorHAnsi"/>
          <w:color w:val="000000"/>
        </w:rPr>
        <w:t xml:space="preserve">presently employed </w:t>
      </w:r>
      <w:r w:rsidR="00CA554F">
        <w:rPr>
          <w:rFonts w:asciiTheme="majorHAnsi" w:hAnsiTheme="majorHAnsi" w:cstheme="majorHAnsi"/>
          <w:color w:val="000000"/>
        </w:rPr>
        <w:t xml:space="preserve">being </w:t>
      </w:r>
      <w:r w:rsidR="00AE5F01" w:rsidRPr="00AE5F01">
        <w:rPr>
          <w:rFonts w:asciiTheme="majorHAnsi" w:hAnsiTheme="majorHAnsi" w:cstheme="majorHAnsi"/>
          <w:color w:val="000000"/>
        </w:rPr>
        <w:t xml:space="preserve">struck against a leather cushion.  </w:t>
      </w:r>
    </w:p>
    <w:p w14:paraId="00000030" w14:textId="60C5BDF3" w:rsidR="009B4F5A" w:rsidRPr="00202373" w:rsidRDefault="000C3D14" w:rsidP="00AE5F01">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t xml:space="preserve">The wooden arm ending in an open palm </w:t>
      </w:r>
      <w:r w:rsidR="002946E6">
        <w:rPr>
          <w:rFonts w:asciiTheme="majorHAnsi" w:hAnsiTheme="majorHAnsi" w:cstheme="majorHAnsi"/>
          <w:color w:val="000000"/>
        </w:rPr>
        <w:t>#</w:t>
      </w:r>
      <w:r w:rsidRPr="00202373">
        <w:rPr>
          <w:rFonts w:asciiTheme="majorHAnsi" w:hAnsiTheme="majorHAnsi" w:cstheme="majorHAnsi"/>
          <w:color w:val="000000"/>
        </w:rPr>
        <w:t xml:space="preserve"> was struck against a lectern or desk in an unidentified Romanian synagogue. Once again, the design of a percussion tool mimics the human limb operating this tool and, thereby, freezes the acoustic action in a still plastic form. Even when not enacted, the hand-like beater laying on a lectern in front of the synagogue congregation manifests the sonic authority of the</w:t>
      </w:r>
      <w:r w:rsidR="00CA554F">
        <w:rPr>
          <w:rFonts w:asciiTheme="majorHAnsi" w:hAnsiTheme="majorHAnsi" w:cstheme="majorHAnsi"/>
          <w:color w:val="000000"/>
        </w:rPr>
        <w:t xml:space="preserve"> prayer leader</w:t>
      </w:r>
      <w:r w:rsidRPr="00202373">
        <w:rPr>
          <w:rFonts w:asciiTheme="majorHAnsi" w:hAnsiTheme="majorHAnsi" w:cstheme="majorHAnsi"/>
          <w:color w:val="000000"/>
        </w:rPr>
        <w:t xml:space="preserve">. </w:t>
      </w:r>
    </w:p>
    <w:p w14:paraId="00000031" w14:textId="77777777" w:rsidR="009B4F5A" w:rsidRPr="00202373" w:rsidRDefault="000C3D14" w:rsidP="00943C0A">
      <w:pPr>
        <w:pStyle w:val="Heading2"/>
        <w:rPr>
          <w:rFonts w:asciiTheme="majorHAnsi" w:hAnsiTheme="majorHAnsi" w:cstheme="majorHAnsi"/>
        </w:rPr>
      </w:pPr>
      <w:r w:rsidRPr="00202373">
        <w:rPr>
          <w:rFonts w:asciiTheme="majorHAnsi" w:hAnsiTheme="majorHAnsi" w:cstheme="majorHAnsi"/>
        </w:rPr>
        <w:t>Gaging Mouth and Blessed Silence</w:t>
      </w:r>
    </w:p>
    <w:p w14:paraId="00000032" w14:textId="2981DD72" w:rsidR="009B4F5A" w:rsidRPr="00202373" w:rsidRDefault="004B18C0" w:rsidP="00943C0A">
      <w:pPr>
        <w:widowControl w:val="0"/>
        <w:pBdr>
          <w:top w:val="nil"/>
          <w:left w:val="nil"/>
          <w:bottom w:val="nil"/>
          <w:right w:val="nil"/>
          <w:between w:val="nil"/>
        </w:pBdr>
        <w:spacing w:before="240" w:line="360" w:lineRule="auto"/>
        <w:rPr>
          <w:rFonts w:asciiTheme="majorHAnsi" w:hAnsiTheme="majorHAnsi" w:cstheme="majorHAnsi"/>
          <w:color w:val="000000"/>
        </w:rPr>
      </w:pPr>
      <w:r w:rsidRPr="004B18C0">
        <w:rPr>
          <w:rFonts w:asciiTheme="majorHAnsi" w:hAnsiTheme="majorHAnsi" w:cstheme="majorHAnsi"/>
          <w:color w:val="000000"/>
        </w:rPr>
        <w:t xml:space="preserve">The </w:t>
      </w:r>
      <w:r w:rsidRPr="00202373">
        <w:rPr>
          <w:rFonts w:asciiTheme="majorHAnsi" w:hAnsiTheme="majorHAnsi" w:cstheme="majorHAnsi"/>
          <w:color w:val="000000"/>
        </w:rPr>
        <w:t xml:space="preserve">phenomenon </w:t>
      </w:r>
      <w:r w:rsidRPr="004B18C0">
        <w:rPr>
          <w:rFonts w:asciiTheme="majorHAnsi" w:hAnsiTheme="majorHAnsi" w:cstheme="majorHAnsi"/>
          <w:color w:val="000000"/>
        </w:rPr>
        <w:t>of synagogue gavels lead</w:t>
      </w:r>
      <w:r>
        <w:rPr>
          <w:rFonts w:asciiTheme="majorHAnsi" w:hAnsiTheme="majorHAnsi" w:cstheme="majorHAnsi"/>
          <w:color w:val="000000"/>
        </w:rPr>
        <w:t>s</w:t>
      </w:r>
      <w:r w:rsidRPr="004B18C0">
        <w:rPr>
          <w:rFonts w:asciiTheme="majorHAnsi" w:hAnsiTheme="majorHAnsi" w:cstheme="majorHAnsi"/>
          <w:color w:val="000000"/>
        </w:rPr>
        <w:t xml:space="preserve"> to </w:t>
      </w:r>
      <w:r>
        <w:rPr>
          <w:rFonts w:asciiTheme="majorHAnsi" w:hAnsiTheme="majorHAnsi" w:cstheme="majorHAnsi"/>
          <w:color w:val="000000"/>
        </w:rPr>
        <w:t>more</w:t>
      </w:r>
      <w:r w:rsidRPr="004B18C0">
        <w:rPr>
          <w:rFonts w:asciiTheme="majorHAnsi" w:hAnsiTheme="majorHAnsi" w:cstheme="majorHAnsi"/>
          <w:color w:val="000000"/>
        </w:rPr>
        <w:t xml:space="preserve"> conjecture</w:t>
      </w:r>
      <w:r>
        <w:rPr>
          <w:rFonts w:asciiTheme="majorHAnsi" w:hAnsiTheme="majorHAnsi" w:cstheme="majorHAnsi"/>
          <w:color w:val="000000"/>
        </w:rPr>
        <w:t>s</w:t>
      </w:r>
      <w:r w:rsidRPr="004B18C0">
        <w:rPr>
          <w:rFonts w:asciiTheme="majorHAnsi" w:hAnsiTheme="majorHAnsi" w:cstheme="majorHAnsi"/>
          <w:color w:val="000000"/>
        </w:rPr>
        <w:t xml:space="preserve"> concerning the two </w:t>
      </w:r>
      <w:proofErr w:type="spellStart"/>
      <w:r w:rsidRPr="004B18C0">
        <w:rPr>
          <w:rFonts w:asciiTheme="majorHAnsi" w:hAnsiTheme="majorHAnsi" w:cstheme="majorHAnsi"/>
          <w:color w:val="000000"/>
        </w:rPr>
        <w:t>shulklapper's</w:t>
      </w:r>
      <w:proofErr w:type="spellEnd"/>
      <w:r w:rsidRPr="004B18C0">
        <w:rPr>
          <w:rFonts w:asciiTheme="majorHAnsi" w:hAnsiTheme="majorHAnsi" w:cstheme="majorHAnsi"/>
          <w:color w:val="000000"/>
        </w:rPr>
        <w:t xml:space="preserve"> mallets that are designed in the form of an animal holding a ball in its mouth </w:t>
      </w:r>
      <w:r w:rsidR="002946E6">
        <w:rPr>
          <w:rFonts w:asciiTheme="majorHAnsi" w:hAnsiTheme="majorHAnsi" w:cstheme="majorHAnsi"/>
          <w:color w:val="000000"/>
        </w:rPr>
        <w:t>#</w:t>
      </w:r>
      <w:r w:rsidR="000C3D14" w:rsidRPr="00202373">
        <w:rPr>
          <w:rFonts w:asciiTheme="majorHAnsi" w:hAnsiTheme="majorHAnsi" w:cstheme="majorHAnsi"/>
          <w:color w:val="000000"/>
        </w:rPr>
        <w:t>.</w:t>
      </w:r>
      <w:r w:rsidR="00B54EB1">
        <w:rPr>
          <w:rStyle w:val="FootnoteReference"/>
          <w:rFonts w:asciiTheme="majorHAnsi" w:hAnsiTheme="majorHAnsi" w:cstheme="majorHAnsi"/>
          <w:color w:val="000000"/>
        </w:rPr>
        <w:footnoteReference w:id="98"/>
      </w:r>
      <w:r w:rsidR="000C3D14" w:rsidRPr="00202373">
        <w:rPr>
          <w:rFonts w:asciiTheme="majorHAnsi" w:hAnsiTheme="majorHAnsi" w:cstheme="majorHAnsi"/>
          <w:color w:val="000000"/>
        </w:rPr>
        <w:t xml:space="preserve"> These knobs </w:t>
      </w:r>
      <w:r>
        <w:rPr>
          <w:rFonts w:asciiTheme="majorHAnsi" w:hAnsiTheme="majorHAnsi" w:cstheme="majorHAnsi"/>
          <w:color w:val="000000"/>
        </w:rPr>
        <w:t>evoke</w:t>
      </w:r>
      <w:r w:rsidR="000C3D14" w:rsidRPr="00202373">
        <w:rPr>
          <w:rFonts w:asciiTheme="majorHAnsi" w:hAnsiTheme="majorHAnsi" w:cstheme="majorHAnsi"/>
          <w:color w:val="000000"/>
        </w:rPr>
        <w:t xml:space="preserve"> a contradictory impression. In practical terms, they are peens that produce </w:t>
      </w:r>
      <w:r w:rsidR="000C3D14" w:rsidRPr="00202373">
        <w:rPr>
          <w:rFonts w:asciiTheme="majorHAnsi" w:hAnsiTheme="majorHAnsi" w:cstheme="majorHAnsi"/>
          <w:color w:val="000000"/>
        </w:rPr>
        <w:lastRenderedPageBreak/>
        <w:t xml:space="preserve">the knocking sounds. In a visual aspect, the knobs seem preventing the sound making: they mute the sculpted beasts by stoppling their mouths. Note that the inscriptions on the mallets relate the exalted mood of a synagogue attendee: walking “in the house of God […] with the throng” and “rejoicing when [going …] unto the house of the Lord” </w:t>
      </w:r>
      <w:r w:rsidR="002946E6">
        <w:rPr>
          <w:rFonts w:asciiTheme="majorHAnsi" w:hAnsiTheme="majorHAnsi" w:cstheme="majorHAnsi"/>
          <w:color w:val="000000"/>
        </w:rPr>
        <w:t>#</w:t>
      </w:r>
      <w:r w:rsidR="000C3D14" w:rsidRPr="00202373">
        <w:rPr>
          <w:rFonts w:asciiTheme="majorHAnsi" w:hAnsiTheme="majorHAnsi" w:cstheme="majorHAnsi"/>
          <w:color w:val="000000"/>
        </w:rPr>
        <w:t>.</w:t>
      </w:r>
      <w:r w:rsidR="000C3D14" w:rsidRPr="00202373">
        <w:rPr>
          <w:rFonts w:asciiTheme="majorHAnsi" w:hAnsiTheme="majorHAnsi" w:cstheme="majorHAnsi"/>
          <w:color w:val="000000"/>
          <w:vertAlign w:val="superscript"/>
        </w:rPr>
        <w:footnoteReference w:id="99"/>
      </w:r>
      <w:r w:rsidR="000C3D14" w:rsidRPr="00202373">
        <w:rPr>
          <w:rFonts w:asciiTheme="majorHAnsi" w:hAnsiTheme="majorHAnsi" w:cstheme="majorHAnsi"/>
          <w:color w:val="000000"/>
        </w:rPr>
        <w:t xml:space="preserve"> Does the visual expression reflect the use of these mallets for both calling the people to go to prayer and maintaining the sonic accord in the synagogue? </w:t>
      </w:r>
    </w:p>
    <w:p w14:paraId="00000033" w14:textId="77777777"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bookmarkStart w:id="37" w:name="_17dp8vu" w:colFirst="0" w:colLast="0"/>
      <w:bookmarkEnd w:id="37"/>
      <w:r w:rsidRPr="00202373">
        <w:rPr>
          <w:rFonts w:asciiTheme="majorHAnsi" w:hAnsiTheme="majorHAnsi" w:cstheme="majorHAnsi"/>
          <w:color w:val="000000"/>
        </w:rPr>
        <w:t xml:space="preserve">Although we have no sufficient grounds to attest this assumption, it is in the spirit of the shamash’s duty to call the public to keep silent before the prayers and rituals that required quiet attentiveness. </w:t>
      </w:r>
      <w:proofErr w:type="spellStart"/>
      <w:r w:rsidRPr="00202373">
        <w:rPr>
          <w:rFonts w:asciiTheme="majorHAnsi" w:hAnsiTheme="majorHAnsi" w:cstheme="majorHAnsi"/>
          <w:color w:val="000000"/>
        </w:rPr>
        <w:t>Juspa</w:t>
      </w:r>
      <w:proofErr w:type="spellEnd"/>
      <w:r w:rsidRPr="00202373">
        <w:rPr>
          <w:rFonts w:asciiTheme="majorHAnsi" w:hAnsiTheme="majorHAnsi" w:cstheme="majorHAnsi"/>
          <w:color w:val="000000"/>
        </w:rPr>
        <w:t xml:space="preserve"> the Shamash of Worms acknowledged that he did so on weekdays.</w:t>
      </w:r>
      <w:r w:rsidRPr="00202373">
        <w:rPr>
          <w:rFonts w:asciiTheme="majorHAnsi" w:hAnsiTheme="majorHAnsi" w:cstheme="majorHAnsi"/>
          <w:color w:val="000000"/>
          <w:vertAlign w:val="superscript"/>
        </w:rPr>
        <w:footnoteReference w:id="100"/>
      </w:r>
      <w:r w:rsidRPr="00202373">
        <w:rPr>
          <w:rFonts w:asciiTheme="majorHAnsi" w:hAnsiTheme="majorHAnsi" w:cstheme="majorHAnsi"/>
          <w:color w:val="000000"/>
        </w:rPr>
        <w:t xml:space="preserve"> To halt the bytalks that were denounced as interrupting the mood of holiness and thus peccant,</w:t>
      </w:r>
      <w:r w:rsidRPr="00202373">
        <w:rPr>
          <w:rFonts w:asciiTheme="majorHAnsi" w:hAnsiTheme="majorHAnsi" w:cstheme="majorHAnsi"/>
          <w:color w:val="000000"/>
          <w:vertAlign w:val="superscript"/>
        </w:rPr>
        <w:footnoteReference w:id="101"/>
      </w:r>
      <w:r w:rsidRPr="00202373">
        <w:rPr>
          <w:rFonts w:asciiTheme="majorHAnsi" w:hAnsiTheme="majorHAnsi" w:cstheme="majorHAnsi"/>
          <w:color w:val="000000"/>
        </w:rPr>
        <w:t xml:space="preserve"> the shamash or cantor loudly proclaimed: </w:t>
      </w:r>
      <w:r w:rsidRPr="00202373">
        <w:rPr>
          <w:rFonts w:asciiTheme="majorHAnsi" w:hAnsiTheme="majorHAnsi" w:cstheme="majorHAnsi"/>
          <w:color w:val="000000"/>
          <w:rtl/>
        </w:rPr>
        <w:t>שתיקה יפה בשעת התפילה</w:t>
      </w:r>
      <w:r w:rsidRPr="00202373">
        <w:rPr>
          <w:rFonts w:asciiTheme="majorHAnsi" w:hAnsiTheme="majorHAnsi" w:cstheme="majorHAnsi"/>
          <w:color w:val="000000"/>
        </w:rPr>
        <w:t xml:space="preserve"> (</w:t>
      </w:r>
      <w:proofErr w:type="spellStart"/>
      <w:r w:rsidRPr="00202373">
        <w:rPr>
          <w:rFonts w:asciiTheme="majorHAnsi" w:hAnsiTheme="majorHAnsi" w:cstheme="majorHAnsi"/>
          <w:i/>
          <w:color w:val="000000"/>
        </w:rPr>
        <w:t>Shetikah</w:t>
      </w:r>
      <w:proofErr w:type="spellEnd"/>
      <w:r w:rsidRPr="00202373">
        <w:rPr>
          <w:rFonts w:asciiTheme="majorHAnsi" w:hAnsiTheme="majorHAnsi" w:cstheme="majorHAnsi"/>
          <w:i/>
          <w:color w:val="000000"/>
        </w:rPr>
        <w:t xml:space="preserve"> </w:t>
      </w:r>
      <w:proofErr w:type="spellStart"/>
      <w:r w:rsidRPr="00202373">
        <w:rPr>
          <w:rFonts w:asciiTheme="majorHAnsi" w:hAnsiTheme="majorHAnsi" w:cstheme="majorHAnsi"/>
          <w:i/>
          <w:color w:val="000000"/>
        </w:rPr>
        <w:t>yafah</w:t>
      </w:r>
      <w:proofErr w:type="spellEnd"/>
      <w:r w:rsidRPr="00202373">
        <w:rPr>
          <w:rFonts w:asciiTheme="majorHAnsi" w:hAnsiTheme="majorHAnsi" w:cstheme="majorHAnsi"/>
          <w:i/>
          <w:color w:val="000000"/>
        </w:rPr>
        <w:t xml:space="preserve"> bi-</w:t>
      </w:r>
      <w:proofErr w:type="spellStart"/>
      <w:r w:rsidRPr="00202373">
        <w:rPr>
          <w:rFonts w:asciiTheme="majorHAnsi" w:hAnsiTheme="majorHAnsi" w:cstheme="majorHAnsi"/>
          <w:i/>
          <w:color w:val="000000"/>
        </w:rPr>
        <w:t>sheat</w:t>
      </w:r>
      <w:proofErr w:type="spellEnd"/>
      <w:r w:rsidRPr="00202373">
        <w:rPr>
          <w:rFonts w:asciiTheme="majorHAnsi" w:hAnsiTheme="majorHAnsi" w:cstheme="majorHAnsi"/>
          <w:i/>
          <w:color w:val="000000"/>
        </w:rPr>
        <w:t xml:space="preserve"> ha-</w:t>
      </w:r>
      <w:proofErr w:type="spellStart"/>
      <w:r w:rsidRPr="00202373">
        <w:rPr>
          <w:rFonts w:asciiTheme="majorHAnsi" w:hAnsiTheme="majorHAnsi" w:cstheme="majorHAnsi"/>
          <w:i/>
          <w:color w:val="000000"/>
        </w:rPr>
        <w:t>tefilah</w:t>
      </w:r>
      <w:proofErr w:type="spellEnd"/>
      <w:r w:rsidRPr="00202373">
        <w:rPr>
          <w:rFonts w:asciiTheme="majorHAnsi" w:hAnsiTheme="majorHAnsi" w:cstheme="majorHAnsi"/>
          <w:color w:val="000000"/>
        </w:rPr>
        <w:t>; Hebrew: “Silence is nice during the time of prayer”).</w:t>
      </w:r>
      <w:r w:rsidRPr="00202373">
        <w:rPr>
          <w:rFonts w:asciiTheme="majorHAnsi" w:hAnsiTheme="majorHAnsi" w:cstheme="majorHAnsi"/>
          <w:color w:val="000000"/>
          <w:vertAlign w:val="superscript"/>
        </w:rPr>
        <w:t xml:space="preserve"> </w:t>
      </w:r>
      <w:r w:rsidRPr="00202373">
        <w:rPr>
          <w:rFonts w:asciiTheme="majorHAnsi" w:hAnsiTheme="majorHAnsi" w:cstheme="majorHAnsi"/>
          <w:color w:val="000000"/>
          <w:vertAlign w:val="superscript"/>
        </w:rPr>
        <w:footnoteReference w:id="102"/>
      </w:r>
      <w:r w:rsidRPr="00202373">
        <w:rPr>
          <w:rFonts w:asciiTheme="majorHAnsi" w:hAnsiTheme="majorHAnsi" w:cstheme="majorHAnsi"/>
          <w:color w:val="000000"/>
        </w:rPr>
        <w:t xml:space="preserve"> One may suppose, their call could have been accompanied with a gavel’s clap. </w:t>
      </w:r>
    </w:p>
    <w:p w14:paraId="00000034" w14:textId="59420579"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bookmarkStart w:id="40" w:name="_3rdcrjn" w:colFirst="0" w:colLast="0"/>
      <w:bookmarkEnd w:id="40"/>
      <w:r w:rsidRPr="00202373">
        <w:rPr>
          <w:rFonts w:asciiTheme="majorHAnsi" w:hAnsiTheme="majorHAnsi" w:cstheme="majorHAnsi"/>
          <w:color w:val="000000"/>
        </w:rPr>
        <w:t xml:space="preserve">Since the idle conversations were nevertheless an unavoidable output of any public gathering, unremitting endeavor was demanded to prevent them. In addition to the vocal </w:t>
      </w:r>
      <w:r w:rsidRPr="00202373">
        <w:rPr>
          <w:rFonts w:asciiTheme="majorHAnsi" w:hAnsiTheme="majorHAnsi" w:cstheme="majorHAnsi"/>
          <w:color w:val="000000"/>
        </w:rPr>
        <w:lastRenderedPageBreak/>
        <w:t>admonitions and fines occasionally imposing on talkers,</w:t>
      </w:r>
      <w:r w:rsidRPr="00202373">
        <w:rPr>
          <w:rFonts w:asciiTheme="majorHAnsi" w:hAnsiTheme="majorHAnsi" w:cstheme="majorHAnsi"/>
          <w:color w:val="000000"/>
          <w:vertAlign w:val="superscript"/>
        </w:rPr>
        <w:footnoteReference w:id="103"/>
      </w:r>
      <w:r w:rsidRPr="00202373">
        <w:rPr>
          <w:rFonts w:asciiTheme="majorHAnsi" w:hAnsiTheme="majorHAnsi" w:cstheme="majorHAnsi"/>
          <w:color w:val="000000"/>
        </w:rPr>
        <w:t xml:space="preserve"> the visual medium became involved to silence the congregation during the prayer. Rabbi Yair </w:t>
      </w:r>
      <w:proofErr w:type="spellStart"/>
      <w:r w:rsidRPr="00202373">
        <w:rPr>
          <w:rFonts w:asciiTheme="majorHAnsi" w:hAnsiTheme="majorHAnsi" w:cstheme="majorHAnsi"/>
          <w:color w:val="000000"/>
        </w:rPr>
        <w:t>Hayim</w:t>
      </w:r>
      <w:proofErr w:type="spellEnd"/>
      <w:r w:rsidRPr="00202373">
        <w:rPr>
          <w:rFonts w:asciiTheme="majorHAnsi" w:hAnsiTheme="majorHAnsi" w:cstheme="majorHAnsi"/>
          <w:color w:val="000000"/>
        </w:rPr>
        <w:t xml:space="preserve"> Bacharach of Worms (1639–1702), a contemporary and compatriot of </w:t>
      </w:r>
      <w:proofErr w:type="spellStart"/>
      <w:r w:rsidRPr="00202373">
        <w:rPr>
          <w:rFonts w:asciiTheme="majorHAnsi" w:hAnsiTheme="majorHAnsi" w:cstheme="majorHAnsi"/>
          <w:color w:val="000000"/>
        </w:rPr>
        <w:t>Juspa</w:t>
      </w:r>
      <w:proofErr w:type="spellEnd"/>
      <w:r w:rsidRPr="00202373">
        <w:rPr>
          <w:rFonts w:asciiTheme="majorHAnsi" w:hAnsiTheme="majorHAnsi" w:cstheme="majorHAnsi"/>
          <w:color w:val="000000"/>
        </w:rPr>
        <w:t xml:space="preserve"> the Shamash, accounted a widespread custom of writing on synagogue walls the large-size letters </w:t>
      </w:r>
      <w:proofErr w:type="spellStart"/>
      <w:r w:rsidRPr="00202373">
        <w:rPr>
          <w:rFonts w:asciiTheme="majorHAnsi" w:hAnsiTheme="majorHAnsi" w:cstheme="majorHAnsi"/>
          <w:color w:val="000000"/>
          <w:rtl/>
        </w:rPr>
        <w:t>שיב״ה</w:t>
      </w:r>
      <w:proofErr w:type="spellEnd"/>
      <w:r w:rsidRPr="00202373">
        <w:rPr>
          <w:rFonts w:asciiTheme="majorHAnsi" w:hAnsiTheme="majorHAnsi" w:cstheme="majorHAnsi"/>
          <w:color w:val="000000"/>
        </w:rPr>
        <w:t xml:space="preserve"> (</w:t>
      </w:r>
      <w:proofErr w:type="spellStart"/>
      <w:r w:rsidRPr="00202373">
        <w:rPr>
          <w:rFonts w:asciiTheme="majorHAnsi" w:hAnsiTheme="majorHAnsi" w:cstheme="majorHAnsi"/>
          <w:color w:val="000000"/>
        </w:rPr>
        <w:t>Sh</w:t>
      </w:r>
      <w:proofErr w:type="spellEnd"/>
      <w:r w:rsidRPr="00202373">
        <w:rPr>
          <w:rFonts w:asciiTheme="majorHAnsi" w:hAnsiTheme="majorHAnsi" w:cstheme="majorHAnsi"/>
          <w:color w:val="000000"/>
        </w:rPr>
        <w:t xml:space="preserve">-Y-B-H), the acronym of “Silence is nice during the time of prayer” that composes the Hebrew word </w:t>
      </w:r>
      <w:r w:rsidRPr="00202373">
        <w:rPr>
          <w:rFonts w:asciiTheme="majorHAnsi" w:hAnsiTheme="majorHAnsi" w:cstheme="majorHAnsi"/>
          <w:color w:val="000000"/>
          <w:rtl/>
        </w:rPr>
        <w:t>שיבה</w:t>
      </w:r>
      <w:r w:rsidRPr="00202373">
        <w:rPr>
          <w:rFonts w:asciiTheme="majorHAnsi" w:hAnsiTheme="majorHAnsi" w:cstheme="majorHAnsi"/>
          <w:color w:val="000000"/>
        </w:rPr>
        <w:t xml:space="preserve"> (</w:t>
      </w:r>
      <w:proofErr w:type="spellStart"/>
      <w:r w:rsidRPr="00202373">
        <w:rPr>
          <w:rFonts w:asciiTheme="majorHAnsi" w:hAnsiTheme="majorHAnsi" w:cstheme="majorHAnsi"/>
          <w:i/>
          <w:color w:val="000000"/>
        </w:rPr>
        <w:t>seyvah</w:t>
      </w:r>
      <w:proofErr w:type="spellEnd"/>
      <w:r w:rsidRPr="00202373">
        <w:rPr>
          <w:rFonts w:asciiTheme="majorHAnsi" w:hAnsiTheme="majorHAnsi" w:cstheme="majorHAnsi"/>
          <w:color w:val="000000"/>
        </w:rPr>
        <w:t>: “gray hair” and “old age”).</w:t>
      </w:r>
      <w:r w:rsidRPr="00202373">
        <w:rPr>
          <w:rFonts w:asciiTheme="majorHAnsi" w:hAnsiTheme="majorHAnsi" w:cstheme="majorHAnsi"/>
          <w:color w:val="000000"/>
          <w:vertAlign w:val="superscript"/>
        </w:rPr>
        <w:footnoteReference w:id="104"/>
      </w:r>
      <w:r w:rsidRPr="00202373">
        <w:rPr>
          <w:rFonts w:asciiTheme="majorHAnsi" w:hAnsiTheme="majorHAnsi" w:cstheme="majorHAnsi"/>
          <w:color w:val="000000"/>
        </w:rPr>
        <w:t xml:space="preserve"> Unlike the halakhic legislators who rebuked the transgressors,</w:t>
      </w:r>
      <w:r w:rsidRPr="00202373">
        <w:rPr>
          <w:rFonts w:asciiTheme="majorHAnsi" w:hAnsiTheme="majorHAnsi" w:cstheme="majorHAnsi"/>
          <w:color w:val="000000"/>
          <w:vertAlign w:val="superscript"/>
        </w:rPr>
        <w:footnoteReference w:id="105"/>
      </w:r>
      <w:r w:rsidRPr="00202373">
        <w:rPr>
          <w:rFonts w:asciiTheme="majorHAnsi" w:hAnsiTheme="majorHAnsi" w:cstheme="majorHAnsi"/>
          <w:color w:val="000000"/>
        </w:rPr>
        <w:t xml:space="preserve"> the folk custom promised a reward of longevity to the observants. Bacharach objected to the abbreviated spelling of the phrase and, therefore, the mystical approach to the aural discipline in the synagogue. He advocated the most didactic full spelling of the command. The amuletic posters representing the phrase “Silence is nice during the time of prayer” as an acronym of “old age” are found in contemporary synagogues </w:t>
      </w:r>
      <w:r w:rsidR="002946E6">
        <w:rPr>
          <w:rFonts w:asciiTheme="majorHAnsi" w:hAnsiTheme="majorHAnsi" w:cstheme="majorHAnsi"/>
          <w:color w:val="000000"/>
        </w:rPr>
        <w:t>#</w:t>
      </w:r>
      <w:r w:rsidRPr="00202373">
        <w:rPr>
          <w:rFonts w:asciiTheme="majorHAnsi" w:hAnsiTheme="majorHAnsi" w:cstheme="majorHAnsi"/>
          <w:color w:val="000000"/>
        </w:rPr>
        <w:t>, and the belief in thaumaturgic power of the pious silence persists until the present.</w:t>
      </w:r>
      <w:r w:rsidRPr="00202373">
        <w:rPr>
          <w:rFonts w:asciiTheme="majorHAnsi" w:hAnsiTheme="majorHAnsi" w:cstheme="majorHAnsi"/>
          <w:color w:val="000000"/>
          <w:vertAlign w:val="superscript"/>
        </w:rPr>
        <w:footnoteReference w:id="106"/>
      </w:r>
      <w:r w:rsidRPr="00202373">
        <w:rPr>
          <w:rFonts w:asciiTheme="majorHAnsi" w:hAnsiTheme="majorHAnsi" w:cstheme="majorHAnsi"/>
          <w:color w:val="000000"/>
        </w:rPr>
        <w:t xml:space="preserve"> </w:t>
      </w:r>
    </w:p>
    <w:p w14:paraId="00000035" w14:textId="1B218C33"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bookmarkStart w:id="41" w:name="_26in1rg" w:colFirst="0" w:colLast="0"/>
      <w:bookmarkEnd w:id="41"/>
      <w:r w:rsidRPr="00202373">
        <w:rPr>
          <w:rFonts w:asciiTheme="majorHAnsi" w:hAnsiTheme="majorHAnsi" w:cstheme="majorHAnsi"/>
          <w:color w:val="000000"/>
        </w:rPr>
        <w:t xml:space="preserve">The display of edifying texts continued to be a typical instruction for the proper acoustic behavior in synagogues through the ages. In the synagogue of </w:t>
      </w:r>
      <w:proofErr w:type="spellStart"/>
      <w:r w:rsidRPr="00202373">
        <w:rPr>
          <w:rFonts w:asciiTheme="majorHAnsi" w:hAnsiTheme="majorHAnsi" w:cstheme="majorHAnsi"/>
          <w:color w:val="000000"/>
        </w:rPr>
        <w:t>Wyszogród</w:t>
      </w:r>
      <w:proofErr w:type="spellEnd"/>
      <w:r w:rsidRPr="00202373">
        <w:rPr>
          <w:rFonts w:asciiTheme="majorHAnsi" w:hAnsiTheme="majorHAnsi" w:cstheme="majorHAnsi"/>
          <w:color w:val="000000"/>
        </w:rPr>
        <w:t xml:space="preserve"> (built about 1800), Poland, the call for hush was obviously so essential that the carver of the Torah ark incised the phrase “Silence is nice during the time of prayer” in large letters across the ark’s façade </w:t>
      </w:r>
      <w:r w:rsidR="002946E6">
        <w:rPr>
          <w:rFonts w:asciiTheme="majorHAnsi" w:hAnsiTheme="majorHAnsi" w:cstheme="majorHAnsi"/>
          <w:color w:val="000000"/>
        </w:rPr>
        <w:t>#</w:t>
      </w:r>
      <w:r w:rsidRPr="00202373">
        <w:rPr>
          <w:rFonts w:asciiTheme="majorHAnsi" w:hAnsiTheme="majorHAnsi" w:cstheme="majorHAnsi"/>
          <w:color w:val="000000"/>
        </w:rPr>
        <w:t xml:space="preserve">.  </w:t>
      </w:r>
    </w:p>
    <w:p w14:paraId="00000036" w14:textId="7CD2714D"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bookmarkStart w:id="42" w:name="_lnxbz9" w:colFirst="0" w:colLast="0"/>
      <w:bookmarkEnd w:id="42"/>
      <w:r w:rsidRPr="00202373">
        <w:rPr>
          <w:rFonts w:asciiTheme="majorHAnsi" w:hAnsiTheme="majorHAnsi" w:cstheme="majorHAnsi"/>
          <w:color w:val="000000"/>
        </w:rPr>
        <w:t xml:space="preserve">Along with the conventional modes of visual signs calling for silence in synagogues, the visual and textual admonitions displayed in synagogues are highly variable. In the Great Synagogue in </w:t>
      </w:r>
      <w:proofErr w:type="spellStart"/>
      <w:r w:rsidRPr="00202373">
        <w:rPr>
          <w:rFonts w:asciiTheme="majorHAnsi" w:hAnsiTheme="majorHAnsi" w:cstheme="majorHAnsi"/>
          <w:color w:val="000000"/>
        </w:rPr>
        <w:t>Buhuși</w:t>
      </w:r>
      <w:proofErr w:type="spellEnd"/>
      <w:r w:rsidRPr="00202373">
        <w:rPr>
          <w:rFonts w:asciiTheme="majorHAnsi" w:hAnsiTheme="majorHAnsi" w:cstheme="majorHAnsi"/>
          <w:color w:val="000000"/>
        </w:rPr>
        <w:t xml:space="preserve">, Romania, a depiction of a paddling of ducks was copied from a postcard </w:t>
      </w:r>
      <w:r w:rsidR="002946E6">
        <w:rPr>
          <w:rFonts w:asciiTheme="majorHAnsi" w:hAnsiTheme="majorHAnsi" w:cstheme="majorHAnsi"/>
          <w:color w:val="000000"/>
        </w:rPr>
        <w:t>#</w:t>
      </w:r>
      <w:r w:rsidRPr="00202373">
        <w:rPr>
          <w:rFonts w:asciiTheme="majorHAnsi" w:hAnsiTheme="majorHAnsi" w:cstheme="majorHAnsi"/>
          <w:color w:val="000000"/>
        </w:rPr>
        <w:t xml:space="preserve"> </w:t>
      </w:r>
      <w:r w:rsidRPr="00202373">
        <w:rPr>
          <w:rFonts w:asciiTheme="majorHAnsi" w:hAnsiTheme="majorHAnsi" w:cstheme="majorHAnsi"/>
          <w:color w:val="000000"/>
        </w:rPr>
        <w:lastRenderedPageBreak/>
        <w:t xml:space="preserve">onto the wall near the stairs leading to the women’s section </w:t>
      </w:r>
      <w:r w:rsidR="002946E6">
        <w:rPr>
          <w:rFonts w:asciiTheme="majorHAnsi" w:hAnsiTheme="majorHAnsi" w:cstheme="majorHAnsi"/>
          <w:color w:val="000000"/>
        </w:rPr>
        <w:t>#</w:t>
      </w:r>
      <w:r w:rsidRPr="00202373">
        <w:rPr>
          <w:rFonts w:asciiTheme="majorHAnsi" w:hAnsiTheme="majorHAnsi" w:cstheme="majorHAnsi"/>
          <w:color w:val="000000"/>
        </w:rPr>
        <w:t xml:space="preserve">. The caption, </w:t>
      </w:r>
      <w:proofErr w:type="spellStart"/>
      <w:r w:rsidRPr="00202373">
        <w:rPr>
          <w:rFonts w:asciiTheme="majorHAnsi" w:hAnsiTheme="majorHAnsi" w:cstheme="majorHAnsi"/>
          <w:color w:val="000000"/>
          <w:rtl/>
        </w:rPr>
        <w:t>שווייגטץ</w:t>
      </w:r>
      <w:proofErr w:type="spellEnd"/>
      <w:r w:rsidRPr="00202373">
        <w:rPr>
          <w:rFonts w:asciiTheme="majorHAnsi" w:hAnsiTheme="majorHAnsi" w:cstheme="majorHAnsi"/>
          <w:color w:val="000000"/>
          <w:rtl/>
        </w:rPr>
        <w:t xml:space="preserve"> </w:t>
      </w:r>
      <w:proofErr w:type="spellStart"/>
      <w:r w:rsidRPr="00202373">
        <w:rPr>
          <w:rFonts w:asciiTheme="majorHAnsi" w:hAnsiTheme="majorHAnsi" w:cstheme="majorHAnsi"/>
          <w:color w:val="000000"/>
          <w:rtl/>
        </w:rPr>
        <w:t>קא</w:t>
      </w:r>
      <w:proofErr w:type="spellEnd"/>
      <w:r w:rsidRPr="00202373">
        <w:rPr>
          <w:rFonts w:asciiTheme="majorHAnsi" w:hAnsiTheme="majorHAnsi" w:cstheme="majorHAnsi"/>
          <w:color w:val="000000"/>
          <w:rtl/>
        </w:rPr>
        <w:t>[ט]</w:t>
      </w:r>
      <w:proofErr w:type="spellStart"/>
      <w:r w:rsidRPr="00202373">
        <w:rPr>
          <w:rFonts w:asciiTheme="majorHAnsi" w:hAnsiTheme="majorHAnsi" w:cstheme="majorHAnsi"/>
          <w:color w:val="000000"/>
          <w:rtl/>
        </w:rPr>
        <w:t>שקעס</w:t>
      </w:r>
      <w:proofErr w:type="spellEnd"/>
      <w:r w:rsidRPr="00202373">
        <w:rPr>
          <w:rFonts w:asciiTheme="majorHAnsi" w:hAnsiTheme="majorHAnsi" w:cstheme="majorHAnsi"/>
          <w:color w:val="000000"/>
        </w:rPr>
        <w:t xml:space="preserve"> (Yiddish: “Shut up, she-ducks”), bolsters the derogatory character of the painting that addresses the woman as a flock of noisy fowl. In the synagogue that acted in Moscow under the Soviet regime, the bilingual Russian-Yiddish prohibition of pro</w:t>
      </w:r>
      <w:r w:rsidR="00524661">
        <w:rPr>
          <w:rFonts w:asciiTheme="majorHAnsi" w:hAnsiTheme="majorHAnsi" w:cstheme="majorHAnsi"/>
          <w:color w:val="000000"/>
        </w:rPr>
        <w:t>f</w:t>
      </w:r>
      <w:r w:rsidRPr="00202373">
        <w:rPr>
          <w:rFonts w:asciiTheme="majorHAnsi" w:hAnsiTheme="majorHAnsi" w:cstheme="majorHAnsi"/>
          <w:color w:val="000000"/>
        </w:rPr>
        <w:t xml:space="preserve">ane talks was stylized as an administrative ruling rather than a halakhic prescription </w:t>
      </w:r>
      <w:r w:rsidR="002946E6">
        <w:rPr>
          <w:rFonts w:asciiTheme="majorHAnsi" w:hAnsiTheme="majorHAnsi" w:cstheme="majorHAnsi"/>
          <w:color w:val="000000"/>
        </w:rPr>
        <w:t>#</w:t>
      </w:r>
      <w:r w:rsidRPr="00202373">
        <w:rPr>
          <w:rFonts w:asciiTheme="majorHAnsi" w:hAnsiTheme="majorHAnsi" w:cstheme="majorHAnsi"/>
          <w:color w:val="000000"/>
        </w:rPr>
        <w:t>. Preventing “any kind of conversations and discussions” other than prayer and avoiding the Hebrew, the synagogue board put at a distance the matters that could cause accusations in political disloyalty and Zionism.</w:t>
      </w:r>
      <w:r w:rsidRPr="00202373">
        <w:rPr>
          <w:rFonts w:asciiTheme="majorHAnsi" w:hAnsiTheme="majorHAnsi" w:cstheme="majorHAnsi"/>
          <w:color w:val="000000"/>
          <w:vertAlign w:val="superscript"/>
        </w:rPr>
        <w:footnoteReference w:id="107"/>
      </w:r>
      <w:r w:rsidRPr="00202373">
        <w:rPr>
          <w:rFonts w:asciiTheme="majorHAnsi" w:hAnsiTheme="majorHAnsi" w:cstheme="majorHAnsi"/>
          <w:color w:val="000000"/>
        </w:rPr>
        <w:t xml:space="preserve"> A request for muting the mobile phones in the synagogue was visualized shortly after the emergence of cellular communication </w:t>
      </w:r>
      <w:r w:rsidR="002946E6">
        <w:rPr>
          <w:rFonts w:asciiTheme="majorHAnsi" w:hAnsiTheme="majorHAnsi" w:cstheme="majorHAnsi"/>
          <w:color w:val="000000"/>
        </w:rPr>
        <w:t>#</w:t>
      </w:r>
      <w:r w:rsidRPr="00202373">
        <w:rPr>
          <w:rFonts w:asciiTheme="majorHAnsi" w:hAnsiTheme="majorHAnsi" w:cstheme="majorHAnsi"/>
          <w:color w:val="000000"/>
        </w:rPr>
        <w:t>.</w:t>
      </w:r>
      <w:r w:rsidRPr="00202373">
        <w:rPr>
          <w:rFonts w:asciiTheme="majorHAnsi" w:hAnsiTheme="majorHAnsi" w:cstheme="majorHAnsi"/>
          <w:color w:val="000000"/>
          <w:vertAlign w:val="superscript"/>
        </w:rPr>
        <w:footnoteReference w:id="108"/>
      </w:r>
      <w:r w:rsidRPr="00202373">
        <w:rPr>
          <w:rFonts w:asciiTheme="majorHAnsi" w:hAnsiTheme="majorHAnsi" w:cstheme="majorHAnsi"/>
          <w:color w:val="000000"/>
        </w:rPr>
        <w:t xml:space="preserve"> With their different plastic rhetoric and verbality, the visual media offer a constant and apparent reminder of the moralistic appeal to the congregation.</w:t>
      </w:r>
    </w:p>
    <w:p w14:paraId="00000037" w14:textId="77777777" w:rsidR="009B4F5A" w:rsidRPr="00202373" w:rsidRDefault="000C3D14" w:rsidP="00943C0A">
      <w:pPr>
        <w:pStyle w:val="Heading2"/>
        <w:rPr>
          <w:rFonts w:asciiTheme="majorHAnsi" w:hAnsiTheme="majorHAnsi" w:cstheme="majorHAnsi"/>
        </w:rPr>
      </w:pPr>
      <w:r w:rsidRPr="00202373">
        <w:rPr>
          <w:rFonts w:asciiTheme="majorHAnsi" w:hAnsiTheme="majorHAnsi" w:cstheme="majorHAnsi"/>
        </w:rPr>
        <w:t>Conclusions: Estranging the Familiar</w:t>
      </w:r>
    </w:p>
    <w:p w14:paraId="00000038" w14:textId="77777777" w:rsidR="009B4F5A" w:rsidRPr="00202373" w:rsidRDefault="000C3D14" w:rsidP="00943C0A">
      <w:pPr>
        <w:widowControl w:val="0"/>
        <w:pBdr>
          <w:top w:val="nil"/>
          <w:left w:val="nil"/>
          <w:bottom w:val="nil"/>
          <w:right w:val="nil"/>
          <w:between w:val="nil"/>
        </w:pBdr>
        <w:spacing w:before="240" w:line="360" w:lineRule="auto"/>
        <w:rPr>
          <w:rFonts w:asciiTheme="majorHAnsi" w:hAnsiTheme="majorHAnsi" w:cstheme="majorHAnsi"/>
          <w:color w:val="000000"/>
        </w:rPr>
      </w:pPr>
      <w:r w:rsidRPr="00202373">
        <w:rPr>
          <w:rFonts w:asciiTheme="majorHAnsi" w:hAnsiTheme="majorHAnsi" w:cstheme="majorHAnsi"/>
          <w:color w:val="000000"/>
        </w:rPr>
        <w:t xml:space="preserve">The premise that the ritual art is inarticulate if detached from its performative contexts justifies the remapping of a conventional art historical classification: instead of dealing with the separate categories of shamash mallets and gavels, Torah pointers, and synagogue boards, all these kinds can be understood in their relation to making or restricting ritualized sounds and voices. </w:t>
      </w:r>
    </w:p>
    <w:p w14:paraId="00000039" w14:textId="77777777" w:rsidR="009B4F5A" w:rsidRPr="00202373" w:rsidRDefault="000C3D14" w:rsidP="00943C0A">
      <w:pPr>
        <w:pBdr>
          <w:top w:val="nil"/>
          <w:left w:val="nil"/>
          <w:bottom w:val="nil"/>
          <w:right w:val="nil"/>
          <w:between w:val="nil"/>
        </w:pBdr>
        <w:spacing w:line="360" w:lineRule="auto"/>
        <w:ind w:firstLine="720"/>
        <w:rPr>
          <w:rFonts w:asciiTheme="majorHAnsi" w:hAnsiTheme="majorHAnsi" w:cstheme="majorHAnsi"/>
          <w:color w:val="000000"/>
        </w:rPr>
      </w:pPr>
      <w:r w:rsidRPr="00202373">
        <w:rPr>
          <w:rFonts w:asciiTheme="majorHAnsi" w:hAnsiTheme="majorHAnsi" w:cstheme="majorHAnsi"/>
          <w:color w:val="000000"/>
        </w:rPr>
        <w:t xml:space="preserve">Summarizing the evidence, we may date the beginning of transition from purely functional to artistically fashioned objects relating to ritual sounds and voices to the eve of the modern times. The hand-like Torah pointers emerged in the fifteenth century; the written calls for silence during the prayer have been displayed in synagogues since the seventeenth century; and the art of sculpted synagogue mallets evolved from the eighteenth to the early twentieth </w:t>
      </w:r>
      <w:r w:rsidRPr="00202373">
        <w:rPr>
          <w:rFonts w:asciiTheme="majorHAnsi" w:hAnsiTheme="majorHAnsi" w:cstheme="majorHAnsi"/>
          <w:color w:val="000000"/>
        </w:rPr>
        <w:lastRenderedPageBreak/>
        <w:t>century. The homiletic message of zoomorphic and anthropomorphic mallets reverberates the didactic and symbolic nature of the picturesque synagogue murals, carved Torah arks, and lavishly decorated Jewish ritual objects produced in eastern and central Europe in the modern period.</w:t>
      </w:r>
      <w:r w:rsidRPr="00202373">
        <w:rPr>
          <w:rFonts w:asciiTheme="majorHAnsi" w:hAnsiTheme="majorHAnsi" w:cstheme="majorHAnsi"/>
          <w:color w:val="000000"/>
          <w:vertAlign w:val="superscript"/>
        </w:rPr>
        <w:footnoteReference w:id="109"/>
      </w:r>
      <w:r w:rsidRPr="00202373">
        <w:rPr>
          <w:rFonts w:asciiTheme="majorHAnsi" w:hAnsiTheme="majorHAnsi" w:cstheme="majorHAnsi"/>
          <w:color w:val="000000"/>
        </w:rPr>
        <w:t xml:space="preserve">   </w:t>
      </w:r>
    </w:p>
    <w:p w14:paraId="68E532A0" w14:textId="5B98AA39" w:rsidR="00257144" w:rsidRDefault="000C3D14" w:rsidP="00257144">
      <w:pPr>
        <w:pBdr>
          <w:top w:val="nil"/>
          <w:left w:val="nil"/>
          <w:bottom w:val="nil"/>
          <w:right w:val="nil"/>
          <w:between w:val="nil"/>
        </w:pBdr>
        <w:spacing w:line="360" w:lineRule="auto"/>
        <w:ind w:firstLine="720"/>
        <w:rPr>
          <w:rFonts w:asciiTheme="majorHAnsi" w:hAnsiTheme="majorHAnsi" w:cstheme="majorHAnsi"/>
          <w:color w:val="000000"/>
        </w:rPr>
      </w:pPr>
      <w:bookmarkStart w:id="43" w:name="_35nkun2" w:colFirst="0" w:colLast="0"/>
      <w:bookmarkEnd w:id="43"/>
      <w:r w:rsidRPr="00202373">
        <w:rPr>
          <w:rFonts w:asciiTheme="majorHAnsi" w:hAnsiTheme="majorHAnsi" w:cstheme="majorHAnsi"/>
          <w:color w:val="000000"/>
        </w:rPr>
        <w:t xml:space="preserve">The designed and inscribed objects translate the transient immaterial phenomena of ritual knocking, vocal announcement, and declaiming the sacred texts into perpetual and palpable visual signs. Having once been recorded on the implement or in the synagogue, the utterances and predicant commentaries and are continuously able to convey their command or lesson to everyone who cast an eye on them. </w:t>
      </w:r>
      <w:r w:rsidR="009413AB" w:rsidRPr="009413AB">
        <w:rPr>
          <w:rFonts w:asciiTheme="majorHAnsi" w:hAnsiTheme="majorHAnsi" w:cstheme="majorHAnsi"/>
          <w:color w:val="000000"/>
        </w:rPr>
        <w:t>The artwork on knockers, posters, and synagogue walls allegori</w:t>
      </w:r>
      <w:r w:rsidR="009413AB">
        <w:rPr>
          <w:rFonts w:asciiTheme="majorHAnsi" w:hAnsiTheme="majorHAnsi" w:cstheme="majorHAnsi"/>
          <w:color w:val="000000"/>
        </w:rPr>
        <w:t>z</w:t>
      </w:r>
      <w:r w:rsidR="009413AB" w:rsidRPr="009413AB">
        <w:rPr>
          <w:rFonts w:asciiTheme="majorHAnsi" w:hAnsiTheme="majorHAnsi" w:cstheme="majorHAnsi"/>
          <w:color w:val="000000"/>
        </w:rPr>
        <w:t>es and hyperbolizes the act of suppressing (</w:t>
      </w:r>
      <w:r w:rsidR="009413AB">
        <w:rPr>
          <w:rFonts w:asciiTheme="majorHAnsi" w:hAnsiTheme="majorHAnsi" w:cstheme="majorHAnsi"/>
          <w:color w:val="000000"/>
        </w:rPr>
        <w:t xml:space="preserve">e.g., </w:t>
      </w:r>
      <w:r w:rsidR="009413AB" w:rsidRPr="009413AB">
        <w:rPr>
          <w:rFonts w:asciiTheme="majorHAnsi" w:hAnsiTheme="majorHAnsi" w:cstheme="majorHAnsi"/>
          <w:color w:val="000000"/>
        </w:rPr>
        <w:t xml:space="preserve">a ball in a beast's mouth) or </w:t>
      </w:r>
      <w:r w:rsidR="009413AB">
        <w:rPr>
          <w:rFonts w:asciiTheme="majorHAnsi" w:hAnsiTheme="majorHAnsi" w:cstheme="majorHAnsi"/>
          <w:color w:val="000000"/>
        </w:rPr>
        <w:t>making</w:t>
      </w:r>
      <w:r w:rsidR="009413AB" w:rsidRPr="009413AB">
        <w:rPr>
          <w:rFonts w:asciiTheme="majorHAnsi" w:hAnsiTheme="majorHAnsi" w:cstheme="majorHAnsi"/>
          <w:color w:val="000000"/>
        </w:rPr>
        <w:t xml:space="preserve"> noise (</w:t>
      </w:r>
      <w:r w:rsidR="009413AB">
        <w:rPr>
          <w:rFonts w:asciiTheme="majorHAnsi" w:hAnsiTheme="majorHAnsi" w:cstheme="majorHAnsi"/>
          <w:color w:val="000000"/>
        </w:rPr>
        <w:t xml:space="preserve">e.g., </w:t>
      </w:r>
      <w:r w:rsidR="009413AB" w:rsidRPr="009413AB">
        <w:rPr>
          <w:rFonts w:asciiTheme="majorHAnsi" w:hAnsiTheme="majorHAnsi" w:cstheme="majorHAnsi"/>
          <w:color w:val="000000"/>
        </w:rPr>
        <w:t xml:space="preserve">quaking ducks).  Additionally, carved mallets can create the illusion of an extended </w:t>
      </w:r>
      <w:r w:rsidR="001C4D40">
        <w:rPr>
          <w:rFonts w:asciiTheme="majorHAnsi" w:hAnsiTheme="majorHAnsi" w:cstheme="majorHAnsi"/>
          <w:color w:val="000000"/>
        </w:rPr>
        <w:t xml:space="preserve">or duplicated </w:t>
      </w:r>
      <w:r w:rsidR="009413AB" w:rsidRPr="009413AB">
        <w:rPr>
          <w:rFonts w:asciiTheme="majorHAnsi" w:hAnsiTheme="majorHAnsi" w:cstheme="majorHAnsi"/>
          <w:color w:val="000000"/>
        </w:rPr>
        <w:t>human limb.</w:t>
      </w:r>
      <w:r w:rsidR="009413AB">
        <w:rPr>
          <w:rFonts w:asciiTheme="majorHAnsi" w:hAnsiTheme="majorHAnsi" w:cstheme="majorHAnsi"/>
          <w:color w:val="000000"/>
        </w:rPr>
        <w:t xml:space="preserve"> </w:t>
      </w:r>
      <w:r w:rsidR="00257144" w:rsidRPr="00257144">
        <w:rPr>
          <w:rFonts w:asciiTheme="majorHAnsi" w:hAnsiTheme="majorHAnsi" w:cstheme="majorHAnsi"/>
          <w:color w:val="000000"/>
        </w:rPr>
        <w:t>The complicated or enticing form "estranges" the object and prolongs and intensifies its perception.</w:t>
      </w:r>
      <w:r w:rsidR="00257144" w:rsidRPr="00202373">
        <w:rPr>
          <w:rFonts w:asciiTheme="majorHAnsi" w:hAnsiTheme="majorHAnsi" w:cstheme="majorHAnsi"/>
          <w:color w:val="000000"/>
          <w:vertAlign w:val="superscript"/>
        </w:rPr>
        <w:footnoteReference w:id="110"/>
      </w:r>
      <w:r w:rsidR="00257144" w:rsidRPr="00257144">
        <w:rPr>
          <w:rFonts w:asciiTheme="majorHAnsi" w:hAnsiTheme="majorHAnsi" w:cstheme="majorHAnsi"/>
          <w:color w:val="000000"/>
        </w:rPr>
        <w:t xml:space="preserve"> The effect of "estrangement" is to defamiliarize the routine ceremonial implements, thereby reinvigorating their perception and eliciting a fervent moral attitude and reverence for the recurring religious acts.</w:t>
      </w:r>
    </w:p>
    <w:p w14:paraId="7B0E06DF" w14:textId="77777777" w:rsidR="00257144" w:rsidRDefault="00257144" w:rsidP="00257144">
      <w:pPr>
        <w:pBdr>
          <w:top w:val="nil"/>
          <w:left w:val="nil"/>
          <w:bottom w:val="nil"/>
          <w:right w:val="nil"/>
          <w:between w:val="nil"/>
        </w:pBdr>
        <w:spacing w:line="360" w:lineRule="auto"/>
        <w:ind w:firstLine="720"/>
        <w:rPr>
          <w:rFonts w:asciiTheme="majorHAnsi" w:hAnsiTheme="majorHAnsi" w:cstheme="majorHAnsi"/>
          <w:color w:val="000000"/>
        </w:rPr>
      </w:pPr>
    </w:p>
    <w:p w14:paraId="00000056" w14:textId="77777777" w:rsidR="009B4F5A" w:rsidRPr="00202373" w:rsidRDefault="009B4F5A" w:rsidP="00943C0A">
      <w:pPr>
        <w:pBdr>
          <w:top w:val="nil"/>
          <w:left w:val="nil"/>
          <w:bottom w:val="nil"/>
          <w:right w:val="nil"/>
          <w:between w:val="nil"/>
        </w:pBdr>
        <w:spacing w:line="360" w:lineRule="auto"/>
        <w:rPr>
          <w:rFonts w:asciiTheme="majorHAnsi" w:hAnsiTheme="majorHAnsi" w:cstheme="majorHAnsi"/>
          <w:color w:val="000000"/>
        </w:rPr>
      </w:pPr>
    </w:p>
    <w:sectPr w:rsidR="009B4F5A" w:rsidRPr="00202373">
      <w:footerReference w:type="default" r:id="rId7"/>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99CB" w14:textId="77777777" w:rsidR="006D33AC" w:rsidRDefault="006D33AC">
      <w:pPr>
        <w:spacing w:after="0" w:line="240" w:lineRule="auto"/>
      </w:pPr>
      <w:r>
        <w:separator/>
      </w:r>
    </w:p>
  </w:endnote>
  <w:endnote w:type="continuationSeparator" w:id="0">
    <w:p w14:paraId="62A291C3" w14:textId="77777777" w:rsidR="006D33AC" w:rsidRDefault="006D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1" w14:textId="625AFE8A" w:rsidR="009B4F5A" w:rsidRDefault="000C3D14">
    <w:pPr>
      <w:pBdr>
        <w:top w:val="nil"/>
        <w:left w:val="nil"/>
        <w:bottom w:val="nil"/>
        <w:right w:val="nil"/>
        <w:between w:val="nil"/>
      </w:pBdr>
      <w:tabs>
        <w:tab w:val="center" w:pos="4320"/>
        <w:tab w:val="right" w:pos="8640"/>
      </w:tabs>
      <w:spacing w:before="240" w:after="0" w:line="240" w:lineRule="auto"/>
      <w:jc w:val="center"/>
      <w:rPr>
        <w:color w:val="000000"/>
      </w:rPr>
    </w:pPr>
    <w:r>
      <w:rPr>
        <w:color w:val="000000"/>
      </w:rPr>
      <w:fldChar w:fldCharType="begin"/>
    </w:r>
    <w:r>
      <w:rPr>
        <w:color w:val="000000"/>
      </w:rPr>
      <w:instrText>PAGE</w:instrText>
    </w:r>
    <w:r>
      <w:rPr>
        <w:color w:val="000000"/>
      </w:rPr>
      <w:fldChar w:fldCharType="separate"/>
    </w:r>
    <w:r w:rsidR="0084232E">
      <w:rPr>
        <w:noProof/>
        <w:color w:val="000000"/>
      </w:rPr>
      <w:t>1</w:t>
    </w:r>
    <w:r>
      <w:rPr>
        <w:color w:val="000000"/>
      </w:rPr>
      <w:fldChar w:fldCharType="end"/>
    </w:r>
  </w:p>
  <w:p w14:paraId="000000C2" w14:textId="77777777" w:rsidR="009B4F5A" w:rsidRDefault="009B4F5A">
    <w:pPr>
      <w:pBdr>
        <w:top w:val="nil"/>
        <w:left w:val="nil"/>
        <w:bottom w:val="nil"/>
        <w:right w:val="nil"/>
        <w:between w:val="nil"/>
      </w:pBdr>
      <w:tabs>
        <w:tab w:val="center" w:pos="4320"/>
        <w:tab w:val="right" w:pos="864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16E6" w14:textId="77777777" w:rsidR="006D33AC" w:rsidRDefault="006D33AC">
      <w:pPr>
        <w:spacing w:after="0" w:line="240" w:lineRule="auto"/>
      </w:pPr>
      <w:r>
        <w:separator/>
      </w:r>
    </w:p>
  </w:footnote>
  <w:footnote w:type="continuationSeparator" w:id="0">
    <w:p w14:paraId="011D5EB8" w14:textId="77777777" w:rsidR="006D33AC" w:rsidRDefault="006D33AC">
      <w:pPr>
        <w:spacing w:after="0" w:line="240" w:lineRule="auto"/>
      </w:pPr>
      <w:r>
        <w:continuationSeparator/>
      </w:r>
    </w:p>
  </w:footnote>
  <w:footnote w:id="1">
    <w:p w14:paraId="07DFE9FB" w14:textId="2F5463CD" w:rsidR="0047576E" w:rsidRPr="00A345B8" w:rsidRDefault="0047576E"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r w:rsidR="009469CB" w:rsidRPr="00A345B8">
        <w:rPr>
          <w:rFonts w:asciiTheme="majorHAnsi" w:hAnsiTheme="majorHAnsi" w:cstheme="majorHAnsi"/>
          <w:color w:val="000000"/>
          <w:sz w:val="20"/>
          <w:szCs w:val="20"/>
        </w:rPr>
        <w:t>B</w:t>
      </w:r>
      <w:r w:rsidRPr="00A345B8">
        <w:rPr>
          <w:rFonts w:asciiTheme="majorHAnsi" w:hAnsiTheme="majorHAnsi" w:cstheme="majorHAnsi"/>
          <w:color w:val="000000"/>
          <w:sz w:val="20"/>
          <w:szCs w:val="20"/>
        </w:rPr>
        <w:t xml:space="preserve">ased on the academic course “Light and Sound in the Material Culture of Ashkenazi Jews,” which I was privileged to deliver at Professor </w:t>
      </w:r>
      <w:proofErr w:type="spellStart"/>
      <w:r w:rsidRPr="00A345B8">
        <w:rPr>
          <w:rFonts w:asciiTheme="majorHAnsi" w:hAnsiTheme="majorHAnsi" w:cstheme="majorHAnsi"/>
          <w:color w:val="000000"/>
          <w:sz w:val="20"/>
          <w:szCs w:val="20"/>
        </w:rPr>
        <w:t>Sabar’s</w:t>
      </w:r>
      <w:proofErr w:type="spellEnd"/>
      <w:r w:rsidRPr="00A345B8">
        <w:rPr>
          <w:rFonts w:asciiTheme="majorHAnsi" w:hAnsiTheme="majorHAnsi" w:cstheme="majorHAnsi"/>
          <w:color w:val="000000"/>
          <w:sz w:val="20"/>
          <w:szCs w:val="20"/>
        </w:rPr>
        <w:t xml:space="preserve"> home department, the Department of Jewish and Comparative Folklore, the Hebrew University of Jerusalem, in 2001–2002 academic year. </w:t>
      </w:r>
      <w:r w:rsidR="009469CB" w:rsidRPr="00A345B8">
        <w:rPr>
          <w:rFonts w:asciiTheme="majorHAnsi" w:hAnsiTheme="majorHAnsi" w:cstheme="majorHAnsi"/>
          <w:color w:val="000000"/>
          <w:sz w:val="20"/>
          <w:szCs w:val="20"/>
        </w:rPr>
        <w:t>I cordially thank Prof. Nathan Cohen, Dr. Naomi Feuchtwanger-</w:t>
      </w:r>
      <w:proofErr w:type="spellStart"/>
      <w:r w:rsidR="009469CB" w:rsidRPr="00A345B8">
        <w:rPr>
          <w:rFonts w:asciiTheme="majorHAnsi" w:hAnsiTheme="majorHAnsi" w:cstheme="majorHAnsi"/>
          <w:color w:val="000000"/>
          <w:sz w:val="20"/>
          <w:szCs w:val="20"/>
        </w:rPr>
        <w:t>Sarig</w:t>
      </w:r>
      <w:proofErr w:type="spellEnd"/>
      <w:r w:rsidR="009469CB" w:rsidRPr="00A345B8">
        <w:rPr>
          <w:rFonts w:asciiTheme="majorHAnsi" w:hAnsiTheme="majorHAnsi" w:cstheme="majorHAnsi"/>
          <w:color w:val="000000"/>
          <w:sz w:val="20"/>
          <w:szCs w:val="20"/>
        </w:rPr>
        <w:t xml:space="preserve">, </w:t>
      </w:r>
      <w:r w:rsidR="00B54EB1" w:rsidRPr="00A345B8">
        <w:rPr>
          <w:rFonts w:asciiTheme="majorHAnsi" w:hAnsiTheme="majorHAnsi" w:cstheme="majorHAnsi"/>
          <w:color w:val="000000"/>
          <w:sz w:val="20"/>
          <w:szCs w:val="20"/>
        </w:rPr>
        <w:t xml:space="preserve">Mr. </w:t>
      </w:r>
      <w:r w:rsidR="00B54EB1" w:rsidRPr="00A345B8">
        <w:rPr>
          <w:rFonts w:asciiTheme="majorHAnsi" w:hAnsiTheme="majorHAnsi" w:cstheme="majorHAnsi"/>
          <w:sz w:val="20"/>
          <w:szCs w:val="20"/>
        </w:rPr>
        <w:t xml:space="preserve">Tsadik Kaplan, </w:t>
      </w:r>
      <w:r w:rsidR="009F5917" w:rsidRPr="00A345B8">
        <w:rPr>
          <w:rFonts w:asciiTheme="majorHAnsi" w:hAnsiTheme="majorHAnsi" w:cstheme="majorHAnsi"/>
          <w:color w:val="000000"/>
          <w:sz w:val="20"/>
          <w:szCs w:val="20"/>
        </w:rPr>
        <w:t xml:space="preserve">Dr. Sergey Kravtsov, and </w:t>
      </w:r>
      <w:r w:rsidR="009469CB" w:rsidRPr="00A345B8">
        <w:rPr>
          <w:rFonts w:asciiTheme="majorHAnsi" w:hAnsiTheme="majorHAnsi" w:cstheme="majorHAnsi"/>
          <w:color w:val="000000"/>
          <w:sz w:val="20"/>
          <w:szCs w:val="20"/>
        </w:rPr>
        <w:t xml:space="preserve">Dr. Vladimir Levin for their valuable comments and suggestions regarding the current </w:t>
      </w:r>
      <w:r w:rsidR="009F5917" w:rsidRPr="00A345B8">
        <w:rPr>
          <w:rFonts w:asciiTheme="majorHAnsi" w:hAnsiTheme="majorHAnsi" w:cstheme="majorHAnsi"/>
          <w:color w:val="000000"/>
          <w:sz w:val="20"/>
          <w:szCs w:val="20"/>
        </w:rPr>
        <w:t>publication</w:t>
      </w:r>
      <w:r w:rsidR="009469CB" w:rsidRPr="00A345B8">
        <w:rPr>
          <w:rFonts w:asciiTheme="majorHAnsi" w:hAnsiTheme="majorHAnsi" w:cstheme="majorHAnsi"/>
          <w:color w:val="000000"/>
          <w:sz w:val="20"/>
          <w:szCs w:val="20"/>
        </w:rPr>
        <w:t xml:space="preserve">. </w:t>
      </w:r>
    </w:p>
  </w:footnote>
  <w:footnote w:id="2">
    <w:p w14:paraId="00000057"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Here is a selection of Shalom </w:t>
      </w:r>
      <w:proofErr w:type="spellStart"/>
      <w:r w:rsidRPr="00A345B8">
        <w:rPr>
          <w:rFonts w:asciiTheme="majorHAnsi" w:hAnsiTheme="majorHAnsi" w:cstheme="majorHAnsi"/>
          <w:color w:val="000000"/>
          <w:sz w:val="20"/>
          <w:szCs w:val="20"/>
        </w:rPr>
        <w:t>Sabar’s</w:t>
      </w:r>
      <w:proofErr w:type="spellEnd"/>
      <w:r w:rsidRPr="00A345B8">
        <w:rPr>
          <w:rFonts w:asciiTheme="majorHAnsi" w:hAnsiTheme="majorHAnsi" w:cstheme="majorHAnsi"/>
          <w:color w:val="000000"/>
          <w:sz w:val="20"/>
          <w:szCs w:val="20"/>
        </w:rPr>
        <w:t xml:space="preserve"> publications on the mentioned subjects: </w:t>
      </w:r>
      <w:proofErr w:type="spellStart"/>
      <w:r w:rsidRPr="00A345B8">
        <w:rPr>
          <w:rFonts w:asciiTheme="majorHAnsi" w:hAnsiTheme="majorHAnsi" w:cstheme="majorHAnsi"/>
          <w:i/>
          <w:color w:val="000000"/>
          <w:sz w:val="20"/>
          <w:szCs w:val="20"/>
        </w:rPr>
        <w:t>Ketubbah</w:t>
      </w:r>
      <w:proofErr w:type="spellEnd"/>
      <w:r w:rsidRPr="00A345B8">
        <w:rPr>
          <w:rFonts w:asciiTheme="majorHAnsi" w:hAnsiTheme="majorHAnsi" w:cstheme="majorHAnsi"/>
          <w:i/>
          <w:color w:val="000000"/>
          <w:sz w:val="20"/>
          <w:szCs w:val="20"/>
        </w:rPr>
        <w:t xml:space="preserve">: Jewish Marriage Contracts of the Hebrew Union College </w:t>
      </w:r>
      <w:proofErr w:type="spellStart"/>
      <w:r w:rsidRPr="00A345B8">
        <w:rPr>
          <w:rFonts w:asciiTheme="majorHAnsi" w:hAnsiTheme="majorHAnsi" w:cstheme="majorHAnsi"/>
          <w:i/>
          <w:color w:val="000000"/>
          <w:sz w:val="20"/>
          <w:szCs w:val="20"/>
        </w:rPr>
        <w:t>Skirball</w:t>
      </w:r>
      <w:proofErr w:type="spellEnd"/>
      <w:r w:rsidRPr="00A345B8">
        <w:rPr>
          <w:rFonts w:asciiTheme="majorHAnsi" w:hAnsiTheme="majorHAnsi" w:cstheme="majorHAnsi"/>
          <w:i/>
          <w:color w:val="000000"/>
          <w:sz w:val="20"/>
          <w:szCs w:val="20"/>
        </w:rPr>
        <w:t xml:space="preserve"> Museum and </w:t>
      </w:r>
      <w:proofErr w:type="spellStart"/>
      <w:r w:rsidRPr="00A345B8">
        <w:rPr>
          <w:rFonts w:asciiTheme="majorHAnsi" w:hAnsiTheme="majorHAnsi" w:cstheme="majorHAnsi"/>
          <w:i/>
          <w:color w:val="000000"/>
          <w:sz w:val="20"/>
          <w:szCs w:val="20"/>
        </w:rPr>
        <w:t>Klau</w:t>
      </w:r>
      <w:proofErr w:type="spellEnd"/>
      <w:r w:rsidRPr="00A345B8">
        <w:rPr>
          <w:rFonts w:asciiTheme="majorHAnsi" w:hAnsiTheme="majorHAnsi" w:cstheme="majorHAnsi"/>
          <w:i/>
          <w:color w:val="000000"/>
          <w:sz w:val="20"/>
          <w:szCs w:val="20"/>
        </w:rPr>
        <w:t xml:space="preserve"> Library </w:t>
      </w:r>
      <w:r w:rsidRPr="00A345B8">
        <w:rPr>
          <w:rFonts w:asciiTheme="majorHAnsi" w:hAnsiTheme="majorHAnsi" w:cstheme="majorHAnsi"/>
          <w:color w:val="000000"/>
          <w:sz w:val="20"/>
          <w:szCs w:val="20"/>
        </w:rPr>
        <w:t xml:space="preserve">(Philadelphia and New York: Jewish Publication Society, 1990); “The Motif of Light in Childbirth and Circumcision Ceremonies: Between Custom to Art and Material Culture,” in: </w:t>
      </w:r>
      <w:proofErr w:type="spellStart"/>
      <w:r w:rsidRPr="00A345B8">
        <w:rPr>
          <w:rFonts w:asciiTheme="majorHAnsi" w:hAnsiTheme="majorHAnsi" w:cstheme="majorHAnsi"/>
          <w:i/>
          <w:color w:val="000000"/>
          <w:sz w:val="20"/>
          <w:szCs w:val="20"/>
        </w:rPr>
        <w:t>Orim</w:t>
      </w:r>
      <w:proofErr w:type="spellEnd"/>
      <w:r w:rsidRPr="00A345B8">
        <w:rPr>
          <w:rFonts w:asciiTheme="majorHAnsi" w:hAnsiTheme="majorHAnsi" w:cstheme="majorHAnsi"/>
          <w:i/>
          <w:color w:val="000000"/>
          <w:sz w:val="20"/>
          <w:szCs w:val="20"/>
        </w:rPr>
        <w:t>: Lights in Literature, Art, and Jewish Thought</w:t>
      </w:r>
      <w:r w:rsidRPr="00A345B8">
        <w:rPr>
          <w:rFonts w:asciiTheme="majorHAnsi" w:hAnsiTheme="majorHAnsi" w:cstheme="majorHAnsi"/>
          <w:color w:val="000000"/>
          <w:sz w:val="20"/>
          <w:szCs w:val="20"/>
        </w:rPr>
        <w:t xml:space="preserve">, eds. Emily D. </w:t>
      </w:r>
      <w:proofErr w:type="spellStart"/>
      <w:r w:rsidRPr="00A345B8">
        <w:rPr>
          <w:rFonts w:asciiTheme="majorHAnsi" w:hAnsiTheme="majorHAnsi" w:cstheme="majorHAnsi"/>
          <w:color w:val="000000"/>
          <w:sz w:val="20"/>
          <w:szCs w:val="20"/>
        </w:rPr>
        <w:t>Bilski</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Amital</w:t>
      </w:r>
      <w:proofErr w:type="spellEnd"/>
      <w:r w:rsidRPr="00A345B8">
        <w:rPr>
          <w:rFonts w:asciiTheme="majorHAnsi" w:hAnsiTheme="majorHAnsi" w:cstheme="majorHAnsi"/>
          <w:color w:val="000000"/>
          <w:sz w:val="20"/>
          <w:szCs w:val="20"/>
        </w:rPr>
        <w:t xml:space="preserve"> Mendelsohn, and Avigdor </w:t>
      </w:r>
      <w:proofErr w:type="spellStart"/>
      <w:r w:rsidRPr="00A345B8">
        <w:rPr>
          <w:rFonts w:asciiTheme="majorHAnsi" w:hAnsiTheme="majorHAnsi" w:cstheme="majorHAnsi"/>
          <w:color w:val="000000"/>
          <w:sz w:val="20"/>
          <w:szCs w:val="20"/>
        </w:rPr>
        <w:t>Shinan</w:t>
      </w:r>
      <w:proofErr w:type="spellEnd"/>
      <w:r w:rsidRPr="00A345B8">
        <w:rPr>
          <w:rFonts w:asciiTheme="majorHAnsi" w:hAnsiTheme="majorHAnsi" w:cstheme="majorHAnsi"/>
          <w:color w:val="000000"/>
          <w:sz w:val="20"/>
          <w:szCs w:val="20"/>
        </w:rPr>
        <w:t xml:space="preserve"> (Tel Aviv: Am Oved, 2005) [Hebrew]; “From the ‘Cruse of Oil Miracle’ to a Rifle Stock: The Changing Image of the Hanukkah Lamp in Israeli Society,” in </w:t>
      </w:r>
      <w:r w:rsidRPr="00A345B8">
        <w:rPr>
          <w:rFonts w:asciiTheme="majorHAnsi" w:hAnsiTheme="majorHAnsi" w:cstheme="majorHAnsi"/>
          <w:i/>
          <w:color w:val="000000"/>
          <w:sz w:val="20"/>
          <w:szCs w:val="20"/>
        </w:rPr>
        <w:t xml:space="preserve">Essays in Folklore and Jewish Studies in Honor of Professor Eli </w:t>
      </w:r>
      <w:proofErr w:type="spellStart"/>
      <w:r w:rsidRPr="00A345B8">
        <w:rPr>
          <w:rFonts w:asciiTheme="majorHAnsi" w:hAnsiTheme="majorHAnsi" w:cstheme="majorHAnsi"/>
          <w:i/>
          <w:color w:val="000000"/>
          <w:sz w:val="20"/>
          <w:szCs w:val="20"/>
        </w:rPr>
        <w:t>Yassif</w:t>
      </w:r>
      <w:proofErr w:type="spellEnd"/>
      <w:r w:rsidRPr="00A345B8">
        <w:rPr>
          <w:rFonts w:asciiTheme="majorHAnsi" w:hAnsiTheme="majorHAnsi" w:cstheme="majorHAnsi"/>
          <w:color w:val="000000"/>
          <w:sz w:val="20"/>
          <w:szCs w:val="20"/>
        </w:rPr>
        <w:t xml:space="preserve">, eds. Tova Rosen, et al. (Tel Aviv: Tel Aviv University, 2017), 415–49 [Hebrew]; “The History of the Simchat Torah Flag: From Ritual Object to National Symbol and Back,” in </w:t>
      </w:r>
      <w:r w:rsidRPr="00A345B8">
        <w:rPr>
          <w:rFonts w:asciiTheme="majorHAnsi" w:hAnsiTheme="majorHAnsi" w:cstheme="majorHAnsi"/>
          <w:i/>
          <w:color w:val="000000"/>
          <w:sz w:val="20"/>
          <w:szCs w:val="20"/>
        </w:rPr>
        <w:t>The Flags of Simchat Torah: From Popular Jewish Art to Hebrew-Israeli Culture</w:t>
      </w:r>
      <w:r w:rsidRPr="00A345B8">
        <w:rPr>
          <w:rFonts w:asciiTheme="majorHAnsi" w:hAnsiTheme="majorHAnsi" w:cstheme="majorHAnsi"/>
          <w:color w:val="000000"/>
          <w:sz w:val="20"/>
          <w:szCs w:val="20"/>
        </w:rPr>
        <w:t xml:space="preserve"> (exhibition catalogue, curator </w:t>
      </w:r>
      <w:proofErr w:type="spellStart"/>
      <w:r w:rsidRPr="00A345B8">
        <w:rPr>
          <w:rFonts w:asciiTheme="majorHAnsi" w:hAnsiTheme="majorHAnsi" w:cstheme="majorHAnsi"/>
          <w:color w:val="000000"/>
          <w:sz w:val="20"/>
          <w:szCs w:val="20"/>
        </w:rPr>
        <w:t>Nitza</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Behroozi</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Baroz</w:t>
      </w:r>
      <w:proofErr w:type="spellEnd"/>
      <w:r w:rsidRPr="00A345B8">
        <w:rPr>
          <w:rFonts w:asciiTheme="majorHAnsi" w:hAnsiTheme="majorHAnsi" w:cstheme="majorHAnsi"/>
          <w:color w:val="000000"/>
          <w:sz w:val="20"/>
          <w:szCs w:val="20"/>
        </w:rPr>
        <w:t xml:space="preserve">) (Tel Aviv: Eretz Israel Museum, 2012), 8c–24c. </w:t>
      </w:r>
    </w:p>
  </w:footnote>
  <w:footnote w:id="3">
    <w:p w14:paraId="00CFB104" w14:textId="77777777" w:rsidR="00943C0A" w:rsidRPr="00A345B8" w:rsidRDefault="00943C0A"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On the historical and ethnographic studies of sonic environments, see Sophia Rosenfeld, “On Being Heard: A Case for Paying Attention to the Historical Ear,” </w:t>
      </w:r>
      <w:r w:rsidRPr="00A345B8">
        <w:rPr>
          <w:rFonts w:asciiTheme="majorHAnsi" w:hAnsiTheme="majorHAnsi" w:cstheme="majorHAnsi"/>
          <w:i/>
          <w:color w:val="000000"/>
          <w:sz w:val="20"/>
          <w:szCs w:val="20"/>
        </w:rPr>
        <w:t>The American Historical Review</w:t>
      </w:r>
      <w:r w:rsidRPr="00A345B8">
        <w:rPr>
          <w:rFonts w:asciiTheme="majorHAnsi" w:hAnsiTheme="majorHAnsi" w:cstheme="majorHAnsi"/>
          <w:color w:val="000000"/>
          <w:sz w:val="20"/>
          <w:szCs w:val="20"/>
        </w:rPr>
        <w:t xml:space="preserve"> 116, 2 (2011): 316–34; David W. Samuels, Louise </w:t>
      </w:r>
      <w:proofErr w:type="spellStart"/>
      <w:r w:rsidRPr="00A345B8">
        <w:rPr>
          <w:rFonts w:asciiTheme="majorHAnsi" w:hAnsiTheme="majorHAnsi" w:cstheme="majorHAnsi"/>
          <w:color w:val="000000"/>
          <w:sz w:val="20"/>
          <w:szCs w:val="20"/>
        </w:rPr>
        <w:t>Meintjes</w:t>
      </w:r>
      <w:proofErr w:type="spellEnd"/>
      <w:r w:rsidRPr="00A345B8">
        <w:rPr>
          <w:rFonts w:asciiTheme="majorHAnsi" w:hAnsiTheme="majorHAnsi" w:cstheme="majorHAnsi"/>
          <w:color w:val="000000"/>
          <w:sz w:val="20"/>
          <w:szCs w:val="20"/>
        </w:rPr>
        <w:t xml:space="preserve">, Ana Maria Ochoa, and Thomas Porcello, “Soundscapes: Toward a Sounded Anthropology,” </w:t>
      </w:r>
      <w:r w:rsidRPr="00A345B8">
        <w:rPr>
          <w:rFonts w:asciiTheme="majorHAnsi" w:hAnsiTheme="majorHAnsi" w:cstheme="majorHAnsi"/>
          <w:i/>
          <w:color w:val="000000"/>
          <w:sz w:val="20"/>
          <w:szCs w:val="20"/>
        </w:rPr>
        <w:t>Annual Review of Anthropology</w:t>
      </w:r>
      <w:r w:rsidRPr="00A345B8">
        <w:rPr>
          <w:rFonts w:asciiTheme="majorHAnsi" w:hAnsiTheme="majorHAnsi" w:cstheme="majorHAnsi"/>
          <w:color w:val="000000"/>
          <w:sz w:val="20"/>
          <w:szCs w:val="20"/>
        </w:rPr>
        <w:t xml:space="preserve"> 39 (2010): 329–45; Peter A. Coates, “The Strange Stillness of the Past: Toward an Environmental History of Sound and Noise,” </w:t>
      </w:r>
      <w:r w:rsidRPr="00A345B8">
        <w:rPr>
          <w:rFonts w:asciiTheme="majorHAnsi" w:hAnsiTheme="majorHAnsi" w:cstheme="majorHAnsi"/>
          <w:i/>
          <w:color w:val="000000"/>
          <w:sz w:val="20"/>
          <w:szCs w:val="20"/>
        </w:rPr>
        <w:t>Environmental History</w:t>
      </w:r>
      <w:r w:rsidRPr="00A345B8">
        <w:rPr>
          <w:rFonts w:asciiTheme="majorHAnsi" w:hAnsiTheme="majorHAnsi" w:cstheme="majorHAnsi"/>
          <w:color w:val="000000"/>
          <w:sz w:val="20"/>
          <w:szCs w:val="20"/>
        </w:rPr>
        <w:t xml:space="preserve"> 10, 4 (2005): 636–65; Raymond Murray Schafer, </w:t>
      </w:r>
      <w:r w:rsidRPr="00A345B8">
        <w:rPr>
          <w:rFonts w:asciiTheme="majorHAnsi" w:hAnsiTheme="majorHAnsi" w:cstheme="majorHAnsi"/>
          <w:i/>
          <w:color w:val="000000"/>
          <w:sz w:val="20"/>
          <w:szCs w:val="20"/>
        </w:rPr>
        <w:t>The Soundscape: Our Sonic Environment and the Tuning of the World</w:t>
      </w:r>
      <w:r w:rsidRPr="00A345B8">
        <w:rPr>
          <w:rFonts w:asciiTheme="majorHAnsi" w:hAnsiTheme="majorHAnsi" w:cstheme="majorHAnsi"/>
          <w:color w:val="000000"/>
          <w:sz w:val="20"/>
          <w:szCs w:val="20"/>
        </w:rPr>
        <w:t xml:space="preserve"> (Rochester, Vt.: Destiny Books, 1993). On the definitions of Jewish folk art and traditional communities, see Ilia </w:t>
      </w:r>
      <w:proofErr w:type="spellStart"/>
      <w:r w:rsidRPr="00A345B8">
        <w:rPr>
          <w:rFonts w:asciiTheme="majorHAnsi" w:hAnsiTheme="majorHAnsi" w:cstheme="majorHAnsi"/>
          <w:color w:val="000000"/>
          <w:sz w:val="20"/>
          <w:szCs w:val="20"/>
        </w:rPr>
        <w:t>Rodov</w:t>
      </w:r>
      <w:proofErr w:type="spellEnd"/>
      <w:r w:rsidRPr="00A345B8">
        <w:rPr>
          <w:rFonts w:asciiTheme="majorHAnsi" w:hAnsiTheme="majorHAnsi" w:cstheme="majorHAnsi"/>
          <w:color w:val="000000"/>
          <w:sz w:val="20"/>
          <w:szCs w:val="20"/>
        </w:rPr>
        <w:t xml:space="preserve">, “What is ‘Folk’ about Synagogue Art?” </w:t>
      </w:r>
      <w:r w:rsidRPr="00A345B8">
        <w:rPr>
          <w:rFonts w:asciiTheme="majorHAnsi" w:hAnsiTheme="majorHAnsi" w:cstheme="majorHAnsi"/>
          <w:i/>
          <w:iCs/>
          <w:color w:val="000000"/>
          <w:sz w:val="20"/>
          <w:szCs w:val="20"/>
        </w:rPr>
        <w:t>Images</w:t>
      </w:r>
      <w:r w:rsidRPr="00A345B8">
        <w:rPr>
          <w:rFonts w:asciiTheme="majorHAnsi" w:hAnsiTheme="majorHAnsi" w:cstheme="majorHAnsi"/>
          <w:color w:val="000000"/>
          <w:sz w:val="20"/>
          <w:szCs w:val="20"/>
        </w:rPr>
        <w:t xml:space="preserve"> 9, 1 (2016): 49–63.</w:t>
      </w:r>
    </w:p>
  </w:footnote>
  <w:footnote w:id="4">
    <w:p w14:paraId="4E94A7A7" w14:textId="77777777" w:rsidR="00943C0A" w:rsidRPr="00A345B8" w:rsidRDefault="00943C0A"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The medieval to contemporary shofars were discussed by Shalom </w:t>
      </w:r>
      <w:proofErr w:type="spellStart"/>
      <w:r w:rsidRPr="00A345B8">
        <w:rPr>
          <w:rFonts w:asciiTheme="majorHAnsi" w:hAnsiTheme="majorHAnsi" w:cstheme="majorHAnsi"/>
          <w:color w:val="000000"/>
          <w:sz w:val="20"/>
          <w:szCs w:val="20"/>
        </w:rPr>
        <w:t>Sabar</w:t>
      </w:r>
      <w:proofErr w:type="spellEnd"/>
      <w:r w:rsidRPr="00A345B8">
        <w:rPr>
          <w:rFonts w:asciiTheme="majorHAnsi" w:hAnsiTheme="majorHAnsi" w:cstheme="majorHAnsi"/>
          <w:color w:val="000000"/>
          <w:sz w:val="20"/>
          <w:szCs w:val="20"/>
        </w:rPr>
        <w:t xml:space="preserve"> in “The Shofar in Medieval Jewish Thought and Art” and “The Shofar in the Modern Period – 18</w:t>
      </w:r>
      <w:r w:rsidRPr="00A345B8">
        <w:rPr>
          <w:rFonts w:asciiTheme="majorHAnsi" w:hAnsiTheme="majorHAnsi" w:cstheme="majorHAnsi"/>
          <w:color w:val="000000"/>
          <w:sz w:val="20"/>
          <w:szCs w:val="20"/>
          <w:vertAlign w:val="superscript"/>
        </w:rPr>
        <w:t>th</w:t>
      </w:r>
      <w:r w:rsidRPr="00A345B8">
        <w:rPr>
          <w:rFonts w:asciiTheme="majorHAnsi" w:hAnsiTheme="majorHAnsi" w:cstheme="majorHAnsi"/>
          <w:color w:val="000000"/>
          <w:sz w:val="20"/>
          <w:szCs w:val="20"/>
        </w:rPr>
        <w:t>–20</w:t>
      </w:r>
      <w:r w:rsidRPr="00A345B8">
        <w:rPr>
          <w:rFonts w:asciiTheme="majorHAnsi" w:hAnsiTheme="majorHAnsi" w:cstheme="majorHAnsi"/>
          <w:color w:val="000000"/>
          <w:sz w:val="20"/>
          <w:szCs w:val="20"/>
          <w:vertAlign w:val="superscript"/>
        </w:rPr>
        <w:t>th</w:t>
      </w:r>
      <w:r w:rsidRPr="00A345B8">
        <w:rPr>
          <w:rFonts w:asciiTheme="majorHAnsi" w:hAnsiTheme="majorHAnsi" w:cstheme="majorHAnsi"/>
          <w:color w:val="000000"/>
          <w:sz w:val="20"/>
          <w:szCs w:val="20"/>
        </w:rPr>
        <w:t xml:space="preserve"> Centuries” in: </w:t>
      </w:r>
      <w:r w:rsidRPr="00A345B8">
        <w:rPr>
          <w:rFonts w:asciiTheme="majorHAnsi" w:hAnsiTheme="majorHAnsi" w:cstheme="majorHAnsi"/>
          <w:i/>
          <w:color w:val="000000"/>
          <w:sz w:val="20"/>
          <w:szCs w:val="20"/>
        </w:rPr>
        <w:t>Sound the Shofar: A Witness to History</w:t>
      </w:r>
      <w:r w:rsidRPr="00A345B8">
        <w:rPr>
          <w:rFonts w:asciiTheme="majorHAnsi" w:hAnsiTheme="majorHAnsi" w:cstheme="majorHAnsi"/>
          <w:color w:val="000000"/>
          <w:sz w:val="20"/>
          <w:szCs w:val="20"/>
        </w:rPr>
        <w:t xml:space="preserve"> (exhibition catalogue), ed. Filip </w:t>
      </w:r>
      <w:proofErr w:type="spellStart"/>
      <w:r w:rsidRPr="00A345B8">
        <w:rPr>
          <w:rFonts w:asciiTheme="majorHAnsi" w:hAnsiTheme="majorHAnsi" w:cstheme="majorHAnsi"/>
          <w:color w:val="000000"/>
          <w:sz w:val="20"/>
          <w:szCs w:val="20"/>
        </w:rPr>
        <w:t>Vukosavović</w:t>
      </w:r>
      <w:proofErr w:type="spellEnd"/>
      <w:r w:rsidRPr="00A345B8">
        <w:rPr>
          <w:rFonts w:asciiTheme="majorHAnsi" w:hAnsiTheme="majorHAnsi" w:cstheme="majorHAnsi"/>
          <w:color w:val="000000"/>
          <w:sz w:val="20"/>
          <w:szCs w:val="20"/>
        </w:rPr>
        <w:t xml:space="preserve"> (Jerusalem: Bible Lands Museum, 2011), 40–41, 44–46. See also Jeremy Montagu, </w:t>
      </w:r>
      <w:r w:rsidRPr="00A345B8">
        <w:rPr>
          <w:rFonts w:asciiTheme="majorHAnsi" w:hAnsiTheme="majorHAnsi" w:cstheme="majorHAnsi"/>
          <w:i/>
          <w:color w:val="000000"/>
          <w:sz w:val="20"/>
          <w:szCs w:val="20"/>
        </w:rPr>
        <w:t>The Shofar: Its History and Use</w:t>
      </w:r>
      <w:r w:rsidRPr="00A345B8">
        <w:rPr>
          <w:rFonts w:asciiTheme="majorHAnsi" w:hAnsiTheme="majorHAnsi" w:cstheme="majorHAnsi"/>
          <w:color w:val="000000"/>
          <w:sz w:val="20"/>
          <w:szCs w:val="20"/>
        </w:rPr>
        <w:t xml:space="preserve"> (Blue Ridge Summit: Rowman and Littlefield Publ., 2016). On the genesis, history, and uses of the Purim noise makers, see Daniel Sperber, </w:t>
      </w:r>
      <w:proofErr w:type="spellStart"/>
      <w:r w:rsidRPr="00A345B8">
        <w:rPr>
          <w:rFonts w:asciiTheme="majorHAnsi" w:hAnsiTheme="majorHAnsi" w:cstheme="majorHAnsi"/>
          <w:i/>
          <w:color w:val="000000"/>
          <w:sz w:val="20"/>
          <w:szCs w:val="20"/>
        </w:rPr>
        <w:t>Minhagei</w:t>
      </w:r>
      <w:proofErr w:type="spellEnd"/>
      <w:r w:rsidRPr="00A345B8">
        <w:rPr>
          <w:rFonts w:asciiTheme="majorHAnsi" w:hAnsiTheme="majorHAnsi" w:cstheme="majorHAnsi"/>
          <w:i/>
          <w:color w:val="000000"/>
          <w:sz w:val="20"/>
          <w:szCs w:val="20"/>
        </w:rPr>
        <w:t xml:space="preserve"> Yisrael</w:t>
      </w:r>
      <w:r w:rsidRPr="00A345B8">
        <w:rPr>
          <w:rFonts w:asciiTheme="majorHAnsi" w:hAnsiTheme="majorHAnsi" w:cstheme="majorHAnsi"/>
          <w:color w:val="000000"/>
          <w:sz w:val="20"/>
          <w:szCs w:val="20"/>
        </w:rPr>
        <w:t xml:space="preserve"> (Jewish Customs) (Jerusalem: </w:t>
      </w:r>
      <w:proofErr w:type="spellStart"/>
      <w:r w:rsidRPr="00A345B8">
        <w:rPr>
          <w:rFonts w:asciiTheme="majorHAnsi" w:hAnsiTheme="majorHAnsi" w:cstheme="majorHAnsi"/>
          <w:color w:val="000000"/>
          <w:sz w:val="20"/>
          <w:szCs w:val="20"/>
        </w:rPr>
        <w:t>Mosad</w:t>
      </w:r>
      <w:proofErr w:type="spellEnd"/>
      <w:r w:rsidRPr="00A345B8">
        <w:rPr>
          <w:rFonts w:asciiTheme="majorHAnsi" w:hAnsiTheme="majorHAnsi" w:cstheme="majorHAnsi"/>
          <w:color w:val="000000"/>
          <w:sz w:val="20"/>
          <w:szCs w:val="20"/>
        </w:rPr>
        <w:t xml:space="preserve"> ha-</w:t>
      </w:r>
      <w:proofErr w:type="spellStart"/>
      <w:r w:rsidRPr="00A345B8">
        <w:rPr>
          <w:rFonts w:asciiTheme="majorHAnsi" w:hAnsiTheme="majorHAnsi" w:cstheme="majorHAnsi"/>
          <w:color w:val="000000"/>
          <w:sz w:val="20"/>
          <w:szCs w:val="20"/>
        </w:rPr>
        <w:t>Rav</w:t>
      </w:r>
      <w:proofErr w:type="spellEnd"/>
      <w:r w:rsidRPr="00A345B8">
        <w:rPr>
          <w:rFonts w:asciiTheme="majorHAnsi" w:hAnsiTheme="majorHAnsi" w:cstheme="majorHAnsi"/>
          <w:color w:val="000000"/>
          <w:sz w:val="20"/>
          <w:szCs w:val="20"/>
        </w:rPr>
        <w:t xml:space="preserve"> Kook): 1 (1989), 16–18; 3 (1994), 156–59; 4 (1995), 331–33; 6 (1998), 242–46; 8 (2007), 293–95 [Hebrew].</w:t>
      </w:r>
    </w:p>
  </w:footnote>
  <w:footnote w:id="5">
    <w:p w14:paraId="199ED30C" w14:textId="77777777" w:rsidR="001173BF" w:rsidRPr="00A345B8" w:rsidRDefault="001173BF"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The most complete account of the custom is offered by Daniel Sperber in his </w:t>
      </w:r>
      <w:proofErr w:type="spellStart"/>
      <w:r w:rsidRPr="00A345B8">
        <w:rPr>
          <w:rFonts w:asciiTheme="majorHAnsi" w:hAnsiTheme="majorHAnsi" w:cstheme="majorHAnsi"/>
          <w:i/>
          <w:color w:val="000000"/>
          <w:sz w:val="20"/>
          <w:szCs w:val="20"/>
        </w:rPr>
        <w:t>Minhagei</w:t>
      </w:r>
      <w:proofErr w:type="spellEnd"/>
      <w:r w:rsidRPr="00A345B8">
        <w:rPr>
          <w:rFonts w:asciiTheme="majorHAnsi" w:hAnsiTheme="majorHAnsi" w:cstheme="majorHAnsi"/>
          <w:i/>
          <w:color w:val="000000"/>
          <w:sz w:val="20"/>
          <w:szCs w:val="20"/>
        </w:rPr>
        <w:t xml:space="preserve"> Yisrael</w:t>
      </w:r>
      <w:r w:rsidRPr="00A345B8">
        <w:rPr>
          <w:rFonts w:asciiTheme="majorHAnsi" w:hAnsiTheme="majorHAnsi" w:cstheme="majorHAnsi"/>
          <w:color w:val="000000"/>
          <w:sz w:val="20"/>
          <w:szCs w:val="20"/>
        </w:rPr>
        <w:t xml:space="preserve"> 6 (1998), 1–8, 276–78 figs. 4–7 [Hebrew]. See also Israel Abrahams, </w:t>
      </w:r>
      <w:r w:rsidRPr="00A345B8">
        <w:rPr>
          <w:rFonts w:asciiTheme="majorHAnsi" w:hAnsiTheme="majorHAnsi" w:cstheme="majorHAnsi"/>
          <w:i/>
          <w:color w:val="000000"/>
          <w:sz w:val="20"/>
          <w:szCs w:val="20"/>
        </w:rPr>
        <w:t>Jewish Life in the Middle Ages</w:t>
      </w:r>
      <w:r w:rsidRPr="00A345B8">
        <w:rPr>
          <w:rFonts w:asciiTheme="majorHAnsi" w:hAnsiTheme="majorHAnsi" w:cstheme="majorHAnsi"/>
          <w:color w:val="000000"/>
          <w:sz w:val="20"/>
          <w:szCs w:val="20"/>
        </w:rPr>
        <w:t xml:space="preserve"> (London: Goldston, 1932), 55–57; Adler Cyrus and Max </w:t>
      </w:r>
      <w:proofErr w:type="spellStart"/>
      <w:r w:rsidRPr="00A345B8">
        <w:rPr>
          <w:rFonts w:asciiTheme="majorHAnsi" w:hAnsiTheme="majorHAnsi" w:cstheme="majorHAnsi"/>
          <w:color w:val="000000"/>
          <w:sz w:val="20"/>
          <w:szCs w:val="20"/>
        </w:rPr>
        <w:t>Seligsohn</w:t>
      </w:r>
      <w:proofErr w:type="spellEnd"/>
      <w:r w:rsidRPr="00A345B8">
        <w:rPr>
          <w:rFonts w:asciiTheme="majorHAnsi" w:hAnsiTheme="majorHAnsi" w:cstheme="majorHAnsi"/>
          <w:color w:val="000000"/>
          <w:sz w:val="20"/>
          <w:szCs w:val="20"/>
        </w:rPr>
        <w:t>, “</w:t>
      </w:r>
      <w:proofErr w:type="spellStart"/>
      <w:r w:rsidRPr="00A345B8">
        <w:rPr>
          <w:rFonts w:asciiTheme="majorHAnsi" w:hAnsiTheme="majorHAnsi" w:cstheme="majorHAnsi"/>
          <w:color w:val="000000"/>
          <w:sz w:val="20"/>
          <w:szCs w:val="20"/>
        </w:rPr>
        <w:t>Schulklopfer</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The Jewish Encyclopedia</w:t>
      </w:r>
      <w:r w:rsidRPr="00A345B8">
        <w:rPr>
          <w:rFonts w:asciiTheme="majorHAnsi" w:hAnsiTheme="majorHAnsi" w:cstheme="majorHAnsi"/>
          <w:color w:val="000000"/>
          <w:sz w:val="20"/>
          <w:szCs w:val="20"/>
        </w:rPr>
        <w:t xml:space="preserve"> 11, eds. Adler Cyrus and Isidore Singer (New York and London, Funk and Wagnalls, 1905), 114. </w:t>
      </w:r>
    </w:p>
    <w:bookmarkStart w:id="1" w:name="_2xcytpi" w:colFirst="0" w:colLast="0"/>
    <w:bookmarkEnd w:id="1"/>
  </w:footnote>
  <w:footnote w:id="6">
    <w:p w14:paraId="0000005D"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bookmarkStart w:id="2" w:name="_2xcytpi" w:colFirst="0" w:colLast="0"/>
      <w:bookmarkEnd w:id="2"/>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Bonnie Blackburn and </w:t>
      </w:r>
      <w:proofErr w:type="spellStart"/>
      <w:r w:rsidRPr="00A345B8">
        <w:rPr>
          <w:rFonts w:asciiTheme="majorHAnsi" w:hAnsiTheme="majorHAnsi" w:cstheme="majorHAnsi"/>
          <w:color w:val="000000"/>
          <w:sz w:val="20"/>
          <w:szCs w:val="20"/>
        </w:rPr>
        <w:t>Leofranc</w:t>
      </w:r>
      <w:proofErr w:type="spellEnd"/>
      <w:r w:rsidRPr="00A345B8">
        <w:rPr>
          <w:rFonts w:asciiTheme="majorHAnsi" w:hAnsiTheme="majorHAnsi" w:cstheme="majorHAnsi"/>
          <w:color w:val="000000"/>
          <w:sz w:val="20"/>
          <w:szCs w:val="20"/>
        </w:rPr>
        <w:t xml:space="preserve"> Holford-</w:t>
      </w:r>
      <w:proofErr w:type="spellStart"/>
      <w:r w:rsidRPr="00A345B8">
        <w:rPr>
          <w:rFonts w:asciiTheme="majorHAnsi" w:hAnsiTheme="majorHAnsi" w:cstheme="majorHAnsi"/>
          <w:color w:val="000000"/>
          <w:sz w:val="20"/>
          <w:szCs w:val="20"/>
        </w:rPr>
        <w:t>Strevens</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The Oxford Companion to the Year</w:t>
      </w:r>
      <w:r w:rsidRPr="00A345B8">
        <w:rPr>
          <w:rFonts w:asciiTheme="majorHAnsi" w:hAnsiTheme="majorHAnsi" w:cstheme="majorHAnsi"/>
          <w:color w:val="000000"/>
          <w:sz w:val="20"/>
          <w:szCs w:val="20"/>
        </w:rPr>
        <w:t xml:space="preserve"> (Oxford: Oxford University Press, 1999), 661–63. See also a selection of immense research and reference literature on ancient calendars: </w:t>
      </w:r>
      <w:r w:rsidRPr="00A345B8">
        <w:rPr>
          <w:rFonts w:asciiTheme="majorHAnsi" w:hAnsiTheme="majorHAnsi" w:cstheme="majorHAnsi"/>
          <w:i/>
          <w:color w:val="000000"/>
          <w:sz w:val="20"/>
          <w:szCs w:val="20"/>
        </w:rPr>
        <w:t>Calendar, Chronology and Worship: Studies in Ancient Judaism and Early Christianity</w:t>
      </w:r>
      <w:r w:rsidRPr="00A345B8">
        <w:rPr>
          <w:rFonts w:asciiTheme="majorHAnsi" w:hAnsiTheme="majorHAnsi" w:cstheme="majorHAnsi"/>
          <w:color w:val="000000"/>
          <w:sz w:val="20"/>
          <w:szCs w:val="20"/>
        </w:rPr>
        <w:t xml:space="preserve">, ed. Roger T. Beckwith (Leiden: Brill, 2005); Sacha Stern, </w:t>
      </w:r>
      <w:r w:rsidRPr="00A345B8">
        <w:rPr>
          <w:rFonts w:asciiTheme="majorHAnsi" w:hAnsiTheme="majorHAnsi" w:cstheme="majorHAnsi"/>
          <w:i/>
          <w:color w:val="000000"/>
          <w:sz w:val="20"/>
          <w:szCs w:val="20"/>
        </w:rPr>
        <w:t>Calendar and Community: A History of the Jewish Calendar, 2nd Century BCE–10th Century CE</w:t>
      </w:r>
      <w:r w:rsidRPr="00A345B8">
        <w:rPr>
          <w:rFonts w:asciiTheme="majorHAnsi" w:hAnsiTheme="majorHAnsi" w:cstheme="majorHAnsi"/>
          <w:color w:val="000000"/>
          <w:sz w:val="20"/>
          <w:szCs w:val="20"/>
        </w:rPr>
        <w:t xml:space="preserve"> (Oxford: Oxford University Press, 2001); Edward G. Richards, </w:t>
      </w:r>
      <w:r w:rsidRPr="00A345B8">
        <w:rPr>
          <w:rFonts w:asciiTheme="majorHAnsi" w:hAnsiTheme="majorHAnsi" w:cstheme="majorHAnsi"/>
          <w:i/>
          <w:color w:val="000000"/>
          <w:sz w:val="20"/>
          <w:szCs w:val="20"/>
        </w:rPr>
        <w:t>Mapping Time: The Calendar and its History</w:t>
      </w:r>
      <w:r w:rsidRPr="00A345B8">
        <w:rPr>
          <w:rFonts w:asciiTheme="majorHAnsi" w:hAnsiTheme="majorHAnsi" w:cstheme="majorHAnsi"/>
          <w:color w:val="000000"/>
          <w:sz w:val="20"/>
          <w:szCs w:val="20"/>
        </w:rPr>
        <w:t xml:space="preserve"> (Oxford: Oxford University Press, 1998); Gerhard </w:t>
      </w:r>
      <w:proofErr w:type="spellStart"/>
      <w:r w:rsidRPr="00A345B8">
        <w:rPr>
          <w:rFonts w:asciiTheme="majorHAnsi" w:hAnsiTheme="majorHAnsi" w:cstheme="majorHAnsi"/>
          <w:color w:val="000000"/>
          <w:sz w:val="20"/>
          <w:szCs w:val="20"/>
        </w:rPr>
        <w:t>Dohrn</w:t>
      </w:r>
      <w:proofErr w:type="spellEnd"/>
      <w:r w:rsidRPr="00A345B8">
        <w:rPr>
          <w:rFonts w:asciiTheme="majorHAnsi" w:hAnsiTheme="majorHAnsi" w:cstheme="majorHAnsi"/>
          <w:color w:val="000000"/>
          <w:sz w:val="20"/>
          <w:szCs w:val="20"/>
        </w:rPr>
        <w:t xml:space="preserve">-van Rossum, </w:t>
      </w:r>
      <w:r w:rsidRPr="00A345B8">
        <w:rPr>
          <w:rFonts w:asciiTheme="majorHAnsi" w:hAnsiTheme="majorHAnsi" w:cstheme="majorHAnsi"/>
          <w:i/>
          <w:color w:val="000000"/>
          <w:sz w:val="20"/>
          <w:szCs w:val="20"/>
        </w:rPr>
        <w:t>History of the Hour: Clocks and Modern Temporal Orders</w:t>
      </w:r>
      <w:r w:rsidRPr="00A345B8">
        <w:rPr>
          <w:rFonts w:asciiTheme="majorHAnsi" w:hAnsiTheme="majorHAnsi" w:cstheme="majorHAnsi"/>
          <w:color w:val="000000"/>
          <w:sz w:val="20"/>
          <w:szCs w:val="20"/>
        </w:rPr>
        <w:t xml:space="preserve"> (Chicago: University of Chicago Press, 1996); Thomas J. Talley, </w:t>
      </w:r>
      <w:r w:rsidRPr="00A345B8">
        <w:rPr>
          <w:rFonts w:asciiTheme="majorHAnsi" w:hAnsiTheme="majorHAnsi" w:cstheme="majorHAnsi"/>
          <w:i/>
          <w:color w:val="000000"/>
          <w:sz w:val="20"/>
          <w:szCs w:val="20"/>
        </w:rPr>
        <w:t>The Origins of the Liturgical Year</w:t>
      </w:r>
      <w:r w:rsidRPr="00A345B8">
        <w:rPr>
          <w:rFonts w:asciiTheme="majorHAnsi" w:hAnsiTheme="majorHAnsi" w:cstheme="majorHAnsi"/>
          <w:color w:val="000000"/>
          <w:sz w:val="20"/>
          <w:szCs w:val="20"/>
        </w:rPr>
        <w:t xml:space="preserve"> (Collegeville: Liturgical Press, 1991); Anthony </w:t>
      </w:r>
      <w:proofErr w:type="spellStart"/>
      <w:r w:rsidRPr="00A345B8">
        <w:rPr>
          <w:rFonts w:asciiTheme="majorHAnsi" w:hAnsiTheme="majorHAnsi" w:cstheme="majorHAnsi"/>
          <w:color w:val="000000"/>
          <w:sz w:val="20"/>
          <w:szCs w:val="20"/>
        </w:rPr>
        <w:t>Aveni</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Empires of Time: Calendars, Clocks, and Cultures</w:t>
      </w:r>
      <w:r w:rsidRPr="00A345B8">
        <w:rPr>
          <w:rFonts w:asciiTheme="majorHAnsi" w:hAnsiTheme="majorHAnsi" w:cstheme="majorHAnsi"/>
          <w:color w:val="000000"/>
          <w:sz w:val="20"/>
          <w:szCs w:val="20"/>
        </w:rPr>
        <w:t xml:space="preserve"> (New York: Basic Books, 1989); Elias Joseph </w:t>
      </w:r>
      <w:proofErr w:type="spellStart"/>
      <w:r w:rsidRPr="00A345B8">
        <w:rPr>
          <w:rFonts w:asciiTheme="majorHAnsi" w:hAnsiTheme="majorHAnsi" w:cstheme="majorHAnsi"/>
          <w:color w:val="000000"/>
          <w:sz w:val="20"/>
          <w:szCs w:val="20"/>
        </w:rPr>
        <w:t>Bickerman</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Chronology of the Ancient World</w:t>
      </w:r>
      <w:r w:rsidRPr="00A345B8">
        <w:rPr>
          <w:rFonts w:asciiTheme="majorHAnsi" w:hAnsiTheme="majorHAnsi" w:cstheme="majorHAnsi"/>
          <w:color w:val="000000"/>
          <w:sz w:val="20"/>
          <w:szCs w:val="20"/>
        </w:rPr>
        <w:t xml:space="preserve"> (Ithaca: Cornell University Press, 1980). Alan E. Samuel, </w:t>
      </w:r>
      <w:r w:rsidRPr="00A345B8">
        <w:rPr>
          <w:rFonts w:asciiTheme="majorHAnsi" w:hAnsiTheme="majorHAnsi" w:cstheme="majorHAnsi"/>
          <w:i/>
          <w:color w:val="000000"/>
          <w:sz w:val="20"/>
          <w:szCs w:val="20"/>
        </w:rPr>
        <w:t>Greek and Roman Chronology: Calendars and Years in Classical Antiquity</w:t>
      </w:r>
      <w:r w:rsidRPr="00A345B8">
        <w:rPr>
          <w:rFonts w:asciiTheme="majorHAnsi" w:hAnsiTheme="majorHAnsi" w:cstheme="majorHAnsi"/>
          <w:color w:val="000000"/>
          <w:sz w:val="20"/>
          <w:szCs w:val="20"/>
        </w:rPr>
        <w:t xml:space="preserve"> (Munich: C. H. Beck, 1972). </w:t>
      </w:r>
    </w:p>
  </w:footnote>
  <w:footnote w:id="7">
    <w:p w14:paraId="0000005E"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Mircea Eliade, </w:t>
      </w:r>
      <w:r w:rsidRPr="00A345B8">
        <w:rPr>
          <w:rFonts w:asciiTheme="majorHAnsi" w:hAnsiTheme="majorHAnsi" w:cstheme="majorHAnsi"/>
          <w:i/>
          <w:color w:val="000000"/>
          <w:sz w:val="20"/>
          <w:szCs w:val="20"/>
        </w:rPr>
        <w:t>Cosmos and History: The Myth of the Eternal Return</w:t>
      </w:r>
      <w:r w:rsidRPr="00A345B8">
        <w:rPr>
          <w:rFonts w:asciiTheme="majorHAnsi" w:hAnsiTheme="majorHAnsi" w:cstheme="majorHAnsi"/>
          <w:color w:val="000000"/>
          <w:sz w:val="20"/>
          <w:szCs w:val="20"/>
        </w:rPr>
        <w:t xml:space="preserve"> (New York: Harper and Brothers, 1971), 59–92; idem, </w:t>
      </w:r>
      <w:r w:rsidRPr="00A345B8">
        <w:rPr>
          <w:rFonts w:asciiTheme="majorHAnsi" w:hAnsiTheme="majorHAnsi" w:cstheme="majorHAnsi"/>
          <w:i/>
          <w:color w:val="000000"/>
          <w:sz w:val="20"/>
          <w:szCs w:val="20"/>
        </w:rPr>
        <w:t>Myth and Reality</w:t>
      </w:r>
      <w:r w:rsidRPr="00A345B8">
        <w:rPr>
          <w:rFonts w:asciiTheme="majorHAnsi" w:hAnsiTheme="majorHAnsi" w:cstheme="majorHAnsi"/>
          <w:color w:val="000000"/>
          <w:sz w:val="20"/>
          <w:szCs w:val="20"/>
        </w:rPr>
        <w:t xml:space="preserve"> (New York: Harper and Row, 1963), 39–53. On the structure and functions of rituals, see Roy A. Rappaport, </w:t>
      </w:r>
      <w:r w:rsidRPr="00A345B8">
        <w:rPr>
          <w:rFonts w:asciiTheme="majorHAnsi" w:hAnsiTheme="majorHAnsi" w:cstheme="majorHAnsi"/>
          <w:i/>
          <w:color w:val="000000"/>
          <w:sz w:val="20"/>
          <w:szCs w:val="20"/>
        </w:rPr>
        <w:t>Ritual and Religion in the Making of Humanity</w:t>
      </w:r>
      <w:r w:rsidRPr="00A345B8">
        <w:rPr>
          <w:rFonts w:asciiTheme="majorHAnsi" w:hAnsiTheme="majorHAnsi" w:cstheme="majorHAnsi"/>
          <w:color w:val="000000"/>
          <w:sz w:val="20"/>
          <w:szCs w:val="20"/>
        </w:rPr>
        <w:t xml:space="preserve"> (Cambridge: Cambridge University Press, 1999).</w:t>
      </w:r>
    </w:p>
  </w:footnote>
  <w:footnote w:id="8">
    <w:p w14:paraId="0000005F"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Mishnah, </w:t>
      </w:r>
      <w:r w:rsidRPr="00A345B8">
        <w:rPr>
          <w:rFonts w:asciiTheme="majorHAnsi" w:hAnsiTheme="majorHAnsi" w:cstheme="majorHAnsi"/>
          <w:i/>
          <w:color w:val="000000"/>
          <w:sz w:val="20"/>
          <w:szCs w:val="20"/>
        </w:rPr>
        <w:t>Rosh ha-Shanah</w:t>
      </w:r>
      <w:r w:rsidRPr="00A345B8">
        <w:rPr>
          <w:rFonts w:asciiTheme="majorHAnsi" w:hAnsiTheme="majorHAnsi" w:cstheme="majorHAnsi"/>
          <w:color w:val="000000"/>
          <w:sz w:val="20"/>
          <w:szCs w:val="20"/>
        </w:rPr>
        <w:t xml:space="preserve"> 1:4–9; 2:1, 5–8; 3:1.</w:t>
      </w:r>
    </w:p>
  </w:footnote>
  <w:footnote w:id="9">
    <w:p w14:paraId="00000060"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Ibid., 2:2.</w:t>
      </w:r>
    </w:p>
  </w:footnote>
  <w:footnote w:id="10">
    <w:p w14:paraId="00000061"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See Roger T. Beckwith, “Daily and Weekly Worship: From Jewish to Christian,” in </w:t>
      </w:r>
      <w:r w:rsidRPr="00A345B8">
        <w:rPr>
          <w:rFonts w:asciiTheme="majorHAnsi" w:hAnsiTheme="majorHAnsi" w:cstheme="majorHAnsi"/>
          <w:i/>
          <w:color w:val="000000"/>
          <w:sz w:val="20"/>
          <w:szCs w:val="20"/>
        </w:rPr>
        <w:t>Calendar, Chronology and Worship</w:t>
      </w:r>
      <w:r w:rsidRPr="00A345B8">
        <w:rPr>
          <w:rFonts w:asciiTheme="majorHAnsi" w:hAnsiTheme="majorHAnsi" w:cstheme="majorHAnsi"/>
          <w:color w:val="000000"/>
          <w:sz w:val="20"/>
          <w:szCs w:val="20"/>
        </w:rPr>
        <w:t xml:space="preserve">, 171–212; </w:t>
      </w:r>
      <w:proofErr w:type="spellStart"/>
      <w:r w:rsidRPr="00A345B8">
        <w:rPr>
          <w:rFonts w:asciiTheme="majorHAnsi" w:hAnsiTheme="majorHAnsi" w:cstheme="majorHAnsi"/>
          <w:color w:val="000000"/>
          <w:sz w:val="20"/>
          <w:szCs w:val="20"/>
        </w:rPr>
        <w:t>Ismar</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Elbogen</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Jewish Liturgy: A Comprehensive History</w:t>
      </w:r>
      <w:r w:rsidRPr="00A345B8">
        <w:rPr>
          <w:rFonts w:asciiTheme="majorHAnsi" w:hAnsiTheme="majorHAnsi" w:cstheme="majorHAnsi"/>
          <w:color w:val="000000"/>
          <w:sz w:val="20"/>
          <w:szCs w:val="20"/>
        </w:rPr>
        <w:t xml:space="preserve"> (Philadelphia: The Jewish Publication Society of America, 1993), esp. 180–212.</w:t>
      </w:r>
    </w:p>
  </w:footnote>
  <w:footnote w:id="11">
    <w:p w14:paraId="00000062"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Cf. Joseph Mazur, </w:t>
      </w:r>
      <w:r w:rsidRPr="00A345B8">
        <w:rPr>
          <w:rFonts w:asciiTheme="majorHAnsi" w:hAnsiTheme="majorHAnsi" w:cstheme="majorHAnsi"/>
          <w:i/>
          <w:color w:val="000000"/>
          <w:sz w:val="20"/>
          <w:szCs w:val="20"/>
        </w:rPr>
        <w:t>The Clock Mirage: Our Myth of Measured Time</w:t>
      </w:r>
      <w:r w:rsidRPr="00A345B8">
        <w:rPr>
          <w:rFonts w:asciiTheme="majorHAnsi" w:hAnsiTheme="majorHAnsi" w:cstheme="majorHAnsi"/>
          <w:color w:val="000000"/>
          <w:sz w:val="20"/>
          <w:szCs w:val="20"/>
        </w:rPr>
        <w:t xml:space="preserve"> (New Haven: Yale University Press, 2020), 18–37.</w:t>
      </w:r>
    </w:p>
  </w:footnote>
  <w:footnote w:id="12">
    <w:p w14:paraId="00000063"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E07FE4">
        <w:rPr>
          <w:rFonts w:asciiTheme="majorHAnsi" w:hAnsiTheme="majorHAnsi" w:cstheme="majorHAnsi"/>
          <w:sz w:val="20"/>
          <w:szCs w:val="20"/>
          <w:highlight w:val="yellow"/>
          <w:vertAlign w:val="superscript"/>
        </w:rPr>
        <w:footnoteRef/>
      </w:r>
      <w:r w:rsidRPr="00E07FE4">
        <w:rPr>
          <w:rFonts w:asciiTheme="majorHAnsi" w:hAnsiTheme="majorHAnsi" w:cstheme="majorHAnsi"/>
          <w:color w:val="000000"/>
          <w:sz w:val="20"/>
          <w:szCs w:val="20"/>
          <w:highlight w:val="yellow"/>
        </w:rPr>
        <w:t xml:space="preserve"> In medieval Islamic practice, the mathematical or intuitive astronomic calculations for setting the proper intervals of time between each of the five daily prayers were the expertise of a </w:t>
      </w:r>
      <w:proofErr w:type="spellStart"/>
      <w:r w:rsidRPr="00E07FE4">
        <w:rPr>
          <w:rFonts w:asciiTheme="majorHAnsi" w:hAnsiTheme="majorHAnsi" w:cstheme="majorHAnsi"/>
          <w:i/>
          <w:color w:val="000000"/>
          <w:sz w:val="20"/>
          <w:szCs w:val="20"/>
          <w:highlight w:val="yellow"/>
        </w:rPr>
        <w:t>muwaqqit</w:t>
      </w:r>
      <w:proofErr w:type="spellEnd"/>
      <w:r w:rsidRPr="00E07FE4">
        <w:rPr>
          <w:rFonts w:asciiTheme="majorHAnsi" w:hAnsiTheme="majorHAnsi" w:cstheme="majorHAnsi"/>
          <w:i/>
          <w:color w:val="000000"/>
          <w:sz w:val="20"/>
          <w:szCs w:val="20"/>
          <w:highlight w:val="yellow"/>
        </w:rPr>
        <w:t xml:space="preserve"> </w:t>
      </w:r>
      <w:r w:rsidRPr="00E07FE4">
        <w:rPr>
          <w:rFonts w:asciiTheme="majorHAnsi" w:hAnsiTheme="majorHAnsi" w:cstheme="majorHAnsi"/>
          <w:color w:val="000000"/>
          <w:sz w:val="20"/>
          <w:szCs w:val="20"/>
          <w:highlight w:val="yellow"/>
        </w:rPr>
        <w:t xml:space="preserve">(astronomer) and muezzin, see David A. King, “On the Role of the Muezzin and the </w:t>
      </w:r>
      <w:proofErr w:type="spellStart"/>
      <w:r w:rsidRPr="00E07FE4">
        <w:rPr>
          <w:rFonts w:asciiTheme="majorHAnsi" w:hAnsiTheme="majorHAnsi" w:cstheme="majorHAnsi"/>
          <w:i/>
          <w:color w:val="000000"/>
          <w:sz w:val="20"/>
          <w:szCs w:val="20"/>
          <w:highlight w:val="yellow"/>
        </w:rPr>
        <w:t>Muwaqqit</w:t>
      </w:r>
      <w:proofErr w:type="spellEnd"/>
      <w:r w:rsidRPr="00E07FE4">
        <w:rPr>
          <w:rFonts w:asciiTheme="majorHAnsi" w:hAnsiTheme="majorHAnsi" w:cstheme="majorHAnsi"/>
          <w:color w:val="000000"/>
          <w:sz w:val="20"/>
          <w:szCs w:val="20"/>
          <w:highlight w:val="yellow"/>
        </w:rPr>
        <w:t xml:space="preserve"> in Medieval Islamic Society,” in </w:t>
      </w:r>
      <w:r w:rsidRPr="00E07FE4">
        <w:rPr>
          <w:rFonts w:asciiTheme="majorHAnsi" w:hAnsiTheme="majorHAnsi" w:cstheme="majorHAnsi"/>
          <w:i/>
          <w:color w:val="000000"/>
          <w:sz w:val="20"/>
          <w:szCs w:val="20"/>
          <w:highlight w:val="yellow"/>
        </w:rPr>
        <w:t>Tradition, Transmission, Transformation</w:t>
      </w:r>
      <w:r w:rsidRPr="00E07FE4">
        <w:rPr>
          <w:rFonts w:asciiTheme="majorHAnsi" w:hAnsiTheme="majorHAnsi" w:cstheme="majorHAnsi"/>
          <w:color w:val="000000"/>
          <w:sz w:val="20"/>
          <w:szCs w:val="20"/>
          <w:highlight w:val="yellow"/>
        </w:rPr>
        <w:t xml:space="preserve">, eds. F. Jamil </w:t>
      </w:r>
      <w:proofErr w:type="spellStart"/>
      <w:r w:rsidRPr="00E07FE4">
        <w:rPr>
          <w:rFonts w:asciiTheme="majorHAnsi" w:hAnsiTheme="majorHAnsi" w:cstheme="majorHAnsi"/>
          <w:color w:val="000000"/>
          <w:sz w:val="20"/>
          <w:szCs w:val="20"/>
          <w:highlight w:val="yellow"/>
        </w:rPr>
        <w:t>Ragep</w:t>
      </w:r>
      <w:proofErr w:type="spellEnd"/>
      <w:r w:rsidRPr="00E07FE4">
        <w:rPr>
          <w:rFonts w:asciiTheme="majorHAnsi" w:hAnsiTheme="majorHAnsi" w:cstheme="majorHAnsi"/>
          <w:color w:val="000000"/>
          <w:sz w:val="20"/>
          <w:szCs w:val="20"/>
          <w:highlight w:val="yellow"/>
        </w:rPr>
        <w:t xml:space="preserve">, Sally P. </w:t>
      </w:r>
      <w:proofErr w:type="spellStart"/>
      <w:r w:rsidRPr="00E07FE4">
        <w:rPr>
          <w:rFonts w:asciiTheme="majorHAnsi" w:hAnsiTheme="majorHAnsi" w:cstheme="majorHAnsi"/>
          <w:color w:val="000000"/>
          <w:sz w:val="20"/>
          <w:szCs w:val="20"/>
          <w:highlight w:val="yellow"/>
        </w:rPr>
        <w:t>Ragep</w:t>
      </w:r>
      <w:proofErr w:type="spellEnd"/>
      <w:r w:rsidRPr="00E07FE4">
        <w:rPr>
          <w:rFonts w:asciiTheme="majorHAnsi" w:hAnsiTheme="majorHAnsi" w:cstheme="majorHAnsi"/>
          <w:color w:val="000000"/>
          <w:sz w:val="20"/>
          <w:szCs w:val="20"/>
          <w:highlight w:val="yellow"/>
        </w:rPr>
        <w:t>, and Steven Livesey (Leiden: Brill, 1996), 285–345.</w:t>
      </w:r>
    </w:p>
    <w:bookmarkStart w:id="3" w:name="_1ci93xb" w:colFirst="0" w:colLast="0"/>
    <w:bookmarkEnd w:id="3"/>
  </w:footnote>
  <w:footnote w:id="13">
    <w:p w14:paraId="00000064"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bookmarkStart w:id="5" w:name="_1ci93xb" w:colFirst="0" w:colLast="0"/>
      <w:bookmarkEnd w:id="5"/>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On the ritual and military use of silver, copper, and bronze trumpets in the ancient Mediterranean, see Edward V. Williams, </w:t>
      </w:r>
      <w:r w:rsidRPr="00A345B8">
        <w:rPr>
          <w:rFonts w:asciiTheme="majorHAnsi" w:hAnsiTheme="majorHAnsi" w:cstheme="majorHAnsi"/>
          <w:i/>
          <w:color w:val="000000"/>
          <w:sz w:val="20"/>
          <w:szCs w:val="20"/>
        </w:rPr>
        <w:t>The Bells of Russia</w:t>
      </w:r>
      <w:r w:rsidRPr="00A345B8">
        <w:rPr>
          <w:rFonts w:asciiTheme="majorHAnsi" w:hAnsiTheme="majorHAnsi" w:cstheme="majorHAnsi"/>
          <w:color w:val="000000"/>
          <w:sz w:val="20"/>
          <w:szCs w:val="20"/>
        </w:rPr>
        <w:t xml:space="preserve"> (Princeton: Princeton University Press, 1986), 3–7. See also Joachim Braun, </w:t>
      </w:r>
      <w:r w:rsidRPr="00A345B8">
        <w:rPr>
          <w:rFonts w:asciiTheme="majorHAnsi" w:hAnsiTheme="majorHAnsi" w:cstheme="majorHAnsi"/>
          <w:i/>
          <w:color w:val="000000"/>
          <w:sz w:val="20"/>
          <w:szCs w:val="20"/>
        </w:rPr>
        <w:t>Music in Ancient Israel/Palestine: Archaeological, Written, and Comparative Sources</w:t>
      </w:r>
      <w:r w:rsidRPr="00A345B8">
        <w:rPr>
          <w:rFonts w:asciiTheme="majorHAnsi" w:hAnsiTheme="majorHAnsi" w:cstheme="majorHAnsi"/>
          <w:color w:val="000000"/>
          <w:sz w:val="20"/>
          <w:szCs w:val="20"/>
        </w:rPr>
        <w:t xml:space="preserve"> (Michigan: William B. Eerdmans Publishing Company, 2006), 363 s. v. trumpets. On the shofar, see below, note 17.</w:t>
      </w:r>
    </w:p>
    <w:bookmarkStart w:id="6" w:name="_3whwml4" w:colFirst="0" w:colLast="0"/>
    <w:bookmarkEnd w:id="6"/>
  </w:footnote>
  <w:footnote w:id="14">
    <w:p w14:paraId="00000065" w14:textId="3E9F277E"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bookmarkStart w:id="7" w:name="_3whwml4" w:colFirst="0" w:colLast="0"/>
      <w:bookmarkEnd w:id="7"/>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Jubilee year: Leviticus 25:8–13; new year, Leviticus 23:24; Day of Atonement, e. g., Mishnah, </w:t>
      </w:r>
      <w:r w:rsidRPr="00A345B8">
        <w:rPr>
          <w:rFonts w:asciiTheme="majorHAnsi" w:hAnsiTheme="majorHAnsi" w:cstheme="majorHAnsi"/>
          <w:i/>
          <w:color w:val="000000"/>
          <w:sz w:val="20"/>
          <w:szCs w:val="20"/>
        </w:rPr>
        <w:t>Rosh Hashanah</w:t>
      </w:r>
      <w:r w:rsidRPr="00A345B8">
        <w:rPr>
          <w:rFonts w:asciiTheme="majorHAnsi" w:hAnsiTheme="majorHAnsi" w:cstheme="majorHAnsi"/>
          <w:color w:val="000000"/>
          <w:sz w:val="20"/>
          <w:szCs w:val="20"/>
        </w:rPr>
        <w:t xml:space="preserve"> 3:4; and new moon Psalms 81:3. See also </w:t>
      </w:r>
      <w:proofErr w:type="spellStart"/>
      <w:r w:rsidRPr="00A345B8">
        <w:rPr>
          <w:rFonts w:asciiTheme="majorHAnsi" w:hAnsiTheme="majorHAnsi" w:cstheme="majorHAnsi"/>
          <w:i/>
          <w:color w:val="000000"/>
          <w:sz w:val="20"/>
          <w:szCs w:val="20"/>
        </w:rPr>
        <w:t>Qol</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Tamid</w:t>
      </w:r>
      <w:proofErr w:type="spellEnd"/>
      <w:r w:rsidRPr="00A345B8">
        <w:rPr>
          <w:rFonts w:asciiTheme="majorHAnsi" w:hAnsiTheme="majorHAnsi" w:cstheme="majorHAnsi"/>
          <w:i/>
          <w:color w:val="000000"/>
          <w:sz w:val="20"/>
          <w:szCs w:val="20"/>
        </w:rPr>
        <w:t>: The Shofar in Ritual, History, and Culture</w:t>
      </w:r>
      <w:r w:rsidRPr="00A345B8">
        <w:rPr>
          <w:rFonts w:asciiTheme="majorHAnsi" w:hAnsiTheme="majorHAnsi" w:cstheme="majorHAnsi"/>
          <w:color w:val="000000"/>
          <w:sz w:val="20"/>
          <w:szCs w:val="20"/>
        </w:rPr>
        <w:t xml:space="preserve">, eds. Jonathan L. Friedmann and Joel </w:t>
      </w:r>
      <w:proofErr w:type="spellStart"/>
      <w:r w:rsidRPr="00A345B8">
        <w:rPr>
          <w:rFonts w:asciiTheme="majorHAnsi" w:hAnsiTheme="majorHAnsi" w:cstheme="majorHAnsi"/>
          <w:color w:val="000000"/>
          <w:sz w:val="20"/>
          <w:szCs w:val="20"/>
        </w:rPr>
        <w:t>Gereboff</w:t>
      </w:r>
      <w:proofErr w:type="spellEnd"/>
      <w:r w:rsidRPr="00A345B8">
        <w:rPr>
          <w:rFonts w:asciiTheme="majorHAnsi" w:hAnsiTheme="majorHAnsi" w:cstheme="majorHAnsi"/>
          <w:color w:val="000000"/>
          <w:sz w:val="20"/>
          <w:szCs w:val="20"/>
        </w:rPr>
        <w:t xml:space="preserve"> (Claremont</w:t>
      </w:r>
      <w:r w:rsidR="009C1B2B" w:rsidRPr="00A345B8">
        <w:rPr>
          <w:rFonts w:asciiTheme="majorHAnsi" w:hAnsiTheme="majorHAnsi" w:cstheme="majorHAnsi"/>
          <w:color w:val="000000"/>
          <w:sz w:val="20"/>
          <w:szCs w:val="20"/>
        </w:rPr>
        <w:t>:</w:t>
      </w:r>
      <w:r w:rsidRPr="00A345B8">
        <w:rPr>
          <w:rFonts w:asciiTheme="majorHAnsi" w:hAnsiTheme="majorHAnsi" w:cstheme="majorHAnsi"/>
          <w:color w:val="000000"/>
          <w:sz w:val="20"/>
          <w:szCs w:val="20"/>
        </w:rPr>
        <w:t xml:space="preserve"> Claremont Press, 2017); Jeremy Montagu, </w:t>
      </w:r>
      <w:r w:rsidRPr="00A345B8">
        <w:rPr>
          <w:rFonts w:asciiTheme="majorHAnsi" w:hAnsiTheme="majorHAnsi" w:cstheme="majorHAnsi"/>
          <w:i/>
          <w:color w:val="000000"/>
          <w:sz w:val="20"/>
          <w:szCs w:val="20"/>
        </w:rPr>
        <w:t>The Shofar: Its History and Use</w:t>
      </w:r>
      <w:r w:rsidRPr="00A345B8">
        <w:rPr>
          <w:rFonts w:asciiTheme="majorHAnsi" w:hAnsiTheme="majorHAnsi" w:cstheme="majorHAnsi"/>
          <w:color w:val="000000"/>
          <w:sz w:val="20"/>
          <w:szCs w:val="20"/>
        </w:rPr>
        <w:t xml:space="preserve"> (Blue Ridge Summit: Rowman and Littlefield, 2016); </w:t>
      </w:r>
      <w:r w:rsidRPr="00A345B8">
        <w:rPr>
          <w:rFonts w:asciiTheme="majorHAnsi" w:hAnsiTheme="majorHAnsi" w:cstheme="majorHAnsi"/>
          <w:i/>
          <w:color w:val="000000"/>
          <w:sz w:val="20"/>
          <w:szCs w:val="20"/>
        </w:rPr>
        <w:t>Sound the Shofar: A Witness to History</w:t>
      </w:r>
      <w:r w:rsidRPr="00A345B8">
        <w:rPr>
          <w:rFonts w:asciiTheme="majorHAnsi" w:hAnsiTheme="majorHAnsi" w:cstheme="majorHAnsi"/>
          <w:color w:val="000000"/>
          <w:sz w:val="20"/>
          <w:szCs w:val="20"/>
        </w:rPr>
        <w:t xml:space="preserve"> (Exhibition catalogue), ed. Filip </w:t>
      </w:r>
      <w:proofErr w:type="spellStart"/>
      <w:r w:rsidRPr="00A345B8">
        <w:rPr>
          <w:rFonts w:asciiTheme="majorHAnsi" w:hAnsiTheme="majorHAnsi" w:cstheme="majorHAnsi"/>
          <w:color w:val="000000"/>
          <w:sz w:val="20"/>
          <w:szCs w:val="20"/>
        </w:rPr>
        <w:t>Vukosavović</w:t>
      </w:r>
      <w:proofErr w:type="spellEnd"/>
      <w:r w:rsidRPr="00A345B8">
        <w:rPr>
          <w:rFonts w:asciiTheme="majorHAnsi" w:hAnsiTheme="majorHAnsi" w:cstheme="majorHAnsi"/>
          <w:color w:val="000000"/>
          <w:sz w:val="20"/>
          <w:szCs w:val="20"/>
        </w:rPr>
        <w:t xml:space="preserve"> (Jerusalem: Bible Lands Museum, 2011). On the earliest archaeological and pictorial evidence of shofars, see Braun, </w:t>
      </w:r>
      <w:r w:rsidRPr="00A345B8">
        <w:rPr>
          <w:rFonts w:asciiTheme="majorHAnsi" w:hAnsiTheme="majorHAnsi" w:cstheme="majorHAnsi"/>
          <w:i/>
          <w:color w:val="000000"/>
          <w:sz w:val="20"/>
          <w:szCs w:val="20"/>
        </w:rPr>
        <w:t>Music in Ancient Israel/Palestine</w:t>
      </w:r>
      <w:r w:rsidRPr="00A345B8">
        <w:rPr>
          <w:rFonts w:asciiTheme="majorHAnsi" w:hAnsiTheme="majorHAnsi" w:cstheme="majorHAnsi"/>
          <w:color w:val="000000"/>
          <w:sz w:val="20"/>
          <w:szCs w:val="20"/>
        </w:rPr>
        <w:t xml:space="preserve">, 362 s. v. </w:t>
      </w:r>
      <w:proofErr w:type="spellStart"/>
      <w:r w:rsidRPr="00A345B8">
        <w:rPr>
          <w:rFonts w:asciiTheme="majorHAnsi" w:hAnsiTheme="majorHAnsi" w:cstheme="majorHAnsi"/>
          <w:i/>
          <w:color w:val="000000"/>
          <w:sz w:val="20"/>
          <w:szCs w:val="20"/>
        </w:rPr>
        <w:t>šȏ</w:t>
      </w:r>
      <w:r w:rsidRPr="00A345B8">
        <w:rPr>
          <w:rFonts w:asciiTheme="majorHAnsi" w:hAnsiTheme="majorHAnsi" w:cstheme="majorHAnsi"/>
          <w:i/>
          <w:color w:val="000000"/>
          <w:sz w:val="20"/>
          <w:szCs w:val="20"/>
          <w:u w:val="single"/>
        </w:rPr>
        <w:t>p</w:t>
      </w:r>
      <w:r w:rsidRPr="00A345B8">
        <w:rPr>
          <w:rFonts w:asciiTheme="majorHAnsi" w:hAnsiTheme="majorHAnsi" w:cstheme="majorHAnsi"/>
          <w:i/>
          <w:color w:val="000000"/>
          <w:sz w:val="20"/>
          <w:szCs w:val="20"/>
        </w:rPr>
        <w:t>ār</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Bathyah</w:t>
      </w:r>
      <w:proofErr w:type="spellEnd"/>
      <w:r w:rsidRPr="00A345B8">
        <w:rPr>
          <w:rFonts w:asciiTheme="majorHAnsi" w:hAnsiTheme="majorHAnsi" w:cstheme="majorHAnsi"/>
          <w:color w:val="000000"/>
          <w:sz w:val="20"/>
          <w:szCs w:val="20"/>
        </w:rPr>
        <w:t xml:space="preserve"> Bayer, </w:t>
      </w:r>
      <w:r w:rsidRPr="00A345B8">
        <w:rPr>
          <w:rFonts w:asciiTheme="majorHAnsi" w:hAnsiTheme="majorHAnsi" w:cstheme="majorHAnsi"/>
          <w:i/>
          <w:color w:val="000000"/>
          <w:sz w:val="20"/>
          <w:szCs w:val="20"/>
        </w:rPr>
        <w:t>The Material Relics of Music in Ancient Palestine and Its Environs: An Archeological Inventory</w:t>
      </w:r>
      <w:r w:rsidRPr="00A345B8">
        <w:rPr>
          <w:rFonts w:asciiTheme="majorHAnsi" w:hAnsiTheme="majorHAnsi" w:cstheme="majorHAnsi"/>
          <w:color w:val="000000"/>
          <w:sz w:val="20"/>
          <w:szCs w:val="20"/>
        </w:rPr>
        <w:t xml:space="preserve"> (Tel-Aviv: Israel Music Institute, 1963): 15–16, 37.</w:t>
      </w:r>
    </w:p>
  </w:footnote>
  <w:footnote w:id="15">
    <w:p w14:paraId="00000066"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Mishnah </w:t>
      </w:r>
      <w:r w:rsidRPr="00A345B8">
        <w:rPr>
          <w:rFonts w:asciiTheme="majorHAnsi" w:hAnsiTheme="majorHAnsi" w:cstheme="majorHAnsi"/>
          <w:i/>
          <w:color w:val="000000"/>
          <w:sz w:val="20"/>
          <w:szCs w:val="20"/>
        </w:rPr>
        <w:t>Sukkah</w:t>
      </w:r>
      <w:r w:rsidRPr="00A345B8">
        <w:rPr>
          <w:rFonts w:asciiTheme="majorHAnsi" w:hAnsiTheme="majorHAnsi" w:cstheme="majorHAnsi"/>
          <w:color w:val="000000"/>
          <w:sz w:val="20"/>
          <w:szCs w:val="20"/>
        </w:rPr>
        <w:t xml:space="preserve"> 5:5.</w:t>
      </w:r>
    </w:p>
  </w:footnote>
  <w:footnote w:id="16">
    <w:p w14:paraId="00000067"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Aaron </w:t>
      </w:r>
      <w:proofErr w:type="spellStart"/>
      <w:r w:rsidRPr="00A345B8">
        <w:rPr>
          <w:rFonts w:asciiTheme="majorHAnsi" w:hAnsiTheme="majorHAnsi" w:cstheme="majorHAnsi"/>
          <w:color w:val="000000"/>
          <w:sz w:val="20"/>
          <w:szCs w:val="20"/>
        </w:rPr>
        <w:t>Demsky</w:t>
      </w:r>
      <w:proofErr w:type="spellEnd"/>
      <w:r w:rsidRPr="00A345B8">
        <w:rPr>
          <w:rFonts w:asciiTheme="majorHAnsi" w:hAnsiTheme="majorHAnsi" w:cstheme="majorHAnsi"/>
          <w:color w:val="000000"/>
          <w:sz w:val="20"/>
          <w:szCs w:val="20"/>
        </w:rPr>
        <w:t xml:space="preserve">, “The Trumpeter's Inscription from the Temple Mount,” </w:t>
      </w:r>
      <w:r w:rsidRPr="00A345B8">
        <w:rPr>
          <w:rFonts w:asciiTheme="majorHAnsi" w:hAnsiTheme="majorHAnsi" w:cstheme="majorHAnsi"/>
          <w:i/>
          <w:color w:val="000000"/>
          <w:sz w:val="20"/>
          <w:szCs w:val="20"/>
        </w:rPr>
        <w:t>Eretz-Israel: Archaeological, Historical and Geographical Studies</w:t>
      </w:r>
      <w:r w:rsidRPr="00A345B8">
        <w:rPr>
          <w:rFonts w:asciiTheme="majorHAnsi" w:hAnsiTheme="majorHAnsi" w:cstheme="majorHAnsi"/>
          <w:color w:val="000000"/>
          <w:sz w:val="20"/>
          <w:szCs w:val="20"/>
        </w:rPr>
        <w:t xml:space="preserve"> 18 (1985): 40–42 [Hebrew]; Benjamin Mazar, “Hebrew Inscription from the Temple Area in Jerusalem,” </w:t>
      </w:r>
      <w:proofErr w:type="spellStart"/>
      <w:r w:rsidRPr="00A345B8">
        <w:rPr>
          <w:rFonts w:asciiTheme="majorHAnsi" w:hAnsiTheme="majorHAnsi" w:cstheme="majorHAnsi"/>
          <w:i/>
          <w:color w:val="000000"/>
          <w:sz w:val="20"/>
          <w:szCs w:val="20"/>
        </w:rPr>
        <w:t>Qadmoniot</w:t>
      </w:r>
      <w:proofErr w:type="spellEnd"/>
      <w:r w:rsidRPr="00A345B8">
        <w:rPr>
          <w:rFonts w:asciiTheme="majorHAnsi" w:hAnsiTheme="majorHAnsi" w:cstheme="majorHAnsi"/>
          <w:color w:val="000000"/>
          <w:sz w:val="20"/>
          <w:szCs w:val="20"/>
        </w:rPr>
        <w:t xml:space="preserve"> 3 (1910): 142–44 [Hebrew]. See also Flavius Josephus, </w:t>
      </w:r>
      <w:r w:rsidRPr="00A345B8">
        <w:rPr>
          <w:rFonts w:asciiTheme="majorHAnsi" w:hAnsiTheme="majorHAnsi" w:cstheme="majorHAnsi"/>
          <w:i/>
          <w:color w:val="000000"/>
          <w:sz w:val="20"/>
          <w:szCs w:val="20"/>
        </w:rPr>
        <w:t>The Jewish War</w:t>
      </w:r>
      <w:r w:rsidRPr="00A345B8">
        <w:rPr>
          <w:rFonts w:asciiTheme="majorHAnsi" w:hAnsiTheme="majorHAnsi" w:cstheme="majorHAnsi"/>
          <w:color w:val="000000"/>
          <w:sz w:val="20"/>
          <w:szCs w:val="20"/>
        </w:rPr>
        <w:t>, book 4, 9:12 (</w:t>
      </w:r>
      <w:r w:rsidRPr="00A345B8">
        <w:rPr>
          <w:rFonts w:asciiTheme="majorHAnsi" w:hAnsiTheme="majorHAnsi" w:cstheme="majorHAnsi"/>
          <w:i/>
          <w:color w:val="000000"/>
          <w:sz w:val="20"/>
          <w:szCs w:val="20"/>
        </w:rPr>
        <w:t>The New Complete Works of Josephus</w:t>
      </w:r>
      <w:r w:rsidRPr="00A345B8">
        <w:rPr>
          <w:rFonts w:asciiTheme="majorHAnsi" w:hAnsiTheme="majorHAnsi" w:cstheme="majorHAnsi"/>
          <w:color w:val="000000"/>
          <w:sz w:val="20"/>
          <w:szCs w:val="20"/>
        </w:rPr>
        <w:t>, eds. William Whiston and Paul L. Maier [Grand Rapids: Kregel, 1999], 836–37).</w:t>
      </w:r>
    </w:p>
  </w:footnote>
  <w:footnote w:id="17">
    <w:p w14:paraId="00000068"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“Six blasts were blown on the eve of the Sabbath. The first, for people to cease work in the fields; the second, for the city and shops to cease [work]; the third, for the lights to be kindled […],” Babylonian Talmud, </w:t>
      </w:r>
      <w:r w:rsidRPr="00A345B8">
        <w:rPr>
          <w:rFonts w:asciiTheme="majorHAnsi" w:hAnsiTheme="majorHAnsi" w:cstheme="majorHAnsi"/>
          <w:i/>
          <w:color w:val="000000"/>
          <w:sz w:val="20"/>
          <w:szCs w:val="20"/>
        </w:rPr>
        <w:t>Shabbat</w:t>
      </w:r>
      <w:r w:rsidRPr="00A345B8">
        <w:rPr>
          <w:rFonts w:asciiTheme="majorHAnsi" w:hAnsiTheme="majorHAnsi" w:cstheme="majorHAnsi"/>
          <w:color w:val="000000"/>
          <w:sz w:val="20"/>
          <w:szCs w:val="20"/>
        </w:rPr>
        <w:t xml:space="preserve"> 35b.</w:t>
      </w:r>
    </w:p>
  </w:footnote>
  <w:footnote w:id="18">
    <w:p w14:paraId="00000069"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Flavius Josephus, </w:t>
      </w:r>
      <w:r w:rsidRPr="00A345B8">
        <w:rPr>
          <w:rFonts w:asciiTheme="majorHAnsi" w:hAnsiTheme="majorHAnsi" w:cstheme="majorHAnsi"/>
          <w:i/>
          <w:color w:val="000000"/>
          <w:sz w:val="20"/>
          <w:szCs w:val="20"/>
        </w:rPr>
        <w:t>The Jewish War</w:t>
      </w:r>
      <w:r w:rsidRPr="00A345B8">
        <w:rPr>
          <w:rFonts w:asciiTheme="majorHAnsi" w:hAnsiTheme="majorHAnsi" w:cstheme="majorHAnsi"/>
          <w:color w:val="000000"/>
          <w:sz w:val="20"/>
          <w:szCs w:val="20"/>
        </w:rPr>
        <w:t>, book 3, 3:86, 4:89–91 (</w:t>
      </w:r>
      <w:r w:rsidRPr="00A345B8">
        <w:rPr>
          <w:rFonts w:asciiTheme="majorHAnsi" w:hAnsiTheme="majorHAnsi" w:cstheme="majorHAnsi"/>
          <w:i/>
          <w:color w:val="000000"/>
          <w:sz w:val="20"/>
          <w:szCs w:val="20"/>
        </w:rPr>
        <w:t>The New Complete Works of Josephus</w:t>
      </w:r>
      <w:r w:rsidRPr="00A345B8">
        <w:rPr>
          <w:rFonts w:asciiTheme="majorHAnsi" w:hAnsiTheme="majorHAnsi" w:cstheme="majorHAnsi"/>
          <w:color w:val="000000"/>
          <w:sz w:val="20"/>
          <w:szCs w:val="20"/>
        </w:rPr>
        <w:t xml:space="preserve">, 781). See also </w:t>
      </w:r>
      <w:r w:rsidRPr="00A345B8">
        <w:rPr>
          <w:rFonts w:asciiTheme="majorHAnsi" w:hAnsiTheme="majorHAnsi" w:cstheme="majorHAnsi"/>
          <w:i/>
          <w:color w:val="000000"/>
          <w:sz w:val="20"/>
          <w:szCs w:val="20"/>
        </w:rPr>
        <w:t>A Complete Concordance to Flavius Josephus</w:t>
      </w:r>
      <w:r w:rsidRPr="00A345B8">
        <w:rPr>
          <w:rFonts w:asciiTheme="majorHAnsi" w:hAnsiTheme="majorHAnsi" w:cstheme="majorHAnsi"/>
          <w:color w:val="000000"/>
          <w:sz w:val="20"/>
          <w:szCs w:val="20"/>
        </w:rPr>
        <w:t xml:space="preserve"> 4, ed. Karl Heinrich </w:t>
      </w:r>
      <w:proofErr w:type="spellStart"/>
      <w:r w:rsidRPr="00A345B8">
        <w:rPr>
          <w:rFonts w:asciiTheme="majorHAnsi" w:hAnsiTheme="majorHAnsi" w:cstheme="majorHAnsi"/>
          <w:color w:val="000000"/>
          <w:sz w:val="20"/>
          <w:szCs w:val="20"/>
        </w:rPr>
        <w:t>Rengstorf</w:t>
      </w:r>
      <w:proofErr w:type="spellEnd"/>
      <w:r w:rsidRPr="00A345B8">
        <w:rPr>
          <w:rFonts w:asciiTheme="majorHAnsi" w:hAnsiTheme="majorHAnsi" w:cstheme="majorHAnsi"/>
          <w:color w:val="000000"/>
          <w:sz w:val="20"/>
          <w:szCs w:val="20"/>
        </w:rPr>
        <w:t xml:space="preserve"> (Leiden: Brill, 1983), 9 c.v. </w:t>
      </w:r>
      <w:proofErr w:type="spellStart"/>
      <w:r w:rsidRPr="00A345B8">
        <w:rPr>
          <w:rFonts w:asciiTheme="majorHAnsi" w:eastAsia="Times" w:hAnsiTheme="majorHAnsi" w:cstheme="majorHAnsi"/>
          <w:color w:val="000000"/>
          <w:sz w:val="20"/>
          <w:szCs w:val="20"/>
        </w:rPr>
        <w:t>σάλ</w:t>
      </w:r>
      <w:proofErr w:type="spellEnd"/>
      <w:r w:rsidRPr="00A345B8">
        <w:rPr>
          <w:rFonts w:asciiTheme="majorHAnsi" w:eastAsia="Times" w:hAnsiTheme="majorHAnsi" w:cstheme="majorHAnsi"/>
          <w:color w:val="000000"/>
          <w:sz w:val="20"/>
          <w:szCs w:val="20"/>
        </w:rPr>
        <w:t>πιγξ</w:t>
      </w:r>
      <w:r w:rsidRPr="00A345B8">
        <w:rPr>
          <w:rFonts w:asciiTheme="majorHAnsi" w:hAnsiTheme="majorHAnsi" w:cstheme="majorHAnsi"/>
          <w:color w:val="000000"/>
          <w:sz w:val="20"/>
          <w:szCs w:val="20"/>
        </w:rPr>
        <w:t>.</w:t>
      </w:r>
    </w:p>
    <w:bookmarkStart w:id="8" w:name="_2bn6wsx" w:colFirst="0" w:colLast="0"/>
    <w:bookmarkEnd w:id="8"/>
  </w:footnote>
  <w:footnote w:id="19">
    <w:p w14:paraId="0000006A"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bookmarkStart w:id="9" w:name="_2bn6wsx" w:colFirst="0" w:colLast="0"/>
      <w:bookmarkEnd w:id="9"/>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Williams, </w:t>
      </w:r>
      <w:r w:rsidRPr="00A345B8">
        <w:rPr>
          <w:rFonts w:asciiTheme="majorHAnsi" w:hAnsiTheme="majorHAnsi" w:cstheme="majorHAnsi"/>
          <w:i/>
          <w:color w:val="000000"/>
          <w:sz w:val="20"/>
          <w:szCs w:val="20"/>
        </w:rPr>
        <w:t>The Bells of Russia</w:t>
      </w:r>
      <w:r w:rsidRPr="00A345B8">
        <w:rPr>
          <w:rFonts w:asciiTheme="majorHAnsi" w:hAnsiTheme="majorHAnsi" w:cstheme="majorHAnsi"/>
          <w:color w:val="000000"/>
          <w:sz w:val="20"/>
          <w:szCs w:val="20"/>
        </w:rPr>
        <w:t xml:space="preserve">, 7–9; Percival Price, </w:t>
      </w:r>
      <w:r w:rsidRPr="00A345B8">
        <w:rPr>
          <w:rFonts w:asciiTheme="majorHAnsi" w:hAnsiTheme="majorHAnsi" w:cstheme="majorHAnsi"/>
          <w:i/>
          <w:color w:val="000000"/>
          <w:sz w:val="20"/>
          <w:szCs w:val="20"/>
        </w:rPr>
        <w:t>Bells and Man</w:t>
      </w:r>
      <w:r w:rsidRPr="00A345B8">
        <w:rPr>
          <w:rFonts w:asciiTheme="majorHAnsi" w:hAnsiTheme="majorHAnsi" w:cstheme="majorHAnsi"/>
          <w:color w:val="000000"/>
          <w:sz w:val="20"/>
          <w:szCs w:val="20"/>
        </w:rPr>
        <w:t xml:space="preserve"> (Oxford: Oxford University Press, 1984), 80; </w:t>
      </w:r>
      <w:r w:rsidRPr="00A345B8">
        <w:rPr>
          <w:rFonts w:asciiTheme="majorHAnsi" w:hAnsiTheme="majorHAnsi" w:cstheme="majorHAnsi"/>
          <w:i/>
          <w:color w:val="000000"/>
          <w:sz w:val="20"/>
          <w:szCs w:val="20"/>
        </w:rPr>
        <w:t>A Dictionary of Christian Antiquities</w:t>
      </w:r>
      <w:r w:rsidRPr="00A345B8">
        <w:rPr>
          <w:rFonts w:asciiTheme="majorHAnsi" w:hAnsiTheme="majorHAnsi" w:cstheme="majorHAnsi"/>
          <w:color w:val="000000"/>
          <w:sz w:val="20"/>
          <w:szCs w:val="20"/>
        </w:rPr>
        <w:t xml:space="preserve"> 2, eds. William Smith and Samuel Cheetham (Hartford: J. B. Burr, 1880), 1231, 1240.</w:t>
      </w:r>
    </w:p>
  </w:footnote>
  <w:footnote w:id="20">
    <w:p w14:paraId="0000006B"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See a comparison of the Jewish and Christian convocation by means of wooden percussion instruments in Rainer </w:t>
      </w:r>
      <w:proofErr w:type="spellStart"/>
      <w:r w:rsidRPr="00A345B8">
        <w:rPr>
          <w:rFonts w:asciiTheme="majorHAnsi" w:hAnsiTheme="majorHAnsi" w:cstheme="majorHAnsi"/>
          <w:color w:val="000000"/>
          <w:sz w:val="20"/>
          <w:szCs w:val="20"/>
        </w:rPr>
        <w:t>Stichel</w:t>
      </w:r>
      <w:proofErr w:type="spellEnd"/>
      <w:r w:rsidRPr="00A345B8">
        <w:rPr>
          <w:rFonts w:asciiTheme="majorHAnsi" w:hAnsiTheme="majorHAnsi" w:cstheme="majorHAnsi"/>
          <w:color w:val="000000"/>
          <w:sz w:val="20"/>
          <w:szCs w:val="20"/>
        </w:rPr>
        <w:t>, “</w:t>
      </w:r>
      <w:proofErr w:type="spellStart"/>
      <w:r w:rsidRPr="00A345B8">
        <w:rPr>
          <w:rFonts w:asciiTheme="majorHAnsi" w:hAnsiTheme="majorHAnsi" w:cstheme="majorHAnsi"/>
          <w:color w:val="000000"/>
          <w:sz w:val="20"/>
          <w:szCs w:val="20"/>
        </w:rPr>
        <w:t>Jüdische</w:t>
      </w:r>
      <w:proofErr w:type="spellEnd"/>
      <w:r w:rsidRPr="00A345B8">
        <w:rPr>
          <w:rFonts w:asciiTheme="majorHAnsi" w:hAnsiTheme="majorHAnsi" w:cstheme="majorHAnsi"/>
          <w:color w:val="000000"/>
          <w:sz w:val="20"/>
          <w:szCs w:val="20"/>
        </w:rPr>
        <w:t xml:space="preserve"> Tradition in </w:t>
      </w:r>
      <w:proofErr w:type="spellStart"/>
      <w:r w:rsidRPr="00A345B8">
        <w:rPr>
          <w:rFonts w:asciiTheme="majorHAnsi" w:hAnsiTheme="majorHAnsi" w:cstheme="majorHAnsi"/>
          <w:color w:val="000000"/>
          <w:sz w:val="20"/>
          <w:szCs w:val="20"/>
        </w:rPr>
        <w:t>christlicher</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Liturgie</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zur</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Geschichte</w:t>
      </w:r>
      <w:proofErr w:type="spellEnd"/>
      <w:r w:rsidRPr="00A345B8">
        <w:rPr>
          <w:rFonts w:asciiTheme="majorHAnsi" w:hAnsiTheme="majorHAnsi" w:cstheme="majorHAnsi"/>
          <w:color w:val="000000"/>
          <w:sz w:val="20"/>
          <w:szCs w:val="20"/>
        </w:rPr>
        <w:t xml:space="preserve"> des Semantrons,” </w:t>
      </w:r>
      <w:r w:rsidRPr="00A345B8">
        <w:rPr>
          <w:rFonts w:asciiTheme="majorHAnsi" w:hAnsiTheme="majorHAnsi" w:cstheme="majorHAnsi"/>
          <w:i/>
          <w:color w:val="000000"/>
          <w:sz w:val="20"/>
          <w:szCs w:val="20"/>
        </w:rPr>
        <w:t xml:space="preserve">Cahiers </w:t>
      </w:r>
      <w:proofErr w:type="spellStart"/>
      <w:r w:rsidRPr="00A345B8">
        <w:rPr>
          <w:rFonts w:asciiTheme="majorHAnsi" w:hAnsiTheme="majorHAnsi" w:cstheme="majorHAnsi"/>
          <w:i/>
          <w:color w:val="000000"/>
          <w:sz w:val="20"/>
          <w:szCs w:val="20"/>
        </w:rPr>
        <w:t>archeologiques</w:t>
      </w:r>
      <w:proofErr w:type="spellEnd"/>
      <w:r w:rsidRPr="00A345B8">
        <w:rPr>
          <w:rFonts w:asciiTheme="majorHAnsi" w:hAnsiTheme="majorHAnsi" w:cstheme="majorHAnsi"/>
          <w:color w:val="000000"/>
          <w:sz w:val="20"/>
          <w:szCs w:val="20"/>
        </w:rPr>
        <w:t xml:space="preserve"> 21 (1971): 213–28.</w:t>
      </w:r>
    </w:p>
  </w:footnote>
  <w:footnote w:id="21">
    <w:p w14:paraId="0000006C"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See Ben-Zion Rosenfeld,</w:t>
      </w:r>
      <w:r w:rsidRPr="00A345B8">
        <w:rPr>
          <w:rFonts w:asciiTheme="majorHAnsi" w:hAnsiTheme="majorHAnsi" w:cstheme="majorHAnsi"/>
          <w:i/>
          <w:color w:val="000000"/>
          <w:sz w:val="20"/>
          <w:szCs w:val="20"/>
        </w:rPr>
        <w:t xml:space="preserve"> Torah Centers and Rabbinic Activity in Palestine 70–400 CE: History and Geographic Distribution</w:t>
      </w:r>
      <w:r w:rsidRPr="00A345B8">
        <w:rPr>
          <w:rFonts w:asciiTheme="majorHAnsi" w:hAnsiTheme="majorHAnsi" w:cstheme="majorHAnsi"/>
          <w:color w:val="000000"/>
          <w:sz w:val="20"/>
          <w:szCs w:val="20"/>
        </w:rPr>
        <w:t xml:space="preserve"> (Leiden: Brill), 157–58 and n. 126. </w:t>
      </w:r>
    </w:p>
  </w:footnote>
  <w:footnote w:id="22">
    <w:p w14:paraId="0000006D"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lang w:val="de-DE"/>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The translation from </w:t>
      </w:r>
      <w:r w:rsidRPr="00A345B8">
        <w:rPr>
          <w:rFonts w:asciiTheme="majorHAnsi" w:hAnsiTheme="majorHAnsi" w:cstheme="majorHAnsi"/>
          <w:i/>
          <w:color w:val="000000"/>
          <w:sz w:val="20"/>
          <w:szCs w:val="20"/>
        </w:rPr>
        <w:t>The Jerusalem Talmud: Second order</w:t>
      </w:r>
      <w:r w:rsidRPr="00A345B8">
        <w:rPr>
          <w:rFonts w:asciiTheme="majorHAnsi" w:hAnsiTheme="majorHAnsi" w:cstheme="majorHAnsi"/>
          <w:color w:val="000000"/>
          <w:sz w:val="20"/>
          <w:szCs w:val="20"/>
        </w:rPr>
        <w:t xml:space="preserve">, ed. </w:t>
      </w:r>
      <w:r w:rsidRPr="00A345B8">
        <w:rPr>
          <w:rFonts w:asciiTheme="majorHAnsi" w:hAnsiTheme="majorHAnsi" w:cstheme="majorHAnsi"/>
          <w:color w:val="000000"/>
          <w:sz w:val="20"/>
          <w:szCs w:val="20"/>
          <w:lang w:val="de-DE"/>
        </w:rPr>
        <w:t xml:space="preserve">Heinrich W.  </w:t>
      </w:r>
      <w:r w:rsidRPr="00A345B8">
        <w:rPr>
          <w:rFonts w:asciiTheme="majorHAnsi" w:hAnsiTheme="majorHAnsi" w:cstheme="majorHAnsi"/>
          <w:color w:val="000000"/>
          <w:sz w:val="20"/>
          <w:szCs w:val="20"/>
          <w:lang w:val="de-DE"/>
        </w:rPr>
        <w:t>Guggenheimer (Berlin: De Gruyter, 2012), 600.</w:t>
      </w:r>
    </w:p>
    <w:bookmarkStart w:id="10" w:name="_qsh70q" w:colFirst="0" w:colLast="0"/>
    <w:bookmarkEnd w:id="10"/>
  </w:footnote>
  <w:footnote w:id="23">
    <w:p w14:paraId="0000006E"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lang w:val="de-DE"/>
        </w:rPr>
      </w:pPr>
      <w:bookmarkStart w:id="11" w:name="_qsh70q" w:colFirst="0" w:colLast="0"/>
      <w:bookmarkEnd w:id="11"/>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lang w:val="de-DE"/>
        </w:rPr>
        <w:t xml:space="preserve"> </w:t>
      </w:r>
      <w:r w:rsidRPr="00A345B8">
        <w:rPr>
          <w:rFonts w:asciiTheme="majorHAnsi" w:hAnsiTheme="majorHAnsi" w:cstheme="majorHAnsi"/>
          <w:color w:val="000000"/>
          <w:sz w:val="20"/>
          <w:szCs w:val="20"/>
          <w:lang w:val="de-DE"/>
        </w:rPr>
        <w:t xml:space="preserve">Cf. </w:t>
      </w:r>
      <w:r w:rsidRPr="00A345B8">
        <w:rPr>
          <w:rFonts w:asciiTheme="majorHAnsi" w:hAnsiTheme="majorHAnsi" w:cstheme="majorHAnsi"/>
          <w:color w:val="000000"/>
          <w:sz w:val="20"/>
          <w:szCs w:val="20"/>
          <w:lang w:val="de-DE"/>
        </w:rPr>
        <w:t xml:space="preserve">Daniel Sperber, </w:t>
      </w:r>
      <w:r w:rsidRPr="00A345B8">
        <w:rPr>
          <w:rFonts w:asciiTheme="majorHAnsi" w:hAnsiTheme="majorHAnsi" w:cstheme="majorHAnsi"/>
          <w:i/>
          <w:color w:val="000000"/>
          <w:sz w:val="20"/>
          <w:szCs w:val="20"/>
          <w:lang w:val="de-DE"/>
        </w:rPr>
        <w:t>Minhagei Yisrael</w:t>
      </w:r>
      <w:r w:rsidRPr="00A345B8">
        <w:rPr>
          <w:rFonts w:asciiTheme="majorHAnsi" w:hAnsiTheme="majorHAnsi" w:cstheme="majorHAnsi"/>
          <w:color w:val="000000"/>
          <w:sz w:val="20"/>
          <w:szCs w:val="20"/>
          <w:lang w:val="de-DE"/>
        </w:rPr>
        <w:t xml:space="preserve"> 6: 4 [Hebrew].</w:t>
      </w:r>
    </w:p>
  </w:footnote>
  <w:footnote w:id="24">
    <w:p w14:paraId="0000006F"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William Dwight Whitney, </w:t>
      </w:r>
      <w:r w:rsidRPr="00A345B8">
        <w:rPr>
          <w:rFonts w:asciiTheme="majorHAnsi" w:hAnsiTheme="majorHAnsi" w:cstheme="majorHAnsi"/>
          <w:i/>
          <w:color w:val="000000"/>
          <w:sz w:val="20"/>
          <w:szCs w:val="20"/>
        </w:rPr>
        <w:t>The Century Dictionary: An Encyclopedic Lexicon of the English Language</w:t>
      </w:r>
      <w:r w:rsidRPr="00A345B8">
        <w:rPr>
          <w:rFonts w:asciiTheme="majorHAnsi" w:hAnsiTheme="majorHAnsi" w:cstheme="majorHAnsi"/>
          <w:color w:val="000000"/>
          <w:sz w:val="20"/>
          <w:szCs w:val="20"/>
        </w:rPr>
        <w:t xml:space="preserve"> 7 (New York: The Century, 1911), 5481.</w:t>
      </w:r>
    </w:p>
  </w:footnote>
  <w:footnote w:id="25">
    <w:p w14:paraId="00000070"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Bojan </w:t>
      </w:r>
      <w:proofErr w:type="spellStart"/>
      <w:r w:rsidRPr="00A345B8">
        <w:rPr>
          <w:rFonts w:asciiTheme="majorHAnsi" w:hAnsiTheme="majorHAnsi" w:cstheme="majorHAnsi"/>
          <w:color w:val="000000"/>
          <w:sz w:val="20"/>
          <w:szCs w:val="20"/>
        </w:rPr>
        <w:t>Miljković</w:t>
      </w:r>
      <w:proofErr w:type="spellEnd"/>
      <w:r w:rsidRPr="00A345B8">
        <w:rPr>
          <w:rFonts w:asciiTheme="majorHAnsi" w:hAnsiTheme="majorHAnsi" w:cstheme="majorHAnsi"/>
          <w:color w:val="000000"/>
          <w:sz w:val="20"/>
          <w:szCs w:val="20"/>
        </w:rPr>
        <w:t>, “</w:t>
      </w:r>
      <w:proofErr w:type="spellStart"/>
      <w:r w:rsidRPr="00A345B8">
        <w:rPr>
          <w:rFonts w:asciiTheme="majorHAnsi" w:hAnsiTheme="majorHAnsi" w:cstheme="majorHAnsi"/>
          <w:i/>
          <w:color w:val="000000"/>
          <w:sz w:val="20"/>
          <w:szCs w:val="20"/>
        </w:rPr>
        <w:t>Semantra</w:t>
      </w:r>
      <w:proofErr w:type="spellEnd"/>
      <w:r w:rsidRPr="00A345B8">
        <w:rPr>
          <w:rFonts w:asciiTheme="majorHAnsi" w:hAnsiTheme="majorHAnsi" w:cstheme="majorHAnsi"/>
          <w:color w:val="000000"/>
          <w:sz w:val="20"/>
          <w:szCs w:val="20"/>
        </w:rPr>
        <w:t xml:space="preserve"> and Bells in Byzantium,” </w:t>
      </w:r>
      <w:proofErr w:type="spellStart"/>
      <w:r w:rsidRPr="00A345B8">
        <w:rPr>
          <w:rFonts w:asciiTheme="majorHAnsi" w:hAnsiTheme="majorHAnsi" w:cstheme="majorHAnsi"/>
          <w:i/>
          <w:color w:val="000000"/>
          <w:sz w:val="20"/>
          <w:szCs w:val="20"/>
        </w:rPr>
        <w:t>Zbornik</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radova</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Vizantološkog</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instituta</w:t>
      </w:r>
      <w:proofErr w:type="spellEnd"/>
      <w:r w:rsidRPr="00A345B8">
        <w:rPr>
          <w:rFonts w:asciiTheme="majorHAnsi" w:hAnsiTheme="majorHAnsi" w:cstheme="majorHAnsi"/>
          <w:color w:val="000000"/>
          <w:sz w:val="20"/>
          <w:szCs w:val="20"/>
        </w:rPr>
        <w:t xml:space="preserve"> 55 (2018): 271–87; Williams, </w:t>
      </w:r>
      <w:r w:rsidRPr="00A345B8">
        <w:rPr>
          <w:rFonts w:asciiTheme="majorHAnsi" w:hAnsiTheme="majorHAnsi" w:cstheme="majorHAnsi"/>
          <w:i/>
          <w:color w:val="000000"/>
          <w:sz w:val="20"/>
          <w:szCs w:val="20"/>
        </w:rPr>
        <w:t>The Bells of Russia</w:t>
      </w:r>
      <w:r w:rsidRPr="00A345B8">
        <w:rPr>
          <w:rFonts w:asciiTheme="majorHAnsi" w:hAnsiTheme="majorHAnsi" w:cstheme="majorHAnsi"/>
          <w:color w:val="000000"/>
          <w:sz w:val="20"/>
          <w:szCs w:val="20"/>
        </w:rPr>
        <w:t>, 10–12.</w:t>
      </w:r>
    </w:p>
  </w:footnote>
  <w:footnote w:id="26">
    <w:p w14:paraId="00000071"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Williams, </w:t>
      </w:r>
      <w:r w:rsidRPr="00A345B8">
        <w:rPr>
          <w:rFonts w:asciiTheme="majorHAnsi" w:hAnsiTheme="majorHAnsi" w:cstheme="majorHAnsi"/>
          <w:i/>
          <w:color w:val="000000"/>
          <w:sz w:val="20"/>
          <w:szCs w:val="20"/>
        </w:rPr>
        <w:t>The Bells of Russia</w:t>
      </w:r>
      <w:r w:rsidRPr="00A345B8">
        <w:rPr>
          <w:rFonts w:asciiTheme="majorHAnsi" w:hAnsiTheme="majorHAnsi" w:cstheme="majorHAnsi"/>
          <w:color w:val="000000"/>
          <w:sz w:val="20"/>
          <w:szCs w:val="20"/>
        </w:rPr>
        <w:t xml:space="preserve">, 10. See also John </w:t>
      </w:r>
      <w:proofErr w:type="spellStart"/>
      <w:r w:rsidRPr="00A345B8">
        <w:rPr>
          <w:rFonts w:asciiTheme="majorHAnsi" w:hAnsiTheme="majorHAnsi" w:cstheme="majorHAnsi"/>
          <w:color w:val="000000"/>
          <w:sz w:val="20"/>
          <w:szCs w:val="20"/>
        </w:rPr>
        <w:t>Climacus</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The Ladder of Divine Ascent</w:t>
      </w:r>
      <w:r w:rsidRPr="00A345B8">
        <w:rPr>
          <w:rFonts w:asciiTheme="majorHAnsi" w:hAnsiTheme="majorHAnsi" w:cstheme="majorHAnsi"/>
          <w:color w:val="000000"/>
          <w:sz w:val="20"/>
          <w:szCs w:val="20"/>
        </w:rPr>
        <w:t xml:space="preserve"> (New York: Paulist Press, 1982), 194. </w:t>
      </w:r>
    </w:p>
  </w:footnote>
  <w:footnote w:id="27">
    <w:p w14:paraId="00000072"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Williams, </w:t>
      </w:r>
      <w:r w:rsidRPr="00A345B8">
        <w:rPr>
          <w:rFonts w:asciiTheme="majorHAnsi" w:hAnsiTheme="majorHAnsi" w:cstheme="majorHAnsi"/>
          <w:i/>
          <w:color w:val="000000"/>
          <w:sz w:val="20"/>
          <w:szCs w:val="20"/>
        </w:rPr>
        <w:t>The Bells of Russia</w:t>
      </w:r>
      <w:r w:rsidRPr="00A345B8">
        <w:rPr>
          <w:rFonts w:asciiTheme="majorHAnsi" w:hAnsiTheme="majorHAnsi" w:cstheme="majorHAnsi"/>
          <w:color w:val="000000"/>
          <w:sz w:val="20"/>
          <w:szCs w:val="20"/>
        </w:rPr>
        <w:t>, 11–12.</w:t>
      </w:r>
    </w:p>
  </w:footnote>
  <w:footnote w:id="28">
    <w:p w14:paraId="00000073"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Idem. On knocking Christian houses, see also Price, </w:t>
      </w:r>
      <w:r w:rsidRPr="00A345B8">
        <w:rPr>
          <w:rFonts w:asciiTheme="majorHAnsi" w:hAnsiTheme="majorHAnsi" w:cstheme="majorHAnsi"/>
          <w:i/>
          <w:color w:val="000000"/>
          <w:sz w:val="20"/>
          <w:szCs w:val="20"/>
        </w:rPr>
        <w:t>Bells and Man</w:t>
      </w:r>
      <w:r w:rsidRPr="00A345B8">
        <w:rPr>
          <w:rFonts w:asciiTheme="majorHAnsi" w:hAnsiTheme="majorHAnsi" w:cstheme="majorHAnsi"/>
          <w:color w:val="000000"/>
          <w:sz w:val="20"/>
          <w:szCs w:val="20"/>
        </w:rPr>
        <w:t>, 82.</w:t>
      </w:r>
    </w:p>
  </w:footnote>
  <w:footnote w:id="29">
    <w:p w14:paraId="00000074"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Williams, </w:t>
      </w:r>
      <w:r w:rsidRPr="00A345B8">
        <w:rPr>
          <w:rFonts w:asciiTheme="majorHAnsi" w:hAnsiTheme="majorHAnsi" w:cstheme="majorHAnsi"/>
          <w:i/>
          <w:color w:val="000000"/>
          <w:sz w:val="20"/>
          <w:szCs w:val="20"/>
        </w:rPr>
        <w:t>The Bells of Russia</w:t>
      </w:r>
      <w:r w:rsidRPr="00A345B8">
        <w:rPr>
          <w:rFonts w:asciiTheme="majorHAnsi" w:hAnsiTheme="majorHAnsi" w:cstheme="majorHAnsi"/>
          <w:color w:val="000000"/>
          <w:sz w:val="20"/>
          <w:szCs w:val="20"/>
        </w:rPr>
        <w:t xml:space="preserve">, 20–27, 51–52; Price, </w:t>
      </w:r>
      <w:r w:rsidRPr="00A345B8">
        <w:rPr>
          <w:rFonts w:asciiTheme="majorHAnsi" w:hAnsiTheme="majorHAnsi" w:cstheme="majorHAnsi"/>
          <w:i/>
          <w:color w:val="000000"/>
          <w:sz w:val="20"/>
          <w:szCs w:val="20"/>
        </w:rPr>
        <w:t>Bells and Man</w:t>
      </w:r>
      <w:r w:rsidRPr="00A345B8">
        <w:rPr>
          <w:rFonts w:asciiTheme="majorHAnsi" w:hAnsiTheme="majorHAnsi" w:cstheme="majorHAnsi"/>
          <w:color w:val="000000"/>
          <w:sz w:val="20"/>
          <w:szCs w:val="20"/>
        </w:rPr>
        <w:t xml:space="preserve">, 78–106; </w:t>
      </w:r>
      <w:proofErr w:type="spellStart"/>
      <w:r w:rsidRPr="00A345B8">
        <w:rPr>
          <w:rFonts w:asciiTheme="majorHAnsi" w:hAnsiTheme="majorHAnsi" w:cstheme="majorHAnsi"/>
          <w:color w:val="000000"/>
          <w:sz w:val="20"/>
          <w:szCs w:val="20"/>
        </w:rPr>
        <w:t>Satis</w:t>
      </w:r>
      <w:proofErr w:type="spellEnd"/>
      <w:r w:rsidRPr="00A345B8">
        <w:rPr>
          <w:rFonts w:asciiTheme="majorHAnsi" w:hAnsiTheme="majorHAnsi" w:cstheme="majorHAnsi"/>
          <w:color w:val="000000"/>
          <w:sz w:val="20"/>
          <w:szCs w:val="20"/>
        </w:rPr>
        <w:t xml:space="preserve"> N. Coleman, </w:t>
      </w:r>
      <w:r w:rsidRPr="00A345B8">
        <w:rPr>
          <w:rFonts w:asciiTheme="majorHAnsi" w:hAnsiTheme="majorHAnsi" w:cstheme="majorHAnsi"/>
          <w:i/>
          <w:color w:val="000000"/>
          <w:sz w:val="20"/>
          <w:szCs w:val="20"/>
        </w:rPr>
        <w:t>Bells, Their History, Legends, Making, and Uses</w:t>
      </w:r>
      <w:r w:rsidRPr="00A345B8">
        <w:rPr>
          <w:rFonts w:asciiTheme="majorHAnsi" w:hAnsiTheme="majorHAnsi" w:cstheme="majorHAnsi"/>
          <w:color w:val="000000"/>
          <w:sz w:val="20"/>
          <w:szCs w:val="20"/>
        </w:rPr>
        <w:t xml:space="preserve"> (Chicago: Rand, McNally and Co, 1928), 34–40.</w:t>
      </w:r>
    </w:p>
  </w:footnote>
  <w:footnote w:id="30">
    <w:p w14:paraId="00000075"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For example, John Chrysostom, “In </w:t>
      </w:r>
      <w:proofErr w:type="spellStart"/>
      <w:r w:rsidRPr="00A345B8">
        <w:rPr>
          <w:rFonts w:asciiTheme="majorHAnsi" w:hAnsiTheme="majorHAnsi" w:cstheme="majorHAnsi"/>
          <w:color w:val="000000"/>
          <w:sz w:val="20"/>
          <w:szCs w:val="20"/>
        </w:rPr>
        <w:t>epistolam</w:t>
      </w:r>
      <w:proofErr w:type="spellEnd"/>
      <w:r w:rsidRPr="00A345B8">
        <w:rPr>
          <w:rFonts w:asciiTheme="majorHAnsi" w:hAnsiTheme="majorHAnsi" w:cstheme="majorHAnsi"/>
          <w:color w:val="000000"/>
          <w:sz w:val="20"/>
          <w:szCs w:val="20"/>
        </w:rPr>
        <w:t xml:space="preserve"> Primam ad </w:t>
      </w:r>
      <w:proofErr w:type="spellStart"/>
      <w:r w:rsidRPr="00A345B8">
        <w:rPr>
          <w:rFonts w:asciiTheme="majorHAnsi" w:hAnsiTheme="majorHAnsi" w:cstheme="majorHAnsi"/>
          <w:color w:val="000000"/>
          <w:sz w:val="20"/>
          <w:szCs w:val="20"/>
        </w:rPr>
        <w:t>Corinthios</w:t>
      </w:r>
      <w:proofErr w:type="spellEnd"/>
      <w:r w:rsidRPr="00A345B8">
        <w:rPr>
          <w:rFonts w:asciiTheme="majorHAnsi" w:hAnsiTheme="majorHAnsi" w:cstheme="majorHAnsi"/>
          <w:color w:val="000000"/>
          <w:sz w:val="20"/>
          <w:szCs w:val="20"/>
        </w:rPr>
        <w:t xml:space="preserve">,” in Jacques-Paul </w:t>
      </w:r>
      <w:proofErr w:type="spellStart"/>
      <w:r w:rsidRPr="00A345B8">
        <w:rPr>
          <w:rFonts w:asciiTheme="majorHAnsi" w:hAnsiTheme="majorHAnsi" w:cstheme="majorHAnsi"/>
          <w:color w:val="000000"/>
          <w:sz w:val="20"/>
          <w:szCs w:val="20"/>
        </w:rPr>
        <w:t>Migne</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i/>
          <w:color w:val="000000"/>
          <w:sz w:val="20"/>
          <w:szCs w:val="20"/>
        </w:rPr>
        <w:t>Patrologiae</w:t>
      </w:r>
      <w:proofErr w:type="spellEnd"/>
      <w:r w:rsidRPr="00A345B8">
        <w:rPr>
          <w:rFonts w:asciiTheme="majorHAnsi" w:hAnsiTheme="majorHAnsi" w:cstheme="majorHAnsi"/>
          <w:i/>
          <w:color w:val="000000"/>
          <w:sz w:val="20"/>
          <w:szCs w:val="20"/>
        </w:rPr>
        <w:t xml:space="preserve"> cursus completes: </w:t>
      </w:r>
      <w:proofErr w:type="spellStart"/>
      <w:r w:rsidRPr="00A345B8">
        <w:rPr>
          <w:rFonts w:asciiTheme="majorHAnsi" w:hAnsiTheme="majorHAnsi" w:cstheme="majorHAnsi"/>
          <w:i/>
          <w:color w:val="000000"/>
          <w:sz w:val="20"/>
          <w:szCs w:val="20"/>
        </w:rPr>
        <w:t>Patrologia</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graeca</w:t>
      </w:r>
      <w:proofErr w:type="spellEnd"/>
      <w:r w:rsidRPr="00A345B8">
        <w:rPr>
          <w:rFonts w:asciiTheme="majorHAnsi" w:hAnsiTheme="majorHAnsi" w:cstheme="majorHAnsi"/>
          <w:color w:val="000000"/>
          <w:sz w:val="20"/>
          <w:szCs w:val="20"/>
        </w:rPr>
        <w:t xml:space="preserve"> 61 (Paris: Jacques-Paul </w:t>
      </w:r>
      <w:proofErr w:type="spellStart"/>
      <w:r w:rsidRPr="00A345B8">
        <w:rPr>
          <w:rFonts w:asciiTheme="majorHAnsi" w:hAnsiTheme="majorHAnsi" w:cstheme="majorHAnsi"/>
          <w:color w:val="000000"/>
          <w:sz w:val="20"/>
          <w:szCs w:val="20"/>
        </w:rPr>
        <w:t>Migne</w:t>
      </w:r>
      <w:proofErr w:type="spellEnd"/>
      <w:r w:rsidRPr="00A345B8">
        <w:rPr>
          <w:rFonts w:asciiTheme="majorHAnsi" w:hAnsiTheme="majorHAnsi" w:cstheme="majorHAnsi"/>
          <w:color w:val="000000"/>
          <w:sz w:val="20"/>
          <w:szCs w:val="20"/>
        </w:rPr>
        <w:t xml:space="preserve">, 1862), 105–106. See also Percival Price, </w:t>
      </w:r>
      <w:r w:rsidRPr="00A345B8">
        <w:rPr>
          <w:rFonts w:asciiTheme="majorHAnsi" w:hAnsiTheme="majorHAnsi" w:cstheme="majorHAnsi"/>
          <w:i/>
          <w:color w:val="000000"/>
          <w:sz w:val="20"/>
          <w:szCs w:val="20"/>
        </w:rPr>
        <w:t>Bells and Man</w:t>
      </w:r>
      <w:r w:rsidRPr="00A345B8">
        <w:rPr>
          <w:rFonts w:asciiTheme="majorHAnsi" w:hAnsiTheme="majorHAnsi" w:cstheme="majorHAnsi"/>
          <w:color w:val="000000"/>
          <w:sz w:val="20"/>
          <w:szCs w:val="20"/>
        </w:rPr>
        <w:t xml:space="preserve"> (Oxford: Oxford University Press, 1984), 78–106; </w:t>
      </w:r>
      <w:proofErr w:type="spellStart"/>
      <w:r w:rsidRPr="00A345B8">
        <w:rPr>
          <w:rFonts w:asciiTheme="majorHAnsi" w:hAnsiTheme="majorHAnsi" w:cstheme="majorHAnsi"/>
          <w:color w:val="000000"/>
          <w:sz w:val="20"/>
          <w:szCs w:val="20"/>
        </w:rPr>
        <w:t>Satis</w:t>
      </w:r>
      <w:proofErr w:type="spellEnd"/>
      <w:r w:rsidRPr="00A345B8">
        <w:rPr>
          <w:rFonts w:asciiTheme="majorHAnsi" w:hAnsiTheme="majorHAnsi" w:cstheme="majorHAnsi"/>
          <w:color w:val="000000"/>
          <w:sz w:val="20"/>
          <w:szCs w:val="20"/>
        </w:rPr>
        <w:t xml:space="preserve"> N. Coleman, </w:t>
      </w:r>
      <w:r w:rsidRPr="00A345B8">
        <w:rPr>
          <w:rFonts w:asciiTheme="majorHAnsi" w:hAnsiTheme="majorHAnsi" w:cstheme="majorHAnsi"/>
          <w:i/>
          <w:color w:val="000000"/>
          <w:sz w:val="20"/>
          <w:szCs w:val="20"/>
        </w:rPr>
        <w:t>Bells, Their History, Legends, Making, and Uses</w:t>
      </w:r>
      <w:r w:rsidRPr="00A345B8">
        <w:rPr>
          <w:rFonts w:asciiTheme="majorHAnsi" w:hAnsiTheme="majorHAnsi" w:cstheme="majorHAnsi"/>
          <w:color w:val="000000"/>
          <w:sz w:val="20"/>
          <w:szCs w:val="20"/>
        </w:rPr>
        <w:t xml:space="preserve"> (Chicago: Rand, McNally and Co., 1928), 34–40.</w:t>
      </w:r>
    </w:p>
  </w:footnote>
  <w:footnote w:id="31">
    <w:p w14:paraId="00000076"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Williams, </w:t>
      </w:r>
      <w:r w:rsidRPr="00A345B8">
        <w:rPr>
          <w:rFonts w:asciiTheme="majorHAnsi" w:hAnsiTheme="majorHAnsi" w:cstheme="majorHAnsi"/>
          <w:i/>
          <w:color w:val="000000"/>
          <w:sz w:val="20"/>
          <w:szCs w:val="20"/>
        </w:rPr>
        <w:t>The Bells of Russia</w:t>
      </w:r>
      <w:r w:rsidRPr="00A345B8">
        <w:rPr>
          <w:rFonts w:asciiTheme="majorHAnsi" w:hAnsiTheme="majorHAnsi" w:cstheme="majorHAnsi"/>
          <w:color w:val="000000"/>
          <w:sz w:val="20"/>
          <w:szCs w:val="20"/>
        </w:rPr>
        <w:t xml:space="preserve">, 11; Price, </w:t>
      </w:r>
      <w:r w:rsidRPr="00A345B8">
        <w:rPr>
          <w:rFonts w:asciiTheme="majorHAnsi" w:hAnsiTheme="majorHAnsi" w:cstheme="majorHAnsi"/>
          <w:i/>
          <w:color w:val="000000"/>
          <w:sz w:val="20"/>
          <w:szCs w:val="20"/>
        </w:rPr>
        <w:t>Bells and Man</w:t>
      </w:r>
      <w:r w:rsidRPr="00A345B8">
        <w:rPr>
          <w:rFonts w:asciiTheme="majorHAnsi" w:hAnsiTheme="majorHAnsi" w:cstheme="majorHAnsi"/>
          <w:color w:val="000000"/>
          <w:sz w:val="20"/>
          <w:szCs w:val="20"/>
        </w:rPr>
        <w:t>, 83.</w:t>
      </w:r>
    </w:p>
  </w:footnote>
  <w:footnote w:id="32">
    <w:p w14:paraId="00000077"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Maroussia</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Bednarkiewicz</w:t>
      </w:r>
      <w:proofErr w:type="spellEnd"/>
      <w:r w:rsidRPr="00A345B8">
        <w:rPr>
          <w:rFonts w:asciiTheme="majorHAnsi" w:hAnsiTheme="majorHAnsi" w:cstheme="majorHAnsi"/>
          <w:color w:val="000000"/>
          <w:sz w:val="20"/>
          <w:szCs w:val="20"/>
        </w:rPr>
        <w:t xml:space="preserve">, “The History of the </w:t>
      </w:r>
      <w:proofErr w:type="spellStart"/>
      <w:r w:rsidRPr="00A345B8">
        <w:rPr>
          <w:rFonts w:asciiTheme="majorHAnsi" w:hAnsiTheme="majorHAnsi" w:cstheme="majorHAnsi"/>
          <w:i/>
          <w:color w:val="000000"/>
          <w:sz w:val="20"/>
          <w:szCs w:val="20"/>
        </w:rPr>
        <w:t>Adhān</w:t>
      </w:r>
      <w:proofErr w:type="spellEnd"/>
      <w:r w:rsidRPr="00A345B8">
        <w:rPr>
          <w:rFonts w:asciiTheme="majorHAnsi" w:hAnsiTheme="majorHAnsi" w:cstheme="majorHAnsi"/>
          <w:color w:val="000000"/>
          <w:sz w:val="20"/>
          <w:szCs w:val="20"/>
        </w:rPr>
        <w:t xml:space="preserve">: a View from the Hadith Literature,” in </w:t>
      </w:r>
      <w:r w:rsidRPr="00A345B8">
        <w:rPr>
          <w:rFonts w:asciiTheme="majorHAnsi" w:hAnsiTheme="majorHAnsi" w:cstheme="majorHAnsi"/>
          <w:i/>
          <w:color w:val="000000"/>
          <w:sz w:val="20"/>
          <w:szCs w:val="20"/>
        </w:rPr>
        <w:t>Modern Hadith Studies: Continuing Debates and New Approaches</w:t>
      </w:r>
      <w:r w:rsidRPr="00A345B8">
        <w:rPr>
          <w:rFonts w:asciiTheme="majorHAnsi" w:hAnsiTheme="majorHAnsi" w:cstheme="majorHAnsi"/>
          <w:color w:val="000000"/>
          <w:sz w:val="20"/>
          <w:szCs w:val="20"/>
        </w:rPr>
        <w:t>, eds. Belal Abu-</w:t>
      </w:r>
      <w:proofErr w:type="spellStart"/>
      <w:r w:rsidRPr="00A345B8">
        <w:rPr>
          <w:rFonts w:asciiTheme="majorHAnsi" w:hAnsiTheme="majorHAnsi" w:cstheme="majorHAnsi"/>
          <w:color w:val="000000"/>
          <w:sz w:val="20"/>
          <w:szCs w:val="20"/>
        </w:rPr>
        <w:t>Alabbas</w:t>
      </w:r>
      <w:proofErr w:type="spellEnd"/>
      <w:r w:rsidRPr="00A345B8">
        <w:rPr>
          <w:rFonts w:asciiTheme="majorHAnsi" w:hAnsiTheme="majorHAnsi" w:cstheme="majorHAnsi"/>
          <w:color w:val="000000"/>
          <w:sz w:val="20"/>
          <w:szCs w:val="20"/>
        </w:rPr>
        <w:t xml:space="preserve">, Michael Dann, and Christopher </w:t>
      </w:r>
      <w:proofErr w:type="spellStart"/>
      <w:r w:rsidRPr="00A345B8">
        <w:rPr>
          <w:rFonts w:asciiTheme="majorHAnsi" w:hAnsiTheme="majorHAnsi" w:cstheme="majorHAnsi"/>
          <w:color w:val="000000"/>
          <w:sz w:val="20"/>
          <w:szCs w:val="20"/>
        </w:rPr>
        <w:t>Melchert</w:t>
      </w:r>
      <w:proofErr w:type="spellEnd"/>
      <w:r w:rsidRPr="00A345B8">
        <w:rPr>
          <w:rFonts w:asciiTheme="majorHAnsi" w:hAnsiTheme="majorHAnsi" w:cstheme="majorHAnsi"/>
          <w:color w:val="000000"/>
          <w:sz w:val="20"/>
          <w:szCs w:val="20"/>
        </w:rPr>
        <w:t xml:space="preserve"> (Edinburgh: Edinburgh University Press, 2020), 28. See also King, “On the Role of the Muezzin and the </w:t>
      </w:r>
      <w:proofErr w:type="spellStart"/>
      <w:r w:rsidRPr="00A345B8">
        <w:rPr>
          <w:rFonts w:asciiTheme="majorHAnsi" w:hAnsiTheme="majorHAnsi" w:cstheme="majorHAnsi"/>
          <w:i/>
          <w:color w:val="000000"/>
          <w:sz w:val="20"/>
          <w:szCs w:val="20"/>
        </w:rPr>
        <w:t>Muwaqqit</w:t>
      </w:r>
      <w:proofErr w:type="spellEnd"/>
      <w:r w:rsidRPr="00A345B8">
        <w:rPr>
          <w:rFonts w:asciiTheme="majorHAnsi" w:hAnsiTheme="majorHAnsi" w:cstheme="majorHAnsi"/>
          <w:color w:val="000000"/>
          <w:sz w:val="20"/>
          <w:szCs w:val="20"/>
        </w:rPr>
        <w:t xml:space="preserve"> in Medieval Islamic Society;” Jonathan M. Bloom, “Creswell and the Origins of the Minaret,” </w:t>
      </w:r>
      <w:r w:rsidRPr="00A345B8">
        <w:rPr>
          <w:rFonts w:asciiTheme="majorHAnsi" w:hAnsiTheme="majorHAnsi" w:cstheme="majorHAnsi"/>
          <w:i/>
          <w:color w:val="000000"/>
          <w:sz w:val="20"/>
          <w:szCs w:val="20"/>
        </w:rPr>
        <w:t>Muqarnas</w:t>
      </w:r>
      <w:r w:rsidRPr="00A345B8">
        <w:rPr>
          <w:rFonts w:asciiTheme="majorHAnsi" w:hAnsiTheme="majorHAnsi" w:cstheme="majorHAnsi"/>
          <w:color w:val="000000"/>
          <w:sz w:val="20"/>
          <w:szCs w:val="20"/>
        </w:rPr>
        <w:t xml:space="preserve"> 8 (1991): 55–58. </w:t>
      </w:r>
    </w:p>
  </w:footnote>
  <w:footnote w:id="33">
    <w:p w14:paraId="00000078"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See Jonathan Bloom, </w:t>
      </w:r>
      <w:r w:rsidRPr="00A345B8">
        <w:rPr>
          <w:rFonts w:asciiTheme="majorHAnsi" w:hAnsiTheme="majorHAnsi" w:cstheme="majorHAnsi"/>
          <w:i/>
          <w:color w:val="000000"/>
          <w:sz w:val="20"/>
          <w:szCs w:val="20"/>
        </w:rPr>
        <w:t>Minaret, Symbol of Islam</w:t>
      </w:r>
      <w:r w:rsidRPr="00A345B8">
        <w:rPr>
          <w:rFonts w:asciiTheme="majorHAnsi" w:hAnsiTheme="majorHAnsi" w:cstheme="majorHAnsi"/>
          <w:color w:val="000000"/>
          <w:sz w:val="20"/>
          <w:szCs w:val="20"/>
        </w:rPr>
        <w:t xml:space="preserve"> (Oxford: Oxford University Press, 1989).</w:t>
      </w:r>
    </w:p>
  </w:footnote>
  <w:footnote w:id="34">
    <w:p w14:paraId="00000079"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Jonathan M. Bloom, </w:t>
      </w:r>
      <w:r w:rsidRPr="00A345B8">
        <w:rPr>
          <w:rFonts w:asciiTheme="majorHAnsi" w:hAnsiTheme="majorHAnsi" w:cstheme="majorHAnsi"/>
          <w:i/>
          <w:color w:val="000000"/>
          <w:sz w:val="20"/>
          <w:szCs w:val="20"/>
        </w:rPr>
        <w:t>Architecture of the Islamic West: North Africa and the Iberian Peninsula, 700–1800</w:t>
      </w:r>
      <w:r w:rsidRPr="00A345B8">
        <w:rPr>
          <w:rFonts w:asciiTheme="majorHAnsi" w:hAnsiTheme="majorHAnsi" w:cstheme="majorHAnsi"/>
          <w:color w:val="000000"/>
          <w:sz w:val="20"/>
          <w:szCs w:val="20"/>
        </w:rPr>
        <w:t xml:space="preserve"> (New Haven: Yale University Press, 2020), 130–33.</w:t>
      </w:r>
    </w:p>
  </w:footnote>
  <w:footnote w:id="35">
    <w:p w14:paraId="0000007A"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Cf. Alain Corbin, </w:t>
      </w:r>
      <w:r w:rsidRPr="00A345B8">
        <w:rPr>
          <w:rFonts w:asciiTheme="majorHAnsi" w:hAnsiTheme="majorHAnsi" w:cstheme="majorHAnsi"/>
          <w:i/>
          <w:color w:val="000000"/>
          <w:sz w:val="20"/>
          <w:szCs w:val="20"/>
        </w:rPr>
        <w:t>Village Bells: Sound and Meaning in the Nineteenth-Century French Countryside</w:t>
      </w:r>
      <w:r w:rsidRPr="00A345B8">
        <w:rPr>
          <w:rFonts w:asciiTheme="majorHAnsi" w:hAnsiTheme="majorHAnsi" w:cstheme="majorHAnsi"/>
          <w:color w:val="000000"/>
          <w:sz w:val="20"/>
          <w:szCs w:val="20"/>
        </w:rPr>
        <w:t xml:space="preserve"> (New York: Columbia University Press, 1998); Johan Huizinga, </w:t>
      </w:r>
      <w:r w:rsidRPr="00A345B8">
        <w:rPr>
          <w:rFonts w:asciiTheme="majorHAnsi" w:hAnsiTheme="majorHAnsi" w:cstheme="majorHAnsi"/>
          <w:i/>
          <w:color w:val="000000"/>
          <w:sz w:val="20"/>
          <w:szCs w:val="20"/>
        </w:rPr>
        <w:t>The Autumn of the Middle Ages</w:t>
      </w:r>
      <w:r w:rsidRPr="00A345B8">
        <w:rPr>
          <w:rFonts w:asciiTheme="majorHAnsi" w:hAnsiTheme="majorHAnsi" w:cstheme="majorHAnsi"/>
          <w:color w:val="000000"/>
          <w:sz w:val="20"/>
          <w:szCs w:val="20"/>
        </w:rPr>
        <w:t xml:space="preserve"> (Chicago: University of Chicago Press, 1996), 2–3. </w:t>
      </w:r>
    </w:p>
  </w:footnote>
  <w:footnote w:id="36">
    <w:p w14:paraId="35E1C151" w14:textId="3A95BFBD" w:rsidR="0005474C"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r w:rsidR="00202373" w:rsidRPr="00A345B8">
        <w:rPr>
          <w:rFonts w:asciiTheme="majorHAnsi" w:hAnsiTheme="majorHAnsi" w:cstheme="majorHAnsi"/>
          <w:color w:val="000000"/>
          <w:sz w:val="20"/>
          <w:szCs w:val="20"/>
        </w:rPr>
        <w:t xml:space="preserve">Variably spelled in the Yiddish texts as </w:t>
      </w:r>
      <w:proofErr w:type="spellStart"/>
      <w:r w:rsidR="00202373" w:rsidRPr="00A345B8">
        <w:rPr>
          <w:rFonts w:asciiTheme="majorHAnsi" w:hAnsiTheme="majorHAnsi" w:cstheme="majorHAnsi"/>
          <w:color w:val="000000"/>
          <w:sz w:val="20"/>
          <w:szCs w:val="20"/>
          <w:rtl/>
        </w:rPr>
        <w:t>שוהל</w:t>
      </w:r>
      <w:proofErr w:type="spellEnd"/>
      <w:r w:rsidR="00202373" w:rsidRPr="00A345B8">
        <w:rPr>
          <w:rFonts w:asciiTheme="majorHAnsi" w:hAnsiTheme="majorHAnsi" w:cstheme="majorHAnsi"/>
          <w:i/>
          <w:color w:val="000000"/>
          <w:sz w:val="20"/>
          <w:szCs w:val="20"/>
        </w:rPr>
        <w:t xml:space="preserve"> </w:t>
      </w:r>
      <w:proofErr w:type="spellStart"/>
      <w:r w:rsidR="00202373" w:rsidRPr="00A345B8">
        <w:rPr>
          <w:rFonts w:asciiTheme="majorHAnsi" w:hAnsiTheme="majorHAnsi" w:cstheme="majorHAnsi"/>
          <w:color w:val="000000"/>
          <w:sz w:val="20"/>
          <w:szCs w:val="20"/>
          <w:rtl/>
        </w:rPr>
        <w:t>קלאַפּער</w:t>
      </w:r>
      <w:proofErr w:type="spellEnd"/>
      <w:r w:rsidR="00202373" w:rsidRPr="00A345B8">
        <w:rPr>
          <w:rFonts w:asciiTheme="majorHAnsi" w:hAnsiTheme="majorHAnsi" w:cstheme="majorHAnsi"/>
          <w:color w:val="000000"/>
          <w:sz w:val="20"/>
          <w:szCs w:val="20"/>
        </w:rPr>
        <w:t xml:space="preserve"> (</w:t>
      </w:r>
      <w:r w:rsidR="00202373" w:rsidRPr="00A345B8">
        <w:rPr>
          <w:rFonts w:asciiTheme="majorHAnsi" w:hAnsiTheme="majorHAnsi" w:cstheme="majorHAnsi"/>
          <w:i/>
          <w:color w:val="000000"/>
          <w:sz w:val="20"/>
          <w:szCs w:val="20"/>
        </w:rPr>
        <w:t xml:space="preserve">shul </w:t>
      </w:r>
      <w:proofErr w:type="spellStart"/>
      <w:r w:rsidR="00202373" w:rsidRPr="00A345B8">
        <w:rPr>
          <w:rFonts w:asciiTheme="majorHAnsi" w:hAnsiTheme="majorHAnsi" w:cstheme="majorHAnsi"/>
          <w:i/>
          <w:color w:val="000000"/>
          <w:sz w:val="20"/>
          <w:szCs w:val="20"/>
        </w:rPr>
        <w:t>klaper</w:t>
      </w:r>
      <w:proofErr w:type="spellEnd"/>
      <w:r w:rsidR="00202373" w:rsidRPr="00A345B8">
        <w:rPr>
          <w:rFonts w:asciiTheme="majorHAnsi" w:hAnsiTheme="majorHAnsi" w:cstheme="majorHAnsi"/>
          <w:color w:val="000000"/>
          <w:sz w:val="20"/>
          <w:szCs w:val="20"/>
        </w:rPr>
        <w:t xml:space="preserve">) or </w:t>
      </w:r>
      <w:proofErr w:type="spellStart"/>
      <w:r w:rsidR="00202373" w:rsidRPr="00A345B8">
        <w:rPr>
          <w:rFonts w:asciiTheme="majorHAnsi" w:hAnsiTheme="majorHAnsi" w:cstheme="majorHAnsi"/>
          <w:color w:val="000000"/>
          <w:sz w:val="20"/>
          <w:szCs w:val="20"/>
          <w:rtl/>
        </w:rPr>
        <w:t>שוהל</w:t>
      </w:r>
      <w:proofErr w:type="spellEnd"/>
      <w:r w:rsidR="00202373" w:rsidRPr="00A345B8">
        <w:rPr>
          <w:rFonts w:asciiTheme="majorHAnsi" w:hAnsiTheme="majorHAnsi" w:cstheme="majorHAnsi"/>
          <w:i/>
          <w:color w:val="000000"/>
          <w:sz w:val="20"/>
          <w:szCs w:val="20"/>
        </w:rPr>
        <w:t xml:space="preserve"> </w:t>
      </w:r>
      <w:proofErr w:type="spellStart"/>
      <w:r w:rsidR="00202373" w:rsidRPr="00A345B8">
        <w:rPr>
          <w:rFonts w:asciiTheme="majorHAnsi" w:hAnsiTheme="majorHAnsi" w:cstheme="majorHAnsi"/>
          <w:color w:val="000000"/>
          <w:sz w:val="20"/>
          <w:szCs w:val="20"/>
          <w:rtl/>
        </w:rPr>
        <w:t>קלאַפּפער</w:t>
      </w:r>
      <w:proofErr w:type="spellEnd"/>
      <w:r w:rsidR="00202373" w:rsidRPr="00A345B8">
        <w:rPr>
          <w:rFonts w:asciiTheme="majorHAnsi" w:hAnsiTheme="majorHAnsi" w:cstheme="majorHAnsi"/>
          <w:color w:val="000000"/>
          <w:sz w:val="20"/>
          <w:szCs w:val="20"/>
        </w:rPr>
        <w:t xml:space="preserve"> (</w:t>
      </w:r>
      <w:r w:rsidR="00202373" w:rsidRPr="00A345B8">
        <w:rPr>
          <w:rFonts w:asciiTheme="majorHAnsi" w:hAnsiTheme="majorHAnsi" w:cstheme="majorHAnsi"/>
          <w:i/>
          <w:color w:val="000000"/>
          <w:sz w:val="20"/>
          <w:szCs w:val="20"/>
        </w:rPr>
        <w:t xml:space="preserve">shul </w:t>
      </w:r>
      <w:proofErr w:type="spellStart"/>
      <w:r w:rsidR="00202373" w:rsidRPr="00A345B8">
        <w:rPr>
          <w:rFonts w:asciiTheme="majorHAnsi" w:hAnsiTheme="majorHAnsi" w:cstheme="majorHAnsi"/>
          <w:i/>
          <w:color w:val="000000"/>
          <w:sz w:val="20"/>
          <w:szCs w:val="20"/>
        </w:rPr>
        <w:t>klapfer</w:t>
      </w:r>
      <w:proofErr w:type="spellEnd"/>
      <w:r w:rsidR="00202373" w:rsidRPr="00A345B8">
        <w:rPr>
          <w:rFonts w:asciiTheme="majorHAnsi" w:hAnsiTheme="majorHAnsi" w:cstheme="majorHAnsi"/>
          <w:i/>
          <w:color w:val="000000"/>
          <w:sz w:val="20"/>
          <w:szCs w:val="20"/>
        </w:rPr>
        <w:t>/</w:t>
      </w:r>
      <w:proofErr w:type="spellStart"/>
      <w:r w:rsidR="00202373" w:rsidRPr="00A345B8">
        <w:rPr>
          <w:rFonts w:asciiTheme="majorHAnsi" w:hAnsiTheme="majorHAnsi" w:cstheme="majorHAnsi"/>
          <w:i/>
          <w:color w:val="000000"/>
          <w:sz w:val="20"/>
          <w:szCs w:val="20"/>
        </w:rPr>
        <w:t>klapper</w:t>
      </w:r>
      <w:proofErr w:type="spellEnd"/>
      <w:r w:rsidR="00202373" w:rsidRPr="00A345B8">
        <w:rPr>
          <w:rFonts w:asciiTheme="majorHAnsi" w:hAnsiTheme="majorHAnsi" w:cstheme="majorHAnsi"/>
          <w:color w:val="000000"/>
          <w:sz w:val="20"/>
          <w:szCs w:val="20"/>
        </w:rPr>
        <w:t xml:space="preserve">). </w:t>
      </w:r>
      <w:r w:rsidRPr="00A345B8">
        <w:rPr>
          <w:rFonts w:asciiTheme="majorHAnsi" w:hAnsiTheme="majorHAnsi" w:cstheme="majorHAnsi"/>
          <w:color w:val="000000"/>
          <w:sz w:val="20"/>
          <w:szCs w:val="20"/>
        </w:rPr>
        <w:t xml:space="preserve">Paul Wexler considers these terms </w:t>
      </w:r>
      <w:r w:rsidR="00A47DA7" w:rsidRPr="00A345B8">
        <w:rPr>
          <w:rFonts w:asciiTheme="majorHAnsi" w:hAnsiTheme="majorHAnsi" w:cstheme="majorHAnsi"/>
          <w:color w:val="000000"/>
          <w:sz w:val="20"/>
          <w:szCs w:val="20"/>
        </w:rPr>
        <w:t xml:space="preserve">are of </w:t>
      </w:r>
      <w:r w:rsidRPr="00A345B8">
        <w:rPr>
          <w:rFonts w:asciiTheme="majorHAnsi" w:hAnsiTheme="majorHAnsi" w:cstheme="majorHAnsi"/>
          <w:color w:val="000000"/>
          <w:sz w:val="20"/>
          <w:szCs w:val="20"/>
        </w:rPr>
        <w:t xml:space="preserve">a Western Yiddish </w:t>
      </w:r>
      <w:r w:rsidR="00A47DA7" w:rsidRPr="00A345B8">
        <w:rPr>
          <w:rFonts w:asciiTheme="majorHAnsi" w:hAnsiTheme="majorHAnsi" w:cstheme="majorHAnsi"/>
          <w:color w:val="000000"/>
          <w:sz w:val="20"/>
          <w:szCs w:val="20"/>
        </w:rPr>
        <w:t>origin</w:t>
      </w:r>
      <w:r w:rsidRPr="00A345B8">
        <w:rPr>
          <w:rFonts w:asciiTheme="majorHAnsi" w:hAnsiTheme="majorHAnsi" w:cstheme="majorHAnsi"/>
          <w:color w:val="000000"/>
          <w:sz w:val="20"/>
          <w:szCs w:val="20"/>
        </w:rPr>
        <w:t xml:space="preserve">, see Paul Wexler, </w:t>
      </w:r>
      <w:r w:rsidRPr="00A345B8">
        <w:rPr>
          <w:rFonts w:asciiTheme="majorHAnsi" w:hAnsiTheme="majorHAnsi" w:cstheme="majorHAnsi"/>
          <w:i/>
          <w:color w:val="000000"/>
          <w:sz w:val="20"/>
          <w:szCs w:val="20"/>
        </w:rPr>
        <w:t>Jewish and Non-Jewish Creators of “Jewish” Languages</w:t>
      </w:r>
      <w:r w:rsidRPr="00A345B8">
        <w:rPr>
          <w:rFonts w:asciiTheme="majorHAnsi" w:hAnsiTheme="majorHAnsi" w:cstheme="majorHAnsi"/>
          <w:color w:val="000000"/>
          <w:sz w:val="20"/>
          <w:szCs w:val="20"/>
        </w:rPr>
        <w:t xml:space="preserve"> (Wiesbaden: </w:t>
      </w:r>
      <w:proofErr w:type="spellStart"/>
      <w:r w:rsidRPr="00A345B8">
        <w:rPr>
          <w:rFonts w:asciiTheme="majorHAnsi" w:hAnsiTheme="majorHAnsi" w:cstheme="majorHAnsi"/>
          <w:color w:val="000000"/>
          <w:sz w:val="20"/>
          <w:szCs w:val="20"/>
        </w:rPr>
        <w:t>Harrassowitz</w:t>
      </w:r>
      <w:proofErr w:type="spellEnd"/>
      <w:r w:rsidRPr="00A345B8">
        <w:rPr>
          <w:rFonts w:asciiTheme="majorHAnsi" w:hAnsiTheme="majorHAnsi" w:cstheme="majorHAnsi"/>
          <w:color w:val="000000"/>
          <w:sz w:val="20"/>
          <w:szCs w:val="20"/>
        </w:rPr>
        <w:t xml:space="preserve">, 2006), 129, 587. </w:t>
      </w:r>
    </w:p>
    <w:p w14:paraId="2127F639" w14:textId="25FDACC8" w:rsidR="0005474C"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color w:val="000000"/>
          <w:sz w:val="20"/>
          <w:szCs w:val="20"/>
          <w:lang w:val="de-DE"/>
        </w:rPr>
        <w:t>For examples of the early use of these terms</w:t>
      </w:r>
      <w:r w:rsidR="00A47DA7" w:rsidRPr="00A345B8">
        <w:rPr>
          <w:rFonts w:asciiTheme="majorHAnsi" w:hAnsiTheme="majorHAnsi" w:cstheme="majorHAnsi"/>
          <w:color w:val="000000"/>
          <w:sz w:val="20"/>
          <w:szCs w:val="20"/>
          <w:lang w:val="de-DE"/>
        </w:rPr>
        <w:t xml:space="preserve"> in Yiddish and German</w:t>
      </w:r>
      <w:r w:rsidRPr="00A345B8">
        <w:rPr>
          <w:rFonts w:asciiTheme="majorHAnsi" w:hAnsiTheme="majorHAnsi" w:cstheme="majorHAnsi"/>
          <w:color w:val="000000"/>
          <w:sz w:val="20"/>
          <w:szCs w:val="20"/>
          <w:lang w:val="de-DE"/>
        </w:rPr>
        <w:t xml:space="preserve">, see Raphael Straus, </w:t>
      </w:r>
      <w:r w:rsidRPr="00A345B8">
        <w:rPr>
          <w:rFonts w:asciiTheme="majorHAnsi" w:hAnsiTheme="majorHAnsi" w:cstheme="majorHAnsi"/>
          <w:i/>
          <w:color w:val="000000"/>
          <w:sz w:val="20"/>
          <w:szCs w:val="20"/>
          <w:lang w:val="de-DE"/>
        </w:rPr>
        <w:t xml:space="preserve">Urkunden und </w:t>
      </w:r>
      <w:r w:rsidR="006B1D39" w:rsidRPr="00A345B8">
        <w:rPr>
          <w:rFonts w:asciiTheme="majorHAnsi" w:hAnsiTheme="majorHAnsi" w:cstheme="majorHAnsi"/>
          <w:i/>
          <w:color w:val="000000"/>
          <w:sz w:val="20"/>
          <w:szCs w:val="20"/>
          <w:lang w:val="de-DE"/>
        </w:rPr>
        <w:t>Aktenstücke</w:t>
      </w:r>
      <w:r w:rsidRPr="00A345B8">
        <w:rPr>
          <w:rFonts w:asciiTheme="majorHAnsi" w:hAnsiTheme="majorHAnsi" w:cstheme="majorHAnsi"/>
          <w:i/>
          <w:color w:val="000000"/>
          <w:sz w:val="20"/>
          <w:szCs w:val="20"/>
          <w:lang w:val="de-DE"/>
        </w:rPr>
        <w:t xml:space="preserve"> zur Geschichte der Juden in Regensburg, 1453–1738</w:t>
      </w:r>
      <w:r w:rsidRPr="00A345B8">
        <w:rPr>
          <w:rFonts w:asciiTheme="majorHAnsi" w:hAnsiTheme="majorHAnsi" w:cstheme="majorHAnsi"/>
          <w:color w:val="000000"/>
          <w:sz w:val="20"/>
          <w:szCs w:val="20"/>
          <w:lang w:val="de-DE"/>
        </w:rPr>
        <w:t xml:space="preserve"> (M</w:t>
      </w:r>
      <w:r w:rsidR="006B1D39" w:rsidRPr="00A345B8">
        <w:rPr>
          <w:rFonts w:asciiTheme="majorHAnsi" w:hAnsiTheme="majorHAnsi" w:cstheme="majorHAnsi"/>
          <w:color w:val="000000"/>
          <w:sz w:val="20"/>
          <w:szCs w:val="20"/>
          <w:lang w:val="de-DE"/>
        </w:rPr>
        <w:t>u</w:t>
      </w:r>
      <w:r w:rsidRPr="00A345B8">
        <w:rPr>
          <w:rFonts w:asciiTheme="majorHAnsi" w:hAnsiTheme="majorHAnsi" w:cstheme="majorHAnsi"/>
          <w:color w:val="000000"/>
          <w:sz w:val="20"/>
          <w:szCs w:val="20"/>
          <w:lang w:val="de-DE"/>
        </w:rPr>
        <w:t>n</w:t>
      </w:r>
      <w:r w:rsidR="006B1D39" w:rsidRPr="00A345B8">
        <w:rPr>
          <w:rFonts w:asciiTheme="majorHAnsi" w:hAnsiTheme="majorHAnsi" w:cstheme="majorHAnsi"/>
          <w:color w:val="000000"/>
          <w:sz w:val="20"/>
          <w:szCs w:val="20"/>
          <w:lang w:val="de-DE"/>
        </w:rPr>
        <w:t>i</w:t>
      </w:r>
      <w:r w:rsidRPr="00A345B8">
        <w:rPr>
          <w:rFonts w:asciiTheme="majorHAnsi" w:hAnsiTheme="majorHAnsi" w:cstheme="majorHAnsi"/>
          <w:color w:val="000000"/>
          <w:sz w:val="20"/>
          <w:szCs w:val="20"/>
          <w:lang w:val="de-DE"/>
        </w:rPr>
        <w:t xml:space="preserve">ch: Beck, 1960), 71, 113; Josef Mieses, </w:t>
      </w:r>
      <w:r w:rsidRPr="00A345B8">
        <w:rPr>
          <w:rFonts w:asciiTheme="majorHAnsi" w:hAnsiTheme="majorHAnsi" w:cstheme="majorHAnsi"/>
          <w:i/>
          <w:color w:val="000000"/>
          <w:sz w:val="20"/>
          <w:szCs w:val="20"/>
          <w:lang w:val="de-DE"/>
        </w:rPr>
        <w:t xml:space="preserve">Die älteste gedruckte deutsche </w:t>
      </w:r>
      <w:r w:rsidR="006B1D39" w:rsidRPr="00A345B8">
        <w:rPr>
          <w:rFonts w:asciiTheme="majorHAnsi" w:hAnsiTheme="majorHAnsi" w:cstheme="majorHAnsi"/>
          <w:i/>
          <w:color w:val="000000"/>
          <w:sz w:val="20"/>
          <w:szCs w:val="20"/>
          <w:lang w:val="de-DE"/>
        </w:rPr>
        <w:t>Übersetzung</w:t>
      </w:r>
      <w:r w:rsidRPr="00A345B8">
        <w:rPr>
          <w:rFonts w:asciiTheme="majorHAnsi" w:hAnsiTheme="majorHAnsi" w:cstheme="majorHAnsi"/>
          <w:i/>
          <w:color w:val="000000"/>
          <w:sz w:val="20"/>
          <w:szCs w:val="20"/>
          <w:lang w:val="de-DE"/>
        </w:rPr>
        <w:t xml:space="preserve"> des jüdischen Gebetbuches a. d. Jahre 1530 und ihr Autor Anthonius Margaritha</w:t>
      </w:r>
      <w:r w:rsidRPr="00A345B8">
        <w:rPr>
          <w:rFonts w:asciiTheme="majorHAnsi" w:hAnsiTheme="majorHAnsi" w:cstheme="majorHAnsi"/>
          <w:color w:val="000000"/>
          <w:sz w:val="20"/>
          <w:szCs w:val="20"/>
          <w:lang w:val="de-DE"/>
        </w:rPr>
        <w:t xml:space="preserve"> (Vienna: Löwit, 1916), 56; von Keller, </w:t>
      </w:r>
      <w:r w:rsidRPr="00A345B8">
        <w:rPr>
          <w:rFonts w:asciiTheme="majorHAnsi" w:hAnsiTheme="majorHAnsi" w:cstheme="majorHAnsi"/>
          <w:i/>
          <w:color w:val="000000"/>
          <w:sz w:val="20"/>
          <w:szCs w:val="20"/>
          <w:lang w:val="de-DE"/>
        </w:rPr>
        <w:t>Fastnachtspiele</w:t>
      </w:r>
      <w:r w:rsidRPr="00A345B8">
        <w:rPr>
          <w:rFonts w:asciiTheme="majorHAnsi" w:hAnsiTheme="majorHAnsi" w:cstheme="majorHAnsi"/>
          <w:color w:val="000000"/>
          <w:sz w:val="20"/>
          <w:szCs w:val="20"/>
          <w:lang w:val="de-DE"/>
        </w:rPr>
        <w:t xml:space="preserve"> 3: 1225 and 1: 158; Johann Jacob Schudt, </w:t>
      </w:r>
      <w:r w:rsidRPr="00A345B8">
        <w:rPr>
          <w:rFonts w:asciiTheme="majorHAnsi" w:hAnsiTheme="majorHAnsi" w:cstheme="majorHAnsi"/>
          <w:i/>
          <w:color w:val="000000"/>
          <w:sz w:val="20"/>
          <w:szCs w:val="20"/>
          <w:lang w:val="de-DE"/>
        </w:rPr>
        <w:t xml:space="preserve">Judische Merckwürdigkeiten </w:t>
      </w:r>
      <w:r w:rsidRPr="00A345B8">
        <w:rPr>
          <w:rFonts w:asciiTheme="majorHAnsi" w:hAnsiTheme="majorHAnsi" w:cstheme="majorHAnsi"/>
          <w:color w:val="000000"/>
          <w:sz w:val="20"/>
          <w:szCs w:val="20"/>
          <w:lang w:val="de-DE"/>
        </w:rPr>
        <w:t xml:space="preserve">(Frankfurt am Main: Louis Lamm, 1714), 287–88. </w:t>
      </w:r>
      <w:r w:rsidRPr="00A345B8">
        <w:rPr>
          <w:rFonts w:asciiTheme="majorHAnsi" w:hAnsiTheme="majorHAnsi" w:cstheme="majorHAnsi"/>
          <w:color w:val="000000"/>
          <w:sz w:val="20"/>
          <w:szCs w:val="20"/>
        </w:rPr>
        <w:t xml:space="preserve">The </w:t>
      </w:r>
      <w:proofErr w:type="spellStart"/>
      <w:r w:rsidRPr="00A345B8">
        <w:rPr>
          <w:rFonts w:asciiTheme="majorHAnsi" w:hAnsiTheme="majorHAnsi" w:cstheme="majorHAnsi"/>
          <w:i/>
          <w:color w:val="000000"/>
          <w:sz w:val="20"/>
          <w:szCs w:val="20"/>
        </w:rPr>
        <w:t>schulklopfer</w:t>
      </w:r>
      <w:proofErr w:type="spellEnd"/>
      <w:r w:rsidRPr="00A345B8">
        <w:rPr>
          <w:rFonts w:asciiTheme="majorHAnsi" w:hAnsiTheme="majorHAnsi" w:cstheme="majorHAnsi"/>
          <w:color w:val="000000"/>
          <w:sz w:val="20"/>
          <w:szCs w:val="20"/>
        </w:rPr>
        <w:t xml:space="preserve"> could also mean a shamash’s mallet; for this connotation and more examples, see Daniel Sperber, </w:t>
      </w:r>
      <w:proofErr w:type="spellStart"/>
      <w:r w:rsidRPr="00A345B8">
        <w:rPr>
          <w:rFonts w:asciiTheme="majorHAnsi" w:hAnsiTheme="majorHAnsi" w:cstheme="majorHAnsi"/>
          <w:i/>
          <w:color w:val="000000"/>
          <w:sz w:val="20"/>
          <w:szCs w:val="20"/>
        </w:rPr>
        <w:t>Minhagei</w:t>
      </w:r>
      <w:proofErr w:type="spellEnd"/>
      <w:r w:rsidRPr="00A345B8">
        <w:rPr>
          <w:rFonts w:asciiTheme="majorHAnsi" w:hAnsiTheme="majorHAnsi" w:cstheme="majorHAnsi"/>
          <w:i/>
          <w:color w:val="000000"/>
          <w:sz w:val="20"/>
          <w:szCs w:val="20"/>
        </w:rPr>
        <w:t xml:space="preserve"> Yisrael</w:t>
      </w:r>
      <w:r w:rsidRPr="00A345B8">
        <w:rPr>
          <w:rFonts w:asciiTheme="majorHAnsi" w:hAnsiTheme="majorHAnsi" w:cstheme="majorHAnsi"/>
          <w:color w:val="000000"/>
          <w:sz w:val="20"/>
          <w:szCs w:val="20"/>
        </w:rPr>
        <w:t xml:space="preserve"> 6: 3. </w:t>
      </w:r>
    </w:p>
    <w:p w14:paraId="0000007C" w14:textId="7F83F7DD" w:rsidR="009B4F5A" w:rsidRPr="00A345B8" w:rsidRDefault="0005474C"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color w:val="000000"/>
          <w:sz w:val="20"/>
          <w:szCs w:val="20"/>
        </w:rPr>
        <w:t>Hereafter I prefer “</w:t>
      </w:r>
      <w:proofErr w:type="spellStart"/>
      <w:r w:rsidRPr="00A345B8">
        <w:rPr>
          <w:rFonts w:asciiTheme="majorHAnsi" w:hAnsiTheme="majorHAnsi" w:cstheme="majorHAnsi"/>
          <w:color w:val="000000"/>
          <w:sz w:val="20"/>
          <w:szCs w:val="20"/>
        </w:rPr>
        <w:t>shulklapper</w:t>
      </w:r>
      <w:proofErr w:type="spellEnd"/>
      <w:r w:rsidRPr="00A345B8">
        <w:rPr>
          <w:rFonts w:asciiTheme="majorHAnsi" w:hAnsiTheme="majorHAnsi" w:cstheme="majorHAnsi"/>
          <w:color w:val="000000"/>
          <w:sz w:val="20"/>
          <w:szCs w:val="20"/>
        </w:rPr>
        <w:t xml:space="preserve">,” following the English spelling of this term in </w:t>
      </w:r>
      <w:proofErr w:type="spellStart"/>
      <w:r w:rsidRPr="00A345B8">
        <w:rPr>
          <w:rFonts w:asciiTheme="majorHAnsi" w:hAnsiTheme="majorHAnsi" w:cstheme="majorHAnsi"/>
          <w:i/>
          <w:iCs/>
          <w:color w:val="000000"/>
          <w:sz w:val="20"/>
          <w:szCs w:val="20"/>
        </w:rPr>
        <w:t>Encyclopaedia</w:t>
      </w:r>
      <w:proofErr w:type="spellEnd"/>
      <w:r w:rsidRPr="00A345B8">
        <w:rPr>
          <w:rFonts w:asciiTheme="majorHAnsi" w:hAnsiTheme="majorHAnsi" w:cstheme="majorHAnsi"/>
          <w:i/>
          <w:iCs/>
          <w:color w:val="000000"/>
          <w:sz w:val="20"/>
          <w:szCs w:val="20"/>
        </w:rPr>
        <w:t xml:space="preserve"> Judaica</w:t>
      </w:r>
      <w:r w:rsidRPr="00A345B8">
        <w:rPr>
          <w:rFonts w:asciiTheme="majorHAnsi" w:hAnsiTheme="majorHAnsi" w:cstheme="majorHAnsi"/>
          <w:color w:val="000000"/>
          <w:sz w:val="20"/>
          <w:szCs w:val="20"/>
        </w:rPr>
        <w:t xml:space="preserve"> 18 (Detroit</w:t>
      </w:r>
      <w:r w:rsidR="00FC704B" w:rsidRPr="00A345B8">
        <w:rPr>
          <w:rFonts w:asciiTheme="majorHAnsi" w:hAnsiTheme="majorHAnsi" w:cstheme="majorHAnsi"/>
          <w:color w:val="000000"/>
          <w:sz w:val="20"/>
          <w:szCs w:val="20"/>
        </w:rPr>
        <w:t xml:space="preserve">: </w:t>
      </w:r>
      <w:r w:rsidR="00FC704B" w:rsidRPr="00A345B8">
        <w:rPr>
          <w:rFonts w:asciiTheme="majorHAnsi" w:hAnsiTheme="majorHAnsi" w:cstheme="majorHAnsi"/>
          <w:sz w:val="20"/>
          <w:szCs w:val="20"/>
        </w:rPr>
        <w:t>Macmillan Reference USA</w:t>
      </w:r>
      <w:r w:rsidR="00FC704B" w:rsidRPr="00A345B8">
        <w:rPr>
          <w:rFonts w:asciiTheme="majorHAnsi" w:hAnsiTheme="majorHAnsi" w:cstheme="majorHAnsi"/>
          <w:color w:val="000000"/>
          <w:sz w:val="20"/>
          <w:szCs w:val="20"/>
        </w:rPr>
        <w:t xml:space="preserve">, 2007), </w:t>
      </w:r>
      <w:r w:rsidRPr="00A345B8">
        <w:rPr>
          <w:rFonts w:asciiTheme="majorHAnsi" w:hAnsiTheme="majorHAnsi" w:cstheme="majorHAnsi"/>
          <w:color w:val="000000"/>
          <w:sz w:val="20"/>
          <w:szCs w:val="20"/>
        </w:rPr>
        <w:t>p. 31.</w:t>
      </w:r>
    </w:p>
  </w:footnote>
  <w:footnote w:id="37">
    <w:p w14:paraId="0000007D" w14:textId="2F8824D5"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lang w:val="de-DE"/>
        </w:rPr>
        <w:t xml:space="preserve"> </w:t>
      </w:r>
      <w:r w:rsidRPr="00A345B8">
        <w:rPr>
          <w:rFonts w:asciiTheme="majorHAnsi" w:hAnsiTheme="majorHAnsi" w:cstheme="majorHAnsi"/>
          <w:color w:val="000000"/>
          <w:sz w:val="20"/>
          <w:szCs w:val="20"/>
          <w:lang w:val="de-DE"/>
        </w:rPr>
        <w:t xml:space="preserve">Moritz Güdemann, </w:t>
      </w:r>
      <w:r w:rsidRPr="00A345B8">
        <w:rPr>
          <w:rFonts w:asciiTheme="majorHAnsi" w:hAnsiTheme="majorHAnsi" w:cstheme="majorHAnsi"/>
          <w:i/>
          <w:color w:val="000000"/>
          <w:sz w:val="20"/>
          <w:szCs w:val="20"/>
          <w:lang w:val="de-DE"/>
        </w:rPr>
        <w:t xml:space="preserve">Geschichte des Erziehungswesens und der Cultur der </w:t>
      </w:r>
      <w:r w:rsidR="006B1D39" w:rsidRPr="00A345B8">
        <w:rPr>
          <w:rFonts w:asciiTheme="majorHAnsi" w:hAnsiTheme="majorHAnsi" w:cstheme="majorHAnsi"/>
          <w:i/>
          <w:color w:val="000000"/>
          <w:sz w:val="20"/>
          <w:szCs w:val="20"/>
          <w:lang w:val="de-DE"/>
        </w:rPr>
        <w:t>abendländischen</w:t>
      </w:r>
      <w:r w:rsidRPr="00A345B8">
        <w:rPr>
          <w:rFonts w:asciiTheme="majorHAnsi" w:hAnsiTheme="majorHAnsi" w:cstheme="majorHAnsi"/>
          <w:i/>
          <w:color w:val="000000"/>
          <w:sz w:val="20"/>
          <w:szCs w:val="20"/>
          <w:lang w:val="de-DE"/>
        </w:rPr>
        <w:t xml:space="preserve"> Juden </w:t>
      </w:r>
      <w:r w:rsidR="00A47DA7" w:rsidRPr="00A345B8">
        <w:rPr>
          <w:rFonts w:asciiTheme="majorHAnsi" w:hAnsiTheme="majorHAnsi" w:cstheme="majorHAnsi"/>
          <w:i/>
          <w:color w:val="000000"/>
          <w:sz w:val="20"/>
          <w:szCs w:val="20"/>
          <w:lang w:val="de-DE"/>
        </w:rPr>
        <w:t>während</w:t>
      </w:r>
      <w:r w:rsidRPr="00A345B8">
        <w:rPr>
          <w:rFonts w:asciiTheme="majorHAnsi" w:hAnsiTheme="majorHAnsi" w:cstheme="majorHAnsi"/>
          <w:i/>
          <w:color w:val="000000"/>
          <w:sz w:val="20"/>
          <w:szCs w:val="20"/>
          <w:lang w:val="de-DE"/>
        </w:rPr>
        <w:t xml:space="preserve"> des Mittelalters und der neueren Zeit</w:t>
      </w:r>
      <w:r w:rsidRPr="00A345B8">
        <w:rPr>
          <w:rFonts w:asciiTheme="majorHAnsi" w:hAnsiTheme="majorHAnsi" w:cstheme="majorHAnsi"/>
          <w:color w:val="000000"/>
          <w:sz w:val="20"/>
          <w:szCs w:val="20"/>
          <w:lang w:val="de-DE"/>
        </w:rPr>
        <w:t xml:space="preserve"> 3 (Vienna: Alfred Hölder), 95. </w:t>
      </w:r>
      <w:proofErr w:type="spellStart"/>
      <w:r w:rsidRPr="00A345B8">
        <w:rPr>
          <w:rFonts w:asciiTheme="majorHAnsi" w:hAnsiTheme="majorHAnsi" w:cstheme="majorHAnsi"/>
          <w:color w:val="000000"/>
          <w:sz w:val="20"/>
          <w:szCs w:val="20"/>
        </w:rPr>
        <w:t>Güdemann’s</w:t>
      </w:r>
      <w:proofErr w:type="spellEnd"/>
      <w:r w:rsidRPr="00A345B8">
        <w:rPr>
          <w:rFonts w:asciiTheme="majorHAnsi" w:hAnsiTheme="majorHAnsi" w:cstheme="majorHAnsi"/>
          <w:color w:val="000000"/>
          <w:sz w:val="20"/>
          <w:szCs w:val="20"/>
        </w:rPr>
        <w:t xml:space="preserve"> sources remain vague. Cf. also “Jewish </w:t>
      </w:r>
      <w:proofErr w:type="spellStart"/>
      <w:r w:rsidRPr="00A345B8">
        <w:rPr>
          <w:rFonts w:asciiTheme="majorHAnsi" w:hAnsiTheme="majorHAnsi" w:cstheme="majorHAnsi"/>
          <w:i/>
          <w:color w:val="000000"/>
          <w:sz w:val="20"/>
          <w:szCs w:val="20"/>
        </w:rPr>
        <w:t>concionator</w:t>
      </w:r>
      <w:proofErr w:type="spellEnd"/>
      <w:r w:rsidRPr="00A345B8">
        <w:rPr>
          <w:rFonts w:asciiTheme="majorHAnsi" w:hAnsiTheme="majorHAnsi" w:cstheme="majorHAnsi"/>
          <w:color w:val="000000"/>
          <w:sz w:val="20"/>
          <w:szCs w:val="20"/>
        </w:rPr>
        <w:t xml:space="preserve">” (one who addresses public) in </w:t>
      </w:r>
      <w:proofErr w:type="spellStart"/>
      <w:r w:rsidRPr="00A345B8">
        <w:rPr>
          <w:rFonts w:asciiTheme="majorHAnsi" w:hAnsiTheme="majorHAnsi" w:cstheme="majorHAnsi"/>
          <w:i/>
          <w:color w:val="000000"/>
          <w:sz w:val="20"/>
          <w:szCs w:val="20"/>
        </w:rPr>
        <w:t>Monumenta</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Hungariae</w:t>
      </w:r>
      <w:proofErr w:type="spellEnd"/>
      <w:r w:rsidRPr="00A345B8">
        <w:rPr>
          <w:rFonts w:asciiTheme="majorHAnsi" w:hAnsiTheme="majorHAnsi" w:cstheme="majorHAnsi"/>
          <w:i/>
          <w:color w:val="000000"/>
          <w:sz w:val="20"/>
          <w:szCs w:val="20"/>
        </w:rPr>
        <w:t xml:space="preserve"> Judaica </w:t>
      </w:r>
      <w:proofErr w:type="spellStart"/>
      <w:r w:rsidRPr="00A345B8">
        <w:rPr>
          <w:rFonts w:asciiTheme="majorHAnsi" w:hAnsiTheme="majorHAnsi" w:cstheme="majorHAnsi"/>
          <w:i/>
          <w:color w:val="000000"/>
          <w:sz w:val="20"/>
          <w:szCs w:val="20"/>
        </w:rPr>
        <w:t>publicari</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fecit</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societas</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litteraria</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Hungarico</w:t>
      </w:r>
      <w:proofErr w:type="spellEnd"/>
      <w:r w:rsidRPr="00A345B8">
        <w:rPr>
          <w:rFonts w:asciiTheme="majorHAnsi" w:hAnsiTheme="majorHAnsi" w:cstheme="majorHAnsi"/>
          <w:i/>
          <w:color w:val="000000"/>
          <w:sz w:val="20"/>
          <w:szCs w:val="20"/>
        </w:rPr>
        <w:t>-Judaica</w:t>
      </w:r>
      <w:r w:rsidRPr="00A345B8">
        <w:rPr>
          <w:rFonts w:asciiTheme="majorHAnsi" w:hAnsiTheme="majorHAnsi" w:cstheme="majorHAnsi"/>
          <w:color w:val="000000"/>
          <w:sz w:val="20"/>
          <w:szCs w:val="20"/>
        </w:rPr>
        <w:t xml:space="preserve"> 5, 1 (Budapest: F. </w:t>
      </w:r>
      <w:proofErr w:type="spellStart"/>
      <w:r w:rsidRPr="00A345B8">
        <w:rPr>
          <w:rFonts w:asciiTheme="majorHAnsi" w:hAnsiTheme="majorHAnsi" w:cstheme="majorHAnsi"/>
          <w:color w:val="000000"/>
          <w:sz w:val="20"/>
          <w:szCs w:val="20"/>
        </w:rPr>
        <w:t>Wodianus</w:t>
      </w:r>
      <w:proofErr w:type="spellEnd"/>
      <w:r w:rsidRPr="00A345B8">
        <w:rPr>
          <w:rFonts w:asciiTheme="majorHAnsi" w:hAnsiTheme="majorHAnsi" w:cstheme="majorHAnsi"/>
          <w:color w:val="000000"/>
          <w:sz w:val="20"/>
          <w:szCs w:val="20"/>
        </w:rPr>
        <w:t>, 1959), 317 no. 602 (dated 1647).</w:t>
      </w:r>
    </w:p>
  </w:footnote>
  <w:footnote w:id="38">
    <w:p w14:paraId="0000007E"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lang w:val="de-DE"/>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lang w:val="de-DE"/>
        </w:rPr>
        <w:t xml:space="preserve"> </w:t>
      </w:r>
      <w:r w:rsidRPr="00A345B8">
        <w:rPr>
          <w:rFonts w:asciiTheme="majorHAnsi" w:hAnsiTheme="majorHAnsi" w:cstheme="majorHAnsi"/>
          <w:color w:val="000000"/>
          <w:sz w:val="20"/>
          <w:szCs w:val="20"/>
          <w:lang w:val="de-DE"/>
        </w:rPr>
        <w:t xml:space="preserve">“Ein Spiel von dem einliften Finger” and Hans Folz “Der Juden Messias,” in Adelbert von Keller, </w:t>
      </w:r>
      <w:r w:rsidRPr="00A345B8">
        <w:rPr>
          <w:rFonts w:asciiTheme="majorHAnsi" w:hAnsiTheme="majorHAnsi" w:cstheme="majorHAnsi"/>
          <w:i/>
          <w:color w:val="000000"/>
          <w:sz w:val="20"/>
          <w:szCs w:val="20"/>
          <w:lang w:val="de-DE"/>
        </w:rPr>
        <w:t>Fastnachtspiele aus dem Fünfzehnten Jahrhundert</w:t>
      </w:r>
      <w:r w:rsidRPr="00A345B8">
        <w:rPr>
          <w:rFonts w:asciiTheme="majorHAnsi" w:hAnsiTheme="majorHAnsi" w:cstheme="majorHAnsi"/>
          <w:color w:val="000000"/>
          <w:sz w:val="20"/>
          <w:szCs w:val="20"/>
          <w:lang w:val="de-DE"/>
        </w:rPr>
        <w:t xml:space="preserve"> (Stuttgart, Bibliothek des Literarischen Vereins, 1853) 3: 1225 and 1: 158 (respectively). Moritz Güdemann was the first to refer to Folz’s “Der Juden Messias” in von Keller’s </w:t>
      </w:r>
      <w:r w:rsidRPr="00A345B8">
        <w:rPr>
          <w:rFonts w:asciiTheme="majorHAnsi" w:hAnsiTheme="majorHAnsi" w:cstheme="majorHAnsi"/>
          <w:i/>
          <w:color w:val="000000"/>
          <w:sz w:val="20"/>
          <w:szCs w:val="20"/>
          <w:lang w:val="de-DE"/>
        </w:rPr>
        <w:t>Fastnachtspiele</w:t>
      </w:r>
      <w:r w:rsidRPr="00A345B8">
        <w:rPr>
          <w:rFonts w:asciiTheme="majorHAnsi" w:hAnsiTheme="majorHAnsi" w:cstheme="majorHAnsi"/>
          <w:color w:val="000000"/>
          <w:sz w:val="20"/>
          <w:szCs w:val="20"/>
          <w:lang w:val="de-DE"/>
        </w:rPr>
        <w:t xml:space="preserve"> 3: 1225 as a source for the </w:t>
      </w:r>
      <w:r w:rsidRPr="00A345B8">
        <w:rPr>
          <w:rFonts w:asciiTheme="majorHAnsi" w:hAnsiTheme="majorHAnsi" w:cstheme="majorHAnsi"/>
          <w:i/>
          <w:color w:val="000000"/>
          <w:sz w:val="20"/>
          <w:szCs w:val="20"/>
          <w:lang w:val="de-DE"/>
        </w:rPr>
        <w:t>Schulklopfer</w:t>
      </w:r>
      <w:r w:rsidRPr="00A345B8">
        <w:rPr>
          <w:rFonts w:asciiTheme="majorHAnsi" w:hAnsiTheme="majorHAnsi" w:cstheme="majorHAnsi"/>
          <w:color w:val="000000"/>
          <w:sz w:val="20"/>
          <w:szCs w:val="20"/>
          <w:lang w:val="de-DE"/>
        </w:rPr>
        <w:t xml:space="preserve"> office, see Güdemann, </w:t>
      </w:r>
      <w:r w:rsidRPr="00A345B8">
        <w:rPr>
          <w:rFonts w:asciiTheme="majorHAnsi" w:hAnsiTheme="majorHAnsi" w:cstheme="majorHAnsi"/>
          <w:i/>
          <w:color w:val="000000"/>
          <w:sz w:val="20"/>
          <w:szCs w:val="20"/>
          <w:lang w:val="de-DE"/>
        </w:rPr>
        <w:t>Geschichte des Erziehungswesens und der Cultur</w:t>
      </w:r>
      <w:r w:rsidRPr="00A345B8">
        <w:rPr>
          <w:rFonts w:asciiTheme="majorHAnsi" w:hAnsiTheme="majorHAnsi" w:cstheme="majorHAnsi"/>
          <w:color w:val="000000"/>
          <w:sz w:val="20"/>
          <w:szCs w:val="20"/>
          <w:lang w:val="de-DE"/>
        </w:rPr>
        <w:t xml:space="preserve"> 3, 95.</w:t>
      </w:r>
    </w:p>
  </w:footnote>
  <w:footnote w:id="39">
    <w:p w14:paraId="0000007F"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lang w:val="de-DE"/>
        </w:rPr>
        <w:t xml:space="preserve"> </w:t>
      </w:r>
      <w:r w:rsidRPr="00A345B8">
        <w:rPr>
          <w:rFonts w:asciiTheme="majorHAnsi" w:hAnsiTheme="majorHAnsi" w:cstheme="majorHAnsi"/>
          <w:color w:val="000000"/>
          <w:sz w:val="20"/>
          <w:szCs w:val="20"/>
          <w:lang w:val="de-DE"/>
        </w:rPr>
        <w:t xml:space="preserve">On </w:t>
      </w:r>
      <w:r w:rsidRPr="00A345B8">
        <w:rPr>
          <w:rFonts w:asciiTheme="majorHAnsi" w:hAnsiTheme="majorHAnsi" w:cstheme="majorHAnsi"/>
          <w:color w:val="000000"/>
          <w:sz w:val="20"/>
          <w:szCs w:val="20"/>
          <w:lang w:val="de-DE"/>
        </w:rPr>
        <w:t xml:space="preserve">this literature, see Matthias Schönleber, “Der Juden schant wart offenbar: Antijüdische Motive in Schwänken und Fastnachtsspielen von Hans Folz,” in </w:t>
      </w:r>
      <w:r w:rsidRPr="00A345B8">
        <w:rPr>
          <w:rFonts w:asciiTheme="majorHAnsi" w:hAnsiTheme="majorHAnsi" w:cstheme="majorHAnsi"/>
          <w:i/>
          <w:color w:val="000000"/>
          <w:sz w:val="20"/>
          <w:szCs w:val="20"/>
          <w:lang w:val="de-DE"/>
        </w:rPr>
        <w:t>Juden in der deutschen Literatur des Mittelalters: Religiöse Konzepte, Feindbilder, Rechtfertigungen</w:t>
      </w:r>
      <w:r w:rsidRPr="00A345B8">
        <w:rPr>
          <w:rFonts w:asciiTheme="majorHAnsi" w:hAnsiTheme="majorHAnsi" w:cstheme="majorHAnsi"/>
          <w:color w:val="000000"/>
          <w:sz w:val="20"/>
          <w:szCs w:val="20"/>
          <w:lang w:val="de-DE"/>
        </w:rPr>
        <w:t xml:space="preserve">, ed. </w:t>
      </w:r>
      <w:r w:rsidRPr="00A345B8">
        <w:rPr>
          <w:rFonts w:asciiTheme="majorHAnsi" w:hAnsiTheme="majorHAnsi" w:cstheme="majorHAnsi"/>
          <w:color w:val="000000"/>
          <w:sz w:val="20"/>
          <w:szCs w:val="20"/>
        </w:rPr>
        <w:t xml:space="preserve">Ursula Schulze (Berlin: Max Niemeyer Verlag, 2011), 163–82. </w:t>
      </w:r>
    </w:p>
    <w:p w14:paraId="00000080" w14:textId="03DA4DE2"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color w:val="000000"/>
          <w:sz w:val="20"/>
          <w:szCs w:val="20"/>
        </w:rPr>
        <w:t xml:space="preserve">Many researchers misread the page number 1225 in the publication of </w:t>
      </w:r>
      <w:proofErr w:type="spellStart"/>
      <w:r w:rsidRPr="00A345B8">
        <w:rPr>
          <w:rFonts w:asciiTheme="majorHAnsi" w:hAnsiTheme="majorHAnsi" w:cstheme="majorHAnsi"/>
          <w:color w:val="000000"/>
          <w:sz w:val="20"/>
          <w:szCs w:val="20"/>
        </w:rPr>
        <w:t>Folz’s</w:t>
      </w:r>
      <w:proofErr w:type="spellEnd"/>
      <w:r w:rsidRPr="00A345B8">
        <w:rPr>
          <w:rFonts w:asciiTheme="majorHAnsi" w:hAnsiTheme="majorHAnsi" w:cstheme="majorHAnsi"/>
          <w:color w:val="000000"/>
          <w:sz w:val="20"/>
          <w:szCs w:val="20"/>
        </w:rPr>
        <w:t xml:space="preserve"> “Der </w:t>
      </w:r>
      <w:proofErr w:type="spellStart"/>
      <w:r w:rsidRPr="00A345B8">
        <w:rPr>
          <w:rFonts w:asciiTheme="majorHAnsi" w:hAnsiTheme="majorHAnsi" w:cstheme="majorHAnsi"/>
          <w:color w:val="000000"/>
          <w:sz w:val="20"/>
          <w:szCs w:val="20"/>
        </w:rPr>
        <w:t>Juden</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Messias</w:t>
      </w:r>
      <w:proofErr w:type="spellEnd"/>
      <w:r w:rsidRPr="00A345B8">
        <w:rPr>
          <w:rFonts w:asciiTheme="majorHAnsi" w:hAnsiTheme="majorHAnsi" w:cstheme="majorHAnsi"/>
          <w:color w:val="000000"/>
          <w:sz w:val="20"/>
          <w:szCs w:val="20"/>
        </w:rPr>
        <w:t>” in von Keller’s anthology (see above, note 14) as the year when</w:t>
      </w:r>
      <w:r w:rsidR="006B1D39" w:rsidRPr="00A345B8">
        <w:rPr>
          <w:rFonts w:asciiTheme="majorHAnsi" w:hAnsiTheme="majorHAnsi" w:cstheme="majorHAnsi"/>
          <w:color w:val="000000"/>
          <w:sz w:val="20"/>
          <w:szCs w:val="20"/>
        </w:rPr>
        <w:t xml:space="preserve"> the</w:t>
      </w:r>
      <w:r w:rsidRPr="00A345B8">
        <w:rPr>
          <w:rFonts w:asciiTheme="majorHAnsi" w:hAnsiTheme="majorHAnsi" w:cstheme="majorHAnsi"/>
          <w:color w:val="000000"/>
          <w:sz w:val="20"/>
          <w:szCs w:val="20"/>
        </w:rPr>
        <w:t xml:space="preserve"> term “</w:t>
      </w:r>
      <w:proofErr w:type="spellStart"/>
      <w:r w:rsidRPr="00A345B8">
        <w:rPr>
          <w:rFonts w:asciiTheme="majorHAnsi" w:hAnsiTheme="majorHAnsi" w:cstheme="majorHAnsi"/>
          <w:i/>
          <w:color w:val="000000"/>
          <w:sz w:val="20"/>
          <w:szCs w:val="20"/>
        </w:rPr>
        <w:t>Schulklopfer</w:t>
      </w:r>
      <w:proofErr w:type="spellEnd"/>
      <w:r w:rsidRPr="00A345B8">
        <w:rPr>
          <w:rFonts w:asciiTheme="majorHAnsi" w:hAnsiTheme="majorHAnsi" w:cstheme="majorHAnsi"/>
          <w:color w:val="000000"/>
          <w:sz w:val="20"/>
          <w:szCs w:val="20"/>
        </w:rPr>
        <w:t xml:space="preserve">” appeared in literature for the first time. For example, see Abrahams, </w:t>
      </w:r>
      <w:r w:rsidRPr="00A345B8">
        <w:rPr>
          <w:rFonts w:asciiTheme="majorHAnsi" w:hAnsiTheme="majorHAnsi" w:cstheme="majorHAnsi"/>
          <w:i/>
          <w:color w:val="000000"/>
          <w:sz w:val="20"/>
          <w:szCs w:val="20"/>
        </w:rPr>
        <w:t>Jewish Life in the Middle Ages</w:t>
      </w:r>
      <w:r w:rsidRPr="00A345B8">
        <w:rPr>
          <w:rFonts w:asciiTheme="majorHAnsi" w:hAnsiTheme="majorHAnsi" w:cstheme="majorHAnsi"/>
          <w:color w:val="000000"/>
          <w:sz w:val="20"/>
          <w:szCs w:val="20"/>
        </w:rPr>
        <w:t xml:space="preserve">, 56 n. 3; this is referred to in Macy </w:t>
      </w:r>
      <w:proofErr w:type="spellStart"/>
      <w:r w:rsidRPr="00A345B8">
        <w:rPr>
          <w:rFonts w:asciiTheme="majorHAnsi" w:hAnsiTheme="majorHAnsi" w:cstheme="majorHAnsi"/>
          <w:color w:val="000000"/>
          <w:sz w:val="20"/>
          <w:szCs w:val="20"/>
        </w:rPr>
        <w:t>Nulman</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Concise Encyclopedia of Jewish Music</w:t>
      </w:r>
      <w:r w:rsidRPr="00A345B8">
        <w:rPr>
          <w:rFonts w:asciiTheme="majorHAnsi" w:hAnsiTheme="majorHAnsi" w:cstheme="majorHAnsi"/>
          <w:color w:val="000000"/>
          <w:sz w:val="20"/>
          <w:szCs w:val="20"/>
        </w:rPr>
        <w:t xml:space="preserve"> (New York: McGraw-Hill Book Company, 1975), 215 and other publications on the subject. </w:t>
      </w:r>
    </w:p>
  </w:footnote>
  <w:footnote w:id="40">
    <w:p w14:paraId="00000081"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Michael Korey, “Displaying Judaica in 18th-Century Central Europe: A Non-Jewish Curiosity,” in </w:t>
      </w:r>
      <w:r w:rsidRPr="00A345B8">
        <w:rPr>
          <w:rFonts w:asciiTheme="majorHAnsi" w:hAnsiTheme="majorHAnsi" w:cstheme="majorHAnsi"/>
          <w:i/>
          <w:color w:val="000000"/>
          <w:sz w:val="20"/>
          <w:szCs w:val="20"/>
        </w:rPr>
        <w:t>Visualizing and Exhibiting Jewish Space and History</w:t>
      </w:r>
      <w:r w:rsidRPr="00A345B8">
        <w:rPr>
          <w:rFonts w:asciiTheme="majorHAnsi" w:hAnsiTheme="majorHAnsi" w:cstheme="majorHAnsi"/>
          <w:color w:val="000000"/>
          <w:sz w:val="20"/>
          <w:szCs w:val="20"/>
        </w:rPr>
        <w:t>, ed. Richard I. Cohen (Oxford: Oxford University Press, 2012), 38.</w:t>
      </w:r>
    </w:p>
    <w:bookmarkStart w:id="13" w:name="_3as4poj" w:colFirst="0" w:colLast="0"/>
    <w:bookmarkEnd w:id="13"/>
  </w:footnote>
  <w:footnote w:id="41">
    <w:p w14:paraId="00000082"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bookmarkStart w:id="15" w:name="_3as4poj" w:colFirst="0" w:colLast="0"/>
      <w:bookmarkEnd w:id="15"/>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Eliezer ben Nathan, </w:t>
      </w:r>
      <w:proofErr w:type="spellStart"/>
      <w:r w:rsidRPr="00A345B8">
        <w:rPr>
          <w:rFonts w:asciiTheme="majorHAnsi" w:hAnsiTheme="majorHAnsi" w:cstheme="majorHAnsi"/>
          <w:i/>
          <w:color w:val="000000"/>
          <w:sz w:val="20"/>
          <w:szCs w:val="20"/>
        </w:rPr>
        <w:t>Sefer</w:t>
      </w:r>
      <w:proofErr w:type="spellEnd"/>
      <w:r w:rsidRPr="00A345B8">
        <w:rPr>
          <w:rFonts w:asciiTheme="majorHAnsi" w:hAnsiTheme="majorHAnsi" w:cstheme="majorHAnsi"/>
          <w:i/>
          <w:color w:val="000000"/>
          <w:sz w:val="20"/>
          <w:szCs w:val="20"/>
        </w:rPr>
        <w:t xml:space="preserve"> even ha-’</w:t>
      </w:r>
      <w:proofErr w:type="spellStart"/>
      <w:r w:rsidRPr="00A345B8">
        <w:rPr>
          <w:rFonts w:asciiTheme="majorHAnsi" w:hAnsiTheme="majorHAnsi" w:cstheme="majorHAnsi"/>
          <w:i/>
          <w:color w:val="000000"/>
          <w:sz w:val="20"/>
          <w:szCs w:val="20"/>
        </w:rPr>
        <w:t>ezer</w:t>
      </w:r>
      <w:proofErr w:type="spellEnd"/>
      <w:r w:rsidRPr="00A345B8">
        <w:rPr>
          <w:rFonts w:asciiTheme="majorHAnsi" w:hAnsiTheme="majorHAnsi" w:cstheme="majorHAnsi"/>
          <w:color w:val="000000"/>
          <w:sz w:val="20"/>
          <w:szCs w:val="20"/>
        </w:rPr>
        <w:t xml:space="preserve"> 2 (Jerusalem: Sh. Heimlich, 1926) 174r. On the completion of this work after the year 1152, see Shalom </w:t>
      </w:r>
      <w:proofErr w:type="spellStart"/>
      <w:r w:rsidRPr="00A345B8">
        <w:rPr>
          <w:rFonts w:asciiTheme="majorHAnsi" w:hAnsiTheme="majorHAnsi" w:cstheme="majorHAnsi"/>
          <w:color w:val="000000"/>
          <w:sz w:val="20"/>
          <w:szCs w:val="20"/>
        </w:rPr>
        <w:t>Albeck’s</w:t>
      </w:r>
      <w:proofErr w:type="spellEnd"/>
      <w:r w:rsidRPr="00A345B8">
        <w:rPr>
          <w:rFonts w:asciiTheme="majorHAnsi" w:hAnsiTheme="majorHAnsi" w:cstheme="majorHAnsi"/>
          <w:color w:val="000000"/>
          <w:sz w:val="20"/>
          <w:szCs w:val="20"/>
        </w:rPr>
        <w:t xml:space="preserve"> introduction to Eliezer ben Nathan, </w:t>
      </w:r>
      <w:proofErr w:type="spellStart"/>
      <w:r w:rsidRPr="00A345B8">
        <w:rPr>
          <w:rFonts w:asciiTheme="majorHAnsi" w:hAnsiTheme="majorHAnsi" w:cstheme="majorHAnsi"/>
          <w:i/>
          <w:color w:val="000000"/>
          <w:sz w:val="20"/>
          <w:szCs w:val="20"/>
        </w:rPr>
        <w:t>Sefer</w:t>
      </w:r>
      <w:proofErr w:type="spellEnd"/>
      <w:r w:rsidRPr="00A345B8">
        <w:rPr>
          <w:rFonts w:asciiTheme="majorHAnsi" w:hAnsiTheme="majorHAnsi" w:cstheme="majorHAnsi"/>
          <w:i/>
          <w:color w:val="000000"/>
          <w:sz w:val="20"/>
          <w:szCs w:val="20"/>
        </w:rPr>
        <w:t xml:space="preserve"> even ha-’</w:t>
      </w:r>
      <w:proofErr w:type="spellStart"/>
      <w:r w:rsidRPr="00A345B8">
        <w:rPr>
          <w:rFonts w:asciiTheme="majorHAnsi" w:hAnsiTheme="majorHAnsi" w:cstheme="majorHAnsi"/>
          <w:i/>
          <w:color w:val="000000"/>
          <w:sz w:val="20"/>
          <w:szCs w:val="20"/>
        </w:rPr>
        <w:t>ezer</w:t>
      </w:r>
      <w:proofErr w:type="spellEnd"/>
      <w:r w:rsidRPr="00A345B8">
        <w:rPr>
          <w:rFonts w:asciiTheme="majorHAnsi" w:hAnsiTheme="majorHAnsi" w:cstheme="majorHAnsi"/>
          <w:color w:val="000000"/>
          <w:sz w:val="20"/>
          <w:szCs w:val="20"/>
        </w:rPr>
        <w:t xml:space="preserve"> 1 (Warsaw: F. </w:t>
      </w:r>
      <w:proofErr w:type="spellStart"/>
      <w:r w:rsidRPr="00A345B8">
        <w:rPr>
          <w:rFonts w:asciiTheme="majorHAnsi" w:hAnsiTheme="majorHAnsi" w:cstheme="majorHAnsi"/>
          <w:color w:val="000000"/>
          <w:sz w:val="20"/>
          <w:szCs w:val="20"/>
        </w:rPr>
        <w:t>Baumritter</w:t>
      </w:r>
      <w:proofErr w:type="spellEnd"/>
      <w:r w:rsidRPr="00A345B8">
        <w:rPr>
          <w:rFonts w:asciiTheme="majorHAnsi" w:hAnsiTheme="majorHAnsi" w:cstheme="majorHAnsi"/>
          <w:color w:val="000000"/>
          <w:sz w:val="20"/>
          <w:szCs w:val="20"/>
        </w:rPr>
        <w:t xml:space="preserve">, 1926).  </w:t>
      </w:r>
    </w:p>
  </w:footnote>
  <w:footnote w:id="42">
    <w:p w14:paraId="00000083" w14:textId="48B716A2"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lang w:val="de-DE"/>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The translation from </w:t>
      </w:r>
      <w:r w:rsidRPr="00A345B8">
        <w:rPr>
          <w:rFonts w:asciiTheme="majorHAnsi" w:hAnsiTheme="majorHAnsi" w:cstheme="majorHAnsi"/>
          <w:i/>
          <w:color w:val="000000"/>
          <w:sz w:val="20"/>
          <w:szCs w:val="20"/>
        </w:rPr>
        <w:t>The Jerusalem Talmud</w:t>
      </w:r>
      <w:r w:rsidRPr="00A345B8">
        <w:rPr>
          <w:rFonts w:asciiTheme="majorHAnsi" w:hAnsiTheme="majorHAnsi" w:cstheme="majorHAnsi"/>
          <w:color w:val="000000"/>
          <w:sz w:val="20"/>
          <w:szCs w:val="20"/>
        </w:rPr>
        <w:t xml:space="preserve">, ed. </w:t>
      </w:r>
      <w:r w:rsidRPr="00A345B8">
        <w:rPr>
          <w:rFonts w:asciiTheme="majorHAnsi" w:hAnsiTheme="majorHAnsi" w:cstheme="majorHAnsi"/>
          <w:color w:val="000000"/>
          <w:sz w:val="20"/>
          <w:szCs w:val="20"/>
          <w:lang w:val="de-DE"/>
        </w:rPr>
        <w:t xml:space="preserve">Heinrich W.  </w:t>
      </w:r>
      <w:r w:rsidRPr="00A345B8">
        <w:rPr>
          <w:rFonts w:asciiTheme="majorHAnsi" w:hAnsiTheme="majorHAnsi" w:cstheme="majorHAnsi"/>
          <w:color w:val="000000"/>
          <w:sz w:val="20"/>
          <w:szCs w:val="20"/>
          <w:lang w:val="de-DE"/>
        </w:rPr>
        <w:t xml:space="preserve">Guggenheimer, 600, see also </w:t>
      </w:r>
      <w:r w:rsidR="00A47DA7" w:rsidRPr="00A345B8">
        <w:rPr>
          <w:rFonts w:asciiTheme="majorHAnsi" w:hAnsiTheme="majorHAnsi" w:cstheme="majorHAnsi"/>
          <w:color w:val="000000"/>
          <w:sz w:val="20"/>
          <w:szCs w:val="20"/>
          <w:lang w:val="de-DE"/>
        </w:rPr>
        <w:t>ibid.</w:t>
      </w:r>
      <w:r w:rsidRPr="00A345B8">
        <w:rPr>
          <w:rFonts w:asciiTheme="majorHAnsi" w:hAnsiTheme="majorHAnsi" w:cstheme="majorHAnsi"/>
          <w:color w:val="000000"/>
          <w:sz w:val="20"/>
          <w:szCs w:val="20"/>
          <w:lang w:val="de-DE"/>
        </w:rPr>
        <w:t xml:space="preserve"> note 59.</w:t>
      </w:r>
    </w:p>
  </w:footnote>
  <w:footnote w:id="43">
    <w:p w14:paraId="00000084"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r w:rsidRPr="00E07FE4">
        <w:rPr>
          <w:rFonts w:asciiTheme="majorHAnsi" w:hAnsiTheme="majorHAnsi" w:cstheme="majorHAnsi"/>
          <w:color w:val="000000"/>
          <w:sz w:val="20"/>
          <w:szCs w:val="20"/>
          <w:highlight w:val="yellow"/>
        </w:rPr>
        <w:t xml:space="preserve">For example, the eighteenth-century regulations of the Jewish community of </w:t>
      </w:r>
      <w:proofErr w:type="spellStart"/>
      <w:r w:rsidRPr="00E07FE4">
        <w:rPr>
          <w:rFonts w:asciiTheme="majorHAnsi" w:hAnsiTheme="majorHAnsi" w:cstheme="majorHAnsi"/>
          <w:color w:val="000000"/>
          <w:sz w:val="20"/>
          <w:szCs w:val="20"/>
          <w:highlight w:val="yellow"/>
        </w:rPr>
        <w:t>Nikolsburg</w:t>
      </w:r>
      <w:proofErr w:type="spellEnd"/>
      <w:r w:rsidRPr="00E07FE4">
        <w:rPr>
          <w:rFonts w:asciiTheme="majorHAnsi" w:hAnsiTheme="majorHAnsi" w:cstheme="majorHAnsi"/>
          <w:color w:val="000000"/>
          <w:sz w:val="20"/>
          <w:szCs w:val="20"/>
          <w:highlight w:val="yellow"/>
        </w:rPr>
        <w:t xml:space="preserve"> (now </w:t>
      </w:r>
      <w:proofErr w:type="spellStart"/>
      <w:r w:rsidRPr="00E07FE4">
        <w:rPr>
          <w:rFonts w:asciiTheme="majorHAnsi" w:hAnsiTheme="majorHAnsi" w:cstheme="majorHAnsi"/>
          <w:color w:val="000000"/>
          <w:sz w:val="20"/>
          <w:szCs w:val="20"/>
          <w:highlight w:val="yellow"/>
        </w:rPr>
        <w:t>Mikulov</w:t>
      </w:r>
      <w:proofErr w:type="spellEnd"/>
      <w:r w:rsidRPr="00E07FE4">
        <w:rPr>
          <w:rFonts w:asciiTheme="majorHAnsi" w:hAnsiTheme="majorHAnsi" w:cstheme="majorHAnsi"/>
          <w:color w:val="000000"/>
          <w:sz w:val="20"/>
          <w:szCs w:val="20"/>
          <w:highlight w:val="yellow"/>
        </w:rPr>
        <w:t xml:space="preserve"> in Czechia) prescribe that on Sabbath and holidays the </w:t>
      </w:r>
      <w:proofErr w:type="spellStart"/>
      <w:r w:rsidRPr="00E07FE4">
        <w:rPr>
          <w:rFonts w:asciiTheme="majorHAnsi" w:hAnsiTheme="majorHAnsi" w:cstheme="majorHAnsi"/>
          <w:color w:val="000000"/>
          <w:sz w:val="20"/>
          <w:szCs w:val="20"/>
          <w:highlight w:val="yellow"/>
        </w:rPr>
        <w:t>schulklopfer</w:t>
      </w:r>
      <w:proofErr w:type="spellEnd"/>
      <w:r w:rsidRPr="00E07FE4">
        <w:rPr>
          <w:rFonts w:asciiTheme="majorHAnsi" w:hAnsiTheme="majorHAnsi" w:cstheme="majorHAnsi"/>
          <w:color w:val="000000"/>
          <w:sz w:val="20"/>
          <w:szCs w:val="20"/>
          <w:highlight w:val="yellow"/>
        </w:rPr>
        <w:t xml:space="preserve"> begins his call a quarter of hour earlier than in weekdays, see </w:t>
      </w:r>
      <w:proofErr w:type="spellStart"/>
      <w:r w:rsidRPr="00E07FE4">
        <w:rPr>
          <w:rFonts w:asciiTheme="majorHAnsi" w:hAnsiTheme="majorHAnsi" w:cstheme="majorHAnsi"/>
          <w:i/>
          <w:color w:val="000000"/>
          <w:sz w:val="20"/>
          <w:szCs w:val="20"/>
          <w:highlight w:val="yellow"/>
        </w:rPr>
        <w:t>Sefer</w:t>
      </w:r>
      <w:proofErr w:type="spellEnd"/>
      <w:r w:rsidRPr="00E07FE4">
        <w:rPr>
          <w:rFonts w:asciiTheme="majorHAnsi" w:hAnsiTheme="majorHAnsi" w:cstheme="majorHAnsi"/>
          <w:i/>
          <w:color w:val="000000"/>
          <w:sz w:val="20"/>
          <w:szCs w:val="20"/>
          <w:highlight w:val="yellow"/>
        </w:rPr>
        <w:t xml:space="preserve"> </w:t>
      </w:r>
      <w:proofErr w:type="spellStart"/>
      <w:r w:rsidRPr="00E07FE4">
        <w:rPr>
          <w:rFonts w:asciiTheme="majorHAnsi" w:hAnsiTheme="majorHAnsi" w:cstheme="majorHAnsi"/>
          <w:i/>
          <w:color w:val="000000"/>
          <w:sz w:val="20"/>
          <w:szCs w:val="20"/>
          <w:highlight w:val="yellow"/>
        </w:rPr>
        <w:t>Takanot</w:t>
      </w:r>
      <w:proofErr w:type="spellEnd"/>
      <w:r w:rsidRPr="00E07FE4">
        <w:rPr>
          <w:rFonts w:asciiTheme="majorHAnsi" w:hAnsiTheme="majorHAnsi" w:cstheme="majorHAnsi"/>
          <w:i/>
          <w:color w:val="000000"/>
          <w:sz w:val="20"/>
          <w:szCs w:val="20"/>
          <w:highlight w:val="yellow"/>
        </w:rPr>
        <w:t xml:space="preserve"> </w:t>
      </w:r>
      <w:proofErr w:type="spellStart"/>
      <w:r w:rsidRPr="00E07FE4">
        <w:rPr>
          <w:rFonts w:asciiTheme="majorHAnsi" w:hAnsiTheme="majorHAnsi" w:cstheme="majorHAnsi"/>
          <w:i/>
          <w:color w:val="000000"/>
          <w:sz w:val="20"/>
          <w:szCs w:val="20"/>
          <w:highlight w:val="yellow"/>
        </w:rPr>
        <w:t>Nikolsburg</w:t>
      </w:r>
      <w:proofErr w:type="spellEnd"/>
      <w:r w:rsidRPr="00E07FE4">
        <w:rPr>
          <w:rFonts w:asciiTheme="majorHAnsi" w:hAnsiTheme="majorHAnsi" w:cstheme="majorHAnsi"/>
          <w:color w:val="000000"/>
          <w:sz w:val="20"/>
          <w:szCs w:val="20"/>
          <w:highlight w:val="yellow"/>
        </w:rPr>
        <w:t xml:space="preserve">, ed. Ernst </w:t>
      </w:r>
      <w:proofErr w:type="spellStart"/>
      <w:r w:rsidRPr="00E07FE4">
        <w:rPr>
          <w:rFonts w:asciiTheme="majorHAnsi" w:hAnsiTheme="majorHAnsi" w:cstheme="majorHAnsi"/>
          <w:color w:val="000000"/>
          <w:sz w:val="20"/>
          <w:szCs w:val="20"/>
          <w:highlight w:val="yellow"/>
        </w:rPr>
        <w:t>Róth</w:t>
      </w:r>
      <w:proofErr w:type="spellEnd"/>
      <w:r w:rsidRPr="00E07FE4">
        <w:rPr>
          <w:rFonts w:asciiTheme="majorHAnsi" w:hAnsiTheme="majorHAnsi" w:cstheme="majorHAnsi"/>
          <w:color w:val="000000"/>
          <w:sz w:val="20"/>
          <w:szCs w:val="20"/>
          <w:highlight w:val="yellow"/>
        </w:rPr>
        <w:t xml:space="preserve"> (Jerusalem: Sura, 1961), 10 no. 9.</w:t>
      </w:r>
    </w:p>
  </w:footnote>
  <w:footnote w:id="44">
    <w:p w14:paraId="00000085"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Eliezer ben </w:t>
      </w:r>
      <w:proofErr w:type="spellStart"/>
      <w:r w:rsidRPr="00A345B8">
        <w:rPr>
          <w:rFonts w:asciiTheme="majorHAnsi" w:hAnsiTheme="majorHAnsi" w:cstheme="majorHAnsi"/>
          <w:color w:val="000000"/>
          <w:sz w:val="20"/>
          <w:szCs w:val="20"/>
        </w:rPr>
        <w:t>Yoel</w:t>
      </w:r>
      <w:proofErr w:type="spellEnd"/>
      <w:r w:rsidRPr="00A345B8">
        <w:rPr>
          <w:rFonts w:asciiTheme="majorHAnsi" w:hAnsiTheme="majorHAnsi" w:cstheme="majorHAnsi"/>
          <w:color w:val="000000"/>
          <w:sz w:val="20"/>
          <w:szCs w:val="20"/>
        </w:rPr>
        <w:t xml:space="preserve"> ha-Levi, </w:t>
      </w:r>
      <w:proofErr w:type="spellStart"/>
      <w:r w:rsidRPr="00A345B8">
        <w:rPr>
          <w:rFonts w:asciiTheme="majorHAnsi" w:hAnsiTheme="majorHAnsi" w:cstheme="majorHAnsi"/>
          <w:i/>
          <w:color w:val="000000"/>
          <w:sz w:val="20"/>
          <w:szCs w:val="20"/>
        </w:rPr>
        <w:t>Sefer</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Raviyah</w:t>
      </w:r>
      <w:proofErr w:type="spellEnd"/>
      <w:r w:rsidRPr="00A345B8">
        <w:rPr>
          <w:rFonts w:asciiTheme="majorHAnsi" w:hAnsiTheme="majorHAnsi" w:cstheme="majorHAnsi"/>
          <w:color w:val="000000"/>
          <w:sz w:val="20"/>
          <w:szCs w:val="20"/>
        </w:rPr>
        <w:t xml:space="preserve"> 3, 2, ed. Avigdor </w:t>
      </w:r>
      <w:proofErr w:type="spellStart"/>
      <w:r w:rsidRPr="00A345B8">
        <w:rPr>
          <w:rFonts w:asciiTheme="majorHAnsi" w:hAnsiTheme="majorHAnsi" w:cstheme="majorHAnsi"/>
          <w:color w:val="000000"/>
          <w:sz w:val="20"/>
          <w:szCs w:val="20"/>
        </w:rPr>
        <w:t>Aptowitzer</w:t>
      </w:r>
      <w:proofErr w:type="spellEnd"/>
      <w:r w:rsidRPr="00A345B8">
        <w:rPr>
          <w:rFonts w:asciiTheme="majorHAnsi" w:hAnsiTheme="majorHAnsi" w:cstheme="majorHAnsi"/>
          <w:color w:val="000000"/>
          <w:sz w:val="20"/>
          <w:szCs w:val="20"/>
        </w:rPr>
        <w:t xml:space="preserve"> (Jerusalem: The Harry </w:t>
      </w:r>
      <w:proofErr w:type="spellStart"/>
      <w:r w:rsidRPr="00A345B8">
        <w:rPr>
          <w:rFonts w:asciiTheme="majorHAnsi" w:hAnsiTheme="majorHAnsi" w:cstheme="majorHAnsi"/>
          <w:color w:val="000000"/>
          <w:sz w:val="20"/>
          <w:szCs w:val="20"/>
        </w:rPr>
        <w:t>Fischel</w:t>
      </w:r>
      <w:proofErr w:type="spellEnd"/>
      <w:r w:rsidRPr="00A345B8">
        <w:rPr>
          <w:rFonts w:asciiTheme="majorHAnsi" w:hAnsiTheme="majorHAnsi" w:cstheme="majorHAnsi"/>
          <w:color w:val="000000"/>
          <w:sz w:val="20"/>
          <w:szCs w:val="20"/>
        </w:rPr>
        <w:t xml:space="preserve"> Institute, 1964), 485 sign 795 [Hebrew].</w:t>
      </w:r>
    </w:p>
  </w:footnote>
  <w:footnote w:id="45">
    <w:p w14:paraId="00000086"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Mordechai ben Hillel, Tractate </w:t>
      </w:r>
      <w:proofErr w:type="spellStart"/>
      <w:r w:rsidRPr="00A345B8">
        <w:rPr>
          <w:rFonts w:asciiTheme="majorHAnsi" w:hAnsiTheme="majorHAnsi" w:cstheme="majorHAnsi"/>
          <w:i/>
          <w:color w:val="000000"/>
          <w:sz w:val="20"/>
          <w:szCs w:val="20"/>
        </w:rPr>
        <w:t>Beiẓa</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i/>
          <w:color w:val="000000"/>
          <w:sz w:val="20"/>
          <w:szCs w:val="20"/>
        </w:rPr>
        <w:t>Meshilin</w:t>
      </w:r>
      <w:proofErr w:type="spellEnd"/>
      <w:r w:rsidRPr="00A345B8">
        <w:rPr>
          <w:rFonts w:asciiTheme="majorHAnsi" w:hAnsiTheme="majorHAnsi" w:cstheme="majorHAnsi"/>
          <w:color w:val="000000"/>
          <w:sz w:val="20"/>
          <w:szCs w:val="20"/>
        </w:rPr>
        <w:t xml:space="preserve"> no. 696, in </w:t>
      </w:r>
      <w:r w:rsidRPr="00A345B8">
        <w:rPr>
          <w:rFonts w:asciiTheme="majorHAnsi" w:hAnsiTheme="majorHAnsi" w:cstheme="majorHAnsi"/>
          <w:i/>
          <w:color w:val="000000"/>
          <w:sz w:val="20"/>
          <w:szCs w:val="20"/>
        </w:rPr>
        <w:t>Bar-</w:t>
      </w:r>
      <w:proofErr w:type="spellStart"/>
      <w:r w:rsidRPr="00A345B8">
        <w:rPr>
          <w:rFonts w:asciiTheme="majorHAnsi" w:hAnsiTheme="majorHAnsi" w:cstheme="majorHAnsi"/>
          <w:i/>
          <w:color w:val="000000"/>
          <w:sz w:val="20"/>
          <w:szCs w:val="20"/>
        </w:rPr>
        <w:t>Ilan</w:t>
      </w:r>
      <w:proofErr w:type="spellEnd"/>
      <w:r w:rsidRPr="00A345B8">
        <w:rPr>
          <w:rFonts w:asciiTheme="majorHAnsi" w:hAnsiTheme="majorHAnsi" w:cstheme="majorHAnsi"/>
          <w:i/>
          <w:color w:val="000000"/>
          <w:sz w:val="20"/>
          <w:szCs w:val="20"/>
        </w:rPr>
        <w:t xml:space="preserve"> Responsa Project</w:t>
      </w:r>
      <w:r w:rsidRPr="00A345B8">
        <w:rPr>
          <w:rFonts w:asciiTheme="majorHAnsi" w:hAnsiTheme="majorHAnsi" w:cstheme="majorHAnsi"/>
          <w:color w:val="000000"/>
          <w:sz w:val="20"/>
          <w:szCs w:val="20"/>
        </w:rPr>
        <w:t xml:space="preserve">, version 27 (hereafter “RP”). </w:t>
      </w:r>
    </w:p>
  </w:footnote>
  <w:footnote w:id="46">
    <w:p w14:paraId="00000087"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In [Israel of </w:t>
      </w:r>
      <w:proofErr w:type="spellStart"/>
      <w:r w:rsidRPr="00A345B8">
        <w:rPr>
          <w:rFonts w:asciiTheme="majorHAnsi" w:hAnsiTheme="majorHAnsi" w:cstheme="majorHAnsi"/>
          <w:color w:val="000000"/>
          <w:sz w:val="20"/>
          <w:szCs w:val="20"/>
        </w:rPr>
        <w:t>Krems</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i/>
          <w:color w:val="000000"/>
          <w:sz w:val="20"/>
          <w:szCs w:val="20"/>
        </w:rPr>
        <w:t>Haggahot</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Asheri</w:t>
      </w:r>
      <w:proofErr w:type="spellEnd"/>
      <w:r w:rsidRPr="00A345B8">
        <w:rPr>
          <w:rFonts w:asciiTheme="majorHAnsi" w:hAnsiTheme="majorHAnsi" w:cstheme="majorHAnsi"/>
          <w:color w:val="000000"/>
          <w:sz w:val="20"/>
          <w:szCs w:val="20"/>
        </w:rPr>
        <w:t xml:space="preserve">: Tractate </w:t>
      </w:r>
      <w:proofErr w:type="spellStart"/>
      <w:r w:rsidRPr="00A345B8">
        <w:rPr>
          <w:rFonts w:asciiTheme="majorHAnsi" w:hAnsiTheme="majorHAnsi" w:cstheme="majorHAnsi"/>
          <w:i/>
          <w:color w:val="000000"/>
          <w:sz w:val="20"/>
          <w:szCs w:val="20"/>
        </w:rPr>
        <w:t>Beiẓa</w:t>
      </w:r>
      <w:proofErr w:type="spellEnd"/>
      <w:r w:rsidRPr="00A345B8">
        <w:rPr>
          <w:rFonts w:asciiTheme="majorHAnsi" w:hAnsiTheme="majorHAnsi" w:cstheme="majorHAnsi"/>
          <w:color w:val="000000"/>
          <w:sz w:val="20"/>
          <w:szCs w:val="20"/>
        </w:rPr>
        <w:t xml:space="preserve"> 5, 2 (RP) [Hebrew].</w:t>
      </w:r>
    </w:p>
  </w:footnote>
  <w:footnote w:id="47">
    <w:p w14:paraId="00000088"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Alexander </w:t>
      </w:r>
      <w:proofErr w:type="spellStart"/>
      <w:r w:rsidRPr="00A345B8">
        <w:rPr>
          <w:rFonts w:asciiTheme="majorHAnsi" w:hAnsiTheme="majorHAnsi" w:cstheme="majorHAnsi"/>
          <w:color w:val="000000"/>
          <w:sz w:val="20"/>
          <w:szCs w:val="20"/>
        </w:rPr>
        <w:t>Zuslin</w:t>
      </w:r>
      <w:proofErr w:type="spellEnd"/>
      <w:r w:rsidRPr="00A345B8">
        <w:rPr>
          <w:rFonts w:asciiTheme="majorHAnsi" w:hAnsiTheme="majorHAnsi" w:cstheme="majorHAnsi"/>
          <w:color w:val="000000"/>
          <w:sz w:val="20"/>
          <w:szCs w:val="20"/>
        </w:rPr>
        <w:t xml:space="preserve"> ha-Cohen, </w:t>
      </w:r>
      <w:proofErr w:type="spellStart"/>
      <w:r w:rsidRPr="00A345B8">
        <w:rPr>
          <w:rFonts w:asciiTheme="majorHAnsi" w:hAnsiTheme="majorHAnsi" w:cstheme="majorHAnsi"/>
          <w:i/>
          <w:color w:val="000000"/>
          <w:sz w:val="20"/>
          <w:szCs w:val="20"/>
        </w:rPr>
        <w:t>Sefer</w:t>
      </w:r>
      <w:proofErr w:type="spellEnd"/>
      <w:r w:rsidRPr="00A345B8">
        <w:rPr>
          <w:rFonts w:asciiTheme="majorHAnsi" w:hAnsiTheme="majorHAnsi" w:cstheme="majorHAnsi"/>
          <w:i/>
          <w:color w:val="000000"/>
          <w:sz w:val="20"/>
          <w:szCs w:val="20"/>
        </w:rPr>
        <w:t xml:space="preserve"> ha-</w:t>
      </w:r>
      <w:proofErr w:type="spellStart"/>
      <w:r w:rsidRPr="00A345B8">
        <w:rPr>
          <w:rFonts w:asciiTheme="majorHAnsi" w:hAnsiTheme="majorHAnsi" w:cstheme="majorHAnsi"/>
          <w:i/>
          <w:color w:val="000000"/>
          <w:sz w:val="20"/>
          <w:szCs w:val="20"/>
        </w:rPr>
        <w:t>Agudah</w:t>
      </w:r>
      <w:proofErr w:type="spellEnd"/>
      <w:r w:rsidRPr="00A345B8">
        <w:rPr>
          <w:rFonts w:asciiTheme="majorHAnsi" w:hAnsiTheme="majorHAnsi" w:cstheme="majorHAnsi"/>
          <w:color w:val="000000"/>
          <w:sz w:val="20"/>
          <w:szCs w:val="20"/>
        </w:rPr>
        <w:t xml:space="preserve">: Tractate </w:t>
      </w:r>
      <w:proofErr w:type="spellStart"/>
      <w:r w:rsidRPr="00A345B8">
        <w:rPr>
          <w:rFonts w:asciiTheme="majorHAnsi" w:hAnsiTheme="majorHAnsi" w:cstheme="majorHAnsi"/>
          <w:i/>
          <w:color w:val="000000"/>
          <w:sz w:val="20"/>
          <w:szCs w:val="20"/>
        </w:rPr>
        <w:t>Beiẓa</w:t>
      </w:r>
      <w:proofErr w:type="spellEnd"/>
      <w:r w:rsidRPr="00A345B8">
        <w:rPr>
          <w:rFonts w:asciiTheme="majorHAnsi" w:hAnsiTheme="majorHAnsi" w:cstheme="majorHAnsi"/>
          <w:color w:val="000000"/>
          <w:sz w:val="20"/>
          <w:szCs w:val="20"/>
        </w:rPr>
        <w:t xml:space="preserve"> 5 sign 55 (RP) [Hebrew].</w:t>
      </w:r>
    </w:p>
  </w:footnote>
  <w:footnote w:id="48">
    <w:p w14:paraId="00000089"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Quoted from Israel </w:t>
      </w:r>
      <w:proofErr w:type="spellStart"/>
      <w:r w:rsidRPr="00A345B8">
        <w:rPr>
          <w:rFonts w:asciiTheme="majorHAnsi" w:hAnsiTheme="majorHAnsi" w:cstheme="majorHAnsi"/>
          <w:color w:val="000000"/>
          <w:sz w:val="20"/>
          <w:szCs w:val="20"/>
        </w:rPr>
        <w:t>Isserlein’s</w:t>
      </w:r>
      <w:proofErr w:type="spellEnd"/>
      <w:r w:rsidRPr="00A345B8">
        <w:rPr>
          <w:rFonts w:asciiTheme="majorHAnsi" w:hAnsiTheme="majorHAnsi" w:cstheme="majorHAnsi"/>
          <w:color w:val="000000"/>
          <w:sz w:val="20"/>
          <w:szCs w:val="20"/>
        </w:rPr>
        <w:t xml:space="preserve"> statements compiled by his pupil Joseph (</w:t>
      </w:r>
      <w:proofErr w:type="spellStart"/>
      <w:r w:rsidRPr="00A345B8">
        <w:rPr>
          <w:rFonts w:asciiTheme="majorHAnsi" w:hAnsiTheme="majorHAnsi" w:cstheme="majorHAnsi"/>
          <w:color w:val="000000"/>
          <w:sz w:val="20"/>
          <w:szCs w:val="20"/>
        </w:rPr>
        <w:t>Joselein</w:t>
      </w:r>
      <w:proofErr w:type="spellEnd"/>
      <w:r w:rsidRPr="00A345B8">
        <w:rPr>
          <w:rFonts w:asciiTheme="majorHAnsi" w:hAnsiTheme="majorHAnsi" w:cstheme="majorHAnsi"/>
          <w:color w:val="000000"/>
          <w:sz w:val="20"/>
          <w:szCs w:val="20"/>
        </w:rPr>
        <w:t xml:space="preserve">) ben Moses (1423–ca. 1490), see </w:t>
      </w:r>
      <w:proofErr w:type="spellStart"/>
      <w:r w:rsidRPr="00A345B8">
        <w:rPr>
          <w:rFonts w:asciiTheme="majorHAnsi" w:hAnsiTheme="majorHAnsi" w:cstheme="majorHAnsi"/>
          <w:i/>
          <w:color w:val="000000"/>
          <w:sz w:val="20"/>
          <w:szCs w:val="20"/>
        </w:rPr>
        <w:t>Leket</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yosher</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Oraḥ</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ḥayim</w:t>
      </w:r>
      <w:proofErr w:type="spellEnd"/>
      <w:r w:rsidRPr="00A345B8">
        <w:rPr>
          <w:rFonts w:asciiTheme="majorHAnsi" w:hAnsiTheme="majorHAnsi" w:cstheme="majorHAnsi"/>
          <w:color w:val="000000"/>
          <w:sz w:val="20"/>
          <w:szCs w:val="20"/>
        </w:rPr>
        <w:t xml:space="preserve">, ed. </w:t>
      </w:r>
      <w:proofErr w:type="spellStart"/>
      <w:r w:rsidRPr="00A345B8">
        <w:rPr>
          <w:rFonts w:asciiTheme="majorHAnsi" w:hAnsiTheme="majorHAnsi" w:cstheme="majorHAnsi"/>
          <w:color w:val="000000"/>
          <w:sz w:val="20"/>
          <w:szCs w:val="20"/>
        </w:rPr>
        <w:t>Yoel</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Kattan</w:t>
      </w:r>
      <w:proofErr w:type="spellEnd"/>
      <w:r w:rsidRPr="00A345B8">
        <w:rPr>
          <w:rFonts w:asciiTheme="majorHAnsi" w:hAnsiTheme="majorHAnsi" w:cstheme="majorHAnsi"/>
          <w:color w:val="000000"/>
          <w:sz w:val="20"/>
          <w:szCs w:val="20"/>
        </w:rPr>
        <w:t xml:space="preserve"> (Jerusalem: The Jerusalem Institute of Talmudic Research, 2010), 7 no. 11 [Hebrew]. I thank Dr. Leor Jacobi for his kind help in finding this reference. </w:t>
      </w:r>
    </w:p>
  </w:footnote>
  <w:footnote w:id="49">
    <w:p w14:paraId="0000008A"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Juspa</w:t>
      </w:r>
      <w:proofErr w:type="spellEnd"/>
      <w:r w:rsidRPr="00A345B8">
        <w:rPr>
          <w:rFonts w:asciiTheme="majorHAnsi" w:hAnsiTheme="majorHAnsi" w:cstheme="majorHAnsi"/>
          <w:color w:val="000000"/>
          <w:sz w:val="20"/>
          <w:szCs w:val="20"/>
        </w:rPr>
        <w:t xml:space="preserve"> Shamash, </w:t>
      </w:r>
      <w:proofErr w:type="spellStart"/>
      <w:r w:rsidRPr="00A345B8">
        <w:rPr>
          <w:rFonts w:asciiTheme="majorHAnsi" w:hAnsiTheme="majorHAnsi" w:cstheme="majorHAnsi"/>
          <w:i/>
          <w:color w:val="000000"/>
          <w:sz w:val="20"/>
          <w:szCs w:val="20"/>
        </w:rPr>
        <w:t>Minhagim</w:t>
      </w:r>
      <w:proofErr w:type="spellEnd"/>
      <w:r w:rsidRPr="00A345B8">
        <w:rPr>
          <w:rFonts w:asciiTheme="majorHAnsi" w:hAnsiTheme="majorHAnsi" w:cstheme="majorHAnsi"/>
          <w:i/>
          <w:color w:val="000000"/>
          <w:sz w:val="20"/>
          <w:szCs w:val="20"/>
        </w:rPr>
        <w:t xml:space="preserve"> de-k[</w:t>
      </w:r>
      <w:proofErr w:type="spellStart"/>
      <w:r w:rsidRPr="00A345B8">
        <w:rPr>
          <w:rFonts w:asciiTheme="majorHAnsi" w:hAnsiTheme="majorHAnsi" w:cstheme="majorHAnsi"/>
          <w:i/>
          <w:color w:val="000000"/>
          <w:sz w:val="20"/>
          <w:szCs w:val="20"/>
        </w:rPr>
        <w:t>ehilat</w:t>
      </w:r>
      <w:proofErr w:type="spellEnd"/>
      <w:r w:rsidRPr="00A345B8">
        <w:rPr>
          <w:rFonts w:asciiTheme="majorHAnsi" w:hAnsiTheme="majorHAnsi" w:cstheme="majorHAnsi"/>
          <w:i/>
          <w:color w:val="000000"/>
          <w:sz w:val="20"/>
          <w:szCs w:val="20"/>
        </w:rPr>
        <w:t>]״k[</w:t>
      </w:r>
      <w:proofErr w:type="spellStart"/>
      <w:r w:rsidRPr="00A345B8">
        <w:rPr>
          <w:rFonts w:asciiTheme="majorHAnsi" w:hAnsiTheme="majorHAnsi" w:cstheme="majorHAnsi"/>
          <w:i/>
          <w:color w:val="000000"/>
          <w:sz w:val="20"/>
          <w:szCs w:val="20"/>
        </w:rPr>
        <w:t>odesh</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Warmaisa</w:t>
      </w:r>
      <w:proofErr w:type="spellEnd"/>
      <w:r w:rsidRPr="00A345B8">
        <w:rPr>
          <w:rFonts w:asciiTheme="majorHAnsi" w:hAnsiTheme="majorHAnsi" w:cstheme="majorHAnsi"/>
          <w:color w:val="000000"/>
          <w:sz w:val="20"/>
          <w:szCs w:val="20"/>
        </w:rPr>
        <w:t xml:space="preserve">, ed. Isaac </w:t>
      </w:r>
      <w:proofErr w:type="spellStart"/>
      <w:r w:rsidRPr="00A345B8">
        <w:rPr>
          <w:rFonts w:asciiTheme="majorHAnsi" w:hAnsiTheme="majorHAnsi" w:cstheme="majorHAnsi"/>
          <w:color w:val="000000"/>
          <w:sz w:val="20"/>
          <w:szCs w:val="20"/>
        </w:rPr>
        <w:t>Zimer</w:t>
      </w:r>
      <w:proofErr w:type="spellEnd"/>
      <w:r w:rsidRPr="00A345B8">
        <w:rPr>
          <w:rFonts w:asciiTheme="majorHAnsi" w:hAnsiTheme="majorHAnsi" w:cstheme="majorHAnsi"/>
          <w:color w:val="000000"/>
          <w:sz w:val="20"/>
          <w:szCs w:val="20"/>
        </w:rPr>
        <w:t xml:space="preserve"> (Jerusalem: The Jerusalem Institute of Talmudic Research, 1992) [5]</w:t>
      </w:r>
      <w:proofErr w:type="gramStart"/>
      <w:r w:rsidRPr="00A345B8">
        <w:rPr>
          <w:rFonts w:asciiTheme="majorHAnsi" w:hAnsiTheme="majorHAnsi" w:cstheme="majorHAnsi"/>
          <w:color w:val="000000"/>
          <w:sz w:val="20"/>
          <w:szCs w:val="20"/>
        </w:rPr>
        <w:t>–[</w:t>
      </w:r>
      <w:proofErr w:type="gramEnd"/>
      <w:r w:rsidRPr="00A345B8">
        <w:rPr>
          <w:rFonts w:asciiTheme="majorHAnsi" w:hAnsiTheme="majorHAnsi" w:cstheme="majorHAnsi"/>
          <w:color w:val="000000"/>
          <w:sz w:val="20"/>
          <w:szCs w:val="20"/>
        </w:rPr>
        <w:t xml:space="preserve">7] [Hebrew]; </w:t>
      </w:r>
      <w:proofErr w:type="spellStart"/>
      <w:r w:rsidRPr="00A345B8">
        <w:rPr>
          <w:rFonts w:asciiTheme="majorHAnsi" w:hAnsiTheme="majorHAnsi" w:cstheme="majorHAnsi"/>
          <w:color w:val="000000"/>
          <w:sz w:val="20"/>
          <w:szCs w:val="20"/>
        </w:rPr>
        <w:t>Shlomo</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Eidelberg</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R.</w:t>
      </w:r>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i/>
          <w:color w:val="000000"/>
          <w:sz w:val="20"/>
          <w:szCs w:val="20"/>
        </w:rPr>
        <w:t>Juspa</w:t>
      </w:r>
      <w:proofErr w:type="spellEnd"/>
      <w:r w:rsidRPr="00A345B8">
        <w:rPr>
          <w:rFonts w:asciiTheme="majorHAnsi" w:hAnsiTheme="majorHAnsi" w:cstheme="majorHAnsi"/>
          <w:i/>
          <w:color w:val="000000"/>
          <w:sz w:val="20"/>
          <w:szCs w:val="20"/>
        </w:rPr>
        <w:t xml:space="preserve">, Shammash of </w:t>
      </w:r>
      <w:proofErr w:type="spellStart"/>
      <w:r w:rsidRPr="00A345B8">
        <w:rPr>
          <w:rFonts w:asciiTheme="majorHAnsi" w:hAnsiTheme="majorHAnsi" w:cstheme="majorHAnsi"/>
          <w:i/>
          <w:color w:val="000000"/>
          <w:sz w:val="20"/>
          <w:szCs w:val="20"/>
        </w:rPr>
        <w:t>Warmaisa</w:t>
      </w:r>
      <w:proofErr w:type="spellEnd"/>
      <w:r w:rsidRPr="00A345B8">
        <w:rPr>
          <w:rFonts w:asciiTheme="majorHAnsi" w:hAnsiTheme="majorHAnsi" w:cstheme="majorHAnsi"/>
          <w:i/>
          <w:color w:val="000000"/>
          <w:sz w:val="20"/>
          <w:szCs w:val="20"/>
        </w:rPr>
        <w:t xml:space="preserve"> (Worms): Jewish Life in 17th Century Worms</w:t>
      </w:r>
      <w:r w:rsidRPr="00A345B8">
        <w:rPr>
          <w:rFonts w:asciiTheme="majorHAnsi" w:hAnsiTheme="majorHAnsi" w:cstheme="majorHAnsi"/>
          <w:color w:val="000000"/>
          <w:sz w:val="20"/>
          <w:szCs w:val="20"/>
        </w:rPr>
        <w:t xml:space="preserve"> (Jerusalem: </w:t>
      </w:r>
      <w:proofErr w:type="spellStart"/>
      <w:r w:rsidRPr="00A345B8">
        <w:rPr>
          <w:rFonts w:asciiTheme="majorHAnsi" w:hAnsiTheme="majorHAnsi" w:cstheme="majorHAnsi"/>
          <w:color w:val="000000"/>
          <w:sz w:val="20"/>
          <w:szCs w:val="20"/>
        </w:rPr>
        <w:t>Magnes</w:t>
      </w:r>
      <w:proofErr w:type="spellEnd"/>
      <w:r w:rsidRPr="00A345B8">
        <w:rPr>
          <w:rFonts w:asciiTheme="majorHAnsi" w:hAnsiTheme="majorHAnsi" w:cstheme="majorHAnsi"/>
          <w:color w:val="000000"/>
          <w:sz w:val="20"/>
          <w:szCs w:val="20"/>
        </w:rPr>
        <w:t xml:space="preserve"> Press, 1991), 17–18. </w:t>
      </w:r>
    </w:p>
  </w:footnote>
  <w:footnote w:id="50">
    <w:p w14:paraId="55C5246B" w14:textId="5AE3F023" w:rsidR="00B4388F" w:rsidRPr="00A345B8" w:rsidRDefault="00B4388F"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r w:rsidRPr="00A345B8">
        <w:rPr>
          <w:rFonts w:asciiTheme="majorHAnsi" w:hAnsiTheme="majorHAnsi" w:cstheme="majorHAnsi"/>
          <w:color w:val="000000"/>
          <w:sz w:val="20"/>
          <w:szCs w:val="20"/>
          <w:lang w:val="de-DE"/>
        </w:rPr>
        <w:t>See Gerold Bönnen</w:t>
      </w:r>
      <w:r w:rsidRPr="00A345B8">
        <w:rPr>
          <w:rFonts w:asciiTheme="majorHAnsi" w:hAnsiTheme="majorHAnsi" w:cstheme="majorHAnsi"/>
          <w:sz w:val="20"/>
          <w:szCs w:val="20"/>
        </w:rPr>
        <w:t xml:space="preserve">, "Worms: The Jews between the City, the Bishops and the Crown,” in </w:t>
      </w:r>
      <w:r w:rsidRPr="00A345B8">
        <w:rPr>
          <w:rFonts w:asciiTheme="majorHAnsi" w:hAnsiTheme="majorHAnsi" w:cstheme="majorHAnsi"/>
          <w:i/>
          <w:iCs/>
          <w:sz w:val="20"/>
          <w:szCs w:val="20"/>
        </w:rPr>
        <w:t>The Jews of Europe in the Middle Ages (Tenth to Fifteenth Centuries)</w:t>
      </w:r>
      <w:r w:rsidRPr="00A345B8">
        <w:rPr>
          <w:rFonts w:asciiTheme="majorHAnsi" w:hAnsiTheme="majorHAnsi" w:cstheme="majorHAnsi"/>
          <w:sz w:val="20"/>
          <w:szCs w:val="20"/>
        </w:rPr>
        <w:t xml:space="preserve"> (Turnhout: </w:t>
      </w:r>
      <w:proofErr w:type="spellStart"/>
      <w:r w:rsidRPr="00A345B8">
        <w:rPr>
          <w:rFonts w:asciiTheme="majorHAnsi" w:hAnsiTheme="majorHAnsi" w:cstheme="majorHAnsi"/>
          <w:sz w:val="20"/>
          <w:szCs w:val="20"/>
        </w:rPr>
        <w:t>Brepols</w:t>
      </w:r>
      <w:proofErr w:type="spellEnd"/>
      <w:r w:rsidRPr="00A345B8">
        <w:rPr>
          <w:rFonts w:asciiTheme="majorHAnsi" w:hAnsiTheme="majorHAnsi" w:cstheme="majorHAnsi"/>
          <w:sz w:val="20"/>
          <w:szCs w:val="20"/>
        </w:rPr>
        <w:t>, 2004), p. 451 map 24.</w:t>
      </w:r>
    </w:p>
  </w:footnote>
  <w:footnote w:id="51">
    <w:p w14:paraId="0E4EE38D" w14:textId="743CF54F" w:rsidR="00BF5562" w:rsidRPr="00A345B8" w:rsidRDefault="00BF5562"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lang w:val="de-DE"/>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lang w:val="de-DE"/>
        </w:rPr>
        <w:t xml:space="preserve"> </w:t>
      </w:r>
      <w:r w:rsidR="001534B8" w:rsidRPr="00A345B8">
        <w:rPr>
          <w:rFonts w:asciiTheme="majorHAnsi" w:hAnsiTheme="majorHAnsi" w:cstheme="majorHAnsi"/>
          <w:i/>
          <w:color w:val="000000"/>
          <w:sz w:val="20"/>
          <w:szCs w:val="20"/>
          <w:lang w:val="de-DE"/>
        </w:rPr>
        <w:t>Minḥagei de-kehilatenu</w:t>
      </w:r>
      <w:r w:rsidR="001534B8" w:rsidRPr="00A345B8">
        <w:rPr>
          <w:rFonts w:asciiTheme="majorHAnsi" w:hAnsiTheme="majorHAnsi" w:cstheme="majorHAnsi"/>
          <w:color w:val="000000"/>
          <w:sz w:val="20"/>
          <w:szCs w:val="20"/>
          <w:lang w:val="de-DE"/>
        </w:rPr>
        <w:t xml:space="preserve"> […] </w:t>
      </w:r>
      <w:r w:rsidR="001534B8" w:rsidRPr="00A345B8">
        <w:rPr>
          <w:rFonts w:asciiTheme="majorHAnsi" w:hAnsiTheme="majorHAnsi" w:cstheme="majorHAnsi"/>
          <w:i/>
          <w:color w:val="000000"/>
          <w:sz w:val="20"/>
          <w:szCs w:val="20"/>
          <w:lang w:val="de-DE"/>
        </w:rPr>
        <w:t>Fiorda</w:t>
      </w:r>
      <w:r w:rsidR="001534B8" w:rsidRPr="00A345B8">
        <w:rPr>
          <w:rFonts w:asciiTheme="majorHAnsi" w:hAnsiTheme="majorHAnsi" w:cstheme="majorHAnsi"/>
          <w:color w:val="000000"/>
          <w:sz w:val="20"/>
          <w:szCs w:val="20"/>
          <w:lang w:val="de-DE"/>
        </w:rPr>
        <w:t xml:space="preserve"> [Fürth] (Fürth: Hayim Zvi Hirsh, 1767), 2v; </w:t>
      </w:r>
      <w:bookmarkStart w:id="19" w:name="_Hlk137293840"/>
      <w:r w:rsidRPr="00A345B8">
        <w:rPr>
          <w:rFonts w:asciiTheme="majorHAnsi" w:hAnsiTheme="majorHAnsi" w:cstheme="majorHAnsi"/>
          <w:color w:val="000000"/>
          <w:sz w:val="20"/>
          <w:szCs w:val="20"/>
          <w:lang w:val="de-DE"/>
        </w:rPr>
        <w:t>S</w:t>
      </w:r>
      <w:r w:rsidR="00B4388F" w:rsidRPr="00A345B8">
        <w:rPr>
          <w:rFonts w:asciiTheme="majorHAnsi" w:hAnsiTheme="majorHAnsi" w:cstheme="majorHAnsi"/>
          <w:color w:val="000000"/>
          <w:sz w:val="20"/>
          <w:szCs w:val="20"/>
          <w:lang w:val="de-DE"/>
        </w:rPr>
        <w:t>o</w:t>
      </w:r>
      <w:r w:rsidRPr="00A345B8">
        <w:rPr>
          <w:rFonts w:asciiTheme="majorHAnsi" w:hAnsiTheme="majorHAnsi" w:cstheme="majorHAnsi"/>
          <w:color w:val="000000"/>
          <w:sz w:val="20"/>
          <w:szCs w:val="20"/>
          <w:lang w:val="de-DE"/>
        </w:rPr>
        <w:t>lomo</w:t>
      </w:r>
      <w:r w:rsidR="00B4388F" w:rsidRPr="00A345B8">
        <w:rPr>
          <w:rFonts w:asciiTheme="majorHAnsi" w:hAnsiTheme="majorHAnsi" w:cstheme="majorHAnsi"/>
          <w:color w:val="000000"/>
          <w:sz w:val="20"/>
          <w:szCs w:val="20"/>
          <w:lang w:val="de-DE"/>
        </w:rPr>
        <w:t>n</w:t>
      </w:r>
      <w:r w:rsidRPr="00A345B8">
        <w:rPr>
          <w:rFonts w:asciiTheme="majorHAnsi" w:hAnsiTheme="majorHAnsi" w:cstheme="majorHAnsi"/>
          <w:color w:val="000000"/>
          <w:sz w:val="20"/>
          <w:szCs w:val="20"/>
          <w:lang w:val="de-DE"/>
        </w:rPr>
        <w:t xml:space="preserve"> Zalman Geiger</w:t>
      </w:r>
      <w:bookmarkEnd w:id="19"/>
      <w:r w:rsidRPr="00A345B8">
        <w:rPr>
          <w:rFonts w:asciiTheme="majorHAnsi" w:hAnsiTheme="majorHAnsi" w:cstheme="majorHAnsi"/>
          <w:color w:val="000000"/>
          <w:sz w:val="20"/>
          <w:szCs w:val="20"/>
          <w:lang w:val="de-DE"/>
        </w:rPr>
        <w:t xml:space="preserve">, </w:t>
      </w:r>
      <w:r w:rsidRPr="00A345B8">
        <w:rPr>
          <w:rFonts w:asciiTheme="majorHAnsi" w:hAnsiTheme="majorHAnsi" w:cstheme="majorHAnsi"/>
          <w:i/>
          <w:color w:val="000000"/>
          <w:sz w:val="20"/>
          <w:szCs w:val="20"/>
          <w:lang w:val="de-DE"/>
        </w:rPr>
        <w:t>Sefer divrei kehilat</w:t>
      </w:r>
      <w:r w:rsidRPr="00A345B8">
        <w:rPr>
          <w:rFonts w:asciiTheme="majorHAnsi" w:hAnsiTheme="majorHAnsi" w:cstheme="majorHAnsi"/>
          <w:color w:val="000000"/>
          <w:sz w:val="20"/>
          <w:szCs w:val="20"/>
          <w:lang w:val="de-DE"/>
        </w:rPr>
        <w:t xml:space="preserve"> […] </w:t>
      </w:r>
      <w:r w:rsidRPr="00A345B8">
        <w:rPr>
          <w:rFonts w:asciiTheme="majorHAnsi" w:hAnsiTheme="majorHAnsi" w:cstheme="majorHAnsi"/>
          <w:i/>
          <w:color w:val="000000"/>
          <w:sz w:val="20"/>
          <w:szCs w:val="20"/>
          <w:lang w:val="de-DE"/>
        </w:rPr>
        <w:t>Frankfurt al ha-Main</w:t>
      </w:r>
      <w:r w:rsidRPr="00A345B8">
        <w:rPr>
          <w:rFonts w:asciiTheme="majorHAnsi" w:hAnsiTheme="majorHAnsi" w:cstheme="majorHAnsi"/>
          <w:color w:val="000000"/>
          <w:sz w:val="20"/>
          <w:szCs w:val="20"/>
          <w:lang w:val="de-DE"/>
        </w:rPr>
        <w:t xml:space="preserve"> (Frankfurt am Main: J. Kaufmann, 1868), 13</w:t>
      </w:r>
      <w:r w:rsidR="00B4388F" w:rsidRPr="00A345B8">
        <w:rPr>
          <w:rFonts w:asciiTheme="majorHAnsi" w:hAnsiTheme="majorHAnsi" w:cstheme="majorHAnsi"/>
          <w:color w:val="000000"/>
          <w:sz w:val="20"/>
          <w:szCs w:val="20"/>
          <w:lang w:val="de-DE"/>
        </w:rPr>
        <w:t xml:space="preserve"> [Hebrew];</w:t>
      </w:r>
      <w:r w:rsidRPr="00A345B8">
        <w:rPr>
          <w:rFonts w:asciiTheme="majorHAnsi" w:hAnsiTheme="majorHAnsi" w:cstheme="majorHAnsi"/>
          <w:color w:val="000000"/>
          <w:sz w:val="20"/>
          <w:szCs w:val="20"/>
          <w:lang w:val="de-DE"/>
        </w:rPr>
        <w:t xml:space="preserve"> </w:t>
      </w:r>
      <w:r w:rsidR="001534B8" w:rsidRPr="00A345B8">
        <w:rPr>
          <w:rFonts w:asciiTheme="majorHAnsi" w:hAnsiTheme="majorHAnsi" w:cstheme="majorHAnsi"/>
          <w:color w:val="000000"/>
          <w:sz w:val="20"/>
          <w:szCs w:val="20"/>
          <w:lang w:val="de-DE"/>
        </w:rPr>
        <w:t xml:space="preserve">Alfred Fürst, </w:t>
      </w:r>
      <w:r w:rsidR="001534B8" w:rsidRPr="00A345B8">
        <w:rPr>
          <w:rFonts w:asciiTheme="majorHAnsi" w:hAnsiTheme="majorHAnsi" w:cstheme="majorHAnsi"/>
          <w:i/>
          <w:color w:val="000000"/>
          <w:sz w:val="20"/>
          <w:szCs w:val="20"/>
          <w:lang w:val="de-DE"/>
        </w:rPr>
        <w:t>Sitten und Gebräuche in der Eisenstädter Judengasse</w:t>
      </w:r>
      <w:r w:rsidR="001534B8" w:rsidRPr="00A345B8">
        <w:rPr>
          <w:rFonts w:asciiTheme="majorHAnsi" w:hAnsiTheme="majorHAnsi" w:cstheme="majorHAnsi"/>
          <w:color w:val="000000"/>
          <w:sz w:val="20"/>
          <w:szCs w:val="20"/>
          <w:lang w:val="de-DE"/>
        </w:rPr>
        <w:t xml:space="preserve"> (Székesfehérvár: Singer, 1908), 11–13;</w:t>
      </w:r>
      <w:r w:rsidRPr="00A345B8">
        <w:rPr>
          <w:rFonts w:asciiTheme="majorHAnsi" w:hAnsiTheme="majorHAnsi" w:cstheme="majorHAnsi"/>
          <w:color w:val="000000"/>
          <w:sz w:val="20"/>
          <w:szCs w:val="20"/>
          <w:lang w:val="de-DE"/>
        </w:rPr>
        <w:t xml:space="preserve"> Meir Ayali’s (1913–2001) </w:t>
      </w:r>
      <w:r w:rsidRPr="00A345B8">
        <w:rPr>
          <w:rFonts w:asciiTheme="majorHAnsi" w:hAnsiTheme="majorHAnsi" w:cstheme="majorHAnsi"/>
          <w:color w:val="000000"/>
          <w:sz w:val="20"/>
          <w:szCs w:val="20"/>
        </w:rPr>
        <w:t>memoirs</w:t>
      </w:r>
      <w:r w:rsidR="00361F09"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Meine</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Kindheit</w:t>
      </w:r>
      <w:proofErr w:type="spellEnd"/>
      <w:r w:rsidRPr="00A345B8">
        <w:rPr>
          <w:rFonts w:asciiTheme="majorHAnsi" w:hAnsiTheme="majorHAnsi" w:cstheme="majorHAnsi"/>
          <w:color w:val="000000"/>
          <w:sz w:val="20"/>
          <w:szCs w:val="20"/>
        </w:rPr>
        <w:t xml:space="preserve"> in der </w:t>
      </w:r>
      <w:proofErr w:type="spellStart"/>
      <w:r w:rsidRPr="00A345B8">
        <w:rPr>
          <w:rFonts w:asciiTheme="majorHAnsi" w:hAnsiTheme="majorHAnsi" w:cstheme="majorHAnsi"/>
          <w:color w:val="000000"/>
          <w:sz w:val="20"/>
          <w:szCs w:val="20"/>
        </w:rPr>
        <w:t>Judengasse</w:t>
      </w:r>
      <w:proofErr w:type="spellEnd"/>
      <w:r w:rsidRPr="00A345B8">
        <w:rPr>
          <w:rFonts w:asciiTheme="majorHAnsi" w:hAnsiTheme="majorHAnsi" w:cstheme="majorHAnsi"/>
          <w:color w:val="000000"/>
          <w:sz w:val="20"/>
          <w:szCs w:val="20"/>
        </w:rPr>
        <w:t xml:space="preserve"> in Eisenstadt</w:t>
      </w:r>
      <w:r w:rsidR="00361F09" w:rsidRPr="00A345B8">
        <w:rPr>
          <w:rFonts w:asciiTheme="majorHAnsi" w:hAnsiTheme="majorHAnsi" w:cstheme="majorHAnsi"/>
          <w:color w:val="000000"/>
          <w:sz w:val="20"/>
          <w:szCs w:val="20"/>
        </w:rPr>
        <w:t>”</w:t>
      </w:r>
      <w:r w:rsidRPr="00A345B8">
        <w:rPr>
          <w:rFonts w:asciiTheme="majorHAnsi" w:hAnsiTheme="majorHAnsi" w:cstheme="majorHAnsi"/>
          <w:color w:val="000000"/>
          <w:sz w:val="20"/>
          <w:szCs w:val="20"/>
        </w:rPr>
        <w:t xml:space="preserve"> (1988) published by Johannes Reiss in </w:t>
      </w:r>
      <w:proofErr w:type="spellStart"/>
      <w:r w:rsidRPr="00A345B8">
        <w:rPr>
          <w:rFonts w:asciiTheme="majorHAnsi" w:hAnsiTheme="majorHAnsi" w:cstheme="majorHAnsi"/>
          <w:i/>
          <w:color w:val="000000"/>
          <w:sz w:val="20"/>
          <w:szCs w:val="20"/>
        </w:rPr>
        <w:t>Koschere</w:t>
      </w:r>
      <w:proofErr w:type="spellEnd"/>
      <w:r w:rsidRPr="00A345B8">
        <w:rPr>
          <w:rFonts w:asciiTheme="majorHAnsi" w:hAnsiTheme="majorHAnsi" w:cstheme="majorHAnsi"/>
          <w:i/>
          <w:color w:val="000000"/>
          <w:sz w:val="20"/>
          <w:szCs w:val="20"/>
          <w:lang w:val="de-DE"/>
        </w:rPr>
        <w:t xml:space="preserve"> Melange: Das Blog des Österreichischen Jüdischen Museums</w:t>
      </w:r>
      <w:r w:rsidRPr="00A345B8">
        <w:rPr>
          <w:rFonts w:asciiTheme="majorHAnsi" w:hAnsiTheme="majorHAnsi" w:cstheme="majorHAnsi"/>
          <w:color w:val="000000"/>
          <w:sz w:val="20"/>
          <w:szCs w:val="20"/>
          <w:lang w:val="de-DE"/>
        </w:rPr>
        <w:t xml:space="preserve"> (December 30, 2020), www.ojm.at/blog/2020/12/30/meine-kindheit-in-der-judengasse-in-eisenstadt (</w:t>
      </w:r>
      <w:r w:rsidR="009C1B2B" w:rsidRPr="00A345B8">
        <w:rPr>
          <w:rFonts w:asciiTheme="majorHAnsi" w:hAnsiTheme="majorHAnsi" w:cstheme="majorHAnsi"/>
          <w:color w:val="000000"/>
          <w:sz w:val="20"/>
          <w:szCs w:val="20"/>
          <w:lang w:val="de-DE"/>
        </w:rPr>
        <w:t>accessed February 26, 2023</w:t>
      </w:r>
      <w:r w:rsidRPr="00A345B8">
        <w:rPr>
          <w:rFonts w:asciiTheme="majorHAnsi" w:hAnsiTheme="majorHAnsi" w:cstheme="majorHAnsi"/>
          <w:color w:val="000000"/>
          <w:sz w:val="20"/>
          <w:szCs w:val="20"/>
          <w:lang w:val="de-DE"/>
        </w:rPr>
        <w:t>).</w:t>
      </w:r>
    </w:p>
  </w:footnote>
  <w:footnote w:id="52">
    <w:p w14:paraId="0766F8DE" w14:textId="04987FFF" w:rsidR="00BF5562" w:rsidRPr="00A345B8" w:rsidRDefault="00BF5562" w:rsidP="00A345B8">
      <w:pPr>
        <w:pBdr>
          <w:top w:val="nil"/>
          <w:left w:val="nil"/>
          <w:bottom w:val="nil"/>
          <w:right w:val="nil"/>
          <w:between w:val="nil"/>
        </w:pBdr>
        <w:spacing w:after="0" w:line="360" w:lineRule="auto"/>
        <w:ind w:left="720" w:hanging="720"/>
        <w:rPr>
          <w:rFonts w:asciiTheme="majorHAnsi" w:eastAsia="Times New Roman" w:hAnsiTheme="majorHAnsi" w:cstheme="majorHAnsi"/>
          <w:color w:val="000000"/>
          <w:sz w:val="20"/>
          <w:szCs w:val="20"/>
          <w:lang w:val="de-DE"/>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lang w:val="de-DE"/>
        </w:rPr>
        <w:t xml:space="preserve"> </w:t>
      </w:r>
      <w:r w:rsidRPr="00A345B8">
        <w:rPr>
          <w:rFonts w:asciiTheme="majorHAnsi" w:eastAsia="Times New Roman" w:hAnsiTheme="majorHAnsi" w:cstheme="majorHAnsi"/>
          <w:color w:val="000000"/>
          <w:sz w:val="20"/>
          <w:szCs w:val="20"/>
          <w:lang w:val="de-DE"/>
        </w:rPr>
        <w:t xml:space="preserve">Geiger, </w:t>
      </w:r>
      <w:r w:rsidRPr="00A345B8">
        <w:rPr>
          <w:rFonts w:asciiTheme="majorHAnsi" w:eastAsia="Times New Roman" w:hAnsiTheme="majorHAnsi" w:cstheme="majorHAnsi"/>
          <w:i/>
          <w:color w:val="000000"/>
          <w:sz w:val="20"/>
          <w:szCs w:val="20"/>
          <w:lang w:val="de-DE"/>
        </w:rPr>
        <w:t>Sefer divrei kehilat</w:t>
      </w:r>
      <w:r w:rsidRPr="00A345B8">
        <w:rPr>
          <w:rFonts w:asciiTheme="majorHAnsi" w:eastAsia="Times New Roman" w:hAnsiTheme="majorHAnsi" w:cstheme="majorHAnsi"/>
          <w:color w:val="000000"/>
          <w:sz w:val="20"/>
          <w:szCs w:val="20"/>
          <w:lang w:val="de-DE"/>
        </w:rPr>
        <w:t xml:space="preserve"> […] </w:t>
      </w:r>
      <w:r w:rsidRPr="00A345B8">
        <w:rPr>
          <w:rFonts w:asciiTheme="majorHAnsi" w:eastAsia="Times New Roman" w:hAnsiTheme="majorHAnsi" w:cstheme="majorHAnsi"/>
          <w:i/>
          <w:color w:val="000000"/>
          <w:sz w:val="20"/>
          <w:szCs w:val="20"/>
          <w:lang w:val="de-DE"/>
        </w:rPr>
        <w:t>Frankfurt al ha-Main</w:t>
      </w:r>
      <w:r w:rsidRPr="00A345B8">
        <w:rPr>
          <w:rFonts w:asciiTheme="majorHAnsi" w:eastAsia="Times New Roman" w:hAnsiTheme="majorHAnsi" w:cstheme="majorHAnsi"/>
          <w:color w:val="000000"/>
          <w:sz w:val="20"/>
          <w:szCs w:val="20"/>
          <w:lang w:val="de-DE"/>
        </w:rPr>
        <w:t xml:space="preserve">, 13. See also </w:t>
      </w:r>
      <w:r w:rsidRPr="00A345B8">
        <w:rPr>
          <w:rFonts w:asciiTheme="majorHAnsi" w:hAnsiTheme="majorHAnsi" w:cstheme="majorHAnsi"/>
          <w:color w:val="000000"/>
          <w:sz w:val="20"/>
          <w:szCs w:val="20"/>
          <w:lang w:val="de-DE"/>
        </w:rPr>
        <w:t xml:space="preserve">Max Grunwald, “Mattersdorf,” </w:t>
      </w:r>
      <w:r w:rsidRPr="00A345B8">
        <w:rPr>
          <w:rFonts w:asciiTheme="majorHAnsi" w:hAnsiTheme="majorHAnsi" w:cstheme="majorHAnsi"/>
          <w:i/>
          <w:color w:val="000000"/>
          <w:sz w:val="20"/>
          <w:szCs w:val="20"/>
          <w:lang w:val="de-DE"/>
        </w:rPr>
        <w:t>Jahrbuch für Jüdische Volkskunde</w:t>
      </w:r>
      <w:r w:rsidRPr="00A345B8">
        <w:rPr>
          <w:rFonts w:asciiTheme="majorHAnsi" w:hAnsiTheme="majorHAnsi" w:cstheme="majorHAnsi"/>
          <w:color w:val="000000"/>
          <w:sz w:val="20"/>
          <w:szCs w:val="20"/>
          <w:lang w:val="de-DE"/>
        </w:rPr>
        <w:t xml:space="preserve"> (1924/1925), 439–40.</w:t>
      </w:r>
    </w:p>
  </w:footnote>
  <w:footnote w:id="53">
    <w:p w14:paraId="5137F1B8" w14:textId="0EBF8148" w:rsidR="00951E51" w:rsidRPr="00A345B8" w:rsidRDefault="00951E51"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Arunima Datta, “Knocker Ups: A Social History of Waking Up in Victorian Britain’s Industrial Towns,” </w:t>
      </w:r>
      <w:r w:rsidRPr="00A345B8">
        <w:rPr>
          <w:rFonts w:asciiTheme="majorHAnsi" w:hAnsiTheme="majorHAnsi" w:cstheme="majorHAnsi"/>
          <w:i/>
          <w:color w:val="000000"/>
          <w:sz w:val="20"/>
          <w:szCs w:val="20"/>
        </w:rPr>
        <w:t>Journal of Victorian Culture</w:t>
      </w:r>
      <w:r w:rsidRPr="00A345B8">
        <w:rPr>
          <w:rFonts w:asciiTheme="majorHAnsi" w:hAnsiTheme="majorHAnsi" w:cstheme="majorHAnsi"/>
          <w:color w:val="000000"/>
          <w:sz w:val="20"/>
          <w:szCs w:val="20"/>
        </w:rPr>
        <w:t xml:space="preserve"> 25, 3 (2020): 331–48. </w:t>
      </w:r>
    </w:p>
  </w:footnote>
  <w:footnote w:id="54">
    <w:p w14:paraId="511DE094" w14:textId="4C3FEF8D" w:rsidR="00B4110B" w:rsidRPr="00A345B8" w:rsidRDefault="00B4110B" w:rsidP="00A345B8">
      <w:pPr>
        <w:pStyle w:val="FootnoteText"/>
        <w:spacing w:line="360" w:lineRule="auto"/>
        <w:ind w:left="720" w:hanging="720"/>
      </w:pPr>
      <w:r w:rsidRPr="00E07FE4">
        <w:rPr>
          <w:rStyle w:val="FootnoteReference"/>
          <w:highlight w:val="yellow"/>
        </w:rPr>
        <w:footnoteRef/>
      </w:r>
      <w:r w:rsidRPr="00E07FE4">
        <w:rPr>
          <w:highlight w:val="yellow"/>
        </w:rPr>
        <w:t xml:space="preserve"> </w:t>
      </w:r>
      <w:r w:rsidR="0099646F" w:rsidRPr="00E07FE4">
        <w:rPr>
          <w:highlight w:val="yellow"/>
        </w:rPr>
        <w:t xml:space="preserve">On a Polish postcard reproduced in Daniel Sperber, </w:t>
      </w:r>
      <w:proofErr w:type="spellStart"/>
      <w:r w:rsidR="0099646F" w:rsidRPr="00E07FE4">
        <w:rPr>
          <w:i/>
          <w:iCs/>
          <w:highlight w:val="yellow"/>
        </w:rPr>
        <w:t>Minhagei</w:t>
      </w:r>
      <w:proofErr w:type="spellEnd"/>
      <w:r w:rsidR="0099646F" w:rsidRPr="00E07FE4">
        <w:rPr>
          <w:i/>
          <w:iCs/>
          <w:highlight w:val="yellow"/>
        </w:rPr>
        <w:t xml:space="preserve"> Yisrael</w:t>
      </w:r>
      <w:r w:rsidR="0099646F" w:rsidRPr="00E07FE4">
        <w:rPr>
          <w:highlight w:val="yellow"/>
        </w:rPr>
        <w:t xml:space="preserve"> 6:277, fig. 5, there is another image of a </w:t>
      </w:r>
      <w:proofErr w:type="spellStart"/>
      <w:r w:rsidR="0099646F" w:rsidRPr="00E07FE4">
        <w:rPr>
          <w:highlight w:val="yellow"/>
        </w:rPr>
        <w:t>shulklapper</w:t>
      </w:r>
      <w:proofErr w:type="spellEnd"/>
      <w:r w:rsidR="0099646F" w:rsidRPr="00E07FE4">
        <w:rPr>
          <w:highlight w:val="yellow"/>
        </w:rPr>
        <w:t xml:space="preserve">, purportedly attributed to </w:t>
      </w:r>
      <w:proofErr w:type="spellStart"/>
      <w:r w:rsidR="0099646F" w:rsidRPr="00E07FE4">
        <w:rPr>
          <w:highlight w:val="yellow"/>
        </w:rPr>
        <w:t>Stanisław</w:t>
      </w:r>
      <w:proofErr w:type="spellEnd"/>
      <w:r w:rsidR="0099646F" w:rsidRPr="00E07FE4">
        <w:rPr>
          <w:highlight w:val="yellow"/>
        </w:rPr>
        <w:t xml:space="preserve"> </w:t>
      </w:r>
      <w:proofErr w:type="spellStart"/>
      <w:r w:rsidR="0099646F" w:rsidRPr="00E07FE4">
        <w:rPr>
          <w:highlight w:val="yellow"/>
        </w:rPr>
        <w:t>Dębicki</w:t>
      </w:r>
      <w:proofErr w:type="spellEnd"/>
      <w:r w:rsidR="0099646F" w:rsidRPr="00E07FE4">
        <w:rPr>
          <w:highlight w:val="yellow"/>
        </w:rPr>
        <w:t xml:space="preserve"> (1866–1924). This is a caricature of a Jew with a lantern in one hand and a hammer in the other, racing towards a small house's closed window shutter.</w:t>
      </w:r>
      <w:r w:rsidR="0099646F" w:rsidRPr="00A345B8">
        <w:t xml:space="preserve"> </w:t>
      </w:r>
    </w:p>
  </w:footnote>
  <w:footnote w:id="55">
    <w:p w14:paraId="130E1352" w14:textId="6250D8CC" w:rsidR="00A860C3" w:rsidRPr="00A345B8" w:rsidRDefault="00A860C3"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See </w:t>
      </w:r>
      <w:proofErr w:type="spellStart"/>
      <w:r w:rsidRPr="00A345B8">
        <w:rPr>
          <w:rFonts w:asciiTheme="majorHAnsi" w:hAnsiTheme="majorHAnsi" w:cstheme="majorHAnsi"/>
          <w:color w:val="000000"/>
          <w:sz w:val="20"/>
          <w:szCs w:val="20"/>
        </w:rPr>
        <w:t>Yechiel</w:t>
      </w:r>
      <w:proofErr w:type="spellEnd"/>
      <w:r w:rsidRPr="00A345B8">
        <w:rPr>
          <w:rFonts w:asciiTheme="majorHAnsi" w:hAnsiTheme="majorHAnsi" w:cstheme="majorHAnsi"/>
          <w:color w:val="000000"/>
          <w:sz w:val="20"/>
          <w:szCs w:val="20"/>
        </w:rPr>
        <w:t xml:space="preserve"> Stern, “</w:t>
      </w:r>
      <w:proofErr w:type="spellStart"/>
      <w:r w:rsidRPr="00A345B8">
        <w:rPr>
          <w:rFonts w:asciiTheme="majorHAnsi" w:hAnsiTheme="majorHAnsi" w:cstheme="majorHAnsi"/>
          <w:color w:val="000000"/>
          <w:sz w:val="20"/>
          <w:szCs w:val="20"/>
        </w:rPr>
        <w:t>Ḥeider</w:t>
      </w:r>
      <w:proofErr w:type="spellEnd"/>
      <w:r w:rsidRPr="00A345B8">
        <w:rPr>
          <w:rFonts w:asciiTheme="majorHAnsi" w:hAnsiTheme="majorHAnsi" w:cstheme="majorHAnsi"/>
          <w:color w:val="000000"/>
          <w:sz w:val="20"/>
          <w:szCs w:val="20"/>
        </w:rPr>
        <w:t xml:space="preserve"> un </w:t>
      </w:r>
      <w:proofErr w:type="spellStart"/>
      <w:r w:rsidRPr="00A345B8">
        <w:rPr>
          <w:rFonts w:asciiTheme="majorHAnsi" w:hAnsiTheme="majorHAnsi" w:cstheme="majorHAnsi"/>
          <w:color w:val="000000"/>
          <w:sz w:val="20"/>
          <w:szCs w:val="20"/>
        </w:rPr>
        <w:t>beis-midresh</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 xml:space="preserve">YIVO </w:t>
      </w:r>
      <w:proofErr w:type="spellStart"/>
      <w:r w:rsidRPr="00A345B8">
        <w:rPr>
          <w:rFonts w:asciiTheme="majorHAnsi" w:hAnsiTheme="majorHAnsi" w:cstheme="majorHAnsi"/>
          <w:i/>
          <w:color w:val="000000"/>
          <w:sz w:val="20"/>
          <w:szCs w:val="20"/>
        </w:rPr>
        <w:t>bleter</w:t>
      </w:r>
      <w:proofErr w:type="spellEnd"/>
      <w:r w:rsidRPr="00A345B8">
        <w:rPr>
          <w:rFonts w:asciiTheme="majorHAnsi" w:hAnsiTheme="majorHAnsi" w:cstheme="majorHAnsi"/>
          <w:color w:val="000000"/>
          <w:sz w:val="20"/>
          <w:szCs w:val="20"/>
        </w:rPr>
        <w:t xml:space="preserve"> 31–32 (1948): 108 [Yiddish]. </w:t>
      </w:r>
    </w:p>
  </w:footnote>
  <w:footnote w:id="56">
    <w:p w14:paraId="00000090"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See above, note 18.</w:t>
      </w:r>
    </w:p>
  </w:footnote>
  <w:footnote w:id="57">
    <w:p w14:paraId="00000091" w14:textId="7C94F6D8"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001030B2" w:rsidRPr="00A345B8">
        <w:rPr>
          <w:rFonts w:asciiTheme="majorHAnsi" w:hAnsiTheme="majorHAnsi" w:cstheme="majorHAnsi"/>
          <w:color w:val="000000"/>
          <w:sz w:val="20"/>
          <w:szCs w:val="20"/>
        </w:rPr>
        <w:t xml:space="preserve"> </w:t>
      </w:r>
      <w:bookmarkStart w:id="21" w:name="_Hlk137407601"/>
      <w:proofErr w:type="spellStart"/>
      <w:r w:rsidR="001030B2" w:rsidRPr="00A345B8">
        <w:rPr>
          <w:rFonts w:asciiTheme="majorHAnsi" w:hAnsiTheme="majorHAnsi" w:cstheme="majorHAnsi"/>
          <w:color w:val="000000"/>
          <w:sz w:val="20"/>
          <w:szCs w:val="20"/>
        </w:rPr>
        <w:t>Majer</w:t>
      </w:r>
      <w:proofErr w:type="spellEnd"/>
      <w:r w:rsidR="001030B2" w:rsidRPr="00A345B8">
        <w:rPr>
          <w:rFonts w:asciiTheme="majorHAnsi" w:hAnsiTheme="majorHAnsi" w:cstheme="majorHAnsi"/>
          <w:color w:val="000000"/>
          <w:sz w:val="20"/>
          <w:szCs w:val="20"/>
        </w:rPr>
        <w:t xml:space="preserve"> </w:t>
      </w:r>
      <w:bookmarkStart w:id="22" w:name="_Hlk137408124"/>
      <w:proofErr w:type="spellStart"/>
      <w:r w:rsidR="001030B2" w:rsidRPr="00A345B8">
        <w:rPr>
          <w:rFonts w:asciiTheme="majorHAnsi" w:hAnsiTheme="majorHAnsi" w:cstheme="majorHAnsi"/>
          <w:color w:val="000000"/>
          <w:sz w:val="20"/>
          <w:szCs w:val="20"/>
        </w:rPr>
        <w:t>Bałaban</w:t>
      </w:r>
      <w:bookmarkEnd w:id="22"/>
      <w:proofErr w:type="spellEnd"/>
      <w:r w:rsidR="001030B2" w:rsidRPr="00A345B8">
        <w:rPr>
          <w:rFonts w:asciiTheme="majorHAnsi" w:hAnsiTheme="majorHAnsi" w:cstheme="majorHAnsi"/>
          <w:color w:val="000000"/>
          <w:sz w:val="20"/>
          <w:szCs w:val="20"/>
        </w:rPr>
        <w:t xml:space="preserve">, </w:t>
      </w:r>
      <w:bookmarkEnd w:id="21"/>
      <w:proofErr w:type="spellStart"/>
      <w:r w:rsidR="001030B2" w:rsidRPr="00A345B8">
        <w:rPr>
          <w:rFonts w:asciiTheme="majorHAnsi" w:hAnsiTheme="majorHAnsi" w:cstheme="majorHAnsi"/>
          <w:i/>
          <w:iCs/>
          <w:color w:val="000000"/>
          <w:sz w:val="20"/>
          <w:szCs w:val="20"/>
        </w:rPr>
        <w:t>Zabytki</w:t>
      </w:r>
      <w:proofErr w:type="spellEnd"/>
      <w:r w:rsidR="001030B2" w:rsidRPr="00A345B8">
        <w:rPr>
          <w:rFonts w:asciiTheme="majorHAnsi" w:hAnsiTheme="majorHAnsi" w:cstheme="majorHAnsi"/>
          <w:i/>
          <w:iCs/>
          <w:color w:val="000000"/>
          <w:sz w:val="20"/>
          <w:szCs w:val="20"/>
        </w:rPr>
        <w:t xml:space="preserve"> </w:t>
      </w:r>
      <w:proofErr w:type="spellStart"/>
      <w:r w:rsidR="001030B2" w:rsidRPr="00A345B8">
        <w:rPr>
          <w:rFonts w:asciiTheme="majorHAnsi" w:hAnsiTheme="majorHAnsi" w:cstheme="majorHAnsi"/>
          <w:i/>
          <w:iCs/>
          <w:color w:val="000000"/>
          <w:sz w:val="20"/>
          <w:szCs w:val="20"/>
        </w:rPr>
        <w:t>historyczne</w:t>
      </w:r>
      <w:proofErr w:type="spellEnd"/>
      <w:r w:rsidR="001030B2" w:rsidRPr="00A345B8">
        <w:rPr>
          <w:rFonts w:asciiTheme="majorHAnsi" w:hAnsiTheme="majorHAnsi" w:cstheme="majorHAnsi"/>
          <w:i/>
          <w:iCs/>
          <w:color w:val="000000"/>
          <w:sz w:val="20"/>
          <w:szCs w:val="20"/>
        </w:rPr>
        <w:t xml:space="preserve"> </w:t>
      </w:r>
      <w:proofErr w:type="spellStart"/>
      <w:r w:rsidR="001030B2" w:rsidRPr="00A345B8">
        <w:rPr>
          <w:rFonts w:asciiTheme="majorHAnsi" w:hAnsiTheme="majorHAnsi" w:cstheme="majorHAnsi"/>
          <w:i/>
          <w:iCs/>
          <w:color w:val="000000"/>
          <w:sz w:val="20"/>
          <w:szCs w:val="20"/>
        </w:rPr>
        <w:t>Żydów</w:t>
      </w:r>
      <w:proofErr w:type="spellEnd"/>
      <w:r w:rsidR="001030B2" w:rsidRPr="00A345B8">
        <w:rPr>
          <w:rFonts w:asciiTheme="majorHAnsi" w:hAnsiTheme="majorHAnsi" w:cstheme="majorHAnsi"/>
          <w:i/>
          <w:iCs/>
          <w:color w:val="000000"/>
          <w:sz w:val="20"/>
          <w:szCs w:val="20"/>
        </w:rPr>
        <w:t xml:space="preserve"> w </w:t>
      </w:r>
      <w:proofErr w:type="spellStart"/>
      <w:r w:rsidR="001030B2" w:rsidRPr="00A345B8">
        <w:rPr>
          <w:rFonts w:asciiTheme="majorHAnsi" w:hAnsiTheme="majorHAnsi" w:cstheme="majorHAnsi"/>
          <w:i/>
          <w:iCs/>
          <w:color w:val="000000"/>
          <w:sz w:val="20"/>
          <w:szCs w:val="20"/>
        </w:rPr>
        <w:t>Polsce</w:t>
      </w:r>
      <w:proofErr w:type="spellEnd"/>
      <w:r w:rsidR="001030B2" w:rsidRPr="00A345B8">
        <w:rPr>
          <w:rFonts w:asciiTheme="majorHAnsi" w:hAnsiTheme="majorHAnsi" w:cstheme="majorHAnsi"/>
          <w:color w:val="000000"/>
          <w:sz w:val="20"/>
          <w:szCs w:val="20"/>
        </w:rPr>
        <w:t xml:space="preserve"> (Warsaw</w:t>
      </w:r>
      <w:r w:rsidR="00517C9D" w:rsidRPr="00A345B8">
        <w:rPr>
          <w:rFonts w:asciiTheme="majorHAnsi" w:hAnsiTheme="majorHAnsi" w:cstheme="majorHAnsi"/>
          <w:color w:val="000000"/>
          <w:sz w:val="20"/>
          <w:szCs w:val="20"/>
        </w:rPr>
        <w:t xml:space="preserve">: </w:t>
      </w:r>
      <w:proofErr w:type="spellStart"/>
      <w:r w:rsidR="00517C9D" w:rsidRPr="00A345B8">
        <w:rPr>
          <w:rFonts w:asciiTheme="majorHAnsi" w:hAnsiTheme="majorHAnsi" w:cstheme="majorHAnsi"/>
          <w:color w:val="000000"/>
          <w:sz w:val="20"/>
          <w:szCs w:val="20"/>
        </w:rPr>
        <w:t>Towarzystwo</w:t>
      </w:r>
      <w:proofErr w:type="spellEnd"/>
      <w:r w:rsidR="00517C9D" w:rsidRPr="00A345B8">
        <w:rPr>
          <w:rFonts w:asciiTheme="majorHAnsi" w:hAnsiTheme="majorHAnsi" w:cstheme="majorHAnsi"/>
          <w:color w:val="000000"/>
          <w:sz w:val="20"/>
          <w:szCs w:val="20"/>
        </w:rPr>
        <w:t xml:space="preserve"> </w:t>
      </w:r>
      <w:proofErr w:type="spellStart"/>
      <w:r w:rsidR="00517C9D" w:rsidRPr="00A345B8">
        <w:rPr>
          <w:rFonts w:asciiTheme="majorHAnsi" w:hAnsiTheme="majorHAnsi" w:cstheme="majorHAnsi"/>
          <w:color w:val="000000"/>
          <w:sz w:val="20"/>
          <w:szCs w:val="20"/>
        </w:rPr>
        <w:t>Krzewienia</w:t>
      </w:r>
      <w:proofErr w:type="spellEnd"/>
      <w:r w:rsidR="00517C9D" w:rsidRPr="00A345B8">
        <w:rPr>
          <w:rFonts w:asciiTheme="majorHAnsi" w:hAnsiTheme="majorHAnsi" w:cstheme="majorHAnsi"/>
          <w:color w:val="000000"/>
          <w:sz w:val="20"/>
          <w:szCs w:val="20"/>
        </w:rPr>
        <w:t xml:space="preserve"> </w:t>
      </w:r>
      <w:proofErr w:type="spellStart"/>
      <w:r w:rsidR="00517C9D" w:rsidRPr="00A345B8">
        <w:rPr>
          <w:rFonts w:asciiTheme="majorHAnsi" w:hAnsiTheme="majorHAnsi" w:cstheme="majorHAnsi"/>
          <w:color w:val="000000"/>
          <w:sz w:val="20"/>
          <w:szCs w:val="20"/>
        </w:rPr>
        <w:t>Nauk</w:t>
      </w:r>
      <w:proofErr w:type="spellEnd"/>
      <w:r w:rsidR="00517C9D" w:rsidRPr="00A345B8">
        <w:rPr>
          <w:rFonts w:asciiTheme="majorHAnsi" w:hAnsiTheme="majorHAnsi" w:cstheme="majorHAnsi"/>
          <w:color w:val="000000"/>
          <w:sz w:val="20"/>
          <w:szCs w:val="20"/>
        </w:rPr>
        <w:t xml:space="preserve"> </w:t>
      </w:r>
      <w:proofErr w:type="spellStart"/>
      <w:r w:rsidR="00517C9D" w:rsidRPr="00A345B8">
        <w:rPr>
          <w:rFonts w:asciiTheme="majorHAnsi" w:hAnsiTheme="majorHAnsi" w:cstheme="majorHAnsi"/>
          <w:color w:val="000000"/>
          <w:sz w:val="20"/>
          <w:szCs w:val="20"/>
        </w:rPr>
        <w:t>Judaistycznych</w:t>
      </w:r>
      <w:proofErr w:type="spellEnd"/>
      <w:r w:rsidR="00517C9D" w:rsidRPr="00A345B8">
        <w:rPr>
          <w:rFonts w:asciiTheme="majorHAnsi" w:hAnsiTheme="majorHAnsi" w:cstheme="majorHAnsi"/>
          <w:color w:val="000000"/>
          <w:sz w:val="20"/>
          <w:szCs w:val="20"/>
        </w:rPr>
        <w:t xml:space="preserve"> w </w:t>
      </w:r>
      <w:proofErr w:type="spellStart"/>
      <w:r w:rsidR="00517C9D" w:rsidRPr="00A345B8">
        <w:rPr>
          <w:rFonts w:asciiTheme="majorHAnsi" w:hAnsiTheme="majorHAnsi" w:cstheme="majorHAnsi"/>
          <w:color w:val="000000"/>
          <w:sz w:val="20"/>
          <w:szCs w:val="20"/>
        </w:rPr>
        <w:t>Polsce</w:t>
      </w:r>
      <w:proofErr w:type="spellEnd"/>
      <w:r w:rsidR="001030B2" w:rsidRPr="00A345B8">
        <w:rPr>
          <w:rFonts w:asciiTheme="majorHAnsi" w:hAnsiTheme="majorHAnsi" w:cstheme="majorHAnsi"/>
          <w:color w:val="000000"/>
          <w:sz w:val="20"/>
          <w:szCs w:val="20"/>
        </w:rPr>
        <w:t>, 1929),</w:t>
      </w:r>
      <w:r w:rsidRPr="00A345B8">
        <w:rPr>
          <w:rFonts w:asciiTheme="majorHAnsi" w:hAnsiTheme="majorHAnsi" w:cstheme="majorHAnsi"/>
          <w:color w:val="000000"/>
          <w:sz w:val="20"/>
          <w:szCs w:val="20"/>
        </w:rPr>
        <w:t xml:space="preserve"> </w:t>
      </w:r>
      <w:r w:rsidR="001030B2" w:rsidRPr="00A345B8">
        <w:rPr>
          <w:rFonts w:asciiTheme="majorHAnsi" w:hAnsiTheme="majorHAnsi" w:cstheme="majorHAnsi"/>
          <w:color w:val="000000"/>
          <w:sz w:val="20"/>
          <w:szCs w:val="20"/>
        </w:rPr>
        <w:t xml:space="preserve">p. 101; </w:t>
      </w:r>
      <w:r w:rsidRPr="00A345B8">
        <w:rPr>
          <w:rFonts w:asciiTheme="majorHAnsi" w:hAnsiTheme="majorHAnsi" w:cstheme="majorHAnsi"/>
          <w:color w:val="000000"/>
          <w:sz w:val="20"/>
          <w:szCs w:val="20"/>
        </w:rPr>
        <w:t xml:space="preserve">Jacob Friedman, “Moshe Aaron, </w:t>
      </w:r>
      <w:proofErr w:type="spellStart"/>
      <w:r w:rsidRPr="00A345B8">
        <w:rPr>
          <w:rFonts w:asciiTheme="majorHAnsi" w:hAnsiTheme="majorHAnsi" w:cstheme="majorHAnsi"/>
          <w:color w:val="000000"/>
          <w:sz w:val="20"/>
          <w:szCs w:val="20"/>
        </w:rPr>
        <w:t>Shulkloper</w:t>
      </w:r>
      <w:proofErr w:type="spellEnd"/>
      <w:r w:rsidRPr="00A345B8">
        <w:rPr>
          <w:rFonts w:asciiTheme="majorHAnsi" w:hAnsiTheme="majorHAnsi" w:cstheme="majorHAnsi"/>
          <w:color w:val="000000"/>
          <w:sz w:val="20"/>
          <w:szCs w:val="20"/>
        </w:rPr>
        <w:t xml:space="preserve">,” in </w:t>
      </w:r>
      <w:proofErr w:type="spellStart"/>
      <w:r w:rsidRPr="00A345B8">
        <w:rPr>
          <w:rFonts w:asciiTheme="majorHAnsi" w:hAnsiTheme="majorHAnsi" w:cstheme="majorHAnsi"/>
          <w:i/>
          <w:color w:val="000000"/>
          <w:sz w:val="20"/>
          <w:szCs w:val="20"/>
        </w:rPr>
        <w:t>Pinkas</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Sohatshev</w:t>
      </w:r>
      <w:proofErr w:type="spellEnd"/>
      <w:r w:rsidRPr="00A345B8">
        <w:rPr>
          <w:rFonts w:asciiTheme="majorHAnsi" w:hAnsiTheme="majorHAnsi" w:cstheme="majorHAnsi"/>
          <w:color w:val="000000"/>
          <w:sz w:val="20"/>
          <w:szCs w:val="20"/>
        </w:rPr>
        <w:t xml:space="preserve">, eds. A. Sh. </w:t>
      </w:r>
      <w:proofErr w:type="spellStart"/>
      <w:r w:rsidRPr="00A345B8">
        <w:rPr>
          <w:rFonts w:asciiTheme="majorHAnsi" w:hAnsiTheme="majorHAnsi" w:cstheme="majorHAnsi"/>
          <w:color w:val="000000"/>
          <w:sz w:val="20"/>
          <w:szCs w:val="20"/>
        </w:rPr>
        <w:t>Sztejn</w:t>
      </w:r>
      <w:proofErr w:type="spellEnd"/>
      <w:r w:rsidRPr="00A345B8">
        <w:rPr>
          <w:rFonts w:asciiTheme="majorHAnsi" w:hAnsiTheme="majorHAnsi" w:cstheme="majorHAnsi"/>
          <w:color w:val="000000"/>
          <w:sz w:val="20"/>
          <w:szCs w:val="20"/>
        </w:rPr>
        <w:t xml:space="preserve"> and Gabriel </w:t>
      </w:r>
      <w:proofErr w:type="spellStart"/>
      <w:r w:rsidRPr="00A345B8">
        <w:rPr>
          <w:rFonts w:asciiTheme="majorHAnsi" w:hAnsiTheme="majorHAnsi" w:cstheme="majorHAnsi"/>
          <w:color w:val="000000"/>
          <w:sz w:val="20"/>
          <w:szCs w:val="20"/>
        </w:rPr>
        <w:t>Weizman</w:t>
      </w:r>
      <w:proofErr w:type="spellEnd"/>
      <w:r w:rsidRPr="00A345B8">
        <w:rPr>
          <w:rFonts w:asciiTheme="majorHAnsi" w:hAnsiTheme="majorHAnsi" w:cstheme="majorHAnsi"/>
          <w:color w:val="000000"/>
          <w:sz w:val="20"/>
          <w:szCs w:val="20"/>
        </w:rPr>
        <w:t xml:space="preserve"> (Jerusalem: Organization of </w:t>
      </w:r>
      <w:proofErr w:type="spellStart"/>
      <w:r w:rsidRPr="00A345B8">
        <w:rPr>
          <w:rFonts w:asciiTheme="majorHAnsi" w:hAnsiTheme="majorHAnsi" w:cstheme="majorHAnsi"/>
          <w:color w:val="000000"/>
          <w:sz w:val="20"/>
          <w:szCs w:val="20"/>
        </w:rPr>
        <w:t>Sochaczew</w:t>
      </w:r>
      <w:proofErr w:type="spellEnd"/>
      <w:r w:rsidRPr="00A345B8">
        <w:rPr>
          <w:rFonts w:asciiTheme="majorHAnsi" w:hAnsiTheme="majorHAnsi" w:cstheme="majorHAnsi"/>
          <w:color w:val="000000"/>
          <w:sz w:val="20"/>
          <w:szCs w:val="20"/>
        </w:rPr>
        <w:t xml:space="preserve"> Émigrés of Israel 1962), 302–303 [Yiddish].</w:t>
      </w:r>
    </w:p>
  </w:footnote>
  <w:footnote w:id="58">
    <w:p w14:paraId="00000092"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Abrahams, </w:t>
      </w:r>
      <w:r w:rsidRPr="00A345B8">
        <w:rPr>
          <w:rFonts w:asciiTheme="majorHAnsi" w:hAnsiTheme="majorHAnsi" w:cstheme="majorHAnsi"/>
          <w:i/>
          <w:color w:val="000000"/>
          <w:sz w:val="20"/>
          <w:szCs w:val="20"/>
        </w:rPr>
        <w:t>Jewish Life in the Middle Ages</w:t>
      </w:r>
      <w:r w:rsidRPr="00A345B8">
        <w:rPr>
          <w:rFonts w:asciiTheme="majorHAnsi" w:hAnsiTheme="majorHAnsi" w:cstheme="majorHAnsi"/>
          <w:color w:val="000000"/>
          <w:sz w:val="20"/>
          <w:szCs w:val="20"/>
        </w:rPr>
        <w:t xml:space="preserve">, 57. Cf. the use of church bells for private rites and secular announcements, see Price, </w:t>
      </w:r>
      <w:r w:rsidRPr="00A345B8">
        <w:rPr>
          <w:rFonts w:asciiTheme="majorHAnsi" w:hAnsiTheme="majorHAnsi" w:cstheme="majorHAnsi"/>
          <w:i/>
          <w:color w:val="000000"/>
          <w:sz w:val="20"/>
          <w:szCs w:val="20"/>
        </w:rPr>
        <w:t>Bells and Man</w:t>
      </w:r>
      <w:r w:rsidRPr="00A345B8">
        <w:rPr>
          <w:rFonts w:asciiTheme="majorHAnsi" w:hAnsiTheme="majorHAnsi" w:cstheme="majorHAnsi"/>
          <w:color w:val="000000"/>
          <w:sz w:val="20"/>
          <w:szCs w:val="20"/>
        </w:rPr>
        <w:t xml:space="preserve">, 110, 112, 134–63. </w:t>
      </w:r>
    </w:p>
    <w:bookmarkStart w:id="23" w:name="_1pxezwc" w:colFirst="0" w:colLast="0"/>
    <w:bookmarkEnd w:id="23"/>
  </w:footnote>
  <w:footnote w:id="59">
    <w:p w14:paraId="00000093"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bookmarkStart w:id="24" w:name="_1pxezwc" w:colFirst="0" w:colLast="0"/>
      <w:bookmarkEnd w:id="24"/>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Ibid., 56–57; Friedman, “Moshe Aaron, </w:t>
      </w:r>
      <w:proofErr w:type="spellStart"/>
      <w:r w:rsidRPr="00A345B8">
        <w:rPr>
          <w:rFonts w:asciiTheme="majorHAnsi" w:hAnsiTheme="majorHAnsi" w:cstheme="majorHAnsi"/>
          <w:color w:val="000000"/>
          <w:sz w:val="20"/>
          <w:szCs w:val="20"/>
        </w:rPr>
        <w:t>Shulkloper</w:t>
      </w:r>
      <w:proofErr w:type="spellEnd"/>
      <w:r w:rsidRPr="00A345B8">
        <w:rPr>
          <w:rFonts w:asciiTheme="majorHAnsi" w:hAnsiTheme="majorHAnsi" w:cstheme="majorHAnsi"/>
          <w:color w:val="000000"/>
          <w:sz w:val="20"/>
          <w:szCs w:val="20"/>
        </w:rPr>
        <w:t xml:space="preserve">,” 301; Meir </w:t>
      </w:r>
      <w:proofErr w:type="spellStart"/>
      <w:r w:rsidRPr="00A345B8">
        <w:rPr>
          <w:rFonts w:asciiTheme="majorHAnsi" w:hAnsiTheme="majorHAnsi" w:cstheme="majorHAnsi"/>
          <w:color w:val="000000"/>
          <w:sz w:val="20"/>
          <w:szCs w:val="20"/>
        </w:rPr>
        <w:t>Kuczinski</w:t>
      </w:r>
      <w:proofErr w:type="spellEnd"/>
      <w:r w:rsidRPr="00A345B8">
        <w:rPr>
          <w:rFonts w:asciiTheme="majorHAnsi" w:hAnsiTheme="majorHAnsi" w:cstheme="majorHAnsi"/>
          <w:color w:val="000000"/>
          <w:sz w:val="20"/>
          <w:szCs w:val="20"/>
        </w:rPr>
        <w:t xml:space="preserve">, [a reader’s inquiry], </w:t>
      </w:r>
      <w:proofErr w:type="spellStart"/>
      <w:r w:rsidRPr="00A345B8">
        <w:rPr>
          <w:rFonts w:asciiTheme="majorHAnsi" w:hAnsiTheme="majorHAnsi" w:cstheme="majorHAnsi"/>
          <w:i/>
          <w:color w:val="000000"/>
          <w:sz w:val="20"/>
          <w:szCs w:val="20"/>
        </w:rPr>
        <w:t>Yiddishe</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Shprakh</w:t>
      </w:r>
      <w:proofErr w:type="spellEnd"/>
      <w:r w:rsidRPr="00A345B8">
        <w:rPr>
          <w:rFonts w:asciiTheme="majorHAnsi" w:hAnsiTheme="majorHAnsi" w:cstheme="majorHAnsi"/>
          <w:color w:val="000000"/>
          <w:sz w:val="20"/>
          <w:szCs w:val="20"/>
        </w:rPr>
        <w:t xml:space="preserve"> 21, 1 (1967): 95 no. 256 [Yiddish]; </w:t>
      </w:r>
      <w:proofErr w:type="spellStart"/>
      <w:r w:rsidRPr="00A345B8">
        <w:rPr>
          <w:rFonts w:asciiTheme="majorHAnsi" w:hAnsiTheme="majorHAnsi" w:cstheme="majorHAnsi"/>
          <w:color w:val="000000"/>
          <w:sz w:val="20"/>
          <w:szCs w:val="20"/>
        </w:rPr>
        <w:t>Fürst</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i/>
          <w:color w:val="000000"/>
          <w:sz w:val="20"/>
          <w:szCs w:val="20"/>
        </w:rPr>
        <w:t>Sitten</w:t>
      </w:r>
      <w:proofErr w:type="spellEnd"/>
      <w:r w:rsidRPr="00A345B8">
        <w:rPr>
          <w:rFonts w:asciiTheme="majorHAnsi" w:hAnsiTheme="majorHAnsi" w:cstheme="majorHAnsi"/>
          <w:i/>
          <w:color w:val="000000"/>
          <w:sz w:val="20"/>
          <w:szCs w:val="20"/>
        </w:rPr>
        <w:t xml:space="preserve"> und </w:t>
      </w:r>
      <w:proofErr w:type="spellStart"/>
      <w:r w:rsidRPr="00A345B8">
        <w:rPr>
          <w:rFonts w:asciiTheme="majorHAnsi" w:hAnsiTheme="majorHAnsi" w:cstheme="majorHAnsi"/>
          <w:i/>
          <w:color w:val="000000"/>
          <w:sz w:val="20"/>
          <w:szCs w:val="20"/>
        </w:rPr>
        <w:t>Gebräuche</w:t>
      </w:r>
      <w:proofErr w:type="spellEnd"/>
      <w:r w:rsidRPr="00A345B8">
        <w:rPr>
          <w:rFonts w:asciiTheme="majorHAnsi" w:hAnsiTheme="majorHAnsi" w:cstheme="majorHAnsi"/>
          <w:i/>
          <w:color w:val="000000"/>
          <w:sz w:val="20"/>
          <w:szCs w:val="20"/>
        </w:rPr>
        <w:t xml:space="preserve"> in der </w:t>
      </w:r>
      <w:proofErr w:type="spellStart"/>
      <w:r w:rsidRPr="00A345B8">
        <w:rPr>
          <w:rFonts w:asciiTheme="majorHAnsi" w:hAnsiTheme="majorHAnsi" w:cstheme="majorHAnsi"/>
          <w:i/>
          <w:color w:val="000000"/>
          <w:sz w:val="20"/>
          <w:szCs w:val="20"/>
        </w:rPr>
        <w:t>Eisenstädter</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Judengasse</w:t>
      </w:r>
      <w:proofErr w:type="spellEnd"/>
      <w:r w:rsidRPr="00A345B8">
        <w:rPr>
          <w:rFonts w:asciiTheme="majorHAnsi" w:hAnsiTheme="majorHAnsi" w:cstheme="majorHAnsi"/>
          <w:color w:val="000000"/>
          <w:sz w:val="20"/>
          <w:szCs w:val="20"/>
        </w:rPr>
        <w:t>, 11.</w:t>
      </w:r>
    </w:p>
  </w:footnote>
  <w:footnote w:id="60">
    <w:p w14:paraId="00000094" w14:textId="4258ED99"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r w:rsidR="00866183" w:rsidRPr="00A345B8">
        <w:rPr>
          <w:rFonts w:asciiTheme="majorHAnsi" w:hAnsiTheme="majorHAnsi" w:cstheme="majorHAnsi"/>
          <w:color w:val="000000"/>
          <w:sz w:val="20"/>
          <w:szCs w:val="20"/>
        </w:rPr>
        <w:t xml:space="preserve">Cf. </w:t>
      </w:r>
      <w:r w:rsidRPr="00A345B8">
        <w:rPr>
          <w:rFonts w:asciiTheme="majorHAnsi" w:hAnsiTheme="majorHAnsi" w:cstheme="majorHAnsi"/>
          <w:color w:val="000000"/>
          <w:sz w:val="20"/>
          <w:szCs w:val="20"/>
        </w:rPr>
        <w:t xml:space="preserve">Abrahams, </w:t>
      </w:r>
      <w:r w:rsidRPr="00A345B8">
        <w:rPr>
          <w:rFonts w:asciiTheme="majorHAnsi" w:hAnsiTheme="majorHAnsi" w:cstheme="majorHAnsi"/>
          <w:i/>
          <w:color w:val="000000"/>
          <w:sz w:val="20"/>
          <w:szCs w:val="20"/>
        </w:rPr>
        <w:t>Jewish Life in the Middle Ages</w:t>
      </w:r>
      <w:r w:rsidRPr="00A345B8">
        <w:rPr>
          <w:rFonts w:asciiTheme="majorHAnsi" w:hAnsiTheme="majorHAnsi" w:cstheme="majorHAnsi"/>
          <w:color w:val="000000"/>
          <w:sz w:val="20"/>
          <w:szCs w:val="20"/>
        </w:rPr>
        <w:t xml:space="preserve">, 57; Friedman, “Moshe Aaron, </w:t>
      </w:r>
      <w:proofErr w:type="spellStart"/>
      <w:r w:rsidRPr="00A345B8">
        <w:rPr>
          <w:rFonts w:asciiTheme="majorHAnsi" w:hAnsiTheme="majorHAnsi" w:cstheme="majorHAnsi"/>
          <w:color w:val="000000"/>
          <w:sz w:val="20"/>
          <w:szCs w:val="20"/>
        </w:rPr>
        <w:t>Shulkloper</w:t>
      </w:r>
      <w:proofErr w:type="spellEnd"/>
      <w:r w:rsidRPr="00A345B8">
        <w:rPr>
          <w:rFonts w:asciiTheme="majorHAnsi" w:hAnsiTheme="majorHAnsi" w:cstheme="majorHAnsi"/>
          <w:color w:val="000000"/>
          <w:sz w:val="20"/>
          <w:szCs w:val="20"/>
        </w:rPr>
        <w:t xml:space="preserve">,” 301; Max Grunwald, “Community, Organization of: Minor Officials,” </w:t>
      </w:r>
      <w:r w:rsidRPr="00A345B8">
        <w:rPr>
          <w:rFonts w:asciiTheme="majorHAnsi" w:hAnsiTheme="majorHAnsi" w:cstheme="majorHAnsi"/>
          <w:i/>
          <w:color w:val="000000"/>
          <w:sz w:val="20"/>
          <w:szCs w:val="20"/>
        </w:rPr>
        <w:t>The Jewish Encyclopedia</w:t>
      </w:r>
      <w:r w:rsidRPr="00A345B8">
        <w:rPr>
          <w:rFonts w:asciiTheme="majorHAnsi" w:hAnsiTheme="majorHAnsi" w:cstheme="majorHAnsi"/>
          <w:color w:val="000000"/>
          <w:sz w:val="20"/>
          <w:szCs w:val="20"/>
        </w:rPr>
        <w:t xml:space="preserve"> 4, eds.  Cyrus Adler Isidore Singer (New York and London, Funk and Wagnalls, 1903), 197. </w:t>
      </w:r>
    </w:p>
  </w:footnote>
  <w:footnote w:id="61">
    <w:p w14:paraId="00000095"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David Sperber, </w:t>
      </w:r>
      <w:proofErr w:type="spellStart"/>
      <w:r w:rsidRPr="00A345B8">
        <w:rPr>
          <w:rFonts w:asciiTheme="majorHAnsi" w:hAnsiTheme="majorHAnsi" w:cstheme="majorHAnsi"/>
          <w:i/>
          <w:color w:val="000000"/>
          <w:sz w:val="20"/>
          <w:szCs w:val="20"/>
        </w:rPr>
        <w:t>Afarsekta</w:t>
      </w:r>
      <w:proofErr w:type="spellEnd"/>
      <w:r w:rsidRPr="00A345B8">
        <w:rPr>
          <w:rFonts w:asciiTheme="majorHAnsi" w:hAnsiTheme="majorHAnsi" w:cstheme="majorHAnsi"/>
          <w:i/>
          <w:color w:val="000000"/>
          <w:sz w:val="20"/>
          <w:szCs w:val="20"/>
        </w:rPr>
        <w:t xml:space="preserve"> de-’</w:t>
      </w:r>
      <w:proofErr w:type="spellStart"/>
      <w:r w:rsidRPr="00A345B8">
        <w:rPr>
          <w:rFonts w:asciiTheme="majorHAnsi" w:hAnsiTheme="majorHAnsi" w:cstheme="majorHAnsi"/>
          <w:i/>
          <w:color w:val="000000"/>
          <w:sz w:val="20"/>
          <w:szCs w:val="20"/>
        </w:rPr>
        <w:t>anya</w:t>
      </w:r>
      <w:proofErr w:type="spellEnd"/>
      <w:r w:rsidRPr="00A345B8">
        <w:rPr>
          <w:rFonts w:asciiTheme="majorHAnsi" w:hAnsiTheme="majorHAnsi" w:cstheme="majorHAnsi"/>
          <w:color w:val="000000"/>
          <w:sz w:val="20"/>
          <w:szCs w:val="20"/>
        </w:rPr>
        <w:t xml:space="preserve"> (New York: </w:t>
      </w:r>
      <w:proofErr w:type="spellStart"/>
      <w:r w:rsidRPr="00A345B8">
        <w:rPr>
          <w:rFonts w:asciiTheme="majorHAnsi" w:hAnsiTheme="majorHAnsi" w:cstheme="majorHAnsi"/>
          <w:color w:val="000000"/>
          <w:sz w:val="20"/>
          <w:szCs w:val="20"/>
        </w:rPr>
        <w:t>Tehilo</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Ledovid</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Brashov</w:t>
      </w:r>
      <w:proofErr w:type="spellEnd"/>
      <w:r w:rsidRPr="00A345B8">
        <w:rPr>
          <w:rFonts w:asciiTheme="majorHAnsi" w:hAnsiTheme="majorHAnsi" w:cstheme="majorHAnsi"/>
          <w:color w:val="000000"/>
          <w:sz w:val="20"/>
          <w:szCs w:val="20"/>
        </w:rPr>
        <w:t xml:space="preserve">, 2002), 187 no. 362 [Hebrew]. </w:t>
      </w:r>
    </w:p>
  </w:footnote>
  <w:footnote w:id="62">
    <w:p w14:paraId="3344E280" w14:textId="45195A79" w:rsidR="00A85495" w:rsidRPr="00A345B8" w:rsidRDefault="00A85495" w:rsidP="00A345B8">
      <w:pPr>
        <w:pStyle w:val="FootnoteText"/>
        <w:spacing w:line="360" w:lineRule="auto"/>
        <w:ind w:left="720" w:hanging="720"/>
        <w:rPr>
          <w:rFonts w:asciiTheme="majorHAnsi" w:hAnsiTheme="majorHAnsi" w:cstheme="majorHAnsi"/>
        </w:rPr>
      </w:pPr>
      <w:r w:rsidRPr="00A345B8">
        <w:rPr>
          <w:rStyle w:val="FootnoteReference"/>
          <w:rFonts w:asciiTheme="majorHAnsi" w:hAnsiTheme="majorHAnsi" w:cstheme="majorHAnsi"/>
        </w:rPr>
        <w:footnoteRef/>
      </w:r>
      <w:r w:rsidRPr="00A345B8">
        <w:rPr>
          <w:rFonts w:asciiTheme="majorHAnsi" w:hAnsiTheme="majorHAnsi" w:cstheme="majorHAnsi"/>
        </w:rPr>
        <w:t xml:space="preserve"> </w:t>
      </w:r>
      <w:proofErr w:type="spellStart"/>
      <w:r w:rsidRPr="00A345B8">
        <w:rPr>
          <w:rFonts w:asciiTheme="majorHAnsi" w:hAnsiTheme="majorHAnsi" w:cstheme="majorHAnsi"/>
        </w:rPr>
        <w:t>Bałaban</w:t>
      </w:r>
      <w:proofErr w:type="spellEnd"/>
      <w:r w:rsidRPr="00A345B8">
        <w:rPr>
          <w:rFonts w:asciiTheme="majorHAnsi" w:hAnsiTheme="majorHAnsi" w:cstheme="majorHAnsi"/>
        </w:rPr>
        <w:t xml:space="preserve">, </w:t>
      </w:r>
      <w:proofErr w:type="spellStart"/>
      <w:r w:rsidRPr="00A345B8">
        <w:rPr>
          <w:rFonts w:asciiTheme="majorHAnsi" w:hAnsiTheme="majorHAnsi" w:cstheme="majorHAnsi"/>
          <w:i/>
          <w:iCs/>
        </w:rPr>
        <w:t>Zabytki</w:t>
      </w:r>
      <w:proofErr w:type="spellEnd"/>
      <w:r w:rsidRPr="00A345B8">
        <w:rPr>
          <w:rFonts w:asciiTheme="majorHAnsi" w:hAnsiTheme="majorHAnsi" w:cstheme="majorHAnsi"/>
          <w:i/>
          <w:iCs/>
        </w:rPr>
        <w:t xml:space="preserve"> </w:t>
      </w:r>
      <w:proofErr w:type="spellStart"/>
      <w:r w:rsidRPr="00A345B8">
        <w:rPr>
          <w:rFonts w:asciiTheme="majorHAnsi" w:hAnsiTheme="majorHAnsi" w:cstheme="majorHAnsi"/>
          <w:i/>
          <w:iCs/>
        </w:rPr>
        <w:t>historyczne</w:t>
      </w:r>
      <w:proofErr w:type="spellEnd"/>
      <w:r w:rsidRPr="00A345B8">
        <w:rPr>
          <w:rFonts w:asciiTheme="majorHAnsi" w:hAnsiTheme="majorHAnsi" w:cstheme="majorHAnsi"/>
          <w:i/>
          <w:iCs/>
        </w:rPr>
        <w:t xml:space="preserve"> </w:t>
      </w:r>
      <w:proofErr w:type="spellStart"/>
      <w:r w:rsidRPr="00A345B8">
        <w:rPr>
          <w:rFonts w:asciiTheme="majorHAnsi" w:hAnsiTheme="majorHAnsi" w:cstheme="majorHAnsi"/>
          <w:i/>
          <w:iCs/>
        </w:rPr>
        <w:t>Żydów</w:t>
      </w:r>
      <w:proofErr w:type="spellEnd"/>
      <w:r w:rsidRPr="00A345B8">
        <w:rPr>
          <w:rFonts w:asciiTheme="majorHAnsi" w:hAnsiTheme="majorHAnsi" w:cstheme="majorHAnsi"/>
          <w:i/>
          <w:iCs/>
        </w:rPr>
        <w:t xml:space="preserve"> w </w:t>
      </w:r>
      <w:proofErr w:type="spellStart"/>
      <w:r w:rsidRPr="00A345B8">
        <w:rPr>
          <w:rFonts w:asciiTheme="majorHAnsi" w:hAnsiTheme="majorHAnsi" w:cstheme="majorHAnsi"/>
          <w:i/>
          <w:iCs/>
        </w:rPr>
        <w:t>Polsce</w:t>
      </w:r>
      <w:proofErr w:type="spellEnd"/>
      <w:r w:rsidRPr="00A345B8">
        <w:rPr>
          <w:rFonts w:asciiTheme="majorHAnsi" w:hAnsiTheme="majorHAnsi" w:cstheme="majorHAnsi"/>
        </w:rPr>
        <w:t>, p. 101.</w:t>
      </w:r>
    </w:p>
  </w:footnote>
  <w:footnote w:id="63">
    <w:p w14:paraId="12F55A19" w14:textId="2FDC6B84" w:rsidR="009B28E4" w:rsidRPr="00A345B8" w:rsidRDefault="009B28E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Kacyzne</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i/>
          <w:color w:val="000000"/>
          <w:sz w:val="20"/>
          <w:szCs w:val="20"/>
        </w:rPr>
        <w:t>Bielsko</w:t>
      </w:r>
      <w:proofErr w:type="spellEnd"/>
      <w:r w:rsidRPr="00A345B8">
        <w:rPr>
          <w:rFonts w:asciiTheme="majorHAnsi" w:hAnsiTheme="majorHAnsi" w:cstheme="majorHAnsi"/>
          <w:i/>
          <w:color w:val="000000"/>
          <w:sz w:val="20"/>
          <w:szCs w:val="20"/>
        </w:rPr>
        <w:t xml:space="preserve"> Biala: </w:t>
      </w:r>
      <w:proofErr w:type="spellStart"/>
      <w:r w:rsidRPr="00A345B8">
        <w:rPr>
          <w:rFonts w:asciiTheme="majorHAnsi" w:hAnsiTheme="majorHAnsi" w:cstheme="majorHAnsi"/>
          <w:i/>
          <w:color w:val="000000"/>
          <w:sz w:val="20"/>
          <w:szCs w:val="20"/>
        </w:rPr>
        <w:t>Ezrielke</w:t>
      </w:r>
      <w:proofErr w:type="spellEnd"/>
      <w:r w:rsidRPr="00A345B8">
        <w:rPr>
          <w:rFonts w:asciiTheme="majorHAnsi" w:hAnsiTheme="majorHAnsi" w:cstheme="majorHAnsi"/>
          <w:i/>
          <w:color w:val="000000"/>
          <w:sz w:val="20"/>
          <w:szCs w:val="20"/>
        </w:rPr>
        <w:t xml:space="preserve"> the 'shames' (sexton) was also the </w:t>
      </w:r>
      <w:proofErr w:type="spellStart"/>
      <w:r w:rsidRPr="00A345B8">
        <w:rPr>
          <w:rFonts w:asciiTheme="majorHAnsi" w:hAnsiTheme="majorHAnsi" w:cstheme="majorHAnsi"/>
          <w:i/>
          <w:color w:val="000000"/>
          <w:sz w:val="20"/>
          <w:szCs w:val="20"/>
        </w:rPr>
        <w:t>Shabes-klaper</w:t>
      </w:r>
      <w:proofErr w:type="spellEnd"/>
      <w:r w:rsidRPr="00A345B8">
        <w:rPr>
          <w:rFonts w:asciiTheme="majorHAnsi" w:hAnsiTheme="majorHAnsi" w:cstheme="majorHAnsi"/>
          <w:i/>
          <w:color w:val="000000"/>
          <w:sz w:val="20"/>
          <w:szCs w:val="20"/>
        </w:rPr>
        <w:t>”</w:t>
      </w:r>
      <w:r w:rsidRPr="00A345B8">
        <w:rPr>
          <w:rFonts w:asciiTheme="majorHAnsi" w:hAnsiTheme="majorHAnsi" w:cstheme="majorHAnsi"/>
          <w:color w:val="000000"/>
          <w:sz w:val="20"/>
          <w:szCs w:val="20"/>
        </w:rPr>
        <w:t xml:space="preserve"> polishjews.yivoarchives.org/archive/index.php?p=collections/controlcard&amp;id=22670 (</w:t>
      </w:r>
      <w:r w:rsidR="009C1B2B" w:rsidRPr="00A345B8">
        <w:rPr>
          <w:rFonts w:asciiTheme="majorHAnsi" w:hAnsiTheme="majorHAnsi" w:cstheme="majorHAnsi"/>
          <w:color w:val="000000"/>
          <w:sz w:val="20"/>
          <w:szCs w:val="20"/>
        </w:rPr>
        <w:t>accessed February 26, 2023</w:t>
      </w:r>
      <w:r w:rsidRPr="00A345B8">
        <w:rPr>
          <w:rFonts w:asciiTheme="majorHAnsi" w:hAnsiTheme="majorHAnsi" w:cstheme="majorHAnsi"/>
          <w:color w:val="000000"/>
          <w:sz w:val="20"/>
          <w:szCs w:val="20"/>
        </w:rPr>
        <w:t xml:space="preserve">); Mayer </w:t>
      </w:r>
      <w:proofErr w:type="spellStart"/>
      <w:r w:rsidRPr="00A345B8">
        <w:rPr>
          <w:rFonts w:asciiTheme="majorHAnsi" w:hAnsiTheme="majorHAnsi" w:cstheme="majorHAnsi"/>
          <w:color w:val="000000"/>
          <w:sz w:val="20"/>
          <w:szCs w:val="20"/>
        </w:rPr>
        <w:t>Kirshenblatt</w:t>
      </w:r>
      <w:proofErr w:type="spellEnd"/>
      <w:r w:rsidRPr="00A345B8">
        <w:rPr>
          <w:rFonts w:asciiTheme="majorHAnsi" w:hAnsiTheme="majorHAnsi" w:cstheme="majorHAnsi"/>
          <w:color w:val="000000"/>
          <w:sz w:val="20"/>
          <w:szCs w:val="20"/>
        </w:rPr>
        <w:t xml:space="preserve"> and Barbara </w:t>
      </w:r>
      <w:proofErr w:type="spellStart"/>
      <w:r w:rsidRPr="00A345B8">
        <w:rPr>
          <w:rFonts w:asciiTheme="majorHAnsi" w:hAnsiTheme="majorHAnsi" w:cstheme="majorHAnsi"/>
          <w:color w:val="000000"/>
          <w:sz w:val="20"/>
          <w:szCs w:val="20"/>
        </w:rPr>
        <w:t>Kirshenblatt-Gimblett</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They Called Me Mayer July: Painted Memories of a Jewish Childhood in Poland Before the Holocaust</w:t>
      </w:r>
      <w:r w:rsidRPr="00A345B8">
        <w:rPr>
          <w:rFonts w:asciiTheme="majorHAnsi" w:hAnsiTheme="majorHAnsi" w:cstheme="majorHAnsi"/>
          <w:color w:val="000000"/>
          <w:sz w:val="20"/>
          <w:szCs w:val="20"/>
        </w:rPr>
        <w:t xml:space="preserve"> (Berkeley: Judah L. </w:t>
      </w:r>
      <w:proofErr w:type="spellStart"/>
      <w:r w:rsidRPr="00A345B8">
        <w:rPr>
          <w:rFonts w:asciiTheme="majorHAnsi" w:hAnsiTheme="majorHAnsi" w:cstheme="majorHAnsi"/>
          <w:color w:val="000000"/>
          <w:sz w:val="20"/>
          <w:szCs w:val="20"/>
        </w:rPr>
        <w:t>Magnes</w:t>
      </w:r>
      <w:proofErr w:type="spellEnd"/>
      <w:r w:rsidRPr="00A345B8">
        <w:rPr>
          <w:rFonts w:asciiTheme="majorHAnsi" w:hAnsiTheme="majorHAnsi" w:cstheme="majorHAnsi"/>
          <w:color w:val="000000"/>
          <w:sz w:val="20"/>
          <w:szCs w:val="20"/>
        </w:rPr>
        <w:t xml:space="preserve"> Museum, 2007), 209.</w:t>
      </w:r>
    </w:p>
  </w:footnote>
  <w:footnote w:id="64">
    <w:p w14:paraId="28DE59A6" w14:textId="6ED8C17F" w:rsidR="0032722B" w:rsidRPr="00A345B8" w:rsidRDefault="0032722B"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Sitala</w:t>
      </w:r>
      <w:proofErr w:type="spellEnd"/>
      <w:r w:rsidRPr="00A345B8">
        <w:rPr>
          <w:rFonts w:asciiTheme="majorHAnsi" w:hAnsiTheme="majorHAnsi" w:cstheme="majorHAnsi"/>
          <w:color w:val="000000"/>
          <w:sz w:val="20"/>
          <w:szCs w:val="20"/>
        </w:rPr>
        <w:t xml:space="preserve"> Peek, “Knocker Uppers: Waking Up the Workers in Industrial Britain,” </w:t>
      </w:r>
      <w:r w:rsidRPr="00A345B8">
        <w:rPr>
          <w:rFonts w:asciiTheme="majorHAnsi" w:hAnsiTheme="majorHAnsi" w:cstheme="majorHAnsi"/>
          <w:i/>
          <w:color w:val="000000"/>
          <w:sz w:val="20"/>
          <w:szCs w:val="20"/>
        </w:rPr>
        <w:t>BBC News</w:t>
      </w:r>
      <w:r w:rsidRPr="00A345B8">
        <w:rPr>
          <w:rFonts w:asciiTheme="majorHAnsi" w:hAnsiTheme="majorHAnsi" w:cstheme="majorHAnsi"/>
          <w:color w:val="000000"/>
          <w:sz w:val="20"/>
          <w:szCs w:val="20"/>
        </w:rPr>
        <w:t xml:space="preserve"> (March 27, 2016), www.bbc.com/news/uk-england-35840393 (</w:t>
      </w:r>
      <w:r w:rsidR="009C1B2B" w:rsidRPr="00A345B8">
        <w:rPr>
          <w:rFonts w:asciiTheme="majorHAnsi" w:hAnsiTheme="majorHAnsi" w:cstheme="majorHAnsi"/>
          <w:color w:val="000000"/>
          <w:sz w:val="20"/>
          <w:szCs w:val="20"/>
        </w:rPr>
        <w:t>accessed February 26, 2023</w:t>
      </w:r>
      <w:r w:rsidRPr="00A345B8">
        <w:rPr>
          <w:rFonts w:asciiTheme="majorHAnsi" w:hAnsiTheme="majorHAnsi" w:cstheme="majorHAnsi"/>
          <w:color w:val="000000"/>
          <w:sz w:val="20"/>
          <w:szCs w:val="20"/>
        </w:rPr>
        <w:t xml:space="preserve">). </w:t>
      </w:r>
    </w:p>
  </w:footnote>
  <w:footnote w:id="65">
    <w:p w14:paraId="00000099"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Grunwald, “Community, Organization of: Minor Officials.”</w:t>
      </w:r>
    </w:p>
  </w:footnote>
  <w:footnote w:id="66">
    <w:p w14:paraId="0000009A"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Nulman</w:t>
      </w:r>
      <w:proofErr w:type="spellEnd"/>
      <w:r w:rsidRPr="00A345B8">
        <w:rPr>
          <w:rFonts w:asciiTheme="majorHAnsi" w:hAnsiTheme="majorHAnsi" w:cstheme="majorHAnsi"/>
          <w:color w:val="000000"/>
          <w:sz w:val="20"/>
          <w:szCs w:val="20"/>
        </w:rPr>
        <w:t>,</w:t>
      </w:r>
      <w:r w:rsidRPr="00A345B8">
        <w:rPr>
          <w:rFonts w:asciiTheme="majorHAnsi" w:hAnsiTheme="majorHAnsi" w:cstheme="majorHAnsi"/>
          <w:i/>
          <w:color w:val="000000"/>
          <w:sz w:val="20"/>
          <w:szCs w:val="20"/>
        </w:rPr>
        <w:t xml:space="preserve"> Concise Encyclopedia of Jewish Music</w:t>
      </w:r>
      <w:r w:rsidRPr="00A345B8">
        <w:rPr>
          <w:rFonts w:asciiTheme="majorHAnsi" w:hAnsiTheme="majorHAnsi" w:cstheme="majorHAnsi"/>
          <w:color w:val="000000"/>
          <w:sz w:val="20"/>
          <w:szCs w:val="20"/>
        </w:rPr>
        <w:t>, 215; Stern, “</w:t>
      </w:r>
      <w:proofErr w:type="spellStart"/>
      <w:r w:rsidRPr="00A345B8">
        <w:rPr>
          <w:rFonts w:asciiTheme="majorHAnsi" w:hAnsiTheme="majorHAnsi" w:cstheme="majorHAnsi"/>
          <w:color w:val="000000"/>
          <w:sz w:val="20"/>
          <w:szCs w:val="20"/>
        </w:rPr>
        <w:t>Ḥeider</w:t>
      </w:r>
      <w:proofErr w:type="spellEnd"/>
      <w:r w:rsidRPr="00A345B8">
        <w:rPr>
          <w:rFonts w:asciiTheme="majorHAnsi" w:hAnsiTheme="majorHAnsi" w:cstheme="majorHAnsi"/>
          <w:color w:val="000000"/>
          <w:sz w:val="20"/>
          <w:szCs w:val="20"/>
        </w:rPr>
        <w:t xml:space="preserve"> un </w:t>
      </w:r>
      <w:proofErr w:type="spellStart"/>
      <w:r w:rsidRPr="00A345B8">
        <w:rPr>
          <w:rFonts w:asciiTheme="majorHAnsi" w:hAnsiTheme="majorHAnsi" w:cstheme="majorHAnsi"/>
          <w:color w:val="000000"/>
          <w:sz w:val="20"/>
          <w:szCs w:val="20"/>
        </w:rPr>
        <w:t>beis-midresh</w:t>
      </w:r>
      <w:proofErr w:type="spellEnd"/>
      <w:r w:rsidRPr="00A345B8">
        <w:rPr>
          <w:rFonts w:asciiTheme="majorHAnsi" w:hAnsiTheme="majorHAnsi" w:cstheme="majorHAnsi"/>
          <w:color w:val="000000"/>
          <w:sz w:val="20"/>
          <w:szCs w:val="20"/>
        </w:rPr>
        <w:t>,” 108–109.</w:t>
      </w:r>
    </w:p>
  </w:footnote>
  <w:footnote w:id="67">
    <w:p w14:paraId="0000009B"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Kirshenblatt</w:t>
      </w:r>
      <w:proofErr w:type="spellEnd"/>
      <w:r w:rsidRPr="00A345B8">
        <w:rPr>
          <w:rFonts w:asciiTheme="majorHAnsi" w:hAnsiTheme="majorHAnsi" w:cstheme="majorHAnsi"/>
          <w:color w:val="000000"/>
          <w:sz w:val="20"/>
          <w:szCs w:val="20"/>
        </w:rPr>
        <w:t xml:space="preserve"> and </w:t>
      </w:r>
      <w:proofErr w:type="spellStart"/>
      <w:r w:rsidRPr="00A345B8">
        <w:rPr>
          <w:rFonts w:asciiTheme="majorHAnsi" w:hAnsiTheme="majorHAnsi" w:cstheme="majorHAnsi"/>
          <w:color w:val="000000"/>
          <w:sz w:val="20"/>
          <w:szCs w:val="20"/>
        </w:rPr>
        <w:t>Kirshenblatt-Gimblett</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They Called Me Mayer July</w:t>
      </w:r>
      <w:r w:rsidRPr="00A345B8">
        <w:rPr>
          <w:rFonts w:asciiTheme="majorHAnsi" w:hAnsiTheme="majorHAnsi" w:cstheme="majorHAnsi"/>
          <w:color w:val="000000"/>
          <w:sz w:val="20"/>
          <w:szCs w:val="20"/>
        </w:rPr>
        <w:t>, 209.</w:t>
      </w:r>
    </w:p>
    <w:bookmarkStart w:id="28" w:name="_49x2ik5" w:colFirst="0" w:colLast="0"/>
    <w:bookmarkEnd w:id="28"/>
  </w:footnote>
  <w:footnote w:id="68">
    <w:p w14:paraId="0000009C"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bookmarkStart w:id="29" w:name="_49x2ik5" w:colFirst="0" w:colLast="0"/>
      <w:bookmarkEnd w:id="29"/>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Nulman</w:t>
      </w:r>
      <w:proofErr w:type="spellEnd"/>
      <w:r w:rsidRPr="00A345B8">
        <w:rPr>
          <w:rFonts w:asciiTheme="majorHAnsi" w:hAnsiTheme="majorHAnsi" w:cstheme="majorHAnsi"/>
          <w:color w:val="000000"/>
          <w:sz w:val="20"/>
          <w:szCs w:val="20"/>
        </w:rPr>
        <w:t>,</w:t>
      </w:r>
      <w:r w:rsidRPr="00A345B8">
        <w:rPr>
          <w:rFonts w:asciiTheme="majorHAnsi" w:hAnsiTheme="majorHAnsi" w:cstheme="majorHAnsi"/>
          <w:i/>
          <w:color w:val="000000"/>
          <w:sz w:val="20"/>
          <w:szCs w:val="20"/>
        </w:rPr>
        <w:t xml:space="preserve"> Concise Encyclopedia of Jewish Music</w:t>
      </w:r>
      <w:r w:rsidRPr="00A345B8">
        <w:rPr>
          <w:rFonts w:asciiTheme="majorHAnsi" w:hAnsiTheme="majorHAnsi" w:cstheme="majorHAnsi"/>
          <w:color w:val="000000"/>
          <w:sz w:val="20"/>
          <w:szCs w:val="20"/>
        </w:rPr>
        <w:t xml:space="preserve">, 215; see also </w:t>
      </w:r>
      <w:proofErr w:type="spellStart"/>
      <w:r w:rsidRPr="00A345B8">
        <w:rPr>
          <w:rFonts w:asciiTheme="majorHAnsi" w:hAnsiTheme="majorHAnsi" w:cstheme="majorHAnsi"/>
          <w:color w:val="000000"/>
          <w:sz w:val="20"/>
          <w:szCs w:val="20"/>
        </w:rPr>
        <w:t>Yechiel</w:t>
      </w:r>
      <w:proofErr w:type="spellEnd"/>
      <w:r w:rsidRPr="00A345B8">
        <w:rPr>
          <w:rFonts w:asciiTheme="majorHAnsi" w:hAnsiTheme="majorHAnsi" w:cstheme="majorHAnsi"/>
          <w:color w:val="000000"/>
          <w:sz w:val="20"/>
          <w:szCs w:val="20"/>
        </w:rPr>
        <w:t xml:space="preserve"> Lichtenstein, “</w:t>
      </w:r>
      <w:proofErr w:type="spellStart"/>
      <w:r w:rsidRPr="00A345B8">
        <w:rPr>
          <w:rFonts w:asciiTheme="majorHAnsi" w:hAnsiTheme="majorHAnsi" w:cstheme="majorHAnsi"/>
          <w:color w:val="000000"/>
          <w:sz w:val="20"/>
          <w:szCs w:val="20"/>
        </w:rPr>
        <w:t>Dobzhin</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ayarati</w:t>
      </w:r>
      <w:proofErr w:type="spellEnd"/>
      <w:r w:rsidRPr="00A345B8">
        <w:rPr>
          <w:rFonts w:asciiTheme="majorHAnsi" w:hAnsiTheme="majorHAnsi" w:cstheme="majorHAnsi"/>
          <w:color w:val="000000"/>
          <w:sz w:val="20"/>
          <w:szCs w:val="20"/>
        </w:rPr>
        <w:t xml:space="preserve">,” in </w:t>
      </w:r>
      <w:proofErr w:type="spellStart"/>
      <w:r w:rsidRPr="00A345B8">
        <w:rPr>
          <w:rFonts w:asciiTheme="majorHAnsi" w:hAnsiTheme="majorHAnsi" w:cstheme="majorHAnsi"/>
          <w:i/>
          <w:color w:val="000000"/>
          <w:sz w:val="20"/>
          <w:szCs w:val="20"/>
        </w:rPr>
        <w:t>Ayarati</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Sefer</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zikaron</w:t>
      </w:r>
      <w:proofErr w:type="spellEnd"/>
      <w:r w:rsidRPr="00A345B8">
        <w:rPr>
          <w:rFonts w:asciiTheme="majorHAnsi" w:hAnsiTheme="majorHAnsi" w:cstheme="majorHAnsi"/>
          <w:i/>
          <w:color w:val="000000"/>
          <w:sz w:val="20"/>
          <w:szCs w:val="20"/>
        </w:rPr>
        <w:t xml:space="preserve"> le-’</w:t>
      </w:r>
      <w:proofErr w:type="spellStart"/>
      <w:r w:rsidRPr="00A345B8">
        <w:rPr>
          <w:rFonts w:asciiTheme="majorHAnsi" w:hAnsiTheme="majorHAnsi" w:cstheme="majorHAnsi"/>
          <w:i/>
          <w:color w:val="000000"/>
          <w:sz w:val="20"/>
          <w:szCs w:val="20"/>
        </w:rPr>
        <w:t>ayarot</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Dobzhin-Golob</w:t>
      </w:r>
      <w:proofErr w:type="spellEnd"/>
      <w:r w:rsidRPr="00A345B8">
        <w:rPr>
          <w:rFonts w:asciiTheme="majorHAnsi" w:hAnsiTheme="majorHAnsi" w:cstheme="majorHAnsi"/>
          <w:color w:val="000000"/>
          <w:sz w:val="20"/>
          <w:szCs w:val="20"/>
        </w:rPr>
        <w:t xml:space="preserve">, ed. M. </w:t>
      </w:r>
      <w:proofErr w:type="spellStart"/>
      <w:r w:rsidRPr="00A345B8">
        <w:rPr>
          <w:rFonts w:asciiTheme="majorHAnsi" w:hAnsiTheme="majorHAnsi" w:cstheme="majorHAnsi"/>
          <w:color w:val="000000"/>
          <w:sz w:val="20"/>
          <w:szCs w:val="20"/>
        </w:rPr>
        <w:t>Harpaz</w:t>
      </w:r>
      <w:proofErr w:type="spellEnd"/>
      <w:r w:rsidRPr="00A345B8">
        <w:rPr>
          <w:rFonts w:asciiTheme="majorHAnsi" w:hAnsiTheme="majorHAnsi" w:cstheme="majorHAnsi"/>
          <w:color w:val="000000"/>
          <w:sz w:val="20"/>
          <w:szCs w:val="20"/>
        </w:rPr>
        <w:t xml:space="preserve"> (Tel-Aviv: </w:t>
      </w:r>
      <w:proofErr w:type="spellStart"/>
      <w:r w:rsidRPr="00A345B8">
        <w:rPr>
          <w:rFonts w:asciiTheme="majorHAnsi" w:hAnsiTheme="majorHAnsi" w:cstheme="majorHAnsi"/>
          <w:color w:val="000000"/>
          <w:sz w:val="20"/>
          <w:szCs w:val="20"/>
        </w:rPr>
        <w:t>Yotzey</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Dobzhin-Golob</w:t>
      </w:r>
      <w:proofErr w:type="spellEnd"/>
      <w:r w:rsidRPr="00A345B8">
        <w:rPr>
          <w:rFonts w:asciiTheme="majorHAnsi" w:hAnsiTheme="majorHAnsi" w:cstheme="majorHAnsi"/>
          <w:color w:val="000000"/>
          <w:sz w:val="20"/>
          <w:szCs w:val="20"/>
        </w:rPr>
        <w:t>, 1969), 32; Stern, “</w:t>
      </w:r>
      <w:proofErr w:type="spellStart"/>
      <w:r w:rsidRPr="00A345B8">
        <w:rPr>
          <w:rFonts w:asciiTheme="majorHAnsi" w:hAnsiTheme="majorHAnsi" w:cstheme="majorHAnsi"/>
          <w:color w:val="000000"/>
          <w:sz w:val="20"/>
          <w:szCs w:val="20"/>
        </w:rPr>
        <w:t>Ḥeider</w:t>
      </w:r>
      <w:proofErr w:type="spellEnd"/>
      <w:r w:rsidRPr="00A345B8">
        <w:rPr>
          <w:rFonts w:asciiTheme="majorHAnsi" w:hAnsiTheme="majorHAnsi" w:cstheme="majorHAnsi"/>
          <w:color w:val="000000"/>
          <w:sz w:val="20"/>
          <w:szCs w:val="20"/>
        </w:rPr>
        <w:t xml:space="preserve"> un </w:t>
      </w:r>
      <w:proofErr w:type="spellStart"/>
      <w:r w:rsidRPr="00A345B8">
        <w:rPr>
          <w:rFonts w:asciiTheme="majorHAnsi" w:hAnsiTheme="majorHAnsi" w:cstheme="majorHAnsi"/>
          <w:color w:val="000000"/>
          <w:sz w:val="20"/>
          <w:szCs w:val="20"/>
        </w:rPr>
        <w:t>beis-midresh</w:t>
      </w:r>
      <w:proofErr w:type="spellEnd"/>
      <w:r w:rsidRPr="00A345B8">
        <w:rPr>
          <w:rFonts w:asciiTheme="majorHAnsi" w:hAnsiTheme="majorHAnsi" w:cstheme="majorHAnsi"/>
          <w:color w:val="000000"/>
          <w:sz w:val="20"/>
          <w:szCs w:val="20"/>
        </w:rPr>
        <w:t>,” 108–109.</w:t>
      </w:r>
    </w:p>
  </w:footnote>
  <w:footnote w:id="69">
    <w:p w14:paraId="0000009D" w14:textId="03C12CB0"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proofErr w:type="spellStart"/>
      <w:r w:rsidR="00C66E0F" w:rsidRPr="00A345B8">
        <w:rPr>
          <w:rFonts w:asciiTheme="majorHAnsi" w:hAnsiTheme="majorHAnsi" w:cstheme="majorHAnsi"/>
          <w:i/>
          <w:color w:val="000000"/>
          <w:sz w:val="20"/>
          <w:szCs w:val="20"/>
        </w:rPr>
        <w:t>Leket</w:t>
      </w:r>
      <w:proofErr w:type="spellEnd"/>
      <w:r w:rsidR="00C66E0F" w:rsidRPr="00A345B8">
        <w:rPr>
          <w:rFonts w:asciiTheme="majorHAnsi" w:hAnsiTheme="majorHAnsi" w:cstheme="majorHAnsi"/>
          <w:i/>
          <w:color w:val="000000"/>
          <w:sz w:val="20"/>
          <w:szCs w:val="20"/>
        </w:rPr>
        <w:t xml:space="preserve"> </w:t>
      </w:r>
      <w:proofErr w:type="spellStart"/>
      <w:r w:rsidR="00C66E0F" w:rsidRPr="00A345B8">
        <w:rPr>
          <w:rFonts w:asciiTheme="majorHAnsi" w:hAnsiTheme="majorHAnsi" w:cstheme="majorHAnsi"/>
          <w:i/>
          <w:color w:val="000000"/>
          <w:sz w:val="20"/>
          <w:szCs w:val="20"/>
        </w:rPr>
        <w:t>yosher</w:t>
      </w:r>
      <w:proofErr w:type="spellEnd"/>
      <w:r w:rsidR="00C66E0F" w:rsidRPr="00A345B8">
        <w:rPr>
          <w:rFonts w:asciiTheme="majorHAnsi" w:hAnsiTheme="majorHAnsi" w:cstheme="majorHAnsi"/>
          <w:i/>
          <w:color w:val="000000"/>
          <w:sz w:val="20"/>
          <w:szCs w:val="20"/>
        </w:rPr>
        <w:t xml:space="preserve">: </w:t>
      </w:r>
      <w:proofErr w:type="spellStart"/>
      <w:r w:rsidR="00C66E0F" w:rsidRPr="00A345B8">
        <w:rPr>
          <w:rFonts w:asciiTheme="majorHAnsi" w:hAnsiTheme="majorHAnsi" w:cstheme="majorHAnsi"/>
          <w:i/>
          <w:color w:val="000000"/>
          <w:sz w:val="20"/>
          <w:szCs w:val="20"/>
        </w:rPr>
        <w:t>Oraḥ</w:t>
      </w:r>
      <w:proofErr w:type="spellEnd"/>
      <w:r w:rsidR="00C66E0F" w:rsidRPr="00A345B8">
        <w:rPr>
          <w:rFonts w:asciiTheme="majorHAnsi" w:hAnsiTheme="majorHAnsi" w:cstheme="majorHAnsi"/>
          <w:i/>
          <w:color w:val="000000"/>
          <w:sz w:val="20"/>
          <w:szCs w:val="20"/>
        </w:rPr>
        <w:t xml:space="preserve"> </w:t>
      </w:r>
      <w:proofErr w:type="spellStart"/>
      <w:r w:rsidR="00C66E0F" w:rsidRPr="00A345B8">
        <w:rPr>
          <w:rFonts w:asciiTheme="majorHAnsi" w:hAnsiTheme="majorHAnsi" w:cstheme="majorHAnsi"/>
          <w:i/>
          <w:color w:val="000000"/>
          <w:sz w:val="20"/>
          <w:szCs w:val="20"/>
        </w:rPr>
        <w:t>ḥayim</w:t>
      </w:r>
      <w:proofErr w:type="spellEnd"/>
      <w:r w:rsidR="00C66E0F" w:rsidRPr="00A345B8">
        <w:rPr>
          <w:rFonts w:asciiTheme="majorHAnsi" w:hAnsiTheme="majorHAnsi" w:cstheme="majorHAnsi"/>
          <w:color w:val="000000"/>
          <w:sz w:val="20"/>
          <w:szCs w:val="20"/>
        </w:rPr>
        <w:t xml:space="preserve">, 7 no. 11 (RP) [Hebrew]. </w:t>
      </w:r>
      <w:r w:rsidRPr="00A345B8">
        <w:rPr>
          <w:rFonts w:asciiTheme="majorHAnsi" w:hAnsiTheme="majorHAnsi" w:cstheme="majorHAnsi"/>
          <w:color w:val="000000"/>
          <w:sz w:val="20"/>
          <w:szCs w:val="20"/>
        </w:rPr>
        <w:t>The translation is mine</w:t>
      </w:r>
      <w:r w:rsidR="00C66E0F" w:rsidRPr="00A345B8">
        <w:rPr>
          <w:rFonts w:asciiTheme="majorHAnsi" w:hAnsiTheme="majorHAnsi" w:cstheme="majorHAnsi"/>
          <w:color w:val="000000"/>
          <w:sz w:val="20"/>
          <w:szCs w:val="20"/>
        </w:rPr>
        <w:t>.</w:t>
      </w:r>
    </w:p>
  </w:footnote>
  <w:footnote w:id="70">
    <w:p w14:paraId="0000009E"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For a “grand image” of these Kabbalistic aspects, see Moshe </w:t>
      </w:r>
      <w:proofErr w:type="spellStart"/>
      <w:r w:rsidRPr="00A345B8">
        <w:rPr>
          <w:rFonts w:asciiTheme="majorHAnsi" w:hAnsiTheme="majorHAnsi" w:cstheme="majorHAnsi"/>
          <w:color w:val="000000"/>
          <w:sz w:val="20"/>
          <w:szCs w:val="20"/>
        </w:rPr>
        <w:t>Idel</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Absorbing Perfections: Kabbalah and Interpretation</w:t>
      </w:r>
      <w:r w:rsidRPr="00A345B8">
        <w:rPr>
          <w:rFonts w:asciiTheme="majorHAnsi" w:hAnsiTheme="majorHAnsi" w:cstheme="majorHAnsi"/>
          <w:color w:val="000000"/>
          <w:sz w:val="20"/>
          <w:szCs w:val="20"/>
        </w:rPr>
        <w:t xml:space="preserve"> (New Haven: Yale University Press, 2002).  </w:t>
      </w:r>
    </w:p>
  </w:footnote>
  <w:footnote w:id="71">
    <w:p w14:paraId="0000009F" w14:textId="703B64ED"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r w:rsidRPr="00E07FE4">
        <w:rPr>
          <w:rFonts w:asciiTheme="majorHAnsi" w:hAnsiTheme="majorHAnsi" w:cstheme="majorHAnsi"/>
          <w:color w:val="000000"/>
          <w:sz w:val="20"/>
          <w:szCs w:val="20"/>
          <w:highlight w:val="yellow"/>
        </w:rPr>
        <w:t>Other figures variedly included a cantor with a book, butcher with a knife, baker with matza, or a scribe with a pen</w:t>
      </w:r>
      <w:r w:rsidR="00053170" w:rsidRPr="00E07FE4">
        <w:rPr>
          <w:rFonts w:asciiTheme="majorHAnsi" w:hAnsiTheme="majorHAnsi" w:cstheme="majorHAnsi"/>
          <w:color w:val="000000"/>
          <w:sz w:val="20"/>
          <w:szCs w:val="20"/>
          <w:highlight w:val="yellow"/>
        </w:rPr>
        <w:t xml:space="preserve">, reproduced in Jewish Ceremonial Art, eds. Stephen S. </w:t>
      </w:r>
      <w:proofErr w:type="spellStart"/>
      <w:r w:rsidR="00053170" w:rsidRPr="00E07FE4">
        <w:rPr>
          <w:rFonts w:asciiTheme="majorHAnsi" w:hAnsiTheme="majorHAnsi" w:cstheme="majorHAnsi"/>
          <w:color w:val="000000"/>
          <w:sz w:val="20"/>
          <w:szCs w:val="20"/>
          <w:highlight w:val="yellow"/>
        </w:rPr>
        <w:t>Kayser</w:t>
      </w:r>
      <w:proofErr w:type="spellEnd"/>
      <w:r w:rsidR="00053170" w:rsidRPr="00E07FE4">
        <w:rPr>
          <w:rFonts w:asciiTheme="majorHAnsi" w:hAnsiTheme="majorHAnsi" w:cstheme="majorHAnsi"/>
          <w:color w:val="000000"/>
          <w:sz w:val="20"/>
          <w:szCs w:val="20"/>
          <w:highlight w:val="yellow"/>
        </w:rPr>
        <w:t xml:space="preserve"> and Guido </w:t>
      </w:r>
      <w:proofErr w:type="spellStart"/>
      <w:r w:rsidR="00053170" w:rsidRPr="00E07FE4">
        <w:rPr>
          <w:rFonts w:asciiTheme="majorHAnsi" w:hAnsiTheme="majorHAnsi" w:cstheme="majorHAnsi"/>
          <w:color w:val="000000"/>
          <w:sz w:val="20"/>
          <w:szCs w:val="20"/>
          <w:highlight w:val="yellow"/>
        </w:rPr>
        <w:t>Schoenberger</w:t>
      </w:r>
      <w:proofErr w:type="spellEnd"/>
      <w:r w:rsidR="00053170" w:rsidRPr="00E07FE4">
        <w:rPr>
          <w:rFonts w:asciiTheme="majorHAnsi" w:hAnsiTheme="majorHAnsi" w:cstheme="majorHAnsi"/>
          <w:color w:val="000000"/>
          <w:sz w:val="20"/>
          <w:szCs w:val="20"/>
          <w:highlight w:val="yellow"/>
        </w:rPr>
        <w:t xml:space="preserve"> (Philadelphia: Jewish Publication Society of America, 1959), pp. 96</w:t>
      </w:r>
      <w:r w:rsidR="00524661" w:rsidRPr="00E07FE4">
        <w:rPr>
          <w:rFonts w:asciiTheme="majorHAnsi" w:hAnsiTheme="majorHAnsi" w:cstheme="majorHAnsi"/>
          <w:color w:val="000000"/>
          <w:sz w:val="20"/>
          <w:szCs w:val="20"/>
          <w:highlight w:val="yellow"/>
        </w:rPr>
        <w:t xml:space="preserve">, 99. </w:t>
      </w:r>
      <w:r w:rsidRPr="00E07FE4">
        <w:rPr>
          <w:rFonts w:asciiTheme="majorHAnsi" w:hAnsiTheme="majorHAnsi" w:cstheme="majorHAnsi"/>
          <w:color w:val="000000"/>
          <w:sz w:val="20"/>
          <w:szCs w:val="20"/>
          <w:highlight w:val="yellow"/>
        </w:rPr>
        <w:t xml:space="preserve">See </w:t>
      </w:r>
      <w:r w:rsidR="00524661" w:rsidRPr="00E07FE4">
        <w:rPr>
          <w:rFonts w:asciiTheme="majorHAnsi" w:hAnsiTheme="majorHAnsi" w:cstheme="majorHAnsi"/>
          <w:color w:val="000000"/>
          <w:sz w:val="20"/>
          <w:szCs w:val="20"/>
          <w:highlight w:val="yellow"/>
        </w:rPr>
        <w:t xml:space="preserve">also </w:t>
      </w:r>
      <w:bookmarkStart w:id="30" w:name="_Hlk137455872"/>
      <w:r w:rsidRPr="00E07FE4">
        <w:rPr>
          <w:rFonts w:asciiTheme="majorHAnsi" w:hAnsiTheme="majorHAnsi" w:cstheme="majorHAnsi"/>
          <w:color w:val="000000"/>
          <w:sz w:val="20"/>
          <w:szCs w:val="20"/>
          <w:highlight w:val="yellow"/>
        </w:rPr>
        <w:t xml:space="preserve">Daniel Sperber, </w:t>
      </w:r>
      <w:proofErr w:type="spellStart"/>
      <w:r w:rsidRPr="00E07FE4">
        <w:rPr>
          <w:rFonts w:asciiTheme="majorHAnsi" w:hAnsiTheme="majorHAnsi" w:cstheme="majorHAnsi"/>
          <w:i/>
          <w:iCs/>
          <w:color w:val="000000"/>
          <w:sz w:val="20"/>
          <w:szCs w:val="20"/>
          <w:highlight w:val="yellow"/>
        </w:rPr>
        <w:t>Minhagei</w:t>
      </w:r>
      <w:proofErr w:type="spellEnd"/>
      <w:r w:rsidRPr="00E07FE4">
        <w:rPr>
          <w:rFonts w:asciiTheme="majorHAnsi" w:hAnsiTheme="majorHAnsi" w:cstheme="majorHAnsi"/>
          <w:i/>
          <w:iCs/>
          <w:color w:val="000000"/>
          <w:sz w:val="20"/>
          <w:szCs w:val="20"/>
          <w:highlight w:val="yellow"/>
        </w:rPr>
        <w:t xml:space="preserve"> Yisrael</w:t>
      </w:r>
      <w:r w:rsidRPr="00E07FE4">
        <w:rPr>
          <w:rFonts w:asciiTheme="majorHAnsi" w:hAnsiTheme="majorHAnsi" w:cstheme="majorHAnsi"/>
          <w:color w:val="000000"/>
          <w:sz w:val="20"/>
          <w:szCs w:val="20"/>
          <w:highlight w:val="yellow"/>
        </w:rPr>
        <w:t xml:space="preserve"> 6: 5.</w:t>
      </w:r>
    </w:p>
    <w:bookmarkStart w:id="31" w:name="_2p2csry" w:colFirst="0" w:colLast="0"/>
    <w:bookmarkEnd w:id="30"/>
    <w:bookmarkEnd w:id="31"/>
  </w:footnote>
  <w:footnote w:id="72">
    <w:p w14:paraId="000000A0"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bookmarkStart w:id="32" w:name="_2p2csry" w:colFirst="0" w:colLast="0"/>
      <w:bookmarkEnd w:id="32"/>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Marcus Jastrow, </w:t>
      </w:r>
      <w:r w:rsidRPr="00A345B8">
        <w:rPr>
          <w:rFonts w:asciiTheme="majorHAnsi" w:hAnsiTheme="majorHAnsi" w:cstheme="majorHAnsi"/>
          <w:i/>
          <w:color w:val="000000"/>
          <w:sz w:val="20"/>
          <w:szCs w:val="20"/>
        </w:rPr>
        <w:t xml:space="preserve">Dictionary of </w:t>
      </w:r>
      <w:proofErr w:type="spellStart"/>
      <w:r w:rsidRPr="00A345B8">
        <w:rPr>
          <w:rFonts w:asciiTheme="majorHAnsi" w:hAnsiTheme="majorHAnsi" w:cstheme="majorHAnsi"/>
          <w:i/>
          <w:color w:val="000000"/>
          <w:sz w:val="20"/>
          <w:szCs w:val="20"/>
        </w:rPr>
        <w:t>Targumim</w:t>
      </w:r>
      <w:proofErr w:type="spellEnd"/>
      <w:r w:rsidRPr="00A345B8">
        <w:rPr>
          <w:rFonts w:asciiTheme="majorHAnsi" w:hAnsiTheme="majorHAnsi" w:cstheme="majorHAnsi"/>
          <w:i/>
          <w:color w:val="000000"/>
          <w:sz w:val="20"/>
          <w:szCs w:val="20"/>
        </w:rPr>
        <w:t>, Talmud and Midrashic Literature</w:t>
      </w:r>
      <w:r w:rsidRPr="00A345B8">
        <w:rPr>
          <w:rFonts w:asciiTheme="majorHAnsi" w:hAnsiTheme="majorHAnsi" w:cstheme="majorHAnsi"/>
          <w:color w:val="000000"/>
          <w:sz w:val="20"/>
          <w:szCs w:val="20"/>
        </w:rPr>
        <w:t xml:space="preserve"> (London: </w:t>
      </w:r>
      <w:proofErr w:type="spellStart"/>
      <w:r w:rsidRPr="00A345B8">
        <w:rPr>
          <w:rFonts w:asciiTheme="majorHAnsi" w:hAnsiTheme="majorHAnsi" w:cstheme="majorHAnsi"/>
          <w:color w:val="000000"/>
          <w:sz w:val="20"/>
          <w:szCs w:val="20"/>
        </w:rPr>
        <w:t>Luzac</w:t>
      </w:r>
      <w:proofErr w:type="spellEnd"/>
      <w:r w:rsidRPr="00A345B8">
        <w:rPr>
          <w:rFonts w:asciiTheme="majorHAnsi" w:hAnsiTheme="majorHAnsi" w:cstheme="majorHAnsi"/>
          <w:color w:val="000000"/>
          <w:sz w:val="20"/>
          <w:szCs w:val="20"/>
        </w:rPr>
        <w:t xml:space="preserve">, 1903), 782 c. v. </w:t>
      </w:r>
      <w:proofErr w:type="spellStart"/>
      <w:r w:rsidRPr="00A345B8">
        <w:rPr>
          <w:rFonts w:asciiTheme="majorHAnsi" w:hAnsiTheme="majorHAnsi" w:cstheme="majorHAnsi"/>
          <w:color w:val="000000"/>
          <w:sz w:val="20"/>
          <w:szCs w:val="20"/>
          <w:rtl/>
        </w:rPr>
        <w:t>מכושא</w:t>
      </w:r>
      <w:proofErr w:type="spellEnd"/>
      <w:r w:rsidRPr="00A345B8">
        <w:rPr>
          <w:rFonts w:asciiTheme="majorHAnsi" w:hAnsiTheme="majorHAnsi" w:cstheme="majorHAnsi"/>
          <w:color w:val="000000"/>
          <w:sz w:val="20"/>
          <w:szCs w:val="20"/>
        </w:rPr>
        <w:t xml:space="preserve">. See also a clarification of the term in Daniel Sperber, </w:t>
      </w:r>
      <w:proofErr w:type="spellStart"/>
      <w:r w:rsidRPr="00A345B8">
        <w:rPr>
          <w:rFonts w:asciiTheme="majorHAnsi" w:hAnsiTheme="majorHAnsi" w:cstheme="majorHAnsi"/>
          <w:i/>
          <w:color w:val="000000"/>
          <w:sz w:val="20"/>
          <w:szCs w:val="20"/>
        </w:rPr>
        <w:t>Minhagei</w:t>
      </w:r>
      <w:proofErr w:type="spellEnd"/>
      <w:r w:rsidRPr="00A345B8">
        <w:rPr>
          <w:rFonts w:asciiTheme="majorHAnsi" w:hAnsiTheme="majorHAnsi" w:cstheme="majorHAnsi"/>
          <w:i/>
          <w:color w:val="000000"/>
          <w:sz w:val="20"/>
          <w:szCs w:val="20"/>
        </w:rPr>
        <w:t xml:space="preserve"> Yisrael</w:t>
      </w:r>
      <w:r w:rsidRPr="00A345B8">
        <w:rPr>
          <w:rFonts w:asciiTheme="majorHAnsi" w:hAnsiTheme="majorHAnsi" w:cstheme="majorHAnsi"/>
          <w:color w:val="000000"/>
          <w:sz w:val="20"/>
          <w:szCs w:val="20"/>
        </w:rPr>
        <w:t xml:space="preserve"> 6: 4.</w:t>
      </w:r>
    </w:p>
  </w:footnote>
  <w:footnote w:id="73">
    <w:p w14:paraId="000000A1"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For example, David Sperber, </w:t>
      </w:r>
      <w:proofErr w:type="spellStart"/>
      <w:r w:rsidRPr="00A345B8">
        <w:rPr>
          <w:rFonts w:asciiTheme="majorHAnsi" w:hAnsiTheme="majorHAnsi" w:cstheme="majorHAnsi"/>
          <w:i/>
          <w:color w:val="000000"/>
          <w:sz w:val="20"/>
          <w:szCs w:val="20"/>
        </w:rPr>
        <w:t>Afarsekta</w:t>
      </w:r>
      <w:proofErr w:type="spellEnd"/>
      <w:r w:rsidRPr="00A345B8">
        <w:rPr>
          <w:rFonts w:asciiTheme="majorHAnsi" w:hAnsiTheme="majorHAnsi" w:cstheme="majorHAnsi"/>
          <w:i/>
          <w:color w:val="000000"/>
          <w:sz w:val="20"/>
          <w:szCs w:val="20"/>
        </w:rPr>
        <w:t xml:space="preserve"> de-’</w:t>
      </w:r>
      <w:proofErr w:type="spellStart"/>
      <w:r w:rsidRPr="00A345B8">
        <w:rPr>
          <w:rFonts w:asciiTheme="majorHAnsi" w:hAnsiTheme="majorHAnsi" w:cstheme="majorHAnsi"/>
          <w:i/>
          <w:color w:val="000000"/>
          <w:sz w:val="20"/>
          <w:szCs w:val="20"/>
        </w:rPr>
        <w:t>anya</w:t>
      </w:r>
      <w:proofErr w:type="spellEnd"/>
      <w:r w:rsidRPr="00A345B8">
        <w:rPr>
          <w:rFonts w:asciiTheme="majorHAnsi" w:hAnsiTheme="majorHAnsi" w:cstheme="majorHAnsi"/>
          <w:color w:val="000000"/>
          <w:sz w:val="20"/>
          <w:szCs w:val="20"/>
        </w:rPr>
        <w:t xml:space="preserve">, 187 no. 362; </w:t>
      </w:r>
      <w:proofErr w:type="spellStart"/>
      <w:r w:rsidRPr="00A345B8">
        <w:rPr>
          <w:rFonts w:asciiTheme="majorHAnsi" w:hAnsiTheme="majorHAnsi" w:cstheme="majorHAnsi"/>
          <w:color w:val="000000"/>
          <w:sz w:val="20"/>
          <w:szCs w:val="20"/>
        </w:rPr>
        <w:t>Yissachar</w:t>
      </w:r>
      <w:proofErr w:type="spellEnd"/>
      <w:r w:rsidRPr="00A345B8">
        <w:rPr>
          <w:rFonts w:asciiTheme="majorHAnsi" w:hAnsiTheme="majorHAnsi" w:cstheme="majorHAnsi"/>
          <w:color w:val="000000"/>
          <w:sz w:val="20"/>
          <w:szCs w:val="20"/>
        </w:rPr>
        <w:t xml:space="preserve"> ben </w:t>
      </w:r>
      <w:proofErr w:type="spellStart"/>
      <w:r w:rsidRPr="00A345B8">
        <w:rPr>
          <w:rFonts w:asciiTheme="majorHAnsi" w:hAnsiTheme="majorHAnsi" w:cstheme="majorHAnsi"/>
          <w:color w:val="000000"/>
          <w:sz w:val="20"/>
          <w:szCs w:val="20"/>
        </w:rPr>
        <w:t>Zvi</w:t>
      </w:r>
      <w:proofErr w:type="spellEnd"/>
      <w:r w:rsidRPr="00A345B8">
        <w:rPr>
          <w:rFonts w:asciiTheme="majorHAnsi" w:hAnsiTheme="majorHAnsi" w:cstheme="majorHAnsi"/>
          <w:color w:val="000000"/>
          <w:sz w:val="20"/>
          <w:szCs w:val="20"/>
        </w:rPr>
        <w:t xml:space="preserve"> Tamar (1896–1972), </w:t>
      </w:r>
      <w:proofErr w:type="spellStart"/>
      <w:r w:rsidRPr="00A345B8">
        <w:rPr>
          <w:rFonts w:asciiTheme="majorHAnsi" w:hAnsiTheme="majorHAnsi" w:cstheme="majorHAnsi"/>
          <w:i/>
          <w:color w:val="000000"/>
          <w:sz w:val="20"/>
          <w:szCs w:val="20"/>
        </w:rPr>
        <w:t>Alei</w:t>
      </w:r>
      <w:proofErr w:type="spellEnd"/>
      <w:r w:rsidRPr="00A345B8">
        <w:rPr>
          <w:rFonts w:asciiTheme="majorHAnsi" w:hAnsiTheme="majorHAnsi" w:cstheme="majorHAnsi"/>
          <w:i/>
          <w:color w:val="000000"/>
          <w:sz w:val="20"/>
          <w:szCs w:val="20"/>
        </w:rPr>
        <w:t xml:space="preserve"> Tamar</w:t>
      </w:r>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i/>
          <w:color w:val="000000"/>
          <w:sz w:val="20"/>
          <w:szCs w:val="20"/>
        </w:rPr>
        <w:t>Shekalim</w:t>
      </w:r>
      <w:proofErr w:type="spellEnd"/>
      <w:r w:rsidRPr="00A345B8">
        <w:rPr>
          <w:rFonts w:asciiTheme="majorHAnsi" w:hAnsiTheme="majorHAnsi" w:cstheme="majorHAnsi"/>
          <w:color w:val="000000"/>
          <w:sz w:val="20"/>
          <w:szCs w:val="20"/>
        </w:rPr>
        <w:t xml:space="preserve"> 5, </w:t>
      </w:r>
      <w:proofErr w:type="spellStart"/>
      <w:r w:rsidRPr="00A345B8">
        <w:rPr>
          <w:rFonts w:asciiTheme="majorHAnsi" w:hAnsiTheme="majorHAnsi" w:cstheme="majorHAnsi"/>
          <w:i/>
          <w:color w:val="000000"/>
          <w:sz w:val="20"/>
          <w:szCs w:val="20"/>
        </w:rPr>
        <w:t>Megilah</w:t>
      </w:r>
      <w:proofErr w:type="spellEnd"/>
      <w:r w:rsidRPr="00A345B8">
        <w:rPr>
          <w:rFonts w:asciiTheme="majorHAnsi" w:hAnsiTheme="majorHAnsi" w:cstheme="majorHAnsi"/>
          <w:color w:val="000000"/>
          <w:sz w:val="20"/>
          <w:szCs w:val="20"/>
        </w:rPr>
        <w:t xml:space="preserve"> 3 (RP); Meir </w:t>
      </w:r>
      <w:proofErr w:type="spellStart"/>
      <w:r w:rsidRPr="00A345B8">
        <w:rPr>
          <w:rFonts w:asciiTheme="majorHAnsi" w:hAnsiTheme="majorHAnsi" w:cstheme="majorHAnsi"/>
          <w:color w:val="000000"/>
          <w:sz w:val="20"/>
          <w:szCs w:val="20"/>
        </w:rPr>
        <w:t>Kuczinski</w:t>
      </w:r>
      <w:proofErr w:type="spellEnd"/>
      <w:r w:rsidRPr="00A345B8">
        <w:rPr>
          <w:rFonts w:asciiTheme="majorHAnsi" w:hAnsiTheme="majorHAnsi" w:cstheme="majorHAnsi"/>
          <w:color w:val="000000"/>
          <w:sz w:val="20"/>
          <w:szCs w:val="20"/>
        </w:rPr>
        <w:t xml:space="preserve">, [a reader’s inquiry], </w:t>
      </w:r>
      <w:proofErr w:type="spellStart"/>
      <w:r w:rsidRPr="00A345B8">
        <w:rPr>
          <w:rFonts w:asciiTheme="majorHAnsi" w:hAnsiTheme="majorHAnsi" w:cstheme="majorHAnsi"/>
          <w:i/>
          <w:color w:val="000000"/>
          <w:sz w:val="20"/>
          <w:szCs w:val="20"/>
        </w:rPr>
        <w:t>Yiddishe</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Shprakh</w:t>
      </w:r>
      <w:proofErr w:type="spellEnd"/>
      <w:r w:rsidRPr="00A345B8">
        <w:rPr>
          <w:rFonts w:asciiTheme="majorHAnsi" w:hAnsiTheme="majorHAnsi" w:cstheme="majorHAnsi"/>
          <w:color w:val="000000"/>
          <w:sz w:val="20"/>
          <w:szCs w:val="20"/>
        </w:rPr>
        <w:t xml:space="preserve"> 21, 1 (1967): 95 no. 256 [Yiddish].</w:t>
      </w:r>
    </w:p>
  </w:footnote>
  <w:footnote w:id="74">
    <w:p w14:paraId="000000A2" w14:textId="445CEF25"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lang w:val="de-DE"/>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lang w:val="de-DE"/>
        </w:rPr>
        <w:t xml:space="preserve"> </w:t>
      </w:r>
      <w:r w:rsidRPr="00A345B8">
        <w:rPr>
          <w:rFonts w:asciiTheme="majorHAnsi" w:hAnsiTheme="majorHAnsi" w:cstheme="majorHAnsi"/>
          <w:color w:val="000000"/>
          <w:sz w:val="20"/>
          <w:szCs w:val="20"/>
          <w:lang w:val="de-DE"/>
        </w:rPr>
        <w:t xml:space="preserve">See Johannes Reiss, “Der Schulklopfer,” in </w:t>
      </w:r>
      <w:r w:rsidRPr="00A345B8">
        <w:rPr>
          <w:rFonts w:asciiTheme="majorHAnsi" w:hAnsiTheme="majorHAnsi" w:cstheme="majorHAnsi"/>
          <w:i/>
          <w:color w:val="000000"/>
          <w:sz w:val="20"/>
          <w:szCs w:val="20"/>
          <w:lang w:val="de-DE"/>
        </w:rPr>
        <w:t>Koschere Melange: Das Blog des Österreichischen Jüdischen Museums</w:t>
      </w:r>
      <w:r w:rsidRPr="00A345B8">
        <w:rPr>
          <w:rFonts w:asciiTheme="majorHAnsi" w:hAnsiTheme="majorHAnsi" w:cstheme="majorHAnsi"/>
          <w:color w:val="000000"/>
          <w:sz w:val="20"/>
          <w:szCs w:val="20"/>
          <w:lang w:val="de-DE"/>
        </w:rPr>
        <w:t xml:space="preserve"> (December 30, 2020), www.ojm.at/blog/2022/04/01/der-schulklopfer (</w:t>
      </w:r>
      <w:r w:rsidR="009C1B2B" w:rsidRPr="00A345B8">
        <w:rPr>
          <w:rFonts w:asciiTheme="majorHAnsi" w:hAnsiTheme="majorHAnsi" w:cstheme="majorHAnsi"/>
          <w:color w:val="000000"/>
          <w:sz w:val="20"/>
          <w:szCs w:val="20"/>
          <w:lang w:val="de-DE"/>
        </w:rPr>
        <w:t>accessed February 26, 2023</w:t>
      </w:r>
      <w:r w:rsidRPr="00A345B8">
        <w:rPr>
          <w:rFonts w:asciiTheme="majorHAnsi" w:hAnsiTheme="majorHAnsi" w:cstheme="majorHAnsi"/>
          <w:color w:val="000000"/>
          <w:sz w:val="20"/>
          <w:szCs w:val="20"/>
          <w:lang w:val="de-DE"/>
        </w:rPr>
        <w:t>).</w:t>
      </w:r>
    </w:p>
  </w:footnote>
  <w:footnote w:id="75">
    <w:p w14:paraId="39471666" w14:textId="4BEF1021" w:rsidR="004B519D" w:rsidRPr="00A345B8" w:rsidRDefault="004B519D" w:rsidP="00A345B8">
      <w:pPr>
        <w:pStyle w:val="FootnoteText"/>
        <w:spacing w:line="360" w:lineRule="auto"/>
        <w:ind w:left="720" w:hanging="720"/>
      </w:pPr>
      <w:r w:rsidRPr="00A345B8">
        <w:rPr>
          <w:rStyle w:val="FootnoteReference"/>
        </w:rPr>
        <w:footnoteRef/>
      </w:r>
      <w:r w:rsidRPr="00A345B8">
        <w:t xml:space="preserve"> </w:t>
      </w:r>
      <w:r w:rsidR="0029456B" w:rsidRPr="00A345B8">
        <w:t xml:space="preserve">Warsaw, Jewish Historical Institute, Central Jewish Library, item MŻIH B-514, </w:t>
      </w:r>
      <w:r w:rsidRPr="00A345B8">
        <w:t>cbj.jhi.pl/documents/983392/4</w:t>
      </w:r>
      <w:r w:rsidR="0029456B" w:rsidRPr="00A345B8">
        <w:t xml:space="preserve"> </w:t>
      </w:r>
      <w:r w:rsidR="0029456B" w:rsidRPr="00A345B8">
        <w:rPr>
          <w:rFonts w:asciiTheme="majorHAnsi" w:hAnsiTheme="majorHAnsi" w:cstheme="majorHAnsi"/>
          <w:color w:val="000000"/>
          <w:lang w:val="de-DE"/>
        </w:rPr>
        <w:t>(accessed February 26, 2023).</w:t>
      </w:r>
    </w:p>
  </w:footnote>
  <w:footnote w:id="76">
    <w:p w14:paraId="000000A3" w14:textId="484AB8BC"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lang w:val="de-DE"/>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lang w:val="de-DE"/>
        </w:rPr>
        <w:t xml:space="preserve"> </w:t>
      </w:r>
      <w:r w:rsidRPr="002B5D71">
        <w:rPr>
          <w:rFonts w:asciiTheme="majorHAnsi" w:hAnsiTheme="majorHAnsi" w:cstheme="majorHAnsi"/>
          <w:color w:val="000000"/>
          <w:sz w:val="20"/>
          <w:szCs w:val="20"/>
          <w:highlight w:val="yellow"/>
          <w:lang w:val="de-DE"/>
        </w:rPr>
        <w:t xml:space="preserve">The epitaph mentions: </w:t>
      </w:r>
      <w:r w:rsidRPr="002B5D71">
        <w:rPr>
          <w:rFonts w:asciiTheme="majorHAnsi" w:hAnsiTheme="majorHAnsi" w:cstheme="majorHAnsi"/>
          <w:color w:val="000000"/>
          <w:sz w:val="20"/>
          <w:szCs w:val="20"/>
          <w:highlight w:val="yellow"/>
          <w:rtl/>
        </w:rPr>
        <w:t xml:space="preserve">מנעוריו </w:t>
      </w:r>
      <w:proofErr w:type="spellStart"/>
      <w:r w:rsidRPr="002B5D71">
        <w:rPr>
          <w:rFonts w:asciiTheme="majorHAnsi" w:hAnsiTheme="majorHAnsi" w:cstheme="majorHAnsi"/>
          <w:color w:val="000000"/>
          <w:sz w:val="20"/>
          <w:szCs w:val="20"/>
          <w:highlight w:val="yellow"/>
          <w:rtl/>
        </w:rPr>
        <w:t>היתה</w:t>
      </w:r>
      <w:proofErr w:type="spellEnd"/>
      <w:r w:rsidRPr="002B5D71">
        <w:rPr>
          <w:rFonts w:asciiTheme="majorHAnsi" w:hAnsiTheme="majorHAnsi" w:cstheme="majorHAnsi"/>
          <w:color w:val="000000"/>
          <w:sz w:val="20"/>
          <w:szCs w:val="20"/>
          <w:highlight w:val="yellow"/>
          <w:rtl/>
        </w:rPr>
        <w:t xml:space="preserve"> זאת עבודתו לעורר איש איש לתפלתו</w:t>
      </w:r>
      <w:r w:rsidRPr="002B5D71">
        <w:rPr>
          <w:rFonts w:asciiTheme="majorHAnsi" w:hAnsiTheme="majorHAnsi" w:cstheme="majorHAnsi"/>
          <w:color w:val="000000"/>
          <w:sz w:val="20"/>
          <w:szCs w:val="20"/>
          <w:highlight w:val="yellow"/>
          <w:lang w:val="de-DE"/>
        </w:rPr>
        <w:t xml:space="preserve"> (From his young years this was his work to wake up each men for prayer),</w:t>
      </w:r>
      <w:r w:rsidRPr="00A345B8">
        <w:rPr>
          <w:rFonts w:asciiTheme="majorHAnsi" w:hAnsiTheme="majorHAnsi" w:cstheme="majorHAnsi"/>
          <w:color w:val="000000"/>
          <w:sz w:val="20"/>
          <w:szCs w:val="20"/>
          <w:lang w:val="de-DE"/>
        </w:rPr>
        <w:t xml:space="preserve"> see Johannes Reiss, “Friedhof Kobersdorf: Bauer Michael – 04. März 1898,” in </w:t>
      </w:r>
      <w:r w:rsidRPr="00A345B8">
        <w:rPr>
          <w:rFonts w:asciiTheme="majorHAnsi" w:hAnsiTheme="majorHAnsi" w:cstheme="majorHAnsi"/>
          <w:i/>
          <w:color w:val="000000"/>
          <w:sz w:val="20"/>
          <w:szCs w:val="20"/>
          <w:lang w:val="de-DE"/>
        </w:rPr>
        <w:t>Koschere Melange: Das Blog des Österreichischen Jüdischen Museums</w:t>
      </w:r>
      <w:r w:rsidRPr="00A345B8">
        <w:rPr>
          <w:rFonts w:asciiTheme="majorHAnsi" w:hAnsiTheme="majorHAnsi" w:cstheme="majorHAnsi"/>
          <w:color w:val="000000"/>
          <w:sz w:val="20"/>
          <w:szCs w:val="20"/>
          <w:lang w:val="de-DE"/>
        </w:rPr>
        <w:t>, www.ojm.at/blog/2022/04/01/ bauer-michael-04-maerz-1898 (</w:t>
      </w:r>
      <w:r w:rsidR="009C1B2B" w:rsidRPr="00A345B8">
        <w:rPr>
          <w:rFonts w:asciiTheme="majorHAnsi" w:hAnsiTheme="majorHAnsi" w:cstheme="majorHAnsi"/>
          <w:color w:val="000000"/>
          <w:sz w:val="20"/>
          <w:szCs w:val="20"/>
          <w:lang w:val="de-DE"/>
        </w:rPr>
        <w:t>accessed February 26, 2023</w:t>
      </w:r>
      <w:r w:rsidRPr="00A345B8">
        <w:rPr>
          <w:rFonts w:asciiTheme="majorHAnsi" w:hAnsiTheme="majorHAnsi" w:cstheme="majorHAnsi"/>
          <w:color w:val="000000"/>
          <w:sz w:val="20"/>
          <w:szCs w:val="20"/>
          <w:lang w:val="de-DE"/>
        </w:rPr>
        <w:t>).</w:t>
      </w:r>
    </w:p>
  </w:footnote>
  <w:footnote w:id="77">
    <w:p w14:paraId="000000A4"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eastAsia="Times New Roman"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lang w:val="de-DE"/>
        </w:rPr>
        <w:t xml:space="preserve"> </w:t>
      </w:r>
      <w:r w:rsidRPr="00A345B8">
        <w:rPr>
          <w:rFonts w:asciiTheme="majorHAnsi" w:hAnsiTheme="majorHAnsi" w:cstheme="majorHAnsi"/>
          <w:color w:val="000000"/>
          <w:sz w:val="20"/>
          <w:szCs w:val="20"/>
          <w:lang w:val="de-DE"/>
        </w:rPr>
        <w:t xml:space="preserve">“Der Schulklopfer kam mit reichgeputztem Schulhammer,” in Grunwald, “Mattersdorf,” 455. </w:t>
      </w:r>
      <w:r w:rsidRPr="002B5D71">
        <w:rPr>
          <w:rFonts w:asciiTheme="majorHAnsi" w:hAnsiTheme="majorHAnsi" w:cstheme="majorHAnsi"/>
          <w:color w:val="000000"/>
          <w:sz w:val="20"/>
          <w:szCs w:val="20"/>
          <w:highlight w:val="yellow"/>
        </w:rPr>
        <w:t xml:space="preserve">This hammer may not be associated with the simple mallet from </w:t>
      </w:r>
      <w:proofErr w:type="spellStart"/>
      <w:r w:rsidRPr="002B5D71">
        <w:rPr>
          <w:rFonts w:asciiTheme="majorHAnsi" w:hAnsiTheme="majorHAnsi" w:cstheme="majorHAnsi"/>
          <w:color w:val="000000"/>
          <w:sz w:val="20"/>
          <w:szCs w:val="20"/>
          <w:highlight w:val="yellow"/>
        </w:rPr>
        <w:t>Mattersdorf</w:t>
      </w:r>
      <w:proofErr w:type="spellEnd"/>
      <w:r w:rsidRPr="002B5D71">
        <w:rPr>
          <w:rFonts w:asciiTheme="majorHAnsi" w:hAnsiTheme="majorHAnsi" w:cstheme="majorHAnsi"/>
          <w:color w:val="000000"/>
          <w:sz w:val="20"/>
          <w:szCs w:val="20"/>
          <w:highlight w:val="yellow"/>
        </w:rPr>
        <w:t xml:space="preserve"> in Tel Aviv discussed in the source referred to above, note 72.</w:t>
      </w:r>
    </w:p>
  </w:footnote>
  <w:footnote w:id="78">
    <w:p w14:paraId="000000A5"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See above, note 66.</w:t>
      </w:r>
    </w:p>
  </w:footnote>
  <w:footnote w:id="79">
    <w:p w14:paraId="000000A6" w14:textId="07D41AE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See </w:t>
      </w:r>
      <w:r w:rsidR="00DF3464" w:rsidRPr="00A345B8">
        <w:rPr>
          <w:rFonts w:asciiTheme="majorHAnsi" w:hAnsiTheme="majorHAnsi" w:cstheme="majorHAnsi"/>
          <w:color w:val="000000"/>
          <w:sz w:val="20"/>
          <w:szCs w:val="20"/>
        </w:rPr>
        <w:t>Heinrich Feuchtwanger, “</w:t>
      </w:r>
      <w:proofErr w:type="spellStart"/>
      <w:proofErr w:type="gramStart"/>
      <w:r w:rsidR="00DF3464" w:rsidRPr="00A345B8">
        <w:rPr>
          <w:rFonts w:asciiTheme="majorHAnsi" w:hAnsiTheme="majorHAnsi" w:cstheme="majorHAnsi"/>
          <w:color w:val="000000"/>
          <w:sz w:val="20"/>
          <w:szCs w:val="20"/>
        </w:rPr>
        <w:t>Me‘</w:t>
      </w:r>
      <w:proofErr w:type="gramEnd"/>
      <w:r w:rsidR="00DF3464" w:rsidRPr="00A345B8">
        <w:rPr>
          <w:rFonts w:asciiTheme="majorHAnsi" w:hAnsiTheme="majorHAnsi" w:cstheme="majorHAnsi"/>
          <w:color w:val="000000"/>
          <w:sz w:val="20"/>
          <w:szCs w:val="20"/>
        </w:rPr>
        <w:t>orer</w:t>
      </w:r>
      <w:proofErr w:type="spellEnd"/>
      <w:r w:rsidR="00DF3464" w:rsidRPr="00A345B8">
        <w:rPr>
          <w:rFonts w:asciiTheme="majorHAnsi" w:hAnsiTheme="majorHAnsi" w:cstheme="majorHAnsi"/>
          <w:color w:val="000000"/>
          <w:sz w:val="20"/>
          <w:szCs w:val="20"/>
        </w:rPr>
        <w:t>-ha-</w:t>
      </w:r>
      <w:proofErr w:type="spellStart"/>
      <w:r w:rsidR="00DF3464" w:rsidRPr="00A345B8">
        <w:rPr>
          <w:rFonts w:asciiTheme="majorHAnsi" w:hAnsiTheme="majorHAnsi" w:cstheme="majorHAnsi"/>
          <w:color w:val="000000"/>
          <w:sz w:val="20"/>
          <w:szCs w:val="20"/>
        </w:rPr>
        <w:t>shaḥar</w:t>
      </w:r>
      <w:proofErr w:type="spellEnd"/>
      <w:r w:rsidR="00DF3464" w:rsidRPr="00A345B8">
        <w:rPr>
          <w:rFonts w:asciiTheme="majorHAnsi" w:hAnsiTheme="majorHAnsi" w:cstheme="majorHAnsi"/>
          <w:color w:val="000000"/>
          <w:sz w:val="20"/>
          <w:szCs w:val="20"/>
        </w:rPr>
        <w:t xml:space="preserve">,” </w:t>
      </w:r>
      <w:proofErr w:type="spellStart"/>
      <w:r w:rsidR="00963C31" w:rsidRPr="00A345B8">
        <w:rPr>
          <w:rFonts w:asciiTheme="majorHAnsi" w:hAnsiTheme="majorHAnsi" w:cstheme="majorHAnsi"/>
          <w:i/>
          <w:iCs/>
          <w:color w:val="000000"/>
          <w:sz w:val="20"/>
          <w:szCs w:val="20"/>
        </w:rPr>
        <w:t>Yeda</w:t>
      </w:r>
      <w:proofErr w:type="spellEnd"/>
      <w:r w:rsidR="00963C31" w:rsidRPr="00A345B8">
        <w:rPr>
          <w:rFonts w:asciiTheme="majorHAnsi" w:hAnsiTheme="majorHAnsi" w:cstheme="majorHAnsi"/>
          <w:i/>
          <w:iCs/>
          <w:color w:val="000000"/>
          <w:sz w:val="20"/>
          <w:szCs w:val="20"/>
        </w:rPr>
        <w:t>-Am</w:t>
      </w:r>
      <w:r w:rsidR="00963C31" w:rsidRPr="00A345B8">
        <w:rPr>
          <w:rFonts w:asciiTheme="majorHAnsi" w:hAnsiTheme="majorHAnsi" w:cstheme="majorHAnsi"/>
          <w:color w:val="000000"/>
          <w:sz w:val="20"/>
          <w:szCs w:val="20"/>
        </w:rPr>
        <w:t xml:space="preserve"> </w:t>
      </w:r>
      <w:r w:rsidR="005D0216" w:rsidRPr="00A345B8">
        <w:rPr>
          <w:rFonts w:asciiTheme="majorHAnsi" w:hAnsiTheme="majorHAnsi" w:cstheme="majorHAnsi"/>
          <w:color w:val="000000"/>
          <w:sz w:val="20"/>
          <w:szCs w:val="20"/>
        </w:rPr>
        <w:t xml:space="preserve">2–3, </w:t>
      </w:r>
      <w:r w:rsidR="00963C31" w:rsidRPr="00A345B8">
        <w:rPr>
          <w:rFonts w:asciiTheme="majorHAnsi" w:hAnsiTheme="majorHAnsi" w:cstheme="majorHAnsi"/>
          <w:color w:val="000000"/>
          <w:sz w:val="20"/>
          <w:szCs w:val="20"/>
        </w:rPr>
        <w:t>3 (</w:t>
      </w:r>
      <w:r w:rsidR="005D0216" w:rsidRPr="00A345B8">
        <w:rPr>
          <w:rFonts w:asciiTheme="majorHAnsi" w:hAnsiTheme="majorHAnsi" w:cstheme="majorHAnsi" w:hint="cs"/>
          <w:color w:val="000000"/>
          <w:sz w:val="20"/>
          <w:szCs w:val="20"/>
          <w:rtl/>
        </w:rPr>
        <w:t>1953</w:t>
      </w:r>
      <w:r w:rsidR="00963C31" w:rsidRPr="00A345B8">
        <w:rPr>
          <w:rFonts w:asciiTheme="majorHAnsi" w:hAnsiTheme="majorHAnsi" w:cstheme="majorHAnsi"/>
          <w:color w:val="000000"/>
          <w:sz w:val="20"/>
          <w:szCs w:val="20"/>
        </w:rPr>
        <w:t xml:space="preserve">), pp. 104–105; </w:t>
      </w:r>
      <w:r w:rsidRPr="00A345B8">
        <w:rPr>
          <w:rFonts w:asciiTheme="majorHAnsi" w:hAnsiTheme="majorHAnsi" w:cstheme="majorHAnsi"/>
          <w:color w:val="000000"/>
          <w:sz w:val="20"/>
          <w:szCs w:val="20"/>
        </w:rPr>
        <w:t xml:space="preserve">Isaiah </w:t>
      </w:r>
      <w:proofErr w:type="spellStart"/>
      <w:r w:rsidRPr="00A345B8">
        <w:rPr>
          <w:rFonts w:asciiTheme="majorHAnsi" w:hAnsiTheme="majorHAnsi" w:cstheme="majorHAnsi"/>
          <w:color w:val="000000"/>
          <w:sz w:val="20"/>
          <w:szCs w:val="20"/>
        </w:rPr>
        <w:t>Shachar</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Jewish Tradition in Art: The Feuchtwanger Collection of Judaica</w:t>
      </w:r>
      <w:r w:rsidRPr="00A345B8">
        <w:rPr>
          <w:rFonts w:asciiTheme="majorHAnsi" w:hAnsiTheme="majorHAnsi" w:cstheme="majorHAnsi"/>
          <w:color w:val="000000"/>
          <w:sz w:val="20"/>
          <w:szCs w:val="20"/>
        </w:rPr>
        <w:t xml:space="preserve"> (Jerusalem: Israel Museum, 1981), 74.</w:t>
      </w:r>
      <w:r w:rsidR="00DF3464" w:rsidRPr="00A345B8">
        <w:rPr>
          <w:rFonts w:asciiTheme="majorHAnsi" w:hAnsiTheme="majorHAnsi" w:cstheme="majorHAnsi"/>
          <w:color w:val="000000"/>
          <w:sz w:val="20"/>
          <w:szCs w:val="20"/>
        </w:rPr>
        <w:t xml:space="preserve"> </w:t>
      </w:r>
    </w:p>
  </w:footnote>
  <w:footnote w:id="80">
    <w:p w14:paraId="752213C6" w14:textId="77777777" w:rsidR="00AC0F95" w:rsidRPr="00A345B8" w:rsidRDefault="00AC0F95"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See above, notes 15–18.</w:t>
      </w:r>
    </w:p>
  </w:footnote>
  <w:footnote w:id="81">
    <w:p w14:paraId="000000A8"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See also Daniel Sperber, </w:t>
      </w:r>
      <w:proofErr w:type="spellStart"/>
      <w:r w:rsidRPr="00A345B8">
        <w:rPr>
          <w:rFonts w:asciiTheme="majorHAnsi" w:hAnsiTheme="majorHAnsi" w:cstheme="majorHAnsi"/>
          <w:i/>
          <w:color w:val="000000"/>
          <w:sz w:val="20"/>
          <w:szCs w:val="20"/>
        </w:rPr>
        <w:t>Minhagei</w:t>
      </w:r>
      <w:proofErr w:type="spellEnd"/>
      <w:r w:rsidRPr="00A345B8">
        <w:rPr>
          <w:rFonts w:asciiTheme="majorHAnsi" w:hAnsiTheme="majorHAnsi" w:cstheme="majorHAnsi"/>
          <w:i/>
          <w:color w:val="000000"/>
          <w:sz w:val="20"/>
          <w:szCs w:val="20"/>
        </w:rPr>
        <w:t xml:space="preserve"> Yisrael</w:t>
      </w:r>
      <w:r w:rsidRPr="00A345B8">
        <w:rPr>
          <w:rFonts w:asciiTheme="majorHAnsi" w:hAnsiTheme="majorHAnsi" w:cstheme="majorHAnsi"/>
          <w:color w:val="000000"/>
          <w:sz w:val="20"/>
          <w:szCs w:val="20"/>
        </w:rPr>
        <w:t xml:space="preserve"> 6: 5.</w:t>
      </w:r>
    </w:p>
  </w:footnote>
  <w:footnote w:id="82">
    <w:p w14:paraId="65ED9D02" w14:textId="39EC61D8" w:rsidR="005862CA" w:rsidRPr="00A345B8" w:rsidRDefault="005862CA" w:rsidP="00A345B8">
      <w:pPr>
        <w:pStyle w:val="FootnoteText"/>
        <w:spacing w:line="360" w:lineRule="auto"/>
        <w:ind w:left="720" w:hanging="720"/>
        <w:rPr>
          <w:rFonts w:asciiTheme="majorHAnsi" w:hAnsiTheme="majorHAnsi" w:cstheme="majorHAnsi"/>
        </w:rPr>
      </w:pPr>
      <w:r w:rsidRPr="00A345B8">
        <w:rPr>
          <w:rStyle w:val="FootnoteReference"/>
          <w:rFonts w:asciiTheme="majorHAnsi" w:hAnsiTheme="majorHAnsi" w:cstheme="majorHAnsi"/>
        </w:rPr>
        <w:footnoteRef/>
      </w:r>
      <w:r w:rsidRPr="00A345B8">
        <w:rPr>
          <w:rFonts w:asciiTheme="majorHAnsi" w:hAnsiTheme="majorHAnsi" w:cstheme="majorHAnsi"/>
        </w:rPr>
        <w:t xml:space="preserve"> See above, note </w:t>
      </w:r>
      <w:r w:rsidRPr="00A345B8">
        <w:rPr>
          <w:rFonts w:asciiTheme="majorHAnsi" w:hAnsiTheme="majorHAnsi" w:cstheme="majorHAnsi"/>
        </w:rPr>
        <w:fldChar w:fldCharType="begin"/>
      </w:r>
      <w:r w:rsidRPr="00A345B8">
        <w:rPr>
          <w:rFonts w:asciiTheme="majorHAnsi" w:hAnsiTheme="majorHAnsi" w:cstheme="majorHAnsi"/>
        </w:rPr>
        <w:instrText xml:space="preserve"> NOTEREF _Ref137384322 \h </w:instrText>
      </w:r>
      <w:r w:rsidR="00C66E0F" w:rsidRPr="00A345B8">
        <w:rPr>
          <w:rFonts w:asciiTheme="majorHAnsi" w:hAnsiTheme="majorHAnsi" w:cstheme="majorHAnsi"/>
        </w:rPr>
        <w:instrText xml:space="preserve"> \* MERGEFORMAT </w:instrText>
      </w:r>
      <w:r w:rsidRPr="00A345B8">
        <w:rPr>
          <w:rFonts w:asciiTheme="majorHAnsi" w:hAnsiTheme="majorHAnsi" w:cstheme="majorHAnsi"/>
        </w:rPr>
      </w:r>
      <w:r w:rsidRPr="00A345B8">
        <w:rPr>
          <w:rFonts w:asciiTheme="majorHAnsi" w:hAnsiTheme="majorHAnsi" w:cstheme="majorHAnsi"/>
        </w:rPr>
        <w:fldChar w:fldCharType="separate"/>
      </w:r>
      <w:r w:rsidRPr="00A345B8">
        <w:rPr>
          <w:rFonts w:asciiTheme="majorHAnsi" w:hAnsiTheme="majorHAnsi" w:cstheme="majorHAnsi"/>
        </w:rPr>
        <w:t>64</w:t>
      </w:r>
      <w:r w:rsidRPr="00A345B8">
        <w:rPr>
          <w:rFonts w:asciiTheme="majorHAnsi" w:hAnsiTheme="majorHAnsi" w:cstheme="majorHAnsi"/>
        </w:rPr>
        <w:fldChar w:fldCharType="end"/>
      </w:r>
      <w:r w:rsidRPr="00A345B8">
        <w:rPr>
          <w:rFonts w:asciiTheme="majorHAnsi" w:hAnsiTheme="majorHAnsi" w:cstheme="majorHAnsi"/>
        </w:rPr>
        <w:t>.</w:t>
      </w:r>
    </w:p>
  </w:footnote>
  <w:footnote w:id="83">
    <w:p w14:paraId="000000A9"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The following are only a few examples of the vast corpus of sources: Abraham </w:t>
      </w:r>
      <w:proofErr w:type="spellStart"/>
      <w:r w:rsidRPr="00A345B8">
        <w:rPr>
          <w:rFonts w:asciiTheme="majorHAnsi" w:hAnsiTheme="majorHAnsi" w:cstheme="majorHAnsi"/>
          <w:color w:val="000000"/>
          <w:sz w:val="20"/>
          <w:szCs w:val="20"/>
        </w:rPr>
        <w:t>Rechtman</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The Lost World of Russia's Jews: Ethnography and Folklore in the Pale of Settlement</w:t>
      </w:r>
      <w:r w:rsidRPr="00A345B8">
        <w:rPr>
          <w:rFonts w:asciiTheme="majorHAnsi" w:hAnsiTheme="majorHAnsi" w:cstheme="majorHAnsi"/>
          <w:color w:val="000000"/>
          <w:sz w:val="20"/>
          <w:szCs w:val="20"/>
        </w:rPr>
        <w:t xml:space="preserve"> (Bloomington, Indiana University Press, 2021), 95; Shalom </w:t>
      </w:r>
      <w:proofErr w:type="spellStart"/>
      <w:r w:rsidRPr="00A345B8">
        <w:rPr>
          <w:rFonts w:asciiTheme="majorHAnsi" w:hAnsiTheme="majorHAnsi" w:cstheme="majorHAnsi"/>
          <w:color w:val="000000"/>
          <w:sz w:val="20"/>
          <w:szCs w:val="20"/>
        </w:rPr>
        <w:t>Sabar</w:t>
      </w:r>
      <w:proofErr w:type="spellEnd"/>
      <w:r w:rsidRPr="00A345B8">
        <w:rPr>
          <w:rFonts w:asciiTheme="majorHAnsi" w:hAnsiTheme="majorHAnsi" w:cstheme="majorHAnsi"/>
          <w:color w:val="000000"/>
          <w:sz w:val="20"/>
          <w:szCs w:val="20"/>
        </w:rPr>
        <w:t xml:space="preserve">, “Childbirth and Magic: Jewish Folklore and Material Culture,” in </w:t>
      </w:r>
      <w:r w:rsidRPr="00A345B8">
        <w:rPr>
          <w:rFonts w:asciiTheme="majorHAnsi" w:hAnsiTheme="majorHAnsi" w:cstheme="majorHAnsi"/>
          <w:i/>
          <w:color w:val="000000"/>
          <w:sz w:val="20"/>
          <w:szCs w:val="20"/>
        </w:rPr>
        <w:t>Cultures of the Jews: A New History</w:t>
      </w:r>
      <w:r w:rsidRPr="00A345B8">
        <w:rPr>
          <w:rFonts w:asciiTheme="majorHAnsi" w:hAnsiTheme="majorHAnsi" w:cstheme="majorHAnsi"/>
          <w:color w:val="000000"/>
          <w:sz w:val="20"/>
          <w:szCs w:val="20"/>
        </w:rPr>
        <w:t xml:space="preserve">, ed. David </w:t>
      </w:r>
      <w:proofErr w:type="spellStart"/>
      <w:r w:rsidRPr="00A345B8">
        <w:rPr>
          <w:rFonts w:asciiTheme="majorHAnsi" w:hAnsiTheme="majorHAnsi" w:cstheme="majorHAnsi"/>
          <w:color w:val="000000"/>
          <w:sz w:val="20"/>
          <w:szCs w:val="20"/>
        </w:rPr>
        <w:t>Biale</w:t>
      </w:r>
      <w:proofErr w:type="spellEnd"/>
      <w:r w:rsidRPr="00A345B8">
        <w:rPr>
          <w:rFonts w:asciiTheme="majorHAnsi" w:hAnsiTheme="majorHAnsi" w:cstheme="majorHAnsi"/>
          <w:color w:val="000000"/>
          <w:sz w:val="20"/>
          <w:szCs w:val="20"/>
        </w:rPr>
        <w:t xml:space="preserve"> (New York: </w:t>
      </w:r>
      <w:proofErr w:type="spellStart"/>
      <w:r w:rsidRPr="00A345B8">
        <w:rPr>
          <w:rFonts w:asciiTheme="majorHAnsi" w:hAnsiTheme="majorHAnsi" w:cstheme="majorHAnsi"/>
          <w:color w:val="000000"/>
          <w:sz w:val="20"/>
          <w:szCs w:val="20"/>
        </w:rPr>
        <w:t>Schocken</w:t>
      </w:r>
      <w:proofErr w:type="spellEnd"/>
      <w:r w:rsidRPr="00A345B8">
        <w:rPr>
          <w:rFonts w:asciiTheme="majorHAnsi" w:hAnsiTheme="majorHAnsi" w:cstheme="majorHAnsi"/>
          <w:color w:val="000000"/>
          <w:sz w:val="20"/>
          <w:szCs w:val="20"/>
        </w:rPr>
        <w:t xml:space="preserve"> Books, 2002), 671; Carol </w:t>
      </w:r>
      <w:proofErr w:type="spellStart"/>
      <w:r w:rsidRPr="00A345B8">
        <w:rPr>
          <w:rFonts w:asciiTheme="majorHAnsi" w:hAnsiTheme="majorHAnsi" w:cstheme="majorHAnsi"/>
          <w:color w:val="000000"/>
          <w:sz w:val="20"/>
          <w:szCs w:val="20"/>
        </w:rPr>
        <w:t>Herselle</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Krinsky</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Synagogues of Europe: Architecture, History, Meaning</w:t>
      </w:r>
      <w:r w:rsidRPr="00A345B8">
        <w:rPr>
          <w:rFonts w:asciiTheme="majorHAnsi" w:hAnsiTheme="majorHAnsi" w:cstheme="majorHAnsi"/>
          <w:color w:val="000000"/>
          <w:sz w:val="20"/>
          <w:szCs w:val="20"/>
        </w:rPr>
        <w:t xml:space="preserve"> (Mineola: Dover, 1996), 56.</w:t>
      </w:r>
    </w:p>
  </w:footnote>
  <w:footnote w:id="84">
    <w:p w14:paraId="000000AA"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lang w:val="de-DE"/>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lang w:val="de-DE"/>
        </w:rPr>
        <w:t xml:space="preserve"> </w:t>
      </w:r>
      <w:r w:rsidRPr="00A345B8">
        <w:rPr>
          <w:rFonts w:asciiTheme="majorHAnsi" w:hAnsiTheme="majorHAnsi" w:cstheme="majorHAnsi"/>
          <w:color w:val="000000"/>
          <w:sz w:val="20"/>
          <w:szCs w:val="20"/>
          <w:lang w:val="de-DE"/>
        </w:rPr>
        <w:t xml:space="preserve">See also Daniel Sperber, </w:t>
      </w:r>
      <w:r w:rsidRPr="00A345B8">
        <w:rPr>
          <w:rFonts w:asciiTheme="majorHAnsi" w:hAnsiTheme="majorHAnsi" w:cstheme="majorHAnsi"/>
          <w:i/>
          <w:color w:val="000000"/>
          <w:sz w:val="20"/>
          <w:szCs w:val="20"/>
          <w:lang w:val="de-DE"/>
        </w:rPr>
        <w:t>Minhagei Yisrael</w:t>
      </w:r>
      <w:r w:rsidRPr="00A345B8">
        <w:rPr>
          <w:rFonts w:asciiTheme="majorHAnsi" w:hAnsiTheme="majorHAnsi" w:cstheme="majorHAnsi"/>
          <w:color w:val="000000"/>
          <w:sz w:val="20"/>
          <w:szCs w:val="20"/>
          <w:lang w:val="de-DE"/>
        </w:rPr>
        <w:t xml:space="preserve"> 6: 5.</w:t>
      </w:r>
    </w:p>
  </w:footnote>
  <w:footnote w:id="85">
    <w:p w14:paraId="000000AB"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Cf. Daniel Sperber’s interpretation of these lions as one of the four symbolic animals from </w:t>
      </w:r>
      <w:proofErr w:type="spellStart"/>
      <w:r w:rsidRPr="00A345B8">
        <w:rPr>
          <w:rFonts w:asciiTheme="majorHAnsi" w:hAnsiTheme="majorHAnsi" w:cstheme="majorHAnsi"/>
          <w:i/>
          <w:color w:val="000000"/>
          <w:sz w:val="20"/>
          <w:szCs w:val="20"/>
        </w:rPr>
        <w:t>Pirkei</w:t>
      </w:r>
      <w:proofErr w:type="spellEnd"/>
      <w:r w:rsidRPr="00A345B8">
        <w:rPr>
          <w:rFonts w:asciiTheme="majorHAnsi" w:hAnsiTheme="majorHAnsi" w:cstheme="majorHAnsi"/>
          <w:i/>
          <w:color w:val="000000"/>
          <w:sz w:val="20"/>
          <w:szCs w:val="20"/>
        </w:rPr>
        <w:t xml:space="preserve"> Avot</w:t>
      </w:r>
      <w:r w:rsidRPr="00A345B8">
        <w:rPr>
          <w:rFonts w:asciiTheme="majorHAnsi" w:hAnsiTheme="majorHAnsi" w:cstheme="majorHAnsi"/>
          <w:color w:val="000000"/>
          <w:sz w:val="20"/>
          <w:szCs w:val="20"/>
        </w:rPr>
        <w:t xml:space="preserve"> 5:20, see ibid., 6. </w:t>
      </w:r>
    </w:p>
  </w:footnote>
  <w:footnote w:id="86">
    <w:p w14:paraId="000000AC"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lang w:val="de-DE"/>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lang w:val="de-DE"/>
        </w:rPr>
        <w:t xml:space="preserve"> </w:t>
      </w:r>
      <w:r w:rsidRPr="00A345B8">
        <w:rPr>
          <w:rFonts w:asciiTheme="majorHAnsi" w:hAnsiTheme="majorHAnsi" w:cstheme="majorHAnsi"/>
          <w:color w:val="000000"/>
          <w:sz w:val="20"/>
          <w:szCs w:val="20"/>
          <w:lang w:val="de-DE"/>
        </w:rPr>
        <w:t xml:space="preserve">See Daniel Sperber, </w:t>
      </w:r>
      <w:r w:rsidRPr="00A345B8">
        <w:rPr>
          <w:rFonts w:asciiTheme="majorHAnsi" w:hAnsiTheme="majorHAnsi" w:cstheme="majorHAnsi"/>
          <w:i/>
          <w:color w:val="000000"/>
          <w:sz w:val="20"/>
          <w:szCs w:val="20"/>
          <w:lang w:val="de-DE"/>
        </w:rPr>
        <w:t>Minhagei Yisrael</w:t>
      </w:r>
      <w:r w:rsidRPr="00A345B8">
        <w:rPr>
          <w:rFonts w:asciiTheme="majorHAnsi" w:hAnsiTheme="majorHAnsi" w:cstheme="majorHAnsi"/>
          <w:color w:val="000000"/>
          <w:sz w:val="20"/>
          <w:szCs w:val="20"/>
          <w:lang w:val="de-DE"/>
        </w:rPr>
        <w:t xml:space="preserve"> 6: 6 note 19.</w:t>
      </w:r>
    </w:p>
  </w:footnote>
  <w:footnote w:id="87">
    <w:p w14:paraId="000000AD" w14:textId="2BC620F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lang w:val="de-DE"/>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lang w:val="de-DE"/>
        </w:rPr>
        <w:t xml:space="preserve"> </w:t>
      </w:r>
      <w:r w:rsidRPr="00A345B8">
        <w:rPr>
          <w:rFonts w:asciiTheme="majorHAnsi" w:hAnsiTheme="majorHAnsi" w:cstheme="majorHAnsi"/>
          <w:color w:val="000000"/>
          <w:sz w:val="20"/>
          <w:szCs w:val="20"/>
          <w:lang w:val="de-DE"/>
        </w:rPr>
        <w:t xml:space="preserve">Ismar </w:t>
      </w:r>
      <w:r w:rsidRPr="00A345B8">
        <w:rPr>
          <w:rFonts w:asciiTheme="majorHAnsi" w:hAnsiTheme="majorHAnsi" w:cstheme="majorHAnsi"/>
          <w:color w:val="000000"/>
          <w:sz w:val="20"/>
          <w:szCs w:val="20"/>
          <w:lang w:val="de-DE"/>
        </w:rPr>
        <w:t xml:space="preserve">Elbogen, </w:t>
      </w:r>
      <w:r w:rsidRPr="00A345B8">
        <w:rPr>
          <w:rFonts w:asciiTheme="majorHAnsi" w:hAnsiTheme="majorHAnsi" w:cstheme="majorHAnsi"/>
          <w:i/>
          <w:color w:val="000000"/>
          <w:sz w:val="20"/>
          <w:szCs w:val="20"/>
          <w:lang w:val="de-DE"/>
        </w:rPr>
        <w:t>Der jüdische Gottesdienst in seiner geschichtlichen Entwicklung</w:t>
      </w:r>
      <w:r w:rsidRPr="00A345B8">
        <w:rPr>
          <w:rFonts w:asciiTheme="majorHAnsi" w:hAnsiTheme="majorHAnsi" w:cstheme="majorHAnsi"/>
          <w:color w:val="000000"/>
          <w:sz w:val="20"/>
          <w:szCs w:val="20"/>
          <w:lang w:val="de-DE"/>
        </w:rPr>
        <w:t xml:space="preserve"> (Leipzig: Gustav Fock, 1913), 138; Tamar Shadmi, “Ha-ketovot she-al kirot batei ha-kenesset be-mizraḥ Eyropah: Mekoroteihen, mashmautan ve-tafkidan be-‘iẓuv tefisat he-ḥalal ve-‘avodat ha-kodesh” (Ph.D. dissertation, </w:t>
      </w:r>
      <w:r w:rsidR="00524661" w:rsidRPr="00A345B8">
        <w:rPr>
          <w:rFonts w:asciiTheme="majorHAnsi" w:hAnsiTheme="majorHAnsi" w:cstheme="majorHAnsi"/>
          <w:color w:val="000000"/>
          <w:sz w:val="20"/>
          <w:szCs w:val="20"/>
          <w:lang w:val="de-DE"/>
        </w:rPr>
        <w:t>Bar</w:t>
      </w:r>
      <w:r w:rsidRPr="00A345B8">
        <w:rPr>
          <w:rFonts w:asciiTheme="majorHAnsi" w:hAnsiTheme="majorHAnsi" w:cstheme="majorHAnsi"/>
          <w:color w:val="000000"/>
          <w:sz w:val="20"/>
          <w:szCs w:val="20"/>
          <w:lang w:val="de-DE"/>
        </w:rPr>
        <w:t>-Ilan University: Ramat Gan, 2011), 73 [Hebrew].</w:t>
      </w:r>
    </w:p>
  </w:footnote>
  <w:footnote w:id="88">
    <w:p w14:paraId="468527D5" w14:textId="0FF2EF03" w:rsidR="00F96F27" w:rsidRPr="00A345B8" w:rsidRDefault="00F96F27"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lang w:val="de-DE"/>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lang w:val="de-DE"/>
        </w:rPr>
        <w:t xml:space="preserve"> </w:t>
      </w:r>
      <w:r w:rsidRPr="00A345B8">
        <w:rPr>
          <w:rFonts w:asciiTheme="majorHAnsi" w:hAnsiTheme="majorHAnsi" w:cstheme="majorHAnsi"/>
          <w:color w:val="000000"/>
          <w:sz w:val="20"/>
          <w:szCs w:val="20"/>
          <w:lang w:val="de-DE"/>
        </w:rPr>
        <w:t xml:space="preserve">Israel Halpern, “Associations for the Study of the Torah and for Good Deeds and the Spread of the Hassidic Movement,” </w:t>
      </w:r>
      <w:r w:rsidRPr="00A345B8">
        <w:rPr>
          <w:rFonts w:asciiTheme="majorHAnsi" w:hAnsiTheme="majorHAnsi" w:cstheme="majorHAnsi"/>
          <w:i/>
          <w:iCs/>
          <w:color w:val="000000"/>
          <w:sz w:val="20"/>
          <w:szCs w:val="20"/>
          <w:lang w:val="de-DE"/>
        </w:rPr>
        <w:t>Zion</w:t>
      </w:r>
      <w:r w:rsidRPr="00A345B8">
        <w:rPr>
          <w:rFonts w:asciiTheme="majorHAnsi" w:hAnsiTheme="majorHAnsi" w:cstheme="majorHAnsi"/>
          <w:color w:val="000000"/>
          <w:sz w:val="20"/>
          <w:szCs w:val="20"/>
          <w:lang w:val="de-DE"/>
        </w:rPr>
        <w:t xml:space="preserve"> (1957), pp. 194–195.</w:t>
      </w:r>
    </w:p>
  </w:footnote>
  <w:footnote w:id="89">
    <w:p w14:paraId="000000AF"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lang w:val="de-DE"/>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lang w:val="de-DE"/>
        </w:rPr>
        <w:t xml:space="preserve"> </w:t>
      </w:r>
      <w:r w:rsidRPr="00A345B8">
        <w:rPr>
          <w:rFonts w:asciiTheme="majorHAnsi" w:hAnsiTheme="majorHAnsi" w:cstheme="majorHAnsi"/>
          <w:color w:val="000000"/>
          <w:sz w:val="20"/>
          <w:szCs w:val="20"/>
          <w:lang w:val="de-DE"/>
        </w:rPr>
        <w:t xml:space="preserve">Elbogen, </w:t>
      </w:r>
      <w:r w:rsidRPr="00A345B8">
        <w:rPr>
          <w:rFonts w:asciiTheme="majorHAnsi" w:hAnsiTheme="majorHAnsi" w:cstheme="majorHAnsi"/>
          <w:i/>
          <w:color w:val="000000"/>
          <w:sz w:val="20"/>
          <w:szCs w:val="20"/>
          <w:lang w:val="de-DE"/>
        </w:rPr>
        <w:t>Der jüdische Gottesdienst</w:t>
      </w:r>
      <w:r w:rsidRPr="00A345B8">
        <w:rPr>
          <w:rFonts w:asciiTheme="majorHAnsi" w:hAnsiTheme="majorHAnsi" w:cstheme="majorHAnsi"/>
          <w:color w:val="000000"/>
          <w:sz w:val="20"/>
          <w:szCs w:val="20"/>
          <w:lang w:val="de-DE"/>
        </w:rPr>
        <w:t xml:space="preserve">, 152. See also Meir Weisz, </w:t>
      </w:r>
      <w:r w:rsidRPr="00A345B8">
        <w:rPr>
          <w:rFonts w:asciiTheme="majorHAnsi" w:hAnsiTheme="majorHAnsi" w:cstheme="majorHAnsi"/>
          <w:i/>
          <w:color w:val="000000"/>
          <w:sz w:val="20"/>
          <w:szCs w:val="20"/>
          <w:lang w:val="de-DE"/>
        </w:rPr>
        <w:t>Emunot ve-de‘ot bi-mizmorei Tehilim</w:t>
      </w:r>
      <w:r w:rsidRPr="00A345B8">
        <w:rPr>
          <w:rFonts w:asciiTheme="majorHAnsi" w:hAnsiTheme="majorHAnsi" w:cstheme="majorHAnsi"/>
          <w:color w:val="000000"/>
          <w:sz w:val="20"/>
          <w:szCs w:val="20"/>
          <w:lang w:val="de-DE"/>
        </w:rPr>
        <w:t xml:space="preserve"> (Jerusalem: Byalik Institute, 2001), 172 [Hebrew].</w:t>
      </w:r>
    </w:p>
  </w:footnote>
  <w:footnote w:id="90">
    <w:p w14:paraId="000000B0"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See Naomi Feuchtwanger-</w:t>
      </w:r>
      <w:proofErr w:type="spellStart"/>
      <w:r w:rsidRPr="00A345B8">
        <w:rPr>
          <w:rFonts w:asciiTheme="majorHAnsi" w:hAnsiTheme="majorHAnsi" w:cstheme="majorHAnsi"/>
          <w:color w:val="000000"/>
          <w:sz w:val="20"/>
          <w:szCs w:val="20"/>
        </w:rPr>
        <w:t>Sarig</w:t>
      </w:r>
      <w:proofErr w:type="spellEnd"/>
      <w:r w:rsidRPr="00A345B8">
        <w:rPr>
          <w:rFonts w:asciiTheme="majorHAnsi" w:hAnsiTheme="majorHAnsi" w:cstheme="majorHAnsi"/>
          <w:color w:val="000000"/>
          <w:sz w:val="20"/>
          <w:szCs w:val="20"/>
        </w:rPr>
        <w:t xml:space="preserve">, “Chanting to the Hand: Some Preliminary Observations on the Origins of the Torah Pointer,” </w:t>
      </w:r>
      <w:r w:rsidRPr="00A345B8">
        <w:rPr>
          <w:rFonts w:asciiTheme="majorHAnsi" w:hAnsiTheme="majorHAnsi" w:cstheme="majorHAnsi"/>
          <w:i/>
          <w:color w:val="000000"/>
          <w:sz w:val="20"/>
          <w:szCs w:val="20"/>
        </w:rPr>
        <w:t xml:space="preserve">Studia </w:t>
      </w:r>
      <w:proofErr w:type="spellStart"/>
      <w:r w:rsidRPr="00A345B8">
        <w:rPr>
          <w:rFonts w:asciiTheme="majorHAnsi" w:hAnsiTheme="majorHAnsi" w:cstheme="majorHAnsi"/>
          <w:i/>
          <w:color w:val="000000"/>
          <w:sz w:val="20"/>
          <w:szCs w:val="20"/>
        </w:rPr>
        <w:t>Rosenthaliana</w:t>
      </w:r>
      <w:proofErr w:type="spellEnd"/>
      <w:r w:rsidRPr="00A345B8">
        <w:rPr>
          <w:rFonts w:asciiTheme="majorHAnsi" w:hAnsiTheme="majorHAnsi" w:cstheme="majorHAnsi"/>
          <w:color w:val="000000"/>
          <w:sz w:val="20"/>
          <w:szCs w:val="20"/>
        </w:rPr>
        <w:t xml:space="preserve"> 37 (2004): 3–35.</w:t>
      </w:r>
    </w:p>
  </w:footnote>
  <w:footnote w:id="91">
    <w:p w14:paraId="000000B1"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Mishnah </w:t>
      </w:r>
      <w:proofErr w:type="spellStart"/>
      <w:r w:rsidRPr="00A345B8">
        <w:rPr>
          <w:rFonts w:asciiTheme="majorHAnsi" w:hAnsiTheme="majorHAnsi" w:cstheme="majorHAnsi"/>
          <w:i/>
          <w:color w:val="000000"/>
          <w:sz w:val="20"/>
          <w:szCs w:val="20"/>
        </w:rPr>
        <w:t>Yadayim</w:t>
      </w:r>
      <w:proofErr w:type="spellEnd"/>
      <w:r w:rsidRPr="00A345B8">
        <w:rPr>
          <w:rFonts w:asciiTheme="majorHAnsi" w:hAnsiTheme="majorHAnsi" w:cstheme="majorHAnsi"/>
          <w:color w:val="000000"/>
          <w:sz w:val="20"/>
          <w:szCs w:val="20"/>
        </w:rPr>
        <w:t xml:space="preserve"> 3:2 and 4:6 (RP).</w:t>
      </w:r>
    </w:p>
  </w:footnote>
  <w:footnote w:id="92">
    <w:p w14:paraId="000000B3" w14:textId="299015D8"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Tosefta</w:t>
      </w:r>
      <w:proofErr w:type="spellEnd"/>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Sukkah</w:t>
      </w:r>
      <w:r w:rsidRPr="00A345B8">
        <w:rPr>
          <w:rFonts w:asciiTheme="majorHAnsi" w:hAnsiTheme="majorHAnsi" w:cstheme="majorHAnsi"/>
          <w:color w:val="000000"/>
          <w:sz w:val="20"/>
          <w:szCs w:val="20"/>
        </w:rPr>
        <w:t xml:space="preserve"> 4:6 (RP); see also more Talmudic sources and discussion in Lee I. Levine,</w:t>
      </w:r>
      <w:r w:rsidRPr="00A345B8">
        <w:rPr>
          <w:rFonts w:asciiTheme="majorHAnsi" w:hAnsiTheme="majorHAnsi" w:cstheme="majorHAnsi"/>
          <w:i/>
          <w:color w:val="000000"/>
          <w:sz w:val="20"/>
          <w:szCs w:val="20"/>
        </w:rPr>
        <w:t xml:space="preserve"> The Ancient Synagogue: The First Thousand Years</w:t>
      </w:r>
      <w:r w:rsidRPr="00A345B8">
        <w:rPr>
          <w:rFonts w:asciiTheme="majorHAnsi" w:hAnsiTheme="majorHAnsi" w:cstheme="majorHAnsi"/>
          <w:color w:val="000000"/>
          <w:sz w:val="20"/>
          <w:szCs w:val="20"/>
        </w:rPr>
        <w:t xml:space="preserve"> (New Haven: Yale University Press, 2005), 91–92. </w:t>
      </w:r>
    </w:p>
  </w:footnote>
  <w:footnote w:id="93">
    <w:p w14:paraId="684F3469" w14:textId="7F90066B" w:rsidR="00B7211C" w:rsidRPr="00A345B8" w:rsidRDefault="00B7211C" w:rsidP="00A345B8">
      <w:pPr>
        <w:pStyle w:val="FootnoteText"/>
        <w:spacing w:line="360" w:lineRule="auto"/>
        <w:ind w:left="720" w:hanging="720"/>
      </w:pPr>
      <w:r w:rsidRPr="00A345B8">
        <w:rPr>
          <w:rStyle w:val="FootnoteReference"/>
        </w:rPr>
        <w:footnoteRef/>
      </w:r>
      <w:r w:rsidRPr="00A345B8">
        <w:t xml:space="preserve"> </w:t>
      </w:r>
      <w:proofErr w:type="spellStart"/>
      <w:proofErr w:type="gramStart"/>
      <w:r w:rsidRPr="00A345B8">
        <w:rPr>
          <w:i/>
          <w:iCs/>
        </w:rPr>
        <w:t>Pralnik</w:t>
      </w:r>
      <w:proofErr w:type="spellEnd"/>
      <w:r w:rsidRPr="00A345B8">
        <w:t xml:space="preserve"> </w:t>
      </w:r>
      <w:r w:rsidR="004E1A0A" w:rsidRPr="00A345B8">
        <w:rPr>
          <w:rFonts w:hint="cs"/>
          <w:rtl/>
        </w:rPr>
        <w:t>)</w:t>
      </w:r>
      <w:r w:rsidR="004E1A0A" w:rsidRPr="00A345B8">
        <w:t>Polish</w:t>
      </w:r>
      <w:proofErr w:type="gramEnd"/>
      <w:r w:rsidR="004E1A0A" w:rsidRPr="00A345B8">
        <w:t>, obsolete)</w:t>
      </w:r>
      <w:r w:rsidR="00A345B8">
        <w:t>:</w:t>
      </w:r>
      <w:r w:rsidR="00A345B8" w:rsidRPr="00A345B8">
        <w:t xml:space="preserve"> washing paddle</w:t>
      </w:r>
      <w:r w:rsidR="00A345B8">
        <w:t>;</w:t>
      </w:r>
      <w:r w:rsidR="00A345B8" w:rsidRPr="00A345B8">
        <w:t xml:space="preserve"> a wooden beater used for pounding damp laundry </w:t>
      </w:r>
      <w:r w:rsidR="0039222B">
        <w:t xml:space="preserve">against a board </w:t>
      </w:r>
      <w:r w:rsidR="00A345B8" w:rsidRPr="00A345B8">
        <w:t>to remove dirt.</w:t>
      </w:r>
    </w:p>
  </w:footnote>
  <w:footnote w:id="94">
    <w:p w14:paraId="3DFA197F" w14:textId="4C48D521" w:rsidR="00C66E0F" w:rsidRPr="00A345B8" w:rsidRDefault="00C66E0F" w:rsidP="00A345B8">
      <w:pPr>
        <w:autoSpaceDE w:val="0"/>
        <w:autoSpaceDN w:val="0"/>
        <w:adjustRightInd w:val="0"/>
        <w:spacing w:after="0" w:line="360" w:lineRule="auto"/>
        <w:ind w:left="720" w:hanging="720"/>
        <w:rPr>
          <w:rFonts w:asciiTheme="majorHAnsi" w:hAnsiTheme="majorHAnsi" w:cstheme="majorHAnsi"/>
          <w:color w:val="000000"/>
          <w:sz w:val="20"/>
          <w:szCs w:val="20"/>
        </w:rPr>
      </w:pPr>
      <w:r w:rsidRPr="00A345B8">
        <w:rPr>
          <w:rStyle w:val="FootnoteReference"/>
          <w:rFonts w:asciiTheme="majorHAnsi" w:hAnsiTheme="majorHAnsi" w:cstheme="majorHAnsi"/>
          <w:sz w:val="20"/>
          <w:szCs w:val="20"/>
        </w:rPr>
        <w:footnoteRef/>
      </w:r>
      <w:r w:rsidRPr="00A345B8">
        <w:rPr>
          <w:rFonts w:asciiTheme="majorHAnsi" w:hAnsiTheme="majorHAnsi" w:cstheme="majorHAnsi"/>
          <w:sz w:val="20"/>
          <w:szCs w:val="20"/>
        </w:rPr>
        <w:t xml:space="preserve"> </w:t>
      </w:r>
      <w:proofErr w:type="spellStart"/>
      <w:r w:rsidRPr="00A345B8">
        <w:rPr>
          <w:rFonts w:asciiTheme="majorHAnsi" w:hAnsiTheme="majorHAnsi" w:cstheme="majorHAnsi"/>
          <w:sz w:val="20"/>
          <w:szCs w:val="20"/>
        </w:rPr>
        <w:t>Bałaban</w:t>
      </w:r>
      <w:proofErr w:type="spellEnd"/>
      <w:r w:rsidRPr="00A345B8">
        <w:rPr>
          <w:rFonts w:asciiTheme="majorHAnsi" w:hAnsiTheme="majorHAnsi" w:cstheme="majorHAnsi"/>
          <w:sz w:val="20"/>
          <w:szCs w:val="20"/>
        </w:rPr>
        <w:t xml:space="preserve">, </w:t>
      </w:r>
      <w:proofErr w:type="spellStart"/>
      <w:r w:rsidRPr="00A345B8">
        <w:rPr>
          <w:rFonts w:asciiTheme="majorHAnsi" w:hAnsiTheme="majorHAnsi" w:cstheme="majorHAnsi"/>
          <w:i/>
          <w:iCs/>
          <w:sz w:val="20"/>
          <w:szCs w:val="20"/>
        </w:rPr>
        <w:t>Zabytki</w:t>
      </w:r>
      <w:proofErr w:type="spellEnd"/>
      <w:r w:rsidRPr="00A345B8">
        <w:rPr>
          <w:rFonts w:asciiTheme="majorHAnsi" w:hAnsiTheme="majorHAnsi" w:cstheme="majorHAnsi"/>
          <w:i/>
          <w:iCs/>
          <w:sz w:val="20"/>
          <w:szCs w:val="20"/>
        </w:rPr>
        <w:t xml:space="preserve"> </w:t>
      </w:r>
      <w:proofErr w:type="spellStart"/>
      <w:r w:rsidRPr="00A345B8">
        <w:rPr>
          <w:rFonts w:asciiTheme="majorHAnsi" w:hAnsiTheme="majorHAnsi" w:cstheme="majorHAnsi"/>
          <w:i/>
          <w:iCs/>
          <w:sz w:val="20"/>
          <w:szCs w:val="20"/>
        </w:rPr>
        <w:t>historyczne</w:t>
      </w:r>
      <w:proofErr w:type="spellEnd"/>
      <w:r w:rsidRPr="00A345B8">
        <w:rPr>
          <w:rFonts w:asciiTheme="majorHAnsi" w:hAnsiTheme="majorHAnsi" w:cstheme="majorHAnsi"/>
          <w:i/>
          <w:iCs/>
          <w:sz w:val="20"/>
          <w:szCs w:val="20"/>
        </w:rPr>
        <w:t xml:space="preserve"> </w:t>
      </w:r>
      <w:proofErr w:type="spellStart"/>
      <w:r w:rsidRPr="00A345B8">
        <w:rPr>
          <w:rFonts w:asciiTheme="majorHAnsi" w:hAnsiTheme="majorHAnsi" w:cstheme="majorHAnsi"/>
          <w:i/>
          <w:iCs/>
          <w:sz w:val="20"/>
          <w:szCs w:val="20"/>
        </w:rPr>
        <w:t>Żydów</w:t>
      </w:r>
      <w:proofErr w:type="spellEnd"/>
      <w:r w:rsidRPr="00A345B8">
        <w:rPr>
          <w:rFonts w:asciiTheme="majorHAnsi" w:hAnsiTheme="majorHAnsi" w:cstheme="majorHAnsi"/>
          <w:i/>
          <w:iCs/>
          <w:sz w:val="20"/>
          <w:szCs w:val="20"/>
        </w:rPr>
        <w:t xml:space="preserve"> w </w:t>
      </w:r>
      <w:proofErr w:type="spellStart"/>
      <w:r w:rsidRPr="00A345B8">
        <w:rPr>
          <w:rFonts w:asciiTheme="majorHAnsi" w:hAnsiTheme="majorHAnsi" w:cstheme="majorHAnsi"/>
          <w:i/>
          <w:iCs/>
          <w:sz w:val="20"/>
          <w:szCs w:val="20"/>
        </w:rPr>
        <w:t>Polsce</w:t>
      </w:r>
      <w:proofErr w:type="spellEnd"/>
      <w:r w:rsidRPr="00A345B8">
        <w:rPr>
          <w:rFonts w:asciiTheme="majorHAnsi" w:hAnsiTheme="majorHAnsi" w:cstheme="majorHAnsi"/>
          <w:sz w:val="20"/>
          <w:szCs w:val="20"/>
        </w:rPr>
        <w:t>, p</w:t>
      </w:r>
      <w:r w:rsidR="00832E4F" w:rsidRPr="00A345B8">
        <w:rPr>
          <w:rFonts w:asciiTheme="majorHAnsi" w:hAnsiTheme="majorHAnsi" w:cstheme="majorHAnsi"/>
          <w:sz w:val="20"/>
          <w:szCs w:val="20"/>
        </w:rPr>
        <w:t>p</w:t>
      </w:r>
      <w:r w:rsidRPr="00A345B8">
        <w:rPr>
          <w:rFonts w:asciiTheme="majorHAnsi" w:hAnsiTheme="majorHAnsi" w:cstheme="majorHAnsi"/>
          <w:sz w:val="20"/>
          <w:szCs w:val="20"/>
        </w:rPr>
        <w:t xml:space="preserve">. </w:t>
      </w:r>
      <w:r w:rsidR="00832E4F" w:rsidRPr="00A345B8">
        <w:rPr>
          <w:rFonts w:asciiTheme="majorHAnsi" w:hAnsiTheme="majorHAnsi" w:cstheme="majorHAnsi"/>
          <w:sz w:val="20"/>
          <w:szCs w:val="20"/>
        </w:rPr>
        <w:t xml:space="preserve">96, 102; </w:t>
      </w:r>
      <w:r w:rsidR="00832E4F" w:rsidRPr="00A345B8">
        <w:rPr>
          <w:rFonts w:asciiTheme="majorHAnsi" w:hAnsiTheme="majorHAnsi" w:cstheme="majorHAnsi"/>
          <w:color w:val="000000"/>
          <w:sz w:val="20"/>
          <w:szCs w:val="20"/>
        </w:rPr>
        <w:t xml:space="preserve">idem, </w:t>
      </w:r>
      <w:proofErr w:type="spellStart"/>
      <w:r w:rsidR="00832E4F" w:rsidRPr="00A345B8">
        <w:rPr>
          <w:rFonts w:asciiTheme="majorHAnsi" w:hAnsiTheme="majorHAnsi" w:cstheme="majorHAnsi"/>
          <w:i/>
          <w:iCs/>
          <w:color w:val="000000"/>
          <w:sz w:val="20"/>
          <w:szCs w:val="20"/>
        </w:rPr>
        <w:t>Dzielnica</w:t>
      </w:r>
      <w:proofErr w:type="spellEnd"/>
      <w:r w:rsidR="00832E4F" w:rsidRPr="00A345B8">
        <w:rPr>
          <w:rFonts w:asciiTheme="majorHAnsi" w:hAnsiTheme="majorHAnsi" w:cstheme="majorHAnsi"/>
          <w:i/>
          <w:iCs/>
          <w:color w:val="000000"/>
          <w:sz w:val="20"/>
          <w:szCs w:val="20"/>
        </w:rPr>
        <w:t xml:space="preserve"> </w:t>
      </w:r>
      <w:proofErr w:type="spellStart"/>
      <w:r w:rsidR="00832E4F" w:rsidRPr="00A345B8">
        <w:rPr>
          <w:rFonts w:asciiTheme="majorHAnsi" w:hAnsiTheme="majorHAnsi" w:cstheme="majorHAnsi"/>
          <w:i/>
          <w:iCs/>
          <w:color w:val="000000"/>
          <w:sz w:val="20"/>
          <w:szCs w:val="20"/>
        </w:rPr>
        <w:t>żydowska</w:t>
      </w:r>
      <w:proofErr w:type="spellEnd"/>
      <w:r w:rsidR="00832E4F" w:rsidRPr="00A345B8">
        <w:rPr>
          <w:rFonts w:asciiTheme="majorHAnsi" w:hAnsiTheme="majorHAnsi" w:cstheme="majorHAnsi"/>
          <w:i/>
          <w:iCs/>
          <w:color w:val="000000"/>
          <w:sz w:val="20"/>
          <w:szCs w:val="20"/>
        </w:rPr>
        <w:t xml:space="preserve">, </w:t>
      </w:r>
      <w:proofErr w:type="spellStart"/>
      <w:r w:rsidR="00832E4F" w:rsidRPr="00A345B8">
        <w:rPr>
          <w:rFonts w:asciiTheme="majorHAnsi" w:hAnsiTheme="majorHAnsi" w:cstheme="majorHAnsi"/>
          <w:i/>
          <w:iCs/>
          <w:color w:val="000000"/>
          <w:sz w:val="20"/>
          <w:szCs w:val="20"/>
        </w:rPr>
        <w:t>jej</w:t>
      </w:r>
      <w:proofErr w:type="spellEnd"/>
      <w:r w:rsidR="00832E4F" w:rsidRPr="00A345B8">
        <w:rPr>
          <w:rFonts w:asciiTheme="majorHAnsi" w:hAnsiTheme="majorHAnsi" w:cstheme="majorHAnsi"/>
          <w:i/>
          <w:iCs/>
          <w:color w:val="000000"/>
          <w:sz w:val="20"/>
          <w:szCs w:val="20"/>
        </w:rPr>
        <w:t xml:space="preserve"> </w:t>
      </w:r>
      <w:proofErr w:type="spellStart"/>
      <w:r w:rsidR="00832E4F" w:rsidRPr="00A345B8">
        <w:rPr>
          <w:rFonts w:asciiTheme="majorHAnsi" w:hAnsiTheme="majorHAnsi" w:cstheme="majorHAnsi"/>
          <w:i/>
          <w:iCs/>
          <w:color w:val="000000"/>
          <w:sz w:val="20"/>
          <w:szCs w:val="20"/>
        </w:rPr>
        <w:t>dzieje</w:t>
      </w:r>
      <w:proofErr w:type="spellEnd"/>
      <w:r w:rsidR="00832E4F" w:rsidRPr="00A345B8">
        <w:rPr>
          <w:rFonts w:asciiTheme="majorHAnsi" w:hAnsiTheme="majorHAnsi" w:cstheme="majorHAnsi"/>
          <w:i/>
          <w:iCs/>
          <w:color w:val="000000"/>
          <w:sz w:val="20"/>
          <w:szCs w:val="20"/>
        </w:rPr>
        <w:t xml:space="preserve"> </w:t>
      </w:r>
      <w:proofErr w:type="spellStart"/>
      <w:r w:rsidR="00832E4F" w:rsidRPr="00A345B8">
        <w:rPr>
          <w:rFonts w:asciiTheme="majorHAnsi" w:hAnsiTheme="majorHAnsi" w:cstheme="majorHAnsi"/>
          <w:i/>
          <w:iCs/>
          <w:color w:val="000000"/>
          <w:sz w:val="20"/>
          <w:szCs w:val="20"/>
        </w:rPr>
        <w:t>i</w:t>
      </w:r>
      <w:proofErr w:type="spellEnd"/>
      <w:r w:rsidR="00832E4F" w:rsidRPr="00A345B8">
        <w:rPr>
          <w:rFonts w:asciiTheme="majorHAnsi" w:hAnsiTheme="majorHAnsi" w:cstheme="majorHAnsi"/>
          <w:i/>
          <w:iCs/>
          <w:color w:val="000000"/>
          <w:sz w:val="20"/>
          <w:szCs w:val="20"/>
        </w:rPr>
        <w:t xml:space="preserve"> </w:t>
      </w:r>
      <w:proofErr w:type="spellStart"/>
      <w:r w:rsidR="00832E4F" w:rsidRPr="00A345B8">
        <w:rPr>
          <w:rFonts w:asciiTheme="majorHAnsi" w:hAnsiTheme="majorHAnsi" w:cstheme="majorHAnsi"/>
          <w:i/>
          <w:iCs/>
          <w:color w:val="000000"/>
          <w:sz w:val="20"/>
          <w:szCs w:val="20"/>
        </w:rPr>
        <w:t>zabytki</w:t>
      </w:r>
      <w:proofErr w:type="spellEnd"/>
      <w:r w:rsidR="00832E4F" w:rsidRPr="00A345B8">
        <w:rPr>
          <w:rFonts w:asciiTheme="majorHAnsi" w:hAnsiTheme="majorHAnsi" w:cstheme="majorHAnsi"/>
          <w:color w:val="000000"/>
          <w:sz w:val="20"/>
          <w:szCs w:val="20"/>
        </w:rPr>
        <w:t xml:space="preserve"> (</w:t>
      </w:r>
      <w:proofErr w:type="spellStart"/>
      <w:r w:rsidR="00832E4F" w:rsidRPr="00A345B8">
        <w:rPr>
          <w:rFonts w:asciiTheme="majorHAnsi" w:hAnsiTheme="majorHAnsi" w:cstheme="majorHAnsi"/>
          <w:color w:val="000000"/>
          <w:sz w:val="20"/>
          <w:szCs w:val="20"/>
        </w:rPr>
        <w:t>Lviv</w:t>
      </w:r>
      <w:proofErr w:type="spellEnd"/>
      <w:r w:rsidR="00832E4F" w:rsidRPr="00A345B8">
        <w:rPr>
          <w:rFonts w:asciiTheme="majorHAnsi" w:hAnsiTheme="majorHAnsi" w:cstheme="majorHAnsi"/>
          <w:color w:val="000000"/>
          <w:sz w:val="20"/>
          <w:szCs w:val="20"/>
        </w:rPr>
        <w:t xml:space="preserve">: </w:t>
      </w:r>
      <w:proofErr w:type="spellStart"/>
      <w:r w:rsidR="00832E4F" w:rsidRPr="00A345B8">
        <w:rPr>
          <w:rFonts w:asciiTheme="majorHAnsi" w:hAnsiTheme="majorHAnsi" w:cstheme="majorHAnsi"/>
          <w:color w:val="000000"/>
          <w:sz w:val="20"/>
          <w:szCs w:val="20"/>
        </w:rPr>
        <w:t>Towarzystwo</w:t>
      </w:r>
      <w:proofErr w:type="spellEnd"/>
      <w:r w:rsidR="00832E4F" w:rsidRPr="00A345B8">
        <w:rPr>
          <w:rFonts w:asciiTheme="majorHAnsi" w:hAnsiTheme="majorHAnsi" w:cstheme="majorHAnsi"/>
          <w:color w:val="000000"/>
          <w:sz w:val="20"/>
          <w:szCs w:val="20"/>
        </w:rPr>
        <w:t xml:space="preserve"> </w:t>
      </w:r>
      <w:proofErr w:type="spellStart"/>
      <w:r w:rsidR="00832E4F" w:rsidRPr="00A345B8">
        <w:rPr>
          <w:rFonts w:asciiTheme="majorHAnsi" w:hAnsiTheme="majorHAnsi" w:cstheme="majorHAnsi"/>
          <w:color w:val="000000"/>
          <w:sz w:val="20"/>
          <w:szCs w:val="20"/>
        </w:rPr>
        <w:t>miłośników</w:t>
      </w:r>
      <w:proofErr w:type="spellEnd"/>
      <w:r w:rsidR="00832E4F" w:rsidRPr="00A345B8">
        <w:rPr>
          <w:rFonts w:asciiTheme="majorHAnsi" w:hAnsiTheme="majorHAnsi" w:cstheme="majorHAnsi"/>
          <w:color w:val="000000"/>
          <w:sz w:val="20"/>
          <w:szCs w:val="20"/>
        </w:rPr>
        <w:t xml:space="preserve"> </w:t>
      </w:r>
      <w:proofErr w:type="spellStart"/>
      <w:r w:rsidR="00832E4F" w:rsidRPr="00A345B8">
        <w:rPr>
          <w:rFonts w:asciiTheme="majorHAnsi" w:hAnsiTheme="majorHAnsi" w:cstheme="majorHAnsi"/>
          <w:color w:val="000000"/>
          <w:sz w:val="20"/>
          <w:szCs w:val="20"/>
        </w:rPr>
        <w:t>przeszłości</w:t>
      </w:r>
      <w:proofErr w:type="spellEnd"/>
      <w:r w:rsidR="00832E4F" w:rsidRPr="00A345B8">
        <w:rPr>
          <w:rFonts w:asciiTheme="majorHAnsi" w:hAnsiTheme="majorHAnsi" w:cstheme="majorHAnsi"/>
          <w:color w:val="000000"/>
          <w:sz w:val="20"/>
          <w:szCs w:val="20"/>
        </w:rPr>
        <w:t xml:space="preserve"> </w:t>
      </w:r>
      <w:proofErr w:type="spellStart"/>
      <w:r w:rsidR="00832E4F" w:rsidRPr="00A345B8">
        <w:rPr>
          <w:rFonts w:asciiTheme="majorHAnsi" w:hAnsiTheme="majorHAnsi" w:cstheme="majorHAnsi"/>
          <w:color w:val="000000"/>
          <w:sz w:val="20"/>
          <w:szCs w:val="20"/>
        </w:rPr>
        <w:t>Lwowa</w:t>
      </w:r>
      <w:proofErr w:type="spellEnd"/>
      <w:r w:rsidR="00832E4F" w:rsidRPr="00A345B8">
        <w:rPr>
          <w:rFonts w:asciiTheme="majorHAnsi" w:hAnsiTheme="majorHAnsi" w:cstheme="majorHAnsi"/>
          <w:color w:val="000000"/>
          <w:sz w:val="20"/>
          <w:szCs w:val="20"/>
        </w:rPr>
        <w:t>, 1909), p. 25.</w:t>
      </w:r>
    </w:p>
  </w:footnote>
  <w:footnote w:id="95">
    <w:p w14:paraId="10DE0D53" w14:textId="498C95D4" w:rsidR="00056033" w:rsidRPr="00A345B8" w:rsidRDefault="00056033"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Style w:val="FootnoteReference"/>
          <w:rFonts w:asciiTheme="majorHAnsi" w:hAnsiTheme="majorHAnsi" w:cstheme="majorHAnsi"/>
          <w:sz w:val="20"/>
          <w:szCs w:val="20"/>
        </w:rPr>
        <w:footnoteRef/>
      </w:r>
      <w:r w:rsidRPr="00A345B8">
        <w:rPr>
          <w:rFonts w:asciiTheme="majorHAnsi" w:hAnsiTheme="majorHAnsi" w:cstheme="majorHAnsi"/>
          <w:sz w:val="20"/>
          <w:szCs w:val="20"/>
        </w:rPr>
        <w:t xml:space="preserve"> See Sergey R. Kravtsov and Vladimir Levin, </w:t>
      </w:r>
      <w:r w:rsidRPr="00A345B8">
        <w:rPr>
          <w:rFonts w:asciiTheme="majorHAnsi" w:hAnsiTheme="majorHAnsi" w:cstheme="majorHAnsi"/>
          <w:i/>
          <w:iCs/>
          <w:sz w:val="20"/>
          <w:szCs w:val="20"/>
        </w:rPr>
        <w:t xml:space="preserve">Synagogues in Ukraine: </w:t>
      </w:r>
      <w:proofErr w:type="spellStart"/>
      <w:r w:rsidRPr="00A345B8">
        <w:rPr>
          <w:rFonts w:asciiTheme="majorHAnsi" w:hAnsiTheme="majorHAnsi" w:cstheme="majorHAnsi"/>
          <w:i/>
          <w:iCs/>
          <w:sz w:val="20"/>
          <w:szCs w:val="20"/>
        </w:rPr>
        <w:t>Volhynia</w:t>
      </w:r>
      <w:proofErr w:type="spellEnd"/>
      <w:r w:rsidRPr="00A345B8">
        <w:rPr>
          <w:rFonts w:asciiTheme="majorHAnsi" w:hAnsiTheme="majorHAnsi" w:cstheme="majorHAnsi"/>
          <w:sz w:val="20"/>
          <w:szCs w:val="20"/>
        </w:rPr>
        <w:t xml:space="preserve"> 1 (Jerusalem, The Center for Jewish Art, The Hebrew University of Jerusalem, 2017), pp. </w:t>
      </w:r>
      <w:r w:rsidRPr="00A345B8">
        <w:rPr>
          <w:rFonts w:asciiTheme="majorHAnsi" w:hAnsiTheme="majorHAnsi" w:cstheme="majorHAnsi"/>
          <w:color w:val="000000"/>
          <w:sz w:val="20"/>
          <w:szCs w:val="20"/>
        </w:rPr>
        <w:t>88, 232 fig. 43, 236, 345 fig. 21, 348.</w:t>
      </w:r>
    </w:p>
  </w:footnote>
  <w:footnote w:id="96">
    <w:p w14:paraId="1EA447BA" w14:textId="77777777" w:rsidR="00C4197E" w:rsidRPr="000E08BE" w:rsidRDefault="00C4197E" w:rsidP="00C4197E">
      <w:pPr>
        <w:pBdr>
          <w:top w:val="nil"/>
          <w:left w:val="nil"/>
          <w:bottom w:val="nil"/>
          <w:right w:val="nil"/>
          <w:between w:val="nil"/>
        </w:pBdr>
        <w:spacing w:after="0" w:line="360" w:lineRule="auto"/>
        <w:ind w:left="720" w:hanging="720"/>
        <w:rPr>
          <w:rFonts w:asciiTheme="majorHAnsi" w:hAnsiTheme="majorHAnsi" w:cstheme="majorHAnsi"/>
          <w:color w:val="000000"/>
          <w:sz w:val="20"/>
          <w:szCs w:val="20"/>
          <w:lang w:val="de-DE"/>
        </w:rPr>
      </w:pPr>
      <w:r>
        <w:rPr>
          <w:rStyle w:val="FootnoteReference"/>
        </w:rPr>
        <w:footnoteRef/>
      </w:r>
      <w:r>
        <w:t xml:space="preserve"> See Sotheby’s, </w:t>
      </w:r>
      <w:r w:rsidRPr="000E08BE">
        <w:rPr>
          <w:i/>
          <w:iCs/>
        </w:rPr>
        <w:t>The Halpern Judaica Collection: Tradition and Treasure</w:t>
      </w:r>
      <w:r>
        <w:t xml:space="preserve">, Part II, December 20, 2022, </w:t>
      </w:r>
      <w:r w:rsidRPr="000E08BE">
        <w:t>www.sothebys.com/en/buy/auction/2022/the-halpern-judaica-collection-tradition-and-treasure-part-ii/two-synagogue-knockers-eastern-europe-first-half</w:t>
      </w:r>
      <w:r>
        <w:t xml:space="preserve"> </w:t>
      </w:r>
      <w:r w:rsidRPr="00A345B8">
        <w:rPr>
          <w:rFonts w:asciiTheme="majorHAnsi" w:hAnsiTheme="majorHAnsi" w:cstheme="majorHAnsi"/>
          <w:color w:val="000000"/>
          <w:sz w:val="20"/>
          <w:szCs w:val="20"/>
          <w:lang w:val="de-DE"/>
        </w:rPr>
        <w:t>(</w:t>
      </w:r>
      <w:r w:rsidRPr="00A345B8">
        <w:rPr>
          <w:rFonts w:asciiTheme="majorHAnsi" w:hAnsiTheme="majorHAnsi" w:cstheme="majorHAnsi"/>
          <w:color w:val="000000"/>
          <w:sz w:val="20"/>
          <w:szCs w:val="20"/>
        </w:rPr>
        <w:t>accessed February 26, 2023).</w:t>
      </w:r>
    </w:p>
  </w:footnote>
  <w:footnote w:id="97">
    <w:p w14:paraId="46B54B91" w14:textId="44E6D04F" w:rsidR="0016514F" w:rsidRPr="00A345B8" w:rsidRDefault="0016514F"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lang w:val="de-DE"/>
        </w:rPr>
      </w:pPr>
      <w:r w:rsidRPr="00A345B8">
        <w:rPr>
          <w:rStyle w:val="FootnoteReference"/>
          <w:rFonts w:asciiTheme="majorHAnsi" w:hAnsiTheme="majorHAnsi" w:cstheme="majorHAnsi"/>
          <w:sz w:val="20"/>
          <w:szCs w:val="20"/>
        </w:rPr>
        <w:footnoteRef/>
      </w:r>
      <w:r w:rsidRPr="00A345B8">
        <w:rPr>
          <w:rFonts w:asciiTheme="majorHAnsi" w:hAnsiTheme="majorHAnsi" w:cstheme="majorHAnsi"/>
          <w:sz w:val="20"/>
          <w:szCs w:val="20"/>
        </w:rPr>
        <w:t xml:space="preserve"> See </w:t>
      </w:r>
      <w:r w:rsidRPr="00A345B8">
        <w:rPr>
          <w:rFonts w:asciiTheme="majorHAnsi" w:hAnsiTheme="majorHAnsi" w:cstheme="majorHAnsi"/>
          <w:color w:val="000000"/>
          <w:sz w:val="20"/>
          <w:szCs w:val="20"/>
          <w:lang w:val="de-DE"/>
        </w:rPr>
        <w:t>www.bcd-urbex.com/greenbank-synagogue-liverpool-england (</w:t>
      </w:r>
      <w:r w:rsidR="009C1B2B" w:rsidRPr="00A345B8">
        <w:rPr>
          <w:rFonts w:asciiTheme="majorHAnsi" w:hAnsiTheme="majorHAnsi" w:cstheme="majorHAnsi"/>
          <w:color w:val="000000"/>
          <w:sz w:val="20"/>
          <w:szCs w:val="20"/>
        </w:rPr>
        <w:t>accessed February 26, 2023</w:t>
      </w:r>
      <w:r w:rsidRPr="00A345B8">
        <w:rPr>
          <w:rFonts w:asciiTheme="majorHAnsi" w:hAnsiTheme="majorHAnsi" w:cstheme="majorHAnsi"/>
          <w:color w:val="000000"/>
          <w:sz w:val="20"/>
          <w:szCs w:val="20"/>
        </w:rPr>
        <w:t>).</w:t>
      </w:r>
    </w:p>
  </w:footnote>
  <w:footnote w:id="98">
    <w:p w14:paraId="76993DBE" w14:textId="354F3566" w:rsidR="0010296F" w:rsidRPr="00A345B8" w:rsidRDefault="00B54EB1" w:rsidP="00A345B8">
      <w:pPr>
        <w:pStyle w:val="FootnoteText"/>
        <w:spacing w:line="360" w:lineRule="auto"/>
        <w:ind w:left="720" w:hanging="720"/>
        <w:rPr>
          <w:rFonts w:asciiTheme="majorHAnsi" w:hAnsiTheme="majorHAnsi" w:cstheme="majorHAnsi"/>
        </w:rPr>
      </w:pPr>
      <w:r w:rsidRPr="00A345B8">
        <w:rPr>
          <w:rStyle w:val="FootnoteReference"/>
          <w:rFonts w:asciiTheme="majorHAnsi" w:hAnsiTheme="majorHAnsi" w:cstheme="majorHAnsi"/>
        </w:rPr>
        <w:footnoteRef/>
      </w:r>
      <w:r w:rsidRPr="00A345B8">
        <w:rPr>
          <w:rFonts w:asciiTheme="majorHAnsi" w:hAnsiTheme="majorHAnsi" w:cstheme="majorHAnsi"/>
        </w:rPr>
        <w:t xml:space="preserve"> </w:t>
      </w:r>
      <w:r w:rsidR="003229A7" w:rsidRPr="002B5D71">
        <w:rPr>
          <w:rFonts w:asciiTheme="majorHAnsi" w:hAnsiTheme="majorHAnsi" w:cstheme="majorHAnsi"/>
          <w:highlight w:val="yellow"/>
        </w:rPr>
        <w:t xml:space="preserve">I am </w:t>
      </w:r>
      <w:r w:rsidR="00100F97" w:rsidRPr="002B5D71">
        <w:rPr>
          <w:rFonts w:asciiTheme="majorHAnsi" w:hAnsiTheme="majorHAnsi" w:cstheme="majorHAnsi"/>
          <w:highlight w:val="yellow"/>
        </w:rPr>
        <w:t xml:space="preserve">not able to </w:t>
      </w:r>
      <w:r w:rsidR="004B18C0" w:rsidRPr="002B5D71">
        <w:rPr>
          <w:rFonts w:asciiTheme="majorHAnsi" w:hAnsiTheme="majorHAnsi" w:cstheme="majorHAnsi"/>
          <w:highlight w:val="yellow"/>
        </w:rPr>
        <w:t>attest</w:t>
      </w:r>
      <w:r w:rsidR="00100F97" w:rsidRPr="002B5D71">
        <w:rPr>
          <w:rFonts w:asciiTheme="majorHAnsi" w:hAnsiTheme="majorHAnsi" w:cstheme="majorHAnsi"/>
          <w:highlight w:val="yellow"/>
        </w:rPr>
        <w:t xml:space="preserve"> the authenticity and attribution of a </w:t>
      </w:r>
      <w:r w:rsidR="004B18C0" w:rsidRPr="002B5D71">
        <w:rPr>
          <w:rFonts w:asciiTheme="majorHAnsi" w:hAnsiTheme="majorHAnsi" w:cstheme="majorHAnsi"/>
          <w:highlight w:val="yellow"/>
        </w:rPr>
        <w:t xml:space="preserve">53-cemtimeter-long </w:t>
      </w:r>
      <w:r w:rsidR="00100F97" w:rsidRPr="002B5D71">
        <w:rPr>
          <w:rStyle w:val="sc-vjknw"/>
          <w:highlight w:val="yellow"/>
        </w:rPr>
        <w:t xml:space="preserve">Cudgel (a mallet-shaped Irish club) with its head designed as a lion </w:t>
      </w:r>
      <w:r w:rsidR="00100F97" w:rsidRPr="002B5D71">
        <w:rPr>
          <w:rFonts w:asciiTheme="majorHAnsi" w:hAnsiTheme="majorHAnsi" w:cstheme="majorHAnsi"/>
          <w:highlight w:val="yellow"/>
        </w:rPr>
        <w:t>with a ball deep in its mouth</w:t>
      </w:r>
      <w:r w:rsidR="00F36907" w:rsidRPr="002B5D71">
        <w:rPr>
          <w:rFonts w:asciiTheme="majorHAnsi" w:hAnsiTheme="majorHAnsi" w:cstheme="majorHAnsi"/>
          <w:highlight w:val="yellow"/>
        </w:rPr>
        <w:t xml:space="preserve"> that was sold at </w:t>
      </w:r>
      <w:proofErr w:type="spellStart"/>
      <w:r w:rsidR="00F36907" w:rsidRPr="002B5D71">
        <w:rPr>
          <w:rFonts w:asciiTheme="majorHAnsi" w:hAnsiTheme="majorHAnsi" w:cstheme="majorHAnsi"/>
          <w:highlight w:val="yellow"/>
        </w:rPr>
        <w:t>LiveAuctioneers</w:t>
      </w:r>
      <w:proofErr w:type="spellEnd"/>
      <w:r w:rsidR="00F36907" w:rsidRPr="002B5D71">
        <w:rPr>
          <w:rFonts w:asciiTheme="majorHAnsi" w:hAnsiTheme="majorHAnsi" w:cstheme="majorHAnsi"/>
          <w:highlight w:val="yellow"/>
        </w:rPr>
        <w:t xml:space="preserve"> auction (lot 0016, November 20, 2011; www.liveauctioneers.com/item/10137155_-schulklopfer-s-mallet-or-irish-cudgel)</w:t>
      </w:r>
      <w:r w:rsidR="0010296F" w:rsidRPr="002B5D71">
        <w:rPr>
          <w:rFonts w:asciiTheme="majorHAnsi" w:hAnsiTheme="majorHAnsi" w:cstheme="majorHAnsi"/>
          <w:highlight w:val="yellow"/>
        </w:rPr>
        <w:t>.</w:t>
      </w:r>
      <w:r w:rsidR="00100F97" w:rsidRPr="002B5D71">
        <w:rPr>
          <w:rFonts w:asciiTheme="majorHAnsi" w:hAnsiTheme="majorHAnsi" w:cstheme="majorHAnsi"/>
          <w:highlight w:val="yellow"/>
        </w:rPr>
        <w:t xml:space="preserve"> </w:t>
      </w:r>
      <w:r w:rsidR="0010296F" w:rsidRPr="002B5D71">
        <w:rPr>
          <w:rFonts w:asciiTheme="majorHAnsi" w:hAnsiTheme="majorHAnsi" w:cstheme="majorHAnsi"/>
          <w:highlight w:val="yellow"/>
        </w:rPr>
        <w:t xml:space="preserve">The lion’s muzzle and the Hebrew inscription on its back, “We walked in the house of God with the throng,” </w:t>
      </w:r>
      <w:r w:rsidR="004B18C0" w:rsidRPr="002B5D71">
        <w:rPr>
          <w:rFonts w:asciiTheme="majorHAnsi" w:hAnsiTheme="majorHAnsi" w:cstheme="majorHAnsi"/>
          <w:highlight w:val="yellow"/>
        </w:rPr>
        <w:t xml:space="preserve">may imitate a similar </w:t>
      </w:r>
      <w:r w:rsidR="0010296F" w:rsidRPr="002B5D71">
        <w:rPr>
          <w:rFonts w:asciiTheme="majorHAnsi" w:hAnsiTheme="majorHAnsi" w:cstheme="majorHAnsi"/>
          <w:highlight w:val="yellow"/>
        </w:rPr>
        <w:t xml:space="preserve">lion </w:t>
      </w:r>
      <w:r w:rsidR="004B18C0" w:rsidRPr="002B5D71">
        <w:rPr>
          <w:rFonts w:asciiTheme="majorHAnsi" w:hAnsiTheme="majorHAnsi" w:cstheme="majorHAnsi"/>
          <w:highlight w:val="yellow"/>
        </w:rPr>
        <w:t xml:space="preserve">muzzle </w:t>
      </w:r>
      <w:r w:rsidR="0010296F" w:rsidRPr="002B5D71">
        <w:rPr>
          <w:rFonts w:asciiTheme="majorHAnsi" w:hAnsiTheme="majorHAnsi" w:cstheme="majorHAnsi"/>
          <w:highlight w:val="yellow"/>
        </w:rPr>
        <w:t>and the same inscription on the eighteenth-century synagogue mallet from Poland (fig. 9)</w:t>
      </w:r>
      <w:r w:rsidR="0010296F" w:rsidRPr="00A345B8">
        <w:rPr>
          <w:rFonts w:asciiTheme="majorHAnsi" w:hAnsiTheme="majorHAnsi" w:cstheme="majorHAnsi"/>
        </w:rPr>
        <w:t xml:space="preserve">. </w:t>
      </w:r>
    </w:p>
    <w:p w14:paraId="4F592D07" w14:textId="23D8B34C" w:rsidR="00B54EB1" w:rsidRPr="00A345B8" w:rsidRDefault="00B54EB1" w:rsidP="00A345B8">
      <w:pPr>
        <w:pStyle w:val="FootnoteText"/>
        <w:spacing w:line="360" w:lineRule="auto"/>
        <w:ind w:left="720" w:hanging="720"/>
        <w:rPr>
          <w:rFonts w:asciiTheme="majorHAnsi" w:hAnsiTheme="majorHAnsi" w:cstheme="majorHAnsi"/>
        </w:rPr>
      </w:pPr>
    </w:p>
  </w:footnote>
  <w:footnote w:id="99">
    <w:p w14:paraId="000000B4" w14:textId="5766A690"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See above, p. </w:t>
      </w:r>
      <w:r w:rsidR="00517C9D" w:rsidRPr="00A345B8">
        <w:rPr>
          <w:rFonts w:asciiTheme="majorHAnsi" w:hAnsiTheme="majorHAnsi" w:cstheme="majorHAnsi"/>
          <w:color w:val="000000"/>
          <w:sz w:val="20"/>
          <w:szCs w:val="20"/>
          <w:rtl/>
        </w:rPr>
        <w:t>*</w:t>
      </w:r>
      <w:r w:rsidR="002946E6">
        <w:rPr>
          <w:rFonts w:asciiTheme="majorHAnsi" w:hAnsiTheme="majorHAnsi" w:cstheme="majorHAnsi"/>
          <w:color w:val="000000"/>
          <w:sz w:val="20"/>
          <w:szCs w:val="20"/>
        </w:rPr>
        <w:t>.</w:t>
      </w:r>
    </w:p>
  </w:footnote>
  <w:footnote w:id="100">
    <w:p w14:paraId="000000B5"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Juspa</w:t>
      </w:r>
      <w:proofErr w:type="spellEnd"/>
      <w:r w:rsidRPr="00A345B8">
        <w:rPr>
          <w:rFonts w:asciiTheme="majorHAnsi" w:hAnsiTheme="majorHAnsi" w:cstheme="majorHAnsi"/>
          <w:color w:val="000000"/>
          <w:sz w:val="20"/>
          <w:szCs w:val="20"/>
        </w:rPr>
        <w:t xml:space="preserve"> Shamash, </w:t>
      </w:r>
      <w:proofErr w:type="spellStart"/>
      <w:r w:rsidRPr="00A345B8">
        <w:rPr>
          <w:rFonts w:asciiTheme="majorHAnsi" w:hAnsiTheme="majorHAnsi" w:cstheme="majorHAnsi"/>
          <w:i/>
          <w:color w:val="000000"/>
          <w:sz w:val="20"/>
          <w:szCs w:val="20"/>
        </w:rPr>
        <w:t>Minhagim</w:t>
      </w:r>
      <w:proofErr w:type="spellEnd"/>
      <w:r w:rsidRPr="00A345B8">
        <w:rPr>
          <w:rFonts w:asciiTheme="majorHAnsi" w:hAnsiTheme="majorHAnsi" w:cstheme="majorHAnsi"/>
          <w:i/>
          <w:color w:val="000000"/>
          <w:sz w:val="20"/>
          <w:szCs w:val="20"/>
        </w:rPr>
        <w:t xml:space="preserve"> de-k[</w:t>
      </w:r>
      <w:proofErr w:type="spellStart"/>
      <w:r w:rsidRPr="00A345B8">
        <w:rPr>
          <w:rFonts w:asciiTheme="majorHAnsi" w:hAnsiTheme="majorHAnsi" w:cstheme="majorHAnsi"/>
          <w:i/>
          <w:color w:val="000000"/>
          <w:sz w:val="20"/>
          <w:szCs w:val="20"/>
        </w:rPr>
        <w:t>ehilat</w:t>
      </w:r>
      <w:proofErr w:type="spellEnd"/>
      <w:r w:rsidRPr="00A345B8">
        <w:rPr>
          <w:rFonts w:asciiTheme="majorHAnsi" w:hAnsiTheme="majorHAnsi" w:cstheme="majorHAnsi"/>
          <w:i/>
          <w:color w:val="000000"/>
          <w:sz w:val="20"/>
          <w:szCs w:val="20"/>
        </w:rPr>
        <w:t>]״k[</w:t>
      </w:r>
      <w:proofErr w:type="spellStart"/>
      <w:r w:rsidRPr="00A345B8">
        <w:rPr>
          <w:rFonts w:asciiTheme="majorHAnsi" w:hAnsiTheme="majorHAnsi" w:cstheme="majorHAnsi"/>
          <w:i/>
          <w:color w:val="000000"/>
          <w:sz w:val="20"/>
          <w:szCs w:val="20"/>
        </w:rPr>
        <w:t>odesh</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Warmaisa</w:t>
      </w:r>
      <w:proofErr w:type="spellEnd"/>
      <w:r w:rsidRPr="00A345B8">
        <w:rPr>
          <w:rFonts w:asciiTheme="majorHAnsi" w:hAnsiTheme="majorHAnsi" w:cstheme="majorHAnsi"/>
          <w:color w:val="000000"/>
          <w:sz w:val="20"/>
          <w:szCs w:val="20"/>
        </w:rPr>
        <w:t>, [11]</w:t>
      </w:r>
      <w:proofErr w:type="gramStart"/>
      <w:r w:rsidRPr="00A345B8">
        <w:rPr>
          <w:rFonts w:asciiTheme="majorHAnsi" w:hAnsiTheme="majorHAnsi" w:cstheme="majorHAnsi"/>
          <w:color w:val="000000"/>
          <w:sz w:val="20"/>
          <w:szCs w:val="20"/>
        </w:rPr>
        <w:t>–[</w:t>
      </w:r>
      <w:proofErr w:type="gramEnd"/>
      <w:r w:rsidRPr="00A345B8">
        <w:rPr>
          <w:rFonts w:asciiTheme="majorHAnsi" w:hAnsiTheme="majorHAnsi" w:cstheme="majorHAnsi"/>
          <w:color w:val="000000"/>
          <w:sz w:val="20"/>
          <w:szCs w:val="20"/>
        </w:rPr>
        <w:t xml:space="preserve">12]. </w:t>
      </w:r>
    </w:p>
  </w:footnote>
  <w:footnote w:id="101">
    <w:p w14:paraId="000000B6"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r w:rsidRPr="002B5D71">
        <w:rPr>
          <w:rFonts w:asciiTheme="majorHAnsi" w:hAnsiTheme="majorHAnsi" w:cstheme="majorHAnsi"/>
          <w:color w:val="000000"/>
          <w:sz w:val="20"/>
          <w:szCs w:val="20"/>
          <w:highlight w:val="yellow"/>
        </w:rPr>
        <w:t xml:space="preserve">Joseph Karo (1488–1575) warned: “One should not speak idle matters when the prayer leader is repeating the [Amidah] prayer. And if he spoke [idle matters], he is a sinner and his sin is too great to bear, and we rebuke him,” Joseph Karo, </w:t>
      </w:r>
      <w:proofErr w:type="spellStart"/>
      <w:r w:rsidRPr="002B5D71">
        <w:rPr>
          <w:rFonts w:asciiTheme="majorHAnsi" w:hAnsiTheme="majorHAnsi" w:cstheme="majorHAnsi"/>
          <w:i/>
          <w:color w:val="000000"/>
          <w:sz w:val="20"/>
          <w:szCs w:val="20"/>
          <w:highlight w:val="yellow"/>
        </w:rPr>
        <w:t>Shulḥan</w:t>
      </w:r>
      <w:proofErr w:type="spellEnd"/>
      <w:r w:rsidRPr="002B5D71">
        <w:rPr>
          <w:rFonts w:asciiTheme="majorHAnsi" w:hAnsiTheme="majorHAnsi" w:cstheme="majorHAnsi"/>
          <w:i/>
          <w:color w:val="000000"/>
          <w:sz w:val="20"/>
          <w:szCs w:val="20"/>
          <w:highlight w:val="yellow"/>
        </w:rPr>
        <w:t xml:space="preserve"> </w:t>
      </w:r>
      <w:proofErr w:type="spellStart"/>
      <w:r w:rsidRPr="002B5D71">
        <w:rPr>
          <w:rFonts w:asciiTheme="majorHAnsi" w:hAnsiTheme="majorHAnsi" w:cstheme="majorHAnsi"/>
          <w:i/>
          <w:color w:val="000000"/>
          <w:sz w:val="20"/>
          <w:szCs w:val="20"/>
          <w:highlight w:val="yellow"/>
        </w:rPr>
        <w:t>arukh</w:t>
      </w:r>
      <w:proofErr w:type="spellEnd"/>
      <w:r w:rsidRPr="002B5D71">
        <w:rPr>
          <w:rFonts w:asciiTheme="majorHAnsi" w:hAnsiTheme="majorHAnsi" w:cstheme="majorHAnsi"/>
          <w:color w:val="000000"/>
          <w:sz w:val="20"/>
          <w:szCs w:val="20"/>
          <w:highlight w:val="yellow"/>
        </w:rPr>
        <w:t xml:space="preserve">: </w:t>
      </w:r>
      <w:proofErr w:type="spellStart"/>
      <w:r w:rsidRPr="002B5D71">
        <w:rPr>
          <w:rFonts w:asciiTheme="majorHAnsi" w:hAnsiTheme="majorHAnsi" w:cstheme="majorHAnsi"/>
          <w:i/>
          <w:color w:val="000000"/>
          <w:sz w:val="20"/>
          <w:szCs w:val="20"/>
          <w:highlight w:val="yellow"/>
        </w:rPr>
        <w:t>Orakh</w:t>
      </w:r>
      <w:proofErr w:type="spellEnd"/>
      <w:r w:rsidRPr="002B5D71">
        <w:rPr>
          <w:rFonts w:asciiTheme="majorHAnsi" w:hAnsiTheme="majorHAnsi" w:cstheme="majorHAnsi"/>
          <w:i/>
          <w:color w:val="000000"/>
          <w:sz w:val="20"/>
          <w:szCs w:val="20"/>
          <w:highlight w:val="yellow"/>
        </w:rPr>
        <w:t xml:space="preserve"> </w:t>
      </w:r>
      <w:proofErr w:type="spellStart"/>
      <w:r w:rsidRPr="002B5D71">
        <w:rPr>
          <w:rFonts w:asciiTheme="majorHAnsi" w:hAnsiTheme="majorHAnsi" w:cstheme="majorHAnsi"/>
          <w:i/>
          <w:color w:val="000000"/>
          <w:sz w:val="20"/>
          <w:szCs w:val="20"/>
          <w:highlight w:val="yellow"/>
        </w:rPr>
        <w:t>ḥayim</w:t>
      </w:r>
      <w:proofErr w:type="spellEnd"/>
      <w:r w:rsidRPr="002B5D71">
        <w:rPr>
          <w:rFonts w:asciiTheme="majorHAnsi" w:hAnsiTheme="majorHAnsi" w:cstheme="majorHAnsi"/>
          <w:color w:val="000000"/>
          <w:sz w:val="20"/>
          <w:szCs w:val="20"/>
          <w:highlight w:val="yellow"/>
        </w:rPr>
        <w:t xml:space="preserve">, </w:t>
      </w:r>
      <w:proofErr w:type="spellStart"/>
      <w:r w:rsidRPr="002B5D71">
        <w:rPr>
          <w:rFonts w:asciiTheme="majorHAnsi" w:hAnsiTheme="majorHAnsi" w:cstheme="majorHAnsi"/>
          <w:i/>
          <w:color w:val="000000"/>
          <w:sz w:val="20"/>
          <w:szCs w:val="20"/>
          <w:highlight w:val="yellow"/>
        </w:rPr>
        <w:t>hilkhot</w:t>
      </w:r>
      <w:proofErr w:type="spellEnd"/>
      <w:r w:rsidRPr="002B5D71">
        <w:rPr>
          <w:rFonts w:asciiTheme="majorHAnsi" w:hAnsiTheme="majorHAnsi" w:cstheme="majorHAnsi"/>
          <w:i/>
          <w:color w:val="000000"/>
          <w:sz w:val="20"/>
          <w:szCs w:val="20"/>
          <w:highlight w:val="yellow"/>
        </w:rPr>
        <w:t xml:space="preserve"> tefilla</w:t>
      </w:r>
      <w:r w:rsidRPr="002B5D71">
        <w:rPr>
          <w:rFonts w:asciiTheme="majorHAnsi" w:hAnsiTheme="majorHAnsi" w:cstheme="majorHAnsi"/>
          <w:color w:val="000000"/>
          <w:sz w:val="20"/>
          <w:szCs w:val="20"/>
          <w:highlight w:val="yellow"/>
        </w:rPr>
        <w:t xml:space="preserve"> 124:7 (RP) [Hebrew]. Isaiah ha-Levi Horowitz of Prague (ca. 1560–1630) extended that the profane talks in the house of study or synagogue, even if it is not during study or prayer, revoke people’s fear of heaven and therefore is prohibited,</w:t>
      </w:r>
      <w:r w:rsidRPr="00A345B8">
        <w:rPr>
          <w:rFonts w:asciiTheme="majorHAnsi" w:hAnsiTheme="majorHAnsi" w:cstheme="majorHAnsi"/>
          <w:color w:val="000000"/>
          <w:sz w:val="20"/>
          <w:szCs w:val="20"/>
        </w:rPr>
        <w:t xml:space="preserve"> Isaiah ha-Levi Horowitz, </w:t>
      </w:r>
      <w:proofErr w:type="spellStart"/>
      <w:r w:rsidRPr="00A345B8">
        <w:rPr>
          <w:rFonts w:asciiTheme="majorHAnsi" w:hAnsiTheme="majorHAnsi" w:cstheme="majorHAnsi"/>
          <w:i/>
          <w:color w:val="000000"/>
          <w:sz w:val="20"/>
          <w:szCs w:val="20"/>
        </w:rPr>
        <w:t>Sefer</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shenei</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luḥot</w:t>
      </w:r>
      <w:proofErr w:type="spellEnd"/>
      <w:r w:rsidRPr="00A345B8">
        <w:rPr>
          <w:rFonts w:asciiTheme="majorHAnsi" w:hAnsiTheme="majorHAnsi" w:cstheme="majorHAnsi"/>
          <w:i/>
          <w:color w:val="000000"/>
          <w:sz w:val="20"/>
          <w:szCs w:val="20"/>
        </w:rPr>
        <w:t xml:space="preserve"> ha-</w:t>
      </w:r>
      <w:proofErr w:type="spellStart"/>
      <w:r w:rsidRPr="00A345B8">
        <w:rPr>
          <w:rFonts w:asciiTheme="majorHAnsi" w:hAnsiTheme="majorHAnsi" w:cstheme="majorHAnsi"/>
          <w:i/>
          <w:color w:val="000000"/>
          <w:sz w:val="20"/>
          <w:szCs w:val="20"/>
        </w:rPr>
        <w:t>berit</w:t>
      </w:r>
      <w:proofErr w:type="spellEnd"/>
      <w:r w:rsidRPr="00A345B8">
        <w:rPr>
          <w:rFonts w:asciiTheme="majorHAnsi" w:hAnsiTheme="majorHAnsi" w:cstheme="majorHAnsi"/>
          <w:color w:val="000000"/>
          <w:sz w:val="20"/>
          <w:szCs w:val="20"/>
        </w:rPr>
        <w:t xml:space="preserve"> (Amsterdam: Joseph ben Abraham </w:t>
      </w:r>
      <w:proofErr w:type="spellStart"/>
      <w:r w:rsidRPr="00A345B8">
        <w:rPr>
          <w:rFonts w:asciiTheme="majorHAnsi" w:hAnsiTheme="majorHAnsi" w:cstheme="majorHAnsi"/>
          <w:color w:val="000000"/>
          <w:sz w:val="20"/>
          <w:szCs w:val="20"/>
        </w:rPr>
        <w:t>Athias</w:t>
      </w:r>
      <w:proofErr w:type="spellEnd"/>
      <w:r w:rsidRPr="00A345B8">
        <w:rPr>
          <w:rFonts w:asciiTheme="majorHAnsi" w:hAnsiTheme="majorHAnsi" w:cstheme="majorHAnsi"/>
          <w:color w:val="000000"/>
          <w:sz w:val="20"/>
          <w:szCs w:val="20"/>
        </w:rPr>
        <w:t>, 1698), 294 [Hebrew].</w:t>
      </w:r>
    </w:p>
    <w:bookmarkStart w:id="38" w:name="_3o7alnk" w:colFirst="0" w:colLast="0"/>
    <w:bookmarkEnd w:id="38"/>
  </w:footnote>
  <w:footnote w:id="102">
    <w:p w14:paraId="000000B7"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bookmarkStart w:id="39" w:name="_3o7alnk" w:colFirst="0" w:colLast="0"/>
      <w:bookmarkEnd w:id="39"/>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The motto rephrases the Babylonian Talmud, </w:t>
      </w:r>
      <w:proofErr w:type="spellStart"/>
      <w:r w:rsidRPr="00A345B8">
        <w:rPr>
          <w:rFonts w:asciiTheme="majorHAnsi" w:hAnsiTheme="majorHAnsi" w:cstheme="majorHAnsi"/>
          <w:i/>
          <w:color w:val="000000"/>
          <w:sz w:val="20"/>
          <w:szCs w:val="20"/>
        </w:rPr>
        <w:t>Pesakhim</w:t>
      </w:r>
      <w:proofErr w:type="spellEnd"/>
      <w:r w:rsidRPr="00A345B8">
        <w:rPr>
          <w:rFonts w:asciiTheme="majorHAnsi" w:hAnsiTheme="majorHAnsi" w:cstheme="majorHAnsi"/>
          <w:color w:val="000000"/>
          <w:sz w:val="20"/>
          <w:szCs w:val="20"/>
        </w:rPr>
        <w:t xml:space="preserve"> 99a: “Silence is nice for the wise, and how much more so for fools.” The call for silence during the prayer is mentioned in numerous Ashkenazi sources, see </w:t>
      </w:r>
      <w:proofErr w:type="spellStart"/>
      <w:r w:rsidRPr="00A345B8">
        <w:rPr>
          <w:rFonts w:asciiTheme="majorHAnsi" w:hAnsiTheme="majorHAnsi" w:cstheme="majorHAnsi"/>
          <w:color w:val="000000"/>
          <w:sz w:val="20"/>
          <w:szCs w:val="20"/>
        </w:rPr>
        <w:t>Shelomo</w:t>
      </w:r>
      <w:proofErr w:type="spellEnd"/>
      <w:r w:rsidRPr="00A345B8">
        <w:rPr>
          <w:rFonts w:asciiTheme="majorHAnsi" w:hAnsiTheme="majorHAnsi" w:cstheme="majorHAnsi"/>
          <w:color w:val="000000"/>
          <w:sz w:val="20"/>
          <w:szCs w:val="20"/>
        </w:rPr>
        <w:t xml:space="preserve"> Albert, “</w:t>
      </w:r>
      <w:proofErr w:type="spellStart"/>
      <w:r w:rsidRPr="00A345B8">
        <w:rPr>
          <w:rFonts w:asciiTheme="majorHAnsi" w:hAnsiTheme="majorHAnsi" w:cstheme="majorHAnsi"/>
          <w:color w:val="000000"/>
          <w:sz w:val="20"/>
          <w:szCs w:val="20"/>
        </w:rPr>
        <w:t>Minhagei</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beit</w:t>
      </w:r>
      <w:proofErr w:type="spellEnd"/>
      <w:r w:rsidRPr="00A345B8">
        <w:rPr>
          <w:rFonts w:asciiTheme="majorHAnsi" w:hAnsiTheme="majorHAnsi" w:cstheme="majorHAnsi"/>
          <w:color w:val="000000"/>
          <w:sz w:val="20"/>
          <w:szCs w:val="20"/>
        </w:rPr>
        <w:t xml:space="preserve"> ha-</w:t>
      </w:r>
      <w:proofErr w:type="spellStart"/>
      <w:r w:rsidRPr="00A345B8">
        <w:rPr>
          <w:rFonts w:asciiTheme="majorHAnsi" w:hAnsiTheme="majorHAnsi" w:cstheme="majorHAnsi"/>
          <w:color w:val="000000"/>
          <w:sz w:val="20"/>
          <w:szCs w:val="20"/>
        </w:rPr>
        <w:t>kneset</w:t>
      </w:r>
      <w:proofErr w:type="spellEnd"/>
      <w:r w:rsidRPr="00A345B8">
        <w:rPr>
          <w:rFonts w:asciiTheme="majorHAnsi" w:hAnsiTheme="majorHAnsi" w:cstheme="majorHAnsi"/>
          <w:color w:val="000000"/>
          <w:sz w:val="20"/>
          <w:szCs w:val="20"/>
        </w:rPr>
        <w:t xml:space="preserve"> ha-</w:t>
      </w:r>
      <w:proofErr w:type="spellStart"/>
      <w:r w:rsidRPr="00A345B8">
        <w:rPr>
          <w:rFonts w:asciiTheme="majorHAnsi" w:hAnsiTheme="majorHAnsi" w:cstheme="majorHAnsi"/>
          <w:color w:val="000000"/>
          <w:sz w:val="20"/>
          <w:szCs w:val="20"/>
        </w:rPr>
        <w:t>gadol</w:t>
      </w:r>
      <w:proofErr w:type="spellEnd"/>
      <w:r w:rsidRPr="00A345B8">
        <w:rPr>
          <w:rFonts w:asciiTheme="majorHAnsi" w:hAnsiTheme="majorHAnsi" w:cstheme="majorHAnsi"/>
          <w:color w:val="000000"/>
          <w:sz w:val="20"/>
          <w:szCs w:val="20"/>
        </w:rPr>
        <w:t xml:space="preserve"> be-</w:t>
      </w:r>
      <w:proofErr w:type="spellStart"/>
      <w:r w:rsidRPr="00A345B8">
        <w:rPr>
          <w:rFonts w:asciiTheme="majorHAnsi" w:hAnsiTheme="majorHAnsi" w:cstheme="majorHAnsi"/>
          <w:color w:val="000000"/>
          <w:sz w:val="20"/>
          <w:szCs w:val="20"/>
        </w:rPr>
        <w:t>Ostraha</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im</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he’arot</w:t>
      </w:r>
      <w:proofErr w:type="spellEnd"/>
      <w:r w:rsidRPr="00A345B8">
        <w:rPr>
          <w:rFonts w:asciiTheme="majorHAnsi" w:hAnsiTheme="majorHAnsi" w:cstheme="majorHAnsi"/>
          <w:color w:val="000000"/>
          <w:sz w:val="20"/>
          <w:szCs w:val="20"/>
        </w:rPr>
        <w:t xml:space="preserve"> me-et ha-</w:t>
      </w:r>
      <w:proofErr w:type="spellStart"/>
      <w:r w:rsidRPr="00A345B8">
        <w:rPr>
          <w:rFonts w:asciiTheme="majorHAnsi" w:hAnsiTheme="majorHAnsi" w:cstheme="majorHAnsi"/>
          <w:color w:val="000000"/>
          <w:sz w:val="20"/>
          <w:szCs w:val="20"/>
        </w:rPr>
        <w:t>rav</w:t>
      </w:r>
      <w:proofErr w:type="spellEnd"/>
      <w:r w:rsidRPr="00A345B8">
        <w:rPr>
          <w:rFonts w:asciiTheme="majorHAnsi" w:hAnsiTheme="majorHAnsi" w:cstheme="majorHAnsi"/>
          <w:color w:val="000000"/>
          <w:sz w:val="20"/>
          <w:szCs w:val="20"/>
        </w:rPr>
        <w:t xml:space="preserve"> Eliyahu David </w:t>
      </w:r>
      <w:proofErr w:type="spellStart"/>
      <w:r w:rsidRPr="00A345B8">
        <w:rPr>
          <w:rFonts w:asciiTheme="majorHAnsi" w:hAnsiTheme="majorHAnsi" w:cstheme="majorHAnsi"/>
          <w:color w:val="000000"/>
          <w:sz w:val="20"/>
          <w:szCs w:val="20"/>
        </w:rPr>
        <w:t>Rabinovich-Te’omim</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i/>
          <w:color w:val="000000"/>
          <w:sz w:val="20"/>
          <w:szCs w:val="20"/>
        </w:rPr>
        <w:t>Ẓohar</w:t>
      </w:r>
      <w:proofErr w:type="spellEnd"/>
      <w:r w:rsidRPr="00A345B8">
        <w:rPr>
          <w:rFonts w:asciiTheme="majorHAnsi" w:hAnsiTheme="majorHAnsi" w:cstheme="majorHAnsi"/>
          <w:color w:val="000000"/>
          <w:sz w:val="20"/>
          <w:szCs w:val="20"/>
        </w:rPr>
        <w:t xml:space="preserve"> 7 (2005), 348 [Hebrew]; Geiger, </w:t>
      </w:r>
      <w:proofErr w:type="spellStart"/>
      <w:r w:rsidRPr="00A345B8">
        <w:rPr>
          <w:rFonts w:asciiTheme="majorHAnsi" w:hAnsiTheme="majorHAnsi" w:cstheme="majorHAnsi"/>
          <w:i/>
          <w:color w:val="000000"/>
          <w:sz w:val="20"/>
          <w:szCs w:val="20"/>
        </w:rPr>
        <w:t>Sefer</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divrei</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kehilat</w:t>
      </w:r>
      <w:proofErr w:type="spellEnd"/>
      <w:r w:rsidRPr="00A345B8">
        <w:rPr>
          <w:rFonts w:asciiTheme="majorHAnsi" w:hAnsiTheme="majorHAnsi" w:cstheme="majorHAnsi"/>
          <w:i/>
          <w:color w:val="000000"/>
          <w:sz w:val="20"/>
          <w:szCs w:val="20"/>
        </w:rPr>
        <w:t xml:space="preserve"> </w:t>
      </w:r>
      <w:r w:rsidRPr="00A345B8">
        <w:rPr>
          <w:rFonts w:asciiTheme="majorHAnsi" w:hAnsiTheme="majorHAnsi" w:cstheme="majorHAnsi"/>
          <w:color w:val="000000"/>
          <w:sz w:val="20"/>
          <w:szCs w:val="20"/>
        </w:rPr>
        <w:t xml:space="preserve">[…] </w:t>
      </w:r>
      <w:r w:rsidRPr="00A345B8">
        <w:rPr>
          <w:rFonts w:asciiTheme="majorHAnsi" w:hAnsiTheme="majorHAnsi" w:cstheme="majorHAnsi"/>
          <w:i/>
          <w:color w:val="000000"/>
          <w:sz w:val="20"/>
          <w:szCs w:val="20"/>
        </w:rPr>
        <w:t>Frankfurt al ha-Main</w:t>
      </w:r>
      <w:r w:rsidRPr="00A345B8">
        <w:rPr>
          <w:rFonts w:asciiTheme="majorHAnsi" w:hAnsiTheme="majorHAnsi" w:cstheme="majorHAnsi"/>
          <w:color w:val="000000"/>
          <w:sz w:val="20"/>
          <w:szCs w:val="20"/>
        </w:rPr>
        <w:t xml:space="preserve">, 24, 120; </w:t>
      </w:r>
      <w:proofErr w:type="spellStart"/>
      <w:r w:rsidRPr="00A345B8">
        <w:rPr>
          <w:rFonts w:asciiTheme="majorHAnsi" w:hAnsiTheme="majorHAnsi" w:cstheme="majorHAnsi"/>
          <w:i/>
          <w:color w:val="000000"/>
          <w:sz w:val="20"/>
          <w:szCs w:val="20"/>
        </w:rPr>
        <w:t>Sefer</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Takanot</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Nikolsburg</w:t>
      </w:r>
      <w:proofErr w:type="spellEnd"/>
      <w:r w:rsidRPr="00A345B8">
        <w:rPr>
          <w:rFonts w:asciiTheme="majorHAnsi" w:hAnsiTheme="majorHAnsi" w:cstheme="majorHAnsi"/>
          <w:color w:val="000000"/>
          <w:sz w:val="20"/>
          <w:szCs w:val="20"/>
        </w:rPr>
        <w:t xml:space="preserve">, ed. Ernst </w:t>
      </w:r>
      <w:proofErr w:type="spellStart"/>
      <w:r w:rsidRPr="00A345B8">
        <w:rPr>
          <w:rFonts w:asciiTheme="majorHAnsi" w:hAnsiTheme="majorHAnsi" w:cstheme="majorHAnsi"/>
          <w:color w:val="000000"/>
          <w:sz w:val="20"/>
          <w:szCs w:val="20"/>
        </w:rPr>
        <w:t>Róth</w:t>
      </w:r>
      <w:proofErr w:type="spellEnd"/>
      <w:r w:rsidRPr="00A345B8">
        <w:rPr>
          <w:rFonts w:asciiTheme="majorHAnsi" w:hAnsiTheme="majorHAnsi" w:cstheme="majorHAnsi"/>
          <w:color w:val="000000"/>
          <w:sz w:val="20"/>
          <w:szCs w:val="20"/>
        </w:rPr>
        <w:t xml:space="preserve"> (Jerusalem: Sura, 1961), 19; David </w:t>
      </w:r>
      <w:proofErr w:type="spellStart"/>
      <w:r w:rsidRPr="00A345B8">
        <w:rPr>
          <w:rFonts w:asciiTheme="majorHAnsi" w:hAnsiTheme="majorHAnsi" w:cstheme="majorHAnsi"/>
          <w:color w:val="000000"/>
          <w:sz w:val="20"/>
          <w:szCs w:val="20"/>
        </w:rPr>
        <w:t>Tevli</w:t>
      </w:r>
      <w:proofErr w:type="spellEnd"/>
      <w:r w:rsidRPr="00A345B8">
        <w:rPr>
          <w:rFonts w:asciiTheme="majorHAnsi" w:hAnsiTheme="majorHAnsi" w:cstheme="majorHAnsi"/>
          <w:color w:val="000000"/>
          <w:sz w:val="20"/>
          <w:szCs w:val="20"/>
        </w:rPr>
        <w:t xml:space="preserve">, </w:t>
      </w:r>
      <w:proofErr w:type="spellStart"/>
      <w:proofErr w:type="gramStart"/>
      <w:r w:rsidRPr="00A345B8">
        <w:rPr>
          <w:rFonts w:asciiTheme="majorHAnsi" w:hAnsiTheme="majorHAnsi" w:cstheme="majorHAnsi"/>
          <w:i/>
          <w:color w:val="000000"/>
          <w:sz w:val="20"/>
          <w:szCs w:val="20"/>
        </w:rPr>
        <w:t>Sha‘</w:t>
      </w:r>
      <w:proofErr w:type="gramEnd"/>
      <w:r w:rsidRPr="00A345B8">
        <w:rPr>
          <w:rFonts w:asciiTheme="majorHAnsi" w:hAnsiTheme="majorHAnsi" w:cstheme="majorHAnsi"/>
          <w:i/>
          <w:color w:val="000000"/>
          <w:sz w:val="20"/>
          <w:szCs w:val="20"/>
        </w:rPr>
        <w:t>arei</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Ẓion</w:t>
      </w:r>
      <w:proofErr w:type="spellEnd"/>
      <w:r w:rsidRPr="00A345B8">
        <w:rPr>
          <w:rFonts w:asciiTheme="majorHAnsi" w:hAnsiTheme="majorHAnsi" w:cstheme="majorHAnsi"/>
          <w:color w:val="000000"/>
          <w:sz w:val="20"/>
          <w:szCs w:val="20"/>
        </w:rPr>
        <w:t xml:space="preserve"> (Hamburg, 1715), 2v. More sources are listed in </w:t>
      </w:r>
      <w:proofErr w:type="spellStart"/>
      <w:r w:rsidRPr="00A345B8">
        <w:rPr>
          <w:rFonts w:asciiTheme="majorHAnsi" w:hAnsiTheme="majorHAnsi" w:cstheme="majorHAnsi"/>
          <w:color w:val="000000"/>
          <w:sz w:val="20"/>
          <w:szCs w:val="20"/>
        </w:rPr>
        <w:t>Juspa</w:t>
      </w:r>
      <w:proofErr w:type="spellEnd"/>
      <w:r w:rsidRPr="00A345B8">
        <w:rPr>
          <w:rFonts w:asciiTheme="majorHAnsi" w:hAnsiTheme="majorHAnsi" w:cstheme="majorHAnsi"/>
          <w:color w:val="000000"/>
          <w:sz w:val="20"/>
          <w:szCs w:val="20"/>
        </w:rPr>
        <w:t xml:space="preserve"> Shamash, </w:t>
      </w:r>
      <w:proofErr w:type="spellStart"/>
      <w:r w:rsidRPr="00A345B8">
        <w:rPr>
          <w:rFonts w:asciiTheme="majorHAnsi" w:hAnsiTheme="majorHAnsi" w:cstheme="majorHAnsi"/>
          <w:i/>
          <w:color w:val="000000"/>
          <w:sz w:val="20"/>
          <w:szCs w:val="20"/>
        </w:rPr>
        <w:t>Minhagim</w:t>
      </w:r>
      <w:proofErr w:type="spellEnd"/>
      <w:r w:rsidRPr="00A345B8">
        <w:rPr>
          <w:rFonts w:asciiTheme="majorHAnsi" w:hAnsiTheme="majorHAnsi" w:cstheme="majorHAnsi"/>
          <w:i/>
          <w:color w:val="000000"/>
          <w:sz w:val="20"/>
          <w:szCs w:val="20"/>
        </w:rPr>
        <w:t xml:space="preserve"> de-k</w:t>
      </w:r>
      <w:r w:rsidRPr="00A345B8">
        <w:rPr>
          <w:rFonts w:asciiTheme="majorHAnsi" w:hAnsiTheme="majorHAnsi" w:cstheme="majorHAnsi"/>
          <w:color w:val="000000"/>
          <w:sz w:val="20"/>
          <w:szCs w:val="20"/>
        </w:rPr>
        <w:t>[</w:t>
      </w:r>
      <w:proofErr w:type="spellStart"/>
      <w:r w:rsidRPr="00A345B8">
        <w:rPr>
          <w:rFonts w:asciiTheme="majorHAnsi" w:hAnsiTheme="majorHAnsi" w:cstheme="majorHAnsi"/>
          <w:color w:val="000000"/>
          <w:sz w:val="20"/>
          <w:szCs w:val="20"/>
        </w:rPr>
        <w:t>ehilat</w:t>
      </w:r>
      <w:proofErr w:type="spellEnd"/>
      <w:r w:rsidRPr="00A345B8">
        <w:rPr>
          <w:rFonts w:asciiTheme="majorHAnsi" w:hAnsiTheme="majorHAnsi" w:cstheme="majorHAnsi"/>
          <w:color w:val="000000"/>
          <w:sz w:val="20"/>
          <w:szCs w:val="20"/>
        </w:rPr>
        <w:t>]</w:t>
      </w:r>
      <w:r w:rsidRPr="00A345B8">
        <w:rPr>
          <w:rFonts w:asciiTheme="majorHAnsi" w:hAnsiTheme="majorHAnsi" w:cstheme="majorHAnsi"/>
          <w:i/>
          <w:color w:val="000000"/>
          <w:sz w:val="20"/>
          <w:szCs w:val="20"/>
        </w:rPr>
        <w:t>״k</w:t>
      </w:r>
      <w:r w:rsidRPr="00A345B8">
        <w:rPr>
          <w:rFonts w:asciiTheme="majorHAnsi" w:hAnsiTheme="majorHAnsi" w:cstheme="majorHAnsi"/>
          <w:color w:val="000000"/>
          <w:sz w:val="20"/>
          <w:szCs w:val="20"/>
        </w:rPr>
        <w:t>[</w:t>
      </w:r>
      <w:proofErr w:type="spellStart"/>
      <w:r w:rsidRPr="00A345B8">
        <w:rPr>
          <w:rFonts w:asciiTheme="majorHAnsi" w:hAnsiTheme="majorHAnsi" w:cstheme="majorHAnsi"/>
          <w:color w:val="000000"/>
          <w:sz w:val="20"/>
          <w:szCs w:val="20"/>
        </w:rPr>
        <w:t>odesh</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i/>
          <w:color w:val="000000"/>
          <w:sz w:val="20"/>
          <w:szCs w:val="20"/>
        </w:rPr>
        <w:t>Warmaisa</w:t>
      </w:r>
      <w:proofErr w:type="spellEnd"/>
      <w:r w:rsidRPr="00A345B8">
        <w:rPr>
          <w:rFonts w:asciiTheme="majorHAnsi" w:hAnsiTheme="majorHAnsi" w:cstheme="majorHAnsi"/>
          <w:color w:val="000000"/>
          <w:sz w:val="20"/>
          <w:szCs w:val="20"/>
        </w:rPr>
        <w:t>, [11]</w:t>
      </w:r>
      <w:proofErr w:type="gramStart"/>
      <w:r w:rsidRPr="00A345B8">
        <w:rPr>
          <w:rFonts w:asciiTheme="majorHAnsi" w:hAnsiTheme="majorHAnsi" w:cstheme="majorHAnsi"/>
          <w:color w:val="000000"/>
          <w:sz w:val="20"/>
          <w:szCs w:val="20"/>
        </w:rPr>
        <w:t>–[</w:t>
      </w:r>
      <w:proofErr w:type="gramEnd"/>
      <w:r w:rsidRPr="00A345B8">
        <w:rPr>
          <w:rFonts w:asciiTheme="majorHAnsi" w:hAnsiTheme="majorHAnsi" w:cstheme="majorHAnsi"/>
          <w:color w:val="000000"/>
          <w:sz w:val="20"/>
          <w:szCs w:val="20"/>
        </w:rPr>
        <w:t>12] note 2.</w:t>
      </w:r>
    </w:p>
  </w:footnote>
  <w:footnote w:id="103">
    <w:p w14:paraId="000000B8"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See </w:t>
      </w:r>
      <w:proofErr w:type="spellStart"/>
      <w:r w:rsidRPr="00A345B8">
        <w:rPr>
          <w:rFonts w:asciiTheme="majorHAnsi" w:hAnsiTheme="majorHAnsi" w:cstheme="majorHAnsi"/>
          <w:color w:val="000000"/>
          <w:sz w:val="20"/>
          <w:szCs w:val="20"/>
        </w:rPr>
        <w:t>Juspa</w:t>
      </w:r>
      <w:proofErr w:type="spellEnd"/>
      <w:r w:rsidRPr="00A345B8">
        <w:rPr>
          <w:rFonts w:asciiTheme="majorHAnsi" w:hAnsiTheme="majorHAnsi" w:cstheme="majorHAnsi"/>
          <w:color w:val="000000"/>
          <w:sz w:val="20"/>
          <w:szCs w:val="20"/>
        </w:rPr>
        <w:t xml:space="preserve"> Shamash, </w:t>
      </w:r>
      <w:proofErr w:type="spellStart"/>
      <w:r w:rsidRPr="00A345B8">
        <w:rPr>
          <w:rFonts w:asciiTheme="majorHAnsi" w:hAnsiTheme="majorHAnsi" w:cstheme="majorHAnsi"/>
          <w:i/>
          <w:color w:val="000000"/>
          <w:sz w:val="20"/>
          <w:szCs w:val="20"/>
        </w:rPr>
        <w:t>Minhagim</w:t>
      </w:r>
      <w:proofErr w:type="spellEnd"/>
      <w:r w:rsidRPr="00A345B8">
        <w:rPr>
          <w:rFonts w:asciiTheme="majorHAnsi" w:hAnsiTheme="majorHAnsi" w:cstheme="majorHAnsi"/>
          <w:i/>
          <w:color w:val="000000"/>
          <w:sz w:val="20"/>
          <w:szCs w:val="20"/>
        </w:rPr>
        <w:t xml:space="preserve"> de-k[</w:t>
      </w:r>
      <w:proofErr w:type="spellStart"/>
      <w:r w:rsidRPr="00A345B8">
        <w:rPr>
          <w:rFonts w:asciiTheme="majorHAnsi" w:hAnsiTheme="majorHAnsi" w:cstheme="majorHAnsi"/>
          <w:i/>
          <w:color w:val="000000"/>
          <w:sz w:val="20"/>
          <w:szCs w:val="20"/>
        </w:rPr>
        <w:t>ehilat</w:t>
      </w:r>
      <w:proofErr w:type="spellEnd"/>
      <w:r w:rsidRPr="00A345B8">
        <w:rPr>
          <w:rFonts w:asciiTheme="majorHAnsi" w:hAnsiTheme="majorHAnsi" w:cstheme="majorHAnsi"/>
          <w:i/>
          <w:color w:val="000000"/>
          <w:sz w:val="20"/>
          <w:szCs w:val="20"/>
        </w:rPr>
        <w:t>]״k[</w:t>
      </w:r>
      <w:proofErr w:type="spellStart"/>
      <w:r w:rsidRPr="00A345B8">
        <w:rPr>
          <w:rFonts w:asciiTheme="majorHAnsi" w:hAnsiTheme="majorHAnsi" w:cstheme="majorHAnsi"/>
          <w:i/>
          <w:color w:val="000000"/>
          <w:sz w:val="20"/>
          <w:szCs w:val="20"/>
        </w:rPr>
        <w:t>odesh</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Warmaisa</w:t>
      </w:r>
      <w:proofErr w:type="spellEnd"/>
      <w:r w:rsidRPr="00A345B8">
        <w:rPr>
          <w:rFonts w:asciiTheme="majorHAnsi" w:hAnsiTheme="majorHAnsi" w:cstheme="majorHAnsi"/>
          <w:color w:val="000000"/>
          <w:sz w:val="20"/>
          <w:szCs w:val="20"/>
        </w:rPr>
        <w:t>, [12] note 2.</w:t>
      </w:r>
    </w:p>
  </w:footnote>
  <w:footnote w:id="104">
    <w:p w14:paraId="000000B9"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r w:rsidRPr="00A345B8">
        <w:rPr>
          <w:rFonts w:asciiTheme="majorHAnsi" w:hAnsiTheme="majorHAnsi" w:cstheme="majorHAnsi"/>
          <w:color w:val="000000"/>
          <w:sz w:val="20"/>
          <w:szCs w:val="20"/>
          <w:rtl/>
        </w:rPr>
        <w:t xml:space="preserve">נתפשט לטוח בכותלי בית הכנסת מילות בכתיבה גסה, מורים בנוטריקון התעוררות, ואחת מהן </w:t>
      </w:r>
      <w:proofErr w:type="spellStart"/>
      <w:r w:rsidRPr="00A345B8">
        <w:rPr>
          <w:rFonts w:asciiTheme="majorHAnsi" w:hAnsiTheme="majorHAnsi" w:cstheme="majorHAnsi"/>
          <w:color w:val="000000"/>
          <w:sz w:val="20"/>
          <w:szCs w:val="20"/>
          <w:rtl/>
        </w:rPr>
        <w:t>שיב״ה</w:t>
      </w:r>
      <w:proofErr w:type="spellEnd"/>
      <w:r w:rsidRPr="00A345B8">
        <w:rPr>
          <w:rFonts w:asciiTheme="majorHAnsi" w:hAnsiTheme="majorHAnsi" w:cstheme="majorHAnsi"/>
          <w:color w:val="000000"/>
          <w:sz w:val="20"/>
          <w:szCs w:val="20"/>
          <w:rtl/>
        </w:rPr>
        <w:t xml:space="preserve"> [שתיקה יפה בשעת התפילה]. לפני עניות דעתי אין איש שם על לב להתבונן על המכוון ויותר טוב לכותבן במילואן</w:t>
      </w:r>
      <w:r w:rsidRPr="00A345B8">
        <w:rPr>
          <w:rFonts w:asciiTheme="majorHAnsi" w:hAnsiTheme="majorHAnsi" w:cstheme="majorHAnsi"/>
          <w:color w:val="000000"/>
          <w:sz w:val="20"/>
          <w:szCs w:val="20"/>
        </w:rPr>
        <w:t xml:space="preserve">: “It is a widespread [custom] to plaster words in coarse writing on the synagogue wall, that instruct in acronym form about waking up, and one of them was  </w:t>
      </w:r>
      <w:proofErr w:type="spellStart"/>
      <w:r w:rsidRPr="00A345B8">
        <w:rPr>
          <w:rFonts w:asciiTheme="majorHAnsi" w:hAnsiTheme="majorHAnsi" w:cstheme="majorHAnsi"/>
          <w:color w:val="000000"/>
          <w:sz w:val="20"/>
          <w:szCs w:val="20"/>
        </w:rPr>
        <w:t>Sh</w:t>
      </w:r>
      <w:proofErr w:type="spellEnd"/>
      <w:r w:rsidRPr="00A345B8">
        <w:rPr>
          <w:rFonts w:asciiTheme="majorHAnsi" w:hAnsiTheme="majorHAnsi" w:cstheme="majorHAnsi"/>
          <w:color w:val="000000"/>
          <w:sz w:val="20"/>
          <w:szCs w:val="20"/>
        </w:rPr>
        <w:t xml:space="preserve">-Y-B-H [“Silence is nice during the time of prayer”]. In my humble opinion, nobody pays attention and look intendedly [at the acronym] and it would be better to write these [words] in full.” The translation is mine, the Hebrew text is quoted from </w:t>
      </w:r>
      <w:proofErr w:type="spellStart"/>
      <w:r w:rsidRPr="00A345B8">
        <w:rPr>
          <w:rFonts w:asciiTheme="majorHAnsi" w:hAnsiTheme="majorHAnsi" w:cstheme="majorHAnsi"/>
          <w:color w:val="000000"/>
          <w:sz w:val="20"/>
          <w:szCs w:val="20"/>
        </w:rPr>
        <w:t>Juspa</w:t>
      </w:r>
      <w:proofErr w:type="spellEnd"/>
      <w:r w:rsidRPr="00A345B8">
        <w:rPr>
          <w:rFonts w:asciiTheme="majorHAnsi" w:hAnsiTheme="majorHAnsi" w:cstheme="majorHAnsi"/>
          <w:color w:val="000000"/>
          <w:sz w:val="20"/>
          <w:szCs w:val="20"/>
        </w:rPr>
        <w:t xml:space="preserve"> Shamash, </w:t>
      </w:r>
      <w:proofErr w:type="spellStart"/>
      <w:r w:rsidRPr="00A345B8">
        <w:rPr>
          <w:rFonts w:asciiTheme="majorHAnsi" w:hAnsiTheme="majorHAnsi" w:cstheme="majorHAnsi"/>
          <w:i/>
          <w:color w:val="000000"/>
          <w:sz w:val="20"/>
          <w:szCs w:val="20"/>
        </w:rPr>
        <w:t>Minhagim</w:t>
      </w:r>
      <w:proofErr w:type="spellEnd"/>
      <w:r w:rsidRPr="00A345B8">
        <w:rPr>
          <w:rFonts w:asciiTheme="majorHAnsi" w:hAnsiTheme="majorHAnsi" w:cstheme="majorHAnsi"/>
          <w:i/>
          <w:color w:val="000000"/>
          <w:sz w:val="20"/>
          <w:szCs w:val="20"/>
        </w:rPr>
        <w:t xml:space="preserve"> de-k[</w:t>
      </w:r>
      <w:proofErr w:type="spellStart"/>
      <w:r w:rsidRPr="00A345B8">
        <w:rPr>
          <w:rFonts w:asciiTheme="majorHAnsi" w:hAnsiTheme="majorHAnsi" w:cstheme="majorHAnsi"/>
          <w:i/>
          <w:color w:val="000000"/>
          <w:sz w:val="20"/>
          <w:szCs w:val="20"/>
        </w:rPr>
        <w:t>ehilat</w:t>
      </w:r>
      <w:proofErr w:type="spellEnd"/>
      <w:r w:rsidRPr="00A345B8">
        <w:rPr>
          <w:rFonts w:asciiTheme="majorHAnsi" w:hAnsiTheme="majorHAnsi" w:cstheme="majorHAnsi"/>
          <w:i/>
          <w:color w:val="000000"/>
          <w:sz w:val="20"/>
          <w:szCs w:val="20"/>
        </w:rPr>
        <w:t>]״k[</w:t>
      </w:r>
      <w:proofErr w:type="spellStart"/>
      <w:r w:rsidRPr="00A345B8">
        <w:rPr>
          <w:rFonts w:asciiTheme="majorHAnsi" w:hAnsiTheme="majorHAnsi" w:cstheme="majorHAnsi"/>
          <w:i/>
          <w:color w:val="000000"/>
          <w:sz w:val="20"/>
          <w:szCs w:val="20"/>
        </w:rPr>
        <w:t>odesh</w:t>
      </w:r>
      <w:proofErr w:type="spellEnd"/>
      <w:r w:rsidRPr="00A345B8">
        <w:rPr>
          <w:rFonts w:asciiTheme="majorHAnsi" w:hAnsiTheme="majorHAnsi" w:cstheme="majorHAnsi"/>
          <w:i/>
          <w:color w:val="000000"/>
          <w:sz w:val="20"/>
          <w:szCs w:val="20"/>
        </w:rPr>
        <w:t xml:space="preserve">] </w:t>
      </w:r>
      <w:proofErr w:type="spellStart"/>
      <w:r w:rsidRPr="00A345B8">
        <w:rPr>
          <w:rFonts w:asciiTheme="majorHAnsi" w:hAnsiTheme="majorHAnsi" w:cstheme="majorHAnsi"/>
          <w:i/>
          <w:color w:val="000000"/>
          <w:sz w:val="20"/>
          <w:szCs w:val="20"/>
        </w:rPr>
        <w:t>Warmaisa</w:t>
      </w:r>
      <w:proofErr w:type="spellEnd"/>
      <w:r w:rsidRPr="00A345B8">
        <w:rPr>
          <w:rFonts w:asciiTheme="majorHAnsi" w:hAnsiTheme="majorHAnsi" w:cstheme="majorHAnsi"/>
          <w:color w:val="000000"/>
          <w:sz w:val="20"/>
          <w:szCs w:val="20"/>
        </w:rPr>
        <w:t>, [12] note 2.</w:t>
      </w:r>
    </w:p>
  </w:footnote>
  <w:footnote w:id="105">
    <w:p w14:paraId="000000BA"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See above, note 90.</w:t>
      </w:r>
    </w:p>
  </w:footnote>
  <w:footnote w:id="106">
    <w:p w14:paraId="000000BC" w14:textId="1B482E2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For example, see “Ha-</w:t>
      </w:r>
      <w:proofErr w:type="spellStart"/>
      <w:r w:rsidRPr="00A345B8">
        <w:rPr>
          <w:rFonts w:asciiTheme="majorHAnsi" w:hAnsiTheme="majorHAnsi" w:cstheme="majorHAnsi"/>
          <w:color w:val="000000"/>
          <w:sz w:val="20"/>
          <w:szCs w:val="20"/>
        </w:rPr>
        <w:t>mitpalelim</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hifsiku</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ledaber</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b</w:t>
      </w:r>
      <w:r w:rsidR="00524661" w:rsidRPr="00A345B8">
        <w:rPr>
          <w:rFonts w:asciiTheme="majorHAnsi" w:hAnsiTheme="majorHAnsi" w:cstheme="majorHAnsi"/>
          <w:color w:val="000000"/>
          <w:sz w:val="20"/>
          <w:szCs w:val="20"/>
        </w:rPr>
        <w:t>a</w:t>
      </w:r>
      <w:r w:rsidRPr="00A345B8">
        <w:rPr>
          <w:rFonts w:asciiTheme="majorHAnsi" w:hAnsiTheme="majorHAnsi" w:cstheme="majorHAnsi"/>
          <w:color w:val="000000"/>
          <w:sz w:val="20"/>
          <w:szCs w:val="20"/>
        </w:rPr>
        <w:t>-tefilah</w:t>
      </w:r>
      <w:proofErr w:type="spellEnd"/>
      <w:r w:rsidRPr="00A345B8">
        <w:rPr>
          <w:rFonts w:asciiTheme="majorHAnsi" w:hAnsiTheme="majorHAnsi" w:cstheme="majorHAnsi"/>
          <w:color w:val="000000"/>
          <w:sz w:val="20"/>
          <w:szCs w:val="20"/>
        </w:rPr>
        <w:t xml:space="preserve"> – </w:t>
      </w:r>
      <w:proofErr w:type="spellStart"/>
      <w:r w:rsidRPr="00A345B8">
        <w:rPr>
          <w:rFonts w:asciiTheme="majorHAnsi" w:hAnsiTheme="majorHAnsi" w:cstheme="majorHAnsi"/>
          <w:color w:val="000000"/>
          <w:sz w:val="20"/>
          <w:szCs w:val="20"/>
        </w:rPr>
        <w:t>ve-ḥoleh</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anush</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hitḥil</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lehaḥlim</w:t>
      </w:r>
      <w:proofErr w:type="spellEnd"/>
      <w:r w:rsidRPr="00A345B8">
        <w:rPr>
          <w:rFonts w:asciiTheme="majorHAnsi" w:hAnsiTheme="majorHAnsi" w:cstheme="majorHAnsi"/>
          <w:color w:val="000000"/>
          <w:sz w:val="20"/>
          <w:szCs w:val="20"/>
        </w:rPr>
        <w:t xml:space="preserve">” [The Worshipers Stopped Speaking in Prayer – and a Fatally Ill Began to Recover], </w:t>
      </w:r>
      <w:proofErr w:type="spellStart"/>
      <w:r w:rsidRPr="00A345B8">
        <w:rPr>
          <w:rFonts w:asciiTheme="majorHAnsi" w:hAnsiTheme="majorHAnsi" w:cstheme="majorHAnsi"/>
          <w:i/>
          <w:color w:val="000000"/>
          <w:sz w:val="20"/>
          <w:szCs w:val="20"/>
        </w:rPr>
        <w:t>Hidabroot</w:t>
      </w:r>
      <w:proofErr w:type="spellEnd"/>
      <w:r w:rsidRPr="00A345B8">
        <w:rPr>
          <w:rFonts w:asciiTheme="majorHAnsi" w:hAnsiTheme="majorHAnsi" w:cstheme="majorHAnsi"/>
          <w:color w:val="000000"/>
          <w:sz w:val="20"/>
          <w:szCs w:val="20"/>
        </w:rPr>
        <w:t xml:space="preserve"> (November 8, 2015), www.hidabroot.org/article/171847 (</w:t>
      </w:r>
      <w:r w:rsidR="009C1B2B" w:rsidRPr="00A345B8">
        <w:rPr>
          <w:rFonts w:asciiTheme="majorHAnsi" w:hAnsiTheme="majorHAnsi" w:cstheme="majorHAnsi"/>
          <w:color w:val="000000"/>
          <w:sz w:val="20"/>
          <w:szCs w:val="20"/>
        </w:rPr>
        <w:t>accessed February 26, 2023</w:t>
      </w:r>
      <w:r w:rsidRPr="00A345B8">
        <w:rPr>
          <w:rFonts w:asciiTheme="majorHAnsi" w:hAnsiTheme="majorHAnsi" w:cstheme="majorHAnsi"/>
          <w:color w:val="000000"/>
          <w:sz w:val="20"/>
          <w:szCs w:val="20"/>
        </w:rPr>
        <w:t>) [Hebrew].</w:t>
      </w:r>
    </w:p>
  </w:footnote>
  <w:footnote w:id="107">
    <w:p w14:paraId="000000BD"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r w:rsidRPr="002B5D71">
        <w:rPr>
          <w:rFonts w:asciiTheme="majorHAnsi" w:hAnsiTheme="majorHAnsi" w:cstheme="majorHAnsi"/>
          <w:color w:val="000000"/>
          <w:sz w:val="20"/>
          <w:szCs w:val="20"/>
          <w:highlight w:val="yellow"/>
        </w:rPr>
        <w:t>Here is a translation of the Russian text:</w:t>
      </w:r>
      <w:r w:rsidRPr="00A345B8">
        <w:rPr>
          <w:rFonts w:asciiTheme="majorHAnsi" w:hAnsiTheme="majorHAnsi" w:cstheme="majorHAnsi"/>
          <w:color w:val="000000"/>
          <w:sz w:val="20"/>
          <w:szCs w:val="20"/>
        </w:rPr>
        <w:t xml:space="preserve"> “According to the decision of the Synagogue Board, any kind of conversations, discussions, etc., that are not of the character of prayer, are prohibited during a visit in the synagogue. Synagogue Board.”</w:t>
      </w:r>
    </w:p>
  </w:footnote>
  <w:footnote w:id="108">
    <w:p w14:paraId="000000BE" w14:textId="5C80E836"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See also a competition of contemporary synagogue posters restricting chatting and the use of mobile phones in the synagogue: “</w:t>
      </w:r>
      <w:proofErr w:type="spellStart"/>
      <w:r w:rsidRPr="00A345B8">
        <w:rPr>
          <w:rFonts w:asciiTheme="majorHAnsi" w:hAnsiTheme="majorHAnsi" w:cstheme="majorHAnsi"/>
          <w:color w:val="000000"/>
          <w:sz w:val="20"/>
          <w:szCs w:val="20"/>
        </w:rPr>
        <w:t>Taḥarut</w:t>
      </w:r>
      <w:proofErr w:type="spellEnd"/>
      <w:r w:rsidRPr="00A345B8">
        <w:rPr>
          <w:rFonts w:asciiTheme="majorHAnsi" w:hAnsiTheme="majorHAnsi" w:cstheme="majorHAnsi"/>
          <w:color w:val="000000"/>
          <w:sz w:val="20"/>
          <w:szCs w:val="20"/>
        </w:rPr>
        <w:t xml:space="preserve"> ha-</w:t>
      </w:r>
      <w:proofErr w:type="spellStart"/>
      <w:r w:rsidRPr="00A345B8">
        <w:rPr>
          <w:rFonts w:asciiTheme="majorHAnsi" w:hAnsiTheme="majorHAnsi" w:cstheme="majorHAnsi"/>
          <w:color w:val="000000"/>
          <w:sz w:val="20"/>
          <w:szCs w:val="20"/>
        </w:rPr>
        <w:t>grafikayim</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histayimah</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ve-akhshav</w:t>
      </w:r>
      <w:proofErr w:type="spellEnd"/>
      <w:r w:rsidRPr="00A345B8">
        <w:rPr>
          <w:rFonts w:asciiTheme="majorHAnsi" w:hAnsiTheme="majorHAnsi" w:cstheme="majorHAnsi"/>
          <w:color w:val="000000"/>
          <w:sz w:val="20"/>
          <w:szCs w:val="20"/>
        </w:rPr>
        <w:t>: mi ha-</w:t>
      </w:r>
      <w:proofErr w:type="spellStart"/>
      <w:proofErr w:type="gramStart"/>
      <w:r w:rsidRPr="00A345B8">
        <w:rPr>
          <w:rFonts w:asciiTheme="majorHAnsi" w:hAnsiTheme="majorHAnsi" w:cstheme="majorHAnsi"/>
          <w:color w:val="000000"/>
          <w:sz w:val="20"/>
          <w:szCs w:val="20"/>
        </w:rPr>
        <w:t>moda‘</w:t>
      </w:r>
      <w:proofErr w:type="gramEnd"/>
      <w:r w:rsidRPr="00A345B8">
        <w:rPr>
          <w:rFonts w:asciiTheme="majorHAnsi" w:hAnsiTheme="majorHAnsi" w:cstheme="majorHAnsi"/>
          <w:color w:val="000000"/>
          <w:sz w:val="20"/>
          <w:szCs w:val="20"/>
        </w:rPr>
        <w:t>ah</w:t>
      </w:r>
      <w:proofErr w:type="spellEnd"/>
      <w:r w:rsidRPr="00A345B8">
        <w:rPr>
          <w:rFonts w:asciiTheme="majorHAnsi" w:hAnsiTheme="majorHAnsi" w:cstheme="majorHAnsi"/>
          <w:color w:val="000000"/>
          <w:sz w:val="20"/>
          <w:szCs w:val="20"/>
        </w:rPr>
        <w:t xml:space="preserve"> ha-</w:t>
      </w:r>
      <w:proofErr w:type="spellStart"/>
      <w:r w:rsidRPr="00A345B8">
        <w:rPr>
          <w:rFonts w:asciiTheme="majorHAnsi" w:hAnsiTheme="majorHAnsi" w:cstheme="majorHAnsi"/>
          <w:color w:val="000000"/>
          <w:sz w:val="20"/>
          <w:szCs w:val="20"/>
        </w:rPr>
        <w:t>muẓlahat</w:t>
      </w:r>
      <w:proofErr w:type="spellEnd"/>
      <w:r w:rsidRPr="00A345B8">
        <w:rPr>
          <w:rFonts w:asciiTheme="majorHAnsi" w:hAnsiTheme="majorHAnsi" w:cstheme="majorHAnsi"/>
          <w:color w:val="000000"/>
          <w:sz w:val="20"/>
          <w:szCs w:val="20"/>
        </w:rPr>
        <w:t xml:space="preserve"> be-</w:t>
      </w:r>
      <w:proofErr w:type="spellStart"/>
      <w:r w:rsidRPr="00A345B8">
        <w:rPr>
          <w:rFonts w:asciiTheme="majorHAnsi" w:hAnsiTheme="majorHAnsi" w:cstheme="majorHAnsi"/>
          <w:color w:val="000000"/>
          <w:sz w:val="20"/>
          <w:szCs w:val="20"/>
        </w:rPr>
        <w:t>yoter</w:t>
      </w:r>
      <w:proofErr w:type="spellEnd"/>
      <w:r w:rsidRPr="00A345B8">
        <w:rPr>
          <w:rFonts w:asciiTheme="majorHAnsi" w:hAnsiTheme="majorHAnsi" w:cstheme="majorHAnsi"/>
          <w:color w:val="000000"/>
          <w:sz w:val="20"/>
          <w:szCs w:val="20"/>
        </w:rPr>
        <w:t>?” [The Graphic Artists Competition Is Over, And Now: What Is The Most Successful Advertisement?] and “</w:t>
      </w:r>
      <w:proofErr w:type="spellStart"/>
      <w:r w:rsidRPr="00A345B8">
        <w:rPr>
          <w:rFonts w:asciiTheme="majorHAnsi" w:hAnsiTheme="majorHAnsi" w:cstheme="majorHAnsi"/>
          <w:color w:val="000000"/>
          <w:sz w:val="20"/>
          <w:szCs w:val="20"/>
        </w:rPr>
        <w:t>Ḥashivut</w:t>
      </w:r>
      <w:proofErr w:type="spellEnd"/>
      <w:r w:rsidRPr="00A345B8">
        <w:rPr>
          <w:rFonts w:asciiTheme="majorHAnsi" w:hAnsiTheme="majorHAnsi" w:cstheme="majorHAnsi"/>
          <w:color w:val="000000"/>
          <w:sz w:val="20"/>
          <w:szCs w:val="20"/>
        </w:rPr>
        <w:t xml:space="preserve"> ha-</w:t>
      </w:r>
      <w:proofErr w:type="spellStart"/>
      <w:r w:rsidRPr="00A345B8">
        <w:rPr>
          <w:rFonts w:asciiTheme="majorHAnsi" w:hAnsiTheme="majorHAnsi" w:cstheme="majorHAnsi"/>
          <w:color w:val="000000"/>
          <w:sz w:val="20"/>
          <w:szCs w:val="20"/>
        </w:rPr>
        <w:t>shtikah</w:t>
      </w:r>
      <w:proofErr w:type="spellEnd"/>
      <w:r w:rsidRPr="00A345B8">
        <w:rPr>
          <w:rFonts w:asciiTheme="majorHAnsi" w:hAnsiTheme="majorHAnsi" w:cstheme="majorHAnsi"/>
          <w:color w:val="000000"/>
          <w:sz w:val="20"/>
          <w:szCs w:val="20"/>
        </w:rPr>
        <w:t xml:space="preserve"> be</w:t>
      </w:r>
      <w:proofErr w:type="gramStart"/>
      <w:r w:rsidRPr="00A345B8">
        <w:rPr>
          <w:rFonts w:asciiTheme="majorHAnsi" w:hAnsiTheme="majorHAnsi" w:cstheme="majorHAnsi"/>
          <w:color w:val="000000"/>
          <w:sz w:val="20"/>
          <w:szCs w:val="20"/>
        </w:rPr>
        <w:t>-‘</w:t>
      </w:r>
      <w:proofErr w:type="gramEnd"/>
      <w:r w:rsidRPr="00A345B8">
        <w:rPr>
          <w:rFonts w:asciiTheme="majorHAnsi" w:hAnsiTheme="majorHAnsi" w:cstheme="majorHAnsi"/>
          <w:color w:val="000000"/>
          <w:sz w:val="20"/>
          <w:szCs w:val="20"/>
        </w:rPr>
        <w:t>et ha-</w:t>
      </w:r>
      <w:proofErr w:type="spellStart"/>
      <w:r w:rsidRPr="00A345B8">
        <w:rPr>
          <w:rFonts w:asciiTheme="majorHAnsi" w:hAnsiTheme="majorHAnsi" w:cstheme="majorHAnsi"/>
          <w:color w:val="000000"/>
          <w:sz w:val="20"/>
          <w:szCs w:val="20"/>
        </w:rPr>
        <w:t>tefila</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zohi</w:t>
      </w:r>
      <w:proofErr w:type="spellEnd"/>
      <w:r w:rsidRPr="00A345B8">
        <w:rPr>
          <w:rFonts w:asciiTheme="majorHAnsi" w:hAnsiTheme="majorHAnsi" w:cstheme="majorHAnsi"/>
          <w:color w:val="000000"/>
          <w:sz w:val="20"/>
          <w:szCs w:val="20"/>
        </w:rPr>
        <w:t xml:space="preserve"> ha-</w:t>
      </w:r>
      <w:proofErr w:type="spellStart"/>
      <w:r w:rsidRPr="00A345B8">
        <w:rPr>
          <w:rFonts w:asciiTheme="majorHAnsi" w:hAnsiTheme="majorHAnsi" w:cstheme="majorHAnsi"/>
          <w:color w:val="000000"/>
          <w:sz w:val="20"/>
          <w:szCs w:val="20"/>
        </w:rPr>
        <w:t>moda‘ah</w:t>
      </w:r>
      <w:proofErr w:type="spellEnd"/>
      <w:r w:rsidRPr="00A345B8">
        <w:rPr>
          <w:rFonts w:asciiTheme="majorHAnsi" w:hAnsiTheme="majorHAnsi" w:cstheme="majorHAnsi"/>
          <w:color w:val="000000"/>
          <w:sz w:val="20"/>
          <w:szCs w:val="20"/>
        </w:rPr>
        <w:t xml:space="preserve"> she-</w:t>
      </w:r>
      <w:proofErr w:type="spellStart"/>
      <w:r w:rsidRPr="00A345B8">
        <w:rPr>
          <w:rFonts w:asciiTheme="majorHAnsi" w:hAnsiTheme="majorHAnsi" w:cstheme="majorHAnsi"/>
          <w:color w:val="000000"/>
          <w:sz w:val="20"/>
          <w:szCs w:val="20"/>
        </w:rPr>
        <w:t>zakhta</w:t>
      </w:r>
      <w:proofErr w:type="spellEnd"/>
      <w:r w:rsidRPr="00A345B8">
        <w:rPr>
          <w:rFonts w:asciiTheme="majorHAnsi" w:hAnsiTheme="majorHAnsi" w:cstheme="majorHAnsi"/>
          <w:color w:val="000000"/>
          <w:sz w:val="20"/>
          <w:szCs w:val="20"/>
        </w:rPr>
        <w:t xml:space="preserve"> bi-</w:t>
      </w:r>
      <w:proofErr w:type="spellStart"/>
      <w:r w:rsidRPr="00A345B8">
        <w:rPr>
          <w:rFonts w:asciiTheme="majorHAnsi" w:hAnsiTheme="majorHAnsi" w:cstheme="majorHAnsi"/>
          <w:color w:val="000000"/>
          <w:sz w:val="20"/>
          <w:szCs w:val="20"/>
        </w:rPr>
        <w:t>fras</w:t>
      </w:r>
      <w:proofErr w:type="spellEnd"/>
      <w:r w:rsidRPr="00A345B8">
        <w:rPr>
          <w:rFonts w:asciiTheme="majorHAnsi" w:hAnsiTheme="majorHAnsi" w:cstheme="majorHAnsi"/>
          <w:color w:val="000000"/>
          <w:sz w:val="20"/>
          <w:szCs w:val="20"/>
        </w:rPr>
        <w:t xml:space="preserve">” [The Importance of Silence During Prayer: This Is the Advertisement That Won the Award], </w:t>
      </w:r>
      <w:proofErr w:type="spellStart"/>
      <w:r w:rsidRPr="00A345B8">
        <w:rPr>
          <w:rFonts w:asciiTheme="majorHAnsi" w:hAnsiTheme="majorHAnsi" w:cstheme="majorHAnsi"/>
          <w:i/>
          <w:color w:val="000000"/>
          <w:sz w:val="20"/>
          <w:szCs w:val="20"/>
        </w:rPr>
        <w:t>Hidabroot</w:t>
      </w:r>
      <w:proofErr w:type="spellEnd"/>
      <w:r w:rsidRPr="00A345B8">
        <w:rPr>
          <w:rFonts w:asciiTheme="majorHAnsi" w:hAnsiTheme="majorHAnsi" w:cstheme="majorHAnsi"/>
          <w:color w:val="000000"/>
          <w:sz w:val="20"/>
          <w:szCs w:val="20"/>
        </w:rPr>
        <w:t xml:space="preserve"> (April 16, 2019), www.hidabroot.org/article/1123631 and (April 30, 2019), www.hidabroot.org/article/1124289, respectively (</w:t>
      </w:r>
      <w:r w:rsidR="009C1B2B" w:rsidRPr="00A345B8">
        <w:rPr>
          <w:rFonts w:asciiTheme="majorHAnsi" w:hAnsiTheme="majorHAnsi" w:cstheme="majorHAnsi"/>
          <w:color w:val="000000"/>
          <w:sz w:val="20"/>
          <w:szCs w:val="20"/>
        </w:rPr>
        <w:t>accessed February 26, 2023</w:t>
      </w:r>
      <w:r w:rsidRPr="00A345B8">
        <w:rPr>
          <w:rFonts w:asciiTheme="majorHAnsi" w:hAnsiTheme="majorHAnsi" w:cstheme="majorHAnsi"/>
          <w:color w:val="000000"/>
          <w:sz w:val="20"/>
          <w:szCs w:val="20"/>
        </w:rPr>
        <w:t>) [Hebrew].</w:t>
      </w:r>
    </w:p>
  </w:footnote>
  <w:footnote w:id="109">
    <w:p w14:paraId="000000BF" w14:textId="77777777" w:rsidR="009B4F5A" w:rsidRPr="00A345B8" w:rsidRDefault="000C3D14" w:rsidP="00A345B8">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Rachel </w:t>
      </w:r>
      <w:proofErr w:type="spellStart"/>
      <w:r w:rsidRPr="00A345B8">
        <w:rPr>
          <w:rFonts w:asciiTheme="majorHAnsi" w:hAnsiTheme="majorHAnsi" w:cstheme="majorHAnsi"/>
          <w:color w:val="000000"/>
          <w:sz w:val="20"/>
          <w:szCs w:val="20"/>
        </w:rPr>
        <w:t>Wischnitzer</w:t>
      </w:r>
      <w:proofErr w:type="spellEnd"/>
      <w:r w:rsidRPr="00A345B8">
        <w:rPr>
          <w:rFonts w:asciiTheme="majorHAnsi" w:hAnsiTheme="majorHAnsi" w:cstheme="majorHAnsi"/>
          <w:color w:val="000000"/>
          <w:sz w:val="20"/>
          <w:szCs w:val="20"/>
        </w:rPr>
        <w:t xml:space="preserve">-Bernstein, </w:t>
      </w:r>
      <w:r w:rsidRPr="00A345B8">
        <w:rPr>
          <w:rFonts w:asciiTheme="majorHAnsi" w:hAnsiTheme="majorHAnsi" w:cstheme="majorHAnsi"/>
          <w:i/>
          <w:color w:val="000000"/>
          <w:sz w:val="20"/>
          <w:szCs w:val="20"/>
        </w:rPr>
        <w:t>Symbols and Forms in Jewish Art</w:t>
      </w:r>
      <w:r w:rsidRPr="00A345B8">
        <w:rPr>
          <w:rFonts w:asciiTheme="majorHAnsi" w:hAnsiTheme="majorHAnsi" w:cstheme="majorHAnsi"/>
          <w:color w:val="000000"/>
          <w:sz w:val="20"/>
          <w:szCs w:val="20"/>
        </w:rPr>
        <w:t xml:space="preserve"> (Cracow: IRSA, 2022); </w:t>
      </w:r>
      <w:proofErr w:type="spellStart"/>
      <w:r w:rsidRPr="00A345B8">
        <w:rPr>
          <w:rFonts w:asciiTheme="majorHAnsi" w:hAnsiTheme="majorHAnsi" w:cstheme="majorHAnsi"/>
          <w:color w:val="000000"/>
          <w:sz w:val="20"/>
          <w:szCs w:val="20"/>
        </w:rPr>
        <w:t>Bracha</w:t>
      </w:r>
      <w:proofErr w:type="spellEnd"/>
      <w:r w:rsidRPr="00A345B8">
        <w:rPr>
          <w:rFonts w:asciiTheme="majorHAnsi" w:hAnsiTheme="majorHAnsi" w:cstheme="majorHAnsi"/>
          <w:color w:val="000000"/>
          <w:sz w:val="20"/>
          <w:szCs w:val="20"/>
        </w:rPr>
        <w:t xml:space="preserve"> Yaniv, </w:t>
      </w:r>
      <w:r w:rsidRPr="00A345B8">
        <w:rPr>
          <w:rFonts w:asciiTheme="majorHAnsi" w:hAnsiTheme="majorHAnsi" w:cstheme="majorHAnsi"/>
          <w:i/>
          <w:color w:val="000000"/>
          <w:sz w:val="20"/>
          <w:szCs w:val="20"/>
        </w:rPr>
        <w:t>The Carved Wooden Torah Arks of Eastern Europe</w:t>
      </w:r>
      <w:r w:rsidRPr="00A345B8">
        <w:rPr>
          <w:rFonts w:asciiTheme="majorHAnsi" w:hAnsiTheme="majorHAnsi" w:cstheme="majorHAnsi"/>
          <w:color w:val="000000"/>
          <w:sz w:val="20"/>
          <w:szCs w:val="20"/>
        </w:rPr>
        <w:t xml:space="preserve"> (Oxford: Littman Library of Jewish Civilization, 2021); Ida Huberman, </w:t>
      </w:r>
      <w:r w:rsidRPr="00A345B8">
        <w:rPr>
          <w:rFonts w:asciiTheme="majorHAnsi" w:hAnsiTheme="majorHAnsi" w:cstheme="majorHAnsi"/>
          <w:i/>
          <w:color w:val="000000"/>
          <w:sz w:val="20"/>
          <w:szCs w:val="20"/>
        </w:rPr>
        <w:t>Living Symbols: Symbols in Jewish Art and Tradition</w:t>
      </w:r>
      <w:r w:rsidRPr="00A345B8">
        <w:rPr>
          <w:rFonts w:asciiTheme="majorHAnsi" w:hAnsiTheme="majorHAnsi" w:cstheme="majorHAnsi"/>
          <w:color w:val="000000"/>
          <w:sz w:val="20"/>
          <w:szCs w:val="20"/>
        </w:rPr>
        <w:t xml:space="preserve"> ([Ben </w:t>
      </w:r>
      <w:proofErr w:type="spellStart"/>
      <w:r w:rsidRPr="00A345B8">
        <w:rPr>
          <w:rFonts w:asciiTheme="majorHAnsi" w:hAnsiTheme="majorHAnsi" w:cstheme="majorHAnsi"/>
          <w:color w:val="000000"/>
          <w:sz w:val="20"/>
          <w:szCs w:val="20"/>
        </w:rPr>
        <w:t>Shemen</w:t>
      </w:r>
      <w:proofErr w:type="spellEnd"/>
      <w:r w:rsidRPr="00A345B8">
        <w:rPr>
          <w:rFonts w:asciiTheme="majorHAnsi" w:hAnsiTheme="majorHAnsi" w:cstheme="majorHAnsi"/>
          <w:color w:val="000000"/>
          <w:sz w:val="20"/>
          <w:szCs w:val="20"/>
        </w:rPr>
        <w:t xml:space="preserve">]: </w:t>
      </w:r>
      <w:proofErr w:type="spellStart"/>
      <w:r w:rsidRPr="00A345B8">
        <w:rPr>
          <w:rFonts w:asciiTheme="majorHAnsi" w:hAnsiTheme="majorHAnsi" w:cstheme="majorHAnsi"/>
          <w:color w:val="000000"/>
          <w:sz w:val="20"/>
          <w:szCs w:val="20"/>
        </w:rPr>
        <w:t>Modan</w:t>
      </w:r>
      <w:proofErr w:type="spellEnd"/>
      <w:r w:rsidRPr="00A345B8">
        <w:rPr>
          <w:rFonts w:asciiTheme="majorHAnsi" w:hAnsiTheme="majorHAnsi" w:cstheme="majorHAnsi"/>
          <w:color w:val="000000"/>
          <w:sz w:val="20"/>
          <w:szCs w:val="20"/>
        </w:rPr>
        <w:t xml:space="preserve"> Publishers, 1996).</w:t>
      </w:r>
    </w:p>
  </w:footnote>
  <w:footnote w:id="110">
    <w:p w14:paraId="62F11E00" w14:textId="1EB70BBF" w:rsidR="00257144" w:rsidRPr="00A345B8" w:rsidRDefault="00257144" w:rsidP="00257144">
      <w:pPr>
        <w:pBdr>
          <w:top w:val="nil"/>
          <w:left w:val="nil"/>
          <w:bottom w:val="nil"/>
          <w:right w:val="nil"/>
          <w:between w:val="nil"/>
        </w:pBdr>
        <w:spacing w:after="0" w:line="360" w:lineRule="auto"/>
        <w:ind w:left="720" w:hanging="720"/>
        <w:rPr>
          <w:rFonts w:asciiTheme="majorHAnsi" w:hAnsiTheme="majorHAnsi" w:cstheme="majorHAnsi"/>
          <w:color w:val="000000"/>
          <w:sz w:val="20"/>
          <w:szCs w:val="20"/>
        </w:rPr>
      </w:pPr>
      <w:r w:rsidRPr="00A345B8">
        <w:rPr>
          <w:rFonts w:asciiTheme="majorHAnsi" w:hAnsiTheme="majorHAnsi" w:cstheme="majorHAnsi"/>
          <w:sz w:val="20"/>
          <w:szCs w:val="20"/>
          <w:vertAlign w:val="superscript"/>
        </w:rPr>
        <w:footnoteRef/>
      </w:r>
      <w:r w:rsidRPr="00A345B8">
        <w:rPr>
          <w:rFonts w:asciiTheme="majorHAnsi" w:hAnsiTheme="majorHAnsi" w:cstheme="majorHAnsi"/>
          <w:color w:val="000000"/>
          <w:sz w:val="20"/>
          <w:szCs w:val="20"/>
        </w:rPr>
        <w:t xml:space="preserve"> </w:t>
      </w:r>
      <w:r w:rsidR="00915742" w:rsidRPr="002B5D71">
        <w:rPr>
          <w:rFonts w:asciiTheme="majorHAnsi" w:hAnsiTheme="majorHAnsi" w:cstheme="majorHAnsi"/>
          <w:color w:val="000000"/>
          <w:sz w:val="20"/>
          <w:szCs w:val="20"/>
          <w:highlight w:val="yellow"/>
        </w:rPr>
        <w:t xml:space="preserve">This adapts the theory of "estrangement" in literature that was developed by </w:t>
      </w:r>
      <w:r w:rsidRPr="002B5D71">
        <w:rPr>
          <w:rFonts w:asciiTheme="majorHAnsi" w:hAnsiTheme="majorHAnsi" w:cstheme="majorHAnsi"/>
          <w:color w:val="000000"/>
          <w:sz w:val="20"/>
          <w:szCs w:val="20"/>
          <w:highlight w:val="yellow"/>
        </w:rPr>
        <w:t xml:space="preserve">Viktor </w:t>
      </w:r>
      <w:proofErr w:type="spellStart"/>
      <w:r w:rsidRPr="002B5D71">
        <w:rPr>
          <w:rFonts w:asciiTheme="majorHAnsi" w:hAnsiTheme="majorHAnsi" w:cstheme="majorHAnsi"/>
          <w:color w:val="000000"/>
          <w:sz w:val="20"/>
          <w:szCs w:val="20"/>
          <w:highlight w:val="yellow"/>
        </w:rPr>
        <w:t>Shklovsky</w:t>
      </w:r>
      <w:proofErr w:type="spellEnd"/>
      <w:r w:rsidRPr="002B5D71">
        <w:rPr>
          <w:rFonts w:asciiTheme="majorHAnsi" w:hAnsiTheme="majorHAnsi" w:cstheme="majorHAnsi"/>
          <w:color w:val="000000"/>
          <w:sz w:val="20"/>
          <w:szCs w:val="20"/>
          <w:highlight w:val="yellow"/>
        </w:rPr>
        <w:t xml:space="preserve"> in his </w:t>
      </w:r>
      <w:r w:rsidRPr="002B5D71">
        <w:rPr>
          <w:rFonts w:asciiTheme="majorHAnsi" w:hAnsiTheme="majorHAnsi" w:cstheme="majorHAnsi"/>
          <w:i/>
          <w:iCs/>
          <w:color w:val="000000"/>
          <w:sz w:val="20"/>
          <w:szCs w:val="20"/>
          <w:highlight w:val="yellow"/>
        </w:rPr>
        <w:t>Theory of Prose</w:t>
      </w:r>
      <w:r w:rsidRPr="002B5D71">
        <w:rPr>
          <w:rFonts w:asciiTheme="majorHAnsi" w:hAnsiTheme="majorHAnsi" w:cstheme="majorHAnsi"/>
          <w:color w:val="000000"/>
          <w:sz w:val="20"/>
          <w:szCs w:val="20"/>
          <w:highlight w:val="yellow"/>
        </w:rPr>
        <w:t xml:space="preserve"> (Elmwood Park: </w:t>
      </w:r>
      <w:proofErr w:type="spellStart"/>
      <w:r w:rsidRPr="002B5D71">
        <w:rPr>
          <w:rFonts w:asciiTheme="majorHAnsi" w:hAnsiTheme="majorHAnsi" w:cstheme="majorHAnsi"/>
          <w:color w:val="000000"/>
          <w:sz w:val="20"/>
          <w:szCs w:val="20"/>
          <w:highlight w:val="yellow"/>
        </w:rPr>
        <w:t>Dalkey</w:t>
      </w:r>
      <w:proofErr w:type="spellEnd"/>
      <w:r w:rsidRPr="002B5D71">
        <w:rPr>
          <w:rFonts w:asciiTheme="majorHAnsi" w:hAnsiTheme="majorHAnsi" w:cstheme="majorHAnsi"/>
          <w:color w:val="000000"/>
          <w:sz w:val="20"/>
          <w:szCs w:val="20"/>
          <w:highlight w:val="yellow"/>
        </w:rPr>
        <w:t xml:space="preserve"> Archive Press, 1991)</w:t>
      </w:r>
      <w:r w:rsidR="00915742" w:rsidRPr="002B5D71">
        <w:rPr>
          <w:rFonts w:asciiTheme="majorHAnsi" w:hAnsiTheme="majorHAnsi" w:cstheme="majorHAnsi"/>
          <w:color w:val="000000"/>
          <w:sz w:val="20"/>
          <w:szCs w:val="20"/>
          <w:highlight w:val="yellow"/>
        </w:rPr>
        <w:t xml:space="preserve"> for the analysis of visual culture</w:t>
      </w:r>
      <w:r w:rsidRPr="002B5D71">
        <w:rPr>
          <w:rFonts w:asciiTheme="majorHAnsi" w:hAnsiTheme="majorHAnsi" w:cstheme="majorHAnsi"/>
          <w:color w:val="000000"/>
          <w:sz w:val="20"/>
          <w:szCs w:val="20"/>
          <w:highlight w:val="yello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8252D"/>
    <w:multiLevelType w:val="multilevel"/>
    <w:tmpl w:val="B058B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5A"/>
    <w:rsid w:val="000151E2"/>
    <w:rsid w:val="000446D5"/>
    <w:rsid w:val="00053170"/>
    <w:rsid w:val="0005474C"/>
    <w:rsid w:val="00056033"/>
    <w:rsid w:val="00083929"/>
    <w:rsid w:val="000C3D14"/>
    <w:rsid w:val="000D740B"/>
    <w:rsid w:val="000E08BE"/>
    <w:rsid w:val="00100F97"/>
    <w:rsid w:val="0010296F"/>
    <w:rsid w:val="001030B2"/>
    <w:rsid w:val="00103332"/>
    <w:rsid w:val="001173BF"/>
    <w:rsid w:val="0012790C"/>
    <w:rsid w:val="00133280"/>
    <w:rsid w:val="001534B8"/>
    <w:rsid w:val="0016514F"/>
    <w:rsid w:val="00172409"/>
    <w:rsid w:val="001C28AB"/>
    <w:rsid w:val="001C4D40"/>
    <w:rsid w:val="00202373"/>
    <w:rsid w:val="00257144"/>
    <w:rsid w:val="00270CF8"/>
    <w:rsid w:val="002828AC"/>
    <w:rsid w:val="00290488"/>
    <w:rsid w:val="0029456B"/>
    <w:rsid w:val="002946E6"/>
    <w:rsid w:val="002B5D71"/>
    <w:rsid w:val="002C2FCE"/>
    <w:rsid w:val="002D4CDE"/>
    <w:rsid w:val="002F32CA"/>
    <w:rsid w:val="002F3999"/>
    <w:rsid w:val="003229A7"/>
    <w:rsid w:val="0032722B"/>
    <w:rsid w:val="00361F09"/>
    <w:rsid w:val="0037222C"/>
    <w:rsid w:val="0039222B"/>
    <w:rsid w:val="003A0C08"/>
    <w:rsid w:val="003F4B66"/>
    <w:rsid w:val="00413323"/>
    <w:rsid w:val="00470648"/>
    <w:rsid w:val="0047576E"/>
    <w:rsid w:val="0048002B"/>
    <w:rsid w:val="004A720F"/>
    <w:rsid w:val="004B18C0"/>
    <w:rsid w:val="004B519D"/>
    <w:rsid w:val="004B5B64"/>
    <w:rsid w:val="004B728B"/>
    <w:rsid w:val="004E1A0A"/>
    <w:rsid w:val="004E7FAB"/>
    <w:rsid w:val="00517C9D"/>
    <w:rsid w:val="00524661"/>
    <w:rsid w:val="00557B5B"/>
    <w:rsid w:val="005862CA"/>
    <w:rsid w:val="005C2BF2"/>
    <w:rsid w:val="005D0216"/>
    <w:rsid w:val="005D51B2"/>
    <w:rsid w:val="005E5402"/>
    <w:rsid w:val="00642DA2"/>
    <w:rsid w:val="00654B80"/>
    <w:rsid w:val="006928E9"/>
    <w:rsid w:val="006A4C81"/>
    <w:rsid w:val="006A72B9"/>
    <w:rsid w:val="006B1D39"/>
    <w:rsid w:val="006C248D"/>
    <w:rsid w:val="006D33AC"/>
    <w:rsid w:val="006D5EE9"/>
    <w:rsid w:val="006F3617"/>
    <w:rsid w:val="007127F2"/>
    <w:rsid w:val="00731D54"/>
    <w:rsid w:val="00752591"/>
    <w:rsid w:val="00766924"/>
    <w:rsid w:val="0077580C"/>
    <w:rsid w:val="007773A5"/>
    <w:rsid w:val="007A2FB0"/>
    <w:rsid w:val="007E5C77"/>
    <w:rsid w:val="007F3B2E"/>
    <w:rsid w:val="007F3BF1"/>
    <w:rsid w:val="0080705F"/>
    <w:rsid w:val="00817BF3"/>
    <w:rsid w:val="00832E4F"/>
    <w:rsid w:val="0084232E"/>
    <w:rsid w:val="00866183"/>
    <w:rsid w:val="008F692A"/>
    <w:rsid w:val="0090695E"/>
    <w:rsid w:val="00915742"/>
    <w:rsid w:val="009413AB"/>
    <w:rsid w:val="00943C0A"/>
    <w:rsid w:val="009469CB"/>
    <w:rsid w:val="00951E51"/>
    <w:rsid w:val="00963C31"/>
    <w:rsid w:val="00964045"/>
    <w:rsid w:val="0099646F"/>
    <w:rsid w:val="009B28E4"/>
    <w:rsid w:val="009B4F5A"/>
    <w:rsid w:val="009C1B2B"/>
    <w:rsid w:val="009E58BC"/>
    <w:rsid w:val="009F5917"/>
    <w:rsid w:val="00A345B8"/>
    <w:rsid w:val="00A42235"/>
    <w:rsid w:val="00A47DA7"/>
    <w:rsid w:val="00A52E22"/>
    <w:rsid w:val="00A67023"/>
    <w:rsid w:val="00A85495"/>
    <w:rsid w:val="00A860C3"/>
    <w:rsid w:val="00AB73CA"/>
    <w:rsid w:val="00AC05ED"/>
    <w:rsid w:val="00AC0F95"/>
    <w:rsid w:val="00AC6B06"/>
    <w:rsid w:val="00AE5F01"/>
    <w:rsid w:val="00B20180"/>
    <w:rsid w:val="00B34854"/>
    <w:rsid w:val="00B4110B"/>
    <w:rsid w:val="00B4388F"/>
    <w:rsid w:val="00B47198"/>
    <w:rsid w:val="00B54EB1"/>
    <w:rsid w:val="00B7211C"/>
    <w:rsid w:val="00BC436B"/>
    <w:rsid w:val="00BF5562"/>
    <w:rsid w:val="00C0717B"/>
    <w:rsid w:val="00C206DB"/>
    <w:rsid w:val="00C376F8"/>
    <w:rsid w:val="00C4197E"/>
    <w:rsid w:val="00C5195D"/>
    <w:rsid w:val="00C66E0F"/>
    <w:rsid w:val="00C96D76"/>
    <w:rsid w:val="00CA554F"/>
    <w:rsid w:val="00CC1EB5"/>
    <w:rsid w:val="00CD1291"/>
    <w:rsid w:val="00D21C49"/>
    <w:rsid w:val="00D468CE"/>
    <w:rsid w:val="00D509BC"/>
    <w:rsid w:val="00D705E5"/>
    <w:rsid w:val="00D843F5"/>
    <w:rsid w:val="00DA42A0"/>
    <w:rsid w:val="00DC1346"/>
    <w:rsid w:val="00DD4531"/>
    <w:rsid w:val="00DF3464"/>
    <w:rsid w:val="00E03B34"/>
    <w:rsid w:val="00E07FE4"/>
    <w:rsid w:val="00E230F7"/>
    <w:rsid w:val="00E313AC"/>
    <w:rsid w:val="00E362D4"/>
    <w:rsid w:val="00E72983"/>
    <w:rsid w:val="00EC75D4"/>
    <w:rsid w:val="00EE23DC"/>
    <w:rsid w:val="00EE5514"/>
    <w:rsid w:val="00EF7BE0"/>
    <w:rsid w:val="00F1546C"/>
    <w:rsid w:val="00F36907"/>
    <w:rsid w:val="00F475E7"/>
    <w:rsid w:val="00F71499"/>
    <w:rsid w:val="00F737D6"/>
    <w:rsid w:val="00F94E33"/>
    <w:rsid w:val="00F96F27"/>
    <w:rsid w:val="00FA38CB"/>
    <w:rsid w:val="00FC704B"/>
    <w:rsid w:val="00FD6595"/>
    <w:rsid w:val="00FF25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8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97E"/>
  </w:style>
  <w:style w:type="paragraph" w:styleId="Heading1">
    <w:name w:val="heading 1"/>
    <w:basedOn w:val="Normal"/>
    <w:next w:val="Normal"/>
    <w:uiPriority w:val="9"/>
    <w:qFormat/>
    <w:pPr>
      <w:keepNext/>
      <w:spacing w:before="360" w:after="60" w:line="360" w:lineRule="auto"/>
      <w:ind w:right="567"/>
      <w:outlineLvl w:val="0"/>
    </w:pPr>
    <w:rPr>
      <w:b/>
    </w:rPr>
  </w:style>
  <w:style w:type="paragraph" w:styleId="Heading2">
    <w:name w:val="heading 2"/>
    <w:basedOn w:val="Normal"/>
    <w:next w:val="Normal"/>
    <w:uiPriority w:val="9"/>
    <w:unhideWhenUsed/>
    <w:qFormat/>
    <w:pPr>
      <w:keepNext/>
      <w:spacing w:before="360" w:after="60" w:line="360" w:lineRule="auto"/>
      <w:ind w:right="567"/>
      <w:outlineLvl w:val="1"/>
    </w:pPr>
    <w:rPr>
      <w:b/>
      <w:i/>
    </w:rPr>
  </w:style>
  <w:style w:type="paragraph" w:styleId="Heading3">
    <w:name w:val="heading 3"/>
    <w:basedOn w:val="Normal"/>
    <w:next w:val="Normal"/>
    <w:uiPriority w:val="9"/>
    <w:semiHidden/>
    <w:unhideWhenUsed/>
    <w:qFormat/>
    <w:pPr>
      <w:keepNext/>
      <w:spacing w:before="360" w:after="60" w:line="360" w:lineRule="auto"/>
      <w:ind w:right="567"/>
      <w:outlineLvl w:val="2"/>
    </w:pPr>
    <w:rPr>
      <w:i/>
    </w:rPr>
  </w:style>
  <w:style w:type="paragraph" w:styleId="Heading4">
    <w:name w:val="heading 4"/>
    <w:basedOn w:val="Normal"/>
    <w:next w:val="Normal"/>
    <w:uiPriority w:val="9"/>
    <w:semiHidden/>
    <w:unhideWhenUsed/>
    <w:qFormat/>
    <w:pPr>
      <w:widowControl w:val="0"/>
      <w:spacing w:before="360"/>
      <w:outlineLvl w:val="3"/>
    </w:p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2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32E"/>
    <w:rPr>
      <w:rFonts w:ascii="Segoe UI" w:hAnsi="Segoe UI" w:cs="Segoe UI"/>
      <w:sz w:val="18"/>
      <w:szCs w:val="18"/>
    </w:rPr>
  </w:style>
  <w:style w:type="paragraph" w:styleId="Header">
    <w:name w:val="header"/>
    <w:basedOn w:val="Normal"/>
    <w:link w:val="HeaderChar"/>
    <w:uiPriority w:val="99"/>
    <w:unhideWhenUsed/>
    <w:rsid w:val="008423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232E"/>
  </w:style>
  <w:style w:type="paragraph" w:styleId="Footer">
    <w:name w:val="footer"/>
    <w:basedOn w:val="Normal"/>
    <w:link w:val="FooterChar"/>
    <w:uiPriority w:val="99"/>
    <w:unhideWhenUsed/>
    <w:rsid w:val="008423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232E"/>
  </w:style>
  <w:style w:type="paragraph" w:styleId="FootnoteText">
    <w:name w:val="footnote text"/>
    <w:basedOn w:val="Normal"/>
    <w:link w:val="FootnoteTextChar"/>
    <w:uiPriority w:val="99"/>
    <w:unhideWhenUsed/>
    <w:rsid w:val="005E5402"/>
    <w:pPr>
      <w:spacing w:after="0" w:line="240" w:lineRule="auto"/>
    </w:pPr>
    <w:rPr>
      <w:sz w:val="20"/>
      <w:szCs w:val="20"/>
    </w:rPr>
  </w:style>
  <w:style w:type="character" w:customStyle="1" w:styleId="FootnoteTextChar">
    <w:name w:val="Footnote Text Char"/>
    <w:basedOn w:val="DefaultParagraphFont"/>
    <w:link w:val="FootnoteText"/>
    <w:uiPriority w:val="99"/>
    <w:rsid w:val="005E5402"/>
    <w:rPr>
      <w:sz w:val="20"/>
      <w:szCs w:val="20"/>
    </w:rPr>
  </w:style>
  <w:style w:type="character" w:styleId="FootnoteReference">
    <w:name w:val="footnote reference"/>
    <w:basedOn w:val="DefaultParagraphFont"/>
    <w:uiPriority w:val="99"/>
    <w:semiHidden/>
    <w:unhideWhenUsed/>
    <w:rsid w:val="005E5402"/>
    <w:rPr>
      <w:vertAlign w:val="superscript"/>
    </w:rPr>
  </w:style>
  <w:style w:type="character" w:customStyle="1" w:styleId="rynqvb">
    <w:name w:val="rynqvb"/>
    <w:basedOn w:val="DefaultParagraphFont"/>
    <w:rsid w:val="008F692A"/>
  </w:style>
  <w:style w:type="character" w:styleId="Hyperlink">
    <w:name w:val="Hyperlink"/>
    <w:basedOn w:val="DefaultParagraphFont"/>
    <w:uiPriority w:val="99"/>
    <w:unhideWhenUsed/>
    <w:rsid w:val="00C96D76"/>
    <w:rPr>
      <w:color w:val="0000FF" w:themeColor="hyperlink"/>
      <w:u w:val="single"/>
    </w:rPr>
  </w:style>
  <w:style w:type="character" w:styleId="UnresolvedMention">
    <w:name w:val="Unresolved Mention"/>
    <w:basedOn w:val="DefaultParagraphFont"/>
    <w:uiPriority w:val="99"/>
    <w:semiHidden/>
    <w:unhideWhenUsed/>
    <w:rsid w:val="00C96D76"/>
    <w:rPr>
      <w:color w:val="605E5C"/>
      <w:shd w:val="clear" w:color="auto" w:fill="E1DFDD"/>
    </w:rPr>
  </w:style>
  <w:style w:type="character" w:customStyle="1" w:styleId="sc-vjknw">
    <w:name w:val="sc-vjknw"/>
    <w:basedOn w:val="DefaultParagraphFont"/>
    <w:rsid w:val="0010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7405">
      <w:bodyDiv w:val="1"/>
      <w:marLeft w:val="0"/>
      <w:marRight w:val="0"/>
      <w:marTop w:val="0"/>
      <w:marBottom w:val="0"/>
      <w:divBdr>
        <w:top w:val="none" w:sz="0" w:space="0" w:color="auto"/>
        <w:left w:val="none" w:sz="0" w:space="0" w:color="auto"/>
        <w:bottom w:val="none" w:sz="0" w:space="0" w:color="auto"/>
        <w:right w:val="none" w:sz="0" w:space="0" w:color="auto"/>
      </w:divBdr>
      <w:divsChild>
        <w:div w:id="1859419971">
          <w:marLeft w:val="0"/>
          <w:marRight w:val="0"/>
          <w:marTop w:val="0"/>
          <w:marBottom w:val="0"/>
          <w:divBdr>
            <w:top w:val="none" w:sz="0" w:space="0" w:color="auto"/>
            <w:left w:val="none" w:sz="0" w:space="0" w:color="auto"/>
            <w:bottom w:val="none" w:sz="0" w:space="0" w:color="auto"/>
            <w:right w:val="none" w:sz="0" w:space="0" w:color="auto"/>
          </w:divBdr>
          <w:divsChild>
            <w:div w:id="571281482">
              <w:marLeft w:val="0"/>
              <w:marRight w:val="0"/>
              <w:marTop w:val="0"/>
              <w:marBottom w:val="0"/>
              <w:divBdr>
                <w:top w:val="none" w:sz="0" w:space="0" w:color="auto"/>
                <w:left w:val="none" w:sz="0" w:space="0" w:color="auto"/>
                <w:bottom w:val="none" w:sz="0" w:space="0" w:color="auto"/>
                <w:right w:val="none" w:sz="0" w:space="0" w:color="auto"/>
              </w:divBdr>
              <w:divsChild>
                <w:div w:id="990446650">
                  <w:marLeft w:val="0"/>
                  <w:marRight w:val="0"/>
                  <w:marTop w:val="0"/>
                  <w:marBottom w:val="0"/>
                  <w:divBdr>
                    <w:top w:val="none" w:sz="0" w:space="0" w:color="auto"/>
                    <w:left w:val="none" w:sz="0" w:space="0" w:color="auto"/>
                    <w:bottom w:val="none" w:sz="0" w:space="0" w:color="auto"/>
                    <w:right w:val="none" w:sz="0" w:space="0" w:color="auto"/>
                  </w:divBdr>
                  <w:divsChild>
                    <w:div w:id="18769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4855">
          <w:marLeft w:val="0"/>
          <w:marRight w:val="0"/>
          <w:marTop w:val="0"/>
          <w:marBottom w:val="0"/>
          <w:divBdr>
            <w:top w:val="none" w:sz="0" w:space="0" w:color="auto"/>
            <w:left w:val="none" w:sz="0" w:space="0" w:color="auto"/>
            <w:bottom w:val="none" w:sz="0" w:space="0" w:color="auto"/>
            <w:right w:val="none" w:sz="0" w:space="0" w:color="auto"/>
          </w:divBdr>
          <w:divsChild>
            <w:div w:id="1441336914">
              <w:marLeft w:val="0"/>
              <w:marRight w:val="0"/>
              <w:marTop w:val="0"/>
              <w:marBottom w:val="0"/>
              <w:divBdr>
                <w:top w:val="none" w:sz="0" w:space="0" w:color="auto"/>
                <w:left w:val="none" w:sz="0" w:space="0" w:color="auto"/>
                <w:bottom w:val="none" w:sz="0" w:space="0" w:color="auto"/>
                <w:right w:val="none" w:sz="0" w:space="0" w:color="auto"/>
              </w:divBdr>
            </w:div>
            <w:div w:id="1885674399">
              <w:marLeft w:val="0"/>
              <w:marRight w:val="0"/>
              <w:marTop w:val="0"/>
              <w:marBottom w:val="0"/>
              <w:divBdr>
                <w:top w:val="none" w:sz="0" w:space="0" w:color="auto"/>
                <w:left w:val="none" w:sz="0" w:space="0" w:color="auto"/>
                <w:bottom w:val="none" w:sz="0" w:space="0" w:color="auto"/>
                <w:right w:val="none" w:sz="0" w:space="0" w:color="auto"/>
              </w:divBdr>
              <w:divsChild>
                <w:div w:id="1760984589">
                  <w:marLeft w:val="0"/>
                  <w:marRight w:val="0"/>
                  <w:marTop w:val="0"/>
                  <w:marBottom w:val="0"/>
                  <w:divBdr>
                    <w:top w:val="none" w:sz="0" w:space="0" w:color="auto"/>
                    <w:left w:val="none" w:sz="0" w:space="0" w:color="auto"/>
                    <w:bottom w:val="none" w:sz="0" w:space="0" w:color="auto"/>
                    <w:right w:val="none" w:sz="0" w:space="0" w:color="auto"/>
                  </w:divBdr>
                  <w:divsChild>
                    <w:div w:id="1520001524">
                      <w:marLeft w:val="0"/>
                      <w:marRight w:val="0"/>
                      <w:marTop w:val="0"/>
                      <w:marBottom w:val="0"/>
                      <w:divBdr>
                        <w:top w:val="none" w:sz="0" w:space="0" w:color="auto"/>
                        <w:left w:val="none" w:sz="0" w:space="0" w:color="auto"/>
                        <w:bottom w:val="none" w:sz="0" w:space="0" w:color="auto"/>
                        <w:right w:val="none" w:sz="0" w:space="0" w:color="auto"/>
                      </w:divBdr>
                      <w:divsChild>
                        <w:div w:id="18424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756735">
          <w:marLeft w:val="0"/>
          <w:marRight w:val="0"/>
          <w:marTop w:val="0"/>
          <w:marBottom w:val="0"/>
          <w:divBdr>
            <w:top w:val="none" w:sz="0" w:space="0" w:color="auto"/>
            <w:left w:val="none" w:sz="0" w:space="0" w:color="auto"/>
            <w:bottom w:val="none" w:sz="0" w:space="0" w:color="auto"/>
            <w:right w:val="none" w:sz="0" w:space="0" w:color="auto"/>
          </w:divBdr>
          <w:divsChild>
            <w:div w:id="57289382">
              <w:marLeft w:val="0"/>
              <w:marRight w:val="0"/>
              <w:marTop w:val="0"/>
              <w:marBottom w:val="0"/>
              <w:divBdr>
                <w:top w:val="none" w:sz="0" w:space="0" w:color="auto"/>
                <w:left w:val="none" w:sz="0" w:space="0" w:color="auto"/>
                <w:bottom w:val="none" w:sz="0" w:space="0" w:color="auto"/>
                <w:right w:val="none" w:sz="0" w:space="0" w:color="auto"/>
              </w:divBdr>
            </w:div>
          </w:divsChild>
        </w:div>
        <w:div w:id="987780377">
          <w:marLeft w:val="0"/>
          <w:marRight w:val="0"/>
          <w:marTop w:val="0"/>
          <w:marBottom w:val="0"/>
          <w:divBdr>
            <w:top w:val="none" w:sz="0" w:space="0" w:color="auto"/>
            <w:left w:val="none" w:sz="0" w:space="0" w:color="auto"/>
            <w:bottom w:val="none" w:sz="0" w:space="0" w:color="auto"/>
            <w:right w:val="none" w:sz="0" w:space="0" w:color="auto"/>
          </w:divBdr>
          <w:divsChild>
            <w:div w:id="374164540">
              <w:marLeft w:val="0"/>
              <w:marRight w:val="0"/>
              <w:marTop w:val="0"/>
              <w:marBottom w:val="0"/>
              <w:divBdr>
                <w:top w:val="none" w:sz="0" w:space="0" w:color="auto"/>
                <w:left w:val="none" w:sz="0" w:space="0" w:color="auto"/>
                <w:bottom w:val="none" w:sz="0" w:space="0" w:color="auto"/>
                <w:right w:val="none" w:sz="0" w:space="0" w:color="auto"/>
              </w:divBdr>
            </w:div>
          </w:divsChild>
        </w:div>
        <w:div w:id="1619292723">
          <w:marLeft w:val="0"/>
          <w:marRight w:val="0"/>
          <w:marTop w:val="0"/>
          <w:marBottom w:val="0"/>
          <w:divBdr>
            <w:top w:val="none" w:sz="0" w:space="0" w:color="auto"/>
            <w:left w:val="none" w:sz="0" w:space="0" w:color="auto"/>
            <w:bottom w:val="none" w:sz="0" w:space="0" w:color="auto"/>
            <w:right w:val="none" w:sz="0" w:space="0" w:color="auto"/>
          </w:divBdr>
          <w:divsChild>
            <w:div w:id="1318342940">
              <w:marLeft w:val="0"/>
              <w:marRight w:val="0"/>
              <w:marTop w:val="0"/>
              <w:marBottom w:val="0"/>
              <w:divBdr>
                <w:top w:val="none" w:sz="0" w:space="0" w:color="auto"/>
                <w:left w:val="none" w:sz="0" w:space="0" w:color="auto"/>
                <w:bottom w:val="none" w:sz="0" w:space="0" w:color="auto"/>
                <w:right w:val="none" w:sz="0" w:space="0" w:color="auto"/>
              </w:divBdr>
            </w:div>
            <w:div w:id="289479537">
              <w:marLeft w:val="0"/>
              <w:marRight w:val="0"/>
              <w:marTop w:val="0"/>
              <w:marBottom w:val="0"/>
              <w:divBdr>
                <w:top w:val="none" w:sz="0" w:space="0" w:color="auto"/>
                <w:left w:val="none" w:sz="0" w:space="0" w:color="auto"/>
                <w:bottom w:val="none" w:sz="0" w:space="0" w:color="auto"/>
                <w:right w:val="none" w:sz="0" w:space="0" w:color="auto"/>
              </w:divBdr>
              <w:divsChild>
                <w:div w:id="2015451813">
                  <w:marLeft w:val="0"/>
                  <w:marRight w:val="0"/>
                  <w:marTop w:val="0"/>
                  <w:marBottom w:val="0"/>
                  <w:divBdr>
                    <w:top w:val="none" w:sz="0" w:space="0" w:color="auto"/>
                    <w:left w:val="none" w:sz="0" w:space="0" w:color="auto"/>
                    <w:bottom w:val="none" w:sz="0" w:space="0" w:color="auto"/>
                    <w:right w:val="none" w:sz="0" w:space="0" w:color="auto"/>
                  </w:divBdr>
                  <w:divsChild>
                    <w:div w:id="106509018">
                      <w:marLeft w:val="0"/>
                      <w:marRight w:val="0"/>
                      <w:marTop w:val="0"/>
                      <w:marBottom w:val="0"/>
                      <w:divBdr>
                        <w:top w:val="none" w:sz="0" w:space="0" w:color="auto"/>
                        <w:left w:val="none" w:sz="0" w:space="0" w:color="auto"/>
                        <w:bottom w:val="none" w:sz="0" w:space="0" w:color="auto"/>
                        <w:right w:val="none" w:sz="0" w:space="0" w:color="auto"/>
                      </w:divBdr>
                      <w:divsChild>
                        <w:div w:id="11186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862419">
          <w:marLeft w:val="0"/>
          <w:marRight w:val="0"/>
          <w:marTop w:val="0"/>
          <w:marBottom w:val="0"/>
          <w:divBdr>
            <w:top w:val="none" w:sz="0" w:space="0" w:color="auto"/>
            <w:left w:val="none" w:sz="0" w:space="0" w:color="auto"/>
            <w:bottom w:val="none" w:sz="0" w:space="0" w:color="auto"/>
            <w:right w:val="none" w:sz="0" w:space="0" w:color="auto"/>
          </w:divBdr>
          <w:divsChild>
            <w:div w:id="729965151">
              <w:marLeft w:val="0"/>
              <w:marRight w:val="0"/>
              <w:marTop w:val="0"/>
              <w:marBottom w:val="0"/>
              <w:divBdr>
                <w:top w:val="none" w:sz="0" w:space="0" w:color="auto"/>
                <w:left w:val="none" w:sz="0" w:space="0" w:color="auto"/>
                <w:bottom w:val="none" w:sz="0" w:space="0" w:color="auto"/>
                <w:right w:val="none" w:sz="0" w:space="0" w:color="auto"/>
              </w:divBdr>
            </w:div>
            <w:div w:id="747775811">
              <w:marLeft w:val="0"/>
              <w:marRight w:val="0"/>
              <w:marTop w:val="0"/>
              <w:marBottom w:val="0"/>
              <w:divBdr>
                <w:top w:val="none" w:sz="0" w:space="0" w:color="auto"/>
                <w:left w:val="none" w:sz="0" w:space="0" w:color="auto"/>
                <w:bottom w:val="none" w:sz="0" w:space="0" w:color="auto"/>
                <w:right w:val="none" w:sz="0" w:space="0" w:color="auto"/>
              </w:divBdr>
              <w:divsChild>
                <w:div w:id="629897943">
                  <w:marLeft w:val="0"/>
                  <w:marRight w:val="0"/>
                  <w:marTop w:val="0"/>
                  <w:marBottom w:val="0"/>
                  <w:divBdr>
                    <w:top w:val="none" w:sz="0" w:space="0" w:color="auto"/>
                    <w:left w:val="none" w:sz="0" w:space="0" w:color="auto"/>
                    <w:bottom w:val="none" w:sz="0" w:space="0" w:color="auto"/>
                    <w:right w:val="none" w:sz="0" w:space="0" w:color="auto"/>
                  </w:divBdr>
                  <w:divsChild>
                    <w:div w:id="20292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6743">
          <w:marLeft w:val="0"/>
          <w:marRight w:val="0"/>
          <w:marTop w:val="0"/>
          <w:marBottom w:val="0"/>
          <w:divBdr>
            <w:top w:val="none" w:sz="0" w:space="0" w:color="auto"/>
            <w:left w:val="none" w:sz="0" w:space="0" w:color="auto"/>
            <w:bottom w:val="none" w:sz="0" w:space="0" w:color="auto"/>
            <w:right w:val="none" w:sz="0" w:space="0" w:color="auto"/>
          </w:divBdr>
          <w:divsChild>
            <w:div w:id="677970329">
              <w:marLeft w:val="0"/>
              <w:marRight w:val="0"/>
              <w:marTop w:val="0"/>
              <w:marBottom w:val="0"/>
              <w:divBdr>
                <w:top w:val="none" w:sz="0" w:space="0" w:color="auto"/>
                <w:left w:val="none" w:sz="0" w:space="0" w:color="auto"/>
                <w:bottom w:val="none" w:sz="0" w:space="0" w:color="auto"/>
                <w:right w:val="none" w:sz="0" w:space="0" w:color="auto"/>
              </w:divBdr>
            </w:div>
            <w:div w:id="1133213027">
              <w:marLeft w:val="0"/>
              <w:marRight w:val="0"/>
              <w:marTop w:val="0"/>
              <w:marBottom w:val="0"/>
              <w:divBdr>
                <w:top w:val="none" w:sz="0" w:space="0" w:color="auto"/>
                <w:left w:val="none" w:sz="0" w:space="0" w:color="auto"/>
                <w:bottom w:val="none" w:sz="0" w:space="0" w:color="auto"/>
                <w:right w:val="none" w:sz="0" w:space="0" w:color="auto"/>
              </w:divBdr>
              <w:divsChild>
                <w:div w:id="889875989">
                  <w:marLeft w:val="0"/>
                  <w:marRight w:val="0"/>
                  <w:marTop w:val="0"/>
                  <w:marBottom w:val="0"/>
                  <w:divBdr>
                    <w:top w:val="none" w:sz="0" w:space="0" w:color="auto"/>
                    <w:left w:val="none" w:sz="0" w:space="0" w:color="auto"/>
                    <w:bottom w:val="none" w:sz="0" w:space="0" w:color="auto"/>
                    <w:right w:val="none" w:sz="0" w:space="0" w:color="auto"/>
                  </w:divBdr>
                  <w:divsChild>
                    <w:div w:id="1104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2844">
          <w:marLeft w:val="0"/>
          <w:marRight w:val="0"/>
          <w:marTop w:val="0"/>
          <w:marBottom w:val="0"/>
          <w:divBdr>
            <w:top w:val="none" w:sz="0" w:space="0" w:color="auto"/>
            <w:left w:val="none" w:sz="0" w:space="0" w:color="auto"/>
            <w:bottom w:val="none" w:sz="0" w:space="0" w:color="auto"/>
            <w:right w:val="none" w:sz="0" w:space="0" w:color="auto"/>
          </w:divBdr>
          <w:divsChild>
            <w:div w:id="1033379986">
              <w:marLeft w:val="0"/>
              <w:marRight w:val="0"/>
              <w:marTop w:val="0"/>
              <w:marBottom w:val="0"/>
              <w:divBdr>
                <w:top w:val="none" w:sz="0" w:space="0" w:color="auto"/>
                <w:left w:val="none" w:sz="0" w:space="0" w:color="auto"/>
                <w:bottom w:val="none" w:sz="0" w:space="0" w:color="auto"/>
                <w:right w:val="none" w:sz="0" w:space="0" w:color="auto"/>
              </w:divBdr>
            </w:div>
            <w:div w:id="291709858">
              <w:marLeft w:val="0"/>
              <w:marRight w:val="0"/>
              <w:marTop w:val="0"/>
              <w:marBottom w:val="0"/>
              <w:divBdr>
                <w:top w:val="none" w:sz="0" w:space="0" w:color="auto"/>
                <w:left w:val="none" w:sz="0" w:space="0" w:color="auto"/>
                <w:bottom w:val="none" w:sz="0" w:space="0" w:color="auto"/>
                <w:right w:val="none" w:sz="0" w:space="0" w:color="auto"/>
              </w:divBdr>
              <w:divsChild>
                <w:div w:id="1453596965">
                  <w:marLeft w:val="0"/>
                  <w:marRight w:val="0"/>
                  <w:marTop w:val="0"/>
                  <w:marBottom w:val="0"/>
                  <w:divBdr>
                    <w:top w:val="none" w:sz="0" w:space="0" w:color="auto"/>
                    <w:left w:val="none" w:sz="0" w:space="0" w:color="auto"/>
                    <w:bottom w:val="none" w:sz="0" w:space="0" w:color="auto"/>
                    <w:right w:val="none" w:sz="0" w:space="0" w:color="auto"/>
                  </w:divBdr>
                  <w:divsChild>
                    <w:div w:id="1303317223">
                      <w:marLeft w:val="0"/>
                      <w:marRight w:val="0"/>
                      <w:marTop w:val="0"/>
                      <w:marBottom w:val="0"/>
                      <w:divBdr>
                        <w:top w:val="none" w:sz="0" w:space="0" w:color="auto"/>
                        <w:left w:val="none" w:sz="0" w:space="0" w:color="auto"/>
                        <w:bottom w:val="none" w:sz="0" w:space="0" w:color="auto"/>
                        <w:right w:val="none" w:sz="0" w:space="0" w:color="auto"/>
                      </w:divBdr>
                      <w:divsChild>
                        <w:div w:id="30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20247">
      <w:bodyDiv w:val="1"/>
      <w:marLeft w:val="0"/>
      <w:marRight w:val="0"/>
      <w:marTop w:val="0"/>
      <w:marBottom w:val="0"/>
      <w:divBdr>
        <w:top w:val="none" w:sz="0" w:space="0" w:color="auto"/>
        <w:left w:val="none" w:sz="0" w:space="0" w:color="auto"/>
        <w:bottom w:val="none" w:sz="0" w:space="0" w:color="auto"/>
        <w:right w:val="none" w:sz="0" w:space="0" w:color="auto"/>
      </w:divBdr>
    </w:div>
    <w:div w:id="1244875560">
      <w:bodyDiv w:val="1"/>
      <w:marLeft w:val="0"/>
      <w:marRight w:val="0"/>
      <w:marTop w:val="0"/>
      <w:marBottom w:val="0"/>
      <w:divBdr>
        <w:top w:val="none" w:sz="0" w:space="0" w:color="auto"/>
        <w:left w:val="none" w:sz="0" w:space="0" w:color="auto"/>
        <w:bottom w:val="none" w:sz="0" w:space="0" w:color="auto"/>
        <w:right w:val="none" w:sz="0" w:space="0" w:color="auto"/>
      </w:divBdr>
    </w:div>
    <w:div w:id="1602183267">
      <w:bodyDiv w:val="1"/>
      <w:marLeft w:val="0"/>
      <w:marRight w:val="0"/>
      <w:marTop w:val="0"/>
      <w:marBottom w:val="0"/>
      <w:divBdr>
        <w:top w:val="none" w:sz="0" w:space="0" w:color="auto"/>
        <w:left w:val="none" w:sz="0" w:space="0" w:color="auto"/>
        <w:bottom w:val="none" w:sz="0" w:space="0" w:color="auto"/>
        <w:right w:val="none" w:sz="0" w:space="0" w:color="auto"/>
      </w:divBdr>
      <w:divsChild>
        <w:div w:id="566458012">
          <w:marLeft w:val="0"/>
          <w:marRight w:val="0"/>
          <w:marTop w:val="0"/>
          <w:marBottom w:val="0"/>
          <w:divBdr>
            <w:top w:val="none" w:sz="0" w:space="0" w:color="auto"/>
            <w:left w:val="none" w:sz="0" w:space="0" w:color="auto"/>
            <w:bottom w:val="none" w:sz="0" w:space="0" w:color="auto"/>
            <w:right w:val="none" w:sz="0" w:space="0" w:color="auto"/>
          </w:divBdr>
          <w:divsChild>
            <w:div w:id="616564494">
              <w:marLeft w:val="0"/>
              <w:marRight w:val="0"/>
              <w:marTop w:val="0"/>
              <w:marBottom w:val="0"/>
              <w:divBdr>
                <w:top w:val="none" w:sz="0" w:space="0" w:color="auto"/>
                <w:left w:val="none" w:sz="0" w:space="0" w:color="auto"/>
                <w:bottom w:val="none" w:sz="0" w:space="0" w:color="auto"/>
                <w:right w:val="none" w:sz="0" w:space="0" w:color="auto"/>
              </w:divBdr>
              <w:divsChild>
                <w:div w:id="20347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12972">
      <w:bodyDiv w:val="1"/>
      <w:marLeft w:val="0"/>
      <w:marRight w:val="0"/>
      <w:marTop w:val="0"/>
      <w:marBottom w:val="0"/>
      <w:divBdr>
        <w:top w:val="none" w:sz="0" w:space="0" w:color="auto"/>
        <w:left w:val="none" w:sz="0" w:space="0" w:color="auto"/>
        <w:bottom w:val="none" w:sz="0" w:space="0" w:color="auto"/>
        <w:right w:val="none" w:sz="0" w:space="0" w:color="auto"/>
      </w:divBdr>
      <w:divsChild>
        <w:div w:id="2051569045">
          <w:marLeft w:val="0"/>
          <w:marRight w:val="0"/>
          <w:marTop w:val="0"/>
          <w:marBottom w:val="0"/>
          <w:divBdr>
            <w:top w:val="none" w:sz="0" w:space="0" w:color="auto"/>
            <w:left w:val="none" w:sz="0" w:space="0" w:color="auto"/>
            <w:bottom w:val="none" w:sz="0" w:space="0" w:color="auto"/>
            <w:right w:val="none" w:sz="0" w:space="0" w:color="auto"/>
          </w:divBdr>
          <w:divsChild>
            <w:div w:id="1757166269">
              <w:marLeft w:val="0"/>
              <w:marRight w:val="0"/>
              <w:marTop w:val="0"/>
              <w:marBottom w:val="0"/>
              <w:divBdr>
                <w:top w:val="none" w:sz="0" w:space="0" w:color="auto"/>
                <w:left w:val="none" w:sz="0" w:space="0" w:color="auto"/>
                <w:bottom w:val="none" w:sz="0" w:space="0" w:color="auto"/>
                <w:right w:val="none" w:sz="0" w:space="0" w:color="auto"/>
              </w:divBdr>
              <w:divsChild>
                <w:div w:id="11949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6113</Words>
  <Characters>32891</Characters>
  <Application>Microsoft Office Word</Application>
  <DocSecurity>0</DocSecurity>
  <Lines>450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2023-06-12T20:22:00Z</dcterms:created>
  <dcterms:modified xsi:type="dcterms:W3CDTF">2023-06-12T20:35:00Z</dcterms:modified>
</cp:coreProperties>
</file>