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21B8" w14:textId="32116D74" w:rsidR="009B4EFE" w:rsidRPr="009B4EFE" w:rsidRDefault="009B4EFE" w:rsidP="00FE2499">
      <w:pPr>
        <w:spacing w:line="360" w:lineRule="auto"/>
        <w:jc w:val="center"/>
        <w:rPr>
          <w:rFonts w:ascii="FrankRuehl" w:hAnsi="FrankRuehl" w:cs="FrankRuehl"/>
          <w:sz w:val="28"/>
          <w:szCs w:val="28"/>
          <w:rtl/>
        </w:rPr>
      </w:pPr>
      <w:r w:rsidRPr="009B4EFE">
        <w:rPr>
          <w:rFonts w:ascii="FrankRuehl" w:hAnsi="FrankRuehl" w:cs="FrankRuehl" w:hint="cs"/>
          <w:sz w:val="28"/>
          <w:szCs w:val="28"/>
        </w:rPr>
        <w:t>P</w:t>
      </w:r>
      <w:r w:rsidRPr="009B4EFE">
        <w:rPr>
          <w:rFonts w:ascii="FrankRuehl" w:hAnsi="FrankRuehl" w:cs="FrankRuehl"/>
          <w:sz w:val="28"/>
          <w:szCs w:val="28"/>
        </w:rPr>
        <w:t>ublic Shabbat in State of Israel</w:t>
      </w:r>
      <w:r w:rsidR="000F2427">
        <w:rPr>
          <w:rFonts w:ascii="FrankRuehl" w:hAnsi="FrankRuehl" w:cs="FrankRuehl"/>
          <w:sz w:val="28"/>
          <w:szCs w:val="28"/>
        </w:rPr>
        <w:t xml:space="preserve"> </w:t>
      </w:r>
      <w:r>
        <w:rPr>
          <w:rFonts w:ascii="FrankRuehl" w:hAnsi="FrankRuehl" w:cs="FrankRuehl"/>
          <w:sz w:val="28"/>
          <w:szCs w:val="28"/>
        </w:rPr>
        <w:t>-</w:t>
      </w:r>
      <w:r w:rsidRPr="009B4EFE">
        <w:rPr>
          <w:rFonts w:ascii="FrankRuehl" w:hAnsi="FrankRuehl" w:cs="FrankRuehl"/>
          <w:sz w:val="28"/>
          <w:szCs w:val="28"/>
        </w:rPr>
        <w:t xml:space="preserve"> </w:t>
      </w:r>
      <w:proofErr w:type="spellStart"/>
      <w:r w:rsidRPr="009B4EFE">
        <w:rPr>
          <w:rFonts w:ascii="FrankRuehl" w:hAnsi="FrankRuehl" w:cs="FrankRuehl"/>
          <w:sz w:val="28"/>
          <w:szCs w:val="28"/>
        </w:rPr>
        <w:t>Hlachic</w:t>
      </w:r>
      <w:proofErr w:type="spellEnd"/>
      <w:r w:rsidRPr="009B4EFE">
        <w:rPr>
          <w:rFonts w:ascii="FrankRuehl" w:hAnsi="FrankRuehl" w:cs="FrankRuehl"/>
          <w:sz w:val="28"/>
          <w:szCs w:val="28"/>
        </w:rPr>
        <w:t xml:space="preserve"> Aspect</w:t>
      </w:r>
    </w:p>
    <w:p w14:paraId="3EAE1AB2" w14:textId="7C14A24D" w:rsidR="000F2427" w:rsidRPr="00351078" w:rsidRDefault="000F2427" w:rsidP="00351078">
      <w:pPr>
        <w:spacing w:line="360" w:lineRule="auto"/>
        <w:jc w:val="both"/>
        <w:rPr>
          <w:rFonts w:asciiTheme="minorBidi" w:hAnsiTheme="minorBidi"/>
          <w:sz w:val="20"/>
          <w:szCs w:val="20"/>
          <w:rtl/>
        </w:rPr>
      </w:pPr>
      <w:r w:rsidRPr="00351078">
        <w:rPr>
          <w:rFonts w:asciiTheme="minorBidi" w:hAnsiTheme="minorBidi"/>
          <w:sz w:val="20"/>
          <w:szCs w:val="20"/>
          <w:lang w:val="en"/>
        </w:rPr>
        <w:t>Book Review</w:t>
      </w:r>
      <w:r w:rsidRPr="00351078">
        <w:rPr>
          <w:rFonts w:asciiTheme="minorBidi" w:hAnsiTheme="minorBidi"/>
          <w:sz w:val="20"/>
          <w:szCs w:val="20"/>
        </w:rPr>
        <w:t xml:space="preserve">: David </w:t>
      </w:r>
      <w:proofErr w:type="spellStart"/>
      <w:r w:rsidRPr="00351078">
        <w:rPr>
          <w:rFonts w:asciiTheme="minorBidi" w:hAnsiTheme="minorBidi"/>
          <w:sz w:val="20"/>
          <w:szCs w:val="20"/>
        </w:rPr>
        <w:t>Aronovsky</w:t>
      </w:r>
      <w:proofErr w:type="spellEnd"/>
      <w:r w:rsidRPr="00351078">
        <w:rPr>
          <w:rFonts w:asciiTheme="minorBidi" w:hAnsiTheme="minorBidi"/>
          <w:sz w:val="20"/>
          <w:szCs w:val="20"/>
        </w:rPr>
        <w:t xml:space="preserve"> &amp; Gideon Sapir,</w:t>
      </w:r>
      <w:r w:rsidRPr="00351078">
        <w:rPr>
          <w:rFonts w:asciiTheme="minorBidi" w:hAnsiTheme="minorBidi"/>
          <w:i/>
          <w:iCs/>
          <w:sz w:val="20"/>
          <w:szCs w:val="20"/>
        </w:rPr>
        <w:t xml:space="preserve"> The Story of </w:t>
      </w:r>
      <w:proofErr w:type="gramStart"/>
      <w:r w:rsidRPr="00351078">
        <w:rPr>
          <w:rFonts w:asciiTheme="minorBidi" w:hAnsiTheme="minorBidi"/>
          <w:i/>
          <w:iCs/>
          <w:sz w:val="20"/>
          <w:szCs w:val="20"/>
        </w:rPr>
        <w:t>Shabbat</w:t>
      </w:r>
      <w:r w:rsidRPr="00351078">
        <w:rPr>
          <w:rFonts w:asciiTheme="minorBidi" w:hAnsiTheme="minorBidi"/>
          <w:sz w:val="20"/>
          <w:szCs w:val="20"/>
        </w:rPr>
        <w:t>,</w:t>
      </w:r>
      <w:r w:rsidR="00716398" w:rsidRPr="00351078">
        <w:rPr>
          <w:rFonts w:asciiTheme="minorBidi" w:hAnsiTheme="minorBidi"/>
          <w:sz w:val="20"/>
          <w:szCs w:val="20"/>
        </w:rPr>
        <w:t xml:space="preserve"> </w:t>
      </w:r>
      <w:r w:rsidRPr="00351078">
        <w:rPr>
          <w:rFonts w:asciiTheme="minorBidi" w:hAnsiTheme="minorBidi"/>
          <w:sz w:val="20"/>
          <w:szCs w:val="20"/>
        </w:rPr>
        <w:t xml:space="preserve"> 2022</w:t>
      </w:r>
      <w:proofErr w:type="gramEnd"/>
      <w:r w:rsidR="00351078" w:rsidRPr="00351078">
        <w:rPr>
          <w:rFonts w:asciiTheme="minorBidi" w:hAnsiTheme="minorBidi"/>
          <w:sz w:val="20"/>
          <w:szCs w:val="20"/>
        </w:rPr>
        <w:t xml:space="preserve">, </w:t>
      </w:r>
      <w:r w:rsidR="00351078" w:rsidRPr="00351078">
        <w:rPr>
          <w:rFonts w:asciiTheme="minorBidi" w:hAnsiTheme="minorBidi"/>
          <w:sz w:val="20"/>
          <w:szCs w:val="20"/>
        </w:rPr>
        <w:t>Miskal - Yedioth Ahronoth Books</w:t>
      </w:r>
    </w:p>
    <w:p w14:paraId="40295D95" w14:textId="7FED9FB4" w:rsidR="00D3689A" w:rsidRDefault="00FD16D9" w:rsidP="00C26396">
      <w:pPr>
        <w:spacing w:line="360" w:lineRule="auto"/>
        <w:jc w:val="both"/>
        <w:rPr>
          <w:rFonts w:ascii="FrankRuehl" w:hAnsi="FrankRuehl" w:cs="FrankRuehl"/>
          <w:sz w:val="28"/>
          <w:szCs w:val="28"/>
        </w:rPr>
      </w:pPr>
      <w:r>
        <w:rPr>
          <w:rFonts w:ascii="FrankRuehl" w:hAnsi="FrankRuehl" w:cs="FrankRuehl" w:hint="cs"/>
          <w:sz w:val="28"/>
          <w:szCs w:val="28"/>
          <w:rtl/>
        </w:rPr>
        <w:t>כשיצאו</w:t>
      </w:r>
      <w:r w:rsidR="00C26396">
        <w:rPr>
          <w:rFonts w:ascii="FrankRuehl" w:hAnsi="FrankRuehl" w:cs="FrankRuehl" w:hint="cs"/>
          <w:sz w:val="28"/>
          <w:szCs w:val="28"/>
          <w:rtl/>
        </w:rPr>
        <w:t xml:space="preserve"> ישראל ממצרים </w:t>
      </w:r>
      <w:r w:rsidR="00836120">
        <w:rPr>
          <w:rFonts w:ascii="FrankRuehl" w:hAnsi="FrankRuehl" w:cs="FrankRuehl" w:hint="cs"/>
          <w:sz w:val="28"/>
          <w:szCs w:val="28"/>
          <w:rtl/>
        </w:rPr>
        <w:t>נטל</w:t>
      </w:r>
      <w:r w:rsidR="00C26396">
        <w:rPr>
          <w:rFonts w:ascii="FrankRuehl" w:hAnsi="FrankRuehl" w:cs="FrankRuehl" w:hint="cs"/>
          <w:sz w:val="28"/>
          <w:szCs w:val="28"/>
          <w:rtl/>
        </w:rPr>
        <w:t xml:space="preserve"> הקדוש ברוך הוא </w:t>
      </w:r>
      <w:r w:rsidR="007706C4">
        <w:rPr>
          <w:rFonts w:ascii="FrankRuehl" w:hAnsi="FrankRuehl" w:cs="FrankRuehl" w:hint="cs"/>
          <w:sz w:val="28"/>
          <w:szCs w:val="28"/>
          <w:rtl/>
        </w:rPr>
        <w:t xml:space="preserve">מתנה גדולה </w:t>
      </w:r>
      <w:r w:rsidR="00C26396">
        <w:rPr>
          <w:rFonts w:ascii="FrankRuehl" w:hAnsi="FrankRuehl" w:cs="FrankRuehl" w:hint="cs"/>
          <w:sz w:val="28"/>
          <w:szCs w:val="28"/>
          <w:rtl/>
        </w:rPr>
        <w:t xml:space="preserve">מבית גנזיו ונתנה </w:t>
      </w:r>
      <w:r w:rsidR="00B6723B">
        <w:rPr>
          <w:rFonts w:ascii="FrankRuehl" w:hAnsi="FrankRuehl" w:cs="FrankRuehl" w:hint="cs"/>
          <w:sz w:val="28"/>
          <w:szCs w:val="28"/>
          <w:rtl/>
        </w:rPr>
        <w:t>להם</w:t>
      </w:r>
      <w:r w:rsidR="00C26396">
        <w:rPr>
          <w:rFonts w:ascii="FrankRuehl" w:hAnsi="FrankRuehl" w:cs="FrankRuehl" w:hint="cs"/>
          <w:sz w:val="28"/>
          <w:szCs w:val="28"/>
          <w:rtl/>
        </w:rPr>
        <w:t xml:space="preserve"> ושבת שמה.</w:t>
      </w:r>
      <w:r w:rsidR="00A462B7">
        <w:rPr>
          <w:rStyle w:val="ab"/>
          <w:rFonts w:ascii="FrankRuehl" w:hAnsi="FrankRuehl" w:cs="FrankRuehl"/>
          <w:sz w:val="28"/>
          <w:szCs w:val="28"/>
          <w:rtl/>
        </w:rPr>
        <w:footnoteReference w:id="1"/>
      </w:r>
      <w:r w:rsidR="00C26396">
        <w:rPr>
          <w:rFonts w:ascii="FrankRuehl" w:hAnsi="FrankRuehl" w:cs="FrankRuehl" w:hint="cs"/>
          <w:sz w:val="28"/>
          <w:szCs w:val="28"/>
          <w:rtl/>
        </w:rPr>
        <w:t xml:space="preserve"> בדורות האחרונים</w:t>
      </w:r>
      <w:r w:rsidR="00BB0DD1">
        <w:rPr>
          <w:rFonts w:ascii="FrankRuehl" w:hAnsi="FrankRuehl" w:cs="FrankRuehl" w:hint="cs"/>
          <w:sz w:val="28"/>
          <w:szCs w:val="28"/>
          <w:rtl/>
        </w:rPr>
        <w:t>,</w:t>
      </w:r>
      <w:r w:rsidR="00C26396">
        <w:rPr>
          <w:rFonts w:ascii="FrankRuehl" w:hAnsi="FrankRuehl" w:cs="FrankRuehl" w:hint="cs"/>
          <w:sz w:val="28"/>
          <w:szCs w:val="28"/>
          <w:rtl/>
        </w:rPr>
        <w:t xml:space="preserve"> </w:t>
      </w:r>
      <w:r>
        <w:rPr>
          <w:rFonts w:ascii="FrankRuehl" w:hAnsi="FrankRuehl" w:cs="FrankRuehl" w:hint="cs"/>
          <w:sz w:val="28"/>
          <w:szCs w:val="28"/>
          <w:rtl/>
        </w:rPr>
        <w:t>כששבו ישראל לארצם</w:t>
      </w:r>
      <w:r w:rsidR="00C26396">
        <w:rPr>
          <w:rFonts w:ascii="FrankRuehl" w:hAnsi="FrankRuehl" w:cs="FrankRuehl" w:hint="cs"/>
          <w:sz w:val="28"/>
          <w:szCs w:val="28"/>
          <w:rtl/>
        </w:rPr>
        <w:t xml:space="preserve"> </w:t>
      </w:r>
      <w:r w:rsidR="00BB0DD1">
        <w:rPr>
          <w:rFonts w:ascii="FrankRuehl" w:hAnsi="FrankRuehl" w:cs="FrankRuehl" w:hint="cs"/>
          <w:sz w:val="28"/>
          <w:szCs w:val="28"/>
          <w:rtl/>
        </w:rPr>
        <w:t>זכ</w:t>
      </w:r>
      <w:r>
        <w:rPr>
          <w:rFonts w:ascii="FrankRuehl" w:hAnsi="FrankRuehl" w:cs="FrankRuehl" w:hint="cs"/>
          <w:sz w:val="28"/>
          <w:szCs w:val="28"/>
          <w:rtl/>
        </w:rPr>
        <w:t>ו</w:t>
      </w:r>
      <w:r w:rsidR="00C26396">
        <w:rPr>
          <w:rFonts w:ascii="FrankRuehl" w:hAnsi="FrankRuehl" w:cs="FrankRuehl" w:hint="cs"/>
          <w:sz w:val="28"/>
          <w:szCs w:val="28"/>
          <w:rtl/>
        </w:rPr>
        <w:t xml:space="preserve"> </w:t>
      </w:r>
      <w:r w:rsidR="00BB0DD1">
        <w:rPr>
          <w:rFonts w:ascii="FrankRuehl" w:hAnsi="FrankRuehl" w:cs="FrankRuehl" w:hint="cs"/>
          <w:sz w:val="28"/>
          <w:szCs w:val="28"/>
          <w:rtl/>
        </w:rPr>
        <w:t>ל</w:t>
      </w:r>
      <w:r w:rsidR="00C26396">
        <w:rPr>
          <w:rFonts w:ascii="FrankRuehl" w:hAnsi="FrankRuehl" w:cs="FrankRuehl" w:hint="cs"/>
          <w:sz w:val="28"/>
          <w:szCs w:val="28"/>
          <w:rtl/>
        </w:rPr>
        <w:t>מתנה</w:t>
      </w:r>
      <w:r w:rsidR="00836120">
        <w:rPr>
          <w:rFonts w:ascii="FrankRuehl" w:hAnsi="FrankRuehl" w:cs="FrankRuehl" w:hint="cs"/>
          <w:sz w:val="28"/>
          <w:szCs w:val="28"/>
          <w:rtl/>
        </w:rPr>
        <w:t xml:space="preserve"> אחרת,</w:t>
      </w:r>
      <w:r w:rsidR="00C26396">
        <w:rPr>
          <w:rFonts w:ascii="FrankRuehl" w:hAnsi="FrankRuehl" w:cs="FrankRuehl" w:hint="cs"/>
          <w:sz w:val="28"/>
          <w:szCs w:val="28"/>
          <w:rtl/>
        </w:rPr>
        <w:t xml:space="preserve"> יקרת-ערך: מדינה יהודית בארץ ישראל היא מדינת ישראל. </w:t>
      </w:r>
      <w:r w:rsidR="004C4B4A">
        <w:rPr>
          <w:rFonts w:ascii="FrankRuehl" w:hAnsi="FrankRuehl" w:cs="FrankRuehl" w:hint="cs"/>
          <w:sz w:val="28"/>
          <w:szCs w:val="28"/>
          <w:rtl/>
        </w:rPr>
        <w:t xml:space="preserve">מתוך שהן חשובות </w:t>
      </w:r>
      <w:r w:rsidR="007706C4">
        <w:rPr>
          <w:rFonts w:ascii="FrankRuehl" w:hAnsi="FrankRuehl" w:cs="FrankRuehl" w:hint="cs"/>
          <w:sz w:val="28"/>
          <w:szCs w:val="28"/>
          <w:rtl/>
        </w:rPr>
        <w:t>ויקרות</w:t>
      </w:r>
      <w:r w:rsidR="0099226A">
        <w:rPr>
          <w:rFonts w:ascii="FrankRuehl" w:hAnsi="FrankRuehl" w:cs="FrankRuehl" w:hint="cs"/>
          <w:sz w:val="28"/>
          <w:szCs w:val="28"/>
          <w:rtl/>
        </w:rPr>
        <w:t>,</w:t>
      </w:r>
      <w:r w:rsidR="004C4B4A">
        <w:rPr>
          <w:rFonts w:ascii="FrankRuehl" w:hAnsi="FrankRuehl" w:cs="FrankRuehl" w:hint="cs"/>
          <w:sz w:val="28"/>
          <w:szCs w:val="28"/>
          <w:rtl/>
        </w:rPr>
        <w:t xml:space="preserve"> </w:t>
      </w:r>
      <w:r w:rsidR="001B5B0D">
        <w:rPr>
          <w:rFonts w:ascii="FrankRuehl" w:hAnsi="FrankRuehl" w:cs="FrankRuehl" w:hint="cs"/>
          <w:sz w:val="28"/>
          <w:szCs w:val="28"/>
          <w:rtl/>
        </w:rPr>
        <w:t xml:space="preserve">רבים בישראל הסבורים כי </w:t>
      </w:r>
      <w:r w:rsidR="004C4B4A">
        <w:rPr>
          <w:rFonts w:ascii="FrankRuehl" w:hAnsi="FrankRuehl" w:cs="FrankRuehl" w:hint="cs"/>
          <w:sz w:val="28"/>
          <w:szCs w:val="28"/>
          <w:rtl/>
        </w:rPr>
        <w:t>ראוי לה</w:t>
      </w:r>
      <w:r w:rsidR="0099226A">
        <w:rPr>
          <w:rFonts w:ascii="FrankRuehl" w:hAnsi="FrankRuehl" w:cs="FrankRuehl" w:hint="cs"/>
          <w:sz w:val="28"/>
          <w:szCs w:val="28"/>
          <w:rtl/>
        </w:rPr>
        <w:t>ן -</w:t>
      </w:r>
      <w:r w:rsidR="004C4B4A">
        <w:rPr>
          <w:rFonts w:ascii="FrankRuehl" w:hAnsi="FrankRuehl" w:cs="FrankRuehl" w:hint="cs"/>
          <w:sz w:val="28"/>
          <w:szCs w:val="28"/>
          <w:rtl/>
        </w:rPr>
        <w:t xml:space="preserve"> </w:t>
      </w:r>
      <w:r w:rsidR="0099226A">
        <w:rPr>
          <w:rFonts w:ascii="FrankRuehl" w:hAnsi="FrankRuehl" w:cs="FrankRuehl" w:hint="cs"/>
          <w:sz w:val="28"/>
          <w:szCs w:val="28"/>
          <w:rtl/>
        </w:rPr>
        <w:t>לשבת ולמדינת ישראל -</w:t>
      </w:r>
      <w:r w:rsidR="004C4B4A">
        <w:rPr>
          <w:rFonts w:ascii="FrankRuehl" w:hAnsi="FrankRuehl" w:cs="FrankRuehl" w:hint="cs"/>
          <w:sz w:val="28"/>
          <w:szCs w:val="28"/>
          <w:rtl/>
        </w:rPr>
        <w:t xml:space="preserve"> שתתקבל</w:t>
      </w:r>
      <w:r w:rsidR="0099226A">
        <w:rPr>
          <w:rFonts w:ascii="FrankRuehl" w:hAnsi="FrankRuehl" w:cs="FrankRuehl" w:hint="cs"/>
          <w:sz w:val="28"/>
          <w:szCs w:val="28"/>
          <w:rtl/>
        </w:rPr>
        <w:t>נה שתיהן</w:t>
      </w:r>
      <w:r>
        <w:rPr>
          <w:rFonts w:ascii="FrankRuehl" w:hAnsi="FrankRuehl" w:cs="FrankRuehl" w:hint="cs"/>
          <w:sz w:val="28"/>
          <w:szCs w:val="28"/>
          <w:rtl/>
        </w:rPr>
        <w:t xml:space="preserve"> </w:t>
      </w:r>
      <w:r w:rsidR="004C4B4A">
        <w:rPr>
          <w:rFonts w:ascii="FrankRuehl" w:hAnsi="FrankRuehl" w:cs="FrankRuehl" w:hint="cs"/>
          <w:sz w:val="28"/>
          <w:szCs w:val="28"/>
          <w:rtl/>
        </w:rPr>
        <w:t>בלב שלם ובידיים</w:t>
      </w:r>
      <w:r w:rsidR="007706C4">
        <w:rPr>
          <w:rFonts w:ascii="FrankRuehl" w:hAnsi="FrankRuehl" w:cs="FrankRuehl" w:hint="cs"/>
          <w:sz w:val="28"/>
          <w:szCs w:val="28"/>
          <w:rtl/>
        </w:rPr>
        <w:t xml:space="preserve"> </w:t>
      </w:r>
      <w:r w:rsidR="00B6723B">
        <w:rPr>
          <w:rFonts w:ascii="FrankRuehl" w:hAnsi="FrankRuehl" w:cs="FrankRuehl" w:hint="cs"/>
          <w:sz w:val="28"/>
          <w:szCs w:val="28"/>
          <w:rtl/>
        </w:rPr>
        <w:t>פתוחות</w:t>
      </w:r>
      <w:r w:rsidR="004C4B4A">
        <w:rPr>
          <w:rFonts w:ascii="FrankRuehl" w:hAnsi="FrankRuehl" w:cs="FrankRuehl" w:hint="cs"/>
          <w:sz w:val="28"/>
          <w:szCs w:val="28"/>
          <w:rtl/>
        </w:rPr>
        <w:t>, אך מה יהא עליהן</w:t>
      </w:r>
      <w:r w:rsidR="00BB0DD1">
        <w:rPr>
          <w:rFonts w:ascii="FrankRuehl" w:hAnsi="FrankRuehl" w:cs="FrankRuehl" w:hint="cs"/>
          <w:sz w:val="28"/>
          <w:szCs w:val="28"/>
          <w:rtl/>
        </w:rPr>
        <w:t>,</w:t>
      </w:r>
      <w:r w:rsidR="004C4B4A">
        <w:rPr>
          <w:rFonts w:ascii="FrankRuehl" w:hAnsi="FrankRuehl" w:cs="FrankRuehl" w:hint="cs"/>
          <w:sz w:val="28"/>
          <w:szCs w:val="28"/>
          <w:rtl/>
        </w:rPr>
        <w:t xml:space="preserve"> כאשר </w:t>
      </w:r>
      <w:r w:rsidR="0099226A">
        <w:rPr>
          <w:rFonts w:ascii="FrankRuehl" w:hAnsi="FrankRuehl" w:cs="FrankRuehl" w:hint="cs"/>
          <w:sz w:val="28"/>
          <w:szCs w:val="28"/>
          <w:rtl/>
        </w:rPr>
        <w:t>קבלתה המלאה של האחת</w:t>
      </w:r>
      <w:r w:rsidR="00BB0DD1">
        <w:rPr>
          <w:rFonts w:ascii="FrankRuehl" w:hAnsi="FrankRuehl" w:cs="FrankRuehl" w:hint="cs"/>
          <w:sz w:val="28"/>
          <w:szCs w:val="28"/>
          <w:rtl/>
        </w:rPr>
        <w:t xml:space="preserve"> מפריעה לאחוז גם ב</w:t>
      </w:r>
      <w:r w:rsidR="0099226A">
        <w:rPr>
          <w:rFonts w:ascii="FrankRuehl" w:hAnsi="FrankRuehl" w:cs="FrankRuehl" w:hint="cs"/>
          <w:sz w:val="28"/>
          <w:szCs w:val="28"/>
          <w:rtl/>
        </w:rPr>
        <w:t>אחרת</w:t>
      </w:r>
      <w:r w:rsidR="004C4B4A">
        <w:rPr>
          <w:rFonts w:ascii="FrankRuehl" w:hAnsi="FrankRuehl" w:cs="FrankRuehl" w:hint="cs"/>
          <w:sz w:val="28"/>
          <w:szCs w:val="28"/>
          <w:rtl/>
        </w:rPr>
        <w:t xml:space="preserve">? השאלה </w:t>
      </w:r>
      <w:r w:rsidR="007706C4">
        <w:rPr>
          <w:rFonts w:ascii="FrankRuehl" w:hAnsi="FrankRuehl" w:cs="FrankRuehl" w:hint="cs"/>
          <w:sz w:val="28"/>
          <w:szCs w:val="28"/>
          <w:rtl/>
        </w:rPr>
        <w:t>הטעונה</w:t>
      </w:r>
      <w:r w:rsidR="004C4B4A">
        <w:rPr>
          <w:rFonts w:ascii="FrankRuehl" w:hAnsi="FrankRuehl" w:cs="FrankRuehl" w:hint="cs"/>
          <w:sz w:val="28"/>
          <w:szCs w:val="28"/>
          <w:rtl/>
        </w:rPr>
        <w:t xml:space="preserve"> הזו, היא ליבו הפועם של הספר החשוב והמרתק שהעניקו לנו הרב דוד ארונובסקי ופרופ' גד</w:t>
      </w:r>
      <w:r w:rsidR="00D231F4">
        <w:rPr>
          <w:rFonts w:ascii="FrankRuehl" w:hAnsi="FrankRuehl" w:cs="FrankRuehl" w:hint="cs"/>
          <w:sz w:val="28"/>
          <w:szCs w:val="28"/>
          <w:rtl/>
        </w:rPr>
        <w:t>עון</w:t>
      </w:r>
      <w:r w:rsidR="004C4B4A">
        <w:rPr>
          <w:rFonts w:ascii="FrankRuehl" w:hAnsi="FrankRuehl" w:cs="FrankRuehl" w:hint="cs"/>
          <w:sz w:val="28"/>
          <w:szCs w:val="28"/>
          <w:rtl/>
        </w:rPr>
        <w:t xml:space="preserve"> ספיר</w:t>
      </w:r>
      <w:r w:rsidR="0090043D">
        <w:rPr>
          <w:rFonts w:ascii="FrankRuehl" w:hAnsi="FrankRuehl" w:cs="FrankRuehl" w:hint="cs"/>
          <w:sz w:val="28"/>
          <w:szCs w:val="28"/>
          <w:rtl/>
        </w:rPr>
        <w:t xml:space="preserve">. </w:t>
      </w:r>
    </w:p>
    <w:p w14:paraId="5F4AC078" w14:textId="5A14C775" w:rsidR="004C4B4A" w:rsidRDefault="0090043D" w:rsidP="00C26396">
      <w:pPr>
        <w:spacing w:line="360" w:lineRule="auto"/>
        <w:jc w:val="both"/>
        <w:rPr>
          <w:rFonts w:ascii="FrankRuehl" w:hAnsi="FrankRuehl" w:cs="FrankRuehl"/>
          <w:sz w:val="28"/>
          <w:szCs w:val="28"/>
          <w:rtl/>
        </w:rPr>
      </w:pPr>
      <w:r>
        <w:rPr>
          <w:rFonts w:ascii="FrankRuehl" w:hAnsi="FrankRuehl" w:cs="FrankRuehl" w:hint="cs"/>
          <w:sz w:val="28"/>
          <w:szCs w:val="28"/>
          <w:rtl/>
        </w:rPr>
        <w:t xml:space="preserve">רבות נכתב על המדינה היהודית בארץ ישראל, ולא פחות מכך </w:t>
      </w:r>
      <w:r w:rsidR="007706C4">
        <w:rPr>
          <w:rFonts w:ascii="FrankRuehl" w:hAnsi="FrankRuehl" w:cs="FrankRuehl" w:hint="cs"/>
          <w:sz w:val="28"/>
          <w:szCs w:val="28"/>
          <w:rtl/>
        </w:rPr>
        <w:t>נשתברו קולמוסים</w:t>
      </w:r>
      <w:r>
        <w:rPr>
          <w:rFonts w:ascii="FrankRuehl" w:hAnsi="FrankRuehl" w:cs="FrankRuehl" w:hint="cs"/>
          <w:sz w:val="28"/>
          <w:szCs w:val="28"/>
          <w:rtl/>
        </w:rPr>
        <w:t xml:space="preserve"> הרבה על השבת, אבל על המפגש שבין השבת היהודית ומדינת ישראל נכתב מעט, מעט מאד.</w:t>
      </w:r>
      <w:r w:rsidR="005D17F5">
        <w:rPr>
          <w:rStyle w:val="ab"/>
          <w:rFonts w:ascii="FrankRuehl" w:hAnsi="FrankRuehl" w:cs="FrankRuehl"/>
          <w:sz w:val="28"/>
          <w:szCs w:val="28"/>
          <w:rtl/>
        </w:rPr>
        <w:footnoteReference w:id="2"/>
      </w:r>
      <w:r>
        <w:rPr>
          <w:rFonts w:ascii="FrankRuehl" w:hAnsi="FrankRuehl" w:cs="FrankRuehl" w:hint="cs"/>
          <w:sz w:val="28"/>
          <w:szCs w:val="28"/>
          <w:rtl/>
        </w:rPr>
        <w:t xml:space="preserve"> הספר של </w:t>
      </w:r>
      <w:r w:rsidR="00D231F4">
        <w:rPr>
          <w:rFonts w:ascii="FrankRuehl" w:hAnsi="FrankRuehl" w:cs="FrankRuehl" w:hint="cs"/>
          <w:sz w:val="28"/>
          <w:szCs w:val="28"/>
          <w:rtl/>
        </w:rPr>
        <w:t>ארונובסקי וספיר</w:t>
      </w:r>
      <w:r>
        <w:rPr>
          <w:rFonts w:ascii="FrankRuehl" w:hAnsi="FrankRuehl" w:cs="FrankRuehl" w:hint="cs"/>
          <w:sz w:val="28"/>
          <w:szCs w:val="28"/>
          <w:rtl/>
        </w:rPr>
        <w:t xml:space="preserve"> מתחיל למלא את החלל, והוא עושה זאת באופן יסודי ומקיף, ברוחב ובעומק, בבהירות רבה ובסגנון קולח. הרישא של כותרת הספר: "הסיפור של השבת", מתארת היטב את חווית הקריאה בספר: אף שהוא עיוני ואקדמי, הוא נקרא כסיפור וכעלילת דברים. </w:t>
      </w:r>
    </w:p>
    <w:p w14:paraId="2C68AB82" w14:textId="13AEB12A" w:rsidR="00E138EF" w:rsidRDefault="0090043D" w:rsidP="001B5B0D">
      <w:pPr>
        <w:spacing w:line="360" w:lineRule="auto"/>
        <w:jc w:val="both"/>
        <w:rPr>
          <w:rFonts w:ascii="FrankRuehl" w:hAnsi="FrankRuehl" w:cs="FrankRuehl"/>
          <w:sz w:val="28"/>
          <w:szCs w:val="28"/>
          <w:rtl/>
        </w:rPr>
      </w:pPr>
      <w:r>
        <w:rPr>
          <w:rFonts w:ascii="FrankRuehl" w:hAnsi="FrankRuehl" w:cs="FrankRuehl" w:hint="cs"/>
          <w:sz w:val="28"/>
          <w:szCs w:val="28"/>
          <w:rtl/>
        </w:rPr>
        <w:t xml:space="preserve">כאמור, בלב הספר עומדת השאלה כיצד תתקיים השבת על ידי העם היהודי היושב במדינת ישראל. </w:t>
      </w:r>
      <w:r w:rsidR="00D20568">
        <w:rPr>
          <w:rFonts w:ascii="FrankRuehl" w:hAnsi="FrankRuehl" w:cs="FrankRuehl" w:hint="cs"/>
          <w:sz w:val="28"/>
          <w:szCs w:val="28"/>
          <w:rtl/>
        </w:rPr>
        <w:t>ביתר דיוק</w:t>
      </w:r>
      <w:r w:rsidR="001B5B0D">
        <w:rPr>
          <w:rFonts w:ascii="FrankRuehl" w:hAnsi="FrankRuehl" w:cs="FrankRuehl" w:hint="cs"/>
          <w:sz w:val="28"/>
          <w:szCs w:val="28"/>
          <w:rtl/>
        </w:rPr>
        <w:t xml:space="preserve"> - </w:t>
      </w:r>
      <w:r w:rsidR="00C10BC0">
        <w:rPr>
          <w:rFonts w:ascii="FrankRuehl" w:hAnsi="FrankRuehl" w:cs="FrankRuehl" w:hint="cs"/>
          <w:sz w:val="28"/>
          <w:szCs w:val="28"/>
          <w:rtl/>
        </w:rPr>
        <w:t>מהזווי</w:t>
      </w:r>
      <w:r w:rsidR="00C10BC0">
        <w:rPr>
          <w:rFonts w:ascii="FrankRuehl" w:hAnsi="FrankRuehl" w:cs="FrankRuehl" w:hint="eastAsia"/>
          <w:sz w:val="28"/>
          <w:szCs w:val="28"/>
          <w:rtl/>
        </w:rPr>
        <w:t>ת</w:t>
      </w:r>
      <w:r w:rsidR="001B5B0D">
        <w:rPr>
          <w:rFonts w:ascii="FrankRuehl" w:hAnsi="FrankRuehl" w:cs="FrankRuehl" w:hint="cs"/>
          <w:sz w:val="28"/>
          <w:szCs w:val="28"/>
          <w:rtl/>
        </w:rPr>
        <w:t xml:space="preserve"> הדתית </w:t>
      </w:r>
      <w:r w:rsidR="00D20568">
        <w:rPr>
          <w:rFonts w:ascii="FrankRuehl" w:hAnsi="FrankRuehl" w:cs="FrankRuehl" w:hint="cs"/>
          <w:sz w:val="28"/>
          <w:szCs w:val="28"/>
          <w:rtl/>
        </w:rPr>
        <w:t>ובניסוח בוטה</w:t>
      </w:r>
      <w:r w:rsidR="007706C4">
        <w:rPr>
          <w:rFonts w:ascii="FrankRuehl" w:hAnsi="FrankRuehl" w:cs="FrankRuehl" w:hint="cs"/>
          <w:sz w:val="28"/>
          <w:szCs w:val="28"/>
          <w:rtl/>
        </w:rPr>
        <w:t xml:space="preserve"> למדיי</w:t>
      </w:r>
      <w:r w:rsidR="001B5B0D">
        <w:rPr>
          <w:rFonts w:ascii="FrankRuehl" w:hAnsi="FrankRuehl" w:cs="FrankRuehl" w:hint="cs"/>
          <w:sz w:val="28"/>
          <w:szCs w:val="28"/>
          <w:rtl/>
        </w:rPr>
        <w:t xml:space="preserve"> - </w:t>
      </w:r>
      <w:r w:rsidR="00D20568">
        <w:rPr>
          <w:rFonts w:ascii="FrankRuehl" w:hAnsi="FrankRuehl" w:cs="FrankRuehl" w:hint="cs"/>
          <w:sz w:val="28"/>
          <w:szCs w:val="28"/>
          <w:rtl/>
        </w:rPr>
        <w:t xml:space="preserve">השאלה היא הפוכה: כיצד ניתן לחלל </w:t>
      </w:r>
      <w:r w:rsidR="0099226A">
        <w:rPr>
          <w:rFonts w:ascii="FrankRuehl" w:hAnsi="FrankRuehl" w:cs="FrankRuehl" w:hint="cs"/>
          <w:sz w:val="28"/>
          <w:szCs w:val="28"/>
          <w:rtl/>
        </w:rPr>
        <w:t xml:space="preserve">את השבת, </w:t>
      </w:r>
      <w:r w:rsidR="00D20568">
        <w:rPr>
          <w:rFonts w:ascii="FrankRuehl" w:hAnsi="FrankRuehl" w:cs="FrankRuehl" w:hint="cs"/>
          <w:sz w:val="28"/>
          <w:szCs w:val="28"/>
          <w:rtl/>
        </w:rPr>
        <w:t>בישראל</w:t>
      </w:r>
      <w:r w:rsidR="0099226A">
        <w:rPr>
          <w:rFonts w:ascii="FrankRuehl" w:hAnsi="FrankRuehl" w:cs="FrankRuehl" w:hint="cs"/>
          <w:sz w:val="28"/>
          <w:szCs w:val="28"/>
          <w:rtl/>
        </w:rPr>
        <w:t>,</w:t>
      </w:r>
      <w:r w:rsidR="00D20568">
        <w:rPr>
          <w:rFonts w:ascii="FrankRuehl" w:hAnsi="FrankRuehl" w:cs="FrankRuehl" w:hint="cs"/>
          <w:sz w:val="28"/>
          <w:szCs w:val="28"/>
          <w:rtl/>
        </w:rPr>
        <w:t xml:space="preserve"> כהלכה. לשאלה זו שני </w:t>
      </w:r>
      <w:r w:rsidR="00E138EF">
        <w:rPr>
          <w:rFonts w:ascii="FrankRuehl" w:hAnsi="FrankRuehl" w:cs="FrankRuehl" w:hint="cs"/>
          <w:sz w:val="28"/>
          <w:szCs w:val="28"/>
          <w:rtl/>
        </w:rPr>
        <w:t>פנים</w:t>
      </w:r>
      <w:r w:rsidR="00D20568">
        <w:rPr>
          <w:rFonts w:ascii="FrankRuehl" w:hAnsi="FrankRuehl" w:cs="FrankRuehl" w:hint="cs"/>
          <w:sz w:val="28"/>
          <w:szCs w:val="28"/>
          <w:rtl/>
        </w:rPr>
        <w:t>: ה</w:t>
      </w:r>
      <w:r w:rsidR="00E138EF">
        <w:rPr>
          <w:rFonts w:ascii="FrankRuehl" w:hAnsi="FrankRuehl" w:cs="FrankRuehl" w:hint="cs"/>
          <w:sz w:val="28"/>
          <w:szCs w:val="28"/>
          <w:rtl/>
        </w:rPr>
        <w:t>פן</w:t>
      </w:r>
      <w:r w:rsidR="00D20568">
        <w:rPr>
          <w:rFonts w:ascii="FrankRuehl" w:hAnsi="FrankRuehl" w:cs="FrankRuehl" w:hint="cs"/>
          <w:sz w:val="28"/>
          <w:szCs w:val="28"/>
          <w:rtl/>
        </w:rPr>
        <w:t xml:space="preserve"> האחד נוגע להתנהלותם </w:t>
      </w:r>
      <w:proofErr w:type="spellStart"/>
      <w:r w:rsidR="00D20568">
        <w:rPr>
          <w:rFonts w:ascii="FrankRuehl" w:hAnsi="FrankRuehl" w:cs="FrankRuehl" w:hint="cs"/>
          <w:sz w:val="28"/>
          <w:szCs w:val="28"/>
          <w:rtl/>
        </w:rPr>
        <w:t>השבתית</w:t>
      </w:r>
      <w:proofErr w:type="spellEnd"/>
      <w:r w:rsidR="00D20568">
        <w:rPr>
          <w:rFonts w:ascii="FrankRuehl" w:hAnsi="FrankRuehl" w:cs="FrankRuehl" w:hint="cs"/>
          <w:sz w:val="28"/>
          <w:szCs w:val="28"/>
          <w:rtl/>
        </w:rPr>
        <w:t xml:space="preserve"> של זרועות המדינה ושל גופים ציבוריים שונים. התנהלותם השוטפת של הצבא, המשטרה או חברת החשמל </w:t>
      </w:r>
      <w:r w:rsidR="001B5B0D">
        <w:rPr>
          <w:rFonts w:ascii="FrankRuehl" w:hAnsi="FrankRuehl" w:cs="FrankRuehl" w:hint="cs"/>
          <w:sz w:val="28"/>
          <w:szCs w:val="28"/>
          <w:rtl/>
        </w:rPr>
        <w:t>שעשויה לדרוש</w:t>
      </w:r>
      <w:r w:rsidR="00D20568">
        <w:rPr>
          <w:rFonts w:ascii="FrankRuehl" w:hAnsi="FrankRuehl" w:cs="FrankRuehl" w:hint="cs"/>
          <w:sz w:val="28"/>
          <w:szCs w:val="28"/>
          <w:rtl/>
        </w:rPr>
        <w:t xml:space="preserve"> חילול שבת. השאלה היא</w:t>
      </w:r>
      <w:r w:rsidR="00780594">
        <w:rPr>
          <w:rFonts w:ascii="FrankRuehl" w:hAnsi="FrankRuehl" w:cs="FrankRuehl" w:hint="cs"/>
          <w:sz w:val="28"/>
          <w:szCs w:val="28"/>
          <w:rtl/>
        </w:rPr>
        <w:t>,</w:t>
      </w:r>
      <w:r w:rsidR="00D20568">
        <w:rPr>
          <w:rFonts w:ascii="FrankRuehl" w:hAnsi="FrankRuehl" w:cs="FrankRuehl" w:hint="cs"/>
          <w:sz w:val="28"/>
          <w:szCs w:val="28"/>
          <w:rtl/>
        </w:rPr>
        <w:t xml:space="preserve"> אפוא</w:t>
      </w:r>
      <w:r w:rsidR="00780594">
        <w:rPr>
          <w:rFonts w:ascii="FrankRuehl" w:hAnsi="FrankRuehl" w:cs="FrankRuehl" w:hint="cs"/>
          <w:sz w:val="28"/>
          <w:szCs w:val="28"/>
          <w:rtl/>
        </w:rPr>
        <w:t>,</w:t>
      </w:r>
      <w:r w:rsidR="00D20568">
        <w:rPr>
          <w:rFonts w:ascii="FrankRuehl" w:hAnsi="FrankRuehl" w:cs="FrankRuehl" w:hint="cs"/>
          <w:sz w:val="28"/>
          <w:szCs w:val="28"/>
          <w:rtl/>
        </w:rPr>
        <w:t xml:space="preserve"> האם ההלכה יכולה לאפשר זאת. ה</w:t>
      </w:r>
      <w:r w:rsidR="00E138EF">
        <w:rPr>
          <w:rFonts w:ascii="FrankRuehl" w:hAnsi="FrankRuehl" w:cs="FrankRuehl" w:hint="cs"/>
          <w:sz w:val="28"/>
          <w:szCs w:val="28"/>
          <w:rtl/>
        </w:rPr>
        <w:t>פן</w:t>
      </w:r>
      <w:r w:rsidR="00D20568">
        <w:rPr>
          <w:rFonts w:ascii="FrankRuehl" w:hAnsi="FrankRuehl" w:cs="FrankRuehl" w:hint="cs"/>
          <w:sz w:val="28"/>
          <w:szCs w:val="28"/>
          <w:rtl/>
        </w:rPr>
        <w:t xml:space="preserve"> האחר של השאלה הוא כיצד ניתן ל</w:t>
      </w:r>
      <w:r w:rsidR="00E138EF">
        <w:rPr>
          <w:rFonts w:ascii="FrankRuehl" w:hAnsi="FrankRuehl" w:cs="FrankRuehl" w:hint="cs"/>
          <w:sz w:val="28"/>
          <w:szCs w:val="28"/>
          <w:rtl/>
        </w:rPr>
        <w:t>הסדיר כדין</w:t>
      </w:r>
      <w:r w:rsidR="00D20568">
        <w:rPr>
          <w:rFonts w:ascii="FrankRuehl" w:hAnsi="FrankRuehl" w:cs="FrankRuehl" w:hint="cs"/>
          <w:sz w:val="28"/>
          <w:szCs w:val="28"/>
          <w:rtl/>
        </w:rPr>
        <w:t xml:space="preserve"> במדינ</w:t>
      </w:r>
      <w:r w:rsidR="00E138EF">
        <w:rPr>
          <w:rFonts w:ascii="FrankRuehl" w:hAnsi="FrankRuehl" w:cs="FrankRuehl" w:hint="cs"/>
          <w:sz w:val="28"/>
          <w:szCs w:val="28"/>
          <w:rtl/>
        </w:rPr>
        <w:t>ת היהודים</w:t>
      </w:r>
      <w:r w:rsidR="00D20568">
        <w:rPr>
          <w:rFonts w:ascii="FrankRuehl" w:hAnsi="FrankRuehl" w:cs="FrankRuehl" w:hint="cs"/>
          <w:sz w:val="28"/>
          <w:szCs w:val="28"/>
          <w:rtl/>
        </w:rPr>
        <w:t xml:space="preserve"> דו-קיום </w:t>
      </w:r>
      <w:r w:rsidR="00E138EF">
        <w:rPr>
          <w:rFonts w:ascii="FrankRuehl" w:hAnsi="FrankRuehl" w:cs="FrankRuehl" w:hint="cs"/>
          <w:sz w:val="28"/>
          <w:szCs w:val="28"/>
          <w:rtl/>
        </w:rPr>
        <w:t>בין שומרי השבת לבין זוכרי השבת</w:t>
      </w:r>
      <w:r w:rsidR="00780594">
        <w:rPr>
          <w:rFonts w:ascii="FrankRuehl" w:hAnsi="FrankRuehl" w:cs="FrankRuehl" w:hint="cs"/>
          <w:sz w:val="28"/>
          <w:szCs w:val="28"/>
          <w:rtl/>
        </w:rPr>
        <w:t>,</w:t>
      </w:r>
      <w:r w:rsidR="00E138EF">
        <w:rPr>
          <w:rFonts w:ascii="FrankRuehl" w:hAnsi="FrankRuehl" w:cs="FrankRuehl" w:hint="cs"/>
          <w:sz w:val="28"/>
          <w:szCs w:val="28"/>
          <w:rtl/>
        </w:rPr>
        <w:t xml:space="preserve"> שאינם שומריה. לשני הפנים צד שווה והוא המיקוד ב</w:t>
      </w:r>
      <w:r w:rsidR="00607A4F">
        <w:rPr>
          <w:rFonts w:ascii="FrankRuehl" w:hAnsi="FrankRuehl" w:cs="FrankRuehl" w:hint="cs"/>
          <w:sz w:val="28"/>
          <w:szCs w:val="28"/>
          <w:rtl/>
        </w:rPr>
        <w:t>סיפא של כותרת הספר: "השבת הציבורית בישראל".</w:t>
      </w:r>
      <w:r w:rsidR="00E138EF">
        <w:rPr>
          <w:rFonts w:ascii="FrankRuehl" w:hAnsi="FrankRuehl" w:cs="FrankRuehl" w:hint="cs"/>
          <w:sz w:val="28"/>
          <w:szCs w:val="28"/>
          <w:rtl/>
        </w:rPr>
        <w:t xml:space="preserve">  </w:t>
      </w:r>
    </w:p>
    <w:p w14:paraId="5DEBD017" w14:textId="464A2A29" w:rsidR="00E138EF" w:rsidRDefault="007C58BF" w:rsidP="007C58BF">
      <w:pPr>
        <w:spacing w:line="360" w:lineRule="auto"/>
        <w:jc w:val="both"/>
        <w:rPr>
          <w:rFonts w:ascii="FrankRuehl" w:hAnsi="FrankRuehl" w:cs="FrankRuehl"/>
          <w:sz w:val="28"/>
          <w:szCs w:val="28"/>
          <w:rtl/>
        </w:rPr>
      </w:pPr>
      <w:r>
        <w:rPr>
          <w:rFonts w:ascii="FrankRuehl" w:hAnsi="FrankRuehl" w:cs="FrankRuehl" w:hint="cs"/>
          <w:sz w:val="28"/>
          <w:szCs w:val="28"/>
          <w:rtl/>
        </w:rPr>
        <w:t xml:space="preserve">מהי </w:t>
      </w:r>
      <w:r w:rsidR="00780594">
        <w:rPr>
          <w:rFonts w:ascii="FrankRuehl" w:hAnsi="FrankRuehl" w:cs="FrankRuehl" w:hint="cs"/>
          <w:sz w:val="28"/>
          <w:szCs w:val="28"/>
          <w:rtl/>
        </w:rPr>
        <w:t>בעצם</w:t>
      </w:r>
      <w:r>
        <w:rPr>
          <w:rFonts w:ascii="FrankRuehl" w:hAnsi="FrankRuehl" w:cs="FrankRuehl" w:hint="cs"/>
          <w:sz w:val="28"/>
          <w:szCs w:val="28"/>
          <w:rtl/>
        </w:rPr>
        <w:t xml:space="preserve"> שבת ציבורית? ההלכה וההגות היהודית, על פניהן, מכירות את שבתו של היחיד. השבת היא יום ההתכנסות פנימה: "אל יצא איש ממקומו ביום השב</w:t>
      </w:r>
      <w:r w:rsidR="00E27FDB">
        <w:rPr>
          <w:rFonts w:ascii="FrankRuehl" w:hAnsi="FrankRuehl" w:cs="FrankRuehl" w:hint="cs"/>
          <w:sz w:val="28"/>
          <w:szCs w:val="28"/>
          <w:rtl/>
        </w:rPr>
        <w:t>יעי</w:t>
      </w:r>
      <w:r>
        <w:rPr>
          <w:rFonts w:ascii="FrankRuehl" w:hAnsi="FrankRuehl" w:cs="FrankRuehl" w:hint="cs"/>
          <w:sz w:val="28"/>
          <w:szCs w:val="28"/>
          <w:rtl/>
        </w:rPr>
        <w:t>"</w:t>
      </w:r>
      <w:r w:rsidR="00D231F4">
        <w:rPr>
          <w:rStyle w:val="ab"/>
          <w:rFonts w:ascii="FrankRuehl" w:hAnsi="FrankRuehl" w:cs="FrankRuehl"/>
          <w:sz w:val="28"/>
          <w:szCs w:val="28"/>
          <w:rtl/>
        </w:rPr>
        <w:footnoteReference w:id="3"/>
      </w:r>
      <w:r>
        <w:rPr>
          <w:rFonts w:ascii="FrankRuehl" w:hAnsi="FrankRuehl" w:cs="FrankRuehl" w:hint="cs"/>
          <w:sz w:val="28"/>
          <w:szCs w:val="28"/>
          <w:rtl/>
        </w:rPr>
        <w:t>, והוסיפו לדרוש חכמים: אל יוציא ממקומו.</w:t>
      </w:r>
      <w:r w:rsidR="00D231F4">
        <w:rPr>
          <w:rStyle w:val="ab"/>
          <w:rFonts w:ascii="FrankRuehl" w:hAnsi="FrankRuehl" w:cs="FrankRuehl"/>
          <w:sz w:val="28"/>
          <w:szCs w:val="28"/>
          <w:rtl/>
        </w:rPr>
        <w:footnoteReference w:id="4"/>
      </w:r>
      <w:r>
        <w:rPr>
          <w:rFonts w:ascii="FrankRuehl" w:hAnsi="FrankRuehl" w:cs="FrankRuehl" w:hint="cs"/>
          <w:sz w:val="28"/>
          <w:szCs w:val="28"/>
          <w:rtl/>
        </w:rPr>
        <w:t xml:space="preserve"> איסור ההוצאה בשבת</w:t>
      </w:r>
      <w:r w:rsidR="00780594">
        <w:rPr>
          <w:rFonts w:ascii="FrankRuehl" w:hAnsi="FrankRuehl" w:cs="FrankRuehl" w:hint="cs"/>
          <w:sz w:val="28"/>
          <w:szCs w:val="28"/>
          <w:rtl/>
        </w:rPr>
        <w:t>,</w:t>
      </w:r>
      <w:r>
        <w:rPr>
          <w:rFonts w:ascii="FrankRuehl" w:hAnsi="FrankRuehl" w:cs="FrankRuehl" w:hint="cs"/>
          <w:sz w:val="28"/>
          <w:szCs w:val="28"/>
          <w:rtl/>
        </w:rPr>
        <w:t xml:space="preserve"> מרשות היחיד לרשות הרבים</w:t>
      </w:r>
      <w:r w:rsidR="00780594">
        <w:rPr>
          <w:rFonts w:ascii="FrankRuehl" w:hAnsi="FrankRuehl" w:cs="FrankRuehl" w:hint="cs"/>
          <w:sz w:val="28"/>
          <w:szCs w:val="28"/>
          <w:rtl/>
        </w:rPr>
        <w:t>,</w:t>
      </w:r>
      <w:r>
        <w:rPr>
          <w:rFonts w:ascii="FrankRuehl" w:hAnsi="FrankRuehl" w:cs="FrankRuehl" w:hint="cs"/>
          <w:sz w:val="28"/>
          <w:szCs w:val="28"/>
          <w:rtl/>
        </w:rPr>
        <w:t xml:space="preserve"> משקף באופן סימבולי את החייץ שבין שבתו של היחיד לבין רחובה של עיר. ובכל זאת, </w:t>
      </w:r>
      <w:r w:rsidR="005A099B">
        <w:rPr>
          <w:rFonts w:ascii="FrankRuehl" w:hAnsi="FrankRuehl" w:cs="FrankRuehl" w:hint="cs"/>
          <w:sz w:val="28"/>
          <w:szCs w:val="28"/>
          <w:rtl/>
        </w:rPr>
        <w:t>"</w:t>
      </w:r>
      <w:r>
        <w:rPr>
          <w:rFonts w:ascii="FrankRuehl" w:hAnsi="FrankRuehl" w:cs="FrankRuehl" w:hint="cs"/>
          <w:sz w:val="28"/>
          <w:szCs w:val="28"/>
          <w:rtl/>
        </w:rPr>
        <w:t>הסיפור של שבת</w:t>
      </w:r>
      <w:r w:rsidR="005A099B">
        <w:rPr>
          <w:rFonts w:ascii="FrankRuehl" w:hAnsi="FrankRuehl" w:cs="FrankRuehl" w:hint="cs"/>
          <w:sz w:val="28"/>
          <w:szCs w:val="28"/>
          <w:rtl/>
        </w:rPr>
        <w:t>" מבליט את ש</w:t>
      </w:r>
      <w:r w:rsidR="00780594">
        <w:rPr>
          <w:rFonts w:ascii="FrankRuehl" w:hAnsi="FrankRuehl" w:cs="FrankRuehl" w:hint="cs"/>
          <w:sz w:val="28"/>
          <w:szCs w:val="28"/>
          <w:rtl/>
        </w:rPr>
        <w:t>ַ</w:t>
      </w:r>
      <w:r w:rsidR="005A099B">
        <w:rPr>
          <w:rFonts w:ascii="FrankRuehl" w:hAnsi="FrankRuehl" w:cs="FrankRuehl" w:hint="cs"/>
          <w:sz w:val="28"/>
          <w:szCs w:val="28"/>
          <w:rtl/>
        </w:rPr>
        <w:t>ב</w:t>
      </w:r>
      <w:r w:rsidR="00780594">
        <w:rPr>
          <w:rFonts w:ascii="FrankRuehl" w:hAnsi="FrankRuehl" w:cs="FrankRuehl" w:hint="cs"/>
          <w:sz w:val="28"/>
          <w:szCs w:val="28"/>
          <w:rtl/>
        </w:rPr>
        <w:t>ָּ</w:t>
      </w:r>
      <w:r w:rsidR="005A099B">
        <w:rPr>
          <w:rFonts w:ascii="FrankRuehl" w:hAnsi="FrankRuehl" w:cs="FrankRuehl" w:hint="cs"/>
          <w:sz w:val="28"/>
          <w:szCs w:val="28"/>
          <w:rtl/>
        </w:rPr>
        <w:t>ת</w:t>
      </w:r>
      <w:r w:rsidR="00780594">
        <w:rPr>
          <w:rFonts w:ascii="FrankRuehl" w:hAnsi="FrankRuehl" w:cs="FrankRuehl" w:hint="cs"/>
          <w:sz w:val="28"/>
          <w:szCs w:val="28"/>
          <w:rtl/>
        </w:rPr>
        <w:t>ָ</w:t>
      </w:r>
      <w:r w:rsidR="005A099B">
        <w:rPr>
          <w:rFonts w:ascii="FrankRuehl" w:hAnsi="FrankRuehl" w:cs="FrankRuehl" w:hint="cs"/>
          <w:sz w:val="28"/>
          <w:szCs w:val="28"/>
          <w:rtl/>
        </w:rPr>
        <w:t xml:space="preserve">ה של האומה </w:t>
      </w:r>
      <w:r w:rsidR="005A099B">
        <w:rPr>
          <w:rFonts w:ascii="FrankRuehl" w:hAnsi="FrankRuehl" w:cs="FrankRuehl"/>
          <w:sz w:val="28"/>
          <w:szCs w:val="28"/>
          <w:rtl/>
        </w:rPr>
        <w:t>–</w:t>
      </w:r>
      <w:r w:rsidR="005A099B">
        <w:rPr>
          <w:rFonts w:ascii="FrankRuehl" w:hAnsi="FrankRuehl" w:cs="FrankRuehl" w:hint="cs"/>
          <w:sz w:val="28"/>
          <w:szCs w:val="28"/>
          <w:rtl/>
        </w:rPr>
        <w:t xml:space="preserve"> הן מצד הנרטיב והן מצד </w:t>
      </w:r>
      <w:proofErr w:type="spellStart"/>
      <w:r w:rsidR="005A099B">
        <w:rPr>
          <w:rFonts w:ascii="FrankRuehl" w:hAnsi="FrankRuehl" w:cs="FrankRuehl" w:hint="cs"/>
          <w:sz w:val="28"/>
          <w:szCs w:val="28"/>
          <w:rtl/>
        </w:rPr>
        <w:t>הנומוס</w:t>
      </w:r>
      <w:proofErr w:type="spellEnd"/>
      <w:r w:rsidR="005A099B">
        <w:rPr>
          <w:rFonts w:ascii="FrankRuehl" w:hAnsi="FrankRuehl" w:cs="FrankRuehl" w:hint="cs"/>
          <w:sz w:val="28"/>
          <w:szCs w:val="28"/>
          <w:rtl/>
        </w:rPr>
        <w:t>.</w:t>
      </w:r>
    </w:p>
    <w:p w14:paraId="260E27A6" w14:textId="77777777" w:rsidR="00B6723B" w:rsidRDefault="005A099B" w:rsidP="00A87B73">
      <w:pPr>
        <w:spacing w:line="360" w:lineRule="auto"/>
        <w:jc w:val="both"/>
        <w:rPr>
          <w:rFonts w:ascii="FrankRuehl" w:hAnsi="FrankRuehl" w:cs="FrankRuehl"/>
          <w:sz w:val="28"/>
          <w:szCs w:val="28"/>
          <w:rtl/>
        </w:rPr>
      </w:pPr>
      <w:r>
        <w:rPr>
          <w:rFonts w:ascii="FrankRuehl" w:hAnsi="FrankRuehl" w:cs="FrankRuehl" w:hint="cs"/>
          <w:sz w:val="28"/>
          <w:szCs w:val="28"/>
          <w:rtl/>
        </w:rPr>
        <w:lastRenderedPageBreak/>
        <w:t>הפרקים הראשונים של הספר עוסקים בנרטיב</w:t>
      </w:r>
      <w:r w:rsidR="00CC2509">
        <w:rPr>
          <w:rFonts w:ascii="FrankRuehl" w:hAnsi="FrankRuehl" w:cs="FrankRuehl" w:hint="cs"/>
          <w:sz w:val="28"/>
          <w:szCs w:val="28"/>
          <w:rtl/>
        </w:rPr>
        <w:t>. הם פורסים בפנינו, מן המקרא ועד להגות בת-זמננו, את הרעיונות הגלומים בשבת</w:t>
      </w:r>
      <w:r w:rsidR="00780594">
        <w:rPr>
          <w:rFonts w:ascii="FrankRuehl" w:hAnsi="FrankRuehl" w:cs="FrankRuehl" w:hint="cs"/>
          <w:sz w:val="28"/>
          <w:szCs w:val="28"/>
          <w:rtl/>
        </w:rPr>
        <w:t>,</w:t>
      </w:r>
      <w:r w:rsidR="00CC2509">
        <w:rPr>
          <w:rFonts w:ascii="FrankRuehl" w:hAnsi="FrankRuehl" w:cs="FrankRuehl" w:hint="cs"/>
          <w:sz w:val="28"/>
          <w:szCs w:val="28"/>
          <w:rtl/>
        </w:rPr>
        <w:t xml:space="preserve"> ואת הערכים אותם מבקש היום השביעי להנחיל לנו. מ</w:t>
      </w:r>
      <w:r w:rsidR="0099226A">
        <w:rPr>
          <w:rFonts w:ascii="FrankRuehl" w:hAnsi="FrankRuehl" w:cs="FrankRuehl" w:hint="cs"/>
          <w:sz w:val="28"/>
          <w:szCs w:val="28"/>
          <w:rtl/>
        </w:rPr>
        <w:t>ֵ</w:t>
      </w:r>
      <w:r w:rsidR="00CC2509">
        <w:rPr>
          <w:rFonts w:ascii="FrankRuehl" w:hAnsi="FrankRuehl" w:cs="FrankRuehl" w:hint="cs"/>
          <w:sz w:val="28"/>
          <w:szCs w:val="28"/>
          <w:rtl/>
        </w:rPr>
        <w:t>הם בין אדם למקום ובין אדם לחברו, ומ</w:t>
      </w:r>
      <w:r w:rsidR="0099226A">
        <w:rPr>
          <w:rFonts w:ascii="FrankRuehl" w:hAnsi="FrankRuehl" w:cs="FrankRuehl" w:hint="cs"/>
          <w:sz w:val="28"/>
          <w:szCs w:val="28"/>
          <w:rtl/>
        </w:rPr>
        <w:t>ֵ</w:t>
      </w:r>
      <w:r w:rsidR="00CC2509">
        <w:rPr>
          <w:rFonts w:ascii="FrankRuehl" w:hAnsi="FrankRuehl" w:cs="FrankRuehl" w:hint="cs"/>
          <w:sz w:val="28"/>
          <w:szCs w:val="28"/>
          <w:rtl/>
        </w:rPr>
        <w:t xml:space="preserve">הם בין אדם לעצמו ובין אדם לעמו. נתמקד באחרונים. </w:t>
      </w:r>
    </w:p>
    <w:p w14:paraId="09CDE2B6" w14:textId="52863F7B" w:rsidR="00546639" w:rsidRDefault="00CC2509" w:rsidP="00A87B73">
      <w:pPr>
        <w:spacing w:line="360" w:lineRule="auto"/>
        <w:jc w:val="both"/>
        <w:rPr>
          <w:rFonts w:ascii="FrankRuehl" w:hAnsi="FrankRuehl" w:cs="FrankRuehl"/>
          <w:sz w:val="28"/>
          <w:szCs w:val="28"/>
          <w:rtl/>
        </w:rPr>
      </w:pPr>
      <w:r>
        <w:rPr>
          <w:rFonts w:ascii="FrankRuehl" w:hAnsi="FrankRuehl" w:cs="FrankRuehl" w:hint="cs"/>
          <w:sz w:val="28"/>
          <w:szCs w:val="28"/>
          <w:rtl/>
        </w:rPr>
        <w:t>המקרא מצ</w:t>
      </w:r>
      <w:r w:rsidR="00144C10">
        <w:rPr>
          <w:rFonts w:ascii="FrankRuehl" w:hAnsi="FrankRuehl" w:cs="FrankRuehl" w:hint="cs"/>
          <w:sz w:val="28"/>
          <w:szCs w:val="28"/>
          <w:rtl/>
        </w:rPr>
        <w:t>ווה על בני ישראל לשמור את השבת "</w:t>
      </w:r>
      <w:proofErr w:type="spellStart"/>
      <w:r w:rsidR="00144C10">
        <w:rPr>
          <w:rFonts w:ascii="FrankRuehl" w:hAnsi="FrankRuehl" w:cs="FrankRuehl" w:hint="cs"/>
          <w:sz w:val="28"/>
          <w:szCs w:val="28"/>
          <w:rtl/>
        </w:rPr>
        <w:t>לדרתם</w:t>
      </w:r>
      <w:proofErr w:type="spellEnd"/>
      <w:r w:rsidR="00144C10">
        <w:rPr>
          <w:rFonts w:ascii="FrankRuehl" w:hAnsi="FrankRuehl" w:cs="FrankRuehl" w:hint="cs"/>
          <w:sz w:val="28"/>
          <w:szCs w:val="28"/>
          <w:rtl/>
        </w:rPr>
        <w:t xml:space="preserve"> ברית עולם".</w:t>
      </w:r>
      <w:r w:rsidR="00D231F4">
        <w:rPr>
          <w:rStyle w:val="ab"/>
          <w:rFonts w:ascii="FrankRuehl" w:hAnsi="FrankRuehl" w:cs="FrankRuehl"/>
          <w:sz w:val="28"/>
          <w:szCs w:val="28"/>
          <w:rtl/>
        </w:rPr>
        <w:footnoteReference w:id="5"/>
      </w:r>
      <w:r w:rsidR="00144C10">
        <w:rPr>
          <w:rFonts w:ascii="FrankRuehl" w:hAnsi="FrankRuehl" w:cs="FrankRuehl" w:hint="cs"/>
          <w:sz w:val="28"/>
          <w:szCs w:val="28"/>
          <w:rtl/>
        </w:rPr>
        <w:t xml:space="preserve"> </w:t>
      </w:r>
      <w:r w:rsidR="00606540">
        <w:rPr>
          <w:rFonts w:ascii="FrankRuehl" w:hAnsi="FrankRuehl" w:cs="FrankRuehl" w:hint="cs"/>
          <w:sz w:val="28"/>
          <w:szCs w:val="28"/>
          <w:rtl/>
        </w:rPr>
        <w:t>במקביל ובסמוך באה ש</w:t>
      </w:r>
      <w:r w:rsidR="00B6723B">
        <w:rPr>
          <w:rFonts w:ascii="FrankRuehl" w:hAnsi="FrankRuehl" w:cs="FrankRuehl" w:hint="cs"/>
          <w:sz w:val="28"/>
          <w:szCs w:val="28"/>
          <w:rtl/>
        </w:rPr>
        <w:t>ָ</w:t>
      </w:r>
      <w:r w:rsidR="00606540">
        <w:rPr>
          <w:rFonts w:ascii="FrankRuehl" w:hAnsi="FrankRuehl" w:cs="FrankRuehl" w:hint="cs"/>
          <w:sz w:val="28"/>
          <w:szCs w:val="28"/>
          <w:rtl/>
        </w:rPr>
        <w:t>ם ההכרזה שהשבת "אות היא לעלם"</w:t>
      </w:r>
      <w:r w:rsidR="00D231F4">
        <w:rPr>
          <w:rStyle w:val="ab"/>
          <w:rFonts w:ascii="FrankRuehl" w:hAnsi="FrankRuehl" w:cs="FrankRuehl"/>
          <w:sz w:val="28"/>
          <w:szCs w:val="28"/>
          <w:rtl/>
        </w:rPr>
        <w:footnoteReference w:id="6"/>
      </w:r>
      <w:r w:rsidR="00606540">
        <w:rPr>
          <w:rFonts w:ascii="FrankRuehl" w:hAnsi="FrankRuehl" w:cs="FrankRuehl" w:hint="cs"/>
          <w:sz w:val="28"/>
          <w:szCs w:val="28"/>
          <w:rtl/>
        </w:rPr>
        <w:t xml:space="preserve"> "</w:t>
      </w:r>
      <w:r w:rsidR="00606540" w:rsidRPr="00606540">
        <w:rPr>
          <w:rFonts w:ascii="FrankRuehl" w:hAnsi="FrankRuehl" w:cs="FrankRuehl"/>
          <w:sz w:val="28"/>
          <w:szCs w:val="28"/>
          <w:rtl/>
        </w:rPr>
        <w:t xml:space="preserve">כִּי </w:t>
      </w:r>
      <w:bookmarkStart w:id="0" w:name="_Hlk129254033"/>
      <w:r w:rsidR="00606540" w:rsidRPr="00606540">
        <w:rPr>
          <w:rFonts w:ascii="FrankRuehl" w:hAnsi="FrankRuehl" w:cs="FrankRuehl"/>
          <w:sz w:val="28"/>
          <w:szCs w:val="28"/>
          <w:rtl/>
        </w:rPr>
        <w:t xml:space="preserve">אוֹת הִוא בֵּינִי וּבֵינֵיכֶם </w:t>
      </w:r>
      <w:proofErr w:type="spellStart"/>
      <w:r w:rsidR="00606540" w:rsidRPr="00606540">
        <w:rPr>
          <w:rFonts w:ascii="FrankRuehl" w:hAnsi="FrankRuehl" w:cs="FrankRuehl"/>
          <w:sz w:val="28"/>
          <w:szCs w:val="28"/>
          <w:rtl/>
        </w:rPr>
        <w:t>לְדֹרֹתֵיכֶם</w:t>
      </w:r>
      <w:proofErr w:type="spellEnd"/>
      <w:r w:rsidR="00606540" w:rsidRPr="00606540">
        <w:rPr>
          <w:rFonts w:ascii="FrankRuehl" w:hAnsi="FrankRuehl" w:cs="FrankRuehl"/>
          <w:sz w:val="28"/>
          <w:szCs w:val="28"/>
          <w:rtl/>
        </w:rPr>
        <w:t xml:space="preserve"> לָדַעַת כִּי אֲנִי </w:t>
      </w:r>
      <w:r w:rsidR="00606540">
        <w:rPr>
          <w:rFonts w:ascii="FrankRuehl" w:hAnsi="FrankRuehl" w:cs="FrankRuehl" w:hint="cs"/>
          <w:sz w:val="28"/>
          <w:szCs w:val="28"/>
          <w:rtl/>
        </w:rPr>
        <w:t>ה'</w:t>
      </w:r>
      <w:r w:rsidR="00606540" w:rsidRPr="00606540">
        <w:rPr>
          <w:rFonts w:ascii="FrankRuehl" w:hAnsi="FrankRuehl" w:cs="FrankRuehl"/>
          <w:sz w:val="28"/>
          <w:szCs w:val="28"/>
          <w:rtl/>
        </w:rPr>
        <w:t xml:space="preserve"> מְקַדִּשְׁכֶם</w:t>
      </w:r>
      <w:bookmarkEnd w:id="0"/>
      <w:r w:rsidR="00606540">
        <w:rPr>
          <w:rFonts w:ascii="FrankRuehl" w:hAnsi="FrankRuehl" w:cs="FrankRuehl" w:hint="cs"/>
          <w:sz w:val="28"/>
          <w:szCs w:val="28"/>
          <w:rtl/>
        </w:rPr>
        <w:t>".</w:t>
      </w:r>
      <w:r w:rsidR="00D231F4">
        <w:rPr>
          <w:rStyle w:val="ab"/>
          <w:rFonts w:ascii="FrankRuehl" w:hAnsi="FrankRuehl" w:cs="FrankRuehl"/>
          <w:sz w:val="28"/>
          <w:szCs w:val="28"/>
          <w:rtl/>
        </w:rPr>
        <w:footnoteReference w:id="7"/>
      </w:r>
      <w:r w:rsidR="00606540">
        <w:rPr>
          <w:rFonts w:ascii="FrankRuehl" w:hAnsi="FrankRuehl" w:cs="FrankRuehl" w:hint="cs"/>
          <w:sz w:val="28"/>
          <w:szCs w:val="28"/>
          <w:rtl/>
        </w:rPr>
        <w:t xml:space="preserve"> בשבת מצהירה האומה על א-להים </w:t>
      </w:r>
      <w:r w:rsidR="00780594">
        <w:rPr>
          <w:rFonts w:ascii="FrankRuehl" w:hAnsi="FrankRuehl" w:cs="FrankRuehl" w:hint="cs"/>
          <w:sz w:val="28"/>
          <w:szCs w:val="28"/>
          <w:rtl/>
        </w:rPr>
        <w:t xml:space="preserve">שהוא </w:t>
      </w:r>
      <w:r w:rsidR="00606540">
        <w:rPr>
          <w:rFonts w:ascii="FrankRuehl" w:hAnsi="FrankRuehl" w:cs="FrankRuehl" w:hint="cs"/>
          <w:sz w:val="28"/>
          <w:szCs w:val="28"/>
          <w:rtl/>
        </w:rPr>
        <w:t xml:space="preserve">עושה מעשה בראשית, </w:t>
      </w:r>
      <w:r w:rsidR="00780594">
        <w:rPr>
          <w:rFonts w:ascii="FrankRuehl" w:hAnsi="FrankRuehl" w:cs="FrankRuehl" w:hint="cs"/>
          <w:sz w:val="28"/>
          <w:szCs w:val="28"/>
          <w:rtl/>
        </w:rPr>
        <w:t>ו</w:t>
      </w:r>
      <w:r w:rsidR="00606540">
        <w:rPr>
          <w:rFonts w:ascii="FrankRuehl" w:hAnsi="FrankRuehl" w:cs="FrankRuehl" w:hint="cs"/>
          <w:sz w:val="28"/>
          <w:szCs w:val="28"/>
          <w:rtl/>
        </w:rPr>
        <w:t>שבת ממלאכתו ביום השביעי</w:t>
      </w:r>
      <w:r w:rsidR="00780594">
        <w:rPr>
          <w:rFonts w:ascii="FrankRuehl" w:hAnsi="FrankRuehl" w:cs="FrankRuehl" w:hint="cs"/>
          <w:sz w:val="28"/>
          <w:szCs w:val="28"/>
          <w:rtl/>
        </w:rPr>
        <w:t>.</w:t>
      </w:r>
      <w:r w:rsidR="00606540">
        <w:rPr>
          <w:rFonts w:ascii="FrankRuehl" w:hAnsi="FrankRuehl" w:cs="FrankRuehl" w:hint="cs"/>
          <w:sz w:val="28"/>
          <w:szCs w:val="28"/>
          <w:rtl/>
        </w:rPr>
        <w:t xml:space="preserve"> </w:t>
      </w:r>
      <w:r w:rsidR="00780594">
        <w:rPr>
          <w:rFonts w:ascii="FrankRuehl" w:hAnsi="FrankRuehl" w:cs="FrankRuehl" w:hint="cs"/>
          <w:sz w:val="28"/>
          <w:szCs w:val="28"/>
          <w:rtl/>
        </w:rPr>
        <w:t xml:space="preserve">במקביל לכך, </w:t>
      </w:r>
      <w:r w:rsidR="00606540">
        <w:rPr>
          <w:rFonts w:ascii="FrankRuehl" w:hAnsi="FrankRuehl" w:cs="FrankRuehl" w:hint="cs"/>
          <w:sz w:val="28"/>
          <w:szCs w:val="28"/>
          <w:rtl/>
        </w:rPr>
        <w:t>הא-ל</w:t>
      </w:r>
      <w:r w:rsidR="00780594">
        <w:rPr>
          <w:rFonts w:ascii="FrankRuehl" w:hAnsi="FrankRuehl" w:cs="FrankRuehl" w:hint="cs"/>
          <w:sz w:val="28"/>
          <w:szCs w:val="28"/>
          <w:rtl/>
        </w:rPr>
        <w:t xml:space="preserve"> </w:t>
      </w:r>
      <w:r w:rsidR="00B6723B">
        <w:rPr>
          <w:rFonts w:ascii="FrankRuehl" w:hAnsi="FrankRuehl" w:cs="FrankRuehl" w:hint="cs"/>
          <w:sz w:val="28"/>
          <w:szCs w:val="28"/>
          <w:rtl/>
        </w:rPr>
        <w:t xml:space="preserve">מצידו </w:t>
      </w:r>
      <w:r w:rsidR="00780594">
        <w:rPr>
          <w:rFonts w:ascii="FrankRuehl" w:hAnsi="FrankRuehl" w:cs="FrankRuehl" w:hint="cs"/>
          <w:sz w:val="28"/>
          <w:szCs w:val="28"/>
          <w:rtl/>
        </w:rPr>
        <w:t xml:space="preserve">מכריז </w:t>
      </w:r>
      <w:r w:rsidR="00606540">
        <w:rPr>
          <w:rFonts w:ascii="FrankRuehl" w:hAnsi="FrankRuehl" w:cs="FrankRuehl" w:hint="cs"/>
          <w:sz w:val="28"/>
          <w:szCs w:val="28"/>
          <w:rtl/>
        </w:rPr>
        <w:t>על ישראל שהם עמו ובהם בחר מכל העמים</w:t>
      </w:r>
      <w:r w:rsidR="0099226A">
        <w:rPr>
          <w:rFonts w:ascii="FrankRuehl" w:hAnsi="FrankRuehl" w:cs="FrankRuehl" w:hint="cs"/>
          <w:sz w:val="28"/>
          <w:szCs w:val="28"/>
          <w:rtl/>
        </w:rPr>
        <w:t>,</w:t>
      </w:r>
      <w:r w:rsidR="00606540">
        <w:rPr>
          <w:rFonts w:ascii="FrankRuehl" w:hAnsi="FrankRuehl" w:cs="FrankRuehl" w:hint="cs"/>
          <w:sz w:val="28"/>
          <w:szCs w:val="28"/>
          <w:rtl/>
        </w:rPr>
        <w:t xml:space="preserve"> להידמות אליו ולשבות כמותו ביום השבת: "</w:t>
      </w:r>
      <w:r w:rsidR="00606540" w:rsidRPr="00606540">
        <w:rPr>
          <w:rFonts w:ascii="FrankRuehl" w:hAnsi="FrankRuehl" w:cs="FrankRuehl"/>
          <w:sz w:val="28"/>
          <w:szCs w:val="28"/>
          <w:rtl/>
        </w:rPr>
        <w:t>אוֹת הִוא בֵּינִי וּבֵינֵיכֶם</w:t>
      </w:r>
      <w:r w:rsidR="00606540">
        <w:rPr>
          <w:rFonts w:ascii="FrankRuehl" w:hAnsi="FrankRuehl" w:cs="FrankRuehl" w:hint="cs"/>
          <w:sz w:val="28"/>
          <w:szCs w:val="28"/>
          <w:rtl/>
        </w:rPr>
        <w:t>...</w:t>
      </w:r>
      <w:r w:rsidR="00606540" w:rsidRPr="00606540">
        <w:rPr>
          <w:rFonts w:ascii="FrankRuehl" w:hAnsi="FrankRuehl" w:cs="FrankRuehl"/>
          <w:sz w:val="28"/>
          <w:szCs w:val="28"/>
          <w:rtl/>
        </w:rPr>
        <w:t xml:space="preserve"> לָדַעַת כִּי אֲנִי </w:t>
      </w:r>
      <w:r w:rsidR="00606540">
        <w:rPr>
          <w:rFonts w:ascii="FrankRuehl" w:hAnsi="FrankRuehl" w:cs="FrankRuehl" w:hint="cs"/>
          <w:sz w:val="28"/>
          <w:szCs w:val="28"/>
          <w:rtl/>
        </w:rPr>
        <w:t>ה'</w:t>
      </w:r>
      <w:r w:rsidR="00606540" w:rsidRPr="00606540">
        <w:rPr>
          <w:rFonts w:ascii="FrankRuehl" w:hAnsi="FrankRuehl" w:cs="FrankRuehl"/>
          <w:sz w:val="28"/>
          <w:szCs w:val="28"/>
          <w:rtl/>
        </w:rPr>
        <w:t xml:space="preserve"> מְקַדִּשְׁכֶם</w:t>
      </w:r>
      <w:r w:rsidR="00606540">
        <w:rPr>
          <w:rFonts w:ascii="FrankRuehl" w:hAnsi="FrankRuehl" w:cs="FrankRuehl" w:hint="cs"/>
          <w:sz w:val="28"/>
          <w:szCs w:val="28"/>
          <w:rtl/>
        </w:rPr>
        <w:t>".</w:t>
      </w:r>
      <w:r w:rsidR="00D231F4">
        <w:rPr>
          <w:rStyle w:val="ab"/>
          <w:rFonts w:ascii="FrankRuehl" w:hAnsi="FrankRuehl" w:cs="FrankRuehl"/>
          <w:sz w:val="28"/>
          <w:szCs w:val="28"/>
          <w:rtl/>
        </w:rPr>
        <w:footnoteReference w:id="8"/>
      </w:r>
      <w:r w:rsidR="001B41EB">
        <w:rPr>
          <w:rFonts w:ascii="FrankRuehl" w:hAnsi="FrankRuehl" w:cs="FrankRuehl" w:hint="cs"/>
          <w:sz w:val="28"/>
          <w:szCs w:val="28"/>
          <w:rtl/>
        </w:rPr>
        <w:t xml:space="preserve"> בדרך זו פורצת השבת מן העולם </w:t>
      </w:r>
      <w:proofErr w:type="spellStart"/>
      <w:r w:rsidR="001B41EB">
        <w:rPr>
          <w:rFonts w:ascii="FrankRuehl" w:hAnsi="FrankRuehl" w:cs="FrankRuehl" w:hint="cs"/>
          <w:sz w:val="28"/>
          <w:szCs w:val="28"/>
          <w:rtl/>
        </w:rPr>
        <w:t>האמוני</w:t>
      </w:r>
      <w:proofErr w:type="spellEnd"/>
      <w:r w:rsidR="001B41EB">
        <w:rPr>
          <w:rFonts w:ascii="FrankRuehl" w:hAnsi="FrankRuehl" w:cs="FrankRuehl" w:hint="cs"/>
          <w:sz w:val="28"/>
          <w:szCs w:val="28"/>
          <w:rtl/>
        </w:rPr>
        <w:t xml:space="preserve"> הפנימי של היחיד אל המרחב הלאומי והבינלאומי, עולמן של הב</w:t>
      </w:r>
      <w:r w:rsidR="00780594">
        <w:rPr>
          <w:rFonts w:ascii="FrankRuehl" w:hAnsi="FrankRuehl" w:cs="FrankRuehl" w:hint="cs"/>
          <w:sz w:val="28"/>
          <w:szCs w:val="28"/>
          <w:rtl/>
        </w:rPr>
        <w:t>ְּ</w:t>
      </w:r>
      <w:r w:rsidR="001B41EB">
        <w:rPr>
          <w:rFonts w:ascii="FrankRuehl" w:hAnsi="FrankRuehl" w:cs="FrankRuehl" w:hint="cs"/>
          <w:sz w:val="28"/>
          <w:szCs w:val="28"/>
          <w:rtl/>
        </w:rPr>
        <w:t>ר</w:t>
      </w:r>
      <w:r w:rsidR="00780594">
        <w:rPr>
          <w:rFonts w:ascii="FrankRuehl" w:hAnsi="FrankRuehl" w:cs="FrankRuehl" w:hint="cs"/>
          <w:sz w:val="28"/>
          <w:szCs w:val="28"/>
          <w:rtl/>
        </w:rPr>
        <w:t>ִ</w:t>
      </w:r>
      <w:r w:rsidR="001B41EB">
        <w:rPr>
          <w:rFonts w:ascii="FrankRuehl" w:hAnsi="FrankRuehl" w:cs="FrankRuehl" w:hint="cs"/>
          <w:sz w:val="28"/>
          <w:szCs w:val="28"/>
          <w:rtl/>
        </w:rPr>
        <w:t>יתו</w:t>
      </w:r>
      <w:r w:rsidR="00780594">
        <w:rPr>
          <w:rFonts w:ascii="FrankRuehl" w:hAnsi="FrankRuehl" w:cs="FrankRuehl" w:hint="cs"/>
          <w:sz w:val="28"/>
          <w:szCs w:val="28"/>
          <w:rtl/>
        </w:rPr>
        <w:t>ֹ</w:t>
      </w:r>
      <w:r w:rsidR="001B41EB">
        <w:rPr>
          <w:rFonts w:ascii="FrankRuehl" w:hAnsi="FrankRuehl" w:cs="FrankRuehl" w:hint="cs"/>
          <w:sz w:val="28"/>
          <w:szCs w:val="28"/>
          <w:rtl/>
        </w:rPr>
        <w:t>ת.</w:t>
      </w:r>
      <w:r w:rsidR="00392CF6">
        <w:rPr>
          <w:rStyle w:val="ab"/>
          <w:rFonts w:ascii="FrankRuehl" w:hAnsi="FrankRuehl" w:cs="FrankRuehl"/>
          <w:sz w:val="28"/>
          <w:szCs w:val="28"/>
          <w:rtl/>
        </w:rPr>
        <w:footnoteReference w:id="9"/>
      </w:r>
      <w:r w:rsidR="001B41EB">
        <w:rPr>
          <w:rFonts w:ascii="FrankRuehl" w:hAnsi="FrankRuehl" w:cs="FrankRuehl" w:hint="cs"/>
          <w:sz w:val="28"/>
          <w:szCs w:val="28"/>
          <w:rtl/>
        </w:rPr>
        <w:t xml:space="preserve"> השבת היא ברית, משום שהיא </w:t>
      </w:r>
      <w:r w:rsidR="00C508E3">
        <w:rPr>
          <w:rFonts w:ascii="FrankRuehl" w:hAnsi="FrankRuehl" w:cs="FrankRuehl" w:hint="cs"/>
          <w:sz w:val="28"/>
          <w:szCs w:val="28"/>
          <w:rtl/>
        </w:rPr>
        <w:t>הכרזה דו-צדדית</w:t>
      </w:r>
      <w:r w:rsidR="00780594">
        <w:rPr>
          <w:rFonts w:ascii="FrankRuehl" w:hAnsi="FrankRuehl" w:cs="FrankRuehl" w:hint="cs"/>
          <w:sz w:val="28"/>
          <w:szCs w:val="28"/>
          <w:rtl/>
        </w:rPr>
        <w:t>,</w:t>
      </w:r>
      <w:r w:rsidR="00C508E3">
        <w:rPr>
          <w:rFonts w:ascii="FrankRuehl" w:hAnsi="FrankRuehl" w:cs="FrankRuehl" w:hint="cs"/>
          <w:sz w:val="28"/>
          <w:szCs w:val="28"/>
          <w:rtl/>
        </w:rPr>
        <w:t xml:space="preserve"> מצד העם על א-</w:t>
      </w:r>
      <w:proofErr w:type="spellStart"/>
      <w:r w:rsidR="00C508E3">
        <w:rPr>
          <w:rFonts w:ascii="FrankRuehl" w:hAnsi="FrankRuehl" w:cs="FrankRuehl" w:hint="cs"/>
          <w:sz w:val="28"/>
          <w:szCs w:val="28"/>
          <w:rtl/>
        </w:rPr>
        <w:t>להיו</w:t>
      </w:r>
      <w:proofErr w:type="spellEnd"/>
      <w:r w:rsidR="00780594">
        <w:rPr>
          <w:rFonts w:ascii="FrankRuehl" w:hAnsi="FrankRuehl" w:cs="FrankRuehl" w:hint="cs"/>
          <w:sz w:val="28"/>
          <w:szCs w:val="28"/>
          <w:rtl/>
        </w:rPr>
        <w:t>,</w:t>
      </w:r>
      <w:r w:rsidR="00C508E3">
        <w:rPr>
          <w:rFonts w:ascii="FrankRuehl" w:hAnsi="FrankRuehl" w:cs="FrankRuehl" w:hint="cs"/>
          <w:sz w:val="28"/>
          <w:szCs w:val="28"/>
          <w:rtl/>
        </w:rPr>
        <w:t xml:space="preserve"> ומצד הא-ל על עמו.</w:t>
      </w:r>
      <w:r w:rsidR="00D118E3">
        <w:rPr>
          <w:rFonts w:ascii="FrankRuehl" w:hAnsi="FrankRuehl" w:cs="FrankRuehl" w:hint="cs"/>
          <w:sz w:val="28"/>
          <w:szCs w:val="28"/>
          <w:rtl/>
        </w:rPr>
        <w:t xml:space="preserve"> </w:t>
      </w:r>
    </w:p>
    <w:p w14:paraId="029EE80F" w14:textId="2BCA892B" w:rsidR="00381939" w:rsidRDefault="00D118E3" w:rsidP="00546639">
      <w:pPr>
        <w:spacing w:line="360" w:lineRule="auto"/>
        <w:jc w:val="both"/>
        <w:rPr>
          <w:rFonts w:ascii="FrankRuehl" w:hAnsi="FrankRuehl" w:cs="FrankRuehl"/>
          <w:sz w:val="28"/>
          <w:szCs w:val="28"/>
          <w:rtl/>
        </w:rPr>
      </w:pPr>
      <w:r>
        <w:rPr>
          <w:rFonts w:ascii="FrankRuehl" w:hAnsi="FrankRuehl" w:cs="FrankRuehl" w:hint="cs"/>
          <w:sz w:val="28"/>
          <w:szCs w:val="28"/>
          <w:rtl/>
        </w:rPr>
        <w:t>תפיסת הברית במקרא ובמסורת היהודית, עד לדורות האחרונים, הייתה דתית, והא-ל היה הנמען המרכזי שלה. הציונות החילונית נשארה נאמנה לרעיון הברית</w:t>
      </w:r>
      <w:r w:rsidR="000E6AC4">
        <w:rPr>
          <w:rFonts w:ascii="FrankRuehl" w:hAnsi="FrankRuehl" w:cs="FrankRuehl" w:hint="cs"/>
          <w:sz w:val="28"/>
          <w:szCs w:val="28"/>
          <w:rtl/>
        </w:rPr>
        <w:t>, אלא שהיא המירה את נמעניה: הברית אינה בין א-להים וישראל, כי אם בין היחיד לבין האומה. כך בדבריו המוכרים של אחד העם: "</w:t>
      </w:r>
      <w:r w:rsidR="000E6AC4" w:rsidRPr="000E6AC4">
        <w:rPr>
          <w:rFonts w:ascii="FrankRuehl" w:hAnsi="FrankRuehl" w:cs="FrankRuehl"/>
          <w:sz w:val="28"/>
          <w:szCs w:val="28"/>
          <w:rtl/>
        </w:rPr>
        <w:t>אין צורך להיות ציוני או מדקדק במצוות בשביל להכיר את ערך השבת.</w:t>
      </w:r>
      <w:r w:rsidR="000E6AC4">
        <w:rPr>
          <w:rFonts w:ascii="FrankRuehl" w:hAnsi="FrankRuehl" w:cs="FrankRuehl" w:hint="cs"/>
          <w:sz w:val="28"/>
          <w:szCs w:val="28"/>
          <w:rtl/>
        </w:rPr>
        <w:t xml:space="preserve"> </w:t>
      </w:r>
      <w:r w:rsidR="000E6AC4" w:rsidRPr="000E6AC4">
        <w:rPr>
          <w:rFonts w:ascii="FrankRuehl" w:hAnsi="FrankRuehl" w:cs="FrankRuehl"/>
          <w:sz w:val="28"/>
          <w:szCs w:val="28"/>
          <w:rtl/>
        </w:rPr>
        <w:t>מי שמרגיש בל</w:t>
      </w:r>
      <w:r w:rsidR="000E6AC4">
        <w:rPr>
          <w:rFonts w:ascii="FrankRuehl" w:hAnsi="FrankRuehl" w:cs="FrankRuehl" w:hint="cs"/>
          <w:sz w:val="28"/>
          <w:szCs w:val="28"/>
          <w:rtl/>
        </w:rPr>
        <w:t>י</w:t>
      </w:r>
      <w:r w:rsidR="000E6AC4" w:rsidRPr="000E6AC4">
        <w:rPr>
          <w:rFonts w:ascii="FrankRuehl" w:hAnsi="FrankRuehl" w:cs="FrankRuehl"/>
          <w:sz w:val="28"/>
          <w:szCs w:val="28"/>
          <w:rtl/>
        </w:rPr>
        <w:t>בו קשר אמיתי עם חיי האומה בכל הדורות, הוא לא</w:t>
      </w:r>
      <w:r w:rsidR="000E6AC4">
        <w:rPr>
          <w:rFonts w:ascii="FrankRuehl" w:hAnsi="FrankRuehl" w:cs="FrankRuehl" w:hint="cs"/>
          <w:sz w:val="28"/>
          <w:szCs w:val="28"/>
          <w:rtl/>
        </w:rPr>
        <w:t xml:space="preserve">... </w:t>
      </w:r>
      <w:r w:rsidR="000E6AC4" w:rsidRPr="000E6AC4">
        <w:rPr>
          <w:rFonts w:ascii="FrankRuehl" w:hAnsi="FrankRuehl" w:cs="FrankRuehl" w:hint="cs"/>
          <w:sz w:val="28"/>
          <w:szCs w:val="28"/>
          <w:rtl/>
        </w:rPr>
        <w:t>יוכל</w:t>
      </w:r>
      <w:r w:rsidR="000E6AC4" w:rsidRPr="000E6AC4">
        <w:rPr>
          <w:rFonts w:ascii="FrankRuehl" w:hAnsi="FrankRuehl" w:cs="FrankRuehl"/>
          <w:sz w:val="28"/>
          <w:szCs w:val="28"/>
          <w:rtl/>
        </w:rPr>
        <w:t xml:space="preserve"> </w:t>
      </w:r>
      <w:r w:rsidR="000E6AC4" w:rsidRPr="000E6AC4">
        <w:rPr>
          <w:rFonts w:ascii="FrankRuehl" w:hAnsi="FrankRuehl" w:cs="FrankRuehl" w:hint="cs"/>
          <w:sz w:val="28"/>
          <w:szCs w:val="28"/>
          <w:rtl/>
        </w:rPr>
        <w:t>בשום</w:t>
      </w:r>
      <w:r w:rsidR="000E6AC4" w:rsidRPr="000E6AC4">
        <w:rPr>
          <w:rFonts w:ascii="FrankRuehl" w:hAnsi="FrankRuehl" w:cs="FrankRuehl"/>
          <w:sz w:val="28"/>
          <w:szCs w:val="28"/>
          <w:rtl/>
        </w:rPr>
        <w:t xml:space="preserve"> </w:t>
      </w:r>
      <w:r w:rsidR="000E6AC4" w:rsidRPr="000E6AC4">
        <w:rPr>
          <w:rFonts w:ascii="FrankRuehl" w:hAnsi="FrankRuehl" w:cs="FrankRuehl" w:hint="cs"/>
          <w:sz w:val="28"/>
          <w:szCs w:val="28"/>
          <w:rtl/>
        </w:rPr>
        <w:t>אופן</w:t>
      </w:r>
      <w:r w:rsidR="000E6AC4">
        <w:rPr>
          <w:rFonts w:ascii="FrankRuehl" w:hAnsi="FrankRuehl" w:cs="FrankRuehl" w:hint="cs"/>
          <w:sz w:val="28"/>
          <w:szCs w:val="28"/>
          <w:rtl/>
        </w:rPr>
        <w:t xml:space="preserve"> </w:t>
      </w:r>
      <w:r w:rsidR="000E6AC4" w:rsidRPr="000E6AC4">
        <w:rPr>
          <w:rFonts w:ascii="FrankRuehl" w:hAnsi="FrankRuehl" w:cs="FrankRuehl"/>
          <w:sz w:val="28"/>
          <w:szCs w:val="28"/>
          <w:rtl/>
        </w:rPr>
        <w:t>לצייר לו מציאות ע</w:t>
      </w:r>
      <w:r w:rsidR="004B0BF3">
        <w:rPr>
          <w:rFonts w:ascii="FrankRuehl" w:hAnsi="FrankRuehl" w:cs="FrankRuehl" w:hint="cs"/>
          <w:sz w:val="28"/>
          <w:szCs w:val="28"/>
          <w:rtl/>
        </w:rPr>
        <w:t>ַ</w:t>
      </w:r>
      <w:r w:rsidR="000E6AC4" w:rsidRPr="000E6AC4">
        <w:rPr>
          <w:rFonts w:ascii="FrankRuehl" w:hAnsi="FrankRuehl" w:cs="FrankRuehl"/>
          <w:sz w:val="28"/>
          <w:szCs w:val="28"/>
          <w:rtl/>
        </w:rPr>
        <w:t xml:space="preserve">ם ישראל בלי שבת </w:t>
      </w:r>
      <w:proofErr w:type="spellStart"/>
      <w:r w:rsidR="000E6AC4" w:rsidRPr="000E6AC4">
        <w:rPr>
          <w:rFonts w:ascii="FrankRuehl" w:hAnsi="FrankRuehl" w:cs="FrankRuehl"/>
          <w:sz w:val="28"/>
          <w:szCs w:val="28"/>
          <w:rtl/>
        </w:rPr>
        <w:t>מלכתא</w:t>
      </w:r>
      <w:proofErr w:type="spellEnd"/>
      <w:r w:rsidR="000E6AC4">
        <w:rPr>
          <w:rFonts w:ascii="FrankRuehl" w:hAnsi="FrankRuehl" w:cs="FrankRuehl" w:hint="cs"/>
          <w:sz w:val="28"/>
          <w:szCs w:val="28"/>
          <w:rtl/>
        </w:rPr>
        <w:t>".</w:t>
      </w:r>
      <w:r w:rsidR="00D231F4">
        <w:rPr>
          <w:rStyle w:val="ab"/>
          <w:rFonts w:ascii="FrankRuehl" w:hAnsi="FrankRuehl" w:cs="FrankRuehl"/>
          <w:sz w:val="28"/>
          <w:szCs w:val="28"/>
          <w:rtl/>
        </w:rPr>
        <w:footnoteReference w:id="10"/>
      </w:r>
      <w:r w:rsidR="006D13D6">
        <w:rPr>
          <w:rFonts w:ascii="FrankRuehl" w:hAnsi="FrankRuehl" w:cs="FrankRuehl" w:hint="cs"/>
          <w:sz w:val="28"/>
          <w:szCs w:val="28"/>
          <w:rtl/>
        </w:rPr>
        <w:t xml:space="preserve"> ובאופן אחר, בניסוחו של א"ד גורדון: ישנם "</w:t>
      </w:r>
      <w:r w:rsidR="006D13D6" w:rsidRPr="006D13D6">
        <w:rPr>
          <w:rFonts w:ascii="FrankRuehl" w:hAnsi="FrankRuehl" w:cs="FrankRuehl"/>
          <w:sz w:val="28"/>
          <w:szCs w:val="28"/>
          <w:rtl/>
        </w:rPr>
        <w:t>רגעים שבהם מרגישה</w:t>
      </w:r>
      <w:r w:rsidR="006D13D6">
        <w:rPr>
          <w:rFonts w:ascii="FrankRuehl" w:hAnsi="FrankRuehl" w:cs="FrankRuehl" w:hint="cs"/>
          <w:sz w:val="28"/>
          <w:szCs w:val="28"/>
          <w:rtl/>
        </w:rPr>
        <w:t xml:space="preserve"> </w:t>
      </w:r>
      <w:r w:rsidR="006D13D6" w:rsidRPr="006D13D6">
        <w:rPr>
          <w:rFonts w:ascii="FrankRuehl" w:hAnsi="FrankRuehl" w:cs="FrankRuehl"/>
          <w:sz w:val="28"/>
          <w:szCs w:val="28"/>
          <w:rtl/>
        </w:rPr>
        <w:t>האומה את עצמה כעין נפש קיבוצית אחת הקשורה בנפש העולם כולו</w:t>
      </w:r>
      <w:r w:rsidR="006D13D6">
        <w:rPr>
          <w:rFonts w:ascii="FrankRuehl" w:hAnsi="FrankRuehl" w:cs="FrankRuehl" w:hint="cs"/>
          <w:sz w:val="28"/>
          <w:szCs w:val="28"/>
          <w:rtl/>
        </w:rPr>
        <w:t xml:space="preserve">... [אלו הם] </w:t>
      </w:r>
      <w:r w:rsidR="006D13D6" w:rsidRPr="006D13D6">
        <w:rPr>
          <w:rFonts w:ascii="FrankRuehl" w:hAnsi="FrankRuehl" w:cs="FrankRuehl"/>
          <w:sz w:val="28"/>
          <w:szCs w:val="28"/>
          <w:rtl/>
        </w:rPr>
        <w:t>רגעים של עליית נשמה לאומית</w:t>
      </w:r>
      <w:r w:rsidR="006D13D6">
        <w:rPr>
          <w:rFonts w:ascii="FrankRuehl" w:hAnsi="FrankRuehl" w:cs="FrankRuehl" w:hint="cs"/>
          <w:sz w:val="28"/>
          <w:szCs w:val="28"/>
          <w:rtl/>
        </w:rPr>
        <w:t>".</w:t>
      </w:r>
      <w:r w:rsidR="00D231F4">
        <w:rPr>
          <w:rStyle w:val="ab"/>
          <w:rFonts w:ascii="FrankRuehl" w:hAnsi="FrankRuehl" w:cs="FrankRuehl"/>
          <w:sz w:val="28"/>
          <w:szCs w:val="28"/>
          <w:rtl/>
        </w:rPr>
        <w:footnoteReference w:id="11"/>
      </w:r>
      <w:r w:rsidR="006A1232">
        <w:rPr>
          <w:rFonts w:ascii="FrankRuehl" w:hAnsi="FrankRuehl" w:cs="FrankRuehl" w:hint="cs"/>
          <w:sz w:val="28"/>
          <w:szCs w:val="28"/>
          <w:rtl/>
        </w:rPr>
        <w:t xml:space="preserve"> </w:t>
      </w:r>
    </w:p>
    <w:p w14:paraId="2534FF5F" w14:textId="7DAC219A" w:rsidR="006A1232" w:rsidRDefault="006A1232" w:rsidP="00381939">
      <w:pPr>
        <w:spacing w:line="360" w:lineRule="auto"/>
        <w:jc w:val="both"/>
        <w:rPr>
          <w:rFonts w:ascii="FrankRuehl" w:hAnsi="FrankRuehl" w:cs="FrankRuehl"/>
          <w:sz w:val="28"/>
          <w:szCs w:val="28"/>
          <w:rtl/>
        </w:rPr>
      </w:pPr>
      <w:r>
        <w:rPr>
          <w:rFonts w:ascii="FrankRuehl" w:hAnsi="FrankRuehl" w:cs="FrankRuehl" w:hint="cs"/>
          <w:sz w:val="28"/>
          <w:szCs w:val="28"/>
          <w:rtl/>
        </w:rPr>
        <w:t xml:space="preserve">שמירת השבת כמחויבות לאומית </w:t>
      </w:r>
      <w:r w:rsidR="00381939">
        <w:rPr>
          <w:rFonts w:ascii="FrankRuehl" w:hAnsi="FrankRuehl" w:cs="FrankRuehl" w:hint="cs"/>
          <w:sz w:val="28"/>
          <w:szCs w:val="28"/>
          <w:rtl/>
        </w:rPr>
        <w:t xml:space="preserve">הניעה את מאיר דיזנגוף, ראש העיר תל-אביב, לקרוא ב - 1933 לתושבי העיר, שחלקם עלו זה עתה מגרמניה, להקפיד לשמור על "מנהגי העיר הזאת", כהגדרתו, ולא לחלל את השבת </w:t>
      </w:r>
      <w:proofErr w:type="spellStart"/>
      <w:r w:rsidR="00381939">
        <w:rPr>
          <w:rFonts w:ascii="FrankRuehl" w:hAnsi="FrankRuehl" w:cs="FrankRuehl" w:hint="cs"/>
          <w:sz w:val="28"/>
          <w:szCs w:val="28"/>
          <w:rtl/>
        </w:rPr>
        <w:t>בפרהסיא</w:t>
      </w:r>
      <w:proofErr w:type="spellEnd"/>
      <w:r w:rsidR="00381939">
        <w:rPr>
          <w:rFonts w:ascii="FrankRuehl" w:hAnsi="FrankRuehl" w:cs="FrankRuehl" w:hint="cs"/>
          <w:sz w:val="28"/>
          <w:szCs w:val="28"/>
          <w:rtl/>
        </w:rPr>
        <w:t>:</w:t>
      </w:r>
      <w:r>
        <w:rPr>
          <w:rFonts w:ascii="FrankRuehl" w:hAnsi="FrankRuehl" w:cs="FrankRuehl" w:hint="cs"/>
          <w:sz w:val="28"/>
          <w:szCs w:val="28"/>
          <w:rtl/>
        </w:rPr>
        <w:t xml:space="preserve"> </w:t>
      </w:r>
      <w:r w:rsidR="00381939">
        <w:rPr>
          <w:rFonts w:ascii="FrankRuehl" w:hAnsi="FrankRuehl" w:cs="FrankRuehl" w:hint="cs"/>
          <w:sz w:val="28"/>
          <w:szCs w:val="28"/>
          <w:rtl/>
        </w:rPr>
        <w:t>"</w:t>
      </w:r>
      <w:r w:rsidRPr="006A1232">
        <w:rPr>
          <w:rFonts w:ascii="FrankRuehl" w:hAnsi="FrankRuehl" w:cs="FrankRuehl"/>
          <w:sz w:val="28"/>
          <w:szCs w:val="28"/>
          <w:rtl/>
        </w:rPr>
        <w:t>ז</w:t>
      </w:r>
      <w:r w:rsidR="002F657E">
        <w:rPr>
          <w:rFonts w:ascii="FrankRuehl" w:hAnsi="FrankRuehl" w:cs="FrankRuehl" w:hint="cs"/>
          <w:sz w:val="28"/>
          <w:szCs w:val="28"/>
          <w:rtl/>
        </w:rPr>
        <w:t>ִ</w:t>
      </w:r>
      <w:r w:rsidRPr="006A1232">
        <w:rPr>
          <w:rFonts w:ascii="FrankRuehl" w:hAnsi="FrankRuehl" w:cs="FrankRuehl"/>
          <w:sz w:val="28"/>
          <w:szCs w:val="28"/>
          <w:rtl/>
        </w:rPr>
        <w:t>כרו, כי השבת היא אות הסולידריות הלאומית הנפלאה ביותר מדור</w:t>
      </w:r>
      <w:r w:rsidRPr="006A1232">
        <w:rPr>
          <w:rFonts w:ascii="FrankRuehl" w:hAnsi="FrankRuehl" w:cs="FrankRuehl" w:hint="cs"/>
          <w:sz w:val="28"/>
          <w:szCs w:val="28"/>
          <w:rtl/>
        </w:rPr>
        <w:t xml:space="preserve"> ודור</w:t>
      </w:r>
      <w:r w:rsidRPr="006A1232">
        <w:rPr>
          <w:rFonts w:ascii="FrankRuehl" w:hAnsi="FrankRuehl" w:cs="FrankRuehl"/>
          <w:sz w:val="28"/>
          <w:szCs w:val="28"/>
          <w:rtl/>
        </w:rPr>
        <w:t xml:space="preserve">, </w:t>
      </w:r>
      <w:r w:rsidRPr="006A1232">
        <w:rPr>
          <w:rFonts w:ascii="FrankRuehl" w:hAnsi="FrankRuehl" w:cs="FrankRuehl" w:hint="cs"/>
          <w:sz w:val="28"/>
          <w:szCs w:val="28"/>
          <w:rtl/>
        </w:rPr>
        <w:t>וכל</w:t>
      </w:r>
      <w:r w:rsidRPr="006A1232">
        <w:rPr>
          <w:rFonts w:ascii="FrankRuehl" w:hAnsi="FrankRuehl" w:cs="FrankRuehl"/>
          <w:sz w:val="28"/>
          <w:szCs w:val="28"/>
          <w:rtl/>
        </w:rPr>
        <w:t xml:space="preserve"> </w:t>
      </w:r>
      <w:r w:rsidRPr="006A1232">
        <w:rPr>
          <w:rFonts w:ascii="FrankRuehl" w:hAnsi="FrankRuehl" w:cs="FrankRuehl" w:hint="cs"/>
          <w:sz w:val="28"/>
          <w:szCs w:val="28"/>
          <w:rtl/>
        </w:rPr>
        <w:t>הפוגע</w:t>
      </w:r>
      <w:r w:rsidRPr="006A1232">
        <w:rPr>
          <w:rFonts w:ascii="FrankRuehl" w:hAnsi="FrankRuehl" w:cs="FrankRuehl"/>
          <w:sz w:val="28"/>
          <w:szCs w:val="28"/>
          <w:rtl/>
        </w:rPr>
        <w:t xml:space="preserve"> </w:t>
      </w:r>
      <w:r w:rsidRPr="006A1232">
        <w:rPr>
          <w:rFonts w:ascii="FrankRuehl" w:hAnsi="FrankRuehl" w:cs="FrankRuehl" w:hint="cs"/>
          <w:sz w:val="28"/>
          <w:szCs w:val="28"/>
          <w:rtl/>
        </w:rPr>
        <w:t>ב</w:t>
      </w:r>
      <w:r w:rsidRPr="006A1232">
        <w:rPr>
          <w:rFonts w:ascii="FrankRuehl" w:hAnsi="FrankRuehl" w:cs="FrankRuehl"/>
          <w:sz w:val="28"/>
          <w:szCs w:val="28"/>
          <w:rtl/>
        </w:rPr>
        <w:t>ה</w:t>
      </w:r>
      <w:r w:rsidR="004B0BF3">
        <w:rPr>
          <w:rFonts w:ascii="FrankRuehl" w:hAnsi="FrankRuehl" w:cs="FrankRuehl" w:hint="cs"/>
          <w:sz w:val="28"/>
          <w:szCs w:val="28"/>
          <w:rtl/>
        </w:rPr>
        <w:t xml:space="preserve"> -</w:t>
      </w:r>
      <w:r w:rsidRPr="006A1232">
        <w:rPr>
          <w:rFonts w:ascii="FrankRuehl" w:hAnsi="FrankRuehl" w:cs="FrankRuehl"/>
          <w:sz w:val="28"/>
          <w:szCs w:val="28"/>
          <w:rtl/>
        </w:rPr>
        <w:t xml:space="preserve"> באחדות ישראל הוא פוגע</w:t>
      </w:r>
      <w:r>
        <w:rPr>
          <w:rFonts w:ascii="FrankRuehl" w:hAnsi="FrankRuehl" w:cs="FrankRuehl" w:hint="cs"/>
          <w:sz w:val="28"/>
          <w:szCs w:val="28"/>
          <w:rtl/>
        </w:rPr>
        <w:t>".</w:t>
      </w:r>
      <w:r w:rsidRPr="006A1232">
        <w:rPr>
          <w:rFonts w:ascii="FrankRuehl" w:hAnsi="FrankRuehl" w:cs="FrankRuehl"/>
          <w:sz w:val="28"/>
          <w:szCs w:val="28"/>
          <w:rtl/>
        </w:rPr>
        <w:t xml:space="preserve"> </w:t>
      </w:r>
      <w:r w:rsidR="00546639">
        <w:rPr>
          <w:rFonts w:ascii="FrankRuehl" w:hAnsi="FrankRuehl" w:cs="FrankRuehl" w:hint="cs"/>
          <w:sz w:val="28"/>
          <w:szCs w:val="28"/>
          <w:rtl/>
        </w:rPr>
        <w:t xml:space="preserve">האות שביני וביניכם </w:t>
      </w:r>
      <w:r w:rsidR="00546639">
        <w:rPr>
          <w:rFonts w:ascii="FrankRuehl" w:hAnsi="FrankRuehl" w:cs="FrankRuehl"/>
          <w:sz w:val="28"/>
          <w:szCs w:val="28"/>
          <w:rtl/>
        </w:rPr>
        <w:t>–</w:t>
      </w:r>
      <w:r w:rsidR="00546639">
        <w:rPr>
          <w:rFonts w:ascii="FrankRuehl" w:hAnsi="FrankRuehl" w:cs="FrankRuehl" w:hint="cs"/>
          <w:sz w:val="28"/>
          <w:szCs w:val="28"/>
          <w:rtl/>
        </w:rPr>
        <w:t xml:space="preserve"> בין א-להים וישראל </w:t>
      </w:r>
      <w:r w:rsidR="00546639">
        <w:rPr>
          <w:rFonts w:ascii="FrankRuehl" w:hAnsi="FrankRuehl" w:cs="FrankRuehl"/>
          <w:sz w:val="28"/>
          <w:szCs w:val="28"/>
          <w:rtl/>
        </w:rPr>
        <w:t>–</w:t>
      </w:r>
      <w:r w:rsidR="00546639">
        <w:rPr>
          <w:rFonts w:ascii="FrankRuehl" w:hAnsi="FrankRuehl" w:cs="FrankRuehl" w:hint="cs"/>
          <w:sz w:val="28"/>
          <w:szCs w:val="28"/>
          <w:rtl/>
        </w:rPr>
        <w:t xml:space="preserve"> הוחלפה ב"אות הסולידריות הלאומית".</w:t>
      </w:r>
      <w:r w:rsidR="00E27FDB">
        <w:rPr>
          <w:rStyle w:val="ab"/>
          <w:rFonts w:ascii="FrankRuehl" w:hAnsi="FrankRuehl" w:cs="FrankRuehl"/>
          <w:sz w:val="28"/>
          <w:szCs w:val="28"/>
          <w:rtl/>
        </w:rPr>
        <w:footnoteReference w:id="12"/>
      </w:r>
    </w:p>
    <w:p w14:paraId="66B8ED0E" w14:textId="04E9948A" w:rsidR="00546639" w:rsidRDefault="00546639" w:rsidP="00381939">
      <w:pPr>
        <w:spacing w:line="360" w:lineRule="auto"/>
        <w:jc w:val="both"/>
        <w:rPr>
          <w:rFonts w:ascii="FrankRuehl" w:hAnsi="FrankRuehl" w:cs="FrankRuehl"/>
          <w:sz w:val="28"/>
          <w:szCs w:val="28"/>
          <w:rtl/>
        </w:rPr>
      </w:pPr>
      <w:r>
        <w:rPr>
          <w:rFonts w:ascii="FrankRuehl" w:hAnsi="FrankRuehl" w:cs="FrankRuehl" w:hint="cs"/>
          <w:sz w:val="28"/>
          <w:szCs w:val="28"/>
          <w:rtl/>
        </w:rPr>
        <w:t xml:space="preserve">השתכנענו אפוא בנרטיב הלאומי והציבורי של השבת. האם יש לכך ביטוי גם </w:t>
      </w:r>
      <w:proofErr w:type="spellStart"/>
      <w:r>
        <w:rPr>
          <w:rFonts w:ascii="FrankRuehl" w:hAnsi="FrankRuehl" w:cs="FrankRuehl" w:hint="cs"/>
          <w:sz w:val="28"/>
          <w:szCs w:val="28"/>
          <w:rtl/>
        </w:rPr>
        <w:t>בנומוס</w:t>
      </w:r>
      <w:proofErr w:type="spellEnd"/>
      <w:r>
        <w:rPr>
          <w:rFonts w:ascii="FrankRuehl" w:hAnsi="FrankRuehl" w:cs="FrankRuehl" w:hint="cs"/>
          <w:sz w:val="28"/>
          <w:szCs w:val="28"/>
          <w:rtl/>
        </w:rPr>
        <w:t xml:space="preserve"> ההלכתי</w:t>
      </w:r>
      <w:r w:rsidR="002630FF">
        <w:rPr>
          <w:rFonts w:ascii="FrankRuehl" w:hAnsi="FrankRuehl" w:cs="FrankRuehl" w:hint="cs"/>
          <w:sz w:val="28"/>
          <w:szCs w:val="28"/>
          <w:rtl/>
        </w:rPr>
        <w:t xml:space="preserve">? </w:t>
      </w:r>
      <w:r w:rsidR="00D604B5">
        <w:rPr>
          <w:rFonts w:ascii="FrankRuehl" w:hAnsi="FrankRuehl" w:cs="FrankRuehl" w:hint="cs"/>
          <w:sz w:val="28"/>
          <w:szCs w:val="28"/>
          <w:rtl/>
        </w:rPr>
        <w:t xml:space="preserve">הספר מלמד אותנו שאמנם כן, והקטגוריה ההלכתית של "מחלל שבת </w:t>
      </w:r>
      <w:proofErr w:type="spellStart"/>
      <w:r w:rsidR="00D604B5">
        <w:rPr>
          <w:rFonts w:ascii="FrankRuehl" w:hAnsi="FrankRuehl" w:cs="FrankRuehl" w:hint="cs"/>
          <w:sz w:val="28"/>
          <w:szCs w:val="28"/>
          <w:rtl/>
        </w:rPr>
        <w:t>בפרהסיא</w:t>
      </w:r>
      <w:proofErr w:type="spellEnd"/>
      <w:r w:rsidR="00D604B5">
        <w:rPr>
          <w:rFonts w:ascii="FrankRuehl" w:hAnsi="FrankRuehl" w:cs="FrankRuehl" w:hint="cs"/>
          <w:sz w:val="28"/>
          <w:szCs w:val="28"/>
          <w:rtl/>
        </w:rPr>
        <w:t>"</w:t>
      </w:r>
      <w:r w:rsidR="002F657E">
        <w:rPr>
          <w:rFonts w:ascii="FrankRuehl" w:hAnsi="FrankRuehl" w:cs="FrankRuehl" w:hint="cs"/>
          <w:sz w:val="28"/>
          <w:szCs w:val="28"/>
          <w:rtl/>
        </w:rPr>
        <w:t xml:space="preserve"> -</w:t>
      </w:r>
      <w:r w:rsidR="00D604B5">
        <w:rPr>
          <w:rFonts w:ascii="FrankRuehl" w:hAnsi="FrankRuehl" w:cs="FrankRuehl" w:hint="cs"/>
          <w:sz w:val="28"/>
          <w:szCs w:val="28"/>
          <w:rtl/>
        </w:rPr>
        <w:t xml:space="preserve"> תוכיח. </w:t>
      </w:r>
      <w:r w:rsidR="006F4E95">
        <w:rPr>
          <w:rFonts w:ascii="FrankRuehl" w:hAnsi="FrankRuehl" w:cs="FrankRuehl" w:hint="cs"/>
          <w:sz w:val="28"/>
          <w:szCs w:val="28"/>
          <w:rtl/>
        </w:rPr>
        <w:t>קטגוריה זו מופיעה כבר בספרות הת</w:t>
      </w:r>
      <w:r w:rsidR="002F657E">
        <w:rPr>
          <w:rFonts w:ascii="FrankRuehl" w:hAnsi="FrankRuehl" w:cs="FrankRuehl" w:hint="cs"/>
          <w:sz w:val="28"/>
          <w:szCs w:val="28"/>
          <w:rtl/>
        </w:rPr>
        <w:t>ַּ</w:t>
      </w:r>
      <w:r w:rsidR="006F4E95">
        <w:rPr>
          <w:rFonts w:ascii="FrankRuehl" w:hAnsi="FrankRuehl" w:cs="FrankRuehl" w:hint="cs"/>
          <w:sz w:val="28"/>
          <w:szCs w:val="28"/>
          <w:rtl/>
        </w:rPr>
        <w:t>נ</w:t>
      </w:r>
      <w:r w:rsidR="002F657E">
        <w:rPr>
          <w:rFonts w:ascii="FrankRuehl" w:hAnsi="FrankRuehl" w:cs="FrankRuehl" w:hint="cs"/>
          <w:sz w:val="28"/>
          <w:szCs w:val="28"/>
          <w:rtl/>
        </w:rPr>
        <w:t>ָּ</w:t>
      </w:r>
      <w:r w:rsidR="006F4E95">
        <w:rPr>
          <w:rFonts w:ascii="FrankRuehl" w:hAnsi="FrankRuehl" w:cs="FrankRuehl" w:hint="cs"/>
          <w:sz w:val="28"/>
          <w:szCs w:val="28"/>
          <w:rtl/>
        </w:rPr>
        <w:t xml:space="preserve">אים </w:t>
      </w:r>
      <w:r w:rsidR="006F4E95">
        <w:rPr>
          <w:rFonts w:ascii="FrankRuehl" w:hAnsi="FrankRuehl" w:cs="FrankRuehl" w:hint="cs"/>
          <w:sz w:val="28"/>
          <w:szCs w:val="28"/>
          <w:rtl/>
        </w:rPr>
        <w:lastRenderedPageBreak/>
        <w:t xml:space="preserve">והיא מגדירה דפוס חמור במיוחד של עבריינות. כך, למשל, נקבע שמחלל שבת </w:t>
      </w:r>
      <w:proofErr w:type="spellStart"/>
      <w:r w:rsidR="006F4E95">
        <w:rPr>
          <w:rFonts w:ascii="FrankRuehl" w:hAnsi="FrankRuehl" w:cs="FrankRuehl" w:hint="cs"/>
          <w:sz w:val="28"/>
          <w:szCs w:val="28"/>
          <w:rtl/>
        </w:rPr>
        <w:t>בפרהסיא</w:t>
      </w:r>
      <w:proofErr w:type="spellEnd"/>
      <w:r w:rsidR="006F4E95">
        <w:rPr>
          <w:rFonts w:ascii="FrankRuehl" w:hAnsi="FrankRuehl" w:cs="FrankRuehl" w:hint="cs"/>
          <w:sz w:val="28"/>
          <w:szCs w:val="28"/>
          <w:rtl/>
        </w:rPr>
        <w:t xml:space="preserve"> כמוהו כמי שעובד עבודה זרה, ואם הביא קרבן למקדש </w:t>
      </w:r>
      <w:r w:rsidR="006F4E95">
        <w:rPr>
          <w:rFonts w:ascii="FrankRuehl" w:hAnsi="FrankRuehl" w:cs="FrankRuehl"/>
          <w:sz w:val="28"/>
          <w:szCs w:val="28"/>
          <w:rtl/>
        </w:rPr>
        <w:t>–</w:t>
      </w:r>
      <w:r w:rsidR="006F4E95">
        <w:rPr>
          <w:rFonts w:ascii="FrankRuehl" w:hAnsi="FrankRuehl" w:cs="FrankRuehl" w:hint="cs"/>
          <w:sz w:val="28"/>
          <w:szCs w:val="28"/>
          <w:rtl/>
        </w:rPr>
        <w:t xml:space="preserve"> אין מקבלים אותו </w:t>
      </w:r>
      <w:r w:rsidR="004B0BF3">
        <w:rPr>
          <w:rFonts w:ascii="FrankRuehl" w:hAnsi="FrankRuehl" w:cs="FrankRuehl" w:hint="cs"/>
          <w:sz w:val="28"/>
          <w:szCs w:val="28"/>
          <w:rtl/>
        </w:rPr>
        <w:t>ממנו</w:t>
      </w:r>
      <w:r w:rsidR="006F4E95">
        <w:rPr>
          <w:rFonts w:ascii="FrankRuehl" w:hAnsi="FrankRuehl" w:cs="FrankRuehl" w:hint="cs"/>
          <w:sz w:val="28"/>
          <w:szCs w:val="28"/>
          <w:rtl/>
        </w:rPr>
        <w:t>.</w:t>
      </w:r>
      <w:r w:rsidR="00D231F4">
        <w:rPr>
          <w:rStyle w:val="ab"/>
          <w:rFonts w:ascii="FrankRuehl" w:hAnsi="FrankRuehl" w:cs="FrankRuehl"/>
          <w:sz w:val="28"/>
          <w:szCs w:val="28"/>
          <w:rtl/>
        </w:rPr>
        <w:footnoteReference w:id="13"/>
      </w:r>
      <w:r w:rsidR="006F4E95">
        <w:rPr>
          <w:rFonts w:ascii="FrankRuehl" w:hAnsi="FrankRuehl" w:cs="FrankRuehl" w:hint="cs"/>
          <w:sz w:val="28"/>
          <w:szCs w:val="28"/>
          <w:rtl/>
        </w:rPr>
        <w:t xml:space="preserve"> </w:t>
      </w:r>
      <w:r w:rsidR="00AC3CCB">
        <w:rPr>
          <w:rFonts w:ascii="FrankRuehl" w:hAnsi="FrankRuehl" w:cs="FrankRuehl" w:hint="cs"/>
          <w:sz w:val="28"/>
          <w:szCs w:val="28"/>
          <w:rtl/>
        </w:rPr>
        <w:t>"</w:t>
      </w:r>
      <w:proofErr w:type="spellStart"/>
      <w:r w:rsidR="006F4E95">
        <w:rPr>
          <w:rFonts w:ascii="FrankRuehl" w:hAnsi="FrankRuehl" w:cs="FrankRuehl" w:hint="cs"/>
          <w:sz w:val="28"/>
          <w:szCs w:val="28"/>
          <w:rtl/>
        </w:rPr>
        <w:t>פרהסיא</w:t>
      </w:r>
      <w:proofErr w:type="spellEnd"/>
      <w:r w:rsidR="00AC3CCB">
        <w:rPr>
          <w:rFonts w:ascii="FrankRuehl" w:hAnsi="FrankRuehl" w:cs="FrankRuehl" w:hint="cs"/>
          <w:sz w:val="28"/>
          <w:szCs w:val="28"/>
          <w:rtl/>
        </w:rPr>
        <w:t>"</w:t>
      </w:r>
      <w:r w:rsidR="006F4E95">
        <w:rPr>
          <w:rFonts w:ascii="FrankRuehl" w:hAnsi="FrankRuehl" w:cs="FrankRuehl" w:hint="cs"/>
          <w:sz w:val="28"/>
          <w:szCs w:val="28"/>
          <w:rtl/>
        </w:rPr>
        <w:t xml:space="preserve"> </w:t>
      </w:r>
      <w:r w:rsidR="00AC3CCB">
        <w:rPr>
          <w:rFonts w:ascii="FrankRuehl" w:hAnsi="FrankRuehl" w:cs="FrankRuehl" w:hint="cs"/>
          <w:sz w:val="28"/>
          <w:szCs w:val="28"/>
          <w:rtl/>
        </w:rPr>
        <w:t>במקורה היווני משמעה דיבור חופשי ברבים.</w:t>
      </w:r>
      <w:r w:rsidR="00D231F4">
        <w:rPr>
          <w:rStyle w:val="ab"/>
          <w:rFonts w:ascii="FrankRuehl" w:hAnsi="FrankRuehl" w:cs="FrankRuehl"/>
          <w:sz w:val="28"/>
          <w:szCs w:val="28"/>
          <w:rtl/>
        </w:rPr>
        <w:footnoteReference w:id="14"/>
      </w:r>
      <w:r w:rsidR="00AC3CCB">
        <w:rPr>
          <w:rFonts w:ascii="FrankRuehl" w:hAnsi="FrankRuehl" w:cs="FrankRuehl" w:hint="cs"/>
          <w:sz w:val="28"/>
          <w:szCs w:val="28"/>
          <w:rtl/>
        </w:rPr>
        <w:t xml:space="preserve"> בנגזרת העברית שלה </w:t>
      </w:r>
      <w:r w:rsidR="006F4E95">
        <w:rPr>
          <w:rFonts w:ascii="FrankRuehl" w:hAnsi="FrankRuehl" w:cs="FrankRuehl" w:hint="cs"/>
          <w:sz w:val="28"/>
          <w:szCs w:val="28"/>
          <w:rtl/>
        </w:rPr>
        <w:t xml:space="preserve">משמעה </w:t>
      </w:r>
      <w:r w:rsidR="00AC3CCB">
        <w:rPr>
          <w:rFonts w:ascii="FrankRuehl" w:hAnsi="FrankRuehl" w:cs="FrankRuehl" w:hint="cs"/>
          <w:sz w:val="28"/>
          <w:szCs w:val="28"/>
          <w:rtl/>
        </w:rPr>
        <w:t xml:space="preserve">פומביות, ובעברית הלכתית </w:t>
      </w:r>
      <w:proofErr w:type="spellStart"/>
      <w:r w:rsidR="00AC3CCB">
        <w:rPr>
          <w:rFonts w:ascii="FrankRuehl" w:hAnsi="FrankRuehl" w:cs="FrankRuehl" w:hint="cs"/>
          <w:sz w:val="28"/>
          <w:szCs w:val="28"/>
          <w:rtl/>
        </w:rPr>
        <w:t>פרהסיא</w:t>
      </w:r>
      <w:proofErr w:type="spellEnd"/>
      <w:r w:rsidR="00AC3CCB">
        <w:rPr>
          <w:rFonts w:ascii="FrankRuehl" w:hAnsi="FrankRuehl" w:cs="FrankRuehl" w:hint="cs"/>
          <w:sz w:val="28"/>
          <w:szCs w:val="28"/>
          <w:rtl/>
        </w:rPr>
        <w:t xml:space="preserve"> היא ציבור המכיל לפחות עשרה אנשים.</w:t>
      </w:r>
      <w:r w:rsidR="00D231F4">
        <w:rPr>
          <w:rStyle w:val="ab"/>
          <w:rFonts w:ascii="FrankRuehl" w:hAnsi="FrankRuehl" w:cs="FrankRuehl"/>
          <w:sz w:val="28"/>
          <w:szCs w:val="28"/>
          <w:rtl/>
        </w:rPr>
        <w:footnoteReference w:id="15"/>
      </w:r>
      <w:r w:rsidR="00AC3CCB">
        <w:rPr>
          <w:rFonts w:ascii="FrankRuehl" w:hAnsi="FrankRuehl" w:cs="FrankRuehl" w:hint="cs"/>
          <w:sz w:val="28"/>
          <w:szCs w:val="28"/>
          <w:rtl/>
        </w:rPr>
        <w:t xml:space="preserve"> </w:t>
      </w:r>
      <w:commentRangeStart w:id="1"/>
      <w:commentRangeStart w:id="2"/>
      <w:r w:rsidR="00AC3CCB">
        <w:rPr>
          <w:rFonts w:ascii="FrankRuehl" w:hAnsi="FrankRuehl" w:cs="FrankRuehl" w:hint="cs"/>
          <w:sz w:val="28"/>
          <w:szCs w:val="28"/>
          <w:rtl/>
        </w:rPr>
        <w:t>מה</w:t>
      </w:r>
      <w:commentRangeEnd w:id="1"/>
      <w:r w:rsidR="000A78A0">
        <w:rPr>
          <w:rStyle w:val="ac"/>
          <w:rtl/>
        </w:rPr>
        <w:commentReference w:id="1"/>
      </w:r>
      <w:commentRangeEnd w:id="2"/>
      <w:r w:rsidR="0043572E">
        <w:rPr>
          <w:rStyle w:val="ac"/>
          <w:rtl/>
        </w:rPr>
        <w:commentReference w:id="2"/>
      </w:r>
      <w:r w:rsidR="00AC3CCB">
        <w:rPr>
          <w:rFonts w:ascii="FrankRuehl" w:hAnsi="FrankRuehl" w:cs="FrankRuehl" w:hint="cs"/>
          <w:sz w:val="28"/>
          <w:szCs w:val="28"/>
          <w:rtl/>
        </w:rPr>
        <w:t xml:space="preserve"> אפוא הופך את חילול השבת </w:t>
      </w:r>
      <w:r w:rsidR="002874B7">
        <w:rPr>
          <w:rFonts w:ascii="FrankRuehl" w:hAnsi="FrankRuehl" w:cs="FrankRuehl" w:hint="cs"/>
          <w:sz w:val="28"/>
          <w:szCs w:val="28"/>
          <w:rtl/>
        </w:rPr>
        <w:t>ל</w:t>
      </w:r>
      <w:r w:rsidR="00AC3CCB">
        <w:rPr>
          <w:rFonts w:ascii="FrankRuehl" w:hAnsi="FrankRuehl" w:cs="FrankRuehl" w:hint="cs"/>
          <w:sz w:val="28"/>
          <w:szCs w:val="28"/>
          <w:rtl/>
        </w:rPr>
        <w:t xml:space="preserve">חמור כל כך כאשר הוא נעשה באופן ציבורי? </w:t>
      </w:r>
    </w:p>
    <w:p w14:paraId="057AE48E" w14:textId="6F613A64" w:rsidR="00AC3CCB" w:rsidRDefault="00AC3CCB" w:rsidP="00381939">
      <w:pPr>
        <w:spacing w:line="360" w:lineRule="auto"/>
        <w:jc w:val="both"/>
        <w:rPr>
          <w:rFonts w:ascii="FrankRuehl" w:hAnsi="FrankRuehl" w:cs="FrankRuehl"/>
          <w:sz w:val="28"/>
          <w:szCs w:val="28"/>
          <w:rtl/>
        </w:rPr>
      </w:pPr>
      <w:r>
        <w:rPr>
          <w:rFonts w:ascii="FrankRuehl" w:hAnsi="FrankRuehl" w:cs="FrankRuehl" w:hint="cs"/>
          <w:sz w:val="28"/>
          <w:szCs w:val="28"/>
          <w:rtl/>
        </w:rPr>
        <w:t xml:space="preserve">לפי הפירוש </w:t>
      </w:r>
      <w:r w:rsidR="00A83EEE">
        <w:rPr>
          <w:rFonts w:ascii="FrankRuehl" w:hAnsi="FrankRuehl" w:cs="FrankRuehl" w:hint="cs"/>
          <w:sz w:val="28"/>
          <w:szCs w:val="28"/>
          <w:rtl/>
        </w:rPr>
        <w:t>המקובל חילול שבת בפומבי</w:t>
      </w:r>
      <w:r w:rsidR="004B0BF3">
        <w:rPr>
          <w:rFonts w:ascii="FrankRuehl" w:hAnsi="FrankRuehl" w:cs="FrankRuehl" w:hint="cs"/>
          <w:sz w:val="28"/>
          <w:szCs w:val="28"/>
          <w:rtl/>
        </w:rPr>
        <w:t>,</w:t>
      </w:r>
      <w:r w:rsidR="00A83EEE">
        <w:rPr>
          <w:rFonts w:ascii="FrankRuehl" w:hAnsi="FrankRuehl" w:cs="FrankRuehl" w:hint="cs"/>
          <w:sz w:val="28"/>
          <w:szCs w:val="28"/>
          <w:rtl/>
        </w:rPr>
        <w:t xml:space="preserve"> בחברה שומרת מצוות</w:t>
      </w:r>
      <w:r w:rsidR="004B0BF3">
        <w:rPr>
          <w:rFonts w:ascii="FrankRuehl" w:hAnsi="FrankRuehl" w:cs="FrankRuehl" w:hint="cs"/>
          <w:sz w:val="28"/>
          <w:szCs w:val="28"/>
          <w:rtl/>
        </w:rPr>
        <w:t>,</w:t>
      </w:r>
      <w:r w:rsidR="00A83EEE">
        <w:rPr>
          <w:rFonts w:ascii="FrankRuehl" w:hAnsi="FrankRuehl" w:cs="FrankRuehl" w:hint="cs"/>
          <w:sz w:val="28"/>
          <w:szCs w:val="28"/>
          <w:rtl/>
        </w:rPr>
        <w:t xml:space="preserve"> הוא מעשה מתריס, </w:t>
      </w:r>
      <w:r w:rsidR="004B0BF3">
        <w:rPr>
          <w:rFonts w:ascii="FrankRuehl" w:hAnsi="FrankRuehl" w:cs="FrankRuehl" w:hint="cs"/>
          <w:sz w:val="28"/>
          <w:szCs w:val="28"/>
          <w:rtl/>
        </w:rPr>
        <w:t>הנושא</w:t>
      </w:r>
      <w:r w:rsidR="00A83EEE">
        <w:rPr>
          <w:rFonts w:ascii="FrankRuehl" w:hAnsi="FrankRuehl" w:cs="FrankRuehl" w:hint="cs"/>
          <w:sz w:val="28"/>
          <w:szCs w:val="28"/>
          <w:rtl/>
        </w:rPr>
        <w:t xml:space="preserve"> הצהרה אידאולוגית, </w:t>
      </w:r>
      <w:r w:rsidR="004B0BF3">
        <w:rPr>
          <w:rFonts w:ascii="FrankRuehl" w:hAnsi="FrankRuehl" w:cs="FrankRuehl" w:hint="cs"/>
          <w:sz w:val="28"/>
          <w:szCs w:val="28"/>
          <w:rtl/>
        </w:rPr>
        <w:t>שיש בה</w:t>
      </w:r>
      <w:r w:rsidR="003A58F7">
        <w:rPr>
          <w:rFonts w:ascii="FrankRuehl" w:hAnsi="FrankRuehl" w:cs="FrankRuehl" w:hint="cs"/>
          <w:sz w:val="28"/>
          <w:szCs w:val="28"/>
          <w:rtl/>
        </w:rPr>
        <w:t xml:space="preserve"> </w:t>
      </w:r>
      <w:r w:rsidR="00A83EEE">
        <w:rPr>
          <w:rFonts w:ascii="FrankRuehl" w:hAnsi="FrankRuehl" w:cs="FrankRuehl" w:hint="cs"/>
          <w:sz w:val="28"/>
          <w:szCs w:val="28"/>
          <w:rtl/>
        </w:rPr>
        <w:t xml:space="preserve">כפירה ברעיונות </w:t>
      </w:r>
      <w:proofErr w:type="spellStart"/>
      <w:r w:rsidR="00A83EEE">
        <w:rPr>
          <w:rFonts w:ascii="FrankRuehl" w:hAnsi="FrankRuehl" w:cs="FrankRuehl" w:hint="cs"/>
          <w:sz w:val="28"/>
          <w:szCs w:val="28"/>
          <w:rtl/>
        </w:rPr>
        <w:t>האמוניים</w:t>
      </w:r>
      <w:proofErr w:type="spellEnd"/>
      <w:r w:rsidR="00A83EEE">
        <w:rPr>
          <w:rFonts w:ascii="FrankRuehl" w:hAnsi="FrankRuehl" w:cs="FrankRuehl" w:hint="cs"/>
          <w:sz w:val="28"/>
          <w:szCs w:val="28"/>
          <w:rtl/>
        </w:rPr>
        <w:t xml:space="preserve"> של השבת</w:t>
      </w:r>
      <w:r w:rsidR="003A58F7">
        <w:rPr>
          <w:rFonts w:ascii="FrankRuehl" w:hAnsi="FrankRuehl" w:cs="FrankRuehl" w:hint="cs"/>
          <w:sz w:val="28"/>
          <w:szCs w:val="28"/>
          <w:rtl/>
        </w:rPr>
        <w:t>. בנוסף, מעשה כזה הוא מעין הכרזה על ניתוק מן הקהילה, ולמ</w:t>
      </w:r>
      <w:r w:rsidR="004B0BF3">
        <w:rPr>
          <w:rFonts w:ascii="FrankRuehl" w:hAnsi="FrankRuehl" w:cs="FrankRuehl" w:hint="cs"/>
          <w:sz w:val="28"/>
          <w:szCs w:val="28"/>
          <w:rtl/>
        </w:rPr>
        <w:t>ִ</w:t>
      </w:r>
      <w:r w:rsidR="003A58F7">
        <w:rPr>
          <w:rFonts w:ascii="FrankRuehl" w:hAnsi="FrankRuehl" w:cs="FrankRuehl" w:hint="cs"/>
          <w:sz w:val="28"/>
          <w:szCs w:val="28"/>
          <w:rtl/>
        </w:rPr>
        <w:t>צ</w:t>
      </w:r>
      <w:r w:rsidR="004B0BF3">
        <w:rPr>
          <w:rFonts w:ascii="FrankRuehl" w:hAnsi="FrankRuehl" w:cs="FrankRuehl" w:hint="cs"/>
          <w:sz w:val="28"/>
          <w:szCs w:val="28"/>
          <w:rtl/>
        </w:rPr>
        <w:t>ְ</w:t>
      </w:r>
      <w:r w:rsidR="003A58F7">
        <w:rPr>
          <w:rFonts w:ascii="FrankRuehl" w:hAnsi="FrankRuehl" w:cs="FrankRuehl" w:hint="cs"/>
          <w:sz w:val="28"/>
          <w:szCs w:val="28"/>
          <w:rtl/>
        </w:rPr>
        <w:t>ע</w:t>
      </w:r>
      <w:r w:rsidR="004B0BF3">
        <w:rPr>
          <w:rFonts w:ascii="FrankRuehl" w:hAnsi="FrankRuehl" w:cs="FrankRuehl" w:hint="cs"/>
          <w:sz w:val="28"/>
          <w:szCs w:val="28"/>
          <w:rtl/>
        </w:rPr>
        <w:t>ַ</w:t>
      </w:r>
      <w:r w:rsidR="003A58F7">
        <w:rPr>
          <w:rFonts w:ascii="FrankRuehl" w:hAnsi="FrankRuehl" w:cs="FrankRuehl" w:hint="cs"/>
          <w:sz w:val="28"/>
          <w:szCs w:val="28"/>
          <w:rtl/>
        </w:rPr>
        <w:t>ר</w:t>
      </w:r>
      <w:r w:rsidR="004B0BF3">
        <w:rPr>
          <w:rFonts w:ascii="FrankRuehl" w:hAnsi="FrankRuehl" w:cs="FrankRuehl" w:hint="cs"/>
          <w:sz w:val="28"/>
          <w:szCs w:val="28"/>
          <w:rtl/>
        </w:rPr>
        <w:t>,</w:t>
      </w:r>
      <w:r w:rsidR="003A58F7">
        <w:rPr>
          <w:rFonts w:ascii="FrankRuehl" w:hAnsi="FrankRuehl" w:cs="FrankRuehl" w:hint="cs"/>
          <w:sz w:val="28"/>
          <w:szCs w:val="28"/>
          <w:rtl/>
        </w:rPr>
        <w:t xml:space="preserve"> העדר שייכות לה. </w:t>
      </w:r>
      <w:r w:rsidR="00FA4611">
        <w:rPr>
          <w:rFonts w:ascii="FrankRuehl" w:hAnsi="FrankRuehl" w:cs="FrankRuehl" w:hint="cs"/>
          <w:sz w:val="28"/>
          <w:szCs w:val="28"/>
          <w:rtl/>
        </w:rPr>
        <w:t>לפי פירוש זה</w:t>
      </w:r>
      <w:r w:rsidR="004B0BF3">
        <w:rPr>
          <w:rFonts w:ascii="FrankRuehl" w:hAnsi="FrankRuehl" w:cs="FrankRuehl" w:hint="cs"/>
          <w:sz w:val="28"/>
          <w:szCs w:val="28"/>
          <w:rtl/>
        </w:rPr>
        <w:t>,</w:t>
      </w:r>
      <w:r w:rsidR="00FA4611">
        <w:rPr>
          <w:rFonts w:ascii="FrankRuehl" w:hAnsi="FrankRuehl" w:cs="FrankRuehl" w:hint="cs"/>
          <w:sz w:val="28"/>
          <w:szCs w:val="28"/>
          <w:rtl/>
        </w:rPr>
        <w:t xml:space="preserve"> שבת </w:t>
      </w:r>
      <w:proofErr w:type="spellStart"/>
      <w:r w:rsidR="00FA4611">
        <w:rPr>
          <w:rFonts w:ascii="FrankRuehl" w:hAnsi="FrankRuehl" w:cs="FrankRuehl" w:hint="cs"/>
          <w:sz w:val="28"/>
          <w:szCs w:val="28"/>
          <w:rtl/>
        </w:rPr>
        <w:t>שבפרהסיא</w:t>
      </w:r>
      <w:proofErr w:type="spellEnd"/>
      <w:r w:rsidR="00FA4611">
        <w:rPr>
          <w:rFonts w:ascii="FrankRuehl" w:hAnsi="FrankRuehl" w:cs="FrankRuehl" w:hint="cs"/>
          <w:sz w:val="28"/>
          <w:szCs w:val="28"/>
          <w:rtl/>
        </w:rPr>
        <w:t xml:space="preserve"> אינה שונה מהותית משבתו של יחיד. הנרטיב </w:t>
      </w:r>
      <w:proofErr w:type="spellStart"/>
      <w:r w:rsidR="00FA4611">
        <w:rPr>
          <w:rFonts w:ascii="FrankRuehl" w:hAnsi="FrankRuehl" w:cs="FrankRuehl" w:hint="cs"/>
          <w:sz w:val="28"/>
          <w:szCs w:val="28"/>
          <w:rtl/>
        </w:rPr>
        <w:t>האמוני</w:t>
      </w:r>
      <w:proofErr w:type="spellEnd"/>
      <w:r w:rsidR="00FA4611">
        <w:rPr>
          <w:rFonts w:ascii="FrankRuehl" w:hAnsi="FrankRuehl" w:cs="FrankRuehl" w:hint="cs"/>
          <w:sz w:val="28"/>
          <w:szCs w:val="28"/>
          <w:rtl/>
        </w:rPr>
        <w:t xml:space="preserve"> משותף לשני הדפוסים של השבת, אלא שהפומביות מעצימה את המסר </w:t>
      </w:r>
      <w:proofErr w:type="spellStart"/>
      <w:r w:rsidR="00FA4611">
        <w:rPr>
          <w:rFonts w:ascii="FrankRuehl" w:hAnsi="FrankRuehl" w:cs="FrankRuehl" w:hint="cs"/>
          <w:sz w:val="28"/>
          <w:szCs w:val="28"/>
          <w:rtl/>
        </w:rPr>
        <w:t>האמוני</w:t>
      </w:r>
      <w:proofErr w:type="spellEnd"/>
      <w:r w:rsidR="00FA4611">
        <w:rPr>
          <w:rFonts w:ascii="FrankRuehl" w:hAnsi="FrankRuehl" w:cs="FrankRuehl" w:hint="cs"/>
          <w:sz w:val="28"/>
          <w:szCs w:val="28"/>
          <w:rtl/>
        </w:rPr>
        <w:t xml:space="preserve"> בשמירת השבת או בחילולה.</w:t>
      </w:r>
    </w:p>
    <w:p w14:paraId="62E9A9A8" w14:textId="0A287C29" w:rsidR="00FA4611" w:rsidRDefault="004B0BF3" w:rsidP="00172BED">
      <w:pPr>
        <w:spacing w:line="360" w:lineRule="auto"/>
        <w:jc w:val="both"/>
        <w:rPr>
          <w:rFonts w:ascii="FrankRuehl" w:hAnsi="FrankRuehl" w:cs="FrankRuehl"/>
          <w:sz w:val="28"/>
          <w:szCs w:val="28"/>
          <w:rtl/>
        </w:rPr>
      </w:pPr>
      <w:r>
        <w:rPr>
          <w:rFonts w:ascii="FrankRuehl" w:hAnsi="FrankRuehl" w:cs="FrankRuehl" w:hint="cs"/>
          <w:sz w:val="28"/>
          <w:szCs w:val="28"/>
          <w:rtl/>
        </w:rPr>
        <w:t xml:space="preserve">עד כאן הפירוש </w:t>
      </w:r>
      <w:r w:rsidR="002874B7">
        <w:rPr>
          <w:rFonts w:ascii="FrankRuehl" w:hAnsi="FrankRuehl" w:cs="FrankRuehl" w:hint="cs"/>
          <w:sz w:val="28"/>
          <w:szCs w:val="28"/>
          <w:rtl/>
        </w:rPr>
        <w:t>הרווח</w:t>
      </w:r>
      <w:r>
        <w:rPr>
          <w:rFonts w:ascii="FrankRuehl" w:hAnsi="FrankRuehl" w:cs="FrankRuehl" w:hint="cs"/>
          <w:sz w:val="28"/>
          <w:szCs w:val="28"/>
          <w:rtl/>
        </w:rPr>
        <w:t xml:space="preserve">. </w:t>
      </w:r>
      <w:r w:rsidR="00FA4611">
        <w:rPr>
          <w:rFonts w:ascii="FrankRuehl" w:hAnsi="FrankRuehl" w:cs="FrankRuehl" w:hint="cs"/>
          <w:sz w:val="28"/>
          <w:szCs w:val="28"/>
          <w:rtl/>
        </w:rPr>
        <w:t xml:space="preserve">אולם, הספר מציע בפנינו פירוש נוסף, </w:t>
      </w:r>
      <w:r w:rsidR="00172BED">
        <w:rPr>
          <w:rFonts w:ascii="FrankRuehl" w:hAnsi="FrankRuehl" w:cs="FrankRuehl" w:hint="cs"/>
          <w:sz w:val="28"/>
          <w:szCs w:val="28"/>
          <w:rtl/>
        </w:rPr>
        <w:t xml:space="preserve">על פי </w:t>
      </w:r>
      <w:r w:rsidR="0043572E">
        <w:rPr>
          <w:rFonts w:ascii="FrankRuehl" w:hAnsi="FrankRuehl" w:cs="FrankRuehl" w:hint="cs"/>
          <w:sz w:val="28"/>
          <w:szCs w:val="28"/>
          <w:rtl/>
        </w:rPr>
        <w:t>מדרש תנאים</w:t>
      </w:r>
      <w:r>
        <w:rPr>
          <w:rFonts w:ascii="FrankRuehl" w:hAnsi="FrankRuehl" w:cs="FrankRuehl" w:hint="cs"/>
          <w:sz w:val="28"/>
          <w:szCs w:val="28"/>
          <w:rtl/>
        </w:rPr>
        <w:t>. דרשה המובאת שם,</w:t>
      </w:r>
      <w:r w:rsidR="00172BED">
        <w:rPr>
          <w:rFonts w:ascii="FrankRuehl" w:hAnsi="FrankRuehl" w:cs="FrankRuehl" w:hint="cs"/>
          <w:sz w:val="28"/>
          <w:szCs w:val="28"/>
          <w:rtl/>
        </w:rPr>
        <w:t xml:space="preserve"> משווה בין מי שאינו משמר שבתו בשוק לבין גוי,</w:t>
      </w:r>
      <w:r w:rsidR="00D231F4">
        <w:rPr>
          <w:rStyle w:val="ab"/>
          <w:rFonts w:ascii="FrankRuehl" w:hAnsi="FrankRuehl" w:cs="FrankRuehl"/>
          <w:sz w:val="28"/>
          <w:szCs w:val="28"/>
          <w:rtl/>
        </w:rPr>
        <w:footnoteReference w:id="16"/>
      </w:r>
      <w:r w:rsidR="00172BED">
        <w:rPr>
          <w:rFonts w:ascii="FrankRuehl" w:hAnsi="FrankRuehl" w:cs="FrankRuehl" w:hint="cs"/>
          <w:sz w:val="28"/>
          <w:szCs w:val="28"/>
          <w:rtl/>
        </w:rPr>
        <w:t xml:space="preserve"> בהשראת הפסוק בישעיהו: "</w:t>
      </w:r>
      <w:r w:rsidR="00172BED" w:rsidRPr="00172BED">
        <w:rPr>
          <w:rFonts w:ascii="FrankRuehl" w:hAnsi="FrankRuehl" w:cs="FrankRuehl"/>
          <w:sz w:val="28"/>
          <w:szCs w:val="28"/>
          <w:rtl/>
        </w:rPr>
        <w:t xml:space="preserve">וּבְנֵי </w:t>
      </w:r>
      <w:proofErr w:type="spellStart"/>
      <w:r w:rsidR="00172BED" w:rsidRPr="00172BED">
        <w:rPr>
          <w:rFonts w:ascii="FrankRuehl" w:hAnsi="FrankRuehl" w:cs="FrankRuehl"/>
          <w:sz w:val="28"/>
          <w:szCs w:val="28"/>
          <w:rtl/>
        </w:rPr>
        <w:t>הַנֵּכָר</w:t>
      </w:r>
      <w:proofErr w:type="spellEnd"/>
      <w:r w:rsidR="00172BED" w:rsidRPr="00172BED">
        <w:rPr>
          <w:rFonts w:ascii="FrankRuehl" w:hAnsi="FrankRuehl" w:cs="FrankRuehl"/>
          <w:sz w:val="28"/>
          <w:szCs w:val="28"/>
          <w:rtl/>
        </w:rPr>
        <w:t xml:space="preserve"> </w:t>
      </w:r>
      <w:proofErr w:type="spellStart"/>
      <w:r w:rsidR="00172BED" w:rsidRPr="00172BED">
        <w:rPr>
          <w:rFonts w:ascii="FrankRuehl" w:hAnsi="FrankRuehl" w:cs="FrankRuehl"/>
          <w:sz w:val="28"/>
          <w:szCs w:val="28"/>
          <w:rtl/>
        </w:rPr>
        <w:t>הַנִּלְוִים</w:t>
      </w:r>
      <w:proofErr w:type="spellEnd"/>
      <w:r w:rsidR="00172BED" w:rsidRPr="00172BED">
        <w:rPr>
          <w:rFonts w:ascii="FrankRuehl" w:hAnsi="FrankRuehl" w:cs="FrankRuehl"/>
          <w:sz w:val="28"/>
          <w:szCs w:val="28"/>
          <w:rtl/>
        </w:rPr>
        <w:t xml:space="preserve"> עַל </w:t>
      </w:r>
      <w:proofErr w:type="spellStart"/>
      <w:r w:rsidR="00172BED" w:rsidRPr="00172BED">
        <w:rPr>
          <w:rFonts w:ascii="FrankRuehl" w:hAnsi="FrankRuehl" w:cs="FrankRuehl"/>
          <w:sz w:val="28"/>
          <w:szCs w:val="28"/>
          <w:rtl/>
        </w:rPr>
        <w:t>יְקֹוָק</w:t>
      </w:r>
      <w:proofErr w:type="spellEnd"/>
      <w:r w:rsidR="00172BED" w:rsidRPr="00172BED">
        <w:rPr>
          <w:rFonts w:ascii="FrankRuehl" w:hAnsi="FrankRuehl" w:cs="FrankRuehl"/>
          <w:sz w:val="28"/>
          <w:szCs w:val="28"/>
          <w:rtl/>
        </w:rPr>
        <w:t xml:space="preserve"> לְשָׁרְתוֹ</w:t>
      </w:r>
      <w:r w:rsidR="00172BED">
        <w:rPr>
          <w:rFonts w:ascii="FrankRuehl" w:hAnsi="FrankRuehl" w:cs="FrankRuehl" w:hint="cs"/>
          <w:sz w:val="28"/>
          <w:szCs w:val="28"/>
          <w:rtl/>
        </w:rPr>
        <w:t>...</w:t>
      </w:r>
      <w:r w:rsidR="00172BED" w:rsidRPr="00172BED">
        <w:rPr>
          <w:rFonts w:ascii="FrankRuehl" w:hAnsi="FrankRuehl" w:cs="FrankRuehl"/>
          <w:sz w:val="28"/>
          <w:szCs w:val="28"/>
          <w:rtl/>
        </w:rPr>
        <w:t xml:space="preserve"> כָּל שֹׁמֵר שַׁבָּת מֵחַלְּלוֹ וּמַחֲזִיקִים בִּבְרִיתִי</w:t>
      </w:r>
      <w:r w:rsidR="00172BED">
        <w:rPr>
          <w:rFonts w:ascii="FrankRuehl" w:hAnsi="FrankRuehl" w:cs="FrankRuehl" w:hint="cs"/>
          <w:sz w:val="28"/>
          <w:szCs w:val="28"/>
          <w:rtl/>
        </w:rPr>
        <w:t>",</w:t>
      </w:r>
      <w:r w:rsidR="00D231F4">
        <w:rPr>
          <w:rStyle w:val="ab"/>
          <w:rFonts w:ascii="FrankRuehl" w:hAnsi="FrankRuehl" w:cs="FrankRuehl"/>
          <w:sz w:val="28"/>
          <w:szCs w:val="28"/>
          <w:rtl/>
        </w:rPr>
        <w:footnoteReference w:id="17"/>
      </w:r>
      <w:r w:rsidR="00172BED">
        <w:rPr>
          <w:rFonts w:ascii="FrankRuehl" w:hAnsi="FrankRuehl" w:cs="FrankRuehl" w:hint="cs"/>
          <w:sz w:val="28"/>
          <w:szCs w:val="28"/>
          <w:rtl/>
        </w:rPr>
        <w:t xml:space="preserve"> כלומר: שומר שבת כמוהו כגר (בן </w:t>
      </w:r>
      <w:proofErr w:type="spellStart"/>
      <w:r w:rsidR="00172BED">
        <w:rPr>
          <w:rFonts w:ascii="FrankRuehl" w:hAnsi="FrankRuehl" w:cs="FrankRuehl" w:hint="cs"/>
          <w:sz w:val="28"/>
          <w:szCs w:val="28"/>
          <w:rtl/>
        </w:rPr>
        <w:t>נכר</w:t>
      </w:r>
      <w:proofErr w:type="spellEnd"/>
      <w:r w:rsidR="00172BED">
        <w:rPr>
          <w:rFonts w:ascii="FrankRuehl" w:hAnsi="FrankRuehl" w:cs="FrankRuehl" w:hint="cs"/>
          <w:sz w:val="28"/>
          <w:szCs w:val="28"/>
          <w:rtl/>
        </w:rPr>
        <w:t xml:space="preserve"> </w:t>
      </w:r>
      <w:proofErr w:type="spellStart"/>
      <w:r w:rsidR="00172BED">
        <w:rPr>
          <w:rFonts w:ascii="FrankRuehl" w:hAnsi="FrankRuehl" w:cs="FrankRuehl" w:hint="cs"/>
          <w:sz w:val="28"/>
          <w:szCs w:val="28"/>
          <w:rtl/>
        </w:rPr>
        <w:t>הנלוה</w:t>
      </w:r>
      <w:proofErr w:type="spellEnd"/>
      <w:r w:rsidR="00172BED">
        <w:rPr>
          <w:rFonts w:ascii="FrankRuehl" w:hAnsi="FrankRuehl" w:cs="FrankRuehl" w:hint="cs"/>
          <w:sz w:val="28"/>
          <w:szCs w:val="28"/>
          <w:rtl/>
        </w:rPr>
        <w:t xml:space="preserve"> על ה'), משום שהוא מחזיק בברית עם ה', להבדיל ממחלל השבת שאינו מחזיק בברית. מעתה, מי שאינו משמר שבתו בשוק, הלא הוא מחלל שבת </w:t>
      </w:r>
      <w:proofErr w:type="spellStart"/>
      <w:r w:rsidR="00172BED">
        <w:rPr>
          <w:rFonts w:ascii="FrankRuehl" w:hAnsi="FrankRuehl" w:cs="FrankRuehl" w:hint="cs"/>
          <w:sz w:val="28"/>
          <w:szCs w:val="28"/>
          <w:rtl/>
        </w:rPr>
        <w:t>בפרהסיא</w:t>
      </w:r>
      <w:proofErr w:type="spellEnd"/>
      <w:r w:rsidR="00172BED">
        <w:rPr>
          <w:rFonts w:ascii="FrankRuehl" w:hAnsi="FrankRuehl" w:cs="FrankRuehl" w:hint="cs"/>
          <w:sz w:val="28"/>
          <w:szCs w:val="28"/>
          <w:rtl/>
        </w:rPr>
        <w:t>, וכמוהו כמפר ברית. לפי הסבר זה, חילול שבת בפומבי משמעו פגיעה בשבת</w:t>
      </w:r>
      <w:r w:rsidR="00787897">
        <w:rPr>
          <w:rFonts w:ascii="FrankRuehl" w:hAnsi="FrankRuehl" w:cs="FrankRuehl" w:hint="cs"/>
          <w:sz w:val="28"/>
          <w:szCs w:val="28"/>
          <w:rtl/>
        </w:rPr>
        <w:t xml:space="preserve"> של הציבור</w:t>
      </w:r>
      <w:r w:rsidR="00172BED">
        <w:rPr>
          <w:rFonts w:ascii="FrankRuehl" w:hAnsi="FrankRuehl" w:cs="FrankRuehl" w:hint="cs"/>
          <w:sz w:val="28"/>
          <w:szCs w:val="28"/>
          <w:rtl/>
        </w:rPr>
        <w:t>,</w:t>
      </w:r>
      <w:r w:rsidR="00787897">
        <w:rPr>
          <w:rFonts w:ascii="FrankRuehl" w:hAnsi="FrankRuehl" w:cs="FrankRuehl" w:hint="cs"/>
          <w:sz w:val="28"/>
          <w:szCs w:val="28"/>
          <w:rtl/>
        </w:rPr>
        <w:t xml:space="preserve"> הלא היא</w:t>
      </w:r>
      <w:r w:rsidR="00172BED">
        <w:rPr>
          <w:rFonts w:ascii="FrankRuehl" w:hAnsi="FrankRuehl" w:cs="FrankRuehl" w:hint="cs"/>
          <w:sz w:val="28"/>
          <w:szCs w:val="28"/>
          <w:rtl/>
        </w:rPr>
        <w:t xml:space="preserve"> השבת שבין האומה לבין אל</w:t>
      </w:r>
      <w:r w:rsidR="0025505E">
        <w:rPr>
          <w:rFonts w:ascii="FrankRuehl" w:hAnsi="FrankRuehl" w:cs="FrankRuehl" w:hint="cs"/>
          <w:sz w:val="28"/>
          <w:szCs w:val="28"/>
          <w:rtl/>
        </w:rPr>
        <w:t>ו</w:t>
      </w:r>
      <w:r w:rsidR="00787897">
        <w:rPr>
          <w:rFonts w:ascii="FrankRuehl" w:hAnsi="FrankRuehl" w:cs="FrankRuehl" w:hint="cs"/>
          <w:sz w:val="28"/>
          <w:szCs w:val="28"/>
          <w:rtl/>
        </w:rPr>
        <w:t>היה, אות הברית שביניהם. לפנינו אפוא עיגון הלכתי ברור לשבת הציבורית</w:t>
      </w:r>
      <w:r w:rsidR="0025505E">
        <w:rPr>
          <w:rFonts w:ascii="FrankRuehl" w:hAnsi="FrankRuehl" w:cs="FrankRuehl" w:hint="cs"/>
          <w:sz w:val="28"/>
          <w:szCs w:val="28"/>
          <w:rtl/>
        </w:rPr>
        <w:t>,</w:t>
      </w:r>
      <w:r w:rsidR="00787897">
        <w:rPr>
          <w:rFonts w:ascii="FrankRuehl" w:hAnsi="FrankRuehl" w:cs="FrankRuehl" w:hint="cs"/>
          <w:sz w:val="28"/>
          <w:szCs w:val="28"/>
          <w:rtl/>
        </w:rPr>
        <w:t xml:space="preserve"> המיוחדת והנבדלת מן השבת הרגילה והמוכרת.</w:t>
      </w:r>
      <w:r w:rsidR="00172BED">
        <w:rPr>
          <w:rFonts w:ascii="FrankRuehl" w:hAnsi="FrankRuehl" w:cs="FrankRuehl" w:hint="cs"/>
          <w:sz w:val="28"/>
          <w:szCs w:val="28"/>
          <w:rtl/>
        </w:rPr>
        <w:t xml:space="preserve"> </w:t>
      </w:r>
    </w:p>
    <w:p w14:paraId="52F8ED2C" w14:textId="5976A3BC" w:rsidR="0021089F" w:rsidRDefault="0021089F" w:rsidP="0025505E">
      <w:pPr>
        <w:spacing w:line="360" w:lineRule="auto"/>
        <w:jc w:val="both"/>
        <w:rPr>
          <w:rFonts w:ascii="FrankRuehl" w:hAnsi="FrankRuehl" w:cs="FrankRuehl"/>
          <w:sz w:val="28"/>
          <w:szCs w:val="28"/>
          <w:rtl/>
        </w:rPr>
      </w:pPr>
      <w:r>
        <w:rPr>
          <w:rFonts w:ascii="FrankRuehl" w:hAnsi="FrankRuehl" w:cs="FrankRuehl" w:hint="cs"/>
          <w:sz w:val="28"/>
          <w:szCs w:val="28"/>
          <w:rtl/>
        </w:rPr>
        <w:t xml:space="preserve">השבת הציבורית זוכה לקומה משמעותית נוספת כאשר השוק </w:t>
      </w:r>
      <w:proofErr w:type="spellStart"/>
      <w:r>
        <w:rPr>
          <w:rFonts w:ascii="FrankRuehl" w:hAnsi="FrankRuehl" w:cs="FrankRuehl" w:hint="cs"/>
          <w:sz w:val="28"/>
          <w:szCs w:val="28"/>
          <w:rtl/>
        </w:rPr>
        <w:t>והפרהסיא</w:t>
      </w:r>
      <w:proofErr w:type="spellEnd"/>
      <w:r>
        <w:rPr>
          <w:rFonts w:ascii="FrankRuehl" w:hAnsi="FrankRuehl" w:cs="FrankRuehl" w:hint="cs"/>
          <w:sz w:val="28"/>
          <w:szCs w:val="28"/>
          <w:rtl/>
        </w:rPr>
        <w:t xml:space="preserve"> הם מדינת היהודים. הרב </w:t>
      </w:r>
      <w:r w:rsidR="00334F38">
        <w:rPr>
          <w:rFonts w:ascii="FrankRuehl" w:hAnsi="FrankRuehl" w:cs="FrankRuehl" w:hint="cs"/>
          <w:sz w:val="28"/>
          <w:szCs w:val="28"/>
          <w:rtl/>
        </w:rPr>
        <w:t xml:space="preserve">שלמה </w:t>
      </w:r>
      <w:r>
        <w:rPr>
          <w:rFonts w:ascii="FrankRuehl" w:hAnsi="FrankRuehl" w:cs="FrankRuehl" w:hint="cs"/>
          <w:sz w:val="28"/>
          <w:szCs w:val="28"/>
          <w:rtl/>
        </w:rPr>
        <w:t>גורן הצהיר על כך</w:t>
      </w:r>
      <w:r w:rsidR="0025505E">
        <w:rPr>
          <w:rFonts w:ascii="FrankRuehl" w:hAnsi="FrankRuehl" w:cs="FrankRuehl" w:hint="cs"/>
          <w:sz w:val="28"/>
          <w:szCs w:val="28"/>
          <w:rtl/>
        </w:rPr>
        <w:t>,</w:t>
      </w:r>
      <w:r>
        <w:rPr>
          <w:rFonts w:ascii="FrankRuehl" w:hAnsi="FrankRuehl" w:cs="FrankRuehl" w:hint="cs"/>
          <w:sz w:val="28"/>
          <w:szCs w:val="28"/>
          <w:rtl/>
        </w:rPr>
        <w:t xml:space="preserve"> שקביעת יום מנוחה בשירותים הציבוריים</w:t>
      </w:r>
      <w:r w:rsidRPr="0021089F">
        <w:rPr>
          <w:rtl/>
        </w:rPr>
        <w:t xml:space="preserve"> </w:t>
      </w:r>
      <w:r>
        <w:rPr>
          <w:rFonts w:ascii="FrankRuehl" w:hAnsi="FrankRuehl" w:cs="FrankRuehl" w:hint="cs"/>
          <w:sz w:val="28"/>
          <w:szCs w:val="28"/>
          <w:rtl/>
        </w:rPr>
        <w:t>"</w:t>
      </w:r>
      <w:r w:rsidRPr="0021089F">
        <w:rPr>
          <w:rFonts w:ascii="FrankRuehl" w:hAnsi="FrankRuehl" w:cs="FrankRuehl"/>
          <w:sz w:val="28"/>
          <w:szCs w:val="28"/>
          <w:rtl/>
        </w:rPr>
        <w:t>קובע במידת מה את דמותה</w:t>
      </w:r>
      <w:r w:rsidRPr="0021089F">
        <w:rPr>
          <w:rFonts w:ascii="FrankRuehl" w:hAnsi="FrankRuehl" w:cs="FrankRuehl" w:hint="cs"/>
          <w:sz w:val="28"/>
          <w:szCs w:val="28"/>
          <w:rtl/>
        </w:rPr>
        <w:t xml:space="preserve"> הי</w:t>
      </w:r>
      <w:r w:rsidRPr="0021089F">
        <w:rPr>
          <w:rFonts w:ascii="FrankRuehl" w:hAnsi="FrankRuehl" w:cs="FrankRuehl"/>
          <w:sz w:val="28"/>
          <w:szCs w:val="28"/>
          <w:rtl/>
        </w:rPr>
        <w:t>הודי</w:t>
      </w:r>
      <w:r>
        <w:rPr>
          <w:rFonts w:ascii="FrankRuehl" w:hAnsi="FrankRuehl" w:cs="FrankRuehl" w:hint="cs"/>
          <w:sz w:val="28"/>
          <w:szCs w:val="28"/>
          <w:rtl/>
        </w:rPr>
        <w:t>ת-</w:t>
      </w:r>
      <w:r w:rsidRPr="0021089F">
        <w:rPr>
          <w:rFonts w:ascii="FrankRuehl" w:hAnsi="FrankRuehl" w:cs="FrankRuehl"/>
          <w:sz w:val="28"/>
          <w:szCs w:val="28"/>
          <w:rtl/>
        </w:rPr>
        <w:t>רוחנית של המדינה וייחודה במשפחת העמים בעולם</w:t>
      </w:r>
      <w:r>
        <w:rPr>
          <w:rFonts w:ascii="FrankRuehl" w:hAnsi="FrankRuehl" w:cs="FrankRuehl" w:hint="cs"/>
          <w:sz w:val="28"/>
          <w:szCs w:val="28"/>
          <w:rtl/>
        </w:rPr>
        <w:t>"</w:t>
      </w:r>
      <w:r w:rsidRPr="0021089F">
        <w:rPr>
          <w:rFonts w:ascii="FrankRuehl" w:hAnsi="FrankRuehl" w:cs="FrankRuehl"/>
          <w:sz w:val="28"/>
          <w:szCs w:val="28"/>
          <w:rtl/>
        </w:rPr>
        <w:t>.</w:t>
      </w:r>
      <w:r w:rsidR="00334F38">
        <w:rPr>
          <w:rStyle w:val="ab"/>
          <w:rFonts w:ascii="FrankRuehl" w:hAnsi="FrankRuehl" w:cs="FrankRuehl"/>
          <w:sz w:val="28"/>
          <w:szCs w:val="28"/>
          <w:rtl/>
        </w:rPr>
        <w:footnoteReference w:id="18"/>
      </w:r>
      <w:r>
        <w:rPr>
          <w:rFonts w:ascii="FrankRuehl" w:hAnsi="FrankRuehl" w:cs="FrankRuehl" w:hint="cs"/>
          <w:sz w:val="28"/>
          <w:szCs w:val="28"/>
          <w:rtl/>
        </w:rPr>
        <w:t xml:space="preserve"> ברוח זו התבטא גם הרב שאול ישראלי: "</w:t>
      </w:r>
      <w:r w:rsidRPr="0021089F">
        <w:rPr>
          <w:rStyle w:val="spantextcontent292"/>
          <w:rFonts w:ascii="FrankRuehl" w:hAnsi="FrankRuehl" w:cs="FrankRuehl"/>
          <w:sz w:val="28"/>
          <w:szCs w:val="28"/>
          <w:shd w:val="clear" w:color="auto" w:fill="FFFFFF"/>
          <w:rtl/>
        </w:rPr>
        <w:t>היהדות הדתית</w:t>
      </w:r>
      <w:r>
        <w:rPr>
          <w:rStyle w:val="spantextcontent292"/>
          <w:rFonts w:ascii="FrankRuehl" w:hAnsi="FrankRuehl" w:cs="FrankRuehl" w:hint="cs"/>
          <w:sz w:val="28"/>
          <w:szCs w:val="28"/>
          <w:shd w:val="clear" w:color="auto" w:fill="FFFFFF"/>
          <w:rtl/>
        </w:rPr>
        <w:t>...</w:t>
      </w:r>
      <w:r w:rsidRPr="0021089F">
        <w:rPr>
          <w:rStyle w:val="spantextcontent292"/>
          <w:rFonts w:ascii="FrankRuehl" w:hAnsi="FrankRuehl" w:cs="FrankRuehl"/>
          <w:sz w:val="28"/>
          <w:szCs w:val="28"/>
          <w:shd w:val="clear" w:color="auto" w:fill="FFFFFF"/>
          <w:rtl/>
        </w:rPr>
        <w:t xml:space="preserve"> דורשת רק</w:t>
      </w:r>
      <w:r w:rsidRPr="0021089F">
        <w:rPr>
          <w:rFonts w:ascii="FrankRuehl" w:hAnsi="FrankRuehl" w:cs="FrankRuehl"/>
          <w:sz w:val="28"/>
          <w:szCs w:val="28"/>
          <w:shd w:val="clear" w:color="auto" w:fill="FFFFFF"/>
          <w:rtl/>
        </w:rPr>
        <w:t xml:space="preserve"> </w:t>
      </w:r>
      <w:r w:rsidRPr="0021089F">
        <w:rPr>
          <w:rStyle w:val="spantextcontent293"/>
          <w:rFonts w:ascii="FrankRuehl" w:hAnsi="FrankRuehl" w:cs="FrankRuehl"/>
          <w:sz w:val="28"/>
          <w:szCs w:val="28"/>
          <w:shd w:val="clear" w:color="auto" w:fill="FFFFFF"/>
          <w:rtl/>
        </w:rPr>
        <w:t>שהצביון הציבורי של רשות הרבים יהיה טבוע בחותמת השבת... אנו</w:t>
      </w:r>
      <w:r w:rsidRPr="0021089F">
        <w:rPr>
          <w:rFonts w:ascii="FrankRuehl" w:hAnsi="FrankRuehl" w:cs="FrankRuehl"/>
          <w:sz w:val="28"/>
          <w:szCs w:val="28"/>
          <w:shd w:val="clear" w:color="auto" w:fill="FFFFFF"/>
          <w:rtl/>
        </w:rPr>
        <w:t xml:space="preserve"> </w:t>
      </w:r>
      <w:r w:rsidRPr="0021089F">
        <w:rPr>
          <w:rStyle w:val="spantextcontent294"/>
          <w:rFonts w:ascii="FrankRuehl" w:hAnsi="FrankRuehl" w:cs="FrankRuehl"/>
          <w:sz w:val="28"/>
          <w:szCs w:val="28"/>
          <w:shd w:val="clear" w:color="auto" w:fill="FFFFFF"/>
          <w:rtl/>
        </w:rPr>
        <w:t>באים... בתביעה מבחינת דמות ההווי של החיים הלאומיים הישראליים</w:t>
      </w:r>
      <w:r w:rsidR="0025505E">
        <w:rPr>
          <w:rStyle w:val="spantextcontent294"/>
          <w:rFonts w:ascii="FrankRuehl" w:hAnsi="FrankRuehl" w:cs="FrankRuehl" w:hint="cs"/>
          <w:sz w:val="28"/>
          <w:szCs w:val="28"/>
          <w:shd w:val="clear" w:color="auto" w:fill="FFFFFF"/>
          <w:rtl/>
        </w:rPr>
        <w:t>,</w:t>
      </w:r>
      <w:r w:rsidRPr="0021089F">
        <w:rPr>
          <w:rFonts w:ascii="FrankRuehl" w:hAnsi="FrankRuehl" w:cs="FrankRuehl"/>
          <w:sz w:val="28"/>
          <w:szCs w:val="28"/>
          <w:shd w:val="clear" w:color="auto" w:fill="FFFFFF"/>
          <w:rtl/>
        </w:rPr>
        <w:t xml:space="preserve"> </w:t>
      </w:r>
      <w:r w:rsidRPr="0021089F">
        <w:rPr>
          <w:rStyle w:val="spantextcontent295"/>
          <w:rFonts w:ascii="FrankRuehl" w:hAnsi="FrankRuehl" w:cs="FrankRuehl"/>
          <w:sz w:val="28"/>
          <w:szCs w:val="28"/>
          <w:shd w:val="clear" w:color="auto" w:fill="FFFFFF"/>
          <w:rtl/>
        </w:rPr>
        <w:t xml:space="preserve">לפי אותה צורה שהם </w:t>
      </w:r>
      <w:proofErr w:type="spellStart"/>
      <w:r w:rsidRPr="0021089F">
        <w:rPr>
          <w:rStyle w:val="spantextcontent295"/>
          <w:rFonts w:ascii="FrankRuehl" w:hAnsi="FrankRuehl" w:cs="FrankRuehl"/>
          <w:sz w:val="28"/>
          <w:szCs w:val="28"/>
          <w:shd w:val="clear" w:color="auto" w:fill="FFFFFF"/>
          <w:rtl/>
        </w:rPr>
        <w:t>נתעצבו</w:t>
      </w:r>
      <w:proofErr w:type="spellEnd"/>
      <w:r w:rsidRPr="0021089F">
        <w:rPr>
          <w:rStyle w:val="spantextcontent295"/>
          <w:rFonts w:ascii="FrankRuehl" w:hAnsi="FrankRuehl" w:cs="FrankRuehl"/>
          <w:sz w:val="28"/>
          <w:szCs w:val="28"/>
          <w:shd w:val="clear" w:color="auto" w:fill="FFFFFF"/>
          <w:rtl/>
        </w:rPr>
        <w:t xml:space="preserve"> במשך כל זמן הקיום ההיסטורי של</w:t>
      </w:r>
      <w:r w:rsidRPr="0021089F">
        <w:rPr>
          <w:rStyle w:val="spantextcontent296"/>
          <w:rFonts w:ascii="FrankRuehl" w:hAnsi="FrankRuehl" w:cs="FrankRuehl"/>
          <w:sz w:val="28"/>
          <w:szCs w:val="28"/>
          <w:shd w:val="clear" w:color="auto" w:fill="FFFFFF"/>
          <w:rtl/>
        </w:rPr>
        <w:t xml:space="preserve"> </w:t>
      </w:r>
      <w:r w:rsidRPr="0021089F">
        <w:rPr>
          <w:rStyle w:val="spantextcontent297"/>
          <w:rFonts w:ascii="FrankRuehl" w:hAnsi="FrankRuehl" w:cs="FrankRuehl"/>
          <w:sz w:val="28"/>
          <w:szCs w:val="28"/>
          <w:shd w:val="clear" w:color="auto" w:fill="FFFFFF"/>
          <w:rtl/>
        </w:rPr>
        <w:t>האומה</w:t>
      </w:r>
      <w:r w:rsidR="00A55FAF">
        <w:rPr>
          <w:rStyle w:val="spantextcontent297"/>
          <w:rFonts w:ascii="FrankRuehl" w:hAnsi="FrankRuehl" w:cs="FrankRuehl" w:hint="cs"/>
          <w:sz w:val="28"/>
          <w:szCs w:val="28"/>
          <w:shd w:val="clear" w:color="auto" w:fill="FFFFFF"/>
          <w:rtl/>
        </w:rPr>
        <w:t>"</w:t>
      </w:r>
      <w:r w:rsidRPr="0021089F">
        <w:rPr>
          <w:rStyle w:val="spantextcontent297"/>
          <w:rFonts w:ascii="FrankRuehl" w:hAnsi="FrankRuehl" w:cs="FrankRuehl"/>
          <w:sz w:val="28"/>
          <w:szCs w:val="28"/>
          <w:shd w:val="clear" w:color="auto" w:fill="FFFFFF"/>
          <w:rtl/>
        </w:rPr>
        <w:t>.</w:t>
      </w:r>
      <w:r w:rsidR="00334F38">
        <w:rPr>
          <w:rStyle w:val="ab"/>
          <w:rFonts w:ascii="FrankRuehl" w:hAnsi="FrankRuehl" w:cs="FrankRuehl"/>
          <w:sz w:val="28"/>
          <w:szCs w:val="28"/>
          <w:rtl/>
        </w:rPr>
        <w:footnoteReference w:id="19"/>
      </w:r>
      <w:r w:rsidRPr="0021089F">
        <w:rPr>
          <w:rFonts w:ascii="FrankRuehl" w:hAnsi="FrankRuehl" w:cs="FrankRuehl"/>
          <w:sz w:val="28"/>
          <w:szCs w:val="28"/>
          <w:rtl/>
        </w:rPr>
        <w:t xml:space="preserve"> </w:t>
      </w:r>
      <w:r w:rsidR="00A55FAF">
        <w:rPr>
          <w:rFonts w:ascii="FrankRuehl" w:hAnsi="FrankRuehl" w:cs="FrankRuehl" w:hint="cs"/>
          <w:sz w:val="28"/>
          <w:szCs w:val="28"/>
          <w:rtl/>
        </w:rPr>
        <w:t xml:space="preserve">במדינת ישראל השוק </w:t>
      </w:r>
      <w:proofErr w:type="spellStart"/>
      <w:r w:rsidR="00A55FAF">
        <w:rPr>
          <w:rFonts w:ascii="FrankRuehl" w:hAnsi="FrankRuehl" w:cs="FrankRuehl" w:hint="cs"/>
          <w:sz w:val="28"/>
          <w:szCs w:val="28"/>
          <w:rtl/>
        </w:rPr>
        <w:t>והפרהסיא</w:t>
      </w:r>
      <w:proofErr w:type="spellEnd"/>
      <w:r w:rsidR="00A55FAF">
        <w:rPr>
          <w:rFonts w:ascii="FrankRuehl" w:hAnsi="FrankRuehl" w:cs="FrankRuehl" w:hint="cs"/>
          <w:sz w:val="28"/>
          <w:szCs w:val="28"/>
          <w:rtl/>
        </w:rPr>
        <w:t xml:space="preserve"> הם מעבר לממד הציבורי. </w:t>
      </w:r>
      <w:r w:rsidR="0025505E">
        <w:rPr>
          <w:rFonts w:ascii="FrankRuehl" w:hAnsi="FrankRuehl" w:cs="FrankRuehl" w:hint="cs"/>
          <w:sz w:val="28"/>
          <w:szCs w:val="28"/>
          <w:rtl/>
        </w:rPr>
        <w:t>הם</w:t>
      </w:r>
      <w:r w:rsidR="00A55FAF">
        <w:rPr>
          <w:rFonts w:ascii="FrankRuehl" w:hAnsi="FrankRuehl" w:cs="FrankRuehl" w:hint="cs"/>
          <w:sz w:val="28"/>
          <w:szCs w:val="28"/>
          <w:rtl/>
        </w:rPr>
        <w:t xml:space="preserve"> פניה של המדינה, ולכן </w:t>
      </w:r>
      <w:r w:rsidR="00D96356">
        <w:rPr>
          <w:rFonts w:ascii="FrankRuehl" w:hAnsi="FrankRuehl" w:cs="FrankRuehl" w:hint="cs"/>
          <w:sz w:val="28"/>
          <w:szCs w:val="28"/>
          <w:rtl/>
        </w:rPr>
        <w:t xml:space="preserve">לדעת הרב גורן </w:t>
      </w:r>
      <w:r w:rsidR="00A34631">
        <w:rPr>
          <w:rFonts w:ascii="FrankRuehl" w:hAnsi="FrankRuehl" w:cs="FrankRuehl" w:hint="cs"/>
          <w:sz w:val="28"/>
          <w:szCs w:val="28"/>
          <w:rtl/>
        </w:rPr>
        <w:t xml:space="preserve">והרב ישראלי </w:t>
      </w:r>
      <w:r w:rsidR="00A55FAF">
        <w:rPr>
          <w:rFonts w:ascii="FrankRuehl" w:hAnsi="FrankRuehl" w:cs="FrankRuehl" w:hint="cs"/>
          <w:sz w:val="28"/>
          <w:szCs w:val="28"/>
          <w:rtl/>
        </w:rPr>
        <w:t>ראוי שבמדינת היהודים תישמר השבת הציבורית.</w:t>
      </w:r>
    </w:p>
    <w:p w14:paraId="3DAC0C0B" w14:textId="083119D3" w:rsidR="00873C9D" w:rsidRDefault="00C93763" w:rsidP="0021089F">
      <w:pPr>
        <w:spacing w:line="360" w:lineRule="auto"/>
        <w:jc w:val="both"/>
        <w:rPr>
          <w:rFonts w:ascii="FrankRuehl" w:hAnsi="FrankRuehl" w:cs="FrankRuehl"/>
          <w:sz w:val="28"/>
          <w:szCs w:val="28"/>
          <w:rtl/>
        </w:rPr>
      </w:pPr>
      <w:r>
        <w:rPr>
          <w:rFonts w:ascii="FrankRuehl" w:hAnsi="FrankRuehl" w:cs="FrankRuehl" w:hint="cs"/>
          <w:sz w:val="28"/>
          <w:szCs w:val="28"/>
          <w:rtl/>
        </w:rPr>
        <w:t>הספר מניח</w:t>
      </w:r>
      <w:r w:rsidR="00873C9D">
        <w:rPr>
          <w:rFonts w:ascii="FrankRuehl" w:hAnsi="FrankRuehl" w:cs="FrankRuehl" w:hint="cs"/>
          <w:sz w:val="28"/>
          <w:szCs w:val="28"/>
          <w:rtl/>
        </w:rPr>
        <w:t xml:space="preserve"> אפוא את היסודות לדיון בשבת הציבורית בישראל. </w:t>
      </w:r>
      <w:r w:rsidR="008E3035">
        <w:rPr>
          <w:rFonts w:ascii="FrankRuehl" w:hAnsi="FrankRuehl" w:cs="FrankRuehl" w:hint="cs"/>
          <w:sz w:val="28"/>
          <w:szCs w:val="28"/>
          <w:rtl/>
        </w:rPr>
        <w:t>"</w:t>
      </w:r>
      <w:r w:rsidR="00873C9D">
        <w:rPr>
          <w:rFonts w:ascii="FrankRuehl" w:hAnsi="FrankRuehl" w:cs="FrankRuehl" w:hint="cs"/>
          <w:sz w:val="28"/>
          <w:szCs w:val="28"/>
          <w:rtl/>
        </w:rPr>
        <w:t>הסיפור של השבת</w:t>
      </w:r>
      <w:r w:rsidR="008E3035">
        <w:rPr>
          <w:rFonts w:ascii="FrankRuehl" w:hAnsi="FrankRuehl" w:cs="FrankRuehl" w:hint="cs"/>
          <w:sz w:val="28"/>
          <w:szCs w:val="28"/>
          <w:rtl/>
        </w:rPr>
        <w:t>"</w:t>
      </w:r>
      <w:r w:rsidR="00873C9D">
        <w:rPr>
          <w:rFonts w:ascii="FrankRuehl" w:hAnsi="FrankRuehl" w:cs="FrankRuehl" w:hint="cs"/>
          <w:sz w:val="28"/>
          <w:szCs w:val="28"/>
          <w:rtl/>
        </w:rPr>
        <w:t xml:space="preserve"> מכיל מבחינת הנרטיב שלו שבת לאומית-ציבורית, והנרטיב מיתרגם </w:t>
      </w:r>
      <w:proofErr w:type="spellStart"/>
      <w:r w:rsidR="00873C9D">
        <w:rPr>
          <w:rFonts w:ascii="FrankRuehl" w:hAnsi="FrankRuehl" w:cs="FrankRuehl" w:hint="cs"/>
          <w:sz w:val="28"/>
          <w:szCs w:val="28"/>
          <w:rtl/>
        </w:rPr>
        <w:t>לנומוס</w:t>
      </w:r>
      <w:proofErr w:type="spellEnd"/>
      <w:r w:rsidR="00873C9D">
        <w:rPr>
          <w:rFonts w:ascii="FrankRuehl" w:hAnsi="FrankRuehl" w:cs="FrankRuehl" w:hint="cs"/>
          <w:sz w:val="28"/>
          <w:szCs w:val="28"/>
          <w:rtl/>
        </w:rPr>
        <w:t xml:space="preserve"> בדמות הלכת המשמר שבתו בשוק ובאמצעות הדרישה הדתית לשמירת השבת הציבורית במדינת ישראל. </w:t>
      </w:r>
    </w:p>
    <w:p w14:paraId="77C4D878" w14:textId="77777777" w:rsidR="00EA5F09" w:rsidRDefault="00EA5F09" w:rsidP="0021089F">
      <w:pPr>
        <w:spacing w:line="360" w:lineRule="auto"/>
        <w:jc w:val="both"/>
        <w:rPr>
          <w:rFonts w:ascii="FrankRuehl" w:hAnsi="FrankRuehl" w:cs="FrankRuehl"/>
          <w:sz w:val="28"/>
          <w:szCs w:val="28"/>
          <w:rtl/>
        </w:rPr>
      </w:pPr>
    </w:p>
    <w:p w14:paraId="7F5D8A2D" w14:textId="2720935A" w:rsidR="007A50A8" w:rsidRDefault="00873C9D"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כאן מתבקש המעבר אל </w:t>
      </w:r>
      <w:proofErr w:type="spellStart"/>
      <w:r>
        <w:rPr>
          <w:rFonts w:ascii="FrankRuehl" w:hAnsi="FrankRuehl" w:cs="FrankRuehl" w:hint="cs"/>
          <w:sz w:val="28"/>
          <w:szCs w:val="28"/>
          <w:rtl/>
        </w:rPr>
        <w:t>הפרקטיקות</w:t>
      </w:r>
      <w:proofErr w:type="spellEnd"/>
      <w:r>
        <w:rPr>
          <w:rFonts w:ascii="FrankRuehl" w:hAnsi="FrankRuehl" w:cs="FrankRuehl" w:hint="cs"/>
          <w:sz w:val="28"/>
          <w:szCs w:val="28"/>
          <w:rtl/>
        </w:rPr>
        <w:t xml:space="preserve"> עצמן</w:t>
      </w:r>
      <w:r w:rsidR="002F657E">
        <w:rPr>
          <w:rFonts w:ascii="FrankRuehl" w:hAnsi="FrankRuehl" w:cs="FrankRuehl" w:hint="cs"/>
          <w:sz w:val="28"/>
          <w:szCs w:val="28"/>
          <w:rtl/>
        </w:rPr>
        <w:t>:</w:t>
      </w:r>
      <w:r>
        <w:rPr>
          <w:rFonts w:ascii="FrankRuehl" w:hAnsi="FrankRuehl" w:cs="FrankRuehl" w:hint="cs"/>
          <w:sz w:val="28"/>
          <w:szCs w:val="28"/>
          <w:rtl/>
        </w:rPr>
        <w:t xml:space="preserve"> כיצד תישמר השבת הציבורית בישראל? לציבוריות של השבת ש</w:t>
      </w:r>
      <w:r w:rsidR="008E3035">
        <w:rPr>
          <w:rFonts w:ascii="FrankRuehl" w:hAnsi="FrankRuehl" w:cs="FrankRuehl" w:hint="cs"/>
          <w:sz w:val="28"/>
          <w:szCs w:val="28"/>
          <w:rtl/>
        </w:rPr>
        <w:t>נ</w:t>
      </w:r>
      <w:r>
        <w:rPr>
          <w:rFonts w:ascii="FrankRuehl" w:hAnsi="FrankRuehl" w:cs="FrankRuehl" w:hint="cs"/>
          <w:sz w:val="28"/>
          <w:szCs w:val="28"/>
          <w:rtl/>
        </w:rPr>
        <w:t xml:space="preserve">י פנים: פן אחד </w:t>
      </w:r>
      <w:r w:rsidR="007A50A8">
        <w:rPr>
          <w:rFonts w:ascii="FrankRuehl" w:hAnsi="FrankRuehl" w:cs="FrankRuehl" w:hint="cs"/>
          <w:sz w:val="28"/>
          <w:szCs w:val="28"/>
          <w:rtl/>
        </w:rPr>
        <w:t xml:space="preserve">הוא ציבור האזרחים במדינת ישראל. רובם המכריע אינם שומרי שבת. </w:t>
      </w:r>
      <w:r w:rsidR="008E3035">
        <w:rPr>
          <w:rFonts w:ascii="FrankRuehl" w:hAnsi="FrankRuehl" w:cs="FrankRuehl" w:hint="cs"/>
          <w:sz w:val="28"/>
          <w:szCs w:val="28"/>
          <w:rtl/>
        </w:rPr>
        <w:t xml:space="preserve">אם כך, </w:t>
      </w:r>
      <w:r w:rsidR="007A50A8">
        <w:rPr>
          <w:rFonts w:ascii="FrankRuehl" w:hAnsi="FrankRuehl" w:cs="FrankRuehl" w:hint="cs"/>
          <w:sz w:val="28"/>
          <w:szCs w:val="28"/>
          <w:rtl/>
        </w:rPr>
        <w:t>כיצד ניתן להסדיר את שמירת השבת בפומבי</w:t>
      </w:r>
      <w:r w:rsidR="008E3035">
        <w:rPr>
          <w:rFonts w:ascii="FrankRuehl" w:hAnsi="FrankRuehl" w:cs="FrankRuehl" w:hint="cs"/>
          <w:sz w:val="28"/>
          <w:szCs w:val="28"/>
          <w:rtl/>
        </w:rPr>
        <w:t>,</w:t>
      </w:r>
      <w:r w:rsidR="007A50A8">
        <w:rPr>
          <w:rFonts w:ascii="FrankRuehl" w:hAnsi="FrankRuehl" w:cs="FrankRuehl" w:hint="cs"/>
          <w:sz w:val="28"/>
          <w:szCs w:val="28"/>
          <w:rtl/>
        </w:rPr>
        <w:t xml:space="preserve"> כאשר רק המיעוט מעוניין בכך? הפן השני הוא זרועות המדינה והשירותים הציבוריים: הצבא, המשטרה וחברת החשמל. כיצד יקיימו גופים ציבוריים אלה את פעילותם בשבת, כשחלק ניכר ממנה כרוך</w:t>
      </w:r>
      <w:r w:rsidR="00D96356">
        <w:rPr>
          <w:rFonts w:ascii="FrankRuehl" w:hAnsi="FrankRuehl" w:cs="FrankRuehl" w:hint="cs"/>
          <w:sz w:val="28"/>
          <w:szCs w:val="28"/>
          <w:rtl/>
        </w:rPr>
        <w:t>, לכאורה,</w:t>
      </w:r>
      <w:r w:rsidR="007A50A8">
        <w:rPr>
          <w:rFonts w:ascii="FrankRuehl" w:hAnsi="FrankRuehl" w:cs="FrankRuehl" w:hint="cs"/>
          <w:sz w:val="28"/>
          <w:szCs w:val="28"/>
          <w:rtl/>
        </w:rPr>
        <w:t xml:space="preserve"> בחילול שבת?</w:t>
      </w:r>
    </w:p>
    <w:p w14:paraId="77B8CFF0" w14:textId="5F345C53" w:rsidR="00D63F79" w:rsidRDefault="007A50A8" w:rsidP="0021089F">
      <w:pPr>
        <w:spacing w:line="360" w:lineRule="auto"/>
        <w:jc w:val="both"/>
        <w:rPr>
          <w:rFonts w:ascii="FrankRuehl" w:hAnsi="FrankRuehl" w:cs="FrankRuehl"/>
          <w:sz w:val="28"/>
          <w:szCs w:val="28"/>
          <w:rtl/>
        </w:rPr>
      </w:pPr>
      <w:r>
        <w:rPr>
          <w:rFonts w:ascii="FrankRuehl" w:hAnsi="FrankRuehl" w:cs="FrankRuehl" w:hint="cs"/>
          <w:sz w:val="28"/>
          <w:szCs w:val="28"/>
          <w:rtl/>
        </w:rPr>
        <w:t>נפתח בפן הראשון</w:t>
      </w:r>
      <w:r w:rsidR="008E3035">
        <w:rPr>
          <w:rFonts w:ascii="FrankRuehl" w:hAnsi="FrankRuehl" w:cs="FrankRuehl" w:hint="cs"/>
          <w:sz w:val="28"/>
          <w:szCs w:val="28"/>
          <w:rtl/>
        </w:rPr>
        <w:t>,</w:t>
      </w:r>
      <w:r w:rsidR="00C93763">
        <w:rPr>
          <w:rFonts w:ascii="FrankRuehl" w:hAnsi="FrankRuehl" w:cs="FrankRuehl" w:hint="cs"/>
          <w:sz w:val="28"/>
          <w:szCs w:val="28"/>
          <w:rtl/>
        </w:rPr>
        <w:t xml:space="preserve"> שעניינו הוא הסדרת שמירת השבת במרחב הציבורי, </w:t>
      </w:r>
      <w:r w:rsidR="00D96356">
        <w:rPr>
          <w:rFonts w:ascii="FrankRuehl" w:hAnsi="FrankRuehl" w:cs="FrankRuehl" w:hint="cs"/>
          <w:sz w:val="28"/>
          <w:szCs w:val="28"/>
          <w:rtl/>
        </w:rPr>
        <w:t>הנוגעת בין היתר</w:t>
      </w:r>
      <w:r w:rsidR="00C93763">
        <w:rPr>
          <w:rFonts w:ascii="FrankRuehl" w:hAnsi="FrankRuehl" w:cs="FrankRuehl" w:hint="cs"/>
          <w:sz w:val="28"/>
          <w:szCs w:val="28"/>
          <w:rtl/>
        </w:rPr>
        <w:t xml:space="preserve"> </w:t>
      </w:r>
      <w:r w:rsidR="00D96356">
        <w:rPr>
          <w:rFonts w:ascii="FrankRuehl" w:hAnsi="FrankRuehl" w:cs="FrankRuehl" w:hint="cs"/>
          <w:sz w:val="28"/>
          <w:szCs w:val="28"/>
          <w:rtl/>
        </w:rPr>
        <w:t>ב</w:t>
      </w:r>
      <w:r w:rsidR="00C93763">
        <w:rPr>
          <w:rFonts w:ascii="FrankRuehl" w:hAnsi="FrankRuehl" w:cs="FrankRuehl" w:hint="cs"/>
          <w:sz w:val="28"/>
          <w:szCs w:val="28"/>
          <w:rtl/>
        </w:rPr>
        <w:t xml:space="preserve">שאלת </w:t>
      </w:r>
      <w:r w:rsidR="00D96356">
        <w:rPr>
          <w:rFonts w:ascii="FrankRuehl" w:hAnsi="FrankRuehl" w:cs="FrankRuehl" w:hint="cs"/>
          <w:sz w:val="28"/>
          <w:szCs w:val="28"/>
          <w:rtl/>
        </w:rPr>
        <w:t xml:space="preserve">ההפעלה של </w:t>
      </w:r>
      <w:r w:rsidR="00C93763">
        <w:rPr>
          <w:rFonts w:ascii="FrankRuehl" w:hAnsi="FrankRuehl" w:cs="FrankRuehl" w:hint="cs"/>
          <w:sz w:val="28"/>
          <w:szCs w:val="28"/>
          <w:rtl/>
        </w:rPr>
        <w:t>תחבורה ציבורית בשבת. לצורך דיון בשאלה זו נטל</w:t>
      </w:r>
      <w:r w:rsidR="007A0A54">
        <w:rPr>
          <w:rFonts w:ascii="FrankRuehl" w:hAnsi="FrankRuehl" w:cs="FrankRuehl" w:hint="cs"/>
          <w:sz w:val="28"/>
          <w:szCs w:val="28"/>
          <w:rtl/>
        </w:rPr>
        <w:t xml:space="preserve">ו </w:t>
      </w:r>
      <w:r w:rsidR="00334F38">
        <w:rPr>
          <w:rFonts w:ascii="FrankRuehl" w:hAnsi="FrankRuehl" w:cs="FrankRuehl" w:hint="cs"/>
          <w:sz w:val="28"/>
          <w:szCs w:val="28"/>
          <w:rtl/>
        </w:rPr>
        <w:t>ארונובסקי וספיר</w:t>
      </w:r>
      <w:r w:rsidR="007A0A54">
        <w:rPr>
          <w:rFonts w:ascii="FrankRuehl" w:hAnsi="FrankRuehl" w:cs="FrankRuehl" w:hint="cs"/>
          <w:sz w:val="28"/>
          <w:szCs w:val="28"/>
          <w:rtl/>
        </w:rPr>
        <w:t xml:space="preserve"> דוגמא </w:t>
      </w:r>
      <w:r w:rsidR="009B5758">
        <w:rPr>
          <w:rFonts w:ascii="FrankRuehl" w:hAnsi="FrankRuehl" w:cs="FrankRuehl" w:hint="cs"/>
          <w:sz w:val="28"/>
          <w:szCs w:val="28"/>
          <w:rtl/>
        </w:rPr>
        <w:t xml:space="preserve">מעניינת מהסכם קואליציוני שנערך בשנת 1961 בין </w:t>
      </w:r>
      <w:r w:rsidR="00334F38">
        <w:rPr>
          <w:rFonts w:ascii="FrankRuehl" w:hAnsi="FrankRuehl" w:cs="FrankRuehl" w:hint="cs"/>
          <w:sz w:val="28"/>
          <w:szCs w:val="28"/>
          <w:rtl/>
        </w:rPr>
        <w:t>שתי מפלגות</w:t>
      </w:r>
      <w:r w:rsidR="008E3035">
        <w:rPr>
          <w:rFonts w:ascii="FrankRuehl" w:hAnsi="FrankRuehl" w:cs="FrankRuehl" w:hint="cs"/>
          <w:sz w:val="28"/>
          <w:szCs w:val="28"/>
          <w:rtl/>
        </w:rPr>
        <w:t xml:space="preserve"> -</w:t>
      </w:r>
      <w:r w:rsidR="009B5758">
        <w:rPr>
          <w:rFonts w:ascii="FrankRuehl" w:hAnsi="FrankRuehl" w:cs="FrankRuehl" w:hint="cs"/>
          <w:sz w:val="28"/>
          <w:szCs w:val="28"/>
          <w:rtl/>
        </w:rPr>
        <w:t xml:space="preserve"> מפא"י ומפד"ל. בהסכם זה </w:t>
      </w:r>
      <w:r w:rsidR="00D96356">
        <w:rPr>
          <w:rFonts w:ascii="FrankRuehl" w:hAnsi="FrankRuehl" w:cs="FrankRuehl" w:hint="cs"/>
          <w:sz w:val="28"/>
          <w:szCs w:val="28"/>
          <w:rtl/>
        </w:rPr>
        <w:t xml:space="preserve">עמד להיות מעוגן בחקיקה ראשית </w:t>
      </w:r>
      <w:r w:rsidR="009B5758">
        <w:rPr>
          <w:rFonts w:ascii="FrankRuehl" w:hAnsi="FrankRuehl" w:cs="FrankRuehl" w:hint="cs"/>
          <w:sz w:val="28"/>
          <w:szCs w:val="28"/>
          <w:rtl/>
        </w:rPr>
        <w:t xml:space="preserve"> סטטוס-קוו, </w:t>
      </w:r>
      <w:r w:rsidR="00D96356">
        <w:rPr>
          <w:rFonts w:ascii="FrankRuehl" w:hAnsi="FrankRuehl" w:cs="FrankRuehl" w:hint="cs"/>
          <w:sz w:val="28"/>
          <w:szCs w:val="28"/>
          <w:rtl/>
        </w:rPr>
        <w:t xml:space="preserve">שנהג שנים ארוכות לפני כן, לפיו </w:t>
      </w:r>
      <w:r w:rsidR="005C1570">
        <w:rPr>
          <w:rFonts w:ascii="FrankRuehl" w:hAnsi="FrankRuehl" w:cs="FrankRuehl" w:hint="cs"/>
          <w:sz w:val="28"/>
          <w:szCs w:val="28"/>
          <w:rtl/>
        </w:rPr>
        <w:t>תתקיים</w:t>
      </w:r>
      <w:r w:rsidR="009B5758">
        <w:rPr>
          <w:rFonts w:ascii="FrankRuehl" w:hAnsi="FrankRuehl" w:cs="FrankRuehl" w:hint="cs"/>
          <w:sz w:val="28"/>
          <w:szCs w:val="28"/>
          <w:rtl/>
        </w:rPr>
        <w:t xml:space="preserve"> תחבורה ציבורית בשבת בחיפה, ומאידך, תימנע תחבורה ציבורית במקומות יישוב אחרים בישראל. הסכם זה עורר פולמוס הלכתי נרחב ונוקב,</w:t>
      </w:r>
      <w:r w:rsidR="00913F64">
        <w:rPr>
          <w:rStyle w:val="ab"/>
          <w:rFonts w:ascii="FrankRuehl" w:hAnsi="FrankRuehl" w:cs="FrankRuehl"/>
          <w:sz w:val="28"/>
          <w:szCs w:val="28"/>
          <w:rtl/>
        </w:rPr>
        <w:footnoteReference w:id="20"/>
      </w:r>
      <w:r w:rsidR="009B5758">
        <w:rPr>
          <w:rFonts w:ascii="FrankRuehl" w:hAnsi="FrankRuehl" w:cs="FrankRuehl" w:hint="cs"/>
          <w:sz w:val="28"/>
          <w:szCs w:val="28"/>
          <w:rtl/>
        </w:rPr>
        <w:t xml:space="preserve"> שנסוב סביב כמה שאלות-יסוד באתיקה של פסיקת הלכה: האם פוסק הלכה רשאי להתפשר ולהתיר עב</w:t>
      </w:r>
      <w:r w:rsidR="002F657E">
        <w:rPr>
          <w:rFonts w:ascii="FrankRuehl" w:hAnsi="FrankRuehl" w:cs="FrankRuehl" w:hint="cs"/>
          <w:sz w:val="28"/>
          <w:szCs w:val="28"/>
          <w:rtl/>
        </w:rPr>
        <w:t>ֵ</w:t>
      </w:r>
      <w:r w:rsidR="009B5758">
        <w:rPr>
          <w:rFonts w:ascii="FrankRuehl" w:hAnsi="FrankRuehl" w:cs="FrankRuehl" w:hint="cs"/>
          <w:sz w:val="28"/>
          <w:szCs w:val="28"/>
          <w:rtl/>
        </w:rPr>
        <w:t>ר</w:t>
      </w:r>
      <w:r w:rsidR="002F657E">
        <w:rPr>
          <w:rFonts w:ascii="FrankRuehl" w:hAnsi="FrankRuehl" w:cs="FrankRuehl" w:hint="cs"/>
          <w:sz w:val="28"/>
          <w:szCs w:val="28"/>
          <w:rtl/>
        </w:rPr>
        <w:t>ָ</w:t>
      </w:r>
      <w:r w:rsidR="009B5758">
        <w:rPr>
          <w:rFonts w:ascii="FrankRuehl" w:hAnsi="FrankRuehl" w:cs="FrankRuehl" w:hint="cs"/>
          <w:sz w:val="28"/>
          <w:szCs w:val="28"/>
          <w:rtl/>
        </w:rPr>
        <w:t>ה אחת</w:t>
      </w:r>
      <w:r w:rsidR="002F657E">
        <w:rPr>
          <w:rFonts w:ascii="FrankRuehl" w:hAnsi="FrankRuehl" w:cs="FrankRuehl" w:hint="cs"/>
          <w:sz w:val="28"/>
          <w:szCs w:val="28"/>
          <w:rtl/>
        </w:rPr>
        <w:t>,</w:t>
      </w:r>
      <w:r w:rsidR="009B5758">
        <w:rPr>
          <w:rFonts w:ascii="FrankRuehl" w:hAnsi="FrankRuehl" w:cs="FrankRuehl" w:hint="cs"/>
          <w:sz w:val="28"/>
          <w:szCs w:val="28"/>
          <w:rtl/>
        </w:rPr>
        <w:t xml:space="preserve"> כשבתמורה לכך תימנענה עברות אחרות? </w:t>
      </w:r>
      <w:r w:rsidR="00024126">
        <w:rPr>
          <w:rFonts w:ascii="FrankRuehl" w:hAnsi="FrankRuehl" w:cs="FrankRuehl" w:hint="cs"/>
          <w:sz w:val="28"/>
          <w:szCs w:val="28"/>
          <w:rtl/>
        </w:rPr>
        <w:t xml:space="preserve">בדומה לכך: </w:t>
      </w:r>
      <w:r w:rsidR="009B5758">
        <w:rPr>
          <w:rFonts w:ascii="FrankRuehl" w:hAnsi="FrankRuehl" w:cs="FrankRuehl" w:hint="cs"/>
          <w:sz w:val="28"/>
          <w:szCs w:val="28"/>
          <w:rtl/>
        </w:rPr>
        <w:t xml:space="preserve">האם ניתן להקריב קהילה מסוימת שתספוג </w:t>
      </w:r>
      <w:r w:rsidR="00024126">
        <w:rPr>
          <w:rFonts w:ascii="FrankRuehl" w:hAnsi="FrankRuehl" w:cs="FrankRuehl" w:hint="cs"/>
          <w:sz w:val="28"/>
          <w:szCs w:val="28"/>
          <w:rtl/>
        </w:rPr>
        <w:t>חילול שבת מוגבר</w:t>
      </w:r>
      <w:r w:rsidR="008E3035">
        <w:rPr>
          <w:rFonts w:ascii="FrankRuehl" w:hAnsi="FrankRuehl" w:cs="FrankRuehl" w:hint="cs"/>
          <w:sz w:val="28"/>
          <w:szCs w:val="28"/>
          <w:rtl/>
        </w:rPr>
        <w:t>,</w:t>
      </w:r>
      <w:r w:rsidR="00024126">
        <w:rPr>
          <w:rFonts w:ascii="FrankRuehl" w:hAnsi="FrankRuehl" w:cs="FrankRuehl" w:hint="cs"/>
          <w:sz w:val="28"/>
          <w:szCs w:val="28"/>
          <w:rtl/>
        </w:rPr>
        <w:t xml:space="preserve"> על מנת שקהילות אחרות יזכו לחילול שבת מופחת? שאלות אלו מו</w:t>
      </w:r>
      <w:r w:rsidR="008E3035">
        <w:rPr>
          <w:rFonts w:ascii="FrankRuehl" w:hAnsi="FrankRuehl" w:cs="FrankRuehl" w:hint="cs"/>
          <w:sz w:val="28"/>
          <w:szCs w:val="28"/>
          <w:rtl/>
        </w:rPr>
        <w:t>ּ</w:t>
      </w:r>
      <w:r w:rsidR="00024126">
        <w:rPr>
          <w:rFonts w:ascii="FrankRuehl" w:hAnsi="FrankRuehl" w:cs="FrankRuehl" w:hint="cs"/>
          <w:sz w:val="28"/>
          <w:szCs w:val="28"/>
          <w:rtl/>
        </w:rPr>
        <w:t>כ</w:t>
      </w:r>
      <w:r w:rsidR="008E3035">
        <w:rPr>
          <w:rFonts w:ascii="FrankRuehl" w:hAnsi="FrankRuehl" w:cs="FrankRuehl" w:hint="cs"/>
          <w:sz w:val="28"/>
          <w:szCs w:val="28"/>
          <w:rtl/>
        </w:rPr>
        <w:t>ָּ</w:t>
      </w:r>
      <w:r w:rsidR="00024126">
        <w:rPr>
          <w:rFonts w:ascii="FrankRuehl" w:hAnsi="FrankRuehl" w:cs="FrankRuehl" w:hint="cs"/>
          <w:sz w:val="28"/>
          <w:szCs w:val="28"/>
          <w:rtl/>
        </w:rPr>
        <w:t>רו</w:t>
      </w:r>
      <w:r w:rsidR="008E3035">
        <w:rPr>
          <w:rFonts w:ascii="FrankRuehl" w:hAnsi="FrankRuehl" w:cs="FrankRuehl" w:hint="cs"/>
          <w:sz w:val="28"/>
          <w:szCs w:val="28"/>
          <w:rtl/>
        </w:rPr>
        <w:t>ֹ</w:t>
      </w:r>
      <w:r w:rsidR="00024126">
        <w:rPr>
          <w:rFonts w:ascii="FrankRuehl" w:hAnsi="FrankRuehl" w:cs="FrankRuehl" w:hint="cs"/>
          <w:sz w:val="28"/>
          <w:szCs w:val="28"/>
          <w:rtl/>
        </w:rPr>
        <w:t xml:space="preserve">ת בתחומים שונים של האתיקה, ושם מקובל להציגן כמתח בין גישה </w:t>
      </w:r>
      <w:proofErr w:type="spellStart"/>
      <w:r w:rsidR="00024126">
        <w:rPr>
          <w:rFonts w:ascii="FrankRuehl" w:hAnsi="FrankRuehl" w:cs="FrankRuehl" w:hint="cs"/>
          <w:sz w:val="28"/>
          <w:szCs w:val="28"/>
          <w:rtl/>
        </w:rPr>
        <w:t>דאונטולוגית</w:t>
      </w:r>
      <w:proofErr w:type="spellEnd"/>
      <w:r w:rsidR="00024126">
        <w:rPr>
          <w:rFonts w:ascii="FrankRuehl" w:hAnsi="FrankRuehl" w:cs="FrankRuehl" w:hint="cs"/>
          <w:sz w:val="28"/>
          <w:szCs w:val="28"/>
          <w:rtl/>
        </w:rPr>
        <w:t xml:space="preserve"> לבין גישה תועלתית.</w:t>
      </w:r>
      <w:r w:rsidR="00334F38">
        <w:rPr>
          <w:rStyle w:val="ab"/>
          <w:rFonts w:ascii="FrankRuehl" w:hAnsi="FrankRuehl" w:cs="FrankRuehl"/>
          <w:sz w:val="28"/>
          <w:szCs w:val="28"/>
          <w:rtl/>
        </w:rPr>
        <w:footnoteReference w:id="21"/>
      </w:r>
      <w:r w:rsidR="00024126">
        <w:rPr>
          <w:rFonts w:ascii="FrankRuehl" w:hAnsi="FrankRuehl" w:cs="FrankRuehl" w:hint="cs"/>
          <w:sz w:val="28"/>
          <w:szCs w:val="28"/>
          <w:rtl/>
        </w:rPr>
        <w:t xml:space="preserve"> ייתכן שמתח זה מזין גם את הפולמוס דנן: התועלתיים נכונים להקריב </w:t>
      </w:r>
      <w:r w:rsidR="008E3035">
        <w:rPr>
          <w:rFonts w:ascii="FrankRuehl" w:hAnsi="FrankRuehl" w:cs="FrankRuehl" w:hint="cs"/>
          <w:sz w:val="28"/>
          <w:szCs w:val="28"/>
          <w:rtl/>
        </w:rPr>
        <w:t>מעט - את</w:t>
      </w:r>
      <w:r w:rsidR="00024126">
        <w:rPr>
          <w:rFonts w:ascii="FrankRuehl" w:hAnsi="FrankRuehl" w:cs="FrankRuehl" w:hint="cs"/>
          <w:sz w:val="28"/>
          <w:szCs w:val="28"/>
          <w:rtl/>
        </w:rPr>
        <w:t xml:space="preserve"> חיפה, כדי לקבל</w:t>
      </w:r>
      <w:r w:rsidR="008E3035">
        <w:rPr>
          <w:rFonts w:ascii="FrankRuehl" w:hAnsi="FrankRuehl" w:cs="FrankRuehl" w:hint="cs"/>
          <w:sz w:val="28"/>
          <w:szCs w:val="28"/>
          <w:rtl/>
        </w:rPr>
        <w:t xml:space="preserve"> הרבה -</w:t>
      </w:r>
      <w:r w:rsidR="00024126">
        <w:rPr>
          <w:rFonts w:ascii="FrankRuehl" w:hAnsi="FrankRuehl" w:cs="FrankRuehl" w:hint="cs"/>
          <w:sz w:val="28"/>
          <w:szCs w:val="28"/>
          <w:rtl/>
        </w:rPr>
        <w:t xml:space="preserve"> מדינה שומרת שבת ציבורית. </w:t>
      </w:r>
      <w:proofErr w:type="spellStart"/>
      <w:r w:rsidR="00024126">
        <w:rPr>
          <w:rFonts w:ascii="FrankRuehl" w:hAnsi="FrankRuehl" w:cs="FrankRuehl" w:hint="cs"/>
          <w:sz w:val="28"/>
          <w:szCs w:val="28"/>
          <w:rtl/>
        </w:rPr>
        <w:t>הדאונטולוגים</w:t>
      </w:r>
      <w:proofErr w:type="spellEnd"/>
      <w:r w:rsidR="00024126">
        <w:rPr>
          <w:rFonts w:ascii="FrankRuehl" w:hAnsi="FrankRuehl" w:cs="FrankRuehl" w:hint="cs"/>
          <w:sz w:val="28"/>
          <w:szCs w:val="28"/>
          <w:rtl/>
        </w:rPr>
        <w:t xml:space="preserve"> דוחים שיקול כמותי, ומבחינתם דם-ליבה של המדינה אינו סמוק יותר מדם-ליבה של חיפה. </w:t>
      </w:r>
    </w:p>
    <w:p w14:paraId="4EB582F5" w14:textId="5DC5B5B3" w:rsidR="00873C9D" w:rsidRDefault="007D4F2A" w:rsidP="0021089F">
      <w:pPr>
        <w:spacing w:line="360" w:lineRule="auto"/>
        <w:jc w:val="both"/>
        <w:rPr>
          <w:rFonts w:ascii="FrankRuehl" w:hAnsi="FrankRuehl" w:cs="FrankRuehl"/>
          <w:sz w:val="28"/>
          <w:szCs w:val="28"/>
          <w:rtl/>
        </w:rPr>
      </w:pPr>
      <w:r>
        <w:rPr>
          <w:rFonts w:ascii="FrankRuehl" w:hAnsi="FrankRuehl" w:cs="FrankRuehl" w:hint="cs"/>
          <w:sz w:val="28"/>
          <w:szCs w:val="28"/>
          <w:rtl/>
        </w:rPr>
        <w:t>באופן אחר</w:t>
      </w:r>
      <w:r w:rsidR="00024126">
        <w:rPr>
          <w:rFonts w:ascii="FrankRuehl" w:hAnsi="FrankRuehl" w:cs="FrankRuehl" w:hint="cs"/>
          <w:sz w:val="28"/>
          <w:szCs w:val="28"/>
          <w:rtl/>
        </w:rPr>
        <w:t>, ניתן להציע שהפולמוס כולו מתקיים במגרש הדאונטולוגי, והמתח מצוי סביב שתי שאלות עקרוניות הנוגעות לשמירת השבת הציבורית. השאלה הראשונה היא</w:t>
      </w:r>
      <w:r w:rsidR="00D63F79">
        <w:rPr>
          <w:rFonts w:ascii="FrankRuehl" w:hAnsi="FrankRuehl" w:cs="FrankRuehl" w:hint="cs"/>
          <w:sz w:val="28"/>
          <w:szCs w:val="28"/>
          <w:rtl/>
        </w:rPr>
        <w:t xml:space="preserve"> מיהו הציבור הרלבנטי</w:t>
      </w:r>
      <w:r w:rsidR="00B0035C">
        <w:rPr>
          <w:rFonts w:ascii="FrankRuehl" w:hAnsi="FrankRuehl" w:cs="FrankRuehl" w:hint="cs"/>
          <w:sz w:val="28"/>
          <w:szCs w:val="28"/>
          <w:rtl/>
        </w:rPr>
        <w:t>, שאנו נחלצים להגן על שמירת השבת שלו</w:t>
      </w:r>
      <w:r w:rsidR="00D63F79">
        <w:rPr>
          <w:rFonts w:ascii="FrankRuehl" w:hAnsi="FrankRuehl" w:cs="FrankRuehl" w:hint="cs"/>
          <w:sz w:val="28"/>
          <w:szCs w:val="28"/>
          <w:rtl/>
        </w:rPr>
        <w:t>. אם מדובר בקהילות של שומרי השבת, ייתכן שכל קהילה נדרשת לעמוד על נפשה, ולא ניתן לדרוש ממנה להקריב את ש</w:t>
      </w:r>
      <w:r w:rsidR="002F657E">
        <w:rPr>
          <w:rFonts w:ascii="FrankRuehl" w:hAnsi="FrankRuehl" w:cs="FrankRuehl" w:hint="cs"/>
          <w:sz w:val="28"/>
          <w:szCs w:val="28"/>
          <w:rtl/>
        </w:rPr>
        <w:t>ַ</w:t>
      </w:r>
      <w:r w:rsidR="00D63F79">
        <w:rPr>
          <w:rFonts w:ascii="FrankRuehl" w:hAnsi="FrankRuehl" w:cs="FrankRuehl" w:hint="cs"/>
          <w:sz w:val="28"/>
          <w:szCs w:val="28"/>
          <w:rtl/>
        </w:rPr>
        <w:t>ב</w:t>
      </w:r>
      <w:r w:rsidR="002F657E">
        <w:rPr>
          <w:rFonts w:ascii="FrankRuehl" w:hAnsi="FrankRuehl" w:cs="FrankRuehl" w:hint="cs"/>
          <w:sz w:val="28"/>
          <w:szCs w:val="28"/>
          <w:rtl/>
        </w:rPr>
        <w:t>ָּ</w:t>
      </w:r>
      <w:r w:rsidR="00D63F79">
        <w:rPr>
          <w:rFonts w:ascii="FrankRuehl" w:hAnsi="FrankRuehl" w:cs="FrankRuehl" w:hint="cs"/>
          <w:sz w:val="28"/>
          <w:szCs w:val="28"/>
          <w:rtl/>
        </w:rPr>
        <w:t>ת</w:t>
      </w:r>
      <w:r w:rsidR="002F657E">
        <w:rPr>
          <w:rFonts w:ascii="FrankRuehl" w:hAnsi="FrankRuehl" w:cs="FrankRuehl" w:hint="cs"/>
          <w:sz w:val="28"/>
          <w:szCs w:val="28"/>
          <w:rtl/>
        </w:rPr>
        <w:t>ָ</w:t>
      </w:r>
      <w:r w:rsidR="00D63F79">
        <w:rPr>
          <w:rFonts w:ascii="FrankRuehl" w:hAnsi="FrankRuehl" w:cs="FrankRuehl" w:hint="cs"/>
          <w:sz w:val="28"/>
          <w:szCs w:val="28"/>
          <w:rtl/>
        </w:rPr>
        <w:t>ה שבשוק</w:t>
      </w:r>
      <w:r>
        <w:rPr>
          <w:rFonts w:ascii="FrankRuehl" w:hAnsi="FrankRuehl" w:cs="FrankRuehl" w:hint="cs"/>
          <w:sz w:val="28"/>
          <w:szCs w:val="28"/>
          <w:rtl/>
        </w:rPr>
        <w:t>,</w:t>
      </w:r>
      <w:r w:rsidR="00D63F79">
        <w:rPr>
          <w:rFonts w:ascii="FrankRuehl" w:hAnsi="FrankRuehl" w:cs="FrankRuehl" w:hint="cs"/>
          <w:sz w:val="28"/>
          <w:szCs w:val="28"/>
          <w:rtl/>
        </w:rPr>
        <w:t xml:space="preserve"> לטובת שבת </w:t>
      </w:r>
      <w:proofErr w:type="spellStart"/>
      <w:r w:rsidR="00D63F79">
        <w:rPr>
          <w:rFonts w:ascii="FrankRuehl" w:hAnsi="FrankRuehl" w:cs="FrankRuehl" w:hint="cs"/>
          <w:sz w:val="28"/>
          <w:szCs w:val="28"/>
          <w:rtl/>
        </w:rPr>
        <w:t>הפרהסיא</w:t>
      </w:r>
      <w:proofErr w:type="spellEnd"/>
      <w:r w:rsidR="00D63F79">
        <w:rPr>
          <w:rFonts w:ascii="FrankRuehl" w:hAnsi="FrankRuehl" w:cs="FrankRuehl" w:hint="cs"/>
          <w:sz w:val="28"/>
          <w:szCs w:val="28"/>
          <w:rtl/>
        </w:rPr>
        <w:t xml:space="preserve"> של קהילות אחרות, גם אם הן רבות ממנה. מנגד, ייתכן שהציבור הוא מדינת ישראל בכללה, ואם כך תיבחן השבת הציבורית במבחן אווירת השבת הכללית ברחובותיה של המדינה. במבחן כזה ראוי להקריב אזור מסוים בו תחו</w:t>
      </w:r>
      <w:r w:rsidR="00F64AA8">
        <w:rPr>
          <w:rFonts w:ascii="FrankRuehl" w:hAnsi="FrankRuehl" w:cs="FrankRuehl" w:hint="cs"/>
          <w:sz w:val="28"/>
          <w:szCs w:val="28"/>
          <w:rtl/>
        </w:rPr>
        <w:t>ּ</w:t>
      </w:r>
      <w:r w:rsidR="00D63F79">
        <w:rPr>
          <w:rFonts w:ascii="FrankRuehl" w:hAnsi="FrankRuehl" w:cs="FrankRuehl" w:hint="cs"/>
          <w:sz w:val="28"/>
          <w:szCs w:val="28"/>
          <w:rtl/>
        </w:rPr>
        <w:t>ל</w:t>
      </w:r>
      <w:r w:rsidR="00F64AA8">
        <w:rPr>
          <w:rFonts w:ascii="FrankRuehl" w:hAnsi="FrankRuehl" w:cs="FrankRuehl" w:hint="cs"/>
          <w:sz w:val="28"/>
          <w:szCs w:val="28"/>
          <w:rtl/>
        </w:rPr>
        <w:t>ַ</w:t>
      </w:r>
      <w:r w:rsidR="00D63F79">
        <w:rPr>
          <w:rFonts w:ascii="FrankRuehl" w:hAnsi="FrankRuehl" w:cs="FrankRuehl" w:hint="cs"/>
          <w:sz w:val="28"/>
          <w:szCs w:val="28"/>
          <w:rtl/>
        </w:rPr>
        <w:t xml:space="preserve">ל השבת, על מנת לאפשר שמירת שבת מדינתית, לפחות בפרהסיה. </w:t>
      </w:r>
    </w:p>
    <w:p w14:paraId="23156926" w14:textId="464E080C" w:rsidR="00D63F79" w:rsidRDefault="007D4F2A"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בפולמוס השבת בחיפה עולה גם </w:t>
      </w:r>
      <w:r w:rsidR="00D63F79">
        <w:rPr>
          <w:rFonts w:ascii="FrankRuehl" w:hAnsi="FrankRuehl" w:cs="FrankRuehl" w:hint="cs"/>
          <w:sz w:val="28"/>
          <w:szCs w:val="28"/>
          <w:rtl/>
        </w:rPr>
        <w:t>שאלה אחרת</w:t>
      </w:r>
      <w:r>
        <w:rPr>
          <w:rFonts w:ascii="FrankRuehl" w:hAnsi="FrankRuehl" w:cs="FrankRuehl" w:hint="cs"/>
          <w:sz w:val="28"/>
          <w:szCs w:val="28"/>
          <w:rtl/>
        </w:rPr>
        <w:t>,</w:t>
      </w:r>
      <w:r w:rsidR="00D63F79">
        <w:rPr>
          <w:rFonts w:ascii="FrankRuehl" w:hAnsi="FrankRuehl" w:cs="FrankRuehl" w:hint="cs"/>
          <w:sz w:val="28"/>
          <w:szCs w:val="28"/>
          <w:rtl/>
        </w:rPr>
        <w:t xml:space="preserve"> </w:t>
      </w:r>
      <w:r>
        <w:rPr>
          <w:rFonts w:ascii="FrankRuehl" w:hAnsi="FrankRuehl" w:cs="FrankRuehl" w:hint="cs"/>
          <w:sz w:val="28"/>
          <w:szCs w:val="28"/>
          <w:rtl/>
        </w:rPr>
        <w:t>ה</w:t>
      </w:r>
      <w:r w:rsidR="00D63F79">
        <w:rPr>
          <w:rFonts w:ascii="FrankRuehl" w:hAnsi="FrankRuehl" w:cs="FrankRuehl" w:hint="cs"/>
          <w:sz w:val="28"/>
          <w:szCs w:val="28"/>
          <w:rtl/>
        </w:rPr>
        <w:t>נוגעת לאחריותו של הציבור הדתי לשמירת השבת</w:t>
      </w:r>
      <w:r w:rsidR="00B0035C">
        <w:rPr>
          <w:rFonts w:ascii="FrankRuehl" w:hAnsi="FrankRuehl" w:cs="FrankRuehl" w:hint="cs"/>
          <w:sz w:val="28"/>
          <w:szCs w:val="28"/>
          <w:rtl/>
        </w:rPr>
        <w:t xml:space="preserve"> הפעילה</w:t>
      </w:r>
      <w:r w:rsidR="00D63F79">
        <w:rPr>
          <w:rFonts w:ascii="FrankRuehl" w:hAnsi="FrankRuehl" w:cs="FrankRuehl" w:hint="cs"/>
          <w:sz w:val="28"/>
          <w:szCs w:val="28"/>
          <w:rtl/>
        </w:rPr>
        <w:t xml:space="preserve"> של הציבור החילוני. </w:t>
      </w:r>
      <w:r w:rsidR="00CC4073">
        <w:rPr>
          <w:rFonts w:ascii="FrankRuehl" w:hAnsi="FrankRuehl" w:cs="FrankRuehl" w:hint="cs"/>
          <w:sz w:val="28"/>
          <w:szCs w:val="28"/>
          <w:rtl/>
        </w:rPr>
        <w:t xml:space="preserve">השאלה היא </w:t>
      </w:r>
      <w:r w:rsidR="00F64AA8">
        <w:rPr>
          <w:rFonts w:ascii="FrankRuehl" w:hAnsi="FrankRuehl" w:cs="FrankRuehl" w:hint="cs"/>
          <w:sz w:val="28"/>
          <w:szCs w:val="28"/>
          <w:rtl/>
        </w:rPr>
        <w:t>ה</w:t>
      </w:r>
      <w:r w:rsidR="00CC4073">
        <w:rPr>
          <w:rFonts w:ascii="FrankRuehl" w:hAnsi="FrankRuehl" w:cs="FrankRuehl" w:hint="cs"/>
          <w:sz w:val="28"/>
          <w:szCs w:val="28"/>
          <w:rtl/>
        </w:rPr>
        <w:t xml:space="preserve">אם </w:t>
      </w:r>
      <w:r w:rsidR="00F64AA8">
        <w:rPr>
          <w:rFonts w:ascii="FrankRuehl" w:hAnsi="FrankRuehl" w:cs="FrankRuehl" w:hint="cs"/>
          <w:sz w:val="28"/>
          <w:szCs w:val="28"/>
          <w:rtl/>
        </w:rPr>
        <w:t>על הציבור הדתי להסתפק בכך</w:t>
      </w:r>
      <w:r w:rsidR="00BF2244">
        <w:rPr>
          <w:rFonts w:ascii="FrankRuehl" w:hAnsi="FrankRuehl" w:cs="FrankRuehl" w:hint="cs"/>
          <w:sz w:val="28"/>
          <w:szCs w:val="28"/>
          <w:rtl/>
        </w:rPr>
        <w:t>,</w:t>
      </w:r>
      <w:r w:rsidR="00F64AA8">
        <w:rPr>
          <w:rFonts w:ascii="FrankRuehl" w:hAnsi="FrankRuehl" w:cs="FrankRuehl" w:hint="cs"/>
          <w:sz w:val="28"/>
          <w:szCs w:val="28"/>
          <w:rtl/>
        </w:rPr>
        <w:t xml:space="preserve"> ששמירת השבת שלו לא תופרע ע"י מי שאינם שומרי שבת</w:t>
      </w:r>
      <w:r w:rsidR="00BF2244">
        <w:rPr>
          <w:rFonts w:ascii="FrankRuehl" w:hAnsi="FrankRuehl" w:cs="FrankRuehl" w:hint="cs"/>
          <w:sz w:val="28"/>
          <w:szCs w:val="28"/>
          <w:rtl/>
        </w:rPr>
        <w:t>, או שמא עליו לשאוף לקירובו של הציבור שאינו דתי</w:t>
      </w:r>
      <w:r w:rsidR="00606991">
        <w:rPr>
          <w:rFonts w:ascii="FrankRuehl" w:hAnsi="FrankRuehl" w:cs="FrankRuehl" w:hint="cs"/>
          <w:sz w:val="28"/>
          <w:szCs w:val="28"/>
          <w:rtl/>
        </w:rPr>
        <w:t>,</w:t>
      </w:r>
      <w:r w:rsidR="00BF2244">
        <w:rPr>
          <w:rFonts w:ascii="FrankRuehl" w:hAnsi="FrankRuehl" w:cs="FrankRuehl" w:hint="cs"/>
          <w:sz w:val="28"/>
          <w:szCs w:val="28"/>
          <w:rtl/>
        </w:rPr>
        <w:t xml:space="preserve"> לשבת ולערכיה. מן האפשרות הראשונה נגזרים הסדרים שמבטיחים הפחתת חילול שבת ככל האפשר. תושבי חיפה שומרי</w:t>
      </w:r>
      <w:r w:rsidR="00593B98">
        <w:rPr>
          <w:rFonts w:ascii="FrankRuehl" w:hAnsi="FrankRuehl" w:cs="FrankRuehl" w:hint="cs"/>
          <w:sz w:val="28"/>
          <w:szCs w:val="28"/>
          <w:rtl/>
        </w:rPr>
        <w:t>-</w:t>
      </w:r>
      <w:r w:rsidR="00BF2244">
        <w:rPr>
          <w:rFonts w:ascii="FrankRuehl" w:hAnsi="FrankRuehl" w:cs="FrankRuehl" w:hint="cs"/>
          <w:sz w:val="28"/>
          <w:szCs w:val="28"/>
          <w:rtl/>
        </w:rPr>
        <w:t>השבת זכאים למ</w:t>
      </w:r>
      <w:r w:rsidR="00606991">
        <w:rPr>
          <w:rFonts w:ascii="FrankRuehl" w:hAnsi="FrankRuehl" w:cs="FrankRuehl" w:hint="cs"/>
          <w:sz w:val="28"/>
          <w:szCs w:val="28"/>
          <w:rtl/>
        </w:rPr>
        <w:t>ַ</w:t>
      </w:r>
      <w:r w:rsidR="00BF2244">
        <w:rPr>
          <w:rFonts w:ascii="FrankRuehl" w:hAnsi="FrankRuehl" w:cs="FrankRuehl" w:hint="cs"/>
          <w:sz w:val="28"/>
          <w:szCs w:val="28"/>
          <w:rtl/>
        </w:rPr>
        <w:t>צות אפשרות כזו</w:t>
      </w:r>
      <w:r w:rsidR="004D03F3">
        <w:rPr>
          <w:rFonts w:ascii="FrankRuehl" w:hAnsi="FrankRuehl" w:cs="FrankRuehl" w:hint="cs"/>
          <w:sz w:val="28"/>
          <w:szCs w:val="28"/>
          <w:rtl/>
        </w:rPr>
        <w:t xml:space="preserve">, כך שיוכלו להרבות אווירה </w:t>
      </w:r>
      <w:proofErr w:type="spellStart"/>
      <w:r w:rsidR="004D03F3">
        <w:rPr>
          <w:rFonts w:ascii="FrankRuehl" w:hAnsi="FrankRuehl" w:cs="FrankRuehl" w:hint="cs"/>
          <w:sz w:val="28"/>
          <w:szCs w:val="28"/>
          <w:rtl/>
        </w:rPr>
        <w:t>שבתית</w:t>
      </w:r>
      <w:proofErr w:type="spellEnd"/>
      <w:r w:rsidR="004D03F3">
        <w:rPr>
          <w:rFonts w:ascii="FrankRuehl" w:hAnsi="FrankRuehl" w:cs="FrankRuehl" w:hint="cs"/>
          <w:sz w:val="28"/>
          <w:szCs w:val="28"/>
          <w:rtl/>
        </w:rPr>
        <w:t xml:space="preserve"> ברחובות עירם</w:t>
      </w:r>
      <w:r w:rsidR="00BF2244">
        <w:rPr>
          <w:rFonts w:ascii="FrankRuehl" w:hAnsi="FrankRuehl" w:cs="FrankRuehl" w:hint="cs"/>
          <w:sz w:val="28"/>
          <w:szCs w:val="28"/>
          <w:rtl/>
        </w:rPr>
        <w:t xml:space="preserve">. לפי האפשרות השנייה, כדי לקרב גם את מי שאינם דתיים לשבת, </w:t>
      </w:r>
      <w:r w:rsidR="00BF2244">
        <w:rPr>
          <w:rFonts w:ascii="FrankRuehl" w:hAnsi="FrankRuehl" w:cs="FrankRuehl" w:hint="cs"/>
          <w:sz w:val="28"/>
          <w:szCs w:val="28"/>
          <w:rtl/>
        </w:rPr>
        <w:lastRenderedPageBreak/>
        <w:t>נדרש להגיע ל</w:t>
      </w:r>
      <w:r w:rsidR="00CC4073">
        <w:rPr>
          <w:rFonts w:ascii="FrankRuehl" w:hAnsi="FrankRuehl" w:cs="FrankRuehl" w:hint="cs"/>
          <w:sz w:val="28"/>
          <w:szCs w:val="28"/>
          <w:rtl/>
        </w:rPr>
        <w:t>הסכמ</w:t>
      </w:r>
      <w:r w:rsidR="00A74BCC">
        <w:rPr>
          <w:rFonts w:ascii="FrankRuehl" w:hAnsi="FrankRuehl" w:cs="FrankRuehl" w:hint="cs"/>
          <w:sz w:val="28"/>
          <w:szCs w:val="28"/>
          <w:rtl/>
        </w:rPr>
        <w:t>ה</w:t>
      </w:r>
      <w:r w:rsidR="00CC4073">
        <w:rPr>
          <w:rFonts w:ascii="FrankRuehl" w:hAnsi="FrankRuehl" w:cs="FrankRuehl" w:hint="cs"/>
          <w:sz w:val="28"/>
          <w:szCs w:val="28"/>
          <w:rtl/>
        </w:rPr>
        <w:t xml:space="preserve"> רחבה</w:t>
      </w:r>
      <w:r w:rsidR="00BF2244">
        <w:rPr>
          <w:rFonts w:ascii="FrankRuehl" w:hAnsi="FrankRuehl" w:cs="FrankRuehl" w:hint="cs"/>
          <w:sz w:val="28"/>
          <w:szCs w:val="28"/>
          <w:rtl/>
        </w:rPr>
        <w:t xml:space="preserve"> על שמירת השבת, כמ</w:t>
      </w:r>
      <w:r w:rsidR="00A74BCC">
        <w:rPr>
          <w:rFonts w:ascii="FrankRuehl" w:hAnsi="FrankRuehl" w:cs="FrankRuehl" w:hint="cs"/>
          <w:sz w:val="28"/>
          <w:szCs w:val="28"/>
          <w:rtl/>
        </w:rPr>
        <w:t>ו</w:t>
      </w:r>
      <w:r w:rsidR="00BF2244">
        <w:rPr>
          <w:rFonts w:ascii="FrankRuehl" w:hAnsi="FrankRuehl" w:cs="FrankRuehl" w:hint="cs"/>
          <w:sz w:val="28"/>
          <w:szCs w:val="28"/>
          <w:rtl/>
        </w:rPr>
        <w:t xml:space="preserve"> גם על חילולה. הסכמה כזו</w:t>
      </w:r>
      <w:r w:rsidR="00CC4073">
        <w:rPr>
          <w:rFonts w:ascii="FrankRuehl" w:hAnsi="FrankRuehl" w:cs="FrankRuehl" w:hint="cs"/>
          <w:sz w:val="28"/>
          <w:szCs w:val="28"/>
          <w:rtl/>
        </w:rPr>
        <w:t xml:space="preserve"> משתפת גם את הציבור שאינו דתי בשמירת השבת</w:t>
      </w:r>
      <w:r w:rsidR="00A74BCC">
        <w:rPr>
          <w:rFonts w:ascii="FrankRuehl" w:hAnsi="FrankRuehl" w:cs="FrankRuehl" w:hint="cs"/>
          <w:sz w:val="28"/>
          <w:szCs w:val="28"/>
          <w:rtl/>
        </w:rPr>
        <w:t>, באמצעות הזדהות עם ערכי השבת</w:t>
      </w:r>
      <w:r w:rsidR="004D03F3">
        <w:rPr>
          <w:rFonts w:ascii="FrankRuehl" w:hAnsi="FrankRuehl" w:cs="FrankRuehl" w:hint="cs"/>
          <w:sz w:val="28"/>
          <w:szCs w:val="28"/>
          <w:rtl/>
        </w:rPr>
        <w:t xml:space="preserve"> וכיבודם</w:t>
      </w:r>
      <w:r w:rsidR="00606991">
        <w:rPr>
          <w:rFonts w:ascii="FrankRuehl" w:hAnsi="FrankRuehl" w:cs="FrankRuehl" w:hint="cs"/>
          <w:sz w:val="28"/>
          <w:szCs w:val="28"/>
          <w:rtl/>
        </w:rPr>
        <w:t>.</w:t>
      </w:r>
      <w:r w:rsidR="00A74BCC">
        <w:rPr>
          <w:rFonts w:ascii="FrankRuehl" w:hAnsi="FrankRuehl" w:cs="FrankRuehl" w:hint="cs"/>
          <w:sz w:val="28"/>
          <w:szCs w:val="28"/>
          <w:rtl/>
        </w:rPr>
        <w:t xml:space="preserve"> </w:t>
      </w:r>
    </w:p>
    <w:p w14:paraId="75A06D6C" w14:textId="419F8160" w:rsidR="00957386" w:rsidRDefault="00957386" w:rsidP="0021089F">
      <w:pPr>
        <w:spacing w:line="360" w:lineRule="auto"/>
        <w:jc w:val="both"/>
        <w:rPr>
          <w:rFonts w:ascii="FrankRuehl" w:hAnsi="FrankRuehl" w:cs="FrankRuehl"/>
          <w:sz w:val="28"/>
          <w:szCs w:val="28"/>
          <w:rtl/>
        </w:rPr>
      </w:pPr>
      <w:r>
        <w:rPr>
          <w:rFonts w:ascii="FrankRuehl" w:hAnsi="FrankRuehl" w:cs="FrankRuehl" w:hint="cs"/>
          <w:sz w:val="28"/>
          <w:szCs w:val="28"/>
          <w:rtl/>
        </w:rPr>
        <w:t>נעבור לפן השני של שמירת השבת הציבורית. פן זה מתייחס להתנהלותם של גופים ציבוריים בשבת</w:t>
      </w:r>
      <w:r w:rsidR="004B7757">
        <w:rPr>
          <w:rFonts w:ascii="FrankRuehl" w:hAnsi="FrankRuehl" w:cs="FrankRuehl" w:hint="cs"/>
          <w:sz w:val="28"/>
          <w:szCs w:val="28"/>
          <w:rtl/>
        </w:rPr>
        <w:t xml:space="preserve"> </w:t>
      </w:r>
      <w:r w:rsidR="004B7757">
        <w:rPr>
          <w:rFonts w:ascii="FrankRuehl" w:hAnsi="FrankRuehl" w:cs="FrankRuehl"/>
          <w:sz w:val="28"/>
          <w:szCs w:val="28"/>
          <w:rtl/>
        </w:rPr>
        <w:t>–</w:t>
      </w:r>
      <w:r w:rsidR="004B7757">
        <w:rPr>
          <w:rFonts w:ascii="FrankRuehl" w:hAnsi="FrankRuehl" w:cs="FrankRuehl" w:hint="cs"/>
          <w:sz w:val="28"/>
          <w:szCs w:val="28"/>
          <w:rtl/>
        </w:rPr>
        <w:t xml:space="preserve"> הצבא, המשטרה ומכבי אש, חברת החשמל וכיוצא באלה</w:t>
      </w:r>
      <w:r>
        <w:rPr>
          <w:rFonts w:ascii="FrankRuehl" w:hAnsi="FrankRuehl" w:cs="FrankRuehl" w:hint="cs"/>
          <w:sz w:val="28"/>
          <w:szCs w:val="28"/>
          <w:rtl/>
        </w:rPr>
        <w:t xml:space="preserve">. </w:t>
      </w:r>
      <w:r w:rsidR="005C1570">
        <w:rPr>
          <w:rFonts w:ascii="FrankRuehl" w:hAnsi="FrankRuehl" w:cs="FrankRuehl" w:hint="cs"/>
          <w:sz w:val="28"/>
          <w:szCs w:val="28"/>
          <w:rtl/>
        </w:rPr>
        <w:t xml:space="preserve">על פניו, </w:t>
      </w:r>
      <w:r>
        <w:rPr>
          <w:rFonts w:ascii="FrankRuehl" w:hAnsi="FrankRuehl" w:cs="FrankRuehl" w:hint="cs"/>
          <w:sz w:val="28"/>
          <w:szCs w:val="28"/>
          <w:rtl/>
        </w:rPr>
        <w:t>התנהלות זו כרוכה בחילול שבת, ופוסקי ההלכה נדרשים לשאלה האם וכיצד ניתן לאפשר זאת. גם בפן זה ישנה ש</w:t>
      </w:r>
      <w:r w:rsidR="004B7757">
        <w:rPr>
          <w:rFonts w:ascii="FrankRuehl" w:hAnsi="FrankRuehl" w:cs="FrankRuehl" w:hint="cs"/>
          <w:sz w:val="28"/>
          <w:szCs w:val="28"/>
          <w:rtl/>
        </w:rPr>
        <w:t xml:space="preserve">אלה רחבה וכללית הנוגעת למדיניות הלכתית, והיא שאלת קידומם ופיתוחם של היתרים הלכתיים לחילול שבת. שאלה זו עומדת במוקד הוויכוח המפורסם בין הרב </w:t>
      </w:r>
      <w:r w:rsidR="00334F38">
        <w:rPr>
          <w:rFonts w:ascii="FrankRuehl" w:hAnsi="FrankRuehl" w:cs="FrankRuehl" w:hint="cs"/>
          <w:sz w:val="28"/>
          <w:szCs w:val="28"/>
          <w:rtl/>
        </w:rPr>
        <w:t xml:space="preserve">משה צבי </w:t>
      </w:r>
      <w:r w:rsidR="004B7757">
        <w:rPr>
          <w:rFonts w:ascii="FrankRuehl" w:hAnsi="FrankRuehl" w:cs="FrankRuehl" w:hint="cs"/>
          <w:sz w:val="28"/>
          <w:szCs w:val="28"/>
          <w:rtl/>
        </w:rPr>
        <w:t>נריה</w:t>
      </w:r>
      <w:r w:rsidR="00334F38">
        <w:rPr>
          <w:rStyle w:val="ab"/>
          <w:rFonts w:ascii="FrankRuehl" w:hAnsi="FrankRuehl" w:cs="FrankRuehl"/>
          <w:sz w:val="28"/>
          <w:szCs w:val="28"/>
          <w:rtl/>
        </w:rPr>
        <w:footnoteReference w:id="22"/>
      </w:r>
      <w:r w:rsidR="004B7757">
        <w:rPr>
          <w:rFonts w:ascii="FrankRuehl" w:hAnsi="FrankRuehl" w:cs="FrankRuehl" w:hint="cs"/>
          <w:sz w:val="28"/>
          <w:szCs w:val="28"/>
          <w:rtl/>
        </w:rPr>
        <w:t xml:space="preserve"> לבין פרופ' ישעיהו ליבוביץ,</w:t>
      </w:r>
      <w:r w:rsidR="00D279E9">
        <w:rPr>
          <w:rStyle w:val="ab"/>
          <w:rFonts w:ascii="FrankRuehl" w:hAnsi="FrankRuehl" w:cs="FrankRuehl"/>
          <w:sz w:val="28"/>
          <w:szCs w:val="28"/>
          <w:rtl/>
        </w:rPr>
        <w:footnoteReference w:id="23"/>
      </w:r>
      <w:r w:rsidR="004B7757">
        <w:rPr>
          <w:rFonts w:ascii="FrankRuehl" w:hAnsi="FrankRuehl" w:cs="FrankRuehl" w:hint="cs"/>
          <w:sz w:val="28"/>
          <w:szCs w:val="28"/>
          <w:rtl/>
        </w:rPr>
        <w:t xml:space="preserve"> שהתקיים בשנותיה הראשונות של מדינת ישראל.</w:t>
      </w:r>
      <w:r w:rsidR="00566AEB">
        <w:rPr>
          <w:rStyle w:val="ab"/>
          <w:rFonts w:ascii="FrankRuehl" w:hAnsi="FrankRuehl" w:cs="FrankRuehl"/>
          <w:sz w:val="28"/>
          <w:szCs w:val="28"/>
          <w:rtl/>
        </w:rPr>
        <w:footnoteReference w:id="24"/>
      </w:r>
      <w:r w:rsidR="004B7757">
        <w:rPr>
          <w:rFonts w:ascii="FrankRuehl" w:hAnsi="FrankRuehl" w:cs="FrankRuehl" w:hint="cs"/>
          <w:sz w:val="28"/>
          <w:szCs w:val="28"/>
          <w:rtl/>
        </w:rPr>
        <w:t xml:space="preserve"> ליבוביץ קבע שעל פוסקי ההלכה למצוא פתרונות והיתרים המאפשרים לגופים ציבוריים לקיים פעילות שגרתית בשבת. לדידו של ליבובי</w:t>
      </w:r>
      <w:r w:rsidR="005678BE">
        <w:rPr>
          <w:rFonts w:ascii="FrankRuehl" w:hAnsi="FrankRuehl" w:cs="FrankRuehl" w:hint="cs"/>
          <w:sz w:val="28"/>
          <w:szCs w:val="28"/>
          <w:rtl/>
        </w:rPr>
        <w:t xml:space="preserve">ץ, משיכת רגלים של פוסקי ההלכה, או לחילופין, מתן היתרים דחוקים, </w:t>
      </w:r>
      <w:r w:rsidR="005C1570">
        <w:rPr>
          <w:rFonts w:ascii="FrankRuehl" w:hAnsi="FrankRuehl" w:cs="FrankRuehl" w:hint="cs"/>
          <w:sz w:val="28"/>
          <w:szCs w:val="28"/>
          <w:rtl/>
        </w:rPr>
        <w:t>י</w:t>
      </w:r>
      <w:r w:rsidR="005678BE">
        <w:rPr>
          <w:rFonts w:ascii="FrankRuehl" w:hAnsi="FrankRuehl" w:cs="FrankRuehl" w:hint="cs"/>
          <w:sz w:val="28"/>
          <w:szCs w:val="28"/>
          <w:rtl/>
        </w:rPr>
        <w:t xml:space="preserve"> יביאו לזילות של ההלכה בעיני מק</w:t>
      </w:r>
      <w:r w:rsidR="00826F35">
        <w:rPr>
          <w:rFonts w:ascii="FrankRuehl" w:hAnsi="FrankRuehl" w:cs="FrankRuehl" w:hint="cs"/>
          <w:sz w:val="28"/>
          <w:szCs w:val="28"/>
          <w:rtl/>
        </w:rPr>
        <w:t>ַ</w:t>
      </w:r>
      <w:r w:rsidR="005678BE">
        <w:rPr>
          <w:rFonts w:ascii="FrankRuehl" w:hAnsi="FrankRuehl" w:cs="FrankRuehl" w:hint="cs"/>
          <w:sz w:val="28"/>
          <w:szCs w:val="28"/>
          <w:rtl/>
        </w:rPr>
        <w:t>ימ</w:t>
      </w:r>
      <w:r w:rsidR="00826F35">
        <w:rPr>
          <w:rFonts w:ascii="FrankRuehl" w:hAnsi="FrankRuehl" w:cs="FrankRuehl" w:hint="cs"/>
          <w:sz w:val="28"/>
          <w:szCs w:val="28"/>
          <w:rtl/>
        </w:rPr>
        <w:t>ֵ</w:t>
      </w:r>
      <w:r w:rsidR="005678BE">
        <w:rPr>
          <w:rFonts w:ascii="FrankRuehl" w:hAnsi="FrankRuehl" w:cs="FrankRuehl" w:hint="cs"/>
          <w:sz w:val="28"/>
          <w:szCs w:val="28"/>
          <w:rtl/>
        </w:rPr>
        <w:t>יה, וקל וחומר בעיניהם של מי שאינם שומרי הלכה.</w:t>
      </w:r>
      <w:r w:rsidR="001A0653">
        <w:rPr>
          <w:rFonts w:ascii="FrankRuehl" w:hAnsi="FrankRuehl" w:cs="FrankRuehl" w:hint="cs"/>
          <w:sz w:val="28"/>
          <w:szCs w:val="28"/>
          <w:rtl/>
        </w:rPr>
        <w:t xml:space="preserve"> אלו ואלו יקבלו את המסר</w:t>
      </w:r>
      <w:r w:rsidR="006F6C11">
        <w:rPr>
          <w:rFonts w:ascii="FrankRuehl" w:hAnsi="FrankRuehl" w:cs="FrankRuehl" w:hint="cs"/>
          <w:sz w:val="28"/>
          <w:szCs w:val="28"/>
          <w:rtl/>
        </w:rPr>
        <w:t>,</w:t>
      </w:r>
      <w:r w:rsidR="001A0653">
        <w:rPr>
          <w:rFonts w:ascii="FrankRuehl" w:hAnsi="FrankRuehl" w:cs="FrankRuehl" w:hint="cs"/>
          <w:sz w:val="28"/>
          <w:szCs w:val="28"/>
          <w:rtl/>
        </w:rPr>
        <w:t xml:space="preserve"> שלהלכה אין כלים להתאים את עצמה למציאות החיים המודרנית</w:t>
      </w:r>
      <w:r w:rsidR="0067237A">
        <w:rPr>
          <w:rFonts w:ascii="FrankRuehl" w:hAnsi="FrankRuehl" w:cs="FrankRuehl" w:hint="cs"/>
          <w:sz w:val="28"/>
          <w:szCs w:val="28"/>
          <w:rtl/>
        </w:rPr>
        <w:t>.</w:t>
      </w:r>
      <w:r w:rsidR="005678BE">
        <w:rPr>
          <w:rFonts w:ascii="FrankRuehl" w:hAnsi="FrankRuehl" w:cs="FrankRuehl" w:hint="cs"/>
          <w:sz w:val="28"/>
          <w:szCs w:val="28"/>
          <w:rtl/>
        </w:rPr>
        <w:t xml:space="preserve"> מנגד, הרב נריה היה סבור שדווקא היתרים סיטוניים של פוסקי ההלכה</w:t>
      </w:r>
      <w:r w:rsidR="001A0653">
        <w:rPr>
          <w:rFonts w:ascii="FrankRuehl" w:hAnsi="FrankRuehl" w:cs="FrankRuehl" w:hint="cs"/>
          <w:sz w:val="28"/>
          <w:szCs w:val="28"/>
          <w:rtl/>
        </w:rPr>
        <w:t xml:space="preserve">, יגרמו לחילול שבת נרחב והמוני, והם-הם </w:t>
      </w:r>
      <w:r w:rsidR="0067237A">
        <w:rPr>
          <w:rFonts w:ascii="FrankRuehl" w:hAnsi="FrankRuehl" w:cs="FrankRuehl" w:hint="cs"/>
          <w:sz w:val="28"/>
          <w:szCs w:val="28"/>
          <w:rtl/>
        </w:rPr>
        <w:t xml:space="preserve">שיגררו קלות ראש, ושמא אף זלזול, בהלכה </w:t>
      </w:r>
      <w:proofErr w:type="spellStart"/>
      <w:r w:rsidR="0067237A">
        <w:rPr>
          <w:rFonts w:ascii="FrankRuehl" w:hAnsi="FrankRuehl" w:cs="FrankRuehl" w:hint="cs"/>
          <w:sz w:val="28"/>
          <w:szCs w:val="28"/>
          <w:rtl/>
        </w:rPr>
        <w:t>ובפוסקיה</w:t>
      </w:r>
      <w:proofErr w:type="spellEnd"/>
      <w:r w:rsidR="0067237A">
        <w:rPr>
          <w:rFonts w:ascii="FrankRuehl" w:hAnsi="FrankRuehl" w:cs="FrankRuehl" w:hint="cs"/>
          <w:sz w:val="28"/>
          <w:szCs w:val="28"/>
          <w:rtl/>
        </w:rPr>
        <w:t>.</w:t>
      </w:r>
    </w:p>
    <w:p w14:paraId="38DBC113" w14:textId="0FA0CD6E" w:rsidR="00090D13" w:rsidRDefault="00E1085D"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כמו בפן הראשון, </w:t>
      </w:r>
      <w:r w:rsidR="00677F3C">
        <w:rPr>
          <w:rFonts w:ascii="FrankRuehl" w:hAnsi="FrankRuehl" w:cs="FrankRuehl" w:hint="cs"/>
          <w:sz w:val="28"/>
          <w:szCs w:val="28"/>
          <w:rtl/>
        </w:rPr>
        <w:t xml:space="preserve">גם בפן </w:t>
      </w:r>
      <w:r>
        <w:rPr>
          <w:rFonts w:ascii="FrankRuehl" w:hAnsi="FrankRuehl" w:cs="FrankRuehl" w:hint="cs"/>
          <w:sz w:val="28"/>
          <w:szCs w:val="28"/>
          <w:rtl/>
        </w:rPr>
        <w:t>הנידון כעת</w:t>
      </w:r>
      <w:r w:rsidR="00677F3C">
        <w:rPr>
          <w:rFonts w:ascii="FrankRuehl" w:hAnsi="FrankRuehl" w:cs="FrankRuehl" w:hint="cs"/>
          <w:sz w:val="28"/>
          <w:szCs w:val="28"/>
          <w:rtl/>
        </w:rPr>
        <w:t>, לצד המדיניות ההלכתית ניצבת שאלה עקרונית</w:t>
      </w:r>
      <w:r w:rsidR="00F34821">
        <w:rPr>
          <w:rFonts w:ascii="FrankRuehl" w:hAnsi="FrankRuehl" w:cs="FrankRuehl" w:hint="cs"/>
          <w:sz w:val="28"/>
          <w:szCs w:val="28"/>
          <w:rtl/>
        </w:rPr>
        <w:t xml:space="preserve"> הנוגעת </w:t>
      </w:r>
      <w:r w:rsidR="002A1F3A">
        <w:rPr>
          <w:rFonts w:ascii="FrankRuehl" w:hAnsi="FrankRuehl" w:cs="FrankRuehl" w:hint="cs"/>
          <w:sz w:val="28"/>
          <w:szCs w:val="28"/>
          <w:rtl/>
        </w:rPr>
        <w:t>להגדרת המסגרת ההלכתית הראויה לדיון ולפסיקה בענייני השבת הציבורית. בעניין זה ייתכנו שלש גישות: לפי גישה אחת, הלכות שבת מכוונות בד"כ לפרט, ויש להחיל אותן</w:t>
      </w:r>
      <w:r>
        <w:rPr>
          <w:rFonts w:ascii="FrankRuehl" w:hAnsi="FrankRuehl" w:cs="FrankRuehl" w:hint="cs"/>
          <w:sz w:val="28"/>
          <w:szCs w:val="28"/>
          <w:rtl/>
        </w:rPr>
        <w:t>,</w:t>
      </w:r>
      <w:r w:rsidR="002A1F3A">
        <w:rPr>
          <w:rFonts w:ascii="FrankRuehl" w:hAnsi="FrankRuehl" w:cs="FrankRuehl" w:hint="cs"/>
          <w:sz w:val="28"/>
          <w:szCs w:val="28"/>
          <w:rtl/>
        </w:rPr>
        <w:t xml:space="preserve"> כפי שהן</w:t>
      </w:r>
      <w:r>
        <w:rPr>
          <w:rFonts w:ascii="FrankRuehl" w:hAnsi="FrankRuehl" w:cs="FrankRuehl" w:hint="cs"/>
          <w:sz w:val="28"/>
          <w:szCs w:val="28"/>
          <w:rtl/>
        </w:rPr>
        <w:t>,</w:t>
      </w:r>
      <w:r w:rsidR="002A1F3A">
        <w:rPr>
          <w:rFonts w:ascii="FrankRuehl" w:hAnsi="FrankRuehl" w:cs="FrankRuehl" w:hint="cs"/>
          <w:sz w:val="28"/>
          <w:szCs w:val="28"/>
          <w:rtl/>
        </w:rPr>
        <w:t xml:space="preserve"> גם ביחס לציבור. גישה אחרת מתייחסת אל הציבור כיחידים רבים. לפי גישה זו, ההלכה הנוהגת ביחס לשבת הציבורית, היא אמנם אותה הלכה החלה על היחידים, אלא ששינוי הנסיבות ליחידים רבים, מחייב התאמה של הלכות השבת </w:t>
      </w:r>
      <w:r>
        <w:rPr>
          <w:rFonts w:ascii="FrankRuehl" w:hAnsi="FrankRuehl" w:cs="FrankRuehl" w:hint="cs"/>
          <w:sz w:val="28"/>
          <w:szCs w:val="28"/>
          <w:rtl/>
        </w:rPr>
        <w:t>למרחב מרובה משתתפים</w:t>
      </w:r>
      <w:r w:rsidR="002A1F3A">
        <w:rPr>
          <w:rFonts w:ascii="FrankRuehl" w:hAnsi="FrankRuehl" w:cs="FrankRuehl" w:hint="cs"/>
          <w:sz w:val="28"/>
          <w:szCs w:val="28"/>
          <w:rtl/>
        </w:rPr>
        <w:t xml:space="preserve">. בהקשר זה בולט העקרון של "פקוח נפש דרבים". </w:t>
      </w:r>
      <w:r w:rsidR="00FD1A2A">
        <w:rPr>
          <w:rFonts w:ascii="FrankRuehl" w:hAnsi="FrankRuehl" w:cs="FrankRuehl" w:hint="cs"/>
          <w:sz w:val="28"/>
          <w:szCs w:val="28"/>
          <w:rtl/>
        </w:rPr>
        <w:t>לפי עקרון תלמודי זה, כפי שנתפרש ע"י הגאונים, כאשר יש גורם המסכן את הרבים ניתן לחלל את השבת ולהסירו</w:t>
      </w:r>
      <w:r w:rsidR="00AB6DF1">
        <w:rPr>
          <w:rFonts w:ascii="FrankRuehl" w:hAnsi="FrankRuehl" w:cs="FrankRuehl" w:hint="cs"/>
          <w:sz w:val="28"/>
          <w:szCs w:val="28"/>
          <w:rtl/>
        </w:rPr>
        <w:t>, גם לאותן דעות שיחמירו בדבר כשאותו גורם מסכן יחידים.</w:t>
      </w:r>
      <w:r w:rsidR="00566AEB">
        <w:rPr>
          <w:rStyle w:val="ab"/>
          <w:rFonts w:ascii="FrankRuehl" w:hAnsi="FrankRuehl" w:cs="FrankRuehl"/>
          <w:sz w:val="28"/>
          <w:szCs w:val="28"/>
          <w:rtl/>
        </w:rPr>
        <w:footnoteReference w:id="25"/>
      </w:r>
      <w:r w:rsidR="00AB6DF1">
        <w:rPr>
          <w:rFonts w:ascii="FrankRuehl" w:hAnsi="FrankRuehl" w:cs="FrankRuehl" w:hint="cs"/>
          <w:sz w:val="28"/>
          <w:szCs w:val="28"/>
          <w:rtl/>
        </w:rPr>
        <w:t xml:space="preserve"> הגישה השלישית רואה בציבור, ובאופן מיוחד במדינה, אישיות משפטית </w:t>
      </w:r>
      <w:r w:rsidR="00090D13">
        <w:rPr>
          <w:rFonts w:ascii="FrankRuehl" w:hAnsi="FrankRuehl" w:cs="FrankRuehl" w:hint="cs"/>
          <w:sz w:val="28"/>
          <w:szCs w:val="28"/>
          <w:rtl/>
        </w:rPr>
        <w:t>עצמאית</w:t>
      </w:r>
      <w:r w:rsidR="00AB6DF1">
        <w:rPr>
          <w:rFonts w:ascii="FrankRuehl" w:hAnsi="FrankRuehl" w:cs="FrankRuehl" w:hint="cs"/>
          <w:sz w:val="28"/>
          <w:szCs w:val="28"/>
          <w:rtl/>
        </w:rPr>
        <w:t>, הנבדלת מן היחידים המרכיבים אותה,</w:t>
      </w:r>
      <w:r w:rsidR="00090D13">
        <w:rPr>
          <w:rFonts w:ascii="FrankRuehl" w:hAnsi="FrankRuehl" w:cs="FrankRuehl" w:hint="cs"/>
          <w:sz w:val="28"/>
          <w:szCs w:val="28"/>
          <w:rtl/>
        </w:rPr>
        <w:t xml:space="preserve"> ולישות ייחודית שכזו, ראוי לכונן נורמות הלכתיות מיוחדות שיהיו הולמים לה.</w:t>
      </w:r>
    </w:p>
    <w:p w14:paraId="4F775DF1" w14:textId="1F3311EC" w:rsidR="00677F3C" w:rsidRDefault="005C1570"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ניישם </w:t>
      </w:r>
      <w:r w:rsidR="00090D13">
        <w:rPr>
          <w:rFonts w:ascii="FrankRuehl" w:hAnsi="FrankRuehl" w:cs="FrankRuehl" w:hint="cs"/>
          <w:sz w:val="28"/>
          <w:szCs w:val="28"/>
          <w:rtl/>
        </w:rPr>
        <w:t xml:space="preserve">את שלוש הגישות ביחס לגופים הציבוריים השונים שהספר דן בהם. תחילה </w:t>
      </w:r>
      <w:r w:rsidR="00090D13">
        <w:rPr>
          <w:rFonts w:ascii="FrankRuehl" w:hAnsi="FrankRuehl" w:cs="FrankRuehl"/>
          <w:sz w:val="28"/>
          <w:szCs w:val="28"/>
          <w:rtl/>
        </w:rPr>
        <w:t>–</w:t>
      </w:r>
      <w:r w:rsidR="00090D13">
        <w:rPr>
          <w:rFonts w:ascii="FrankRuehl" w:hAnsi="FrankRuehl" w:cs="FrankRuehl" w:hint="cs"/>
          <w:sz w:val="28"/>
          <w:szCs w:val="28"/>
          <w:rtl/>
        </w:rPr>
        <w:t xml:space="preserve"> </w:t>
      </w:r>
      <w:r w:rsidR="0041510D">
        <w:rPr>
          <w:rFonts w:ascii="FrankRuehl" w:hAnsi="FrankRuehl" w:cs="FrankRuehl" w:hint="cs"/>
          <w:sz w:val="28"/>
          <w:szCs w:val="28"/>
          <w:rtl/>
        </w:rPr>
        <w:t>ביחס ל</w:t>
      </w:r>
      <w:r w:rsidR="00090D13">
        <w:rPr>
          <w:rFonts w:ascii="FrankRuehl" w:hAnsi="FrankRuehl" w:cs="FrankRuehl" w:hint="cs"/>
          <w:sz w:val="28"/>
          <w:szCs w:val="28"/>
          <w:rtl/>
        </w:rPr>
        <w:t>צבא.</w:t>
      </w:r>
      <w:r w:rsidR="009D53E4">
        <w:rPr>
          <w:rStyle w:val="ab"/>
          <w:rFonts w:ascii="FrankRuehl" w:hAnsi="FrankRuehl" w:cs="FrankRuehl"/>
          <w:sz w:val="28"/>
          <w:szCs w:val="28"/>
          <w:rtl/>
        </w:rPr>
        <w:footnoteReference w:id="26"/>
      </w:r>
      <w:r w:rsidR="00090D13">
        <w:rPr>
          <w:rFonts w:ascii="FrankRuehl" w:hAnsi="FrankRuehl" w:cs="FrankRuehl" w:hint="cs"/>
          <w:sz w:val="28"/>
          <w:szCs w:val="28"/>
          <w:rtl/>
        </w:rPr>
        <w:t xml:space="preserve"> החזון איש</w:t>
      </w:r>
      <w:r w:rsidR="00D279E9">
        <w:rPr>
          <w:rStyle w:val="ab"/>
          <w:rFonts w:ascii="FrankRuehl" w:hAnsi="FrankRuehl" w:cs="FrankRuehl"/>
          <w:sz w:val="28"/>
          <w:szCs w:val="28"/>
          <w:rtl/>
        </w:rPr>
        <w:footnoteReference w:id="27"/>
      </w:r>
      <w:r w:rsidR="00090D13">
        <w:rPr>
          <w:rFonts w:ascii="FrankRuehl" w:hAnsi="FrankRuehl" w:cs="FrankRuehl" w:hint="cs"/>
          <w:sz w:val="28"/>
          <w:szCs w:val="28"/>
          <w:rtl/>
        </w:rPr>
        <w:t xml:space="preserve"> נקט בגישה הראשונה. </w:t>
      </w:r>
      <w:r w:rsidR="00826F35">
        <w:rPr>
          <w:rFonts w:ascii="FrankRuehl" w:hAnsi="FrankRuehl" w:cs="FrankRuehl" w:hint="cs"/>
          <w:sz w:val="28"/>
          <w:szCs w:val="28"/>
          <w:rtl/>
        </w:rPr>
        <w:t xml:space="preserve">לדידו, </w:t>
      </w:r>
      <w:r w:rsidR="00090D13">
        <w:rPr>
          <w:rFonts w:ascii="FrankRuehl" w:hAnsi="FrankRuehl" w:cs="FrankRuehl" w:hint="cs"/>
          <w:sz w:val="28"/>
          <w:szCs w:val="28"/>
          <w:rtl/>
        </w:rPr>
        <w:t xml:space="preserve">דין חיילי צה"ל כדין אדם פרטי שנדרש לחילול שבת </w:t>
      </w:r>
      <w:r w:rsidR="007624C0">
        <w:rPr>
          <w:rFonts w:ascii="FrankRuehl" w:hAnsi="FrankRuehl" w:cs="FrankRuehl" w:hint="cs"/>
          <w:sz w:val="28"/>
          <w:szCs w:val="28"/>
          <w:rtl/>
        </w:rPr>
        <w:t>משום פיקוח נפש.</w:t>
      </w:r>
      <w:r w:rsidR="004536C3">
        <w:rPr>
          <w:rStyle w:val="ab"/>
          <w:rFonts w:ascii="FrankRuehl" w:hAnsi="FrankRuehl" w:cs="FrankRuehl"/>
          <w:sz w:val="28"/>
          <w:szCs w:val="28"/>
          <w:rtl/>
        </w:rPr>
        <w:footnoteReference w:id="28"/>
      </w:r>
      <w:r w:rsidR="007624C0">
        <w:rPr>
          <w:rFonts w:ascii="FrankRuehl" w:hAnsi="FrankRuehl" w:cs="FrankRuehl" w:hint="cs"/>
          <w:sz w:val="28"/>
          <w:szCs w:val="28"/>
          <w:rtl/>
        </w:rPr>
        <w:t xml:space="preserve"> אדם פרטי נדרש לצמצם את חילול השבת ככל שניתן, ולכן עליו להתנהל בשינוי, באופן החורג מן הרגיל. החזון איש היה </w:t>
      </w:r>
      <w:r w:rsidR="007624C0">
        <w:rPr>
          <w:rFonts w:ascii="FrankRuehl" w:hAnsi="FrankRuehl" w:cs="FrankRuehl" w:hint="cs"/>
          <w:sz w:val="28"/>
          <w:szCs w:val="28"/>
          <w:rtl/>
        </w:rPr>
        <w:lastRenderedPageBreak/>
        <w:t>סבור</w:t>
      </w:r>
      <w:r w:rsidR="00826F35">
        <w:rPr>
          <w:rFonts w:ascii="FrankRuehl" w:hAnsi="FrankRuehl" w:cs="FrankRuehl" w:hint="cs"/>
          <w:sz w:val="28"/>
          <w:szCs w:val="28"/>
          <w:rtl/>
        </w:rPr>
        <w:t>,</w:t>
      </w:r>
      <w:r w:rsidR="007624C0">
        <w:rPr>
          <w:rFonts w:ascii="FrankRuehl" w:hAnsi="FrankRuehl" w:cs="FrankRuehl" w:hint="cs"/>
          <w:sz w:val="28"/>
          <w:szCs w:val="28"/>
          <w:rtl/>
        </w:rPr>
        <w:t xml:space="preserve"> ש</w:t>
      </w:r>
      <w:r w:rsidR="00E1085D">
        <w:rPr>
          <w:rFonts w:ascii="FrankRuehl" w:hAnsi="FrankRuehl" w:cs="FrankRuehl" w:hint="cs"/>
          <w:sz w:val="28"/>
          <w:szCs w:val="28"/>
          <w:rtl/>
        </w:rPr>
        <w:t xml:space="preserve">אף </w:t>
      </w:r>
      <w:r w:rsidR="007624C0">
        <w:rPr>
          <w:rFonts w:ascii="FrankRuehl" w:hAnsi="FrankRuehl" w:cs="FrankRuehl" w:hint="cs"/>
          <w:sz w:val="28"/>
          <w:szCs w:val="28"/>
          <w:rtl/>
        </w:rPr>
        <w:t>חייל שנקרא ל</w:t>
      </w:r>
      <w:r w:rsidR="00593B98">
        <w:rPr>
          <w:rFonts w:ascii="FrankRuehl" w:hAnsi="FrankRuehl" w:cs="FrankRuehl" w:hint="cs"/>
          <w:sz w:val="28"/>
          <w:szCs w:val="28"/>
          <w:rtl/>
        </w:rPr>
        <w:t>ִ</w:t>
      </w:r>
      <w:r w:rsidR="007624C0">
        <w:rPr>
          <w:rFonts w:ascii="FrankRuehl" w:hAnsi="FrankRuehl" w:cs="FrankRuehl" w:hint="cs"/>
          <w:sz w:val="28"/>
          <w:szCs w:val="28"/>
          <w:rtl/>
        </w:rPr>
        <w:t>משימה, צריך לשאת את נשקו</w:t>
      </w:r>
      <w:r w:rsidR="00E1085D">
        <w:rPr>
          <w:rFonts w:ascii="FrankRuehl" w:hAnsi="FrankRuehl" w:cs="FrankRuehl" w:hint="cs"/>
          <w:sz w:val="28"/>
          <w:szCs w:val="28"/>
          <w:rtl/>
        </w:rPr>
        <w:t xml:space="preserve"> בשינוי,</w:t>
      </w:r>
      <w:r w:rsidR="007624C0">
        <w:rPr>
          <w:rFonts w:ascii="FrankRuehl" w:hAnsi="FrankRuehl" w:cs="FrankRuehl" w:hint="cs"/>
          <w:sz w:val="28"/>
          <w:szCs w:val="28"/>
          <w:rtl/>
        </w:rPr>
        <w:t xml:space="preserve"> כשהנשק הפוך. </w:t>
      </w:r>
      <w:r w:rsidR="00E1085D">
        <w:rPr>
          <w:rFonts w:ascii="FrankRuehl" w:hAnsi="FrankRuehl" w:cs="FrankRuehl" w:hint="cs"/>
          <w:sz w:val="28"/>
          <w:szCs w:val="28"/>
          <w:rtl/>
        </w:rPr>
        <w:t>פסיקה זו היא בעייתית ביותר, ו</w:t>
      </w:r>
      <w:r w:rsidR="007624C0">
        <w:rPr>
          <w:rFonts w:ascii="FrankRuehl" w:hAnsi="FrankRuehl" w:cs="FrankRuehl" w:hint="cs"/>
          <w:sz w:val="28"/>
          <w:szCs w:val="28"/>
          <w:rtl/>
        </w:rPr>
        <w:t xml:space="preserve">נאמר, בלשון המעטה, </w:t>
      </w:r>
      <w:r w:rsidR="00E1085D">
        <w:rPr>
          <w:rFonts w:ascii="FrankRuehl" w:hAnsi="FrankRuehl" w:cs="FrankRuehl" w:hint="cs"/>
          <w:sz w:val="28"/>
          <w:szCs w:val="28"/>
          <w:rtl/>
        </w:rPr>
        <w:t>שהיא עצמה</w:t>
      </w:r>
      <w:r w:rsidR="007624C0">
        <w:rPr>
          <w:rFonts w:ascii="FrankRuehl" w:hAnsi="FrankRuehl" w:cs="FrankRuehl" w:hint="cs"/>
          <w:sz w:val="28"/>
          <w:szCs w:val="28"/>
          <w:rtl/>
        </w:rPr>
        <w:t xml:space="preserve"> משונה.</w:t>
      </w:r>
    </w:p>
    <w:p w14:paraId="1BF8A7A2" w14:textId="354DEC80" w:rsidR="007624C0" w:rsidRDefault="007624C0" w:rsidP="0021089F">
      <w:pPr>
        <w:spacing w:line="360" w:lineRule="auto"/>
        <w:jc w:val="both"/>
        <w:rPr>
          <w:rFonts w:ascii="FrankRuehl" w:hAnsi="FrankRuehl" w:cs="FrankRuehl"/>
          <w:sz w:val="28"/>
          <w:szCs w:val="28"/>
          <w:rtl/>
        </w:rPr>
      </w:pPr>
      <w:r>
        <w:rPr>
          <w:rFonts w:ascii="FrankRuehl" w:hAnsi="FrankRuehl" w:cs="FrankRuehl" w:hint="cs"/>
          <w:sz w:val="28"/>
          <w:szCs w:val="28"/>
          <w:rtl/>
        </w:rPr>
        <w:t>לגישה השנייה שותפים כמה פוסקים</w:t>
      </w:r>
      <w:r w:rsidR="00E1085D">
        <w:rPr>
          <w:rFonts w:ascii="FrankRuehl" w:hAnsi="FrankRuehl" w:cs="FrankRuehl" w:hint="cs"/>
          <w:sz w:val="28"/>
          <w:szCs w:val="28"/>
          <w:rtl/>
        </w:rPr>
        <w:t>,</w:t>
      </w:r>
      <w:r>
        <w:rPr>
          <w:rFonts w:ascii="FrankRuehl" w:hAnsi="FrankRuehl" w:cs="FrankRuehl" w:hint="cs"/>
          <w:sz w:val="28"/>
          <w:szCs w:val="28"/>
          <w:rtl/>
        </w:rPr>
        <w:t xml:space="preserve"> וביניהם הרב </w:t>
      </w:r>
      <w:r w:rsidR="00D279E9">
        <w:rPr>
          <w:rFonts w:ascii="FrankRuehl" w:hAnsi="FrankRuehl" w:cs="FrankRuehl" w:hint="cs"/>
          <w:sz w:val="28"/>
          <w:szCs w:val="28"/>
          <w:rtl/>
        </w:rPr>
        <w:t xml:space="preserve">יצחק </w:t>
      </w:r>
      <w:r>
        <w:rPr>
          <w:rFonts w:ascii="FrankRuehl" w:hAnsi="FrankRuehl" w:cs="FrankRuehl" w:hint="cs"/>
          <w:sz w:val="28"/>
          <w:szCs w:val="28"/>
          <w:rtl/>
        </w:rPr>
        <w:t>הרצוג</w:t>
      </w:r>
      <w:r w:rsidR="00D279E9">
        <w:rPr>
          <w:rStyle w:val="ab"/>
          <w:rFonts w:ascii="FrankRuehl" w:hAnsi="FrankRuehl" w:cs="FrankRuehl"/>
          <w:sz w:val="28"/>
          <w:szCs w:val="28"/>
          <w:rtl/>
        </w:rPr>
        <w:footnoteReference w:id="29"/>
      </w:r>
      <w:r>
        <w:rPr>
          <w:rFonts w:ascii="FrankRuehl" w:hAnsi="FrankRuehl" w:cs="FrankRuehl" w:hint="cs"/>
          <w:sz w:val="28"/>
          <w:szCs w:val="28"/>
          <w:rtl/>
        </w:rPr>
        <w:t xml:space="preserve"> והרב ישראלי.</w:t>
      </w:r>
      <w:r w:rsidR="00626FD1">
        <w:rPr>
          <w:rFonts w:ascii="FrankRuehl" w:hAnsi="FrankRuehl" w:cs="FrankRuehl" w:hint="cs"/>
          <w:sz w:val="28"/>
          <w:szCs w:val="28"/>
          <w:rtl/>
        </w:rPr>
        <w:t xml:space="preserve"> לדעתם, פעולות הגנה והצלת חיים מצד הצבא הן עבור הרבים, כך שגם אם הפעולה אינה ממוקדת ואינה מיועדת במישרין להצלתו של אדם מסוים, סביר שתוצאותיה יועילו לפחות לאדם כלשהו</w:t>
      </w:r>
      <w:r w:rsidR="003C7B1E">
        <w:rPr>
          <w:rFonts w:ascii="FrankRuehl" w:hAnsi="FrankRuehl" w:cs="FrankRuehl" w:hint="cs"/>
          <w:sz w:val="28"/>
          <w:szCs w:val="28"/>
          <w:rtl/>
        </w:rPr>
        <w:t>, ועל כן יש להתירה.</w:t>
      </w:r>
    </w:p>
    <w:p w14:paraId="4C0D8391" w14:textId="508C3DF0" w:rsidR="003C7B1E" w:rsidRDefault="003C7B1E"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הגישה השלישית </w:t>
      </w:r>
      <w:proofErr w:type="spellStart"/>
      <w:r>
        <w:rPr>
          <w:rFonts w:ascii="FrankRuehl" w:hAnsi="FrankRuehl" w:cs="FrankRuehl" w:hint="cs"/>
          <w:sz w:val="28"/>
          <w:szCs w:val="28"/>
          <w:rtl/>
        </w:rPr>
        <w:t>נתחדשה</w:t>
      </w:r>
      <w:proofErr w:type="spellEnd"/>
      <w:r>
        <w:rPr>
          <w:rFonts w:ascii="FrankRuehl" w:hAnsi="FrankRuehl" w:cs="FrankRuehl" w:hint="cs"/>
          <w:sz w:val="28"/>
          <w:szCs w:val="28"/>
          <w:rtl/>
        </w:rPr>
        <w:t xml:space="preserve"> ע"י הרב גורן</w:t>
      </w:r>
      <w:r w:rsidR="003A5E73">
        <w:rPr>
          <w:rFonts w:ascii="FrankRuehl" w:hAnsi="FrankRuehl" w:cs="FrankRuehl" w:hint="cs"/>
          <w:sz w:val="28"/>
          <w:szCs w:val="28"/>
          <w:rtl/>
        </w:rPr>
        <w:t>, ומצטרף לה בהמשך גם הרב ישראלי</w:t>
      </w:r>
      <w:r>
        <w:rPr>
          <w:rFonts w:ascii="FrankRuehl" w:hAnsi="FrankRuehl" w:cs="FrankRuehl" w:hint="cs"/>
          <w:sz w:val="28"/>
          <w:szCs w:val="28"/>
          <w:rtl/>
        </w:rPr>
        <w:t>. לדעת</w:t>
      </w:r>
      <w:r w:rsidR="003A5E73">
        <w:rPr>
          <w:rFonts w:ascii="FrankRuehl" w:hAnsi="FrankRuehl" w:cs="FrankRuehl" w:hint="cs"/>
          <w:sz w:val="28"/>
          <w:szCs w:val="28"/>
          <w:rtl/>
        </w:rPr>
        <w:t>ם</w:t>
      </w:r>
      <w:r>
        <w:rPr>
          <w:rFonts w:ascii="FrankRuehl" w:hAnsi="FrankRuehl" w:cs="FrankRuehl" w:hint="cs"/>
          <w:sz w:val="28"/>
          <w:szCs w:val="28"/>
          <w:rtl/>
        </w:rPr>
        <w:t>, הלכות צבא בשבת אינן תחת הקטגוריה של דיני פיקוח נפש בשבת, שנועד</w:t>
      </w:r>
      <w:r w:rsidR="00826F35">
        <w:rPr>
          <w:rFonts w:ascii="FrankRuehl" w:hAnsi="FrankRuehl" w:cs="FrankRuehl" w:hint="cs"/>
          <w:sz w:val="28"/>
          <w:szCs w:val="28"/>
          <w:rtl/>
        </w:rPr>
        <w:t>ו</w:t>
      </w:r>
      <w:r>
        <w:rPr>
          <w:rFonts w:ascii="FrankRuehl" w:hAnsi="FrankRuehl" w:cs="FrankRuehl" w:hint="cs"/>
          <w:sz w:val="28"/>
          <w:szCs w:val="28"/>
          <w:rtl/>
        </w:rPr>
        <w:t xml:space="preserve"> ליחידים. הקטגוריה המתאימה לצבא היא זו שבדיני מלחמה, המכוונים לציבור ולמדינה. לפי מדרש ההלכה, מותר לקיים פעילות צבאית מלחמתית, כמו הטלת מצור, גם במהלך השבת.</w:t>
      </w:r>
      <w:r w:rsidR="00583E68">
        <w:rPr>
          <w:rStyle w:val="ab"/>
          <w:rFonts w:ascii="FrankRuehl" w:hAnsi="FrankRuehl" w:cs="FrankRuehl"/>
          <w:sz w:val="28"/>
          <w:szCs w:val="28"/>
          <w:rtl/>
        </w:rPr>
        <w:footnoteReference w:id="30"/>
      </w:r>
      <w:r>
        <w:rPr>
          <w:rFonts w:ascii="FrankRuehl" w:hAnsi="FrankRuehl" w:cs="FrankRuehl" w:hint="cs"/>
          <w:sz w:val="28"/>
          <w:szCs w:val="28"/>
          <w:rtl/>
        </w:rPr>
        <w:t xml:space="preserve"> הותרה כאן הפעילות הצבאית עצמה, </w:t>
      </w:r>
      <w:r w:rsidR="003A5E73">
        <w:rPr>
          <w:rFonts w:ascii="FrankRuehl" w:hAnsi="FrankRuehl" w:cs="FrankRuehl" w:hint="cs"/>
          <w:sz w:val="28"/>
          <w:szCs w:val="28"/>
          <w:rtl/>
        </w:rPr>
        <w:t>גם מחוץ לה</w:t>
      </w:r>
      <w:r w:rsidR="0041510D">
        <w:rPr>
          <w:rFonts w:ascii="FrankRuehl" w:hAnsi="FrankRuehl" w:cs="FrankRuehl" w:hint="cs"/>
          <w:sz w:val="28"/>
          <w:szCs w:val="28"/>
          <w:rtl/>
        </w:rPr>
        <w:t>ַ</w:t>
      </w:r>
      <w:r w:rsidR="003A5E73">
        <w:rPr>
          <w:rFonts w:ascii="FrankRuehl" w:hAnsi="FrankRuehl" w:cs="FrankRuehl" w:hint="cs"/>
          <w:sz w:val="28"/>
          <w:szCs w:val="28"/>
          <w:rtl/>
        </w:rPr>
        <w:t>ג</w:t>
      </w:r>
      <w:r w:rsidR="0041510D">
        <w:rPr>
          <w:rFonts w:ascii="FrankRuehl" w:hAnsi="FrankRuehl" w:cs="FrankRuehl" w:hint="cs"/>
          <w:sz w:val="28"/>
          <w:szCs w:val="28"/>
          <w:rtl/>
        </w:rPr>
        <w:t>ְ</w:t>
      </w:r>
      <w:r w:rsidR="003A5E73">
        <w:rPr>
          <w:rFonts w:ascii="FrankRuehl" w:hAnsi="FrankRuehl" w:cs="FrankRuehl" w:hint="cs"/>
          <w:sz w:val="28"/>
          <w:szCs w:val="28"/>
          <w:rtl/>
        </w:rPr>
        <w:t>ד</w:t>
      </w:r>
      <w:r w:rsidR="0041510D">
        <w:rPr>
          <w:rFonts w:ascii="FrankRuehl" w:hAnsi="FrankRuehl" w:cs="FrankRuehl" w:hint="cs"/>
          <w:sz w:val="28"/>
          <w:szCs w:val="28"/>
          <w:rtl/>
        </w:rPr>
        <w:t>ָ</w:t>
      </w:r>
      <w:r w:rsidR="003A5E73">
        <w:rPr>
          <w:rFonts w:ascii="FrankRuehl" w:hAnsi="FrankRuehl" w:cs="FrankRuehl" w:hint="cs"/>
          <w:sz w:val="28"/>
          <w:szCs w:val="28"/>
          <w:rtl/>
        </w:rPr>
        <w:t>רו</w:t>
      </w:r>
      <w:r w:rsidR="0041510D">
        <w:rPr>
          <w:rFonts w:ascii="FrankRuehl" w:hAnsi="FrankRuehl" w:cs="FrankRuehl" w:hint="cs"/>
          <w:sz w:val="28"/>
          <w:szCs w:val="28"/>
          <w:rtl/>
        </w:rPr>
        <w:t>ֹ</w:t>
      </w:r>
      <w:r w:rsidR="003A5E73">
        <w:rPr>
          <w:rFonts w:ascii="FrankRuehl" w:hAnsi="FrankRuehl" w:cs="FrankRuehl" w:hint="cs"/>
          <w:sz w:val="28"/>
          <w:szCs w:val="28"/>
          <w:rtl/>
        </w:rPr>
        <w:t>ת המקובלות של פיקוח נפש.</w:t>
      </w:r>
    </w:p>
    <w:p w14:paraId="74F5039C" w14:textId="5D3B438C" w:rsidR="006A1672" w:rsidRDefault="003A5E73" w:rsidP="0021089F">
      <w:pPr>
        <w:spacing w:line="360" w:lineRule="auto"/>
        <w:jc w:val="both"/>
        <w:rPr>
          <w:rFonts w:ascii="FrankRuehl" w:hAnsi="FrankRuehl" w:cs="FrankRuehl"/>
          <w:sz w:val="28"/>
          <w:szCs w:val="28"/>
          <w:rtl/>
        </w:rPr>
      </w:pPr>
      <w:r>
        <w:rPr>
          <w:rFonts w:ascii="FrankRuehl" w:hAnsi="FrankRuehl" w:cs="FrankRuehl" w:hint="cs"/>
          <w:sz w:val="28"/>
          <w:szCs w:val="28"/>
          <w:rtl/>
        </w:rPr>
        <w:t>את שלש הגישות ניתן לפגוש, באופן דומה, גם באשר להתנהלות המשטרה בשבת. בהקשר זה נקט הרב הרצוג בגישה הראשונה. הוא התיר פעילות משטרתית שיש בה חילול שבת, רק כאשר היא מותרת בגדרי פיקוח נפש</w:t>
      </w:r>
      <w:r w:rsidR="0041510D">
        <w:rPr>
          <w:rFonts w:ascii="FrankRuehl" w:hAnsi="FrankRuehl" w:cs="FrankRuehl" w:hint="cs"/>
          <w:sz w:val="28"/>
          <w:szCs w:val="28"/>
          <w:rtl/>
        </w:rPr>
        <w:t xml:space="preserve"> כלפי יחידים</w:t>
      </w:r>
      <w:r>
        <w:rPr>
          <w:rFonts w:ascii="FrankRuehl" w:hAnsi="FrankRuehl" w:cs="FrankRuehl" w:hint="cs"/>
          <w:sz w:val="28"/>
          <w:szCs w:val="28"/>
          <w:rtl/>
        </w:rPr>
        <w:t>. לכן</w:t>
      </w:r>
      <w:r w:rsidR="00FE6F64">
        <w:rPr>
          <w:rFonts w:ascii="FrankRuehl" w:hAnsi="FrankRuehl" w:cs="FrankRuehl" w:hint="cs"/>
          <w:sz w:val="28"/>
          <w:szCs w:val="28"/>
          <w:rtl/>
        </w:rPr>
        <w:t>, הרב הרצוג התקשה להתיר מאסר משטרתי של גנב בשבת, לאחר שהגנב נתפס ע"י אזרחים.</w:t>
      </w:r>
      <w:r w:rsidR="00D6472D">
        <w:rPr>
          <w:rFonts w:ascii="FrankRuehl" w:hAnsi="FrankRuehl" w:cs="FrankRuehl" w:hint="cs"/>
          <w:sz w:val="28"/>
          <w:szCs w:val="28"/>
          <w:rtl/>
        </w:rPr>
        <w:t xml:space="preserve"> לאחר שנתפס, הגנב אינו מסכן חיים, ולכן לא ניתן להשלים את מאסרו בשבת.</w:t>
      </w:r>
      <w:r w:rsidR="00FE6F64">
        <w:rPr>
          <w:rFonts w:ascii="FrankRuehl" w:hAnsi="FrankRuehl" w:cs="FrankRuehl" w:hint="cs"/>
          <w:sz w:val="28"/>
          <w:szCs w:val="28"/>
          <w:rtl/>
        </w:rPr>
        <w:t xml:space="preserve"> באופן דומה, דרש הרב הרצוג מן השוטרים לערוך סיורים בשבת כשהם נעים על גבי אופניים, כדי לצמצם את חילול השבת ככל האפשר. </w:t>
      </w:r>
      <w:r w:rsidR="00D6472D">
        <w:rPr>
          <w:rFonts w:ascii="FrankRuehl" w:hAnsi="FrankRuehl" w:cs="FrankRuehl" w:hint="cs"/>
          <w:sz w:val="28"/>
          <w:szCs w:val="28"/>
          <w:rtl/>
        </w:rPr>
        <w:t xml:space="preserve">בשונה מן הרב הרצוג, </w:t>
      </w:r>
      <w:r w:rsidR="00FE6F64">
        <w:rPr>
          <w:rFonts w:ascii="FrankRuehl" w:hAnsi="FrankRuehl" w:cs="FrankRuehl" w:hint="cs"/>
          <w:sz w:val="28"/>
          <w:szCs w:val="28"/>
          <w:rtl/>
        </w:rPr>
        <w:t xml:space="preserve">הרב ישראלי אימץ, </w:t>
      </w:r>
      <w:r w:rsidR="00346822">
        <w:rPr>
          <w:rFonts w:ascii="FrankRuehl" w:hAnsi="FrankRuehl" w:cs="FrankRuehl" w:hint="cs"/>
          <w:sz w:val="28"/>
          <w:szCs w:val="28"/>
          <w:rtl/>
        </w:rPr>
        <w:t xml:space="preserve">בהתאם </w:t>
      </w:r>
      <w:r w:rsidR="00D6472D">
        <w:rPr>
          <w:rFonts w:ascii="FrankRuehl" w:hAnsi="FrankRuehl" w:cs="FrankRuehl" w:hint="cs"/>
          <w:sz w:val="28"/>
          <w:szCs w:val="28"/>
          <w:rtl/>
        </w:rPr>
        <w:t>לשיטתו</w:t>
      </w:r>
      <w:r w:rsidR="00FE6F64">
        <w:rPr>
          <w:rFonts w:ascii="FrankRuehl" w:hAnsi="FrankRuehl" w:cs="FrankRuehl" w:hint="cs"/>
          <w:sz w:val="28"/>
          <w:szCs w:val="28"/>
          <w:rtl/>
        </w:rPr>
        <w:t xml:space="preserve"> ביחס לצבא, הן את הגישה השנייה והן את הגישה השלישית. לדבריו, טיפול משטרתי ב</w:t>
      </w:r>
      <w:r w:rsidR="0041510D">
        <w:rPr>
          <w:rFonts w:ascii="FrankRuehl" w:hAnsi="FrankRuehl" w:cs="FrankRuehl" w:hint="cs"/>
          <w:sz w:val="28"/>
          <w:szCs w:val="28"/>
          <w:rtl/>
        </w:rPr>
        <w:t>תִּגְרָה</w:t>
      </w:r>
      <w:r w:rsidR="00D6472D">
        <w:rPr>
          <w:rFonts w:ascii="FrankRuehl" w:hAnsi="FrankRuehl" w:cs="FrankRuehl" w:hint="cs"/>
          <w:sz w:val="28"/>
          <w:szCs w:val="28"/>
          <w:rtl/>
        </w:rPr>
        <w:t>,</w:t>
      </w:r>
      <w:r w:rsidR="00FE6F64">
        <w:rPr>
          <w:rFonts w:ascii="FrankRuehl" w:hAnsi="FrankRuehl" w:cs="FrankRuehl" w:hint="cs"/>
          <w:sz w:val="28"/>
          <w:szCs w:val="28"/>
          <w:rtl/>
        </w:rPr>
        <w:t xml:space="preserve"> </w:t>
      </w:r>
      <w:r w:rsidR="00D6472D">
        <w:rPr>
          <w:rFonts w:ascii="FrankRuehl" w:hAnsi="FrankRuehl" w:cs="FrankRuehl" w:hint="cs"/>
          <w:sz w:val="28"/>
          <w:szCs w:val="28"/>
          <w:rtl/>
        </w:rPr>
        <w:t>הכרוך</w:t>
      </w:r>
      <w:r w:rsidR="00FE6F64">
        <w:rPr>
          <w:rFonts w:ascii="FrankRuehl" w:hAnsi="FrankRuehl" w:cs="FrankRuehl" w:hint="cs"/>
          <w:sz w:val="28"/>
          <w:szCs w:val="28"/>
          <w:rtl/>
        </w:rPr>
        <w:t xml:space="preserve"> </w:t>
      </w:r>
      <w:r w:rsidR="00D6472D">
        <w:rPr>
          <w:rFonts w:ascii="FrankRuehl" w:hAnsi="FrankRuehl" w:cs="FrankRuehl" w:hint="cs"/>
          <w:sz w:val="28"/>
          <w:szCs w:val="28"/>
          <w:rtl/>
        </w:rPr>
        <w:t>ב</w:t>
      </w:r>
      <w:r w:rsidR="00FE6F64">
        <w:rPr>
          <w:rFonts w:ascii="FrankRuehl" w:hAnsi="FrankRuehl" w:cs="FrankRuehl" w:hint="cs"/>
          <w:sz w:val="28"/>
          <w:szCs w:val="28"/>
          <w:rtl/>
        </w:rPr>
        <w:t xml:space="preserve">חילול שבת </w:t>
      </w:r>
      <w:r w:rsidR="00FE6F64">
        <w:rPr>
          <w:rFonts w:ascii="FrankRuehl" w:hAnsi="FrankRuehl" w:cs="FrankRuehl"/>
          <w:sz w:val="28"/>
          <w:szCs w:val="28"/>
          <w:rtl/>
        </w:rPr>
        <w:t>–</w:t>
      </w:r>
      <w:r w:rsidR="00FE6F64">
        <w:rPr>
          <w:rFonts w:ascii="FrankRuehl" w:hAnsi="FrankRuehl" w:cs="FrankRuehl" w:hint="cs"/>
          <w:sz w:val="28"/>
          <w:szCs w:val="28"/>
          <w:rtl/>
        </w:rPr>
        <w:t xml:space="preserve"> מותר בשבת</w:t>
      </w:r>
      <w:r w:rsidR="00D6472D">
        <w:rPr>
          <w:rFonts w:ascii="FrankRuehl" w:hAnsi="FrankRuehl" w:cs="FrankRuehl" w:hint="cs"/>
          <w:sz w:val="28"/>
          <w:szCs w:val="28"/>
          <w:rtl/>
        </w:rPr>
        <w:t xml:space="preserve">, גם אם </w:t>
      </w:r>
      <w:r w:rsidR="00FE6F64">
        <w:rPr>
          <w:rFonts w:ascii="FrankRuehl" w:hAnsi="FrankRuehl" w:cs="FrankRuehl" w:hint="cs"/>
          <w:sz w:val="28"/>
          <w:szCs w:val="28"/>
          <w:rtl/>
        </w:rPr>
        <w:t>הסיכון לחיי-אדם הוא קלוש. הסיבה לכך היא</w:t>
      </w:r>
      <w:r w:rsidR="00D6472D">
        <w:rPr>
          <w:rFonts w:ascii="FrankRuehl" w:hAnsi="FrankRuehl" w:cs="FrankRuehl" w:hint="cs"/>
          <w:sz w:val="28"/>
          <w:szCs w:val="28"/>
          <w:rtl/>
        </w:rPr>
        <w:t>,</w:t>
      </w:r>
      <w:r w:rsidR="00FE6F64">
        <w:rPr>
          <w:rFonts w:ascii="FrankRuehl" w:hAnsi="FrankRuehl" w:cs="FrankRuehl" w:hint="cs"/>
          <w:sz w:val="28"/>
          <w:szCs w:val="28"/>
          <w:rtl/>
        </w:rPr>
        <w:t xml:space="preserve"> שיש להחיל על המשטרה גדרי פיקוח נפש דרבים</w:t>
      </w:r>
      <w:r w:rsidR="00D6472D">
        <w:rPr>
          <w:rFonts w:ascii="FrankRuehl" w:hAnsi="FrankRuehl" w:cs="FrankRuehl" w:hint="cs"/>
          <w:sz w:val="28"/>
          <w:szCs w:val="28"/>
          <w:rtl/>
        </w:rPr>
        <w:t>;</w:t>
      </w:r>
      <w:r w:rsidR="00FE6F64">
        <w:rPr>
          <w:rFonts w:ascii="FrankRuehl" w:hAnsi="FrankRuehl" w:cs="FrankRuehl" w:hint="cs"/>
          <w:sz w:val="28"/>
          <w:szCs w:val="28"/>
          <w:rtl/>
        </w:rPr>
        <w:t xml:space="preserve"> והסיכון שבמקרה כלשהו, גם אם אחד מיני רבים, ת</w:t>
      </w:r>
      <w:r w:rsidR="00D6472D">
        <w:rPr>
          <w:rFonts w:ascii="FrankRuehl" w:hAnsi="FrankRuehl" w:cs="FrankRuehl" w:hint="cs"/>
          <w:sz w:val="28"/>
          <w:szCs w:val="28"/>
          <w:rtl/>
        </w:rPr>
        <w:t>ִּ</w:t>
      </w:r>
      <w:r w:rsidR="00FE6F64">
        <w:rPr>
          <w:rFonts w:ascii="FrankRuehl" w:hAnsi="FrankRuehl" w:cs="FrankRuehl" w:hint="cs"/>
          <w:sz w:val="28"/>
          <w:szCs w:val="28"/>
          <w:rtl/>
        </w:rPr>
        <w:t>ג</w:t>
      </w:r>
      <w:r w:rsidR="00D6472D">
        <w:rPr>
          <w:rFonts w:ascii="FrankRuehl" w:hAnsi="FrankRuehl" w:cs="FrankRuehl" w:hint="cs"/>
          <w:sz w:val="28"/>
          <w:szCs w:val="28"/>
          <w:rtl/>
        </w:rPr>
        <w:t>ְ</w:t>
      </w:r>
      <w:r w:rsidR="00FE6F64">
        <w:rPr>
          <w:rFonts w:ascii="FrankRuehl" w:hAnsi="FrankRuehl" w:cs="FrankRuehl" w:hint="cs"/>
          <w:sz w:val="28"/>
          <w:szCs w:val="28"/>
          <w:rtl/>
        </w:rPr>
        <w:t>ר</w:t>
      </w:r>
      <w:r w:rsidR="00D6472D">
        <w:rPr>
          <w:rFonts w:ascii="FrankRuehl" w:hAnsi="FrankRuehl" w:cs="FrankRuehl" w:hint="cs"/>
          <w:sz w:val="28"/>
          <w:szCs w:val="28"/>
          <w:rtl/>
        </w:rPr>
        <w:t>ָ</w:t>
      </w:r>
      <w:r w:rsidR="00FE6F64">
        <w:rPr>
          <w:rFonts w:ascii="FrankRuehl" w:hAnsi="FrankRuehl" w:cs="FrankRuehl" w:hint="cs"/>
          <w:sz w:val="28"/>
          <w:szCs w:val="28"/>
          <w:rtl/>
        </w:rPr>
        <w:t>ה תתפשט ותגיע לממדים של סכנת חיים</w:t>
      </w:r>
      <w:r w:rsidR="00D6472D">
        <w:rPr>
          <w:rFonts w:ascii="FrankRuehl" w:hAnsi="FrankRuehl" w:cs="FrankRuehl" w:hint="cs"/>
          <w:sz w:val="28"/>
          <w:szCs w:val="28"/>
          <w:rtl/>
        </w:rPr>
        <w:t xml:space="preserve"> -</w:t>
      </w:r>
      <w:r w:rsidR="00FE6F64">
        <w:rPr>
          <w:rFonts w:ascii="FrankRuehl" w:hAnsi="FrankRuehl" w:cs="FrankRuehl" w:hint="cs"/>
          <w:sz w:val="28"/>
          <w:szCs w:val="28"/>
          <w:rtl/>
        </w:rPr>
        <w:t xml:space="preserve"> הוא סביר.</w:t>
      </w:r>
      <w:r w:rsidR="006A1672">
        <w:rPr>
          <w:rFonts w:ascii="FrankRuehl" w:hAnsi="FrankRuehl" w:cs="FrankRuehl" w:hint="cs"/>
          <w:sz w:val="28"/>
          <w:szCs w:val="28"/>
          <w:rtl/>
        </w:rPr>
        <w:t xml:space="preserve"> זוהי הגישה השנייה. </w:t>
      </w:r>
    </w:p>
    <w:p w14:paraId="35D5E0DF" w14:textId="0543609B" w:rsidR="006D01B7" w:rsidRDefault="006A1672" w:rsidP="0021089F">
      <w:pPr>
        <w:spacing w:line="360" w:lineRule="auto"/>
        <w:jc w:val="both"/>
        <w:rPr>
          <w:rFonts w:ascii="FrankRuehl" w:hAnsi="FrankRuehl" w:cs="FrankRuehl"/>
          <w:sz w:val="28"/>
          <w:szCs w:val="28"/>
          <w:rtl/>
        </w:rPr>
      </w:pPr>
      <w:r>
        <w:rPr>
          <w:rFonts w:ascii="FrankRuehl" w:hAnsi="FrankRuehl" w:cs="FrankRuehl" w:hint="cs"/>
          <w:sz w:val="28"/>
          <w:szCs w:val="28"/>
          <w:rtl/>
        </w:rPr>
        <w:t>לצידה נוקט הרב ישראלי גם בגישה השלישית. לדבריו, אי קיום פעילות משטרתית שגרתית בשבת, מטיל צל כבד על התנהלות נורמאלית של מדינה</w:t>
      </w:r>
      <w:r w:rsidR="004E7CFE">
        <w:rPr>
          <w:rFonts w:ascii="FrankRuehl" w:hAnsi="FrankRuehl" w:cs="FrankRuehl" w:hint="cs"/>
          <w:sz w:val="28"/>
          <w:szCs w:val="28"/>
          <w:rtl/>
        </w:rPr>
        <w:t xml:space="preserve">, והוא עלול לחזק גישות הטוענות שאי אפשר לקיים מדינה מודרנית עפ"י ההלכה. הגישה השלישית מקבלת ביטוי חד יותר בדבריו של הרב נחום אליעזר </w:t>
      </w:r>
      <w:proofErr w:type="spellStart"/>
      <w:r w:rsidR="004E7CFE">
        <w:rPr>
          <w:rFonts w:ascii="FrankRuehl" w:hAnsi="FrankRuehl" w:cs="FrankRuehl" w:hint="cs"/>
          <w:sz w:val="28"/>
          <w:szCs w:val="28"/>
          <w:rtl/>
        </w:rPr>
        <w:t>רבינוביץ</w:t>
      </w:r>
      <w:proofErr w:type="spellEnd"/>
      <w:r w:rsidR="004E7CFE">
        <w:rPr>
          <w:rFonts w:ascii="FrankRuehl" w:hAnsi="FrankRuehl" w:cs="FrankRuehl" w:hint="cs"/>
          <w:sz w:val="28"/>
          <w:szCs w:val="28"/>
          <w:rtl/>
        </w:rPr>
        <w:t>.</w:t>
      </w:r>
      <w:r w:rsidR="00800C26">
        <w:rPr>
          <w:rStyle w:val="ab"/>
          <w:rFonts w:ascii="FrankRuehl" w:hAnsi="FrankRuehl" w:cs="FrankRuehl"/>
          <w:sz w:val="28"/>
          <w:szCs w:val="28"/>
          <w:rtl/>
        </w:rPr>
        <w:footnoteReference w:id="31"/>
      </w:r>
      <w:r w:rsidR="004E7CFE">
        <w:rPr>
          <w:rFonts w:ascii="FrankRuehl" w:hAnsi="FrankRuehl" w:cs="FrankRuehl" w:hint="cs"/>
          <w:sz w:val="28"/>
          <w:szCs w:val="28"/>
          <w:rtl/>
        </w:rPr>
        <w:t xml:space="preserve"> לדבריו, הפעלת כוחות שיטור היא הכרח שלטוני, והיא סממן מובהק של ריבונות. לכן, קיומה של מדינה מחייב פעילות משטרתית שגרתית ושוטפת גם בשבת. לפי ניסוח חריף יותר, </w:t>
      </w:r>
      <w:r w:rsidR="000027B9">
        <w:rPr>
          <w:rFonts w:ascii="FrankRuehl" w:hAnsi="FrankRuehl" w:cs="FrankRuehl" w:hint="cs"/>
          <w:sz w:val="28"/>
          <w:szCs w:val="28"/>
          <w:rtl/>
        </w:rPr>
        <w:t xml:space="preserve">של הרב </w:t>
      </w:r>
      <w:r w:rsidR="001C2537">
        <w:rPr>
          <w:rFonts w:ascii="FrankRuehl" w:hAnsi="FrankRuehl" w:cs="FrankRuehl" w:hint="cs"/>
          <w:sz w:val="28"/>
          <w:szCs w:val="28"/>
          <w:rtl/>
        </w:rPr>
        <w:t xml:space="preserve">ד"ר </w:t>
      </w:r>
      <w:r w:rsidR="000027B9">
        <w:rPr>
          <w:rFonts w:ascii="FrankRuehl" w:hAnsi="FrankRuehl" w:cs="FrankRuehl" w:hint="cs"/>
          <w:sz w:val="28"/>
          <w:szCs w:val="28"/>
          <w:rtl/>
        </w:rPr>
        <w:t>מיכאל אברהם: העדר אכיפה משטרתית הוא</w:t>
      </w:r>
      <w:r w:rsidR="004E7CFE">
        <w:rPr>
          <w:rFonts w:ascii="FrankRuehl" w:hAnsi="FrankRuehl" w:cs="FrankRuehl" w:hint="cs"/>
          <w:sz w:val="28"/>
          <w:szCs w:val="28"/>
          <w:rtl/>
        </w:rPr>
        <w:t xml:space="preserve"> </w:t>
      </w:r>
      <w:r w:rsidR="000027B9" w:rsidRPr="000027B9">
        <w:rPr>
          <w:rFonts w:ascii="FrankRuehl" w:hAnsi="FrankRuehl" w:cs="FrankRuehl"/>
          <w:sz w:val="28"/>
          <w:szCs w:val="28"/>
          <w:rtl/>
        </w:rPr>
        <w:t>"קלקול בהתנהלות הציבור</w:t>
      </w:r>
      <w:r w:rsidR="0041510D">
        <w:rPr>
          <w:rFonts w:ascii="FrankRuehl" w:hAnsi="FrankRuehl" w:cs="FrankRuehl" w:hint="cs"/>
          <w:sz w:val="28"/>
          <w:szCs w:val="28"/>
          <w:rtl/>
        </w:rPr>
        <w:t>,</w:t>
      </w:r>
      <w:r w:rsidR="000027B9" w:rsidRPr="000027B9">
        <w:rPr>
          <w:rFonts w:ascii="FrankRuehl" w:hAnsi="FrankRuehl" w:cs="FrankRuehl"/>
          <w:sz w:val="28"/>
          <w:szCs w:val="28"/>
          <w:rtl/>
        </w:rPr>
        <w:t xml:space="preserve"> </w:t>
      </w:r>
      <w:r w:rsidR="000027B9">
        <w:rPr>
          <w:rFonts w:ascii="FrankRuehl" w:hAnsi="FrankRuehl" w:cs="FrankRuehl" w:hint="cs"/>
          <w:sz w:val="28"/>
          <w:szCs w:val="28"/>
          <w:rtl/>
        </w:rPr>
        <w:t>[ו]</w:t>
      </w:r>
      <w:r w:rsidR="000027B9" w:rsidRPr="000027B9">
        <w:rPr>
          <w:rFonts w:ascii="FrankRuehl" w:hAnsi="FrankRuehl" w:cs="FrankRuehl"/>
          <w:sz w:val="28"/>
          <w:szCs w:val="28"/>
          <w:rtl/>
        </w:rPr>
        <w:t>הוא כמצב של פיקוח נפש".</w:t>
      </w:r>
      <w:r w:rsidR="004B0A89">
        <w:rPr>
          <w:rStyle w:val="ab"/>
          <w:rFonts w:ascii="FrankRuehl" w:hAnsi="FrankRuehl" w:cs="FrankRuehl"/>
          <w:sz w:val="28"/>
          <w:szCs w:val="28"/>
          <w:rtl/>
        </w:rPr>
        <w:footnoteReference w:id="32"/>
      </w:r>
      <w:r w:rsidR="000027B9" w:rsidRPr="000027B9">
        <w:rPr>
          <w:rFonts w:ascii="FrankRuehl" w:hAnsi="FrankRuehl" w:cs="FrankRuehl"/>
          <w:sz w:val="28"/>
          <w:szCs w:val="28"/>
          <w:rtl/>
        </w:rPr>
        <w:t xml:space="preserve"> ייתכן שיש להמשיג </w:t>
      </w:r>
      <w:r w:rsidR="000027B9">
        <w:rPr>
          <w:rFonts w:ascii="FrankRuehl" w:hAnsi="FrankRuehl" w:cs="FrankRuehl" w:hint="cs"/>
          <w:sz w:val="28"/>
          <w:szCs w:val="28"/>
          <w:rtl/>
        </w:rPr>
        <w:t>את דבריו באופן הבא:</w:t>
      </w:r>
      <w:r w:rsidR="000027B9" w:rsidRPr="000027B9">
        <w:rPr>
          <w:rFonts w:ascii="FrankRuehl" w:hAnsi="FrankRuehl" w:cs="FrankRuehl"/>
          <w:sz w:val="28"/>
          <w:szCs w:val="28"/>
          <w:rtl/>
        </w:rPr>
        <w:t xml:space="preserve"> </w:t>
      </w:r>
      <w:r w:rsidR="000027B9">
        <w:rPr>
          <w:rFonts w:ascii="FrankRuehl" w:hAnsi="FrankRuehl" w:cs="FrankRuehl" w:hint="cs"/>
          <w:sz w:val="28"/>
          <w:szCs w:val="28"/>
          <w:rtl/>
        </w:rPr>
        <w:t>העדר אכיפה</w:t>
      </w:r>
      <w:r w:rsidR="001C2537">
        <w:rPr>
          <w:rFonts w:ascii="FrankRuehl" w:hAnsi="FrankRuehl" w:cs="FrankRuehl" w:hint="cs"/>
          <w:sz w:val="28"/>
          <w:szCs w:val="28"/>
          <w:rtl/>
        </w:rPr>
        <w:t>, מצד המשטרה בשבת,</w:t>
      </w:r>
      <w:r w:rsidR="000027B9">
        <w:rPr>
          <w:rFonts w:ascii="FrankRuehl" w:hAnsi="FrankRuehl" w:cs="FrankRuehl" w:hint="cs"/>
          <w:sz w:val="28"/>
          <w:szCs w:val="28"/>
          <w:rtl/>
        </w:rPr>
        <w:t xml:space="preserve"> עלול ל</w:t>
      </w:r>
      <w:r w:rsidR="000B72B1">
        <w:rPr>
          <w:rFonts w:ascii="FrankRuehl" w:hAnsi="FrankRuehl" w:cs="FrankRuehl" w:hint="cs"/>
          <w:sz w:val="28"/>
          <w:szCs w:val="28"/>
          <w:rtl/>
        </w:rPr>
        <w:t xml:space="preserve">פגוע בסדר הציבורי, ואף להוביל לאנרכיה. יש בכך סכנה לקיומה של </w:t>
      </w:r>
      <w:r w:rsidR="000B72B1">
        <w:rPr>
          <w:rFonts w:ascii="FrankRuehl" w:hAnsi="FrankRuehl" w:cs="FrankRuehl" w:hint="cs"/>
          <w:sz w:val="28"/>
          <w:szCs w:val="28"/>
          <w:rtl/>
        </w:rPr>
        <w:lastRenderedPageBreak/>
        <w:t>המדינה, ואם המדינה היא האישיות המשפטית הנידונה כאן, סכנה לקיומה</w:t>
      </w:r>
      <w:r w:rsidR="002662FF">
        <w:rPr>
          <w:rFonts w:ascii="FrankRuehl" w:hAnsi="FrankRuehl" w:cs="FrankRuehl" w:hint="cs"/>
          <w:sz w:val="28"/>
          <w:szCs w:val="28"/>
          <w:rtl/>
        </w:rPr>
        <w:t xml:space="preserve"> כישות פוליטית</w:t>
      </w:r>
      <w:r w:rsidR="001C2537">
        <w:rPr>
          <w:rFonts w:ascii="FrankRuehl" w:hAnsi="FrankRuehl" w:cs="FrankRuehl" w:hint="cs"/>
          <w:sz w:val="28"/>
          <w:szCs w:val="28"/>
          <w:rtl/>
        </w:rPr>
        <w:t>,</w:t>
      </w:r>
      <w:r w:rsidR="000B72B1">
        <w:rPr>
          <w:rFonts w:ascii="FrankRuehl" w:hAnsi="FrankRuehl" w:cs="FrankRuehl" w:hint="cs"/>
          <w:sz w:val="28"/>
          <w:szCs w:val="28"/>
          <w:rtl/>
        </w:rPr>
        <w:t xml:space="preserve"> כמוהו כפיקוח נפש ל</w:t>
      </w:r>
      <w:r w:rsidR="002662FF">
        <w:rPr>
          <w:rFonts w:ascii="FrankRuehl" w:hAnsi="FrankRuehl" w:cs="FrankRuehl" w:hint="cs"/>
          <w:sz w:val="28"/>
          <w:szCs w:val="28"/>
          <w:rtl/>
        </w:rPr>
        <w:t>גופו של ה</w:t>
      </w:r>
      <w:r w:rsidR="000B72B1">
        <w:rPr>
          <w:rFonts w:ascii="FrankRuehl" w:hAnsi="FrankRuehl" w:cs="FrankRuehl" w:hint="cs"/>
          <w:sz w:val="28"/>
          <w:szCs w:val="28"/>
          <w:rtl/>
        </w:rPr>
        <w:t xml:space="preserve">יחיד. </w:t>
      </w:r>
    </w:p>
    <w:p w14:paraId="3395997F" w14:textId="2AF1F1DE" w:rsidR="006D01B7" w:rsidRDefault="000B72B1" w:rsidP="006D01B7">
      <w:pPr>
        <w:spacing w:line="360" w:lineRule="auto"/>
        <w:jc w:val="both"/>
        <w:rPr>
          <w:rFonts w:ascii="FrankRuehl" w:hAnsi="FrankRuehl" w:cs="FrankRuehl"/>
          <w:sz w:val="28"/>
          <w:szCs w:val="28"/>
          <w:rtl/>
        </w:rPr>
      </w:pPr>
      <w:r>
        <w:rPr>
          <w:rFonts w:ascii="FrankRuehl" w:hAnsi="FrankRuehl" w:cs="FrankRuehl" w:hint="cs"/>
          <w:sz w:val="28"/>
          <w:szCs w:val="28"/>
          <w:rtl/>
        </w:rPr>
        <w:t>אם נאמץ הגדרה זו, הרי שלפנינו תופעה הלכתית חד</w:t>
      </w:r>
      <w:r w:rsidR="002662FF">
        <w:rPr>
          <w:rFonts w:ascii="FrankRuehl" w:hAnsi="FrankRuehl" w:cs="FrankRuehl" w:hint="cs"/>
          <w:sz w:val="28"/>
          <w:szCs w:val="28"/>
          <w:rtl/>
        </w:rPr>
        <w:t>שה. השבת הציבורית אינה שבת היחיד</w:t>
      </w:r>
      <w:r w:rsidR="001C2537">
        <w:rPr>
          <w:rFonts w:ascii="FrankRuehl" w:hAnsi="FrankRuehl" w:cs="FrankRuehl" w:hint="cs"/>
          <w:sz w:val="28"/>
          <w:szCs w:val="28"/>
          <w:rtl/>
        </w:rPr>
        <w:t>,</w:t>
      </w:r>
      <w:r w:rsidR="002662FF">
        <w:rPr>
          <w:rFonts w:ascii="FrankRuehl" w:hAnsi="FrankRuehl" w:cs="FrankRuehl" w:hint="cs"/>
          <w:sz w:val="28"/>
          <w:szCs w:val="28"/>
          <w:rtl/>
        </w:rPr>
        <w:t xml:space="preserve"> ואף אינה השבת של יחידים רבים. היא שונה קטגורית. זו השבת של הציבור או של המדינה. הם הגוף השומר את השבת, ויש להתאים למידותיו הן את איסורי השבת והן את היתריה. </w:t>
      </w:r>
    </w:p>
    <w:p w14:paraId="08CBE751" w14:textId="4D181F16" w:rsidR="00C84AFD" w:rsidRDefault="005F0384" w:rsidP="0021089F">
      <w:pPr>
        <w:spacing w:line="360" w:lineRule="auto"/>
        <w:jc w:val="both"/>
        <w:rPr>
          <w:rFonts w:ascii="FrankRuehl" w:hAnsi="FrankRuehl" w:cs="FrankRuehl"/>
          <w:sz w:val="28"/>
          <w:szCs w:val="28"/>
          <w:rtl/>
        </w:rPr>
      </w:pPr>
      <w:r>
        <w:rPr>
          <w:rFonts w:ascii="FrankRuehl" w:hAnsi="FrankRuehl" w:cs="FrankRuehl" w:hint="cs"/>
          <w:sz w:val="28"/>
          <w:szCs w:val="28"/>
          <w:rtl/>
        </w:rPr>
        <w:t>ניתן להציג יישום שלישי ואחרון של שלש הגישות בסוגיית הספקה של חשמל בשבת.</w:t>
      </w:r>
      <w:r w:rsidR="00583E68">
        <w:rPr>
          <w:rStyle w:val="ab"/>
          <w:rFonts w:ascii="FrankRuehl" w:hAnsi="FrankRuehl" w:cs="FrankRuehl"/>
          <w:sz w:val="28"/>
          <w:szCs w:val="28"/>
          <w:rtl/>
        </w:rPr>
        <w:footnoteReference w:id="33"/>
      </w:r>
      <w:r>
        <w:rPr>
          <w:rFonts w:ascii="FrankRuehl" w:hAnsi="FrankRuehl" w:cs="FrankRuehl" w:hint="cs"/>
          <w:sz w:val="28"/>
          <w:szCs w:val="28"/>
          <w:rtl/>
        </w:rPr>
        <w:t xml:space="preserve"> הדובר של הגישה הראשונה בעניין הצבא</w:t>
      </w:r>
      <w:r w:rsidR="006D01B7">
        <w:rPr>
          <w:rFonts w:ascii="FrankRuehl" w:hAnsi="FrankRuehl" w:cs="FrankRuehl" w:hint="cs"/>
          <w:sz w:val="28"/>
          <w:szCs w:val="28"/>
          <w:rtl/>
        </w:rPr>
        <w:t>,</w:t>
      </w:r>
      <w:r>
        <w:rPr>
          <w:rFonts w:ascii="FrankRuehl" w:hAnsi="FrankRuehl" w:cs="FrankRuehl" w:hint="cs"/>
          <w:sz w:val="28"/>
          <w:szCs w:val="28"/>
          <w:rtl/>
        </w:rPr>
        <w:t xml:space="preserve"> החזון איש</w:t>
      </w:r>
      <w:r w:rsidR="006D01B7">
        <w:rPr>
          <w:rFonts w:ascii="FrankRuehl" w:hAnsi="FrankRuehl" w:cs="FrankRuehl" w:hint="cs"/>
          <w:sz w:val="28"/>
          <w:szCs w:val="28"/>
          <w:rtl/>
        </w:rPr>
        <w:t>,</w:t>
      </w:r>
      <w:r>
        <w:rPr>
          <w:rFonts w:ascii="FrankRuehl" w:hAnsi="FrankRuehl" w:cs="FrankRuehl" w:hint="cs"/>
          <w:sz w:val="28"/>
          <w:szCs w:val="28"/>
          <w:rtl/>
        </w:rPr>
        <w:t xml:space="preserve"> הוא גם דוברה של גישה זו בעניין דנן. לדעתו, יש להחיל על גוף ציבורי כחברת החשמל קטגוריות הלכתיות זהות לאלו החלות על הפרט. לכן, ניתן להתיר הספקת חשמל בשבת רק לצורך פיקוח נפש ספציפי. את הגישה השנייה מייצג הרב שלמה זלמן </w:t>
      </w:r>
      <w:proofErr w:type="spellStart"/>
      <w:r>
        <w:rPr>
          <w:rFonts w:ascii="FrankRuehl" w:hAnsi="FrankRuehl" w:cs="FrankRuehl" w:hint="cs"/>
          <w:sz w:val="28"/>
          <w:szCs w:val="28"/>
          <w:rtl/>
        </w:rPr>
        <w:t>אוירבך</w:t>
      </w:r>
      <w:proofErr w:type="spellEnd"/>
      <w:r>
        <w:rPr>
          <w:rFonts w:ascii="FrankRuehl" w:hAnsi="FrankRuehl" w:cs="FrankRuehl" w:hint="cs"/>
          <w:sz w:val="28"/>
          <w:szCs w:val="28"/>
          <w:rtl/>
        </w:rPr>
        <w:t>. ל</w:t>
      </w:r>
      <w:r w:rsidR="00EE2E98">
        <w:rPr>
          <w:rFonts w:ascii="FrankRuehl" w:hAnsi="FrankRuehl" w:cs="FrankRuehl" w:hint="cs"/>
          <w:sz w:val="28"/>
          <w:szCs w:val="28"/>
          <w:rtl/>
        </w:rPr>
        <w:t xml:space="preserve">דעתו, מותר להשתמש בחשמל המסופק בשבת, משום שלפחות חלקו נעשה בהיתר, לצורך בתי חולים וכדומה. הניסיון לראות בחולים ובכל השאר מעין גוף אחד, שעבורו מסופק החשמל, עשוי להלום את הקטגוריה של </w:t>
      </w:r>
      <w:r w:rsidR="002F5AFC">
        <w:rPr>
          <w:rFonts w:ascii="FrankRuehl" w:hAnsi="FrankRuehl" w:cs="FrankRuehl" w:hint="cs"/>
          <w:sz w:val="28"/>
          <w:szCs w:val="28"/>
          <w:rtl/>
        </w:rPr>
        <w:t>"</w:t>
      </w:r>
      <w:r w:rsidR="00EE2E98">
        <w:rPr>
          <w:rFonts w:ascii="FrankRuehl" w:hAnsi="FrankRuehl" w:cs="FrankRuehl" w:hint="cs"/>
          <w:sz w:val="28"/>
          <w:szCs w:val="28"/>
          <w:rtl/>
        </w:rPr>
        <w:t>פ</w:t>
      </w:r>
      <w:r w:rsidR="002F5AFC">
        <w:rPr>
          <w:rFonts w:ascii="FrankRuehl" w:hAnsi="FrankRuehl" w:cs="FrankRuehl" w:hint="cs"/>
          <w:sz w:val="28"/>
          <w:szCs w:val="28"/>
          <w:rtl/>
        </w:rPr>
        <w:t>יקוח נפש דרבים".</w:t>
      </w:r>
      <w:r w:rsidR="00EE2E98">
        <w:rPr>
          <w:rFonts w:ascii="FrankRuehl" w:hAnsi="FrankRuehl" w:cs="FrankRuehl" w:hint="cs"/>
          <w:sz w:val="28"/>
          <w:szCs w:val="28"/>
          <w:rtl/>
        </w:rPr>
        <w:t xml:space="preserve"> </w:t>
      </w:r>
      <w:r w:rsidR="00592DB8">
        <w:rPr>
          <w:rFonts w:ascii="FrankRuehl" w:hAnsi="FrankRuehl" w:cs="FrankRuehl" w:hint="cs"/>
          <w:sz w:val="28"/>
          <w:szCs w:val="28"/>
          <w:rtl/>
        </w:rPr>
        <w:t>הרב גורן נאמן לעמדתו ביחס לצבא, והוא נוקט את הגישה השלישית. לדבריו, מדינה צריכה לדאוג להספקת חשמל רציפה, משום שבכל ר</w:t>
      </w:r>
      <w:r w:rsidR="001C2537">
        <w:rPr>
          <w:rFonts w:ascii="FrankRuehl" w:hAnsi="FrankRuehl" w:cs="FrankRuehl" w:hint="cs"/>
          <w:sz w:val="28"/>
          <w:szCs w:val="28"/>
          <w:rtl/>
        </w:rPr>
        <w:t>ג</w:t>
      </w:r>
      <w:r w:rsidR="00592DB8">
        <w:rPr>
          <w:rFonts w:ascii="FrankRuehl" w:hAnsi="FrankRuehl" w:cs="FrankRuehl" w:hint="cs"/>
          <w:sz w:val="28"/>
          <w:szCs w:val="28"/>
          <w:rtl/>
        </w:rPr>
        <w:t xml:space="preserve">ע נתון עשוי להיות מי שיזדקק לו. מדובר אפוא באחריות המוטלת על </w:t>
      </w:r>
      <w:r w:rsidR="001C2537">
        <w:rPr>
          <w:rFonts w:ascii="FrankRuehl" w:hAnsi="FrankRuehl" w:cs="FrankRuehl" w:hint="cs"/>
          <w:sz w:val="28"/>
          <w:szCs w:val="28"/>
          <w:rtl/>
        </w:rPr>
        <w:t>ה</w:t>
      </w:r>
      <w:r w:rsidR="00592DB8">
        <w:rPr>
          <w:rFonts w:ascii="FrankRuehl" w:hAnsi="FrankRuehl" w:cs="FrankRuehl" w:hint="cs"/>
          <w:sz w:val="28"/>
          <w:szCs w:val="28"/>
          <w:rtl/>
        </w:rPr>
        <w:t xml:space="preserve">מדינה, ומושא ההיתר </w:t>
      </w:r>
      <w:r w:rsidR="000500BE">
        <w:rPr>
          <w:rFonts w:ascii="FrankRuehl" w:hAnsi="FrankRuehl" w:cs="FrankRuehl" w:hint="cs"/>
          <w:sz w:val="28"/>
          <w:szCs w:val="28"/>
          <w:rtl/>
        </w:rPr>
        <w:t>לחילול השבת הוא</w:t>
      </w:r>
      <w:r w:rsidR="00592DB8">
        <w:rPr>
          <w:rFonts w:ascii="FrankRuehl" w:hAnsi="FrankRuehl" w:cs="FrankRuehl" w:hint="cs"/>
          <w:sz w:val="28"/>
          <w:szCs w:val="28"/>
          <w:rtl/>
        </w:rPr>
        <w:t xml:space="preserve"> כלל אזרחי המדינה.</w:t>
      </w:r>
    </w:p>
    <w:p w14:paraId="234FCBBE" w14:textId="14F175C5" w:rsidR="00DC2D9C" w:rsidRDefault="00C84AFD"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מהו </w:t>
      </w:r>
      <w:r w:rsidR="000519C2">
        <w:rPr>
          <w:rFonts w:ascii="FrankRuehl" w:hAnsi="FrankRuehl" w:cs="FrankRuehl" w:hint="cs"/>
          <w:sz w:val="28"/>
          <w:szCs w:val="28"/>
          <w:rtl/>
        </w:rPr>
        <w:t xml:space="preserve">המבחין היסודי בין שלש הגישות? על פניו, ניתן להסתפק בתשובה פורמאלית, וכך גם הוצגו הדברים עד כה. ההלכה בכללה, והלכות שבת במיוחד, פונות, על-פי-רוב, לפרט. </w:t>
      </w:r>
      <w:r w:rsidR="00D869E3">
        <w:rPr>
          <w:rFonts w:ascii="FrankRuehl" w:hAnsi="FrankRuehl" w:cs="FrankRuehl" w:hint="cs"/>
          <w:sz w:val="28"/>
          <w:szCs w:val="28"/>
          <w:rtl/>
        </w:rPr>
        <w:t>החובות והאיסורים שבשבת מוטלים, רובם ככולם, על היחיד.</w:t>
      </w:r>
      <w:r w:rsidR="000519C2">
        <w:rPr>
          <w:rFonts w:ascii="FrankRuehl" w:hAnsi="FrankRuehl" w:cs="FrankRuehl" w:hint="cs"/>
          <w:sz w:val="28"/>
          <w:szCs w:val="28"/>
          <w:rtl/>
        </w:rPr>
        <w:t xml:space="preserve">. הדיון בשבת הציבורית מחייב את המעבר מן היחיד אל הציבור, והנתון הפורמאלי הזה </w:t>
      </w:r>
      <w:r w:rsidR="000519C2">
        <w:rPr>
          <w:rFonts w:ascii="FrankRuehl" w:hAnsi="FrankRuehl" w:cs="FrankRuehl"/>
          <w:sz w:val="28"/>
          <w:szCs w:val="28"/>
          <w:rtl/>
        </w:rPr>
        <w:t>–</w:t>
      </w:r>
      <w:r w:rsidR="000519C2">
        <w:rPr>
          <w:rFonts w:ascii="FrankRuehl" w:hAnsi="FrankRuehl" w:cs="FrankRuehl" w:hint="cs"/>
          <w:sz w:val="28"/>
          <w:szCs w:val="28"/>
          <w:rtl/>
        </w:rPr>
        <w:t xml:space="preserve"> האישיות המשפטית המשתנה, מציב שתי גישות קצה וביניהן גישת אמצע. </w:t>
      </w:r>
      <w:r w:rsidR="007878D9">
        <w:rPr>
          <w:rFonts w:ascii="FrankRuehl" w:hAnsi="FrankRuehl" w:cs="FrankRuehl" w:hint="cs"/>
          <w:sz w:val="28"/>
          <w:szCs w:val="28"/>
          <w:rtl/>
        </w:rPr>
        <w:t xml:space="preserve">גישת קצה אחת מתייחסת לציבור או למדינה כאוסף של יחידים. ההלכה המתאימה להם היא הלכת היחיד. גישת קצה אחרת רואה בציבור ובמדינה אישיות משפטית עצמאית. לפי גישה כזו, </w:t>
      </w:r>
      <w:r w:rsidR="00D33ECC">
        <w:rPr>
          <w:rFonts w:ascii="FrankRuehl" w:hAnsi="FrankRuehl" w:cs="FrankRuehl" w:hint="cs"/>
          <w:sz w:val="28"/>
          <w:szCs w:val="28"/>
          <w:rtl/>
        </w:rPr>
        <w:t xml:space="preserve">לשבת הציבורית </w:t>
      </w:r>
      <w:r w:rsidR="007878D9">
        <w:rPr>
          <w:rFonts w:ascii="FrankRuehl" w:hAnsi="FrankRuehl" w:cs="FrankRuehl" w:hint="cs"/>
          <w:sz w:val="28"/>
          <w:szCs w:val="28"/>
          <w:rtl/>
        </w:rPr>
        <w:t>מתבקשת הלכה אחרת, ייחודית והולמת ל</w:t>
      </w:r>
      <w:r w:rsidR="000500BE">
        <w:rPr>
          <w:rFonts w:ascii="FrankRuehl" w:hAnsi="FrankRuehl" w:cs="FrankRuehl" w:hint="cs"/>
          <w:sz w:val="28"/>
          <w:szCs w:val="28"/>
          <w:rtl/>
        </w:rPr>
        <w:t>ַ</w:t>
      </w:r>
      <w:r w:rsidR="007878D9">
        <w:rPr>
          <w:rFonts w:ascii="FrankRuehl" w:hAnsi="FrankRuehl" w:cs="FrankRuehl" w:hint="cs"/>
          <w:sz w:val="28"/>
          <w:szCs w:val="28"/>
          <w:rtl/>
        </w:rPr>
        <w:t xml:space="preserve">קולקטיב. בתווך מצויה גישה הרואה בציבור מושא הלכתי שונה מן היחידים, </w:t>
      </w:r>
      <w:r w:rsidR="00DC2D9C">
        <w:rPr>
          <w:rFonts w:ascii="FrankRuehl" w:hAnsi="FrankRuehl" w:cs="FrankRuehl" w:hint="cs"/>
          <w:sz w:val="28"/>
          <w:szCs w:val="28"/>
          <w:rtl/>
        </w:rPr>
        <w:t>אלא ששינוי זה הוא נסיבתי ולא מהותי. הציבור הוא יחידים רבים, אך אינו אישיות משפטית נפרדת.</w:t>
      </w:r>
      <w:r w:rsidR="00FB3A7F">
        <w:rPr>
          <w:rStyle w:val="ab"/>
          <w:rFonts w:ascii="FrankRuehl" w:hAnsi="FrankRuehl" w:cs="FrankRuehl"/>
          <w:sz w:val="28"/>
          <w:szCs w:val="28"/>
          <w:rtl/>
        </w:rPr>
        <w:footnoteReference w:id="34"/>
      </w:r>
    </w:p>
    <w:p w14:paraId="3FF381D4" w14:textId="3CA8F6FD" w:rsidR="00D33ECC" w:rsidRDefault="00DC2D9C"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המבחין שתואר </w:t>
      </w:r>
      <w:r w:rsidR="000500BE">
        <w:rPr>
          <w:rFonts w:ascii="FrankRuehl" w:hAnsi="FrankRuehl" w:cs="FrankRuehl" w:hint="cs"/>
          <w:sz w:val="28"/>
          <w:szCs w:val="28"/>
          <w:rtl/>
        </w:rPr>
        <w:t>בינתיים</w:t>
      </w:r>
      <w:r>
        <w:rPr>
          <w:rFonts w:ascii="FrankRuehl" w:hAnsi="FrankRuehl" w:cs="FrankRuehl" w:hint="cs"/>
          <w:sz w:val="28"/>
          <w:szCs w:val="28"/>
          <w:rtl/>
        </w:rPr>
        <w:t xml:space="preserve"> הוא </w:t>
      </w:r>
      <w:proofErr w:type="spellStart"/>
      <w:r>
        <w:rPr>
          <w:rFonts w:ascii="FrankRuehl" w:hAnsi="FrankRuehl" w:cs="FrankRuehl" w:hint="cs"/>
          <w:sz w:val="28"/>
          <w:szCs w:val="28"/>
          <w:rtl/>
        </w:rPr>
        <w:t>פורמאלי</w:t>
      </w:r>
      <w:r w:rsidR="00800C26">
        <w:rPr>
          <w:rFonts w:ascii="FrankRuehl" w:hAnsi="FrankRuehl" w:cs="FrankRuehl" w:hint="cs"/>
          <w:sz w:val="28"/>
          <w:szCs w:val="28"/>
          <w:rtl/>
        </w:rPr>
        <w:t>ארונובסקי</w:t>
      </w:r>
      <w:proofErr w:type="spellEnd"/>
      <w:r w:rsidR="00800C26">
        <w:rPr>
          <w:rFonts w:ascii="FrankRuehl" w:hAnsi="FrankRuehl" w:cs="FrankRuehl" w:hint="cs"/>
          <w:sz w:val="28"/>
          <w:szCs w:val="28"/>
          <w:rtl/>
        </w:rPr>
        <w:t xml:space="preserve"> וספיר</w:t>
      </w:r>
      <w:r>
        <w:rPr>
          <w:rFonts w:ascii="FrankRuehl" w:hAnsi="FrankRuehl" w:cs="FrankRuehl" w:hint="cs"/>
          <w:sz w:val="28"/>
          <w:szCs w:val="28"/>
          <w:rtl/>
        </w:rPr>
        <w:t xml:space="preserve"> בספרם אינם מסתפקים בכך, ובצדק. לדידם, המבחין היסודי</w:t>
      </w:r>
      <w:r w:rsidR="00D33ECC">
        <w:rPr>
          <w:rFonts w:ascii="FrankRuehl" w:hAnsi="FrankRuehl" w:cs="FrankRuehl" w:hint="cs"/>
          <w:sz w:val="28"/>
          <w:szCs w:val="28"/>
          <w:rtl/>
        </w:rPr>
        <w:t xml:space="preserve"> בין </w:t>
      </w:r>
      <w:r w:rsidR="000500BE">
        <w:rPr>
          <w:rFonts w:ascii="FrankRuehl" w:hAnsi="FrankRuehl" w:cs="FrankRuehl" w:hint="cs"/>
          <w:sz w:val="28"/>
          <w:szCs w:val="28"/>
          <w:rtl/>
        </w:rPr>
        <w:t xml:space="preserve">שלוש </w:t>
      </w:r>
      <w:r w:rsidR="00D33ECC">
        <w:rPr>
          <w:rFonts w:ascii="FrankRuehl" w:hAnsi="FrankRuehl" w:cs="FrankRuehl" w:hint="cs"/>
          <w:sz w:val="28"/>
          <w:szCs w:val="28"/>
          <w:rtl/>
        </w:rPr>
        <w:t>הגישות</w:t>
      </w:r>
      <w:r>
        <w:rPr>
          <w:rFonts w:ascii="FrankRuehl" w:hAnsi="FrankRuehl" w:cs="FrankRuehl" w:hint="cs"/>
          <w:sz w:val="28"/>
          <w:szCs w:val="28"/>
          <w:rtl/>
        </w:rPr>
        <w:t xml:space="preserve"> הוא תמהיל </w:t>
      </w:r>
      <w:r w:rsidR="00D33ECC">
        <w:rPr>
          <w:rFonts w:ascii="FrankRuehl" w:hAnsi="FrankRuehl" w:cs="FrankRuehl" w:hint="cs"/>
          <w:sz w:val="28"/>
          <w:szCs w:val="28"/>
          <w:rtl/>
        </w:rPr>
        <w:t>בין</w:t>
      </w:r>
      <w:r>
        <w:rPr>
          <w:rFonts w:ascii="FrankRuehl" w:hAnsi="FrankRuehl" w:cs="FrankRuehl" w:hint="cs"/>
          <w:sz w:val="28"/>
          <w:szCs w:val="28"/>
          <w:rtl/>
        </w:rPr>
        <w:t xml:space="preserve"> </w:t>
      </w:r>
      <w:r w:rsidR="00D33ECC">
        <w:rPr>
          <w:rFonts w:ascii="FrankRuehl" w:hAnsi="FrankRuehl" w:cs="FrankRuehl" w:hint="cs"/>
          <w:sz w:val="28"/>
          <w:szCs w:val="28"/>
          <w:rtl/>
        </w:rPr>
        <w:t>עמדתו</w:t>
      </w:r>
      <w:r>
        <w:rPr>
          <w:rFonts w:ascii="FrankRuehl" w:hAnsi="FrankRuehl" w:cs="FrankRuehl" w:hint="cs"/>
          <w:sz w:val="28"/>
          <w:szCs w:val="28"/>
          <w:rtl/>
        </w:rPr>
        <w:t xml:space="preserve"> האידאולוגית של הפוסק </w:t>
      </w:r>
      <w:r>
        <w:rPr>
          <w:rFonts w:ascii="FrankRuehl" w:hAnsi="FrankRuehl" w:cs="FrankRuehl"/>
          <w:sz w:val="28"/>
          <w:szCs w:val="28"/>
          <w:rtl/>
        </w:rPr>
        <w:t>–</w:t>
      </w:r>
      <w:r>
        <w:rPr>
          <w:rFonts w:ascii="FrankRuehl" w:hAnsi="FrankRuehl" w:cs="FrankRuehl" w:hint="cs"/>
          <w:sz w:val="28"/>
          <w:szCs w:val="28"/>
          <w:rtl/>
        </w:rPr>
        <w:t xml:space="preserve"> ציונית </w:t>
      </w:r>
      <w:r w:rsidR="00D33ECC">
        <w:rPr>
          <w:rFonts w:ascii="FrankRuehl" w:hAnsi="FrankRuehl" w:cs="FrankRuehl" w:hint="cs"/>
          <w:sz w:val="28"/>
          <w:szCs w:val="28"/>
          <w:rtl/>
        </w:rPr>
        <w:t xml:space="preserve">או </w:t>
      </w:r>
      <w:r>
        <w:rPr>
          <w:rFonts w:ascii="FrankRuehl" w:hAnsi="FrankRuehl" w:cs="FrankRuehl" w:hint="cs"/>
          <w:sz w:val="28"/>
          <w:szCs w:val="28"/>
          <w:rtl/>
        </w:rPr>
        <w:t>לא ציונית,</w:t>
      </w:r>
      <w:r w:rsidR="00E01BC7">
        <w:rPr>
          <w:rStyle w:val="ab"/>
          <w:rFonts w:ascii="FrankRuehl" w:hAnsi="FrankRuehl" w:cs="FrankRuehl"/>
          <w:sz w:val="28"/>
          <w:szCs w:val="28"/>
          <w:rtl/>
        </w:rPr>
        <w:footnoteReference w:id="35"/>
      </w:r>
      <w:r>
        <w:rPr>
          <w:rFonts w:ascii="FrankRuehl" w:hAnsi="FrankRuehl" w:cs="FrankRuehl" w:hint="cs"/>
          <w:sz w:val="28"/>
          <w:szCs w:val="28"/>
          <w:rtl/>
        </w:rPr>
        <w:t xml:space="preserve"> </w:t>
      </w:r>
      <w:r w:rsidR="00D33ECC">
        <w:rPr>
          <w:rFonts w:ascii="FrankRuehl" w:hAnsi="FrankRuehl" w:cs="FrankRuehl" w:hint="cs"/>
          <w:sz w:val="28"/>
          <w:szCs w:val="28"/>
          <w:rtl/>
        </w:rPr>
        <w:t>ובין</w:t>
      </w:r>
      <w:r>
        <w:rPr>
          <w:rFonts w:ascii="FrankRuehl" w:hAnsi="FrankRuehl" w:cs="FrankRuehl" w:hint="cs"/>
          <w:sz w:val="28"/>
          <w:szCs w:val="28"/>
          <w:rtl/>
        </w:rPr>
        <w:t xml:space="preserve"> מדיניות הפסיקה שלו</w:t>
      </w:r>
      <w:r w:rsidR="007878D9">
        <w:rPr>
          <w:rFonts w:ascii="FrankRuehl" w:hAnsi="FrankRuehl" w:cs="FrankRuehl" w:hint="cs"/>
          <w:sz w:val="28"/>
          <w:szCs w:val="28"/>
          <w:rtl/>
        </w:rPr>
        <w:t xml:space="preserve"> </w:t>
      </w:r>
      <w:r>
        <w:rPr>
          <w:rFonts w:ascii="FrankRuehl" w:hAnsi="FrankRuehl" w:cs="FrankRuehl"/>
          <w:sz w:val="28"/>
          <w:szCs w:val="28"/>
          <w:rtl/>
        </w:rPr>
        <w:t>–</w:t>
      </w:r>
      <w:r>
        <w:rPr>
          <w:rFonts w:ascii="FrankRuehl" w:hAnsi="FrankRuehl" w:cs="FrankRuehl" w:hint="cs"/>
          <w:sz w:val="28"/>
          <w:szCs w:val="28"/>
          <w:rtl/>
        </w:rPr>
        <w:t xml:space="preserve"> שמרנית ומחמירה או חדשנית ומקילה. הרב גורן, למשל, </w:t>
      </w:r>
      <w:r w:rsidR="00D33ECC">
        <w:rPr>
          <w:rFonts w:ascii="FrankRuehl" w:hAnsi="FrankRuehl" w:cs="FrankRuehl" w:hint="cs"/>
          <w:sz w:val="28"/>
          <w:szCs w:val="28"/>
          <w:rtl/>
        </w:rPr>
        <w:t xml:space="preserve">נוקט </w:t>
      </w:r>
      <w:r>
        <w:rPr>
          <w:rFonts w:ascii="FrankRuehl" w:hAnsi="FrankRuehl" w:cs="FrankRuehl" w:hint="cs"/>
          <w:sz w:val="28"/>
          <w:szCs w:val="28"/>
          <w:rtl/>
        </w:rPr>
        <w:t xml:space="preserve">בגישה השלישית משום שהוא </w:t>
      </w:r>
      <w:r>
        <w:rPr>
          <w:rFonts w:ascii="FrankRuehl" w:hAnsi="FrankRuehl" w:cs="FrankRuehl" w:hint="cs"/>
          <w:sz w:val="28"/>
          <w:szCs w:val="28"/>
          <w:rtl/>
        </w:rPr>
        <w:lastRenderedPageBreak/>
        <w:t>פוסק ציוני וחדשן.</w:t>
      </w:r>
      <w:r w:rsidR="009F7E57">
        <w:rPr>
          <w:rStyle w:val="ab"/>
          <w:rFonts w:ascii="FrankRuehl" w:hAnsi="FrankRuehl" w:cs="FrankRuehl"/>
          <w:sz w:val="28"/>
          <w:szCs w:val="28"/>
          <w:rtl/>
        </w:rPr>
        <w:footnoteReference w:id="36"/>
      </w:r>
      <w:r w:rsidR="00D33ECC">
        <w:rPr>
          <w:rFonts w:ascii="FrankRuehl" w:hAnsi="FrankRuehl" w:cs="FrankRuehl" w:hint="cs"/>
          <w:sz w:val="28"/>
          <w:szCs w:val="28"/>
          <w:rtl/>
        </w:rPr>
        <w:t xml:space="preserve"> מבחינתו, המושא ההלכתי הוא המדינה, וראוי להחיל עליה נורמות הלכתיות חדשות. </w:t>
      </w:r>
      <w:r>
        <w:rPr>
          <w:rFonts w:ascii="FrankRuehl" w:hAnsi="FrankRuehl" w:cs="FrankRuehl" w:hint="cs"/>
          <w:sz w:val="28"/>
          <w:szCs w:val="28"/>
          <w:rtl/>
        </w:rPr>
        <w:t>לעומתו, החזון איש נוקט בגישה הראשונה</w:t>
      </w:r>
      <w:r w:rsidR="00D33ECC">
        <w:rPr>
          <w:rFonts w:ascii="FrankRuehl" w:hAnsi="FrankRuehl" w:cs="FrankRuehl" w:hint="cs"/>
          <w:sz w:val="28"/>
          <w:szCs w:val="28"/>
          <w:rtl/>
        </w:rPr>
        <w:t>.</w:t>
      </w:r>
      <w:r>
        <w:rPr>
          <w:rFonts w:ascii="FrankRuehl" w:hAnsi="FrankRuehl" w:cs="FrankRuehl" w:hint="cs"/>
          <w:sz w:val="28"/>
          <w:szCs w:val="28"/>
          <w:rtl/>
        </w:rPr>
        <w:t xml:space="preserve"> עמדתו אינה ציונית</w:t>
      </w:r>
      <w:r w:rsidR="00D33ECC">
        <w:rPr>
          <w:rFonts w:ascii="FrankRuehl" w:hAnsi="FrankRuehl" w:cs="FrankRuehl" w:hint="cs"/>
          <w:sz w:val="28"/>
          <w:szCs w:val="28"/>
          <w:rtl/>
        </w:rPr>
        <w:t>,</w:t>
      </w:r>
      <w:r>
        <w:rPr>
          <w:rFonts w:ascii="FrankRuehl" w:hAnsi="FrankRuehl" w:cs="FrankRuehl" w:hint="cs"/>
          <w:sz w:val="28"/>
          <w:szCs w:val="28"/>
          <w:rtl/>
        </w:rPr>
        <w:t xml:space="preserve"> והוא נוטה, בד"כ, </w:t>
      </w:r>
      <w:r w:rsidR="002612B3">
        <w:rPr>
          <w:rFonts w:ascii="FrankRuehl" w:hAnsi="FrankRuehl" w:cs="FrankRuehl" w:hint="cs"/>
          <w:sz w:val="28"/>
          <w:szCs w:val="28"/>
          <w:rtl/>
        </w:rPr>
        <w:t>לשמרנות</w:t>
      </w:r>
      <w:r>
        <w:rPr>
          <w:rFonts w:ascii="FrankRuehl" w:hAnsi="FrankRuehl" w:cs="FrankRuehl" w:hint="cs"/>
          <w:sz w:val="28"/>
          <w:szCs w:val="28"/>
          <w:rtl/>
        </w:rPr>
        <w:t>.</w:t>
      </w:r>
      <w:r w:rsidR="00D33ECC">
        <w:rPr>
          <w:rFonts w:ascii="FrankRuehl" w:hAnsi="FrankRuehl" w:cs="FrankRuehl" w:hint="cs"/>
          <w:sz w:val="28"/>
          <w:szCs w:val="28"/>
          <w:rtl/>
        </w:rPr>
        <w:t xml:space="preserve"> השבת הציבורית תידון אפוא לפי הקטגוריות המחמירות של שבת הפרט.</w:t>
      </w:r>
      <w:r w:rsidR="00C34A64">
        <w:rPr>
          <w:rFonts w:ascii="FrankRuehl" w:hAnsi="FrankRuehl" w:cs="FrankRuehl" w:hint="cs"/>
          <w:sz w:val="28"/>
          <w:szCs w:val="28"/>
          <w:rtl/>
        </w:rPr>
        <w:t xml:space="preserve"> </w:t>
      </w:r>
    </w:p>
    <w:p w14:paraId="19AF83D3" w14:textId="628942DC" w:rsidR="00672CF2" w:rsidRDefault="00DC2D9C" w:rsidP="003A12B5">
      <w:pPr>
        <w:spacing w:line="360" w:lineRule="auto"/>
        <w:jc w:val="both"/>
        <w:rPr>
          <w:rFonts w:ascii="FrankRuehl" w:hAnsi="FrankRuehl" w:cs="FrankRuehl"/>
          <w:sz w:val="28"/>
          <w:szCs w:val="28"/>
          <w:rtl/>
        </w:rPr>
      </w:pPr>
      <w:r>
        <w:rPr>
          <w:rFonts w:ascii="FrankRuehl" w:hAnsi="FrankRuehl" w:cs="FrankRuehl" w:hint="cs"/>
          <w:sz w:val="28"/>
          <w:szCs w:val="28"/>
          <w:rtl/>
        </w:rPr>
        <w:t xml:space="preserve">על רקע הניתוח הזה מתקשים </w:t>
      </w:r>
      <w:r w:rsidR="00800C26">
        <w:rPr>
          <w:rFonts w:ascii="FrankRuehl" w:hAnsi="FrankRuehl" w:cs="FrankRuehl" w:hint="cs"/>
          <w:sz w:val="28"/>
          <w:szCs w:val="28"/>
          <w:rtl/>
        </w:rPr>
        <w:t>המחברים</w:t>
      </w:r>
      <w:r w:rsidR="00BA2C5B">
        <w:rPr>
          <w:rFonts w:ascii="FrankRuehl" w:hAnsi="FrankRuehl" w:cs="FrankRuehl" w:hint="cs"/>
          <w:sz w:val="28"/>
          <w:szCs w:val="28"/>
          <w:rtl/>
        </w:rPr>
        <w:t>, כמו גם אחרים, בפיצוח עמדתו של הרב הרצוג</w:t>
      </w:r>
      <w:r w:rsidR="00D33ECC">
        <w:rPr>
          <w:rFonts w:ascii="FrankRuehl" w:hAnsi="FrankRuehl" w:cs="FrankRuehl" w:hint="cs"/>
          <w:sz w:val="28"/>
          <w:szCs w:val="28"/>
          <w:rtl/>
        </w:rPr>
        <w:t xml:space="preserve"> ה</w:t>
      </w:r>
      <w:r w:rsidR="000500BE">
        <w:rPr>
          <w:rFonts w:ascii="FrankRuehl" w:hAnsi="FrankRuehl" w:cs="FrankRuehl" w:hint="cs"/>
          <w:sz w:val="28"/>
          <w:szCs w:val="28"/>
          <w:rtl/>
        </w:rPr>
        <w:t>מוגדרת על ידיהם כ</w:t>
      </w:r>
      <w:r w:rsidR="00D33ECC">
        <w:rPr>
          <w:rFonts w:ascii="FrankRuehl" w:hAnsi="FrankRuehl" w:cs="FrankRuehl" w:hint="cs"/>
          <w:sz w:val="28"/>
          <w:szCs w:val="28"/>
          <w:rtl/>
        </w:rPr>
        <w:t>"מסויגת והססנית",</w:t>
      </w:r>
      <w:r w:rsidR="00BA2C5B">
        <w:rPr>
          <w:rFonts w:ascii="FrankRuehl" w:hAnsi="FrankRuehl" w:cs="FrankRuehl" w:hint="cs"/>
          <w:sz w:val="28"/>
          <w:szCs w:val="28"/>
          <w:rtl/>
        </w:rPr>
        <w:t xml:space="preserve"> </w:t>
      </w:r>
      <w:r w:rsidR="00D33ECC">
        <w:rPr>
          <w:rFonts w:ascii="FrankRuehl" w:hAnsi="FrankRuehl" w:cs="FrankRuehl" w:hint="cs"/>
          <w:sz w:val="28"/>
          <w:szCs w:val="28"/>
          <w:rtl/>
        </w:rPr>
        <w:t>כהגדרתם</w:t>
      </w:r>
      <w:r w:rsidR="00BA2C5B">
        <w:rPr>
          <w:rFonts w:ascii="FrankRuehl" w:hAnsi="FrankRuehl" w:cs="FrankRuehl" w:hint="cs"/>
          <w:sz w:val="28"/>
          <w:szCs w:val="28"/>
          <w:rtl/>
        </w:rPr>
        <w:t>. כפי שראינו, הרב הרצוג נע בין הגישה הראשונה</w:t>
      </w:r>
      <w:r w:rsidR="00D33ECC">
        <w:rPr>
          <w:rFonts w:ascii="FrankRuehl" w:hAnsi="FrankRuehl" w:cs="FrankRuehl" w:hint="cs"/>
          <w:sz w:val="28"/>
          <w:szCs w:val="28"/>
          <w:rtl/>
        </w:rPr>
        <w:t xml:space="preserve"> -</w:t>
      </w:r>
      <w:r w:rsidR="00BA2C5B">
        <w:rPr>
          <w:rFonts w:ascii="FrankRuehl" w:hAnsi="FrankRuehl" w:cs="FrankRuehl" w:hint="cs"/>
          <w:sz w:val="28"/>
          <w:szCs w:val="28"/>
          <w:rtl/>
        </w:rPr>
        <w:t xml:space="preserve"> ביחס למשטרה</w:t>
      </w:r>
      <w:r w:rsidR="00D33ECC">
        <w:rPr>
          <w:rFonts w:ascii="FrankRuehl" w:hAnsi="FrankRuehl" w:cs="FrankRuehl" w:hint="cs"/>
          <w:sz w:val="28"/>
          <w:szCs w:val="28"/>
          <w:rtl/>
        </w:rPr>
        <w:t>,</w:t>
      </w:r>
      <w:r w:rsidR="00BA2C5B">
        <w:rPr>
          <w:rFonts w:ascii="FrankRuehl" w:hAnsi="FrankRuehl" w:cs="FrankRuehl" w:hint="cs"/>
          <w:sz w:val="28"/>
          <w:szCs w:val="28"/>
          <w:rtl/>
        </w:rPr>
        <w:t xml:space="preserve"> לבין השנייה</w:t>
      </w:r>
      <w:r w:rsidR="00D33ECC">
        <w:rPr>
          <w:rFonts w:ascii="FrankRuehl" w:hAnsi="FrankRuehl" w:cs="FrankRuehl" w:hint="cs"/>
          <w:sz w:val="28"/>
          <w:szCs w:val="28"/>
          <w:rtl/>
        </w:rPr>
        <w:t xml:space="preserve"> -</w:t>
      </w:r>
      <w:r w:rsidR="00BA2C5B">
        <w:rPr>
          <w:rFonts w:ascii="FrankRuehl" w:hAnsi="FrankRuehl" w:cs="FrankRuehl" w:hint="cs"/>
          <w:sz w:val="28"/>
          <w:szCs w:val="28"/>
          <w:rtl/>
        </w:rPr>
        <w:t xml:space="preserve"> ביחסו לצבא. </w:t>
      </w:r>
      <w:r w:rsidR="00800C26">
        <w:rPr>
          <w:rFonts w:ascii="FrankRuehl" w:hAnsi="FrankRuehl" w:cs="FrankRuehl" w:hint="cs"/>
          <w:sz w:val="28"/>
          <w:szCs w:val="28"/>
          <w:rtl/>
        </w:rPr>
        <w:t>היו ש</w:t>
      </w:r>
      <w:r w:rsidR="00BA2C5B">
        <w:rPr>
          <w:rFonts w:ascii="FrankRuehl" w:hAnsi="FrankRuehl" w:cs="FrankRuehl" w:hint="cs"/>
          <w:sz w:val="28"/>
          <w:szCs w:val="28"/>
          <w:rtl/>
        </w:rPr>
        <w:t xml:space="preserve">ראו בכך הוכחה לעמדתו הציונית הפושרת של הרב הרצוג. </w:t>
      </w:r>
      <w:r w:rsidR="00800C26">
        <w:rPr>
          <w:rFonts w:ascii="FrankRuehl" w:hAnsi="FrankRuehl" w:cs="FrankRuehl" w:hint="cs"/>
          <w:sz w:val="28"/>
          <w:szCs w:val="28"/>
          <w:rtl/>
        </w:rPr>
        <w:t>ארונובסקי וספיר</w:t>
      </w:r>
      <w:r w:rsidR="00BA2C5B">
        <w:rPr>
          <w:rFonts w:ascii="FrankRuehl" w:hAnsi="FrankRuehl" w:cs="FrankRuehl" w:hint="cs"/>
          <w:sz w:val="28"/>
          <w:szCs w:val="28"/>
          <w:rtl/>
        </w:rPr>
        <w:t xml:space="preserve"> דוחים א</w:t>
      </w:r>
      <w:r w:rsidR="000500BE">
        <w:rPr>
          <w:rFonts w:ascii="FrankRuehl" w:hAnsi="FrankRuehl" w:cs="FrankRuehl" w:hint="cs"/>
          <w:sz w:val="28"/>
          <w:szCs w:val="28"/>
          <w:rtl/>
        </w:rPr>
        <w:t>ִ</w:t>
      </w:r>
      <w:r w:rsidR="00BA2C5B">
        <w:rPr>
          <w:rFonts w:ascii="FrankRuehl" w:hAnsi="FrankRuehl" w:cs="FrankRuehl" w:hint="cs"/>
          <w:sz w:val="28"/>
          <w:szCs w:val="28"/>
          <w:rtl/>
        </w:rPr>
        <w:t>פ</w:t>
      </w:r>
      <w:r w:rsidR="000500BE">
        <w:rPr>
          <w:rFonts w:ascii="FrankRuehl" w:hAnsi="FrankRuehl" w:cs="FrankRuehl" w:hint="cs"/>
          <w:sz w:val="28"/>
          <w:szCs w:val="28"/>
          <w:rtl/>
        </w:rPr>
        <w:t>ְ</w:t>
      </w:r>
      <w:r w:rsidR="00BA2C5B">
        <w:rPr>
          <w:rFonts w:ascii="FrankRuehl" w:hAnsi="FrankRuehl" w:cs="FrankRuehl" w:hint="cs"/>
          <w:sz w:val="28"/>
          <w:szCs w:val="28"/>
          <w:rtl/>
        </w:rPr>
        <w:t>יו</w:t>
      </w:r>
      <w:r w:rsidR="00A34509">
        <w:rPr>
          <w:rFonts w:ascii="FrankRuehl" w:hAnsi="FrankRuehl" w:cs="FrankRuehl" w:hint="cs"/>
          <w:sz w:val="28"/>
          <w:szCs w:val="28"/>
          <w:rtl/>
        </w:rPr>
        <w:t>ּ</w:t>
      </w:r>
      <w:r w:rsidR="00BA2C5B">
        <w:rPr>
          <w:rFonts w:ascii="FrankRuehl" w:hAnsi="FrankRuehl" w:cs="FrankRuehl" w:hint="cs"/>
          <w:sz w:val="28"/>
          <w:szCs w:val="28"/>
          <w:rtl/>
        </w:rPr>
        <w:t>ן זה. לשיטתם הרב הרצוג ה</w:t>
      </w:r>
      <w:r w:rsidR="00D33ECC">
        <w:rPr>
          <w:rFonts w:ascii="FrankRuehl" w:hAnsi="FrankRuehl" w:cs="FrankRuehl" w:hint="cs"/>
          <w:sz w:val="28"/>
          <w:szCs w:val="28"/>
          <w:rtl/>
        </w:rPr>
        <w:t>יה</w:t>
      </w:r>
      <w:r w:rsidR="00BA2C5B">
        <w:rPr>
          <w:rFonts w:ascii="FrankRuehl" w:hAnsi="FrankRuehl" w:cs="FrankRuehl" w:hint="cs"/>
          <w:sz w:val="28"/>
          <w:szCs w:val="28"/>
          <w:rtl/>
        </w:rPr>
        <w:t xml:space="preserve"> ציוני ללא דופי, ובעיניו מדינת ישראל היא "ראשית צמיחת גאולתנו". עם זאת, גישתו ההלכתית כלפי השבת הציבורית נוטה לחומרה, משום שלדעתם המדיניות ההלכתית שלו היא שמרנית. </w:t>
      </w:r>
    </w:p>
    <w:p w14:paraId="56E67C3F" w14:textId="244C317E" w:rsidR="005F0384" w:rsidRDefault="00672CF2" w:rsidP="00716398">
      <w:pPr>
        <w:spacing w:line="360" w:lineRule="auto"/>
        <w:jc w:val="both"/>
        <w:rPr>
          <w:rFonts w:ascii="FrankRuehl" w:hAnsi="FrankRuehl" w:cs="FrankRuehl"/>
          <w:sz w:val="28"/>
          <w:szCs w:val="28"/>
          <w:rtl/>
        </w:rPr>
      </w:pPr>
      <w:r>
        <w:rPr>
          <w:rFonts w:ascii="FrankRuehl" w:hAnsi="FrankRuehl" w:cs="FrankRuehl" w:hint="cs"/>
          <w:sz w:val="28"/>
          <w:szCs w:val="28"/>
          <w:rtl/>
        </w:rPr>
        <w:t xml:space="preserve">לדעתי, </w:t>
      </w:r>
      <w:r w:rsidR="00BA2C5B">
        <w:rPr>
          <w:rFonts w:ascii="FrankRuehl" w:hAnsi="FrankRuehl" w:cs="FrankRuehl" w:hint="cs"/>
          <w:sz w:val="28"/>
          <w:szCs w:val="28"/>
          <w:rtl/>
        </w:rPr>
        <w:t xml:space="preserve">יש מקום לחלוק על כך. </w:t>
      </w:r>
      <w:r w:rsidR="000F3173">
        <w:rPr>
          <w:rFonts w:ascii="FrankRuehl" w:hAnsi="FrankRuehl" w:cs="FrankRuehl" w:hint="cs"/>
          <w:sz w:val="28"/>
          <w:szCs w:val="28"/>
          <w:rtl/>
        </w:rPr>
        <w:t>הרב הרצוג ה</w:t>
      </w:r>
      <w:r w:rsidR="003A12B5">
        <w:rPr>
          <w:rFonts w:ascii="FrankRuehl" w:hAnsi="FrankRuehl" w:cs="FrankRuehl" w:hint="cs"/>
          <w:sz w:val="28"/>
          <w:szCs w:val="28"/>
          <w:rtl/>
        </w:rPr>
        <w:t>ִ</w:t>
      </w:r>
      <w:r w:rsidR="000F3173">
        <w:rPr>
          <w:rFonts w:ascii="FrankRuehl" w:hAnsi="FrankRuehl" w:cs="FrankRuehl" w:hint="cs"/>
          <w:sz w:val="28"/>
          <w:szCs w:val="28"/>
          <w:rtl/>
        </w:rPr>
        <w:t>ר</w:t>
      </w:r>
      <w:r w:rsidR="003A12B5">
        <w:rPr>
          <w:rFonts w:ascii="FrankRuehl" w:hAnsi="FrankRuehl" w:cs="FrankRuehl" w:hint="cs"/>
          <w:sz w:val="28"/>
          <w:szCs w:val="28"/>
          <w:rtl/>
        </w:rPr>
        <w:t>ְ</w:t>
      </w:r>
      <w:r w:rsidR="000F3173">
        <w:rPr>
          <w:rFonts w:ascii="FrankRuehl" w:hAnsi="FrankRuehl" w:cs="FrankRuehl" w:hint="cs"/>
          <w:sz w:val="28"/>
          <w:szCs w:val="28"/>
          <w:rtl/>
        </w:rPr>
        <w:t>ב</w:t>
      </w:r>
      <w:r w:rsidR="003A12B5">
        <w:rPr>
          <w:rFonts w:ascii="FrankRuehl" w:hAnsi="FrankRuehl" w:cs="FrankRuehl" w:hint="cs"/>
          <w:sz w:val="28"/>
          <w:szCs w:val="28"/>
          <w:rtl/>
        </w:rPr>
        <w:t>ָּ</w:t>
      </w:r>
      <w:r w:rsidR="000F3173">
        <w:rPr>
          <w:rFonts w:ascii="FrankRuehl" w:hAnsi="FrankRuehl" w:cs="FrankRuehl" w:hint="cs"/>
          <w:sz w:val="28"/>
          <w:szCs w:val="28"/>
          <w:rtl/>
        </w:rPr>
        <w:t>ה לעסוק בהלכות מדינה והצעותיו בתחום זה הן, פעמים רבות,</w:t>
      </w:r>
      <w:r w:rsidR="00BA2C5B">
        <w:rPr>
          <w:rFonts w:ascii="FrankRuehl" w:hAnsi="FrankRuehl" w:cs="FrankRuehl" w:hint="cs"/>
          <w:sz w:val="28"/>
          <w:szCs w:val="28"/>
          <w:rtl/>
        </w:rPr>
        <w:t xml:space="preserve"> </w:t>
      </w:r>
      <w:r w:rsidR="000F3173">
        <w:rPr>
          <w:rFonts w:ascii="FrankRuehl" w:hAnsi="FrankRuehl" w:cs="FrankRuehl" w:hint="cs"/>
          <w:sz w:val="28"/>
          <w:szCs w:val="28"/>
          <w:rtl/>
        </w:rPr>
        <w:t>פורצות דרך</w:t>
      </w:r>
      <w:r w:rsidR="00A34509">
        <w:rPr>
          <w:rFonts w:ascii="FrankRuehl" w:hAnsi="FrankRuehl" w:cs="FrankRuehl" w:hint="cs"/>
          <w:sz w:val="28"/>
          <w:szCs w:val="28"/>
          <w:rtl/>
        </w:rPr>
        <w:t xml:space="preserve"> וחורגות באופן משמעותי מן המסגרת השמרנית</w:t>
      </w:r>
      <w:r w:rsidR="000F3173">
        <w:rPr>
          <w:rFonts w:ascii="FrankRuehl" w:hAnsi="FrankRuehl" w:cs="FrankRuehl" w:hint="cs"/>
          <w:sz w:val="28"/>
          <w:szCs w:val="28"/>
          <w:rtl/>
        </w:rPr>
        <w:t>.</w:t>
      </w:r>
      <w:r>
        <w:rPr>
          <w:rFonts w:ascii="FrankRuehl" w:hAnsi="FrankRuehl" w:cs="FrankRuehl" w:hint="cs"/>
          <w:sz w:val="28"/>
          <w:szCs w:val="28"/>
          <w:rtl/>
        </w:rPr>
        <w:t xml:space="preserve"> הפניה דוגמא. פירוט. ואז להגדיל את הבעיה. </w:t>
      </w:r>
      <w:r w:rsidR="000F3173">
        <w:rPr>
          <w:rFonts w:ascii="FrankRuehl" w:hAnsi="FrankRuehl" w:cs="FrankRuehl" w:hint="cs"/>
          <w:sz w:val="28"/>
          <w:szCs w:val="28"/>
          <w:rtl/>
        </w:rPr>
        <w:t xml:space="preserve"> </w:t>
      </w:r>
    </w:p>
    <w:p w14:paraId="5169BD7B" w14:textId="483A715C" w:rsidR="007171D2" w:rsidRDefault="000F3173"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אנסה להציע כאן, לסיום, פתרון נוסף למבוכה במיצוב עמדתו של הרב הרצוג. הניסיון למקם פוסקים על הציר שבין ציוני לבין מי שאינו ציוני </w:t>
      </w:r>
      <w:r>
        <w:rPr>
          <w:rFonts w:ascii="FrankRuehl" w:hAnsi="FrankRuehl" w:cs="FrankRuehl"/>
          <w:sz w:val="28"/>
          <w:szCs w:val="28"/>
          <w:rtl/>
        </w:rPr>
        <w:t>–</w:t>
      </w:r>
      <w:r>
        <w:rPr>
          <w:rFonts w:ascii="FrankRuehl" w:hAnsi="FrankRuehl" w:cs="FrankRuehl" w:hint="cs"/>
          <w:sz w:val="28"/>
          <w:szCs w:val="28"/>
          <w:rtl/>
        </w:rPr>
        <w:t xml:space="preserve"> לוקה בחסר. אל תוך הדיון הזה יש להכניס מבחין נוסף בין תפיסות שונות של ציונות: ציונות ארצית-פוליטית-רציונלית, מצד אחד, וציונות </w:t>
      </w:r>
      <w:proofErr w:type="spellStart"/>
      <w:r>
        <w:rPr>
          <w:rFonts w:ascii="FrankRuehl" w:hAnsi="FrankRuehl" w:cs="FrankRuehl" w:hint="cs"/>
          <w:sz w:val="28"/>
          <w:szCs w:val="28"/>
          <w:rtl/>
        </w:rPr>
        <w:t>גאולית</w:t>
      </w:r>
      <w:proofErr w:type="spellEnd"/>
      <w:r>
        <w:rPr>
          <w:rFonts w:ascii="FrankRuehl" w:hAnsi="FrankRuehl" w:cs="FrankRuehl" w:hint="cs"/>
          <w:sz w:val="28"/>
          <w:szCs w:val="28"/>
          <w:rtl/>
        </w:rPr>
        <w:t>-מטפיזית-מיסטית, מצד אחר.</w:t>
      </w:r>
      <w:r w:rsidR="005614B7">
        <w:rPr>
          <w:rStyle w:val="ab"/>
          <w:rFonts w:ascii="FrankRuehl" w:hAnsi="FrankRuehl" w:cs="FrankRuehl"/>
          <w:sz w:val="28"/>
          <w:szCs w:val="28"/>
          <w:rtl/>
        </w:rPr>
        <w:footnoteReference w:id="37"/>
      </w:r>
      <w:r>
        <w:rPr>
          <w:rFonts w:ascii="FrankRuehl" w:hAnsi="FrankRuehl" w:cs="FrankRuehl" w:hint="cs"/>
          <w:sz w:val="28"/>
          <w:szCs w:val="28"/>
          <w:rtl/>
        </w:rPr>
        <w:t xml:space="preserve"> הרב הרצוג מייצג את הציונות מן הסוג הראשון. </w:t>
      </w:r>
      <w:r w:rsidR="003A12B5">
        <w:rPr>
          <w:rFonts w:ascii="FrankRuehl" w:hAnsi="FrankRuehl" w:cs="FrankRuehl" w:hint="cs"/>
          <w:sz w:val="28"/>
          <w:szCs w:val="28"/>
          <w:rtl/>
        </w:rPr>
        <w:t xml:space="preserve">לדעתו, </w:t>
      </w:r>
      <w:r>
        <w:rPr>
          <w:rFonts w:ascii="FrankRuehl" w:hAnsi="FrankRuehl" w:cs="FrankRuehl" w:hint="cs"/>
          <w:sz w:val="28"/>
          <w:szCs w:val="28"/>
          <w:rtl/>
        </w:rPr>
        <w:t xml:space="preserve">השינוי הדרמטי שיצרה הציונות נוגע, בעיקרו, לגוף הלאומי. הרוח </w:t>
      </w:r>
      <w:r w:rsidR="007171D2">
        <w:rPr>
          <w:rFonts w:ascii="FrankRuehl" w:hAnsi="FrankRuehl" w:cs="FrankRuehl" w:hint="cs"/>
          <w:sz w:val="28"/>
          <w:szCs w:val="28"/>
          <w:rtl/>
        </w:rPr>
        <w:t>היהודית במקומה עומדת.</w:t>
      </w:r>
      <w:r>
        <w:rPr>
          <w:rFonts w:ascii="FrankRuehl" w:hAnsi="FrankRuehl" w:cs="FrankRuehl" w:hint="cs"/>
          <w:sz w:val="28"/>
          <w:szCs w:val="28"/>
          <w:rtl/>
        </w:rPr>
        <w:t xml:space="preserve"> </w:t>
      </w:r>
      <w:r w:rsidR="002404AE">
        <w:rPr>
          <w:rFonts w:ascii="FrankRuehl" w:hAnsi="FrankRuehl" w:cs="FrankRuehl" w:hint="cs"/>
          <w:sz w:val="28"/>
          <w:szCs w:val="28"/>
          <w:rtl/>
        </w:rPr>
        <w:t xml:space="preserve">לדעתו, </w:t>
      </w:r>
      <w:r w:rsidR="007171D2">
        <w:rPr>
          <w:rFonts w:ascii="FrankRuehl" w:hAnsi="FrankRuehl" w:cs="FrankRuehl" w:hint="cs"/>
          <w:sz w:val="28"/>
          <w:szCs w:val="28"/>
          <w:rtl/>
        </w:rPr>
        <w:t>ה</w:t>
      </w:r>
      <w:r>
        <w:rPr>
          <w:rFonts w:ascii="FrankRuehl" w:hAnsi="FrankRuehl" w:cs="FrankRuehl" w:hint="cs"/>
          <w:sz w:val="28"/>
          <w:szCs w:val="28"/>
          <w:rtl/>
        </w:rPr>
        <w:t xml:space="preserve">שינוי </w:t>
      </w:r>
      <w:r w:rsidR="007171D2">
        <w:rPr>
          <w:rFonts w:ascii="FrankRuehl" w:hAnsi="FrankRuehl" w:cs="FrankRuehl" w:hint="cs"/>
          <w:sz w:val="28"/>
          <w:szCs w:val="28"/>
          <w:rtl/>
        </w:rPr>
        <w:t>שחוללה הציונות</w:t>
      </w:r>
      <w:r>
        <w:rPr>
          <w:rFonts w:ascii="FrankRuehl" w:hAnsi="FrankRuehl" w:cs="FrankRuehl" w:hint="cs"/>
          <w:sz w:val="28"/>
          <w:szCs w:val="28"/>
          <w:rtl/>
        </w:rPr>
        <w:t xml:space="preserve"> פוסח</w:t>
      </w:r>
      <w:r w:rsidR="007171D2">
        <w:rPr>
          <w:rFonts w:ascii="FrankRuehl" w:hAnsi="FrankRuehl" w:cs="FrankRuehl" w:hint="cs"/>
          <w:sz w:val="28"/>
          <w:szCs w:val="28"/>
          <w:rtl/>
        </w:rPr>
        <w:t xml:space="preserve"> אפוא</w:t>
      </w:r>
      <w:r>
        <w:rPr>
          <w:rFonts w:ascii="FrankRuehl" w:hAnsi="FrankRuehl" w:cs="FrankRuehl" w:hint="cs"/>
          <w:sz w:val="28"/>
          <w:szCs w:val="28"/>
          <w:rtl/>
        </w:rPr>
        <w:t xml:space="preserve"> על התורה ועל ההלכה. עליהן</w:t>
      </w:r>
      <w:r w:rsidR="007171D2">
        <w:rPr>
          <w:rFonts w:ascii="FrankRuehl" w:hAnsi="FrankRuehl" w:cs="FrankRuehl" w:hint="cs"/>
          <w:sz w:val="28"/>
          <w:szCs w:val="28"/>
          <w:rtl/>
        </w:rPr>
        <w:t xml:space="preserve"> להישאר בתומתן.</w:t>
      </w:r>
      <w:r w:rsidR="00674E21">
        <w:rPr>
          <w:rStyle w:val="ab"/>
          <w:rFonts w:ascii="FrankRuehl" w:hAnsi="FrankRuehl" w:cs="FrankRuehl"/>
          <w:sz w:val="28"/>
          <w:szCs w:val="28"/>
          <w:rtl/>
        </w:rPr>
        <w:footnoteReference w:id="38"/>
      </w:r>
      <w:r w:rsidR="007171D2">
        <w:rPr>
          <w:rFonts w:ascii="FrankRuehl" w:hAnsi="FrankRuehl" w:cs="FrankRuehl" w:hint="cs"/>
          <w:sz w:val="28"/>
          <w:szCs w:val="28"/>
          <w:rtl/>
        </w:rPr>
        <w:t xml:space="preserve"> השבת צריכה להישמר במדינה, כפי שנשמרה בקהילה יהודית שבתפוצות. הרב </w:t>
      </w:r>
      <w:r w:rsidR="00800C26">
        <w:rPr>
          <w:rFonts w:ascii="FrankRuehl" w:hAnsi="FrankRuehl" w:cs="FrankRuehl" w:hint="cs"/>
          <w:sz w:val="28"/>
          <w:szCs w:val="28"/>
          <w:rtl/>
        </w:rPr>
        <w:t xml:space="preserve">אברהם יצחק </w:t>
      </w:r>
      <w:r w:rsidR="007171D2">
        <w:rPr>
          <w:rFonts w:ascii="FrankRuehl" w:hAnsi="FrankRuehl" w:cs="FrankRuehl" w:hint="cs"/>
          <w:sz w:val="28"/>
          <w:szCs w:val="28"/>
          <w:rtl/>
        </w:rPr>
        <w:t>קוק</w:t>
      </w:r>
      <w:r w:rsidR="00800C26">
        <w:rPr>
          <w:rStyle w:val="ab"/>
          <w:rFonts w:ascii="FrankRuehl" w:hAnsi="FrankRuehl" w:cs="FrankRuehl"/>
          <w:sz w:val="28"/>
          <w:szCs w:val="28"/>
          <w:rtl/>
        </w:rPr>
        <w:footnoteReference w:id="39"/>
      </w:r>
      <w:r w:rsidR="007171D2">
        <w:rPr>
          <w:rFonts w:ascii="FrankRuehl" w:hAnsi="FrankRuehl" w:cs="FrankRuehl" w:hint="cs"/>
          <w:sz w:val="28"/>
          <w:szCs w:val="28"/>
          <w:rtl/>
        </w:rPr>
        <w:t xml:space="preserve"> וההולכים בדרכו, כדוגמת הרב ישראלי והרב גורן,</w:t>
      </w:r>
      <w:r>
        <w:rPr>
          <w:rFonts w:ascii="FrankRuehl" w:hAnsi="FrankRuehl" w:cs="FrankRuehl" w:hint="cs"/>
          <w:sz w:val="28"/>
          <w:szCs w:val="28"/>
          <w:rtl/>
        </w:rPr>
        <w:t xml:space="preserve"> </w:t>
      </w:r>
      <w:r w:rsidR="007171D2">
        <w:rPr>
          <w:rFonts w:ascii="FrankRuehl" w:hAnsi="FrankRuehl" w:cs="FrankRuehl" w:hint="cs"/>
          <w:sz w:val="28"/>
          <w:szCs w:val="28"/>
          <w:rtl/>
        </w:rPr>
        <w:t xml:space="preserve">בחרו בדפוס הציוני האחרון. לשיטתם, הציונות מבשרת על מהפכה בחיי האומה </w:t>
      </w:r>
      <w:r w:rsidR="007171D2">
        <w:rPr>
          <w:rFonts w:ascii="FrankRuehl" w:hAnsi="FrankRuehl" w:cs="FrankRuehl"/>
          <w:sz w:val="28"/>
          <w:szCs w:val="28"/>
          <w:rtl/>
        </w:rPr>
        <w:t>–</w:t>
      </w:r>
      <w:r w:rsidR="007171D2">
        <w:rPr>
          <w:rFonts w:ascii="FrankRuehl" w:hAnsi="FrankRuehl" w:cs="FrankRuehl" w:hint="cs"/>
          <w:sz w:val="28"/>
          <w:szCs w:val="28"/>
          <w:rtl/>
        </w:rPr>
        <w:t xml:space="preserve"> מצד גופה, ובעיקר, מצד רוחה. הרוח הלאומית נולדה מחדש, והדבר אמור להתבטא גם בתורה חדשה, הלא היא תורת ארץ ישראל, ומתוך כך גם בהלכה מתחדשת</w:t>
      </w:r>
      <w:r w:rsidR="002404AE">
        <w:rPr>
          <w:rFonts w:ascii="FrankRuehl" w:hAnsi="FrankRuehl" w:cs="FrankRuehl" w:hint="cs"/>
          <w:sz w:val="28"/>
          <w:szCs w:val="28"/>
          <w:rtl/>
        </w:rPr>
        <w:t>,</w:t>
      </w:r>
      <w:r w:rsidR="007171D2">
        <w:rPr>
          <w:rFonts w:ascii="FrankRuehl" w:hAnsi="FrankRuehl" w:cs="FrankRuehl" w:hint="cs"/>
          <w:sz w:val="28"/>
          <w:szCs w:val="28"/>
          <w:rtl/>
        </w:rPr>
        <w:t xml:space="preserve"> המתאימה למציאות </w:t>
      </w:r>
      <w:proofErr w:type="spellStart"/>
      <w:r w:rsidR="007171D2">
        <w:rPr>
          <w:rFonts w:ascii="FrankRuehl" w:hAnsi="FrankRuehl" w:cs="FrankRuehl" w:hint="cs"/>
          <w:sz w:val="28"/>
          <w:szCs w:val="28"/>
          <w:rtl/>
        </w:rPr>
        <w:t>הגאולית</w:t>
      </w:r>
      <w:proofErr w:type="spellEnd"/>
      <w:r w:rsidR="007171D2">
        <w:rPr>
          <w:rFonts w:ascii="FrankRuehl" w:hAnsi="FrankRuehl" w:cs="FrankRuehl" w:hint="cs"/>
          <w:sz w:val="28"/>
          <w:szCs w:val="28"/>
          <w:rtl/>
        </w:rPr>
        <w:t xml:space="preserve"> של עם היושב בארצו וריבון במדינתו.</w:t>
      </w:r>
      <w:r w:rsidR="001802F5">
        <w:rPr>
          <w:rStyle w:val="ab"/>
          <w:rFonts w:ascii="FrankRuehl" w:hAnsi="FrankRuehl" w:cs="FrankRuehl"/>
          <w:sz w:val="28"/>
          <w:szCs w:val="28"/>
          <w:rtl/>
        </w:rPr>
        <w:footnoteReference w:id="40"/>
      </w:r>
    </w:p>
    <w:p w14:paraId="3891192F" w14:textId="2D3C76B1" w:rsidR="00F02EAF" w:rsidRDefault="00F02EAF" w:rsidP="0021089F">
      <w:pPr>
        <w:spacing w:line="360" w:lineRule="auto"/>
        <w:jc w:val="both"/>
        <w:rPr>
          <w:rFonts w:ascii="FrankRuehl" w:hAnsi="FrankRuehl" w:cs="FrankRuehl"/>
          <w:sz w:val="28"/>
          <w:szCs w:val="28"/>
          <w:rtl/>
        </w:rPr>
      </w:pPr>
    </w:p>
    <w:p w14:paraId="7A410A31" w14:textId="5E22A090" w:rsidR="004A2627" w:rsidRDefault="004A2627" w:rsidP="0021089F">
      <w:pPr>
        <w:spacing w:line="360" w:lineRule="auto"/>
        <w:jc w:val="both"/>
        <w:rPr>
          <w:rFonts w:ascii="FrankRuehl" w:hAnsi="FrankRuehl" w:cs="FrankRuehl"/>
          <w:sz w:val="28"/>
          <w:szCs w:val="28"/>
          <w:rtl/>
        </w:rPr>
      </w:pPr>
      <w:r>
        <w:rPr>
          <w:rFonts w:ascii="FrankRuehl" w:hAnsi="FrankRuehl" w:cs="FrankRuehl" w:hint="cs"/>
          <w:sz w:val="28"/>
          <w:szCs w:val="28"/>
          <w:rtl/>
        </w:rPr>
        <w:lastRenderedPageBreak/>
        <w:t xml:space="preserve">אנו חיים בעידן של קיטוב עמדות, הכרוך גם באובדן של העדר-שיח בין דעות חולקות ובין גורמים יריבים. המתחים בין דת ומדינה ובין הלכה דתית ומשפט המדינה </w:t>
      </w:r>
      <w:r>
        <w:rPr>
          <w:rFonts w:ascii="FrankRuehl" w:hAnsi="FrankRuehl" w:cs="FrankRuehl"/>
          <w:sz w:val="28"/>
          <w:szCs w:val="28"/>
          <w:rtl/>
        </w:rPr>
        <w:t>–</w:t>
      </w:r>
      <w:r>
        <w:rPr>
          <w:rFonts w:ascii="FrankRuehl" w:hAnsi="FrankRuehl" w:cs="FrankRuehl" w:hint="cs"/>
          <w:sz w:val="28"/>
          <w:szCs w:val="28"/>
          <w:rtl/>
        </w:rPr>
        <w:t xml:space="preserve"> הולכים ומעצימים. תיאור זה משקף תמונת מצב אוניברסלית, מצד אחד, ופרטיקולרית-יהודית מצד אחר.</w:t>
      </w:r>
    </w:p>
    <w:p w14:paraId="038722D3" w14:textId="62B2E1FA" w:rsidR="000F3173" w:rsidRDefault="004A2627"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על רקע זה, הבשורה </w:t>
      </w:r>
      <w:r w:rsidR="003A12B5">
        <w:rPr>
          <w:rFonts w:ascii="FrankRuehl" w:hAnsi="FrankRuehl" w:cs="FrankRuehl" w:hint="cs"/>
          <w:sz w:val="28"/>
          <w:szCs w:val="28"/>
          <w:rtl/>
        </w:rPr>
        <w:t>המשמעותי</w:t>
      </w:r>
      <w:r>
        <w:rPr>
          <w:rFonts w:ascii="FrankRuehl" w:hAnsi="FrankRuehl" w:cs="FrankRuehl" w:hint="cs"/>
          <w:sz w:val="28"/>
          <w:szCs w:val="28"/>
          <w:rtl/>
        </w:rPr>
        <w:t>ת</w:t>
      </w:r>
      <w:r w:rsidR="003A12B5">
        <w:rPr>
          <w:rFonts w:ascii="FrankRuehl" w:hAnsi="FrankRuehl" w:cs="FrankRuehl" w:hint="cs"/>
          <w:sz w:val="28"/>
          <w:szCs w:val="28"/>
          <w:rtl/>
        </w:rPr>
        <w:t xml:space="preserve"> </w:t>
      </w:r>
      <w:r w:rsidR="009C782D">
        <w:rPr>
          <w:rFonts w:ascii="FrankRuehl" w:hAnsi="FrankRuehl" w:cs="FrankRuehl" w:hint="cs"/>
          <w:sz w:val="28"/>
          <w:szCs w:val="28"/>
          <w:rtl/>
        </w:rPr>
        <w:t>ב</w:t>
      </w:r>
      <w:r w:rsidR="003A12B5">
        <w:rPr>
          <w:rFonts w:ascii="FrankRuehl" w:hAnsi="FrankRuehl" w:cs="FrankRuehl" w:hint="cs"/>
          <w:sz w:val="28"/>
          <w:szCs w:val="28"/>
          <w:rtl/>
        </w:rPr>
        <w:t xml:space="preserve">יותר של הספר </w:t>
      </w:r>
      <w:r>
        <w:rPr>
          <w:rFonts w:ascii="FrankRuehl" w:hAnsi="FrankRuehl" w:cs="FrankRuehl" w:hint="cs"/>
          <w:sz w:val="28"/>
          <w:szCs w:val="28"/>
          <w:rtl/>
        </w:rPr>
        <w:t>היא</w:t>
      </w:r>
      <w:r w:rsidR="002404AE">
        <w:rPr>
          <w:rFonts w:ascii="FrankRuehl" w:hAnsi="FrankRuehl" w:cs="FrankRuehl" w:hint="cs"/>
          <w:sz w:val="28"/>
          <w:szCs w:val="28"/>
          <w:rtl/>
        </w:rPr>
        <w:t xml:space="preserve"> בשיח </w:t>
      </w:r>
      <w:r w:rsidR="00143111">
        <w:rPr>
          <w:rFonts w:ascii="FrankRuehl" w:hAnsi="FrankRuehl" w:cs="FrankRuehl" w:hint="cs"/>
          <w:sz w:val="28"/>
          <w:szCs w:val="28"/>
          <w:rtl/>
        </w:rPr>
        <w:t xml:space="preserve">שהספר </w:t>
      </w:r>
      <w:r w:rsidR="002404AE">
        <w:rPr>
          <w:rFonts w:ascii="FrankRuehl" w:hAnsi="FrankRuehl" w:cs="FrankRuehl" w:hint="cs"/>
          <w:sz w:val="28"/>
          <w:szCs w:val="28"/>
          <w:rtl/>
        </w:rPr>
        <w:t xml:space="preserve"> מקיים בין עמד</w:t>
      </w:r>
      <w:r w:rsidR="00143111">
        <w:rPr>
          <w:rFonts w:ascii="FrankRuehl" w:hAnsi="FrankRuehl" w:cs="FrankRuehl" w:hint="cs"/>
          <w:sz w:val="28"/>
          <w:szCs w:val="28"/>
          <w:rtl/>
        </w:rPr>
        <w:t>ו</w:t>
      </w:r>
      <w:r w:rsidR="002404AE">
        <w:rPr>
          <w:rFonts w:ascii="FrankRuehl" w:hAnsi="FrankRuehl" w:cs="FrankRuehl" w:hint="cs"/>
          <w:sz w:val="28"/>
          <w:szCs w:val="28"/>
          <w:rtl/>
        </w:rPr>
        <w:t>ת יריבות ב</w:t>
      </w:r>
      <w:r w:rsidR="003A12B5">
        <w:rPr>
          <w:rFonts w:ascii="FrankRuehl" w:hAnsi="FrankRuehl" w:cs="FrankRuehl" w:hint="cs"/>
          <w:sz w:val="28"/>
          <w:szCs w:val="28"/>
          <w:rtl/>
        </w:rPr>
        <w:t>מישור החברתי-הפוליטי</w:t>
      </w:r>
      <w:r w:rsidR="00207255">
        <w:rPr>
          <w:rFonts w:ascii="FrankRuehl" w:hAnsi="FrankRuehl" w:cs="FrankRuehl" w:hint="cs"/>
          <w:sz w:val="28"/>
          <w:szCs w:val="28"/>
          <w:rtl/>
        </w:rPr>
        <w:t xml:space="preserve">. </w:t>
      </w:r>
      <w:r w:rsidR="00F02EAF">
        <w:rPr>
          <w:rFonts w:ascii="FrankRuehl" w:hAnsi="FrankRuehl" w:cs="FrankRuehl" w:hint="cs"/>
          <w:sz w:val="28"/>
          <w:szCs w:val="28"/>
          <w:rtl/>
        </w:rPr>
        <w:t>סוגיות דת ומדינה</w:t>
      </w:r>
      <w:r w:rsidR="00207255">
        <w:rPr>
          <w:rFonts w:ascii="FrankRuehl" w:hAnsi="FrankRuehl" w:cs="FrankRuehl" w:hint="cs"/>
          <w:sz w:val="28"/>
          <w:szCs w:val="28"/>
          <w:rtl/>
        </w:rPr>
        <w:t>, הן מטיבן,</w:t>
      </w:r>
      <w:r w:rsidR="00F02EAF">
        <w:rPr>
          <w:rFonts w:ascii="FrankRuehl" w:hAnsi="FrankRuehl" w:cs="FrankRuehl" w:hint="cs"/>
          <w:sz w:val="28"/>
          <w:szCs w:val="28"/>
          <w:rtl/>
        </w:rPr>
        <w:t xml:space="preserve"> אפופות מתח</w:t>
      </w:r>
      <w:r w:rsidR="002404AE">
        <w:rPr>
          <w:rFonts w:ascii="FrankRuehl" w:hAnsi="FrankRuehl" w:cs="FrankRuehl" w:hint="cs"/>
          <w:sz w:val="28"/>
          <w:szCs w:val="28"/>
          <w:rtl/>
        </w:rPr>
        <w:t>,</w:t>
      </w:r>
      <w:r w:rsidR="00F02EAF">
        <w:rPr>
          <w:rFonts w:ascii="FrankRuehl" w:hAnsi="FrankRuehl" w:cs="FrankRuehl" w:hint="cs"/>
          <w:sz w:val="28"/>
          <w:szCs w:val="28"/>
          <w:rtl/>
        </w:rPr>
        <w:t xml:space="preserve"> ו</w:t>
      </w:r>
      <w:r w:rsidR="002404AE">
        <w:rPr>
          <w:rFonts w:ascii="FrankRuehl" w:hAnsi="FrankRuehl" w:cs="FrankRuehl" w:hint="cs"/>
          <w:sz w:val="28"/>
          <w:szCs w:val="28"/>
          <w:rtl/>
        </w:rPr>
        <w:t xml:space="preserve">לעיתים אף </w:t>
      </w:r>
      <w:r w:rsidR="00F02EAF">
        <w:rPr>
          <w:rFonts w:ascii="FrankRuehl" w:hAnsi="FrankRuehl" w:cs="FrankRuehl" w:hint="cs"/>
          <w:sz w:val="28"/>
          <w:szCs w:val="28"/>
          <w:rtl/>
        </w:rPr>
        <w:t>מעוררות איבה. חלק ניכר מן הרוח הרעה</w:t>
      </w:r>
      <w:r w:rsidR="00207255">
        <w:rPr>
          <w:rFonts w:ascii="FrankRuehl" w:hAnsi="FrankRuehl" w:cs="FrankRuehl" w:hint="cs"/>
          <w:sz w:val="28"/>
          <w:szCs w:val="28"/>
          <w:rtl/>
        </w:rPr>
        <w:t xml:space="preserve"> שסביבן</w:t>
      </w:r>
      <w:r w:rsidR="00F02EAF">
        <w:rPr>
          <w:rFonts w:ascii="FrankRuehl" w:hAnsi="FrankRuehl" w:cs="FrankRuehl" w:hint="cs"/>
          <w:sz w:val="28"/>
          <w:szCs w:val="28"/>
          <w:rtl/>
        </w:rPr>
        <w:t>, הוא תוצאה של חשדנות וניכור, המלווים בחוסר בהירות ובאי-הבנה כלפי עמדותיו של האחר.</w:t>
      </w:r>
      <w:r w:rsidR="00784B84">
        <w:rPr>
          <w:rFonts w:ascii="FrankRuehl" w:hAnsi="FrankRuehl" w:cs="FrankRuehl" w:hint="cs"/>
          <w:sz w:val="28"/>
          <w:szCs w:val="28"/>
          <w:rtl/>
        </w:rPr>
        <w:t xml:space="preserve"> </w:t>
      </w:r>
      <w:r w:rsidR="009C782D">
        <w:rPr>
          <w:rFonts w:ascii="FrankRuehl" w:hAnsi="FrankRuehl" w:cs="FrankRuehl" w:hint="cs"/>
          <w:sz w:val="28"/>
          <w:szCs w:val="28"/>
          <w:rtl/>
        </w:rPr>
        <w:t>ארונובסקי וספיר</w:t>
      </w:r>
      <w:r w:rsidR="00207255">
        <w:rPr>
          <w:rFonts w:ascii="FrankRuehl" w:hAnsi="FrankRuehl" w:cs="FrankRuehl" w:hint="cs"/>
          <w:sz w:val="28"/>
          <w:szCs w:val="28"/>
          <w:rtl/>
        </w:rPr>
        <w:t xml:space="preserve"> </w:t>
      </w:r>
      <w:r w:rsidR="006567CD">
        <w:rPr>
          <w:rFonts w:ascii="FrankRuehl" w:hAnsi="FrankRuehl" w:cs="FrankRuehl" w:hint="cs"/>
          <w:sz w:val="28"/>
          <w:szCs w:val="28"/>
          <w:rtl/>
        </w:rPr>
        <w:t>נוטלים את הסוגייה הנפיצה</w:t>
      </w:r>
      <w:r w:rsidR="00207255">
        <w:rPr>
          <w:rFonts w:ascii="FrankRuehl" w:hAnsi="FrankRuehl" w:cs="FrankRuehl" w:hint="cs"/>
          <w:sz w:val="28"/>
          <w:szCs w:val="28"/>
          <w:rtl/>
        </w:rPr>
        <w:t xml:space="preserve"> </w:t>
      </w:r>
      <w:r w:rsidR="006567CD">
        <w:rPr>
          <w:rFonts w:ascii="FrankRuehl" w:hAnsi="FrankRuehl" w:cs="FrankRuehl" w:hint="cs"/>
          <w:sz w:val="28"/>
          <w:szCs w:val="28"/>
          <w:rtl/>
        </w:rPr>
        <w:t>של ה</w:t>
      </w:r>
      <w:r w:rsidR="00207255">
        <w:rPr>
          <w:rFonts w:ascii="FrankRuehl" w:hAnsi="FrankRuehl" w:cs="FrankRuehl" w:hint="cs"/>
          <w:sz w:val="28"/>
          <w:szCs w:val="28"/>
          <w:rtl/>
        </w:rPr>
        <w:t>שבת הציבורית בישראל</w:t>
      </w:r>
      <w:r w:rsidR="006567CD">
        <w:rPr>
          <w:rFonts w:ascii="FrankRuehl" w:hAnsi="FrankRuehl" w:cs="FrankRuehl" w:hint="cs"/>
          <w:sz w:val="28"/>
          <w:szCs w:val="28"/>
          <w:rtl/>
        </w:rPr>
        <w:t>, והדיון המעמיק, השיטתי והבהיר שהם מקיימים, מזמין את הקוראים לחשוב, לשקול, לשוחח, ואולי גם להגיע להסכמות.</w:t>
      </w:r>
      <w:r w:rsidR="00207255">
        <w:rPr>
          <w:rFonts w:ascii="FrankRuehl" w:hAnsi="FrankRuehl" w:cs="FrankRuehl" w:hint="cs"/>
          <w:sz w:val="28"/>
          <w:szCs w:val="28"/>
          <w:rtl/>
        </w:rPr>
        <w:t xml:space="preserve"> </w:t>
      </w:r>
      <w:r w:rsidR="006567CD">
        <w:rPr>
          <w:rFonts w:ascii="FrankRuehl" w:hAnsi="FrankRuehl" w:cs="FrankRuehl" w:hint="cs"/>
          <w:sz w:val="28"/>
          <w:szCs w:val="28"/>
          <w:rtl/>
        </w:rPr>
        <w:t>מסתבר, שזו הדרך הראויה לטפל</w:t>
      </w:r>
      <w:r w:rsidR="00784B84">
        <w:rPr>
          <w:rFonts w:ascii="FrankRuehl" w:hAnsi="FrankRuehl" w:cs="FrankRuehl" w:hint="cs"/>
          <w:sz w:val="28"/>
          <w:szCs w:val="28"/>
          <w:rtl/>
        </w:rPr>
        <w:t xml:space="preserve"> בסוגיות שנויות במחלוקת, </w:t>
      </w:r>
      <w:r w:rsidR="00143111">
        <w:rPr>
          <w:rFonts w:ascii="FrankRuehl" w:hAnsi="FrankRuehl" w:cs="FrankRuehl" w:hint="cs"/>
          <w:sz w:val="28"/>
          <w:szCs w:val="28"/>
          <w:rtl/>
        </w:rPr>
        <w:t xml:space="preserve">בכל אתר ובמדינת ישראל במיוחד. </w:t>
      </w:r>
    </w:p>
    <w:p w14:paraId="0ECE4A49" w14:textId="489771C9" w:rsidR="003A5E73" w:rsidRDefault="00FE6F64" w:rsidP="0021089F">
      <w:pPr>
        <w:spacing w:line="360" w:lineRule="auto"/>
        <w:jc w:val="both"/>
        <w:rPr>
          <w:rFonts w:ascii="FrankRuehl" w:hAnsi="FrankRuehl" w:cs="FrankRuehl"/>
          <w:sz w:val="28"/>
          <w:szCs w:val="28"/>
          <w:rtl/>
        </w:rPr>
      </w:pPr>
      <w:r>
        <w:rPr>
          <w:rFonts w:ascii="FrankRuehl" w:hAnsi="FrankRuehl" w:cs="FrankRuehl" w:hint="cs"/>
          <w:sz w:val="28"/>
          <w:szCs w:val="28"/>
          <w:rtl/>
        </w:rPr>
        <w:t xml:space="preserve"> </w:t>
      </w:r>
      <w:r w:rsidR="003A5E73">
        <w:rPr>
          <w:rFonts w:ascii="FrankRuehl" w:hAnsi="FrankRuehl" w:cs="FrankRuehl" w:hint="cs"/>
          <w:sz w:val="28"/>
          <w:szCs w:val="28"/>
          <w:rtl/>
        </w:rPr>
        <w:t xml:space="preserve"> </w:t>
      </w:r>
    </w:p>
    <w:p w14:paraId="1C2DAF71" w14:textId="77777777" w:rsidR="007E631B" w:rsidRPr="0021089F" w:rsidRDefault="007E631B" w:rsidP="0021089F">
      <w:pPr>
        <w:spacing w:line="360" w:lineRule="auto"/>
        <w:jc w:val="both"/>
        <w:rPr>
          <w:rFonts w:ascii="FrankRuehl" w:hAnsi="FrankRuehl" w:cs="FrankRuehl"/>
          <w:sz w:val="28"/>
          <w:szCs w:val="28"/>
          <w:rtl/>
        </w:rPr>
      </w:pPr>
    </w:p>
    <w:p w14:paraId="36FEB2D4" w14:textId="7D35B394" w:rsidR="006A1232" w:rsidRPr="006A1232" w:rsidRDefault="006A1232" w:rsidP="006A1232">
      <w:pPr>
        <w:spacing w:line="360" w:lineRule="auto"/>
        <w:rPr>
          <w:rFonts w:ascii="FrankRuehl" w:hAnsi="FrankRuehl" w:cs="FrankRuehl"/>
          <w:sz w:val="28"/>
          <w:szCs w:val="28"/>
          <w:rtl/>
        </w:rPr>
      </w:pPr>
    </w:p>
    <w:p w14:paraId="7404FF3C" w14:textId="5A987107" w:rsidR="0090043D" w:rsidRDefault="0090043D" w:rsidP="00D20568">
      <w:pPr>
        <w:spacing w:line="360" w:lineRule="auto"/>
        <w:jc w:val="both"/>
        <w:rPr>
          <w:rFonts w:ascii="FrankRuehl" w:hAnsi="FrankRuehl" w:cs="FrankRuehl"/>
          <w:sz w:val="28"/>
          <w:szCs w:val="28"/>
          <w:rtl/>
        </w:rPr>
      </w:pPr>
    </w:p>
    <w:p w14:paraId="4FC6FF97" w14:textId="72BF8402" w:rsidR="007B3282" w:rsidRPr="00C26396" w:rsidRDefault="007B3282" w:rsidP="00C26396">
      <w:pPr>
        <w:spacing w:line="360" w:lineRule="auto"/>
        <w:jc w:val="both"/>
        <w:rPr>
          <w:rFonts w:ascii="FrankRuehl" w:hAnsi="FrankRuehl" w:cs="FrankRuehl"/>
          <w:sz w:val="28"/>
          <w:szCs w:val="28"/>
        </w:rPr>
      </w:pPr>
    </w:p>
    <w:sectPr w:rsidR="007B3282" w:rsidRPr="00C26396" w:rsidSect="00C26396">
      <w:headerReference w:type="default" r:id="rId14"/>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mos Israel-vleeschhouwer" w:date="2023-06-21T22:11:00Z" w:initials="AIv">
    <w:p w14:paraId="3FB9B343" w14:textId="64AF5E81" w:rsidR="000A78A0" w:rsidRDefault="000A78A0" w:rsidP="00C164D0">
      <w:pPr>
        <w:pStyle w:val="ad"/>
        <w:bidi w:val="0"/>
      </w:pPr>
      <w:r>
        <w:rPr>
          <w:rStyle w:val="ac"/>
        </w:rPr>
        <w:annotationRef/>
      </w:r>
      <w:r>
        <w:rPr>
          <w:rFonts w:hint="eastAsia"/>
          <w:rtl/>
        </w:rPr>
        <w:t>באנגלית</w:t>
      </w:r>
      <w:r>
        <w:rPr>
          <w:rtl/>
        </w:rPr>
        <w:t xml:space="preserve"> עסק בזה קודם איסי רוזן צבי. </w:t>
      </w:r>
      <w:r>
        <w:t>TAKING SPACE SERIOUSLY (Ashgate Publishing, 2004)</w:t>
      </w:r>
      <w:r>
        <w:rPr>
          <w:rtl/>
        </w:rPr>
        <w:t xml:space="preserve">  לי יש מאמר באיטלקית, החולק על רוזן צבי. </w:t>
      </w:r>
    </w:p>
  </w:comment>
  <w:comment w:id="2" w:author="Itzhak Brand" w:date="2023-06-23T13:25:00Z" w:initials="IB">
    <w:p w14:paraId="22C1F0EA" w14:textId="77777777" w:rsidR="0043572E" w:rsidRDefault="0043572E" w:rsidP="00C76188">
      <w:pPr>
        <w:pStyle w:val="ad"/>
        <w:jc w:val="right"/>
      </w:pPr>
      <w:r>
        <w:rPr>
          <w:rStyle w:val="ac"/>
        </w:rPr>
        <w:annotationRef/>
      </w:r>
      <w:r>
        <w:rPr>
          <w:rtl/>
        </w:rPr>
        <w:t>לא ברור לי במה עוסקת המחלוקת. מכל מקום, אתה מוזמן, בשמחה, להוסיף את הדברים בהפניה</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9B343" w15:done="0"/>
  <w15:commentEx w15:paraId="22C1F0EA" w15:paraIdParent="3FB9B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F423" w16cex:dateUtc="2023-06-21T19:11:00Z"/>
  <w16cex:commentExtensible w16cex:durableId="28401BC2" w16cex:dateUtc="2023-06-23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9B343" w16cid:durableId="283DF423"/>
  <w16cid:commentId w16cid:paraId="22C1F0EA" w16cid:durableId="28401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0487" w14:textId="77777777" w:rsidR="004F0347" w:rsidRDefault="004F0347" w:rsidP="00B26960">
      <w:pPr>
        <w:spacing w:after="0" w:line="240" w:lineRule="auto"/>
      </w:pPr>
      <w:r>
        <w:separator/>
      </w:r>
    </w:p>
  </w:endnote>
  <w:endnote w:type="continuationSeparator" w:id="0">
    <w:p w14:paraId="05F84224" w14:textId="77777777" w:rsidR="004F0347" w:rsidRDefault="004F0347" w:rsidP="00B2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7B35" w14:textId="77777777" w:rsidR="004F0347" w:rsidRDefault="004F0347" w:rsidP="00B26960">
      <w:pPr>
        <w:spacing w:after="0" w:line="240" w:lineRule="auto"/>
      </w:pPr>
      <w:r>
        <w:separator/>
      </w:r>
    </w:p>
  </w:footnote>
  <w:footnote w:type="continuationSeparator" w:id="0">
    <w:p w14:paraId="0CD66BF4" w14:textId="77777777" w:rsidR="004F0347" w:rsidRDefault="004F0347" w:rsidP="00B26960">
      <w:pPr>
        <w:spacing w:after="0" w:line="240" w:lineRule="auto"/>
      </w:pPr>
      <w:r>
        <w:continuationSeparator/>
      </w:r>
    </w:p>
  </w:footnote>
  <w:footnote w:id="1">
    <w:p w14:paraId="1D9EF37C" w14:textId="306D84A8" w:rsidR="00A462B7" w:rsidRDefault="00A462B7">
      <w:pPr>
        <w:pStyle w:val="a9"/>
        <w:rPr>
          <w:rtl/>
        </w:rPr>
      </w:pPr>
      <w:r>
        <w:rPr>
          <w:rStyle w:val="ab"/>
        </w:rPr>
        <w:footnoteRef/>
      </w:r>
      <w:r>
        <w:rPr>
          <w:rtl/>
        </w:rPr>
        <w:t xml:space="preserve"> </w:t>
      </w:r>
      <w:r>
        <w:rPr>
          <w:rFonts w:hint="cs"/>
          <w:rtl/>
        </w:rPr>
        <w:t>בבלי</w:t>
      </w:r>
      <w:r w:rsidR="00EB0812">
        <w:rPr>
          <w:rFonts w:hint="cs"/>
          <w:rtl/>
        </w:rPr>
        <w:t>, שבת י ע"ב.</w:t>
      </w:r>
    </w:p>
  </w:footnote>
  <w:footnote w:id="2">
    <w:p w14:paraId="67603BF2" w14:textId="61E7D152" w:rsidR="005D17F5" w:rsidRDefault="005D17F5" w:rsidP="00626FF6">
      <w:pPr>
        <w:pStyle w:val="a9"/>
        <w:rPr>
          <w:rtl/>
        </w:rPr>
      </w:pPr>
      <w:r>
        <w:rPr>
          <w:rStyle w:val="ab"/>
        </w:rPr>
        <w:footnoteRef/>
      </w:r>
      <w:r>
        <w:rPr>
          <w:rtl/>
        </w:rPr>
        <w:t xml:space="preserve"> </w:t>
      </w:r>
      <w:r w:rsidR="00823EF8">
        <w:rPr>
          <w:rFonts w:hint="cs"/>
          <w:rtl/>
        </w:rPr>
        <w:t xml:space="preserve">בולט בעניין זה, הפולמוס בין </w:t>
      </w:r>
      <w:r w:rsidR="004A3E79">
        <w:rPr>
          <w:rFonts w:hint="cs"/>
          <w:rtl/>
        </w:rPr>
        <w:t>ליבוביץ ונריה. ראה</w:t>
      </w:r>
      <w:r w:rsidR="002C3942">
        <w:rPr>
          <w:rFonts w:hint="cs"/>
          <w:rtl/>
        </w:rPr>
        <w:t>, להלן</w:t>
      </w:r>
      <w:r w:rsidR="00AD4931">
        <w:rPr>
          <w:rFonts w:hint="cs"/>
          <w:rtl/>
        </w:rPr>
        <w:t xml:space="preserve">, </w:t>
      </w:r>
      <w:proofErr w:type="spellStart"/>
      <w:r w:rsidR="00AD4931">
        <w:rPr>
          <w:rFonts w:hint="cs"/>
          <w:rtl/>
        </w:rPr>
        <w:t>בהע</w:t>
      </w:r>
      <w:proofErr w:type="spellEnd"/>
      <w:r w:rsidR="00AD4931">
        <w:rPr>
          <w:rFonts w:hint="cs"/>
          <w:rtl/>
        </w:rPr>
        <w:t>' 23</w:t>
      </w:r>
      <w:r w:rsidR="00446273">
        <w:rPr>
          <w:rFonts w:hint="cs"/>
          <w:rtl/>
        </w:rPr>
        <w:t>.</w:t>
      </w:r>
      <w:r w:rsidR="002C3942">
        <w:rPr>
          <w:rFonts w:hint="cs"/>
          <w:rtl/>
        </w:rPr>
        <w:t xml:space="preserve"> </w:t>
      </w:r>
      <w:r w:rsidR="00626FF6">
        <w:rPr>
          <w:rFonts w:hint="cs"/>
          <w:rtl/>
        </w:rPr>
        <w:t xml:space="preserve">ראה עוד: ישראל רוזן, "השבת במדינה יהודית עצמאית", בתוך: </w:t>
      </w:r>
      <w:r w:rsidR="00626FF6">
        <w:rPr>
          <w:rFonts w:cs="Arial"/>
          <w:rtl/>
        </w:rPr>
        <w:t xml:space="preserve">ידידיה צ’ שטרן </w:t>
      </w:r>
      <w:r w:rsidR="00626FF6">
        <w:rPr>
          <w:rFonts w:cs="Arial" w:hint="cs"/>
          <w:rtl/>
        </w:rPr>
        <w:t>ו</w:t>
      </w:r>
      <w:r w:rsidR="00626FF6">
        <w:rPr>
          <w:rFonts w:cs="Arial"/>
          <w:rtl/>
        </w:rPr>
        <w:t>יאיר שלג</w:t>
      </w:r>
      <w:r w:rsidR="00626FF6">
        <w:rPr>
          <w:rFonts w:cs="Arial" w:hint="cs"/>
          <w:rtl/>
        </w:rPr>
        <w:t>,</w:t>
      </w:r>
      <w:r w:rsidR="00626FF6">
        <w:rPr>
          <w:rFonts w:cs="Arial"/>
          <w:rtl/>
        </w:rPr>
        <w:t xml:space="preserve"> הלכה ציונית : המשמעויות ההלכתיות של הריבונות </w:t>
      </w:r>
      <w:r w:rsidR="00716398">
        <w:rPr>
          <w:rFonts w:cs="Arial" w:hint="cs"/>
          <w:rtl/>
        </w:rPr>
        <w:t>(</w:t>
      </w:r>
      <w:r w:rsidR="00626FF6">
        <w:rPr>
          <w:rFonts w:cs="Arial"/>
          <w:rtl/>
        </w:rPr>
        <w:t>2017</w:t>
      </w:r>
      <w:r w:rsidR="00716398">
        <w:rPr>
          <w:rFonts w:cs="Arial" w:hint="cs"/>
          <w:rtl/>
        </w:rPr>
        <w:t>)</w:t>
      </w:r>
      <w:r w:rsidR="00626FF6">
        <w:rPr>
          <w:rFonts w:cs="Arial" w:hint="cs"/>
          <w:rtl/>
        </w:rPr>
        <w:t>, עמ' 393-370</w:t>
      </w:r>
      <w:r w:rsidR="00626FF6">
        <w:rPr>
          <w:rFonts w:cs="Arial"/>
          <w:rtl/>
        </w:rPr>
        <w:t>.</w:t>
      </w:r>
      <w:r w:rsidR="00626FF6">
        <w:rPr>
          <w:rFonts w:cs="Arial" w:hint="cs"/>
          <w:rtl/>
        </w:rPr>
        <w:t xml:space="preserve"> </w:t>
      </w:r>
      <w:r w:rsidR="00C34753">
        <w:rPr>
          <w:rFonts w:hint="cs"/>
          <w:rtl/>
        </w:rPr>
        <w:t xml:space="preserve">לנקודת מבט אחרת, עיין </w:t>
      </w:r>
      <w:r w:rsidR="00B6267D">
        <w:rPr>
          <w:rFonts w:hint="cs"/>
          <w:rtl/>
        </w:rPr>
        <w:t xml:space="preserve">אלי </w:t>
      </w:r>
      <w:proofErr w:type="spellStart"/>
      <w:r w:rsidR="00B6267D">
        <w:rPr>
          <w:rFonts w:hint="cs"/>
          <w:rtl/>
        </w:rPr>
        <w:t>שבייד</w:t>
      </w:r>
      <w:proofErr w:type="spellEnd"/>
      <w:r w:rsidR="00B6267D">
        <w:rPr>
          <w:rFonts w:hint="cs"/>
          <w:rtl/>
        </w:rPr>
        <w:t xml:space="preserve">, </w:t>
      </w:r>
      <w:r w:rsidR="00411F4C">
        <w:rPr>
          <w:rFonts w:hint="cs"/>
          <w:rtl/>
        </w:rPr>
        <w:t xml:space="preserve">"השבת במדינת ישראל", </w:t>
      </w:r>
      <w:r w:rsidR="00716398">
        <w:rPr>
          <w:rtl/>
        </w:rPr>
        <w:t xml:space="preserve">היום השביעי 230 </w:t>
      </w:r>
      <w:r w:rsidR="00716398">
        <w:t>)</w:t>
      </w:r>
      <w:proofErr w:type="spellStart"/>
      <w:r w:rsidR="00716398">
        <w:rPr>
          <w:rtl/>
        </w:rPr>
        <w:t>מיריק</w:t>
      </w:r>
      <w:proofErr w:type="spellEnd"/>
      <w:r w:rsidR="00716398">
        <w:rPr>
          <w:rtl/>
        </w:rPr>
        <w:t xml:space="preserve"> גרזי ובארי צימרמן עורכים</w:t>
      </w:r>
      <w:r w:rsidR="00716398">
        <w:rPr>
          <w:rFonts w:hint="cs"/>
          <w:rtl/>
        </w:rPr>
        <w:t>,</w:t>
      </w:r>
      <w:r w:rsidR="00716398">
        <w:rPr>
          <w:rtl/>
        </w:rPr>
        <w:t xml:space="preserve"> 2001</w:t>
      </w:r>
      <w:r w:rsidR="00716398">
        <w:rPr>
          <w:rFonts w:hint="cs"/>
          <w:rtl/>
        </w:rPr>
        <w:t>)</w:t>
      </w:r>
      <w:r w:rsidR="00716398">
        <w:rPr>
          <w:rFonts w:cs="Arial" w:hint="cs"/>
          <w:rtl/>
        </w:rPr>
        <w:t>, 241</w:t>
      </w:r>
      <w:r w:rsidR="00716398">
        <w:rPr>
          <w:rFonts w:hint="cs"/>
          <w:rtl/>
        </w:rPr>
        <w:t>.</w:t>
      </w:r>
    </w:p>
  </w:footnote>
  <w:footnote w:id="3">
    <w:p w14:paraId="7EC941E3" w14:textId="1558FBC6" w:rsidR="00D231F4" w:rsidRDefault="00D231F4">
      <w:pPr>
        <w:pStyle w:val="a9"/>
        <w:rPr>
          <w:rtl/>
        </w:rPr>
      </w:pPr>
      <w:r>
        <w:rPr>
          <w:rStyle w:val="ab"/>
        </w:rPr>
        <w:footnoteRef/>
      </w:r>
      <w:r>
        <w:rPr>
          <w:rtl/>
        </w:rPr>
        <w:t xml:space="preserve"> </w:t>
      </w:r>
      <w:r w:rsidR="00E27FDB">
        <w:rPr>
          <w:rFonts w:hint="cs"/>
          <w:rtl/>
        </w:rPr>
        <w:t xml:space="preserve">שמות </w:t>
      </w:r>
      <w:proofErr w:type="spellStart"/>
      <w:r w:rsidR="00E27FDB">
        <w:rPr>
          <w:rFonts w:hint="cs"/>
          <w:rtl/>
        </w:rPr>
        <w:t>טז</w:t>
      </w:r>
      <w:proofErr w:type="spellEnd"/>
      <w:r w:rsidR="00E27FDB">
        <w:rPr>
          <w:rFonts w:hint="cs"/>
          <w:rtl/>
        </w:rPr>
        <w:t xml:space="preserve">, </w:t>
      </w:r>
      <w:proofErr w:type="spellStart"/>
      <w:r w:rsidR="00E27FDB">
        <w:rPr>
          <w:rFonts w:hint="cs"/>
          <w:rtl/>
        </w:rPr>
        <w:t>כט</w:t>
      </w:r>
      <w:proofErr w:type="spellEnd"/>
    </w:p>
  </w:footnote>
  <w:footnote w:id="4">
    <w:p w14:paraId="2B0BDA31" w14:textId="4655AEBF" w:rsidR="00D231F4" w:rsidRDefault="00D231F4" w:rsidP="00FE2499">
      <w:pPr>
        <w:pStyle w:val="a9"/>
        <w:jc w:val="both"/>
        <w:rPr>
          <w:rtl/>
        </w:rPr>
      </w:pPr>
      <w:r>
        <w:rPr>
          <w:rStyle w:val="ab"/>
        </w:rPr>
        <w:footnoteRef/>
      </w:r>
      <w:r>
        <w:rPr>
          <w:rtl/>
        </w:rPr>
        <w:t xml:space="preserve"> </w:t>
      </w:r>
      <w:r w:rsidR="00E27FDB">
        <w:rPr>
          <w:rFonts w:hint="cs"/>
          <w:rtl/>
        </w:rPr>
        <w:t xml:space="preserve">עירובין </w:t>
      </w:r>
      <w:proofErr w:type="spellStart"/>
      <w:r w:rsidR="00E27FDB">
        <w:rPr>
          <w:rFonts w:hint="cs"/>
          <w:rtl/>
        </w:rPr>
        <w:t>יז</w:t>
      </w:r>
      <w:proofErr w:type="spellEnd"/>
      <w:r w:rsidR="00E27FDB">
        <w:rPr>
          <w:rFonts w:hint="cs"/>
          <w:rtl/>
        </w:rPr>
        <w:t xml:space="preserve"> ע"ב, ובחידושי רמב"ן שם: </w:t>
      </w:r>
      <w:r w:rsidR="00E27FDB">
        <w:rPr>
          <w:rFonts w:cs="Arial" w:hint="cs"/>
          <w:rtl/>
        </w:rPr>
        <w:t>"</w:t>
      </w:r>
      <w:r w:rsidR="00E27FDB">
        <w:rPr>
          <w:rFonts w:cs="Arial"/>
          <w:rtl/>
        </w:rPr>
        <w:t>ובגמ</w:t>
      </w:r>
      <w:r w:rsidR="00E27FDB">
        <w:rPr>
          <w:rFonts w:cs="Arial" w:hint="cs"/>
          <w:rtl/>
        </w:rPr>
        <w:t>רא שלנו (=בתלמוד הבבלי)</w:t>
      </w:r>
      <w:r w:rsidR="00E27FDB">
        <w:rPr>
          <w:rFonts w:cs="Arial"/>
          <w:rtl/>
        </w:rPr>
        <w:t xml:space="preserve"> משמע </w:t>
      </w:r>
      <w:r w:rsidR="00E27FDB">
        <w:rPr>
          <w:rFonts w:cs="Arial" w:hint="cs"/>
          <w:rtl/>
        </w:rPr>
        <w:t>שכך היה פשוט לחכמים</w:t>
      </w:r>
      <w:r w:rsidR="00E27FDB">
        <w:rPr>
          <w:rFonts w:cs="Arial"/>
          <w:rtl/>
        </w:rPr>
        <w:t xml:space="preserve"> </w:t>
      </w:r>
      <w:r w:rsidR="00E27FDB">
        <w:rPr>
          <w:rFonts w:cs="Arial" w:hint="cs"/>
          <w:rtl/>
        </w:rPr>
        <w:t>ש'</w:t>
      </w:r>
      <w:r w:rsidR="00E27FDB">
        <w:rPr>
          <w:rFonts w:cs="Arial"/>
          <w:rtl/>
        </w:rPr>
        <w:t>אל יצא איש ממקומו</w:t>
      </w:r>
      <w:r w:rsidR="00E27FDB">
        <w:rPr>
          <w:rFonts w:cs="Arial" w:hint="cs"/>
          <w:rtl/>
        </w:rPr>
        <w:t>' [פירושו הוא]</w:t>
      </w:r>
      <w:r w:rsidR="00E27FDB">
        <w:rPr>
          <w:rFonts w:cs="Arial"/>
          <w:rtl/>
        </w:rPr>
        <w:t xml:space="preserve"> </w:t>
      </w:r>
      <w:r w:rsidR="00E27FDB">
        <w:rPr>
          <w:rFonts w:cs="Arial" w:hint="cs"/>
          <w:rtl/>
        </w:rPr>
        <w:t>'</w:t>
      </w:r>
      <w:r w:rsidR="00E27FDB">
        <w:rPr>
          <w:rFonts w:cs="Arial"/>
          <w:rtl/>
        </w:rPr>
        <w:t>אל יוציא</w:t>
      </w:r>
      <w:r w:rsidR="00E27FDB">
        <w:rPr>
          <w:rFonts w:cs="Arial" w:hint="cs"/>
          <w:rtl/>
        </w:rPr>
        <w:t>'</w:t>
      </w:r>
      <w:r w:rsidR="00E27FDB">
        <w:rPr>
          <w:rFonts w:cs="Arial"/>
          <w:rtl/>
        </w:rPr>
        <w:t xml:space="preserve"> </w:t>
      </w:r>
      <w:r w:rsidR="00E27FDB">
        <w:rPr>
          <w:rFonts w:cs="Arial" w:hint="cs"/>
          <w:rtl/>
        </w:rPr>
        <w:t>"</w:t>
      </w:r>
    </w:p>
  </w:footnote>
  <w:footnote w:id="5">
    <w:p w14:paraId="408FA138" w14:textId="5EFF5B4D" w:rsidR="00D231F4" w:rsidRDefault="00D231F4">
      <w:pPr>
        <w:pStyle w:val="a9"/>
        <w:rPr>
          <w:rtl/>
        </w:rPr>
      </w:pPr>
      <w:r>
        <w:rPr>
          <w:rStyle w:val="ab"/>
        </w:rPr>
        <w:footnoteRef/>
      </w:r>
      <w:r>
        <w:rPr>
          <w:rtl/>
        </w:rPr>
        <w:t xml:space="preserve"> </w:t>
      </w:r>
      <w:r w:rsidR="00E27FDB">
        <w:rPr>
          <w:rFonts w:hint="cs"/>
          <w:rtl/>
        </w:rPr>
        <w:t xml:space="preserve">שמות לא, </w:t>
      </w:r>
      <w:proofErr w:type="spellStart"/>
      <w:r w:rsidR="00E27FDB">
        <w:rPr>
          <w:rFonts w:hint="cs"/>
          <w:rtl/>
        </w:rPr>
        <w:t>טז</w:t>
      </w:r>
      <w:proofErr w:type="spellEnd"/>
    </w:p>
  </w:footnote>
  <w:footnote w:id="6">
    <w:p w14:paraId="68CD8DAF" w14:textId="484D836D" w:rsidR="00D231F4" w:rsidRDefault="00D231F4">
      <w:pPr>
        <w:pStyle w:val="a9"/>
        <w:rPr>
          <w:rtl/>
        </w:rPr>
      </w:pPr>
      <w:r>
        <w:rPr>
          <w:rStyle w:val="ab"/>
        </w:rPr>
        <w:footnoteRef/>
      </w:r>
      <w:r>
        <w:rPr>
          <w:rtl/>
        </w:rPr>
        <w:t xml:space="preserve"> </w:t>
      </w:r>
      <w:r w:rsidR="00E27FDB">
        <w:rPr>
          <w:rFonts w:hint="cs"/>
          <w:rtl/>
        </w:rPr>
        <w:t xml:space="preserve">שם, </w:t>
      </w:r>
      <w:proofErr w:type="spellStart"/>
      <w:r w:rsidR="00E27FDB">
        <w:rPr>
          <w:rFonts w:hint="cs"/>
          <w:rtl/>
        </w:rPr>
        <w:t>יז</w:t>
      </w:r>
      <w:proofErr w:type="spellEnd"/>
      <w:r w:rsidR="00E27FDB">
        <w:rPr>
          <w:rFonts w:hint="cs"/>
          <w:rtl/>
        </w:rPr>
        <w:t>.</w:t>
      </w:r>
    </w:p>
  </w:footnote>
  <w:footnote w:id="7">
    <w:p w14:paraId="512F5D4C" w14:textId="7A352664" w:rsidR="00D231F4" w:rsidRDefault="00D231F4">
      <w:pPr>
        <w:pStyle w:val="a9"/>
        <w:rPr>
          <w:rtl/>
        </w:rPr>
      </w:pPr>
      <w:r>
        <w:rPr>
          <w:rStyle w:val="ab"/>
        </w:rPr>
        <w:footnoteRef/>
      </w:r>
      <w:r>
        <w:rPr>
          <w:rtl/>
        </w:rPr>
        <w:t xml:space="preserve"> </w:t>
      </w:r>
      <w:r w:rsidR="00E27FDB">
        <w:rPr>
          <w:rFonts w:hint="cs"/>
          <w:rtl/>
        </w:rPr>
        <w:t xml:space="preserve">שם, </w:t>
      </w:r>
      <w:proofErr w:type="spellStart"/>
      <w:r w:rsidR="00E27FDB">
        <w:rPr>
          <w:rFonts w:hint="cs"/>
          <w:rtl/>
        </w:rPr>
        <w:t>יג</w:t>
      </w:r>
      <w:proofErr w:type="spellEnd"/>
    </w:p>
  </w:footnote>
  <w:footnote w:id="8">
    <w:p w14:paraId="2A532102" w14:textId="289B768B" w:rsidR="00D231F4" w:rsidRDefault="00D231F4" w:rsidP="00E27FDB">
      <w:pPr>
        <w:pStyle w:val="a9"/>
        <w:rPr>
          <w:rtl/>
        </w:rPr>
      </w:pPr>
      <w:r>
        <w:rPr>
          <w:rStyle w:val="ab"/>
        </w:rPr>
        <w:footnoteRef/>
      </w:r>
      <w:r>
        <w:rPr>
          <w:rtl/>
        </w:rPr>
        <w:t xml:space="preserve"> </w:t>
      </w:r>
      <w:r w:rsidR="00E27FDB">
        <w:rPr>
          <w:rFonts w:hint="cs"/>
          <w:rtl/>
        </w:rPr>
        <w:t xml:space="preserve">שם. עיין </w:t>
      </w:r>
      <w:proofErr w:type="spellStart"/>
      <w:r w:rsidR="00E27FDB">
        <w:rPr>
          <w:rFonts w:hint="cs"/>
          <w:rtl/>
        </w:rPr>
        <w:t>רשב"ם</w:t>
      </w:r>
      <w:proofErr w:type="spellEnd"/>
      <w:r w:rsidR="00E27FDB">
        <w:rPr>
          <w:rFonts w:hint="cs"/>
          <w:rtl/>
        </w:rPr>
        <w:t xml:space="preserve"> שם, המפרש שהשבת היא האות לברית שבין ה' לבין ישראל, בכך "</w:t>
      </w:r>
      <w:r w:rsidR="00E27FDB">
        <w:rPr>
          <w:rFonts w:cs="Arial"/>
          <w:rtl/>
        </w:rPr>
        <w:t>שאתם שובתים כמותי</w:t>
      </w:r>
      <w:r w:rsidR="00E27FDB">
        <w:rPr>
          <w:rFonts w:cs="Arial" w:hint="cs"/>
          <w:rtl/>
        </w:rPr>
        <w:t>,</w:t>
      </w:r>
      <w:r w:rsidR="00E27FDB">
        <w:rPr>
          <w:rFonts w:cs="Arial"/>
          <w:rtl/>
        </w:rPr>
        <w:t xml:space="preserve"> לפי שאתם ע</w:t>
      </w:r>
      <w:r w:rsidR="00E27FDB">
        <w:rPr>
          <w:rFonts w:cs="Arial" w:hint="cs"/>
          <w:rtl/>
        </w:rPr>
        <w:t>ַ</w:t>
      </w:r>
      <w:r w:rsidR="00E27FDB">
        <w:rPr>
          <w:rFonts w:cs="Arial"/>
          <w:rtl/>
        </w:rPr>
        <w:t>מ</w:t>
      </w:r>
      <w:r w:rsidR="00E27FDB">
        <w:rPr>
          <w:rFonts w:cs="Arial" w:hint="cs"/>
          <w:rtl/>
        </w:rPr>
        <w:t>ִ</w:t>
      </w:r>
      <w:r w:rsidR="00E27FDB">
        <w:rPr>
          <w:rFonts w:cs="Arial"/>
          <w:rtl/>
        </w:rPr>
        <w:t>י</w:t>
      </w:r>
      <w:r w:rsidR="00E27FDB">
        <w:rPr>
          <w:rFonts w:hint="cs"/>
          <w:rtl/>
        </w:rPr>
        <w:t>",</w:t>
      </w:r>
    </w:p>
  </w:footnote>
  <w:footnote w:id="9">
    <w:p w14:paraId="033E4108" w14:textId="3FC73761" w:rsidR="00392CF6" w:rsidRPr="00FE2499" w:rsidRDefault="00392CF6" w:rsidP="000D61E9">
      <w:pPr>
        <w:pStyle w:val="a9"/>
        <w:rPr>
          <w:rFonts w:cs="Arial"/>
        </w:rPr>
      </w:pPr>
      <w:r>
        <w:rPr>
          <w:rStyle w:val="ab"/>
        </w:rPr>
        <w:footnoteRef/>
      </w:r>
      <w:r>
        <w:rPr>
          <w:rtl/>
        </w:rPr>
        <w:t xml:space="preserve"> </w:t>
      </w:r>
      <w:r>
        <w:rPr>
          <w:rFonts w:hint="cs"/>
          <w:rtl/>
        </w:rPr>
        <w:t xml:space="preserve">את מושג הברית </w:t>
      </w:r>
      <w:r w:rsidR="000D61E9">
        <w:rPr>
          <w:rFonts w:hint="cs"/>
          <w:rtl/>
        </w:rPr>
        <w:t>הבליט</w:t>
      </w:r>
      <w:r>
        <w:rPr>
          <w:rFonts w:hint="cs"/>
          <w:rtl/>
        </w:rPr>
        <w:t xml:space="preserve">, בהקשר זה, הרב חיים </w:t>
      </w:r>
      <w:proofErr w:type="spellStart"/>
      <w:r>
        <w:rPr>
          <w:rFonts w:hint="cs"/>
          <w:rtl/>
        </w:rPr>
        <w:t>הירשנזון</w:t>
      </w:r>
      <w:proofErr w:type="spellEnd"/>
      <w:r>
        <w:rPr>
          <w:rFonts w:hint="cs"/>
          <w:rtl/>
        </w:rPr>
        <w:t xml:space="preserve"> בחיבורו המקיף "אלה דברי הברית", ירושלים תרפ"ו-תרפ"ח.</w:t>
      </w:r>
      <w:r w:rsidR="000D61E9">
        <w:rPr>
          <w:rFonts w:hint="cs"/>
          <w:rtl/>
        </w:rPr>
        <w:t xml:space="preserve"> ראה עוד </w:t>
      </w:r>
      <w:r w:rsidR="000D61E9">
        <w:rPr>
          <w:rFonts w:cs="Arial"/>
          <w:rtl/>
        </w:rPr>
        <w:t xml:space="preserve"> דניאל יהודה אלעזר,. הברית כיסוד המסורת המדינית היהודית</w:t>
      </w:r>
      <w:r w:rsidR="000D61E9">
        <w:rPr>
          <w:rFonts w:cs="Arial" w:hint="cs"/>
          <w:rtl/>
        </w:rPr>
        <w:t>,</w:t>
      </w:r>
      <w:r w:rsidR="000D61E9">
        <w:rPr>
          <w:rFonts w:cs="Arial"/>
          <w:rtl/>
        </w:rPr>
        <w:t xml:space="preserve"> רמת גן</w:t>
      </w:r>
      <w:r w:rsidR="000D61E9">
        <w:rPr>
          <w:rFonts w:cs="Arial" w:hint="cs"/>
          <w:rtl/>
        </w:rPr>
        <w:t xml:space="preserve"> תש"מ. לספרות נרחבת נוספת ראו דוד זהר,</w:t>
      </w:r>
      <w:r w:rsidR="0043572E">
        <w:rPr>
          <w:rFonts w:cs="Arial" w:hint="cs"/>
          <w:rtl/>
        </w:rPr>
        <w:t>'</w:t>
      </w:r>
      <w:r w:rsidR="000D61E9">
        <w:rPr>
          <w:rFonts w:ascii="Arial" w:hAnsi="Arial" w:cs="Arial"/>
          <w:color w:val="636363"/>
          <w:sz w:val="18"/>
          <w:szCs w:val="18"/>
        </w:rPr>
        <w:t>"</w:t>
      </w:r>
      <w:r w:rsidR="000D61E9">
        <w:rPr>
          <w:rFonts w:ascii="Arial" w:hAnsi="Arial" w:cs="Arial"/>
          <w:color w:val="636363"/>
          <w:sz w:val="18"/>
          <w:szCs w:val="18"/>
          <w:rtl/>
        </w:rPr>
        <w:t>והבאתי אתכם במסורת הברית</w:t>
      </w:r>
      <w:r w:rsidR="000D61E9">
        <w:rPr>
          <w:rFonts w:ascii="Arial" w:hAnsi="Arial" w:cs="Arial"/>
          <w:color w:val="636363"/>
          <w:sz w:val="18"/>
          <w:szCs w:val="18"/>
        </w:rPr>
        <w:t>"</w:t>
      </w:r>
      <w:r w:rsidR="000D61E9">
        <w:rPr>
          <w:rFonts w:ascii="Arial" w:hAnsi="Arial" w:cs="Arial" w:hint="cs"/>
          <w:color w:val="636363"/>
          <w:sz w:val="18"/>
          <w:szCs w:val="18"/>
          <w:rtl/>
        </w:rPr>
        <w:t xml:space="preserve"> - </w:t>
      </w:r>
      <w:r w:rsidR="000D61E9">
        <w:rPr>
          <w:rFonts w:ascii="Arial" w:hAnsi="Arial" w:cs="Arial"/>
          <w:color w:val="636363"/>
          <w:sz w:val="18"/>
          <w:szCs w:val="18"/>
          <w:rtl/>
        </w:rPr>
        <w:t xml:space="preserve">רעיון הברית במשנתם של הרב חיים </w:t>
      </w:r>
      <w:proofErr w:type="spellStart"/>
      <w:r w:rsidR="000D61E9">
        <w:rPr>
          <w:rFonts w:ascii="Arial" w:hAnsi="Arial" w:cs="Arial"/>
          <w:color w:val="636363"/>
          <w:sz w:val="18"/>
          <w:szCs w:val="18"/>
          <w:rtl/>
        </w:rPr>
        <w:t>הירשנזון</w:t>
      </w:r>
      <w:proofErr w:type="spellEnd"/>
      <w:r w:rsidR="000D61E9">
        <w:rPr>
          <w:rFonts w:ascii="Arial" w:hAnsi="Arial" w:cs="Arial"/>
          <w:color w:val="636363"/>
          <w:sz w:val="18"/>
          <w:szCs w:val="18"/>
          <w:rtl/>
        </w:rPr>
        <w:t>, דניאל אלעזר ודוד הרטמן</w:t>
      </w:r>
      <w:r w:rsidR="0043572E">
        <w:rPr>
          <w:rFonts w:ascii="Arial" w:hAnsi="Arial" w:cs="Arial" w:hint="cs"/>
          <w:color w:val="636363"/>
          <w:sz w:val="18"/>
          <w:szCs w:val="18"/>
          <w:rtl/>
        </w:rPr>
        <w:t xml:space="preserve">', בתוך </w:t>
      </w:r>
      <w:r w:rsidR="000D61E9">
        <w:rPr>
          <w:rFonts w:ascii="Arial" w:hAnsi="Arial" w:cs="Arial"/>
          <w:color w:val="636363"/>
          <w:sz w:val="18"/>
          <w:szCs w:val="18"/>
          <w:rtl/>
        </w:rPr>
        <w:t xml:space="preserve">משה </w:t>
      </w:r>
      <w:proofErr w:type="spellStart"/>
      <w:r w:rsidR="000D61E9">
        <w:rPr>
          <w:rFonts w:ascii="Arial" w:hAnsi="Arial" w:cs="Arial"/>
          <w:color w:val="636363"/>
          <w:sz w:val="18"/>
          <w:szCs w:val="18"/>
          <w:rtl/>
        </w:rPr>
        <w:t>הלינגר</w:t>
      </w:r>
      <w:proofErr w:type="spellEnd"/>
      <w:r w:rsidR="0043572E">
        <w:rPr>
          <w:rFonts w:ascii="Arial" w:hAnsi="Arial" w:cs="Arial" w:hint="cs"/>
          <w:color w:val="636363"/>
          <w:sz w:val="18"/>
          <w:szCs w:val="18"/>
          <w:rtl/>
        </w:rPr>
        <w:t xml:space="preserve"> ואחרים (עורכים),</w:t>
      </w:r>
      <w:r w:rsidR="000D61E9">
        <w:rPr>
          <w:rFonts w:ascii="Arial" w:hAnsi="Arial" w:cs="Arial"/>
          <w:color w:val="636363"/>
          <w:sz w:val="18"/>
          <w:szCs w:val="18"/>
          <w:rtl/>
        </w:rPr>
        <w:t xml:space="preserve"> המסורת הפוליטית היהודית לדורותיה</w:t>
      </w:r>
      <w:r w:rsidR="0043572E">
        <w:rPr>
          <w:rFonts w:ascii="Arial" w:hAnsi="Arial" w:cs="Arial" w:hint="cs"/>
          <w:color w:val="636363"/>
          <w:sz w:val="18"/>
          <w:szCs w:val="18"/>
          <w:rtl/>
        </w:rPr>
        <w:t>, רמת גן תש"ע, עמ' 306-275.</w:t>
      </w:r>
    </w:p>
  </w:footnote>
  <w:footnote w:id="10">
    <w:p w14:paraId="7783CD09" w14:textId="4E3B5E7B" w:rsidR="00D231F4" w:rsidRPr="002C131A" w:rsidRDefault="00D231F4" w:rsidP="002C131A">
      <w:pPr>
        <w:spacing w:after="0" w:line="245" w:lineRule="exact"/>
        <w:jc w:val="both"/>
        <w:rPr>
          <w:rFonts w:asciiTheme="minorBidi" w:hAnsiTheme="minorBidi"/>
          <w:sz w:val="21"/>
          <w:szCs w:val="21"/>
          <w:rtl/>
        </w:rPr>
      </w:pPr>
      <w:r w:rsidRPr="002C131A">
        <w:rPr>
          <w:rStyle w:val="ab"/>
          <w:rFonts w:asciiTheme="minorBidi" w:hAnsiTheme="minorBidi"/>
          <w:sz w:val="21"/>
          <w:szCs w:val="21"/>
        </w:rPr>
        <w:footnoteRef/>
      </w:r>
      <w:r w:rsidRPr="002C131A">
        <w:rPr>
          <w:rFonts w:asciiTheme="minorBidi" w:hAnsiTheme="minorBidi"/>
          <w:sz w:val="21"/>
          <w:szCs w:val="21"/>
          <w:rtl/>
        </w:rPr>
        <w:t xml:space="preserve"> </w:t>
      </w:r>
      <w:r w:rsidR="002C131A" w:rsidRPr="002C131A">
        <w:rPr>
          <w:rFonts w:asciiTheme="minorBidi" w:hAnsiTheme="minorBidi"/>
          <w:sz w:val="21"/>
          <w:szCs w:val="21"/>
          <w:rtl/>
        </w:rPr>
        <w:t>אשר גינצברג, כל כתבי אחד העם (</w:t>
      </w:r>
      <w:proofErr w:type="spellStart"/>
      <w:r w:rsidR="002C131A" w:rsidRPr="002C131A">
        <w:rPr>
          <w:rFonts w:asciiTheme="minorBidi" w:hAnsiTheme="minorBidi"/>
          <w:sz w:val="21"/>
          <w:szCs w:val="21"/>
          <w:rtl/>
        </w:rPr>
        <w:t>התש"ז</w:t>
      </w:r>
      <w:proofErr w:type="spellEnd"/>
      <w:r w:rsidR="002C131A" w:rsidRPr="002C131A">
        <w:rPr>
          <w:rFonts w:asciiTheme="minorBidi" w:hAnsiTheme="minorBidi"/>
          <w:sz w:val="21"/>
          <w:szCs w:val="21"/>
          <w:rtl/>
        </w:rPr>
        <w:t>)</w:t>
      </w:r>
      <w:r w:rsidR="002C131A" w:rsidRPr="002C131A">
        <w:rPr>
          <w:rFonts w:asciiTheme="minorBidi" w:hAnsiTheme="minorBidi"/>
          <w:sz w:val="21"/>
          <w:szCs w:val="21"/>
        </w:rPr>
        <w:t>,</w:t>
      </w:r>
      <w:r w:rsidR="002C131A" w:rsidRPr="002C131A">
        <w:rPr>
          <w:rFonts w:asciiTheme="minorBidi" w:hAnsiTheme="minorBidi"/>
          <w:sz w:val="21"/>
          <w:szCs w:val="21"/>
          <w:rtl/>
        </w:rPr>
        <w:t xml:space="preserve"> רפו-</w:t>
      </w:r>
      <w:proofErr w:type="spellStart"/>
      <w:r w:rsidR="002C131A" w:rsidRPr="002C131A">
        <w:rPr>
          <w:rFonts w:asciiTheme="minorBidi" w:hAnsiTheme="minorBidi"/>
          <w:sz w:val="21"/>
          <w:szCs w:val="21"/>
          <w:rtl/>
        </w:rPr>
        <w:t>רפז</w:t>
      </w:r>
      <w:proofErr w:type="spellEnd"/>
      <w:r w:rsidR="002C131A" w:rsidRPr="002C131A">
        <w:rPr>
          <w:rFonts w:asciiTheme="minorBidi" w:hAnsiTheme="minorBidi"/>
          <w:sz w:val="21"/>
          <w:szCs w:val="21"/>
          <w:rtl/>
        </w:rPr>
        <w:t>.</w:t>
      </w:r>
      <w:r w:rsidR="002C131A" w:rsidRPr="002C131A">
        <w:rPr>
          <w:rFonts w:asciiTheme="minorBidi" w:hAnsiTheme="minorBidi"/>
          <w:sz w:val="21"/>
          <w:szCs w:val="21"/>
          <w:rtl/>
        </w:rPr>
        <w:t xml:space="preserve"> </w:t>
      </w:r>
      <w:r w:rsidR="009C782D" w:rsidRPr="002C131A">
        <w:rPr>
          <w:rFonts w:asciiTheme="minorBidi" w:hAnsiTheme="minorBidi"/>
          <w:b/>
          <w:bCs/>
          <w:color w:val="202122"/>
          <w:sz w:val="21"/>
          <w:szCs w:val="21"/>
          <w:shd w:val="clear" w:color="auto" w:fill="FFFFFF"/>
          <w:rtl/>
        </w:rPr>
        <w:t>אשר צבי</w:t>
      </w:r>
      <w:r w:rsidR="009C782D" w:rsidRPr="002C131A">
        <w:rPr>
          <w:rFonts w:asciiTheme="minorBidi" w:hAnsiTheme="minorBidi"/>
          <w:color w:val="202122"/>
          <w:sz w:val="21"/>
          <w:szCs w:val="21"/>
          <w:shd w:val="clear" w:color="auto" w:fill="FFFFFF"/>
          <w:rtl/>
        </w:rPr>
        <w:t> (</w:t>
      </w:r>
      <w:r w:rsidR="009C782D" w:rsidRPr="002C131A">
        <w:rPr>
          <w:rFonts w:asciiTheme="minorBidi" w:hAnsiTheme="minorBidi"/>
          <w:b/>
          <w:bCs/>
          <w:color w:val="202122"/>
          <w:sz w:val="21"/>
          <w:szCs w:val="21"/>
          <w:shd w:val="clear" w:color="auto" w:fill="FFFFFF"/>
          <w:rtl/>
        </w:rPr>
        <w:t>הירש</w:t>
      </w:r>
      <w:r w:rsidR="009C782D" w:rsidRPr="002C131A">
        <w:rPr>
          <w:rFonts w:asciiTheme="minorBidi" w:hAnsiTheme="minorBidi"/>
          <w:color w:val="202122"/>
          <w:sz w:val="21"/>
          <w:szCs w:val="21"/>
          <w:shd w:val="clear" w:color="auto" w:fill="FFFFFF"/>
          <w:rtl/>
        </w:rPr>
        <w:t xml:space="preserve">) </w:t>
      </w:r>
      <w:r w:rsidR="009C782D" w:rsidRPr="002C131A">
        <w:rPr>
          <w:rFonts w:asciiTheme="minorBidi" w:hAnsiTheme="minorBidi"/>
          <w:b/>
          <w:bCs/>
          <w:color w:val="202122"/>
          <w:sz w:val="21"/>
          <w:szCs w:val="21"/>
          <w:shd w:val="clear" w:color="auto" w:fill="FFFFFF"/>
          <w:rtl/>
        </w:rPr>
        <w:t>גינצברג (</w:t>
      </w:r>
      <w:r w:rsidR="009C782D" w:rsidRPr="002C131A">
        <w:rPr>
          <w:rFonts w:asciiTheme="minorBidi" w:hAnsiTheme="minorBidi"/>
          <w:sz w:val="21"/>
          <w:szCs w:val="21"/>
          <w:rtl/>
        </w:rPr>
        <w:t>1856-1927)</w:t>
      </w:r>
      <w:r w:rsidR="009C782D" w:rsidRPr="002C131A">
        <w:rPr>
          <w:rFonts w:asciiTheme="minorBidi" w:hAnsiTheme="minorBidi"/>
          <w:b/>
          <w:bCs/>
          <w:color w:val="202122"/>
          <w:sz w:val="21"/>
          <w:szCs w:val="21"/>
          <w:shd w:val="clear" w:color="auto" w:fill="FFFFFF"/>
          <w:rtl/>
        </w:rPr>
        <w:t xml:space="preserve">, </w:t>
      </w:r>
      <w:r w:rsidR="009C782D" w:rsidRPr="002C131A">
        <w:rPr>
          <w:rFonts w:asciiTheme="minorBidi" w:hAnsiTheme="minorBidi"/>
          <w:color w:val="202122"/>
          <w:sz w:val="21"/>
          <w:szCs w:val="21"/>
          <w:shd w:val="clear" w:color="auto" w:fill="FFFFFF"/>
          <w:rtl/>
        </w:rPr>
        <w:t>שנודע בשם-העט שלו </w:t>
      </w:r>
      <w:r w:rsidR="009C782D" w:rsidRPr="002C131A">
        <w:rPr>
          <w:rFonts w:asciiTheme="minorBidi" w:hAnsiTheme="minorBidi"/>
          <w:b/>
          <w:bCs/>
          <w:color w:val="202122"/>
          <w:sz w:val="21"/>
          <w:szCs w:val="21"/>
          <w:shd w:val="clear" w:color="auto" w:fill="FFFFFF"/>
          <w:rtl/>
        </w:rPr>
        <w:t>אַחַד הָעָם</w:t>
      </w:r>
      <w:r w:rsidR="009C782D" w:rsidRPr="002C131A">
        <w:rPr>
          <w:rFonts w:asciiTheme="minorBidi" w:hAnsiTheme="minorBidi"/>
          <w:color w:val="202122"/>
          <w:sz w:val="21"/>
          <w:szCs w:val="21"/>
          <w:shd w:val="clear" w:color="auto" w:fill="FFFFFF"/>
          <w:rtl/>
        </w:rPr>
        <w:t>, היה מראשי הוגיה והמייסד של ה</w:t>
      </w:r>
      <w:hyperlink r:id="rId1" w:tooltip="ציונות רוחנית" w:history="1">
        <w:r w:rsidR="009C782D" w:rsidRPr="002C131A">
          <w:rPr>
            <w:rStyle w:val="Hyperlink"/>
            <w:rFonts w:asciiTheme="minorBidi" w:hAnsiTheme="minorBidi"/>
            <w:color w:val="3366CC"/>
            <w:sz w:val="21"/>
            <w:szCs w:val="21"/>
            <w:shd w:val="clear" w:color="auto" w:fill="FFFFFF"/>
            <w:rtl/>
          </w:rPr>
          <w:t>ציונות הרוחנית</w:t>
        </w:r>
      </w:hyperlink>
      <w:r w:rsidR="009C782D" w:rsidRPr="002C131A">
        <w:rPr>
          <w:rFonts w:asciiTheme="minorBidi" w:hAnsiTheme="minorBidi"/>
          <w:color w:val="202122"/>
          <w:sz w:val="21"/>
          <w:szCs w:val="21"/>
          <w:shd w:val="clear" w:color="auto" w:fill="FFFFFF"/>
          <w:rtl/>
        </w:rPr>
        <w:t>, ומהחשובים במנסחי </w:t>
      </w:r>
      <w:hyperlink r:id="rId2" w:tooltip="חילוניות יהודית" w:history="1">
        <w:r w:rsidR="009C782D" w:rsidRPr="002C131A">
          <w:rPr>
            <w:rStyle w:val="Hyperlink"/>
            <w:rFonts w:asciiTheme="minorBidi" w:hAnsiTheme="minorBidi"/>
            <w:color w:val="3366CC"/>
            <w:sz w:val="21"/>
            <w:szCs w:val="21"/>
            <w:shd w:val="clear" w:color="auto" w:fill="FFFFFF"/>
            <w:rtl/>
          </w:rPr>
          <w:t>הזהות היהודית החילונית</w:t>
        </w:r>
      </w:hyperlink>
      <w:r w:rsidR="009C782D" w:rsidRPr="002C131A">
        <w:rPr>
          <w:rFonts w:asciiTheme="minorBidi" w:hAnsiTheme="minorBidi"/>
          <w:color w:val="202122"/>
          <w:sz w:val="21"/>
          <w:szCs w:val="21"/>
          <w:shd w:val="clear" w:color="auto" w:fill="FFFFFF"/>
        </w:rPr>
        <w:t>-</w:t>
      </w:r>
      <w:r w:rsidR="009C782D" w:rsidRPr="002C131A">
        <w:rPr>
          <w:rFonts w:asciiTheme="minorBidi" w:hAnsiTheme="minorBidi"/>
          <w:color w:val="202122"/>
          <w:sz w:val="21"/>
          <w:szCs w:val="21"/>
          <w:shd w:val="clear" w:color="auto" w:fill="FFFFFF"/>
          <w:rtl/>
        </w:rPr>
        <w:t>לאומית</w:t>
      </w:r>
      <w:r w:rsidR="009C782D" w:rsidRPr="002C131A">
        <w:rPr>
          <w:rFonts w:asciiTheme="minorBidi" w:hAnsiTheme="minorBidi"/>
          <w:color w:val="202122"/>
          <w:sz w:val="21"/>
          <w:szCs w:val="21"/>
          <w:shd w:val="clear" w:color="auto" w:fill="FFFFFF"/>
        </w:rPr>
        <w:t>.</w:t>
      </w:r>
    </w:p>
  </w:footnote>
  <w:footnote w:id="11">
    <w:p w14:paraId="13FD0A8B" w14:textId="03942D22" w:rsidR="00D231F4" w:rsidRPr="009C782D" w:rsidRDefault="00D231F4" w:rsidP="00FE2499">
      <w:pPr>
        <w:rPr>
          <w:rtl/>
        </w:rPr>
      </w:pPr>
      <w:r>
        <w:rPr>
          <w:rStyle w:val="ab"/>
        </w:rPr>
        <w:footnoteRef/>
      </w:r>
      <w:r>
        <w:rPr>
          <w:rtl/>
        </w:rPr>
        <w:t xml:space="preserve"> </w:t>
      </w:r>
      <w:r w:rsidRPr="00FF7820">
        <w:rPr>
          <w:rFonts w:ascii="FrankRuehl" w:hAnsi="FrankRuehl" w:cs="FrankRuehl"/>
          <w:rtl/>
        </w:rPr>
        <w:t>גורדון 1924, עמ' 122</w:t>
      </w:r>
      <w:r w:rsidR="009C782D">
        <w:rPr>
          <w:rFonts w:ascii="FrankRuehl" w:hAnsi="FrankRuehl" w:cs="FrankRuehl" w:hint="cs"/>
          <w:rtl/>
        </w:rPr>
        <w:t xml:space="preserve">. </w:t>
      </w:r>
      <w:r w:rsidR="009C782D">
        <w:rPr>
          <w:rFonts w:ascii="Arial" w:hAnsi="Arial" w:cs="Arial"/>
          <w:b/>
          <w:bCs/>
          <w:color w:val="202122"/>
          <w:sz w:val="21"/>
          <w:szCs w:val="21"/>
          <w:shd w:val="clear" w:color="auto" w:fill="FFFFFF"/>
          <w:rtl/>
        </w:rPr>
        <w:t>אהרן דוד גורדון</w:t>
      </w:r>
      <w:r w:rsidR="009C782D">
        <w:rPr>
          <w:rFonts w:ascii="Arial" w:hAnsi="Arial" w:cs="Arial"/>
          <w:color w:val="202122"/>
          <w:sz w:val="21"/>
          <w:szCs w:val="21"/>
          <w:shd w:val="clear" w:color="auto" w:fill="FFFFFF"/>
          <w:rtl/>
        </w:rPr>
        <w:t> </w:t>
      </w:r>
      <w:r w:rsidR="009C782D">
        <w:rPr>
          <w:rFonts w:ascii="Arial" w:hAnsi="Arial" w:cs="Arial" w:hint="cs"/>
          <w:color w:val="202122"/>
          <w:sz w:val="21"/>
          <w:szCs w:val="21"/>
          <w:shd w:val="clear" w:color="auto" w:fill="FFFFFF"/>
          <w:rtl/>
        </w:rPr>
        <w:t xml:space="preserve">(1856-1922) </w:t>
      </w:r>
      <w:r w:rsidR="009C782D">
        <w:rPr>
          <w:rFonts w:ascii="Arial" w:hAnsi="Arial" w:cs="Arial"/>
          <w:color w:val="202122"/>
          <w:sz w:val="21"/>
          <w:szCs w:val="21"/>
          <w:shd w:val="clear" w:color="auto" w:fill="FFFFFF"/>
          <w:rtl/>
        </w:rPr>
        <w:t xml:space="preserve">היה פעיל בתנועה הציונית </w:t>
      </w:r>
      <w:hyperlink r:id="rId3" w:tooltip="חלוציות" w:history="1">
        <w:r w:rsidR="009C782D">
          <w:rPr>
            <w:rStyle w:val="Hyperlink"/>
            <w:rFonts w:ascii="Arial" w:hAnsi="Arial" w:cs="Arial"/>
            <w:color w:val="3366CC"/>
            <w:sz w:val="21"/>
            <w:szCs w:val="21"/>
            <w:shd w:val="clear" w:color="auto" w:fill="FFFFFF"/>
            <w:rtl/>
          </w:rPr>
          <w:t>חלוץ</w:t>
        </w:r>
      </w:hyperlink>
      <w:r w:rsidR="009C782D">
        <w:rPr>
          <w:rFonts w:ascii="Arial" w:hAnsi="Arial" w:cs="Arial"/>
          <w:color w:val="202122"/>
          <w:sz w:val="21"/>
          <w:szCs w:val="21"/>
          <w:shd w:val="clear" w:color="auto" w:fill="FFFFFF"/>
        </w:rPr>
        <w:t> </w:t>
      </w:r>
      <w:r w:rsidR="009C782D">
        <w:rPr>
          <w:rFonts w:ascii="Arial" w:hAnsi="Arial" w:cs="Arial"/>
          <w:color w:val="202122"/>
          <w:sz w:val="21"/>
          <w:szCs w:val="21"/>
          <w:shd w:val="clear" w:color="auto" w:fill="FFFFFF"/>
          <w:rtl/>
        </w:rPr>
        <w:t>ו</w:t>
      </w:r>
      <w:hyperlink r:id="rId4" w:tooltip="חקלאות" w:history="1">
        <w:r w:rsidR="009C782D">
          <w:rPr>
            <w:rStyle w:val="Hyperlink"/>
            <w:rFonts w:ascii="Arial" w:hAnsi="Arial" w:cs="Arial"/>
            <w:color w:val="3366CC"/>
            <w:sz w:val="21"/>
            <w:szCs w:val="21"/>
            <w:shd w:val="clear" w:color="auto" w:fill="FFFFFF"/>
            <w:rtl/>
          </w:rPr>
          <w:t>פועל חקלאי</w:t>
        </w:r>
      </w:hyperlink>
      <w:r w:rsidR="009C782D">
        <w:rPr>
          <w:rFonts w:ascii="Arial" w:hAnsi="Arial" w:cs="Arial" w:hint="cs"/>
          <w:color w:val="202122"/>
          <w:sz w:val="21"/>
          <w:szCs w:val="21"/>
          <w:shd w:val="clear" w:color="auto" w:fill="FFFFFF"/>
          <w:rtl/>
        </w:rPr>
        <w:t>, ה</w:t>
      </w:r>
      <w:r w:rsidR="009C782D">
        <w:rPr>
          <w:rFonts w:ascii="Arial" w:hAnsi="Arial" w:cs="Arial"/>
          <w:color w:val="202122"/>
          <w:sz w:val="21"/>
          <w:szCs w:val="21"/>
          <w:shd w:val="clear" w:color="auto" w:fill="FFFFFF"/>
          <w:rtl/>
        </w:rPr>
        <w:t>וגה ו</w:t>
      </w:r>
      <w:hyperlink r:id="rId5" w:tooltip="מורה רוחני (העידן החדש)" w:history="1">
        <w:r w:rsidR="009C782D">
          <w:rPr>
            <w:rStyle w:val="Hyperlink"/>
            <w:rFonts w:ascii="Arial" w:hAnsi="Arial" w:cs="Arial"/>
            <w:color w:val="3366CC"/>
            <w:sz w:val="21"/>
            <w:szCs w:val="21"/>
            <w:shd w:val="clear" w:color="auto" w:fill="FFFFFF"/>
            <w:rtl/>
          </w:rPr>
          <w:t>מורה-דרך</w:t>
        </w:r>
      </w:hyperlink>
      <w:r w:rsidR="009C782D">
        <w:rPr>
          <w:rFonts w:ascii="Arial" w:hAnsi="Arial" w:cs="Arial"/>
          <w:color w:val="202122"/>
          <w:sz w:val="21"/>
          <w:szCs w:val="21"/>
          <w:shd w:val="clear" w:color="auto" w:fill="FFFFFF"/>
        </w:rPr>
        <w:t> </w:t>
      </w:r>
      <w:r w:rsidR="009C782D">
        <w:rPr>
          <w:rFonts w:ascii="Arial" w:hAnsi="Arial" w:cs="Arial"/>
          <w:color w:val="202122"/>
          <w:sz w:val="21"/>
          <w:szCs w:val="21"/>
          <w:shd w:val="clear" w:color="auto" w:fill="FFFFFF"/>
          <w:rtl/>
        </w:rPr>
        <w:t>לחלוצים ולחלוצות בתקופת </w:t>
      </w:r>
      <w:hyperlink r:id="rId6" w:tooltip="העלייה השנייה" w:history="1">
        <w:r w:rsidR="009C782D">
          <w:rPr>
            <w:rStyle w:val="Hyperlink"/>
            <w:rFonts w:ascii="Arial" w:hAnsi="Arial" w:cs="Arial"/>
            <w:color w:val="3366CC"/>
            <w:sz w:val="21"/>
            <w:szCs w:val="21"/>
            <w:shd w:val="clear" w:color="auto" w:fill="FFFFFF"/>
            <w:rtl/>
          </w:rPr>
          <w:t>העלייה השנייה</w:t>
        </w:r>
      </w:hyperlink>
      <w:r w:rsidR="009C782D">
        <w:rPr>
          <w:rFonts w:ascii="Arial" w:hAnsi="Arial" w:cs="Arial"/>
          <w:color w:val="202122"/>
          <w:sz w:val="21"/>
          <w:szCs w:val="21"/>
          <w:shd w:val="clear" w:color="auto" w:fill="FFFFFF"/>
        </w:rPr>
        <w:t> </w:t>
      </w:r>
      <w:r w:rsidR="009C782D">
        <w:rPr>
          <w:rFonts w:ascii="Arial" w:hAnsi="Arial" w:cs="Arial"/>
          <w:color w:val="202122"/>
          <w:sz w:val="21"/>
          <w:szCs w:val="21"/>
          <w:shd w:val="clear" w:color="auto" w:fill="FFFFFF"/>
          <w:rtl/>
        </w:rPr>
        <w:t>ו</w:t>
      </w:r>
      <w:hyperlink r:id="rId7" w:tooltip="העלייה השלישית" w:history="1">
        <w:r w:rsidR="009C782D">
          <w:rPr>
            <w:rStyle w:val="Hyperlink"/>
            <w:rFonts w:ascii="Arial" w:hAnsi="Arial" w:cs="Arial"/>
            <w:color w:val="3366CC"/>
            <w:sz w:val="21"/>
            <w:szCs w:val="21"/>
            <w:shd w:val="clear" w:color="auto" w:fill="FFFFFF"/>
            <w:rtl/>
          </w:rPr>
          <w:t>העלייה השלישית</w:t>
        </w:r>
      </w:hyperlink>
      <w:r w:rsidR="009C782D">
        <w:rPr>
          <w:rFonts w:ascii="Arial" w:hAnsi="Arial" w:cs="Arial" w:hint="cs"/>
          <w:color w:val="202122"/>
          <w:sz w:val="21"/>
          <w:szCs w:val="21"/>
          <w:shd w:val="clear" w:color="auto" w:fill="FFFFFF"/>
          <w:rtl/>
        </w:rPr>
        <w:t xml:space="preserve">. </w:t>
      </w:r>
      <w:r w:rsidR="009C782D">
        <w:rPr>
          <w:rFonts w:ascii="Arial" w:hAnsi="Arial" w:cs="Arial"/>
          <w:color w:val="202122"/>
          <w:sz w:val="21"/>
          <w:szCs w:val="21"/>
          <w:shd w:val="clear" w:color="auto" w:fill="FFFFFF"/>
          <w:rtl/>
        </w:rPr>
        <w:t>מייסד </w:t>
      </w:r>
      <w:hyperlink r:id="rId8" w:tooltip="פילוסופיה של המוסר" w:history="1">
        <w:r w:rsidR="009C782D">
          <w:rPr>
            <w:rStyle w:val="Hyperlink"/>
            <w:rFonts w:ascii="Arial" w:hAnsi="Arial" w:cs="Arial"/>
            <w:color w:val="3366CC"/>
            <w:sz w:val="21"/>
            <w:szCs w:val="21"/>
            <w:shd w:val="clear" w:color="auto" w:fill="FFFFFF"/>
            <w:rtl/>
          </w:rPr>
          <w:t>תורת-מוסר</w:t>
        </w:r>
      </w:hyperlink>
      <w:r w:rsidR="009C782D">
        <w:rPr>
          <w:rFonts w:ascii="Arial" w:hAnsi="Arial" w:cs="Arial"/>
          <w:color w:val="202122"/>
          <w:sz w:val="21"/>
          <w:szCs w:val="21"/>
          <w:shd w:val="clear" w:color="auto" w:fill="FFFFFF"/>
        </w:rPr>
        <w:t> </w:t>
      </w:r>
      <w:r w:rsidR="009C782D">
        <w:rPr>
          <w:rFonts w:ascii="Arial" w:hAnsi="Arial" w:cs="Arial"/>
          <w:color w:val="202122"/>
          <w:sz w:val="21"/>
          <w:szCs w:val="21"/>
          <w:shd w:val="clear" w:color="auto" w:fill="FFFFFF"/>
          <w:rtl/>
        </w:rPr>
        <w:t>שבחייו ולאחר מותו כונתה על ידי בני דורו "דת העבודה</w:t>
      </w:r>
      <w:r w:rsidR="009C782D">
        <w:rPr>
          <w:rFonts w:ascii="Arial" w:hAnsi="Arial" w:cs="Arial"/>
          <w:color w:val="202122"/>
          <w:sz w:val="21"/>
          <w:szCs w:val="21"/>
          <w:shd w:val="clear" w:color="auto" w:fill="FFFFFF"/>
        </w:rPr>
        <w:t>".</w:t>
      </w:r>
    </w:p>
  </w:footnote>
  <w:footnote w:id="12">
    <w:p w14:paraId="4F920B27" w14:textId="315B3A99" w:rsidR="00E27FDB" w:rsidRPr="00D0311F" w:rsidRDefault="00E27FDB">
      <w:pPr>
        <w:pStyle w:val="a9"/>
      </w:pPr>
      <w:r w:rsidRPr="00D0311F">
        <w:rPr>
          <w:rStyle w:val="ab"/>
        </w:rPr>
        <w:footnoteRef/>
      </w:r>
      <w:r w:rsidRPr="00D0311F">
        <w:rPr>
          <w:rtl/>
        </w:rPr>
        <w:t xml:space="preserve"> </w:t>
      </w:r>
      <w:r w:rsidR="00D0311F" w:rsidRPr="00FE2499">
        <w:rPr>
          <w:rFonts w:ascii="Heebo" w:hAnsi="Heebo" w:cs="Heebo" w:hint="eastAsia"/>
          <w:color w:val="666666"/>
          <w:shd w:val="clear" w:color="auto" w:fill="FFFFFF"/>
          <w:rtl/>
        </w:rPr>
        <w:t>מודעה</w:t>
      </w:r>
      <w:r w:rsidR="00D0311F" w:rsidRPr="00FE2499">
        <w:rPr>
          <w:rFonts w:ascii="Heebo" w:hAnsi="Heebo" w:cs="Heebo"/>
          <w:color w:val="666666"/>
          <w:shd w:val="clear" w:color="auto" w:fill="FFFFFF"/>
          <w:rtl/>
        </w:rPr>
        <w:t xml:space="preserve"> עירונית מס' 36, </w:t>
      </w:r>
      <w:r w:rsidR="00D0311F" w:rsidRPr="00FE2499">
        <w:rPr>
          <w:rFonts w:ascii="Heebo" w:hAnsi="Heebo" w:cs="Heebo" w:hint="eastAsia"/>
          <w:color w:val="666666"/>
          <w:shd w:val="clear" w:color="auto" w:fill="FFFFFF"/>
          <w:rtl/>
        </w:rPr>
        <w:t>אוסף</w:t>
      </w:r>
      <w:r w:rsidR="00D0311F" w:rsidRPr="00FE2499">
        <w:rPr>
          <w:rFonts w:ascii="Heebo" w:hAnsi="Heebo" w:cs="Heebo"/>
          <w:color w:val="666666"/>
          <w:shd w:val="clear" w:color="auto" w:fill="FFFFFF"/>
          <w:rtl/>
        </w:rPr>
        <w:t xml:space="preserve"> </w:t>
      </w:r>
      <w:r w:rsidR="00D0311F" w:rsidRPr="00FE2499">
        <w:rPr>
          <w:rFonts w:ascii="Heebo" w:hAnsi="Heebo" w:cs="Heebo" w:hint="eastAsia"/>
          <w:color w:val="666666"/>
          <w:shd w:val="clear" w:color="auto" w:fill="FFFFFF"/>
          <w:rtl/>
        </w:rPr>
        <w:t>עיריית</w:t>
      </w:r>
      <w:r w:rsidR="00D0311F" w:rsidRPr="00FE2499">
        <w:rPr>
          <w:rFonts w:ascii="Heebo" w:hAnsi="Heebo" w:cs="Heebo"/>
          <w:color w:val="666666"/>
          <w:shd w:val="clear" w:color="auto" w:fill="FFFFFF"/>
          <w:rtl/>
        </w:rPr>
        <w:t xml:space="preserve"> </w:t>
      </w:r>
      <w:r w:rsidR="00D0311F" w:rsidRPr="00FE2499">
        <w:rPr>
          <w:rFonts w:ascii="Heebo" w:hAnsi="Heebo" w:cs="Heebo" w:hint="eastAsia"/>
          <w:color w:val="666666"/>
          <w:shd w:val="clear" w:color="auto" w:fill="FFFFFF"/>
          <w:rtl/>
        </w:rPr>
        <w:t>תל</w:t>
      </w:r>
      <w:r w:rsidR="00D0311F" w:rsidRPr="00FE2499">
        <w:rPr>
          <w:rFonts w:ascii="Heebo" w:hAnsi="Heebo" w:cs="Heebo"/>
          <w:color w:val="666666"/>
          <w:shd w:val="clear" w:color="auto" w:fill="FFFFFF"/>
          <w:rtl/>
        </w:rPr>
        <w:t xml:space="preserve"> </w:t>
      </w:r>
      <w:r w:rsidR="00D0311F" w:rsidRPr="00FE2499">
        <w:rPr>
          <w:rFonts w:ascii="Heebo" w:hAnsi="Heebo" w:cs="Heebo" w:hint="eastAsia"/>
          <w:color w:val="666666"/>
          <w:shd w:val="clear" w:color="auto" w:fill="FFFFFF"/>
          <w:rtl/>
        </w:rPr>
        <w:t>אביב</w:t>
      </w:r>
      <w:r w:rsidR="00D0311F" w:rsidRPr="00FE2499">
        <w:rPr>
          <w:rFonts w:ascii="Heebo" w:hAnsi="Heebo" w:cs="Heebo"/>
          <w:color w:val="666666"/>
          <w:shd w:val="clear" w:color="auto" w:fill="FFFFFF"/>
          <w:rtl/>
        </w:rPr>
        <w:t xml:space="preserve">, </w:t>
      </w:r>
      <w:r w:rsidR="00D0311F" w:rsidRPr="00FE2499">
        <w:rPr>
          <w:rFonts w:ascii="Heebo" w:hAnsi="Heebo" w:cs="Heebo" w:hint="eastAsia"/>
          <w:color w:val="666666"/>
          <w:shd w:val="clear" w:color="auto" w:fill="FFFFFF"/>
          <w:rtl/>
        </w:rPr>
        <w:t>מספר</w:t>
      </w:r>
      <w:r w:rsidR="00D0311F" w:rsidRPr="00FE2499">
        <w:rPr>
          <w:rFonts w:ascii="Heebo" w:hAnsi="Heebo" w:cs="Heebo"/>
          <w:color w:val="666666"/>
          <w:shd w:val="clear" w:color="auto" w:fill="FFFFFF"/>
          <w:rtl/>
        </w:rPr>
        <w:t xml:space="preserve"> </w:t>
      </w:r>
      <w:r w:rsidR="00D0311F" w:rsidRPr="00FE2499">
        <w:rPr>
          <w:rFonts w:ascii="Heebo" w:hAnsi="Heebo" w:cs="Heebo" w:hint="eastAsia"/>
          <w:color w:val="666666"/>
          <w:shd w:val="clear" w:color="auto" w:fill="FFFFFF"/>
          <w:rtl/>
        </w:rPr>
        <w:t>מערכת</w:t>
      </w:r>
      <w:r w:rsidR="00D0311F" w:rsidRPr="00FE2499">
        <w:rPr>
          <w:rFonts w:ascii="Heebo" w:hAnsi="Heebo" w:cs="Heebo"/>
          <w:color w:val="666666"/>
          <w:shd w:val="clear" w:color="auto" w:fill="FFFFFF"/>
          <w:rtl/>
        </w:rPr>
        <w:t xml:space="preserve"> 700092157</w:t>
      </w:r>
    </w:p>
  </w:footnote>
  <w:footnote w:id="13">
    <w:p w14:paraId="70D3F5CB" w14:textId="4EF637A8" w:rsidR="00D231F4" w:rsidRDefault="00D231F4">
      <w:pPr>
        <w:pStyle w:val="a9"/>
        <w:rPr>
          <w:rtl/>
        </w:rPr>
      </w:pPr>
      <w:r>
        <w:rPr>
          <w:rStyle w:val="ab"/>
        </w:rPr>
        <w:footnoteRef/>
      </w:r>
      <w:r>
        <w:rPr>
          <w:rtl/>
        </w:rPr>
        <w:t xml:space="preserve"> </w:t>
      </w:r>
      <w:r w:rsidR="00D0311F">
        <w:rPr>
          <w:rFonts w:hint="cs"/>
          <w:rtl/>
        </w:rPr>
        <w:t>בבלי, חולין ה ע"א.</w:t>
      </w:r>
    </w:p>
  </w:footnote>
  <w:footnote w:id="14">
    <w:p w14:paraId="429F4107" w14:textId="421A64F9" w:rsidR="00D231F4" w:rsidRDefault="00D231F4">
      <w:pPr>
        <w:pStyle w:val="a9"/>
        <w:rPr>
          <w:rtl/>
        </w:rPr>
      </w:pPr>
      <w:r>
        <w:rPr>
          <w:rStyle w:val="ab"/>
        </w:rPr>
        <w:footnoteRef/>
      </w:r>
      <w:r>
        <w:rPr>
          <w:rtl/>
        </w:rPr>
        <w:t xml:space="preserve"> </w:t>
      </w:r>
      <w:r w:rsidR="008478F8">
        <w:rPr>
          <w:rFonts w:hint="cs"/>
          <w:rtl/>
        </w:rPr>
        <w:t xml:space="preserve">לדיון אטימולוגי ראה </w:t>
      </w:r>
      <w:r w:rsidR="008478F8" w:rsidRPr="008478F8">
        <w:rPr>
          <w:rFonts w:cs="Arial"/>
          <w:rtl/>
        </w:rPr>
        <w:t xml:space="preserve">רומן </w:t>
      </w:r>
      <w:proofErr w:type="spellStart"/>
      <w:r w:rsidR="008478F8" w:rsidRPr="008478F8">
        <w:rPr>
          <w:rFonts w:cs="Arial"/>
          <w:rtl/>
        </w:rPr>
        <w:t>כצמן</w:t>
      </w:r>
      <w:proofErr w:type="spellEnd"/>
      <w:r w:rsidR="008478F8">
        <w:rPr>
          <w:rFonts w:cs="Arial" w:hint="cs"/>
          <w:rtl/>
        </w:rPr>
        <w:t xml:space="preserve">, </w:t>
      </w:r>
      <w:r w:rsidR="008478F8" w:rsidRPr="008478F8">
        <w:rPr>
          <w:rFonts w:cs="Arial"/>
          <w:rtl/>
        </w:rPr>
        <w:t>“</w:t>
      </w:r>
      <w:r w:rsidR="008478F8">
        <w:rPr>
          <w:rFonts w:cs="Arial" w:hint="cs"/>
          <w:rtl/>
        </w:rPr>
        <w:t>'</w:t>
      </w:r>
      <w:r w:rsidR="008478F8" w:rsidRPr="008478F8">
        <w:rPr>
          <w:rFonts w:cs="Arial"/>
          <w:rtl/>
        </w:rPr>
        <w:t>נבואה קטנה</w:t>
      </w:r>
      <w:r w:rsidR="008478F8">
        <w:rPr>
          <w:rFonts w:cs="Arial" w:hint="cs"/>
          <w:rtl/>
        </w:rPr>
        <w:t>'</w:t>
      </w:r>
      <w:r w:rsidR="008478F8" w:rsidRPr="008478F8">
        <w:rPr>
          <w:rFonts w:cs="Arial"/>
          <w:rtl/>
        </w:rPr>
        <w:t> : כנות ורטוריקה בעיר ומלואה לש"י עגנון</w:t>
      </w:r>
      <w:r w:rsidR="008478F8">
        <w:rPr>
          <w:rFonts w:cs="Arial" w:hint="cs"/>
          <w:rtl/>
        </w:rPr>
        <w:t>"</w:t>
      </w:r>
      <w:r w:rsidR="008478F8" w:rsidRPr="008478F8">
        <w:rPr>
          <w:rFonts w:cs="Arial"/>
          <w:rtl/>
        </w:rPr>
        <w:t xml:space="preserve"> </w:t>
      </w:r>
      <w:r w:rsidR="00716398">
        <w:rPr>
          <w:rFonts w:cs="Arial" w:hint="cs"/>
          <w:rtl/>
        </w:rPr>
        <w:t>(</w:t>
      </w:r>
      <w:r w:rsidR="008478F8" w:rsidRPr="008478F8">
        <w:rPr>
          <w:rFonts w:cs="Arial"/>
          <w:rtl/>
        </w:rPr>
        <w:t>2013</w:t>
      </w:r>
      <w:r w:rsidR="00716398">
        <w:rPr>
          <w:rFonts w:cs="Arial" w:hint="cs"/>
          <w:rtl/>
        </w:rPr>
        <w:t>)</w:t>
      </w:r>
      <w:r w:rsidR="008478F8">
        <w:rPr>
          <w:rFonts w:cs="Arial" w:hint="cs"/>
          <w:rtl/>
        </w:rPr>
        <w:t>, עמ' 19</w:t>
      </w:r>
      <w:r w:rsidR="008478F8" w:rsidRPr="008478F8">
        <w:rPr>
          <w:rFonts w:cs="Arial"/>
          <w:rtl/>
        </w:rPr>
        <w:t>.</w:t>
      </w:r>
    </w:p>
  </w:footnote>
  <w:footnote w:id="15">
    <w:p w14:paraId="0FF43319" w14:textId="5D949799" w:rsidR="00D231F4" w:rsidRDefault="00D231F4">
      <w:pPr>
        <w:pStyle w:val="a9"/>
        <w:rPr>
          <w:rtl/>
        </w:rPr>
      </w:pPr>
      <w:r>
        <w:rPr>
          <w:rStyle w:val="ab"/>
        </w:rPr>
        <w:footnoteRef/>
      </w:r>
      <w:r>
        <w:rPr>
          <w:rtl/>
        </w:rPr>
        <w:t xml:space="preserve"> </w:t>
      </w:r>
      <w:r w:rsidR="008478F8">
        <w:rPr>
          <w:rFonts w:hint="cs"/>
          <w:rtl/>
        </w:rPr>
        <w:t xml:space="preserve">ראה ארונובסקי וספיר, הסיפור של שבת, עמ' 73, </w:t>
      </w:r>
      <w:proofErr w:type="spellStart"/>
      <w:r w:rsidR="008478F8">
        <w:rPr>
          <w:rFonts w:hint="cs"/>
          <w:rtl/>
        </w:rPr>
        <w:t>הע</w:t>
      </w:r>
      <w:proofErr w:type="spellEnd"/>
      <w:r w:rsidR="008478F8">
        <w:rPr>
          <w:rFonts w:hint="cs"/>
          <w:rtl/>
        </w:rPr>
        <w:t>' 72.</w:t>
      </w:r>
    </w:p>
  </w:footnote>
  <w:footnote w:id="16">
    <w:p w14:paraId="6F5F7394" w14:textId="76D78F71" w:rsidR="00D231F4" w:rsidRDefault="00D231F4">
      <w:pPr>
        <w:pStyle w:val="a9"/>
        <w:rPr>
          <w:rtl/>
        </w:rPr>
      </w:pPr>
      <w:r>
        <w:rPr>
          <w:rStyle w:val="ab"/>
        </w:rPr>
        <w:footnoteRef/>
      </w:r>
      <w:r>
        <w:rPr>
          <w:rtl/>
        </w:rPr>
        <w:t xml:space="preserve"> </w:t>
      </w:r>
      <w:r w:rsidR="00143D6D">
        <w:rPr>
          <w:rFonts w:hint="cs"/>
          <w:rtl/>
        </w:rPr>
        <w:t xml:space="preserve">מדרש הגדול, שמות לא, </w:t>
      </w:r>
      <w:proofErr w:type="spellStart"/>
      <w:r w:rsidR="00143D6D">
        <w:rPr>
          <w:rFonts w:hint="cs"/>
          <w:rtl/>
        </w:rPr>
        <w:t>יז</w:t>
      </w:r>
      <w:proofErr w:type="spellEnd"/>
      <w:r w:rsidR="00143D6D">
        <w:rPr>
          <w:rFonts w:hint="cs"/>
          <w:rtl/>
        </w:rPr>
        <w:t xml:space="preserve">, </w:t>
      </w:r>
    </w:p>
  </w:footnote>
  <w:footnote w:id="17">
    <w:p w14:paraId="417DE39F" w14:textId="3469594D" w:rsidR="00D231F4" w:rsidRDefault="00D231F4">
      <w:pPr>
        <w:pStyle w:val="a9"/>
        <w:rPr>
          <w:rtl/>
        </w:rPr>
      </w:pPr>
      <w:r>
        <w:rPr>
          <w:rStyle w:val="ab"/>
        </w:rPr>
        <w:footnoteRef/>
      </w:r>
      <w:r>
        <w:rPr>
          <w:rtl/>
        </w:rPr>
        <w:t xml:space="preserve"> </w:t>
      </w:r>
      <w:r w:rsidR="00143D6D">
        <w:rPr>
          <w:rFonts w:hint="cs"/>
          <w:rtl/>
        </w:rPr>
        <w:t>ישעיהו נו, ו.</w:t>
      </w:r>
    </w:p>
  </w:footnote>
  <w:footnote w:id="18">
    <w:p w14:paraId="1E08373C" w14:textId="7DC783DD" w:rsidR="00334F38" w:rsidRDefault="00334F38">
      <w:pPr>
        <w:pStyle w:val="a9"/>
        <w:rPr>
          <w:rtl/>
        </w:rPr>
      </w:pPr>
      <w:r>
        <w:rPr>
          <w:rStyle w:val="ab"/>
        </w:rPr>
        <w:footnoteRef/>
      </w:r>
      <w:r>
        <w:rPr>
          <w:rtl/>
        </w:rPr>
        <w:t xml:space="preserve"> </w:t>
      </w:r>
      <w:r w:rsidR="00716398">
        <w:rPr>
          <w:rtl/>
        </w:rPr>
        <w:t xml:space="preserve">שלמה גורן "לבעיות דת ומדינה" הציונות הדתית קובץ מאמרים </w:t>
      </w:r>
      <w:r w:rsidR="00716398">
        <w:t>179 (</w:t>
      </w:r>
      <w:r w:rsidR="00716398">
        <w:rPr>
          <w:rtl/>
        </w:rPr>
        <w:t xml:space="preserve">יוסף תירוש עורך, </w:t>
      </w:r>
      <w:proofErr w:type="spellStart"/>
      <w:r w:rsidR="00716398">
        <w:rPr>
          <w:rtl/>
        </w:rPr>
        <w:t>התשל"ד</w:t>
      </w:r>
      <w:proofErr w:type="spellEnd"/>
      <w:r w:rsidR="00716398">
        <w:rPr>
          <w:rFonts w:hint="cs"/>
          <w:rtl/>
        </w:rPr>
        <w:t xml:space="preserve">, </w:t>
      </w:r>
      <w:r w:rsidRPr="00FF7820">
        <w:rPr>
          <w:rFonts w:ascii="FrankRuehl" w:hAnsi="FrankRuehl" w:cs="FrankRuehl"/>
          <w:sz w:val="22"/>
          <w:szCs w:val="22"/>
          <w:rtl/>
        </w:rPr>
        <w:t>175.</w:t>
      </w:r>
      <w:r>
        <w:rPr>
          <w:rFonts w:hint="cs"/>
          <w:rtl/>
        </w:rPr>
        <w:t xml:space="preserve"> </w:t>
      </w:r>
      <w:r w:rsidRPr="00FF7820">
        <w:rPr>
          <w:rFonts w:ascii="FrankRuehl" w:hAnsi="FrankRuehl"/>
          <w:rtl/>
        </w:rPr>
        <w:t xml:space="preserve">הרב שלמה גורן </w:t>
      </w:r>
      <w:r>
        <w:rPr>
          <w:rFonts w:ascii="FrankRuehl" w:hAnsi="FrankRuehl" w:hint="cs"/>
          <w:rtl/>
        </w:rPr>
        <w:t xml:space="preserve">(1918-1994) </w:t>
      </w:r>
      <w:r w:rsidRPr="00FF7820">
        <w:rPr>
          <w:rFonts w:ascii="FrankRuehl" w:hAnsi="FrankRuehl"/>
          <w:rtl/>
        </w:rPr>
        <w:t>ייסד את הרבנות הראשית בצה"ל ועמד בראשה למעלה משני עשורים ולאחר מכן כיהן כרב הראשי לישראל</w:t>
      </w:r>
      <w:r>
        <w:rPr>
          <w:rFonts w:hint="cs"/>
          <w:rtl/>
        </w:rPr>
        <w:t>.</w:t>
      </w:r>
    </w:p>
  </w:footnote>
  <w:footnote w:id="19">
    <w:p w14:paraId="5DD26039" w14:textId="2B363C84" w:rsidR="00334F38" w:rsidRPr="00334F38" w:rsidRDefault="00334F38">
      <w:pPr>
        <w:pStyle w:val="a9"/>
        <w:rPr>
          <w:rtl/>
        </w:rPr>
      </w:pPr>
      <w:r>
        <w:rPr>
          <w:rStyle w:val="ab"/>
        </w:rPr>
        <w:footnoteRef/>
      </w:r>
      <w:r>
        <w:rPr>
          <w:rtl/>
        </w:rPr>
        <w:t xml:space="preserve"> </w:t>
      </w:r>
      <w:bookmarkStart w:id="3" w:name="_Hlk48867683"/>
      <w:r w:rsidR="00716398">
        <w:rPr>
          <w:rtl/>
        </w:rPr>
        <w:t>שאול ישראלי הרבנות והמדינה (</w:t>
      </w:r>
      <w:proofErr w:type="spellStart"/>
      <w:r w:rsidR="00716398">
        <w:rPr>
          <w:rtl/>
        </w:rPr>
        <w:t>התשס"א</w:t>
      </w:r>
      <w:proofErr w:type="spellEnd"/>
      <w:r w:rsidR="00716398">
        <w:rPr>
          <w:rtl/>
        </w:rPr>
        <w:t>)</w:t>
      </w:r>
      <w:r w:rsidRPr="00FF7820">
        <w:rPr>
          <w:rFonts w:ascii="FrankRuehl" w:hAnsi="FrankRuehl" w:cs="FrankRuehl"/>
          <w:sz w:val="22"/>
          <w:szCs w:val="22"/>
          <w:rtl/>
          <w:lang w:val="en-GB"/>
        </w:rPr>
        <w:t>, 148-147</w:t>
      </w:r>
      <w:bookmarkEnd w:id="3"/>
      <w:r>
        <w:rPr>
          <w:rFonts w:hint="cs"/>
          <w:rtl/>
        </w:rPr>
        <w:t xml:space="preserve">. </w:t>
      </w:r>
      <w:r w:rsidRPr="00FF7820">
        <w:rPr>
          <w:rFonts w:ascii="FrankRuehl" w:hAnsi="FrankRuehl" w:cs="FrankRuehl"/>
          <w:sz w:val="22"/>
          <w:szCs w:val="22"/>
          <w:shd w:val="clear" w:color="auto" w:fill="FFFFFF"/>
          <w:rtl/>
        </w:rPr>
        <w:t>הרב</w:t>
      </w:r>
      <w:r w:rsidRPr="00FF7820">
        <w:rPr>
          <w:rStyle w:val="apple-converted-space"/>
          <w:rFonts w:ascii="FrankRuehl" w:hAnsi="FrankRuehl" w:cs="FrankRuehl"/>
          <w:sz w:val="22"/>
          <w:szCs w:val="22"/>
          <w:shd w:val="clear" w:color="auto" w:fill="FFFFFF"/>
          <w:rtl/>
        </w:rPr>
        <w:t> </w:t>
      </w:r>
      <w:r w:rsidRPr="00FF7820">
        <w:rPr>
          <w:rFonts w:ascii="FrankRuehl" w:hAnsi="FrankRuehl" w:cs="FrankRuehl"/>
          <w:b/>
          <w:bCs/>
          <w:sz w:val="22"/>
          <w:szCs w:val="22"/>
          <w:shd w:val="clear" w:color="auto" w:fill="FFFFFF"/>
          <w:rtl/>
        </w:rPr>
        <w:t xml:space="preserve">שאול ישראלי </w:t>
      </w:r>
      <w:r w:rsidRPr="00FF7820">
        <w:rPr>
          <w:rStyle w:val="apple-converted-space"/>
          <w:rFonts w:ascii="FrankRuehl" w:hAnsi="FrankRuehl" w:cs="FrankRuehl"/>
          <w:sz w:val="22"/>
          <w:szCs w:val="22"/>
          <w:shd w:val="clear" w:color="auto" w:fill="FFFFFF"/>
          <w:rtl/>
        </w:rPr>
        <w:t>(</w:t>
      </w:r>
      <w:r w:rsidRPr="00FF7820">
        <w:rPr>
          <w:rFonts w:ascii="FrankRuehl" w:hAnsi="FrankRuehl" w:cs="FrankRuehl"/>
          <w:sz w:val="22"/>
          <w:szCs w:val="22"/>
          <w:shd w:val="clear" w:color="auto" w:fill="FFFFFF"/>
          <w:rtl/>
        </w:rPr>
        <w:t>1909-1995) מחשובי הרבנים של ה</w:t>
      </w:r>
      <w:r w:rsidRPr="00FF7820">
        <w:rPr>
          <w:rStyle w:val="Hyperlink"/>
          <w:rFonts w:ascii="FrankRuehl" w:hAnsi="FrankRuehl" w:cs="FrankRuehl"/>
          <w:sz w:val="22"/>
          <w:szCs w:val="22"/>
          <w:shd w:val="clear" w:color="auto" w:fill="FFFFFF"/>
          <w:rtl/>
        </w:rPr>
        <w:t>ציונות הדתית</w:t>
      </w:r>
      <w:r w:rsidRPr="00FF7820">
        <w:rPr>
          <w:rFonts w:ascii="FrankRuehl" w:hAnsi="FrankRuehl" w:cs="FrankRuehl"/>
          <w:sz w:val="22"/>
          <w:szCs w:val="22"/>
          <w:rtl/>
          <w:lang w:val="en-GB"/>
        </w:rPr>
        <w:t xml:space="preserve">. </w:t>
      </w:r>
      <w:r>
        <w:rPr>
          <w:rStyle w:val="Hyperlink"/>
          <w:rFonts w:ascii="FrankRuehl" w:hAnsi="FrankRuehl" w:cs="FrankRuehl" w:hint="cs"/>
          <w:sz w:val="22"/>
          <w:szCs w:val="22"/>
          <w:shd w:val="clear" w:color="auto" w:fill="FFFFFF"/>
          <w:rtl/>
        </w:rPr>
        <w:t>ד</w:t>
      </w:r>
      <w:r w:rsidRPr="00FF7820">
        <w:rPr>
          <w:rStyle w:val="Hyperlink"/>
          <w:rFonts w:ascii="FrankRuehl" w:hAnsi="FrankRuehl" w:cs="FrankRuehl"/>
          <w:sz w:val="22"/>
          <w:szCs w:val="22"/>
          <w:shd w:val="clear" w:color="auto" w:fill="FFFFFF"/>
          <w:rtl/>
        </w:rPr>
        <w:t>יין</w:t>
      </w:r>
      <w:r w:rsidRPr="00FF7820">
        <w:rPr>
          <w:rStyle w:val="apple-converted-space"/>
          <w:rFonts w:ascii="FrankRuehl" w:hAnsi="FrankRuehl" w:cs="FrankRuehl"/>
          <w:sz w:val="22"/>
          <w:szCs w:val="22"/>
          <w:shd w:val="clear" w:color="auto" w:fill="FFFFFF"/>
        </w:rPr>
        <w:t> </w:t>
      </w:r>
      <w:r w:rsidRPr="00FF7820">
        <w:rPr>
          <w:rFonts w:ascii="FrankRuehl" w:hAnsi="FrankRuehl" w:cs="FrankRuehl"/>
          <w:sz w:val="22"/>
          <w:szCs w:val="22"/>
          <w:shd w:val="clear" w:color="auto" w:fill="FFFFFF"/>
          <w:rtl/>
        </w:rPr>
        <w:t xml:space="preserve">בבית הדין </w:t>
      </w:r>
      <w:r>
        <w:rPr>
          <w:rFonts w:ascii="FrankRuehl" w:hAnsi="FrankRuehl" w:cs="FrankRuehl" w:hint="cs"/>
          <w:sz w:val="22"/>
          <w:szCs w:val="22"/>
          <w:shd w:val="clear" w:color="auto" w:fill="FFFFFF"/>
          <w:rtl/>
        </w:rPr>
        <w:t xml:space="preserve">הרבני </w:t>
      </w:r>
      <w:r w:rsidRPr="00FF7820">
        <w:rPr>
          <w:rFonts w:ascii="FrankRuehl" w:hAnsi="FrankRuehl" w:cs="FrankRuehl"/>
          <w:sz w:val="22"/>
          <w:szCs w:val="22"/>
          <w:shd w:val="clear" w:color="auto" w:fill="FFFFFF"/>
          <w:rtl/>
        </w:rPr>
        <w:t>הגדול, חבר מועצת</w:t>
      </w:r>
      <w:r w:rsidRPr="00FF7820">
        <w:rPr>
          <w:rStyle w:val="apple-converted-space"/>
          <w:rFonts w:ascii="FrankRuehl" w:hAnsi="FrankRuehl" w:cs="FrankRuehl"/>
          <w:sz w:val="22"/>
          <w:szCs w:val="22"/>
          <w:shd w:val="clear" w:color="auto" w:fill="FFFFFF"/>
          <w:rtl/>
        </w:rPr>
        <w:t> </w:t>
      </w:r>
      <w:r w:rsidRPr="00FF7820">
        <w:rPr>
          <w:rStyle w:val="Hyperlink"/>
          <w:rFonts w:ascii="FrankRuehl" w:hAnsi="FrankRuehl" w:cs="FrankRuehl"/>
          <w:sz w:val="22"/>
          <w:szCs w:val="22"/>
          <w:shd w:val="clear" w:color="auto" w:fill="FFFFFF"/>
          <w:rtl/>
        </w:rPr>
        <w:t>הרבנות הראשית</w:t>
      </w:r>
      <w:r>
        <w:rPr>
          <w:rFonts w:ascii="FrankRuehl" w:hAnsi="FrankRuehl" w:cs="FrankRuehl" w:hint="cs"/>
          <w:sz w:val="22"/>
          <w:szCs w:val="22"/>
          <w:rtl/>
          <w:lang w:val="en-GB"/>
        </w:rPr>
        <w:t xml:space="preserve"> </w:t>
      </w:r>
      <w:r w:rsidRPr="00FF7820">
        <w:rPr>
          <w:rFonts w:ascii="FrankRuehl" w:hAnsi="FrankRuehl" w:cs="FrankRuehl"/>
          <w:sz w:val="22"/>
          <w:szCs w:val="22"/>
          <w:shd w:val="clear" w:color="auto" w:fill="FFFFFF"/>
        </w:rPr>
        <w:t xml:space="preserve"> </w:t>
      </w:r>
      <w:r w:rsidRPr="00FF7820">
        <w:rPr>
          <w:rFonts w:ascii="FrankRuehl" w:hAnsi="FrankRuehl" w:cs="FrankRuehl"/>
          <w:sz w:val="22"/>
          <w:szCs w:val="22"/>
          <w:shd w:val="clear" w:color="auto" w:fill="FFFFFF"/>
          <w:rtl/>
        </w:rPr>
        <w:t>וחתן</w:t>
      </w:r>
      <w:r w:rsidRPr="00FF7820">
        <w:rPr>
          <w:rStyle w:val="apple-converted-space"/>
          <w:rFonts w:ascii="FrankRuehl" w:hAnsi="FrankRuehl" w:cs="FrankRuehl"/>
          <w:sz w:val="22"/>
          <w:szCs w:val="22"/>
          <w:shd w:val="clear" w:color="auto" w:fill="FFFFFF"/>
          <w:rtl/>
        </w:rPr>
        <w:t> </w:t>
      </w:r>
      <w:r w:rsidRPr="00FF7820">
        <w:rPr>
          <w:rStyle w:val="Hyperlink"/>
          <w:rFonts w:ascii="FrankRuehl" w:hAnsi="FrankRuehl" w:cs="FrankRuehl"/>
          <w:sz w:val="22"/>
          <w:szCs w:val="22"/>
          <w:shd w:val="clear" w:color="auto" w:fill="FFFFFF"/>
          <w:rtl/>
        </w:rPr>
        <w:t>פרס ישראל</w:t>
      </w:r>
      <w:r w:rsidRPr="00FF7820">
        <w:rPr>
          <w:rStyle w:val="apple-converted-space"/>
          <w:rFonts w:ascii="FrankRuehl" w:hAnsi="FrankRuehl" w:cs="FrankRuehl"/>
          <w:sz w:val="22"/>
          <w:szCs w:val="22"/>
          <w:shd w:val="clear" w:color="auto" w:fill="FFFFFF"/>
        </w:rPr>
        <w:t> </w:t>
      </w:r>
      <w:r w:rsidRPr="00FF7820">
        <w:rPr>
          <w:rFonts w:ascii="FrankRuehl" w:hAnsi="FrankRuehl" w:cs="FrankRuehl"/>
          <w:sz w:val="22"/>
          <w:szCs w:val="22"/>
          <w:shd w:val="clear" w:color="auto" w:fill="FFFFFF"/>
          <w:rtl/>
        </w:rPr>
        <w:t>ל</w:t>
      </w:r>
      <w:r w:rsidRPr="00FF7820">
        <w:rPr>
          <w:rStyle w:val="Hyperlink"/>
          <w:rFonts w:ascii="FrankRuehl" w:hAnsi="FrankRuehl" w:cs="FrankRuehl"/>
          <w:sz w:val="22"/>
          <w:szCs w:val="22"/>
          <w:shd w:val="clear" w:color="auto" w:fill="FFFFFF"/>
          <w:rtl/>
        </w:rPr>
        <w:t>מדעי היהדות</w:t>
      </w:r>
      <w:r w:rsidRPr="00FF7820">
        <w:rPr>
          <w:rFonts w:ascii="FrankRuehl" w:hAnsi="FrankRuehl" w:cs="FrankRuehl"/>
          <w:sz w:val="22"/>
          <w:szCs w:val="22"/>
          <w:shd w:val="clear" w:color="auto" w:fill="FFFFFF"/>
        </w:rPr>
        <w:t>.</w:t>
      </w:r>
    </w:p>
  </w:footnote>
  <w:footnote w:id="20">
    <w:p w14:paraId="4D87AE1C" w14:textId="5BFBA18B" w:rsidR="00913F64" w:rsidRDefault="00913F64">
      <w:pPr>
        <w:pStyle w:val="a9"/>
      </w:pPr>
      <w:r>
        <w:rPr>
          <w:rStyle w:val="ab"/>
        </w:rPr>
        <w:footnoteRef/>
      </w:r>
      <w:r>
        <w:rPr>
          <w:rtl/>
        </w:rPr>
        <w:t xml:space="preserve"> </w:t>
      </w:r>
      <w:r>
        <w:rPr>
          <w:rFonts w:hint="cs"/>
          <w:rtl/>
        </w:rPr>
        <w:t>ארונובסקי וספיר, הסיפור של שבת, עמ' 299-250.</w:t>
      </w:r>
    </w:p>
  </w:footnote>
  <w:footnote w:id="21">
    <w:p w14:paraId="400C446C" w14:textId="134EE97C" w:rsidR="00334F38" w:rsidRDefault="00334F38" w:rsidP="00FE2499">
      <w:pPr>
        <w:pStyle w:val="a9"/>
        <w:jc w:val="both"/>
        <w:rPr>
          <w:rtl/>
        </w:rPr>
      </w:pPr>
      <w:r>
        <w:rPr>
          <w:rStyle w:val="ab"/>
        </w:rPr>
        <w:footnoteRef/>
      </w:r>
      <w:r>
        <w:rPr>
          <w:rtl/>
        </w:rPr>
        <w:t xml:space="preserve"> </w:t>
      </w:r>
      <w:r w:rsidR="00984872">
        <w:rPr>
          <w:rFonts w:hint="cs"/>
          <w:rtl/>
        </w:rPr>
        <w:t>לסקירה כללית של שתי הגישות</w:t>
      </w:r>
      <w:r w:rsidR="0069710A">
        <w:rPr>
          <w:rFonts w:hint="cs"/>
          <w:rtl/>
        </w:rPr>
        <w:t>, הן בהקשר האתי והן</w:t>
      </w:r>
      <w:r w:rsidR="00984872">
        <w:rPr>
          <w:rFonts w:hint="cs"/>
          <w:rtl/>
        </w:rPr>
        <w:t xml:space="preserve"> בהקשר</w:t>
      </w:r>
      <w:r w:rsidR="00A308C6">
        <w:rPr>
          <w:rFonts w:hint="cs"/>
          <w:rtl/>
        </w:rPr>
        <w:t xml:space="preserve"> הלכתי</w:t>
      </w:r>
      <w:r w:rsidR="00984872">
        <w:rPr>
          <w:rFonts w:hint="cs"/>
          <w:rtl/>
        </w:rPr>
        <w:t>, ראה י</w:t>
      </w:r>
      <w:r w:rsidR="00716398">
        <w:rPr>
          <w:rFonts w:hint="cs"/>
          <w:rtl/>
        </w:rPr>
        <w:t xml:space="preserve">צחק </w:t>
      </w:r>
      <w:r w:rsidR="00984872">
        <w:rPr>
          <w:rFonts w:hint="cs"/>
          <w:rtl/>
        </w:rPr>
        <w:t>ברנד, "</w:t>
      </w:r>
      <w:r w:rsidR="00984872" w:rsidRPr="00984872">
        <w:rPr>
          <w:rtl/>
        </w:rPr>
        <w:t>מצוות הרע לעומת מצוות המקום - אתיקה, משפט והלכה דתית: עיון בספרות האחרונים</w:t>
      </w:r>
      <w:r w:rsidR="00984872">
        <w:rPr>
          <w:rFonts w:hint="cs"/>
          <w:rtl/>
        </w:rPr>
        <w:t xml:space="preserve">, </w:t>
      </w:r>
      <w:r w:rsidR="00984872" w:rsidRPr="00984872">
        <w:rPr>
          <w:i/>
          <w:iCs/>
          <w:rtl/>
        </w:rPr>
        <w:t>שנתון המשפט העברי</w:t>
      </w:r>
      <w:r w:rsidR="00984872">
        <w:rPr>
          <w:rFonts w:hint="cs"/>
          <w:rtl/>
        </w:rPr>
        <w:t xml:space="preserve"> ל (תשע"ט-</w:t>
      </w:r>
      <w:proofErr w:type="spellStart"/>
      <w:r w:rsidR="00984872">
        <w:rPr>
          <w:rFonts w:hint="cs"/>
          <w:rtl/>
        </w:rPr>
        <w:t>תש"ף</w:t>
      </w:r>
      <w:proofErr w:type="spellEnd"/>
      <w:r w:rsidR="00984872">
        <w:rPr>
          <w:rFonts w:hint="cs"/>
          <w:rtl/>
        </w:rPr>
        <w:t>), עמ' 7-5.</w:t>
      </w:r>
      <w:r w:rsidR="00984872" w:rsidRPr="00984872">
        <w:t> </w:t>
      </w:r>
    </w:p>
  </w:footnote>
  <w:footnote w:id="22">
    <w:p w14:paraId="7D34D2F2" w14:textId="175235E8" w:rsidR="00334F38" w:rsidRPr="00D279E9" w:rsidRDefault="00334F38">
      <w:pPr>
        <w:pStyle w:val="a9"/>
        <w:rPr>
          <w:rtl/>
        </w:rPr>
      </w:pPr>
      <w:r>
        <w:rPr>
          <w:rStyle w:val="ab"/>
        </w:rPr>
        <w:footnoteRef/>
      </w:r>
      <w:r>
        <w:rPr>
          <w:rtl/>
        </w:rPr>
        <w:t xml:space="preserve"> </w:t>
      </w:r>
      <w:r w:rsidR="00B91B89">
        <w:rPr>
          <w:rFonts w:ascii="Arial" w:hAnsi="Arial" w:cs="Arial" w:hint="cs"/>
          <w:color w:val="202122"/>
          <w:sz w:val="21"/>
          <w:szCs w:val="21"/>
          <w:shd w:val="clear" w:color="auto" w:fill="FFFFFF"/>
          <w:rtl/>
        </w:rPr>
        <w:t>ה</w:t>
      </w:r>
      <w:r w:rsidR="00D279E9">
        <w:rPr>
          <w:rFonts w:ascii="Arial" w:hAnsi="Arial" w:cs="Arial"/>
          <w:color w:val="202122"/>
          <w:sz w:val="21"/>
          <w:szCs w:val="21"/>
          <w:shd w:val="clear" w:color="auto" w:fill="FFFFFF"/>
          <w:rtl/>
        </w:rPr>
        <w:t>רב </w:t>
      </w:r>
      <w:r w:rsidR="00D279E9">
        <w:rPr>
          <w:rFonts w:ascii="Arial" w:hAnsi="Arial" w:cs="Arial"/>
          <w:b/>
          <w:bCs/>
          <w:color w:val="202122"/>
          <w:sz w:val="21"/>
          <w:szCs w:val="21"/>
          <w:shd w:val="clear" w:color="auto" w:fill="FFFFFF"/>
          <w:rtl/>
        </w:rPr>
        <w:t>משה צבי נריה</w:t>
      </w:r>
      <w:r w:rsidR="00D279E9">
        <w:rPr>
          <w:rFonts w:ascii="Arial" w:hAnsi="Arial" w:cs="Arial"/>
          <w:color w:val="202122"/>
          <w:sz w:val="21"/>
          <w:szCs w:val="21"/>
          <w:shd w:val="clear" w:color="auto" w:fill="FFFFFF"/>
          <w:rtl/>
        </w:rPr>
        <w:t> </w:t>
      </w:r>
      <w:r w:rsidR="00D279E9">
        <w:rPr>
          <w:rFonts w:ascii="Arial" w:hAnsi="Arial" w:cs="Arial" w:hint="cs"/>
          <w:color w:val="202122"/>
          <w:sz w:val="21"/>
          <w:szCs w:val="21"/>
          <w:shd w:val="clear" w:color="auto" w:fill="FFFFFF"/>
          <w:rtl/>
        </w:rPr>
        <w:t>(1913-1995)</w:t>
      </w:r>
      <w:r w:rsidR="00D279E9">
        <w:rPr>
          <w:rFonts w:ascii="Arial" w:hAnsi="Arial" w:cs="Arial"/>
          <w:color w:val="202122"/>
          <w:sz w:val="21"/>
          <w:szCs w:val="21"/>
          <w:shd w:val="clear" w:color="auto" w:fill="FFFFFF"/>
        </w:rPr>
        <w:t xml:space="preserve"> </w:t>
      </w:r>
      <w:r w:rsidR="00D279E9">
        <w:rPr>
          <w:rFonts w:ascii="Arial" w:hAnsi="Arial" w:cs="Arial"/>
          <w:color w:val="202122"/>
          <w:sz w:val="21"/>
          <w:szCs w:val="21"/>
          <w:shd w:val="clear" w:color="auto" w:fill="FFFFFF"/>
          <w:rtl/>
        </w:rPr>
        <w:t>היה </w:t>
      </w:r>
      <w:hyperlink r:id="rId9" w:tooltip="רב" w:history="1">
        <w:r w:rsidR="00D279E9">
          <w:rPr>
            <w:rStyle w:val="Hyperlink"/>
            <w:rFonts w:ascii="Arial" w:hAnsi="Arial" w:cs="Arial"/>
            <w:color w:val="3366CC"/>
            <w:sz w:val="21"/>
            <w:szCs w:val="21"/>
            <w:shd w:val="clear" w:color="auto" w:fill="FFFFFF"/>
            <w:rtl/>
          </w:rPr>
          <w:t>רב</w:t>
        </w:r>
      </w:hyperlink>
      <w:r w:rsidR="00D279E9">
        <w:rPr>
          <w:rFonts w:ascii="Arial" w:hAnsi="Arial" w:cs="Arial"/>
          <w:color w:val="202122"/>
          <w:sz w:val="21"/>
          <w:szCs w:val="21"/>
          <w:shd w:val="clear" w:color="auto" w:fill="FFFFFF"/>
        </w:rPr>
        <w:t xml:space="preserve">' </w:t>
      </w:r>
      <w:hyperlink r:id="rId10" w:tooltip="חבר הכנסת" w:history="1">
        <w:r w:rsidR="00D279E9">
          <w:rPr>
            <w:rStyle w:val="Hyperlink"/>
            <w:rFonts w:ascii="Arial" w:hAnsi="Arial" w:cs="Arial"/>
            <w:color w:val="3366CC"/>
            <w:sz w:val="21"/>
            <w:szCs w:val="21"/>
            <w:shd w:val="clear" w:color="auto" w:fill="FFFFFF"/>
            <w:rtl/>
          </w:rPr>
          <w:t>חבר הכנסת</w:t>
        </w:r>
      </w:hyperlink>
      <w:r w:rsidR="00D279E9">
        <w:rPr>
          <w:rFonts w:ascii="Arial" w:hAnsi="Arial" w:cs="Arial"/>
          <w:color w:val="202122"/>
          <w:sz w:val="21"/>
          <w:szCs w:val="21"/>
          <w:shd w:val="clear" w:color="auto" w:fill="FFFFFF"/>
        </w:rPr>
        <w:t> </w:t>
      </w:r>
      <w:r w:rsidR="00D279E9">
        <w:rPr>
          <w:rFonts w:ascii="Arial" w:hAnsi="Arial" w:cs="Arial"/>
          <w:color w:val="202122"/>
          <w:sz w:val="21"/>
          <w:szCs w:val="21"/>
          <w:shd w:val="clear" w:color="auto" w:fill="FFFFFF"/>
          <w:rtl/>
        </w:rPr>
        <w:t>ו</w:t>
      </w:r>
      <w:hyperlink r:id="rId11" w:tooltip="מחנך" w:history="1">
        <w:r w:rsidR="00D279E9">
          <w:rPr>
            <w:rStyle w:val="Hyperlink"/>
            <w:rFonts w:ascii="Arial" w:hAnsi="Arial" w:cs="Arial"/>
            <w:color w:val="3366CC"/>
            <w:sz w:val="21"/>
            <w:szCs w:val="21"/>
            <w:shd w:val="clear" w:color="auto" w:fill="FFFFFF"/>
            <w:rtl/>
          </w:rPr>
          <w:t>מחנך</w:t>
        </w:r>
      </w:hyperlink>
      <w:r w:rsidR="00D279E9">
        <w:rPr>
          <w:rFonts w:hint="cs"/>
          <w:rtl/>
        </w:rPr>
        <w:t>.</w:t>
      </w:r>
      <w:r w:rsidR="005C1570">
        <w:rPr>
          <w:rFonts w:hint="cs"/>
          <w:rtl/>
        </w:rPr>
        <w:t xml:space="preserve"> ממנהיגי זרם הציונות הדתית</w:t>
      </w:r>
      <w:r w:rsidR="00D279E9">
        <w:rPr>
          <w:rFonts w:hint="cs"/>
          <w:rtl/>
        </w:rPr>
        <w:t xml:space="preserve"> חתן פרס ישראל על תרומה מיוחדת לחברה ולמדינה.</w:t>
      </w:r>
      <w:r w:rsidR="00D279E9">
        <w:rPr>
          <w:rFonts w:ascii="Arial" w:hAnsi="Arial" w:cs="Arial"/>
          <w:color w:val="202122"/>
          <w:sz w:val="21"/>
          <w:szCs w:val="21"/>
          <w:shd w:val="clear" w:color="auto" w:fill="FFFFFF"/>
        </w:rPr>
        <w:t> </w:t>
      </w:r>
    </w:p>
  </w:footnote>
  <w:footnote w:id="23">
    <w:p w14:paraId="36CB90EE" w14:textId="590C9954" w:rsidR="00D279E9" w:rsidRDefault="00D279E9">
      <w:pPr>
        <w:pStyle w:val="a9"/>
        <w:rPr>
          <w:rtl/>
        </w:rPr>
      </w:pPr>
      <w:r>
        <w:rPr>
          <w:rStyle w:val="ab"/>
        </w:rPr>
        <w:footnoteRef/>
      </w:r>
      <w:r>
        <w:rPr>
          <w:rtl/>
        </w:rPr>
        <w:t xml:space="preserve"> </w:t>
      </w:r>
      <w:r>
        <w:rPr>
          <w:rFonts w:hint="cs"/>
          <w:rtl/>
        </w:rPr>
        <w:t xml:space="preserve">ישעיהו ליבוביץ (1903-1994) </w:t>
      </w:r>
      <w:r>
        <w:rPr>
          <w:rFonts w:ascii="Arial" w:hAnsi="Arial" w:cs="Arial"/>
          <w:color w:val="202122"/>
          <w:sz w:val="21"/>
          <w:szCs w:val="21"/>
          <w:shd w:val="clear" w:color="auto" w:fill="FFFFFF"/>
          <w:rtl/>
        </w:rPr>
        <w:t>היה </w:t>
      </w:r>
      <w:hyperlink r:id="rId12" w:tooltip="מדען" w:history="1">
        <w:r>
          <w:rPr>
            <w:rStyle w:val="Hyperlink"/>
            <w:rFonts w:ascii="Arial" w:hAnsi="Arial" w:cs="Arial"/>
            <w:color w:val="3366CC"/>
            <w:sz w:val="21"/>
            <w:szCs w:val="21"/>
            <w:shd w:val="clear" w:color="auto" w:fill="FFFFFF"/>
            <w:rtl/>
          </w:rPr>
          <w:t>מדען</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ו</w:t>
      </w:r>
      <w:hyperlink r:id="rId13" w:tooltip="הוגה דעות" w:history="1">
        <w:r>
          <w:rPr>
            <w:rStyle w:val="Hyperlink"/>
            <w:rFonts w:ascii="Arial" w:hAnsi="Arial" w:cs="Arial"/>
            <w:color w:val="3366CC"/>
            <w:sz w:val="21"/>
            <w:szCs w:val="21"/>
            <w:shd w:val="clear" w:color="auto" w:fill="FFFFFF"/>
            <w:rtl/>
          </w:rPr>
          <w:t>הוגה דעות</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ישראלי. שימש כ</w:t>
      </w:r>
      <w:hyperlink r:id="rId14" w:tooltip="עורך" w:history="1">
        <w:r>
          <w:rPr>
            <w:rStyle w:val="Hyperlink"/>
            <w:rFonts w:ascii="Arial" w:hAnsi="Arial" w:cs="Arial"/>
            <w:color w:val="3366CC"/>
            <w:sz w:val="21"/>
            <w:szCs w:val="21"/>
            <w:shd w:val="clear" w:color="auto" w:fill="FFFFFF"/>
            <w:rtl/>
          </w:rPr>
          <w:t>עורך</w:t>
        </w:r>
      </w:hyperlink>
      <w:r>
        <w:rPr>
          <w:rFonts w:ascii="Arial" w:hAnsi="Arial" w:cs="Arial"/>
          <w:color w:val="202122"/>
          <w:sz w:val="21"/>
          <w:szCs w:val="21"/>
          <w:shd w:val="clear" w:color="auto" w:fill="FFFFFF"/>
        </w:rPr>
        <w:t> </w:t>
      </w:r>
      <w:hyperlink r:id="rId15" w:tooltip="האנציקלופדיה העברית" w:history="1">
        <w:r>
          <w:rPr>
            <w:rStyle w:val="Hyperlink"/>
            <w:rFonts w:ascii="Arial" w:hAnsi="Arial" w:cs="Arial"/>
            <w:color w:val="3366CC"/>
            <w:sz w:val="21"/>
            <w:szCs w:val="21"/>
            <w:shd w:val="clear" w:color="auto" w:fill="FFFFFF"/>
            <w:rtl/>
          </w:rPr>
          <w:t xml:space="preserve">האנציקלופדיה </w:t>
        </w:r>
        <w:r>
          <w:rPr>
            <w:rStyle w:val="Hyperlink"/>
            <w:rFonts w:ascii="Arial" w:hAnsi="Arial" w:cs="Arial" w:hint="cs"/>
            <w:color w:val="3366CC"/>
            <w:sz w:val="21"/>
            <w:szCs w:val="21"/>
            <w:shd w:val="clear" w:color="auto" w:fill="FFFFFF"/>
            <w:rtl/>
          </w:rPr>
          <w:t>ה</w:t>
        </w:r>
        <w:r>
          <w:rPr>
            <w:rStyle w:val="Hyperlink"/>
            <w:rFonts w:ascii="Arial" w:hAnsi="Arial" w:cs="Arial"/>
            <w:color w:val="3366CC"/>
            <w:sz w:val="21"/>
            <w:szCs w:val="21"/>
            <w:shd w:val="clear" w:color="auto" w:fill="FFFFFF"/>
            <w:rtl/>
          </w:rPr>
          <w:t>עברית</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והיה </w:t>
      </w:r>
      <w:hyperlink r:id="rId16" w:tooltip="פרופסור" w:history="1">
        <w:r>
          <w:rPr>
            <w:rStyle w:val="Hyperlink"/>
            <w:rFonts w:ascii="Arial" w:hAnsi="Arial" w:cs="Arial"/>
            <w:color w:val="3366CC"/>
            <w:sz w:val="21"/>
            <w:szCs w:val="21"/>
            <w:shd w:val="clear" w:color="auto" w:fill="FFFFFF"/>
            <w:rtl/>
          </w:rPr>
          <w:t>פרופסור</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ל</w:t>
      </w:r>
      <w:hyperlink r:id="rId17" w:tooltip="ביוכימיה" w:history="1">
        <w:r>
          <w:rPr>
            <w:rStyle w:val="Hyperlink"/>
            <w:rFonts w:ascii="Arial" w:hAnsi="Arial" w:cs="Arial"/>
            <w:color w:val="3366CC"/>
            <w:sz w:val="21"/>
            <w:szCs w:val="21"/>
            <w:shd w:val="clear" w:color="auto" w:fill="FFFFFF"/>
            <w:rtl/>
          </w:rPr>
          <w:t>ביוכימיה</w:t>
        </w:r>
      </w:hyperlink>
      <w:r w:rsidR="00B91B89">
        <w:rPr>
          <w:rFonts w:ascii="Arial" w:hAnsi="Arial" w:cs="Arial" w:hint="cs"/>
          <w:color w:val="202122"/>
          <w:sz w:val="21"/>
          <w:szCs w:val="21"/>
          <w:shd w:val="clear" w:color="auto" w:fill="FFFFFF"/>
          <w:rtl/>
        </w:rPr>
        <w:t xml:space="preserve">, </w:t>
      </w:r>
      <w:r>
        <w:rPr>
          <w:rFonts w:ascii="Arial" w:hAnsi="Arial" w:cs="Arial"/>
          <w:color w:val="202122"/>
          <w:sz w:val="21"/>
          <w:szCs w:val="21"/>
          <w:shd w:val="clear" w:color="auto" w:fill="FFFFFF"/>
          <w:rtl/>
        </w:rPr>
        <w:t>ל</w:t>
      </w:r>
      <w:hyperlink r:id="rId18" w:tooltip="כימיה אורגנית" w:history="1">
        <w:r>
          <w:rPr>
            <w:rStyle w:val="Hyperlink"/>
            <w:rFonts w:ascii="Arial" w:hAnsi="Arial" w:cs="Arial"/>
            <w:color w:val="3366CC"/>
            <w:sz w:val="21"/>
            <w:szCs w:val="21"/>
            <w:shd w:val="clear" w:color="auto" w:fill="FFFFFF"/>
            <w:rtl/>
          </w:rPr>
          <w:t>כימיה אורגנית</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ול</w:t>
      </w:r>
      <w:hyperlink r:id="rId19" w:tooltip="נוירופיזיולוגיה" w:history="1">
        <w:r>
          <w:rPr>
            <w:rStyle w:val="Hyperlink"/>
            <w:rFonts w:ascii="Arial" w:hAnsi="Arial" w:cs="Arial"/>
            <w:color w:val="3366CC"/>
            <w:sz w:val="21"/>
            <w:szCs w:val="21"/>
            <w:shd w:val="clear" w:color="auto" w:fill="FFFFFF"/>
            <w:rtl/>
          </w:rPr>
          <w:t>נוירופיזיולוגיה</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ב</w:t>
      </w:r>
      <w:hyperlink r:id="rId20" w:tooltip="האוניברסיטה העברית בירושלים" w:history="1">
        <w:r>
          <w:rPr>
            <w:rStyle w:val="Hyperlink"/>
            <w:rFonts w:ascii="Arial" w:hAnsi="Arial" w:cs="Arial"/>
            <w:color w:val="3366CC"/>
            <w:sz w:val="21"/>
            <w:szCs w:val="21"/>
            <w:shd w:val="clear" w:color="auto" w:fill="FFFFFF"/>
            <w:rtl/>
          </w:rPr>
          <w:t>אוניברסיטה העברית בירושלים</w:t>
        </w:r>
      </w:hyperlink>
      <w:r>
        <w:rPr>
          <w:rFonts w:ascii="Arial" w:hAnsi="Arial" w:cs="Arial"/>
          <w:color w:val="202122"/>
          <w:sz w:val="21"/>
          <w:szCs w:val="21"/>
          <w:shd w:val="clear" w:color="auto" w:fill="FFFFFF"/>
        </w:rPr>
        <w:t>.</w:t>
      </w:r>
    </w:p>
  </w:footnote>
  <w:footnote w:id="24">
    <w:p w14:paraId="42AB1DE8" w14:textId="1F1D7192" w:rsidR="00566AEB" w:rsidRDefault="00566AEB">
      <w:pPr>
        <w:pStyle w:val="a9"/>
      </w:pPr>
      <w:r>
        <w:rPr>
          <w:rStyle w:val="ab"/>
        </w:rPr>
        <w:footnoteRef/>
      </w:r>
      <w:r>
        <w:rPr>
          <w:rtl/>
        </w:rPr>
        <w:t xml:space="preserve"> </w:t>
      </w:r>
      <w:r>
        <w:rPr>
          <w:rFonts w:hint="cs"/>
          <w:rtl/>
        </w:rPr>
        <w:t>לסקירה כללית של הוויכוח, ראה: ארונובסקי וספיר, הסיפור של שבת, עמ' 304-300.</w:t>
      </w:r>
    </w:p>
  </w:footnote>
  <w:footnote w:id="25">
    <w:p w14:paraId="747B4B00" w14:textId="3DAB4BAC" w:rsidR="00566AEB" w:rsidRDefault="00566AEB">
      <w:pPr>
        <w:pStyle w:val="a9"/>
        <w:rPr>
          <w:rtl/>
        </w:rPr>
      </w:pPr>
      <w:r>
        <w:rPr>
          <w:rStyle w:val="ab"/>
        </w:rPr>
        <w:footnoteRef/>
      </w:r>
      <w:r>
        <w:rPr>
          <w:rtl/>
        </w:rPr>
        <w:t xml:space="preserve"> </w:t>
      </w:r>
      <w:r>
        <w:rPr>
          <w:rFonts w:hint="cs"/>
          <w:rtl/>
        </w:rPr>
        <w:t>ארונובסקי וספיר, הסיפור של שבת, עמ' 331-330</w:t>
      </w:r>
    </w:p>
  </w:footnote>
  <w:footnote w:id="26">
    <w:p w14:paraId="7A4F039C" w14:textId="427C5C88" w:rsidR="009D53E4" w:rsidRDefault="009D53E4">
      <w:pPr>
        <w:pStyle w:val="a9"/>
        <w:rPr>
          <w:rtl/>
        </w:rPr>
      </w:pPr>
      <w:r>
        <w:rPr>
          <w:rStyle w:val="ab"/>
        </w:rPr>
        <w:footnoteRef/>
      </w:r>
      <w:r>
        <w:rPr>
          <w:rtl/>
        </w:rPr>
        <w:t xml:space="preserve"> </w:t>
      </w:r>
      <w:r>
        <w:rPr>
          <w:rFonts w:hint="cs"/>
          <w:rtl/>
        </w:rPr>
        <w:t>פעילות צבאית שוטפת מחייבת פעולות שונות שיש בהן חילול שבת, כמו: נסיעה ברכב, נשיאת נשק ושימוש בו</w:t>
      </w:r>
      <w:r w:rsidR="004536C3">
        <w:rPr>
          <w:rFonts w:hint="cs"/>
          <w:rtl/>
        </w:rPr>
        <w:t xml:space="preserve"> ועוד.</w:t>
      </w:r>
      <w:r>
        <w:rPr>
          <w:rFonts w:hint="cs"/>
          <w:rtl/>
        </w:rPr>
        <w:t xml:space="preserve"> </w:t>
      </w:r>
    </w:p>
  </w:footnote>
  <w:footnote w:id="27">
    <w:p w14:paraId="7135255C" w14:textId="35C6030E" w:rsidR="00D279E9" w:rsidRPr="00D279E9" w:rsidRDefault="00D279E9">
      <w:pPr>
        <w:pStyle w:val="a9"/>
        <w:rPr>
          <w:rtl/>
        </w:rPr>
      </w:pPr>
      <w:r>
        <w:rPr>
          <w:rStyle w:val="ab"/>
        </w:rPr>
        <w:footnoteRef/>
      </w:r>
      <w:r>
        <w:rPr>
          <w:rtl/>
        </w:rPr>
        <w:t xml:space="preserve"> </w:t>
      </w:r>
      <w:r>
        <w:rPr>
          <w:rFonts w:ascii="Arial" w:hAnsi="Arial" w:cs="Arial"/>
          <w:color w:val="202122"/>
          <w:sz w:val="21"/>
          <w:szCs w:val="21"/>
          <w:shd w:val="clear" w:color="auto" w:fill="FFFFFF"/>
          <w:rtl/>
        </w:rPr>
        <w:t>הרב </w:t>
      </w:r>
      <w:r>
        <w:rPr>
          <w:rFonts w:ascii="Arial" w:hAnsi="Arial" w:cs="Arial"/>
          <w:b/>
          <w:bCs/>
          <w:color w:val="202122"/>
          <w:sz w:val="21"/>
          <w:szCs w:val="21"/>
          <w:shd w:val="clear" w:color="auto" w:fill="FFFFFF"/>
          <w:rtl/>
        </w:rPr>
        <w:t xml:space="preserve">אברהם ישעיהו </w:t>
      </w:r>
      <w:proofErr w:type="spellStart"/>
      <w:r>
        <w:rPr>
          <w:rFonts w:ascii="Arial" w:hAnsi="Arial" w:cs="Arial"/>
          <w:b/>
          <w:bCs/>
          <w:color w:val="202122"/>
          <w:sz w:val="21"/>
          <w:szCs w:val="21"/>
          <w:shd w:val="clear" w:color="auto" w:fill="FFFFFF"/>
          <w:rtl/>
        </w:rPr>
        <w:t>קַרֶלִיץ</w:t>
      </w:r>
      <w:proofErr w:type="spellEnd"/>
      <w:r>
        <w:rPr>
          <w:rFonts w:ascii="Arial" w:hAnsi="Arial" w:cs="Arial"/>
          <w:color w:val="202122"/>
          <w:sz w:val="21"/>
          <w:szCs w:val="21"/>
          <w:shd w:val="clear" w:color="auto" w:fill="FFFFFF"/>
          <w:rtl/>
        </w:rPr>
        <w:t> </w:t>
      </w:r>
      <w:r>
        <w:rPr>
          <w:rFonts w:ascii="Arial" w:hAnsi="Arial" w:cs="Arial" w:hint="cs"/>
          <w:color w:val="202122"/>
          <w:sz w:val="21"/>
          <w:szCs w:val="21"/>
          <w:shd w:val="clear" w:color="auto" w:fill="FFFFFF"/>
          <w:rtl/>
        </w:rPr>
        <w:t xml:space="preserve">(1878-1953), המכונה </w:t>
      </w:r>
      <w:r>
        <w:rPr>
          <w:rFonts w:ascii="Arial" w:hAnsi="Arial" w:cs="Arial"/>
          <w:color w:val="202122"/>
          <w:sz w:val="21"/>
          <w:szCs w:val="21"/>
          <w:shd w:val="clear" w:color="auto" w:fill="FFFFFF"/>
        </w:rPr>
        <w:t>"</w:t>
      </w:r>
      <w:r>
        <w:rPr>
          <w:rFonts w:ascii="Arial" w:hAnsi="Arial" w:cs="Arial"/>
          <w:b/>
          <w:bCs/>
          <w:color w:val="202122"/>
          <w:sz w:val="21"/>
          <w:szCs w:val="21"/>
          <w:shd w:val="clear" w:color="auto" w:fill="FFFFFF"/>
          <w:rtl/>
        </w:rPr>
        <w:t>החזון איש</w:t>
      </w:r>
      <w:r>
        <w:rPr>
          <w:rFonts w:ascii="Arial" w:hAnsi="Arial" w:cs="Arial" w:hint="cs"/>
          <w:color w:val="202122"/>
          <w:sz w:val="21"/>
          <w:szCs w:val="21"/>
          <w:shd w:val="clear" w:color="auto" w:fill="FFFFFF"/>
          <w:rtl/>
        </w:rPr>
        <w:t xml:space="preserve">" </w:t>
      </w:r>
      <w:r>
        <w:rPr>
          <w:rFonts w:ascii="Arial" w:hAnsi="Arial" w:cs="Arial"/>
          <w:color w:val="202122"/>
          <w:sz w:val="21"/>
          <w:szCs w:val="21"/>
          <w:shd w:val="clear" w:color="auto" w:fill="FFFFFF"/>
          <w:rtl/>
        </w:rPr>
        <w:t>על שם </w:t>
      </w:r>
      <w:hyperlink r:id="rId21" w:tooltip="חזון איש" w:history="1">
        <w:r>
          <w:rPr>
            <w:rStyle w:val="Hyperlink"/>
            <w:rFonts w:ascii="Arial" w:hAnsi="Arial" w:cs="Arial"/>
            <w:color w:val="3366CC"/>
            <w:sz w:val="21"/>
            <w:szCs w:val="21"/>
            <w:shd w:val="clear" w:color="auto" w:fill="FFFFFF"/>
            <w:rtl/>
          </w:rPr>
          <w:t>סדרת ספריו</w:t>
        </w:r>
      </w:hyperlink>
      <w:r>
        <w:rPr>
          <w:rFonts w:ascii="Arial" w:hAnsi="Arial" w:cs="Arial" w:hint="cs"/>
          <w:color w:val="202122"/>
          <w:sz w:val="21"/>
          <w:szCs w:val="21"/>
          <w:shd w:val="clear" w:color="auto" w:fill="FFFFFF"/>
          <w:rtl/>
        </w:rPr>
        <w:t xml:space="preserve">, </w:t>
      </w:r>
      <w:r>
        <w:rPr>
          <w:rFonts w:ascii="Arial" w:hAnsi="Arial" w:cs="Arial"/>
          <w:color w:val="202122"/>
          <w:sz w:val="21"/>
          <w:szCs w:val="21"/>
          <w:shd w:val="clear" w:color="auto" w:fill="FFFFFF"/>
          <w:rtl/>
        </w:rPr>
        <w:t>היה</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tl/>
        </w:rPr>
        <w:t>מ</w:t>
      </w:r>
      <w:hyperlink r:id="rId22" w:tooltip="פוסק" w:history="1">
        <w:r>
          <w:rPr>
            <w:rStyle w:val="Hyperlink"/>
            <w:rFonts w:ascii="Arial" w:hAnsi="Arial" w:cs="Arial"/>
            <w:color w:val="3366CC"/>
            <w:sz w:val="21"/>
            <w:szCs w:val="21"/>
            <w:shd w:val="clear" w:color="auto" w:fill="FFFFFF"/>
            <w:rtl/>
          </w:rPr>
          <w:t>פוסקי ההלכה</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הבולטים ב</w:t>
      </w:r>
      <w:hyperlink r:id="rId23" w:tooltip="המאה ה-20" w:history="1">
        <w:r>
          <w:rPr>
            <w:rStyle w:val="Hyperlink"/>
            <w:rFonts w:ascii="Arial" w:hAnsi="Arial" w:cs="Arial"/>
            <w:color w:val="3366CC"/>
            <w:sz w:val="21"/>
            <w:szCs w:val="21"/>
            <w:shd w:val="clear" w:color="auto" w:fill="FFFFFF"/>
            <w:rtl/>
          </w:rPr>
          <w:t>מאה ה-20</w:t>
        </w:r>
      </w:hyperlink>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tl/>
        </w:rPr>
        <w:t>ממעצבי דרכה של </w:t>
      </w:r>
      <w:hyperlink r:id="rId24" w:tooltip="יהדות חרדית" w:history="1">
        <w:r>
          <w:rPr>
            <w:rStyle w:val="Hyperlink"/>
            <w:rFonts w:ascii="Arial" w:hAnsi="Arial" w:cs="Arial"/>
            <w:color w:val="3366CC"/>
            <w:sz w:val="21"/>
            <w:szCs w:val="21"/>
            <w:shd w:val="clear" w:color="auto" w:fill="FFFFFF"/>
            <w:rtl/>
          </w:rPr>
          <w:t>היהדות החרדית</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ב</w:t>
      </w:r>
      <w:hyperlink r:id="rId25" w:tooltip="ארץ ישראל" w:history="1">
        <w:r>
          <w:rPr>
            <w:rStyle w:val="Hyperlink"/>
            <w:rFonts w:ascii="Arial" w:hAnsi="Arial" w:cs="Arial"/>
            <w:color w:val="3366CC"/>
            <w:sz w:val="21"/>
            <w:szCs w:val="21"/>
            <w:shd w:val="clear" w:color="auto" w:fill="FFFFFF"/>
            <w:rtl/>
          </w:rPr>
          <w:t>ארץ ישראל</w:t>
        </w:r>
      </w:hyperlink>
      <w:r w:rsidR="00B91B89">
        <w:rPr>
          <w:rFonts w:hint="cs"/>
          <w:rtl/>
        </w:rPr>
        <w:t>.</w:t>
      </w:r>
    </w:p>
  </w:footnote>
  <w:footnote w:id="28">
    <w:p w14:paraId="07E256BC" w14:textId="25786802" w:rsidR="004536C3" w:rsidRDefault="004536C3" w:rsidP="00195C39">
      <w:pPr>
        <w:pStyle w:val="a9"/>
      </w:pPr>
      <w:r>
        <w:rPr>
          <w:rStyle w:val="ab"/>
        </w:rPr>
        <w:footnoteRef/>
      </w:r>
      <w:r>
        <w:rPr>
          <w:rtl/>
        </w:rPr>
        <w:t xml:space="preserve"> </w:t>
      </w:r>
      <w:r>
        <w:rPr>
          <w:rFonts w:hint="cs"/>
          <w:rtl/>
        </w:rPr>
        <w:t xml:space="preserve">ההלכה מתירה </w:t>
      </w:r>
      <w:r w:rsidR="00D936C2">
        <w:rPr>
          <w:rFonts w:hint="cs"/>
          <w:rtl/>
        </w:rPr>
        <w:t xml:space="preserve">לחלל שבת, על מנת להציל אדם שנשקפת סכנה לחייו. </w:t>
      </w:r>
      <w:r w:rsidR="00195C39">
        <w:rPr>
          <w:rFonts w:cs="Arial" w:hint="cs"/>
          <w:rtl/>
        </w:rPr>
        <w:t xml:space="preserve">ראה </w:t>
      </w:r>
      <w:proofErr w:type="spellStart"/>
      <w:r w:rsidR="00195C39">
        <w:rPr>
          <w:rFonts w:cs="Arial"/>
          <w:rtl/>
        </w:rPr>
        <w:t>תוספתא</w:t>
      </w:r>
      <w:proofErr w:type="spellEnd"/>
      <w:r w:rsidR="00195C39">
        <w:rPr>
          <w:rFonts w:cs="Arial" w:hint="cs"/>
          <w:rtl/>
        </w:rPr>
        <w:t>,</w:t>
      </w:r>
      <w:r w:rsidR="00195C39">
        <w:rPr>
          <w:rFonts w:cs="Arial"/>
          <w:rtl/>
        </w:rPr>
        <w:t xml:space="preserve"> שבת טו</w:t>
      </w:r>
      <w:r w:rsidR="00195C39">
        <w:rPr>
          <w:rFonts w:cs="Arial" w:hint="cs"/>
          <w:rtl/>
        </w:rPr>
        <w:t>,</w:t>
      </w:r>
      <w:r w:rsidR="00195C39">
        <w:rPr>
          <w:rFonts w:cs="Arial"/>
          <w:rtl/>
        </w:rPr>
        <w:t xml:space="preserve"> </w:t>
      </w:r>
      <w:proofErr w:type="spellStart"/>
      <w:r w:rsidR="00195C39">
        <w:rPr>
          <w:rFonts w:cs="Arial"/>
          <w:rtl/>
        </w:rPr>
        <w:t>יז</w:t>
      </w:r>
      <w:proofErr w:type="spellEnd"/>
      <w:r w:rsidR="00195C39">
        <w:rPr>
          <w:rFonts w:hint="cs"/>
          <w:rtl/>
        </w:rPr>
        <w:t>: "</w:t>
      </w:r>
      <w:r w:rsidR="00195C39">
        <w:rPr>
          <w:rFonts w:cs="Arial"/>
          <w:rtl/>
        </w:rPr>
        <w:t>דין הוא שידחו את השבת להחיות נפש</w:t>
      </w:r>
      <w:r w:rsidR="00195C39">
        <w:rPr>
          <w:rFonts w:cs="Arial" w:hint="cs"/>
          <w:rtl/>
        </w:rPr>
        <w:t xml:space="preserve"> (ואפילו)</w:t>
      </w:r>
      <w:r w:rsidR="00195C39">
        <w:rPr>
          <w:rFonts w:cs="Arial"/>
          <w:rtl/>
        </w:rPr>
        <w:t xml:space="preserve"> בספק</w:t>
      </w:r>
      <w:r w:rsidR="00195C39">
        <w:rPr>
          <w:rFonts w:cs="Arial" w:hint="cs"/>
          <w:rtl/>
        </w:rPr>
        <w:t>...</w:t>
      </w:r>
      <w:r w:rsidR="00195C39">
        <w:rPr>
          <w:rFonts w:cs="Arial"/>
          <w:rtl/>
        </w:rPr>
        <w:t xml:space="preserve"> לא נתנו מצות לישראל אלא לחיות בהן</w:t>
      </w:r>
      <w:r w:rsidR="00195C39">
        <w:rPr>
          <w:rFonts w:cs="Arial" w:hint="cs"/>
          <w:rtl/>
        </w:rPr>
        <w:t>..."; שולחן ערוך,</w:t>
      </w:r>
      <w:r w:rsidR="00195C39">
        <w:rPr>
          <w:rFonts w:hint="cs"/>
          <w:rtl/>
        </w:rPr>
        <w:t xml:space="preserve"> אורח חיים </w:t>
      </w:r>
      <w:proofErr w:type="spellStart"/>
      <w:r w:rsidR="00195C39">
        <w:rPr>
          <w:rFonts w:hint="cs"/>
          <w:rtl/>
        </w:rPr>
        <w:t>שכט</w:t>
      </w:r>
      <w:proofErr w:type="spellEnd"/>
      <w:r w:rsidR="00195C39">
        <w:rPr>
          <w:rFonts w:hint="cs"/>
          <w:rtl/>
        </w:rPr>
        <w:t>, א.</w:t>
      </w:r>
    </w:p>
  </w:footnote>
  <w:footnote w:id="29">
    <w:p w14:paraId="0976A9D1" w14:textId="140B381F" w:rsidR="00D279E9" w:rsidRDefault="00D279E9">
      <w:pPr>
        <w:pStyle w:val="a9"/>
        <w:rPr>
          <w:rtl/>
        </w:rPr>
      </w:pPr>
      <w:r>
        <w:rPr>
          <w:rStyle w:val="ab"/>
        </w:rPr>
        <w:footnoteRef/>
      </w:r>
      <w:r>
        <w:rPr>
          <w:rtl/>
        </w:rPr>
        <w:t xml:space="preserve"> </w:t>
      </w:r>
      <w:r>
        <w:rPr>
          <w:rFonts w:ascii="Arial" w:hAnsi="Arial" w:cs="Arial"/>
          <w:color w:val="202122"/>
          <w:sz w:val="21"/>
          <w:szCs w:val="21"/>
          <w:shd w:val="clear" w:color="auto" w:fill="FFFFFF"/>
          <w:rtl/>
        </w:rPr>
        <w:t>ה</w:t>
      </w:r>
      <w:hyperlink r:id="rId26" w:tooltip="רב" w:history="1">
        <w:r>
          <w:rPr>
            <w:rStyle w:val="Hyperlink"/>
            <w:rFonts w:ascii="Arial" w:hAnsi="Arial" w:cs="Arial"/>
            <w:color w:val="3366CC"/>
            <w:sz w:val="21"/>
            <w:szCs w:val="21"/>
            <w:shd w:val="clear" w:color="auto" w:fill="FFFFFF"/>
            <w:rtl/>
          </w:rPr>
          <w:t>רב</w:t>
        </w:r>
      </w:hyperlink>
      <w:r>
        <w:rPr>
          <w:rFonts w:ascii="Arial" w:hAnsi="Arial" w:cs="Arial"/>
          <w:color w:val="202122"/>
          <w:sz w:val="21"/>
          <w:szCs w:val="21"/>
          <w:shd w:val="clear" w:color="auto" w:fill="FFFFFF"/>
        </w:rPr>
        <w:t> </w:t>
      </w:r>
      <w:r>
        <w:rPr>
          <w:rFonts w:ascii="Arial" w:hAnsi="Arial" w:cs="Arial"/>
          <w:b/>
          <w:bCs/>
          <w:color w:val="202122"/>
          <w:sz w:val="21"/>
          <w:szCs w:val="21"/>
          <w:shd w:val="clear" w:color="auto" w:fill="FFFFFF"/>
          <w:rtl/>
        </w:rPr>
        <w:t>יצחק אייזיק הלוי הרצוג</w:t>
      </w:r>
      <w:r>
        <w:rPr>
          <w:rFonts w:ascii="Arial" w:hAnsi="Arial" w:cs="Arial"/>
          <w:color w:val="202122"/>
          <w:sz w:val="21"/>
          <w:szCs w:val="21"/>
          <w:shd w:val="clear" w:color="auto" w:fill="FFFFFF"/>
          <w:rtl/>
        </w:rPr>
        <w:t> </w:t>
      </w:r>
      <w:r>
        <w:rPr>
          <w:rFonts w:ascii="Arial" w:hAnsi="Arial" w:cs="Arial" w:hint="cs"/>
          <w:color w:val="202122"/>
          <w:sz w:val="21"/>
          <w:szCs w:val="21"/>
          <w:shd w:val="clear" w:color="auto" w:fill="FFFFFF"/>
          <w:rtl/>
        </w:rPr>
        <w:t xml:space="preserve">(1888-1959) </w:t>
      </w:r>
      <w:r>
        <w:rPr>
          <w:rFonts w:ascii="Arial" w:hAnsi="Arial" w:cs="Arial"/>
          <w:color w:val="202122"/>
          <w:sz w:val="21"/>
          <w:szCs w:val="21"/>
          <w:shd w:val="clear" w:color="auto" w:fill="FFFFFF"/>
          <w:rtl/>
        </w:rPr>
        <w:t>היה </w:t>
      </w:r>
      <w:hyperlink r:id="rId27" w:tooltip="הרבנות הראשית לישראל" w:history="1">
        <w:r>
          <w:rPr>
            <w:rStyle w:val="Hyperlink"/>
            <w:rFonts w:ascii="Arial" w:hAnsi="Arial" w:cs="Arial"/>
            <w:color w:val="3366CC"/>
            <w:sz w:val="21"/>
            <w:szCs w:val="21"/>
            <w:shd w:val="clear" w:color="auto" w:fill="FFFFFF"/>
            <w:rtl/>
          </w:rPr>
          <w:t>הרב הראשי</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ה</w:t>
      </w:r>
      <w:hyperlink r:id="rId28" w:tooltip="יהדות אשכנז" w:history="1">
        <w:r>
          <w:rPr>
            <w:rStyle w:val="Hyperlink"/>
            <w:rFonts w:ascii="Arial" w:hAnsi="Arial" w:cs="Arial"/>
            <w:color w:val="3366CC"/>
            <w:sz w:val="21"/>
            <w:szCs w:val="21"/>
            <w:shd w:val="clear" w:color="auto" w:fill="FFFFFF"/>
            <w:rtl/>
          </w:rPr>
          <w:t>אשכנזי</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של </w:t>
      </w:r>
      <w:hyperlink r:id="rId29" w:tooltip="ארץ ישראל" w:history="1">
        <w:r>
          <w:rPr>
            <w:rStyle w:val="Hyperlink"/>
            <w:rFonts w:ascii="Arial" w:hAnsi="Arial" w:cs="Arial"/>
            <w:color w:val="3366CC"/>
            <w:sz w:val="21"/>
            <w:szCs w:val="21"/>
            <w:shd w:val="clear" w:color="auto" w:fill="FFFFFF"/>
            <w:rtl/>
          </w:rPr>
          <w:t>ארץ ישראל</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משנת</w:t>
      </w:r>
      <w:hyperlink r:id="rId30" w:tooltip="1936" w:history="1">
        <w:r>
          <w:rPr>
            <w:rStyle w:val="Hyperlink"/>
            <w:rFonts w:ascii="Arial" w:hAnsi="Arial" w:cs="Arial"/>
            <w:color w:val="3366CC"/>
            <w:sz w:val="21"/>
            <w:szCs w:val="21"/>
            <w:shd w:val="clear" w:color="auto" w:fill="FFFFFF"/>
          </w:rPr>
          <w:t>1936</w:t>
        </w:r>
      </w:hyperlink>
      <w:r>
        <w:rPr>
          <w:rFonts w:ascii="Arial" w:hAnsi="Arial" w:cs="Arial"/>
          <w:color w:val="202122"/>
          <w:sz w:val="21"/>
          <w:szCs w:val="21"/>
          <w:shd w:val="clear" w:color="auto" w:fill="FFFFFF"/>
        </w:rPr>
        <w:t xml:space="preserve"> </w:t>
      </w:r>
      <w:r>
        <w:rPr>
          <w:rFonts w:ascii="Arial" w:hAnsi="Arial" w:cs="Arial" w:hint="cs"/>
          <w:color w:val="202122"/>
          <w:sz w:val="21"/>
          <w:szCs w:val="21"/>
          <w:shd w:val="clear" w:color="auto" w:fill="FFFFFF"/>
          <w:rtl/>
        </w:rPr>
        <w:t xml:space="preserve"> </w:t>
      </w:r>
      <w:r>
        <w:rPr>
          <w:rFonts w:ascii="Arial" w:hAnsi="Arial" w:cs="Arial"/>
          <w:color w:val="202122"/>
          <w:sz w:val="21"/>
          <w:szCs w:val="21"/>
          <w:shd w:val="clear" w:color="auto" w:fill="FFFFFF"/>
          <w:rtl/>
        </w:rPr>
        <w:t>ואחר כך של מדינת </w:t>
      </w:r>
      <w:hyperlink r:id="rId31" w:tooltip="ישראל" w:history="1">
        <w:r>
          <w:rPr>
            <w:rStyle w:val="Hyperlink"/>
            <w:rFonts w:ascii="Arial" w:hAnsi="Arial" w:cs="Arial"/>
            <w:color w:val="3366CC"/>
            <w:sz w:val="21"/>
            <w:szCs w:val="21"/>
            <w:shd w:val="clear" w:color="auto" w:fill="FFFFFF"/>
            <w:rtl/>
          </w:rPr>
          <w:t>ישראל</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עד יום פטירתו. לפני כן היה רבה הראשי של </w:t>
      </w:r>
      <w:hyperlink r:id="rId32" w:tooltip="יהדות אירלנד" w:history="1">
        <w:r>
          <w:rPr>
            <w:rStyle w:val="Hyperlink"/>
            <w:rFonts w:ascii="Arial" w:hAnsi="Arial" w:cs="Arial"/>
            <w:color w:val="3366CC"/>
            <w:sz w:val="21"/>
            <w:szCs w:val="21"/>
            <w:shd w:val="clear" w:color="auto" w:fill="FFFFFF"/>
            <w:rtl/>
          </w:rPr>
          <w:t>יהדות אירלנד</w:t>
        </w:r>
      </w:hyperlink>
      <w:r w:rsidR="00800C26">
        <w:rPr>
          <w:rFonts w:ascii="Arial" w:hAnsi="Arial" w:cs="Arial" w:hint="cs"/>
          <w:color w:val="202122"/>
          <w:sz w:val="21"/>
          <w:szCs w:val="21"/>
          <w:shd w:val="clear" w:color="auto" w:fill="FFFFFF"/>
          <w:rtl/>
        </w:rPr>
        <w:t xml:space="preserve">. </w:t>
      </w:r>
      <w:r>
        <w:rPr>
          <w:rFonts w:ascii="Arial" w:hAnsi="Arial" w:cs="Arial"/>
          <w:color w:val="202122"/>
          <w:sz w:val="21"/>
          <w:szCs w:val="21"/>
          <w:shd w:val="clear" w:color="auto" w:fill="FFFFFF"/>
          <w:rtl/>
        </w:rPr>
        <w:t>דוקטור וחתן </w:t>
      </w:r>
      <w:hyperlink r:id="rId33" w:tooltip="פרס ישראל" w:history="1">
        <w:r>
          <w:rPr>
            <w:rStyle w:val="Hyperlink"/>
            <w:rFonts w:ascii="Arial" w:hAnsi="Arial" w:cs="Arial"/>
            <w:color w:val="3366CC"/>
            <w:sz w:val="21"/>
            <w:szCs w:val="21"/>
            <w:shd w:val="clear" w:color="auto" w:fill="FFFFFF"/>
            <w:rtl/>
          </w:rPr>
          <w:t>פרס ישראל</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ל</w:t>
      </w:r>
      <w:hyperlink r:id="rId34" w:tooltip="ספרות תורנית" w:history="1">
        <w:r>
          <w:rPr>
            <w:rStyle w:val="Hyperlink"/>
            <w:rFonts w:ascii="Arial" w:hAnsi="Arial" w:cs="Arial"/>
            <w:color w:val="3366CC"/>
            <w:sz w:val="21"/>
            <w:szCs w:val="21"/>
            <w:shd w:val="clear" w:color="auto" w:fill="FFFFFF"/>
            <w:rtl/>
          </w:rPr>
          <w:t>ספרות תורנית</w:t>
        </w:r>
      </w:hyperlink>
      <w:r w:rsidR="00800C26">
        <w:rPr>
          <w:rFonts w:ascii="Arial" w:hAnsi="Arial" w:cs="Arial" w:hint="cs"/>
          <w:color w:val="202122"/>
          <w:sz w:val="21"/>
          <w:szCs w:val="21"/>
          <w:shd w:val="clear" w:color="auto" w:fill="FFFFFF"/>
          <w:rtl/>
        </w:rPr>
        <w:t>.</w:t>
      </w:r>
      <w:r w:rsidR="00570326">
        <w:rPr>
          <w:rFonts w:hint="cs"/>
          <w:rtl/>
        </w:rPr>
        <w:t xml:space="preserve"> בנו, חיים, כיהן כנשיא מדינת ישראל ונכדו, הקרוי על שמו, מכהן כיום כנשיא המדינה.</w:t>
      </w:r>
    </w:p>
  </w:footnote>
  <w:footnote w:id="30">
    <w:p w14:paraId="2F30F7DB" w14:textId="052A26F5" w:rsidR="00583E68" w:rsidRDefault="00583E68" w:rsidP="00583E68">
      <w:pPr>
        <w:pStyle w:val="a9"/>
      </w:pPr>
      <w:r>
        <w:rPr>
          <w:rStyle w:val="ab"/>
        </w:rPr>
        <w:footnoteRef/>
      </w:r>
      <w:r>
        <w:rPr>
          <w:rFonts w:cs="Arial"/>
          <w:rtl/>
        </w:rPr>
        <w:t>ספרי דברים</w:t>
      </w:r>
      <w:r>
        <w:rPr>
          <w:rFonts w:cs="Arial" w:hint="cs"/>
          <w:rtl/>
        </w:rPr>
        <w:t>,</w:t>
      </w:r>
      <w:r>
        <w:rPr>
          <w:rFonts w:cs="Arial"/>
          <w:rtl/>
        </w:rPr>
        <w:t xml:space="preserve"> רד</w:t>
      </w:r>
      <w:r>
        <w:rPr>
          <w:rFonts w:cs="Arial" w:hint="cs"/>
          <w:rtl/>
        </w:rPr>
        <w:t>:</w:t>
      </w:r>
      <w:r>
        <w:rPr>
          <w:rFonts w:hint="cs"/>
          <w:rtl/>
        </w:rPr>
        <w:t xml:space="preserve"> </w:t>
      </w:r>
      <w:r>
        <w:rPr>
          <w:rFonts w:cs="Arial" w:hint="cs"/>
          <w:rtl/>
        </w:rPr>
        <w:t>"</w:t>
      </w:r>
      <w:r>
        <w:rPr>
          <w:rFonts w:cs="Arial"/>
          <w:rtl/>
        </w:rPr>
        <w:t>ובנית מצור על העי</w:t>
      </w:r>
      <w:r>
        <w:rPr>
          <w:rFonts w:cs="Arial" w:hint="cs"/>
          <w:rtl/>
        </w:rPr>
        <w:t>ר...</w:t>
      </w:r>
      <w:r>
        <w:rPr>
          <w:rFonts w:cs="Arial"/>
          <w:rtl/>
        </w:rPr>
        <w:t>. עד רדתה, ואפילו בשבת</w:t>
      </w:r>
      <w:r>
        <w:rPr>
          <w:rFonts w:cs="Arial" w:hint="cs"/>
          <w:rtl/>
        </w:rPr>
        <w:t>"</w:t>
      </w:r>
      <w:r>
        <w:rPr>
          <w:rtl/>
        </w:rPr>
        <w:t xml:space="preserve"> </w:t>
      </w:r>
    </w:p>
  </w:footnote>
  <w:footnote w:id="31">
    <w:p w14:paraId="60896B94" w14:textId="608426F9" w:rsidR="00800C26" w:rsidRPr="00800C26" w:rsidRDefault="00800C26">
      <w:pPr>
        <w:pStyle w:val="a9"/>
        <w:rPr>
          <w:rtl/>
        </w:rPr>
      </w:pPr>
      <w:r>
        <w:rPr>
          <w:rStyle w:val="ab"/>
        </w:rPr>
        <w:footnoteRef/>
      </w:r>
      <w:r>
        <w:rPr>
          <w:rtl/>
        </w:rPr>
        <w:t xml:space="preserve"> </w:t>
      </w:r>
      <w:r>
        <w:rPr>
          <w:rFonts w:hint="cs"/>
          <w:rtl/>
        </w:rPr>
        <w:t xml:space="preserve">הרב נחום אליעזר </w:t>
      </w:r>
      <w:proofErr w:type="spellStart"/>
      <w:r>
        <w:rPr>
          <w:rFonts w:hint="cs"/>
          <w:rtl/>
        </w:rPr>
        <w:t>רבינוביץ</w:t>
      </w:r>
      <w:proofErr w:type="spellEnd"/>
      <w:r>
        <w:rPr>
          <w:rFonts w:hint="cs"/>
          <w:rtl/>
        </w:rPr>
        <w:t xml:space="preserve"> (1928-2020) </w:t>
      </w:r>
      <w:r>
        <w:rPr>
          <w:rFonts w:ascii="Arial" w:hAnsi="Arial" w:cs="Arial"/>
          <w:color w:val="202122"/>
          <w:sz w:val="21"/>
          <w:szCs w:val="21"/>
          <w:shd w:val="clear" w:color="auto" w:fill="FFFFFF"/>
          <w:rtl/>
        </w:rPr>
        <w:t>היה </w:t>
      </w:r>
      <w:hyperlink r:id="rId35" w:tooltip="רב" w:history="1">
        <w:r>
          <w:rPr>
            <w:rStyle w:val="Hyperlink"/>
            <w:rFonts w:ascii="Arial" w:hAnsi="Arial" w:cs="Arial"/>
            <w:color w:val="3366CC"/>
            <w:sz w:val="21"/>
            <w:szCs w:val="21"/>
            <w:shd w:val="clear" w:color="auto" w:fill="FFFFFF"/>
            <w:rtl/>
          </w:rPr>
          <w:t>רב</w:t>
        </w:r>
      </w:hyperlink>
      <w:r>
        <w:rPr>
          <w:rFonts w:ascii="Arial" w:hAnsi="Arial" w:cs="Arial"/>
          <w:color w:val="202122"/>
          <w:sz w:val="21"/>
          <w:szCs w:val="21"/>
          <w:shd w:val="clear" w:color="auto" w:fill="FFFFFF"/>
        </w:rPr>
        <w:t> </w:t>
      </w:r>
      <w:hyperlink r:id="rId36" w:tooltip="קנדה" w:history="1">
        <w:r>
          <w:rPr>
            <w:rStyle w:val="Hyperlink"/>
            <w:rFonts w:ascii="Arial" w:hAnsi="Arial" w:cs="Arial"/>
            <w:color w:val="3366CC"/>
            <w:sz w:val="21"/>
            <w:szCs w:val="21"/>
            <w:shd w:val="clear" w:color="auto" w:fill="FFFFFF"/>
            <w:rtl/>
          </w:rPr>
          <w:t>קנדי</w:t>
        </w:r>
      </w:hyperlink>
      <w:r>
        <w:rPr>
          <w:rFonts w:ascii="Arial" w:hAnsi="Arial" w:cs="Arial"/>
          <w:color w:val="202122"/>
          <w:sz w:val="21"/>
          <w:szCs w:val="21"/>
          <w:shd w:val="clear" w:color="auto" w:fill="FFFFFF"/>
        </w:rPr>
        <w:t>-</w:t>
      </w:r>
      <w:hyperlink r:id="rId37" w:tooltip="ישראלי" w:history="1">
        <w:r>
          <w:rPr>
            <w:rStyle w:val="Hyperlink"/>
            <w:rFonts w:ascii="Arial" w:hAnsi="Arial" w:cs="Arial"/>
            <w:color w:val="3366CC"/>
            <w:sz w:val="21"/>
            <w:szCs w:val="21"/>
            <w:shd w:val="clear" w:color="auto" w:fill="FFFFFF"/>
            <w:rtl/>
          </w:rPr>
          <w:t>ישראלי</w:t>
        </w:r>
      </w:hyperlink>
      <w:r>
        <w:rPr>
          <w:rFonts w:ascii="Arial" w:hAnsi="Arial" w:cs="Arial" w:hint="cs"/>
          <w:color w:val="202122"/>
          <w:sz w:val="21"/>
          <w:szCs w:val="21"/>
          <w:shd w:val="clear" w:color="auto" w:fill="FFFFFF"/>
          <w:rtl/>
        </w:rPr>
        <w:t xml:space="preserve">, ראש ישיבה ציונית-דתית, </w:t>
      </w:r>
      <w:r w:rsidR="00566AEB">
        <w:rPr>
          <w:rFonts w:ascii="Arial" w:hAnsi="Arial" w:cs="Arial" w:hint="cs"/>
          <w:color w:val="202122"/>
          <w:sz w:val="21"/>
          <w:szCs w:val="21"/>
          <w:shd w:val="clear" w:color="auto" w:fill="FFFFFF"/>
          <w:rtl/>
        </w:rPr>
        <w:t>פרופסור</w:t>
      </w:r>
      <w:r w:rsidR="009D0A17">
        <w:rPr>
          <w:rFonts w:ascii="Arial" w:hAnsi="Arial" w:cs="Arial" w:hint="cs"/>
          <w:color w:val="202122"/>
          <w:sz w:val="21"/>
          <w:szCs w:val="21"/>
          <w:shd w:val="clear" w:color="auto" w:fill="FFFFFF"/>
          <w:rtl/>
        </w:rPr>
        <w:t xml:space="preserve"> למתמטיקה</w:t>
      </w:r>
      <w:r w:rsidR="00566AEB">
        <w:rPr>
          <w:rFonts w:ascii="Arial" w:hAnsi="Arial" w:cs="Arial" w:hint="cs"/>
          <w:color w:val="202122"/>
          <w:sz w:val="21"/>
          <w:szCs w:val="21"/>
          <w:shd w:val="clear" w:color="auto" w:fill="FFFFFF"/>
          <w:rtl/>
        </w:rPr>
        <w:t xml:space="preserve"> </w:t>
      </w:r>
      <w:r>
        <w:t xml:space="preserve"> </w:t>
      </w:r>
      <w:r>
        <w:rPr>
          <w:rFonts w:hint="cs"/>
          <w:rtl/>
        </w:rPr>
        <w:t>ו</w:t>
      </w:r>
      <w:hyperlink r:id="rId38" w:tooltip="פוסק הלכה" w:history="1">
        <w:r>
          <w:rPr>
            <w:rStyle w:val="Hyperlink"/>
            <w:rFonts w:ascii="Arial" w:hAnsi="Arial" w:cs="Arial"/>
            <w:color w:val="3366CC"/>
            <w:sz w:val="21"/>
            <w:szCs w:val="21"/>
            <w:shd w:val="clear" w:color="auto" w:fill="FFFFFF"/>
            <w:rtl/>
          </w:rPr>
          <w:t>פוסק הלכה</w:t>
        </w:r>
      </w:hyperlink>
      <w:r>
        <w:rPr>
          <w:rFonts w:ascii="Arial" w:hAnsi="Arial" w:cs="Arial"/>
          <w:color w:val="202122"/>
          <w:sz w:val="21"/>
          <w:szCs w:val="21"/>
          <w:shd w:val="clear" w:color="auto" w:fill="FFFFFF"/>
        </w:rPr>
        <w:t> </w:t>
      </w:r>
      <w:hyperlink r:id="rId39" w:tooltip="הציונות הדתית" w:history="1">
        <w:r>
          <w:rPr>
            <w:rStyle w:val="Hyperlink"/>
            <w:rFonts w:ascii="Arial" w:hAnsi="Arial" w:cs="Arial"/>
            <w:color w:val="3366CC"/>
            <w:sz w:val="21"/>
            <w:szCs w:val="21"/>
            <w:shd w:val="clear" w:color="auto" w:fill="FFFFFF"/>
            <w:rtl/>
          </w:rPr>
          <w:t>ציוני-דתי</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בולט</w:t>
      </w:r>
      <w:r>
        <w:rPr>
          <w:rFonts w:ascii="Arial" w:hAnsi="Arial" w:cs="Arial"/>
          <w:color w:val="202122"/>
          <w:sz w:val="21"/>
          <w:szCs w:val="21"/>
          <w:shd w:val="clear" w:color="auto" w:fill="FFFFFF"/>
        </w:rPr>
        <w:t>.</w:t>
      </w:r>
    </w:p>
  </w:footnote>
  <w:footnote w:id="32">
    <w:p w14:paraId="481B8AE4" w14:textId="0E9ADE83" w:rsidR="004B0A89" w:rsidRDefault="004B0A89">
      <w:pPr>
        <w:pStyle w:val="a9"/>
        <w:rPr>
          <w:rtl/>
        </w:rPr>
      </w:pPr>
      <w:r>
        <w:rPr>
          <w:rStyle w:val="ab"/>
        </w:rPr>
        <w:footnoteRef/>
      </w:r>
      <w:r>
        <w:rPr>
          <w:rtl/>
        </w:rPr>
        <w:t xml:space="preserve"> </w:t>
      </w:r>
      <w:r w:rsidR="00716398">
        <w:rPr>
          <w:rtl/>
        </w:rPr>
        <w:t>מיכאל אברהם "בדין 'לא תגורו מפני איש', מבט נוסף של חובת היחיד בתפקיד ציבורי" מחניך: בטאון הרבנות הצבאית ג 241 (</w:t>
      </w:r>
      <w:proofErr w:type="spellStart"/>
      <w:r w:rsidR="00716398">
        <w:rPr>
          <w:rtl/>
        </w:rPr>
        <w:t>התשס"ח</w:t>
      </w:r>
      <w:proofErr w:type="spellEnd"/>
      <w:r w:rsidR="00716398">
        <w:rPr>
          <w:rtl/>
        </w:rPr>
        <w:t>)</w:t>
      </w:r>
      <w:r w:rsidR="00716398">
        <w:rPr>
          <w:rFonts w:hint="cs"/>
          <w:rtl/>
        </w:rPr>
        <w:t>,</w:t>
      </w:r>
      <w:r w:rsidR="006B5981">
        <w:rPr>
          <w:rFonts w:hint="cs"/>
          <w:rtl/>
        </w:rPr>
        <w:t xml:space="preserve"> 252.</w:t>
      </w:r>
    </w:p>
  </w:footnote>
  <w:footnote w:id="33">
    <w:p w14:paraId="0D7743E0" w14:textId="655A3A23" w:rsidR="00583E68" w:rsidRDefault="00583E68">
      <w:pPr>
        <w:pStyle w:val="a9"/>
        <w:rPr>
          <w:rtl/>
        </w:rPr>
      </w:pPr>
      <w:r>
        <w:rPr>
          <w:rStyle w:val="ab"/>
        </w:rPr>
        <w:footnoteRef/>
      </w:r>
      <w:r>
        <w:rPr>
          <w:rtl/>
        </w:rPr>
        <w:t xml:space="preserve"> </w:t>
      </w:r>
      <w:r w:rsidR="00A56576">
        <w:rPr>
          <w:rFonts w:hint="cs"/>
          <w:rtl/>
        </w:rPr>
        <w:t xml:space="preserve">במדינת ישראל ספק החשמל העיקרי הוא חברת החשמל, ורוב עובדיו הם יהודיים. לכן, ייצור החשמל והספקתו כרוכים  בחילול שבת. בנוסף, נאסר בשבת להנות מתוצאותיו של חילול השבת, ולכן הצרכנים מנועים משימוש מחשמל כזה בשבת. </w:t>
      </w:r>
    </w:p>
  </w:footnote>
  <w:footnote w:id="34">
    <w:p w14:paraId="015D444F" w14:textId="5F189312" w:rsidR="00FB3A7F" w:rsidRDefault="00FB3A7F" w:rsidP="00A05870">
      <w:pPr>
        <w:pStyle w:val="a9"/>
      </w:pPr>
      <w:r>
        <w:rPr>
          <w:rStyle w:val="ab"/>
        </w:rPr>
        <w:footnoteRef/>
      </w:r>
      <w:r>
        <w:rPr>
          <w:rtl/>
        </w:rPr>
        <w:t xml:space="preserve"> </w:t>
      </w:r>
      <w:r>
        <w:rPr>
          <w:rFonts w:hint="cs"/>
          <w:rtl/>
        </w:rPr>
        <w:t>לדיון בשאלת הציבור</w:t>
      </w:r>
      <w:r w:rsidR="00A05870" w:rsidRPr="00A05870">
        <w:rPr>
          <w:rFonts w:hint="cs"/>
          <w:rtl/>
        </w:rPr>
        <w:t xml:space="preserve"> </w:t>
      </w:r>
      <w:r w:rsidR="00A05870">
        <w:rPr>
          <w:rFonts w:hint="cs"/>
          <w:rtl/>
        </w:rPr>
        <w:t>כאישיות המשפטית</w:t>
      </w:r>
      <w:r>
        <w:rPr>
          <w:rFonts w:hint="cs"/>
          <w:rtl/>
        </w:rPr>
        <w:t xml:space="preserve">, ראה הרב יעקב אריאל, </w:t>
      </w:r>
      <w:proofErr w:type="spellStart"/>
      <w:r>
        <w:rPr>
          <w:rFonts w:hint="cs"/>
          <w:rtl/>
        </w:rPr>
        <w:t>באהלה</w:t>
      </w:r>
      <w:proofErr w:type="spellEnd"/>
      <w:r>
        <w:rPr>
          <w:rFonts w:hint="cs"/>
          <w:rtl/>
        </w:rPr>
        <w:t xml:space="preserve"> של תורה א, סימן ג</w:t>
      </w:r>
      <w:r w:rsidR="00A05870">
        <w:rPr>
          <w:rFonts w:hint="cs"/>
          <w:rtl/>
        </w:rPr>
        <w:t xml:space="preserve">; </w:t>
      </w:r>
      <w:r w:rsidR="00680B07">
        <w:rPr>
          <w:rFonts w:hint="cs"/>
          <w:rtl/>
        </w:rPr>
        <w:t xml:space="preserve">הרב </w:t>
      </w:r>
      <w:proofErr w:type="spellStart"/>
      <w:r w:rsidR="00680B07">
        <w:rPr>
          <w:rFonts w:hint="cs"/>
          <w:rtl/>
        </w:rPr>
        <w:t>רא"ם</w:t>
      </w:r>
      <w:proofErr w:type="spellEnd"/>
      <w:r w:rsidR="00680B07">
        <w:rPr>
          <w:rFonts w:hint="cs"/>
          <w:rtl/>
        </w:rPr>
        <w:t xml:space="preserve"> הכהן, שו"ת בדי הארון, "פיקוח נפש", עמ' 199-151; </w:t>
      </w:r>
      <w:r w:rsidR="00A05870">
        <w:rPr>
          <w:rFonts w:hint="cs"/>
          <w:rtl/>
        </w:rPr>
        <w:t>יצחק ברנד, "</w:t>
      </w:r>
      <w:r w:rsidR="00A05870" w:rsidRPr="00A05870">
        <w:rPr>
          <w:rtl/>
        </w:rPr>
        <w:t>פילוסופיה בשירות ההלכה: עיון בבעיית האישיות המשפטית</w:t>
      </w:r>
      <w:r w:rsidR="00A05870">
        <w:rPr>
          <w:rFonts w:hint="cs"/>
          <w:rtl/>
        </w:rPr>
        <w:t xml:space="preserve">", בתוך: אבינועם </w:t>
      </w:r>
      <w:proofErr w:type="spellStart"/>
      <w:r w:rsidR="00A05870">
        <w:rPr>
          <w:rFonts w:hint="cs"/>
          <w:rtl/>
        </w:rPr>
        <w:t>רוזנק</w:t>
      </w:r>
      <w:proofErr w:type="spellEnd"/>
      <w:r w:rsidR="00A05870">
        <w:rPr>
          <w:rFonts w:hint="cs"/>
          <w:rtl/>
        </w:rPr>
        <w:t xml:space="preserve"> (עורך), </w:t>
      </w:r>
      <w:r w:rsidR="00A05870">
        <w:rPr>
          <w:rFonts w:cs="Arial"/>
          <w:rtl/>
        </w:rPr>
        <w:t>הלכה, מטה-הלכה ופילוסופיה : עיון רב תחומי</w:t>
      </w:r>
      <w:r w:rsidR="00A05870">
        <w:rPr>
          <w:rFonts w:cs="Arial" w:hint="cs"/>
          <w:rtl/>
        </w:rPr>
        <w:t>,</w:t>
      </w:r>
      <w:r w:rsidR="00A05870">
        <w:rPr>
          <w:rFonts w:cs="Arial"/>
          <w:rtl/>
        </w:rPr>
        <w:t xml:space="preserve"> </w:t>
      </w:r>
      <w:r w:rsidR="00716398">
        <w:rPr>
          <w:rFonts w:cs="Arial" w:hint="cs"/>
          <w:rtl/>
        </w:rPr>
        <w:t>(</w:t>
      </w:r>
      <w:r w:rsidR="00A05870">
        <w:rPr>
          <w:rFonts w:cs="Arial"/>
          <w:rtl/>
        </w:rPr>
        <w:t>2011</w:t>
      </w:r>
      <w:r w:rsidR="00716398">
        <w:rPr>
          <w:rFonts w:cs="Arial" w:hint="cs"/>
          <w:rtl/>
        </w:rPr>
        <w:t>)</w:t>
      </w:r>
      <w:r w:rsidR="00A05870">
        <w:rPr>
          <w:rFonts w:cs="Arial"/>
          <w:rtl/>
        </w:rPr>
        <w:t>.</w:t>
      </w:r>
      <w:r w:rsidR="00A05870">
        <w:rPr>
          <w:rFonts w:hint="cs"/>
          <w:rtl/>
        </w:rPr>
        <w:t xml:space="preserve"> 165-164</w:t>
      </w:r>
      <w:r w:rsidR="00716398">
        <w:rPr>
          <w:rFonts w:hint="cs"/>
          <w:rtl/>
        </w:rPr>
        <w:t>.</w:t>
      </w:r>
    </w:p>
  </w:footnote>
  <w:footnote w:id="35">
    <w:p w14:paraId="72F28BDB" w14:textId="094CB75A" w:rsidR="00E01BC7" w:rsidRDefault="00E01BC7">
      <w:pPr>
        <w:pStyle w:val="a9"/>
        <w:rPr>
          <w:rtl/>
        </w:rPr>
      </w:pPr>
      <w:r>
        <w:rPr>
          <w:rStyle w:val="ab"/>
        </w:rPr>
        <w:footnoteRef/>
      </w:r>
      <w:r>
        <w:rPr>
          <w:rtl/>
        </w:rPr>
        <w:t xml:space="preserve"> </w:t>
      </w:r>
      <w:r>
        <w:rPr>
          <w:rFonts w:hint="cs"/>
          <w:rtl/>
        </w:rPr>
        <w:t>ככל שעמדתו של פוסק היא ציונית, כך הוא נוטה לראות את המדינה כישות בעלת ערך דתי, שההלכה נדרשת להכיר בה, ולהתאים את עצמה אליה. התאמה כזו עשויה לחייב הגדרה של המדינה כגורם הלכתי חדש, הנבדל מן היחיד והלכותיו.</w:t>
      </w:r>
    </w:p>
  </w:footnote>
  <w:footnote w:id="36">
    <w:p w14:paraId="5CC21B1D" w14:textId="15C389CC" w:rsidR="009F7E57" w:rsidRDefault="009F7E57" w:rsidP="00C37C4C">
      <w:pPr>
        <w:pStyle w:val="a9"/>
      </w:pPr>
      <w:r>
        <w:rPr>
          <w:rStyle w:val="ab"/>
        </w:rPr>
        <w:footnoteRef/>
      </w:r>
      <w:r>
        <w:rPr>
          <w:rtl/>
        </w:rPr>
        <w:t xml:space="preserve"> </w:t>
      </w:r>
      <w:r>
        <w:rPr>
          <w:rFonts w:cs="Arial"/>
          <w:rtl/>
        </w:rPr>
        <w:t>ירון זילברשטיין</w:t>
      </w:r>
      <w:r>
        <w:rPr>
          <w:rFonts w:cs="Arial" w:hint="cs"/>
          <w:rtl/>
        </w:rPr>
        <w:t xml:space="preserve">, </w:t>
      </w:r>
      <w:r>
        <w:rPr>
          <w:rFonts w:cs="Arial"/>
          <w:rtl/>
        </w:rPr>
        <w:t xml:space="preserve">בין אדם למדינתו : מדינת ישראל במשנתו ההלכתית של הרב שלמה גורן </w:t>
      </w:r>
      <w:r w:rsidR="00716398">
        <w:rPr>
          <w:rFonts w:cs="Arial" w:hint="cs"/>
          <w:rtl/>
        </w:rPr>
        <w:t>(</w:t>
      </w:r>
      <w:r w:rsidR="00C37C4C">
        <w:rPr>
          <w:rFonts w:cs="Arial" w:hint="cs"/>
          <w:rtl/>
        </w:rPr>
        <w:t>תשפ"א</w:t>
      </w:r>
      <w:r w:rsidR="00716398">
        <w:rPr>
          <w:rFonts w:cs="Arial" w:hint="cs"/>
          <w:rtl/>
        </w:rPr>
        <w:t>)</w:t>
      </w:r>
      <w:r w:rsidR="00C37C4C">
        <w:rPr>
          <w:rFonts w:cs="Arial" w:hint="cs"/>
          <w:rtl/>
        </w:rPr>
        <w:t xml:space="preserve">, 67-42; </w:t>
      </w:r>
      <w:r w:rsidR="00C37C4C">
        <w:rPr>
          <w:rFonts w:cs="Arial"/>
          <w:rtl/>
        </w:rPr>
        <w:t xml:space="preserve">אביעד יחיאל </w:t>
      </w:r>
      <w:proofErr w:type="spellStart"/>
      <w:r w:rsidR="00C37C4C">
        <w:rPr>
          <w:rFonts w:cs="Arial"/>
          <w:rtl/>
        </w:rPr>
        <w:t>הולנדר</w:t>
      </w:r>
      <w:proofErr w:type="spellEnd"/>
      <w:r w:rsidR="00C37C4C">
        <w:rPr>
          <w:rFonts w:cs="Arial" w:hint="cs"/>
          <w:rtl/>
        </w:rPr>
        <w:t>,</w:t>
      </w:r>
      <w:r w:rsidR="00C37C4C">
        <w:rPr>
          <w:rFonts w:cs="Arial"/>
          <w:rtl/>
        </w:rPr>
        <w:t xml:space="preserve"> דיוקנו ההלכתי של הרב שלמה גורן: עיונים בשיקולי הפסיקה ודרכי הביסוס במאמריו ההלכתיים</w:t>
      </w:r>
      <w:r w:rsidR="00C37C4C">
        <w:rPr>
          <w:rFonts w:cs="Arial" w:hint="cs"/>
          <w:rtl/>
        </w:rPr>
        <w:t>, עבודת ד"ר, אוניברסיטת בר-אילן תשע"א, עמ' 350-346.</w:t>
      </w:r>
    </w:p>
  </w:footnote>
  <w:footnote w:id="37">
    <w:p w14:paraId="001D1CDB" w14:textId="3C09C9E0" w:rsidR="00242148" w:rsidRPr="00FE2499" w:rsidRDefault="005614B7" w:rsidP="00FE2499">
      <w:pPr>
        <w:pStyle w:val="a9"/>
        <w:jc w:val="both"/>
        <w:rPr>
          <w:rFonts w:cs="Arial"/>
        </w:rPr>
      </w:pPr>
      <w:r>
        <w:rPr>
          <w:rStyle w:val="ab"/>
        </w:rPr>
        <w:footnoteRef/>
      </w:r>
      <w:r>
        <w:rPr>
          <w:rtl/>
        </w:rPr>
        <w:t xml:space="preserve"> </w:t>
      </w:r>
      <w:r w:rsidR="0054009F">
        <w:rPr>
          <w:rFonts w:hint="cs"/>
          <w:rtl/>
        </w:rPr>
        <w:t xml:space="preserve">לשתי התפיסות במסגרת הציונות הדתית, ראה </w:t>
      </w:r>
      <w:r w:rsidR="0054009F">
        <w:rPr>
          <w:rFonts w:cs="Arial"/>
          <w:rtl/>
        </w:rPr>
        <w:t>אבי שגיא ודב שוורץ</w:t>
      </w:r>
      <w:r w:rsidR="0054009F">
        <w:rPr>
          <w:rFonts w:cs="Arial" w:hint="cs"/>
          <w:rtl/>
        </w:rPr>
        <w:t xml:space="preserve">, </w:t>
      </w:r>
      <w:r w:rsidR="0054009F">
        <w:rPr>
          <w:rFonts w:cs="Arial"/>
          <w:rtl/>
        </w:rPr>
        <w:t>מראליזם למשיחיות : הציונות הדתית ומלחמת ששת הימים</w:t>
      </w:r>
      <w:r w:rsidR="0054009F">
        <w:rPr>
          <w:rFonts w:cs="Arial" w:hint="cs"/>
          <w:rtl/>
        </w:rPr>
        <w:t>,</w:t>
      </w:r>
      <w:r w:rsidR="0054009F">
        <w:rPr>
          <w:rFonts w:cs="Arial"/>
          <w:rtl/>
        </w:rPr>
        <w:t xml:space="preserve"> ירושלים: הוצאת כרמל, 2017</w:t>
      </w:r>
      <w:r w:rsidR="00BD24D2">
        <w:rPr>
          <w:rFonts w:cs="Arial" w:hint="cs"/>
          <w:rtl/>
        </w:rPr>
        <w:t>, עמ' 87-79</w:t>
      </w:r>
      <w:r w:rsidR="0054009F">
        <w:rPr>
          <w:rFonts w:cs="Arial"/>
          <w:rtl/>
        </w:rPr>
        <w:t>.</w:t>
      </w:r>
      <w:r w:rsidR="00BD24D2">
        <w:rPr>
          <w:rFonts w:cs="Arial" w:hint="cs"/>
          <w:rtl/>
        </w:rPr>
        <w:t xml:space="preserve"> שתי התפיסות מוצגות שם</w:t>
      </w:r>
      <w:r w:rsidR="00EA6D84">
        <w:rPr>
          <w:rFonts w:cs="Arial" w:hint="cs"/>
          <w:rtl/>
        </w:rPr>
        <w:t>, על בסיס שתי גישות ביחס להיסטוריה: היסטוריה קדושה ו</w:t>
      </w:r>
      <w:r w:rsidR="00CC16A6">
        <w:rPr>
          <w:rFonts w:cs="Arial" w:hint="cs"/>
          <w:rtl/>
        </w:rPr>
        <w:t xml:space="preserve">היסטוריה ראלית. </w:t>
      </w:r>
      <w:r w:rsidR="00242148">
        <w:rPr>
          <w:rFonts w:cs="Arial" w:hint="cs"/>
          <w:rtl/>
        </w:rPr>
        <w:t xml:space="preserve">באופן אחר, ראה </w:t>
      </w:r>
      <w:r w:rsidR="00242148">
        <w:rPr>
          <w:rFonts w:cs="Arial"/>
          <w:rtl/>
        </w:rPr>
        <w:t>דב שוורץ ואשר כהן</w:t>
      </w:r>
      <w:r w:rsidR="00242148">
        <w:rPr>
          <w:rFonts w:cs="Arial" w:hint="cs"/>
          <w:rtl/>
        </w:rPr>
        <w:t>,</w:t>
      </w:r>
      <w:r w:rsidR="00242148">
        <w:rPr>
          <w:rFonts w:cs="Arial"/>
          <w:rtl/>
        </w:rPr>
        <w:t xml:space="preserve"> מרוממות לחרדה : הציונות הדתית בעשור הראשון של המדינה</w:t>
      </w:r>
      <w:r w:rsidR="00242148">
        <w:rPr>
          <w:rFonts w:cs="Arial" w:hint="cs"/>
          <w:rtl/>
        </w:rPr>
        <w:t>,</w:t>
      </w:r>
      <w:r w:rsidR="00242148">
        <w:rPr>
          <w:rFonts w:cs="Arial"/>
          <w:rtl/>
        </w:rPr>
        <w:t xml:space="preserve"> </w:t>
      </w:r>
      <w:r w:rsidR="00716398">
        <w:rPr>
          <w:rFonts w:cs="Arial" w:hint="cs"/>
          <w:rtl/>
        </w:rPr>
        <w:t>(</w:t>
      </w:r>
      <w:r w:rsidR="00242148">
        <w:rPr>
          <w:rFonts w:cs="Arial" w:hint="cs"/>
          <w:rtl/>
        </w:rPr>
        <w:t>תש"פ</w:t>
      </w:r>
      <w:r w:rsidR="00716398">
        <w:rPr>
          <w:rFonts w:cs="Arial" w:hint="cs"/>
          <w:rtl/>
        </w:rPr>
        <w:t>)</w:t>
      </w:r>
      <w:r w:rsidR="00242148">
        <w:rPr>
          <w:rFonts w:cs="Arial" w:hint="cs"/>
          <w:rtl/>
        </w:rPr>
        <w:t>, 104-98</w:t>
      </w:r>
      <w:r w:rsidR="00641292">
        <w:rPr>
          <w:rFonts w:cs="Arial" w:hint="cs"/>
          <w:rtl/>
        </w:rPr>
        <w:t xml:space="preserve"> (</w:t>
      </w:r>
      <w:r w:rsidR="009F27DA">
        <w:rPr>
          <w:rFonts w:cs="Arial" w:hint="cs"/>
          <w:rtl/>
        </w:rPr>
        <w:t xml:space="preserve">שתי גישות ביחס </w:t>
      </w:r>
      <w:r w:rsidR="000410F0">
        <w:rPr>
          <w:rFonts w:cs="Arial" w:hint="cs"/>
          <w:rtl/>
        </w:rPr>
        <w:t>ליישומה של ההלכה במסגרת</w:t>
      </w:r>
      <w:r w:rsidR="00C457BA">
        <w:rPr>
          <w:rFonts w:cs="Arial" w:hint="cs"/>
          <w:rtl/>
        </w:rPr>
        <w:t xml:space="preserve"> המדינה: </w:t>
      </w:r>
      <w:r w:rsidR="000C1289">
        <w:rPr>
          <w:rFonts w:cs="Arial" w:hint="cs"/>
          <w:rtl/>
        </w:rPr>
        <w:t>קידוש החדש ונאמנות לישן</w:t>
      </w:r>
      <w:r w:rsidR="00641292">
        <w:rPr>
          <w:rFonts w:cs="Arial" w:hint="cs"/>
          <w:rtl/>
        </w:rPr>
        <w:t>).</w:t>
      </w:r>
    </w:p>
  </w:footnote>
  <w:footnote w:id="38">
    <w:p w14:paraId="458952A0" w14:textId="332EC519" w:rsidR="00674E21" w:rsidRDefault="00674E21" w:rsidP="00CF6B7D">
      <w:pPr>
        <w:pStyle w:val="a9"/>
      </w:pPr>
      <w:r>
        <w:rPr>
          <w:rStyle w:val="ab"/>
        </w:rPr>
        <w:footnoteRef/>
      </w:r>
      <w:r>
        <w:rPr>
          <w:rtl/>
        </w:rPr>
        <w:t xml:space="preserve"> </w:t>
      </w:r>
      <w:r w:rsidR="00CF6B7D">
        <w:rPr>
          <w:rFonts w:hint="cs"/>
          <w:rtl/>
        </w:rPr>
        <w:t xml:space="preserve">חיים </w:t>
      </w:r>
      <w:proofErr w:type="spellStart"/>
      <w:r w:rsidR="00CF6B7D">
        <w:rPr>
          <w:rFonts w:hint="cs"/>
          <w:rtl/>
        </w:rPr>
        <w:t>בורגנסקי</w:t>
      </w:r>
      <w:proofErr w:type="spellEnd"/>
      <w:r w:rsidR="00CF6B7D">
        <w:rPr>
          <w:rFonts w:hint="cs"/>
          <w:rtl/>
        </w:rPr>
        <w:t xml:space="preserve">, "הלכה ציונית בפסיקתו של הרב הרצוג", בתוך: </w:t>
      </w:r>
      <w:r w:rsidR="00CF6B7D">
        <w:rPr>
          <w:rFonts w:cs="Arial"/>
          <w:rtl/>
        </w:rPr>
        <w:t xml:space="preserve">ידידיה צ’ שטרן </w:t>
      </w:r>
      <w:r w:rsidR="00CF6B7D">
        <w:rPr>
          <w:rFonts w:cs="Arial" w:hint="cs"/>
          <w:rtl/>
        </w:rPr>
        <w:t>ו</w:t>
      </w:r>
      <w:r w:rsidR="00CF6B7D">
        <w:rPr>
          <w:rFonts w:cs="Arial"/>
          <w:rtl/>
        </w:rPr>
        <w:t>יאיר שלג</w:t>
      </w:r>
      <w:r w:rsidR="00CF6B7D">
        <w:rPr>
          <w:rFonts w:hint="cs"/>
          <w:rtl/>
        </w:rPr>
        <w:t xml:space="preserve"> (עורכים)</w:t>
      </w:r>
      <w:r w:rsidR="00CF6B7D">
        <w:rPr>
          <w:rFonts w:cs="Arial" w:hint="cs"/>
          <w:rtl/>
        </w:rPr>
        <w:t>,</w:t>
      </w:r>
      <w:r w:rsidR="00CF6B7D">
        <w:rPr>
          <w:rFonts w:cs="Arial"/>
          <w:rtl/>
        </w:rPr>
        <w:t xml:space="preserve"> הלכה ציונית : המשמעויות ההלכתיות של הריבונות היהודית</w:t>
      </w:r>
      <w:r w:rsidR="00CF6B7D">
        <w:rPr>
          <w:rFonts w:cs="Arial" w:hint="cs"/>
          <w:rtl/>
        </w:rPr>
        <w:t xml:space="preserve"> </w:t>
      </w:r>
      <w:r w:rsidR="00716398">
        <w:rPr>
          <w:rFonts w:cs="Arial" w:hint="cs"/>
          <w:rtl/>
        </w:rPr>
        <w:t>(</w:t>
      </w:r>
      <w:r w:rsidR="00CF6B7D">
        <w:rPr>
          <w:rFonts w:cs="Arial" w:hint="cs"/>
          <w:rtl/>
        </w:rPr>
        <w:t>תשע"ח</w:t>
      </w:r>
      <w:r w:rsidR="00716398">
        <w:rPr>
          <w:rFonts w:hint="cs"/>
          <w:rtl/>
        </w:rPr>
        <w:t>)</w:t>
      </w:r>
      <w:r w:rsidR="00CF6B7D">
        <w:rPr>
          <w:rFonts w:hint="cs"/>
          <w:rtl/>
        </w:rPr>
        <w:t xml:space="preserve">, עמ' 647-646; </w:t>
      </w:r>
      <w:r>
        <w:rPr>
          <w:rFonts w:hint="cs"/>
          <w:rtl/>
        </w:rPr>
        <w:t xml:space="preserve">משה הרשקוביץ, </w:t>
      </w:r>
      <w:r w:rsidR="00E459EB">
        <w:rPr>
          <w:rFonts w:cs="Arial"/>
          <w:rtl/>
        </w:rPr>
        <w:t xml:space="preserve">הרב הרצוג כמשפטן : דרכי היצירה המשפטית בדיני ממונות לאור כתיבתו ההלכתית משפטית של </w:t>
      </w:r>
      <w:proofErr w:type="spellStart"/>
      <w:r w:rsidR="00E459EB">
        <w:rPr>
          <w:rFonts w:cs="Arial"/>
          <w:rtl/>
        </w:rPr>
        <w:t>הגריא"ה</w:t>
      </w:r>
      <w:proofErr w:type="spellEnd"/>
      <w:r w:rsidR="00E459EB">
        <w:rPr>
          <w:rFonts w:cs="Arial"/>
          <w:rtl/>
        </w:rPr>
        <w:t xml:space="preserve"> הרצוג</w:t>
      </w:r>
      <w:r w:rsidR="00E459EB">
        <w:rPr>
          <w:rFonts w:cs="Arial" w:hint="cs"/>
          <w:rtl/>
        </w:rPr>
        <w:t>,</w:t>
      </w:r>
      <w:r w:rsidR="00E459EB">
        <w:rPr>
          <w:rFonts w:cs="Arial"/>
          <w:rtl/>
        </w:rPr>
        <w:t xml:space="preserve"> </w:t>
      </w:r>
      <w:r>
        <w:rPr>
          <w:rFonts w:hint="cs"/>
          <w:rtl/>
        </w:rPr>
        <w:t xml:space="preserve">עבודת ד"ר, </w:t>
      </w:r>
      <w:r w:rsidR="00D21B58">
        <w:rPr>
          <w:rFonts w:hint="cs"/>
          <w:rtl/>
        </w:rPr>
        <w:t xml:space="preserve">אוניברסיטת בר-אילן תשע"ד </w:t>
      </w:r>
      <w:r>
        <w:rPr>
          <w:rFonts w:hint="cs"/>
          <w:rtl/>
        </w:rPr>
        <w:t>עמ' 319-314</w:t>
      </w:r>
      <w:r w:rsidR="0077384B">
        <w:rPr>
          <w:rFonts w:hint="cs"/>
          <w:rtl/>
        </w:rPr>
        <w:t xml:space="preserve"> </w:t>
      </w:r>
      <w:r w:rsidR="0077384B">
        <w:rPr>
          <w:rFonts w:cs="Arial"/>
          <w:rtl/>
        </w:rPr>
        <w:t>.</w:t>
      </w:r>
    </w:p>
  </w:footnote>
  <w:footnote w:id="39">
    <w:p w14:paraId="5F877805" w14:textId="7F47BA9E" w:rsidR="00800C26" w:rsidRDefault="00800C26">
      <w:pPr>
        <w:pStyle w:val="a9"/>
      </w:pPr>
      <w:r>
        <w:rPr>
          <w:rStyle w:val="ab"/>
        </w:rPr>
        <w:footnoteRef/>
      </w:r>
      <w:r>
        <w:rPr>
          <w:rtl/>
        </w:rPr>
        <w:t xml:space="preserve"> </w:t>
      </w:r>
      <w:r>
        <w:rPr>
          <w:rFonts w:ascii="Arial" w:hAnsi="Arial" w:cs="Arial"/>
          <w:color w:val="202122"/>
          <w:sz w:val="21"/>
          <w:szCs w:val="21"/>
          <w:shd w:val="clear" w:color="auto" w:fill="FFFFFF"/>
          <w:rtl/>
        </w:rPr>
        <w:t>הרב </w:t>
      </w:r>
      <w:r>
        <w:rPr>
          <w:rFonts w:ascii="Arial" w:hAnsi="Arial" w:cs="Arial"/>
          <w:b/>
          <w:bCs/>
          <w:color w:val="202122"/>
          <w:sz w:val="21"/>
          <w:szCs w:val="21"/>
          <w:shd w:val="clear" w:color="auto" w:fill="FFFFFF"/>
          <w:rtl/>
        </w:rPr>
        <w:t>אברהם יצחק הכהן קוּק</w:t>
      </w:r>
      <w:r>
        <w:rPr>
          <w:rFonts w:ascii="Arial" w:hAnsi="Arial" w:cs="Arial"/>
          <w:color w:val="202122"/>
          <w:sz w:val="21"/>
          <w:szCs w:val="21"/>
          <w:shd w:val="clear" w:color="auto" w:fill="FFFFFF"/>
          <w:rtl/>
        </w:rPr>
        <w:t> </w:t>
      </w:r>
      <w:r>
        <w:rPr>
          <w:rFonts w:ascii="Arial" w:hAnsi="Arial" w:cs="Arial" w:hint="cs"/>
          <w:color w:val="202122"/>
          <w:sz w:val="21"/>
          <w:szCs w:val="21"/>
          <w:shd w:val="clear" w:color="auto" w:fill="FFFFFF"/>
          <w:rtl/>
        </w:rPr>
        <w:t>(1835-1935)</w:t>
      </w:r>
      <w:r>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tl/>
        </w:rPr>
        <w:t>היה </w:t>
      </w:r>
      <w:hyperlink r:id="rId40" w:tooltip="הרבנות הראשית" w:history="1">
        <w:r>
          <w:rPr>
            <w:rStyle w:val="Hyperlink"/>
            <w:rFonts w:ascii="Arial" w:hAnsi="Arial" w:cs="Arial"/>
            <w:color w:val="3366CC"/>
            <w:sz w:val="21"/>
            <w:szCs w:val="21"/>
            <w:shd w:val="clear" w:color="auto" w:fill="FFFFFF"/>
            <w:rtl/>
          </w:rPr>
          <w:t>הרב הראשי</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ה</w:t>
      </w:r>
      <w:hyperlink r:id="rId41" w:tooltip="אשכנזים" w:history="1">
        <w:r>
          <w:rPr>
            <w:rStyle w:val="Hyperlink"/>
            <w:rFonts w:ascii="Arial" w:hAnsi="Arial" w:cs="Arial"/>
            <w:color w:val="3366CC"/>
            <w:sz w:val="21"/>
            <w:szCs w:val="21"/>
            <w:shd w:val="clear" w:color="auto" w:fill="FFFFFF"/>
            <w:rtl/>
          </w:rPr>
          <w:t>אשכנזי</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הראשון ב</w:t>
      </w:r>
      <w:hyperlink r:id="rId42" w:tooltip="ארץ ישראל" w:history="1">
        <w:r>
          <w:rPr>
            <w:rStyle w:val="Hyperlink"/>
            <w:rFonts w:ascii="Arial" w:hAnsi="Arial" w:cs="Arial"/>
            <w:color w:val="3366CC"/>
            <w:sz w:val="21"/>
            <w:szCs w:val="21"/>
            <w:shd w:val="clear" w:color="auto" w:fill="FFFFFF"/>
            <w:rtl/>
          </w:rPr>
          <w:t>ארץ ישראל</w:t>
        </w:r>
      </w:hyperlink>
      <w:r>
        <w:rPr>
          <w:rFonts w:ascii="Arial" w:hAnsi="Arial" w:cs="Arial" w:hint="cs"/>
          <w:color w:val="202122"/>
          <w:sz w:val="21"/>
          <w:szCs w:val="21"/>
          <w:shd w:val="clear" w:color="auto" w:fill="FFFFFF"/>
          <w:rtl/>
        </w:rPr>
        <w:t xml:space="preserve">, </w:t>
      </w:r>
      <w:hyperlink r:id="rId43" w:tooltip="פוסק" w:history="1">
        <w:r>
          <w:rPr>
            <w:rStyle w:val="Hyperlink"/>
            <w:rFonts w:ascii="Arial" w:hAnsi="Arial" w:cs="Arial"/>
            <w:color w:val="3366CC"/>
            <w:sz w:val="21"/>
            <w:szCs w:val="21"/>
            <w:shd w:val="clear" w:color="auto" w:fill="FFFFFF"/>
            <w:rtl/>
          </w:rPr>
          <w:t>פוסק</w:t>
        </w:r>
      </w:hyperlink>
      <w:r>
        <w:rPr>
          <w:rFonts w:ascii="Arial" w:hAnsi="Arial" w:cs="Arial" w:hint="cs"/>
          <w:color w:val="202122"/>
          <w:sz w:val="21"/>
          <w:szCs w:val="21"/>
          <w:shd w:val="clear" w:color="auto" w:fill="FFFFFF"/>
          <w:rtl/>
        </w:rPr>
        <w:t xml:space="preserve">, </w:t>
      </w:r>
      <w:hyperlink r:id="rId44" w:tooltip="מקובל" w:history="1">
        <w:r>
          <w:rPr>
            <w:rStyle w:val="Hyperlink"/>
            <w:rFonts w:ascii="Arial" w:hAnsi="Arial" w:cs="Arial"/>
            <w:color w:val="3366CC"/>
            <w:sz w:val="21"/>
            <w:szCs w:val="21"/>
            <w:shd w:val="clear" w:color="auto" w:fill="FFFFFF"/>
            <w:rtl/>
          </w:rPr>
          <w:t>מקובל</w:t>
        </w:r>
      </w:hyperlink>
      <w:r>
        <w:rPr>
          <w:rFonts w:ascii="Arial" w:hAnsi="Arial" w:cs="Arial"/>
          <w:color w:val="202122"/>
          <w:sz w:val="21"/>
          <w:szCs w:val="21"/>
          <w:shd w:val="clear" w:color="auto" w:fill="FFFFFF"/>
        </w:rPr>
        <w:t> </w:t>
      </w:r>
      <w:r>
        <w:rPr>
          <w:rFonts w:ascii="Arial" w:hAnsi="Arial" w:cs="Arial"/>
          <w:color w:val="202122"/>
          <w:sz w:val="21"/>
          <w:szCs w:val="21"/>
          <w:shd w:val="clear" w:color="auto" w:fill="FFFFFF"/>
          <w:rtl/>
        </w:rPr>
        <w:t>ו</w:t>
      </w:r>
      <w:hyperlink r:id="rId45" w:tooltip="הוגה דעות" w:history="1">
        <w:r>
          <w:rPr>
            <w:rStyle w:val="Hyperlink"/>
            <w:rFonts w:ascii="Arial" w:hAnsi="Arial" w:cs="Arial"/>
            <w:color w:val="3366CC"/>
            <w:sz w:val="21"/>
            <w:szCs w:val="21"/>
            <w:shd w:val="clear" w:color="auto" w:fill="FFFFFF"/>
            <w:rtl/>
          </w:rPr>
          <w:t>הוגה דעות</w:t>
        </w:r>
      </w:hyperlink>
      <w:r>
        <w:rPr>
          <w:rFonts w:ascii="Arial" w:hAnsi="Arial" w:cs="Arial" w:hint="cs"/>
          <w:color w:val="202122"/>
          <w:sz w:val="21"/>
          <w:szCs w:val="21"/>
          <w:shd w:val="clear" w:color="auto" w:fill="FFFFFF"/>
          <w:rtl/>
        </w:rPr>
        <w:t xml:space="preserve">. </w:t>
      </w:r>
      <w:r>
        <w:rPr>
          <w:rFonts w:ascii="Arial" w:hAnsi="Arial" w:cs="Arial"/>
          <w:color w:val="202122"/>
          <w:sz w:val="21"/>
          <w:szCs w:val="21"/>
          <w:shd w:val="clear" w:color="auto" w:fill="FFFFFF"/>
          <w:rtl/>
        </w:rPr>
        <w:t>נחשב לאחד מאבות </w:t>
      </w:r>
      <w:hyperlink r:id="rId46" w:tooltip="ציונות דתית" w:history="1">
        <w:r>
          <w:rPr>
            <w:rStyle w:val="Hyperlink"/>
            <w:rFonts w:ascii="Arial" w:hAnsi="Arial" w:cs="Arial"/>
            <w:color w:val="3366CC"/>
            <w:sz w:val="21"/>
            <w:szCs w:val="21"/>
            <w:shd w:val="clear" w:color="auto" w:fill="FFFFFF"/>
            <w:rtl/>
          </w:rPr>
          <w:t>הציונות הדתית</w:t>
        </w:r>
      </w:hyperlink>
      <w:r>
        <w:rPr>
          <w:rFonts w:ascii="Arial" w:hAnsi="Arial" w:cs="Arial"/>
          <w:color w:val="202122"/>
          <w:sz w:val="21"/>
          <w:szCs w:val="21"/>
          <w:shd w:val="clear" w:color="auto" w:fill="FFFFFF"/>
        </w:rPr>
        <w:t>.</w:t>
      </w:r>
    </w:p>
  </w:footnote>
  <w:footnote w:id="40">
    <w:p w14:paraId="0FF79468" w14:textId="333241CF" w:rsidR="00E31307" w:rsidRDefault="001802F5" w:rsidP="00E31307">
      <w:pPr>
        <w:pStyle w:val="a9"/>
        <w:rPr>
          <w:rtl/>
        </w:rPr>
      </w:pPr>
      <w:r>
        <w:rPr>
          <w:rStyle w:val="ab"/>
        </w:rPr>
        <w:footnoteRef/>
      </w:r>
      <w:r>
        <w:rPr>
          <w:rtl/>
        </w:rPr>
        <w:t xml:space="preserve"> </w:t>
      </w:r>
      <w:r w:rsidR="00E31307">
        <w:rPr>
          <w:rFonts w:cs="Arial" w:hint="cs"/>
          <w:rtl/>
        </w:rPr>
        <w:t xml:space="preserve">אביעד יחיאל </w:t>
      </w:r>
      <w:proofErr w:type="spellStart"/>
      <w:r w:rsidR="00E31307">
        <w:rPr>
          <w:rFonts w:cs="Arial" w:hint="cs"/>
          <w:rtl/>
        </w:rPr>
        <w:t>הולנדר</w:t>
      </w:r>
      <w:proofErr w:type="spellEnd"/>
      <w:r w:rsidR="00E31307">
        <w:rPr>
          <w:rFonts w:cs="Arial" w:hint="cs"/>
          <w:rtl/>
        </w:rPr>
        <w:t>, "</w:t>
      </w:r>
      <w:r w:rsidR="00E31307">
        <w:rPr>
          <w:rFonts w:cs="Arial"/>
          <w:rtl/>
        </w:rPr>
        <w:t>הלכה ציונית – משיחית</w:t>
      </w:r>
      <w:r w:rsidR="00E31307">
        <w:rPr>
          <w:rFonts w:hint="cs"/>
          <w:rtl/>
        </w:rPr>
        <w:t xml:space="preserve">: </w:t>
      </w:r>
      <w:r w:rsidR="00E31307">
        <w:rPr>
          <w:rFonts w:cs="Arial"/>
          <w:rtl/>
        </w:rPr>
        <w:t>הגותו הציונית - משיחית של הרב שלמה גורן והשפעותיה</w:t>
      </w:r>
      <w:r w:rsidR="00E31307">
        <w:rPr>
          <w:rFonts w:hint="cs"/>
          <w:rtl/>
        </w:rPr>
        <w:t xml:space="preserve"> </w:t>
      </w:r>
      <w:r w:rsidR="00E31307">
        <w:rPr>
          <w:rFonts w:cs="Arial"/>
          <w:rtl/>
        </w:rPr>
        <w:t>על פסיקותיו ההלכתיות</w:t>
      </w:r>
      <w:r w:rsidR="00E31307">
        <w:rPr>
          <w:rFonts w:hint="cs"/>
          <w:rtl/>
        </w:rPr>
        <w:t xml:space="preserve">", </w:t>
      </w:r>
      <w:r w:rsidR="00E31307">
        <w:rPr>
          <w:rFonts w:cs="Arial" w:hint="cs"/>
          <w:rtl/>
        </w:rPr>
        <w:t>בתוך</w:t>
      </w:r>
      <w:r w:rsidR="00E31307">
        <w:rPr>
          <w:rFonts w:hint="cs"/>
          <w:rtl/>
        </w:rPr>
        <w:t xml:space="preserve">: </w:t>
      </w:r>
      <w:r w:rsidR="00E31307">
        <w:rPr>
          <w:rFonts w:cs="Arial"/>
          <w:rtl/>
        </w:rPr>
        <w:t xml:space="preserve">ידידיה צ’ שטרן </w:t>
      </w:r>
      <w:r w:rsidR="00E31307">
        <w:rPr>
          <w:rFonts w:cs="Arial" w:hint="cs"/>
          <w:rtl/>
        </w:rPr>
        <w:t>ו</w:t>
      </w:r>
      <w:r w:rsidR="00E31307">
        <w:rPr>
          <w:rFonts w:cs="Arial"/>
          <w:rtl/>
        </w:rPr>
        <w:t>יאיר שלג</w:t>
      </w:r>
      <w:r w:rsidR="00E31307">
        <w:rPr>
          <w:rFonts w:hint="cs"/>
          <w:rtl/>
        </w:rPr>
        <w:t xml:space="preserve"> (עורכים)</w:t>
      </w:r>
      <w:r w:rsidR="00E31307">
        <w:rPr>
          <w:rFonts w:cs="Arial" w:hint="cs"/>
          <w:rtl/>
        </w:rPr>
        <w:t>,</w:t>
      </w:r>
      <w:r w:rsidR="00E31307">
        <w:rPr>
          <w:rFonts w:cs="Arial"/>
          <w:rtl/>
        </w:rPr>
        <w:t xml:space="preserve"> הלכה ציונית : המשמעויות ההלכתיות של הריבונות היהודית</w:t>
      </w:r>
      <w:r w:rsidR="00E31307">
        <w:rPr>
          <w:rFonts w:cs="Arial" w:hint="cs"/>
          <w:rtl/>
        </w:rPr>
        <w:t xml:space="preserve">, </w:t>
      </w:r>
      <w:r w:rsidR="00E31307">
        <w:rPr>
          <w:rFonts w:cs="Arial"/>
          <w:rtl/>
        </w:rPr>
        <w:t>ירושלים: המכון הישראלי לדמוקרטיה</w:t>
      </w:r>
      <w:r w:rsidR="00E31307">
        <w:rPr>
          <w:rFonts w:cs="Arial" w:hint="cs"/>
          <w:rtl/>
        </w:rPr>
        <w:t xml:space="preserve"> תשע"ח</w:t>
      </w:r>
      <w:r w:rsidR="00E31307">
        <w:rPr>
          <w:rFonts w:hint="cs"/>
          <w:rtl/>
        </w:rPr>
        <w:t xml:space="preserve">, עמ' 647-646; עמ' 667-666; </w:t>
      </w:r>
      <w:r w:rsidR="00E31307">
        <w:rPr>
          <w:rFonts w:cs="Arial" w:hint="cs"/>
          <w:rtl/>
        </w:rPr>
        <w:t xml:space="preserve">יצחק א' </w:t>
      </w:r>
      <w:proofErr w:type="spellStart"/>
      <w:r w:rsidR="00E31307">
        <w:rPr>
          <w:rFonts w:cs="Arial" w:hint="cs"/>
          <w:rtl/>
        </w:rPr>
        <w:t>רונס</w:t>
      </w:r>
      <w:proofErr w:type="spellEnd"/>
      <w:r w:rsidR="00E31307">
        <w:rPr>
          <w:rFonts w:cs="Arial" w:hint="cs"/>
          <w:rtl/>
        </w:rPr>
        <w:t>, "</w:t>
      </w:r>
      <w:r w:rsidR="00E31307">
        <w:rPr>
          <w:rFonts w:cs="Arial"/>
          <w:rtl/>
        </w:rPr>
        <w:t>אידאולוגיה ציונית דתית והלכות מדינה</w:t>
      </w:r>
    </w:p>
    <w:p w14:paraId="702726E8" w14:textId="1A7728D5" w:rsidR="001802F5" w:rsidRDefault="00E31307" w:rsidP="00E31307">
      <w:pPr>
        <w:pStyle w:val="a9"/>
      </w:pPr>
      <w:r>
        <w:rPr>
          <w:rFonts w:cs="Arial"/>
          <w:rtl/>
        </w:rPr>
        <w:t>במשנתו של הרב שאול ישראלי</w:t>
      </w:r>
      <w:r>
        <w:rPr>
          <w:rFonts w:hint="cs"/>
          <w:rtl/>
        </w:rPr>
        <w:t>", בתוך: הלכה ציונית שם, עמ' 744-739</w:t>
      </w:r>
      <w:r w:rsidR="004A2627">
        <w:rPr>
          <w:rFonts w:hint="cs"/>
          <w:rtl/>
        </w:rPr>
        <w:t>, 748-747</w:t>
      </w:r>
      <w:r>
        <w:rPr>
          <w:rFonts w:hint="cs"/>
          <w:rtl/>
        </w:rPr>
        <w:t xml:space="preserve">; </w:t>
      </w:r>
      <w:r w:rsidR="001802F5">
        <w:rPr>
          <w:rFonts w:hint="cs"/>
          <w:rtl/>
        </w:rPr>
        <w:t>הרשקובי</w:t>
      </w:r>
      <w:r w:rsidR="0041188F">
        <w:rPr>
          <w:rFonts w:hint="cs"/>
          <w:rtl/>
        </w:rPr>
        <w:t>ץ, עבודת ד"ר, עמ' 177-174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4448438"/>
      <w:docPartObj>
        <w:docPartGallery w:val="Page Numbers (Top of Page)"/>
        <w:docPartUnique/>
      </w:docPartObj>
    </w:sdtPr>
    <w:sdtContent>
      <w:p w14:paraId="2049E9F0" w14:textId="78E8E9BC" w:rsidR="00B26960" w:rsidRDefault="00B26960">
        <w:pPr>
          <w:pStyle w:val="a6"/>
          <w:jc w:val="right"/>
        </w:pPr>
        <w:r>
          <w:fldChar w:fldCharType="begin"/>
        </w:r>
        <w:r>
          <w:instrText>PAGE   \* MERGEFORMAT</w:instrText>
        </w:r>
        <w:r>
          <w:fldChar w:fldCharType="separate"/>
        </w:r>
        <w:r>
          <w:rPr>
            <w:rtl/>
            <w:lang w:val="he-IL"/>
          </w:rPr>
          <w:t>2</w:t>
        </w:r>
        <w:r>
          <w:fldChar w:fldCharType="end"/>
        </w:r>
      </w:p>
    </w:sdtContent>
  </w:sdt>
  <w:p w14:paraId="70DF514F" w14:textId="77777777" w:rsidR="00B26960" w:rsidRDefault="00B26960">
    <w:pPr>
      <w:pStyle w:val="a6"/>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os Israel-vleeschhouwer">
    <w15:presenceInfo w15:providerId="AD" w15:userId="S::aisrael@mail.sapir.ac.il::c86fc700-359c-417c-8989-61fde14ff558"/>
  </w15:person>
  <w15:person w15:author="Itzhak Brand">
    <w15:presenceInfo w15:providerId="AD" w15:userId="S::BRANDI@biu.ac.il::28285b30-73a9-415a-911d-8ce4f8624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96"/>
    <w:rsid w:val="000027B9"/>
    <w:rsid w:val="00024126"/>
    <w:rsid w:val="00032158"/>
    <w:rsid w:val="000410F0"/>
    <w:rsid w:val="000500BE"/>
    <w:rsid w:val="000519C2"/>
    <w:rsid w:val="0007535C"/>
    <w:rsid w:val="00090D13"/>
    <w:rsid w:val="000A78A0"/>
    <w:rsid w:val="000B72B1"/>
    <w:rsid w:val="000C1289"/>
    <w:rsid w:val="000D61E9"/>
    <w:rsid w:val="000E6AC4"/>
    <w:rsid w:val="000F2427"/>
    <w:rsid w:val="000F3173"/>
    <w:rsid w:val="00143111"/>
    <w:rsid w:val="00143D6D"/>
    <w:rsid w:val="00144C10"/>
    <w:rsid w:val="00172BED"/>
    <w:rsid w:val="0017773D"/>
    <w:rsid w:val="001802F5"/>
    <w:rsid w:val="00195C39"/>
    <w:rsid w:val="001A0653"/>
    <w:rsid w:val="001A0F81"/>
    <w:rsid w:val="001B41EB"/>
    <w:rsid w:val="001B5B0D"/>
    <w:rsid w:val="001C2537"/>
    <w:rsid w:val="00207255"/>
    <w:rsid w:val="0021089F"/>
    <w:rsid w:val="002404AE"/>
    <w:rsid w:val="00242148"/>
    <w:rsid w:val="00254C3A"/>
    <w:rsid w:val="0025505E"/>
    <w:rsid w:val="002612B3"/>
    <w:rsid w:val="002630FF"/>
    <w:rsid w:val="002662FF"/>
    <w:rsid w:val="002874B7"/>
    <w:rsid w:val="00293BBE"/>
    <w:rsid w:val="002A10F8"/>
    <w:rsid w:val="002A1F3A"/>
    <w:rsid w:val="002C00E1"/>
    <w:rsid w:val="002C131A"/>
    <w:rsid w:val="002C3942"/>
    <w:rsid w:val="002F5AFC"/>
    <w:rsid w:val="002F657E"/>
    <w:rsid w:val="00334F38"/>
    <w:rsid w:val="00336223"/>
    <w:rsid w:val="00346822"/>
    <w:rsid w:val="00351078"/>
    <w:rsid w:val="00356310"/>
    <w:rsid w:val="00381939"/>
    <w:rsid w:val="0038683D"/>
    <w:rsid w:val="0038734B"/>
    <w:rsid w:val="00392CF6"/>
    <w:rsid w:val="003A0B18"/>
    <w:rsid w:val="003A12B5"/>
    <w:rsid w:val="003A58F7"/>
    <w:rsid w:val="003A5E73"/>
    <w:rsid w:val="003C7B1E"/>
    <w:rsid w:val="003D6987"/>
    <w:rsid w:val="0041188F"/>
    <w:rsid w:val="00411F4C"/>
    <w:rsid w:val="0041510D"/>
    <w:rsid w:val="0043572E"/>
    <w:rsid w:val="00446273"/>
    <w:rsid w:val="004536C3"/>
    <w:rsid w:val="004A2627"/>
    <w:rsid w:val="004A3E79"/>
    <w:rsid w:val="004B0A89"/>
    <w:rsid w:val="004B0BF3"/>
    <w:rsid w:val="004B7757"/>
    <w:rsid w:val="004C4B4A"/>
    <w:rsid w:val="004D03F3"/>
    <w:rsid w:val="004D2D57"/>
    <w:rsid w:val="004E15A3"/>
    <w:rsid w:val="004E6474"/>
    <w:rsid w:val="004E7CFE"/>
    <w:rsid w:val="004F0347"/>
    <w:rsid w:val="00520463"/>
    <w:rsid w:val="0054009F"/>
    <w:rsid w:val="00546639"/>
    <w:rsid w:val="005614B7"/>
    <w:rsid w:val="00566AEB"/>
    <w:rsid w:val="005678BE"/>
    <w:rsid w:val="0056795C"/>
    <w:rsid w:val="00570326"/>
    <w:rsid w:val="00583E68"/>
    <w:rsid w:val="00592DB8"/>
    <w:rsid w:val="00593B98"/>
    <w:rsid w:val="005A099B"/>
    <w:rsid w:val="005C1570"/>
    <w:rsid w:val="005D17F5"/>
    <w:rsid w:val="005F0384"/>
    <w:rsid w:val="00606540"/>
    <w:rsid w:val="00606991"/>
    <w:rsid w:val="00607A4F"/>
    <w:rsid w:val="00626FD1"/>
    <w:rsid w:val="00626FF6"/>
    <w:rsid w:val="00641292"/>
    <w:rsid w:val="00642F96"/>
    <w:rsid w:val="006567CD"/>
    <w:rsid w:val="0067237A"/>
    <w:rsid w:val="00672CF2"/>
    <w:rsid w:val="00674E21"/>
    <w:rsid w:val="00677F3C"/>
    <w:rsid w:val="00680B07"/>
    <w:rsid w:val="006820C6"/>
    <w:rsid w:val="0069710A"/>
    <w:rsid w:val="006A1232"/>
    <w:rsid w:val="006A1672"/>
    <w:rsid w:val="006B5981"/>
    <w:rsid w:val="006D01B7"/>
    <w:rsid w:val="006D13D6"/>
    <w:rsid w:val="006F4E95"/>
    <w:rsid w:val="006F6C11"/>
    <w:rsid w:val="006F75CA"/>
    <w:rsid w:val="0070491E"/>
    <w:rsid w:val="00716398"/>
    <w:rsid w:val="007171D2"/>
    <w:rsid w:val="007624C0"/>
    <w:rsid w:val="007706C4"/>
    <w:rsid w:val="0077384B"/>
    <w:rsid w:val="00780594"/>
    <w:rsid w:val="00784B84"/>
    <w:rsid w:val="00787897"/>
    <w:rsid w:val="007878D9"/>
    <w:rsid w:val="007A0A54"/>
    <w:rsid w:val="007A50A8"/>
    <w:rsid w:val="007B3282"/>
    <w:rsid w:val="007C58BF"/>
    <w:rsid w:val="007C628B"/>
    <w:rsid w:val="007D4F2A"/>
    <w:rsid w:val="007E631B"/>
    <w:rsid w:val="00800C26"/>
    <w:rsid w:val="00823EF8"/>
    <w:rsid w:val="00826F35"/>
    <w:rsid w:val="00836120"/>
    <w:rsid w:val="008478F8"/>
    <w:rsid w:val="00873C9D"/>
    <w:rsid w:val="008A64EC"/>
    <w:rsid w:val="008C57E1"/>
    <w:rsid w:val="008E2F0C"/>
    <w:rsid w:val="008E3035"/>
    <w:rsid w:val="008F0F69"/>
    <w:rsid w:val="0090043D"/>
    <w:rsid w:val="009059DA"/>
    <w:rsid w:val="00913F64"/>
    <w:rsid w:val="00926F46"/>
    <w:rsid w:val="00957386"/>
    <w:rsid w:val="00984872"/>
    <w:rsid w:val="0099226A"/>
    <w:rsid w:val="009B4EFE"/>
    <w:rsid w:val="009B5758"/>
    <w:rsid w:val="009C782D"/>
    <w:rsid w:val="009D0A17"/>
    <w:rsid w:val="009D477B"/>
    <w:rsid w:val="009D53E4"/>
    <w:rsid w:val="009E65F1"/>
    <w:rsid w:val="009F27DA"/>
    <w:rsid w:val="009F7517"/>
    <w:rsid w:val="009F7E57"/>
    <w:rsid w:val="00A05870"/>
    <w:rsid w:val="00A10818"/>
    <w:rsid w:val="00A308C6"/>
    <w:rsid w:val="00A34509"/>
    <w:rsid w:val="00A34631"/>
    <w:rsid w:val="00A462B7"/>
    <w:rsid w:val="00A55FAF"/>
    <w:rsid w:val="00A56576"/>
    <w:rsid w:val="00A654A2"/>
    <w:rsid w:val="00A67848"/>
    <w:rsid w:val="00A74BCC"/>
    <w:rsid w:val="00A83EEE"/>
    <w:rsid w:val="00A841C9"/>
    <w:rsid w:val="00A8447E"/>
    <w:rsid w:val="00A87B73"/>
    <w:rsid w:val="00AA5B2A"/>
    <w:rsid w:val="00AA6F1D"/>
    <w:rsid w:val="00AB6DF1"/>
    <w:rsid w:val="00AC3CCB"/>
    <w:rsid w:val="00AD4931"/>
    <w:rsid w:val="00AE668B"/>
    <w:rsid w:val="00B0035C"/>
    <w:rsid w:val="00B00B29"/>
    <w:rsid w:val="00B0333B"/>
    <w:rsid w:val="00B26960"/>
    <w:rsid w:val="00B6267D"/>
    <w:rsid w:val="00B6723B"/>
    <w:rsid w:val="00B70D06"/>
    <w:rsid w:val="00B83F39"/>
    <w:rsid w:val="00B91B89"/>
    <w:rsid w:val="00BA2C5B"/>
    <w:rsid w:val="00BB0DD1"/>
    <w:rsid w:val="00BD24D2"/>
    <w:rsid w:val="00BE53C5"/>
    <w:rsid w:val="00BF2244"/>
    <w:rsid w:val="00C10BC0"/>
    <w:rsid w:val="00C26396"/>
    <w:rsid w:val="00C34753"/>
    <w:rsid w:val="00C34A64"/>
    <w:rsid w:val="00C37C4C"/>
    <w:rsid w:val="00C457BA"/>
    <w:rsid w:val="00C508E3"/>
    <w:rsid w:val="00C52F39"/>
    <w:rsid w:val="00C84AFD"/>
    <w:rsid w:val="00C93763"/>
    <w:rsid w:val="00CC16A6"/>
    <w:rsid w:val="00CC2509"/>
    <w:rsid w:val="00CC4073"/>
    <w:rsid w:val="00CF6B7D"/>
    <w:rsid w:val="00D0311F"/>
    <w:rsid w:val="00D07865"/>
    <w:rsid w:val="00D118E3"/>
    <w:rsid w:val="00D176F3"/>
    <w:rsid w:val="00D20568"/>
    <w:rsid w:val="00D21B58"/>
    <w:rsid w:val="00D231F4"/>
    <w:rsid w:val="00D279E9"/>
    <w:rsid w:val="00D33ECC"/>
    <w:rsid w:val="00D3689A"/>
    <w:rsid w:val="00D604B5"/>
    <w:rsid w:val="00D63F79"/>
    <w:rsid w:val="00D6472D"/>
    <w:rsid w:val="00D869E3"/>
    <w:rsid w:val="00D936C2"/>
    <w:rsid w:val="00D96356"/>
    <w:rsid w:val="00DC2D9C"/>
    <w:rsid w:val="00E01BC7"/>
    <w:rsid w:val="00E1085D"/>
    <w:rsid w:val="00E138EF"/>
    <w:rsid w:val="00E27FDB"/>
    <w:rsid w:val="00E31307"/>
    <w:rsid w:val="00E459EB"/>
    <w:rsid w:val="00E54DEC"/>
    <w:rsid w:val="00E9613B"/>
    <w:rsid w:val="00EA5F09"/>
    <w:rsid w:val="00EA6D84"/>
    <w:rsid w:val="00EB0812"/>
    <w:rsid w:val="00ED76E8"/>
    <w:rsid w:val="00EE2E98"/>
    <w:rsid w:val="00F02EAF"/>
    <w:rsid w:val="00F27F31"/>
    <w:rsid w:val="00F33F75"/>
    <w:rsid w:val="00F34821"/>
    <w:rsid w:val="00F64AA8"/>
    <w:rsid w:val="00F779C7"/>
    <w:rsid w:val="00FA4611"/>
    <w:rsid w:val="00FA776D"/>
    <w:rsid w:val="00FB3A7F"/>
    <w:rsid w:val="00FD16D9"/>
    <w:rsid w:val="00FD1A2A"/>
    <w:rsid w:val="00FE2499"/>
    <w:rsid w:val="00FE6F64"/>
    <w:rsid w:val="00FF1B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7433"/>
  <w15:chartTrackingRefBased/>
  <w15:docId w15:val="{FA1305CF-F19A-4A31-AD64-48363F51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13D6"/>
    <w:pPr>
      <w:tabs>
        <w:tab w:val="center" w:pos="4153"/>
        <w:tab w:val="right" w:pos="8306"/>
      </w:tabs>
      <w:spacing w:after="0" w:line="240" w:lineRule="auto"/>
    </w:pPr>
  </w:style>
  <w:style w:type="character" w:customStyle="1" w:styleId="a4">
    <w:name w:val="כותרת תחתונה תו"/>
    <w:basedOn w:val="a0"/>
    <w:link w:val="a3"/>
    <w:uiPriority w:val="99"/>
    <w:rsid w:val="006D13D6"/>
  </w:style>
  <w:style w:type="character" w:styleId="a5">
    <w:name w:val="page number"/>
    <w:basedOn w:val="a0"/>
    <w:uiPriority w:val="99"/>
    <w:semiHidden/>
    <w:unhideWhenUsed/>
    <w:rsid w:val="006D13D6"/>
  </w:style>
  <w:style w:type="character" w:customStyle="1" w:styleId="spantextcontent292">
    <w:name w:val="span_text_content292"/>
    <w:basedOn w:val="a0"/>
    <w:rsid w:val="0021089F"/>
  </w:style>
  <w:style w:type="character" w:customStyle="1" w:styleId="spantextcontent293">
    <w:name w:val="span_text_content293"/>
    <w:basedOn w:val="a0"/>
    <w:rsid w:val="0021089F"/>
  </w:style>
  <w:style w:type="character" w:customStyle="1" w:styleId="spantextcontent294">
    <w:name w:val="span_text_content294"/>
    <w:basedOn w:val="a0"/>
    <w:rsid w:val="0021089F"/>
  </w:style>
  <w:style w:type="character" w:customStyle="1" w:styleId="spantextcontent295">
    <w:name w:val="span_text_content295"/>
    <w:basedOn w:val="a0"/>
    <w:rsid w:val="0021089F"/>
  </w:style>
  <w:style w:type="character" w:customStyle="1" w:styleId="spantextcontent296">
    <w:name w:val="span_text_content296"/>
    <w:basedOn w:val="a0"/>
    <w:rsid w:val="0021089F"/>
  </w:style>
  <w:style w:type="character" w:customStyle="1" w:styleId="spantextcontent297">
    <w:name w:val="span_text_content297"/>
    <w:basedOn w:val="a0"/>
    <w:rsid w:val="0021089F"/>
  </w:style>
  <w:style w:type="paragraph" w:styleId="a6">
    <w:name w:val="header"/>
    <w:basedOn w:val="a"/>
    <w:link w:val="a7"/>
    <w:uiPriority w:val="99"/>
    <w:unhideWhenUsed/>
    <w:rsid w:val="00B26960"/>
    <w:pPr>
      <w:tabs>
        <w:tab w:val="center" w:pos="4153"/>
        <w:tab w:val="right" w:pos="8306"/>
      </w:tabs>
      <w:spacing w:after="0" w:line="240" w:lineRule="auto"/>
    </w:pPr>
  </w:style>
  <w:style w:type="character" w:customStyle="1" w:styleId="a7">
    <w:name w:val="כותרת עליונה תו"/>
    <w:basedOn w:val="a0"/>
    <w:link w:val="a6"/>
    <w:uiPriority w:val="99"/>
    <w:rsid w:val="00B26960"/>
  </w:style>
  <w:style w:type="paragraph" w:styleId="a8">
    <w:name w:val="Revision"/>
    <w:hidden/>
    <w:uiPriority w:val="99"/>
    <w:semiHidden/>
    <w:rsid w:val="00D231F4"/>
    <w:pPr>
      <w:bidi w:val="0"/>
      <w:spacing w:after="0" w:line="240" w:lineRule="auto"/>
    </w:pPr>
  </w:style>
  <w:style w:type="paragraph" w:styleId="a9">
    <w:name w:val="footnote text"/>
    <w:basedOn w:val="a"/>
    <w:link w:val="aa"/>
    <w:uiPriority w:val="99"/>
    <w:unhideWhenUsed/>
    <w:rsid w:val="00D231F4"/>
    <w:pPr>
      <w:spacing w:after="0" w:line="240" w:lineRule="auto"/>
    </w:pPr>
    <w:rPr>
      <w:sz w:val="20"/>
      <w:szCs w:val="20"/>
    </w:rPr>
  </w:style>
  <w:style w:type="character" w:customStyle="1" w:styleId="aa">
    <w:name w:val="טקסט הערת שוליים תו"/>
    <w:basedOn w:val="a0"/>
    <w:link w:val="a9"/>
    <w:uiPriority w:val="99"/>
    <w:rsid w:val="00D231F4"/>
    <w:rPr>
      <w:sz w:val="20"/>
      <w:szCs w:val="20"/>
    </w:rPr>
  </w:style>
  <w:style w:type="character" w:styleId="ab">
    <w:name w:val="footnote reference"/>
    <w:basedOn w:val="a0"/>
    <w:uiPriority w:val="99"/>
    <w:semiHidden/>
    <w:unhideWhenUsed/>
    <w:rsid w:val="00D231F4"/>
    <w:rPr>
      <w:vertAlign w:val="superscript"/>
    </w:rPr>
  </w:style>
  <w:style w:type="character" w:styleId="Hyperlink">
    <w:name w:val="Hyperlink"/>
    <w:basedOn w:val="a0"/>
    <w:uiPriority w:val="99"/>
    <w:unhideWhenUsed/>
    <w:rsid w:val="00334F38"/>
    <w:rPr>
      <w:color w:val="0000FF"/>
      <w:u w:val="single"/>
    </w:rPr>
  </w:style>
  <w:style w:type="character" w:customStyle="1" w:styleId="apple-converted-space">
    <w:name w:val="apple-converted-space"/>
    <w:basedOn w:val="a0"/>
    <w:rsid w:val="00334F38"/>
  </w:style>
  <w:style w:type="character" w:styleId="ac">
    <w:name w:val="annotation reference"/>
    <w:basedOn w:val="a0"/>
    <w:uiPriority w:val="99"/>
    <w:semiHidden/>
    <w:unhideWhenUsed/>
    <w:rsid w:val="00642F96"/>
    <w:rPr>
      <w:sz w:val="16"/>
      <w:szCs w:val="16"/>
    </w:rPr>
  </w:style>
  <w:style w:type="paragraph" w:styleId="ad">
    <w:name w:val="annotation text"/>
    <w:basedOn w:val="a"/>
    <w:link w:val="ae"/>
    <w:uiPriority w:val="99"/>
    <w:unhideWhenUsed/>
    <w:rsid w:val="00642F96"/>
    <w:pPr>
      <w:spacing w:line="240" w:lineRule="auto"/>
    </w:pPr>
    <w:rPr>
      <w:sz w:val="20"/>
      <w:szCs w:val="20"/>
    </w:rPr>
  </w:style>
  <w:style w:type="character" w:customStyle="1" w:styleId="ae">
    <w:name w:val="טקסט הערה תו"/>
    <w:basedOn w:val="a0"/>
    <w:link w:val="ad"/>
    <w:uiPriority w:val="99"/>
    <w:rsid w:val="00642F96"/>
    <w:rPr>
      <w:sz w:val="20"/>
      <w:szCs w:val="20"/>
    </w:rPr>
  </w:style>
  <w:style w:type="paragraph" w:styleId="af">
    <w:name w:val="annotation subject"/>
    <w:basedOn w:val="ad"/>
    <w:next w:val="ad"/>
    <w:link w:val="af0"/>
    <w:uiPriority w:val="99"/>
    <w:semiHidden/>
    <w:unhideWhenUsed/>
    <w:rsid w:val="00642F96"/>
    <w:rPr>
      <w:b/>
      <w:bCs/>
    </w:rPr>
  </w:style>
  <w:style w:type="character" w:customStyle="1" w:styleId="af0">
    <w:name w:val="נושא הערה תו"/>
    <w:basedOn w:val="ae"/>
    <w:link w:val="af"/>
    <w:uiPriority w:val="99"/>
    <w:semiHidden/>
    <w:rsid w:val="00642F96"/>
    <w:rPr>
      <w:b/>
      <w:bCs/>
      <w:sz w:val="20"/>
      <w:szCs w:val="20"/>
    </w:rPr>
  </w:style>
  <w:style w:type="character" w:styleId="af1">
    <w:name w:val="Unresolved Mention"/>
    <w:basedOn w:val="a0"/>
    <w:uiPriority w:val="99"/>
    <w:semiHidden/>
    <w:unhideWhenUsed/>
    <w:rsid w:val="007C6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he.wikipedia.org/wiki/%D7%94%D7%95%D7%92%D7%94_%D7%93%D7%A2%D7%95%D7%AA" TargetMode="External"/><Relationship Id="rId18" Type="http://schemas.openxmlformats.org/officeDocument/2006/relationships/hyperlink" Target="https://he.wikipedia.org/wiki/%D7%9B%D7%99%D7%9E%D7%99%D7%94_%D7%90%D7%95%D7%A8%D7%92%D7%A0%D7%99%D7%AA" TargetMode="External"/><Relationship Id="rId26" Type="http://schemas.openxmlformats.org/officeDocument/2006/relationships/hyperlink" Target="https://he.wikipedia.org/wiki/%D7%A8%D7%91" TargetMode="External"/><Relationship Id="rId39" Type="http://schemas.openxmlformats.org/officeDocument/2006/relationships/hyperlink" Target="https://he.wikipedia.org/wiki/%D7%94%D7%A6%D7%99%D7%95%D7%A0%D7%95%D7%AA_%D7%94%D7%93%D7%AA%D7%99%D7%AA" TargetMode="External"/><Relationship Id="rId21" Type="http://schemas.openxmlformats.org/officeDocument/2006/relationships/hyperlink" Target="https://he.wikipedia.org/wiki/%D7%97%D7%96%D7%95%D7%9F_%D7%90%D7%99%D7%A9" TargetMode="External"/><Relationship Id="rId34" Type="http://schemas.openxmlformats.org/officeDocument/2006/relationships/hyperlink" Target="https://he.wikipedia.org/wiki/%D7%A1%D7%A4%D7%A8%D7%95%D7%AA_%D7%AA%D7%95%D7%A8%D7%A0%D7%99%D7%AA" TargetMode="External"/><Relationship Id="rId42" Type="http://schemas.openxmlformats.org/officeDocument/2006/relationships/hyperlink" Target="https://he.wikipedia.org/wiki/%D7%90%D7%A8%D7%A5_%D7%99%D7%A9%D7%A8%D7%90%D7%9C" TargetMode="External"/><Relationship Id="rId7" Type="http://schemas.openxmlformats.org/officeDocument/2006/relationships/hyperlink" Target="https://he.wikipedia.org/wiki/%D7%94%D7%A2%D7%9C%D7%99%D7%99%D7%94_%D7%94%D7%A9%D7%9C%D7%99%D7%A9%D7%99%D7%AA" TargetMode="External"/><Relationship Id="rId2" Type="http://schemas.openxmlformats.org/officeDocument/2006/relationships/hyperlink" Target="https://he.wikipedia.org/wiki/%D7%97%D7%99%D7%9C%D7%95%D7%A0%D7%99%D7%95%D7%AA_%D7%99%D7%94%D7%95%D7%93%D7%99%D7%AA" TargetMode="External"/><Relationship Id="rId16" Type="http://schemas.openxmlformats.org/officeDocument/2006/relationships/hyperlink" Target="https://he.wikipedia.org/wiki/%D7%A4%D7%A8%D7%95%D7%A4%D7%A1%D7%95%D7%A8" TargetMode="External"/><Relationship Id="rId29" Type="http://schemas.openxmlformats.org/officeDocument/2006/relationships/hyperlink" Target="https://he.wikipedia.org/wiki/%D7%90%D7%A8%D7%A5_%D7%99%D7%A9%D7%A8%D7%90%D7%9C" TargetMode="External"/><Relationship Id="rId1" Type="http://schemas.openxmlformats.org/officeDocument/2006/relationships/hyperlink" Target="https://he.wikipedia.org/wiki/%D7%A6%D7%99%D7%95%D7%A0%D7%95%D7%AA_%D7%A8%D7%95%D7%97%D7%A0%D7%99%D7%AA" TargetMode="External"/><Relationship Id="rId6" Type="http://schemas.openxmlformats.org/officeDocument/2006/relationships/hyperlink" Target="https://he.wikipedia.org/wiki/%D7%94%D7%A2%D7%9C%D7%99%D7%99%D7%94_%D7%94%D7%A9%D7%A0%D7%99%D7%99%D7%94" TargetMode="External"/><Relationship Id="rId11" Type="http://schemas.openxmlformats.org/officeDocument/2006/relationships/hyperlink" Target="https://he.wikipedia.org/wiki/%D7%9E%D7%97%D7%A0%D7%9A" TargetMode="External"/><Relationship Id="rId24" Type="http://schemas.openxmlformats.org/officeDocument/2006/relationships/hyperlink" Target="https://he.wikipedia.org/wiki/%D7%99%D7%94%D7%93%D7%95%D7%AA_%D7%97%D7%A8%D7%93%D7%99%D7%AA" TargetMode="External"/><Relationship Id="rId32" Type="http://schemas.openxmlformats.org/officeDocument/2006/relationships/hyperlink" Target="https://he.wikipedia.org/wiki/%D7%99%D7%94%D7%93%D7%95%D7%AA_%D7%90%D7%99%D7%A8%D7%9C%D7%A0%D7%93" TargetMode="External"/><Relationship Id="rId37" Type="http://schemas.openxmlformats.org/officeDocument/2006/relationships/hyperlink" Target="https://he.wikipedia.org/wiki/%D7%99%D7%A9%D7%A8%D7%90%D7%9C%D7%99" TargetMode="External"/><Relationship Id="rId40" Type="http://schemas.openxmlformats.org/officeDocument/2006/relationships/hyperlink" Target="https://he.wikipedia.org/wiki/%D7%94%D7%A8%D7%91%D7%A0%D7%95%D7%AA_%D7%94%D7%A8%D7%90%D7%A9%D7%99%D7%AA" TargetMode="External"/><Relationship Id="rId45" Type="http://schemas.openxmlformats.org/officeDocument/2006/relationships/hyperlink" Target="https://he.wikipedia.org/wiki/%D7%94%D7%95%D7%92%D7%94_%D7%93%D7%A2%D7%95%D7%AA" TargetMode="External"/><Relationship Id="rId5" Type="http://schemas.openxmlformats.org/officeDocument/2006/relationships/hyperlink" Target="https://he.wikipedia.org/wiki/%D7%9E%D7%95%D7%A8%D7%94_%D7%A8%D7%95%D7%97%D7%A0%D7%99_(%D7%94%D7%A2%D7%99%D7%93%D7%9F_%D7%94%D7%97%D7%93%D7%A9)" TargetMode="External"/><Relationship Id="rId15" Type="http://schemas.openxmlformats.org/officeDocument/2006/relationships/hyperlink" Target="https://he.wikipedia.org/wiki/%D7%94%D7%90%D7%A0%D7%A6%D7%99%D7%A7%D7%9C%D7%95%D7%A4%D7%93%D7%99%D7%94_%D7%94%D7%A2%D7%91%D7%A8%D7%99%D7%AA" TargetMode="External"/><Relationship Id="rId23" Type="http://schemas.openxmlformats.org/officeDocument/2006/relationships/hyperlink" Target="https://he.wikipedia.org/wiki/%D7%94%D7%9E%D7%90%D7%94_%D7%94-20" TargetMode="External"/><Relationship Id="rId28" Type="http://schemas.openxmlformats.org/officeDocument/2006/relationships/hyperlink" Target="https://he.wikipedia.org/wiki/%D7%99%D7%94%D7%93%D7%95%D7%AA_%D7%90%D7%A9%D7%9B%D7%A0%D7%96" TargetMode="External"/><Relationship Id="rId36" Type="http://schemas.openxmlformats.org/officeDocument/2006/relationships/hyperlink" Target="https://he.wikipedia.org/wiki/%D7%A7%D7%A0%D7%93%D7%94" TargetMode="External"/><Relationship Id="rId10" Type="http://schemas.openxmlformats.org/officeDocument/2006/relationships/hyperlink" Target="https://he.wikipedia.org/wiki/%D7%97%D7%91%D7%A8_%D7%94%D7%9B%D7%A0%D7%A1%D7%AA" TargetMode="External"/><Relationship Id="rId19" Type="http://schemas.openxmlformats.org/officeDocument/2006/relationships/hyperlink" Target="https://he.wikipedia.org/wiki/%D7%A0%D7%95%D7%99%D7%A8%D7%95%D7%A4%D7%99%D7%96%D7%99%D7%95%D7%9C%D7%95%D7%92%D7%99%D7%94" TargetMode="External"/><Relationship Id="rId31" Type="http://schemas.openxmlformats.org/officeDocument/2006/relationships/hyperlink" Target="https://he.wikipedia.org/wiki/%D7%99%D7%A9%D7%A8%D7%90%D7%9C" TargetMode="External"/><Relationship Id="rId44" Type="http://schemas.openxmlformats.org/officeDocument/2006/relationships/hyperlink" Target="https://he.wikipedia.org/wiki/%D7%9E%D7%A7%D7%95%D7%91%D7%9C" TargetMode="External"/><Relationship Id="rId4" Type="http://schemas.openxmlformats.org/officeDocument/2006/relationships/hyperlink" Target="https://he.wikipedia.org/wiki/%D7%97%D7%A7%D7%9C%D7%90%D7%95%D7%AA" TargetMode="External"/><Relationship Id="rId9" Type="http://schemas.openxmlformats.org/officeDocument/2006/relationships/hyperlink" Target="https://he.wikipedia.org/wiki/%D7%A8%D7%91" TargetMode="External"/><Relationship Id="rId14" Type="http://schemas.openxmlformats.org/officeDocument/2006/relationships/hyperlink" Target="https://he.wikipedia.org/wiki/%D7%A2%D7%95%D7%A8%D7%9A" TargetMode="External"/><Relationship Id="rId22" Type="http://schemas.openxmlformats.org/officeDocument/2006/relationships/hyperlink" Target="https://he.wikipedia.org/wiki/%D7%A4%D7%95%D7%A1%D7%A7" TargetMode="External"/><Relationship Id="rId27" Type="http://schemas.openxmlformats.org/officeDocument/2006/relationships/hyperlink" Target="https://he.wikipedia.org/wiki/%D7%94%D7%A8%D7%91%D7%A0%D7%95%D7%AA_%D7%94%D7%A8%D7%90%D7%A9%D7%99%D7%AA_%D7%9C%D7%99%D7%A9%D7%A8%D7%90%D7%9C" TargetMode="External"/><Relationship Id="rId30" Type="http://schemas.openxmlformats.org/officeDocument/2006/relationships/hyperlink" Target="https://he.wikipedia.org/wiki/1936" TargetMode="External"/><Relationship Id="rId35" Type="http://schemas.openxmlformats.org/officeDocument/2006/relationships/hyperlink" Target="https://he.wikipedia.org/wiki/%D7%A8%D7%91" TargetMode="External"/><Relationship Id="rId43" Type="http://schemas.openxmlformats.org/officeDocument/2006/relationships/hyperlink" Target="https://he.wikipedia.org/wiki/%D7%A4%D7%95%D7%A1%D7%A7" TargetMode="External"/><Relationship Id="rId8" Type="http://schemas.openxmlformats.org/officeDocument/2006/relationships/hyperlink" Target="https://he.wikipedia.org/wiki/%D7%A4%D7%99%D7%9C%D7%95%D7%A1%D7%95%D7%A4%D7%99%D7%94_%D7%A9%D7%9C_%D7%94%D7%9E%D7%95%D7%A1%D7%A8" TargetMode="External"/><Relationship Id="rId3" Type="http://schemas.openxmlformats.org/officeDocument/2006/relationships/hyperlink" Target="https://he.wikipedia.org/wiki/%D7%97%D7%9C%D7%95%D7%A6%D7%99%D7%95%D7%AA" TargetMode="External"/><Relationship Id="rId12" Type="http://schemas.openxmlformats.org/officeDocument/2006/relationships/hyperlink" Target="https://he.wikipedia.org/wiki/%D7%9E%D7%93%D7%A2%D7%9F" TargetMode="External"/><Relationship Id="rId17" Type="http://schemas.openxmlformats.org/officeDocument/2006/relationships/hyperlink" Target="https://he.wikipedia.org/wiki/%D7%91%D7%99%D7%95%D7%9B%D7%99%D7%9E%D7%99%D7%94" TargetMode="External"/><Relationship Id="rId25" Type="http://schemas.openxmlformats.org/officeDocument/2006/relationships/hyperlink" Target="https://he.wikipedia.org/wiki/%D7%90%D7%A8%D7%A5_%D7%99%D7%A9%D7%A8%D7%90%D7%9C" TargetMode="External"/><Relationship Id="rId33" Type="http://schemas.openxmlformats.org/officeDocument/2006/relationships/hyperlink" Target="https://he.wikipedia.org/wiki/%D7%A4%D7%A8%D7%A1_%D7%99%D7%A9%D7%A8%D7%90%D7%9C" TargetMode="External"/><Relationship Id="rId38" Type="http://schemas.openxmlformats.org/officeDocument/2006/relationships/hyperlink" Target="https://he.wikipedia.org/wiki/%D7%A4%D7%95%D7%A1%D7%A7_%D7%94%D7%9C%D7%9B%D7%94" TargetMode="External"/><Relationship Id="rId46" Type="http://schemas.openxmlformats.org/officeDocument/2006/relationships/hyperlink" Target="https://he.wikipedia.org/wiki/%D7%A6%D7%99%D7%95%D7%A0%D7%95%D7%AA_%D7%93%D7%AA%D7%99%D7%AA" TargetMode="External"/><Relationship Id="rId20" Type="http://schemas.openxmlformats.org/officeDocument/2006/relationships/hyperlink" Target="https://he.wikipedia.org/wiki/%D7%94%D7%90%D7%95%D7%A0%D7%99%D7%91%D7%A8%D7%A1%D7%99%D7%98%D7%94_%D7%94%D7%A2%D7%91%D7%A8%D7%99%D7%AA_%D7%91%D7%99%D7%A8%D7%95%D7%A9%D7%9C%D7%99%D7%9D" TargetMode="External"/><Relationship Id="rId41" Type="http://schemas.openxmlformats.org/officeDocument/2006/relationships/hyperlink" Target="https://he.wikipedia.org/wiki/%D7%90%D7%A9%D7%9B%D7%A0%D7%96%D7%99%D7%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050542-7d34-4713-a17c-64867d8122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8AF37FC168514386006BE8A23468A7" ma:contentTypeVersion="17" ma:contentTypeDescription="Create a new document." ma:contentTypeScope="" ma:versionID="6c5342733b7b0e0111cea4483c331745">
  <xsd:schema xmlns:xsd="http://www.w3.org/2001/XMLSchema" xmlns:xs="http://www.w3.org/2001/XMLSchema" xmlns:p="http://schemas.microsoft.com/office/2006/metadata/properties" xmlns:ns3="74f24cf0-db75-4af8-b384-318c4a67d2b0" xmlns:ns4="8e050542-7d34-4713-a17c-64867d812217" targetNamespace="http://schemas.microsoft.com/office/2006/metadata/properties" ma:root="true" ma:fieldsID="e97ea1b87274ac8be44c55fd62249212" ns3:_="" ns4:_="">
    <xsd:import namespace="74f24cf0-db75-4af8-b384-318c4a67d2b0"/>
    <xsd:import namespace="8e050542-7d34-4713-a17c-64867d812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24cf0-db75-4af8-b384-318c4a67d2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50542-7d34-4713-a17c-64867d8122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C8066-C310-4456-9967-11D2C7DFD428}">
  <ds:schemaRefs>
    <ds:schemaRef ds:uri="http://schemas.microsoft.com/office/2006/metadata/properties"/>
    <ds:schemaRef ds:uri="http://schemas.microsoft.com/office/infopath/2007/PartnerControls"/>
    <ds:schemaRef ds:uri="8e050542-7d34-4713-a17c-64867d812217"/>
  </ds:schemaRefs>
</ds:datastoreItem>
</file>

<file path=customXml/itemProps2.xml><?xml version="1.0" encoding="utf-8"?>
<ds:datastoreItem xmlns:ds="http://schemas.openxmlformats.org/officeDocument/2006/customXml" ds:itemID="{BA140AC9-94BB-4561-BF55-7C2E7AAE9C96}">
  <ds:schemaRefs>
    <ds:schemaRef ds:uri="http://schemas.openxmlformats.org/officeDocument/2006/bibliography"/>
  </ds:schemaRefs>
</ds:datastoreItem>
</file>

<file path=customXml/itemProps3.xml><?xml version="1.0" encoding="utf-8"?>
<ds:datastoreItem xmlns:ds="http://schemas.openxmlformats.org/officeDocument/2006/customXml" ds:itemID="{301AF54E-01FD-4DA7-A86A-9A4E89DD4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24cf0-db75-4af8-b384-318c4a67d2b0"/>
    <ds:schemaRef ds:uri="8e050542-7d34-4713-a17c-64867d812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D2F1E-BBEE-47DF-B45E-50070381A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2975</Words>
  <Characters>14879</Characters>
  <Application>Microsoft Office Word</Application>
  <DocSecurity>0</DocSecurity>
  <Lines>123</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Itzhak Brand</dc:creator>
  <cp:keywords/>
  <dc:description/>
  <cp:lastModifiedBy>Gideon Sapir</cp:lastModifiedBy>
  <cp:revision>4</cp:revision>
  <cp:lastPrinted>2023-03-21T15:31:00Z</cp:lastPrinted>
  <dcterms:created xsi:type="dcterms:W3CDTF">2023-06-25T09:44:00Z</dcterms:created>
  <dcterms:modified xsi:type="dcterms:W3CDTF">2023-06-25T13:17:00Z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0x0101002E8AF37FC168514386006BE8A23468A7</vt:lpwstr>
  </property>
</Properties>
</file>