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C45B" w14:textId="79715DB0" w:rsidR="00DB4F6C" w:rsidRPr="00DB4F6C" w:rsidRDefault="005A13EB" w:rsidP="002F0926">
      <w:pPr>
        <w:spacing w:line="312" w:lineRule="auto"/>
        <w:jc w:val="center"/>
        <w:rPr>
          <w:rFonts w:ascii="David" w:hAnsi="David" w:cs="David"/>
          <w:sz w:val="24"/>
          <w:szCs w:val="24"/>
          <w:rtl/>
        </w:rPr>
      </w:pPr>
      <w:r>
        <w:rPr>
          <w:rFonts w:ascii="David" w:hAnsi="David" w:cs="David" w:hint="cs"/>
          <w:sz w:val="24"/>
          <w:szCs w:val="24"/>
          <w:rtl/>
        </w:rPr>
        <w:t>2</w:t>
      </w:r>
      <w:r w:rsidR="007D689F">
        <w:rPr>
          <w:rFonts w:ascii="David" w:hAnsi="David" w:cs="David" w:hint="cs"/>
          <w:sz w:val="24"/>
          <w:szCs w:val="24"/>
          <w:rtl/>
        </w:rPr>
        <w:t>7</w:t>
      </w:r>
      <w:r>
        <w:rPr>
          <w:rFonts w:ascii="David" w:hAnsi="David" w:cs="David" w:hint="cs"/>
          <w:sz w:val="24"/>
          <w:szCs w:val="24"/>
          <w:rtl/>
        </w:rPr>
        <w:t>.6.23</w:t>
      </w:r>
    </w:p>
    <w:p w14:paraId="38B1E900" w14:textId="71913590" w:rsidR="00A62D9C" w:rsidRPr="00DB4F6C" w:rsidRDefault="00DB4F6C" w:rsidP="002F0926">
      <w:pPr>
        <w:spacing w:line="312" w:lineRule="auto"/>
        <w:jc w:val="center"/>
        <w:rPr>
          <w:rFonts w:ascii="David" w:hAnsi="David" w:cs="David"/>
          <w:sz w:val="24"/>
          <w:szCs w:val="24"/>
          <w:rtl/>
        </w:rPr>
      </w:pPr>
      <w:r w:rsidRPr="00DB4F6C">
        <w:rPr>
          <w:rFonts w:ascii="David" w:hAnsi="David" w:cs="David"/>
          <w:b/>
          <w:bCs/>
          <w:sz w:val="40"/>
          <w:szCs w:val="40"/>
          <w:rtl/>
        </w:rPr>
        <w:t>מיפוי ופיתוח של מדדי אי שוויון ומוביליות חברתית</w:t>
      </w:r>
    </w:p>
    <w:p w14:paraId="1141B32B" w14:textId="1E2D5806" w:rsidR="00DB4F6C" w:rsidRPr="00DB4F6C" w:rsidRDefault="00DB4F6C" w:rsidP="002F0926">
      <w:pPr>
        <w:spacing w:line="312" w:lineRule="auto"/>
        <w:jc w:val="center"/>
        <w:rPr>
          <w:rFonts w:ascii="David" w:hAnsi="David" w:cs="David"/>
          <w:sz w:val="32"/>
          <w:szCs w:val="32"/>
          <w:rtl/>
        </w:rPr>
      </w:pPr>
      <w:r w:rsidRPr="00DB4F6C">
        <w:rPr>
          <w:rFonts w:ascii="David" w:hAnsi="David" w:cs="David" w:hint="cs"/>
          <w:sz w:val="32"/>
          <w:szCs w:val="32"/>
          <w:rtl/>
        </w:rPr>
        <w:t>סקירת ספרות</w:t>
      </w:r>
    </w:p>
    <w:p w14:paraId="47DD2603" w14:textId="58259083" w:rsidR="00DB4F6C" w:rsidRPr="007D689F" w:rsidRDefault="007D689F" w:rsidP="002F0926">
      <w:pPr>
        <w:spacing w:line="312" w:lineRule="auto"/>
        <w:jc w:val="center"/>
        <w:rPr>
          <w:rFonts w:ascii="David" w:hAnsi="David" w:cs="David"/>
          <w:color w:val="FF0000"/>
          <w:rtl/>
        </w:rPr>
      </w:pPr>
      <w:r>
        <w:rPr>
          <w:rFonts w:ascii="David" w:hAnsi="David" w:cs="David" w:hint="cs"/>
          <w:color w:val="FF0000"/>
          <w:rtl/>
        </w:rPr>
        <w:t xml:space="preserve">כל הפסקאות הכתובות באדום </w:t>
      </w:r>
      <w:r>
        <w:rPr>
          <w:rFonts w:ascii="David" w:hAnsi="David" w:cs="David"/>
          <w:color w:val="FF0000"/>
          <w:rtl/>
        </w:rPr>
        <w:t>–</w:t>
      </w:r>
      <w:r>
        <w:rPr>
          <w:rFonts w:ascii="David" w:hAnsi="David" w:cs="David" w:hint="cs"/>
          <w:color w:val="FF0000"/>
          <w:rtl/>
        </w:rPr>
        <w:t xml:space="preserve"> אני מתלבטת אם להכניס</w:t>
      </w:r>
      <w:r w:rsidR="00D17ACA">
        <w:rPr>
          <w:rFonts w:ascii="David" w:hAnsi="David" w:cs="David" w:hint="cs"/>
          <w:color w:val="FF0000"/>
          <w:rtl/>
        </w:rPr>
        <w:t xml:space="preserve">, האם מיותר והאם לא קיימת </w:t>
      </w:r>
      <w:proofErr w:type="spellStart"/>
      <w:r w:rsidR="00D17ACA">
        <w:rPr>
          <w:rFonts w:ascii="David" w:hAnsi="David" w:cs="David" w:hint="cs"/>
          <w:color w:val="FF0000"/>
          <w:rtl/>
        </w:rPr>
        <w:t>חזרתיות</w:t>
      </w:r>
      <w:proofErr w:type="spellEnd"/>
    </w:p>
    <w:p w14:paraId="757F1CCD" w14:textId="73FC50BB" w:rsidR="00DB4F6C" w:rsidRDefault="00DB4F6C" w:rsidP="002F0926">
      <w:pPr>
        <w:spacing w:line="312" w:lineRule="auto"/>
        <w:rPr>
          <w:rFonts w:ascii="David" w:hAnsi="David" w:cs="David"/>
          <w:sz w:val="32"/>
          <w:szCs w:val="32"/>
          <w:rtl/>
        </w:rPr>
      </w:pPr>
      <w:r>
        <w:rPr>
          <w:rFonts w:ascii="David" w:hAnsi="David" w:cs="David" w:hint="cs"/>
          <w:sz w:val="32"/>
          <w:szCs w:val="32"/>
          <w:rtl/>
        </w:rPr>
        <w:t>תקציר מנהלים (5-3 עמ')</w:t>
      </w:r>
    </w:p>
    <w:p w14:paraId="300A527C" w14:textId="77777777" w:rsidR="0082155B" w:rsidRDefault="0082155B" w:rsidP="002F0926">
      <w:pPr>
        <w:spacing w:line="312" w:lineRule="auto"/>
        <w:rPr>
          <w:rFonts w:ascii="David" w:hAnsi="David" w:cs="David"/>
          <w:sz w:val="32"/>
          <w:szCs w:val="32"/>
          <w:rtl/>
        </w:rPr>
      </w:pPr>
    </w:p>
    <w:p w14:paraId="250DC894" w14:textId="77777777" w:rsidR="0082155B" w:rsidRDefault="0082155B">
      <w:pPr>
        <w:bidi w:val="0"/>
        <w:rPr>
          <w:rFonts w:ascii="David" w:hAnsi="David" w:cs="David"/>
          <w:sz w:val="24"/>
          <w:szCs w:val="24"/>
        </w:rPr>
      </w:pPr>
      <w:r>
        <w:rPr>
          <w:rFonts w:ascii="David" w:hAnsi="David" w:cs="David"/>
          <w:sz w:val="24"/>
          <w:szCs w:val="24"/>
          <w:rtl/>
        </w:rPr>
        <w:br w:type="page"/>
      </w:r>
    </w:p>
    <w:p w14:paraId="12A21DF3" w14:textId="51F1CBE4" w:rsidR="0020468F" w:rsidRDefault="004C2108" w:rsidP="000315E1">
      <w:pPr>
        <w:spacing w:line="312" w:lineRule="auto"/>
        <w:jc w:val="both"/>
        <w:rPr>
          <w:rFonts w:ascii="David" w:hAnsi="David" w:cs="David"/>
          <w:sz w:val="24"/>
          <w:szCs w:val="24"/>
          <w:rtl/>
        </w:rPr>
      </w:pPr>
      <w:r w:rsidRPr="005A085D">
        <w:rPr>
          <w:rFonts w:ascii="David" w:hAnsi="David" w:cs="David" w:hint="cs"/>
          <w:sz w:val="24"/>
          <w:szCs w:val="24"/>
          <w:rtl/>
        </w:rPr>
        <w:lastRenderedPageBreak/>
        <w:t xml:space="preserve">הסקירה הנוכחית נועדה להבהיר מושגי יסוד בסוגיית אי השוויון החברתי-כלכלי בישראל ולשמש בסיס למיפוי ופיתוח של מדדי אי שוויון ומוביליות חברתית במערכת החינוך ובבתי הספר בישראל בפרט. </w:t>
      </w:r>
      <w:r w:rsidR="0020468F">
        <w:rPr>
          <w:rFonts w:ascii="David" w:hAnsi="David" w:cs="David" w:hint="cs"/>
          <w:sz w:val="24"/>
          <w:szCs w:val="24"/>
          <w:rtl/>
        </w:rPr>
        <w:t>ההטרוגניות הרבה של החברה הישראלית והפערים החברתיים בה מציבים אתגרים כלכליים-חברתיים בפני קובעי המדיניות בישראל. מגוון מחקרים מצביעים על שונות רבה במצב ה</w:t>
      </w:r>
      <w:r w:rsidR="009123DE">
        <w:rPr>
          <w:rFonts w:ascii="David" w:hAnsi="David" w:cs="David" w:hint="cs"/>
          <w:sz w:val="24"/>
          <w:szCs w:val="24"/>
          <w:rtl/>
        </w:rPr>
        <w:t>חברתי</w:t>
      </w:r>
      <w:r w:rsidR="0020468F">
        <w:rPr>
          <w:rFonts w:ascii="David" w:hAnsi="David" w:cs="David" w:hint="cs"/>
          <w:sz w:val="24"/>
          <w:szCs w:val="24"/>
          <w:rtl/>
        </w:rPr>
        <w:t xml:space="preserve">-כלכלי בין קבוצות </w:t>
      </w:r>
      <w:r w:rsidR="009123DE">
        <w:rPr>
          <w:rFonts w:ascii="David" w:hAnsi="David" w:cs="David" w:hint="cs"/>
          <w:sz w:val="24"/>
          <w:szCs w:val="24"/>
          <w:rtl/>
        </w:rPr>
        <w:t xml:space="preserve">אוכלוסייה </w:t>
      </w:r>
      <w:r w:rsidR="0020468F">
        <w:rPr>
          <w:rFonts w:ascii="David" w:hAnsi="David" w:cs="David" w:hint="cs"/>
          <w:sz w:val="24"/>
          <w:szCs w:val="24"/>
          <w:rtl/>
        </w:rPr>
        <w:t>שונות בישראל (</w:t>
      </w:r>
      <w:proofErr w:type="spellStart"/>
      <w:r w:rsidR="006514FA">
        <w:rPr>
          <w:rFonts w:ascii="David" w:hAnsi="David" w:cs="David" w:hint="cs"/>
          <w:sz w:val="24"/>
          <w:szCs w:val="24"/>
          <w:rtl/>
        </w:rPr>
        <w:t>חטאב</w:t>
      </w:r>
      <w:proofErr w:type="spellEnd"/>
      <w:r w:rsidR="006514FA">
        <w:rPr>
          <w:rFonts w:ascii="David" w:hAnsi="David" w:cs="David" w:hint="cs"/>
          <w:sz w:val="24"/>
          <w:szCs w:val="24"/>
          <w:rtl/>
        </w:rPr>
        <w:t xml:space="preserve"> ואחרים, 2014; </w:t>
      </w:r>
      <w:r w:rsidR="0020468F">
        <w:rPr>
          <w:rFonts w:ascii="David" w:hAnsi="David" w:cs="David"/>
          <w:sz w:val="24"/>
          <w:szCs w:val="24"/>
        </w:rPr>
        <w:t>(</w:t>
      </w:r>
      <w:proofErr w:type="spellStart"/>
      <w:r w:rsidR="0020468F">
        <w:rPr>
          <w:rFonts w:ascii="David" w:hAnsi="David" w:cs="David"/>
          <w:sz w:val="24"/>
          <w:szCs w:val="24"/>
        </w:rPr>
        <w:t>Machlica</w:t>
      </w:r>
      <w:proofErr w:type="spellEnd"/>
      <w:r w:rsidR="0020468F">
        <w:rPr>
          <w:rFonts w:ascii="David" w:hAnsi="David" w:cs="David"/>
          <w:sz w:val="24"/>
          <w:szCs w:val="24"/>
        </w:rPr>
        <w:t>, 2020</w:t>
      </w:r>
      <w:r w:rsidR="0020468F">
        <w:rPr>
          <w:rFonts w:ascii="David" w:hAnsi="David" w:cs="David" w:hint="cs"/>
          <w:sz w:val="24"/>
          <w:szCs w:val="24"/>
          <w:rtl/>
        </w:rPr>
        <w:t xml:space="preserve">, </w:t>
      </w:r>
      <w:r w:rsidR="006514FA">
        <w:rPr>
          <w:rFonts w:ascii="David" w:hAnsi="David" w:cs="David" w:hint="cs"/>
          <w:sz w:val="24"/>
          <w:szCs w:val="24"/>
          <w:rtl/>
        </w:rPr>
        <w:t>שמקורם בין היתר ב</w:t>
      </w:r>
      <w:r w:rsidR="0020468F">
        <w:rPr>
          <w:rFonts w:ascii="David" w:hAnsi="David" w:cs="David" w:hint="cs"/>
          <w:sz w:val="24"/>
          <w:szCs w:val="24"/>
          <w:rtl/>
        </w:rPr>
        <w:t>הבדלים  בהכנסות כלכליות</w:t>
      </w:r>
      <w:r>
        <w:rPr>
          <w:rFonts w:ascii="David" w:hAnsi="David" w:cs="David" w:hint="cs"/>
          <w:sz w:val="24"/>
          <w:szCs w:val="24"/>
          <w:rtl/>
        </w:rPr>
        <w:t>, רמת השכלה או במיקום גאוגרפי</w:t>
      </w:r>
      <w:r w:rsidR="0020468F">
        <w:rPr>
          <w:rFonts w:ascii="David" w:hAnsi="David" w:cs="David" w:hint="cs"/>
          <w:sz w:val="24"/>
          <w:szCs w:val="24"/>
          <w:rtl/>
        </w:rPr>
        <w:t xml:space="preserve"> (</w:t>
      </w:r>
      <w:proofErr w:type="spellStart"/>
      <w:r w:rsidR="0020468F">
        <w:rPr>
          <w:rFonts w:ascii="David" w:hAnsi="David" w:cs="David" w:hint="cs"/>
          <w:sz w:val="24"/>
          <w:szCs w:val="24"/>
          <w:rtl/>
        </w:rPr>
        <w:t>בלייך</w:t>
      </w:r>
      <w:proofErr w:type="spellEnd"/>
      <w:r w:rsidR="0020468F">
        <w:rPr>
          <w:rFonts w:ascii="David" w:hAnsi="David" w:cs="David" w:hint="cs"/>
          <w:sz w:val="24"/>
          <w:szCs w:val="24"/>
          <w:rtl/>
        </w:rPr>
        <w:t>, 2016</w:t>
      </w:r>
      <w:r>
        <w:rPr>
          <w:rFonts w:ascii="David" w:hAnsi="David" w:cs="David" w:hint="cs"/>
          <w:sz w:val="24"/>
          <w:szCs w:val="24"/>
          <w:rtl/>
        </w:rPr>
        <w:t>; הלשכה המרכזית לסטטיסטיקה, 2019, 2021</w:t>
      </w:r>
      <w:r w:rsidR="0020468F">
        <w:rPr>
          <w:rFonts w:ascii="David" w:hAnsi="David" w:cs="David" w:hint="cs"/>
          <w:sz w:val="24"/>
          <w:szCs w:val="24"/>
          <w:rtl/>
        </w:rPr>
        <w:t xml:space="preserve">). </w:t>
      </w:r>
    </w:p>
    <w:p w14:paraId="1C31BB73" w14:textId="2EAADB63" w:rsidR="004C2108" w:rsidRDefault="0020468F" w:rsidP="004C2108">
      <w:pPr>
        <w:spacing w:line="312" w:lineRule="auto"/>
        <w:jc w:val="both"/>
        <w:rPr>
          <w:rFonts w:ascii="David" w:hAnsi="David" w:cs="David"/>
          <w:color w:val="4472C4" w:themeColor="accent1"/>
          <w:sz w:val="36"/>
          <w:szCs w:val="36"/>
          <w:rtl/>
        </w:rPr>
      </w:pPr>
      <w:r>
        <w:rPr>
          <w:rFonts w:ascii="David" w:hAnsi="David" w:cs="David" w:hint="cs"/>
          <w:sz w:val="24"/>
          <w:szCs w:val="24"/>
          <w:rtl/>
        </w:rPr>
        <w:t>אי שוויון חברתי-כלכלי הוא מצב נתון שהיקפו משתנה ממדינה למדינה. במדינות דמוקרטיות הגדלת הסיכויים לניעות למי שנולדו במיצב חברתי-כלכלי</w:t>
      </w:r>
      <w:r w:rsidR="004C2108">
        <w:rPr>
          <w:rFonts w:ascii="David" w:hAnsi="David" w:cs="David" w:hint="cs"/>
          <w:sz w:val="24"/>
          <w:szCs w:val="24"/>
          <w:rtl/>
        </w:rPr>
        <w:t xml:space="preserve"> או גאוגרפי</w:t>
      </w:r>
      <w:r>
        <w:rPr>
          <w:rFonts w:ascii="David" w:hAnsi="David" w:cs="David" w:hint="cs"/>
          <w:sz w:val="24"/>
          <w:szCs w:val="24"/>
          <w:rtl/>
        </w:rPr>
        <w:t xml:space="preserve"> נמוך נתפשת כמטרה ראויה. </w:t>
      </w:r>
      <w:r w:rsidR="00976891">
        <w:rPr>
          <w:rFonts w:ascii="David" w:hAnsi="David" w:cs="David" w:hint="cs"/>
          <w:sz w:val="24"/>
          <w:szCs w:val="24"/>
          <w:rtl/>
        </w:rPr>
        <w:t xml:space="preserve">חינוך טוב </w:t>
      </w:r>
      <w:r w:rsidR="00DB114B">
        <w:rPr>
          <w:rFonts w:ascii="David" w:hAnsi="David" w:cs="David" w:hint="cs"/>
          <w:sz w:val="24"/>
          <w:szCs w:val="24"/>
          <w:rtl/>
        </w:rPr>
        <w:t xml:space="preserve">הינו אחד המפתחות לכך. </w:t>
      </w:r>
      <w:r>
        <w:rPr>
          <w:rFonts w:ascii="David" w:hAnsi="David" w:cs="David" w:hint="cs"/>
          <w:sz w:val="24"/>
          <w:szCs w:val="24"/>
          <w:rtl/>
        </w:rPr>
        <w:t xml:space="preserve">מערכת החינוך נחשבת לכלי מדיניות עיקרי לצמצום פערים בהזדמנויות. ההבדלים </w:t>
      </w:r>
      <w:r w:rsidR="00836B36">
        <w:rPr>
          <w:rFonts w:ascii="David" w:hAnsi="David" w:cs="David" w:hint="cs"/>
          <w:sz w:val="24"/>
          <w:szCs w:val="24"/>
          <w:rtl/>
        </w:rPr>
        <w:t>חברתיים-</w:t>
      </w:r>
      <w:r>
        <w:rPr>
          <w:rFonts w:ascii="David" w:hAnsi="David" w:cs="David" w:hint="cs"/>
          <w:sz w:val="24"/>
          <w:szCs w:val="24"/>
          <w:rtl/>
        </w:rPr>
        <w:t>כלכליים בישראל מדגישים את הצורך בהנגשה שווה של חינוך ברמה גבוהה לכלל האוכלוסייה</w:t>
      </w:r>
      <w:r w:rsidR="00FB60C0">
        <w:rPr>
          <w:rFonts w:ascii="David" w:hAnsi="David" w:cs="David" w:hint="cs"/>
          <w:sz w:val="24"/>
          <w:szCs w:val="24"/>
          <w:rtl/>
        </w:rPr>
        <w:t xml:space="preserve"> למען חוסנה של החברה בישראל</w:t>
      </w:r>
      <w:r w:rsidR="009E3A21">
        <w:rPr>
          <w:rFonts w:ascii="David" w:hAnsi="David" w:cs="David" w:hint="cs"/>
          <w:sz w:val="24"/>
          <w:szCs w:val="24"/>
          <w:rtl/>
        </w:rPr>
        <w:t xml:space="preserve"> (איילון ואחרים, </w:t>
      </w:r>
      <w:r w:rsidR="006F5189">
        <w:rPr>
          <w:rFonts w:ascii="David" w:hAnsi="David" w:cs="David" w:hint="cs"/>
          <w:sz w:val="24"/>
          <w:szCs w:val="24"/>
          <w:rtl/>
        </w:rPr>
        <w:t>2019</w:t>
      </w:r>
      <w:r w:rsidR="00B16A98">
        <w:rPr>
          <w:rFonts w:ascii="David" w:hAnsi="David" w:cs="David" w:hint="cs"/>
          <w:sz w:val="24"/>
          <w:szCs w:val="24"/>
          <w:rtl/>
        </w:rPr>
        <w:t xml:space="preserve">; </w:t>
      </w:r>
      <w:proofErr w:type="spellStart"/>
      <w:r w:rsidR="00B16A98">
        <w:rPr>
          <w:rFonts w:ascii="David" w:hAnsi="David" w:cs="David" w:hint="cs"/>
          <w:sz w:val="24"/>
          <w:szCs w:val="24"/>
          <w:rtl/>
        </w:rPr>
        <w:t>בושריאן</w:t>
      </w:r>
      <w:proofErr w:type="spellEnd"/>
      <w:r w:rsidR="00B16A98">
        <w:rPr>
          <w:rFonts w:ascii="David" w:hAnsi="David" w:cs="David" w:hint="cs"/>
          <w:sz w:val="24"/>
          <w:szCs w:val="24"/>
          <w:rtl/>
        </w:rPr>
        <w:t>, 2016</w:t>
      </w:r>
      <w:r w:rsidR="00EE2B60">
        <w:rPr>
          <w:rFonts w:ascii="David" w:hAnsi="David" w:cs="David" w:hint="cs"/>
          <w:sz w:val="24"/>
          <w:szCs w:val="24"/>
          <w:rtl/>
        </w:rPr>
        <w:t>;</w:t>
      </w:r>
      <w:r w:rsidR="00EE2B60">
        <w:rPr>
          <w:rFonts w:ascii="David" w:hAnsi="David" w:cs="David"/>
          <w:sz w:val="24"/>
          <w:szCs w:val="24"/>
        </w:rPr>
        <w:t xml:space="preserve"> </w:t>
      </w:r>
      <w:proofErr w:type="spellStart"/>
      <w:r>
        <w:rPr>
          <w:rFonts w:ascii="David" w:hAnsi="David" w:cs="David"/>
          <w:sz w:val="24"/>
          <w:szCs w:val="24"/>
        </w:rPr>
        <w:t>Marchlica</w:t>
      </w:r>
      <w:proofErr w:type="spellEnd"/>
      <w:r>
        <w:rPr>
          <w:rFonts w:ascii="David" w:hAnsi="David" w:cs="David"/>
          <w:sz w:val="24"/>
          <w:szCs w:val="24"/>
        </w:rPr>
        <w:t>, 2020</w:t>
      </w:r>
      <w:r w:rsidR="00EE2B60">
        <w:rPr>
          <w:rFonts w:ascii="David" w:hAnsi="David" w:cs="David" w:hint="cs"/>
          <w:sz w:val="24"/>
          <w:szCs w:val="24"/>
          <w:rtl/>
        </w:rPr>
        <w:t>)</w:t>
      </w:r>
      <w:r w:rsidR="000D31BF">
        <w:rPr>
          <w:rFonts w:ascii="David" w:hAnsi="David" w:cs="David" w:hint="cs"/>
          <w:sz w:val="24"/>
          <w:szCs w:val="24"/>
          <w:rtl/>
        </w:rPr>
        <w:t xml:space="preserve">. </w:t>
      </w:r>
      <w:r w:rsidR="006D58E7">
        <w:rPr>
          <w:rFonts w:ascii="David" w:hAnsi="David" w:cs="David" w:hint="cs"/>
          <w:sz w:val="24"/>
          <w:szCs w:val="24"/>
          <w:rtl/>
        </w:rPr>
        <w:t xml:space="preserve">הסקירה הנוכחית נועדה </w:t>
      </w:r>
      <w:r w:rsidR="00797331">
        <w:rPr>
          <w:rFonts w:ascii="David" w:hAnsi="David" w:cs="David" w:hint="cs"/>
          <w:sz w:val="24"/>
          <w:szCs w:val="24"/>
          <w:rtl/>
        </w:rPr>
        <w:t xml:space="preserve">לגייס </w:t>
      </w:r>
      <w:r w:rsidR="00643B49">
        <w:rPr>
          <w:rFonts w:ascii="David" w:hAnsi="David" w:cs="David" w:hint="cs"/>
          <w:sz w:val="24"/>
          <w:szCs w:val="24"/>
          <w:rtl/>
        </w:rPr>
        <w:t xml:space="preserve">את המדידה בחינוך לאיתור ופיתוח של מדדי אי שוויון ומוביליות חברתית שיסייעו </w:t>
      </w:r>
      <w:r w:rsidR="0033233A">
        <w:rPr>
          <w:rFonts w:ascii="David" w:hAnsi="David" w:cs="David" w:hint="cs"/>
          <w:sz w:val="24"/>
          <w:szCs w:val="24"/>
          <w:rtl/>
        </w:rPr>
        <w:t>בהתמודדות</w:t>
      </w:r>
      <w:r w:rsidR="00643B49">
        <w:rPr>
          <w:rFonts w:ascii="David" w:hAnsi="David" w:cs="David" w:hint="cs"/>
          <w:sz w:val="24"/>
          <w:szCs w:val="24"/>
          <w:rtl/>
        </w:rPr>
        <w:t xml:space="preserve"> עם </w:t>
      </w:r>
      <w:r w:rsidR="0033233A">
        <w:rPr>
          <w:rFonts w:ascii="David" w:hAnsi="David" w:cs="David" w:hint="cs"/>
          <w:sz w:val="24"/>
          <w:szCs w:val="24"/>
          <w:rtl/>
        </w:rPr>
        <w:t xml:space="preserve">פערים אלו. </w:t>
      </w:r>
    </w:p>
    <w:p w14:paraId="414E4C47" w14:textId="1B18A9AB" w:rsidR="00DB4F6C" w:rsidRPr="00241EB7" w:rsidRDefault="00DB4F6C" w:rsidP="004C2108">
      <w:pPr>
        <w:spacing w:line="312" w:lineRule="auto"/>
        <w:jc w:val="both"/>
        <w:rPr>
          <w:rFonts w:ascii="David" w:hAnsi="David" w:cs="David"/>
          <w:color w:val="4472C4" w:themeColor="accent1"/>
          <w:sz w:val="36"/>
          <w:szCs w:val="36"/>
        </w:rPr>
      </w:pPr>
      <w:r w:rsidRPr="00241EB7">
        <w:rPr>
          <w:rFonts w:ascii="David" w:hAnsi="David" w:cs="David" w:hint="cs"/>
          <w:color w:val="4472C4" w:themeColor="accent1"/>
          <w:sz w:val="36"/>
          <w:szCs w:val="36"/>
          <w:rtl/>
        </w:rPr>
        <w:t>הגדרות לאי שוויון ושדות בהם מתקיים אי שוויון</w:t>
      </w:r>
    </w:p>
    <w:p w14:paraId="5D42FC26" w14:textId="44250E7E" w:rsidR="00511657" w:rsidRDefault="00511657" w:rsidP="00533C7B">
      <w:pPr>
        <w:spacing w:line="312" w:lineRule="auto"/>
        <w:jc w:val="both"/>
        <w:rPr>
          <w:rFonts w:ascii="David" w:hAnsi="David" w:cs="David"/>
          <w:sz w:val="24"/>
          <w:szCs w:val="24"/>
        </w:rPr>
      </w:pPr>
      <w:r w:rsidRPr="00B70128">
        <w:rPr>
          <w:rFonts w:ascii="David" w:hAnsi="David" w:cs="David" w:hint="cs"/>
          <w:sz w:val="24"/>
          <w:szCs w:val="24"/>
          <w:rtl/>
        </w:rPr>
        <w:t>שוויון כלכלי וחברתי הוא ערך יסוד של חברה צודקת. ערך השוויון שולל אפליה או העדפה של בני</w:t>
      </w:r>
      <w:r w:rsidRPr="00722471">
        <w:rPr>
          <w:rFonts w:ascii="David" w:hAnsi="David" w:cs="David" w:hint="cs"/>
          <w:sz w:val="24"/>
          <w:szCs w:val="24"/>
          <w:rtl/>
        </w:rPr>
        <w:t xml:space="preserve"> אדם על רקע גזע, צבע, מין, לשון, דת, השקפה, לאום, מוצא, מעמד חברתי, נטייה מינית וגיל (המכון הישראלי לדמוקרטיה, 2005)</w:t>
      </w:r>
      <w:r w:rsidR="003252DE" w:rsidRPr="00722471">
        <w:rPr>
          <w:rFonts w:ascii="David" w:hAnsi="David" w:cs="David" w:hint="cs"/>
          <w:sz w:val="24"/>
          <w:szCs w:val="24"/>
          <w:rtl/>
        </w:rPr>
        <w:t>,</w:t>
      </w:r>
      <w:r w:rsidR="003252DE">
        <w:rPr>
          <w:rFonts w:ascii="David" w:hAnsi="David" w:cs="David" w:hint="cs"/>
          <w:sz w:val="24"/>
          <w:szCs w:val="24"/>
          <w:rtl/>
        </w:rPr>
        <w:t xml:space="preserve"> ומבטא מחויבות לעניים, נכים, קבוצות מיעוט ועוד (</w:t>
      </w:r>
      <w:proofErr w:type="spellStart"/>
      <w:r w:rsidR="003252DE">
        <w:rPr>
          <w:rFonts w:ascii="David" w:hAnsi="David" w:cs="David" w:hint="cs"/>
          <w:sz w:val="24"/>
          <w:szCs w:val="24"/>
          <w:rtl/>
        </w:rPr>
        <w:t>וינריב</w:t>
      </w:r>
      <w:proofErr w:type="spellEnd"/>
      <w:r w:rsidR="003252DE">
        <w:rPr>
          <w:rFonts w:ascii="David" w:hAnsi="David" w:cs="David" w:hint="cs"/>
          <w:sz w:val="24"/>
          <w:szCs w:val="24"/>
          <w:rtl/>
        </w:rPr>
        <w:t>, 2007)</w:t>
      </w:r>
      <w:r>
        <w:rPr>
          <w:rFonts w:ascii="David" w:hAnsi="David" w:cs="David" w:hint="cs"/>
          <w:sz w:val="24"/>
          <w:szCs w:val="24"/>
          <w:rtl/>
        </w:rPr>
        <w:t xml:space="preserve">. </w:t>
      </w:r>
      <w:r w:rsidR="006B6326">
        <w:rPr>
          <w:rFonts w:ascii="David" w:hAnsi="David" w:cs="David" w:hint="cs"/>
          <w:sz w:val="24"/>
          <w:szCs w:val="24"/>
          <w:rtl/>
        </w:rPr>
        <w:t>העיסוק בשוויון בעל חשיבות חברתית ממספר היבטים מרכזיים (</w:t>
      </w:r>
      <w:proofErr w:type="spellStart"/>
      <w:r w:rsidR="006B6326">
        <w:rPr>
          <w:rFonts w:ascii="David" w:hAnsi="David" w:cs="David" w:hint="cs"/>
          <w:sz w:val="24"/>
          <w:szCs w:val="24"/>
          <w:rtl/>
        </w:rPr>
        <w:t>בושריאן</w:t>
      </w:r>
      <w:proofErr w:type="spellEnd"/>
      <w:r w:rsidR="006B6326">
        <w:rPr>
          <w:rFonts w:ascii="David" w:hAnsi="David" w:cs="David" w:hint="cs"/>
          <w:sz w:val="24"/>
          <w:szCs w:val="24"/>
          <w:rtl/>
        </w:rPr>
        <w:t>, 2016</w:t>
      </w:r>
      <w:r w:rsidR="00FB78C2">
        <w:rPr>
          <w:rFonts w:ascii="David" w:hAnsi="David" w:cs="David" w:hint="cs"/>
          <w:sz w:val="24"/>
          <w:szCs w:val="24"/>
          <w:rtl/>
        </w:rPr>
        <w:t>; דהן, 2018</w:t>
      </w:r>
      <w:r w:rsidR="006B6326">
        <w:rPr>
          <w:rFonts w:ascii="David" w:hAnsi="David" w:cs="David" w:hint="cs"/>
          <w:sz w:val="24"/>
          <w:szCs w:val="24"/>
          <w:rtl/>
        </w:rPr>
        <w:t xml:space="preserve">; </w:t>
      </w:r>
      <w:r w:rsidR="006B6326">
        <w:rPr>
          <w:rFonts w:ascii="David" w:hAnsi="David" w:cs="David"/>
          <w:sz w:val="24"/>
          <w:szCs w:val="24"/>
        </w:rPr>
        <w:t>Rawls, 2009</w:t>
      </w:r>
      <w:r w:rsidR="006B6326">
        <w:rPr>
          <w:rFonts w:ascii="David" w:hAnsi="David" w:cs="David" w:hint="cs"/>
          <w:sz w:val="24"/>
          <w:szCs w:val="24"/>
          <w:rtl/>
        </w:rPr>
        <w:t xml:space="preserve">): האחד, מוסרי - היות ואין זה צודק שמקצת מהאנשים בחברה יהיו משופעים ואחרים, אפילו מעטים יסבלו ממצוקה כלכלית. השני, פרגמטי </w:t>
      </w:r>
      <w:r w:rsidR="006B6326">
        <w:rPr>
          <w:rFonts w:ascii="David" w:hAnsi="David" w:cs="David"/>
          <w:sz w:val="24"/>
          <w:szCs w:val="24"/>
          <w:rtl/>
        </w:rPr>
        <w:t>–</w:t>
      </w:r>
      <w:r w:rsidR="006B6326">
        <w:rPr>
          <w:rFonts w:ascii="David" w:hAnsi="David" w:cs="David" w:hint="cs"/>
          <w:sz w:val="24"/>
          <w:szCs w:val="24"/>
          <w:rtl/>
        </w:rPr>
        <w:t xml:space="preserve"> ו</w:t>
      </w:r>
      <w:r w:rsidR="00230500">
        <w:rPr>
          <w:rFonts w:ascii="David" w:hAnsi="David" w:cs="David" w:hint="cs"/>
          <w:sz w:val="24"/>
          <w:szCs w:val="24"/>
          <w:rtl/>
        </w:rPr>
        <w:t>נובע מהחשש</w:t>
      </w:r>
      <w:r w:rsidR="006B6326">
        <w:rPr>
          <w:rFonts w:ascii="David" w:hAnsi="David" w:cs="David" w:hint="cs"/>
          <w:sz w:val="24"/>
          <w:szCs w:val="24"/>
          <w:rtl/>
        </w:rPr>
        <w:t xml:space="preserve"> שפערים כלכליים-חברתיים </w:t>
      </w:r>
      <w:r w:rsidR="003D4F4E">
        <w:rPr>
          <w:rFonts w:ascii="David" w:hAnsi="David" w:cs="David" w:hint="cs"/>
          <w:sz w:val="24"/>
          <w:szCs w:val="24"/>
          <w:rtl/>
        </w:rPr>
        <w:t xml:space="preserve">מאיימים על המארג החברתי ועלולים להביא למתחים פוליטיים ולסכן את הדמוקרטיה והחירות. הנימוק השלישי </w:t>
      </w:r>
      <w:r w:rsidR="00230500">
        <w:rPr>
          <w:rFonts w:ascii="David" w:hAnsi="David" w:cs="David" w:hint="cs"/>
          <w:sz w:val="24"/>
          <w:szCs w:val="24"/>
          <w:rtl/>
        </w:rPr>
        <w:t>מתבסס על הטענה</w:t>
      </w:r>
      <w:r w:rsidR="003D4F4E">
        <w:rPr>
          <w:rFonts w:ascii="David" w:hAnsi="David" w:cs="David" w:hint="cs"/>
          <w:sz w:val="24"/>
          <w:szCs w:val="24"/>
          <w:rtl/>
        </w:rPr>
        <w:t xml:space="preserve"> שפערים כלכליים-חברתיים עלולים לפגוע ביכולת</w:t>
      </w:r>
      <w:r w:rsidR="00230500">
        <w:rPr>
          <w:rFonts w:ascii="David" w:hAnsi="David" w:cs="David" w:hint="cs"/>
          <w:sz w:val="24"/>
          <w:szCs w:val="24"/>
          <w:rtl/>
        </w:rPr>
        <w:t>ם</w:t>
      </w:r>
      <w:r w:rsidR="003D4F4E">
        <w:rPr>
          <w:rFonts w:ascii="David" w:hAnsi="David" w:cs="David" w:hint="cs"/>
          <w:sz w:val="24"/>
          <w:szCs w:val="24"/>
          <w:rtl/>
        </w:rPr>
        <w:t xml:space="preserve"> של החלשים בחברה לממש את סיכוייהם לחיים טובים יותר</w:t>
      </w:r>
      <w:r w:rsidR="00F00218">
        <w:rPr>
          <w:rFonts w:ascii="David" w:hAnsi="David" w:cs="David" w:hint="cs"/>
          <w:sz w:val="24"/>
          <w:szCs w:val="24"/>
          <w:rtl/>
        </w:rPr>
        <w:t xml:space="preserve">, והרביעי, </w:t>
      </w:r>
      <w:r w:rsidR="00065DF6">
        <w:rPr>
          <w:rFonts w:ascii="David" w:hAnsi="David" w:cs="David" w:hint="cs"/>
          <w:sz w:val="24"/>
          <w:szCs w:val="24"/>
          <w:rtl/>
        </w:rPr>
        <w:t>החשש לאי שוויון דמוקרטי, שבו האוכלוסיות החלשות נוטות פחות להשתתף בבחירות</w:t>
      </w:r>
      <w:r w:rsidR="00CF7DBC">
        <w:rPr>
          <w:rFonts w:ascii="David" w:hAnsi="David" w:cs="David" w:hint="cs"/>
          <w:sz w:val="24"/>
          <w:szCs w:val="24"/>
          <w:rtl/>
        </w:rPr>
        <w:t>,</w:t>
      </w:r>
      <w:r w:rsidR="00065DF6">
        <w:rPr>
          <w:rFonts w:ascii="David" w:hAnsi="David" w:cs="David" w:hint="cs"/>
          <w:sz w:val="24"/>
          <w:szCs w:val="24"/>
          <w:rtl/>
        </w:rPr>
        <w:t xml:space="preserve"> להיות מיוצגות</w:t>
      </w:r>
      <w:r w:rsidR="00990E23">
        <w:rPr>
          <w:rFonts w:ascii="David" w:hAnsi="David" w:cs="David" w:hint="cs"/>
          <w:sz w:val="24"/>
          <w:szCs w:val="24"/>
          <w:rtl/>
        </w:rPr>
        <w:t xml:space="preserve"> בזירה הפוליטית</w:t>
      </w:r>
      <w:r w:rsidR="00065DF6">
        <w:rPr>
          <w:rFonts w:ascii="David" w:hAnsi="David" w:cs="David" w:hint="cs"/>
          <w:sz w:val="24"/>
          <w:szCs w:val="24"/>
          <w:rtl/>
        </w:rPr>
        <w:t xml:space="preserve"> </w:t>
      </w:r>
      <w:r w:rsidR="00990E23">
        <w:rPr>
          <w:rFonts w:ascii="David" w:hAnsi="David" w:cs="David" w:hint="cs"/>
          <w:sz w:val="24"/>
          <w:szCs w:val="24"/>
          <w:rtl/>
        </w:rPr>
        <w:t>ו</w:t>
      </w:r>
      <w:r w:rsidR="00CF7DBC">
        <w:rPr>
          <w:rFonts w:ascii="David" w:hAnsi="David" w:cs="David" w:hint="cs"/>
          <w:sz w:val="24"/>
          <w:szCs w:val="24"/>
          <w:rtl/>
        </w:rPr>
        <w:t xml:space="preserve">בעקבות כך גם </w:t>
      </w:r>
      <w:r w:rsidR="00990E23">
        <w:rPr>
          <w:rFonts w:ascii="David" w:hAnsi="David" w:cs="David" w:hint="cs"/>
          <w:sz w:val="24"/>
          <w:szCs w:val="24"/>
          <w:rtl/>
        </w:rPr>
        <w:t>לקבל פחות סיוע ציבורי</w:t>
      </w:r>
      <w:r w:rsidR="003D4F4E">
        <w:rPr>
          <w:rFonts w:ascii="David" w:hAnsi="David" w:cs="David" w:hint="cs"/>
          <w:sz w:val="24"/>
          <w:szCs w:val="24"/>
          <w:rtl/>
        </w:rPr>
        <w:t xml:space="preserve">.   </w:t>
      </w:r>
      <w:r w:rsidR="006B6326">
        <w:rPr>
          <w:rFonts w:ascii="David" w:hAnsi="David" w:cs="David" w:hint="cs"/>
          <w:sz w:val="24"/>
          <w:szCs w:val="24"/>
          <w:rtl/>
        </w:rPr>
        <w:t xml:space="preserve"> </w:t>
      </w:r>
    </w:p>
    <w:p w14:paraId="683DC237" w14:textId="416EBCCA" w:rsidR="00281601" w:rsidRDefault="0020468F" w:rsidP="00281601">
      <w:pPr>
        <w:spacing w:line="312" w:lineRule="auto"/>
        <w:jc w:val="both"/>
        <w:rPr>
          <w:rFonts w:ascii="David" w:hAnsi="David" w:cs="David"/>
          <w:sz w:val="24"/>
          <w:szCs w:val="24"/>
          <w:rtl/>
        </w:rPr>
      </w:pPr>
      <w:r w:rsidRPr="00383F0E">
        <w:rPr>
          <w:rFonts w:ascii="David" w:hAnsi="David" w:cs="David" w:hint="cs"/>
          <w:sz w:val="24"/>
          <w:szCs w:val="24"/>
          <w:rtl/>
        </w:rPr>
        <w:t>שוויון פוליטי, כלכלי או חברתי הוו עקרונות מרכזיים שהנחו את החזון הציוני. לצד זאת, מצב של</w:t>
      </w:r>
      <w:r>
        <w:rPr>
          <w:rFonts w:ascii="David" w:hAnsi="David" w:cs="David" w:hint="cs"/>
          <w:sz w:val="24"/>
          <w:szCs w:val="24"/>
          <w:rtl/>
        </w:rPr>
        <w:t xml:space="preserve"> אי שוויון בין בני אדם מהווה נקודת מוצא. מטבעם, אין בני אדם אחידים. השוני בין בני אדם מקבל עידוד מ</w:t>
      </w:r>
      <w:r w:rsidRPr="00D805C3">
        <w:rPr>
          <w:rFonts w:ascii="David" w:hAnsi="David" w:cs="David" w:hint="cs"/>
          <w:b/>
          <w:bCs/>
          <w:sz w:val="24"/>
          <w:szCs w:val="24"/>
          <w:rtl/>
        </w:rPr>
        <w:t>ערך החירות</w:t>
      </w:r>
      <w:r>
        <w:rPr>
          <w:rFonts w:ascii="David" w:hAnsi="David" w:cs="David" w:hint="cs"/>
          <w:sz w:val="24"/>
          <w:szCs w:val="24"/>
          <w:rtl/>
        </w:rPr>
        <w:t xml:space="preserve"> התומך בטיפוחו של הפרט. אולם שוני זה אינו סותר יחס שוויוני בין בני אדם כנושאי זכויות. מדיניות המיישמת את ערך השוויון פועלת לצמצ</w:t>
      </w:r>
      <w:r w:rsidR="00BF31B2">
        <w:rPr>
          <w:rFonts w:ascii="David" w:hAnsi="David" w:cs="David" w:hint="cs"/>
          <w:sz w:val="24"/>
          <w:szCs w:val="24"/>
          <w:rtl/>
        </w:rPr>
        <w:t>ו</w:t>
      </w:r>
      <w:r>
        <w:rPr>
          <w:rFonts w:ascii="David" w:hAnsi="David" w:cs="David" w:hint="cs"/>
          <w:sz w:val="24"/>
          <w:szCs w:val="24"/>
          <w:rtl/>
        </w:rPr>
        <w:t>ם מוקדים של אי שוויון</w:t>
      </w:r>
      <w:r w:rsidR="00511657">
        <w:rPr>
          <w:rFonts w:ascii="David" w:hAnsi="David" w:cs="David" w:hint="cs"/>
          <w:sz w:val="24"/>
          <w:szCs w:val="24"/>
          <w:rtl/>
        </w:rPr>
        <w:t xml:space="preserve"> בקרב קבוצות שונות </w:t>
      </w:r>
      <w:r>
        <w:rPr>
          <w:rFonts w:ascii="David" w:hAnsi="David" w:cs="David" w:hint="cs"/>
          <w:sz w:val="24"/>
          <w:szCs w:val="24"/>
          <w:rtl/>
        </w:rPr>
        <w:t>(המכון הישראלי לדמוקרטיה, 2005).</w:t>
      </w:r>
    </w:p>
    <w:p w14:paraId="437029F2" w14:textId="57415C7E" w:rsidR="00885E67" w:rsidRDefault="003252DE" w:rsidP="00FF6AC5">
      <w:pPr>
        <w:spacing w:line="312" w:lineRule="auto"/>
        <w:jc w:val="both"/>
        <w:rPr>
          <w:rFonts w:ascii="David" w:hAnsi="David" w:cs="David"/>
          <w:sz w:val="24"/>
          <w:szCs w:val="24"/>
          <w:rtl/>
        </w:rPr>
      </w:pPr>
      <w:r>
        <w:rPr>
          <w:rFonts w:ascii="David" w:hAnsi="David" w:cs="David" w:hint="cs"/>
          <w:sz w:val="24"/>
          <w:szCs w:val="24"/>
          <w:rtl/>
        </w:rPr>
        <w:t>קיימים סוגי</w:t>
      </w:r>
      <w:r w:rsidR="004412D9">
        <w:rPr>
          <w:rFonts w:ascii="David" w:hAnsi="David" w:cs="David" w:hint="cs"/>
          <w:sz w:val="24"/>
          <w:szCs w:val="24"/>
          <w:rtl/>
        </w:rPr>
        <w:t>ם שונים של</w:t>
      </w:r>
      <w:r>
        <w:rPr>
          <w:rFonts w:ascii="David" w:hAnsi="David" w:cs="David" w:hint="cs"/>
          <w:sz w:val="24"/>
          <w:szCs w:val="24"/>
          <w:rtl/>
        </w:rPr>
        <w:t xml:space="preserve"> שוויון</w:t>
      </w:r>
      <w:r w:rsidR="00230500">
        <w:rPr>
          <w:rFonts w:ascii="David" w:hAnsi="David" w:cs="David" w:hint="cs"/>
          <w:sz w:val="24"/>
          <w:szCs w:val="24"/>
          <w:rtl/>
        </w:rPr>
        <w:t xml:space="preserve"> (</w:t>
      </w:r>
      <w:proofErr w:type="spellStart"/>
      <w:r w:rsidR="00230500">
        <w:rPr>
          <w:rFonts w:ascii="David" w:hAnsi="David" w:cs="David" w:hint="cs"/>
          <w:sz w:val="24"/>
          <w:szCs w:val="24"/>
          <w:rtl/>
        </w:rPr>
        <w:t>וינריב</w:t>
      </w:r>
      <w:proofErr w:type="spellEnd"/>
      <w:r w:rsidR="00230500">
        <w:rPr>
          <w:rFonts w:ascii="David" w:hAnsi="David" w:cs="David" w:hint="cs"/>
          <w:sz w:val="24"/>
          <w:szCs w:val="24"/>
          <w:rtl/>
        </w:rPr>
        <w:t>, 2007)</w:t>
      </w:r>
      <w:r>
        <w:rPr>
          <w:rFonts w:ascii="David" w:hAnsi="David" w:cs="David" w:hint="cs"/>
          <w:sz w:val="24"/>
          <w:szCs w:val="24"/>
          <w:rtl/>
        </w:rPr>
        <w:t xml:space="preserve">: </w:t>
      </w:r>
      <w:r w:rsidRPr="00BF31B2">
        <w:rPr>
          <w:rFonts w:ascii="David" w:hAnsi="David" w:cs="David" w:hint="cs"/>
          <w:b/>
          <w:bCs/>
          <w:sz w:val="24"/>
          <w:szCs w:val="24"/>
          <w:rtl/>
        </w:rPr>
        <w:t>שוויון מטפיזי</w:t>
      </w:r>
      <w:r w:rsidR="009E2B33">
        <w:rPr>
          <w:rFonts w:ascii="David" w:hAnsi="David" w:cs="David" w:hint="cs"/>
          <w:sz w:val="24"/>
          <w:szCs w:val="24"/>
          <w:rtl/>
        </w:rPr>
        <w:t xml:space="preserve"> </w:t>
      </w:r>
      <w:r w:rsidR="009E2B33">
        <w:rPr>
          <w:rFonts w:ascii="David" w:hAnsi="David" w:cs="David"/>
          <w:sz w:val="24"/>
          <w:szCs w:val="24"/>
          <w:rtl/>
        </w:rPr>
        <w:t>–</w:t>
      </w:r>
      <w:r w:rsidR="009E2B33">
        <w:rPr>
          <w:rFonts w:ascii="David" w:hAnsi="David" w:cs="David" w:hint="cs"/>
          <w:sz w:val="24"/>
          <w:szCs w:val="24"/>
          <w:rtl/>
        </w:rPr>
        <w:t xml:space="preserve"> ההתייחסות לשוויון בין בני האדם </w:t>
      </w:r>
      <w:r w:rsidR="008C3EA9">
        <w:rPr>
          <w:rFonts w:ascii="David" w:hAnsi="David" w:cs="David" w:hint="cs"/>
          <w:sz w:val="24"/>
          <w:szCs w:val="24"/>
          <w:rtl/>
        </w:rPr>
        <w:t>מתבססת על תפיסה של</w:t>
      </w:r>
      <w:r w:rsidR="009E2B33">
        <w:rPr>
          <w:rFonts w:ascii="David" w:hAnsi="David" w:cs="David" w:hint="cs"/>
          <w:sz w:val="24"/>
          <w:szCs w:val="24"/>
          <w:rtl/>
        </w:rPr>
        <w:t xml:space="preserve"> ערך האדם, כערך מהותי ואידאלי ביחסים בין בני אדם; </w:t>
      </w:r>
      <w:r w:rsidR="009E2B33" w:rsidRPr="00BF31B2">
        <w:rPr>
          <w:rFonts w:ascii="David" w:hAnsi="David" w:cs="David" w:hint="cs"/>
          <w:b/>
          <w:bCs/>
          <w:sz w:val="24"/>
          <w:szCs w:val="24"/>
          <w:rtl/>
        </w:rPr>
        <w:t>שוויון דמוקרטי</w:t>
      </w:r>
      <w:r w:rsidR="009E2B33">
        <w:rPr>
          <w:rFonts w:ascii="David" w:hAnsi="David" w:cs="David" w:hint="cs"/>
          <w:sz w:val="24"/>
          <w:szCs w:val="24"/>
          <w:rtl/>
        </w:rPr>
        <w:t xml:space="preserve"> </w:t>
      </w:r>
      <w:r w:rsidR="009E2B33">
        <w:rPr>
          <w:rFonts w:ascii="David" w:hAnsi="David" w:cs="David"/>
          <w:sz w:val="24"/>
          <w:szCs w:val="24"/>
          <w:rtl/>
        </w:rPr>
        <w:t>–</w:t>
      </w:r>
      <w:r w:rsidR="009E2B33">
        <w:rPr>
          <w:rFonts w:ascii="David" w:hAnsi="David" w:cs="David" w:hint="cs"/>
          <w:sz w:val="24"/>
          <w:szCs w:val="24"/>
          <w:rtl/>
        </w:rPr>
        <w:t xml:space="preserve"> </w:t>
      </w:r>
      <w:r w:rsidR="00230500">
        <w:rPr>
          <w:rFonts w:ascii="David" w:hAnsi="David" w:cs="David" w:hint="cs"/>
          <w:sz w:val="24"/>
          <w:szCs w:val="24"/>
          <w:rtl/>
        </w:rPr>
        <w:t>מתמקד בזירה הפוליטית ו</w:t>
      </w:r>
      <w:r w:rsidR="00B30256">
        <w:rPr>
          <w:rFonts w:ascii="David" w:hAnsi="David" w:cs="David" w:hint="cs"/>
          <w:sz w:val="24"/>
          <w:szCs w:val="24"/>
          <w:rtl/>
        </w:rPr>
        <w:t>נאבק</w:t>
      </w:r>
      <w:r w:rsidR="009E2B33">
        <w:rPr>
          <w:rFonts w:ascii="David" w:hAnsi="David" w:cs="David" w:hint="cs"/>
          <w:sz w:val="24"/>
          <w:szCs w:val="24"/>
          <w:rtl/>
        </w:rPr>
        <w:t xml:space="preserve"> </w:t>
      </w:r>
      <w:r w:rsidR="00B30256">
        <w:rPr>
          <w:rFonts w:ascii="David" w:hAnsi="David" w:cs="David" w:hint="cs"/>
          <w:sz w:val="24"/>
          <w:szCs w:val="24"/>
          <w:rtl/>
        </w:rPr>
        <w:t>ב</w:t>
      </w:r>
      <w:r w:rsidR="009E2B33">
        <w:rPr>
          <w:rFonts w:ascii="David" w:hAnsi="David" w:cs="David" w:hint="cs"/>
          <w:sz w:val="24"/>
          <w:szCs w:val="24"/>
          <w:rtl/>
        </w:rPr>
        <w:t>דיכוי, אפליה או גזענות הנובעים מדת שונה</w:t>
      </w:r>
      <w:r w:rsidR="00B30256">
        <w:rPr>
          <w:rFonts w:ascii="David" w:hAnsi="David" w:cs="David" w:hint="cs"/>
          <w:sz w:val="24"/>
          <w:szCs w:val="24"/>
          <w:rtl/>
        </w:rPr>
        <w:t xml:space="preserve">, </w:t>
      </w:r>
      <w:r w:rsidR="009E2B33">
        <w:rPr>
          <w:rFonts w:ascii="David" w:hAnsi="David" w:cs="David" w:hint="cs"/>
          <w:sz w:val="24"/>
          <w:szCs w:val="24"/>
          <w:rtl/>
        </w:rPr>
        <w:t>מגדר</w:t>
      </w:r>
      <w:r w:rsidR="00B30256">
        <w:rPr>
          <w:rFonts w:ascii="David" w:hAnsi="David" w:cs="David" w:hint="cs"/>
          <w:sz w:val="24"/>
          <w:szCs w:val="24"/>
          <w:rtl/>
        </w:rPr>
        <w:t xml:space="preserve"> או השתייכות לקבוצה כלשהי</w:t>
      </w:r>
      <w:r w:rsidR="009E2B33">
        <w:rPr>
          <w:rFonts w:ascii="David" w:hAnsi="David" w:cs="David" w:hint="cs"/>
          <w:sz w:val="24"/>
          <w:szCs w:val="24"/>
          <w:rtl/>
        </w:rPr>
        <w:t>. לפי תפיסה זו האזרחים שווים ומשתתפים בחיים הדמוקרטיים</w:t>
      </w:r>
      <w:r w:rsidR="00B30256">
        <w:rPr>
          <w:rFonts w:ascii="David" w:hAnsi="David" w:cs="David" w:hint="cs"/>
          <w:sz w:val="24"/>
          <w:szCs w:val="24"/>
          <w:rtl/>
        </w:rPr>
        <w:t>,</w:t>
      </w:r>
      <w:r w:rsidR="009E2B33">
        <w:rPr>
          <w:rFonts w:ascii="David" w:hAnsi="David" w:cs="David" w:hint="cs"/>
          <w:sz w:val="24"/>
          <w:szCs w:val="24"/>
          <w:rtl/>
        </w:rPr>
        <w:t xml:space="preserve"> בתהליכי קבלת החלטות וזכאים להתחשבות באופן שווה. ערך זה </w:t>
      </w:r>
      <w:r w:rsidR="00B30256">
        <w:rPr>
          <w:rFonts w:ascii="David" w:hAnsi="David" w:cs="David" w:hint="cs"/>
          <w:sz w:val="24"/>
          <w:szCs w:val="24"/>
          <w:rtl/>
        </w:rPr>
        <w:t>נתפס כ</w:t>
      </w:r>
      <w:r w:rsidR="009E2B33">
        <w:rPr>
          <w:rFonts w:ascii="David" w:hAnsi="David" w:cs="David" w:hint="cs"/>
          <w:sz w:val="24"/>
          <w:szCs w:val="24"/>
          <w:rtl/>
        </w:rPr>
        <w:t xml:space="preserve">תורם ללכידות חברתית ולחיי קהילה בריאים; </w:t>
      </w:r>
      <w:r w:rsidR="009E2B33" w:rsidRPr="00BF31B2">
        <w:rPr>
          <w:rFonts w:ascii="David" w:hAnsi="David" w:cs="David" w:hint="cs"/>
          <w:b/>
          <w:bCs/>
          <w:sz w:val="24"/>
          <w:szCs w:val="24"/>
          <w:rtl/>
        </w:rPr>
        <w:t>שוויון חברתי</w:t>
      </w:r>
      <w:r w:rsidR="002D30CB">
        <w:rPr>
          <w:rFonts w:ascii="David" w:hAnsi="David" w:cs="David" w:hint="cs"/>
          <w:b/>
          <w:bCs/>
          <w:sz w:val="24"/>
          <w:szCs w:val="24"/>
          <w:rtl/>
        </w:rPr>
        <w:t>-כלכלי</w:t>
      </w:r>
      <w:r w:rsidR="009E2B33" w:rsidRPr="00BF31B2">
        <w:rPr>
          <w:rFonts w:ascii="David" w:hAnsi="David" w:cs="David" w:hint="cs"/>
          <w:b/>
          <w:bCs/>
          <w:sz w:val="24"/>
          <w:szCs w:val="24"/>
          <w:rtl/>
        </w:rPr>
        <w:t xml:space="preserve"> או חלוקתי</w:t>
      </w:r>
      <w:r w:rsidR="004B3DEF">
        <w:rPr>
          <w:rFonts w:ascii="David" w:hAnsi="David" w:cs="David" w:hint="cs"/>
          <w:sz w:val="24"/>
          <w:szCs w:val="24"/>
          <w:rtl/>
        </w:rPr>
        <w:t xml:space="preserve"> </w:t>
      </w:r>
      <w:r w:rsidR="007C6527">
        <w:rPr>
          <w:rFonts w:ascii="David" w:hAnsi="David" w:cs="David" w:hint="cs"/>
          <w:sz w:val="24"/>
          <w:szCs w:val="24"/>
          <w:rtl/>
        </w:rPr>
        <w:t xml:space="preserve">עוסק באופן </w:t>
      </w:r>
      <w:r w:rsidR="009C5DEA">
        <w:rPr>
          <w:rFonts w:ascii="David" w:hAnsi="David" w:cs="David" w:hint="cs"/>
          <w:sz w:val="24"/>
          <w:szCs w:val="24"/>
          <w:rtl/>
        </w:rPr>
        <w:t>שבו משאבים כלכליים מתחלקים בין יחידים בקבוצה בין קבוצות אוכלוסייה או בין מדינות</w:t>
      </w:r>
      <w:r w:rsidR="00117E77">
        <w:rPr>
          <w:rFonts w:ascii="David" w:hAnsi="David" w:cs="David" w:hint="cs"/>
          <w:sz w:val="24"/>
          <w:szCs w:val="24"/>
          <w:rtl/>
        </w:rPr>
        <w:t>, ו</w:t>
      </w:r>
      <w:r w:rsidR="009E2B33">
        <w:rPr>
          <w:rFonts w:ascii="David" w:hAnsi="David" w:cs="David" w:hint="cs"/>
          <w:sz w:val="24"/>
          <w:szCs w:val="24"/>
          <w:rtl/>
        </w:rPr>
        <w:t>כרוך בחלוקה שווה של "עוגת" המשאבים</w:t>
      </w:r>
      <w:r w:rsidR="00B30256">
        <w:rPr>
          <w:rFonts w:ascii="David" w:hAnsi="David" w:cs="David" w:hint="cs"/>
          <w:sz w:val="24"/>
          <w:szCs w:val="24"/>
          <w:rtl/>
        </w:rPr>
        <w:t xml:space="preserve"> ובהבטחת תנאי חיים שווים לבני האדם</w:t>
      </w:r>
      <w:r w:rsidR="007C4261">
        <w:rPr>
          <w:rFonts w:ascii="David" w:hAnsi="David" w:cs="David" w:hint="cs"/>
          <w:sz w:val="24"/>
          <w:szCs w:val="24"/>
          <w:rtl/>
        </w:rPr>
        <w:t xml:space="preserve"> (</w:t>
      </w:r>
      <w:r w:rsidR="007C4261">
        <w:rPr>
          <w:rFonts w:ascii="David" w:hAnsi="David" w:cs="David"/>
          <w:sz w:val="24"/>
          <w:szCs w:val="24"/>
        </w:rPr>
        <w:t>(United Nation, 2015</w:t>
      </w:r>
      <w:r w:rsidR="009E2B33">
        <w:rPr>
          <w:rFonts w:ascii="David" w:hAnsi="David" w:cs="David" w:hint="cs"/>
          <w:sz w:val="24"/>
          <w:szCs w:val="24"/>
          <w:rtl/>
        </w:rPr>
        <w:t xml:space="preserve">. אי שוויון </w:t>
      </w:r>
      <w:r w:rsidR="00D81031">
        <w:rPr>
          <w:rFonts w:ascii="David" w:hAnsi="David" w:cs="David" w:hint="cs"/>
          <w:sz w:val="24"/>
          <w:szCs w:val="24"/>
          <w:rtl/>
        </w:rPr>
        <w:t>חלוקתי</w:t>
      </w:r>
      <w:r w:rsidR="009E2B33">
        <w:rPr>
          <w:rFonts w:ascii="David" w:hAnsi="David" w:cs="David" w:hint="cs"/>
          <w:sz w:val="24"/>
          <w:szCs w:val="24"/>
          <w:rtl/>
        </w:rPr>
        <w:t xml:space="preserve"> מתקיים כאשר </w:t>
      </w:r>
      <w:r w:rsidR="004B3DEF">
        <w:rPr>
          <w:rFonts w:ascii="David" w:hAnsi="David" w:cs="David" w:hint="cs"/>
          <w:sz w:val="24"/>
          <w:szCs w:val="24"/>
          <w:rtl/>
        </w:rPr>
        <w:t>משאבי החברה מחולקים בצורה לא שווה</w:t>
      </w:r>
      <w:r w:rsidR="00BB7E02">
        <w:rPr>
          <w:rFonts w:ascii="David" w:hAnsi="David" w:cs="David" w:hint="cs"/>
          <w:sz w:val="24"/>
          <w:szCs w:val="24"/>
          <w:rtl/>
        </w:rPr>
        <w:t>, או בנגישות שונה ש</w:t>
      </w:r>
      <w:r w:rsidR="00CD30B8">
        <w:rPr>
          <w:rFonts w:ascii="David" w:hAnsi="David" w:cs="David" w:hint="cs"/>
          <w:sz w:val="24"/>
          <w:szCs w:val="24"/>
          <w:rtl/>
        </w:rPr>
        <w:t>יש לאנשים בחברה למשאבים כלכליים, חברתיים ובמידת היכולת שלהם לנכס משאבים ולשלוט בהקצאתם</w:t>
      </w:r>
      <w:r w:rsidR="002F61B3">
        <w:rPr>
          <w:rFonts w:ascii="David" w:hAnsi="David" w:cs="David" w:hint="cs"/>
          <w:sz w:val="24"/>
          <w:szCs w:val="24"/>
          <w:rtl/>
        </w:rPr>
        <w:t xml:space="preserve">, </w:t>
      </w:r>
      <w:r w:rsidR="004B3DEF">
        <w:rPr>
          <w:rFonts w:ascii="David" w:hAnsi="David" w:cs="David" w:hint="cs"/>
          <w:sz w:val="24"/>
          <w:szCs w:val="24"/>
          <w:rtl/>
        </w:rPr>
        <w:t>בשל מגדר, גזע, קבוצה אתנית, הכנסה, מעמד חוקי או השכלה</w:t>
      </w:r>
      <w:r w:rsidR="009E2B33">
        <w:rPr>
          <w:rFonts w:ascii="David" w:hAnsi="David" w:cs="David" w:hint="cs"/>
          <w:sz w:val="24"/>
          <w:szCs w:val="24"/>
          <w:rtl/>
        </w:rPr>
        <w:t xml:space="preserve">. </w:t>
      </w:r>
      <w:r w:rsidR="00BE3CF8">
        <w:rPr>
          <w:rFonts w:ascii="David" w:hAnsi="David" w:cs="David" w:hint="cs"/>
          <w:sz w:val="24"/>
          <w:szCs w:val="24"/>
          <w:rtl/>
        </w:rPr>
        <w:t>אי שוויון חברתי-כלכלי עוסק באי שוויון ברמת החיים</w:t>
      </w:r>
      <w:r w:rsidR="007B7F12">
        <w:rPr>
          <w:rFonts w:ascii="David" w:hAnsi="David" w:cs="David" w:hint="cs"/>
          <w:sz w:val="24"/>
          <w:szCs w:val="24"/>
          <w:rtl/>
        </w:rPr>
        <w:t xml:space="preserve"> </w:t>
      </w:r>
      <w:r w:rsidR="007B7F12">
        <w:rPr>
          <w:rFonts w:ascii="David" w:hAnsi="David" w:cs="David"/>
          <w:sz w:val="24"/>
          <w:szCs w:val="24"/>
          <w:rtl/>
        </w:rPr>
        <w:t>–</w:t>
      </w:r>
      <w:r w:rsidR="007B7F12">
        <w:rPr>
          <w:rFonts w:ascii="David" w:hAnsi="David" w:cs="David" w:hint="cs"/>
          <w:sz w:val="24"/>
          <w:szCs w:val="24"/>
          <w:rtl/>
        </w:rPr>
        <w:t xml:space="preserve"> ברמת ההכנסה, בחינוך, בתחום הבריאות והתזונה</w:t>
      </w:r>
      <w:r w:rsidR="00D22BA9">
        <w:rPr>
          <w:rFonts w:ascii="David" w:hAnsi="David" w:cs="David" w:hint="cs"/>
          <w:sz w:val="24"/>
          <w:szCs w:val="24"/>
          <w:rtl/>
        </w:rPr>
        <w:t xml:space="preserve"> (בן פורת, 2003)</w:t>
      </w:r>
      <w:r w:rsidR="007B7F12">
        <w:rPr>
          <w:rFonts w:ascii="David" w:hAnsi="David" w:cs="David" w:hint="cs"/>
          <w:sz w:val="24"/>
          <w:szCs w:val="24"/>
          <w:rtl/>
        </w:rPr>
        <w:t xml:space="preserve">. </w:t>
      </w:r>
      <w:r w:rsidR="009E2B33">
        <w:rPr>
          <w:rFonts w:ascii="David" w:hAnsi="David" w:cs="David" w:hint="cs"/>
          <w:sz w:val="24"/>
          <w:szCs w:val="24"/>
          <w:rtl/>
        </w:rPr>
        <w:t xml:space="preserve">שוויון </w:t>
      </w:r>
      <w:r w:rsidR="009E2B33">
        <w:rPr>
          <w:rFonts w:ascii="David" w:hAnsi="David" w:cs="David" w:hint="cs"/>
          <w:sz w:val="24"/>
          <w:szCs w:val="24"/>
          <w:rtl/>
        </w:rPr>
        <w:lastRenderedPageBreak/>
        <w:t>חלוקתי עוסק בצמצום פערים כלכליים בהכנסה וברכוש</w:t>
      </w:r>
      <w:r w:rsidR="00B30256">
        <w:rPr>
          <w:rFonts w:ascii="David" w:hAnsi="David" w:cs="David" w:hint="cs"/>
          <w:sz w:val="24"/>
          <w:szCs w:val="24"/>
          <w:rtl/>
        </w:rPr>
        <w:t xml:space="preserve">, </w:t>
      </w:r>
      <w:r w:rsidR="009E2B33">
        <w:rPr>
          <w:rFonts w:ascii="David" w:hAnsi="David" w:cs="David" w:hint="cs"/>
          <w:sz w:val="24"/>
          <w:szCs w:val="24"/>
          <w:rtl/>
        </w:rPr>
        <w:t xml:space="preserve">נלחם </w:t>
      </w:r>
      <w:r w:rsidR="00B30256">
        <w:rPr>
          <w:rFonts w:ascii="David" w:hAnsi="David" w:cs="David" w:hint="cs"/>
          <w:sz w:val="24"/>
          <w:szCs w:val="24"/>
          <w:rtl/>
        </w:rPr>
        <w:t xml:space="preserve">בפערים כלכליים-חברתיים, ופועל לצמצום </w:t>
      </w:r>
      <w:r w:rsidR="009E2B33">
        <w:rPr>
          <w:rFonts w:ascii="David" w:hAnsi="David" w:cs="David" w:hint="cs"/>
          <w:sz w:val="24"/>
          <w:szCs w:val="24"/>
          <w:rtl/>
        </w:rPr>
        <w:t>עוני ומחסור ובאספקה של צרכי יסוד לאלה שאינם יכולים להשיגם (</w:t>
      </w:r>
      <w:proofErr w:type="spellStart"/>
      <w:r w:rsidR="009E2B33">
        <w:rPr>
          <w:rFonts w:ascii="David" w:hAnsi="David" w:cs="David" w:hint="cs"/>
          <w:sz w:val="24"/>
          <w:szCs w:val="24"/>
          <w:rtl/>
        </w:rPr>
        <w:t>וינריב</w:t>
      </w:r>
      <w:proofErr w:type="spellEnd"/>
      <w:r w:rsidR="009E2B33">
        <w:rPr>
          <w:rFonts w:ascii="David" w:hAnsi="David" w:cs="David" w:hint="cs"/>
          <w:sz w:val="24"/>
          <w:szCs w:val="24"/>
          <w:rtl/>
        </w:rPr>
        <w:t>, 2007)</w:t>
      </w:r>
      <w:r w:rsidR="00B30256">
        <w:rPr>
          <w:rFonts w:ascii="David" w:hAnsi="David" w:cs="David" w:hint="cs"/>
          <w:sz w:val="24"/>
          <w:szCs w:val="24"/>
          <w:rtl/>
        </w:rPr>
        <w:t>.</w:t>
      </w:r>
      <w:r w:rsidR="00D81031">
        <w:rPr>
          <w:rFonts w:ascii="David" w:hAnsi="David" w:cs="David" w:hint="cs"/>
          <w:sz w:val="24"/>
          <w:szCs w:val="24"/>
          <w:rtl/>
        </w:rPr>
        <w:t xml:space="preserve"> </w:t>
      </w:r>
      <w:r w:rsidR="002A2CD0">
        <w:rPr>
          <w:rFonts w:ascii="David" w:hAnsi="David" w:cs="David" w:hint="cs"/>
          <w:sz w:val="24"/>
          <w:szCs w:val="24"/>
          <w:rtl/>
        </w:rPr>
        <w:t xml:space="preserve">הנגישות השונה למשאבים קובעת חלוקה היררכית של קטגוריות מעמדיות, שנקבעות על פי המיקום או המעמד הכלכלי, הפוליטי והתרבותי. שלושת הגורמים המרכזיים לאי שוויון </w:t>
      </w:r>
      <w:r w:rsidR="00FF6AC5">
        <w:rPr>
          <w:rFonts w:ascii="David" w:hAnsi="David" w:cs="David" w:hint="cs"/>
          <w:sz w:val="24"/>
          <w:szCs w:val="24"/>
          <w:rtl/>
        </w:rPr>
        <w:t>חברתי-</w:t>
      </w:r>
      <w:r w:rsidR="002A2CD0">
        <w:rPr>
          <w:rFonts w:ascii="David" w:hAnsi="David" w:cs="David" w:hint="cs"/>
          <w:sz w:val="24"/>
          <w:szCs w:val="24"/>
          <w:rtl/>
        </w:rPr>
        <w:t>כלכלי הם עושר, יוקרה וכוח</w:t>
      </w:r>
      <w:r w:rsidR="00C714D3">
        <w:rPr>
          <w:rFonts w:ascii="David" w:hAnsi="David" w:cs="David" w:hint="cs"/>
          <w:sz w:val="24"/>
          <w:szCs w:val="24"/>
          <w:rtl/>
        </w:rPr>
        <w:t xml:space="preserve"> (בן פורת, 2003)</w:t>
      </w:r>
      <w:r w:rsidR="002A2CD0">
        <w:rPr>
          <w:rFonts w:ascii="David" w:hAnsi="David" w:cs="David" w:hint="cs"/>
          <w:sz w:val="24"/>
          <w:szCs w:val="24"/>
          <w:rtl/>
        </w:rPr>
        <w:t xml:space="preserve">.  </w:t>
      </w:r>
    </w:p>
    <w:p w14:paraId="03E4F4BA" w14:textId="7A38EBFB" w:rsidR="00AE7CE6" w:rsidRPr="004D0EA0" w:rsidRDefault="00AE7CE6" w:rsidP="002433A6">
      <w:pPr>
        <w:spacing w:line="312" w:lineRule="auto"/>
        <w:rPr>
          <w:rFonts w:ascii="David" w:hAnsi="David" w:cs="David"/>
          <w:color w:val="FF0000"/>
          <w:sz w:val="24"/>
          <w:szCs w:val="24"/>
          <w:rtl/>
        </w:rPr>
      </w:pPr>
      <w:r w:rsidRPr="00D805C3">
        <w:rPr>
          <w:rFonts w:ascii="David" w:hAnsi="David" w:cs="David" w:hint="cs"/>
          <w:color w:val="FF0000"/>
          <w:sz w:val="24"/>
          <w:szCs w:val="24"/>
          <w:rtl/>
        </w:rPr>
        <w:t>אי שוויון חברתי שונה מאי-שוויון כלכלי היות ואי שוויון כלכלי עוסק בפערים שנובעים מחלוקת הכנסות ונכסים כלכליים, ואילו אי שוויון חברתי קיים בשל הון הקיים באזורים מסוימים המונע מאנשים המתגוררים באותו אזור להשיג דיור, שירותי בריאות והזדמנויות אחרות הזמינים לאוכלוסייה בעלת הון בחברה</w:t>
      </w:r>
      <w:r>
        <w:rPr>
          <w:rFonts w:ascii="David" w:hAnsi="David" w:cs="David" w:hint="cs"/>
          <w:color w:val="FF0000"/>
          <w:sz w:val="24"/>
          <w:szCs w:val="24"/>
          <w:rtl/>
        </w:rPr>
        <w:t xml:space="preserve"> (</w:t>
      </w:r>
      <w:proofErr w:type="spellStart"/>
      <w:r>
        <w:rPr>
          <w:rFonts w:ascii="David" w:hAnsi="David" w:cs="David" w:hint="cs"/>
          <w:color w:val="FF0000"/>
          <w:sz w:val="24"/>
          <w:szCs w:val="24"/>
          <w:rtl/>
        </w:rPr>
        <w:t>וינריב</w:t>
      </w:r>
      <w:proofErr w:type="spellEnd"/>
      <w:r>
        <w:rPr>
          <w:rFonts w:ascii="David" w:hAnsi="David" w:cs="David" w:hint="cs"/>
          <w:color w:val="FF0000"/>
          <w:sz w:val="24"/>
          <w:szCs w:val="24"/>
          <w:rtl/>
        </w:rPr>
        <w:t>, 2007)</w:t>
      </w:r>
      <w:r w:rsidRPr="00D805C3">
        <w:rPr>
          <w:rFonts w:ascii="David" w:hAnsi="David" w:cs="David" w:hint="cs"/>
          <w:color w:val="FF0000"/>
          <w:sz w:val="24"/>
          <w:szCs w:val="24"/>
          <w:rtl/>
        </w:rPr>
        <w:t>. אי שוויון חברתי עוסק לרוב בתוצאה הסופית ובאי שוויון בהזדמנויות. זכויות חברתיות כוללות את היכולת להשתלב בשוק העבודה, מקורות הכנסה, נגישות לשירותי בריאות ורווחה, חופש הביטוי, נגישות לחינוך איכותי, ייצוג פוליטי הולם ויכולת למעורבות חברתית (</w:t>
      </w:r>
      <w:proofErr w:type="spellStart"/>
      <w:r w:rsidRPr="00D805C3">
        <w:rPr>
          <w:rFonts w:ascii="David" w:hAnsi="David" w:cs="David" w:hint="cs"/>
          <w:color w:val="FF0000"/>
          <w:sz w:val="24"/>
          <w:szCs w:val="24"/>
          <w:rtl/>
        </w:rPr>
        <w:t>וינריב</w:t>
      </w:r>
      <w:proofErr w:type="spellEnd"/>
      <w:r w:rsidRPr="00D805C3">
        <w:rPr>
          <w:rFonts w:ascii="David" w:hAnsi="David" w:cs="David" w:hint="cs"/>
          <w:color w:val="FF0000"/>
          <w:sz w:val="24"/>
          <w:szCs w:val="24"/>
          <w:rtl/>
        </w:rPr>
        <w:t xml:space="preserve">, 2007; </w:t>
      </w:r>
      <w:r w:rsidRPr="00D805C3">
        <w:rPr>
          <w:rFonts w:ascii="David" w:hAnsi="David" w:cs="David"/>
          <w:color w:val="FF0000"/>
          <w:sz w:val="24"/>
          <w:szCs w:val="24"/>
        </w:rPr>
        <w:t xml:space="preserve">(Price &amp; </w:t>
      </w:r>
      <w:proofErr w:type="spellStart"/>
      <w:r w:rsidRPr="00D805C3">
        <w:rPr>
          <w:rFonts w:ascii="David" w:hAnsi="David" w:cs="David"/>
          <w:color w:val="FF0000"/>
          <w:sz w:val="24"/>
          <w:szCs w:val="24"/>
        </w:rPr>
        <w:t>Feinman</w:t>
      </w:r>
      <w:proofErr w:type="spellEnd"/>
      <w:r w:rsidRPr="00D805C3">
        <w:rPr>
          <w:rFonts w:ascii="David" w:hAnsi="David" w:cs="David"/>
          <w:color w:val="FF0000"/>
          <w:sz w:val="24"/>
          <w:szCs w:val="24"/>
        </w:rPr>
        <w:t>, 1995; Wade, 2014</w:t>
      </w:r>
      <w:r w:rsidRPr="00D805C3">
        <w:rPr>
          <w:rFonts w:ascii="David" w:hAnsi="David" w:cs="David" w:hint="cs"/>
          <w:color w:val="FF0000"/>
          <w:sz w:val="24"/>
          <w:szCs w:val="24"/>
          <w:rtl/>
        </w:rPr>
        <w:t xml:space="preserve">. </w:t>
      </w:r>
    </w:p>
    <w:p w14:paraId="04402C4F" w14:textId="04AE7590" w:rsidR="004C2108" w:rsidRPr="00682EEE" w:rsidRDefault="00682EEE" w:rsidP="00A5093D">
      <w:pPr>
        <w:spacing w:line="312" w:lineRule="auto"/>
        <w:rPr>
          <w:rFonts w:ascii="David" w:hAnsi="David" w:cs="David"/>
          <w:color w:val="4472C4" w:themeColor="accent1"/>
          <w:sz w:val="28"/>
          <w:szCs w:val="28"/>
          <w:rtl/>
        </w:rPr>
      </w:pPr>
      <w:r w:rsidRPr="00682EEE">
        <w:rPr>
          <w:rFonts w:ascii="David" w:hAnsi="David" w:cs="David" w:hint="cs"/>
          <w:color w:val="4472C4" w:themeColor="accent1"/>
          <w:sz w:val="28"/>
          <w:szCs w:val="28"/>
          <w:rtl/>
        </w:rPr>
        <w:t xml:space="preserve">אי שוויון בהזדמנויות </w:t>
      </w:r>
    </w:p>
    <w:p w14:paraId="3B1B07C3" w14:textId="0F77B5E5" w:rsidR="003252DE" w:rsidRPr="00167D52" w:rsidRDefault="001D6D99" w:rsidP="00167D52">
      <w:pPr>
        <w:spacing w:line="312" w:lineRule="auto"/>
        <w:rPr>
          <w:rFonts w:ascii="David" w:hAnsi="David" w:cs="David"/>
          <w:sz w:val="24"/>
          <w:szCs w:val="24"/>
          <w:rtl/>
        </w:rPr>
      </w:pPr>
      <w:r>
        <w:rPr>
          <w:rFonts w:ascii="David" w:hAnsi="David" w:cs="David" w:hint="cs"/>
          <w:sz w:val="24"/>
          <w:szCs w:val="24"/>
          <w:rtl/>
        </w:rPr>
        <w:t xml:space="preserve">קיימות שתי </w:t>
      </w:r>
      <w:r w:rsidR="00A5093D">
        <w:rPr>
          <w:rFonts w:ascii="David" w:hAnsi="David" w:cs="David" w:hint="cs"/>
          <w:sz w:val="24"/>
          <w:szCs w:val="24"/>
          <w:rtl/>
        </w:rPr>
        <w:t>תפיסות מרכזיות</w:t>
      </w:r>
      <w:r>
        <w:rPr>
          <w:rFonts w:ascii="David" w:hAnsi="David" w:cs="David" w:hint="cs"/>
          <w:sz w:val="24"/>
          <w:szCs w:val="24"/>
          <w:rtl/>
        </w:rPr>
        <w:t xml:space="preserve"> ב</w:t>
      </w:r>
      <w:r w:rsidR="007100F7">
        <w:rPr>
          <w:rFonts w:ascii="David" w:hAnsi="David" w:cs="David" w:hint="cs"/>
          <w:sz w:val="24"/>
          <w:szCs w:val="24"/>
          <w:rtl/>
        </w:rPr>
        <w:t>התייחסות לאי שוויון חברתי</w:t>
      </w:r>
      <w:r>
        <w:rPr>
          <w:rFonts w:ascii="David" w:hAnsi="David" w:cs="David" w:hint="cs"/>
          <w:sz w:val="24"/>
          <w:szCs w:val="24"/>
          <w:rtl/>
        </w:rPr>
        <w:t>. הראשונה, עוסקת ב</w:t>
      </w:r>
      <w:r w:rsidRPr="00A5093D">
        <w:rPr>
          <w:rFonts w:ascii="David" w:hAnsi="David" w:cs="David" w:hint="cs"/>
          <w:b/>
          <w:bCs/>
          <w:sz w:val="24"/>
          <w:szCs w:val="24"/>
          <w:rtl/>
        </w:rPr>
        <w:t>אי שוויון בהזדמנויות</w:t>
      </w:r>
      <w:r>
        <w:rPr>
          <w:rFonts w:ascii="David" w:hAnsi="David" w:cs="David" w:hint="cs"/>
          <w:sz w:val="24"/>
          <w:szCs w:val="24"/>
          <w:rtl/>
        </w:rPr>
        <w:t xml:space="preserve">, כמו </w:t>
      </w:r>
      <w:r w:rsidR="00A5093D">
        <w:rPr>
          <w:rFonts w:ascii="David" w:hAnsi="David" w:cs="David" w:hint="cs"/>
          <w:sz w:val="24"/>
          <w:szCs w:val="24"/>
          <w:rtl/>
        </w:rPr>
        <w:t>נגישות</w:t>
      </w:r>
      <w:r>
        <w:rPr>
          <w:rFonts w:ascii="David" w:hAnsi="David" w:cs="David" w:hint="cs"/>
          <w:sz w:val="24"/>
          <w:szCs w:val="24"/>
          <w:rtl/>
        </w:rPr>
        <w:t xml:space="preserve"> לא שוויונית ל</w:t>
      </w:r>
      <w:r w:rsidR="00A5093D">
        <w:rPr>
          <w:rFonts w:ascii="David" w:hAnsi="David" w:cs="David" w:hint="cs"/>
          <w:sz w:val="24"/>
          <w:szCs w:val="24"/>
          <w:rtl/>
        </w:rPr>
        <w:t>שוק העבודה</w:t>
      </w:r>
      <w:r>
        <w:rPr>
          <w:rFonts w:ascii="David" w:hAnsi="David" w:cs="David" w:hint="cs"/>
          <w:sz w:val="24"/>
          <w:szCs w:val="24"/>
          <w:rtl/>
        </w:rPr>
        <w:t xml:space="preserve"> או </w:t>
      </w:r>
      <w:r w:rsidR="00A5093D">
        <w:rPr>
          <w:rFonts w:ascii="David" w:hAnsi="David" w:cs="David" w:hint="cs"/>
          <w:sz w:val="24"/>
          <w:szCs w:val="24"/>
          <w:rtl/>
        </w:rPr>
        <w:t>ל</w:t>
      </w:r>
      <w:r>
        <w:rPr>
          <w:rFonts w:ascii="David" w:hAnsi="David" w:cs="David" w:hint="cs"/>
          <w:sz w:val="24"/>
          <w:szCs w:val="24"/>
          <w:rtl/>
        </w:rPr>
        <w:t>מסגרות חינוכיות</w:t>
      </w:r>
      <w:r w:rsidR="00A5093D">
        <w:rPr>
          <w:rFonts w:ascii="David" w:hAnsi="David" w:cs="David" w:hint="cs"/>
          <w:sz w:val="24"/>
          <w:szCs w:val="24"/>
          <w:rtl/>
        </w:rPr>
        <w:t xml:space="preserve">. גישה זו מתייחסת למצבים בהם התוצאות תלויות בגורמים שאנשים אחראים להם ולא בתכונות שאינן בשליטתם, כמו מגדר, מוצא, רקע משפחתי וכד'. התפיסה </w:t>
      </w:r>
      <w:r>
        <w:rPr>
          <w:rFonts w:ascii="David" w:hAnsi="David" w:cs="David" w:hint="cs"/>
          <w:sz w:val="24"/>
          <w:szCs w:val="24"/>
          <w:rtl/>
        </w:rPr>
        <w:t xml:space="preserve">השנייה, </w:t>
      </w:r>
      <w:r w:rsidR="00A5093D" w:rsidRPr="00A5093D">
        <w:rPr>
          <w:rFonts w:ascii="David" w:hAnsi="David" w:cs="David" w:hint="cs"/>
          <w:sz w:val="24"/>
          <w:szCs w:val="24"/>
          <w:rtl/>
        </w:rPr>
        <w:t xml:space="preserve">של </w:t>
      </w:r>
      <w:r w:rsidRPr="00A5093D">
        <w:rPr>
          <w:rFonts w:ascii="David" w:hAnsi="David" w:cs="David" w:hint="cs"/>
          <w:b/>
          <w:bCs/>
          <w:sz w:val="24"/>
          <w:szCs w:val="24"/>
          <w:rtl/>
        </w:rPr>
        <w:t>אי שוויון בתוצאות</w:t>
      </w:r>
      <w:r>
        <w:rPr>
          <w:rFonts w:ascii="David" w:hAnsi="David" w:cs="David" w:hint="cs"/>
          <w:sz w:val="24"/>
          <w:szCs w:val="24"/>
          <w:rtl/>
        </w:rPr>
        <w:t xml:space="preserve">, בממדים חומריים שונים של רווחת הפרט, כמו רמת הכנסה, הישגים בלימודים, מצב בריאות וכד'. </w:t>
      </w:r>
      <w:r w:rsidR="00A5093D">
        <w:rPr>
          <w:rFonts w:ascii="David" w:hAnsi="David" w:cs="David" w:hint="cs"/>
          <w:sz w:val="24"/>
          <w:szCs w:val="24"/>
          <w:rtl/>
        </w:rPr>
        <w:t xml:space="preserve">תפיסה זו </w:t>
      </w:r>
      <w:r>
        <w:rPr>
          <w:rFonts w:ascii="David" w:hAnsi="David" w:cs="David" w:hint="cs"/>
          <w:sz w:val="24"/>
          <w:szCs w:val="24"/>
          <w:rtl/>
        </w:rPr>
        <w:t>חותר</w:t>
      </w:r>
      <w:r w:rsidR="00A5093D">
        <w:rPr>
          <w:rFonts w:ascii="David" w:hAnsi="David" w:cs="David" w:hint="cs"/>
          <w:sz w:val="24"/>
          <w:szCs w:val="24"/>
          <w:rtl/>
        </w:rPr>
        <w:t>ת</w:t>
      </w:r>
      <w:r>
        <w:rPr>
          <w:rFonts w:ascii="David" w:hAnsi="David" w:cs="David" w:hint="cs"/>
          <w:sz w:val="24"/>
          <w:szCs w:val="24"/>
          <w:rtl/>
        </w:rPr>
        <w:t xml:space="preserve"> לכך שאנשים</w:t>
      </w:r>
      <w:r w:rsidR="00F50DBF">
        <w:rPr>
          <w:rFonts w:ascii="David" w:hAnsi="David" w:cs="David" w:hint="cs"/>
          <w:sz w:val="24"/>
          <w:szCs w:val="24"/>
          <w:rtl/>
        </w:rPr>
        <w:t xml:space="preserve"> יהיו בתנאים כלכליים דומים. בעוד שגישת אי השוויון בהזדמנויות חותרת לכך שאנשים יהיו בעמדת פתיחה דומה, תפיסת אי השוויון בתוצאות עוסקת בקו הסיום, ומתבססת על נסיבות שמעבר למה שאנו יכולים לשלוט בו, כולל כישרון ומאמץ</w:t>
      </w:r>
      <w:r>
        <w:rPr>
          <w:rFonts w:ascii="David" w:hAnsi="David" w:cs="David" w:hint="cs"/>
          <w:sz w:val="24"/>
          <w:szCs w:val="24"/>
          <w:rtl/>
        </w:rPr>
        <w:t xml:space="preserve">  (</w:t>
      </w:r>
      <w:r>
        <w:rPr>
          <w:rFonts w:ascii="David" w:hAnsi="David" w:cs="David"/>
          <w:sz w:val="24"/>
          <w:szCs w:val="24"/>
        </w:rPr>
        <w:t>(United Nation, 2015</w:t>
      </w:r>
      <w:r w:rsidR="00F50DBF">
        <w:rPr>
          <w:rFonts w:ascii="David" w:hAnsi="David" w:cs="David" w:hint="cs"/>
          <w:sz w:val="24"/>
          <w:szCs w:val="24"/>
          <w:rtl/>
        </w:rPr>
        <w:t>.</w:t>
      </w:r>
      <w:r>
        <w:rPr>
          <w:rFonts w:ascii="David" w:hAnsi="David" w:cs="David" w:hint="cs"/>
          <w:sz w:val="24"/>
          <w:szCs w:val="24"/>
          <w:rtl/>
        </w:rPr>
        <w:t xml:space="preserve">   </w:t>
      </w:r>
    </w:p>
    <w:p w14:paraId="29EE636A" w14:textId="77777777" w:rsidR="00434DFC" w:rsidRDefault="00434DFC" w:rsidP="00434DFC">
      <w:pPr>
        <w:spacing w:line="312" w:lineRule="auto"/>
        <w:rPr>
          <w:rFonts w:ascii="David" w:hAnsi="David" w:cs="David"/>
          <w:color w:val="FF0000"/>
          <w:sz w:val="24"/>
          <w:szCs w:val="24"/>
          <w:rtl/>
        </w:rPr>
      </w:pPr>
      <w:r w:rsidRPr="004D0EA0">
        <w:rPr>
          <w:rFonts w:ascii="David" w:hAnsi="David" w:cs="David" w:hint="cs"/>
          <w:color w:val="FF0000"/>
          <w:sz w:val="24"/>
          <w:szCs w:val="24"/>
          <w:rtl/>
        </w:rPr>
        <w:t xml:space="preserve">אי שוויון במעמד, בזכויות ובהזדמנויות הוא במרכז התיאוריות של צדק חברתי, אך המשמעות של מושגים אלו אינה חד משמעית. אי שוויון כלכלי-חברתי ממוקד באי שוויון בהכנסות, בנכסים ובתנאי חיים. אי שוויון בזכויות ובחובות עוסק בשוויון של בני האדם בפני החוק או שהם בעלי כוח פוליטי שווה. אי שוויון כלכלי -חברתי נחלק לשתי תפיסות מרכזיות </w:t>
      </w:r>
      <w:r w:rsidRPr="004D0EA0">
        <w:rPr>
          <w:rFonts w:ascii="David" w:hAnsi="David" w:cs="David"/>
          <w:color w:val="FF0000"/>
          <w:sz w:val="24"/>
          <w:szCs w:val="24"/>
          <w:rtl/>
        </w:rPr>
        <w:t>–</w:t>
      </w:r>
      <w:r w:rsidRPr="004D0EA0">
        <w:rPr>
          <w:rFonts w:ascii="David" w:hAnsi="David" w:cs="David" w:hint="cs"/>
          <w:color w:val="FF0000"/>
          <w:sz w:val="24"/>
          <w:szCs w:val="24"/>
          <w:rtl/>
        </w:rPr>
        <w:t xml:space="preserve"> האחת, ממוקדת באי שוויון בתוצאות בממדים חומריים של רווחה בתחום שלאדם אין עליהם שליטה (כמו אתניות, רקע משפחתי, מגדר) וכן כשרון או מאמץ; והשנייה, אי שוויון בהזדמנויות, הממוקדת בנסיבות שמעבר לשליטת האדם ומשפיעות על התוצאות ועל תנאי החיים של האדם.  </w:t>
      </w:r>
    </w:p>
    <w:p w14:paraId="0BD57945" w14:textId="77777777" w:rsidR="009B56F3" w:rsidRDefault="00434DFC" w:rsidP="002132C0">
      <w:pPr>
        <w:spacing w:line="312" w:lineRule="auto"/>
        <w:rPr>
          <w:rFonts w:ascii="David" w:hAnsi="David" w:cs="David"/>
          <w:sz w:val="24"/>
          <w:szCs w:val="24"/>
          <w:rtl/>
        </w:rPr>
      </w:pPr>
      <w:r w:rsidRPr="00D805C3">
        <w:rPr>
          <w:rFonts w:ascii="David" w:hAnsi="David" w:cs="David" w:hint="cs"/>
          <w:color w:val="FF0000"/>
          <w:sz w:val="24"/>
          <w:szCs w:val="24"/>
          <w:rtl/>
        </w:rPr>
        <w:t>אי השוויון בהכנסות ובנגישות לשירותים חברתיים נתפס כמאיים על שוויון בהזדמנויות והאפשרות למוביליות חברתית.</w:t>
      </w:r>
      <w:r>
        <w:rPr>
          <w:rFonts w:ascii="David" w:hAnsi="David" w:cs="David" w:hint="cs"/>
          <w:sz w:val="24"/>
          <w:szCs w:val="24"/>
          <w:rtl/>
        </w:rPr>
        <w:t xml:space="preserve"> המונחים שוויון הזדמנויות, שוויון אופקי בין קבוצות וניידות חברתית כרוכים זה בזה. </w:t>
      </w:r>
      <w:r w:rsidRPr="00BF31B2">
        <w:rPr>
          <w:rFonts w:ascii="David" w:hAnsi="David" w:cs="David" w:hint="cs"/>
          <w:b/>
          <w:bCs/>
          <w:sz w:val="24"/>
          <w:szCs w:val="24"/>
          <w:rtl/>
        </w:rPr>
        <w:t>שוויון הזדמנות</w:t>
      </w:r>
      <w:r>
        <w:rPr>
          <w:rFonts w:ascii="David" w:hAnsi="David" w:cs="David" w:hint="cs"/>
          <w:sz w:val="24"/>
          <w:szCs w:val="24"/>
          <w:rtl/>
        </w:rPr>
        <w:t xml:space="preserve"> הוא המידה שבה אנשים מקבלים סיכויים שווים להצליח בחיים ללא קשר לנסיבות שאינן בשליטתם, נסיבות הכוללות תכונות כמו הכנסה, מגדר, גיל, מוגבלות, נטייה מינית, גזע, מוצא אתני, ארץ לידה או אפליה. הנסיבות כוללות גם ירושה או הון משפחתי והשקעות בהון אנושי על ידי ההורים. </w:t>
      </w:r>
      <w:r w:rsidRPr="00BF31B2">
        <w:rPr>
          <w:rFonts w:ascii="David" w:hAnsi="David" w:cs="David" w:hint="cs"/>
          <w:b/>
          <w:bCs/>
          <w:sz w:val="24"/>
          <w:szCs w:val="24"/>
          <w:rtl/>
        </w:rPr>
        <w:t>שוויון אופקי בין קבוצות</w:t>
      </w:r>
      <w:r>
        <w:rPr>
          <w:rFonts w:ascii="David" w:hAnsi="David" w:cs="David" w:hint="cs"/>
          <w:sz w:val="24"/>
          <w:szCs w:val="24"/>
          <w:rtl/>
        </w:rPr>
        <w:t xml:space="preserve"> סוציו-דמוגרפיות נבחן לפי תמונת המצב בתוצאות הרווחה של אותן הקבוצות בתחומים של כלכלה, בריאות, דיור ובתחומים אחרים. </w:t>
      </w:r>
      <w:r w:rsidRPr="00CC5962">
        <w:rPr>
          <w:rFonts w:ascii="David" w:hAnsi="David" w:cs="David" w:hint="cs"/>
          <w:b/>
          <w:bCs/>
          <w:sz w:val="24"/>
          <w:szCs w:val="24"/>
          <w:rtl/>
        </w:rPr>
        <w:t>ניידות חברתית</w:t>
      </w:r>
      <w:r>
        <w:rPr>
          <w:rFonts w:ascii="David" w:hAnsi="David" w:cs="David" w:hint="cs"/>
          <w:sz w:val="24"/>
          <w:szCs w:val="24"/>
          <w:rtl/>
        </w:rPr>
        <w:t xml:space="preserve"> מתייחסת למידה שבה אנשים משנים את מצבים הכלכלי-חברתי בהשוואה להוריהם, כלומר ניידות בין דורית. ניידות חברתית אינה מתייחסת רק לשיפור במצב החברתי-כלכלי של האדם אלא גם לניידות כלפי מטה. ניידות תוך דורית מתייחסת למידה שבה אדם מדורג גבוה או נמוך יותר בסולם חברתי בהשוואה לבני דורו. אוכלוסייה בעלת רקע סוציו-כלכלי נמוך בעלת סיכויים נמוכים יותר להתקדם ולהתנייד כלכלית כלפי מעלה. לעומת זאת אוכלוסייה מרקע סוציו כלכלי גבוה נוטה לשמר את מיקומה הגבוה (</w:t>
      </w:r>
      <w:r>
        <w:rPr>
          <w:rFonts w:ascii="David" w:hAnsi="David" w:cs="David" w:hint="cs"/>
          <w:sz w:val="24"/>
          <w:szCs w:val="24"/>
        </w:rPr>
        <w:t>OECD</w:t>
      </w:r>
      <w:r>
        <w:rPr>
          <w:rFonts w:ascii="David" w:hAnsi="David" w:cs="David"/>
          <w:sz w:val="24"/>
          <w:szCs w:val="24"/>
        </w:rPr>
        <w:t>, 2022; United Nation, 2015</w:t>
      </w:r>
      <w:r>
        <w:rPr>
          <w:rFonts w:ascii="David" w:hAnsi="David" w:cs="David" w:hint="cs"/>
          <w:sz w:val="24"/>
          <w:szCs w:val="24"/>
          <w:rtl/>
        </w:rPr>
        <w:t xml:space="preserve">). </w:t>
      </w:r>
    </w:p>
    <w:p w14:paraId="0D28C4DB" w14:textId="1B83D61F" w:rsidR="00434DFC" w:rsidRPr="009B56F3" w:rsidRDefault="009B56F3" w:rsidP="009B56F3">
      <w:pPr>
        <w:spacing w:line="312" w:lineRule="auto"/>
        <w:jc w:val="both"/>
        <w:rPr>
          <w:rFonts w:ascii="David" w:hAnsi="David" w:cs="David"/>
          <w:color w:val="FF0000"/>
          <w:sz w:val="24"/>
          <w:szCs w:val="24"/>
          <w:rtl/>
        </w:rPr>
      </w:pPr>
      <w:r w:rsidRPr="00A71EF7">
        <w:rPr>
          <w:rFonts w:ascii="David" w:hAnsi="David" w:cs="David" w:hint="cs"/>
          <w:color w:val="FF0000"/>
          <w:sz w:val="24"/>
          <w:szCs w:val="24"/>
          <w:rtl/>
        </w:rPr>
        <w:lastRenderedPageBreak/>
        <w:t>ה-</w:t>
      </w:r>
      <w:r w:rsidRPr="00A71EF7">
        <w:rPr>
          <w:rFonts w:ascii="David" w:hAnsi="David" w:cs="David" w:hint="cs"/>
          <w:color w:val="FF0000"/>
          <w:sz w:val="24"/>
          <w:szCs w:val="24"/>
        </w:rPr>
        <w:t>OECD</w:t>
      </w:r>
      <w:r w:rsidRPr="00A71EF7">
        <w:rPr>
          <w:rFonts w:ascii="David" w:hAnsi="David" w:cs="David" w:hint="cs"/>
          <w:color w:val="FF0000"/>
          <w:sz w:val="24"/>
          <w:szCs w:val="24"/>
          <w:rtl/>
        </w:rPr>
        <w:t xml:space="preserve"> (2022) מצביע על ארבעה תחומים שבהם איסוף נתונים ומעקב לאורך זמן נדרשים על מנת להתמודד עם אי שוויון בהזדמנויות, כולל פערים בהזדמנויות בין קבוצות אוכלוסייה שונות, השפעות של פערים אלו על אפשרויות להשתלבות בשלבים מתקדמים בחיים, אי ביטחון כלכלי וחוסר יציבות כלכלית, ואי שוויון בין יישובים ואזורים גאוגרפיים.</w:t>
      </w:r>
      <w:r w:rsidRPr="004D0EA0">
        <w:rPr>
          <w:rFonts w:ascii="David" w:hAnsi="David" w:cs="David" w:hint="cs"/>
          <w:color w:val="FF0000"/>
          <w:sz w:val="24"/>
          <w:szCs w:val="24"/>
          <w:rtl/>
        </w:rPr>
        <w:t xml:space="preserve">  </w:t>
      </w:r>
      <w:r w:rsidR="00434DFC">
        <w:rPr>
          <w:rFonts w:ascii="David" w:hAnsi="David" w:cs="David" w:hint="cs"/>
          <w:sz w:val="24"/>
          <w:szCs w:val="24"/>
          <w:rtl/>
        </w:rPr>
        <w:t xml:space="preserve"> </w:t>
      </w:r>
    </w:p>
    <w:p w14:paraId="30BA1D00" w14:textId="05A2FB18" w:rsidR="00C6309D" w:rsidRPr="00C1440F" w:rsidRDefault="00614FF3" w:rsidP="00C6309D">
      <w:pPr>
        <w:spacing w:line="312" w:lineRule="auto"/>
        <w:rPr>
          <w:rFonts w:ascii="David" w:hAnsi="David" w:cs="David"/>
          <w:color w:val="4472C4" w:themeColor="accent1"/>
          <w:sz w:val="28"/>
          <w:szCs w:val="28"/>
          <w:rtl/>
        </w:rPr>
      </w:pPr>
      <w:r>
        <w:rPr>
          <w:rFonts w:ascii="David" w:hAnsi="David" w:cs="David" w:hint="cs"/>
          <w:color w:val="4472C4" w:themeColor="accent1"/>
          <w:sz w:val="28"/>
          <w:szCs w:val="28"/>
          <w:rtl/>
        </w:rPr>
        <w:t>שדות</w:t>
      </w:r>
      <w:r w:rsidR="00C6309D" w:rsidRPr="00C1440F">
        <w:rPr>
          <w:rFonts w:ascii="David" w:hAnsi="David" w:cs="David" w:hint="cs"/>
          <w:color w:val="4472C4" w:themeColor="accent1"/>
          <w:sz w:val="28"/>
          <w:szCs w:val="28"/>
          <w:rtl/>
        </w:rPr>
        <w:t xml:space="preserve"> בהן מתקיים אי שוויון</w:t>
      </w:r>
    </w:p>
    <w:p w14:paraId="3D6E07D0" w14:textId="5981F609" w:rsidR="00215686" w:rsidRDefault="007671C8" w:rsidP="0070548F">
      <w:pPr>
        <w:spacing w:line="312" w:lineRule="auto"/>
        <w:jc w:val="both"/>
        <w:rPr>
          <w:rFonts w:ascii="David" w:hAnsi="David" w:cs="David"/>
          <w:sz w:val="24"/>
          <w:szCs w:val="24"/>
          <w:rtl/>
        </w:rPr>
      </w:pPr>
      <w:r>
        <w:rPr>
          <w:rFonts w:ascii="David" w:hAnsi="David" w:cs="David" w:hint="cs"/>
          <w:sz w:val="24"/>
          <w:szCs w:val="24"/>
          <w:rtl/>
        </w:rPr>
        <w:t xml:space="preserve">קיימים מספר שדות מרכזיים בעלי משמעות </w:t>
      </w:r>
      <w:r w:rsidR="009B1E02">
        <w:rPr>
          <w:rFonts w:ascii="David" w:hAnsi="David" w:cs="David" w:hint="cs"/>
          <w:sz w:val="24"/>
          <w:szCs w:val="24"/>
          <w:rtl/>
        </w:rPr>
        <w:t>ל</w:t>
      </w:r>
      <w:r w:rsidR="004949EC">
        <w:rPr>
          <w:rFonts w:ascii="David" w:hAnsi="David" w:cs="David" w:hint="cs"/>
          <w:sz w:val="24"/>
          <w:szCs w:val="24"/>
          <w:rtl/>
        </w:rPr>
        <w:t xml:space="preserve">אי שוויון ומוביליות </w:t>
      </w:r>
      <w:r>
        <w:rPr>
          <w:rFonts w:ascii="David" w:hAnsi="David" w:cs="David" w:hint="cs"/>
          <w:sz w:val="24"/>
          <w:szCs w:val="24"/>
          <w:rtl/>
        </w:rPr>
        <w:t>חברתית במערכת החינוך</w:t>
      </w:r>
      <w:r w:rsidR="00B1316A">
        <w:rPr>
          <w:rFonts w:ascii="David" w:hAnsi="David" w:cs="David" w:hint="cs"/>
          <w:sz w:val="24"/>
          <w:szCs w:val="24"/>
          <w:rtl/>
        </w:rPr>
        <w:t xml:space="preserve"> </w:t>
      </w:r>
      <w:r w:rsidR="00B1316A">
        <w:rPr>
          <w:rFonts w:ascii="David" w:hAnsi="David" w:cs="David"/>
          <w:sz w:val="24"/>
          <w:szCs w:val="24"/>
          <w:rtl/>
        </w:rPr>
        <w:t>–</w:t>
      </w:r>
      <w:r w:rsidR="00B1316A">
        <w:rPr>
          <w:rFonts w:ascii="David" w:hAnsi="David" w:cs="David" w:hint="cs"/>
          <w:sz w:val="24"/>
          <w:szCs w:val="24"/>
          <w:rtl/>
        </w:rPr>
        <w:t xml:space="preserve"> אי שוויון כלכלי, ובתחומים של דיור, בריאות, טכנולוגיה ודיגיטציה, </w:t>
      </w:r>
      <w:r w:rsidR="00911624">
        <w:rPr>
          <w:rFonts w:ascii="David" w:hAnsi="David" w:cs="David" w:hint="cs"/>
          <w:sz w:val="24"/>
          <w:szCs w:val="24"/>
          <w:rtl/>
        </w:rPr>
        <w:t>ובמיצוי זכויות אזרחיות</w:t>
      </w:r>
      <w:r w:rsidR="009B1E02">
        <w:rPr>
          <w:rFonts w:ascii="David" w:hAnsi="David" w:cs="David" w:hint="cs"/>
          <w:sz w:val="24"/>
          <w:szCs w:val="24"/>
          <w:rtl/>
        </w:rPr>
        <w:t>.</w:t>
      </w:r>
      <w:r>
        <w:rPr>
          <w:rFonts w:ascii="David" w:hAnsi="David" w:cs="David" w:hint="cs"/>
          <w:sz w:val="24"/>
          <w:szCs w:val="24"/>
          <w:rtl/>
        </w:rPr>
        <w:t xml:space="preserve"> </w:t>
      </w:r>
      <w:r w:rsidR="00C6309D">
        <w:rPr>
          <w:rFonts w:ascii="David" w:hAnsi="David" w:cs="David" w:hint="cs"/>
          <w:sz w:val="24"/>
          <w:szCs w:val="24"/>
          <w:rtl/>
        </w:rPr>
        <w:t xml:space="preserve">בתחום </w:t>
      </w:r>
      <w:r w:rsidR="00C6309D" w:rsidRPr="00712124">
        <w:rPr>
          <w:rFonts w:ascii="David" w:hAnsi="David" w:cs="David" w:hint="cs"/>
          <w:b/>
          <w:bCs/>
          <w:sz w:val="24"/>
          <w:szCs w:val="24"/>
          <w:rtl/>
        </w:rPr>
        <w:t>הכלכלי</w:t>
      </w:r>
      <w:r w:rsidR="00C6309D">
        <w:rPr>
          <w:rFonts w:ascii="David" w:hAnsi="David" w:cs="David" w:hint="cs"/>
          <w:sz w:val="24"/>
          <w:szCs w:val="24"/>
          <w:rtl/>
        </w:rPr>
        <w:t xml:space="preserve"> ניתן לזהות אי שוויון שמקורו בהבדלים  בהכנסות כלכליות - הכנסות של משק הבית מעבודה, פנסיות תעסוקתית ומהון, ובהכנסות פנויות - הכנסה ברוטו, כולל תשלומי העברה בניכוי מיסים ישירים (</w:t>
      </w:r>
      <w:proofErr w:type="spellStart"/>
      <w:r w:rsidR="00C6309D">
        <w:rPr>
          <w:rFonts w:ascii="David" w:hAnsi="David" w:cs="David" w:hint="cs"/>
          <w:sz w:val="24"/>
          <w:szCs w:val="24"/>
          <w:rtl/>
        </w:rPr>
        <w:t>בלייך</w:t>
      </w:r>
      <w:proofErr w:type="spellEnd"/>
      <w:r w:rsidR="00C6309D">
        <w:rPr>
          <w:rFonts w:ascii="David" w:hAnsi="David" w:cs="David" w:hint="cs"/>
          <w:sz w:val="24"/>
          <w:szCs w:val="24"/>
          <w:rtl/>
        </w:rPr>
        <w:t xml:space="preserve">, 2016). </w:t>
      </w:r>
    </w:p>
    <w:p w14:paraId="1499020B" w14:textId="6D7CAFBA" w:rsidR="0091534C" w:rsidRDefault="00685D4E" w:rsidP="0070548F">
      <w:pPr>
        <w:spacing w:line="312" w:lineRule="auto"/>
        <w:jc w:val="both"/>
        <w:rPr>
          <w:rFonts w:ascii="David" w:hAnsi="David" w:cs="David"/>
          <w:sz w:val="24"/>
          <w:szCs w:val="24"/>
          <w:rtl/>
        </w:rPr>
      </w:pPr>
      <w:r>
        <w:rPr>
          <w:rFonts w:ascii="David" w:hAnsi="David" w:cs="David" w:hint="cs"/>
          <w:sz w:val="24"/>
          <w:szCs w:val="24"/>
          <w:rtl/>
        </w:rPr>
        <w:t xml:space="preserve">אחד הביטויים לאי שוויון </w:t>
      </w:r>
      <w:r w:rsidR="002865B8">
        <w:rPr>
          <w:rFonts w:ascii="David" w:hAnsi="David" w:cs="David" w:hint="cs"/>
          <w:sz w:val="24"/>
          <w:szCs w:val="24"/>
          <w:rtl/>
        </w:rPr>
        <w:t xml:space="preserve">בהכנסות הוא </w:t>
      </w:r>
      <w:r w:rsidR="002865B8" w:rsidRPr="002865B8">
        <w:rPr>
          <w:rFonts w:ascii="David" w:hAnsi="David" w:cs="David" w:hint="cs"/>
          <w:b/>
          <w:bCs/>
          <w:sz w:val="24"/>
          <w:szCs w:val="24"/>
          <w:rtl/>
        </w:rPr>
        <w:t>אי שוויון בדיור</w:t>
      </w:r>
      <w:r w:rsidR="00FB5892">
        <w:rPr>
          <w:rFonts w:ascii="David" w:hAnsi="David" w:cs="David" w:hint="cs"/>
          <w:sz w:val="24"/>
          <w:szCs w:val="24"/>
          <w:rtl/>
        </w:rPr>
        <w:t>.</w:t>
      </w:r>
      <w:r w:rsidR="001C2A0F">
        <w:rPr>
          <w:rFonts w:ascii="David" w:hAnsi="David" w:cs="David" w:hint="cs"/>
          <w:sz w:val="24"/>
          <w:szCs w:val="24"/>
          <w:rtl/>
        </w:rPr>
        <w:t xml:space="preserve"> משקי בית עניים אינם יכולים להרשות לעצמם </w:t>
      </w:r>
      <w:r w:rsidR="003965B9">
        <w:rPr>
          <w:rFonts w:ascii="David" w:hAnsi="David" w:cs="David" w:hint="cs"/>
          <w:sz w:val="24"/>
          <w:szCs w:val="24"/>
          <w:rtl/>
        </w:rPr>
        <w:t>מגורים ב</w:t>
      </w:r>
      <w:r w:rsidR="001C2A0F">
        <w:rPr>
          <w:rFonts w:ascii="David" w:hAnsi="David" w:cs="David" w:hint="cs"/>
          <w:sz w:val="24"/>
          <w:szCs w:val="24"/>
          <w:rtl/>
        </w:rPr>
        <w:t xml:space="preserve">בתים </w:t>
      </w:r>
      <w:r w:rsidR="00FB698F">
        <w:rPr>
          <w:rFonts w:ascii="David" w:hAnsi="David" w:cs="David" w:hint="cs"/>
          <w:sz w:val="24"/>
          <w:szCs w:val="24"/>
          <w:rtl/>
        </w:rPr>
        <w:t>באיכות טובה</w:t>
      </w:r>
      <w:r w:rsidR="001C2A0F">
        <w:rPr>
          <w:rFonts w:ascii="David" w:hAnsi="David" w:cs="David" w:hint="cs"/>
          <w:sz w:val="24"/>
          <w:szCs w:val="24"/>
          <w:rtl/>
        </w:rPr>
        <w:t xml:space="preserve"> ו</w:t>
      </w:r>
      <w:r w:rsidR="00FB698F">
        <w:rPr>
          <w:rFonts w:ascii="David" w:hAnsi="David" w:cs="David" w:hint="cs"/>
          <w:sz w:val="24"/>
          <w:szCs w:val="24"/>
          <w:rtl/>
        </w:rPr>
        <w:t>חיים</w:t>
      </w:r>
      <w:r w:rsidR="001C2A0F">
        <w:rPr>
          <w:rFonts w:ascii="David" w:hAnsi="David" w:cs="David" w:hint="cs"/>
          <w:sz w:val="24"/>
          <w:szCs w:val="24"/>
          <w:rtl/>
        </w:rPr>
        <w:t xml:space="preserve"> בשכונות שמחריפות את אי השוויון. </w:t>
      </w:r>
      <w:r w:rsidR="00B173C0">
        <w:rPr>
          <w:rFonts w:ascii="David" w:hAnsi="David" w:cs="David" w:hint="cs"/>
          <w:sz w:val="24"/>
          <w:szCs w:val="24"/>
          <w:rtl/>
        </w:rPr>
        <w:t xml:space="preserve">עלויות הדיור מהוות נטל כלכלי על ההכנסה הפנויה של </w:t>
      </w:r>
      <w:r w:rsidR="00D77CEA">
        <w:rPr>
          <w:rFonts w:ascii="David" w:hAnsi="David" w:cs="David" w:hint="cs"/>
          <w:sz w:val="24"/>
          <w:szCs w:val="24"/>
          <w:rtl/>
        </w:rPr>
        <w:t>האוכלוסייה</w:t>
      </w:r>
      <w:r w:rsidR="00FB582F">
        <w:rPr>
          <w:rFonts w:ascii="David" w:hAnsi="David" w:cs="David" w:hint="cs"/>
          <w:sz w:val="24"/>
          <w:szCs w:val="24"/>
          <w:rtl/>
        </w:rPr>
        <w:t xml:space="preserve">. </w:t>
      </w:r>
      <w:r w:rsidR="008218E3">
        <w:rPr>
          <w:rFonts w:ascii="David" w:hAnsi="David" w:cs="David" w:hint="cs"/>
          <w:sz w:val="24"/>
          <w:szCs w:val="24"/>
          <w:rtl/>
        </w:rPr>
        <w:t>קיים חשש</w:t>
      </w:r>
      <w:r w:rsidR="00FB582F">
        <w:rPr>
          <w:rFonts w:ascii="David" w:hAnsi="David" w:cs="David" w:hint="cs"/>
          <w:sz w:val="24"/>
          <w:szCs w:val="24"/>
          <w:rtl/>
        </w:rPr>
        <w:t xml:space="preserve"> </w:t>
      </w:r>
      <w:r w:rsidR="006D005B">
        <w:rPr>
          <w:rFonts w:ascii="David" w:hAnsi="David" w:cs="David" w:hint="cs"/>
          <w:sz w:val="24"/>
          <w:szCs w:val="24"/>
          <w:rtl/>
        </w:rPr>
        <w:t>מפיגור</w:t>
      </w:r>
      <w:r w:rsidR="00FB582F">
        <w:rPr>
          <w:rFonts w:ascii="David" w:hAnsi="David" w:cs="David" w:hint="cs"/>
          <w:sz w:val="24"/>
          <w:szCs w:val="24"/>
          <w:rtl/>
        </w:rPr>
        <w:t xml:space="preserve"> בתשלומי הדיור (</w:t>
      </w:r>
      <w:r w:rsidR="00FB698F">
        <w:rPr>
          <w:rFonts w:ascii="David" w:hAnsi="David" w:cs="David" w:hint="cs"/>
          <w:sz w:val="24"/>
          <w:szCs w:val="24"/>
          <w:rtl/>
        </w:rPr>
        <w:t xml:space="preserve">כמו </w:t>
      </w:r>
      <w:r w:rsidR="00FB582F">
        <w:rPr>
          <w:rFonts w:ascii="David" w:hAnsi="David" w:cs="David" w:hint="cs"/>
          <w:sz w:val="24"/>
          <w:szCs w:val="24"/>
          <w:rtl/>
        </w:rPr>
        <w:t>משכנתא</w:t>
      </w:r>
      <w:r w:rsidR="003965B9">
        <w:rPr>
          <w:rFonts w:ascii="David" w:hAnsi="David" w:cs="David" w:hint="cs"/>
          <w:sz w:val="24"/>
          <w:szCs w:val="24"/>
          <w:rtl/>
        </w:rPr>
        <w:t xml:space="preserve"> או</w:t>
      </w:r>
      <w:r w:rsidR="00FB582F">
        <w:rPr>
          <w:rFonts w:ascii="David" w:hAnsi="David" w:cs="David" w:hint="cs"/>
          <w:sz w:val="24"/>
          <w:szCs w:val="24"/>
          <w:rtl/>
        </w:rPr>
        <w:t xml:space="preserve"> שכר דירה</w:t>
      </w:r>
      <w:r w:rsidR="00FB698F">
        <w:rPr>
          <w:rFonts w:ascii="David" w:hAnsi="David" w:cs="David" w:hint="cs"/>
          <w:sz w:val="24"/>
          <w:szCs w:val="24"/>
          <w:rtl/>
        </w:rPr>
        <w:t>)</w:t>
      </w:r>
      <w:r w:rsidR="006C3C35">
        <w:rPr>
          <w:rFonts w:ascii="David" w:hAnsi="David" w:cs="David" w:hint="cs"/>
          <w:sz w:val="24"/>
          <w:szCs w:val="24"/>
          <w:rtl/>
        </w:rPr>
        <w:t xml:space="preserve">. </w:t>
      </w:r>
      <w:r w:rsidR="00CE5272">
        <w:rPr>
          <w:rFonts w:ascii="David" w:hAnsi="David" w:cs="David" w:hint="cs"/>
          <w:sz w:val="24"/>
          <w:szCs w:val="24"/>
          <w:rtl/>
        </w:rPr>
        <w:t>אנשים בעלי הכנסה נמוכה יותר גרים לעיתים קרובות ב</w:t>
      </w:r>
      <w:r w:rsidR="003254E7">
        <w:rPr>
          <w:rFonts w:ascii="David" w:hAnsi="David" w:cs="David" w:hint="cs"/>
          <w:sz w:val="24"/>
          <w:szCs w:val="24"/>
          <w:rtl/>
        </w:rPr>
        <w:t xml:space="preserve">מגורים צפופים יותר, עם שירותים בסיסיים מוגבלים, בעלי שטח קטן יותר. </w:t>
      </w:r>
      <w:r w:rsidR="00AF63FA">
        <w:rPr>
          <w:rFonts w:ascii="David" w:hAnsi="David" w:cs="David" w:hint="cs"/>
          <w:sz w:val="24"/>
          <w:szCs w:val="24"/>
          <w:rtl/>
        </w:rPr>
        <w:t>חוסר היכולת של משקי בית עניים להתגורר ב</w:t>
      </w:r>
      <w:r w:rsidR="001B08EE">
        <w:rPr>
          <w:rFonts w:ascii="David" w:hAnsi="David" w:cs="David" w:hint="cs"/>
          <w:sz w:val="24"/>
          <w:szCs w:val="24"/>
          <w:rtl/>
        </w:rPr>
        <w:t>מגורים באיכות גבוהה מביאה ל</w:t>
      </w:r>
      <w:r w:rsidR="003965B9">
        <w:rPr>
          <w:rFonts w:ascii="David" w:hAnsi="David" w:cs="David" w:hint="cs"/>
          <w:sz w:val="24"/>
          <w:szCs w:val="24"/>
          <w:rtl/>
        </w:rPr>
        <w:t>הפרדה מרחבית - ל</w:t>
      </w:r>
      <w:r w:rsidR="001B08EE">
        <w:rPr>
          <w:rFonts w:ascii="David" w:hAnsi="David" w:cs="David" w:hint="cs"/>
          <w:sz w:val="24"/>
          <w:szCs w:val="24"/>
          <w:rtl/>
        </w:rPr>
        <w:t>מגורים באזורים עניים, שאינם מספקים שירותים בסיסיים נאותים</w:t>
      </w:r>
      <w:r w:rsidR="00722467">
        <w:rPr>
          <w:rFonts w:ascii="David" w:hAnsi="David" w:cs="David" w:hint="cs"/>
          <w:sz w:val="24"/>
          <w:szCs w:val="24"/>
          <w:rtl/>
        </w:rPr>
        <w:t>, כ</w:t>
      </w:r>
      <w:r w:rsidR="00D77CEA">
        <w:rPr>
          <w:rFonts w:ascii="David" w:hAnsi="David" w:cs="David" w:hint="cs"/>
          <w:sz w:val="24"/>
          <w:szCs w:val="24"/>
          <w:rtl/>
        </w:rPr>
        <w:t>מו</w:t>
      </w:r>
      <w:r w:rsidR="00722467">
        <w:rPr>
          <w:rFonts w:ascii="David" w:hAnsi="David" w:cs="David" w:hint="cs"/>
          <w:sz w:val="24"/>
          <w:szCs w:val="24"/>
          <w:rtl/>
        </w:rPr>
        <w:t xml:space="preserve"> תחבורה ציבורית </w:t>
      </w:r>
      <w:r w:rsidR="00E724C0">
        <w:rPr>
          <w:rFonts w:ascii="David" w:hAnsi="David" w:cs="David" w:hint="cs"/>
          <w:sz w:val="24"/>
          <w:szCs w:val="24"/>
          <w:rtl/>
        </w:rPr>
        <w:t>סדירה ונגישה המאפשרת</w:t>
      </w:r>
      <w:r w:rsidR="00722467">
        <w:rPr>
          <w:rFonts w:ascii="David" w:hAnsi="David" w:cs="David" w:hint="cs"/>
          <w:sz w:val="24"/>
          <w:szCs w:val="24"/>
          <w:rtl/>
        </w:rPr>
        <w:t xml:space="preserve"> הגעה לעבודה או לבית ספר</w:t>
      </w:r>
      <w:r w:rsidR="00877766">
        <w:rPr>
          <w:rFonts w:ascii="David" w:hAnsi="David" w:cs="David" w:hint="cs"/>
          <w:sz w:val="24"/>
          <w:szCs w:val="24"/>
          <w:rtl/>
        </w:rPr>
        <w:t xml:space="preserve">, שירותי חינוך ומורים ברמה גבוהה, </w:t>
      </w:r>
      <w:r w:rsidR="006A1EF9">
        <w:rPr>
          <w:rFonts w:ascii="David" w:hAnsi="David" w:cs="David" w:hint="cs"/>
          <w:sz w:val="24"/>
          <w:szCs w:val="24"/>
          <w:rtl/>
        </w:rPr>
        <w:t xml:space="preserve">שירותי בריאות, </w:t>
      </w:r>
      <w:r w:rsidR="00616B49">
        <w:rPr>
          <w:rFonts w:ascii="David" w:hAnsi="David" w:cs="David" w:hint="cs"/>
          <w:sz w:val="24"/>
          <w:szCs w:val="24"/>
          <w:rtl/>
        </w:rPr>
        <w:t>מרכזים קהילתיים, שטחים ירוקים, מתקני תרבות וספורט</w:t>
      </w:r>
      <w:r w:rsidR="00FD2DF3">
        <w:rPr>
          <w:rFonts w:ascii="David" w:hAnsi="David" w:cs="David" w:hint="cs"/>
          <w:sz w:val="24"/>
          <w:szCs w:val="24"/>
          <w:rtl/>
        </w:rPr>
        <w:t>, בתים שנעים לגור בהם. כל אלו משפיעים באופן עקיף על תחושת הלכידות הקהילתית וההון החברתי והרווחתי</w:t>
      </w:r>
      <w:r w:rsidR="00FB582F">
        <w:rPr>
          <w:rFonts w:ascii="David" w:hAnsi="David" w:cs="David" w:hint="cs"/>
          <w:sz w:val="24"/>
          <w:szCs w:val="24"/>
          <w:rtl/>
        </w:rPr>
        <w:t xml:space="preserve"> </w:t>
      </w:r>
      <w:r w:rsidR="00B31892">
        <w:rPr>
          <w:rFonts w:ascii="David" w:hAnsi="David" w:cs="David" w:hint="cs"/>
          <w:sz w:val="24"/>
          <w:szCs w:val="24"/>
          <w:rtl/>
        </w:rPr>
        <w:t>של התושבים</w:t>
      </w:r>
      <w:r w:rsidR="00E74E15">
        <w:rPr>
          <w:rFonts w:ascii="David" w:hAnsi="David" w:cs="David" w:hint="cs"/>
          <w:sz w:val="24"/>
          <w:szCs w:val="24"/>
          <w:rtl/>
        </w:rPr>
        <w:t xml:space="preserve"> (</w:t>
      </w:r>
      <w:r w:rsidR="00E74E15">
        <w:rPr>
          <w:rFonts w:ascii="David" w:hAnsi="David" w:cs="David"/>
          <w:sz w:val="24"/>
          <w:szCs w:val="24"/>
        </w:rPr>
        <w:t>CEB, 2017</w:t>
      </w:r>
      <w:r w:rsidR="00E74E15">
        <w:rPr>
          <w:rFonts w:ascii="David" w:hAnsi="David" w:cs="David" w:hint="cs"/>
          <w:sz w:val="24"/>
          <w:szCs w:val="24"/>
          <w:rtl/>
        </w:rPr>
        <w:t>).</w:t>
      </w:r>
      <w:r w:rsidR="00770920">
        <w:rPr>
          <w:rFonts w:ascii="David" w:hAnsi="David" w:cs="David" w:hint="cs"/>
          <w:sz w:val="24"/>
          <w:szCs w:val="24"/>
          <w:rtl/>
        </w:rPr>
        <w:t xml:space="preserve"> </w:t>
      </w:r>
    </w:p>
    <w:p w14:paraId="6372BF9B" w14:textId="50F2571E" w:rsidR="00712124" w:rsidRDefault="00C6309D" w:rsidP="0070548F">
      <w:pPr>
        <w:spacing w:line="312" w:lineRule="auto"/>
        <w:jc w:val="both"/>
        <w:rPr>
          <w:rFonts w:ascii="David" w:hAnsi="David" w:cs="David"/>
          <w:sz w:val="24"/>
          <w:szCs w:val="24"/>
          <w:rtl/>
        </w:rPr>
      </w:pPr>
      <w:r>
        <w:rPr>
          <w:rFonts w:ascii="David" w:hAnsi="David" w:cs="David" w:hint="cs"/>
          <w:sz w:val="24"/>
          <w:szCs w:val="24"/>
          <w:rtl/>
        </w:rPr>
        <w:t xml:space="preserve">בתחום </w:t>
      </w:r>
      <w:r w:rsidRPr="00712124">
        <w:rPr>
          <w:rFonts w:ascii="David" w:hAnsi="David" w:cs="David" w:hint="cs"/>
          <w:b/>
          <w:bCs/>
          <w:sz w:val="24"/>
          <w:szCs w:val="24"/>
          <w:rtl/>
        </w:rPr>
        <w:t>הבריאות</w:t>
      </w:r>
      <w:r w:rsidR="004D0EA0">
        <w:rPr>
          <w:rFonts w:ascii="David" w:hAnsi="David" w:cs="David" w:hint="cs"/>
          <w:sz w:val="24"/>
          <w:szCs w:val="24"/>
          <w:rtl/>
        </w:rPr>
        <w:t>,</w:t>
      </w:r>
      <w:r w:rsidR="00182B83">
        <w:rPr>
          <w:rFonts w:ascii="David" w:hAnsi="David" w:cs="David" w:hint="cs"/>
          <w:sz w:val="24"/>
          <w:szCs w:val="24"/>
          <w:rtl/>
        </w:rPr>
        <w:t xml:space="preserve"> מעמד כלכלי-חברתי ובמיוחד בעלי השכלה</w:t>
      </w:r>
      <w:r w:rsidR="00E35CD9">
        <w:rPr>
          <w:rFonts w:ascii="David" w:hAnsi="David" w:cs="David" w:hint="cs"/>
          <w:sz w:val="24"/>
          <w:szCs w:val="24"/>
          <w:rtl/>
        </w:rPr>
        <w:t>, משלח יד</w:t>
      </w:r>
      <w:r w:rsidR="00182B83">
        <w:rPr>
          <w:rFonts w:ascii="David" w:hAnsi="David" w:cs="David" w:hint="cs"/>
          <w:sz w:val="24"/>
          <w:szCs w:val="24"/>
          <w:rtl/>
        </w:rPr>
        <w:t xml:space="preserve"> והכנסה גבוהים יותר נהנים מבריאות פיזית וקוגניטיבית טובים יותר, משיעורי תחלואה נמוכים יותר ומתוחלת חיים גבוהה יותר</w:t>
      </w:r>
      <w:r w:rsidR="00E35CD9">
        <w:rPr>
          <w:rFonts w:ascii="David" w:hAnsi="David" w:cs="David" w:hint="cs"/>
          <w:sz w:val="24"/>
          <w:szCs w:val="24"/>
          <w:rtl/>
        </w:rPr>
        <w:t xml:space="preserve"> בהשוואה לבעלי מעמד חברתי-כלכלי נמוך (</w:t>
      </w:r>
      <w:r w:rsidR="00E35CD9">
        <w:rPr>
          <w:rFonts w:ascii="David" w:hAnsi="David" w:cs="David"/>
          <w:sz w:val="24"/>
          <w:szCs w:val="24"/>
        </w:rPr>
        <w:t>(</w:t>
      </w:r>
      <w:proofErr w:type="spellStart"/>
      <w:r w:rsidR="00E35CD9">
        <w:rPr>
          <w:rFonts w:ascii="David" w:hAnsi="David" w:cs="David"/>
          <w:sz w:val="24"/>
          <w:szCs w:val="24"/>
        </w:rPr>
        <w:t>Crimmis</w:t>
      </w:r>
      <w:proofErr w:type="spellEnd"/>
      <w:r w:rsidR="00E35CD9">
        <w:rPr>
          <w:rFonts w:ascii="David" w:hAnsi="David" w:cs="David"/>
          <w:sz w:val="24"/>
          <w:szCs w:val="24"/>
        </w:rPr>
        <w:t xml:space="preserve"> et al., 2018; Hummer &amp; Hernandez, 2013;</w:t>
      </w:r>
      <w:r w:rsidR="00CC3E36">
        <w:rPr>
          <w:rFonts w:ascii="David" w:hAnsi="David" w:cs="David"/>
          <w:sz w:val="24"/>
          <w:szCs w:val="24"/>
        </w:rPr>
        <w:t xml:space="preserve"> </w:t>
      </w:r>
      <w:proofErr w:type="spellStart"/>
      <w:r w:rsidR="00E35CD9">
        <w:rPr>
          <w:rFonts w:ascii="David" w:hAnsi="David" w:cs="David"/>
          <w:sz w:val="24"/>
          <w:szCs w:val="24"/>
        </w:rPr>
        <w:t>Martikainen</w:t>
      </w:r>
      <w:proofErr w:type="spellEnd"/>
      <w:r w:rsidR="00E35CD9">
        <w:rPr>
          <w:rFonts w:ascii="David" w:hAnsi="David" w:cs="David"/>
          <w:sz w:val="24"/>
          <w:szCs w:val="24"/>
        </w:rPr>
        <w:t>, et al., 2014</w:t>
      </w:r>
      <w:r w:rsidR="0070548F">
        <w:rPr>
          <w:rFonts w:ascii="David" w:hAnsi="David" w:cs="David" w:hint="cs"/>
          <w:sz w:val="24"/>
          <w:szCs w:val="24"/>
          <w:rtl/>
        </w:rPr>
        <w:t>)</w:t>
      </w:r>
      <w:r w:rsidR="00182B83">
        <w:rPr>
          <w:rFonts w:ascii="David" w:hAnsi="David" w:cs="David" w:hint="cs"/>
          <w:sz w:val="24"/>
          <w:szCs w:val="24"/>
          <w:rtl/>
        </w:rPr>
        <w:t xml:space="preserve">. </w:t>
      </w:r>
      <w:r w:rsidR="00712124">
        <w:rPr>
          <w:rFonts w:ascii="David" w:hAnsi="David" w:cs="David" w:hint="cs"/>
          <w:sz w:val="24"/>
          <w:szCs w:val="24"/>
          <w:rtl/>
        </w:rPr>
        <w:t>בעלי מעמד חברתי-כלכלי גבוה יותר נגישות טובה יותר למשאבים חומריים שמאפשרים להם סביבת מחיה בריאה יותר ולמשאבים לא חומריים, כמו הון חברתי, שמקנים גישה למידע רפואי ולטכנולוגיות קליניות חדשות (</w:t>
      </w:r>
      <w:r w:rsidR="00712124">
        <w:rPr>
          <w:rFonts w:ascii="David" w:hAnsi="David" w:cs="David"/>
          <w:sz w:val="24"/>
          <w:szCs w:val="24"/>
        </w:rPr>
        <w:t>(Link et al., 2008</w:t>
      </w:r>
      <w:r w:rsidR="00712124">
        <w:rPr>
          <w:rFonts w:ascii="David" w:hAnsi="David" w:cs="David" w:hint="cs"/>
          <w:sz w:val="24"/>
          <w:szCs w:val="24"/>
          <w:rtl/>
        </w:rPr>
        <w:t xml:space="preserve">. בעשורים האחרונים </w:t>
      </w:r>
      <w:r w:rsidR="00882CEC">
        <w:rPr>
          <w:rFonts w:ascii="David" w:hAnsi="David" w:cs="David" w:hint="cs"/>
          <w:sz w:val="24"/>
          <w:szCs w:val="24"/>
          <w:rtl/>
        </w:rPr>
        <w:t xml:space="preserve">אופי התחלואה השתנה ובמחלות כרוניות יש צורך בעיקר "לנהל את המחלה" ולמנוע מחלות </w:t>
      </w:r>
      <w:r w:rsidR="00882CEC" w:rsidRPr="005D5FCF">
        <w:rPr>
          <w:rFonts w:ascii="David" w:hAnsi="David" w:cs="David" w:hint="cs"/>
          <w:sz w:val="24"/>
          <w:szCs w:val="24"/>
          <w:rtl/>
        </w:rPr>
        <w:t>באמצעות</w:t>
      </w:r>
      <w:r w:rsidR="004C2108">
        <w:rPr>
          <w:rFonts w:ascii="David" w:hAnsi="David" w:cs="David" w:hint="cs"/>
          <w:sz w:val="24"/>
          <w:szCs w:val="24"/>
          <w:rtl/>
        </w:rPr>
        <w:t xml:space="preserve"> </w:t>
      </w:r>
      <w:r w:rsidR="00882CEC" w:rsidRPr="005D5FCF">
        <w:rPr>
          <w:rFonts w:ascii="David" w:hAnsi="David" w:cs="David" w:hint="cs"/>
          <w:sz w:val="24"/>
          <w:szCs w:val="24"/>
          <w:rtl/>
        </w:rPr>
        <w:t>קיום אורח חיים בריא</w:t>
      </w:r>
      <w:r w:rsidR="00ED309F" w:rsidRPr="005D5FCF">
        <w:rPr>
          <w:rFonts w:ascii="David" w:hAnsi="David" w:cs="David" w:hint="cs"/>
          <w:sz w:val="24"/>
          <w:szCs w:val="24"/>
          <w:rtl/>
        </w:rPr>
        <w:t xml:space="preserve">, </w:t>
      </w:r>
      <w:r w:rsidR="00DF4084" w:rsidRPr="005D5FCF">
        <w:rPr>
          <w:rFonts w:ascii="David" w:hAnsi="David" w:cs="David" w:hint="cs"/>
          <w:sz w:val="24"/>
          <w:szCs w:val="24"/>
          <w:rtl/>
        </w:rPr>
        <w:t>כמו</w:t>
      </w:r>
      <w:r w:rsidR="00ED309F" w:rsidRPr="005D5FCF">
        <w:rPr>
          <w:rFonts w:ascii="David" w:hAnsi="David" w:cs="David" w:hint="cs"/>
          <w:sz w:val="24"/>
          <w:szCs w:val="24"/>
          <w:rtl/>
        </w:rPr>
        <w:t xml:space="preserve"> תזונה הולמת</w:t>
      </w:r>
      <w:r w:rsidR="00DF4084" w:rsidRPr="005D5FCF">
        <w:rPr>
          <w:rFonts w:ascii="David" w:hAnsi="David" w:cs="David" w:hint="cs"/>
          <w:sz w:val="24"/>
          <w:szCs w:val="24"/>
          <w:rtl/>
        </w:rPr>
        <w:t xml:space="preserve"> או</w:t>
      </w:r>
      <w:r w:rsidR="00BE4EEC" w:rsidRPr="005D5FCF">
        <w:rPr>
          <w:rFonts w:ascii="David" w:hAnsi="David" w:cs="David" w:hint="cs"/>
          <w:sz w:val="24"/>
          <w:szCs w:val="24"/>
          <w:rtl/>
        </w:rPr>
        <w:t xml:space="preserve"> </w:t>
      </w:r>
      <w:r w:rsidR="00DF4084" w:rsidRPr="005D5FCF">
        <w:rPr>
          <w:rFonts w:ascii="David" w:hAnsi="David" w:cs="David" w:hint="cs"/>
          <w:sz w:val="24"/>
          <w:szCs w:val="24"/>
          <w:rtl/>
        </w:rPr>
        <w:t>פעילות גופנית</w:t>
      </w:r>
      <w:r w:rsidR="004C2108">
        <w:rPr>
          <w:rFonts w:ascii="David" w:hAnsi="David" w:cs="David" w:hint="cs"/>
          <w:sz w:val="24"/>
          <w:szCs w:val="24"/>
          <w:rtl/>
        </w:rPr>
        <w:t>, אבחון רפואי מוקדם, ונגישות לטיפול רפואי הולם</w:t>
      </w:r>
      <w:r w:rsidR="00882CEC" w:rsidRPr="005D5FCF">
        <w:rPr>
          <w:rFonts w:ascii="David" w:hAnsi="David" w:cs="David" w:hint="cs"/>
          <w:sz w:val="24"/>
          <w:szCs w:val="24"/>
          <w:rtl/>
        </w:rPr>
        <w:t xml:space="preserve"> (</w:t>
      </w:r>
      <w:r w:rsidR="00203C7B" w:rsidRPr="005D5FCF">
        <w:rPr>
          <w:rFonts w:ascii="David" w:hAnsi="David" w:cs="David" w:hint="cs"/>
          <w:sz w:val="24"/>
          <w:szCs w:val="24"/>
          <w:rtl/>
        </w:rPr>
        <w:t xml:space="preserve">פרץ ואחרים, 2022; </w:t>
      </w:r>
      <w:r w:rsidR="00882CEC" w:rsidRPr="005D5FCF">
        <w:rPr>
          <w:rFonts w:ascii="David" w:hAnsi="David" w:cs="David" w:hint="cs"/>
          <w:sz w:val="24"/>
          <w:szCs w:val="24"/>
          <w:rtl/>
        </w:rPr>
        <w:t xml:space="preserve">ששון ורגב, 2022). </w:t>
      </w:r>
    </w:p>
    <w:p w14:paraId="6D9D08CF" w14:textId="1BF3751E" w:rsidR="0082155B" w:rsidRDefault="000625F0" w:rsidP="0082155B">
      <w:pPr>
        <w:spacing w:line="312" w:lineRule="auto"/>
        <w:jc w:val="both"/>
        <w:rPr>
          <w:rFonts w:ascii="David" w:hAnsi="David" w:cs="David"/>
          <w:sz w:val="24"/>
          <w:szCs w:val="24"/>
          <w:rtl/>
        </w:rPr>
      </w:pPr>
      <w:r w:rsidRPr="0082155B">
        <w:rPr>
          <w:rFonts w:ascii="David" w:hAnsi="David" w:cs="David" w:hint="cs"/>
          <w:b/>
          <w:bCs/>
          <w:sz w:val="24"/>
          <w:szCs w:val="24"/>
          <w:rtl/>
        </w:rPr>
        <w:t>בתחום הטכנולוגיה והדיגיטציה</w:t>
      </w:r>
      <w:r w:rsidR="00C271A3">
        <w:rPr>
          <w:rFonts w:ascii="David" w:hAnsi="David" w:cs="David" w:hint="cs"/>
          <w:sz w:val="24"/>
          <w:szCs w:val="24"/>
          <w:rtl/>
        </w:rPr>
        <w:t xml:space="preserve">, </w:t>
      </w:r>
      <w:r w:rsidR="00C11E47">
        <w:rPr>
          <w:rFonts w:ascii="David" w:hAnsi="David" w:cs="David" w:hint="cs"/>
          <w:sz w:val="24"/>
          <w:szCs w:val="24"/>
          <w:rtl/>
        </w:rPr>
        <w:t>פער דיגיטלי נוגע לצורות שונות של אי שוויון: אי שוויון טכנולוגי, ה</w:t>
      </w:r>
      <w:r w:rsidR="00E67C5F">
        <w:rPr>
          <w:rFonts w:ascii="David" w:hAnsi="David" w:cs="David" w:hint="cs"/>
          <w:sz w:val="24"/>
          <w:szCs w:val="24"/>
          <w:rtl/>
        </w:rPr>
        <w:t>עוסק</w:t>
      </w:r>
      <w:r w:rsidR="00C11E47">
        <w:rPr>
          <w:rFonts w:ascii="David" w:hAnsi="David" w:cs="David" w:hint="cs"/>
          <w:sz w:val="24"/>
          <w:szCs w:val="24"/>
          <w:rtl/>
        </w:rPr>
        <w:t xml:space="preserve"> בנגישות לאמצעים טכנולוגיים (כמו מחשב או אינטרנט)</w:t>
      </w:r>
      <w:r w:rsidR="00E67C5F">
        <w:rPr>
          <w:rFonts w:ascii="David" w:hAnsi="David" w:cs="David" w:hint="cs"/>
          <w:sz w:val="24"/>
          <w:szCs w:val="24"/>
          <w:rtl/>
        </w:rPr>
        <w:t>;</w:t>
      </w:r>
      <w:r w:rsidR="00C11E47">
        <w:rPr>
          <w:rFonts w:ascii="David" w:hAnsi="David" w:cs="David" w:hint="cs"/>
          <w:sz w:val="24"/>
          <w:szCs w:val="24"/>
          <w:rtl/>
        </w:rPr>
        <w:t xml:space="preserve"> אי שוויון לא מטריאלי, ה</w:t>
      </w:r>
      <w:r w:rsidR="00E67C5F">
        <w:rPr>
          <w:rFonts w:ascii="David" w:hAnsi="David" w:cs="David" w:hint="cs"/>
          <w:sz w:val="24"/>
          <w:szCs w:val="24"/>
          <w:rtl/>
        </w:rPr>
        <w:t>עוסק</w:t>
      </w:r>
      <w:r w:rsidR="00C11E47">
        <w:rPr>
          <w:rFonts w:ascii="David" w:hAnsi="David" w:cs="David" w:hint="cs"/>
          <w:sz w:val="24"/>
          <w:szCs w:val="24"/>
          <w:rtl/>
        </w:rPr>
        <w:t xml:space="preserve"> במידת החירות ל</w:t>
      </w:r>
      <w:r w:rsidR="00E67C5F">
        <w:rPr>
          <w:rFonts w:ascii="David" w:hAnsi="David" w:cs="David" w:hint="cs"/>
          <w:sz w:val="24"/>
          <w:szCs w:val="24"/>
          <w:rtl/>
        </w:rPr>
        <w:t>השתמש</w:t>
      </w:r>
      <w:r w:rsidR="00C11E47">
        <w:rPr>
          <w:rFonts w:ascii="David" w:hAnsi="David" w:cs="David" w:hint="cs"/>
          <w:sz w:val="24"/>
          <w:szCs w:val="24"/>
          <w:rtl/>
        </w:rPr>
        <w:t xml:space="preserve"> באמצעים טכנולוגיים</w:t>
      </w:r>
      <w:r w:rsidR="00E67C5F">
        <w:rPr>
          <w:rFonts w:ascii="David" w:hAnsi="David" w:cs="David" w:hint="cs"/>
          <w:sz w:val="24"/>
          <w:szCs w:val="24"/>
          <w:rtl/>
        </w:rPr>
        <w:t>;</w:t>
      </w:r>
      <w:r w:rsidR="00C11E47">
        <w:rPr>
          <w:rFonts w:ascii="David" w:hAnsi="David" w:cs="David" w:hint="cs"/>
          <w:sz w:val="24"/>
          <w:szCs w:val="24"/>
          <w:rtl/>
        </w:rPr>
        <w:t xml:space="preserve"> </w:t>
      </w:r>
      <w:r w:rsidR="00E67C5F">
        <w:rPr>
          <w:rFonts w:ascii="David" w:hAnsi="David" w:cs="David" w:hint="cs"/>
          <w:sz w:val="24"/>
          <w:szCs w:val="24"/>
          <w:rtl/>
        </w:rPr>
        <w:t>ו</w:t>
      </w:r>
      <w:r w:rsidR="00C11E47">
        <w:rPr>
          <w:rFonts w:ascii="David" w:hAnsi="David" w:cs="David" w:hint="cs"/>
          <w:sz w:val="24"/>
          <w:szCs w:val="24"/>
          <w:rtl/>
        </w:rPr>
        <w:t xml:space="preserve">אי שוויון מטריאלי, </w:t>
      </w:r>
      <w:r w:rsidR="00E67C5F">
        <w:rPr>
          <w:rFonts w:ascii="David" w:hAnsi="David" w:cs="David" w:hint="cs"/>
          <w:sz w:val="24"/>
          <w:szCs w:val="24"/>
          <w:rtl/>
        </w:rPr>
        <w:t>העוסק בפערים בנגישות ובחלוקת המשאבים המשפיעים על רכישת הון כלכלי, תרבותי, חברתי וטכנולוגי</w:t>
      </w:r>
      <w:r w:rsidR="003F57FF">
        <w:rPr>
          <w:rFonts w:ascii="David" w:hAnsi="David" w:cs="David" w:hint="cs"/>
          <w:sz w:val="24"/>
          <w:szCs w:val="24"/>
          <w:rtl/>
        </w:rPr>
        <w:t xml:space="preserve"> ו</w:t>
      </w:r>
      <w:r w:rsidR="00B00C2A">
        <w:rPr>
          <w:rFonts w:ascii="David" w:hAnsi="David" w:cs="David" w:hint="cs"/>
          <w:sz w:val="24"/>
          <w:szCs w:val="24"/>
          <w:rtl/>
        </w:rPr>
        <w:t>ב</w:t>
      </w:r>
      <w:r w:rsidR="003F57FF">
        <w:rPr>
          <w:rFonts w:ascii="David" w:hAnsi="David" w:cs="David" w:hint="cs"/>
          <w:sz w:val="24"/>
          <w:szCs w:val="24"/>
          <w:rtl/>
        </w:rPr>
        <w:t xml:space="preserve">הזדמנויות חינוכיות </w:t>
      </w:r>
      <w:r w:rsidR="0045594C">
        <w:rPr>
          <w:rFonts w:ascii="David" w:hAnsi="David" w:cs="David" w:hint="cs"/>
          <w:sz w:val="24"/>
          <w:szCs w:val="24"/>
          <w:rtl/>
        </w:rPr>
        <w:t>בעלות השפעה ארוכת טווח</w:t>
      </w:r>
      <w:r w:rsidR="00860603" w:rsidRPr="00F710E3">
        <w:rPr>
          <w:rFonts w:ascii="David" w:hAnsi="David" w:cs="David" w:hint="cs"/>
          <w:sz w:val="24"/>
          <w:szCs w:val="24"/>
          <w:rtl/>
        </w:rPr>
        <w:t xml:space="preserve"> </w:t>
      </w:r>
      <w:bookmarkStart w:id="0" w:name="_Hlk137321390"/>
      <w:r w:rsidR="00860603" w:rsidRPr="00F710E3">
        <w:rPr>
          <w:rFonts w:ascii="David" w:hAnsi="David" w:cs="David" w:hint="cs"/>
          <w:sz w:val="24"/>
          <w:szCs w:val="24"/>
          <w:rtl/>
        </w:rPr>
        <w:t>(</w:t>
      </w:r>
      <w:proofErr w:type="spellStart"/>
      <w:r w:rsidR="00860603" w:rsidRPr="00F710E3">
        <w:rPr>
          <w:rFonts w:ascii="David" w:hAnsi="David" w:cs="David" w:hint="cs"/>
          <w:sz w:val="24"/>
          <w:szCs w:val="24"/>
          <w:rtl/>
        </w:rPr>
        <w:t>ליסיצה</w:t>
      </w:r>
      <w:proofErr w:type="spellEnd"/>
      <w:r w:rsidR="00860603" w:rsidRPr="00F710E3">
        <w:rPr>
          <w:rFonts w:ascii="David" w:hAnsi="David" w:cs="David" w:hint="cs"/>
          <w:sz w:val="24"/>
          <w:szCs w:val="24"/>
          <w:rtl/>
        </w:rPr>
        <w:t xml:space="preserve"> </w:t>
      </w:r>
      <w:proofErr w:type="spellStart"/>
      <w:r w:rsidR="00860603" w:rsidRPr="00F710E3">
        <w:rPr>
          <w:rFonts w:ascii="David" w:hAnsi="David" w:cs="David" w:hint="cs"/>
          <w:sz w:val="24"/>
          <w:szCs w:val="24"/>
          <w:rtl/>
        </w:rPr>
        <w:t>וצ'אצ'אשוילי-בולוטין</w:t>
      </w:r>
      <w:proofErr w:type="spellEnd"/>
      <w:r w:rsidR="00860603" w:rsidRPr="00F710E3">
        <w:rPr>
          <w:rFonts w:ascii="David" w:hAnsi="David" w:cs="David" w:hint="cs"/>
          <w:sz w:val="24"/>
          <w:szCs w:val="24"/>
          <w:rtl/>
        </w:rPr>
        <w:t>, 2013</w:t>
      </w:r>
      <w:bookmarkEnd w:id="0"/>
      <w:r w:rsidR="0045594C">
        <w:rPr>
          <w:rFonts w:ascii="David" w:hAnsi="David" w:cs="David" w:hint="cs"/>
          <w:sz w:val="24"/>
          <w:szCs w:val="24"/>
          <w:rtl/>
        </w:rPr>
        <w:t xml:space="preserve">; </w:t>
      </w:r>
      <w:r w:rsidR="00372840">
        <w:rPr>
          <w:rFonts w:ascii="David" w:hAnsi="David" w:cs="David"/>
          <w:sz w:val="24"/>
          <w:szCs w:val="24"/>
        </w:rPr>
        <w:t>Yates &amp; Lockley, 2020</w:t>
      </w:r>
      <w:r w:rsidR="00860603" w:rsidRPr="00F710E3">
        <w:rPr>
          <w:rFonts w:ascii="David" w:hAnsi="David" w:cs="David" w:hint="cs"/>
          <w:sz w:val="24"/>
          <w:szCs w:val="24"/>
          <w:rtl/>
        </w:rPr>
        <w:t>)</w:t>
      </w:r>
      <w:r w:rsidR="00E67C5F" w:rsidRPr="00F710E3">
        <w:rPr>
          <w:rFonts w:ascii="David" w:hAnsi="David" w:cs="David" w:hint="cs"/>
          <w:sz w:val="24"/>
          <w:szCs w:val="24"/>
          <w:rtl/>
        </w:rPr>
        <w:t xml:space="preserve">. צורות חברתיות אחרות של אי שוויון דיגיטלי, </w:t>
      </w:r>
      <w:r w:rsidR="000C496B">
        <w:rPr>
          <w:rFonts w:ascii="David" w:hAnsi="David" w:cs="David" w:hint="cs"/>
          <w:sz w:val="24"/>
          <w:szCs w:val="24"/>
          <w:rtl/>
        </w:rPr>
        <w:t>עשויות להביא</w:t>
      </w:r>
      <w:r w:rsidR="006F5FEA">
        <w:rPr>
          <w:rFonts w:ascii="David" w:hAnsi="David" w:cs="David" w:hint="cs"/>
          <w:sz w:val="24"/>
          <w:szCs w:val="24"/>
          <w:rtl/>
        </w:rPr>
        <w:t xml:space="preserve"> </w:t>
      </w:r>
      <w:r w:rsidR="000C496B">
        <w:rPr>
          <w:rFonts w:ascii="David" w:hAnsi="David" w:cs="David" w:hint="cs"/>
          <w:sz w:val="24"/>
          <w:szCs w:val="24"/>
          <w:rtl/>
        </w:rPr>
        <w:t>ל</w:t>
      </w:r>
      <w:r w:rsidR="00AB1056">
        <w:rPr>
          <w:rFonts w:ascii="David" w:hAnsi="David" w:cs="David" w:hint="cs"/>
          <w:sz w:val="24"/>
          <w:szCs w:val="24"/>
          <w:rtl/>
        </w:rPr>
        <w:t>הדרה חברתית ו</w:t>
      </w:r>
      <w:r w:rsidR="00E67C5F">
        <w:rPr>
          <w:rFonts w:ascii="David" w:hAnsi="David" w:cs="David" w:hint="cs"/>
          <w:sz w:val="24"/>
          <w:szCs w:val="24"/>
          <w:rtl/>
        </w:rPr>
        <w:t>כוללות את מידת היכולת של יחידים להשתמש באינטרנט ובפלטפורמות דיגיטליות אחרות כדי להשמיע את קולם, להיות חלק מהזירה הדמוקרטית והפוליטית, להתאגד, להוביל ולהשתתף במחאות, בקבלת החלטות ובמאבקים בזירה הציבורית. קבוצות מיומנויות יותר ובעלות משאבים יכולות להשתמש בזירה הדיגיטלית לקידום צרכיהן. אי שוויון בהשכלה משפיע על היכולות והמיומנויות הדרושות לשימוש באינטרנט ובאמצעים טכנולוגיים אחרים, כולל חיפוש מידע, ניהול עסק או עיצוב. מעורבות דיגיטלית בעלת השפעה על הישגים אקדמיים, סיכויי השתלבות בשוק העבודה, נגישות לשירותים ציבוריים. בחברת הידע שבה אנו חיים "מידע" הופך לטובין והכרחי להישרדות האדם</w:t>
      </w:r>
      <w:r w:rsidR="00A440D1">
        <w:rPr>
          <w:rFonts w:ascii="David" w:hAnsi="David" w:cs="David" w:hint="cs"/>
          <w:sz w:val="24"/>
          <w:szCs w:val="24"/>
          <w:rtl/>
        </w:rPr>
        <w:t xml:space="preserve"> </w:t>
      </w:r>
      <w:r w:rsidR="00A440D1">
        <w:rPr>
          <w:rFonts w:ascii="David" w:hAnsi="David" w:cs="David" w:hint="cs"/>
          <w:sz w:val="24"/>
          <w:szCs w:val="24"/>
          <w:rtl/>
        </w:rPr>
        <w:lastRenderedPageBreak/>
        <w:t>ולכוח,</w:t>
      </w:r>
      <w:r w:rsidR="00E67C5F">
        <w:rPr>
          <w:rFonts w:ascii="David" w:hAnsi="David" w:cs="David" w:hint="cs"/>
          <w:sz w:val="24"/>
          <w:szCs w:val="24"/>
          <w:rtl/>
        </w:rPr>
        <w:t xml:space="preserve"> ואוריינות דיגיטלית נחוצה לקיום פונקציונלי, חברתי, תרבותי וכלכלי של הפרט</w:t>
      </w:r>
      <w:r w:rsidR="00A440D1">
        <w:rPr>
          <w:rFonts w:ascii="David" w:hAnsi="David" w:cs="David" w:hint="cs"/>
          <w:sz w:val="24"/>
          <w:szCs w:val="24"/>
          <w:rtl/>
        </w:rPr>
        <w:t xml:space="preserve"> (</w:t>
      </w:r>
      <w:proofErr w:type="spellStart"/>
      <w:r w:rsidR="00A440D1">
        <w:rPr>
          <w:rFonts w:ascii="David" w:hAnsi="David" w:cs="David" w:hint="cs"/>
          <w:sz w:val="24"/>
          <w:szCs w:val="24"/>
          <w:rtl/>
        </w:rPr>
        <w:t>חתוקה</w:t>
      </w:r>
      <w:proofErr w:type="spellEnd"/>
      <w:r w:rsidR="00A440D1">
        <w:rPr>
          <w:rFonts w:ascii="David" w:hAnsi="David" w:cs="David" w:hint="cs"/>
          <w:sz w:val="24"/>
          <w:szCs w:val="24"/>
          <w:rtl/>
        </w:rPr>
        <w:t xml:space="preserve"> וצור, 2018</w:t>
      </w:r>
      <w:r w:rsidR="0082155B">
        <w:rPr>
          <w:rFonts w:ascii="David" w:hAnsi="David" w:cs="David" w:hint="cs"/>
          <w:sz w:val="24"/>
          <w:szCs w:val="24"/>
          <w:rtl/>
        </w:rPr>
        <w:t xml:space="preserve">; </w:t>
      </w:r>
      <w:proofErr w:type="spellStart"/>
      <w:r w:rsidR="00B33052" w:rsidRPr="00790457">
        <w:rPr>
          <w:rFonts w:ascii="David" w:hAnsi="David" w:cs="David"/>
          <w:sz w:val="24"/>
          <w:szCs w:val="24"/>
        </w:rPr>
        <w:t>Hargittai</w:t>
      </w:r>
      <w:proofErr w:type="spellEnd"/>
      <w:r w:rsidR="00B33052">
        <w:rPr>
          <w:rFonts w:ascii="David" w:hAnsi="David" w:cs="David"/>
          <w:sz w:val="24"/>
          <w:szCs w:val="24"/>
        </w:rPr>
        <w:t xml:space="preserve"> &amp; </w:t>
      </w:r>
      <w:proofErr w:type="spellStart"/>
      <w:r w:rsidR="00B33052" w:rsidRPr="00790457">
        <w:rPr>
          <w:rFonts w:ascii="David" w:hAnsi="David" w:cs="David"/>
          <w:sz w:val="24"/>
          <w:szCs w:val="24"/>
        </w:rPr>
        <w:t>Micheli</w:t>
      </w:r>
      <w:proofErr w:type="spellEnd"/>
      <w:r w:rsidR="00B33052">
        <w:rPr>
          <w:rFonts w:ascii="David" w:hAnsi="David" w:cs="David"/>
          <w:sz w:val="24"/>
          <w:szCs w:val="24"/>
        </w:rPr>
        <w:t>, 2019</w:t>
      </w:r>
      <w:r w:rsidR="00A440D1">
        <w:rPr>
          <w:rFonts w:ascii="David" w:hAnsi="David" w:cs="David" w:hint="cs"/>
          <w:sz w:val="24"/>
          <w:szCs w:val="24"/>
          <w:rtl/>
        </w:rPr>
        <w:t>)</w:t>
      </w:r>
      <w:r w:rsidR="00E67C5F">
        <w:rPr>
          <w:rFonts w:ascii="David" w:hAnsi="David" w:cs="David" w:hint="cs"/>
          <w:sz w:val="24"/>
          <w:szCs w:val="24"/>
          <w:rtl/>
        </w:rPr>
        <w:t xml:space="preserve">. </w:t>
      </w:r>
    </w:p>
    <w:p w14:paraId="625AA7F2" w14:textId="7A9486A9" w:rsidR="0082155B" w:rsidRDefault="0082155B" w:rsidP="0082155B">
      <w:pPr>
        <w:spacing w:line="312" w:lineRule="auto"/>
        <w:jc w:val="both"/>
        <w:rPr>
          <w:rFonts w:ascii="David" w:hAnsi="David" w:cs="David"/>
          <w:sz w:val="24"/>
          <w:szCs w:val="24"/>
          <w:rtl/>
        </w:rPr>
      </w:pPr>
      <w:r w:rsidRPr="0082155B">
        <w:rPr>
          <w:rFonts w:ascii="David" w:hAnsi="David" w:cs="David" w:hint="cs"/>
          <w:b/>
          <w:bCs/>
          <w:sz w:val="24"/>
          <w:szCs w:val="24"/>
          <w:rtl/>
        </w:rPr>
        <w:t>בתחום האזרחי, אי מיצוי הזכויות</w:t>
      </w:r>
      <w:r>
        <w:rPr>
          <w:rFonts w:ascii="David" w:hAnsi="David" w:cs="David" w:hint="cs"/>
          <w:sz w:val="24"/>
          <w:szCs w:val="24"/>
          <w:rtl/>
        </w:rPr>
        <w:t>, הינו מצב בו אוכלוסייה הזכאית לתוכנית חברתית אינה מממשת את זכאותה בפועל ואינה מקבלת את הסיוע לו היא זקוקה. תופעה זו רווחת למדי ונאמדת בכ-40% מכלל הזכאים (</w:t>
      </w:r>
      <w:proofErr w:type="spellStart"/>
      <w:r>
        <w:rPr>
          <w:rFonts w:ascii="David" w:hAnsi="David" w:cs="David"/>
          <w:sz w:val="24"/>
          <w:szCs w:val="24"/>
        </w:rPr>
        <w:t>Hernanz</w:t>
      </w:r>
      <w:proofErr w:type="spellEnd"/>
      <w:r>
        <w:rPr>
          <w:rFonts w:ascii="David" w:hAnsi="David" w:cs="David"/>
          <w:sz w:val="24"/>
          <w:szCs w:val="24"/>
        </w:rPr>
        <w:t xml:space="preserve"> et al., 2004</w:t>
      </w:r>
      <w:r>
        <w:rPr>
          <w:rFonts w:ascii="David" w:hAnsi="David" w:cs="David" w:hint="cs"/>
          <w:sz w:val="24"/>
          <w:szCs w:val="24"/>
          <w:rtl/>
        </w:rPr>
        <w:t xml:space="preserve">). קיימים מספר סוגים של אי מיצוי זכויות </w:t>
      </w:r>
      <w:r>
        <w:rPr>
          <w:rFonts w:ascii="David" w:hAnsi="David" w:cs="David"/>
          <w:sz w:val="24"/>
          <w:szCs w:val="24"/>
          <w:rtl/>
        </w:rPr>
        <w:t>–</w:t>
      </w:r>
      <w:r>
        <w:rPr>
          <w:rFonts w:ascii="David" w:hAnsi="David" w:cs="David" w:hint="cs"/>
          <w:sz w:val="24"/>
          <w:szCs w:val="24"/>
          <w:rtl/>
        </w:rPr>
        <w:t xml:space="preserve"> ראשוני, בה הזכאים לגמלה אינם תובעים אותה, ושניוני, בה הזכאים תובעים את הגמלה אך אינם מקבלים אותה בשל טעויות </w:t>
      </w:r>
      <w:proofErr w:type="spellStart"/>
      <w:r>
        <w:rPr>
          <w:rFonts w:ascii="David" w:hAnsi="David" w:cs="David" w:hint="cs"/>
          <w:sz w:val="24"/>
          <w:szCs w:val="24"/>
          <w:rtl/>
        </w:rPr>
        <w:t>מניהליות</w:t>
      </w:r>
      <w:proofErr w:type="spellEnd"/>
      <w:r>
        <w:rPr>
          <w:rFonts w:ascii="David" w:hAnsi="David" w:cs="David" w:hint="cs"/>
          <w:sz w:val="24"/>
          <w:szCs w:val="24"/>
          <w:rtl/>
        </w:rPr>
        <w:t xml:space="preserve"> או הטיות בהחלטות הפקידים (</w:t>
      </w:r>
      <w:proofErr w:type="spellStart"/>
      <w:r>
        <w:rPr>
          <w:rFonts w:ascii="David" w:hAnsi="David" w:cs="David" w:hint="cs"/>
          <w:sz w:val="24"/>
          <w:szCs w:val="24"/>
          <w:rtl/>
        </w:rPr>
        <w:t>הולר</w:t>
      </w:r>
      <w:proofErr w:type="spellEnd"/>
      <w:r>
        <w:rPr>
          <w:rFonts w:ascii="David" w:hAnsi="David" w:cs="David" w:hint="cs"/>
          <w:sz w:val="24"/>
          <w:szCs w:val="24"/>
          <w:rtl/>
        </w:rPr>
        <w:t xml:space="preserve"> ואחרים, 2021). אי מיצוי זכויות בעל השלכות שליליות היות והדבר מונע מאזרחים לממש את זכויותיהם לפי חוק, והם אינם נחשפים לתוכניות חברתיות העשויות לעזור להם לשמור על איכות חייהם בעת מצוקה או משבר (</w:t>
      </w:r>
      <w:proofErr w:type="spellStart"/>
      <w:r>
        <w:rPr>
          <w:rFonts w:ascii="David" w:hAnsi="David" w:cs="David" w:hint="cs"/>
          <w:sz w:val="24"/>
          <w:szCs w:val="24"/>
          <w:rtl/>
        </w:rPr>
        <w:t>בניש</w:t>
      </w:r>
      <w:proofErr w:type="spellEnd"/>
      <w:r>
        <w:rPr>
          <w:rFonts w:ascii="David" w:hAnsi="David" w:cs="David" w:hint="cs"/>
          <w:sz w:val="24"/>
          <w:szCs w:val="24"/>
          <w:rtl/>
        </w:rPr>
        <w:t xml:space="preserve"> ודוד, 2018). לרוב, אוכלוסיות החיות בתנאים של עוני, קבוצות מיעוט, מהגרים ומבקשי מקלט הן אלה שאינן ממצות את זכויותיהן. אי מיצוי זכויות פוגע ביכולתם של קובעי מדיניות לתכנן מדיניות מושכלת, מחד וגורם לשחיקת האמון והתמיכה במוסדות המדינה ובמערכת הרווחה מאידך (גל ואחרים, 2020; </w:t>
      </w:r>
      <w:proofErr w:type="spellStart"/>
      <w:r>
        <w:rPr>
          <w:rFonts w:ascii="David" w:hAnsi="David" w:cs="David"/>
          <w:sz w:val="24"/>
          <w:szCs w:val="24"/>
        </w:rPr>
        <w:t>Roosma</w:t>
      </w:r>
      <w:proofErr w:type="spellEnd"/>
      <w:r>
        <w:rPr>
          <w:rFonts w:ascii="David" w:hAnsi="David" w:cs="David"/>
          <w:sz w:val="24"/>
          <w:szCs w:val="24"/>
        </w:rPr>
        <w:t xml:space="preserve"> et al., 2016</w:t>
      </w:r>
      <w:r>
        <w:rPr>
          <w:rFonts w:ascii="David" w:hAnsi="David" w:cs="David" w:hint="cs"/>
          <w:sz w:val="24"/>
          <w:szCs w:val="24"/>
          <w:rtl/>
        </w:rPr>
        <w:t>). החסמים המרכזיים שמדווחים עליהם מקבלי הקצבאות של הביטוח הלאומי הם בעיקר חסמי ידע, חסמי בירוקרטיה וחסמים פסיכולוגיים, בשל תחושה של הכתמה עצמית ובושה, בעקבות ההכתמה החברתית והמפגש עם הפקידות המקצועית (</w:t>
      </w:r>
      <w:proofErr w:type="spellStart"/>
      <w:r>
        <w:rPr>
          <w:rFonts w:ascii="David" w:hAnsi="David" w:cs="David" w:hint="cs"/>
          <w:sz w:val="24"/>
          <w:szCs w:val="24"/>
          <w:rtl/>
        </w:rPr>
        <w:t>בניש</w:t>
      </w:r>
      <w:proofErr w:type="spellEnd"/>
      <w:r>
        <w:rPr>
          <w:rFonts w:ascii="David" w:hAnsi="David" w:cs="David" w:hint="cs"/>
          <w:sz w:val="24"/>
          <w:szCs w:val="24"/>
          <w:rtl/>
        </w:rPr>
        <w:t xml:space="preserve"> ודוד, 2018; תרשיש </w:t>
      </w:r>
      <w:proofErr w:type="spellStart"/>
      <w:r>
        <w:rPr>
          <w:rFonts w:ascii="David" w:hAnsi="David" w:cs="David" w:hint="cs"/>
          <w:sz w:val="24"/>
          <w:szCs w:val="24"/>
          <w:rtl/>
        </w:rPr>
        <w:t>והולר</w:t>
      </w:r>
      <w:proofErr w:type="spellEnd"/>
      <w:r>
        <w:rPr>
          <w:rFonts w:ascii="David" w:hAnsi="David" w:cs="David" w:hint="cs"/>
          <w:sz w:val="24"/>
          <w:szCs w:val="24"/>
          <w:rtl/>
        </w:rPr>
        <w:t xml:space="preserve">, 2021).     </w:t>
      </w:r>
    </w:p>
    <w:p w14:paraId="4A0DF38B" w14:textId="26D8765B" w:rsidR="00C03B5D" w:rsidRDefault="00222429" w:rsidP="000B062E">
      <w:pPr>
        <w:spacing w:line="312" w:lineRule="auto"/>
        <w:jc w:val="both"/>
        <w:rPr>
          <w:rFonts w:ascii="David" w:hAnsi="David" w:cs="David"/>
          <w:sz w:val="24"/>
          <w:szCs w:val="24"/>
          <w:rtl/>
        </w:rPr>
      </w:pPr>
      <w:r w:rsidRPr="006D5358">
        <w:rPr>
          <w:rFonts w:ascii="David" w:hAnsi="David" w:cs="David" w:hint="cs"/>
          <w:b/>
          <w:bCs/>
          <w:sz w:val="24"/>
          <w:szCs w:val="24"/>
          <w:rtl/>
        </w:rPr>
        <w:t>אי שוויון בתחום החינוך</w:t>
      </w:r>
      <w:r w:rsidR="000B2F49">
        <w:rPr>
          <w:rFonts w:ascii="David" w:hAnsi="David" w:cs="David" w:hint="cs"/>
          <w:b/>
          <w:bCs/>
          <w:sz w:val="24"/>
          <w:szCs w:val="24"/>
          <w:rtl/>
        </w:rPr>
        <w:t xml:space="preserve">, </w:t>
      </w:r>
      <w:r w:rsidR="000B2F49">
        <w:rPr>
          <w:rFonts w:ascii="David" w:hAnsi="David" w:cs="David" w:hint="cs"/>
          <w:sz w:val="24"/>
          <w:szCs w:val="24"/>
          <w:rtl/>
        </w:rPr>
        <w:t>הנמצא במוקד סקירה זו,</w:t>
      </w:r>
      <w:r>
        <w:rPr>
          <w:rFonts w:ascii="David" w:hAnsi="David" w:cs="David" w:hint="cs"/>
          <w:sz w:val="24"/>
          <w:szCs w:val="24"/>
          <w:rtl/>
        </w:rPr>
        <w:t xml:space="preserve"> הינו </w:t>
      </w:r>
      <w:r w:rsidR="00DA0532">
        <w:rPr>
          <w:rFonts w:ascii="David" w:hAnsi="David" w:cs="David" w:hint="cs"/>
          <w:sz w:val="24"/>
          <w:szCs w:val="24"/>
          <w:rtl/>
        </w:rPr>
        <w:t>אחת הסוגיות ה</w:t>
      </w:r>
      <w:r w:rsidR="00B9436E">
        <w:rPr>
          <w:rFonts w:ascii="David" w:hAnsi="David" w:cs="David" w:hint="cs"/>
          <w:sz w:val="24"/>
          <w:szCs w:val="24"/>
          <w:rtl/>
        </w:rPr>
        <w:t>קריטיות,</w:t>
      </w:r>
      <w:r w:rsidR="00DA0532">
        <w:rPr>
          <w:rFonts w:ascii="David" w:hAnsi="David" w:cs="David" w:hint="cs"/>
          <w:sz w:val="24"/>
          <w:szCs w:val="24"/>
          <w:rtl/>
        </w:rPr>
        <w:t xml:space="preserve"> היות ו</w:t>
      </w:r>
      <w:r w:rsidR="00B9436E">
        <w:rPr>
          <w:rFonts w:ascii="David" w:hAnsi="David" w:cs="David" w:hint="cs"/>
          <w:sz w:val="24"/>
          <w:szCs w:val="24"/>
          <w:rtl/>
        </w:rPr>
        <w:t>תחום זה מהווה</w:t>
      </w:r>
      <w:r w:rsidR="005A4FF5">
        <w:rPr>
          <w:rFonts w:ascii="David" w:hAnsi="David" w:cs="David" w:hint="cs"/>
          <w:sz w:val="24"/>
          <w:szCs w:val="24"/>
          <w:rtl/>
        </w:rPr>
        <w:t xml:space="preserve"> את</w:t>
      </w:r>
      <w:r w:rsidR="00DA0532">
        <w:rPr>
          <w:rFonts w:ascii="David" w:hAnsi="David" w:cs="David" w:hint="cs"/>
          <w:sz w:val="24"/>
          <w:szCs w:val="24"/>
          <w:rtl/>
        </w:rPr>
        <w:t xml:space="preserve"> </w:t>
      </w:r>
      <w:r w:rsidR="00A746FF">
        <w:rPr>
          <w:rFonts w:ascii="David" w:hAnsi="David" w:cs="David" w:hint="cs"/>
          <w:sz w:val="24"/>
          <w:szCs w:val="24"/>
          <w:rtl/>
        </w:rPr>
        <w:t>אחד הכלים המרכזיים המשפיעים</w:t>
      </w:r>
      <w:r w:rsidR="00DA0532">
        <w:rPr>
          <w:rFonts w:ascii="David" w:hAnsi="David" w:cs="David" w:hint="cs"/>
          <w:sz w:val="24"/>
          <w:szCs w:val="24"/>
          <w:rtl/>
        </w:rPr>
        <w:t xml:space="preserve"> על יכולת הפרט ל</w:t>
      </w:r>
      <w:r w:rsidR="005B163A">
        <w:rPr>
          <w:rFonts w:ascii="David" w:hAnsi="David" w:cs="David" w:hint="cs"/>
          <w:sz w:val="24"/>
          <w:szCs w:val="24"/>
          <w:rtl/>
        </w:rPr>
        <w:t>מוביליות בין דורית</w:t>
      </w:r>
      <w:r w:rsidR="00A746FF">
        <w:rPr>
          <w:rFonts w:ascii="David" w:hAnsi="David" w:cs="David" w:hint="cs"/>
          <w:sz w:val="24"/>
          <w:szCs w:val="24"/>
          <w:rtl/>
        </w:rPr>
        <w:t xml:space="preserve"> ו</w:t>
      </w:r>
      <w:r w:rsidR="00651338">
        <w:rPr>
          <w:rFonts w:ascii="David" w:hAnsi="David" w:cs="David" w:hint="cs"/>
          <w:sz w:val="24"/>
          <w:szCs w:val="24"/>
          <w:rtl/>
        </w:rPr>
        <w:t>על רווחתו בעתיד</w:t>
      </w:r>
      <w:r w:rsidR="00BE7924">
        <w:rPr>
          <w:rFonts w:ascii="David" w:hAnsi="David" w:cs="David" w:hint="cs"/>
          <w:sz w:val="24"/>
          <w:szCs w:val="24"/>
          <w:rtl/>
        </w:rPr>
        <w:t xml:space="preserve"> מחד,</w:t>
      </w:r>
      <w:r w:rsidR="003262FE">
        <w:rPr>
          <w:rFonts w:ascii="David" w:hAnsi="David" w:cs="David" w:hint="cs"/>
          <w:sz w:val="24"/>
          <w:szCs w:val="24"/>
          <w:rtl/>
        </w:rPr>
        <w:t xml:space="preserve"> ובעל השפעה על צמיחה כלכלית </w:t>
      </w:r>
      <w:r w:rsidR="00BE7924">
        <w:rPr>
          <w:rFonts w:ascii="David" w:hAnsi="David" w:cs="David" w:hint="cs"/>
          <w:sz w:val="24"/>
          <w:szCs w:val="24"/>
          <w:rtl/>
        </w:rPr>
        <w:t>ולכידות חברתית מאידך</w:t>
      </w:r>
      <w:r w:rsidR="00937A50">
        <w:rPr>
          <w:rFonts w:ascii="David" w:hAnsi="David" w:cs="David" w:hint="cs"/>
          <w:sz w:val="24"/>
          <w:szCs w:val="24"/>
          <w:rtl/>
        </w:rPr>
        <w:t>.</w:t>
      </w:r>
      <w:r w:rsidR="00BB47E1">
        <w:rPr>
          <w:rFonts w:ascii="David" w:hAnsi="David" w:cs="David" w:hint="cs"/>
          <w:sz w:val="24"/>
          <w:szCs w:val="24"/>
          <w:rtl/>
        </w:rPr>
        <w:t xml:space="preserve"> (</w:t>
      </w:r>
      <w:r w:rsidR="00BB47E1">
        <w:rPr>
          <w:rFonts w:ascii="David" w:hAnsi="David" w:cs="David"/>
          <w:sz w:val="24"/>
          <w:szCs w:val="24"/>
        </w:rPr>
        <w:t xml:space="preserve">OECD, 2017; </w:t>
      </w:r>
      <w:proofErr w:type="spellStart"/>
      <w:r w:rsidR="00BB47E1">
        <w:rPr>
          <w:rFonts w:ascii="David" w:hAnsi="David" w:cs="David"/>
          <w:sz w:val="24"/>
          <w:szCs w:val="24"/>
        </w:rPr>
        <w:t>Schmelkes</w:t>
      </w:r>
      <w:proofErr w:type="spellEnd"/>
      <w:r w:rsidR="00BB47E1">
        <w:rPr>
          <w:rFonts w:ascii="David" w:hAnsi="David" w:cs="David"/>
          <w:sz w:val="24"/>
          <w:szCs w:val="24"/>
        </w:rPr>
        <w:t>, 202</w:t>
      </w:r>
      <w:r w:rsidR="00AA28AB">
        <w:rPr>
          <w:rFonts w:ascii="David" w:hAnsi="David" w:cs="David"/>
          <w:sz w:val="24"/>
          <w:szCs w:val="24"/>
        </w:rPr>
        <w:t>0</w:t>
      </w:r>
      <w:r w:rsidR="00937A50">
        <w:rPr>
          <w:rFonts w:ascii="David" w:hAnsi="David" w:cs="David" w:hint="cs"/>
          <w:sz w:val="24"/>
          <w:szCs w:val="24"/>
          <w:rtl/>
        </w:rPr>
        <w:t xml:space="preserve">). </w:t>
      </w:r>
      <w:r w:rsidR="00641C98">
        <w:rPr>
          <w:rFonts w:ascii="David" w:hAnsi="David" w:cs="David" w:hint="cs"/>
          <w:sz w:val="24"/>
          <w:szCs w:val="24"/>
          <w:rtl/>
        </w:rPr>
        <w:t>אי שוויון בחינוך מושפע מ</w:t>
      </w:r>
      <w:r w:rsidR="00A00E58">
        <w:rPr>
          <w:rFonts w:ascii="David" w:hAnsi="David" w:cs="David" w:hint="cs"/>
          <w:sz w:val="24"/>
          <w:szCs w:val="24"/>
          <w:rtl/>
        </w:rPr>
        <w:t>שדות</w:t>
      </w:r>
      <w:r w:rsidR="00641C98">
        <w:rPr>
          <w:rFonts w:ascii="David" w:hAnsi="David" w:cs="David" w:hint="cs"/>
          <w:sz w:val="24"/>
          <w:szCs w:val="24"/>
          <w:rtl/>
        </w:rPr>
        <w:t xml:space="preserve"> נוספ</w:t>
      </w:r>
      <w:r w:rsidR="00A00E58">
        <w:rPr>
          <w:rFonts w:ascii="David" w:hAnsi="David" w:cs="David" w:hint="cs"/>
          <w:sz w:val="24"/>
          <w:szCs w:val="24"/>
          <w:rtl/>
        </w:rPr>
        <w:t>ים</w:t>
      </w:r>
      <w:r w:rsidR="00641C98">
        <w:rPr>
          <w:rFonts w:ascii="David" w:hAnsi="David" w:cs="David" w:hint="cs"/>
          <w:sz w:val="24"/>
          <w:szCs w:val="24"/>
          <w:rtl/>
        </w:rPr>
        <w:t xml:space="preserve"> של אי שוויון. </w:t>
      </w:r>
      <w:r w:rsidR="005B163A">
        <w:rPr>
          <w:rFonts w:ascii="David" w:hAnsi="David" w:cs="David" w:hint="cs"/>
          <w:sz w:val="24"/>
          <w:szCs w:val="24"/>
          <w:rtl/>
        </w:rPr>
        <w:t>בעולם קיימת התאמה בין רמת הפיתוח של מדינות ואזורים שונים</w:t>
      </w:r>
      <w:r w:rsidR="00C87DEE">
        <w:rPr>
          <w:rFonts w:ascii="David" w:hAnsi="David" w:cs="David" w:hint="cs"/>
          <w:sz w:val="24"/>
          <w:szCs w:val="24"/>
          <w:rtl/>
        </w:rPr>
        <w:t xml:space="preserve">, רווחה </w:t>
      </w:r>
      <w:r w:rsidR="00EA6B45">
        <w:rPr>
          <w:rFonts w:ascii="David" w:hAnsi="David" w:cs="David" w:hint="cs"/>
          <w:sz w:val="24"/>
          <w:szCs w:val="24"/>
          <w:rtl/>
        </w:rPr>
        <w:t>כלכלית</w:t>
      </w:r>
      <w:r w:rsidR="00C87DEE">
        <w:rPr>
          <w:rFonts w:ascii="David" w:hAnsi="David" w:cs="David" w:hint="cs"/>
          <w:sz w:val="24"/>
          <w:szCs w:val="24"/>
          <w:rtl/>
        </w:rPr>
        <w:t xml:space="preserve"> </w:t>
      </w:r>
      <w:r w:rsidR="00EA6B45">
        <w:rPr>
          <w:rFonts w:ascii="David" w:hAnsi="David" w:cs="David" w:hint="cs"/>
          <w:sz w:val="24"/>
          <w:szCs w:val="24"/>
          <w:rtl/>
        </w:rPr>
        <w:t xml:space="preserve">של </w:t>
      </w:r>
      <w:r w:rsidR="00C87DEE">
        <w:rPr>
          <w:rFonts w:ascii="David" w:hAnsi="David" w:cs="David" w:hint="cs"/>
          <w:sz w:val="24"/>
          <w:szCs w:val="24"/>
          <w:rtl/>
        </w:rPr>
        <w:t>התלמידים</w:t>
      </w:r>
      <w:r w:rsidR="005B163A">
        <w:rPr>
          <w:rFonts w:ascii="David" w:hAnsi="David" w:cs="David" w:hint="cs"/>
          <w:sz w:val="24"/>
          <w:szCs w:val="24"/>
          <w:rtl/>
        </w:rPr>
        <w:t xml:space="preserve"> לבין </w:t>
      </w:r>
      <w:r w:rsidR="00C87DEE">
        <w:rPr>
          <w:rFonts w:ascii="David" w:hAnsi="David" w:cs="David" w:hint="cs"/>
          <w:sz w:val="24"/>
          <w:szCs w:val="24"/>
          <w:rtl/>
        </w:rPr>
        <w:t>רמת ה</w:t>
      </w:r>
      <w:r w:rsidR="00EA6B45">
        <w:rPr>
          <w:rFonts w:ascii="David" w:hAnsi="David" w:cs="David" w:hint="cs"/>
          <w:sz w:val="24"/>
          <w:szCs w:val="24"/>
          <w:rtl/>
        </w:rPr>
        <w:t>ישגיהם האקדמיים.</w:t>
      </w:r>
      <w:r w:rsidR="00C6140E">
        <w:rPr>
          <w:rFonts w:ascii="David" w:hAnsi="David" w:cs="David" w:hint="cs"/>
          <w:sz w:val="24"/>
          <w:szCs w:val="24"/>
          <w:rtl/>
        </w:rPr>
        <w:t xml:space="preserve"> </w:t>
      </w:r>
      <w:r w:rsidR="00EF3E7F">
        <w:rPr>
          <w:rFonts w:ascii="David" w:hAnsi="David" w:cs="David" w:hint="cs"/>
          <w:sz w:val="24"/>
          <w:szCs w:val="24"/>
          <w:rtl/>
        </w:rPr>
        <w:t>אי השוויון בחינוך מ</w:t>
      </w:r>
      <w:r w:rsidR="00585220">
        <w:rPr>
          <w:rFonts w:ascii="David" w:hAnsi="David" w:cs="David" w:hint="cs"/>
          <w:sz w:val="24"/>
          <w:szCs w:val="24"/>
          <w:rtl/>
        </w:rPr>
        <w:t>תעצם</w:t>
      </w:r>
      <w:r w:rsidR="00D55CA7">
        <w:rPr>
          <w:rFonts w:ascii="David" w:hAnsi="David" w:cs="David" w:hint="cs"/>
          <w:sz w:val="24"/>
          <w:szCs w:val="24"/>
          <w:rtl/>
        </w:rPr>
        <w:t xml:space="preserve"> בעקבות </w:t>
      </w:r>
      <w:r w:rsidR="00AA1F0A">
        <w:rPr>
          <w:rFonts w:ascii="David" w:hAnsi="David" w:cs="David" w:hint="cs"/>
          <w:sz w:val="24"/>
          <w:szCs w:val="24"/>
          <w:rtl/>
        </w:rPr>
        <w:t>חוסר</w:t>
      </w:r>
      <w:r w:rsidR="00D55CA7">
        <w:rPr>
          <w:rFonts w:ascii="David" w:hAnsi="David" w:cs="David" w:hint="cs"/>
          <w:sz w:val="24"/>
          <w:szCs w:val="24"/>
          <w:rtl/>
        </w:rPr>
        <w:t xml:space="preserve"> נגישות לטכנולוגיה, </w:t>
      </w:r>
      <w:r w:rsidR="000D1EDD">
        <w:rPr>
          <w:rFonts w:ascii="David" w:hAnsi="David" w:cs="David" w:hint="cs"/>
          <w:sz w:val="24"/>
          <w:szCs w:val="24"/>
          <w:rtl/>
        </w:rPr>
        <w:t>ו</w:t>
      </w:r>
      <w:r w:rsidR="008155FD">
        <w:rPr>
          <w:rFonts w:ascii="David" w:hAnsi="David" w:cs="David" w:hint="cs"/>
          <w:sz w:val="24"/>
          <w:szCs w:val="24"/>
          <w:rtl/>
        </w:rPr>
        <w:t xml:space="preserve">מידת </w:t>
      </w:r>
      <w:r w:rsidR="00E32E17">
        <w:rPr>
          <w:rFonts w:ascii="David" w:hAnsi="David" w:cs="David" w:hint="cs"/>
          <w:sz w:val="24"/>
          <w:szCs w:val="24"/>
          <w:rtl/>
        </w:rPr>
        <w:t xml:space="preserve">החשיפה למסגרות לימוד לאורך החיים: בגיל הרך, נוכחות והתמדה בבית הספר </w:t>
      </w:r>
      <w:r w:rsidR="00D91EB3">
        <w:rPr>
          <w:rFonts w:ascii="David" w:hAnsi="David" w:cs="David" w:hint="cs"/>
          <w:sz w:val="24"/>
          <w:szCs w:val="24"/>
          <w:rtl/>
        </w:rPr>
        <w:t>והשתלבות במסגרות לימוד לאורך החיים (הכשרה מקצועית ואקדמיה)</w:t>
      </w:r>
      <w:r w:rsidR="00865869">
        <w:rPr>
          <w:rFonts w:ascii="David" w:hAnsi="David" w:cs="David" w:hint="cs"/>
          <w:sz w:val="24"/>
          <w:szCs w:val="24"/>
          <w:rtl/>
        </w:rPr>
        <w:t xml:space="preserve"> (</w:t>
      </w:r>
      <w:r w:rsidR="00865869">
        <w:rPr>
          <w:rFonts w:ascii="David" w:hAnsi="David" w:cs="David"/>
          <w:sz w:val="24"/>
          <w:szCs w:val="24"/>
        </w:rPr>
        <w:t>(</w:t>
      </w:r>
      <w:proofErr w:type="spellStart"/>
      <w:r w:rsidR="00865869">
        <w:rPr>
          <w:rFonts w:ascii="David" w:hAnsi="David" w:cs="David"/>
          <w:sz w:val="24"/>
          <w:szCs w:val="24"/>
        </w:rPr>
        <w:t>Schmelkes</w:t>
      </w:r>
      <w:proofErr w:type="spellEnd"/>
      <w:r w:rsidR="00865869">
        <w:rPr>
          <w:rFonts w:ascii="David" w:hAnsi="David" w:cs="David"/>
          <w:sz w:val="24"/>
          <w:szCs w:val="24"/>
        </w:rPr>
        <w:t>, 2020</w:t>
      </w:r>
      <w:r w:rsidR="000D1EDD">
        <w:rPr>
          <w:rFonts w:ascii="David" w:hAnsi="David" w:cs="David" w:hint="cs"/>
          <w:sz w:val="24"/>
          <w:szCs w:val="24"/>
          <w:rtl/>
        </w:rPr>
        <w:t xml:space="preserve">. </w:t>
      </w:r>
    </w:p>
    <w:p w14:paraId="36E7FCA6" w14:textId="7669DE85" w:rsidR="00D34ED6" w:rsidRDefault="003C76AF" w:rsidP="00F1780E">
      <w:pPr>
        <w:spacing w:line="312" w:lineRule="auto"/>
        <w:jc w:val="both"/>
        <w:rPr>
          <w:rFonts w:ascii="David" w:hAnsi="David" w:cs="David"/>
          <w:sz w:val="24"/>
          <w:szCs w:val="24"/>
          <w:rtl/>
        </w:rPr>
      </w:pPr>
      <w:r>
        <w:rPr>
          <w:rFonts w:ascii="David" w:hAnsi="David" w:cs="David" w:hint="cs"/>
          <w:sz w:val="24"/>
          <w:szCs w:val="24"/>
          <w:rtl/>
        </w:rPr>
        <w:t xml:space="preserve">המחקר מצביע על כך שמערכות החינוך נוטות לשמר ולשעתק את אי השוויון החברתי יותר מאשר מאפשרות את צמצומו </w:t>
      </w:r>
      <w:r w:rsidR="00180FE8">
        <w:rPr>
          <w:rFonts w:ascii="David" w:hAnsi="David" w:cs="David" w:hint="cs"/>
          <w:sz w:val="24"/>
          <w:szCs w:val="24"/>
          <w:rtl/>
        </w:rPr>
        <w:t>(שביט ואחרים</w:t>
      </w:r>
      <w:r w:rsidR="003C5D08">
        <w:rPr>
          <w:rFonts w:ascii="David" w:hAnsi="David" w:cs="David" w:hint="cs"/>
          <w:sz w:val="24"/>
          <w:szCs w:val="24"/>
          <w:rtl/>
        </w:rPr>
        <w:t xml:space="preserve">, 2017). </w:t>
      </w:r>
      <w:r w:rsidR="009F5C3C">
        <w:rPr>
          <w:rFonts w:ascii="David" w:hAnsi="David" w:cs="David" w:hint="cs"/>
          <w:sz w:val="24"/>
          <w:szCs w:val="24"/>
          <w:rtl/>
        </w:rPr>
        <w:t xml:space="preserve">בקרב הלומדים קיימים הבדלים ברמת ההישגים </w:t>
      </w:r>
      <w:r w:rsidR="003555B9">
        <w:rPr>
          <w:rFonts w:ascii="David" w:hAnsi="David" w:cs="David" w:hint="cs"/>
          <w:sz w:val="24"/>
          <w:szCs w:val="24"/>
          <w:rtl/>
        </w:rPr>
        <w:t xml:space="preserve">האקדמיים וחלק ניכר מהתלמידים בארצות מתפתחות </w:t>
      </w:r>
      <w:r w:rsidR="00DF7771">
        <w:rPr>
          <w:rFonts w:ascii="David" w:hAnsi="David" w:cs="David" w:hint="cs"/>
          <w:sz w:val="24"/>
          <w:szCs w:val="24"/>
          <w:rtl/>
        </w:rPr>
        <w:t>אינם מגיעים לרמת הישגים בסיסית בקריאה ובמתמטיקה</w:t>
      </w:r>
      <w:r w:rsidR="008D4C5C">
        <w:rPr>
          <w:rFonts w:ascii="David" w:hAnsi="David" w:cs="David" w:hint="cs"/>
          <w:sz w:val="24"/>
          <w:szCs w:val="24"/>
          <w:rtl/>
        </w:rPr>
        <w:t xml:space="preserve"> ולהישגים נאותים ב</w:t>
      </w:r>
      <w:r w:rsidR="00C354A1">
        <w:rPr>
          <w:rFonts w:ascii="David" w:hAnsi="David" w:cs="David" w:hint="cs"/>
          <w:sz w:val="24"/>
          <w:szCs w:val="24"/>
          <w:rtl/>
        </w:rPr>
        <w:t>מקצועות ה</w:t>
      </w:r>
      <w:r w:rsidR="008D4C5C">
        <w:rPr>
          <w:rFonts w:ascii="David" w:hAnsi="David" w:cs="David" w:hint="cs"/>
          <w:sz w:val="24"/>
          <w:szCs w:val="24"/>
          <w:rtl/>
        </w:rPr>
        <w:t>מדעים</w:t>
      </w:r>
      <w:r w:rsidR="00DF7771">
        <w:rPr>
          <w:rFonts w:ascii="David" w:hAnsi="David" w:cs="David" w:hint="cs"/>
          <w:sz w:val="24"/>
          <w:szCs w:val="24"/>
          <w:rtl/>
        </w:rPr>
        <w:t>.</w:t>
      </w:r>
      <w:r w:rsidR="0020385C">
        <w:rPr>
          <w:rFonts w:ascii="David" w:hAnsi="David" w:cs="David" w:hint="cs"/>
          <w:sz w:val="24"/>
          <w:szCs w:val="24"/>
          <w:rtl/>
        </w:rPr>
        <w:t xml:space="preserve"> </w:t>
      </w:r>
      <w:r w:rsidR="00310206">
        <w:rPr>
          <w:rFonts w:ascii="David" w:hAnsi="David" w:cs="David" w:hint="cs"/>
          <w:sz w:val="24"/>
          <w:szCs w:val="24"/>
          <w:rtl/>
        </w:rPr>
        <w:t>הסיבות המרכזיות המצוינות</w:t>
      </w:r>
      <w:r w:rsidR="00E203E0">
        <w:rPr>
          <w:rFonts w:ascii="David" w:hAnsi="David" w:cs="David" w:hint="cs"/>
          <w:sz w:val="24"/>
          <w:szCs w:val="24"/>
          <w:rtl/>
        </w:rPr>
        <w:t xml:space="preserve"> בספרות (</w:t>
      </w:r>
      <w:r w:rsidR="00E203E0">
        <w:rPr>
          <w:rFonts w:ascii="David" w:hAnsi="David" w:cs="David"/>
          <w:sz w:val="24"/>
          <w:szCs w:val="24"/>
        </w:rPr>
        <w:t xml:space="preserve">OECD, 2017; </w:t>
      </w:r>
      <w:proofErr w:type="spellStart"/>
      <w:r w:rsidR="00E203E0">
        <w:rPr>
          <w:rFonts w:ascii="David" w:hAnsi="David" w:cs="David"/>
          <w:sz w:val="24"/>
          <w:szCs w:val="24"/>
        </w:rPr>
        <w:t>Schmelkes</w:t>
      </w:r>
      <w:proofErr w:type="spellEnd"/>
      <w:r w:rsidR="00E203E0">
        <w:rPr>
          <w:rFonts w:ascii="David" w:hAnsi="David" w:cs="David"/>
          <w:sz w:val="24"/>
          <w:szCs w:val="24"/>
        </w:rPr>
        <w:t>, 2020</w:t>
      </w:r>
      <w:r w:rsidR="00E203E0">
        <w:rPr>
          <w:rFonts w:ascii="David" w:hAnsi="David" w:cs="David" w:hint="cs"/>
          <w:sz w:val="24"/>
          <w:szCs w:val="24"/>
          <w:rtl/>
        </w:rPr>
        <w:t>)</w:t>
      </w:r>
      <w:r w:rsidR="00310206">
        <w:rPr>
          <w:rFonts w:ascii="David" w:hAnsi="David" w:cs="David" w:hint="cs"/>
          <w:sz w:val="24"/>
          <w:szCs w:val="24"/>
          <w:rtl/>
        </w:rPr>
        <w:t xml:space="preserve"> לאי שוויון בחינוך הן </w:t>
      </w:r>
      <w:r w:rsidR="00BC11C7">
        <w:rPr>
          <w:rFonts w:ascii="David" w:hAnsi="David" w:cs="David" w:hint="cs"/>
          <w:sz w:val="24"/>
          <w:szCs w:val="24"/>
          <w:rtl/>
        </w:rPr>
        <w:t xml:space="preserve">העדר </w:t>
      </w:r>
      <w:r w:rsidR="00BC11C7" w:rsidRPr="0009757A">
        <w:rPr>
          <w:rFonts w:ascii="David" w:hAnsi="David" w:cs="David" w:hint="cs"/>
          <w:b/>
          <w:bCs/>
          <w:sz w:val="24"/>
          <w:szCs w:val="24"/>
          <w:rtl/>
        </w:rPr>
        <w:t xml:space="preserve">משאבים </w:t>
      </w:r>
      <w:r w:rsidR="002E39E1">
        <w:rPr>
          <w:rFonts w:ascii="David" w:hAnsi="David" w:cs="David" w:hint="cs"/>
          <w:b/>
          <w:bCs/>
          <w:sz w:val="24"/>
          <w:szCs w:val="24"/>
          <w:rtl/>
        </w:rPr>
        <w:t>משפחתיים ו</w:t>
      </w:r>
      <w:r w:rsidR="00BC11C7" w:rsidRPr="0009757A">
        <w:rPr>
          <w:rFonts w:ascii="David" w:hAnsi="David" w:cs="David" w:hint="cs"/>
          <w:b/>
          <w:bCs/>
          <w:sz w:val="24"/>
          <w:szCs w:val="24"/>
          <w:rtl/>
        </w:rPr>
        <w:t>כלכליים הולמים</w:t>
      </w:r>
      <w:r w:rsidR="00BC11C7">
        <w:rPr>
          <w:rFonts w:ascii="David" w:hAnsi="David" w:cs="David" w:hint="cs"/>
          <w:sz w:val="24"/>
          <w:szCs w:val="24"/>
          <w:rtl/>
        </w:rPr>
        <w:t xml:space="preserve">, </w:t>
      </w:r>
      <w:r w:rsidR="0009757A">
        <w:rPr>
          <w:rFonts w:ascii="David" w:hAnsi="David" w:cs="David" w:hint="cs"/>
          <w:sz w:val="24"/>
          <w:szCs w:val="24"/>
          <w:rtl/>
        </w:rPr>
        <w:t xml:space="preserve">המשפיעים על </w:t>
      </w:r>
      <w:r w:rsidR="00BC11C7">
        <w:rPr>
          <w:rFonts w:ascii="David" w:hAnsi="David" w:cs="David" w:hint="cs"/>
          <w:sz w:val="24"/>
          <w:szCs w:val="24"/>
          <w:rtl/>
        </w:rPr>
        <w:t>רמת הלימודים בבתי ספר באזורי פריפריה</w:t>
      </w:r>
      <w:r w:rsidR="00083FDF">
        <w:rPr>
          <w:rFonts w:ascii="David" w:hAnsi="David" w:cs="David" w:hint="cs"/>
          <w:sz w:val="24"/>
          <w:szCs w:val="24"/>
          <w:rtl/>
        </w:rPr>
        <w:t xml:space="preserve">. היקף המשאבים העומדים לרשות בתי הספר קשור </w:t>
      </w:r>
      <w:r w:rsidR="0014513F">
        <w:rPr>
          <w:rFonts w:ascii="David" w:hAnsi="David" w:cs="David" w:hint="cs"/>
          <w:sz w:val="24"/>
          <w:szCs w:val="24"/>
          <w:rtl/>
        </w:rPr>
        <w:t>להון הא</w:t>
      </w:r>
      <w:r w:rsidR="00C01BFB">
        <w:rPr>
          <w:rFonts w:ascii="David" w:hAnsi="David" w:cs="David" w:hint="cs"/>
          <w:sz w:val="24"/>
          <w:szCs w:val="24"/>
          <w:rtl/>
        </w:rPr>
        <w:t xml:space="preserve">ישי-חברתי-כלכלי של ההורים, </w:t>
      </w:r>
      <w:r w:rsidR="00B53A14">
        <w:rPr>
          <w:rFonts w:ascii="David" w:hAnsi="David" w:cs="David" w:hint="cs"/>
          <w:sz w:val="24"/>
          <w:szCs w:val="24"/>
          <w:rtl/>
        </w:rPr>
        <w:t xml:space="preserve">למשאבי הרשות המקומית, </w:t>
      </w:r>
      <w:r w:rsidR="00083FDF">
        <w:rPr>
          <w:rFonts w:ascii="David" w:hAnsi="David" w:cs="David" w:hint="cs"/>
          <w:sz w:val="24"/>
          <w:szCs w:val="24"/>
          <w:rtl/>
        </w:rPr>
        <w:t xml:space="preserve">למידת </w:t>
      </w:r>
      <w:r w:rsidR="004B0AFC">
        <w:rPr>
          <w:rFonts w:ascii="David" w:hAnsi="David" w:cs="David" w:hint="cs"/>
          <w:sz w:val="24"/>
          <w:szCs w:val="24"/>
          <w:rtl/>
        </w:rPr>
        <w:t xml:space="preserve">מעורבות הורים בבית הספר, </w:t>
      </w:r>
      <w:r w:rsidR="00C74D74">
        <w:rPr>
          <w:rFonts w:ascii="David" w:hAnsi="David" w:cs="David" w:hint="cs"/>
          <w:sz w:val="24"/>
          <w:szCs w:val="24"/>
          <w:rtl/>
        </w:rPr>
        <w:t xml:space="preserve">וכן </w:t>
      </w:r>
      <w:r w:rsidR="00B53A14">
        <w:rPr>
          <w:rFonts w:ascii="David" w:hAnsi="David" w:cs="David" w:hint="cs"/>
          <w:sz w:val="24"/>
          <w:szCs w:val="24"/>
          <w:rtl/>
        </w:rPr>
        <w:t>ל</w:t>
      </w:r>
      <w:r w:rsidR="004B0AFC">
        <w:rPr>
          <w:rFonts w:ascii="David" w:hAnsi="David" w:cs="David" w:hint="cs"/>
          <w:sz w:val="24"/>
          <w:szCs w:val="24"/>
          <w:rtl/>
        </w:rPr>
        <w:t xml:space="preserve">רמת התשתיות, </w:t>
      </w:r>
      <w:r w:rsidR="00C74D74">
        <w:rPr>
          <w:rFonts w:ascii="David" w:hAnsi="David" w:cs="David" w:hint="cs"/>
          <w:sz w:val="24"/>
          <w:szCs w:val="24"/>
          <w:rtl/>
        </w:rPr>
        <w:t xml:space="preserve">המימון, </w:t>
      </w:r>
      <w:r w:rsidR="004B0AFC">
        <w:rPr>
          <w:rFonts w:ascii="David" w:hAnsi="David" w:cs="David" w:hint="cs"/>
          <w:sz w:val="24"/>
          <w:szCs w:val="24"/>
          <w:rtl/>
        </w:rPr>
        <w:t>הציוד והפיקוח</w:t>
      </w:r>
      <w:r w:rsidR="00C74D74">
        <w:rPr>
          <w:rFonts w:ascii="David" w:hAnsi="David" w:cs="David" w:hint="cs"/>
          <w:sz w:val="24"/>
          <w:szCs w:val="24"/>
          <w:rtl/>
        </w:rPr>
        <w:t xml:space="preserve"> על בתי הספר.</w:t>
      </w:r>
      <w:r w:rsidR="00083FDF">
        <w:rPr>
          <w:rFonts w:ascii="David" w:hAnsi="David" w:cs="David" w:hint="cs"/>
          <w:sz w:val="24"/>
          <w:szCs w:val="24"/>
          <w:rtl/>
        </w:rPr>
        <w:t xml:space="preserve"> סוכני מפתח נוספים </w:t>
      </w:r>
      <w:r w:rsidR="00CD05C6">
        <w:rPr>
          <w:rFonts w:ascii="David" w:hAnsi="David" w:cs="David" w:hint="cs"/>
          <w:sz w:val="24"/>
          <w:szCs w:val="24"/>
          <w:rtl/>
        </w:rPr>
        <w:t xml:space="preserve">המשפיעים על איכות הלמידה הם </w:t>
      </w:r>
      <w:r w:rsidR="000B7F89">
        <w:rPr>
          <w:rFonts w:ascii="David" w:hAnsi="David" w:cs="David" w:hint="cs"/>
          <w:b/>
          <w:bCs/>
          <w:sz w:val="24"/>
          <w:szCs w:val="24"/>
          <w:rtl/>
        </w:rPr>
        <w:t>המנהיגות החינוכית</w:t>
      </w:r>
      <w:r w:rsidR="001E3202">
        <w:rPr>
          <w:rFonts w:ascii="David" w:hAnsi="David" w:cs="David" w:hint="cs"/>
          <w:b/>
          <w:bCs/>
          <w:sz w:val="24"/>
          <w:szCs w:val="24"/>
          <w:rtl/>
        </w:rPr>
        <w:t xml:space="preserve"> </w:t>
      </w:r>
      <w:r w:rsidR="001E3202">
        <w:rPr>
          <w:rFonts w:ascii="David" w:hAnsi="David" w:cs="David" w:hint="cs"/>
          <w:sz w:val="24"/>
          <w:szCs w:val="24"/>
          <w:rtl/>
        </w:rPr>
        <w:t>(</w:t>
      </w:r>
      <w:proofErr w:type="spellStart"/>
      <w:r w:rsidR="0028710D">
        <w:rPr>
          <w:rFonts w:ascii="David" w:hAnsi="David" w:cs="David"/>
          <w:sz w:val="24"/>
          <w:szCs w:val="24"/>
        </w:rPr>
        <w:t>Leithwood</w:t>
      </w:r>
      <w:proofErr w:type="spellEnd"/>
      <w:r w:rsidR="0028710D">
        <w:rPr>
          <w:rFonts w:ascii="David" w:hAnsi="David" w:cs="David"/>
          <w:sz w:val="24"/>
          <w:szCs w:val="24"/>
        </w:rPr>
        <w:t xml:space="preserve">, </w:t>
      </w:r>
      <w:r w:rsidR="00FA65C1">
        <w:rPr>
          <w:rFonts w:ascii="David" w:hAnsi="David" w:cs="David"/>
          <w:sz w:val="24"/>
          <w:szCs w:val="24"/>
        </w:rPr>
        <w:t>et al., 2020</w:t>
      </w:r>
      <w:r w:rsidR="00FA65C1">
        <w:rPr>
          <w:rFonts w:ascii="David" w:hAnsi="David" w:cs="David" w:hint="cs"/>
          <w:b/>
          <w:bCs/>
          <w:sz w:val="24"/>
          <w:szCs w:val="24"/>
          <w:rtl/>
        </w:rPr>
        <w:t>)</w:t>
      </w:r>
      <w:r w:rsidR="001E3202">
        <w:rPr>
          <w:rFonts w:ascii="David" w:hAnsi="David" w:cs="David" w:hint="cs"/>
          <w:b/>
          <w:bCs/>
          <w:sz w:val="24"/>
          <w:szCs w:val="24"/>
          <w:rtl/>
        </w:rPr>
        <w:t xml:space="preserve">, </w:t>
      </w:r>
      <w:r w:rsidR="008F61F6">
        <w:rPr>
          <w:rFonts w:ascii="David" w:hAnsi="David" w:cs="David" w:hint="cs"/>
          <w:b/>
          <w:bCs/>
          <w:sz w:val="24"/>
          <w:szCs w:val="24"/>
          <w:rtl/>
        </w:rPr>
        <w:t>ה</w:t>
      </w:r>
      <w:r w:rsidR="00B56C6F">
        <w:rPr>
          <w:rFonts w:ascii="David" w:hAnsi="David" w:cs="David" w:hint="cs"/>
          <w:b/>
          <w:bCs/>
          <w:sz w:val="24"/>
          <w:szCs w:val="24"/>
          <w:rtl/>
        </w:rPr>
        <w:t>צוות החינוכי</w:t>
      </w:r>
      <w:r w:rsidR="00CD05C6" w:rsidRPr="00CD05C6">
        <w:rPr>
          <w:rFonts w:ascii="David" w:hAnsi="David" w:cs="David" w:hint="cs"/>
          <w:b/>
          <w:bCs/>
          <w:sz w:val="24"/>
          <w:szCs w:val="24"/>
          <w:rtl/>
        </w:rPr>
        <w:t xml:space="preserve"> ורמת הכשרת</w:t>
      </w:r>
      <w:r w:rsidR="00B56C6F">
        <w:rPr>
          <w:rFonts w:ascii="David" w:hAnsi="David" w:cs="David" w:hint="cs"/>
          <w:b/>
          <w:bCs/>
          <w:sz w:val="24"/>
          <w:szCs w:val="24"/>
          <w:rtl/>
        </w:rPr>
        <w:t>ו</w:t>
      </w:r>
      <w:r w:rsidR="00BE7D60">
        <w:rPr>
          <w:rFonts w:ascii="David" w:hAnsi="David" w:cs="David" w:hint="cs"/>
          <w:sz w:val="24"/>
          <w:szCs w:val="24"/>
          <w:rtl/>
        </w:rPr>
        <w:t xml:space="preserve">, כולל משיכת האנשים המתאימים למקצוע, פיתוח והכשרה שלהם </w:t>
      </w:r>
      <w:r w:rsidR="00366434">
        <w:rPr>
          <w:rFonts w:ascii="David" w:hAnsi="David" w:cs="David" w:hint="cs"/>
          <w:sz w:val="24"/>
          <w:szCs w:val="24"/>
          <w:rtl/>
        </w:rPr>
        <w:t>להיות מורים מועילים</w:t>
      </w:r>
      <w:r w:rsidR="000C2808">
        <w:rPr>
          <w:rFonts w:ascii="David" w:hAnsi="David" w:cs="David" w:hint="cs"/>
          <w:sz w:val="24"/>
          <w:szCs w:val="24"/>
          <w:rtl/>
        </w:rPr>
        <w:t xml:space="preserve"> לקראת עבודתם ובמהלכה</w:t>
      </w:r>
      <w:r w:rsidR="006804C7">
        <w:rPr>
          <w:rFonts w:ascii="David" w:hAnsi="David" w:cs="David" w:hint="cs"/>
          <w:sz w:val="24"/>
          <w:szCs w:val="24"/>
          <w:rtl/>
        </w:rPr>
        <w:t xml:space="preserve"> </w:t>
      </w:r>
      <w:r w:rsidR="00FC7B4B">
        <w:rPr>
          <w:rFonts w:ascii="David" w:hAnsi="David" w:cs="David" w:hint="cs"/>
          <w:sz w:val="24"/>
          <w:szCs w:val="24"/>
          <w:rtl/>
        </w:rPr>
        <w:t>(</w:t>
      </w:r>
      <w:r w:rsidR="00F90FF2">
        <w:rPr>
          <w:rFonts w:ascii="David" w:hAnsi="David" w:cs="David" w:hint="cs"/>
          <w:sz w:val="24"/>
          <w:szCs w:val="24"/>
          <w:rtl/>
        </w:rPr>
        <w:t xml:space="preserve">ברבר </w:t>
      </w:r>
      <w:proofErr w:type="spellStart"/>
      <w:r w:rsidR="00F90FF2">
        <w:rPr>
          <w:rFonts w:ascii="David" w:hAnsi="David" w:cs="David" w:hint="cs"/>
          <w:sz w:val="24"/>
          <w:szCs w:val="24"/>
          <w:rtl/>
        </w:rPr>
        <w:t>ומורשד</w:t>
      </w:r>
      <w:proofErr w:type="spellEnd"/>
      <w:r w:rsidR="00F90FF2">
        <w:rPr>
          <w:rFonts w:ascii="David" w:hAnsi="David" w:cs="David" w:hint="cs"/>
          <w:sz w:val="24"/>
          <w:szCs w:val="24"/>
          <w:rtl/>
        </w:rPr>
        <w:t xml:space="preserve">, 2007; </w:t>
      </w:r>
      <w:r w:rsidR="00FC7B4B">
        <w:rPr>
          <w:rFonts w:ascii="David" w:hAnsi="David" w:cs="David" w:hint="cs"/>
          <w:sz w:val="24"/>
          <w:szCs w:val="24"/>
          <w:rtl/>
        </w:rPr>
        <w:t>זיני ואחרים, 2022</w:t>
      </w:r>
      <w:r w:rsidR="00FF5987">
        <w:rPr>
          <w:rFonts w:ascii="David" w:hAnsi="David" w:cs="David" w:hint="cs"/>
          <w:sz w:val="24"/>
          <w:szCs w:val="24"/>
          <w:rtl/>
        </w:rPr>
        <w:t xml:space="preserve">; </w:t>
      </w:r>
      <w:r w:rsidR="00DA6145">
        <w:rPr>
          <w:rFonts w:ascii="David" w:hAnsi="David" w:cs="David" w:hint="cs"/>
          <w:sz w:val="24"/>
          <w:szCs w:val="24"/>
        </w:rPr>
        <w:t>D</w:t>
      </w:r>
      <w:r w:rsidR="00DA6145">
        <w:rPr>
          <w:rFonts w:ascii="David" w:hAnsi="David" w:cs="David"/>
          <w:sz w:val="24"/>
          <w:szCs w:val="24"/>
        </w:rPr>
        <w:t>arling-Hammond, et al., 20</w:t>
      </w:r>
      <w:r w:rsidR="000B7B00">
        <w:rPr>
          <w:rFonts w:ascii="David" w:hAnsi="David" w:cs="David"/>
          <w:sz w:val="24"/>
          <w:szCs w:val="24"/>
        </w:rPr>
        <w:t>17</w:t>
      </w:r>
      <w:r w:rsidR="00FC7B4B">
        <w:rPr>
          <w:rFonts w:ascii="David" w:hAnsi="David" w:cs="David" w:hint="cs"/>
          <w:sz w:val="24"/>
          <w:szCs w:val="24"/>
          <w:rtl/>
        </w:rPr>
        <w:t>)</w:t>
      </w:r>
      <w:r w:rsidR="000C2808">
        <w:rPr>
          <w:rFonts w:ascii="David" w:hAnsi="David" w:cs="David" w:hint="cs"/>
          <w:sz w:val="24"/>
          <w:szCs w:val="24"/>
          <w:rtl/>
        </w:rPr>
        <w:t>; וכן</w:t>
      </w:r>
      <w:r w:rsidR="00910BEE">
        <w:rPr>
          <w:rFonts w:ascii="David" w:hAnsi="David" w:cs="David" w:hint="cs"/>
          <w:sz w:val="24"/>
          <w:szCs w:val="24"/>
          <w:rtl/>
        </w:rPr>
        <w:t xml:space="preserve"> מידת </w:t>
      </w:r>
      <w:r w:rsidR="00910BEE" w:rsidRPr="007526A0">
        <w:rPr>
          <w:rFonts w:ascii="David" w:hAnsi="David" w:cs="David" w:hint="cs"/>
          <w:b/>
          <w:bCs/>
          <w:sz w:val="24"/>
          <w:szCs w:val="24"/>
          <w:rtl/>
        </w:rPr>
        <w:t>ההתאמה שבין תוכנית הלימודים</w:t>
      </w:r>
      <w:r w:rsidR="00D73BCB">
        <w:rPr>
          <w:rFonts w:ascii="David" w:hAnsi="David" w:cs="David" w:hint="cs"/>
          <w:b/>
          <w:bCs/>
          <w:sz w:val="24"/>
          <w:szCs w:val="24"/>
          <w:rtl/>
        </w:rPr>
        <w:t xml:space="preserve"> ומסלולי הלימוד</w:t>
      </w:r>
      <w:r w:rsidR="00910BEE" w:rsidRPr="007526A0">
        <w:rPr>
          <w:rFonts w:ascii="David" w:hAnsi="David" w:cs="David" w:hint="cs"/>
          <w:b/>
          <w:bCs/>
          <w:sz w:val="24"/>
          <w:szCs w:val="24"/>
          <w:rtl/>
        </w:rPr>
        <w:t xml:space="preserve"> לבין אוכלוסיית התלמידים ותרבותה</w:t>
      </w:r>
      <w:r w:rsidR="00D00BFF">
        <w:rPr>
          <w:rFonts w:ascii="David" w:hAnsi="David" w:cs="David" w:hint="cs"/>
          <w:sz w:val="24"/>
          <w:szCs w:val="24"/>
          <w:rtl/>
        </w:rPr>
        <w:t xml:space="preserve"> או שפת האם שלה. תופעה של נשירה</w:t>
      </w:r>
      <w:r w:rsidR="00561262">
        <w:rPr>
          <w:rFonts w:ascii="David" w:hAnsi="David" w:cs="David" w:hint="cs"/>
          <w:sz w:val="24"/>
          <w:szCs w:val="24"/>
          <w:rtl/>
        </w:rPr>
        <w:t xml:space="preserve"> בשלב מוקדם</w:t>
      </w:r>
      <w:r w:rsidR="00D00BFF">
        <w:rPr>
          <w:rFonts w:ascii="David" w:hAnsi="David" w:cs="David" w:hint="cs"/>
          <w:sz w:val="24"/>
          <w:szCs w:val="24"/>
          <w:rtl/>
        </w:rPr>
        <w:t xml:space="preserve"> מלימודים רווחת יותר בקרב תלמידים מאוכלוסיות מוחלשות, </w:t>
      </w:r>
      <w:r w:rsidR="00E44491">
        <w:rPr>
          <w:rFonts w:ascii="David" w:hAnsi="David" w:cs="David" w:hint="cs"/>
          <w:sz w:val="24"/>
          <w:szCs w:val="24"/>
          <w:rtl/>
        </w:rPr>
        <w:t>כמו קבוצות אתניות שונות</w:t>
      </w:r>
      <w:r w:rsidR="00561262">
        <w:rPr>
          <w:rFonts w:ascii="David" w:hAnsi="David" w:cs="David" w:hint="cs"/>
          <w:sz w:val="24"/>
          <w:szCs w:val="24"/>
          <w:rtl/>
        </w:rPr>
        <w:t xml:space="preserve">, </w:t>
      </w:r>
      <w:r w:rsidR="00E44491">
        <w:rPr>
          <w:rFonts w:ascii="David" w:hAnsi="David" w:cs="David" w:hint="cs"/>
          <w:sz w:val="24"/>
          <w:szCs w:val="24"/>
          <w:rtl/>
        </w:rPr>
        <w:t>תלמידים ששפת הלימוד שונה משפת האם שלהם</w:t>
      </w:r>
      <w:r w:rsidR="00561262">
        <w:rPr>
          <w:rFonts w:ascii="David" w:hAnsi="David" w:cs="David" w:hint="cs"/>
          <w:sz w:val="24"/>
          <w:szCs w:val="24"/>
          <w:rtl/>
        </w:rPr>
        <w:t xml:space="preserve"> או תלמידים הסובלים מסביבה עוינת ודעות קדומות כלפיהם</w:t>
      </w:r>
      <w:r w:rsidR="007526A0">
        <w:rPr>
          <w:rFonts w:ascii="David" w:hAnsi="David" w:cs="David" w:hint="cs"/>
          <w:sz w:val="24"/>
          <w:szCs w:val="24"/>
          <w:rtl/>
        </w:rPr>
        <w:t xml:space="preserve"> (</w:t>
      </w:r>
      <w:bookmarkStart w:id="1" w:name="_Hlk137751314"/>
      <w:r w:rsidR="009E7BA5">
        <w:rPr>
          <w:rFonts w:ascii="David" w:hAnsi="David" w:cs="David"/>
          <w:sz w:val="24"/>
          <w:szCs w:val="24"/>
        </w:rPr>
        <w:t>OECD, 2017</w:t>
      </w:r>
      <w:r w:rsidR="00B061B5">
        <w:rPr>
          <w:rFonts w:ascii="David" w:hAnsi="David" w:cs="David"/>
          <w:sz w:val="24"/>
          <w:szCs w:val="24"/>
        </w:rPr>
        <w:t xml:space="preserve">; </w:t>
      </w:r>
      <w:proofErr w:type="spellStart"/>
      <w:r w:rsidR="007526A0">
        <w:rPr>
          <w:rFonts w:ascii="David" w:hAnsi="David" w:cs="David"/>
          <w:sz w:val="24"/>
          <w:szCs w:val="24"/>
        </w:rPr>
        <w:t>Schmelkes</w:t>
      </w:r>
      <w:proofErr w:type="spellEnd"/>
      <w:r w:rsidR="00AC70BD">
        <w:rPr>
          <w:rFonts w:ascii="David" w:hAnsi="David" w:cs="David"/>
          <w:sz w:val="24"/>
          <w:szCs w:val="24"/>
        </w:rPr>
        <w:t>, 2020</w:t>
      </w:r>
      <w:bookmarkEnd w:id="1"/>
      <w:r w:rsidR="006804C7">
        <w:rPr>
          <w:rFonts w:ascii="David" w:hAnsi="David" w:cs="David" w:hint="cs"/>
          <w:sz w:val="24"/>
          <w:szCs w:val="24"/>
          <w:rtl/>
        </w:rPr>
        <w:t>)</w:t>
      </w:r>
      <w:r w:rsidR="00E44491">
        <w:rPr>
          <w:rFonts w:ascii="David" w:hAnsi="David" w:cs="David" w:hint="cs"/>
          <w:sz w:val="24"/>
          <w:szCs w:val="24"/>
          <w:rtl/>
        </w:rPr>
        <w:t xml:space="preserve">. </w:t>
      </w:r>
    </w:p>
    <w:p w14:paraId="766EDA95" w14:textId="77777777" w:rsidR="004C5570" w:rsidRDefault="004C5570" w:rsidP="00F1780E">
      <w:pPr>
        <w:spacing w:line="312" w:lineRule="auto"/>
        <w:jc w:val="both"/>
        <w:rPr>
          <w:rFonts w:ascii="David" w:hAnsi="David" w:cs="David"/>
          <w:sz w:val="24"/>
          <w:szCs w:val="24"/>
          <w:rtl/>
        </w:rPr>
      </w:pPr>
    </w:p>
    <w:p w14:paraId="2F3FBE2E" w14:textId="77777777" w:rsidR="004C5570" w:rsidRDefault="004C5570" w:rsidP="00F1780E">
      <w:pPr>
        <w:spacing w:line="312" w:lineRule="auto"/>
        <w:jc w:val="both"/>
        <w:rPr>
          <w:rFonts w:ascii="David" w:hAnsi="David" w:cs="David"/>
          <w:sz w:val="24"/>
          <w:szCs w:val="24"/>
          <w:rtl/>
        </w:rPr>
      </w:pPr>
    </w:p>
    <w:p w14:paraId="33FB91C6" w14:textId="79C09B0D" w:rsidR="00DB4F6C" w:rsidRPr="00241EB7" w:rsidRDefault="00DB4F6C" w:rsidP="001044C0">
      <w:pPr>
        <w:pStyle w:val="a3"/>
        <w:numPr>
          <w:ilvl w:val="0"/>
          <w:numId w:val="1"/>
        </w:numPr>
        <w:shd w:val="clear" w:color="auto" w:fill="D9E2F3" w:themeFill="accent1" w:themeFillTint="33"/>
        <w:spacing w:line="312" w:lineRule="auto"/>
        <w:ind w:left="360"/>
        <w:rPr>
          <w:rFonts w:ascii="David" w:hAnsi="David" w:cs="David"/>
          <w:color w:val="4472C4" w:themeColor="accent1"/>
          <w:sz w:val="36"/>
          <w:szCs w:val="36"/>
          <w:rtl/>
        </w:rPr>
      </w:pPr>
      <w:r w:rsidRPr="00241EB7">
        <w:rPr>
          <w:rFonts w:ascii="David" w:hAnsi="David" w:cs="David" w:hint="cs"/>
          <w:color w:val="4472C4" w:themeColor="accent1"/>
          <w:sz w:val="36"/>
          <w:szCs w:val="36"/>
          <w:rtl/>
        </w:rPr>
        <w:lastRenderedPageBreak/>
        <w:t>אי שוויון בחברה הישראלית</w:t>
      </w:r>
    </w:p>
    <w:p w14:paraId="476E31A5" w14:textId="49B8B5B5" w:rsidR="00690ACD" w:rsidRDefault="008A30AD" w:rsidP="006B632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תפקידה העיקרי של מדינת רווחה הוא להבטיח הגנה חברתית לתושביה במצבים של היעדר הכנסה ומשאבים מספיקים לענות על צרכיהם. </w:t>
      </w:r>
      <w:r w:rsidR="000614D7">
        <w:rPr>
          <w:rFonts w:ascii="David" w:hAnsi="David" w:cs="David" w:hint="cs"/>
          <w:rtl/>
        </w:rPr>
        <w:t>לצד זאת, למדינה גם תפקיד חשוב בחיזוק ההון האנושי של תושביה, על מנת שיוכלו לממש את יכולותיהם ולתרום כך לצמיחת המשק</w:t>
      </w:r>
      <w:r w:rsidR="00F42F45">
        <w:rPr>
          <w:rFonts w:ascii="David" w:hAnsi="David" w:cs="David" w:hint="cs"/>
          <w:rtl/>
        </w:rPr>
        <w:t xml:space="preserve"> (גל ואחרים, 2020)</w:t>
      </w:r>
      <w:r w:rsidR="000614D7">
        <w:rPr>
          <w:rFonts w:ascii="David" w:hAnsi="David" w:cs="David" w:hint="cs"/>
          <w:rtl/>
        </w:rPr>
        <w:t xml:space="preserve">. </w:t>
      </w:r>
    </w:p>
    <w:p w14:paraId="2F4D07C6" w14:textId="7F5E52E3" w:rsidR="00811B8B" w:rsidRDefault="00363245" w:rsidP="00690ACD">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מדינת ישראל היא </w:t>
      </w:r>
      <w:r w:rsidR="00B30F4C">
        <w:rPr>
          <w:rFonts w:ascii="David" w:hAnsi="David" w:cs="David" w:hint="cs"/>
          <w:rtl/>
        </w:rPr>
        <w:t>מבין המדינות האמידות בעולם,</w:t>
      </w:r>
      <w:r>
        <w:rPr>
          <w:rFonts w:ascii="David" w:hAnsi="David" w:cs="David" w:hint="cs"/>
          <w:rtl/>
        </w:rPr>
        <w:t xml:space="preserve"> בה </w:t>
      </w:r>
      <w:r w:rsidR="0070118F">
        <w:rPr>
          <w:rFonts w:ascii="David" w:hAnsi="David" w:cs="David" w:hint="cs"/>
          <w:rtl/>
        </w:rPr>
        <w:t xml:space="preserve">ההכנסה </w:t>
      </w:r>
      <w:r w:rsidR="00B30F4C">
        <w:rPr>
          <w:rFonts w:ascii="David" w:hAnsi="David" w:cs="David" w:hint="cs"/>
          <w:rtl/>
        </w:rPr>
        <w:t xml:space="preserve">הממוצעת </w:t>
      </w:r>
      <w:r w:rsidR="0070118F">
        <w:rPr>
          <w:rFonts w:ascii="David" w:hAnsi="David" w:cs="David" w:hint="cs"/>
          <w:rtl/>
        </w:rPr>
        <w:t>לאוכלוסייה הבוגרת עומד</w:t>
      </w:r>
      <w:r w:rsidR="00B30F4C">
        <w:rPr>
          <w:rFonts w:ascii="David" w:hAnsi="David" w:cs="David" w:hint="cs"/>
          <w:rtl/>
        </w:rPr>
        <w:t>ת</w:t>
      </w:r>
      <w:r w:rsidR="0070118F">
        <w:rPr>
          <w:rFonts w:ascii="David" w:hAnsi="David" w:cs="David" w:hint="cs"/>
          <w:rtl/>
        </w:rPr>
        <w:t xml:space="preserve"> על 43,100</w:t>
      </w:r>
      <w:r w:rsidR="00B30F4C">
        <w:rPr>
          <w:rFonts w:ascii="David" w:hAnsi="David" w:cs="David" w:hint="cs"/>
          <w:rtl/>
        </w:rPr>
        <w:t xml:space="preserve"> יורו</w:t>
      </w:r>
      <w:r w:rsidR="00133510">
        <w:rPr>
          <w:rFonts w:ascii="David" w:hAnsi="David" w:cs="David" w:hint="cs"/>
          <w:rtl/>
        </w:rPr>
        <w:t xml:space="preserve"> </w:t>
      </w:r>
      <w:r w:rsidR="00133510">
        <w:rPr>
          <w:rFonts w:ascii="David" w:hAnsi="David" w:cs="David"/>
          <w:rtl/>
        </w:rPr>
        <w:t>–</w:t>
      </w:r>
      <w:r w:rsidR="00133510">
        <w:rPr>
          <w:rFonts w:ascii="David" w:hAnsi="David" w:cs="David" w:hint="cs"/>
          <w:rtl/>
        </w:rPr>
        <w:t xml:space="preserve"> מבין הגבוהות במדינות המערב</w:t>
      </w:r>
      <w:r w:rsidR="0046392F">
        <w:rPr>
          <w:rFonts w:ascii="David" w:hAnsi="David" w:cs="David" w:hint="cs"/>
          <w:rtl/>
        </w:rPr>
        <w:t xml:space="preserve"> (</w:t>
      </w:r>
      <w:r w:rsidR="0046392F">
        <w:rPr>
          <w:rFonts w:ascii="David" w:hAnsi="David" w:cs="David"/>
        </w:rPr>
        <w:t>(Chancel, 2022</w:t>
      </w:r>
      <w:r w:rsidR="00B30F4C">
        <w:rPr>
          <w:rFonts w:ascii="David" w:hAnsi="David" w:cs="David" w:hint="cs"/>
          <w:rtl/>
        </w:rPr>
        <w:t xml:space="preserve">. </w:t>
      </w:r>
      <w:r w:rsidR="00FE441E">
        <w:rPr>
          <w:rFonts w:ascii="David" w:hAnsi="David" w:cs="David" w:hint="cs"/>
          <w:rtl/>
        </w:rPr>
        <w:t xml:space="preserve">לצד זאת, </w:t>
      </w:r>
      <w:r w:rsidR="006B6326">
        <w:rPr>
          <w:rFonts w:ascii="David" w:hAnsi="David" w:cs="David" w:hint="cs"/>
          <w:rtl/>
        </w:rPr>
        <w:t>מדינת ישראל אחת מ</w:t>
      </w:r>
      <w:r w:rsidR="00FE441E">
        <w:rPr>
          <w:rFonts w:ascii="David" w:hAnsi="David" w:cs="David" w:hint="cs"/>
          <w:rtl/>
        </w:rPr>
        <w:t xml:space="preserve">בין </w:t>
      </w:r>
      <w:r w:rsidR="006B6326">
        <w:rPr>
          <w:rFonts w:ascii="David" w:hAnsi="David" w:cs="David" w:hint="cs"/>
          <w:rtl/>
        </w:rPr>
        <w:t xml:space="preserve">המדינות הפחות שוויוניות </w:t>
      </w:r>
      <w:r w:rsidR="00FE441E">
        <w:rPr>
          <w:rFonts w:ascii="David" w:hAnsi="David" w:cs="David" w:hint="cs"/>
          <w:rtl/>
        </w:rPr>
        <w:t>בעולם ובעולם המערבי בפרט</w:t>
      </w:r>
      <w:r w:rsidR="00B62271">
        <w:rPr>
          <w:rFonts w:ascii="David" w:hAnsi="David" w:cs="David" w:hint="cs"/>
          <w:rtl/>
        </w:rPr>
        <w:t xml:space="preserve">. בישראל </w:t>
      </w:r>
      <w:r w:rsidR="00B7794D">
        <w:rPr>
          <w:rFonts w:ascii="David" w:hAnsi="David" w:cs="David" w:hint="cs"/>
          <w:rtl/>
        </w:rPr>
        <w:t>אי שוויון גבוה בהכנסות (דהן, 2018</w:t>
      </w:r>
      <w:r w:rsidR="00442BFF">
        <w:rPr>
          <w:rFonts w:ascii="David" w:hAnsi="David" w:cs="David" w:hint="cs"/>
          <w:rtl/>
        </w:rPr>
        <w:t>)</w:t>
      </w:r>
      <w:r w:rsidR="00B7794D">
        <w:rPr>
          <w:rFonts w:ascii="David" w:hAnsi="David" w:cs="David" w:hint="cs"/>
          <w:rtl/>
        </w:rPr>
        <w:t xml:space="preserve">. </w:t>
      </w:r>
      <w:r w:rsidR="007112D1">
        <w:rPr>
          <w:rFonts w:ascii="David" w:hAnsi="David" w:cs="David" w:hint="cs"/>
          <w:rtl/>
        </w:rPr>
        <w:t xml:space="preserve">חמשת העשירונים הנמוכים </w:t>
      </w:r>
      <w:r w:rsidR="000F0BE0">
        <w:rPr>
          <w:rFonts w:ascii="David" w:hAnsi="David" w:cs="David" w:hint="cs"/>
          <w:rtl/>
        </w:rPr>
        <w:t xml:space="preserve">(50% מהאוכלוסייה) </w:t>
      </w:r>
      <w:r w:rsidR="007112D1">
        <w:rPr>
          <w:rFonts w:ascii="David" w:hAnsi="David" w:cs="David" w:hint="cs"/>
          <w:rtl/>
        </w:rPr>
        <w:t xml:space="preserve">מרווחים </w:t>
      </w:r>
      <w:r w:rsidR="00122BAB">
        <w:rPr>
          <w:rFonts w:ascii="David" w:hAnsi="David" w:cs="David" w:hint="cs"/>
          <w:rtl/>
        </w:rPr>
        <w:t xml:space="preserve">13% מסך ההכנסה הלאומית </w:t>
      </w:r>
      <w:r w:rsidR="00B773F8">
        <w:rPr>
          <w:rFonts w:ascii="David" w:hAnsi="David" w:cs="David" w:hint="cs"/>
          <w:rtl/>
        </w:rPr>
        <w:t>(</w:t>
      </w:r>
      <w:r w:rsidR="00B773F8">
        <w:rPr>
          <w:rFonts w:ascii="David" w:hAnsi="David" w:cs="David" w:hint="cs"/>
        </w:rPr>
        <w:t>PPP</w:t>
      </w:r>
      <w:r w:rsidR="00B773F8">
        <w:rPr>
          <w:rStyle w:val="ab"/>
          <w:rFonts w:ascii="David" w:hAnsi="David" w:cs="David"/>
          <w:rtl/>
        </w:rPr>
        <w:footnoteReference w:id="2"/>
      </w:r>
      <w:r w:rsidR="00B773F8">
        <w:rPr>
          <w:rFonts w:ascii="David" w:hAnsi="David" w:cs="David" w:hint="cs"/>
          <w:rtl/>
        </w:rPr>
        <w:t>)</w:t>
      </w:r>
      <w:r w:rsidR="0052050A">
        <w:rPr>
          <w:rFonts w:ascii="David" w:hAnsi="David" w:cs="David" w:hint="cs"/>
          <w:rtl/>
        </w:rPr>
        <w:t>.</w:t>
      </w:r>
      <w:r w:rsidR="00B773F8">
        <w:rPr>
          <w:rFonts w:ascii="David" w:hAnsi="David" w:cs="David" w:hint="cs"/>
          <w:rtl/>
        </w:rPr>
        <w:t xml:space="preserve"> </w:t>
      </w:r>
      <w:r w:rsidR="00122BAB">
        <w:rPr>
          <w:rFonts w:ascii="David" w:hAnsi="David" w:cs="David" w:hint="cs"/>
          <w:rtl/>
        </w:rPr>
        <w:t>לעומת</w:t>
      </w:r>
      <w:r w:rsidR="00F46112">
        <w:rPr>
          <w:rFonts w:ascii="David" w:hAnsi="David" w:cs="David" w:hint="cs"/>
          <w:rtl/>
        </w:rPr>
        <w:t xml:space="preserve"> זאת</w:t>
      </w:r>
      <w:r w:rsidR="0052050A">
        <w:rPr>
          <w:rFonts w:ascii="David" w:hAnsi="David" w:cs="David" w:hint="cs"/>
          <w:rtl/>
        </w:rPr>
        <w:t>, העשירון העליון (המהווה 10% מהאוכלוסייה) מרוויח</w:t>
      </w:r>
      <w:r w:rsidR="00122BAB">
        <w:rPr>
          <w:rFonts w:ascii="David" w:hAnsi="David" w:cs="David" w:hint="cs"/>
          <w:rtl/>
        </w:rPr>
        <w:t xml:space="preserve"> </w:t>
      </w:r>
      <w:r w:rsidR="00F46112">
        <w:rPr>
          <w:rFonts w:ascii="David" w:hAnsi="David" w:cs="David" w:hint="cs"/>
          <w:rtl/>
        </w:rPr>
        <w:t>49% מסך ההכנסה הלאומית</w:t>
      </w:r>
      <w:r w:rsidR="00442BFF">
        <w:rPr>
          <w:rFonts w:ascii="David" w:hAnsi="David" w:cs="David" w:hint="cs"/>
          <w:rtl/>
        </w:rPr>
        <w:t xml:space="preserve"> (</w:t>
      </w:r>
      <w:r w:rsidR="00C0586C">
        <w:rPr>
          <w:rFonts w:ascii="David" w:hAnsi="David" w:cs="David"/>
        </w:rPr>
        <w:t>(Chancel, 2022</w:t>
      </w:r>
      <w:r w:rsidR="006B6326">
        <w:rPr>
          <w:rFonts w:ascii="David" w:hAnsi="David" w:cs="David" w:hint="cs"/>
          <w:rtl/>
        </w:rPr>
        <w:t xml:space="preserve">. </w:t>
      </w:r>
    </w:p>
    <w:p w14:paraId="1782C146" w14:textId="1DE5E666" w:rsidR="00445D72" w:rsidRDefault="00EE4339" w:rsidP="00811B8B">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דוח מרכז אדווה </w:t>
      </w:r>
      <w:r w:rsidR="00433303">
        <w:rPr>
          <w:rFonts w:ascii="David" w:hAnsi="David" w:cs="David" w:hint="cs"/>
          <w:rtl/>
        </w:rPr>
        <w:t>(</w:t>
      </w:r>
      <w:proofErr w:type="spellStart"/>
      <w:r w:rsidR="00433303">
        <w:rPr>
          <w:rFonts w:ascii="David" w:hAnsi="David" w:cs="David" w:hint="cs"/>
          <w:rtl/>
        </w:rPr>
        <w:t>סבירסקי</w:t>
      </w:r>
      <w:proofErr w:type="spellEnd"/>
      <w:r w:rsidR="00433303">
        <w:rPr>
          <w:rFonts w:ascii="David" w:hAnsi="David" w:cs="David" w:hint="cs"/>
          <w:rtl/>
        </w:rPr>
        <w:t xml:space="preserve"> ואחרים, 2022) </w:t>
      </w:r>
      <w:r>
        <w:rPr>
          <w:rFonts w:ascii="David" w:hAnsi="David" w:cs="David" w:hint="cs"/>
          <w:rtl/>
        </w:rPr>
        <w:t xml:space="preserve">מצביע על </w:t>
      </w:r>
      <w:r w:rsidR="00883196">
        <w:rPr>
          <w:rFonts w:ascii="David" w:hAnsi="David" w:cs="David" w:hint="cs"/>
          <w:rtl/>
        </w:rPr>
        <w:t xml:space="preserve">מגמה של </w:t>
      </w:r>
      <w:r>
        <w:rPr>
          <w:rFonts w:ascii="David" w:hAnsi="David" w:cs="David" w:hint="cs"/>
          <w:rtl/>
        </w:rPr>
        <w:t xml:space="preserve">גידול </w:t>
      </w:r>
      <w:r w:rsidR="00A30F85">
        <w:rPr>
          <w:rFonts w:ascii="David" w:hAnsi="David" w:cs="David" w:hint="cs"/>
          <w:rtl/>
        </w:rPr>
        <w:t xml:space="preserve">באי השוויון בישראל </w:t>
      </w:r>
      <w:r w:rsidR="001920CF">
        <w:rPr>
          <w:rFonts w:ascii="David" w:hAnsi="David" w:cs="David" w:hint="cs"/>
          <w:rtl/>
        </w:rPr>
        <w:t>בעקבות מגפת הקורונה ומלחמת רוסיה-אוקראינה</w:t>
      </w:r>
      <w:r w:rsidR="00963111">
        <w:rPr>
          <w:rFonts w:ascii="David" w:hAnsi="David" w:cs="David" w:hint="cs"/>
          <w:rtl/>
        </w:rPr>
        <w:t xml:space="preserve">. </w:t>
      </w:r>
      <w:r w:rsidR="001D1E20">
        <w:rPr>
          <w:rFonts w:ascii="David" w:hAnsi="David" w:cs="David" w:hint="cs"/>
          <w:rtl/>
        </w:rPr>
        <w:t>חלק</w:t>
      </w:r>
      <w:r w:rsidR="00686EAC">
        <w:rPr>
          <w:rFonts w:ascii="David" w:hAnsi="David" w:cs="David" w:hint="cs"/>
          <w:rtl/>
        </w:rPr>
        <w:t xml:space="preserve"> קטן</w:t>
      </w:r>
      <w:r w:rsidR="001D1E20">
        <w:rPr>
          <w:rFonts w:ascii="David" w:hAnsi="David" w:cs="David" w:hint="cs"/>
          <w:rtl/>
        </w:rPr>
        <w:t xml:space="preserve"> מהאוכלוסייה </w:t>
      </w:r>
      <w:r w:rsidR="00686EAC">
        <w:rPr>
          <w:rFonts w:ascii="David" w:hAnsi="David" w:cs="David" w:hint="cs"/>
          <w:rtl/>
        </w:rPr>
        <w:t xml:space="preserve">בישראל </w:t>
      </w:r>
      <w:r w:rsidR="001D1E20">
        <w:rPr>
          <w:rFonts w:ascii="David" w:hAnsi="David" w:cs="David" w:hint="cs"/>
          <w:rtl/>
        </w:rPr>
        <w:t>התעשר בתקופה זו</w:t>
      </w:r>
      <w:r w:rsidR="00F7624E">
        <w:rPr>
          <w:rFonts w:ascii="David" w:hAnsi="David" w:cs="David" w:hint="cs"/>
          <w:rtl/>
        </w:rPr>
        <w:t xml:space="preserve">, בעקבות תמיכת הממשלה </w:t>
      </w:r>
      <w:r w:rsidR="00275C07">
        <w:rPr>
          <w:rFonts w:ascii="David" w:hAnsi="David" w:cs="David" w:hint="cs"/>
          <w:rtl/>
        </w:rPr>
        <w:t>בתאגידים גדולים</w:t>
      </w:r>
      <w:r w:rsidR="00963111">
        <w:rPr>
          <w:rFonts w:ascii="David" w:hAnsi="David" w:cs="David" w:hint="cs"/>
          <w:rtl/>
        </w:rPr>
        <w:t xml:space="preserve">, </w:t>
      </w:r>
      <w:r w:rsidR="00275C07">
        <w:rPr>
          <w:rFonts w:ascii="David" w:hAnsi="David" w:cs="David" w:hint="cs"/>
          <w:rtl/>
        </w:rPr>
        <w:t>מיסוי נמוך על רווחי הון</w:t>
      </w:r>
      <w:r w:rsidR="00B90FD9">
        <w:rPr>
          <w:rFonts w:ascii="David" w:hAnsi="David" w:cs="David" w:hint="cs"/>
          <w:rtl/>
        </w:rPr>
        <w:t xml:space="preserve"> ויציבות ב</w:t>
      </w:r>
      <w:r w:rsidR="004B3C1C">
        <w:rPr>
          <w:rFonts w:ascii="David" w:hAnsi="David" w:cs="David" w:hint="cs"/>
          <w:rtl/>
        </w:rPr>
        <w:t>ענף</w:t>
      </w:r>
      <w:r w:rsidR="00B90FD9">
        <w:rPr>
          <w:rFonts w:ascii="David" w:hAnsi="David" w:cs="David" w:hint="cs"/>
          <w:rtl/>
        </w:rPr>
        <w:t xml:space="preserve"> ההיי-טק</w:t>
      </w:r>
      <w:r w:rsidR="00963111">
        <w:rPr>
          <w:rFonts w:ascii="David" w:hAnsi="David" w:cs="David" w:hint="cs"/>
          <w:rtl/>
        </w:rPr>
        <w:t xml:space="preserve">. לצד זאת, חלק </w:t>
      </w:r>
      <w:r w:rsidR="00686EAC">
        <w:rPr>
          <w:rFonts w:ascii="David" w:hAnsi="David" w:cs="David" w:hint="cs"/>
          <w:rtl/>
        </w:rPr>
        <w:t>משמעותי</w:t>
      </w:r>
      <w:r w:rsidR="00963111">
        <w:rPr>
          <w:rFonts w:ascii="David" w:hAnsi="David" w:cs="David" w:hint="cs"/>
          <w:rtl/>
        </w:rPr>
        <w:t xml:space="preserve"> </w:t>
      </w:r>
      <w:r w:rsidR="00686EAC">
        <w:rPr>
          <w:rFonts w:ascii="David" w:hAnsi="David" w:cs="David" w:hint="cs"/>
          <w:rtl/>
        </w:rPr>
        <w:t>יותר</w:t>
      </w:r>
      <w:r w:rsidR="001D1E20">
        <w:rPr>
          <w:rFonts w:ascii="David" w:hAnsi="David" w:cs="David" w:hint="cs"/>
          <w:rtl/>
        </w:rPr>
        <w:t xml:space="preserve"> מתקשה כלכלית, בעקבות </w:t>
      </w:r>
      <w:r w:rsidR="00EC6280">
        <w:rPr>
          <w:rFonts w:ascii="David" w:hAnsi="David" w:cs="David" w:hint="cs"/>
          <w:rtl/>
        </w:rPr>
        <w:t>הפגיעה בעסקים קטנים</w:t>
      </w:r>
      <w:r w:rsidR="00DC2EBA">
        <w:rPr>
          <w:rFonts w:ascii="David" w:hAnsi="David" w:cs="David" w:hint="cs"/>
          <w:rtl/>
        </w:rPr>
        <w:t xml:space="preserve">, </w:t>
      </w:r>
      <w:r w:rsidR="00B70E66">
        <w:rPr>
          <w:rFonts w:ascii="David" w:hAnsi="David" w:cs="David" w:hint="cs"/>
          <w:rtl/>
        </w:rPr>
        <w:t>גידול באבטלה</w:t>
      </w:r>
      <w:r w:rsidR="00001B6C">
        <w:rPr>
          <w:rFonts w:ascii="David" w:hAnsi="David" w:cs="David" w:hint="cs"/>
          <w:rtl/>
        </w:rPr>
        <w:t xml:space="preserve"> ועלייה ביוקר המחייה</w:t>
      </w:r>
      <w:r w:rsidR="002104D5">
        <w:rPr>
          <w:rFonts w:ascii="David" w:hAnsi="David" w:cs="David" w:hint="cs"/>
          <w:rtl/>
        </w:rPr>
        <w:t>. כך לדוגמה, הנכסים הפיננסיים שבידי הציבור גדלו בין 2020-2015 ב-32%, הכנסות המדינה ממיסוי גדלו בתקופה זו ב- 15% בלבד</w:t>
      </w:r>
      <w:r w:rsidR="00883196">
        <w:rPr>
          <w:rFonts w:ascii="David" w:hAnsi="David" w:cs="David" w:hint="cs"/>
          <w:rtl/>
        </w:rPr>
        <w:t xml:space="preserve"> (</w:t>
      </w:r>
      <w:proofErr w:type="spellStart"/>
      <w:r w:rsidR="00F7624E">
        <w:rPr>
          <w:rFonts w:ascii="David" w:hAnsi="David" w:cs="David" w:hint="cs"/>
          <w:rtl/>
        </w:rPr>
        <w:t>סבירסקי</w:t>
      </w:r>
      <w:proofErr w:type="spellEnd"/>
      <w:r w:rsidR="00F7624E">
        <w:rPr>
          <w:rFonts w:ascii="David" w:hAnsi="David" w:cs="David" w:hint="cs"/>
          <w:rtl/>
        </w:rPr>
        <w:t xml:space="preserve"> ואחרים, 2021; </w:t>
      </w:r>
      <w:proofErr w:type="spellStart"/>
      <w:r w:rsidR="00D80AA0">
        <w:rPr>
          <w:rFonts w:ascii="David" w:hAnsi="David" w:cs="David"/>
        </w:rPr>
        <w:t>Machlica</w:t>
      </w:r>
      <w:proofErr w:type="spellEnd"/>
      <w:r w:rsidR="00D80AA0">
        <w:rPr>
          <w:rFonts w:ascii="David" w:hAnsi="David" w:cs="David"/>
        </w:rPr>
        <w:t>, 2020</w:t>
      </w:r>
      <w:r w:rsidR="00883196">
        <w:rPr>
          <w:rFonts w:ascii="David" w:hAnsi="David" w:cs="David" w:hint="cs"/>
          <w:rtl/>
        </w:rPr>
        <w:t>)</w:t>
      </w:r>
      <w:r w:rsidR="00001B6C">
        <w:rPr>
          <w:rFonts w:ascii="David" w:hAnsi="David" w:cs="David" w:hint="cs"/>
          <w:rtl/>
        </w:rPr>
        <w:t xml:space="preserve">. </w:t>
      </w:r>
    </w:p>
    <w:p w14:paraId="73B1E24A" w14:textId="38B22D65" w:rsidR="00A2634E" w:rsidRPr="00D54994" w:rsidRDefault="00A2634E" w:rsidP="00A2634E">
      <w:pPr>
        <w:pStyle w:val="NormalWeb"/>
        <w:bidi/>
        <w:spacing w:before="120" w:beforeAutospacing="0" w:after="120" w:afterAutospacing="0" w:line="312" w:lineRule="auto"/>
        <w:jc w:val="both"/>
        <w:textAlignment w:val="baseline"/>
        <w:rPr>
          <w:rFonts w:ascii="David" w:hAnsi="David" w:cs="David"/>
          <w:color w:val="4472C4" w:themeColor="accent1"/>
          <w:sz w:val="28"/>
          <w:szCs w:val="28"/>
          <w:rtl/>
        </w:rPr>
      </w:pPr>
      <w:r w:rsidRPr="00D54994">
        <w:rPr>
          <w:rFonts w:ascii="David" w:hAnsi="David" w:cs="David" w:hint="cs"/>
          <w:color w:val="4472C4" w:themeColor="accent1"/>
          <w:sz w:val="28"/>
          <w:szCs w:val="28"/>
          <w:rtl/>
        </w:rPr>
        <w:t>אי שוויון בהכנסות</w:t>
      </w:r>
    </w:p>
    <w:p w14:paraId="461BB136" w14:textId="699D1F0E" w:rsidR="00724FA2" w:rsidRDefault="00A3332B" w:rsidP="00445D72">
      <w:pPr>
        <w:pStyle w:val="NormalWeb"/>
        <w:bidi/>
        <w:spacing w:before="120" w:beforeAutospacing="0" w:after="120" w:afterAutospacing="0" w:line="312" w:lineRule="auto"/>
        <w:jc w:val="both"/>
        <w:textAlignment w:val="baseline"/>
        <w:rPr>
          <w:rFonts w:ascii="David" w:hAnsi="David" w:cs="David"/>
          <w:rtl/>
        </w:rPr>
      </w:pPr>
      <w:r w:rsidRPr="00A2634E">
        <w:rPr>
          <w:rFonts w:ascii="David" w:hAnsi="David" w:cs="David" w:hint="cs"/>
          <w:rtl/>
        </w:rPr>
        <w:t xml:space="preserve">התפלגות ההכנסות בישראל </w:t>
      </w:r>
      <w:r>
        <w:rPr>
          <w:rFonts w:ascii="David" w:hAnsi="David" w:cs="David" w:hint="cs"/>
          <w:rtl/>
        </w:rPr>
        <w:t xml:space="preserve">מאופיינת </w:t>
      </w:r>
      <w:r w:rsidR="006378C3">
        <w:rPr>
          <w:rFonts w:ascii="David" w:hAnsi="David" w:cs="David" w:hint="cs"/>
          <w:rtl/>
        </w:rPr>
        <w:t xml:space="preserve">באי שוויון גבוה ופערים גדולים בין קבוצות אוכלוסייה. </w:t>
      </w:r>
      <w:r w:rsidR="009C3A6F">
        <w:rPr>
          <w:rFonts w:ascii="David" w:hAnsi="David" w:cs="David" w:hint="cs"/>
          <w:rtl/>
        </w:rPr>
        <w:t xml:space="preserve">לפי </w:t>
      </w:r>
      <w:r w:rsidR="006B6326">
        <w:rPr>
          <w:rFonts w:ascii="David" w:hAnsi="David" w:cs="David" w:hint="cs"/>
          <w:rtl/>
        </w:rPr>
        <w:t xml:space="preserve">דוח העוני </w:t>
      </w:r>
      <w:r w:rsidR="0032595C">
        <w:rPr>
          <w:rFonts w:ascii="David" w:hAnsi="David" w:cs="David" w:hint="cs"/>
          <w:rtl/>
        </w:rPr>
        <w:t>2021 (</w:t>
      </w:r>
      <w:proofErr w:type="spellStart"/>
      <w:r w:rsidR="0032595C">
        <w:rPr>
          <w:rFonts w:ascii="David" w:hAnsi="David" w:cs="David" w:hint="cs"/>
          <w:rtl/>
        </w:rPr>
        <w:t>אנדבלד</w:t>
      </w:r>
      <w:proofErr w:type="spellEnd"/>
      <w:r w:rsidR="0032595C">
        <w:rPr>
          <w:rFonts w:ascii="David" w:hAnsi="David" w:cs="David" w:hint="cs"/>
          <w:rtl/>
        </w:rPr>
        <w:t xml:space="preserve">, 2023) </w:t>
      </w:r>
      <w:r w:rsidR="007D1C44">
        <w:rPr>
          <w:rFonts w:ascii="David" w:hAnsi="David" w:cs="David" w:hint="cs"/>
          <w:rtl/>
        </w:rPr>
        <w:t xml:space="preserve">מדד </w:t>
      </w:r>
      <w:proofErr w:type="spellStart"/>
      <w:r w:rsidR="007D1C44">
        <w:rPr>
          <w:rFonts w:ascii="David" w:hAnsi="David" w:cs="David" w:hint="cs"/>
          <w:rtl/>
        </w:rPr>
        <w:t>ג'יני</w:t>
      </w:r>
      <w:proofErr w:type="spellEnd"/>
      <w:r w:rsidR="007D1C44">
        <w:rPr>
          <w:rFonts w:ascii="David" w:hAnsi="David" w:cs="David" w:hint="cs"/>
          <w:rtl/>
        </w:rPr>
        <w:t xml:space="preserve"> לאי-שוויון בהכנס</w:t>
      </w:r>
      <w:r w:rsidR="00C355EB">
        <w:rPr>
          <w:rFonts w:ascii="David" w:hAnsi="David" w:cs="David" w:hint="cs"/>
          <w:rtl/>
        </w:rPr>
        <w:t>ות</w:t>
      </w:r>
      <w:r w:rsidR="00C63A42">
        <w:rPr>
          <w:rFonts w:ascii="David" w:hAnsi="David" w:cs="David" w:hint="cs"/>
          <w:rtl/>
        </w:rPr>
        <w:t xml:space="preserve"> הכלכליות</w:t>
      </w:r>
      <w:r w:rsidR="00254AE0">
        <w:rPr>
          <w:rStyle w:val="ab"/>
          <w:rFonts w:ascii="David" w:hAnsi="David" w:cs="David"/>
          <w:rtl/>
        </w:rPr>
        <w:footnoteReference w:id="3"/>
      </w:r>
      <w:r w:rsidR="00C355EB">
        <w:rPr>
          <w:rFonts w:ascii="David" w:hAnsi="David" w:cs="David" w:hint="cs"/>
          <w:rtl/>
        </w:rPr>
        <w:t>,</w:t>
      </w:r>
      <w:r w:rsidR="00416050">
        <w:rPr>
          <w:rFonts w:ascii="David" w:hAnsi="David" w:cs="David" w:hint="cs"/>
          <w:rtl/>
        </w:rPr>
        <w:t xml:space="preserve"> </w:t>
      </w:r>
      <w:r w:rsidR="009C3A6F">
        <w:rPr>
          <w:rFonts w:ascii="David" w:hAnsi="David" w:cs="David" w:hint="cs"/>
          <w:rtl/>
        </w:rPr>
        <w:t xml:space="preserve">הינו </w:t>
      </w:r>
      <w:r w:rsidR="00521500">
        <w:rPr>
          <w:rFonts w:ascii="David" w:hAnsi="David" w:cs="David" w:hint="cs"/>
          <w:rtl/>
        </w:rPr>
        <w:t>בג</w:t>
      </w:r>
      <w:r w:rsidR="00E256F5">
        <w:rPr>
          <w:rFonts w:ascii="David" w:hAnsi="David" w:cs="David" w:hint="cs"/>
          <w:rtl/>
        </w:rPr>
        <w:t>ובה 0.</w:t>
      </w:r>
      <w:r w:rsidR="006F346D">
        <w:rPr>
          <w:rFonts w:ascii="David" w:hAnsi="David" w:cs="David" w:hint="cs"/>
          <w:rtl/>
        </w:rPr>
        <w:t>5066</w:t>
      </w:r>
      <w:r w:rsidR="0076155E">
        <w:rPr>
          <w:rFonts w:ascii="David" w:hAnsi="David" w:cs="David" w:hint="cs"/>
          <w:rtl/>
        </w:rPr>
        <w:t xml:space="preserve"> וישראל מ</w:t>
      </w:r>
      <w:r w:rsidR="00E53D44">
        <w:rPr>
          <w:rFonts w:ascii="David" w:hAnsi="David" w:cs="David" w:hint="cs"/>
          <w:rtl/>
        </w:rPr>
        <w:t xml:space="preserve">מוקמת בראש המדרג בין </w:t>
      </w:r>
      <w:r w:rsidR="000A0DEC">
        <w:rPr>
          <w:rFonts w:ascii="David" w:hAnsi="David" w:cs="David" w:hint="cs"/>
          <w:rtl/>
        </w:rPr>
        <w:t>מדינות ה-</w:t>
      </w:r>
      <w:r w:rsidR="000A0DEC">
        <w:rPr>
          <w:rFonts w:ascii="David" w:hAnsi="David" w:cs="David" w:hint="cs"/>
        </w:rPr>
        <w:t>OECD</w:t>
      </w:r>
      <w:r w:rsidR="00521500">
        <w:rPr>
          <w:rFonts w:ascii="David" w:hAnsi="David" w:cs="David" w:hint="cs"/>
          <w:rtl/>
        </w:rPr>
        <w:t xml:space="preserve"> בתחום זה</w:t>
      </w:r>
      <w:r w:rsidR="000C66D6">
        <w:rPr>
          <w:rFonts w:ascii="David" w:hAnsi="David" w:cs="David" w:hint="cs"/>
          <w:rtl/>
        </w:rPr>
        <w:t xml:space="preserve"> (</w:t>
      </w:r>
      <w:proofErr w:type="spellStart"/>
      <w:r w:rsidR="001F6AB7">
        <w:rPr>
          <w:rFonts w:ascii="David" w:hAnsi="David" w:cs="David" w:hint="cs"/>
          <w:rtl/>
        </w:rPr>
        <w:t>אנדבלד</w:t>
      </w:r>
      <w:proofErr w:type="spellEnd"/>
      <w:r w:rsidR="001F6AB7">
        <w:rPr>
          <w:rFonts w:ascii="David" w:hAnsi="David" w:cs="David" w:hint="cs"/>
          <w:rtl/>
        </w:rPr>
        <w:t>, 202</w:t>
      </w:r>
      <w:r w:rsidR="00BD744D">
        <w:rPr>
          <w:rFonts w:ascii="David" w:hAnsi="David" w:cs="David" w:hint="cs"/>
          <w:rtl/>
        </w:rPr>
        <w:t>3</w:t>
      </w:r>
      <w:r w:rsidR="001F6AB7">
        <w:rPr>
          <w:rFonts w:ascii="David" w:hAnsi="David" w:cs="David" w:hint="cs"/>
          <w:rtl/>
        </w:rPr>
        <w:t xml:space="preserve">; </w:t>
      </w:r>
      <w:r w:rsidR="001F6AB7">
        <w:rPr>
          <w:rFonts w:ascii="David" w:hAnsi="David" w:cs="David"/>
        </w:rPr>
        <w:t>OECD</w:t>
      </w:r>
      <w:r w:rsidR="001726E5">
        <w:rPr>
          <w:rFonts w:ascii="David" w:hAnsi="David" w:cs="David"/>
        </w:rPr>
        <w:t>, 2021</w:t>
      </w:r>
      <w:r w:rsidR="001726E5">
        <w:rPr>
          <w:rFonts w:ascii="David" w:hAnsi="David" w:cs="David" w:hint="cs"/>
          <w:rtl/>
        </w:rPr>
        <w:t>)</w:t>
      </w:r>
      <w:r w:rsidR="000A0DEC">
        <w:rPr>
          <w:rFonts w:ascii="David" w:hAnsi="David" w:cs="David" w:hint="cs"/>
          <w:rtl/>
        </w:rPr>
        <w:t>.</w:t>
      </w:r>
      <w:r w:rsidR="00724FA2">
        <w:rPr>
          <w:rFonts w:ascii="David" w:hAnsi="David" w:cs="David" w:hint="cs"/>
          <w:rtl/>
        </w:rPr>
        <w:t xml:space="preserve"> שיעור העוני בקרב נפשות בישראל (המוגדר כ-50% מחציון ההכנסה הפנויה</w:t>
      </w:r>
      <w:r w:rsidR="002B5034">
        <w:rPr>
          <w:rFonts w:ascii="David" w:hAnsi="David" w:cs="David" w:hint="cs"/>
          <w:rtl/>
        </w:rPr>
        <w:t xml:space="preserve"> לנפש</w:t>
      </w:r>
      <w:r w:rsidR="00724FA2">
        <w:rPr>
          <w:rFonts w:ascii="David" w:hAnsi="David" w:cs="David" w:hint="cs"/>
          <w:rtl/>
        </w:rPr>
        <w:t>)</w:t>
      </w:r>
      <w:r w:rsidR="002B5034">
        <w:rPr>
          <w:rFonts w:ascii="David" w:hAnsi="David" w:cs="David" w:hint="cs"/>
          <w:rtl/>
        </w:rPr>
        <w:t xml:space="preserve"> בישראל הינו</w:t>
      </w:r>
      <w:r w:rsidR="00521500">
        <w:rPr>
          <w:rFonts w:ascii="David" w:hAnsi="David" w:cs="David" w:hint="cs"/>
          <w:rtl/>
        </w:rPr>
        <w:t xml:space="preserve"> כמעט כפול מזה הקיים במדינות ה-</w:t>
      </w:r>
      <w:r w:rsidR="00521500">
        <w:rPr>
          <w:rFonts w:ascii="David" w:hAnsi="David" w:cs="David" w:hint="cs"/>
        </w:rPr>
        <w:t>OECD</w:t>
      </w:r>
      <w:r w:rsidR="00521500">
        <w:rPr>
          <w:rFonts w:ascii="David" w:hAnsi="David" w:cs="David" w:hint="cs"/>
          <w:rtl/>
        </w:rPr>
        <w:t xml:space="preserve"> -</w:t>
      </w:r>
      <w:r w:rsidR="002B5034">
        <w:rPr>
          <w:rFonts w:ascii="David" w:hAnsi="David" w:cs="David" w:hint="cs"/>
          <w:rtl/>
        </w:rPr>
        <w:t xml:space="preserve"> 19.8% </w:t>
      </w:r>
      <w:r w:rsidR="00521500">
        <w:rPr>
          <w:rFonts w:ascii="David" w:hAnsi="David" w:cs="David" w:hint="cs"/>
          <w:rtl/>
        </w:rPr>
        <w:t>לעומת 12.1%</w:t>
      </w:r>
      <w:r w:rsidR="002B5034">
        <w:rPr>
          <w:rFonts w:ascii="David" w:hAnsi="David" w:cs="David" w:hint="cs"/>
          <w:rtl/>
        </w:rPr>
        <w:t xml:space="preserve"> במדינות ה-</w:t>
      </w:r>
      <w:r w:rsidR="002B5034">
        <w:rPr>
          <w:rFonts w:ascii="David" w:hAnsi="David" w:cs="David" w:hint="cs"/>
        </w:rPr>
        <w:t>O</w:t>
      </w:r>
      <w:r w:rsidR="002B5034">
        <w:rPr>
          <w:rFonts w:ascii="David" w:hAnsi="David" w:cs="David"/>
        </w:rPr>
        <w:t>ECD</w:t>
      </w:r>
      <w:r w:rsidR="000A0DEC">
        <w:rPr>
          <w:rFonts w:ascii="David" w:hAnsi="David" w:cs="David" w:hint="cs"/>
          <w:rtl/>
        </w:rPr>
        <w:t xml:space="preserve"> </w:t>
      </w:r>
      <w:r w:rsidR="002B5034">
        <w:rPr>
          <w:rFonts w:ascii="David" w:hAnsi="David" w:cs="David" w:hint="cs"/>
          <w:rtl/>
        </w:rPr>
        <w:t xml:space="preserve">בממוצע </w:t>
      </w:r>
      <w:r w:rsidR="00231BF8">
        <w:rPr>
          <w:rFonts w:ascii="David" w:hAnsi="David" w:cs="David" w:hint="cs"/>
          <w:rtl/>
        </w:rPr>
        <w:t>ל</w:t>
      </w:r>
      <w:r w:rsidR="00FE66CD">
        <w:rPr>
          <w:rFonts w:ascii="David" w:hAnsi="David" w:cs="David" w:hint="cs"/>
          <w:rtl/>
        </w:rPr>
        <w:t>שנת 2021</w:t>
      </w:r>
      <w:r w:rsidR="00613640">
        <w:rPr>
          <w:rFonts w:ascii="David" w:hAnsi="David" w:cs="David" w:hint="cs"/>
          <w:rtl/>
        </w:rPr>
        <w:t>, ובקרב ילדים</w:t>
      </w:r>
      <w:r w:rsidR="009A59F4">
        <w:rPr>
          <w:rFonts w:ascii="David" w:hAnsi="David" w:cs="David" w:hint="cs"/>
          <w:rtl/>
        </w:rPr>
        <w:t xml:space="preserve"> המצויים בעוני בישראל</w:t>
      </w:r>
      <w:r w:rsidR="00613640">
        <w:rPr>
          <w:rFonts w:ascii="David" w:hAnsi="David" w:cs="David" w:hint="cs"/>
          <w:rtl/>
        </w:rPr>
        <w:t xml:space="preserve"> המצב חמור יותר </w:t>
      </w:r>
      <w:r w:rsidR="009A59F4">
        <w:rPr>
          <w:rFonts w:ascii="David" w:hAnsi="David" w:cs="David" w:hint="cs"/>
          <w:rtl/>
        </w:rPr>
        <w:t xml:space="preserve">23.4% לעומת </w:t>
      </w:r>
      <w:r w:rsidR="005A02F4">
        <w:rPr>
          <w:rFonts w:ascii="David" w:hAnsi="David" w:cs="David" w:hint="cs"/>
          <w:rtl/>
        </w:rPr>
        <w:t>13.4% במדינות ה-</w:t>
      </w:r>
      <w:r w:rsidR="005A02F4">
        <w:rPr>
          <w:rFonts w:ascii="David" w:hAnsi="David" w:cs="David" w:hint="cs"/>
        </w:rPr>
        <w:t>OECD</w:t>
      </w:r>
      <w:r w:rsidR="00FE66CD">
        <w:rPr>
          <w:rFonts w:ascii="David" w:hAnsi="David" w:cs="David" w:hint="cs"/>
          <w:rtl/>
        </w:rPr>
        <w:t xml:space="preserve">. </w:t>
      </w:r>
      <w:r w:rsidR="001422A4">
        <w:rPr>
          <w:rFonts w:ascii="David" w:hAnsi="David" w:cs="David" w:hint="cs"/>
          <w:rtl/>
        </w:rPr>
        <w:t xml:space="preserve">מדידת העוני כוללת גם </w:t>
      </w:r>
      <w:r w:rsidR="00180D50">
        <w:rPr>
          <w:rFonts w:ascii="David" w:hAnsi="David" w:cs="David" w:hint="cs"/>
          <w:rtl/>
        </w:rPr>
        <w:t>מדדים של "עומק העוני" וחומרת העוני (</w:t>
      </w:r>
      <w:r w:rsidR="00180D50">
        <w:rPr>
          <w:rFonts w:ascii="David" w:hAnsi="David" w:cs="David" w:hint="cs"/>
        </w:rPr>
        <w:t>FGT</w:t>
      </w:r>
      <w:r w:rsidR="00180D50">
        <w:rPr>
          <w:rFonts w:ascii="David" w:hAnsi="David" w:cs="David" w:hint="cs"/>
          <w:rtl/>
        </w:rPr>
        <w:t>)</w:t>
      </w:r>
      <w:r w:rsidR="00EF3708">
        <w:rPr>
          <w:rStyle w:val="ab"/>
          <w:rFonts w:ascii="David" w:hAnsi="David" w:cs="David"/>
          <w:rtl/>
        </w:rPr>
        <w:footnoteReference w:id="4"/>
      </w:r>
      <w:r w:rsidR="00CE731A">
        <w:rPr>
          <w:rFonts w:ascii="David" w:hAnsi="David" w:cs="David" w:hint="cs"/>
          <w:rtl/>
        </w:rPr>
        <w:t>,</w:t>
      </w:r>
      <w:r w:rsidR="003A14ED">
        <w:rPr>
          <w:rFonts w:ascii="David" w:hAnsi="David" w:cs="David" w:hint="cs"/>
          <w:rtl/>
        </w:rPr>
        <w:t xml:space="preserve"> המעידים על </w:t>
      </w:r>
      <w:r w:rsidR="00CE731A">
        <w:rPr>
          <w:rFonts w:ascii="David" w:hAnsi="David" w:cs="David" w:hint="cs"/>
          <w:rtl/>
        </w:rPr>
        <w:t>ירידה מתונה בהיקף המשפחות שנמצאות בעוני חמור</w:t>
      </w:r>
      <w:r w:rsidR="00181BCF">
        <w:rPr>
          <w:rFonts w:ascii="David" w:hAnsi="David" w:cs="David" w:hint="cs"/>
          <w:rtl/>
        </w:rPr>
        <w:t>, בעיקר בקרב האוכלוסייה הערבית בישראל</w:t>
      </w:r>
      <w:r w:rsidR="00CE731A">
        <w:rPr>
          <w:rFonts w:ascii="David" w:hAnsi="David" w:cs="David" w:hint="cs"/>
          <w:rtl/>
        </w:rPr>
        <w:t>.</w:t>
      </w:r>
      <w:r w:rsidR="0006654B">
        <w:rPr>
          <w:rFonts w:ascii="David" w:hAnsi="David" w:cs="David" w:hint="cs"/>
          <w:rtl/>
        </w:rPr>
        <w:t xml:space="preserve"> רמת ההכנסה של המשפחה ושל האם בפרט בעלת השפעה על רמת ההישגים של ילדיה (שי ושביט, 2022).</w:t>
      </w:r>
      <w:r w:rsidR="008D0A61">
        <w:rPr>
          <w:rFonts w:ascii="David" w:hAnsi="David" w:cs="David" w:hint="cs"/>
          <w:rtl/>
        </w:rPr>
        <w:t xml:space="preserve"> המצב החברתי-כלכלי של משפחות התלמידים משפיע </w:t>
      </w:r>
      <w:r w:rsidR="001C5B15">
        <w:rPr>
          <w:rFonts w:ascii="David" w:hAnsi="David" w:cs="David" w:hint="cs"/>
          <w:rtl/>
        </w:rPr>
        <w:t xml:space="preserve">גם על </w:t>
      </w:r>
      <w:r w:rsidR="0029532E">
        <w:rPr>
          <w:rFonts w:ascii="David" w:hAnsi="David" w:cs="David" w:hint="cs"/>
          <w:rtl/>
        </w:rPr>
        <w:t>רמת הישגיהם בלימודים (</w:t>
      </w:r>
      <w:proofErr w:type="spellStart"/>
      <w:r w:rsidR="001E7D83">
        <w:rPr>
          <w:rFonts w:ascii="David" w:hAnsi="David" w:cs="David" w:hint="cs"/>
          <w:rtl/>
        </w:rPr>
        <w:t>ראמ"ה</w:t>
      </w:r>
      <w:proofErr w:type="spellEnd"/>
      <w:r w:rsidR="001E7D83">
        <w:rPr>
          <w:rFonts w:ascii="David" w:hAnsi="David" w:cs="David" w:hint="cs"/>
          <w:rtl/>
        </w:rPr>
        <w:t xml:space="preserve">, 2018), </w:t>
      </w:r>
      <w:r w:rsidR="00754E58">
        <w:rPr>
          <w:rFonts w:ascii="David" w:hAnsi="David" w:cs="David" w:hint="cs"/>
          <w:rtl/>
        </w:rPr>
        <w:t>הסלל</w:t>
      </w:r>
      <w:r w:rsidR="001C5B15">
        <w:rPr>
          <w:rFonts w:ascii="David" w:hAnsi="David" w:cs="David" w:hint="cs"/>
          <w:rtl/>
        </w:rPr>
        <w:t>ת</w:t>
      </w:r>
      <w:r w:rsidR="00754E58">
        <w:rPr>
          <w:rFonts w:ascii="David" w:hAnsi="David" w:cs="David" w:hint="cs"/>
          <w:rtl/>
        </w:rPr>
        <w:t xml:space="preserve">ם למסלולי לימודים יוקרתיים או </w:t>
      </w:r>
      <w:r w:rsidR="00E65FF3">
        <w:rPr>
          <w:rFonts w:ascii="David" w:hAnsi="David" w:cs="David" w:hint="cs"/>
          <w:rtl/>
        </w:rPr>
        <w:t>מקצועיים, ה</w:t>
      </w:r>
      <w:r w:rsidR="00754E58">
        <w:rPr>
          <w:rFonts w:ascii="David" w:hAnsi="David" w:cs="David" w:hint="cs"/>
          <w:rtl/>
        </w:rPr>
        <w:t>פחות יוקרתיים</w:t>
      </w:r>
      <w:r w:rsidR="00E65FF3">
        <w:rPr>
          <w:rFonts w:ascii="David" w:hAnsi="David" w:cs="David" w:hint="cs"/>
          <w:rtl/>
        </w:rPr>
        <w:t>,</w:t>
      </w:r>
      <w:r w:rsidR="00754E58">
        <w:rPr>
          <w:rFonts w:ascii="David" w:hAnsi="David" w:cs="David" w:hint="cs"/>
          <w:rtl/>
        </w:rPr>
        <w:t xml:space="preserve"> </w:t>
      </w:r>
      <w:r w:rsidR="0076296D">
        <w:rPr>
          <w:rFonts w:ascii="David" w:hAnsi="David" w:cs="David" w:hint="cs"/>
          <w:rtl/>
        </w:rPr>
        <w:t>ו</w:t>
      </w:r>
      <w:r w:rsidR="00E65FF3">
        <w:rPr>
          <w:rFonts w:ascii="David" w:hAnsi="David" w:cs="David" w:hint="cs"/>
          <w:rtl/>
        </w:rPr>
        <w:t xml:space="preserve">על </w:t>
      </w:r>
      <w:r w:rsidR="0076296D">
        <w:rPr>
          <w:rFonts w:ascii="David" w:hAnsi="David" w:cs="David" w:hint="cs"/>
          <w:rtl/>
        </w:rPr>
        <w:t>סיכויי השתלבותם בלימודים במוסדות להשכלה גבוהה (</w:t>
      </w:r>
      <w:r w:rsidR="00F56D00">
        <w:rPr>
          <w:rFonts w:ascii="David" w:hAnsi="David" w:cs="David" w:hint="cs"/>
          <w:rtl/>
        </w:rPr>
        <w:t xml:space="preserve">בר-חיים </w:t>
      </w:r>
      <w:proofErr w:type="spellStart"/>
      <w:r w:rsidR="00F56D00">
        <w:rPr>
          <w:rFonts w:ascii="David" w:hAnsi="David" w:cs="David" w:hint="cs"/>
          <w:rtl/>
        </w:rPr>
        <w:t>ופרינגר</w:t>
      </w:r>
      <w:proofErr w:type="spellEnd"/>
      <w:r w:rsidR="00F56D00">
        <w:rPr>
          <w:rFonts w:ascii="David" w:hAnsi="David" w:cs="David" w:hint="cs"/>
          <w:rtl/>
        </w:rPr>
        <w:t xml:space="preserve">, 2022). </w:t>
      </w:r>
      <w:r w:rsidR="00CE731A">
        <w:rPr>
          <w:rFonts w:ascii="David" w:hAnsi="David" w:cs="David" w:hint="cs"/>
          <w:rtl/>
        </w:rPr>
        <w:t xml:space="preserve"> </w:t>
      </w:r>
    </w:p>
    <w:p w14:paraId="459F727E" w14:textId="636B8480" w:rsidR="004F2E1E" w:rsidRDefault="006B6326" w:rsidP="00724FA2">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בשנים האחרונות עולה המודעות לאי שוויון כלכלי נוסף </w:t>
      </w:r>
      <w:r>
        <w:rPr>
          <w:rFonts w:ascii="David" w:hAnsi="David" w:cs="David"/>
          <w:rtl/>
        </w:rPr>
        <w:t>–</w:t>
      </w:r>
      <w:r>
        <w:rPr>
          <w:rFonts w:ascii="David" w:hAnsi="David" w:cs="David" w:hint="cs"/>
          <w:rtl/>
        </w:rPr>
        <w:t xml:space="preserve"> </w:t>
      </w:r>
      <w:r w:rsidR="009E2AE9">
        <w:rPr>
          <w:rFonts w:ascii="David" w:hAnsi="David" w:cs="David" w:hint="cs"/>
          <w:rtl/>
        </w:rPr>
        <w:t>המתבטא</w:t>
      </w:r>
      <w:r>
        <w:rPr>
          <w:rFonts w:ascii="David" w:hAnsi="David" w:cs="David" w:hint="cs"/>
          <w:rtl/>
        </w:rPr>
        <w:t xml:space="preserve"> </w:t>
      </w:r>
      <w:r w:rsidR="009E2AE9">
        <w:rPr>
          <w:rFonts w:ascii="David" w:hAnsi="David" w:cs="David" w:hint="cs"/>
          <w:rtl/>
        </w:rPr>
        <w:t>ב</w:t>
      </w:r>
      <w:r w:rsidRPr="00F5638F">
        <w:rPr>
          <w:rFonts w:ascii="David" w:hAnsi="David" w:cs="David" w:hint="cs"/>
          <w:b/>
          <w:bCs/>
          <w:rtl/>
        </w:rPr>
        <w:t>שחיקת מעמד הביניים</w:t>
      </w:r>
      <w:r>
        <w:rPr>
          <w:rFonts w:ascii="David" w:hAnsi="David" w:cs="David" w:hint="cs"/>
          <w:rtl/>
        </w:rPr>
        <w:t xml:space="preserve">. </w:t>
      </w:r>
      <w:r w:rsidR="00166861">
        <w:rPr>
          <w:rFonts w:ascii="David" w:hAnsi="David" w:cs="David" w:hint="cs"/>
          <w:rtl/>
        </w:rPr>
        <w:t xml:space="preserve">עם מעמד הביניים יימנו משקי בית אשר הכנסתם בין </w:t>
      </w:r>
      <w:r w:rsidR="00A17FD4">
        <w:rPr>
          <w:rFonts w:ascii="David" w:hAnsi="David" w:cs="David" w:hint="cs"/>
          <w:rtl/>
        </w:rPr>
        <w:t xml:space="preserve">75% - 200% מההכנסה החציונית לנפש והוא מתחלק למעמד ביניים </w:t>
      </w:r>
      <w:r w:rsidR="007C5FE6">
        <w:rPr>
          <w:rFonts w:ascii="David" w:hAnsi="David" w:cs="David" w:hint="cs"/>
          <w:rtl/>
        </w:rPr>
        <w:t>נמוך</w:t>
      </w:r>
      <w:r w:rsidR="00A17FD4">
        <w:rPr>
          <w:rFonts w:ascii="David" w:hAnsi="David" w:cs="David" w:hint="cs"/>
          <w:rtl/>
        </w:rPr>
        <w:t xml:space="preserve"> </w:t>
      </w:r>
      <w:r w:rsidR="005A185A">
        <w:rPr>
          <w:rFonts w:ascii="David" w:hAnsi="David" w:cs="David" w:hint="cs"/>
          <w:rtl/>
        </w:rPr>
        <w:t xml:space="preserve">(בעלי הכנסה של 75% - 125% מההכנסה החציונית לנפש) ומעמד ביניים גבוה (בעלי הכנסה </w:t>
      </w:r>
      <w:r w:rsidR="000D620E">
        <w:rPr>
          <w:rFonts w:ascii="David" w:hAnsi="David" w:cs="David" w:hint="cs"/>
          <w:rtl/>
        </w:rPr>
        <w:t xml:space="preserve">של 125% - 200% מההכנסה החציונית לנפש). </w:t>
      </w:r>
      <w:r w:rsidR="008857C9">
        <w:rPr>
          <w:rFonts w:ascii="David" w:hAnsi="David" w:cs="David" w:hint="cs"/>
          <w:rtl/>
        </w:rPr>
        <w:t>שינויים במעמד הביניים עשויים ללמד על ניידות חברתית-כלכלית בחברה</w:t>
      </w:r>
      <w:r w:rsidR="002B75B3">
        <w:rPr>
          <w:rFonts w:ascii="David" w:hAnsi="David" w:cs="David" w:hint="cs"/>
          <w:rtl/>
        </w:rPr>
        <w:t xml:space="preserve"> (</w:t>
      </w:r>
      <w:r w:rsidR="00995CBC">
        <w:rPr>
          <w:rFonts w:ascii="David" w:hAnsi="David" w:cs="David" w:hint="cs"/>
          <w:rtl/>
        </w:rPr>
        <w:t xml:space="preserve">שבע, </w:t>
      </w:r>
      <w:r w:rsidR="00097317">
        <w:rPr>
          <w:rFonts w:ascii="David" w:hAnsi="David" w:cs="David" w:hint="cs"/>
          <w:rtl/>
        </w:rPr>
        <w:t>2021</w:t>
      </w:r>
      <w:r w:rsidR="002B75B3">
        <w:rPr>
          <w:rFonts w:ascii="David" w:hAnsi="David" w:cs="David" w:hint="cs"/>
          <w:rtl/>
        </w:rPr>
        <w:t xml:space="preserve">). </w:t>
      </w:r>
      <w:r w:rsidR="008C7C81">
        <w:rPr>
          <w:rFonts w:ascii="David" w:hAnsi="David" w:cs="David" w:hint="cs"/>
          <w:rtl/>
        </w:rPr>
        <w:t xml:space="preserve">מעמד ביניים רחב </w:t>
      </w:r>
      <w:r w:rsidR="00C90121">
        <w:rPr>
          <w:rFonts w:ascii="David" w:hAnsi="David" w:cs="David" w:hint="cs"/>
          <w:rtl/>
        </w:rPr>
        <w:t xml:space="preserve">עשוי להעיד על </w:t>
      </w:r>
      <w:r w:rsidR="00C90121">
        <w:rPr>
          <w:rFonts w:ascii="David" w:hAnsi="David" w:cs="David" w:hint="cs"/>
          <w:rtl/>
        </w:rPr>
        <w:lastRenderedPageBreak/>
        <w:t>חברה שוויונית יחסית ואילו מעמד ביניים צר עשוי להעיד על חברה מקוטבת</w:t>
      </w:r>
      <w:r w:rsidR="002716C8">
        <w:rPr>
          <w:rFonts w:ascii="David" w:hAnsi="David" w:cs="David" w:hint="cs"/>
          <w:rtl/>
        </w:rPr>
        <w:t xml:space="preserve">. </w:t>
      </w:r>
      <w:r w:rsidR="009C3A6F">
        <w:rPr>
          <w:rFonts w:ascii="David" w:hAnsi="David" w:cs="David" w:hint="cs"/>
          <w:rtl/>
        </w:rPr>
        <w:t xml:space="preserve">מדוח בנק ישראל </w:t>
      </w:r>
      <w:r w:rsidR="003A1416">
        <w:rPr>
          <w:rFonts w:ascii="David" w:hAnsi="David" w:cs="David" w:hint="cs"/>
          <w:rtl/>
        </w:rPr>
        <w:t>(ירון, 2020)</w:t>
      </w:r>
      <w:r w:rsidR="00BA52B3">
        <w:rPr>
          <w:rFonts w:ascii="David" w:hAnsi="David" w:cs="David" w:hint="cs"/>
          <w:rtl/>
        </w:rPr>
        <w:t xml:space="preserve"> עולה כי </w:t>
      </w:r>
      <w:r w:rsidR="00C943DF">
        <w:rPr>
          <w:rFonts w:ascii="David" w:hAnsi="David" w:cs="David" w:hint="cs"/>
          <w:rtl/>
        </w:rPr>
        <w:t>שיעור היהודים הלא חרדים המשתייכים למעמד הביניים הנמוך והגבוה הוא 35.2% ו-</w:t>
      </w:r>
      <w:r w:rsidR="00D46830">
        <w:rPr>
          <w:rFonts w:ascii="David" w:hAnsi="David" w:cs="David" w:hint="cs"/>
          <w:rtl/>
        </w:rPr>
        <w:t xml:space="preserve">29.3% בהתאמה. לעומת זאת, בקרב האוכלוסייה הערבית בישראל שיעורי אלו נמוכים יותר </w:t>
      </w:r>
      <w:r w:rsidR="00D877D8">
        <w:rPr>
          <w:rFonts w:ascii="David" w:hAnsi="David" w:cs="David"/>
          <w:rtl/>
        </w:rPr>
        <w:t>–</w:t>
      </w:r>
      <w:r w:rsidR="00D46830">
        <w:rPr>
          <w:rFonts w:ascii="David" w:hAnsi="David" w:cs="David" w:hint="cs"/>
          <w:rtl/>
        </w:rPr>
        <w:t xml:space="preserve"> </w:t>
      </w:r>
      <w:r w:rsidR="00D877D8">
        <w:rPr>
          <w:rFonts w:ascii="David" w:hAnsi="David" w:cs="David" w:hint="cs"/>
          <w:rtl/>
        </w:rPr>
        <w:t>22.6% משתייכים למעמד הבינוני-נמוך ו-6% למעמד הבינוני-גבוה</w:t>
      </w:r>
      <w:r w:rsidR="003A1416">
        <w:rPr>
          <w:rFonts w:ascii="David" w:hAnsi="David" w:cs="David" w:hint="cs"/>
          <w:rtl/>
        </w:rPr>
        <w:t>.</w:t>
      </w:r>
      <w:r w:rsidR="00924428">
        <w:rPr>
          <w:rFonts w:ascii="David" w:hAnsi="David" w:cs="David" w:hint="cs"/>
          <w:rtl/>
        </w:rPr>
        <w:t xml:space="preserve"> </w:t>
      </w:r>
      <w:r w:rsidR="00151A6B">
        <w:rPr>
          <w:rFonts w:ascii="David" w:hAnsi="David" w:cs="David" w:hint="cs"/>
          <w:rtl/>
        </w:rPr>
        <w:t xml:space="preserve">אחד ההסברים להבדלים אלו הוא כי </w:t>
      </w:r>
      <w:r w:rsidR="00E377E9">
        <w:rPr>
          <w:rFonts w:ascii="David" w:hAnsi="David" w:cs="David" w:hint="cs"/>
          <w:rtl/>
        </w:rPr>
        <w:t xml:space="preserve">משקי הבית הערביים </w:t>
      </w:r>
      <w:r w:rsidR="00151A6B">
        <w:rPr>
          <w:rFonts w:ascii="David" w:hAnsi="David" w:cs="David" w:hint="cs"/>
          <w:rtl/>
        </w:rPr>
        <w:t>ו</w:t>
      </w:r>
      <w:r w:rsidR="00E377E9">
        <w:rPr>
          <w:rFonts w:ascii="David" w:hAnsi="David" w:cs="David" w:hint="cs"/>
          <w:rtl/>
        </w:rPr>
        <w:t>היהודיים</w:t>
      </w:r>
      <w:r w:rsidR="00151A6B">
        <w:rPr>
          <w:rFonts w:ascii="David" w:hAnsi="David" w:cs="David" w:hint="cs"/>
          <w:rtl/>
        </w:rPr>
        <w:t xml:space="preserve"> המשתייכים למעמד הביניים נבדלים זה מזה ברמת ההשכלה, </w:t>
      </w:r>
      <w:r w:rsidR="00E7358F">
        <w:rPr>
          <w:rFonts w:ascii="David" w:hAnsi="David" w:cs="David" w:hint="cs"/>
          <w:rtl/>
        </w:rPr>
        <w:t xml:space="preserve">בשיעורי ההשתלבות בשוק העבודה ובסוג משלחי היד בהם עוסקים. </w:t>
      </w:r>
      <w:r w:rsidR="00B402E7">
        <w:rPr>
          <w:rFonts w:ascii="David" w:hAnsi="David" w:cs="David" w:hint="cs"/>
          <w:rtl/>
        </w:rPr>
        <w:t xml:space="preserve">כתוצאה מכך נבדלים משקי הבית הערביים ממשקי הבית היהודיים השייכים למעמד הביניים </w:t>
      </w:r>
      <w:r w:rsidR="00460463">
        <w:rPr>
          <w:rFonts w:ascii="David" w:hAnsi="David" w:cs="David" w:hint="cs"/>
          <w:rtl/>
        </w:rPr>
        <w:t xml:space="preserve">בהרכב הוצאות הצריכה שלהם </w:t>
      </w:r>
      <w:r w:rsidR="00602B11">
        <w:rPr>
          <w:rFonts w:ascii="David" w:hAnsi="David" w:cs="David"/>
          <w:rtl/>
        </w:rPr>
        <w:t>–</w:t>
      </w:r>
      <w:r w:rsidR="00460463">
        <w:rPr>
          <w:rFonts w:ascii="David" w:hAnsi="David" w:cs="David" w:hint="cs"/>
          <w:rtl/>
        </w:rPr>
        <w:t xml:space="preserve"> </w:t>
      </w:r>
      <w:r w:rsidR="00602B11">
        <w:rPr>
          <w:rFonts w:ascii="David" w:hAnsi="David" w:cs="David" w:hint="cs"/>
          <w:rtl/>
        </w:rPr>
        <w:t xml:space="preserve">בהוצאות על בריאות, חינוך ותרבות ואף בתחומים של מזון ותחבורה. </w:t>
      </w:r>
      <w:r w:rsidR="002D789F">
        <w:rPr>
          <w:rFonts w:ascii="David" w:hAnsi="David" w:cs="David" w:hint="cs"/>
          <w:rtl/>
        </w:rPr>
        <w:t>מעמד הביניים בחברה הערבית</w:t>
      </w:r>
      <w:r w:rsidR="007072A0">
        <w:rPr>
          <w:rFonts w:ascii="David" w:hAnsi="David" w:cs="David" w:hint="cs"/>
          <w:rtl/>
        </w:rPr>
        <w:t xml:space="preserve"> משתלב</w:t>
      </w:r>
      <w:r w:rsidR="002D789F">
        <w:rPr>
          <w:rFonts w:ascii="David" w:hAnsi="David" w:cs="David" w:hint="cs"/>
          <w:rtl/>
        </w:rPr>
        <w:t xml:space="preserve"> בהובלת השלטון המקומי ביישובים הערביים ויתכן שהדבר יוביל לצמצום הפערים בינו לבין האוכלוסייה היהודית הלא-חרדית</w:t>
      </w:r>
      <w:r w:rsidR="006A7342">
        <w:rPr>
          <w:rFonts w:ascii="David" w:hAnsi="David" w:cs="David" w:hint="cs"/>
          <w:rtl/>
        </w:rPr>
        <w:t xml:space="preserve"> (ירון, 2020)</w:t>
      </w:r>
      <w:r w:rsidR="002D789F">
        <w:rPr>
          <w:rFonts w:ascii="David" w:hAnsi="David" w:cs="David" w:hint="cs"/>
          <w:rtl/>
        </w:rPr>
        <w:t xml:space="preserve">. </w:t>
      </w:r>
    </w:p>
    <w:p w14:paraId="176D1059" w14:textId="29237EDE" w:rsidR="00D54994" w:rsidRPr="00B661EF" w:rsidRDefault="00D54994" w:rsidP="00D54994">
      <w:pPr>
        <w:pStyle w:val="NormalWeb"/>
        <w:bidi/>
        <w:spacing w:before="120" w:beforeAutospacing="0" w:after="120" w:afterAutospacing="0" w:line="312" w:lineRule="auto"/>
        <w:jc w:val="both"/>
        <w:textAlignment w:val="baseline"/>
        <w:rPr>
          <w:rFonts w:ascii="David" w:hAnsi="David" w:cs="David"/>
          <w:color w:val="4472C4" w:themeColor="accent1"/>
          <w:sz w:val="28"/>
          <w:szCs w:val="28"/>
          <w:rtl/>
        </w:rPr>
      </w:pPr>
      <w:r w:rsidRPr="00B661EF">
        <w:rPr>
          <w:rFonts w:ascii="David" w:hAnsi="David" w:cs="David" w:hint="cs"/>
          <w:color w:val="4472C4" w:themeColor="accent1"/>
          <w:sz w:val="28"/>
          <w:szCs w:val="28"/>
          <w:rtl/>
        </w:rPr>
        <w:t xml:space="preserve">אי שוויון בדיור </w:t>
      </w:r>
    </w:p>
    <w:p w14:paraId="3FD10E87" w14:textId="77777777" w:rsidR="005C70F4" w:rsidRDefault="009159EC" w:rsidP="00226634">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w:t>
      </w:r>
      <w:proofErr w:type="spellStart"/>
      <w:r>
        <w:rPr>
          <w:rFonts w:ascii="David" w:hAnsi="David" w:cs="David" w:hint="cs"/>
          <w:rtl/>
        </w:rPr>
        <w:t>נשיגות</w:t>
      </w:r>
      <w:proofErr w:type="spellEnd"/>
      <w:r>
        <w:rPr>
          <w:rFonts w:ascii="David" w:hAnsi="David" w:cs="David" w:hint="cs"/>
          <w:rtl/>
        </w:rPr>
        <w:t xml:space="preserve"> דיור" היא היכולת של הפרט להשיג קורת גג איכותית, יציבה ובמחיר הולם להכנסתו</w:t>
      </w:r>
      <w:r w:rsidR="008E61C2">
        <w:rPr>
          <w:rFonts w:ascii="David" w:hAnsi="David" w:cs="David" w:hint="cs"/>
          <w:rtl/>
        </w:rPr>
        <w:t xml:space="preserve"> (חסון ואחרים, 2023)</w:t>
      </w:r>
      <w:r>
        <w:rPr>
          <w:rFonts w:ascii="David" w:hAnsi="David" w:cs="David" w:hint="cs"/>
          <w:rtl/>
        </w:rPr>
        <w:t xml:space="preserve">. </w:t>
      </w:r>
      <w:r w:rsidR="00A03B6D" w:rsidRPr="00D54994">
        <w:rPr>
          <w:rFonts w:ascii="David" w:hAnsi="David" w:cs="David" w:hint="cs"/>
          <w:rtl/>
        </w:rPr>
        <w:t>אח</w:t>
      </w:r>
      <w:r w:rsidR="004F7996" w:rsidRPr="00D54994">
        <w:rPr>
          <w:rFonts w:ascii="David" w:hAnsi="David" w:cs="David" w:hint="cs"/>
          <w:rtl/>
        </w:rPr>
        <w:t>ת התוצאות של אי שוויון כלכלי הוא אי שוויון בדיור, כלומר הפער באיכות הדיור הזמין לחלקים</w:t>
      </w:r>
      <w:r w:rsidR="004F7996">
        <w:rPr>
          <w:rFonts w:ascii="David" w:hAnsi="David" w:cs="David" w:hint="cs"/>
          <w:rtl/>
        </w:rPr>
        <w:t xml:space="preserve"> שונים בחברה</w:t>
      </w:r>
      <w:r w:rsidR="00C63195">
        <w:rPr>
          <w:rFonts w:ascii="David" w:hAnsi="David" w:cs="David" w:hint="cs"/>
          <w:rtl/>
        </w:rPr>
        <w:t xml:space="preserve">. </w:t>
      </w:r>
      <w:r w:rsidR="00FF75DF">
        <w:rPr>
          <w:rFonts w:ascii="David" w:hAnsi="David" w:cs="David" w:hint="cs"/>
          <w:rtl/>
        </w:rPr>
        <w:t xml:space="preserve">בישראל רוב התושבים מתגוררים בדירה בבעלותם </w:t>
      </w:r>
      <w:r w:rsidR="00FF75DF">
        <w:rPr>
          <w:rFonts w:ascii="David" w:hAnsi="David" w:cs="David"/>
          <w:rtl/>
        </w:rPr>
        <w:t>–</w:t>
      </w:r>
      <w:r w:rsidR="00FF75DF">
        <w:rPr>
          <w:rFonts w:ascii="David" w:hAnsi="David" w:cs="David" w:hint="cs"/>
          <w:rtl/>
        </w:rPr>
        <w:t xml:space="preserve"> 66% מהאוכלוסייה היהודית ו-</w:t>
      </w:r>
      <w:r w:rsidR="002555C6">
        <w:rPr>
          <w:rFonts w:ascii="David" w:hAnsi="David" w:cs="David" w:hint="cs"/>
          <w:rtl/>
        </w:rPr>
        <w:t xml:space="preserve">76% מהאוכלוסייה הערבית ושיעורים נמוכים יותר מתגוררים בשכירות </w:t>
      </w:r>
      <w:r w:rsidR="002555C6">
        <w:rPr>
          <w:rFonts w:ascii="David" w:hAnsi="David" w:cs="David"/>
          <w:rtl/>
        </w:rPr>
        <w:t>–</w:t>
      </w:r>
      <w:r w:rsidR="002555C6">
        <w:rPr>
          <w:rFonts w:ascii="David" w:hAnsi="David" w:cs="David" w:hint="cs"/>
          <w:rtl/>
        </w:rPr>
        <w:t xml:space="preserve"> 30% מהאוכלוסייה היהודית ו-12% מהאוכלוסייה הערבית</w:t>
      </w:r>
      <w:r w:rsidR="00DD70A6">
        <w:rPr>
          <w:rFonts w:ascii="David" w:hAnsi="David" w:cs="David" w:hint="cs"/>
          <w:rtl/>
        </w:rPr>
        <w:t xml:space="preserve"> </w:t>
      </w:r>
      <w:r w:rsidR="001C3E8E">
        <w:rPr>
          <w:rFonts w:ascii="David" w:hAnsi="David" w:cs="David" w:hint="cs"/>
          <w:rtl/>
        </w:rPr>
        <w:t>(</w:t>
      </w:r>
      <w:proofErr w:type="spellStart"/>
      <w:r w:rsidR="001C3E8E">
        <w:rPr>
          <w:rFonts w:ascii="David" w:hAnsi="David" w:cs="David" w:hint="cs"/>
          <w:rtl/>
        </w:rPr>
        <w:t>קופראק</w:t>
      </w:r>
      <w:proofErr w:type="spellEnd"/>
      <w:r w:rsidR="001C3E8E">
        <w:rPr>
          <w:rFonts w:ascii="David" w:hAnsi="David" w:cs="David" w:hint="cs"/>
          <w:rtl/>
        </w:rPr>
        <w:t>, 2020)</w:t>
      </w:r>
      <w:r w:rsidR="002555C6">
        <w:rPr>
          <w:rFonts w:ascii="David" w:hAnsi="David" w:cs="David" w:hint="cs"/>
          <w:rtl/>
        </w:rPr>
        <w:t xml:space="preserve">. </w:t>
      </w:r>
    </w:p>
    <w:p w14:paraId="67BDBDB0" w14:textId="1E381218" w:rsidR="00742FFB" w:rsidRDefault="0036488E" w:rsidP="007036B3">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היכולת ל</w:t>
      </w:r>
      <w:r w:rsidRPr="0036488E">
        <w:rPr>
          <w:rFonts w:ascii="David" w:hAnsi="David" w:cs="David" w:hint="cs"/>
          <w:b/>
          <w:bCs/>
          <w:rtl/>
        </w:rPr>
        <w:t xml:space="preserve">רכישת דירה בישראל </w:t>
      </w:r>
      <w:r w:rsidR="00742FFB">
        <w:rPr>
          <w:rFonts w:ascii="David" w:hAnsi="David" w:cs="David" w:hint="cs"/>
          <w:rtl/>
        </w:rPr>
        <w:t>בשנים האחרונות</w:t>
      </w:r>
      <w:r w:rsidR="00807884">
        <w:rPr>
          <w:rFonts w:ascii="David" w:hAnsi="David" w:cs="David" w:hint="cs"/>
          <w:rtl/>
        </w:rPr>
        <w:t xml:space="preserve"> נשחקה בשל מגמת התייקרות מתמשכת במחירי הדיור, כאשר השכר לא עלה בהתאם</w:t>
      </w:r>
      <w:r w:rsidR="00226634">
        <w:rPr>
          <w:rFonts w:ascii="David" w:hAnsi="David" w:cs="David" w:hint="cs"/>
          <w:rtl/>
        </w:rPr>
        <w:t xml:space="preserve"> (</w:t>
      </w:r>
      <w:r w:rsidR="00F76C52">
        <w:rPr>
          <w:rFonts w:ascii="David" w:hAnsi="David" w:cs="David" w:hint="cs"/>
          <w:rtl/>
        </w:rPr>
        <w:t xml:space="preserve">בן-שחר ואחרים, </w:t>
      </w:r>
      <w:r w:rsidR="00894E6C">
        <w:rPr>
          <w:rFonts w:ascii="David" w:hAnsi="David" w:cs="David" w:hint="cs"/>
          <w:rtl/>
        </w:rPr>
        <w:t xml:space="preserve">2016; </w:t>
      </w:r>
      <w:r w:rsidR="00226634">
        <w:rPr>
          <w:rFonts w:ascii="David" w:hAnsi="David" w:cs="David" w:hint="cs"/>
          <w:rtl/>
        </w:rPr>
        <w:t xml:space="preserve">חסון ואחרים, </w:t>
      </w:r>
      <w:r w:rsidR="00D324E1">
        <w:rPr>
          <w:rFonts w:ascii="David" w:hAnsi="David" w:cs="David" w:hint="cs"/>
          <w:rtl/>
        </w:rPr>
        <w:t>2023)</w:t>
      </w:r>
      <w:r w:rsidR="00807884">
        <w:rPr>
          <w:rFonts w:ascii="David" w:hAnsi="David" w:cs="David" w:hint="cs"/>
          <w:rtl/>
        </w:rPr>
        <w:t xml:space="preserve">. </w:t>
      </w:r>
      <w:r w:rsidR="00226634">
        <w:rPr>
          <w:rFonts w:ascii="David" w:hAnsi="David" w:cs="David" w:hint="cs"/>
          <w:rtl/>
        </w:rPr>
        <w:t xml:space="preserve">בעקבות זאת </w:t>
      </w:r>
      <w:r w:rsidR="00742FFB">
        <w:rPr>
          <w:rFonts w:ascii="David" w:hAnsi="David" w:cs="David" w:hint="cs"/>
          <w:rtl/>
        </w:rPr>
        <w:t xml:space="preserve">מגמת </w:t>
      </w:r>
      <w:r w:rsidR="00742FFB" w:rsidRPr="0036488E">
        <w:rPr>
          <w:rFonts w:ascii="David" w:hAnsi="David" w:cs="David" w:hint="cs"/>
          <w:b/>
          <w:bCs/>
          <w:rtl/>
        </w:rPr>
        <w:t>הדיור בשכירות</w:t>
      </w:r>
      <w:r w:rsidR="00742FFB">
        <w:rPr>
          <w:rFonts w:ascii="David" w:hAnsi="David" w:cs="David" w:hint="cs"/>
          <w:rtl/>
        </w:rPr>
        <w:t xml:space="preserve"> הולכת ומתרחבת (הופמן-דישון, 2018). מנתוני הלשכה המרכזית לסטטיסטיקה עולה כי בעוד שבשנת 1997 פחות מ-20% מהזוגות הנשואים הצעירים (בני 39-30) התגוררו בשכירות, בשנת 2015 נתון זה עלה ל-32%. בניגוד למדינות רבות במערב שבהן קיימת אפשרות רחבה ל</w:t>
      </w:r>
      <w:r w:rsidR="00742FFB" w:rsidRPr="0036488E">
        <w:rPr>
          <w:rFonts w:ascii="David" w:hAnsi="David" w:cs="David" w:hint="cs"/>
          <w:b/>
          <w:bCs/>
          <w:rtl/>
        </w:rPr>
        <w:t>דיור ציבורי</w:t>
      </w:r>
      <w:r w:rsidR="00742FFB">
        <w:rPr>
          <w:rFonts w:ascii="David" w:hAnsi="David" w:cs="David" w:hint="cs"/>
          <w:rtl/>
        </w:rPr>
        <w:t>, בישראל</w:t>
      </w:r>
      <w:r w:rsidR="002E1CE9">
        <w:rPr>
          <w:rFonts w:ascii="David" w:hAnsi="David" w:cs="David" w:hint="cs"/>
          <w:rtl/>
        </w:rPr>
        <w:t xml:space="preserve"> בעקבות מכירת הדירות הציבוריות ללא השקעה בבניית דירות ציבוריות חדשות,</w:t>
      </w:r>
      <w:r w:rsidR="00742FFB">
        <w:rPr>
          <w:rFonts w:ascii="David" w:hAnsi="David" w:cs="David" w:hint="cs"/>
          <w:rtl/>
        </w:rPr>
        <w:t xml:space="preserve"> השוכרים נאלצים ברוב המקרים לשכור דירה באופן פרטי (הופמן-דישון, 2018). </w:t>
      </w:r>
      <w:r w:rsidR="005E4DF4">
        <w:rPr>
          <w:rFonts w:ascii="David" w:hAnsi="David" w:cs="David" w:hint="cs"/>
          <w:rtl/>
        </w:rPr>
        <w:t>בשנים האחרונות מסלול הסיוע בשכר דירה הפך למסלול הסיוע העיקרי בתחום הדיור</w:t>
      </w:r>
      <w:r w:rsidR="00FD4B0E">
        <w:rPr>
          <w:rFonts w:ascii="David" w:hAnsi="David" w:cs="David" w:hint="cs"/>
          <w:rtl/>
        </w:rPr>
        <w:t>. מסלול זה אינו מתוקצב דיו וגובה הסיוע אינו מאפשר השגת קורת גג יציבה.</w:t>
      </w:r>
      <w:r w:rsidR="00085320">
        <w:rPr>
          <w:rFonts w:ascii="David" w:hAnsi="David" w:cs="David" w:hint="cs"/>
          <w:rtl/>
        </w:rPr>
        <w:t xml:space="preserve"> מציאות המביאה לחיים בסכנת פינוי ומעברים תכופים בין דירות</w:t>
      </w:r>
      <w:r w:rsidR="003961F2">
        <w:rPr>
          <w:rFonts w:ascii="David" w:hAnsi="David" w:cs="David" w:hint="cs"/>
          <w:rtl/>
        </w:rPr>
        <w:t xml:space="preserve"> (חסון ואחרים, 2023)</w:t>
      </w:r>
      <w:r w:rsidR="00085320">
        <w:rPr>
          <w:rFonts w:ascii="David" w:hAnsi="David" w:cs="David" w:hint="cs"/>
          <w:rtl/>
        </w:rPr>
        <w:t xml:space="preserve">. </w:t>
      </w:r>
      <w:r w:rsidR="005C70F4">
        <w:rPr>
          <w:rFonts w:ascii="David" w:hAnsi="David" w:cs="David" w:hint="cs"/>
          <w:rtl/>
        </w:rPr>
        <w:t xml:space="preserve">בשל </w:t>
      </w:r>
      <w:r w:rsidR="00701262">
        <w:rPr>
          <w:rFonts w:ascii="David" w:hAnsi="David" w:cs="David" w:hint="cs"/>
          <w:rtl/>
        </w:rPr>
        <w:t xml:space="preserve">העדר תנאים מגינים לשוכרים בשוק הפרטי ולנוכח מחסור </w:t>
      </w:r>
      <w:r w:rsidR="0074184D">
        <w:rPr>
          <w:rFonts w:ascii="David" w:hAnsi="David" w:cs="David" w:hint="cs"/>
          <w:rtl/>
        </w:rPr>
        <w:t xml:space="preserve">בדירות בדיור הציבורי, הולך וגדל שיעורם של </w:t>
      </w:r>
      <w:r w:rsidR="0074184D" w:rsidRPr="00453757">
        <w:rPr>
          <w:rFonts w:ascii="David" w:hAnsi="David" w:cs="David" w:hint="cs"/>
          <w:b/>
          <w:bCs/>
          <w:rtl/>
        </w:rPr>
        <w:t>מחוסרי הדיור</w:t>
      </w:r>
      <w:r w:rsidR="0074184D">
        <w:rPr>
          <w:rFonts w:ascii="David" w:hAnsi="David" w:cs="David" w:hint="cs"/>
          <w:rtl/>
        </w:rPr>
        <w:t xml:space="preserve">. </w:t>
      </w:r>
      <w:r w:rsidR="00F41490">
        <w:rPr>
          <w:rFonts w:ascii="David" w:hAnsi="David" w:cs="David" w:hint="cs"/>
          <w:rtl/>
        </w:rPr>
        <w:t>הקושי של משפחות יחידניות רב יותר היות ומשק הבית עם משכורת אחת</w:t>
      </w:r>
      <w:r w:rsidR="009603C1">
        <w:rPr>
          <w:rFonts w:ascii="David" w:hAnsi="David" w:cs="David" w:hint="cs"/>
          <w:rtl/>
        </w:rPr>
        <w:t xml:space="preserve"> ולעיתים בעלי דירות </w:t>
      </w:r>
      <w:r w:rsidR="00CD6F00">
        <w:rPr>
          <w:rFonts w:ascii="David" w:hAnsi="David" w:cs="David" w:hint="cs"/>
          <w:rtl/>
        </w:rPr>
        <w:t>מסרבים להשכיר דירות למשפחות אלו</w:t>
      </w:r>
      <w:r w:rsidR="00F41490">
        <w:rPr>
          <w:rFonts w:ascii="David" w:hAnsi="David" w:cs="David" w:hint="cs"/>
          <w:rtl/>
        </w:rPr>
        <w:t>.</w:t>
      </w:r>
      <w:r w:rsidR="003B1732">
        <w:rPr>
          <w:rFonts w:ascii="David" w:hAnsi="David" w:cs="David" w:hint="cs"/>
          <w:rtl/>
        </w:rPr>
        <w:t xml:space="preserve"> עם קושי זה מתמודדות בעיקר נשים חד הוריות, גרושות או נפגעות אלימות במשפחה</w:t>
      </w:r>
      <w:r w:rsidR="003961F2">
        <w:rPr>
          <w:rFonts w:ascii="David" w:hAnsi="David" w:cs="David" w:hint="cs"/>
          <w:rtl/>
        </w:rPr>
        <w:t xml:space="preserve"> (חסון ואחרים, 2023)</w:t>
      </w:r>
      <w:r w:rsidR="003B1732">
        <w:rPr>
          <w:rFonts w:ascii="David" w:hAnsi="David" w:cs="David" w:hint="cs"/>
          <w:rtl/>
        </w:rPr>
        <w:t xml:space="preserve">. </w:t>
      </w:r>
      <w:r w:rsidR="00F41490">
        <w:rPr>
          <w:rFonts w:ascii="David" w:hAnsi="David" w:cs="David" w:hint="cs"/>
          <w:rtl/>
        </w:rPr>
        <w:t xml:space="preserve"> </w:t>
      </w:r>
    </w:p>
    <w:p w14:paraId="4B9EB469" w14:textId="6942BA60" w:rsidR="0087065A" w:rsidRDefault="0087065A" w:rsidP="004B3DAF">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ב</w:t>
      </w:r>
      <w:r w:rsidR="00B06F1C">
        <w:rPr>
          <w:rFonts w:ascii="David" w:hAnsi="David" w:cs="David" w:hint="cs"/>
          <w:rtl/>
        </w:rPr>
        <w:t>עשור האחרון</w:t>
      </w:r>
      <w:r w:rsidR="00EB04C1">
        <w:rPr>
          <w:rFonts w:ascii="David" w:hAnsi="David" w:cs="David" w:hint="cs"/>
          <w:rtl/>
        </w:rPr>
        <w:t>, על מנת להרחיב את ההיצע בשוק הדיור, הממשלה, הרשויות המקומיות ובעלי הבתים הפרטיים מקדמים</w:t>
      </w:r>
      <w:r w:rsidR="00B06F1C">
        <w:rPr>
          <w:rFonts w:ascii="David" w:hAnsi="David" w:cs="David" w:hint="cs"/>
          <w:rtl/>
        </w:rPr>
        <w:t xml:space="preserve"> אלפי פרויקטים של חידוש ו</w:t>
      </w:r>
      <w:r w:rsidR="00B06F1C" w:rsidRPr="00007C56">
        <w:rPr>
          <w:rFonts w:ascii="David" w:hAnsi="David" w:cs="David" w:hint="cs"/>
          <w:b/>
          <w:bCs/>
          <w:rtl/>
        </w:rPr>
        <w:t xml:space="preserve">התחדשות </w:t>
      </w:r>
      <w:r w:rsidR="00007C56">
        <w:rPr>
          <w:rFonts w:ascii="David" w:hAnsi="David" w:cs="David" w:hint="cs"/>
          <w:b/>
          <w:bCs/>
          <w:rtl/>
        </w:rPr>
        <w:t>דיור עירונית</w:t>
      </w:r>
      <w:r w:rsidR="003806D3">
        <w:rPr>
          <w:rFonts w:ascii="David" w:hAnsi="David" w:cs="David" w:hint="cs"/>
          <w:rtl/>
        </w:rPr>
        <w:t xml:space="preserve">. </w:t>
      </w:r>
      <w:r w:rsidR="00681745">
        <w:rPr>
          <w:rFonts w:ascii="David" w:hAnsi="David" w:cs="David" w:hint="cs"/>
          <w:rtl/>
        </w:rPr>
        <w:t xml:space="preserve">תהליך זה </w:t>
      </w:r>
      <w:r w:rsidR="00D70B1D">
        <w:rPr>
          <w:rFonts w:ascii="David" w:hAnsi="David" w:cs="David" w:hint="cs"/>
          <w:rtl/>
        </w:rPr>
        <w:t>יוצר הזדמנויות</w:t>
      </w:r>
      <w:r w:rsidR="003806D3">
        <w:rPr>
          <w:rFonts w:ascii="David" w:hAnsi="David" w:cs="David" w:hint="cs"/>
          <w:rtl/>
        </w:rPr>
        <w:t xml:space="preserve"> לרשויות המקומיות וליזמים הפרטיים</w:t>
      </w:r>
      <w:r w:rsidR="00876AA9">
        <w:rPr>
          <w:rFonts w:ascii="David" w:hAnsi="David" w:cs="David" w:hint="cs"/>
          <w:rtl/>
        </w:rPr>
        <w:t>, אולם פוגעות בבעלי הבתים הוותיקים. הן מייקרות את מחירי הדירות ומגדילות את הפערים הכלכליים</w:t>
      </w:r>
      <w:r w:rsidR="003328EF">
        <w:rPr>
          <w:rFonts w:ascii="David" w:hAnsi="David" w:cs="David" w:hint="cs"/>
          <w:rtl/>
        </w:rPr>
        <w:t xml:space="preserve">. הם </w:t>
      </w:r>
      <w:r>
        <w:rPr>
          <w:rFonts w:ascii="David" w:hAnsi="David" w:cs="David" w:hint="cs"/>
          <w:rtl/>
        </w:rPr>
        <w:t>דוחקים את התושבים הוותיקים מאזור מגוריהם, פוגעים בהון החברתי שלהם והם מתקשים לרכוש דירות חלופיות באזורים מבוססים (לוין ואהרון-גוטמן, 2021</w:t>
      </w:r>
      <w:r w:rsidR="003B398E">
        <w:rPr>
          <w:rFonts w:ascii="David" w:hAnsi="David" w:cs="David" w:hint="cs"/>
          <w:rtl/>
        </w:rPr>
        <w:t xml:space="preserve">). פרויקטים אלו </w:t>
      </w:r>
      <w:r w:rsidR="00CF7CAA">
        <w:rPr>
          <w:rFonts w:ascii="David" w:hAnsi="David" w:cs="David" w:hint="cs"/>
          <w:rtl/>
        </w:rPr>
        <w:t>מקטינים את מלאי הדיור הזול במרכז הארץ ודוחקים</w:t>
      </w:r>
      <w:r w:rsidR="007B0435">
        <w:rPr>
          <w:rFonts w:ascii="David" w:hAnsi="David" w:cs="David" w:hint="cs"/>
          <w:rtl/>
        </w:rPr>
        <w:t xml:space="preserve"> </w:t>
      </w:r>
      <w:r w:rsidR="00CF7CAA">
        <w:rPr>
          <w:rFonts w:ascii="David" w:hAnsi="David" w:cs="David" w:hint="cs"/>
          <w:rtl/>
        </w:rPr>
        <w:t xml:space="preserve">תושבים שמצבם הכלכלי בינוני ומטה </w:t>
      </w:r>
      <w:r w:rsidR="007B0435">
        <w:rPr>
          <w:rFonts w:ascii="David" w:hAnsi="David" w:cs="David" w:hint="cs"/>
          <w:rtl/>
        </w:rPr>
        <w:t>מהמרכז.</w:t>
      </w:r>
      <w:r w:rsidR="00B539E0">
        <w:rPr>
          <w:rFonts w:ascii="David" w:hAnsi="David" w:cs="David" w:hint="cs"/>
          <w:rtl/>
        </w:rPr>
        <w:t xml:space="preserve"> שוכרי הדירות בבניינים אלו </w:t>
      </w:r>
      <w:r w:rsidR="00430870">
        <w:rPr>
          <w:rFonts w:ascii="David" w:hAnsi="David" w:cs="David" w:hint="cs"/>
          <w:rtl/>
        </w:rPr>
        <w:t xml:space="preserve">חייבים לעזוב את מקום מגוריהם ונאלצים  לשכור בעלות </w:t>
      </w:r>
      <w:r w:rsidR="00681745">
        <w:rPr>
          <w:rFonts w:ascii="David" w:hAnsi="David" w:cs="David" w:hint="cs"/>
          <w:rtl/>
        </w:rPr>
        <w:t>גבוהה יותר</w:t>
      </w:r>
      <w:r w:rsidR="007B0435">
        <w:rPr>
          <w:rFonts w:ascii="David" w:hAnsi="David" w:cs="David" w:hint="cs"/>
          <w:rtl/>
        </w:rPr>
        <w:t xml:space="preserve"> </w:t>
      </w:r>
      <w:r w:rsidR="004B3DAF">
        <w:rPr>
          <w:rFonts w:ascii="David" w:hAnsi="David" w:cs="David" w:hint="cs"/>
          <w:rtl/>
        </w:rPr>
        <w:t>(</w:t>
      </w:r>
      <w:r w:rsidR="001E59B5">
        <w:rPr>
          <w:rFonts w:ascii="David" w:hAnsi="David" w:cs="David" w:hint="cs"/>
          <w:rtl/>
        </w:rPr>
        <w:t>כרמון, 2019</w:t>
      </w:r>
      <w:r>
        <w:rPr>
          <w:rFonts w:ascii="David" w:hAnsi="David" w:cs="David" w:hint="cs"/>
          <w:rtl/>
        </w:rPr>
        <w:t xml:space="preserve">). </w:t>
      </w:r>
    </w:p>
    <w:p w14:paraId="0671233B" w14:textId="1569D5DD" w:rsidR="004061CE" w:rsidRPr="00B661EF" w:rsidRDefault="004061CE" w:rsidP="004061CE">
      <w:pPr>
        <w:pStyle w:val="NormalWeb"/>
        <w:bidi/>
        <w:spacing w:before="120" w:beforeAutospacing="0" w:after="120" w:afterAutospacing="0" w:line="312" w:lineRule="auto"/>
        <w:jc w:val="both"/>
        <w:textAlignment w:val="baseline"/>
        <w:rPr>
          <w:rFonts w:ascii="David" w:hAnsi="David" w:cs="David"/>
          <w:color w:val="4472C4" w:themeColor="accent1"/>
          <w:sz w:val="28"/>
          <w:szCs w:val="28"/>
          <w:rtl/>
        </w:rPr>
      </w:pPr>
      <w:r w:rsidRPr="00B661EF">
        <w:rPr>
          <w:rFonts w:ascii="David" w:hAnsi="David" w:cs="David" w:hint="cs"/>
          <w:color w:val="4472C4" w:themeColor="accent1"/>
          <w:sz w:val="28"/>
          <w:szCs w:val="28"/>
          <w:rtl/>
        </w:rPr>
        <w:t>אי שוויון בבריאות</w:t>
      </w:r>
    </w:p>
    <w:p w14:paraId="21FC1E8B" w14:textId="63B0F2DA" w:rsidR="00271114" w:rsidRDefault="00203D9D" w:rsidP="00B97CDB">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דוח משרד הבריאות </w:t>
      </w:r>
      <w:r w:rsidR="0044617B">
        <w:rPr>
          <w:rFonts w:ascii="David" w:hAnsi="David" w:cs="David" w:hint="cs"/>
          <w:rtl/>
        </w:rPr>
        <w:t>בתחום אי השוויון במדדי בריאות (פרץ ואחרים, 2021) מצביע על מספר תחומים של אי שוויון ב</w:t>
      </w:r>
      <w:r w:rsidR="00D9315A">
        <w:rPr>
          <w:rFonts w:ascii="David" w:hAnsi="David" w:cs="David" w:hint="cs"/>
          <w:rtl/>
        </w:rPr>
        <w:t>מדדי בריאו</w:t>
      </w:r>
      <w:r w:rsidR="00C33075">
        <w:rPr>
          <w:rFonts w:ascii="David" w:hAnsi="David" w:cs="David" w:hint="cs"/>
          <w:rtl/>
        </w:rPr>
        <w:t>ת</w:t>
      </w:r>
      <w:r w:rsidR="00331296">
        <w:rPr>
          <w:rFonts w:ascii="David" w:hAnsi="David" w:cs="David" w:hint="cs"/>
          <w:rtl/>
        </w:rPr>
        <w:t xml:space="preserve"> </w:t>
      </w:r>
      <w:r w:rsidR="00331296">
        <w:rPr>
          <w:rFonts w:ascii="David" w:hAnsi="David" w:cs="David"/>
          <w:rtl/>
        </w:rPr>
        <w:t>–</w:t>
      </w:r>
      <w:r w:rsidR="00331296">
        <w:rPr>
          <w:rFonts w:ascii="David" w:hAnsi="David" w:cs="David" w:hint="cs"/>
          <w:rtl/>
        </w:rPr>
        <w:t xml:space="preserve"> בתוצאי בריאות, באספקת שירותי בריאות ובמצב </w:t>
      </w:r>
      <w:r w:rsidR="003819B6">
        <w:rPr>
          <w:rFonts w:ascii="David" w:hAnsi="David" w:cs="David" w:hint="cs"/>
          <w:rtl/>
        </w:rPr>
        <w:t xml:space="preserve">הבריאות. </w:t>
      </w:r>
      <w:r w:rsidR="00C33075">
        <w:rPr>
          <w:rFonts w:ascii="David" w:hAnsi="David" w:cs="David" w:hint="cs"/>
          <w:rtl/>
        </w:rPr>
        <w:t xml:space="preserve">: בתוצאי </w:t>
      </w:r>
      <w:r w:rsidR="0031686B">
        <w:rPr>
          <w:rFonts w:ascii="David" w:hAnsi="David" w:cs="David" w:hint="cs"/>
          <w:rtl/>
        </w:rPr>
        <w:t xml:space="preserve">בריאות - </w:t>
      </w:r>
      <w:r w:rsidR="00D9315A">
        <w:rPr>
          <w:rFonts w:ascii="David" w:hAnsi="David" w:cs="David" w:hint="cs"/>
          <w:rtl/>
        </w:rPr>
        <w:t xml:space="preserve">בתוחלת החיים, בשיעורי התמותה, בהערכה עצמית של בריאות, </w:t>
      </w:r>
      <w:proofErr w:type="spellStart"/>
      <w:r w:rsidR="00D9315A">
        <w:rPr>
          <w:rFonts w:ascii="David" w:hAnsi="David" w:cs="David" w:hint="cs"/>
          <w:rtl/>
        </w:rPr>
        <w:t>בויתור</w:t>
      </w:r>
      <w:proofErr w:type="spellEnd"/>
      <w:r w:rsidR="00D9315A">
        <w:rPr>
          <w:rFonts w:ascii="David" w:hAnsi="David" w:cs="David" w:hint="cs"/>
          <w:rtl/>
        </w:rPr>
        <w:t xml:space="preserve"> על שירותי בריאות</w:t>
      </w:r>
      <w:r w:rsidR="00DD1A95">
        <w:rPr>
          <w:rFonts w:ascii="David" w:hAnsi="David" w:cs="David" w:hint="cs"/>
          <w:rtl/>
        </w:rPr>
        <w:t xml:space="preserve"> (בשל </w:t>
      </w:r>
      <w:r w:rsidR="0047440B">
        <w:rPr>
          <w:rFonts w:ascii="David" w:hAnsi="David" w:cs="David" w:hint="cs"/>
          <w:rtl/>
        </w:rPr>
        <w:t>זמני המתנה ממושכים, מרחק ותשלום)</w:t>
      </w:r>
      <w:r w:rsidR="00D9315A">
        <w:rPr>
          <w:rFonts w:ascii="David" w:hAnsi="David" w:cs="David" w:hint="cs"/>
          <w:rtl/>
        </w:rPr>
        <w:t xml:space="preserve"> ובביטחון תזונתי. </w:t>
      </w:r>
      <w:r w:rsidR="00CC79AE">
        <w:rPr>
          <w:rFonts w:ascii="David" w:hAnsi="David" w:cs="David" w:hint="cs"/>
          <w:rtl/>
        </w:rPr>
        <w:t xml:space="preserve">מהדוח </w:t>
      </w:r>
      <w:r w:rsidR="00CC79AE">
        <w:rPr>
          <w:rFonts w:ascii="David" w:hAnsi="David" w:cs="David" w:hint="cs"/>
          <w:rtl/>
        </w:rPr>
        <w:lastRenderedPageBreak/>
        <w:t xml:space="preserve">עולה כי </w:t>
      </w:r>
      <w:r w:rsidR="003E039A">
        <w:rPr>
          <w:rFonts w:ascii="David" w:hAnsi="David" w:cs="David" w:hint="cs"/>
          <w:rtl/>
        </w:rPr>
        <w:t>ב</w:t>
      </w:r>
      <w:r w:rsidR="00C97244">
        <w:rPr>
          <w:rFonts w:ascii="David" w:hAnsi="David" w:cs="David" w:hint="cs"/>
          <w:rtl/>
        </w:rPr>
        <w:t>רוב</w:t>
      </w:r>
      <w:r w:rsidR="003E039A">
        <w:rPr>
          <w:rFonts w:ascii="David" w:hAnsi="David" w:cs="David" w:hint="cs"/>
          <w:rtl/>
        </w:rPr>
        <w:t xml:space="preserve"> המדדים שנבחנו האוכלוסייה הערבית </w:t>
      </w:r>
      <w:r w:rsidR="00555D8D">
        <w:rPr>
          <w:rFonts w:ascii="David" w:hAnsi="David" w:cs="David" w:hint="cs"/>
          <w:rtl/>
        </w:rPr>
        <w:t>מדורגת</w:t>
      </w:r>
      <w:r w:rsidR="00BC3252">
        <w:rPr>
          <w:rFonts w:ascii="David" w:hAnsi="David" w:cs="David" w:hint="cs"/>
          <w:rtl/>
        </w:rPr>
        <w:t xml:space="preserve"> בדירוג נמוך יותר</w:t>
      </w:r>
      <w:r w:rsidR="00665A8A">
        <w:rPr>
          <w:rFonts w:ascii="David" w:hAnsi="David" w:cs="David" w:hint="cs"/>
          <w:rtl/>
        </w:rPr>
        <w:t xml:space="preserve"> מזה של האוכלוסייה היהודית וככל שרמת ההשכלה גבוהה יותר כך </w:t>
      </w:r>
      <w:r w:rsidR="00BC3252">
        <w:rPr>
          <w:rFonts w:ascii="David" w:hAnsi="David" w:cs="David" w:hint="cs"/>
          <w:rtl/>
        </w:rPr>
        <w:t>דירוג האוכלוסייה</w:t>
      </w:r>
      <w:r w:rsidR="00665A8A">
        <w:rPr>
          <w:rFonts w:ascii="David" w:hAnsi="David" w:cs="David" w:hint="cs"/>
          <w:rtl/>
        </w:rPr>
        <w:t xml:space="preserve"> </w:t>
      </w:r>
      <w:r w:rsidR="00BC3252">
        <w:rPr>
          <w:rFonts w:ascii="David" w:hAnsi="David" w:cs="David" w:hint="cs"/>
          <w:rtl/>
        </w:rPr>
        <w:t>גבוה</w:t>
      </w:r>
      <w:r w:rsidR="00665A8A">
        <w:rPr>
          <w:rFonts w:ascii="David" w:hAnsi="David" w:cs="David" w:hint="cs"/>
          <w:rtl/>
        </w:rPr>
        <w:t xml:space="preserve"> יותר. </w:t>
      </w:r>
      <w:r w:rsidR="00C37379">
        <w:rPr>
          <w:rFonts w:ascii="David" w:hAnsi="David" w:cs="David" w:hint="cs"/>
          <w:rtl/>
        </w:rPr>
        <w:t xml:space="preserve">מהדוח </w:t>
      </w:r>
      <w:r w:rsidR="008131AD">
        <w:rPr>
          <w:rFonts w:ascii="David" w:hAnsi="David" w:cs="David" w:hint="cs"/>
          <w:rtl/>
        </w:rPr>
        <w:t xml:space="preserve">(פרץ ואחרים, 2012) </w:t>
      </w:r>
      <w:r w:rsidR="00C37379">
        <w:rPr>
          <w:rFonts w:ascii="David" w:hAnsi="David" w:cs="David" w:hint="cs"/>
          <w:rtl/>
        </w:rPr>
        <w:t xml:space="preserve">עולה כי </w:t>
      </w:r>
      <w:r w:rsidR="00271114">
        <w:rPr>
          <w:rFonts w:ascii="David" w:hAnsi="David" w:cs="David" w:hint="cs"/>
          <w:rtl/>
        </w:rPr>
        <w:t>כ-16% מהמשפחות בישראל נמצאות במצב של אי ביטחון תזונתי</w:t>
      </w:r>
      <w:r w:rsidR="00910D67">
        <w:rPr>
          <w:rFonts w:ascii="David" w:hAnsi="David" w:cs="David" w:hint="cs"/>
          <w:rtl/>
        </w:rPr>
        <w:t>. שיעור זה גבוה במיוחד בקרב האוכלוסייה ה</w:t>
      </w:r>
      <w:r w:rsidR="00E34DA2">
        <w:rPr>
          <w:rFonts w:ascii="David" w:hAnsi="David" w:cs="David" w:hint="cs"/>
          <w:rtl/>
        </w:rPr>
        <w:t xml:space="preserve">ערבית (42%). </w:t>
      </w:r>
    </w:p>
    <w:p w14:paraId="40B3D421" w14:textId="2B61396A" w:rsidR="00775748" w:rsidRDefault="00A10DCB" w:rsidP="00C877C0">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נראה כי </w:t>
      </w:r>
      <w:r w:rsidRPr="00B661EF">
        <w:rPr>
          <w:rFonts w:ascii="David" w:hAnsi="David" w:cs="David" w:hint="cs"/>
          <w:b/>
          <w:bCs/>
          <w:rtl/>
        </w:rPr>
        <w:t>הסיבות המרכזיות לאי השוויון בבריאות</w:t>
      </w:r>
      <w:r>
        <w:rPr>
          <w:rFonts w:ascii="David" w:hAnsi="David" w:cs="David" w:hint="cs"/>
          <w:rtl/>
        </w:rPr>
        <w:t xml:space="preserve"> נעוצות ב</w:t>
      </w:r>
      <w:r w:rsidR="00B404FC">
        <w:rPr>
          <w:rFonts w:ascii="David" w:hAnsi="David" w:cs="David" w:hint="cs"/>
          <w:rtl/>
        </w:rPr>
        <w:t>היקף ואיכות שירותי הבריאות ומידת היכולת של הפרט לרכוש אותם באזורים שונים בארץ</w:t>
      </w:r>
      <w:r w:rsidR="00C877C0">
        <w:rPr>
          <w:rFonts w:ascii="David" w:hAnsi="David" w:cs="David" w:hint="cs"/>
          <w:rtl/>
        </w:rPr>
        <w:t xml:space="preserve"> (</w:t>
      </w:r>
      <w:r w:rsidR="002B460D">
        <w:rPr>
          <w:rFonts w:ascii="David" w:hAnsi="David" w:cs="David" w:hint="cs"/>
          <w:rtl/>
        </w:rPr>
        <w:t xml:space="preserve">אפשטיין ואחרים, </w:t>
      </w:r>
      <w:r w:rsidR="005F6F92">
        <w:rPr>
          <w:rFonts w:ascii="David" w:hAnsi="David" w:cs="David" w:hint="cs"/>
          <w:rtl/>
        </w:rPr>
        <w:t>2006)</w:t>
      </w:r>
      <w:r w:rsidR="00B404FC">
        <w:rPr>
          <w:rFonts w:ascii="David" w:hAnsi="David" w:cs="David" w:hint="cs"/>
          <w:rtl/>
        </w:rPr>
        <w:t xml:space="preserve">. </w:t>
      </w:r>
      <w:r w:rsidR="00867C41">
        <w:rPr>
          <w:rFonts w:ascii="David" w:hAnsi="David" w:cs="David" w:hint="cs"/>
          <w:rtl/>
        </w:rPr>
        <w:t xml:space="preserve">מהדוח (פרץ ואחרים, 2021) </w:t>
      </w:r>
      <w:r w:rsidR="00C877C0">
        <w:rPr>
          <w:rFonts w:ascii="David" w:hAnsi="David" w:cs="David" w:hint="cs"/>
          <w:rtl/>
        </w:rPr>
        <w:t xml:space="preserve">עולה </w:t>
      </w:r>
      <w:r w:rsidR="00867C41">
        <w:rPr>
          <w:rFonts w:ascii="David" w:hAnsi="David" w:cs="David" w:hint="cs"/>
          <w:rtl/>
        </w:rPr>
        <w:t xml:space="preserve">כי קיימים </w:t>
      </w:r>
      <w:r w:rsidR="00305DF3">
        <w:rPr>
          <w:rFonts w:ascii="David" w:hAnsi="David" w:cs="David" w:hint="cs"/>
          <w:rtl/>
        </w:rPr>
        <w:t>פערים בפריסת תשתיות כוח אדם</w:t>
      </w:r>
      <w:r w:rsidR="00041C75">
        <w:rPr>
          <w:rFonts w:ascii="David" w:hAnsi="David" w:cs="David" w:hint="cs"/>
          <w:rtl/>
        </w:rPr>
        <w:t xml:space="preserve"> ואיכותו,</w:t>
      </w:r>
      <w:r w:rsidR="00305DF3">
        <w:rPr>
          <w:rFonts w:ascii="David" w:hAnsi="David" w:cs="David" w:hint="cs"/>
          <w:rtl/>
        </w:rPr>
        <w:t xml:space="preserve"> </w:t>
      </w:r>
      <w:r w:rsidR="002C6F40">
        <w:rPr>
          <w:rFonts w:ascii="David" w:hAnsi="David" w:cs="David" w:hint="cs"/>
          <w:rtl/>
        </w:rPr>
        <w:t xml:space="preserve">אפשרויות </w:t>
      </w:r>
      <w:r w:rsidR="00305DF3">
        <w:rPr>
          <w:rFonts w:ascii="David" w:hAnsi="David" w:cs="David" w:hint="cs"/>
          <w:rtl/>
        </w:rPr>
        <w:t xml:space="preserve">אשפוז (מיטות </w:t>
      </w:r>
      <w:proofErr w:type="spellStart"/>
      <w:r w:rsidR="00305DF3">
        <w:rPr>
          <w:rFonts w:ascii="David" w:hAnsi="David" w:cs="David" w:hint="cs"/>
          <w:rtl/>
        </w:rPr>
        <w:t>אישפוז</w:t>
      </w:r>
      <w:proofErr w:type="spellEnd"/>
      <w:r w:rsidR="00305DF3">
        <w:rPr>
          <w:rFonts w:ascii="David" w:hAnsi="David" w:cs="David" w:hint="cs"/>
          <w:rtl/>
        </w:rPr>
        <w:t>, אחוז תפוסה</w:t>
      </w:r>
      <w:r w:rsidR="00C829DD">
        <w:rPr>
          <w:rFonts w:ascii="David" w:hAnsi="David" w:cs="David" w:hint="cs"/>
          <w:rtl/>
        </w:rPr>
        <w:t>)</w:t>
      </w:r>
      <w:r w:rsidR="00305DF3">
        <w:rPr>
          <w:rFonts w:ascii="David" w:hAnsi="David" w:cs="David" w:hint="cs"/>
          <w:rtl/>
        </w:rPr>
        <w:t xml:space="preserve">, </w:t>
      </w:r>
      <w:r w:rsidR="00C829DD">
        <w:rPr>
          <w:rFonts w:ascii="David" w:hAnsi="David" w:cs="David" w:hint="cs"/>
          <w:rtl/>
        </w:rPr>
        <w:t>והיקף ה</w:t>
      </w:r>
      <w:r w:rsidR="00663D29">
        <w:rPr>
          <w:rFonts w:ascii="David" w:hAnsi="David" w:cs="David" w:hint="cs"/>
          <w:rtl/>
        </w:rPr>
        <w:t>מועמדים ו</w:t>
      </w:r>
      <w:r w:rsidR="00C829DD">
        <w:rPr>
          <w:rFonts w:ascii="David" w:hAnsi="David" w:cs="David" w:hint="cs"/>
          <w:rtl/>
        </w:rPr>
        <w:t>ה</w:t>
      </w:r>
      <w:r w:rsidR="00663D29">
        <w:rPr>
          <w:rFonts w:ascii="David" w:hAnsi="David" w:cs="David" w:hint="cs"/>
          <w:rtl/>
        </w:rPr>
        <w:t>סטודנטים לרפואה בישראל ובחו"ל</w:t>
      </w:r>
      <w:r w:rsidR="006E368B">
        <w:rPr>
          <w:rFonts w:ascii="David" w:hAnsi="David" w:cs="David" w:hint="cs"/>
          <w:rtl/>
        </w:rPr>
        <w:t xml:space="preserve">. </w:t>
      </w:r>
      <w:r w:rsidR="006E0855">
        <w:rPr>
          <w:rFonts w:ascii="David" w:hAnsi="David" w:cs="David" w:hint="cs"/>
          <w:rtl/>
        </w:rPr>
        <w:t xml:space="preserve">מצבת כוח האדם ברפואה ראשונית </w:t>
      </w:r>
      <w:r w:rsidR="00383D91">
        <w:rPr>
          <w:rFonts w:ascii="David" w:hAnsi="David" w:cs="David" w:hint="cs"/>
          <w:rtl/>
        </w:rPr>
        <w:t xml:space="preserve">(משפחה, ילדים וגניקולוגיה) </w:t>
      </w:r>
      <w:r w:rsidR="009A02BC">
        <w:rPr>
          <w:rFonts w:ascii="David" w:hAnsi="David" w:cs="David" w:hint="cs"/>
          <w:rtl/>
        </w:rPr>
        <w:t>נמוכה יותר באזור ירושלים והדרום</w:t>
      </w:r>
      <w:r w:rsidR="00501397">
        <w:rPr>
          <w:rFonts w:ascii="David" w:hAnsi="David" w:cs="David" w:hint="cs"/>
          <w:rtl/>
        </w:rPr>
        <w:t xml:space="preserve"> בהשוואה ליתר האזורים בישראל</w:t>
      </w:r>
      <w:r w:rsidR="00876F68">
        <w:rPr>
          <w:rFonts w:ascii="David" w:hAnsi="David" w:cs="David" w:hint="cs"/>
          <w:rtl/>
        </w:rPr>
        <w:t xml:space="preserve">; ומצבת כוח אדם ברפואה שניונית </w:t>
      </w:r>
      <w:r w:rsidR="00383D91">
        <w:rPr>
          <w:rFonts w:ascii="David" w:hAnsi="David" w:cs="David" w:hint="cs"/>
          <w:rtl/>
        </w:rPr>
        <w:t xml:space="preserve">(עיניים, עור, </w:t>
      </w:r>
      <w:r w:rsidR="00501397">
        <w:rPr>
          <w:rFonts w:ascii="David" w:hAnsi="David" w:cs="David" w:hint="cs"/>
          <w:rtl/>
        </w:rPr>
        <w:t>אף אוזן גרון ואורתופדיה) נמוכה יותר באזור</w:t>
      </w:r>
      <w:r w:rsidR="000A48E5">
        <w:rPr>
          <w:rFonts w:ascii="David" w:hAnsi="David" w:cs="David" w:hint="cs"/>
          <w:rtl/>
        </w:rPr>
        <w:t xml:space="preserve"> ירושלים, הדרום והצפון. </w:t>
      </w:r>
      <w:r w:rsidR="00667425">
        <w:rPr>
          <w:rFonts w:ascii="David" w:hAnsi="David" w:cs="David" w:hint="cs"/>
          <w:rtl/>
        </w:rPr>
        <w:t>באזורים אלו כמחצית מהרופאים ללא התמחות כלשהי</w:t>
      </w:r>
      <w:r w:rsidR="00E765C4">
        <w:rPr>
          <w:rFonts w:ascii="David" w:hAnsi="David" w:cs="David" w:hint="cs"/>
          <w:rtl/>
        </w:rPr>
        <w:t xml:space="preserve"> (בתחום הרלוונטי או בתחום אחר)</w:t>
      </w:r>
      <w:r w:rsidR="006F02AA">
        <w:rPr>
          <w:rFonts w:ascii="David" w:hAnsi="David" w:cs="David" w:hint="cs"/>
          <w:rtl/>
        </w:rPr>
        <w:t xml:space="preserve">. </w:t>
      </w:r>
      <w:r w:rsidR="00041C75">
        <w:rPr>
          <w:rFonts w:ascii="David" w:hAnsi="David" w:cs="David" w:hint="cs"/>
          <w:rtl/>
        </w:rPr>
        <w:t xml:space="preserve">באזור הדרום והצפון </w:t>
      </w:r>
      <w:r w:rsidR="00342944">
        <w:rPr>
          <w:rFonts w:ascii="David" w:hAnsi="David" w:cs="David" w:hint="cs"/>
          <w:rtl/>
        </w:rPr>
        <w:t>רוב רופאי</w:t>
      </w:r>
      <w:r w:rsidR="004411F8">
        <w:rPr>
          <w:rFonts w:ascii="David" w:hAnsi="David" w:cs="David" w:hint="cs"/>
          <w:rtl/>
        </w:rPr>
        <w:t xml:space="preserve"> המשפחה והילדים</w:t>
      </w:r>
      <w:r w:rsidR="00342944">
        <w:rPr>
          <w:rFonts w:ascii="David" w:hAnsi="David" w:cs="David" w:hint="cs"/>
          <w:rtl/>
        </w:rPr>
        <w:t xml:space="preserve"> </w:t>
      </w:r>
      <w:r w:rsidR="00EC5208">
        <w:rPr>
          <w:rFonts w:ascii="David" w:hAnsi="David" w:cs="David" w:hint="cs"/>
          <w:rtl/>
        </w:rPr>
        <w:t xml:space="preserve">וחלק ניכר מהרופאים בתחומים אחרים </w:t>
      </w:r>
      <w:r w:rsidR="00342944">
        <w:rPr>
          <w:rFonts w:ascii="David" w:hAnsi="David" w:cs="David" w:hint="cs"/>
          <w:rtl/>
        </w:rPr>
        <w:t>המועסקים בוגרי מוסדות שאינם מאושרים בחו"ל</w:t>
      </w:r>
      <w:r w:rsidR="00667425">
        <w:rPr>
          <w:rFonts w:ascii="David" w:hAnsi="David" w:cs="David" w:hint="cs"/>
          <w:rtl/>
        </w:rPr>
        <w:t>.</w:t>
      </w:r>
      <w:r w:rsidR="001559B7">
        <w:rPr>
          <w:rFonts w:ascii="David" w:hAnsi="David" w:cs="David" w:hint="cs"/>
          <w:rtl/>
        </w:rPr>
        <w:t xml:space="preserve"> </w:t>
      </w:r>
      <w:r w:rsidR="00CC052B">
        <w:rPr>
          <w:rFonts w:ascii="David" w:hAnsi="David" w:cs="David" w:hint="cs"/>
          <w:rtl/>
        </w:rPr>
        <w:t xml:space="preserve">הנגישות לרופאים </w:t>
      </w:r>
      <w:r w:rsidR="00467FAB">
        <w:rPr>
          <w:rFonts w:ascii="David" w:hAnsi="David" w:cs="David" w:hint="cs"/>
          <w:rtl/>
        </w:rPr>
        <w:t xml:space="preserve">ולכוח אדם במקצועות הבריאות </w:t>
      </w:r>
      <w:r w:rsidR="00CC052B">
        <w:rPr>
          <w:rFonts w:ascii="David" w:hAnsi="David" w:cs="David" w:hint="cs"/>
          <w:rtl/>
        </w:rPr>
        <w:t xml:space="preserve">נמוכה יותר באזורי הצפון והדרום - </w:t>
      </w:r>
      <w:r w:rsidR="003E55AC">
        <w:rPr>
          <w:rFonts w:ascii="David" w:hAnsi="David" w:cs="David" w:hint="cs"/>
          <w:rtl/>
        </w:rPr>
        <w:t>מספר הרופאי</w:t>
      </w:r>
      <w:r w:rsidR="00CC052B">
        <w:rPr>
          <w:rFonts w:ascii="David" w:hAnsi="David" w:cs="David" w:hint="cs"/>
          <w:rtl/>
        </w:rPr>
        <w:t xml:space="preserve">ם לאלף איש נמוך במיוחד באזורים אלו. </w:t>
      </w:r>
    </w:p>
    <w:p w14:paraId="7E80F79D" w14:textId="36D67A1D" w:rsidR="00050F36" w:rsidRDefault="006652D5" w:rsidP="00775748">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שיעור </w:t>
      </w:r>
      <w:r w:rsidRPr="00071338">
        <w:rPr>
          <w:rFonts w:ascii="David" w:hAnsi="David" w:cs="David" w:hint="cs"/>
          <w:b/>
          <w:bCs/>
          <w:rtl/>
        </w:rPr>
        <w:t>מיטות האשפוז</w:t>
      </w:r>
      <w:r>
        <w:rPr>
          <w:rFonts w:ascii="David" w:hAnsi="David" w:cs="David" w:hint="cs"/>
          <w:rtl/>
        </w:rPr>
        <w:t xml:space="preserve"> נמצא בירידה לאורך השנ</w:t>
      </w:r>
      <w:r w:rsidR="00775748">
        <w:rPr>
          <w:rFonts w:ascii="David" w:hAnsi="David" w:cs="David" w:hint="cs"/>
          <w:rtl/>
        </w:rPr>
        <w:t>ים בכל מדינות ה-</w:t>
      </w:r>
      <w:r w:rsidR="00775748">
        <w:rPr>
          <w:rFonts w:ascii="David" w:hAnsi="David" w:cs="David" w:hint="cs"/>
        </w:rPr>
        <w:t>OECD</w:t>
      </w:r>
      <w:r w:rsidR="00A53FC5">
        <w:rPr>
          <w:rFonts w:ascii="David" w:hAnsi="David" w:cs="David" w:hint="cs"/>
          <w:rtl/>
        </w:rPr>
        <w:t>, בעקבות הערבת מוקד הטיפול בבעיות רפואיות מאשפוז לקהילה</w:t>
      </w:r>
      <w:r w:rsidR="006A6CD6">
        <w:rPr>
          <w:rFonts w:ascii="David" w:hAnsi="David" w:cs="David" w:hint="cs"/>
          <w:rtl/>
        </w:rPr>
        <w:t xml:space="preserve"> (</w:t>
      </w:r>
      <w:r w:rsidR="00963FA7">
        <w:rPr>
          <w:rFonts w:ascii="David" w:hAnsi="David" w:cs="David" w:hint="cs"/>
          <w:rtl/>
        </w:rPr>
        <w:t xml:space="preserve">פרץ ואחרים, </w:t>
      </w:r>
      <w:r w:rsidR="00C31C1D">
        <w:rPr>
          <w:rFonts w:ascii="David" w:hAnsi="David" w:cs="David" w:hint="cs"/>
          <w:rtl/>
        </w:rPr>
        <w:t>2021)</w:t>
      </w:r>
      <w:r w:rsidR="00A53FC5">
        <w:rPr>
          <w:rFonts w:ascii="David" w:hAnsi="David" w:cs="David" w:hint="cs"/>
          <w:rtl/>
        </w:rPr>
        <w:t>.</w:t>
      </w:r>
      <w:r w:rsidR="00A779AF">
        <w:rPr>
          <w:rFonts w:ascii="David" w:hAnsi="David" w:cs="David" w:hint="cs"/>
          <w:rtl/>
        </w:rPr>
        <w:t xml:space="preserve"> עם זאת, לאור הגידול המהיר באוכלוסייה בישראל קיים </w:t>
      </w:r>
      <w:r w:rsidR="00512804">
        <w:rPr>
          <w:rFonts w:ascii="David" w:hAnsi="David" w:cs="David" w:hint="cs"/>
          <w:rtl/>
        </w:rPr>
        <w:t xml:space="preserve">מחסור במיטות אשפוז. </w:t>
      </w:r>
      <w:r w:rsidR="005D3502">
        <w:rPr>
          <w:rFonts w:ascii="David" w:hAnsi="David" w:cs="David" w:hint="cs"/>
          <w:rtl/>
        </w:rPr>
        <w:t>בישראל שיעור נמוך במיוחד של מיטות אשפוז לאלף נפש (2.07</w:t>
      </w:r>
      <w:r w:rsidR="001C7C8A">
        <w:rPr>
          <w:rFonts w:ascii="David" w:hAnsi="David" w:cs="David" w:hint="cs"/>
          <w:rtl/>
        </w:rPr>
        <w:t xml:space="preserve"> לאלף נפש</w:t>
      </w:r>
      <w:r w:rsidR="00C31C1D">
        <w:rPr>
          <w:rFonts w:ascii="David" w:hAnsi="David" w:cs="David" w:hint="cs"/>
          <w:rtl/>
        </w:rPr>
        <w:t>)</w:t>
      </w:r>
      <w:r w:rsidR="005D3502">
        <w:rPr>
          <w:rFonts w:ascii="David" w:hAnsi="David" w:cs="David" w:hint="cs"/>
          <w:rtl/>
        </w:rPr>
        <w:t xml:space="preserve"> בהשוואה לקיים במדינות ה-</w:t>
      </w:r>
      <w:r w:rsidR="005D3502">
        <w:rPr>
          <w:rFonts w:ascii="David" w:hAnsi="David" w:cs="David" w:hint="cs"/>
        </w:rPr>
        <w:t>OECD</w:t>
      </w:r>
      <w:r w:rsidR="001C7C8A">
        <w:rPr>
          <w:rFonts w:ascii="David" w:hAnsi="David" w:cs="David" w:hint="cs"/>
          <w:rtl/>
        </w:rPr>
        <w:t xml:space="preserve"> (3.51 לאלף נפש)</w:t>
      </w:r>
      <w:r w:rsidR="005D3502">
        <w:rPr>
          <w:rFonts w:ascii="David" w:hAnsi="David" w:cs="David" w:hint="cs"/>
          <w:rtl/>
        </w:rPr>
        <w:t xml:space="preserve">. </w:t>
      </w:r>
      <w:r w:rsidR="00662B2F">
        <w:rPr>
          <w:rFonts w:ascii="David" w:hAnsi="David" w:cs="David" w:hint="cs"/>
          <w:rtl/>
        </w:rPr>
        <w:t>שיעור המיטות נמוך במיוחד באזור</w:t>
      </w:r>
      <w:r w:rsidR="004D5487">
        <w:rPr>
          <w:rFonts w:ascii="David" w:hAnsi="David" w:cs="David" w:hint="cs"/>
          <w:rtl/>
        </w:rPr>
        <w:t>י הדרום והצפון</w:t>
      </w:r>
      <w:r w:rsidR="002076E5">
        <w:rPr>
          <w:rFonts w:ascii="David" w:hAnsi="David" w:cs="David" w:hint="cs"/>
          <w:rtl/>
        </w:rPr>
        <w:t>, אם כי התפוסה באזור תל-אביב והמרכז גבוהה במיוחד (עולה על 100%)</w:t>
      </w:r>
      <w:r w:rsidR="000C09F5">
        <w:rPr>
          <w:rFonts w:ascii="David" w:hAnsi="David" w:cs="David" w:hint="cs"/>
          <w:rtl/>
        </w:rPr>
        <w:t xml:space="preserve"> (פרץ ואחרים, 2021)</w:t>
      </w:r>
      <w:r w:rsidR="004D5487">
        <w:rPr>
          <w:rFonts w:ascii="David" w:hAnsi="David" w:cs="David" w:hint="cs"/>
          <w:rtl/>
        </w:rPr>
        <w:t>.</w:t>
      </w:r>
    </w:p>
    <w:p w14:paraId="035FB91B" w14:textId="065F50C7" w:rsidR="00EB2697" w:rsidRDefault="00050F36" w:rsidP="00050F36">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אתגר נוסף של מערכת הבריאות הוא </w:t>
      </w:r>
      <w:r w:rsidR="00B936A1" w:rsidRPr="003736B1">
        <w:rPr>
          <w:rFonts w:ascii="David" w:hAnsi="David" w:cs="David" w:hint="cs"/>
          <w:b/>
          <w:bCs/>
          <w:rtl/>
        </w:rPr>
        <w:t>הגדלת מצבת כוח האדם הרפואי</w:t>
      </w:r>
      <w:r w:rsidR="00B936A1">
        <w:rPr>
          <w:rFonts w:ascii="David" w:hAnsi="David" w:cs="David" w:hint="cs"/>
          <w:rtl/>
        </w:rPr>
        <w:t xml:space="preserve"> ללא פגיעה באיכותו והרחבת הייצוג של סטודנטים מכל חלקי החברה במקצוע הרפואה, על מנת </w:t>
      </w:r>
      <w:r w:rsidR="00BC277D">
        <w:rPr>
          <w:rFonts w:ascii="David" w:hAnsi="David" w:cs="David" w:hint="cs"/>
          <w:rtl/>
        </w:rPr>
        <w:t>להרחיב את הפיזור הגאוגרפי של הרופאים בישראל, ואת השונות החברתית והתרבותית שלה</w:t>
      </w:r>
      <w:r w:rsidR="00EF0334">
        <w:rPr>
          <w:rFonts w:ascii="David" w:hAnsi="David" w:cs="David" w:hint="cs"/>
          <w:rtl/>
        </w:rPr>
        <w:t xml:space="preserve">ם, כך שתהיה מותאמת יותר לאוכלוסיות מטופלים מגוונות. </w:t>
      </w:r>
      <w:r w:rsidR="00097D2C">
        <w:rPr>
          <w:rFonts w:ascii="David" w:hAnsi="David" w:cs="David" w:hint="cs"/>
          <w:rtl/>
        </w:rPr>
        <w:t xml:space="preserve">כיום </w:t>
      </w:r>
      <w:r w:rsidR="00DA4931">
        <w:rPr>
          <w:rFonts w:ascii="David" w:hAnsi="David" w:cs="David" w:hint="cs"/>
          <w:rtl/>
        </w:rPr>
        <w:t xml:space="preserve">נתוני המתקבלים ללימודי רפואה </w:t>
      </w:r>
      <w:r w:rsidR="00F94609">
        <w:rPr>
          <w:rFonts w:ascii="David" w:hAnsi="David" w:cs="David" w:hint="cs"/>
          <w:rtl/>
        </w:rPr>
        <w:t xml:space="preserve">מעלה כי קיים תת ייצוג משמעותי של האוכלוסייה החרדית, הבדואית ושל יוצאי אתיופיה </w:t>
      </w:r>
      <w:r w:rsidR="00DC5323">
        <w:rPr>
          <w:rFonts w:ascii="David" w:hAnsi="David" w:cs="David" w:hint="cs"/>
          <w:rtl/>
        </w:rPr>
        <w:t>בקרב אוכלוסייה זו</w:t>
      </w:r>
      <w:r w:rsidR="00377CD9">
        <w:rPr>
          <w:rFonts w:ascii="David" w:hAnsi="David" w:cs="David" w:hint="cs"/>
          <w:rtl/>
        </w:rPr>
        <w:t>.</w:t>
      </w:r>
      <w:r w:rsidR="004F17F6">
        <w:rPr>
          <w:rFonts w:ascii="David" w:hAnsi="David" w:cs="David" w:hint="cs"/>
          <w:rtl/>
        </w:rPr>
        <w:t xml:space="preserve"> רוב ה</w:t>
      </w:r>
      <w:r w:rsidR="004B307D">
        <w:rPr>
          <w:rFonts w:ascii="David" w:hAnsi="David" w:cs="David" w:hint="cs"/>
          <w:rtl/>
        </w:rPr>
        <w:t>מתקבלים ללימודי רפואה הם ילדים לשני הורים אקדמאים</w:t>
      </w:r>
      <w:r w:rsidR="000B6EEE">
        <w:rPr>
          <w:rFonts w:ascii="David" w:hAnsi="David" w:cs="David" w:hint="cs"/>
          <w:rtl/>
        </w:rPr>
        <w:t xml:space="preserve"> ולמעלה מ-</w:t>
      </w:r>
      <w:r w:rsidR="00614C3E">
        <w:rPr>
          <w:rFonts w:ascii="David" w:hAnsi="David" w:cs="David" w:hint="cs"/>
          <w:rtl/>
        </w:rPr>
        <w:t>5</w:t>
      </w:r>
      <w:r w:rsidR="000B6EEE">
        <w:rPr>
          <w:rFonts w:ascii="David" w:hAnsi="David" w:cs="David" w:hint="cs"/>
          <w:rtl/>
        </w:rPr>
        <w:t xml:space="preserve">0% </w:t>
      </w:r>
      <w:r w:rsidR="00614C3E">
        <w:rPr>
          <w:rFonts w:ascii="David" w:hAnsi="David" w:cs="David" w:hint="cs"/>
          <w:rtl/>
        </w:rPr>
        <w:t>מהמתקבלים</w:t>
      </w:r>
      <w:r w:rsidR="008342A0">
        <w:rPr>
          <w:rFonts w:ascii="David" w:hAnsi="David" w:cs="David" w:hint="cs"/>
          <w:rtl/>
        </w:rPr>
        <w:t xml:space="preserve"> שייכים לעשירון העליון. </w:t>
      </w:r>
      <w:r w:rsidR="00455C28">
        <w:rPr>
          <w:rFonts w:ascii="David" w:hAnsi="David" w:cs="David" w:hint="cs"/>
          <w:rtl/>
        </w:rPr>
        <w:t xml:space="preserve">אחד </w:t>
      </w:r>
      <w:r w:rsidR="00110258">
        <w:rPr>
          <w:rFonts w:ascii="David" w:hAnsi="David" w:cs="David" w:hint="cs"/>
          <w:rtl/>
        </w:rPr>
        <w:t>החס</w:t>
      </w:r>
      <w:r w:rsidR="00455C28">
        <w:rPr>
          <w:rFonts w:ascii="David" w:hAnsi="David" w:cs="David" w:hint="cs"/>
          <w:rtl/>
        </w:rPr>
        <w:t>מי</w:t>
      </w:r>
      <w:r w:rsidR="00110258">
        <w:rPr>
          <w:rFonts w:ascii="David" w:hAnsi="David" w:cs="David" w:hint="cs"/>
          <w:rtl/>
        </w:rPr>
        <w:t xml:space="preserve">ם </w:t>
      </w:r>
      <w:r w:rsidR="00455C28">
        <w:rPr>
          <w:rFonts w:ascii="David" w:hAnsi="David" w:cs="David" w:hint="cs"/>
          <w:rtl/>
        </w:rPr>
        <w:t xml:space="preserve">המרכזיים להשתלבות בלימודי הרפואה </w:t>
      </w:r>
      <w:r w:rsidR="007A243D">
        <w:rPr>
          <w:rFonts w:ascii="David" w:hAnsi="David" w:cs="David" w:hint="cs"/>
          <w:rtl/>
        </w:rPr>
        <w:t>הוא ציון המבחן הפסיכומטרי</w:t>
      </w:r>
      <w:r w:rsidR="000C09F5">
        <w:rPr>
          <w:rFonts w:ascii="David" w:hAnsi="David" w:cs="David" w:hint="cs"/>
          <w:rtl/>
        </w:rPr>
        <w:t xml:space="preserve"> (פרץ ואחרים, 2021)</w:t>
      </w:r>
      <w:r w:rsidR="007A243D">
        <w:rPr>
          <w:rFonts w:ascii="David" w:hAnsi="David" w:cs="David" w:hint="cs"/>
          <w:rtl/>
        </w:rPr>
        <w:t xml:space="preserve">. </w:t>
      </w:r>
    </w:p>
    <w:p w14:paraId="1163387C" w14:textId="38ECDE8B" w:rsidR="00DE3118" w:rsidRPr="001B01B8" w:rsidRDefault="001B01B8" w:rsidP="009A23C4">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בבחינת </w:t>
      </w:r>
      <w:r w:rsidRPr="003736B1">
        <w:rPr>
          <w:rFonts w:ascii="David" w:hAnsi="David" w:cs="David" w:hint="cs"/>
          <w:b/>
          <w:bCs/>
          <w:rtl/>
        </w:rPr>
        <w:t>צריכת השירותים בקהילה</w:t>
      </w:r>
      <w:r>
        <w:rPr>
          <w:rFonts w:ascii="David" w:hAnsi="David" w:cs="David" w:hint="cs"/>
          <w:rtl/>
        </w:rPr>
        <w:t xml:space="preserve">, אחד הכלים להתמודדות עם בעיות בריאות הוא שירותי </w:t>
      </w:r>
      <w:r w:rsidR="00F343A3">
        <w:rPr>
          <w:rFonts w:ascii="David" w:hAnsi="David" w:cs="David" w:hint="cs"/>
          <w:rtl/>
        </w:rPr>
        <w:t xml:space="preserve">בריאות נוספים וביטוחים הקיימים לצורך זה. </w:t>
      </w:r>
      <w:r w:rsidR="00B53611">
        <w:rPr>
          <w:rFonts w:ascii="David" w:hAnsi="David" w:cs="David" w:hint="cs"/>
          <w:rtl/>
        </w:rPr>
        <w:t>ביטוחים אלו קיימים פחות בקרב האוכלוסייה הלא יהודית ובפריפריה</w:t>
      </w:r>
      <w:r w:rsidR="000C09F5">
        <w:rPr>
          <w:rFonts w:ascii="David" w:hAnsi="David" w:cs="David" w:hint="cs"/>
          <w:rtl/>
        </w:rPr>
        <w:t xml:space="preserve"> (פרץ ואחרים, 2021)</w:t>
      </w:r>
      <w:r w:rsidR="00B53611">
        <w:rPr>
          <w:rFonts w:ascii="David" w:hAnsi="David" w:cs="David" w:hint="cs"/>
          <w:rtl/>
        </w:rPr>
        <w:t>.</w:t>
      </w:r>
      <w:r w:rsidR="009A23C4">
        <w:rPr>
          <w:rFonts w:ascii="David" w:hAnsi="David" w:cs="David" w:hint="cs"/>
          <w:rtl/>
        </w:rPr>
        <w:t xml:space="preserve"> ההשקעה במניעה כמו</w:t>
      </w:r>
      <w:r w:rsidR="00B53611">
        <w:rPr>
          <w:rFonts w:ascii="David" w:hAnsi="David" w:cs="David" w:hint="cs"/>
          <w:rtl/>
        </w:rPr>
        <w:t xml:space="preserve"> </w:t>
      </w:r>
      <w:r w:rsidR="00DE3118" w:rsidRPr="009A23C4">
        <w:rPr>
          <w:rFonts w:ascii="David" w:hAnsi="David" w:cs="David" w:hint="cs"/>
          <w:b/>
          <w:bCs/>
          <w:rtl/>
        </w:rPr>
        <w:t>שמירה על אורח חיים בריא</w:t>
      </w:r>
      <w:r w:rsidR="00DE3118">
        <w:rPr>
          <w:rFonts w:ascii="David" w:hAnsi="David" w:cs="David" w:hint="cs"/>
          <w:rtl/>
        </w:rPr>
        <w:t xml:space="preserve"> </w:t>
      </w:r>
      <w:r w:rsidR="009A23C4">
        <w:rPr>
          <w:rFonts w:ascii="David" w:hAnsi="David" w:cs="David" w:hint="cs"/>
          <w:rtl/>
        </w:rPr>
        <w:t xml:space="preserve"> - </w:t>
      </w:r>
      <w:r w:rsidR="00D31F0F">
        <w:rPr>
          <w:rFonts w:ascii="David" w:hAnsi="David" w:cs="David" w:hint="cs"/>
          <w:rtl/>
        </w:rPr>
        <w:t>התנזרות מעישון, שמירה על פעילות גופנית בשעות הפנאי</w:t>
      </w:r>
      <w:r w:rsidR="000D585C">
        <w:rPr>
          <w:rFonts w:ascii="David" w:hAnsi="David" w:cs="David" w:hint="cs"/>
          <w:rtl/>
        </w:rPr>
        <w:t>, תזונה נכונה, היעדר עודף משקל והשמנה</w:t>
      </w:r>
      <w:r w:rsidR="009A23C4">
        <w:rPr>
          <w:rFonts w:ascii="David" w:hAnsi="David" w:cs="David" w:hint="cs"/>
          <w:rtl/>
        </w:rPr>
        <w:t>,</w:t>
      </w:r>
      <w:r w:rsidR="000D585C">
        <w:rPr>
          <w:rFonts w:ascii="David" w:hAnsi="David" w:cs="David" w:hint="cs"/>
          <w:rtl/>
        </w:rPr>
        <w:t xml:space="preserve"> </w:t>
      </w:r>
      <w:r w:rsidR="00DE3118">
        <w:rPr>
          <w:rFonts w:ascii="David" w:hAnsi="David" w:cs="David" w:hint="cs"/>
          <w:rtl/>
        </w:rPr>
        <w:t>נפוצה יותר</w:t>
      </w:r>
      <w:r w:rsidR="0039304B">
        <w:rPr>
          <w:rFonts w:ascii="David" w:hAnsi="David" w:cs="David" w:hint="cs"/>
          <w:rtl/>
        </w:rPr>
        <w:t xml:space="preserve"> </w:t>
      </w:r>
      <w:r w:rsidR="009A23C4">
        <w:rPr>
          <w:rFonts w:ascii="David" w:hAnsi="David" w:cs="David" w:hint="cs"/>
          <w:rtl/>
        </w:rPr>
        <w:t xml:space="preserve">בקרב </w:t>
      </w:r>
      <w:r w:rsidR="00031670">
        <w:rPr>
          <w:rFonts w:ascii="David" w:hAnsi="David" w:cs="David" w:hint="cs"/>
          <w:rtl/>
        </w:rPr>
        <w:t xml:space="preserve">נשואים, </w:t>
      </w:r>
      <w:r w:rsidR="00E51068">
        <w:rPr>
          <w:rFonts w:ascii="David" w:hAnsi="David" w:cs="David" w:hint="cs"/>
          <w:rtl/>
        </w:rPr>
        <w:t xml:space="preserve">בעלי השכלה והכנסה גבוהה, </w:t>
      </w:r>
      <w:r w:rsidR="00A96A25">
        <w:rPr>
          <w:rFonts w:ascii="David" w:hAnsi="David" w:cs="David" w:hint="cs"/>
          <w:rtl/>
        </w:rPr>
        <w:t>ובקרב האוכלוסייה הדתית</w:t>
      </w:r>
      <w:r w:rsidR="00DE3118">
        <w:rPr>
          <w:rFonts w:ascii="David" w:hAnsi="David" w:cs="David" w:hint="cs"/>
          <w:rtl/>
        </w:rPr>
        <w:t xml:space="preserve"> </w:t>
      </w:r>
      <w:r w:rsidR="00000A70">
        <w:rPr>
          <w:rFonts w:ascii="David" w:hAnsi="David" w:cs="David" w:hint="cs"/>
          <w:rtl/>
        </w:rPr>
        <w:t>(</w:t>
      </w:r>
      <w:r w:rsidR="00FB67B9">
        <w:rPr>
          <w:rFonts w:ascii="David" w:hAnsi="David" w:cs="David" w:hint="cs"/>
          <w:rtl/>
        </w:rPr>
        <w:t xml:space="preserve">מאגר ידע בנושא אי שוויון בבריאות, 2021). </w:t>
      </w:r>
      <w:r w:rsidR="00000A70">
        <w:rPr>
          <w:rFonts w:ascii="David" w:hAnsi="David" w:cs="David" w:hint="cs"/>
          <w:rtl/>
        </w:rPr>
        <w:t xml:space="preserve"> </w:t>
      </w:r>
    </w:p>
    <w:p w14:paraId="6E056D57" w14:textId="7BE881F0" w:rsidR="00DA6397" w:rsidRPr="00F701B8" w:rsidRDefault="00340711" w:rsidP="00DA6397">
      <w:pPr>
        <w:pStyle w:val="NormalWeb"/>
        <w:bidi/>
        <w:spacing w:before="120" w:beforeAutospacing="0" w:after="120" w:afterAutospacing="0" w:line="312" w:lineRule="auto"/>
        <w:jc w:val="both"/>
        <w:textAlignment w:val="baseline"/>
        <w:rPr>
          <w:rFonts w:ascii="David" w:hAnsi="David" w:cs="David"/>
          <w:color w:val="4472C4" w:themeColor="accent1"/>
          <w:sz w:val="28"/>
          <w:szCs w:val="28"/>
          <w:rtl/>
        </w:rPr>
      </w:pPr>
      <w:r>
        <w:rPr>
          <w:rFonts w:ascii="David" w:hAnsi="David" w:cs="David" w:hint="cs"/>
          <w:color w:val="4472C4" w:themeColor="accent1"/>
          <w:sz w:val="28"/>
          <w:szCs w:val="28"/>
          <w:rtl/>
        </w:rPr>
        <w:t>אי שוויון ופערים</w:t>
      </w:r>
      <w:r w:rsidR="00A2634E" w:rsidRPr="00F701B8">
        <w:rPr>
          <w:rFonts w:ascii="David" w:hAnsi="David" w:cs="David" w:hint="cs"/>
          <w:color w:val="4472C4" w:themeColor="accent1"/>
          <w:sz w:val="28"/>
          <w:szCs w:val="28"/>
          <w:rtl/>
        </w:rPr>
        <w:t xml:space="preserve"> בין מרכז ופריפריה</w:t>
      </w:r>
    </w:p>
    <w:p w14:paraId="512952EB" w14:textId="05782083" w:rsidR="00340AEB" w:rsidRPr="00DA6397" w:rsidRDefault="001B4C7A" w:rsidP="00DA6397">
      <w:pPr>
        <w:pStyle w:val="NormalWeb"/>
        <w:bidi/>
        <w:spacing w:before="120" w:beforeAutospacing="0" w:after="120" w:afterAutospacing="0" w:line="312" w:lineRule="auto"/>
        <w:jc w:val="both"/>
        <w:textAlignment w:val="baseline"/>
        <w:rPr>
          <w:rFonts w:ascii="David" w:hAnsi="David" w:cs="David"/>
          <w:b/>
          <w:bCs/>
          <w:rtl/>
        </w:rPr>
      </w:pPr>
      <w:r>
        <w:rPr>
          <w:rFonts w:ascii="David" w:hAnsi="David" w:cs="David" w:hint="cs"/>
          <w:rtl/>
        </w:rPr>
        <w:t xml:space="preserve">דוח </w:t>
      </w:r>
      <w:r w:rsidR="00E53572">
        <w:rPr>
          <w:rFonts w:ascii="David" w:hAnsi="David" w:cs="David" w:hint="cs"/>
          <w:rtl/>
        </w:rPr>
        <w:t>הלשכה המרכזית לסטטיסטיקה (2019) מצביע על פערים גדולים בין מרכז לפריפריה בישראל</w:t>
      </w:r>
      <w:r w:rsidR="0066051D">
        <w:rPr>
          <w:rFonts w:ascii="David" w:hAnsi="David" w:cs="David" w:hint="cs"/>
          <w:rtl/>
        </w:rPr>
        <w:t>, הנמדדת לפי מידת הריחוק ממחוז תל אביב</w:t>
      </w:r>
      <w:r w:rsidR="0066051D">
        <w:rPr>
          <w:rStyle w:val="ab"/>
          <w:rFonts w:ascii="David" w:hAnsi="David" w:cs="David"/>
          <w:rtl/>
        </w:rPr>
        <w:footnoteReference w:id="5"/>
      </w:r>
      <w:r w:rsidR="00E53572">
        <w:rPr>
          <w:rFonts w:ascii="David" w:hAnsi="David" w:cs="David" w:hint="cs"/>
          <w:rtl/>
        </w:rPr>
        <w:t xml:space="preserve">. </w:t>
      </w:r>
      <w:r w:rsidR="00B069CA">
        <w:rPr>
          <w:rFonts w:ascii="David" w:hAnsi="David" w:cs="David" w:hint="cs"/>
          <w:rtl/>
        </w:rPr>
        <w:t>לפי נתוני הדוח, כ-</w:t>
      </w:r>
      <w:r w:rsidR="00906BBA">
        <w:rPr>
          <w:rFonts w:ascii="David" w:hAnsi="David" w:cs="David" w:hint="cs"/>
          <w:rtl/>
        </w:rPr>
        <w:t>2</w:t>
      </w:r>
      <w:r w:rsidR="00B069CA">
        <w:rPr>
          <w:rFonts w:ascii="David" w:hAnsi="David" w:cs="David" w:hint="cs"/>
          <w:rtl/>
        </w:rPr>
        <w:t>0% מאוכלוסיית ישראל מתגוררת ב</w:t>
      </w:r>
      <w:r w:rsidR="00E70091">
        <w:rPr>
          <w:rFonts w:ascii="David" w:hAnsi="David" w:cs="David" w:hint="cs"/>
          <w:rtl/>
        </w:rPr>
        <w:t>יישובים המוגדרים כ"</w:t>
      </w:r>
      <w:r w:rsidR="0051026F">
        <w:rPr>
          <w:rFonts w:ascii="David" w:hAnsi="David" w:cs="David" w:hint="cs"/>
          <w:rtl/>
        </w:rPr>
        <w:t>פריפריאל</w:t>
      </w:r>
      <w:r w:rsidR="00E70091">
        <w:rPr>
          <w:rFonts w:ascii="David" w:hAnsi="David" w:cs="David" w:hint="cs"/>
          <w:rtl/>
        </w:rPr>
        <w:t>י</w:t>
      </w:r>
      <w:r w:rsidR="00906BBA">
        <w:rPr>
          <w:rFonts w:ascii="David" w:hAnsi="David" w:cs="David" w:hint="cs"/>
          <w:rtl/>
        </w:rPr>
        <w:t>י</w:t>
      </w:r>
      <w:r w:rsidR="00E70091">
        <w:rPr>
          <w:rFonts w:ascii="David" w:hAnsi="David" w:cs="David" w:hint="cs"/>
          <w:rtl/>
        </w:rPr>
        <w:t>ם" או "</w:t>
      </w:r>
      <w:r w:rsidR="00906BBA">
        <w:rPr>
          <w:rFonts w:ascii="David" w:hAnsi="David" w:cs="David" w:hint="cs"/>
          <w:rtl/>
        </w:rPr>
        <w:t>פריפריאליים</w:t>
      </w:r>
      <w:r w:rsidR="00E70091">
        <w:rPr>
          <w:rFonts w:ascii="David" w:hAnsi="David" w:cs="David" w:hint="cs"/>
          <w:rtl/>
        </w:rPr>
        <w:t xml:space="preserve"> מאד</w:t>
      </w:r>
      <w:r w:rsidR="00C2499F">
        <w:rPr>
          <w:rFonts w:ascii="David" w:hAnsi="David" w:cs="David" w:hint="cs"/>
          <w:rtl/>
        </w:rPr>
        <w:t>"</w:t>
      </w:r>
      <w:r w:rsidR="00906BBA">
        <w:rPr>
          <w:rFonts w:ascii="David" w:hAnsi="David" w:cs="David" w:hint="cs"/>
          <w:rtl/>
        </w:rPr>
        <w:t>.</w:t>
      </w:r>
      <w:r w:rsidR="000E2A30">
        <w:rPr>
          <w:rFonts w:ascii="David" w:hAnsi="David" w:cs="David" w:hint="cs"/>
          <w:rtl/>
        </w:rPr>
        <w:t xml:space="preserve"> </w:t>
      </w:r>
    </w:p>
    <w:p w14:paraId="7B25C0D8" w14:textId="646D5A2F" w:rsidR="00E519DB" w:rsidRDefault="00340AEB" w:rsidP="00184FA7">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lastRenderedPageBreak/>
        <w:t xml:space="preserve">האוכלוסייה המתגוררת ביישובים פריפריאליים מאופיינת </w:t>
      </w:r>
      <w:r w:rsidR="00475027">
        <w:rPr>
          <w:rFonts w:ascii="David" w:hAnsi="David" w:cs="David" w:hint="cs"/>
          <w:rtl/>
        </w:rPr>
        <w:t xml:space="preserve">ברמת הכנסה נמוכה יותר מזו של המתגוררים במרכז, </w:t>
      </w:r>
      <w:r w:rsidR="00A16A5F">
        <w:rPr>
          <w:rFonts w:ascii="David" w:hAnsi="David" w:cs="David" w:hint="cs"/>
          <w:rtl/>
        </w:rPr>
        <w:t>ו</w:t>
      </w:r>
      <w:r w:rsidR="009E0EC4">
        <w:rPr>
          <w:rFonts w:ascii="David" w:hAnsi="David" w:cs="David" w:hint="cs"/>
          <w:rtl/>
        </w:rPr>
        <w:t xml:space="preserve">בשיעור גבוה של </w:t>
      </w:r>
      <w:r w:rsidR="004A23E5">
        <w:rPr>
          <w:rFonts w:ascii="David" w:hAnsi="David" w:cs="David" w:hint="cs"/>
          <w:rtl/>
        </w:rPr>
        <w:t>מדווחים כי ויתרו על אוכל</w:t>
      </w:r>
      <w:r w:rsidR="001F5359">
        <w:rPr>
          <w:rFonts w:ascii="David" w:hAnsi="David" w:cs="David" w:hint="cs"/>
          <w:rtl/>
        </w:rPr>
        <w:t>, תרופות</w:t>
      </w:r>
      <w:r w:rsidR="004A23E5">
        <w:rPr>
          <w:rFonts w:ascii="David" w:hAnsi="David" w:cs="David" w:hint="cs"/>
          <w:rtl/>
        </w:rPr>
        <w:t xml:space="preserve"> או </w:t>
      </w:r>
      <w:r w:rsidR="00E4440F">
        <w:rPr>
          <w:rFonts w:ascii="David" w:hAnsi="David" w:cs="David" w:hint="cs"/>
          <w:rtl/>
        </w:rPr>
        <w:t>טיפול רפואי עקב קשיים כלכליים בהשוואה למתגוררים ביישובים במרכז</w:t>
      </w:r>
      <w:r w:rsidR="00D62946">
        <w:rPr>
          <w:rFonts w:ascii="David" w:hAnsi="David" w:cs="David" w:hint="cs"/>
          <w:rtl/>
        </w:rPr>
        <w:t xml:space="preserve">. </w:t>
      </w:r>
      <w:r w:rsidR="000A6E2C">
        <w:rPr>
          <w:rFonts w:ascii="David" w:hAnsi="David" w:cs="David" w:hint="cs"/>
          <w:rtl/>
        </w:rPr>
        <w:t xml:space="preserve">בתחום התעסוקה, בפריפריה אחוז גבוה יותר של בלתי מועסקים </w:t>
      </w:r>
      <w:r w:rsidR="00D042E5">
        <w:rPr>
          <w:rFonts w:ascii="David" w:hAnsi="David" w:cs="David" w:hint="cs"/>
          <w:rtl/>
        </w:rPr>
        <w:t>והמועסקים עובדים במשלחי יד בדירוג נמוך יותר</w:t>
      </w:r>
      <w:r w:rsidR="00184FA7">
        <w:rPr>
          <w:rFonts w:ascii="David" w:hAnsi="David" w:cs="David" w:hint="cs"/>
          <w:rtl/>
        </w:rPr>
        <w:t xml:space="preserve">. </w:t>
      </w:r>
      <w:r w:rsidR="00EB237B">
        <w:rPr>
          <w:rFonts w:ascii="David" w:hAnsi="David" w:cs="David" w:hint="cs"/>
          <w:rtl/>
        </w:rPr>
        <w:t xml:space="preserve">האוכלוסייה המתגוררת ביישובים </w:t>
      </w:r>
      <w:r w:rsidR="00487087">
        <w:rPr>
          <w:rFonts w:ascii="David" w:hAnsi="David" w:cs="David" w:hint="cs"/>
          <w:rtl/>
        </w:rPr>
        <w:t xml:space="preserve">הפריפריאליים </w:t>
      </w:r>
      <w:r w:rsidR="00EB237B">
        <w:rPr>
          <w:rFonts w:ascii="David" w:hAnsi="David" w:cs="David" w:hint="cs"/>
          <w:rtl/>
        </w:rPr>
        <w:t>מאופיינת</w:t>
      </w:r>
      <w:r w:rsidR="00A17E02">
        <w:rPr>
          <w:rFonts w:ascii="David" w:hAnsi="David" w:cs="David" w:hint="cs"/>
          <w:rtl/>
        </w:rPr>
        <w:t xml:space="preserve"> </w:t>
      </w:r>
      <w:r w:rsidR="00487087">
        <w:rPr>
          <w:rFonts w:ascii="David" w:hAnsi="David" w:cs="David" w:hint="cs"/>
          <w:rtl/>
        </w:rPr>
        <w:t xml:space="preserve">בשיעור בלתי מועסקים גבוה, ומצב בריאות </w:t>
      </w:r>
      <w:r w:rsidR="003B5EA3">
        <w:rPr>
          <w:rFonts w:ascii="David" w:hAnsi="David" w:cs="David" w:hint="cs"/>
          <w:rtl/>
        </w:rPr>
        <w:t xml:space="preserve">ותשתיות של שירותי בריאות נמוכים יותר בהשוואה לאוכלוסייה המתגוררת </w:t>
      </w:r>
      <w:r w:rsidR="00406946">
        <w:rPr>
          <w:rFonts w:ascii="David" w:hAnsi="David" w:cs="David" w:hint="cs"/>
          <w:rtl/>
        </w:rPr>
        <w:t>ב</w:t>
      </w:r>
      <w:r w:rsidR="003B5EA3">
        <w:rPr>
          <w:rFonts w:ascii="David" w:hAnsi="David" w:cs="David" w:hint="cs"/>
          <w:rtl/>
        </w:rPr>
        <w:t>מרכז הארץ</w:t>
      </w:r>
      <w:r w:rsidR="00184FA7">
        <w:rPr>
          <w:rFonts w:ascii="David" w:hAnsi="David" w:cs="David" w:hint="cs"/>
          <w:rtl/>
        </w:rPr>
        <w:t xml:space="preserve">  (</w:t>
      </w:r>
      <w:proofErr w:type="spellStart"/>
      <w:r w:rsidR="00184FA7">
        <w:rPr>
          <w:rFonts w:ascii="David" w:hAnsi="David" w:cs="David" w:hint="cs"/>
          <w:rtl/>
        </w:rPr>
        <w:t>הלמ"ס</w:t>
      </w:r>
      <w:proofErr w:type="spellEnd"/>
      <w:r w:rsidR="00184FA7">
        <w:rPr>
          <w:rFonts w:ascii="David" w:hAnsi="David" w:cs="David" w:hint="cs"/>
          <w:rtl/>
        </w:rPr>
        <w:t>, 2019</w:t>
      </w:r>
      <w:r w:rsidR="00D308C3">
        <w:rPr>
          <w:rFonts w:ascii="David" w:hAnsi="David" w:cs="David" w:hint="cs"/>
          <w:rtl/>
        </w:rPr>
        <w:t xml:space="preserve">; </w:t>
      </w:r>
      <w:proofErr w:type="spellStart"/>
      <w:r w:rsidR="003876D4">
        <w:rPr>
          <w:rFonts w:ascii="David" w:hAnsi="David" w:cs="David"/>
        </w:rPr>
        <w:t>Machlica</w:t>
      </w:r>
      <w:proofErr w:type="spellEnd"/>
      <w:r w:rsidR="003876D4">
        <w:rPr>
          <w:rFonts w:ascii="David" w:hAnsi="David" w:cs="David"/>
        </w:rPr>
        <w:t>, 2020</w:t>
      </w:r>
      <w:r w:rsidR="00184FA7">
        <w:rPr>
          <w:rFonts w:ascii="David" w:hAnsi="David" w:cs="David" w:hint="cs"/>
          <w:rtl/>
        </w:rPr>
        <w:t>)</w:t>
      </w:r>
      <w:r w:rsidR="003B5EA3">
        <w:rPr>
          <w:rFonts w:ascii="David" w:hAnsi="David" w:cs="David" w:hint="cs"/>
          <w:rtl/>
        </w:rPr>
        <w:t>.</w:t>
      </w:r>
      <w:r w:rsidR="009463D7">
        <w:rPr>
          <w:rFonts w:ascii="David" w:hAnsi="David" w:cs="David" w:hint="cs"/>
          <w:rtl/>
        </w:rPr>
        <w:t xml:space="preserve"> </w:t>
      </w:r>
    </w:p>
    <w:p w14:paraId="192D582B" w14:textId="78AA07AD" w:rsidR="00A6692A" w:rsidRDefault="00A6692A" w:rsidP="00A6692A">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בתחום הבריאות, </w:t>
      </w:r>
      <w:r w:rsidR="009F3749">
        <w:rPr>
          <w:rFonts w:ascii="David" w:hAnsi="David" w:cs="David" w:hint="cs"/>
          <w:rtl/>
        </w:rPr>
        <w:t xml:space="preserve">ביישובי הפריפריה שיעורים גבוהים יותר של תמותת תינוקות </w:t>
      </w:r>
      <w:r w:rsidR="00F84461">
        <w:rPr>
          <w:rFonts w:ascii="David" w:hAnsi="David" w:cs="David" w:hint="cs"/>
          <w:rtl/>
        </w:rPr>
        <w:t>ו</w:t>
      </w:r>
      <w:r w:rsidR="009F3749">
        <w:rPr>
          <w:rFonts w:ascii="David" w:hAnsi="David" w:cs="David" w:hint="cs"/>
          <w:rtl/>
        </w:rPr>
        <w:t>תמותה ממחלות ממאירות</w:t>
      </w:r>
      <w:r w:rsidR="00F84461">
        <w:rPr>
          <w:rFonts w:ascii="David" w:hAnsi="David" w:cs="David" w:hint="cs"/>
          <w:rtl/>
        </w:rPr>
        <w:t xml:space="preserve">, </w:t>
      </w:r>
      <w:r w:rsidR="00463EE3">
        <w:rPr>
          <w:rFonts w:ascii="David" w:hAnsi="David" w:cs="David" w:hint="cs"/>
          <w:rtl/>
        </w:rPr>
        <w:t>ושיעורי התנהגות בריאותית (</w:t>
      </w:r>
      <w:r w:rsidR="00C909EA">
        <w:rPr>
          <w:rFonts w:ascii="David" w:hAnsi="David" w:cs="David" w:hint="cs"/>
          <w:rtl/>
        </w:rPr>
        <w:t xml:space="preserve">ללא </w:t>
      </w:r>
      <w:r w:rsidR="00463EE3">
        <w:rPr>
          <w:rFonts w:ascii="David" w:hAnsi="David" w:cs="David" w:hint="cs"/>
          <w:rtl/>
        </w:rPr>
        <w:t xml:space="preserve">עישון, </w:t>
      </w:r>
      <w:r w:rsidR="00B41759">
        <w:rPr>
          <w:rFonts w:ascii="David" w:hAnsi="David" w:cs="David" w:hint="cs"/>
          <w:rtl/>
        </w:rPr>
        <w:t xml:space="preserve">עודף משקל וביצוע פעילות גופנית) </w:t>
      </w:r>
      <w:r w:rsidR="00463EE3">
        <w:rPr>
          <w:rFonts w:ascii="David" w:hAnsi="David" w:cs="David" w:hint="cs"/>
          <w:rtl/>
        </w:rPr>
        <w:t xml:space="preserve">נמוכים יותר בהשוואה למתגוררים ביישובי המרכז. </w:t>
      </w:r>
      <w:r w:rsidR="000C70C8">
        <w:rPr>
          <w:rFonts w:ascii="David" w:hAnsi="David" w:cs="David" w:hint="cs"/>
          <w:rtl/>
        </w:rPr>
        <w:t>היקף הצוותים הרפואיים</w:t>
      </w:r>
      <w:r w:rsidR="00C7466A">
        <w:rPr>
          <w:rFonts w:ascii="David" w:hAnsi="David" w:cs="David" w:hint="cs"/>
          <w:rtl/>
        </w:rPr>
        <w:t xml:space="preserve"> ורמת הכשרתם</w:t>
      </w:r>
      <w:r w:rsidR="000C70C8">
        <w:rPr>
          <w:rFonts w:ascii="David" w:hAnsi="David" w:cs="David" w:hint="cs"/>
          <w:rtl/>
        </w:rPr>
        <w:t xml:space="preserve"> </w:t>
      </w:r>
      <w:r w:rsidR="00C7466A">
        <w:rPr>
          <w:rFonts w:ascii="David" w:hAnsi="David" w:cs="David" w:hint="cs"/>
          <w:rtl/>
        </w:rPr>
        <w:t>ו</w:t>
      </w:r>
      <w:r w:rsidR="000F180B">
        <w:rPr>
          <w:rFonts w:ascii="David" w:hAnsi="David" w:cs="David" w:hint="cs"/>
          <w:rtl/>
        </w:rPr>
        <w:t xml:space="preserve">זמינות שירותי הבריאות </w:t>
      </w:r>
      <w:r w:rsidR="0018530C">
        <w:rPr>
          <w:rFonts w:ascii="David" w:hAnsi="David" w:cs="David" w:hint="cs"/>
          <w:rtl/>
        </w:rPr>
        <w:t>מצומצ</w:t>
      </w:r>
      <w:r w:rsidR="00C7466A">
        <w:rPr>
          <w:rFonts w:ascii="David" w:hAnsi="David" w:cs="David" w:hint="cs"/>
          <w:rtl/>
        </w:rPr>
        <w:t>מי</w:t>
      </w:r>
      <w:r w:rsidR="0018530C">
        <w:rPr>
          <w:rFonts w:ascii="David" w:hAnsi="David" w:cs="David" w:hint="cs"/>
          <w:rtl/>
        </w:rPr>
        <w:t>ם יותר</w:t>
      </w:r>
      <w:r w:rsidR="000F180B">
        <w:rPr>
          <w:rFonts w:ascii="David" w:hAnsi="David" w:cs="David" w:hint="cs"/>
          <w:rtl/>
        </w:rPr>
        <w:t xml:space="preserve"> בפריפריה</w:t>
      </w:r>
      <w:r w:rsidR="0076335A">
        <w:rPr>
          <w:rFonts w:ascii="David" w:hAnsi="David" w:cs="David" w:hint="cs"/>
          <w:rtl/>
        </w:rPr>
        <w:t xml:space="preserve"> (לוי </w:t>
      </w:r>
      <w:proofErr w:type="spellStart"/>
      <w:r w:rsidR="0076335A">
        <w:rPr>
          <w:rFonts w:ascii="David" w:hAnsi="David" w:cs="David" w:hint="cs"/>
          <w:rtl/>
        </w:rPr>
        <w:t>ודוידוביץ</w:t>
      </w:r>
      <w:proofErr w:type="spellEnd"/>
      <w:r w:rsidR="0076335A">
        <w:rPr>
          <w:rFonts w:ascii="David" w:hAnsi="David" w:cs="David" w:hint="cs"/>
          <w:rtl/>
        </w:rPr>
        <w:t>, 2022)</w:t>
      </w:r>
      <w:r w:rsidR="0018530C">
        <w:rPr>
          <w:rFonts w:ascii="David" w:hAnsi="David" w:cs="David" w:hint="cs"/>
          <w:rtl/>
        </w:rPr>
        <w:t xml:space="preserve"> </w:t>
      </w:r>
      <w:r w:rsidR="004178BB">
        <w:rPr>
          <w:rFonts w:ascii="David" w:hAnsi="David" w:cs="David" w:hint="cs"/>
          <w:rtl/>
        </w:rPr>
        <w:t xml:space="preserve">לצד זאת, </w:t>
      </w:r>
      <w:r w:rsidR="002104D5">
        <w:rPr>
          <w:rFonts w:ascii="David" w:hAnsi="David" w:cs="David" w:hint="cs"/>
          <w:rtl/>
        </w:rPr>
        <w:t xml:space="preserve">התושבים בפריפריה מביעים </w:t>
      </w:r>
      <w:r w:rsidR="004178BB">
        <w:rPr>
          <w:rFonts w:ascii="David" w:hAnsi="David" w:cs="David" w:hint="cs"/>
          <w:rtl/>
        </w:rPr>
        <w:t xml:space="preserve">תחושת הביטחון האישי גבוהה יותר </w:t>
      </w:r>
      <w:r w:rsidR="00C30899">
        <w:rPr>
          <w:rFonts w:ascii="David" w:hAnsi="David" w:cs="David" w:hint="cs"/>
          <w:rtl/>
        </w:rPr>
        <w:t>בהשוואה ל</w:t>
      </w:r>
      <w:r w:rsidR="002104D5">
        <w:rPr>
          <w:rFonts w:ascii="David" w:hAnsi="David" w:cs="David" w:hint="cs"/>
          <w:rtl/>
        </w:rPr>
        <w:t>תושבים ב</w:t>
      </w:r>
      <w:r w:rsidR="00C30899">
        <w:rPr>
          <w:rFonts w:ascii="David" w:hAnsi="David" w:cs="David" w:hint="cs"/>
          <w:rtl/>
        </w:rPr>
        <w:t>מרכז</w:t>
      </w:r>
      <w:r w:rsidR="002104D5">
        <w:rPr>
          <w:rFonts w:ascii="David" w:hAnsi="David" w:cs="David" w:hint="cs"/>
          <w:rtl/>
        </w:rPr>
        <w:t xml:space="preserve"> (</w:t>
      </w:r>
      <w:proofErr w:type="spellStart"/>
      <w:r w:rsidR="002104D5">
        <w:rPr>
          <w:rFonts w:ascii="David" w:hAnsi="David" w:cs="David" w:hint="cs"/>
          <w:rtl/>
        </w:rPr>
        <w:t>הלמ"ס</w:t>
      </w:r>
      <w:proofErr w:type="spellEnd"/>
      <w:r w:rsidR="002104D5">
        <w:rPr>
          <w:rFonts w:ascii="David" w:hAnsi="David" w:cs="David" w:hint="cs"/>
          <w:rtl/>
        </w:rPr>
        <w:t>, 2019)</w:t>
      </w:r>
      <w:r w:rsidR="00C30899">
        <w:rPr>
          <w:rFonts w:ascii="David" w:hAnsi="David" w:cs="David" w:hint="cs"/>
          <w:rtl/>
        </w:rPr>
        <w:t>.</w:t>
      </w:r>
    </w:p>
    <w:p w14:paraId="5254D2F1" w14:textId="0C2CFF91" w:rsidR="00F86634" w:rsidRDefault="00ED7138" w:rsidP="00F86634">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דוח העוני מתייחס ל</w:t>
      </w:r>
      <w:r w:rsidR="00DB6194">
        <w:rPr>
          <w:rFonts w:ascii="David" w:hAnsi="David" w:cs="David" w:hint="cs"/>
          <w:rtl/>
        </w:rPr>
        <w:t>תחולת העוני לפי מחוזות</w:t>
      </w:r>
      <w:r w:rsidR="001B4C7A">
        <w:rPr>
          <w:rFonts w:ascii="David" w:hAnsi="David" w:cs="David" w:hint="cs"/>
          <w:rtl/>
        </w:rPr>
        <w:t>,</w:t>
      </w:r>
      <w:r w:rsidR="00DB6194">
        <w:rPr>
          <w:rFonts w:ascii="David" w:hAnsi="David" w:cs="David" w:hint="cs"/>
          <w:rtl/>
        </w:rPr>
        <w:t xml:space="preserve"> ומצביע על תחולת עוני גבוהה בעיקר במחוז</w:t>
      </w:r>
      <w:r w:rsidR="001B4C7A">
        <w:rPr>
          <w:rFonts w:ascii="David" w:hAnsi="David" w:cs="David" w:hint="cs"/>
          <w:rtl/>
        </w:rPr>
        <w:t>ות</w:t>
      </w:r>
      <w:r w:rsidR="00DB6194">
        <w:rPr>
          <w:rFonts w:ascii="David" w:hAnsi="David" w:cs="David" w:hint="cs"/>
          <w:rtl/>
        </w:rPr>
        <w:t xml:space="preserve"> ירושלים, </w:t>
      </w:r>
      <w:r w:rsidR="00310165">
        <w:rPr>
          <w:rFonts w:ascii="David" w:hAnsi="David" w:cs="David" w:hint="cs"/>
          <w:rtl/>
        </w:rPr>
        <w:t>הדרום וביהודה ושומרון</w:t>
      </w:r>
      <w:r w:rsidR="0066051D">
        <w:rPr>
          <w:rFonts w:ascii="David" w:hAnsi="David" w:cs="David" w:hint="cs"/>
          <w:rtl/>
        </w:rPr>
        <w:t xml:space="preserve"> (</w:t>
      </w:r>
      <w:proofErr w:type="spellStart"/>
      <w:r w:rsidR="0066051D">
        <w:rPr>
          <w:rFonts w:ascii="David" w:hAnsi="David" w:cs="David" w:hint="cs"/>
          <w:rtl/>
        </w:rPr>
        <w:t>אנדבלד</w:t>
      </w:r>
      <w:proofErr w:type="spellEnd"/>
      <w:r w:rsidR="0066051D">
        <w:rPr>
          <w:rFonts w:ascii="David" w:hAnsi="David" w:cs="David" w:hint="cs"/>
          <w:rtl/>
        </w:rPr>
        <w:t>, 2023)</w:t>
      </w:r>
      <w:r w:rsidR="00310165">
        <w:rPr>
          <w:rFonts w:ascii="David" w:hAnsi="David" w:cs="David" w:hint="cs"/>
          <w:rtl/>
        </w:rPr>
        <w:t xml:space="preserve">. </w:t>
      </w:r>
      <w:r w:rsidR="0018173E">
        <w:rPr>
          <w:rFonts w:ascii="David" w:hAnsi="David" w:cs="David" w:hint="cs"/>
          <w:rtl/>
        </w:rPr>
        <w:t xml:space="preserve">סוגייה זו עולה גם בדוח </w:t>
      </w:r>
      <w:r w:rsidR="00E51434">
        <w:rPr>
          <w:rFonts w:ascii="David" w:hAnsi="David" w:cs="David" w:hint="cs"/>
          <w:rtl/>
        </w:rPr>
        <w:t>ה-</w:t>
      </w:r>
      <w:r w:rsidR="00E51434">
        <w:rPr>
          <w:rFonts w:ascii="David" w:hAnsi="David" w:cs="David" w:hint="cs"/>
        </w:rPr>
        <w:t>OECD</w:t>
      </w:r>
      <w:r w:rsidR="00E51434">
        <w:rPr>
          <w:rFonts w:ascii="David" w:hAnsi="David" w:cs="David" w:hint="cs"/>
          <w:rtl/>
        </w:rPr>
        <w:t xml:space="preserve"> ה</w:t>
      </w:r>
      <w:r w:rsidR="007B6643">
        <w:rPr>
          <w:rFonts w:ascii="David" w:hAnsi="David" w:cs="David" w:hint="cs"/>
          <w:rtl/>
        </w:rPr>
        <w:t>מצביע</w:t>
      </w:r>
      <w:r w:rsidR="00E51434">
        <w:rPr>
          <w:rFonts w:ascii="David" w:hAnsi="David" w:cs="David" w:hint="cs"/>
          <w:rtl/>
        </w:rPr>
        <w:t xml:space="preserve"> </w:t>
      </w:r>
      <w:r w:rsidR="007B6643">
        <w:rPr>
          <w:rFonts w:ascii="David" w:hAnsi="David" w:cs="David" w:hint="cs"/>
          <w:rtl/>
        </w:rPr>
        <w:t xml:space="preserve">על </w:t>
      </w:r>
      <w:r w:rsidR="00E51434">
        <w:rPr>
          <w:rFonts w:ascii="David" w:hAnsi="David" w:cs="David" w:hint="cs"/>
          <w:rtl/>
        </w:rPr>
        <w:t xml:space="preserve">אי שוויון </w:t>
      </w:r>
      <w:r w:rsidR="007B6643">
        <w:rPr>
          <w:rFonts w:ascii="David" w:hAnsi="David" w:cs="David" w:hint="cs"/>
          <w:rtl/>
        </w:rPr>
        <w:t xml:space="preserve">גבוה בין </w:t>
      </w:r>
      <w:r w:rsidR="00E51434">
        <w:rPr>
          <w:rFonts w:ascii="David" w:hAnsi="David" w:cs="David" w:hint="cs"/>
          <w:rtl/>
        </w:rPr>
        <w:t>רשויות מקומיות בישראל</w:t>
      </w:r>
      <w:r w:rsidR="00BD7C5E">
        <w:rPr>
          <w:rFonts w:ascii="David" w:hAnsi="David" w:cs="David" w:hint="cs"/>
          <w:rtl/>
        </w:rPr>
        <w:t xml:space="preserve"> הממוקמות במרכז ובפריפריה</w:t>
      </w:r>
      <w:r w:rsidR="004E3F19">
        <w:rPr>
          <w:rFonts w:ascii="David" w:hAnsi="David" w:cs="David" w:hint="cs"/>
          <w:rtl/>
        </w:rPr>
        <w:t xml:space="preserve"> </w:t>
      </w:r>
      <w:r w:rsidR="00E51434">
        <w:rPr>
          <w:rFonts w:ascii="David" w:hAnsi="David" w:cs="David" w:hint="cs"/>
          <w:rtl/>
        </w:rPr>
        <w:t xml:space="preserve"> (</w:t>
      </w:r>
      <w:r w:rsidR="00E51434">
        <w:rPr>
          <w:rFonts w:ascii="David" w:hAnsi="David" w:cs="David"/>
        </w:rPr>
        <w:t>(</w:t>
      </w:r>
      <w:proofErr w:type="spellStart"/>
      <w:r w:rsidR="00E51434">
        <w:rPr>
          <w:rFonts w:ascii="David" w:hAnsi="David" w:cs="David"/>
        </w:rPr>
        <w:t>Machlica</w:t>
      </w:r>
      <w:proofErr w:type="spellEnd"/>
      <w:r w:rsidR="00E83FB9">
        <w:rPr>
          <w:rFonts w:ascii="David" w:hAnsi="David" w:cs="David"/>
        </w:rPr>
        <w:t>, 2020</w:t>
      </w:r>
      <w:r w:rsidR="00E51434">
        <w:rPr>
          <w:rFonts w:ascii="David" w:hAnsi="David" w:cs="David" w:hint="cs"/>
          <w:rtl/>
        </w:rPr>
        <w:t xml:space="preserve">. </w:t>
      </w:r>
    </w:p>
    <w:p w14:paraId="480C62F2" w14:textId="1D4813C0" w:rsidR="00373948" w:rsidRPr="00B63504" w:rsidRDefault="00340711" w:rsidP="00373948">
      <w:pPr>
        <w:pStyle w:val="NormalWeb"/>
        <w:bidi/>
        <w:spacing w:before="120" w:beforeAutospacing="0" w:after="120" w:afterAutospacing="0" w:line="312" w:lineRule="auto"/>
        <w:jc w:val="both"/>
        <w:textAlignment w:val="baseline"/>
        <w:rPr>
          <w:rFonts w:ascii="David" w:hAnsi="David" w:cs="David"/>
          <w:color w:val="FF0000"/>
          <w:sz w:val="28"/>
          <w:szCs w:val="28"/>
          <w:rtl/>
        </w:rPr>
      </w:pPr>
      <w:r>
        <w:rPr>
          <w:rFonts w:ascii="David" w:hAnsi="David" w:cs="David" w:hint="cs"/>
          <w:color w:val="4472C4" w:themeColor="accent1"/>
          <w:sz w:val="28"/>
          <w:szCs w:val="28"/>
          <w:rtl/>
        </w:rPr>
        <w:t>אי שוויון ו</w:t>
      </w:r>
      <w:r w:rsidR="00C501DD" w:rsidRPr="00F701B8">
        <w:rPr>
          <w:rFonts w:ascii="David" w:hAnsi="David" w:cs="David" w:hint="cs"/>
          <w:color w:val="4472C4" w:themeColor="accent1"/>
          <w:sz w:val="28"/>
          <w:szCs w:val="28"/>
          <w:rtl/>
        </w:rPr>
        <w:t xml:space="preserve">פערים </w:t>
      </w:r>
      <w:r w:rsidR="00B42693" w:rsidRPr="00F701B8">
        <w:rPr>
          <w:rFonts w:ascii="David" w:hAnsi="David" w:cs="David" w:hint="cs"/>
          <w:color w:val="4472C4" w:themeColor="accent1"/>
          <w:sz w:val="28"/>
          <w:szCs w:val="28"/>
          <w:rtl/>
        </w:rPr>
        <w:t xml:space="preserve">לפי </w:t>
      </w:r>
      <w:r w:rsidR="00C501DD" w:rsidRPr="00F701B8">
        <w:rPr>
          <w:rFonts w:ascii="David" w:hAnsi="David" w:cs="David" w:hint="cs"/>
          <w:color w:val="4472C4" w:themeColor="accent1"/>
          <w:sz w:val="28"/>
          <w:szCs w:val="28"/>
          <w:rtl/>
        </w:rPr>
        <w:t xml:space="preserve">רמת השכלה </w:t>
      </w:r>
    </w:p>
    <w:p w14:paraId="62FCB564" w14:textId="42275D37" w:rsidR="00DC18AD" w:rsidRDefault="00DC18AD" w:rsidP="003E25BA">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התפלגות רמת ההשכלה בקרב בני 25 </w:t>
      </w:r>
      <w:r>
        <w:rPr>
          <w:rFonts w:ascii="David" w:hAnsi="David" w:cs="David"/>
          <w:rtl/>
        </w:rPr>
        <w:t>–</w:t>
      </w:r>
      <w:r>
        <w:rPr>
          <w:rFonts w:ascii="David" w:hAnsi="David" w:cs="David" w:hint="cs"/>
          <w:rtl/>
        </w:rPr>
        <w:t xml:space="preserve"> 69 בישראל בשנת 2018 </w:t>
      </w:r>
      <w:r w:rsidR="007337BF">
        <w:rPr>
          <w:rFonts w:ascii="David" w:hAnsi="David" w:cs="David" w:hint="cs"/>
          <w:rtl/>
        </w:rPr>
        <w:t>מעלה כי כשליש (</w:t>
      </w:r>
      <w:r w:rsidR="00E33A15">
        <w:rPr>
          <w:rFonts w:ascii="David" w:hAnsi="David" w:cs="David" w:hint="cs"/>
          <w:rtl/>
        </w:rPr>
        <w:t xml:space="preserve">31%) </w:t>
      </w:r>
      <w:r w:rsidR="007337BF">
        <w:rPr>
          <w:rFonts w:ascii="David" w:hAnsi="David" w:cs="David" w:hint="cs"/>
          <w:rtl/>
        </w:rPr>
        <w:t xml:space="preserve">מהאוכלוסייה בישראל בעלת תואר אקדמי, </w:t>
      </w:r>
      <w:r w:rsidR="00E33A15">
        <w:rPr>
          <w:rFonts w:ascii="David" w:hAnsi="David" w:cs="David" w:hint="cs"/>
          <w:rtl/>
        </w:rPr>
        <w:t xml:space="preserve">ו-7% נוספים בעלי תעודה על-תיכונית לא אקדמית. </w:t>
      </w:r>
      <w:r w:rsidR="007B4AE1">
        <w:rPr>
          <w:rFonts w:ascii="David" w:hAnsi="David" w:cs="David" w:hint="cs"/>
          <w:rtl/>
        </w:rPr>
        <w:t>15% סיימו בית ספר תיכון עם בגרות ו</w:t>
      </w:r>
      <w:r w:rsidR="00DE2D37">
        <w:rPr>
          <w:rFonts w:ascii="David" w:hAnsi="David" w:cs="David" w:hint="cs"/>
          <w:rtl/>
        </w:rPr>
        <w:t>-</w:t>
      </w:r>
      <w:r w:rsidR="002A547A">
        <w:rPr>
          <w:rFonts w:ascii="David" w:hAnsi="David" w:cs="David" w:hint="cs"/>
          <w:rtl/>
        </w:rPr>
        <w:t xml:space="preserve">26% נוספים סיימו בית ספר תיכון. חמישית מהאוכלוסייה בישראל </w:t>
      </w:r>
      <w:r w:rsidR="00A876FC">
        <w:rPr>
          <w:rFonts w:ascii="David" w:hAnsi="David" w:cs="David" w:hint="cs"/>
          <w:rtl/>
        </w:rPr>
        <w:t xml:space="preserve">בעלי השכלה הנמוכה מבית ספר תיכון. </w:t>
      </w:r>
      <w:r w:rsidR="00CA6124">
        <w:rPr>
          <w:rFonts w:ascii="David" w:hAnsi="David" w:cs="David" w:hint="cs"/>
          <w:rtl/>
        </w:rPr>
        <w:t>נשים יותר משכילות מגברים בכל קבוצות האוכלוסייה</w:t>
      </w:r>
      <w:r w:rsidR="00496179">
        <w:rPr>
          <w:rFonts w:ascii="David" w:hAnsi="David" w:cs="David" w:hint="cs"/>
          <w:rtl/>
        </w:rPr>
        <w:t xml:space="preserve"> (הלשכה המרכזית לסטטיסטיקה,</w:t>
      </w:r>
      <w:r w:rsidR="00210FB4">
        <w:rPr>
          <w:rFonts w:ascii="David" w:hAnsi="David" w:cs="David" w:hint="cs"/>
          <w:rtl/>
        </w:rPr>
        <w:t xml:space="preserve"> 2021</w:t>
      </w:r>
      <w:r w:rsidR="00496179">
        <w:rPr>
          <w:rFonts w:ascii="David" w:hAnsi="David" w:cs="David" w:hint="cs"/>
          <w:rtl/>
        </w:rPr>
        <w:t>)</w:t>
      </w:r>
      <w:r w:rsidR="0084722A">
        <w:rPr>
          <w:rFonts w:ascii="David" w:hAnsi="David" w:cs="David" w:hint="cs"/>
          <w:rtl/>
        </w:rPr>
        <w:t xml:space="preserve">. </w:t>
      </w:r>
    </w:p>
    <w:p w14:paraId="55F205CD" w14:textId="044A7A7C" w:rsidR="007B0BC8" w:rsidRPr="0032303A" w:rsidRDefault="0032303A" w:rsidP="007B0BC8">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ניתוח מאפייני האוכלוסייה בישראל לפי רמת השכלה </w:t>
      </w:r>
      <w:r w:rsidR="00BA66F7">
        <w:rPr>
          <w:rFonts w:ascii="David" w:hAnsi="David" w:cs="David" w:hint="cs"/>
          <w:rtl/>
        </w:rPr>
        <w:t xml:space="preserve">(הלשכה המרכזית לסטטיסטיקה, </w:t>
      </w:r>
      <w:r w:rsidR="00210FB4">
        <w:rPr>
          <w:rFonts w:ascii="David" w:hAnsi="David" w:cs="David" w:hint="cs"/>
          <w:rtl/>
        </w:rPr>
        <w:t>2021</w:t>
      </w:r>
      <w:r w:rsidR="00BA66F7">
        <w:rPr>
          <w:rFonts w:ascii="David" w:hAnsi="David" w:cs="David" w:hint="cs"/>
          <w:rtl/>
        </w:rPr>
        <w:t xml:space="preserve">) </w:t>
      </w:r>
      <w:r w:rsidR="00E10CD6">
        <w:rPr>
          <w:rFonts w:ascii="David" w:hAnsi="David" w:cs="David" w:hint="cs"/>
          <w:rtl/>
        </w:rPr>
        <w:t xml:space="preserve">מצביע על </w:t>
      </w:r>
      <w:r w:rsidR="003E26C8">
        <w:rPr>
          <w:rFonts w:ascii="David" w:hAnsi="David" w:cs="David" w:hint="cs"/>
          <w:rtl/>
        </w:rPr>
        <w:t>תרומת רמת ההשכלה ל</w:t>
      </w:r>
      <w:r w:rsidR="00686C0B">
        <w:rPr>
          <w:rFonts w:ascii="David" w:hAnsi="David" w:cs="David" w:hint="cs"/>
          <w:rtl/>
        </w:rPr>
        <w:t>רווחה אישית, רישות חברתי, מעורבות חברתית וקהילתית ול</w:t>
      </w:r>
      <w:r w:rsidR="009F01DA">
        <w:rPr>
          <w:rFonts w:ascii="David" w:hAnsi="David" w:cs="David" w:hint="cs"/>
          <w:rtl/>
        </w:rPr>
        <w:t>שביעות רצון ממקום ה</w:t>
      </w:r>
      <w:r w:rsidR="00BF683A">
        <w:rPr>
          <w:rFonts w:ascii="David" w:hAnsi="David" w:cs="David" w:hint="cs"/>
          <w:rtl/>
        </w:rPr>
        <w:t>מגורים</w:t>
      </w:r>
      <w:r w:rsidR="006A6E64">
        <w:rPr>
          <w:rFonts w:ascii="David" w:hAnsi="David" w:cs="David" w:hint="cs"/>
          <w:rtl/>
        </w:rPr>
        <w:t xml:space="preserve">. הנתונים מצביעים </w:t>
      </w:r>
      <w:r w:rsidR="00496179">
        <w:rPr>
          <w:rFonts w:ascii="David" w:hAnsi="David" w:cs="David" w:hint="cs"/>
          <w:rtl/>
        </w:rPr>
        <w:t xml:space="preserve">על </w:t>
      </w:r>
      <w:r w:rsidR="000F1F3F">
        <w:rPr>
          <w:rFonts w:ascii="David" w:hAnsi="David" w:cs="David" w:hint="cs"/>
          <w:rtl/>
        </w:rPr>
        <w:t xml:space="preserve">כך שככל שרמת ההשכלה גבוהה יותר כך קיימת </w:t>
      </w:r>
      <w:r w:rsidR="00496179">
        <w:rPr>
          <w:rFonts w:ascii="David" w:hAnsi="David" w:cs="David" w:hint="cs"/>
          <w:rtl/>
        </w:rPr>
        <w:t>שביעות רצון גבוהה יותר מהחיים</w:t>
      </w:r>
      <w:r w:rsidR="00E61939">
        <w:rPr>
          <w:rFonts w:ascii="David" w:hAnsi="David" w:cs="David" w:hint="cs"/>
          <w:rtl/>
        </w:rPr>
        <w:t>, אופטימיות, יציבות כלכלית</w:t>
      </w:r>
      <w:r w:rsidR="0079600B">
        <w:rPr>
          <w:rFonts w:ascii="David" w:hAnsi="David" w:cs="David" w:hint="cs"/>
          <w:rtl/>
        </w:rPr>
        <w:t xml:space="preserve"> (המאפשרת טיפול רפואי הולם ורכישת תרופות במידת הצורך)</w:t>
      </w:r>
      <w:r w:rsidR="00E61939">
        <w:rPr>
          <w:rFonts w:ascii="David" w:hAnsi="David" w:cs="David" w:hint="cs"/>
          <w:rtl/>
        </w:rPr>
        <w:t xml:space="preserve"> והזדמנויות רבות יותר לנופש</w:t>
      </w:r>
      <w:r w:rsidR="007F62B2">
        <w:rPr>
          <w:rFonts w:ascii="David" w:hAnsi="David" w:cs="David" w:hint="cs"/>
          <w:rtl/>
        </w:rPr>
        <w:t xml:space="preserve">. </w:t>
      </w:r>
      <w:r w:rsidR="0044048B">
        <w:rPr>
          <w:rFonts w:ascii="David" w:hAnsi="David" w:cs="David" w:hint="cs"/>
          <w:rtl/>
        </w:rPr>
        <w:t xml:space="preserve">גם בתחום החברתי, </w:t>
      </w:r>
      <w:r w:rsidR="001F7691">
        <w:rPr>
          <w:rFonts w:ascii="David" w:hAnsi="David" w:cs="David" w:hint="cs"/>
          <w:rtl/>
        </w:rPr>
        <w:t xml:space="preserve">בעלי השכלה גבוהה יותר מדווחים על קשר הדוק יותר עם בני משפחה וחברים, </w:t>
      </w:r>
      <w:r w:rsidR="004B53A1">
        <w:rPr>
          <w:rFonts w:ascii="David" w:hAnsi="David" w:cs="David" w:hint="cs"/>
          <w:rtl/>
        </w:rPr>
        <w:t>ו</w:t>
      </w:r>
      <w:r w:rsidR="001F7691">
        <w:rPr>
          <w:rFonts w:ascii="David" w:hAnsi="David" w:cs="David" w:hint="cs"/>
          <w:rtl/>
        </w:rPr>
        <w:t xml:space="preserve">על פחות תחושת בדידות או תחושה שאין למי לפנות בעת מצוקה. </w:t>
      </w:r>
      <w:r w:rsidR="007B0BC8">
        <w:rPr>
          <w:rFonts w:ascii="David" w:hAnsi="David" w:cs="David" w:hint="cs"/>
          <w:rtl/>
        </w:rPr>
        <w:t xml:space="preserve">רמת ההשכלה בעלת השפעה גם בתחום של בריאות (בתוחלת חיים, שיעור תמותת תינוקות ושביעות רצון ממצב הבריאות), ושמירה על אורח חיים בריא (פחות עישון וביצוע פעילות גופנית). </w:t>
      </w:r>
    </w:p>
    <w:p w14:paraId="02180101" w14:textId="00DAA191" w:rsidR="00965E3C" w:rsidRDefault="00B94289" w:rsidP="00B9440F">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השליטה בשפה העברית טובה יותר ו</w:t>
      </w:r>
      <w:r w:rsidR="007A1546">
        <w:rPr>
          <w:rFonts w:ascii="David" w:hAnsi="David" w:cs="David" w:hint="cs"/>
          <w:rtl/>
        </w:rPr>
        <w:t xml:space="preserve">השימוש במחשב ובאינטרנט </w:t>
      </w:r>
      <w:r w:rsidR="00F30581">
        <w:rPr>
          <w:rFonts w:ascii="David" w:hAnsi="David" w:cs="David" w:hint="cs"/>
          <w:rtl/>
        </w:rPr>
        <w:t>עולים</w:t>
      </w:r>
      <w:r w:rsidR="007A1546">
        <w:rPr>
          <w:rFonts w:ascii="David" w:hAnsi="David" w:cs="David" w:hint="cs"/>
          <w:rtl/>
        </w:rPr>
        <w:t xml:space="preserve"> ככל שרמת ההשכלה גבוהה יותר</w:t>
      </w:r>
      <w:r w:rsidR="001777A8">
        <w:rPr>
          <w:rFonts w:ascii="David" w:hAnsi="David" w:cs="David" w:hint="cs"/>
          <w:rtl/>
        </w:rPr>
        <w:t xml:space="preserve">. בקרב בעלי </w:t>
      </w:r>
      <w:r w:rsidR="007536A3">
        <w:rPr>
          <w:rFonts w:ascii="David" w:hAnsi="David" w:cs="David" w:hint="cs"/>
          <w:rtl/>
        </w:rPr>
        <w:t>רמת ההשכלה גבוה</w:t>
      </w:r>
      <w:r w:rsidR="001777A8">
        <w:rPr>
          <w:rFonts w:ascii="David" w:hAnsi="David" w:cs="David" w:hint="cs"/>
          <w:rtl/>
        </w:rPr>
        <w:t>ה</w:t>
      </w:r>
      <w:r w:rsidR="007536A3">
        <w:rPr>
          <w:rFonts w:ascii="David" w:hAnsi="David" w:cs="David" w:hint="cs"/>
          <w:rtl/>
        </w:rPr>
        <w:t xml:space="preserve"> קיימת יותר </w:t>
      </w:r>
      <w:r w:rsidR="00965E3C">
        <w:rPr>
          <w:rFonts w:ascii="David" w:hAnsi="David" w:cs="David" w:hint="cs"/>
          <w:rtl/>
        </w:rPr>
        <w:t>מעורבות אזרחית וקהילתית</w:t>
      </w:r>
      <w:r w:rsidR="007536A3">
        <w:rPr>
          <w:rFonts w:ascii="David" w:hAnsi="David" w:cs="David" w:hint="cs"/>
          <w:rtl/>
        </w:rPr>
        <w:t xml:space="preserve">, </w:t>
      </w:r>
      <w:r w:rsidR="00090A18">
        <w:rPr>
          <w:rFonts w:ascii="David" w:hAnsi="David" w:cs="David" w:hint="cs"/>
          <w:rtl/>
        </w:rPr>
        <w:t xml:space="preserve">תחושת יכולת להשפיע על מדיניות הממשלה </w:t>
      </w:r>
      <w:r w:rsidR="000368FB">
        <w:rPr>
          <w:rFonts w:ascii="David" w:hAnsi="David" w:cs="David" w:hint="cs"/>
          <w:rtl/>
        </w:rPr>
        <w:t>ונתינת אמון באנשים, במערכת הבריאות ובמערכת המשפט</w:t>
      </w:r>
      <w:r w:rsidR="00622EAD">
        <w:rPr>
          <w:rFonts w:ascii="David" w:hAnsi="David" w:cs="David" w:hint="cs"/>
          <w:rtl/>
        </w:rPr>
        <w:t xml:space="preserve"> </w:t>
      </w:r>
      <w:r w:rsidR="00210FB4">
        <w:rPr>
          <w:rFonts w:ascii="David" w:hAnsi="David" w:cs="David" w:hint="cs"/>
          <w:rtl/>
        </w:rPr>
        <w:t>(הלשכה המרכזית לסטטיסטיקה, 2021)</w:t>
      </w:r>
      <w:r w:rsidR="000368FB">
        <w:rPr>
          <w:rFonts w:ascii="David" w:hAnsi="David" w:cs="David" w:hint="cs"/>
          <w:rtl/>
        </w:rPr>
        <w:t>.</w:t>
      </w:r>
      <w:r w:rsidR="001777A8">
        <w:rPr>
          <w:rFonts w:ascii="David" w:hAnsi="David" w:cs="David" w:hint="cs"/>
          <w:rtl/>
        </w:rPr>
        <w:t xml:space="preserve"> </w:t>
      </w:r>
      <w:r w:rsidR="000368FB">
        <w:rPr>
          <w:rFonts w:ascii="David" w:hAnsi="David" w:cs="David" w:hint="cs"/>
          <w:rtl/>
        </w:rPr>
        <w:t xml:space="preserve"> </w:t>
      </w:r>
    </w:p>
    <w:p w14:paraId="1FAE13A0" w14:textId="061139C9" w:rsidR="008025DF" w:rsidRDefault="008025DF" w:rsidP="008025DF">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בתחום התעסוקה, </w:t>
      </w:r>
      <w:r w:rsidR="00696418">
        <w:rPr>
          <w:rFonts w:ascii="David" w:hAnsi="David" w:cs="David" w:hint="cs"/>
          <w:rtl/>
        </w:rPr>
        <w:t xml:space="preserve">ככל שרמת ההשכלה גבוהה יותר, כך </w:t>
      </w:r>
      <w:r>
        <w:rPr>
          <w:rFonts w:ascii="David" w:hAnsi="David" w:cs="David" w:hint="cs"/>
          <w:rtl/>
        </w:rPr>
        <w:t>שיעורי התעסוקה גבוהים יותר</w:t>
      </w:r>
      <w:r w:rsidR="00F4284C">
        <w:rPr>
          <w:rFonts w:ascii="David" w:hAnsi="David" w:cs="David" w:hint="cs"/>
          <w:rtl/>
        </w:rPr>
        <w:t xml:space="preserve">, </w:t>
      </w:r>
      <w:r w:rsidR="00E17B8E">
        <w:rPr>
          <w:rFonts w:ascii="David" w:hAnsi="David" w:cs="David" w:hint="cs"/>
          <w:rtl/>
        </w:rPr>
        <w:t xml:space="preserve">רמת השכר גבוהה יותר </w:t>
      </w:r>
      <w:r w:rsidR="00F4284C">
        <w:rPr>
          <w:rFonts w:ascii="David" w:hAnsi="David" w:cs="David" w:hint="cs"/>
          <w:rtl/>
        </w:rPr>
        <w:t>ו</w:t>
      </w:r>
      <w:r w:rsidR="00772312">
        <w:rPr>
          <w:rFonts w:ascii="David" w:hAnsi="David" w:cs="David" w:hint="cs"/>
          <w:rtl/>
        </w:rPr>
        <w:t>סיכויי</w:t>
      </w:r>
      <w:r w:rsidR="00F075F9">
        <w:rPr>
          <w:rFonts w:ascii="David" w:hAnsi="David" w:cs="David" w:hint="cs"/>
          <w:rtl/>
        </w:rPr>
        <w:t xml:space="preserve"> </w:t>
      </w:r>
      <w:r w:rsidR="00F4284C">
        <w:rPr>
          <w:rFonts w:ascii="David" w:hAnsi="David" w:cs="David" w:hint="cs"/>
          <w:rtl/>
        </w:rPr>
        <w:t>ההשתלבות ב</w:t>
      </w:r>
      <w:r w:rsidR="00606848">
        <w:rPr>
          <w:rFonts w:ascii="David" w:hAnsi="David" w:cs="David" w:hint="cs"/>
          <w:rtl/>
        </w:rPr>
        <w:t>משלחי יד בדירוג גבוה</w:t>
      </w:r>
      <w:r w:rsidR="00772312">
        <w:rPr>
          <w:rFonts w:ascii="David" w:hAnsi="David" w:cs="David" w:hint="cs"/>
          <w:rtl/>
        </w:rPr>
        <w:t xml:space="preserve"> רבים יותר</w:t>
      </w:r>
      <w:r w:rsidR="00606848">
        <w:rPr>
          <w:rFonts w:ascii="David" w:hAnsi="David" w:cs="David" w:hint="cs"/>
          <w:rtl/>
        </w:rPr>
        <w:t>,</w:t>
      </w:r>
      <w:r w:rsidR="00696418">
        <w:rPr>
          <w:rFonts w:ascii="David" w:hAnsi="David" w:cs="David" w:hint="cs"/>
          <w:rtl/>
        </w:rPr>
        <w:t xml:space="preserve"> בקרב נשים וגברים</w:t>
      </w:r>
      <w:r w:rsidR="00606848">
        <w:rPr>
          <w:rFonts w:ascii="David" w:hAnsi="David" w:cs="David" w:hint="cs"/>
          <w:rtl/>
        </w:rPr>
        <w:t xml:space="preserve"> כאחד. </w:t>
      </w:r>
      <w:r w:rsidR="003B4E88">
        <w:rPr>
          <w:rFonts w:ascii="David" w:hAnsi="David" w:cs="David" w:hint="cs"/>
          <w:rtl/>
        </w:rPr>
        <w:t xml:space="preserve">בעלי השכלה גבוהה יותר </w:t>
      </w:r>
      <w:r w:rsidR="004841BD">
        <w:rPr>
          <w:rFonts w:ascii="David" w:hAnsi="David" w:cs="David" w:hint="cs"/>
          <w:rtl/>
        </w:rPr>
        <w:t>מביעים שביעות רצון גבוהה יותר ממקום העבודה, מה</w:t>
      </w:r>
      <w:r w:rsidR="00230329">
        <w:rPr>
          <w:rFonts w:ascii="David" w:hAnsi="David" w:cs="David" w:hint="cs"/>
          <w:rtl/>
        </w:rPr>
        <w:t>שכר, ומהיציבות בעבודה, ו</w:t>
      </w:r>
      <w:r w:rsidR="007A0132">
        <w:rPr>
          <w:rFonts w:ascii="David" w:hAnsi="David" w:cs="David" w:hint="cs"/>
          <w:rtl/>
        </w:rPr>
        <w:t>מחליפים יותר מקומות עבודה</w:t>
      </w:r>
      <w:r w:rsidR="00230329">
        <w:rPr>
          <w:rFonts w:ascii="David" w:hAnsi="David" w:cs="David" w:hint="cs"/>
          <w:rtl/>
        </w:rPr>
        <w:t xml:space="preserve"> בעת הצורך. </w:t>
      </w:r>
      <w:r w:rsidR="009D5091">
        <w:rPr>
          <w:rFonts w:ascii="David" w:hAnsi="David" w:cs="David" w:hint="cs"/>
          <w:rtl/>
        </w:rPr>
        <w:t xml:space="preserve">בעקבות כך, הסיכון לעוני </w:t>
      </w:r>
      <w:r w:rsidR="00C40A8B">
        <w:rPr>
          <w:rFonts w:ascii="David" w:hAnsi="David" w:cs="David" w:hint="cs"/>
          <w:rtl/>
        </w:rPr>
        <w:t xml:space="preserve">ולהזדקקות לשירותים חברתיים </w:t>
      </w:r>
      <w:r w:rsidR="009D5091">
        <w:rPr>
          <w:rFonts w:ascii="David" w:hAnsi="David" w:cs="David" w:hint="cs"/>
          <w:rtl/>
        </w:rPr>
        <w:t>קטן יותר ככל שרמת ההשכלה גבוהה יותר</w:t>
      </w:r>
      <w:r w:rsidR="00691DCE">
        <w:rPr>
          <w:rFonts w:ascii="David" w:hAnsi="David" w:cs="David" w:hint="cs"/>
          <w:rtl/>
        </w:rPr>
        <w:t xml:space="preserve"> (</w:t>
      </w:r>
      <w:proofErr w:type="spellStart"/>
      <w:r w:rsidR="00906720">
        <w:rPr>
          <w:rFonts w:ascii="David" w:hAnsi="David" w:cs="David" w:hint="cs"/>
          <w:rtl/>
        </w:rPr>
        <w:t>דבאוי</w:t>
      </w:r>
      <w:proofErr w:type="spellEnd"/>
      <w:r w:rsidR="00906720">
        <w:rPr>
          <w:rFonts w:ascii="David" w:hAnsi="David" w:cs="David" w:hint="cs"/>
          <w:rtl/>
        </w:rPr>
        <w:t xml:space="preserve"> ואחרים, 2022; </w:t>
      </w:r>
      <w:r w:rsidR="00691DCE">
        <w:rPr>
          <w:rFonts w:ascii="David" w:hAnsi="David" w:cs="David" w:hint="cs"/>
          <w:rtl/>
        </w:rPr>
        <w:t>הלשכה המרכזית לסטטיסטיקה, 2021)</w:t>
      </w:r>
      <w:r w:rsidR="00C325AE">
        <w:rPr>
          <w:rFonts w:ascii="David" w:hAnsi="David" w:cs="David" w:hint="cs"/>
          <w:rtl/>
        </w:rPr>
        <w:t xml:space="preserve">. </w:t>
      </w:r>
    </w:p>
    <w:p w14:paraId="67DFE899" w14:textId="62A7F5F6" w:rsidR="00C325AE" w:rsidRDefault="00CA3ECE" w:rsidP="00C325AE">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רמת ההשכלה של האם משפיעה</w:t>
      </w:r>
      <w:r w:rsidR="00D12644">
        <w:rPr>
          <w:rFonts w:ascii="David" w:hAnsi="David" w:cs="David" w:hint="cs"/>
          <w:rtl/>
        </w:rPr>
        <w:t xml:space="preserve"> על </w:t>
      </w:r>
      <w:r w:rsidR="0088427E">
        <w:rPr>
          <w:rFonts w:ascii="David" w:hAnsi="David" w:cs="David" w:hint="cs"/>
          <w:rtl/>
        </w:rPr>
        <w:t>הצלחת</w:t>
      </w:r>
      <w:r w:rsidR="00474EC2">
        <w:rPr>
          <w:rFonts w:ascii="David" w:hAnsi="David" w:cs="David" w:hint="cs"/>
          <w:rtl/>
        </w:rPr>
        <w:t xml:space="preserve"> ההשתלבות בלימודים של ילדיה</w:t>
      </w:r>
      <w:r w:rsidR="00B32FA7">
        <w:rPr>
          <w:rFonts w:ascii="David" w:hAnsi="David" w:cs="David" w:hint="cs"/>
          <w:rtl/>
        </w:rPr>
        <w:t xml:space="preserve"> ומעורבותם בפלילים</w:t>
      </w:r>
      <w:r w:rsidR="00D12644">
        <w:rPr>
          <w:rFonts w:ascii="David" w:hAnsi="David" w:cs="David" w:hint="cs"/>
          <w:rtl/>
        </w:rPr>
        <w:t xml:space="preserve">. </w:t>
      </w:r>
      <w:r w:rsidR="00474EC2">
        <w:rPr>
          <w:rFonts w:ascii="David" w:hAnsi="David" w:cs="David" w:hint="cs"/>
          <w:rtl/>
        </w:rPr>
        <w:t xml:space="preserve">כך </w:t>
      </w:r>
      <w:r>
        <w:rPr>
          <w:rFonts w:ascii="David" w:hAnsi="David" w:cs="David" w:hint="cs"/>
          <w:rtl/>
        </w:rPr>
        <w:t>אחוז הנשירה מלימודים</w:t>
      </w:r>
      <w:r w:rsidR="00474EC2">
        <w:rPr>
          <w:rFonts w:ascii="David" w:hAnsi="David" w:cs="David" w:hint="cs"/>
          <w:rtl/>
        </w:rPr>
        <w:t xml:space="preserve"> נמוך יותר, </w:t>
      </w:r>
      <w:r w:rsidR="00FE48A8">
        <w:rPr>
          <w:rFonts w:ascii="David" w:hAnsi="David" w:cs="David" w:hint="cs"/>
          <w:rtl/>
        </w:rPr>
        <w:t>ו</w:t>
      </w:r>
      <w:r w:rsidR="00474EC2">
        <w:rPr>
          <w:rFonts w:ascii="David" w:hAnsi="David" w:cs="David" w:hint="cs"/>
          <w:rtl/>
        </w:rPr>
        <w:t>רמת ההישגים בלימודים</w:t>
      </w:r>
      <w:r w:rsidR="00E8143D">
        <w:rPr>
          <w:rFonts w:ascii="David" w:hAnsi="David" w:cs="David" w:hint="cs"/>
          <w:rtl/>
        </w:rPr>
        <w:t xml:space="preserve"> גבוהה יותר. הדבר מתבטא</w:t>
      </w:r>
      <w:r w:rsidR="003B20E2">
        <w:rPr>
          <w:rFonts w:ascii="David" w:hAnsi="David" w:cs="David" w:hint="cs"/>
          <w:rtl/>
        </w:rPr>
        <w:t xml:space="preserve"> </w:t>
      </w:r>
      <w:r w:rsidR="00E8143D">
        <w:rPr>
          <w:rFonts w:ascii="David" w:hAnsi="David" w:cs="David" w:hint="cs"/>
          <w:rtl/>
        </w:rPr>
        <w:lastRenderedPageBreak/>
        <w:t>ב</w:t>
      </w:r>
      <w:r w:rsidR="00250A87">
        <w:rPr>
          <w:rFonts w:ascii="David" w:hAnsi="David" w:cs="David" w:hint="cs"/>
          <w:rtl/>
        </w:rPr>
        <w:t>מספר יחידות הלימוד באנגלית ובמ</w:t>
      </w:r>
      <w:r w:rsidR="003B20E2">
        <w:rPr>
          <w:rFonts w:ascii="David" w:hAnsi="David" w:cs="David" w:hint="cs"/>
          <w:rtl/>
        </w:rPr>
        <w:t>תמטיקה, זכאות ל</w:t>
      </w:r>
      <w:r w:rsidR="00FE48A8">
        <w:rPr>
          <w:rFonts w:ascii="David" w:hAnsi="David" w:cs="David" w:hint="cs"/>
          <w:rtl/>
        </w:rPr>
        <w:t>תעודת בגרות</w:t>
      </w:r>
      <w:r w:rsidR="00AF6859">
        <w:rPr>
          <w:rFonts w:ascii="David" w:hAnsi="David" w:cs="David" w:hint="cs"/>
          <w:rtl/>
        </w:rPr>
        <w:t xml:space="preserve">, </w:t>
      </w:r>
      <w:r w:rsidR="006735FE">
        <w:rPr>
          <w:rFonts w:ascii="David" w:hAnsi="David" w:cs="David" w:hint="cs"/>
          <w:rtl/>
        </w:rPr>
        <w:t>ו</w:t>
      </w:r>
      <w:r w:rsidR="0088427E">
        <w:rPr>
          <w:rFonts w:ascii="David" w:hAnsi="David" w:cs="David" w:hint="cs"/>
          <w:rtl/>
        </w:rPr>
        <w:t>השתלבות בלימודים</w:t>
      </w:r>
      <w:r w:rsidR="00AF6859">
        <w:rPr>
          <w:rFonts w:ascii="David" w:hAnsi="David" w:cs="David" w:hint="cs"/>
          <w:rtl/>
        </w:rPr>
        <w:t xml:space="preserve"> באקדמיה</w:t>
      </w:r>
      <w:r w:rsidR="000E6004">
        <w:rPr>
          <w:rFonts w:ascii="David" w:hAnsi="David" w:cs="David" w:hint="cs"/>
          <w:rtl/>
        </w:rPr>
        <w:t>. שיעורים אלו</w:t>
      </w:r>
      <w:r w:rsidR="00723CD5">
        <w:rPr>
          <w:rFonts w:ascii="David" w:hAnsi="David" w:cs="David" w:hint="cs"/>
          <w:rtl/>
        </w:rPr>
        <w:t xml:space="preserve"> גבוהים יותר ככל שרמת ההשכלה של האם גבוהה יותר</w:t>
      </w:r>
      <w:r w:rsidR="006735FE">
        <w:rPr>
          <w:rFonts w:ascii="David" w:hAnsi="David" w:cs="David" w:hint="cs"/>
          <w:rtl/>
        </w:rPr>
        <w:t>.</w:t>
      </w:r>
      <w:r w:rsidR="00636821">
        <w:rPr>
          <w:rFonts w:ascii="David" w:hAnsi="David" w:cs="David" w:hint="cs"/>
          <w:rtl/>
        </w:rPr>
        <w:t xml:space="preserve"> </w:t>
      </w:r>
      <w:r w:rsidR="00B32FA7">
        <w:rPr>
          <w:rFonts w:ascii="David" w:hAnsi="David" w:cs="David" w:hint="cs"/>
          <w:rtl/>
        </w:rPr>
        <w:t xml:space="preserve">בנוסף, </w:t>
      </w:r>
      <w:r w:rsidR="00A457AC">
        <w:rPr>
          <w:rFonts w:ascii="David" w:hAnsi="David" w:cs="David" w:hint="cs"/>
          <w:rtl/>
        </w:rPr>
        <w:t>שיעור הקטינים בעלי תיקים פליליים עולה ככל שרמת ההשכלה של האם נמוכה יותר</w:t>
      </w:r>
      <w:r w:rsidR="00691DCE">
        <w:rPr>
          <w:rFonts w:ascii="David" w:hAnsi="David" w:cs="David" w:hint="cs"/>
          <w:rtl/>
        </w:rPr>
        <w:t xml:space="preserve"> (הלשכה המרכזית לסטטיסטיקה, 2021)</w:t>
      </w:r>
      <w:r w:rsidR="00A457AC">
        <w:rPr>
          <w:rFonts w:ascii="David" w:hAnsi="David" w:cs="David" w:hint="cs"/>
          <w:rtl/>
        </w:rPr>
        <w:t xml:space="preserve">. </w:t>
      </w:r>
    </w:p>
    <w:p w14:paraId="6F6E4336" w14:textId="706B32BD" w:rsidR="003E25BA" w:rsidRPr="00F701B8" w:rsidRDefault="006073FA" w:rsidP="003E25BA">
      <w:pPr>
        <w:pStyle w:val="NormalWeb"/>
        <w:bidi/>
        <w:spacing w:before="120" w:beforeAutospacing="0" w:after="120" w:afterAutospacing="0" w:line="312" w:lineRule="auto"/>
        <w:jc w:val="both"/>
        <w:textAlignment w:val="baseline"/>
        <w:rPr>
          <w:rFonts w:ascii="David" w:hAnsi="David" w:cs="David"/>
          <w:color w:val="4472C4" w:themeColor="accent1"/>
          <w:sz w:val="28"/>
          <w:szCs w:val="28"/>
          <w:rtl/>
        </w:rPr>
      </w:pPr>
      <w:r w:rsidRPr="00F701B8">
        <w:rPr>
          <w:rFonts w:ascii="David" w:hAnsi="David" w:cs="David" w:hint="cs"/>
          <w:color w:val="4472C4" w:themeColor="accent1"/>
          <w:sz w:val="28"/>
          <w:szCs w:val="28"/>
          <w:rtl/>
        </w:rPr>
        <w:t xml:space="preserve">פערים לפי </w:t>
      </w:r>
      <w:r w:rsidR="001728A4" w:rsidRPr="00F701B8">
        <w:rPr>
          <w:rFonts w:ascii="David" w:hAnsi="David" w:cs="David" w:hint="cs"/>
          <w:color w:val="4472C4" w:themeColor="accent1"/>
          <w:sz w:val="28"/>
          <w:szCs w:val="28"/>
          <w:rtl/>
        </w:rPr>
        <w:t>קבוצות מיעוט</w:t>
      </w:r>
    </w:p>
    <w:p w14:paraId="4DBC66B5" w14:textId="108189BF" w:rsidR="00384C32" w:rsidRDefault="00384C32" w:rsidP="003E25BA">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בישראל מספר קבוצות מיעוט מרכזיות</w:t>
      </w:r>
      <w:r w:rsidR="00350C19">
        <w:rPr>
          <w:rFonts w:ascii="David" w:hAnsi="David" w:cs="David" w:hint="cs"/>
          <w:rtl/>
        </w:rPr>
        <w:t xml:space="preserve"> בהן קיימת חפיפה בין</w:t>
      </w:r>
      <w:r w:rsidR="005A39B6">
        <w:rPr>
          <w:rFonts w:ascii="David" w:hAnsi="David" w:cs="David" w:hint="cs"/>
          <w:rtl/>
        </w:rPr>
        <w:t xml:space="preserve"> ההשתייכות האתנית לבין </w:t>
      </w:r>
      <w:r w:rsidR="002A0E14">
        <w:rPr>
          <w:rFonts w:ascii="David" w:hAnsi="David" w:cs="David" w:hint="cs"/>
          <w:rtl/>
        </w:rPr>
        <w:t>מ</w:t>
      </w:r>
      <w:r w:rsidR="00A804D0">
        <w:rPr>
          <w:rFonts w:ascii="David" w:hAnsi="David" w:cs="David" w:hint="cs"/>
          <w:rtl/>
        </w:rPr>
        <w:t>צב סוציו אקונומי נמוך</w:t>
      </w:r>
      <w:r>
        <w:rPr>
          <w:rFonts w:ascii="David" w:hAnsi="David" w:cs="David" w:hint="cs"/>
          <w:rtl/>
        </w:rPr>
        <w:t xml:space="preserve"> </w:t>
      </w:r>
      <w:r>
        <w:rPr>
          <w:rFonts w:ascii="David" w:hAnsi="David" w:cs="David"/>
          <w:rtl/>
        </w:rPr>
        <w:t>–</w:t>
      </w:r>
      <w:r>
        <w:rPr>
          <w:rFonts w:ascii="David" w:hAnsi="David" w:cs="David" w:hint="cs"/>
          <w:rtl/>
        </w:rPr>
        <w:t xml:space="preserve"> האוכלוסייה הערבית (</w:t>
      </w:r>
      <w:r w:rsidR="00740668">
        <w:rPr>
          <w:rFonts w:ascii="David" w:hAnsi="David" w:cs="David" w:hint="cs"/>
          <w:rtl/>
        </w:rPr>
        <w:t xml:space="preserve">המהווה כ-21% מכלל האוכלוסייה), האוכלוסייה החרדית (כ-13%), </w:t>
      </w:r>
      <w:r w:rsidR="00AB13A3">
        <w:rPr>
          <w:rFonts w:ascii="David" w:hAnsi="David" w:cs="David" w:hint="cs"/>
          <w:rtl/>
        </w:rPr>
        <w:t xml:space="preserve">ואוכלוסיות </w:t>
      </w:r>
      <w:r w:rsidR="00E1157D">
        <w:rPr>
          <w:rFonts w:ascii="David" w:hAnsi="David" w:cs="David" w:hint="cs"/>
          <w:rtl/>
        </w:rPr>
        <w:t>יוצאי אתיופיה (כ-2%)</w:t>
      </w:r>
      <w:r w:rsidR="00AB13A3">
        <w:rPr>
          <w:rFonts w:ascii="David" w:hAnsi="David" w:cs="David" w:hint="cs"/>
          <w:rtl/>
        </w:rPr>
        <w:t xml:space="preserve">. </w:t>
      </w:r>
      <w:r w:rsidR="0083653B">
        <w:rPr>
          <w:rFonts w:ascii="David" w:hAnsi="David" w:cs="David" w:hint="cs"/>
          <w:rtl/>
        </w:rPr>
        <w:t>קיימים הבדלים בתחולת העוני ובדפוסי החיים הנגזרים מכך בקרב קבוצות מיעוט אלו</w:t>
      </w:r>
      <w:r w:rsidR="00F848ED">
        <w:rPr>
          <w:rFonts w:ascii="David" w:hAnsi="David" w:cs="David" w:hint="cs"/>
          <w:rtl/>
        </w:rPr>
        <w:t xml:space="preserve"> בהשוואה לאוכלוסייה היהודית הלא-חרדית</w:t>
      </w:r>
      <w:r w:rsidR="0050718F">
        <w:rPr>
          <w:rFonts w:ascii="David" w:hAnsi="David" w:cs="David" w:hint="cs"/>
          <w:rtl/>
        </w:rPr>
        <w:t>, בין היתר בשל מיקומ</w:t>
      </w:r>
      <w:r w:rsidR="007E13F6">
        <w:rPr>
          <w:rFonts w:ascii="David" w:hAnsi="David" w:cs="David" w:hint="cs"/>
          <w:rtl/>
        </w:rPr>
        <w:t>ן</w:t>
      </w:r>
      <w:r w:rsidR="0050718F">
        <w:rPr>
          <w:rFonts w:ascii="David" w:hAnsi="David" w:cs="David" w:hint="cs"/>
          <w:rtl/>
        </w:rPr>
        <w:t xml:space="preserve"> בפריפריה הגאוגרפית</w:t>
      </w:r>
      <w:r w:rsidR="007E13F6">
        <w:rPr>
          <w:rFonts w:ascii="David" w:hAnsi="David" w:cs="David" w:hint="cs"/>
          <w:rtl/>
        </w:rPr>
        <w:t xml:space="preserve"> וברשויות </w:t>
      </w:r>
      <w:r w:rsidR="00C11243">
        <w:rPr>
          <w:rFonts w:ascii="David" w:hAnsi="David" w:cs="David" w:hint="cs"/>
          <w:rtl/>
        </w:rPr>
        <w:t xml:space="preserve">נפרדות </w:t>
      </w:r>
      <w:r w:rsidR="009A44ED">
        <w:rPr>
          <w:rFonts w:ascii="David" w:hAnsi="David" w:cs="David" w:hint="cs"/>
          <w:rtl/>
        </w:rPr>
        <w:t xml:space="preserve">ו/או </w:t>
      </w:r>
      <w:r w:rsidR="007E13F6">
        <w:rPr>
          <w:rFonts w:ascii="David" w:hAnsi="David" w:cs="David" w:hint="cs"/>
          <w:rtl/>
        </w:rPr>
        <w:t>עניות</w:t>
      </w:r>
      <w:r w:rsidR="0050718F">
        <w:rPr>
          <w:rFonts w:ascii="David" w:hAnsi="David" w:cs="David" w:hint="cs"/>
          <w:rtl/>
        </w:rPr>
        <w:t xml:space="preserve"> </w:t>
      </w:r>
      <w:r w:rsidR="00D04345">
        <w:rPr>
          <w:rFonts w:ascii="David" w:hAnsi="David" w:cs="David" w:hint="cs"/>
          <w:rtl/>
        </w:rPr>
        <w:t>(</w:t>
      </w:r>
      <w:proofErr w:type="spellStart"/>
      <w:r w:rsidR="00D04345">
        <w:rPr>
          <w:rFonts w:ascii="David" w:hAnsi="David" w:cs="David"/>
        </w:rPr>
        <w:t>Machlica</w:t>
      </w:r>
      <w:proofErr w:type="spellEnd"/>
      <w:r w:rsidR="00D04345">
        <w:rPr>
          <w:rFonts w:ascii="David" w:hAnsi="David" w:cs="David"/>
        </w:rPr>
        <w:t>, 2020</w:t>
      </w:r>
      <w:r w:rsidR="00D04345">
        <w:rPr>
          <w:rFonts w:ascii="David" w:hAnsi="David" w:cs="David" w:hint="cs"/>
          <w:rtl/>
        </w:rPr>
        <w:t>)</w:t>
      </w:r>
      <w:r w:rsidR="0083653B">
        <w:rPr>
          <w:rFonts w:ascii="David" w:hAnsi="David" w:cs="David" w:hint="cs"/>
          <w:rtl/>
        </w:rPr>
        <w:t xml:space="preserve">. </w:t>
      </w:r>
    </w:p>
    <w:p w14:paraId="319CD1E9" w14:textId="704584CD" w:rsidR="008C3F43" w:rsidRDefault="00BA1FB6" w:rsidP="00384C32">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בקרב </w:t>
      </w:r>
      <w:r w:rsidRPr="00BA1FB6">
        <w:rPr>
          <w:rFonts w:ascii="David" w:hAnsi="David" w:cs="David" w:hint="cs"/>
          <w:b/>
          <w:bCs/>
          <w:rtl/>
        </w:rPr>
        <w:t>האוכלוסייה הערבית</w:t>
      </w:r>
      <w:r>
        <w:rPr>
          <w:rFonts w:ascii="David" w:hAnsi="David" w:cs="David" w:hint="cs"/>
          <w:rtl/>
        </w:rPr>
        <w:t xml:space="preserve">, </w:t>
      </w:r>
      <w:r w:rsidR="0041231A">
        <w:rPr>
          <w:rFonts w:ascii="David" w:hAnsi="David" w:cs="David" w:hint="cs"/>
          <w:rtl/>
        </w:rPr>
        <w:t xml:space="preserve">שיעור המשפחות הערביות </w:t>
      </w:r>
      <w:r w:rsidR="00981A49">
        <w:rPr>
          <w:rFonts w:ascii="David" w:hAnsi="David" w:cs="David" w:hint="cs"/>
          <w:rtl/>
        </w:rPr>
        <w:t xml:space="preserve">מתחת לקו העוני הינו </w:t>
      </w:r>
      <w:r w:rsidR="00CD16D5">
        <w:rPr>
          <w:rFonts w:ascii="David" w:hAnsi="David" w:cs="David" w:hint="cs"/>
          <w:rtl/>
        </w:rPr>
        <w:t xml:space="preserve">45.3% ושיעור הילדים הערבים מתחת לקו העוני עומד על </w:t>
      </w:r>
      <w:r w:rsidR="006E5989">
        <w:rPr>
          <w:rFonts w:ascii="David" w:hAnsi="David" w:cs="David" w:hint="cs"/>
          <w:rtl/>
        </w:rPr>
        <w:t xml:space="preserve">57.8% (לעומת 13.4% ו-21.2% </w:t>
      </w:r>
      <w:r w:rsidR="00A102CC">
        <w:rPr>
          <w:rFonts w:ascii="David" w:hAnsi="David" w:cs="David" w:hint="cs"/>
          <w:rtl/>
        </w:rPr>
        <w:t>בהתאמה, בקרב החברה היהודית)</w:t>
      </w:r>
      <w:r w:rsidR="006E5530">
        <w:rPr>
          <w:rFonts w:ascii="David" w:hAnsi="David" w:cs="David" w:hint="cs"/>
          <w:rtl/>
        </w:rPr>
        <w:t xml:space="preserve"> (</w:t>
      </w:r>
      <w:r w:rsidR="00BE6921">
        <w:rPr>
          <w:rFonts w:ascii="David" w:hAnsi="David" w:cs="David" w:hint="cs"/>
          <w:rtl/>
        </w:rPr>
        <w:t xml:space="preserve">חאג' יחיא ואחרים, </w:t>
      </w:r>
      <w:r w:rsidR="00163D29">
        <w:rPr>
          <w:rFonts w:ascii="David" w:hAnsi="David" w:cs="David" w:hint="cs"/>
          <w:rtl/>
        </w:rPr>
        <w:t>2022)</w:t>
      </w:r>
      <w:r w:rsidR="00A102CC">
        <w:rPr>
          <w:rFonts w:ascii="David" w:hAnsi="David" w:cs="David" w:hint="cs"/>
          <w:rtl/>
        </w:rPr>
        <w:t>.</w:t>
      </w:r>
      <w:r w:rsidR="00BF72CC">
        <w:rPr>
          <w:rFonts w:ascii="David" w:hAnsi="David" w:cs="David" w:hint="cs"/>
          <w:rtl/>
        </w:rPr>
        <w:t xml:space="preserve"> למעלה משליש</w:t>
      </w:r>
      <w:r w:rsidR="002234DD">
        <w:rPr>
          <w:rFonts w:ascii="David" w:hAnsi="David" w:cs="David" w:hint="cs"/>
          <w:rtl/>
        </w:rPr>
        <w:t xml:space="preserve"> </w:t>
      </w:r>
      <w:r w:rsidR="00BF72CC">
        <w:rPr>
          <w:rFonts w:ascii="David" w:hAnsi="David" w:cs="David" w:hint="cs"/>
          <w:rtl/>
        </w:rPr>
        <w:t>(</w:t>
      </w:r>
      <w:r w:rsidR="008D24AF">
        <w:rPr>
          <w:rFonts w:ascii="David" w:hAnsi="David" w:cs="David" w:hint="cs"/>
          <w:rtl/>
        </w:rPr>
        <w:t>37.1%</w:t>
      </w:r>
      <w:r w:rsidR="00BF72CC">
        <w:rPr>
          <w:rFonts w:ascii="David" w:hAnsi="David" w:cs="David" w:hint="cs"/>
          <w:rtl/>
        </w:rPr>
        <w:t>)</w:t>
      </w:r>
      <w:r w:rsidR="008D24AF">
        <w:rPr>
          <w:rFonts w:ascii="David" w:hAnsi="David" w:cs="David" w:hint="cs"/>
          <w:rtl/>
        </w:rPr>
        <w:t xml:space="preserve"> מאוכלוסייה זו מדווח על תחושת עוני סובייקטיבי</w:t>
      </w:r>
      <w:r w:rsidR="006D7E51">
        <w:rPr>
          <w:rFonts w:ascii="David" w:hAnsi="David" w:cs="David" w:hint="cs"/>
          <w:rtl/>
        </w:rPr>
        <w:t xml:space="preserve"> ו</w:t>
      </w:r>
      <w:r w:rsidR="00000414">
        <w:rPr>
          <w:rFonts w:ascii="David" w:hAnsi="David" w:cs="David" w:hint="cs"/>
          <w:rtl/>
        </w:rPr>
        <w:t>כחמישית מאוכלוסייה זו מדווחת על ויתור על טיפול רפואי</w:t>
      </w:r>
      <w:r w:rsidR="009E7B63">
        <w:rPr>
          <w:rFonts w:ascii="David" w:hAnsi="David" w:cs="David" w:hint="cs"/>
          <w:rtl/>
        </w:rPr>
        <w:t xml:space="preserve"> (</w:t>
      </w:r>
      <w:r w:rsidR="00C63D88">
        <w:rPr>
          <w:rFonts w:ascii="David" w:hAnsi="David" w:cs="David" w:hint="cs"/>
          <w:rtl/>
        </w:rPr>
        <w:t>18%)</w:t>
      </w:r>
      <w:r w:rsidR="00000414">
        <w:rPr>
          <w:rFonts w:ascii="David" w:hAnsi="David" w:cs="David" w:hint="cs"/>
          <w:rtl/>
        </w:rPr>
        <w:t>, תרופות מרשם</w:t>
      </w:r>
      <w:r w:rsidR="00C63D88">
        <w:rPr>
          <w:rFonts w:ascii="David" w:hAnsi="David" w:cs="David" w:hint="cs"/>
          <w:rtl/>
        </w:rPr>
        <w:t xml:space="preserve"> (17%)</w:t>
      </w:r>
      <w:r w:rsidR="00000414">
        <w:rPr>
          <w:rFonts w:ascii="David" w:hAnsi="David" w:cs="David" w:hint="cs"/>
          <w:rtl/>
        </w:rPr>
        <w:t xml:space="preserve"> </w:t>
      </w:r>
      <w:r w:rsidR="0087626E">
        <w:rPr>
          <w:rFonts w:ascii="David" w:hAnsi="David" w:cs="David" w:hint="cs"/>
          <w:rtl/>
        </w:rPr>
        <w:t>וארוחה חמה</w:t>
      </w:r>
      <w:r w:rsidR="00C63D88">
        <w:rPr>
          <w:rFonts w:ascii="David" w:hAnsi="David" w:cs="David" w:hint="cs"/>
          <w:rtl/>
        </w:rPr>
        <w:t xml:space="preserve"> (13%)</w:t>
      </w:r>
      <w:r w:rsidR="00776CBD">
        <w:rPr>
          <w:rFonts w:ascii="David" w:hAnsi="David" w:cs="David" w:hint="cs"/>
          <w:rtl/>
        </w:rPr>
        <w:t xml:space="preserve"> בשל קושי כלכלי</w:t>
      </w:r>
      <w:r w:rsidR="008D24AF">
        <w:rPr>
          <w:rFonts w:ascii="David" w:hAnsi="David" w:cs="David" w:hint="cs"/>
          <w:rtl/>
        </w:rPr>
        <w:t xml:space="preserve">. </w:t>
      </w:r>
      <w:r w:rsidR="00246C2E">
        <w:rPr>
          <w:rFonts w:ascii="David" w:hAnsi="David" w:cs="David" w:hint="cs"/>
          <w:rtl/>
        </w:rPr>
        <w:t xml:space="preserve">מדוח העוני בישראל </w:t>
      </w:r>
      <w:r w:rsidR="00E73B81">
        <w:rPr>
          <w:rFonts w:ascii="David" w:hAnsi="David" w:cs="David" w:hint="cs"/>
          <w:rtl/>
        </w:rPr>
        <w:t>(</w:t>
      </w:r>
      <w:proofErr w:type="spellStart"/>
      <w:r w:rsidR="00E73B81">
        <w:rPr>
          <w:rFonts w:ascii="David" w:hAnsi="David" w:cs="David" w:hint="cs"/>
          <w:rtl/>
        </w:rPr>
        <w:t>אנדבלד</w:t>
      </w:r>
      <w:proofErr w:type="spellEnd"/>
      <w:r w:rsidR="00E73B81">
        <w:rPr>
          <w:rFonts w:ascii="David" w:hAnsi="David" w:cs="David" w:hint="cs"/>
          <w:rtl/>
        </w:rPr>
        <w:t>, 2023)</w:t>
      </w:r>
      <w:r w:rsidR="00E73B81">
        <w:rPr>
          <w:rFonts w:ascii="David" w:hAnsi="David" w:cs="David" w:hint="cs"/>
        </w:rPr>
        <w:t xml:space="preserve"> </w:t>
      </w:r>
      <w:r w:rsidR="00246C2E">
        <w:rPr>
          <w:rFonts w:ascii="David" w:hAnsi="David" w:cs="David" w:hint="cs"/>
          <w:rtl/>
        </w:rPr>
        <w:t xml:space="preserve">עולה </w:t>
      </w:r>
      <w:r w:rsidR="00A11B36">
        <w:rPr>
          <w:rFonts w:ascii="David" w:hAnsi="David" w:cs="David" w:hint="cs"/>
          <w:rtl/>
        </w:rPr>
        <w:t xml:space="preserve">בקרב האוכלוסייה הערבית </w:t>
      </w:r>
      <w:r w:rsidR="00246C2E">
        <w:rPr>
          <w:rFonts w:ascii="David" w:hAnsi="David" w:cs="David" w:hint="cs"/>
          <w:rtl/>
        </w:rPr>
        <w:t xml:space="preserve">שיעורי תמותה </w:t>
      </w:r>
      <w:r w:rsidR="00A11B36">
        <w:rPr>
          <w:rFonts w:ascii="David" w:hAnsi="David" w:cs="David" w:hint="cs"/>
          <w:rtl/>
        </w:rPr>
        <w:t xml:space="preserve">ותמותת תינוקות </w:t>
      </w:r>
      <w:r w:rsidR="00246C2E">
        <w:rPr>
          <w:rFonts w:ascii="David" w:hAnsi="David" w:cs="David" w:hint="cs"/>
          <w:rtl/>
        </w:rPr>
        <w:t>גבוהים</w:t>
      </w:r>
      <w:r w:rsidR="00A102CC">
        <w:rPr>
          <w:rFonts w:ascii="David" w:hAnsi="David" w:cs="David" w:hint="cs"/>
          <w:rtl/>
        </w:rPr>
        <w:t xml:space="preserve"> </w:t>
      </w:r>
      <w:r w:rsidR="00A11B36">
        <w:rPr>
          <w:rFonts w:ascii="David" w:hAnsi="David" w:cs="David" w:hint="cs"/>
          <w:rtl/>
        </w:rPr>
        <w:t>יותר,</w:t>
      </w:r>
      <w:r w:rsidR="00D8773C">
        <w:rPr>
          <w:rFonts w:ascii="David" w:hAnsi="David" w:cs="David" w:hint="cs"/>
          <w:rtl/>
        </w:rPr>
        <w:t xml:space="preserve"> </w:t>
      </w:r>
      <w:r w:rsidR="008C3F43">
        <w:rPr>
          <w:rFonts w:ascii="David" w:hAnsi="David" w:cs="David" w:hint="cs"/>
          <w:rtl/>
        </w:rPr>
        <w:t>וזמן ההמתנה לרופא יועץ</w:t>
      </w:r>
      <w:r w:rsidR="002B2584">
        <w:rPr>
          <w:rFonts w:ascii="David" w:hAnsi="David" w:cs="David" w:hint="cs"/>
          <w:rtl/>
        </w:rPr>
        <w:t xml:space="preserve"> ממושך יותר בהשוואה לאוכלוסייה היהודית</w:t>
      </w:r>
      <w:r w:rsidR="00E93865">
        <w:rPr>
          <w:rFonts w:ascii="David" w:hAnsi="David" w:cs="David" w:hint="cs"/>
          <w:rtl/>
        </w:rPr>
        <w:t>.</w:t>
      </w:r>
      <w:r>
        <w:rPr>
          <w:rFonts w:ascii="David" w:hAnsi="David" w:cs="David" w:hint="cs"/>
          <w:rtl/>
        </w:rPr>
        <w:t xml:space="preserve"> </w:t>
      </w:r>
    </w:p>
    <w:p w14:paraId="1087BCFC" w14:textId="5223B736" w:rsidR="003E25BA" w:rsidRDefault="005C5EF1" w:rsidP="008C3F43">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השוואה בין ה</w:t>
      </w:r>
      <w:r w:rsidR="00E93865">
        <w:rPr>
          <w:rFonts w:ascii="David" w:hAnsi="David" w:cs="David" w:hint="cs"/>
          <w:rtl/>
        </w:rPr>
        <w:t xml:space="preserve">אוכלוסייה הערבית </w:t>
      </w:r>
      <w:r>
        <w:rPr>
          <w:rFonts w:ascii="David" w:hAnsi="David" w:cs="David" w:hint="cs"/>
          <w:rtl/>
        </w:rPr>
        <w:t>לאוכלוסייה היהודית</w:t>
      </w:r>
      <w:r w:rsidR="00566C0D">
        <w:rPr>
          <w:rFonts w:ascii="David" w:hAnsi="David" w:cs="David" w:hint="cs"/>
          <w:rtl/>
        </w:rPr>
        <w:t xml:space="preserve"> הלא-חרדית</w:t>
      </w:r>
      <w:r>
        <w:rPr>
          <w:rFonts w:ascii="David" w:hAnsi="David" w:cs="David" w:hint="cs"/>
          <w:rtl/>
        </w:rPr>
        <w:t xml:space="preserve"> בישראל </w:t>
      </w:r>
      <w:r w:rsidR="00D470E6">
        <w:rPr>
          <w:rFonts w:ascii="David" w:hAnsi="David" w:cs="David" w:hint="cs"/>
          <w:rtl/>
        </w:rPr>
        <w:t>(חאג' יחי</w:t>
      </w:r>
      <w:r w:rsidR="00054660">
        <w:rPr>
          <w:rFonts w:ascii="David" w:hAnsi="David" w:cs="David" w:hint="cs"/>
          <w:rtl/>
        </w:rPr>
        <w:t>א, 2022</w:t>
      </w:r>
      <w:r w:rsidR="004968E5">
        <w:rPr>
          <w:rFonts w:ascii="David" w:hAnsi="David" w:cs="David" w:hint="cs"/>
          <w:rtl/>
        </w:rPr>
        <w:t>;</w:t>
      </w:r>
      <w:r w:rsidR="00394588">
        <w:rPr>
          <w:rFonts w:ascii="David" w:hAnsi="David" w:cs="David" w:hint="cs"/>
          <w:rtl/>
        </w:rPr>
        <w:t xml:space="preserve"> </w:t>
      </w:r>
      <w:proofErr w:type="spellStart"/>
      <w:r w:rsidR="00394588">
        <w:rPr>
          <w:rFonts w:ascii="David" w:hAnsi="David" w:cs="David" w:hint="cs"/>
          <w:rtl/>
        </w:rPr>
        <w:t>סבירסקי</w:t>
      </w:r>
      <w:proofErr w:type="spellEnd"/>
      <w:r w:rsidR="00394588">
        <w:rPr>
          <w:rFonts w:ascii="David" w:hAnsi="David" w:cs="David" w:hint="cs"/>
          <w:rtl/>
        </w:rPr>
        <w:t xml:space="preserve">, </w:t>
      </w:r>
      <w:r w:rsidR="00D5305C">
        <w:rPr>
          <w:rFonts w:ascii="David" w:hAnsi="David" w:cs="David" w:hint="cs"/>
          <w:rtl/>
        </w:rPr>
        <w:t>2022;</w:t>
      </w:r>
      <w:r w:rsidR="004968E5">
        <w:rPr>
          <w:rFonts w:ascii="David" w:hAnsi="David" w:cs="David" w:hint="cs"/>
          <w:rtl/>
        </w:rPr>
        <w:t xml:space="preserve"> </w:t>
      </w:r>
      <w:proofErr w:type="spellStart"/>
      <w:r w:rsidR="004968E5">
        <w:rPr>
          <w:rFonts w:ascii="David" w:hAnsi="David" w:cs="David"/>
        </w:rPr>
        <w:t>March</w:t>
      </w:r>
      <w:r w:rsidR="001A697A">
        <w:rPr>
          <w:rFonts w:ascii="David" w:hAnsi="David" w:cs="David"/>
        </w:rPr>
        <w:t>lica</w:t>
      </w:r>
      <w:proofErr w:type="spellEnd"/>
      <w:r w:rsidR="001A697A">
        <w:rPr>
          <w:rFonts w:ascii="David" w:hAnsi="David" w:cs="David"/>
        </w:rPr>
        <w:t>, 2020</w:t>
      </w:r>
      <w:r w:rsidR="00054660">
        <w:rPr>
          <w:rFonts w:ascii="David" w:hAnsi="David" w:cs="David" w:hint="cs"/>
          <w:rtl/>
        </w:rPr>
        <w:t xml:space="preserve">) </w:t>
      </w:r>
      <w:r>
        <w:rPr>
          <w:rFonts w:ascii="David" w:hAnsi="David" w:cs="David" w:hint="cs"/>
          <w:rtl/>
        </w:rPr>
        <w:t xml:space="preserve">מצביעה על </w:t>
      </w:r>
      <w:r w:rsidR="00E93865">
        <w:rPr>
          <w:rFonts w:ascii="David" w:hAnsi="David" w:cs="David" w:hint="cs"/>
          <w:rtl/>
        </w:rPr>
        <w:t xml:space="preserve">פערים </w:t>
      </w:r>
      <w:r w:rsidR="00E46EAD">
        <w:rPr>
          <w:rFonts w:ascii="David" w:hAnsi="David" w:cs="David" w:hint="cs"/>
          <w:rtl/>
        </w:rPr>
        <w:t xml:space="preserve">ברמת ההישגים בלימודים, בשיעורי הנשירה, </w:t>
      </w:r>
      <w:r w:rsidR="00FE53AE">
        <w:rPr>
          <w:rFonts w:ascii="David" w:hAnsi="David" w:cs="David" w:hint="cs"/>
          <w:rtl/>
        </w:rPr>
        <w:t xml:space="preserve">ברמת ההשכלה (מס' שנות לימוד), </w:t>
      </w:r>
      <w:r w:rsidR="006206B5">
        <w:rPr>
          <w:rFonts w:ascii="David" w:hAnsi="David" w:cs="David" w:hint="cs"/>
          <w:rtl/>
        </w:rPr>
        <w:t xml:space="preserve">בשיעורי ההשתלבות בעבודה, סוג משלח היד </w:t>
      </w:r>
      <w:r w:rsidR="00054660">
        <w:rPr>
          <w:rFonts w:ascii="David" w:hAnsi="David" w:cs="David" w:hint="cs"/>
          <w:rtl/>
        </w:rPr>
        <w:t>ו</w:t>
      </w:r>
      <w:r w:rsidR="006206B5">
        <w:rPr>
          <w:rFonts w:ascii="David" w:hAnsi="David" w:cs="David" w:hint="cs"/>
          <w:rtl/>
        </w:rPr>
        <w:t>רמת השכר</w:t>
      </w:r>
      <w:r w:rsidR="00054660">
        <w:rPr>
          <w:rFonts w:ascii="David" w:hAnsi="David" w:cs="David" w:hint="cs"/>
          <w:rtl/>
        </w:rPr>
        <w:t>. בשנים האחרונות חל שיפור ב</w:t>
      </w:r>
      <w:r w:rsidR="004830F6">
        <w:rPr>
          <w:rFonts w:ascii="David" w:hAnsi="David" w:cs="David" w:hint="cs"/>
          <w:rtl/>
        </w:rPr>
        <w:t>השתלבות במוסדות להשכלה גבוהה ובשוק העבודה</w:t>
      </w:r>
      <w:r w:rsidR="00BA1FB6">
        <w:rPr>
          <w:rFonts w:ascii="David" w:hAnsi="David" w:cs="David" w:hint="cs"/>
          <w:rtl/>
        </w:rPr>
        <w:t xml:space="preserve">. </w:t>
      </w:r>
      <w:r w:rsidR="006E7623">
        <w:rPr>
          <w:rFonts w:ascii="David" w:hAnsi="David" w:cs="David" w:hint="cs"/>
          <w:rtl/>
        </w:rPr>
        <w:t xml:space="preserve">בקרב הגברים הערבים חל שיפור בשיעורי ההשתלבות בעבודה, ואלו בקרב הנשים הערביות חל שיפור בשיעורי המשתלבות במשלחי יד </w:t>
      </w:r>
      <w:r w:rsidR="00A1171C">
        <w:rPr>
          <w:rFonts w:ascii="David" w:hAnsi="David" w:cs="David" w:hint="cs"/>
          <w:rtl/>
        </w:rPr>
        <w:t>בדירוג גבוה.</w:t>
      </w:r>
      <w:r w:rsidR="006206B5">
        <w:rPr>
          <w:rFonts w:ascii="David" w:hAnsi="David" w:cs="David" w:hint="cs"/>
          <w:rtl/>
        </w:rPr>
        <w:t xml:space="preserve"> </w:t>
      </w:r>
      <w:r w:rsidR="00E93865">
        <w:rPr>
          <w:rFonts w:ascii="David" w:hAnsi="David" w:cs="David" w:hint="cs"/>
          <w:rtl/>
        </w:rPr>
        <w:t xml:space="preserve">גם בתחום של אוריינות דיגיטלית ושימוש במחשב </w:t>
      </w:r>
      <w:r w:rsidR="00BA1FB6">
        <w:rPr>
          <w:rFonts w:ascii="David" w:hAnsi="David" w:cs="David" w:hint="cs"/>
          <w:rtl/>
        </w:rPr>
        <w:t xml:space="preserve">קיימים פערים גדולים </w:t>
      </w:r>
      <w:r w:rsidR="005A2D86">
        <w:rPr>
          <w:rFonts w:ascii="David" w:hAnsi="David" w:cs="David" w:hint="cs"/>
          <w:rtl/>
        </w:rPr>
        <w:t>אם כי פערים אלו הולכים ומצטמצמים בהדרגה</w:t>
      </w:r>
      <w:r w:rsidR="00420C07">
        <w:rPr>
          <w:rFonts w:ascii="David" w:hAnsi="David" w:cs="David" w:hint="cs"/>
          <w:rtl/>
        </w:rPr>
        <w:t>. ההבדלים בין האוכלוסייה היהודית והערבית כמעט ואינם קיימים ב</w:t>
      </w:r>
      <w:r w:rsidR="00A61143">
        <w:rPr>
          <w:rFonts w:ascii="David" w:hAnsi="David" w:cs="David" w:hint="cs"/>
          <w:rtl/>
        </w:rPr>
        <w:t>רמות ההשכלה הגבוהות, בעלי תואר ראשון ומעלה</w:t>
      </w:r>
      <w:r w:rsidR="005A2D86">
        <w:rPr>
          <w:rFonts w:ascii="David" w:hAnsi="David" w:cs="David" w:hint="cs"/>
          <w:rtl/>
        </w:rPr>
        <w:t xml:space="preserve"> (חאג' יחיא, 2022). </w:t>
      </w:r>
      <w:r w:rsidR="00EF3452">
        <w:rPr>
          <w:rFonts w:ascii="David" w:hAnsi="David" w:cs="David" w:hint="cs"/>
          <w:rtl/>
        </w:rPr>
        <w:t>הבדלים נוספים קיימים בשיעורי ההצבעה לכנסת (נמוכים יותר בקרב האוכלוסייה הערבית בהשוואה לאוכלוסייה היהודית)</w:t>
      </w:r>
      <w:r w:rsidR="00D36749">
        <w:rPr>
          <w:rFonts w:ascii="David" w:hAnsi="David" w:cs="David" w:hint="cs"/>
          <w:rtl/>
        </w:rPr>
        <w:t xml:space="preserve">, ובמידת הייצוג של האוכלוסייה הערבית בכנסת, מגמה המשפיעה על </w:t>
      </w:r>
      <w:r w:rsidR="00FC730F">
        <w:rPr>
          <w:rFonts w:ascii="David" w:hAnsi="David" w:cs="David" w:hint="cs"/>
          <w:rtl/>
        </w:rPr>
        <w:t xml:space="preserve">מידת הייצוג של האוכלוסייה הערבית בכנסת ובממשלה בישראל. </w:t>
      </w:r>
    </w:p>
    <w:p w14:paraId="5E1373F4" w14:textId="35CDA0A9" w:rsidR="00F96FD7" w:rsidRDefault="003D1279" w:rsidP="00E73B81">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b/>
          <w:bCs/>
          <w:rtl/>
        </w:rPr>
        <w:t xml:space="preserve">האוכלוסייה החרדית </w:t>
      </w:r>
      <w:r w:rsidR="00861CD8">
        <w:rPr>
          <w:rFonts w:ascii="David" w:hAnsi="David" w:cs="David" w:hint="cs"/>
          <w:rtl/>
        </w:rPr>
        <w:t xml:space="preserve">בישראל </w:t>
      </w:r>
      <w:r w:rsidR="002F6B17">
        <w:rPr>
          <w:rFonts w:ascii="David" w:hAnsi="David" w:cs="David" w:hint="cs"/>
          <w:rtl/>
        </w:rPr>
        <w:t xml:space="preserve">מהווה כ- 13% מכלל האוכלוסייה בישראל, אך שיעור הילדים המשולבים </w:t>
      </w:r>
      <w:r w:rsidR="00DB5346">
        <w:rPr>
          <w:rFonts w:ascii="David" w:hAnsi="David" w:cs="David" w:hint="cs"/>
          <w:rtl/>
        </w:rPr>
        <w:t xml:space="preserve">במערכת החינוך גבוה יותר והם מהווים כ- 26% מכלל החינוך העברי בישראל. אוכלוסייה זו </w:t>
      </w:r>
      <w:r w:rsidR="00861CD8">
        <w:rPr>
          <w:rFonts w:ascii="David" w:hAnsi="David" w:cs="David" w:hint="cs"/>
          <w:rtl/>
        </w:rPr>
        <w:t xml:space="preserve">מאופיינת בשיעור גבוה של משפחות </w:t>
      </w:r>
      <w:r w:rsidR="00DB2609">
        <w:rPr>
          <w:rFonts w:ascii="David" w:hAnsi="David" w:cs="David" w:hint="cs"/>
          <w:rtl/>
        </w:rPr>
        <w:t>גדולות</w:t>
      </w:r>
      <w:r w:rsidR="00F63C24">
        <w:rPr>
          <w:rFonts w:ascii="David" w:hAnsi="David" w:cs="David" w:hint="cs"/>
          <w:rtl/>
        </w:rPr>
        <w:t xml:space="preserve"> ובשיעורי</w:t>
      </w:r>
      <w:r w:rsidR="00E1395C">
        <w:rPr>
          <w:rFonts w:ascii="David" w:hAnsi="David" w:cs="David" w:hint="cs"/>
          <w:rtl/>
        </w:rPr>
        <w:t>ם נמוכים של</w:t>
      </w:r>
      <w:r w:rsidR="00F63C24">
        <w:rPr>
          <w:rFonts w:ascii="David" w:hAnsi="David" w:cs="David" w:hint="cs"/>
          <w:rtl/>
        </w:rPr>
        <w:t xml:space="preserve"> השתלבות </w:t>
      </w:r>
      <w:r w:rsidR="0075310D">
        <w:rPr>
          <w:rFonts w:ascii="David" w:hAnsi="David" w:cs="David" w:hint="cs"/>
          <w:rtl/>
        </w:rPr>
        <w:t xml:space="preserve">גברים </w:t>
      </w:r>
      <w:r w:rsidR="00F63C24">
        <w:rPr>
          <w:rFonts w:ascii="David" w:hAnsi="David" w:cs="David" w:hint="cs"/>
          <w:rtl/>
        </w:rPr>
        <w:t xml:space="preserve">בתעסוקה ורמת הכנסה. </w:t>
      </w:r>
      <w:r w:rsidR="007C4197">
        <w:rPr>
          <w:rFonts w:ascii="David" w:hAnsi="David" w:cs="David" w:hint="cs"/>
          <w:rtl/>
        </w:rPr>
        <w:t>מאפיינים אלו מבי</w:t>
      </w:r>
      <w:r w:rsidR="0075310D">
        <w:rPr>
          <w:rFonts w:ascii="David" w:hAnsi="David" w:cs="David" w:hint="cs"/>
          <w:rtl/>
        </w:rPr>
        <w:t>א</w:t>
      </w:r>
      <w:r w:rsidR="007C4197">
        <w:rPr>
          <w:rFonts w:ascii="David" w:hAnsi="David" w:cs="David" w:hint="cs"/>
          <w:rtl/>
        </w:rPr>
        <w:t xml:space="preserve">ים לשיעור גבוה </w:t>
      </w:r>
      <w:r w:rsidR="00CA249A">
        <w:rPr>
          <w:rFonts w:ascii="David" w:hAnsi="David" w:cs="David" w:hint="cs"/>
          <w:rtl/>
        </w:rPr>
        <w:t>מהאוכלוסייה החרדית</w:t>
      </w:r>
      <w:r w:rsidR="00BE6B7B">
        <w:rPr>
          <w:rFonts w:ascii="David" w:hAnsi="David" w:cs="David" w:hint="cs"/>
          <w:rtl/>
        </w:rPr>
        <w:t xml:space="preserve"> החיים מתחת לקו העוני </w:t>
      </w:r>
      <w:r w:rsidR="00691DFB">
        <w:rPr>
          <w:rFonts w:ascii="David" w:hAnsi="David" w:cs="David"/>
          <w:rtl/>
        </w:rPr>
        <w:t>–</w:t>
      </w:r>
      <w:r w:rsidR="00BE6B7B">
        <w:rPr>
          <w:rFonts w:ascii="David" w:hAnsi="David" w:cs="David" w:hint="cs"/>
          <w:rtl/>
        </w:rPr>
        <w:t xml:space="preserve"> </w:t>
      </w:r>
      <w:r w:rsidR="006D66D5">
        <w:rPr>
          <w:rFonts w:ascii="David" w:hAnsi="David" w:cs="David" w:hint="cs"/>
          <w:rtl/>
        </w:rPr>
        <w:t>44%</w:t>
      </w:r>
      <w:r w:rsidR="00691DFB">
        <w:rPr>
          <w:rFonts w:ascii="David" w:hAnsi="David" w:cs="David" w:hint="cs"/>
          <w:rtl/>
        </w:rPr>
        <w:t xml:space="preserve"> מהנפשות ו-</w:t>
      </w:r>
      <w:r w:rsidR="006D66D5">
        <w:rPr>
          <w:rFonts w:ascii="David" w:hAnsi="David" w:cs="David" w:hint="cs"/>
          <w:rtl/>
        </w:rPr>
        <w:t>60</w:t>
      </w:r>
      <w:r w:rsidR="00706266">
        <w:rPr>
          <w:rFonts w:ascii="David" w:hAnsi="David" w:cs="David" w:hint="cs"/>
          <w:rtl/>
        </w:rPr>
        <w:t>% מהילדים</w:t>
      </w:r>
      <w:r w:rsidR="00CA249A">
        <w:rPr>
          <w:rFonts w:ascii="David" w:hAnsi="David" w:cs="David" w:hint="cs"/>
          <w:rtl/>
        </w:rPr>
        <w:t xml:space="preserve">, </w:t>
      </w:r>
      <w:r w:rsidR="00C63D88">
        <w:rPr>
          <w:rFonts w:ascii="David" w:hAnsi="David" w:cs="David" w:hint="cs"/>
          <w:rtl/>
        </w:rPr>
        <w:t>נכון לשנת 2021</w:t>
      </w:r>
      <w:r w:rsidR="00C67ABF">
        <w:rPr>
          <w:rFonts w:ascii="David" w:hAnsi="David" w:cs="David" w:hint="cs"/>
          <w:rtl/>
        </w:rPr>
        <w:t xml:space="preserve"> (מלאך </w:t>
      </w:r>
      <w:proofErr w:type="spellStart"/>
      <w:r w:rsidR="00C67ABF">
        <w:rPr>
          <w:rFonts w:ascii="David" w:hAnsi="David" w:cs="David" w:hint="cs"/>
          <w:rtl/>
        </w:rPr>
        <w:t>וכהנר</w:t>
      </w:r>
      <w:proofErr w:type="spellEnd"/>
      <w:r w:rsidR="00C67ABF">
        <w:rPr>
          <w:rFonts w:ascii="David" w:hAnsi="David" w:cs="David" w:hint="cs"/>
          <w:rtl/>
        </w:rPr>
        <w:t>, 2022)</w:t>
      </w:r>
      <w:r w:rsidR="00706266">
        <w:rPr>
          <w:rFonts w:ascii="David" w:hAnsi="David" w:cs="David" w:hint="cs"/>
          <w:rtl/>
        </w:rPr>
        <w:t>.</w:t>
      </w:r>
      <w:r w:rsidR="00B87175">
        <w:rPr>
          <w:rFonts w:ascii="David" w:hAnsi="David" w:cs="David" w:hint="cs"/>
          <w:rtl/>
        </w:rPr>
        <w:t xml:space="preserve"> לצד זאת, שיעור נמוך של </w:t>
      </w:r>
      <w:r w:rsidR="00DB5346">
        <w:rPr>
          <w:rFonts w:ascii="David" w:hAnsi="David" w:cs="David" w:hint="cs"/>
          <w:rtl/>
        </w:rPr>
        <w:t>מהאוכלוסייה החרדית</w:t>
      </w:r>
      <w:r w:rsidR="00B87175">
        <w:rPr>
          <w:rFonts w:ascii="David" w:hAnsi="David" w:cs="David" w:hint="cs"/>
          <w:rtl/>
        </w:rPr>
        <w:t xml:space="preserve"> מדווח על תחושת עוני סובייקטיבי (כ-8%). </w:t>
      </w:r>
      <w:r w:rsidR="00BC428E">
        <w:rPr>
          <w:rFonts w:ascii="David" w:hAnsi="David" w:cs="David" w:hint="cs"/>
          <w:rtl/>
        </w:rPr>
        <w:t xml:space="preserve">חלק </w:t>
      </w:r>
      <w:r w:rsidR="00776CBD">
        <w:rPr>
          <w:rFonts w:ascii="David" w:hAnsi="David" w:cs="David" w:hint="cs"/>
          <w:rtl/>
        </w:rPr>
        <w:t xml:space="preserve">קטן </w:t>
      </w:r>
      <w:r w:rsidR="00A20BA0">
        <w:rPr>
          <w:rFonts w:ascii="David" w:hAnsi="David" w:cs="David" w:hint="cs"/>
          <w:rtl/>
        </w:rPr>
        <w:t xml:space="preserve">מאוכלוסייה זו מדווח על </w:t>
      </w:r>
      <w:r w:rsidR="000F436D">
        <w:rPr>
          <w:rFonts w:ascii="David" w:hAnsi="David" w:cs="David" w:hint="cs"/>
          <w:rtl/>
        </w:rPr>
        <w:t>ויתור על טיפול רפואי</w:t>
      </w:r>
      <w:r w:rsidR="0062450D">
        <w:rPr>
          <w:rFonts w:ascii="David" w:hAnsi="David" w:cs="David" w:hint="cs"/>
          <w:rtl/>
        </w:rPr>
        <w:t xml:space="preserve"> (15%)</w:t>
      </w:r>
      <w:r w:rsidR="00D01857">
        <w:rPr>
          <w:rFonts w:ascii="David" w:hAnsi="David" w:cs="David" w:hint="cs"/>
          <w:rtl/>
        </w:rPr>
        <w:t>, תרופות מרשם</w:t>
      </w:r>
      <w:r w:rsidR="0062450D">
        <w:rPr>
          <w:rFonts w:ascii="David" w:hAnsi="David" w:cs="David" w:hint="cs"/>
          <w:rtl/>
        </w:rPr>
        <w:t xml:space="preserve"> (6%)</w:t>
      </w:r>
      <w:r w:rsidR="00D01857">
        <w:rPr>
          <w:rFonts w:ascii="David" w:hAnsi="David" w:cs="David" w:hint="cs"/>
          <w:rtl/>
        </w:rPr>
        <w:t xml:space="preserve">, על ארוחה חמה </w:t>
      </w:r>
      <w:r w:rsidR="0062450D">
        <w:rPr>
          <w:rFonts w:ascii="David" w:hAnsi="David" w:cs="David" w:hint="cs"/>
          <w:rtl/>
        </w:rPr>
        <w:t>(5%)</w:t>
      </w:r>
      <w:r w:rsidR="002F55DD">
        <w:rPr>
          <w:rFonts w:ascii="David" w:hAnsi="David" w:cs="David" w:hint="cs"/>
          <w:rtl/>
        </w:rPr>
        <w:t xml:space="preserve"> (</w:t>
      </w:r>
      <w:proofErr w:type="spellStart"/>
      <w:r w:rsidR="002F55DD">
        <w:rPr>
          <w:rFonts w:ascii="David" w:hAnsi="David" w:cs="David" w:hint="cs"/>
          <w:rtl/>
        </w:rPr>
        <w:t>אנדבלד</w:t>
      </w:r>
      <w:proofErr w:type="spellEnd"/>
      <w:r w:rsidR="002F55DD">
        <w:rPr>
          <w:rFonts w:ascii="David" w:hAnsi="David" w:cs="David" w:hint="cs"/>
          <w:rtl/>
        </w:rPr>
        <w:t>, 2023)</w:t>
      </w:r>
      <w:r w:rsidR="0062450D">
        <w:rPr>
          <w:rFonts w:ascii="David" w:hAnsi="David" w:cs="David" w:hint="cs"/>
          <w:rtl/>
        </w:rPr>
        <w:t>.</w:t>
      </w:r>
      <w:r w:rsidR="004F1112">
        <w:rPr>
          <w:rFonts w:ascii="David" w:hAnsi="David" w:cs="David" w:hint="cs"/>
          <w:rtl/>
        </w:rPr>
        <w:t xml:space="preserve"> מהנתונים עולה כי</w:t>
      </w:r>
      <w:r w:rsidR="006267DB">
        <w:rPr>
          <w:rFonts w:ascii="David" w:hAnsi="David" w:cs="David" w:hint="cs"/>
          <w:rtl/>
        </w:rPr>
        <w:t xml:space="preserve"> בהשוואה להוצאות משק הבית היהודי לא-חרדי,</w:t>
      </w:r>
      <w:r w:rsidR="004F1112">
        <w:rPr>
          <w:rFonts w:ascii="David" w:hAnsi="David" w:cs="David" w:hint="cs"/>
          <w:rtl/>
        </w:rPr>
        <w:t xml:space="preserve"> הוצאות משק הבית החרדי מצומצמות יותר, שיעור המחזיקים ברישיון נהיגה נמוך יותר </w:t>
      </w:r>
      <w:r w:rsidR="006267DB">
        <w:rPr>
          <w:rFonts w:ascii="David" w:hAnsi="David" w:cs="David" w:hint="cs"/>
          <w:rtl/>
        </w:rPr>
        <w:t xml:space="preserve">ונהיגת נשים עדיין אינה מקובלת בחלק מהקהילות החרדיות. </w:t>
      </w:r>
      <w:r w:rsidR="00A42CDF">
        <w:rPr>
          <w:rFonts w:ascii="David" w:hAnsi="David" w:cs="David" w:hint="cs"/>
          <w:rtl/>
        </w:rPr>
        <w:t>אוכלוסייה זו נעזרת יותר בתחבורה הציבורית</w:t>
      </w:r>
      <w:r w:rsidR="00F848ED">
        <w:rPr>
          <w:rFonts w:ascii="David" w:hAnsi="David" w:cs="David" w:hint="cs"/>
          <w:rtl/>
        </w:rPr>
        <w:t xml:space="preserve"> (מלאך </w:t>
      </w:r>
      <w:proofErr w:type="spellStart"/>
      <w:r w:rsidR="00F848ED">
        <w:rPr>
          <w:rFonts w:ascii="David" w:hAnsi="David" w:cs="David" w:hint="cs"/>
          <w:rtl/>
        </w:rPr>
        <w:t>וכהנר</w:t>
      </w:r>
      <w:proofErr w:type="spellEnd"/>
      <w:r w:rsidR="00F848ED">
        <w:rPr>
          <w:rFonts w:ascii="David" w:hAnsi="David" w:cs="David" w:hint="cs"/>
          <w:rtl/>
        </w:rPr>
        <w:t>, 2022)</w:t>
      </w:r>
      <w:r w:rsidR="00A42CDF">
        <w:rPr>
          <w:rFonts w:ascii="David" w:hAnsi="David" w:cs="David" w:hint="cs"/>
          <w:rtl/>
        </w:rPr>
        <w:t xml:space="preserve">. </w:t>
      </w:r>
      <w:r w:rsidR="00DB5346">
        <w:rPr>
          <w:rFonts w:ascii="David" w:hAnsi="David" w:cs="David" w:hint="cs"/>
          <w:rtl/>
        </w:rPr>
        <w:t xml:space="preserve"> </w:t>
      </w:r>
    </w:p>
    <w:p w14:paraId="4FE904A8" w14:textId="5BEF24E7" w:rsidR="00545C11" w:rsidRDefault="00545C11" w:rsidP="00545C11">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השוואה בין האוכלוסייה החרדית ל</w:t>
      </w:r>
      <w:r w:rsidR="00475E21">
        <w:rPr>
          <w:rFonts w:ascii="David" w:hAnsi="David" w:cs="David" w:hint="cs"/>
          <w:rtl/>
        </w:rPr>
        <w:t xml:space="preserve">אוכלוסייה היהודית הלא-חרדית מעלה כי שיעור נמוך יותר מהגברים החרדים משולבים בעבודה, </w:t>
      </w:r>
      <w:r w:rsidR="00155341">
        <w:rPr>
          <w:rFonts w:ascii="David" w:hAnsi="David" w:cs="David" w:hint="cs"/>
          <w:rtl/>
        </w:rPr>
        <w:t>ורמת ההכנסה הממוצעת של עובד</w:t>
      </w:r>
      <w:r w:rsidR="00A671DA">
        <w:rPr>
          <w:rFonts w:ascii="David" w:hAnsi="David" w:cs="David" w:hint="cs"/>
          <w:rtl/>
        </w:rPr>
        <w:t>ים</w:t>
      </w:r>
      <w:r w:rsidR="00155341">
        <w:rPr>
          <w:rFonts w:ascii="David" w:hAnsi="David" w:cs="David" w:hint="cs"/>
          <w:rtl/>
        </w:rPr>
        <w:t xml:space="preserve"> חרדי</w:t>
      </w:r>
      <w:r w:rsidR="00A671DA">
        <w:rPr>
          <w:rFonts w:ascii="David" w:hAnsi="David" w:cs="David" w:hint="cs"/>
          <w:rtl/>
        </w:rPr>
        <w:t>ם</w:t>
      </w:r>
      <w:r w:rsidR="00155341">
        <w:rPr>
          <w:rFonts w:ascii="David" w:hAnsi="David" w:cs="David" w:hint="cs"/>
          <w:rtl/>
        </w:rPr>
        <w:t xml:space="preserve"> נמוכה יותר</w:t>
      </w:r>
      <w:r w:rsidR="004E341D">
        <w:rPr>
          <w:rFonts w:ascii="David" w:hAnsi="David" w:cs="David" w:hint="cs"/>
          <w:rtl/>
        </w:rPr>
        <w:t xml:space="preserve">. </w:t>
      </w:r>
      <w:r w:rsidR="00EE2624">
        <w:rPr>
          <w:rFonts w:ascii="David" w:hAnsi="David" w:cs="David" w:hint="cs"/>
          <w:rtl/>
        </w:rPr>
        <w:t>ה</w:t>
      </w:r>
      <w:r w:rsidR="004E341D">
        <w:rPr>
          <w:rFonts w:ascii="David" w:hAnsi="David" w:cs="David" w:hint="cs"/>
          <w:rtl/>
        </w:rPr>
        <w:t>פערים ברמת ההכנסה נובעים בעיקר מהענפים הכלכליים בהם משתלבת אוכלוסייה זו</w:t>
      </w:r>
      <w:r w:rsidR="0090600E">
        <w:rPr>
          <w:rFonts w:ascii="David" w:hAnsi="David" w:cs="David" w:hint="cs"/>
          <w:rtl/>
        </w:rPr>
        <w:t xml:space="preserve"> (</w:t>
      </w:r>
      <w:r w:rsidR="00763107">
        <w:rPr>
          <w:rFonts w:ascii="David" w:hAnsi="David" w:cs="David" w:hint="cs"/>
          <w:rtl/>
        </w:rPr>
        <w:t>חלק ניכר</w:t>
      </w:r>
      <w:r w:rsidR="0090600E">
        <w:rPr>
          <w:rFonts w:ascii="David" w:hAnsi="David" w:cs="David" w:hint="cs"/>
          <w:rtl/>
        </w:rPr>
        <w:t xml:space="preserve"> בחינוך)</w:t>
      </w:r>
      <w:r w:rsidR="002B39F4">
        <w:rPr>
          <w:rFonts w:ascii="David" w:hAnsi="David" w:cs="David" w:hint="cs"/>
          <w:rtl/>
        </w:rPr>
        <w:t xml:space="preserve">, היקף המשרה </w:t>
      </w:r>
      <w:r w:rsidR="00EE2624">
        <w:rPr>
          <w:rFonts w:ascii="David" w:hAnsi="David" w:cs="David" w:hint="cs"/>
          <w:rtl/>
        </w:rPr>
        <w:t>והעסקה</w:t>
      </w:r>
      <w:r w:rsidR="00C27B8E">
        <w:rPr>
          <w:rFonts w:ascii="David" w:hAnsi="David" w:cs="David" w:hint="cs"/>
          <w:rtl/>
        </w:rPr>
        <w:t xml:space="preserve"> </w:t>
      </w:r>
      <w:r w:rsidR="00EE2624">
        <w:rPr>
          <w:rFonts w:ascii="David" w:hAnsi="David" w:cs="David" w:hint="cs"/>
          <w:rtl/>
        </w:rPr>
        <w:t xml:space="preserve">בשכר שעתי נמוך </w:t>
      </w:r>
      <w:r w:rsidR="00C27B8E">
        <w:rPr>
          <w:rFonts w:ascii="David" w:hAnsi="David" w:cs="David" w:hint="cs"/>
          <w:rtl/>
        </w:rPr>
        <w:t>ו</w:t>
      </w:r>
      <w:r w:rsidR="00EE2624">
        <w:rPr>
          <w:rFonts w:ascii="David" w:hAnsi="David" w:cs="David" w:hint="cs"/>
          <w:rtl/>
        </w:rPr>
        <w:t xml:space="preserve">הם </w:t>
      </w:r>
      <w:r w:rsidR="00C27B8E">
        <w:rPr>
          <w:rFonts w:ascii="David" w:hAnsi="David" w:cs="David" w:hint="cs"/>
          <w:rtl/>
        </w:rPr>
        <w:t xml:space="preserve">משפיעים על רמת החיים של המשפחה </w:t>
      </w:r>
      <w:r w:rsidR="00C27B8E">
        <w:rPr>
          <w:rFonts w:ascii="David" w:hAnsi="David" w:cs="David" w:hint="cs"/>
          <w:rtl/>
        </w:rPr>
        <w:lastRenderedPageBreak/>
        <w:t>החרדית</w:t>
      </w:r>
      <w:r w:rsidR="00374D51">
        <w:rPr>
          <w:rFonts w:ascii="David" w:hAnsi="David" w:cs="David" w:hint="cs"/>
          <w:rtl/>
        </w:rPr>
        <w:t xml:space="preserve"> (מלאך </w:t>
      </w:r>
      <w:proofErr w:type="spellStart"/>
      <w:r w:rsidR="00374D51">
        <w:rPr>
          <w:rFonts w:ascii="David" w:hAnsi="David" w:cs="David" w:hint="cs"/>
          <w:rtl/>
        </w:rPr>
        <w:t>וכהנר</w:t>
      </w:r>
      <w:proofErr w:type="spellEnd"/>
      <w:r w:rsidR="00374D51">
        <w:rPr>
          <w:rFonts w:ascii="David" w:hAnsi="David" w:cs="David" w:hint="cs"/>
          <w:rtl/>
        </w:rPr>
        <w:t xml:space="preserve">, 2022; </w:t>
      </w:r>
      <w:proofErr w:type="spellStart"/>
      <w:r w:rsidR="00374D51">
        <w:rPr>
          <w:rFonts w:ascii="David" w:hAnsi="David" w:cs="David"/>
        </w:rPr>
        <w:t>Machlica</w:t>
      </w:r>
      <w:proofErr w:type="spellEnd"/>
      <w:r w:rsidR="00374D51">
        <w:rPr>
          <w:rFonts w:ascii="David" w:hAnsi="David" w:cs="David"/>
        </w:rPr>
        <w:t>, 2020</w:t>
      </w:r>
      <w:r w:rsidR="00374D51">
        <w:rPr>
          <w:rFonts w:ascii="David" w:hAnsi="David" w:cs="David" w:hint="cs"/>
          <w:rtl/>
        </w:rPr>
        <w:t>)</w:t>
      </w:r>
      <w:r w:rsidR="004E341D">
        <w:rPr>
          <w:rFonts w:ascii="David" w:hAnsi="David" w:cs="David" w:hint="cs"/>
          <w:rtl/>
        </w:rPr>
        <w:t xml:space="preserve">. </w:t>
      </w:r>
      <w:r w:rsidR="00387663">
        <w:rPr>
          <w:rFonts w:ascii="David" w:hAnsi="David" w:cs="David" w:hint="cs"/>
          <w:rtl/>
        </w:rPr>
        <w:t>בתחום הדיגיטלי והטכנולוגי קיימים פערים בין האוכלוסייה החרדית לאוכלוסייה היהודית הלא-חרדית</w:t>
      </w:r>
      <w:r w:rsidR="00DB29B4">
        <w:rPr>
          <w:rFonts w:ascii="David" w:hAnsi="David" w:cs="David" w:hint="cs"/>
          <w:rtl/>
        </w:rPr>
        <w:t xml:space="preserve"> </w:t>
      </w:r>
      <w:r w:rsidR="00DB29B4">
        <w:rPr>
          <w:rFonts w:ascii="David" w:hAnsi="David" w:cs="David"/>
          <w:rtl/>
        </w:rPr>
        <w:t>–</w:t>
      </w:r>
      <w:r w:rsidR="00DB29B4">
        <w:rPr>
          <w:rFonts w:ascii="David" w:hAnsi="David" w:cs="David" w:hint="cs"/>
          <w:rtl/>
        </w:rPr>
        <w:t xml:space="preserve"> בשימוש במחשב ובאינטרנט</w:t>
      </w:r>
      <w:r w:rsidR="0053166B">
        <w:rPr>
          <w:rFonts w:ascii="David" w:hAnsi="David" w:cs="David" w:hint="cs"/>
          <w:rtl/>
        </w:rPr>
        <w:t>, אם כי פערים אלו מצטמצמים בהדרגה</w:t>
      </w:r>
      <w:r w:rsidR="00F848ED">
        <w:rPr>
          <w:rFonts w:ascii="David" w:hAnsi="David" w:cs="David" w:hint="cs"/>
          <w:rtl/>
        </w:rPr>
        <w:t xml:space="preserve"> (מלאך </w:t>
      </w:r>
      <w:proofErr w:type="spellStart"/>
      <w:r w:rsidR="00F848ED">
        <w:rPr>
          <w:rFonts w:ascii="David" w:hAnsi="David" w:cs="David" w:hint="cs"/>
          <w:rtl/>
        </w:rPr>
        <w:t>וכהנר</w:t>
      </w:r>
      <w:proofErr w:type="spellEnd"/>
      <w:r w:rsidR="00F848ED">
        <w:rPr>
          <w:rFonts w:ascii="David" w:hAnsi="David" w:cs="David" w:hint="cs"/>
          <w:rtl/>
        </w:rPr>
        <w:t>, 2022)</w:t>
      </w:r>
      <w:r w:rsidR="0053166B">
        <w:rPr>
          <w:rFonts w:ascii="David" w:hAnsi="David" w:cs="David" w:hint="cs"/>
          <w:rtl/>
        </w:rPr>
        <w:t xml:space="preserve">. </w:t>
      </w:r>
    </w:p>
    <w:p w14:paraId="11048603" w14:textId="77777777" w:rsidR="00A2601F" w:rsidRDefault="004928B4" w:rsidP="003D1279">
      <w:pPr>
        <w:pStyle w:val="NormalWeb"/>
        <w:bidi/>
        <w:spacing w:before="120" w:beforeAutospacing="0" w:after="120" w:afterAutospacing="0" w:line="312" w:lineRule="auto"/>
        <w:jc w:val="both"/>
        <w:textAlignment w:val="baseline"/>
        <w:rPr>
          <w:rFonts w:ascii="David" w:hAnsi="David" w:cs="David"/>
          <w:rtl/>
        </w:rPr>
      </w:pPr>
      <w:r w:rsidRPr="004C5570">
        <w:rPr>
          <w:rFonts w:ascii="David" w:hAnsi="David" w:cs="David" w:hint="cs"/>
          <w:b/>
          <w:bCs/>
          <w:rtl/>
        </w:rPr>
        <w:t>אוכלוסיית יוצאי אתיופיה</w:t>
      </w:r>
      <w:r w:rsidRPr="00F72C12">
        <w:rPr>
          <w:rFonts w:ascii="David" w:hAnsi="David" w:cs="David" w:hint="cs"/>
          <w:rtl/>
        </w:rPr>
        <w:t xml:space="preserve"> מהווה כ</w:t>
      </w:r>
      <w:r w:rsidR="006704DE">
        <w:rPr>
          <w:rFonts w:ascii="David" w:hAnsi="David" w:cs="David" w:hint="cs"/>
          <w:rtl/>
        </w:rPr>
        <w:t>1.7%</w:t>
      </w:r>
      <w:r w:rsidRPr="00F72C12">
        <w:rPr>
          <w:rFonts w:ascii="David" w:hAnsi="David" w:cs="David" w:hint="cs"/>
          <w:rtl/>
        </w:rPr>
        <w:t xml:space="preserve"> מהאוכלוסייה בישראל</w:t>
      </w:r>
      <w:r w:rsidR="006759B8">
        <w:rPr>
          <w:rFonts w:ascii="David" w:hAnsi="David" w:cs="David" w:hint="cs"/>
          <w:rtl/>
        </w:rPr>
        <w:t xml:space="preserve"> וכ-2.3% מהתלמידים בחינוך העברי</w:t>
      </w:r>
      <w:r w:rsidRPr="00F72C12">
        <w:rPr>
          <w:rFonts w:ascii="David" w:hAnsi="David" w:cs="David" w:hint="cs"/>
          <w:rtl/>
        </w:rPr>
        <w:t>.</w:t>
      </w:r>
      <w:r w:rsidR="004E7043">
        <w:rPr>
          <w:rFonts w:ascii="David" w:hAnsi="David" w:cs="David" w:hint="cs"/>
          <w:rtl/>
        </w:rPr>
        <w:t xml:space="preserve"> </w:t>
      </w:r>
      <w:r w:rsidR="007146AE">
        <w:rPr>
          <w:rFonts w:ascii="David" w:hAnsi="David" w:cs="David" w:hint="cs"/>
          <w:rtl/>
        </w:rPr>
        <w:t xml:space="preserve">רוב הילדים </w:t>
      </w:r>
      <w:r w:rsidR="00141F40">
        <w:rPr>
          <w:rFonts w:ascii="David" w:hAnsi="David" w:cs="David" w:hint="cs"/>
          <w:rtl/>
        </w:rPr>
        <w:t xml:space="preserve">(92%) </w:t>
      </w:r>
      <w:r w:rsidR="007146AE">
        <w:rPr>
          <w:rFonts w:ascii="David" w:hAnsi="David" w:cs="David" w:hint="cs"/>
          <w:rtl/>
        </w:rPr>
        <w:t xml:space="preserve">בגילאי לידה עד 14 נולדו בישראל. </w:t>
      </w:r>
      <w:r w:rsidR="000E32AF">
        <w:rPr>
          <w:rFonts w:ascii="David" w:hAnsi="David" w:cs="David" w:hint="cs"/>
          <w:rtl/>
        </w:rPr>
        <w:t>רוב האוכלוסייה מתגוררת באזור המרכז</w:t>
      </w:r>
      <w:r w:rsidR="008F12A5">
        <w:rPr>
          <w:rFonts w:ascii="David" w:hAnsi="David" w:cs="David" w:hint="cs"/>
          <w:rtl/>
        </w:rPr>
        <w:t>, תל-אביב ו</w:t>
      </w:r>
      <w:r w:rsidR="000E32AF">
        <w:rPr>
          <w:rFonts w:ascii="David" w:hAnsi="David" w:cs="David" w:hint="cs"/>
          <w:rtl/>
        </w:rPr>
        <w:t xml:space="preserve">הדרום. </w:t>
      </w:r>
      <w:r w:rsidR="00850EB8">
        <w:rPr>
          <w:rFonts w:ascii="David" w:hAnsi="David" w:cs="David" w:hint="cs"/>
          <w:rtl/>
        </w:rPr>
        <w:t>רבע</w:t>
      </w:r>
      <w:r w:rsidR="000E32AF">
        <w:rPr>
          <w:rFonts w:ascii="David" w:hAnsi="David" w:cs="David" w:hint="cs"/>
          <w:rtl/>
        </w:rPr>
        <w:t xml:space="preserve"> מהמשפחות יוצאות אתיו</w:t>
      </w:r>
      <w:r w:rsidR="00850EB8">
        <w:rPr>
          <w:rFonts w:ascii="David" w:hAnsi="David" w:cs="David" w:hint="cs"/>
          <w:rtl/>
        </w:rPr>
        <w:t xml:space="preserve">פיה חד הוריות לעומת </w:t>
      </w:r>
      <w:r w:rsidR="00AE3DCA">
        <w:rPr>
          <w:rFonts w:ascii="David" w:hAnsi="David" w:cs="David" w:hint="cs"/>
          <w:rtl/>
        </w:rPr>
        <w:t xml:space="preserve">כ-13% בקרב משפחות יהודיות אחרות. </w:t>
      </w:r>
      <w:r w:rsidR="004D63CF">
        <w:rPr>
          <w:rFonts w:ascii="David" w:hAnsi="David" w:cs="David" w:hint="cs"/>
          <w:rtl/>
        </w:rPr>
        <w:t>חלק ניכר</w:t>
      </w:r>
      <w:r w:rsidR="002442FB" w:rsidRPr="00F72C12">
        <w:rPr>
          <w:rFonts w:ascii="David" w:hAnsi="David" w:cs="David" w:hint="cs"/>
          <w:rtl/>
        </w:rPr>
        <w:t xml:space="preserve"> </w:t>
      </w:r>
      <w:r w:rsidRPr="00F72C12">
        <w:rPr>
          <w:rFonts w:ascii="David" w:hAnsi="David" w:cs="David" w:hint="cs"/>
          <w:rtl/>
        </w:rPr>
        <w:t>מאוכלוסייה</w:t>
      </w:r>
      <w:r>
        <w:rPr>
          <w:rFonts w:ascii="David" w:hAnsi="David" w:cs="David" w:hint="cs"/>
          <w:rtl/>
        </w:rPr>
        <w:t xml:space="preserve"> זו </w:t>
      </w:r>
      <w:r w:rsidR="004530CA">
        <w:rPr>
          <w:rFonts w:ascii="David" w:hAnsi="David" w:cs="David" w:hint="cs"/>
          <w:rtl/>
        </w:rPr>
        <w:t xml:space="preserve">נמצא מתחת לקו העוני </w:t>
      </w:r>
      <w:r w:rsidR="004530CA">
        <w:rPr>
          <w:rFonts w:ascii="David" w:hAnsi="David" w:cs="David"/>
          <w:rtl/>
        </w:rPr>
        <w:t>–</w:t>
      </w:r>
      <w:r w:rsidR="004530CA">
        <w:rPr>
          <w:rFonts w:ascii="David" w:hAnsi="David" w:cs="David" w:hint="cs"/>
          <w:rtl/>
        </w:rPr>
        <w:t xml:space="preserve"> 18.4% בהשוואה ל-13.4% </w:t>
      </w:r>
      <w:r>
        <w:rPr>
          <w:rFonts w:ascii="David" w:hAnsi="David" w:cs="David" w:hint="cs"/>
          <w:rtl/>
        </w:rPr>
        <w:t xml:space="preserve">מהאוכלוסייה היהודית הלא-חרדית </w:t>
      </w:r>
      <w:r w:rsidR="004530CA">
        <w:rPr>
          <w:rFonts w:ascii="David" w:hAnsi="David" w:cs="David" w:hint="cs"/>
          <w:rtl/>
        </w:rPr>
        <w:t>בשנת 2017</w:t>
      </w:r>
      <w:r w:rsidR="002442FB">
        <w:rPr>
          <w:rFonts w:ascii="David" w:hAnsi="David" w:cs="David" w:hint="cs"/>
          <w:rtl/>
        </w:rPr>
        <w:t xml:space="preserve"> </w:t>
      </w:r>
      <w:r w:rsidR="00283C1B">
        <w:rPr>
          <w:rFonts w:ascii="David" w:hAnsi="David" w:cs="David" w:hint="cs"/>
          <w:rtl/>
        </w:rPr>
        <w:t xml:space="preserve">ורשומים במחלקות לשירותים חברתיים </w:t>
      </w:r>
      <w:r w:rsidR="0078655F">
        <w:rPr>
          <w:rFonts w:ascii="David" w:hAnsi="David" w:cs="David" w:hint="cs"/>
          <w:rtl/>
        </w:rPr>
        <w:t xml:space="preserve">(הלשכה המרכזית לסטטיסטיקה, </w:t>
      </w:r>
      <w:r w:rsidR="004A4B84">
        <w:rPr>
          <w:rFonts w:ascii="David" w:hAnsi="David" w:cs="David" w:hint="cs"/>
          <w:rtl/>
        </w:rPr>
        <w:t>2022</w:t>
      </w:r>
      <w:r w:rsidR="0078655F">
        <w:rPr>
          <w:rFonts w:ascii="David" w:hAnsi="David" w:cs="David" w:hint="cs"/>
          <w:rtl/>
        </w:rPr>
        <w:t xml:space="preserve">). </w:t>
      </w:r>
    </w:p>
    <w:p w14:paraId="2BC241C3" w14:textId="6A9DF401" w:rsidR="00AE3DCA" w:rsidRDefault="00A2601F" w:rsidP="00A2601F">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בתחום התעסוקה, </w:t>
      </w:r>
      <w:r w:rsidR="00953A9E">
        <w:rPr>
          <w:rFonts w:ascii="David" w:hAnsi="David" w:cs="David" w:hint="cs"/>
          <w:rtl/>
        </w:rPr>
        <w:t xml:space="preserve">התפלגות משלחי היד של שכירים יוצאי אתיופיה מאופיינת </w:t>
      </w:r>
      <w:r>
        <w:rPr>
          <w:rFonts w:ascii="David" w:hAnsi="David" w:cs="David" w:hint="cs"/>
          <w:rtl/>
        </w:rPr>
        <w:t xml:space="preserve">בדירוג נמוך של משלחי יד - </w:t>
      </w:r>
      <w:r w:rsidR="00953A9E">
        <w:rPr>
          <w:rFonts w:ascii="David" w:hAnsi="David" w:cs="David" w:hint="cs"/>
          <w:rtl/>
        </w:rPr>
        <w:t>ב</w:t>
      </w:r>
      <w:r w:rsidR="00CE2F75">
        <w:rPr>
          <w:rFonts w:ascii="David" w:hAnsi="David" w:cs="David" w:hint="cs"/>
          <w:rtl/>
        </w:rPr>
        <w:t xml:space="preserve">אחוז גבוה יחסית המשתלבים </w:t>
      </w:r>
      <w:r w:rsidR="00953A9E">
        <w:rPr>
          <w:rFonts w:ascii="David" w:hAnsi="David" w:cs="David" w:hint="cs"/>
          <w:rtl/>
        </w:rPr>
        <w:t>ב</w:t>
      </w:r>
      <w:r w:rsidR="00CE2F75">
        <w:rPr>
          <w:rFonts w:ascii="David" w:hAnsi="David" w:cs="David" w:hint="cs"/>
          <w:rtl/>
        </w:rPr>
        <w:t>עבודות בלתי מקצועיות (</w:t>
      </w:r>
      <w:r w:rsidR="005C4504">
        <w:rPr>
          <w:rFonts w:ascii="David" w:hAnsi="David" w:cs="David" w:hint="cs"/>
          <w:rtl/>
        </w:rPr>
        <w:t xml:space="preserve">16% </w:t>
      </w:r>
      <w:r w:rsidR="008131D7">
        <w:rPr>
          <w:rFonts w:ascii="David" w:hAnsi="David" w:cs="David" w:hint="cs"/>
          <w:rtl/>
        </w:rPr>
        <w:t xml:space="preserve">לעומת </w:t>
      </w:r>
      <w:r w:rsidR="00BE3517">
        <w:rPr>
          <w:rFonts w:ascii="David" w:hAnsi="David" w:cs="David" w:hint="cs"/>
          <w:rtl/>
        </w:rPr>
        <w:t xml:space="preserve">6% מכלל השכירים), בעבודות מקצועיות (20% </w:t>
      </w:r>
      <w:r w:rsidR="005A203E">
        <w:rPr>
          <w:rFonts w:ascii="David" w:hAnsi="David" w:cs="David" w:hint="cs"/>
          <w:rtl/>
        </w:rPr>
        <w:t xml:space="preserve">לעומת 13% מכלל השכירים), </w:t>
      </w:r>
      <w:r w:rsidR="00AC7476">
        <w:rPr>
          <w:rFonts w:ascii="David" w:hAnsi="David" w:cs="David" w:hint="cs"/>
          <w:rtl/>
        </w:rPr>
        <w:t xml:space="preserve">וכעובדי מכירות ושירותים (23% לעומת </w:t>
      </w:r>
      <w:r w:rsidR="003A6C56">
        <w:rPr>
          <w:rFonts w:ascii="David" w:hAnsi="David" w:cs="David" w:hint="cs"/>
          <w:rtl/>
        </w:rPr>
        <w:t>18% מכלל השכירים).</w:t>
      </w:r>
      <w:r>
        <w:rPr>
          <w:rFonts w:ascii="David" w:hAnsi="David" w:cs="David" w:hint="cs"/>
          <w:rtl/>
        </w:rPr>
        <w:t xml:space="preserve"> שיעורי האבטלה בקרב יוצאי אתיופיה גבוהים (14%</w:t>
      </w:r>
      <w:r w:rsidR="008205C6">
        <w:rPr>
          <w:rFonts w:ascii="David" w:hAnsi="David" w:cs="David" w:hint="cs"/>
          <w:rtl/>
        </w:rPr>
        <w:t xml:space="preserve"> לעומת 7% באוכלוסייה </w:t>
      </w:r>
      <w:r w:rsidR="008205C6" w:rsidRPr="007A76A9">
        <w:rPr>
          <w:rFonts w:ascii="David" w:hAnsi="David" w:cs="David" w:hint="cs"/>
          <w:rtl/>
        </w:rPr>
        <w:t>היהודית) (</w:t>
      </w:r>
      <w:r w:rsidR="00230F69" w:rsidRPr="007A76A9">
        <w:rPr>
          <w:rFonts w:ascii="David" w:hAnsi="David" w:cs="David" w:hint="cs"/>
          <w:rtl/>
        </w:rPr>
        <w:t>משרד הבריאות, 2019)</w:t>
      </w:r>
      <w:r w:rsidR="008205C6" w:rsidRPr="007A76A9">
        <w:rPr>
          <w:rFonts w:ascii="David" w:hAnsi="David" w:cs="David" w:hint="cs"/>
          <w:rtl/>
        </w:rPr>
        <w:t>.</w:t>
      </w:r>
      <w:r w:rsidR="008205C6">
        <w:rPr>
          <w:rFonts w:ascii="David" w:hAnsi="David" w:cs="David" w:hint="cs"/>
          <w:rtl/>
        </w:rPr>
        <w:t xml:space="preserve"> </w:t>
      </w:r>
      <w:r w:rsidR="003A6C56">
        <w:rPr>
          <w:rFonts w:ascii="David" w:hAnsi="David" w:cs="David" w:hint="cs"/>
          <w:rtl/>
        </w:rPr>
        <w:t xml:space="preserve"> </w:t>
      </w:r>
      <w:r w:rsidR="00953A9E">
        <w:rPr>
          <w:rFonts w:ascii="David" w:hAnsi="David" w:cs="David" w:hint="cs"/>
          <w:rtl/>
        </w:rPr>
        <w:t xml:space="preserve"> </w:t>
      </w:r>
    </w:p>
    <w:p w14:paraId="2266EBFD" w14:textId="77777777" w:rsidR="00FF375D" w:rsidRDefault="000E6E05" w:rsidP="003D6C1A">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ברוב הממדים שנבדקו מצב הבריאות של יוצאי אתיופיה </w:t>
      </w:r>
      <w:r w:rsidR="00BB6D46">
        <w:rPr>
          <w:rFonts w:ascii="David" w:hAnsi="David" w:cs="David" w:hint="cs"/>
          <w:rtl/>
        </w:rPr>
        <w:t>דומה לכלל האוכלוסייה. לצד זאת, נמצאו שיעורים גבוהים של מחלות זיהומיות (שחפת</w:t>
      </w:r>
      <w:r w:rsidR="00434B6D">
        <w:rPr>
          <w:rFonts w:ascii="David" w:hAnsi="David" w:cs="David" w:hint="cs"/>
          <w:rtl/>
        </w:rPr>
        <w:t xml:space="preserve"> ונשאי </w:t>
      </w:r>
      <w:r w:rsidR="00434B6D">
        <w:rPr>
          <w:rFonts w:ascii="David" w:hAnsi="David" w:cs="David" w:hint="cs"/>
        </w:rPr>
        <w:t>HIV</w:t>
      </w:r>
      <w:r w:rsidR="00434B6D">
        <w:rPr>
          <w:rFonts w:ascii="David" w:hAnsi="David" w:cs="David" w:hint="cs"/>
          <w:rtl/>
        </w:rPr>
        <w:t>)</w:t>
      </w:r>
      <w:r w:rsidR="00934566">
        <w:rPr>
          <w:rFonts w:ascii="David" w:hAnsi="David" w:cs="David" w:hint="cs"/>
          <w:rtl/>
        </w:rPr>
        <w:t xml:space="preserve">. </w:t>
      </w:r>
      <w:r w:rsidR="005A1D03">
        <w:rPr>
          <w:rFonts w:ascii="David" w:hAnsi="David" w:cs="David" w:hint="cs"/>
          <w:rtl/>
        </w:rPr>
        <w:t>בהתנהגות בריאותית קיימים שיעורים גבוהים יחסית של שתיה לשוכרה</w:t>
      </w:r>
      <w:r w:rsidR="00F7740D">
        <w:rPr>
          <w:rFonts w:ascii="David" w:hAnsi="David" w:cs="David" w:hint="cs"/>
          <w:rtl/>
        </w:rPr>
        <w:t xml:space="preserve">, </w:t>
      </w:r>
      <w:r w:rsidR="006A5502">
        <w:rPr>
          <w:rFonts w:ascii="David" w:hAnsi="David" w:cs="David" w:hint="cs"/>
          <w:rtl/>
        </w:rPr>
        <w:t xml:space="preserve">עישון נרגילה, </w:t>
      </w:r>
      <w:r w:rsidR="00F7740D">
        <w:rPr>
          <w:rFonts w:ascii="David" w:hAnsi="David" w:cs="David" w:hint="cs"/>
          <w:rtl/>
        </w:rPr>
        <w:t>שימוש בקנאביס</w:t>
      </w:r>
      <w:r w:rsidR="005A1D03">
        <w:rPr>
          <w:rFonts w:ascii="David" w:hAnsi="David" w:cs="David" w:hint="cs"/>
          <w:rtl/>
        </w:rPr>
        <w:t xml:space="preserve"> ואובדנות. </w:t>
      </w:r>
      <w:r w:rsidR="003D6C1A">
        <w:rPr>
          <w:rFonts w:ascii="David" w:hAnsi="David" w:cs="David" w:hint="cs"/>
          <w:rtl/>
        </w:rPr>
        <w:t>(הלשכה המרכזית לסטטיסטיקה, 2022).</w:t>
      </w:r>
    </w:p>
    <w:p w14:paraId="066020E9" w14:textId="0FD7329B" w:rsidR="000E6E05" w:rsidRDefault="00AB13C5" w:rsidP="00FF375D">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לאורך השנים זוהו גם הבדלים ברמת ההשכלה, משלחי היד וההכנסה בין יוצאי אסיה-אפריקה לבין יוצאי אירופה-אמריקה (דהן, 2013</w:t>
      </w:r>
      <w:r w:rsidR="003E4C77">
        <w:rPr>
          <w:rFonts w:ascii="David" w:hAnsi="David" w:cs="David" w:hint="cs"/>
          <w:rtl/>
        </w:rPr>
        <w:t xml:space="preserve">; </w:t>
      </w:r>
      <w:r w:rsidR="004565D6">
        <w:rPr>
          <w:rFonts w:ascii="David" w:hAnsi="David" w:cs="David" w:hint="cs"/>
          <w:rtl/>
        </w:rPr>
        <w:t>מלצר, 20</w:t>
      </w:r>
      <w:r w:rsidR="00E06424">
        <w:rPr>
          <w:rFonts w:ascii="David" w:hAnsi="David" w:cs="David" w:hint="cs"/>
          <w:rtl/>
        </w:rPr>
        <w:t>1</w:t>
      </w:r>
      <w:r w:rsidR="004565D6">
        <w:rPr>
          <w:rFonts w:ascii="David" w:hAnsi="David" w:cs="David" w:hint="cs"/>
          <w:rtl/>
        </w:rPr>
        <w:t xml:space="preserve">3; </w:t>
      </w:r>
      <w:proofErr w:type="spellStart"/>
      <w:r w:rsidR="004565D6">
        <w:rPr>
          <w:rFonts w:ascii="David" w:hAnsi="David" w:cs="David" w:hint="cs"/>
          <w:rtl/>
        </w:rPr>
        <w:t>ליסק</w:t>
      </w:r>
      <w:proofErr w:type="spellEnd"/>
      <w:r w:rsidR="004565D6">
        <w:rPr>
          <w:rFonts w:ascii="David" w:hAnsi="David" w:cs="David" w:hint="cs"/>
          <w:rtl/>
        </w:rPr>
        <w:t>, 2000</w:t>
      </w:r>
      <w:r w:rsidR="003E4C77">
        <w:rPr>
          <w:rFonts w:ascii="David" w:hAnsi="David" w:cs="David" w:hint="cs"/>
          <w:rtl/>
        </w:rPr>
        <w:t>)</w:t>
      </w:r>
      <w:r w:rsidR="009F18C1">
        <w:rPr>
          <w:rFonts w:ascii="David" w:hAnsi="David" w:cs="David" w:hint="cs"/>
          <w:rtl/>
        </w:rPr>
        <w:t>.</w:t>
      </w:r>
      <w:r w:rsidR="001E4F42">
        <w:rPr>
          <w:rFonts w:ascii="David" w:hAnsi="David" w:cs="David" w:hint="cs"/>
          <w:rtl/>
        </w:rPr>
        <w:t xml:space="preserve"> אולם בשנים האחרונות </w:t>
      </w:r>
      <w:r w:rsidR="002A50CE">
        <w:rPr>
          <w:rFonts w:ascii="David" w:hAnsi="David" w:cs="David" w:hint="cs"/>
          <w:rtl/>
        </w:rPr>
        <w:t xml:space="preserve">הלשכה המרכזית לסטטיסטיקה </w:t>
      </w:r>
      <w:r w:rsidR="001A426E">
        <w:rPr>
          <w:rFonts w:ascii="David" w:hAnsi="David" w:cs="David" w:hint="cs"/>
          <w:rtl/>
        </w:rPr>
        <w:t xml:space="preserve">אינה מפרסמת </w:t>
      </w:r>
      <w:r w:rsidR="0042270D">
        <w:rPr>
          <w:rFonts w:ascii="David" w:hAnsi="David" w:cs="David" w:hint="cs"/>
          <w:rtl/>
        </w:rPr>
        <w:t xml:space="preserve">עוד נתונים </w:t>
      </w:r>
      <w:r w:rsidR="002A50CE">
        <w:rPr>
          <w:rFonts w:ascii="David" w:hAnsi="David" w:cs="David" w:hint="cs"/>
          <w:rtl/>
        </w:rPr>
        <w:t xml:space="preserve">על </w:t>
      </w:r>
      <w:r w:rsidR="0042270D">
        <w:rPr>
          <w:rFonts w:ascii="David" w:hAnsi="David" w:cs="David" w:hint="cs"/>
          <w:rtl/>
        </w:rPr>
        <w:t xml:space="preserve">אי שוויון אתני בקרב </w:t>
      </w:r>
      <w:r w:rsidR="002A50CE">
        <w:rPr>
          <w:rFonts w:ascii="David" w:hAnsi="David" w:cs="David" w:hint="cs"/>
          <w:rtl/>
        </w:rPr>
        <w:t xml:space="preserve">דור שלישי ורביעי ליוצאי אסיה-אפריקה, דבר המקשה על </w:t>
      </w:r>
      <w:r w:rsidR="002A4179">
        <w:rPr>
          <w:rFonts w:ascii="David" w:hAnsi="David" w:cs="David" w:hint="cs"/>
          <w:rtl/>
        </w:rPr>
        <w:t xml:space="preserve">ביצוע מחקרים </w:t>
      </w:r>
      <w:r w:rsidR="009F18C1">
        <w:rPr>
          <w:rFonts w:ascii="David" w:hAnsi="David" w:cs="David" w:hint="cs"/>
          <w:rtl/>
        </w:rPr>
        <w:t>על פערים בין שתי קבוצות אוכלוסייה אלו</w:t>
      </w:r>
      <w:r w:rsidR="002A4179">
        <w:rPr>
          <w:rFonts w:ascii="David" w:hAnsi="David" w:cs="David" w:hint="cs"/>
          <w:rtl/>
        </w:rPr>
        <w:t xml:space="preserve"> (נגר-רון, </w:t>
      </w:r>
      <w:r w:rsidR="000B755E">
        <w:rPr>
          <w:rFonts w:ascii="David" w:hAnsi="David" w:cs="David" w:hint="cs"/>
          <w:rtl/>
        </w:rPr>
        <w:t xml:space="preserve">2021). </w:t>
      </w:r>
    </w:p>
    <w:p w14:paraId="5398F092" w14:textId="5B483530" w:rsidR="0078007E" w:rsidRPr="00926B31" w:rsidRDefault="006A59E3" w:rsidP="00926B31">
      <w:pPr>
        <w:pStyle w:val="NormalWeb"/>
        <w:numPr>
          <w:ilvl w:val="0"/>
          <w:numId w:val="1"/>
        </w:numPr>
        <w:shd w:val="clear" w:color="auto" w:fill="D9E2F3" w:themeFill="accent1" w:themeFillTint="33"/>
        <w:bidi/>
        <w:spacing w:before="120" w:beforeAutospacing="0" w:after="120" w:afterAutospacing="0" w:line="312" w:lineRule="auto"/>
        <w:jc w:val="both"/>
        <w:textAlignment w:val="baseline"/>
        <w:rPr>
          <w:rFonts w:ascii="David" w:hAnsi="David" w:cs="David"/>
          <w:color w:val="4472C4" w:themeColor="accent1"/>
          <w:sz w:val="36"/>
          <w:szCs w:val="36"/>
          <w:rtl/>
        </w:rPr>
      </w:pPr>
      <w:r w:rsidRPr="0078007E">
        <w:rPr>
          <w:rFonts w:ascii="David" w:hAnsi="David" w:cs="David" w:hint="cs"/>
          <w:color w:val="4472C4" w:themeColor="accent1"/>
          <w:sz w:val="36"/>
          <w:szCs w:val="36"/>
          <w:rtl/>
        </w:rPr>
        <w:t>אי שוויון בחינוך בישראל</w:t>
      </w:r>
    </w:p>
    <w:p w14:paraId="0044DE36" w14:textId="372DB640" w:rsidR="001845A3" w:rsidRDefault="00725064" w:rsidP="00DD65D9">
      <w:pPr>
        <w:spacing w:before="120" w:after="120" w:line="312" w:lineRule="auto"/>
        <w:jc w:val="both"/>
        <w:rPr>
          <w:rFonts w:ascii="David" w:hAnsi="David" w:cs="David"/>
          <w:sz w:val="24"/>
          <w:szCs w:val="24"/>
          <w:rtl/>
        </w:rPr>
      </w:pPr>
      <w:r>
        <w:rPr>
          <w:rFonts w:ascii="David" w:hAnsi="David" w:cs="David" w:hint="cs"/>
          <w:sz w:val="24"/>
          <w:szCs w:val="24"/>
          <w:rtl/>
        </w:rPr>
        <w:t xml:space="preserve">קיימת תמימות דעים </w:t>
      </w:r>
      <w:r w:rsidR="00990085">
        <w:rPr>
          <w:rFonts w:ascii="David" w:hAnsi="David" w:cs="David" w:hint="cs"/>
          <w:sz w:val="24"/>
          <w:szCs w:val="24"/>
          <w:rtl/>
        </w:rPr>
        <w:t>שרכישת השכלה היא מפתח להצלחה בחיים ושעל החברה להבטיח שוויון בהזדמנויות בתחום החינוך לכלל הילדים בישראל</w:t>
      </w:r>
      <w:r w:rsidR="00B34223">
        <w:rPr>
          <w:rFonts w:ascii="David" w:hAnsi="David" w:cs="David" w:hint="cs"/>
          <w:sz w:val="24"/>
          <w:szCs w:val="24"/>
          <w:rtl/>
        </w:rPr>
        <w:t xml:space="preserve">. </w:t>
      </w:r>
      <w:r w:rsidR="00422911">
        <w:rPr>
          <w:rFonts w:ascii="David" w:hAnsi="David" w:cs="David" w:hint="cs"/>
          <w:sz w:val="24"/>
          <w:szCs w:val="24"/>
          <w:rtl/>
        </w:rPr>
        <w:t xml:space="preserve">לצד זאת, כיום, עדיין קיימים </w:t>
      </w:r>
      <w:r w:rsidR="00E5499A">
        <w:rPr>
          <w:rFonts w:ascii="David" w:hAnsi="David" w:cs="David" w:hint="cs"/>
          <w:sz w:val="24"/>
          <w:szCs w:val="24"/>
          <w:rtl/>
        </w:rPr>
        <w:t xml:space="preserve">בישראל </w:t>
      </w:r>
      <w:r w:rsidR="00017249">
        <w:rPr>
          <w:rFonts w:ascii="David" w:hAnsi="David" w:cs="David" w:hint="cs"/>
          <w:sz w:val="24"/>
          <w:szCs w:val="24"/>
          <w:rtl/>
        </w:rPr>
        <w:t>פערים ניכרים בין בני שכבות חברתיות, לאומים ו</w:t>
      </w:r>
      <w:r w:rsidR="00D06203">
        <w:rPr>
          <w:rFonts w:ascii="David" w:hAnsi="David" w:cs="David" w:hint="cs"/>
          <w:sz w:val="24"/>
          <w:szCs w:val="24"/>
          <w:rtl/>
        </w:rPr>
        <w:t>קבוצות אתניות שונות, למרות ההשקעה של מערכת החינוך לצמצמם</w:t>
      </w:r>
      <w:r w:rsidR="00684B5C">
        <w:rPr>
          <w:rFonts w:ascii="David" w:hAnsi="David" w:cs="David" w:hint="cs"/>
          <w:sz w:val="24"/>
          <w:szCs w:val="24"/>
          <w:rtl/>
        </w:rPr>
        <w:t xml:space="preserve"> (איילון ואחרים, 2019</w:t>
      </w:r>
      <w:r w:rsidR="00AF3C9E">
        <w:rPr>
          <w:rFonts w:ascii="David" w:hAnsi="David" w:cs="David" w:hint="cs"/>
          <w:sz w:val="24"/>
          <w:szCs w:val="24"/>
          <w:rtl/>
        </w:rPr>
        <w:t>; בלס, 2022</w:t>
      </w:r>
      <w:r w:rsidR="00684B5C">
        <w:rPr>
          <w:rFonts w:ascii="David" w:hAnsi="David" w:cs="David" w:hint="cs"/>
          <w:sz w:val="24"/>
          <w:szCs w:val="24"/>
          <w:rtl/>
        </w:rPr>
        <w:t>)</w:t>
      </w:r>
      <w:r w:rsidR="00D06203">
        <w:rPr>
          <w:rFonts w:ascii="David" w:hAnsi="David" w:cs="David" w:hint="cs"/>
          <w:sz w:val="24"/>
          <w:szCs w:val="24"/>
          <w:rtl/>
        </w:rPr>
        <w:t xml:space="preserve">. </w:t>
      </w:r>
      <w:r w:rsidR="00CE3F6A">
        <w:rPr>
          <w:rFonts w:ascii="David" w:hAnsi="David" w:cs="David" w:hint="cs"/>
          <w:sz w:val="24"/>
          <w:szCs w:val="24"/>
          <w:rtl/>
        </w:rPr>
        <w:t>ה</w:t>
      </w:r>
      <w:r w:rsidR="00C321C9">
        <w:rPr>
          <w:rFonts w:ascii="David" w:hAnsi="David" w:cs="David" w:hint="cs"/>
          <w:sz w:val="24"/>
          <w:szCs w:val="24"/>
          <w:rtl/>
        </w:rPr>
        <w:t xml:space="preserve">מקור </w:t>
      </w:r>
      <w:r w:rsidR="00CE3F6A">
        <w:rPr>
          <w:rFonts w:ascii="David" w:hAnsi="David" w:cs="David" w:hint="cs"/>
          <w:sz w:val="24"/>
          <w:szCs w:val="24"/>
          <w:rtl/>
        </w:rPr>
        <w:t>המרכזי ל</w:t>
      </w:r>
      <w:r w:rsidR="00C321C9">
        <w:rPr>
          <w:rFonts w:ascii="David" w:hAnsi="David" w:cs="David" w:hint="cs"/>
          <w:sz w:val="24"/>
          <w:szCs w:val="24"/>
          <w:rtl/>
        </w:rPr>
        <w:t xml:space="preserve">אי השוויון בתחום החינוך הוא אי השוויון במשאבים </w:t>
      </w:r>
      <w:r w:rsidR="005F192B">
        <w:rPr>
          <w:rFonts w:ascii="David" w:hAnsi="David" w:cs="David" w:hint="cs"/>
          <w:sz w:val="24"/>
          <w:szCs w:val="24"/>
          <w:rtl/>
        </w:rPr>
        <w:t>הכלכליים וההשכלתיים של ההורים</w:t>
      </w:r>
      <w:r w:rsidR="00CE3F6A">
        <w:rPr>
          <w:rFonts w:ascii="David" w:hAnsi="David" w:cs="David" w:hint="cs"/>
          <w:sz w:val="24"/>
          <w:szCs w:val="24"/>
          <w:rtl/>
        </w:rPr>
        <w:t xml:space="preserve"> לצד </w:t>
      </w:r>
      <w:r w:rsidR="003024FC">
        <w:rPr>
          <w:rFonts w:ascii="David" w:hAnsi="David" w:cs="David" w:hint="cs"/>
          <w:sz w:val="24"/>
          <w:szCs w:val="24"/>
          <w:rtl/>
        </w:rPr>
        <w:t>היקף</w:t>
      </w:r>
      <w:r w:rsidR="00CE3F6A">
        <w:rPr>
          <w:rFonts w:ascii="David" w:hAnsi="David" w:cs="David" w:hint="cs"/>
          <w:sz w:val="24"/>
          <w:szCs w:val="24"/>
          <w:rtl/>
        </w:rPr>
        <w:t xml:space="preserve"> ההשקעה הציבורית בחינוך</w:t>
      </w:r>
      <w:r w:rsidR="003024FC">
        <w:rPr>
          <w:rFonts w:ascii="David" w:hAnsi="David" w:cs="David" w:hint="cs"/>
          <w:sz w:val="24"/>
          <w:szCs w:val="24"/>
          <w:rtl/>
        </w:rPr>
        <w:t xml:space="preserve"> ואיכותה</w:t>
      </w:r>
      <w:r w:rsidR="00793851">
        <w:rPr>
          <w:rFonts w:ascii="David" w:hAnsi="David" w:cs="David" w:hint="cs"/>
          <w:sz w:val="24"/>
          <w:szCs w:val="24"/>
          <w:rtl/>
        </w:rPr>
        <w:t xml:space="preserve"> על ידי הממשלה והרשויות המקומיות</w:t>
      </w:r>
      <w:r w:rsidR="003E67BA">
        <w:rPr>
          <w:rFonts w:ascii="David" w:hAnsi="David" w:cs="David" w:hint="cs"/>
          <w:sz w:val="24"/>
          <w:szCs w:val="24"/>
          <w:rtl/>
        </w:rPr>
        <w:t xml:space="preserve"> (</w:t>
      </w:r>
      <w:proofErr w:type="spellStart"/>
      <w:r w:rsidR="00D65E66">
        <w:rPr>
          <w:rFonts w:ascii="David" w:hAnsi="David" w:cs="David" w:hint="cs"/>
          <w:sz w:val="24"/>
          <w:szCs w:val="24"/>
          <w:rtl/>
        </w:rPr>
        <w:t>בלנק</w:t>
      </w:r>
      <w:proofErr w:type="spellEnd"/>
      <w:r w:rsidR="00D65E66">
        <w:rPr>
          <w:rFonts w:ascii="David" w:hAnsi="David" w:cs="David" w:hint="cs"/>
          <w:sz w:val="24"/>
          <w:szCs w:val="24"/>
          <w:rtl/>
        </w:rPr>
        <w:t xml:space="preserve"> וסילברמן, 2023</w:t>
      </w:r>
      <w:r w:rsidR="000F6E28">
        <w:rPr>
          <w:rFonts w:ascii="David" w:hAnsi="David" w:cs="David" w:hint="cs"/>
          <w:sz w:val="24"/>
          <w:szCs w:val="24"/>
          <w:rtl/>
        </w:rPr>
        <w:t>;</w:t>
      </w:r>
      <w:r w:rsidR="007A0FDD">
        <w:rPr>
          <w:rFonts w:ascii="David" w:hAnsi="David" w:cs="David" w:hint="cs"/>
          <w:sz w:val="24"/>
          <w:szCs w:val="24"/>
          <w:rtl/>
        </w:rPr>
        <w:t xml:space="preserve"> המדד המוניציפלי, 2020</w:t>
      </w:r>
      <w:r w:rsidR="00157F32">
        <w:rPr>
          <w:rFonts w:ascii="David" w:hAnsi="David" w:cs="David" w:hint="cs"/>
          <w:sz w:val="24"/>
          <w:szCs w:val="24"/>
          <w:rtl/>
        </w:rPr>
        <w:t xml:space="preserve">; </w:t>
      </w:r>
      <w:proofErr w:type="spellStart"/>
      <w:r w:rsidR="00157F32">
        <w:rPr>
          <w:rFonts w:ascii="David" w:hAnsi="David" w:cs="David" w:hint="cs"/>
          <w:sz w:val="24"/>
          <w:szCs w:val="24"/>
          <w:rtl/>
        </w:rPr>
        <w:t>סבירסקי</w:t>
      </w:r>
      <w:proofErr w:type="spellEnd"/>
      <w:r w:rsidR="00157F32">
        <w:rPr>
          <w:rFonts w:ascii="David" w:hAnsi="David" w:cs="David" w:hint="cs"/>
          <w:sz w:val="24"/>
          <w:szCs w:val="24"/>
          <w:rtl/>
        </w:rPr>
        <w:t>, 2021</w:t>
      </w:r>
      <w:r w:rsidR="003E67BA">
        <w:rPr>
          <w:rFonts w:ascii="David" w:hAnsi="David" w:cs="David" w:hint="cs"/>
          <w:sz w:val="24"/>
          <w:szCs w:val="24"/>
          <w:rtl/>
        </w:rPr>
        <w:t>)</w:t>
      </w:r>
      <w:r w:rsidR="00C321C9">
        <w:rPr>
          <w:rFonts w:ascii="David" w:hAnsi="David" w:cs="David" w:hint="cs"/>
          <w:sz w:val="24"/>
          <w:szCs w:val="24"/>
          <w:rtl/>
        </w:rPr>
        <w:t xml:space="preserve">. </w:t>
      </w:r>
    </w:p>
    <w:p w14:paraId="01DF1FFB" w14:textId="6CD866E7" w:rsidR="000A052F" w:rsidRPr="00A8315D" w:rsidRDefault="000A052F" w:rsidP="00F14BAF">
      <w:pPr>
        <w:spacing w:before="120" w:after="120" w:line="312" w:lineRule="auto"/>
        <w:rPr>
          <w:rFonts w:ascii="David" w:hAnsi="David" w:cs="David"/>
          <w:color w:val="4472C4" w:themeColor="accent1"/>
          <w:sz w:val="28"/>
          <w:szCs w:val="28"/>
          <w:rtl/>
        </w:rPr>
      </w:pPr>
      <w:r w:rsidRPr="00A8315D">
        <w:rPr>
          <w:rFonts w:ascii="David" w:hAnsi="David" w:cs="David" w:hint="cs"/>
          <w:color w:val="4472C4" w:themeColor="accent1"/>
          <w:sz w:val="28"/>
          <w:szCs w:val="28"/>
          <w:rtl/>
        </w:rPr>
        <w:t xml:space="preserve">אי שוויון ופערים ברמת ההישגים בחינוך </w:t>
      </w:r>
    </w:p>
    <w:p w14:paraId="315E270A" w14:textId="4274605C" w:rsidR="00982D89" w:rsidRDefault="006C39E6" w:rsidP="00DD65D9">
      <w:pPr>
        <w:spacing w:before="120" w:after="120" w:line="312" w:lineRule="auto"/>
        <w:jc w:val="both"/>
        <w:rPr>
          <w:rFonts w:ascii="David" w:hAnsi="David" w:cs="David"/>
          <w:sz w:val="24"/>
          <w:szCs w:val="24"/>
          <w:rtl/>
        </w:rPr>
      </w:pPr>
      <w:r>
        <w:rPr>
          <w:rFonts w:ascii="David" w:hAnsi="David" w:cs="David" w:hint="cs"/>
          <w:sz w:val="24"/>
          <w:szCs w:val="24"/>
          <w:rtl/>
        </w:rPr>
        <w:t>בישראל ק</w:t>
      </w:r>
      <w:r w:rsidR="002D2E51">
        <w:rPr>
          <w:rFonts w:ascii="David" w:hAnsi="David" w:cs="David" w:hint="cs"/>
          <w:sz w:val="24"/>
          <w:szCs w:val="24"/>
          <w:rtl/>
        </w:rPr>
        <w:t xml:space="preserve">יים אי שוויון משמעותי </w:t>
      </w:r>
      <w:r w:rsidR="007B61AB">
        <w:rPr>
          <w:rFonts w:ascii="David" w:hAnsi="David" w:cs="David" w:hint="cs"/>
          <w:sz w:val="24"/>
          <w:szCs w:val="24"/>
          <w:rtl/>
        </w:rPr>
        <w:t xml:space="preserve">בתוצרי החינוך - </w:t>
      </w:r>
      <w:r w:rsidR="002D2E51">
        <w:rPr>
          <w:rFonts w:ascii="David" w:hAnsi="David" w:cs="David" w:hint="cs"/>
          <w:sz w:val="24"/>
          <w:szCs w:val="24"/>
          <w:rtl/>
        </w:rPr>
        <w:t>בהישגים לימודיים ובהישגים השכלתיים בין שכבות חברתיות-כלכליות שונות ובין האוכלוסיות היהודית והערבית.</w:t>
      </w:r>
      <w:r w:rsidR="003D6072">
        <w:rPr>
          <w:rFonts w:ascii="David" w:hAnsi="David" w:cs="David" w:hint="cs"/>
          <w:sz w:val="24"/>
          <w:szCs w:val="24"/>
          <w:rtl/>
        </w:rPr>
        <w:t xml:space="preserve"> </w:t>
      </w:r>
      <w:r w:rsidR="0070748B">
        <w:rPr>
          <w:rFonts w:ascii="David" w:hAnsi="David" w:cs="David" w:hint="cs"/>
          <w:sz w:val="24"/>
          <w:szCs w:val="24"/>
          <w:rtl/>
        </w:rPr>
        <w:t xml:space="preserve">מערכת החינוך </w:t>
      </w:r>
      <w:r w:rsidR="00DD59D2">
        <w:rPr>
          <w:rFonts w:ascii="David" w:hAnsi="David" w:cs="David" w:hint="cs"/>
          <w:sz w:val="24"/>
          <w:szCs w:val="24"/>
          <w:rtl/>
        </w:rPr>
        <w:t>אינה מוסד שוויוני</w:t>
      </w:r>
      <w:r w:rsidR="00FB6322">
        <w:rPr>
          <w:rFonts w:ascii="David" w:hAnsi="David" w:cs="David" w:hint="cs"/>
          <w:sz w:val="24"/>
          <w:szCs w:val="24"/>
          <w:rtl/>
        </w:rPr>
        <w:t xml:space="preserve">. המערכת </w:t>
      </w:r>
      <w:r w:rsidR="0070748B">
        <w:rPr>
          <w:rFonts w:ascii="David" w:hAnsi="David" w:cs="David" w:hint="cs"/>
          <w:sz w:val="24"/>
          <w:szCs w:val="24"/>
          <w:rtl/>
        </w:rPr>
        <w:t>ממיינת תלמידים לקראת כניסה אפשרית למוסדות ההשכלה ה</w:t>
      </w:r>
      <w:r w:rsidR="004D435A">
        <w:rPr>
          <w:rFonts w:ascii="David" w:hAnsi="David" w:cs="David" w:hint="cs"/>
          <w:sz w:val="24"/>
          <w:szCs w:val="24"/>
          <w:rtl/>
        </w:rPr>
        <w:t>גבוהה ולשוק העבודה. המערכת מנסה לזהות את התלמידים המוכשרים והחרוצים ביותר ולהכשירם לקראת עיסוק במקצועות מכניסים ויוקר</w:t>
      </w:r>
      <w:r w:rsidR="004A602D">
        <w:rPr>
          <w:rFonts w:ascii="David" w:hAnsi="David" w:cs="David" w:hint="cs"/>
          <w:sz w:val="24"/>
          <w:szCs w:val="24"/>
          <w:rtl/>
        </w:rPr>
        <w:t>ת</w:t>
      </w:r>
      <w:r w:rsidR="004D435A">
        <w:rPr>
          <w:rFonts w:ascii="David" w:hAnsi="David" w:cs="David" w:hint="cs"/>
          <w:sz w:val="24"/>
          <w:szCs w:val="24"/>
          <w:rtl/>
        </w:rPr>
        <w:t>יים</w:t>
      </w:r>
      <w:r w:rsidR="00E84570">
        <w:rPr>
          <w:rFonts w:ascii="David" w:hAnsi="David" w:cs="David" w:hint="cs"/>
          <w:sz w:val="24"/>
          <w:szCs w:val="24"/>
          <w:rtl/>
        </w:rPr>
        <w:t xml:space="preserve"> (איילון ואחרים, 20</w:t>
      </w:r>
      <w:r w:rsidR="00061ECE">
        <w:rPr>
          <w:rFonts w:ascii="David" w:hAnsi="David" w:cs="David" w:hint="cs"/>
          <w:sz w:val="24"/>
          <w:szCs w:val="24"/>
          <w:rtl/>
        </w:rPr>
        <w:t>19</w:t>
      </w:r>
      <w:r w:rsidR="00E84570">
        <w:rPr>
          <w:rFonts w:ascii="David" w:hAnsi="David" w:cs="David" w:hint="cs"/>
          <w:sz w:val="24"/>
          <w:szCs w:val="24"/>
          <w:rtl/>
        </w:rPr>
        <w:t>)</w:t>
      </w:r>
      <w:r w:rsidR="004D435A">
        <w:rPr>
          <w:rFonts w:ascii="David" w:hAnsi="David" w:cs="David" w:hint="cs"/>
          <w:sz w:val="24"/>
          <w:szCs w:val="24"/>
          <w:rtl/>
        </w:rPr>
        <w:t>.</w:t>
      </w:r>
      <w:r w:rsidR="004A602D">
        <w:rPr>
          <w:rFonts w:ascii="David" w:hAnsi="David" w:cs="David" w:hint="cs"/>
          <w:sz w:val="24"/>
          <w:szCs w:val="24"/>
          <w:rtl/>
        </w:rPr>
        <w:t xml:space="preserve"> </w:t>
      </w:r>
    </w:p>
    <w:p w14:paraId="55D2A440" w14:textId="5C77F4D1" w:rsidR="00247A06" w:rsidRDefault="009E3317" w:rsidP="00DD65D9">
      <w:pPr>
        <w:spacing w:before="120" w:after="120" w:line="312" w:lineRule="auto"/>
        <w:jc w:val="both"/>
        <w:rPr>
          <w:rFonts w:ascii="David" w:hAnsi="David" w:cs="David"/>
          <w:sz w:val="24"/>
          <w:szCs w:val="24"/>
          <w:rtl/>
        </w:rPr>
      </w:pPr>
      <w:r>
        <w:rPr>
          <w:rFonts w:ascii="David" w:hAnsi="David" w:cs="David" w:hint="cs"/>
          <w:sz w:val="24"/>
          <w:szCs w:val="24"/>
          <w:rtl/>
        </w:rPr>
        <w:t xml:space="preserve">המערכת ממיינת את </w:t>
      </w:r>
      <w:r w:rsidR="00982D89">
        <w:rPr>
          <w:rFonts w:ascii="David" w:hAnsi="David" w:cs="David" w:hint="cs"/>
          <w:sz w:val="24"/>
          <w:szCs w:val="24"/>
          <w:rtl/>
        </w:rPr>
        <w:t xml:space="preserve">רמת הישגי </w:t>
      </w:r>
      <w:r w:rsidR="008F36DE">
        <w:rPr>
          <w:rFonts w:ascii="David" w:hAnsi="David" w:cs="David" w:hint="cs"/>
          <w:sz w:val="24"/>
          <w:szCs w:val="24"/>
          <w:rtl/>
        </w:rPr>
        <w:t>ה</w:t>
      </w:r>
      <w:r w:rsidR="00982D89">
        <w:rPr>
          <w:rFonts w:ascii="David" w:hAnsi="David" w:cs="David" w:hint="cs"/>
          <w:sz w:val="24"/>
          <w:szCs w:val="24"/>
          <w:rtl/>
        </w:rPr>
        <w:t>תלמידים</w:t>
      </w:r>
      <w:r w:rsidR="001758D5">
        <w:rPr>
          <w:rFonts w:ascii="David" w:hAnsi="David" w:cs="David" w:hint="cs"/>
          <w:sz w:val="24"/>
          <w:szCs w:val="24"/>
          <w:rtl/>
        </w:rPr>
        <w:t xml:space="preserve"> </w:t>
      </w:r>
      <w:r w:rsidR="001D3D6D">
        <w:rPr>
          <w:rFonts w:ascii="David" w:hAnsi="David" w:cs="David" w:hint="cs"/>
          <w:sz w:val="24"/>
          <w:szCs w:val="24"/>
          <w:rtl/>
        </w:rPr>
        <w:t xml:space="preserve">באמצעות מבחנים </w:t>
      </w:r>
      <w:r w:rsidR="000E403F">
        <w:rPr>
          <w:rFonts w:ascii="David" w:hAnsi="David" w:cs="David" w:hint="cs"/>
          <w:sz w:val="24"/>
          <w:szCs w:val="24"/>
          <w:rtl/>
        </w:rPr>
        <w:t xml:space="preserve">ארציים </w:t>
      </w:r>
      <w:r w:rsidR="001D3D6D">
        <w:rPr>
          <w:rFonts w:ascii="David" w:hAnsi="David" w:cs="David" w:hint="cs"/>
          <w:sz w:val="24"/>
          <w:szCs w:val="24"/>
          <w:rtl/>
        </w:rPr>
        <w:t xml:space="preserve">חיצוניים </w:t>
      </w:r>
      <w:r w:rsidR="000E403F">
        <w:rPr>
          <w:rFonts w:ascii="David" w:hAnsi="David" w:cs="David" w:hint="cs"/>
          <w:sz w:val="24"/>
          <w:szCs w:val="24"/>
          <w:rtl/>
        </w:rPr>
        <w:t>ובינלאומיים</w:t>
      </w:r>
      <w:r w:rsidR="001D3D6D">
        <w:rPr>
          <w:rFonts w:ascii="David" w:hAnsi="David" w:cs="David" w:hint="cs"/>
          <w:sz w:val="24"/>
          <w:szCs w:val="24"/>
          <w:rtl/>
        </w:rPr>
        <w:t xml:space="preserve"> </w:t>
      </w:r>
      <w:r w:rsidR="001758D5">
        <w:rPr>
          <w:rFonts w:ascii="David" w:hAnsi="David" w:cs="David" w:hint="cs"/>
          <w:sz w:val="24"/>
          <w:szCs w:val="24"/>
          <w:rtl/>
        </w:rPr>
        <w:t>במספר צמתים</w:t>
      </w:r>
      <w:r w:rsidR="00A04BC9">
        <w:rPr>
          <w:rFonts w:ascii="David" w:hAnsi="David" w:cs="David" w:hint="cs"/>
          <w:sz w:val="24"/>
          <w:szCs w:val="24"/>
          <w:rtl/>
        </w:rPr>
        <w:t>:</w:t>
      </w:r>
      <w:r w:rsidR="001758D5">
        <w:rPr>
          <w:rFonts w:ascii="David" w:hAnsi="David" w:cs="David" w:hint="cs"/>
          <w:sz w:val="24"/>
          <w:szCs w:val="24"/>
          <w:rtl/>
        </w:rPr>
        <w:t xml:space="preserve"> </w:t>
      </w:r>
      <w:r w:rsidR="00F55F49">
        <w:rPr>
          <w:rFonts w:ascii="David" w:hAnsi="David" w:cs="David" w:hint="cs"/>
          <w:sz w:val="24"/>
          <w:szCs w:val="24"/>
          <w:rtl/>
        </w:rPr>
        <w:t xml:space="preserve">התלמידים נבחנים </w:t>
      </w:r>
      <w:r w:rsidR="00A04BC9">
        <w:rPr>
          <w:rFonts w:ascii="David" w:hAnsi="David" w:cs="David" w:hint="cs"/>
          <w:sz w:val="24"/>
          <w:szCs w:val="24"/>
          <w:rtl/>
        </w:rPr>
        <w:t xml:space="preserve">באמצעות </w:t>
      </w:r>
      <w:r w:rsidR="00A04BC9" w:rsidRPr="00151520">
        <w:rPr>
          <w:rFonts w:ascii="David" w:hAnsi="David" w:cs="David" w:hint="cs"/>
          <w:b/>
          <w:bCs/>
          <w:sz w:val="24"/>
          <w:szCs w:val="24"/>
          <w:rtl/>
        </w:rPr>
        <w:t>מבחני המיצ"ב ב</w:t>
      </w:r>
      <w:r w:rsidR="00151520">
        <w:rPr>
          <w:rFonts w:ascii="David" w:hAnsi="David" w:cs="David" w:hint="cs"/>
          <w:b/>
          <w:bCs/>
          <w:sz w:val="24"/>
          <w:szCs w:val="24"/>
          <w:rtl/>
        </w:rPr>
        <w:t>שפת האם</w:t>
      </w:r>
      <w:r w:rsidR="00A04BC9" w:rsidRPr="00151520">
        <w:rPr>
          <w:rFonts w:ascii="David" w:hAnsi="David" w:cs="David" w:hint="cs"/>
          <w:b/>
          <w:bCs/>
          <w:sz w:val="24"/>
          <w:szCs w:val="24"/>
          <w:rtl/>
        </w:rPr>
        <w:t xml:space="preserve"> ובמתמטיקה</w:t>
      </w:r>
      <w:r w:rsidR="00A04BC9">
        <w:rPr>
          <w:rFonts w:ascii="David" w:hAnsi="David" w:cs="David" w:hint="cs"/>
          <w:sz w:val="24"/>
          <w:szCs w:val="24"/>
          <w:rtl/>
        </w:rPr>
        <w:t xml:space="preserve"> בכיתות ב'</w:t>
      </w:r>
      <w:r w:rsidR="006128B2">
        <w:rPr>
          <w:rFonts w:ascii="David" w:hAnsi="David" w:cs="David" w:hint="cs"/>
          <w:sz w:val="24"/>
          <w:szCs w:val="24"/>
          <w:rtl/>
        </w:rPr>
        <w:t>,</w:t>
      </w:r>
      <w:r w:rsidR="00A04BC9">
        <w:rPr>
          <w:rFonts w:ascii="David" w:hAnsi="David" w:cs="David" w:hint="cs"/>
          <w:sz w:val="24"/>
          <w:szCs w:val="24"/>
          <w:rtl/>
        </w:rPr>
        <w:t xml:space="preserve"> ה'</w:t>
      </w:r>
      <w:r w:rsidR="006128B2">
        <w:rPr>
          <w:rFonts w:ascii="David" w:hAnsi="David" w:cs="David" w:hint="cs"/>
          <w:sz w:val="24"/>
          <w:szCs w:val="24"/>
          <w:rtl/>
        </w:rPr>
        <w:t xml:space="preserve"> </w:t>
      </w:r>
      <w:proofErr w:type="spellStart"/>
      <w:r w:rsidR="006128B2">
        <w:rPr>
          <w:rFonts w:ascii="David" w:hAnsi="David" w:cs="David" w:hint="cs"/>
          <w:sz w:val="24"/>
          <w:szCs w:val="24"/>
          <w:rtl/>
        </w:rPr>
        <w:t>וח</w:t>
      </w:r>
      <w:proofErr w:type="spellEnd"/>
      <w:r w:rsidR="006128B2">
        <w:rPr>
          <w:rFonts w:ascii="David" w:hAnsi="David" w:cs="David" w:hint="cs"/>
          <w:sz w:val="24"/>
          <w:szCs w:val="24"/>
          <w:rtl/>
        </w:rPr>
        <w:t>'</w:t>
      </w:r>
      <w:r w:rsidR="00BD6C42">
        <w:rPr>
          <w:rFonts w:ascii="David" w:hAnsi="David" w:cs="David" w:hint="cs"/>
          <w:sz w:val="24"/>
          <w:szCs w:val="24"/>
          <w:rtl/>
        </w:rPr>
        <w:t xml:space="preserve">; </w:t>
      </w:r>
      <w:r w:rsidR="004445F3">
        <w:rPr>
          <w:rFonts w:ascii="David" w:hAnsi="David" w:cs="David" w:hint="cs"/>
          <w:b/>
          <w:bCs/>
          <w:sz w:val="24"/>
          <w:szCs w:val="24"/>
          <w:rtl/>
        </w:rPr>
        <w:t>מבחן</w:t>
      </w:r>
      <w:r w:rsidR="00466F93">
        <w:rPr>
          <w:rFonts w:ascii="David" w:hAnsi="David" w:cs="David" w:hint="cs"/>
          <w:b/>
          <w:bCs/>
          <w:sz w:val="24"/>
          <w:szCs w:val="24"/>
          <w:rtl/>
        </w:rPr>
        <w:t xml:space="preserve"> </w:t>
      </w:r>
      <w:proofErr w:type="spellStart"/>
      <w:r w:rsidR="00466F93">
        <w:rPr>
          <w:rFonts w:ascii="David" w:hAnsi="David" w:cs="David" w:hint="cs"/>
          <w:b/>
          <w:bCs/>
          <w:sz w:val="24"/>
          <w:szCs w:val="24"/>
          <w:rtl/>
        </w:rPr>
        <w:t>פירלס</w:t>
      </w:r>
      <w:proofErr w:type="spellEnd"/>
      <w:r w:rsidR="004445F3">
        <w:rPr>
          <w:rFonts w:ascii="David" w:hAnsi="David" w:cs="David" w:hint="cs"/>
          <w:b/>
          <w:bCs/>
          <w:sz w:val="24"/>
          <w:szCs w:val="24"/>
          <w:rtl/>
        </w:rPr>
        <w:t xml:space="preserve"> </w:t>
      </w:r>
      <w:r w:rsidR="00466F93">
        <w:rPr>
          <w:rFonts w:ascii="David" w:hAnsi="David" w:cs="David" w:hint="cs"/>
          <w:b/>
          <w:bCs/>
          <w:sz w:val="24"/>
          <w:szCs w:val="24"/>
          <w:rtl/>
        </w:rPr>
        <w:t>(</w:t>
      </w:r>
      <w:r w:rsidR="004445F3">
        <w:rPr>
          <w:rFonts w:ascii="David" w:hAnsi="David" w:cs="David"/>
          <w:b/>
          <w:bCs/>
          <w:sz w:val="24"/>
          <w:szCs w:val="24"/>
        </w:rPr>
        <w:t>P</w:t>
      </w:r>
      <w:r w:rsidR="00466F93">
        <w:rPr>
          <w:rFonts w:ascii="David" w:hAnsi="David" w:cs="David"/>
          <w:b/>
          <w:bCs/>
          <w:sz w:val="24"/>
          <w:szCs w:val="24"/>
        </w:rPr>
        <w:t>IRLS</w:t>
      </w:r>
      <w:r w:rsidR="00466F93">
        <w:rPr>
          <w:rFonts w:ascii="David" w:hAnsi="David" w:cs="David" w:hint="cs"/>
          <w:b/>
          <w:bCs/>
          <w:sz w:val="24"/>
          <w:szCs w:val="24"/>
          <w:rtl/>
        </w:rPr>
        <w:t xml:space="preserve">) </w:t>
      </w:r>
      <w:r w:rsidR="00466F93">
        <w:rPr>
          <w:rFonts w:ascii="David" w:hAnsi="David" w:cs="David" w:hint="cs"/>
          <w:sz w:val="24"/>
          <w:szCs w:val="24"/>
          <w:rtl/>
        </w:rPr>
        <w:t>המתמקד בקריאה ואוריינות בכיתה ד'</w:t>
      </w:r>
      <w:r w:rsidR="00E808ED">
        <w:rPr>
          <w:rFonts w:ascii="David" w:hAnsi="David" w:cs="David" w:hint="cs"/>
          <w:sz w:val="24"/>
          <w:szCs w:val="24"/>
          <w:rtl/>
        </w:rPr>
        <w:t>;</w:t>
      </w:r>
      <w:r w:rsidR="00466F93">
        <w:rPr>
          <w:rFonts w:ascii="David" w:hAnsi="David" w:cs="David" w:hint="cs"/>
          <w:b/>
          <w:bCs/>
          <w:sz w:val="24"/>
          <w:szCs w:val="24"/>
          <w:rtl/>
        </w:rPr>
        <w:t xml:space="preserve"> </w:t>
      </w:r>
      <w:r w:rsidR="001B6E01" w:rsidRPr="00151520">
        <w:rPr>
          <w:rFonts w:ascii="David" w:hAnsi="David" w:cs="David" w:hint="cs"/>
          <w:b/>
          <w:bCs/>
          <w:sz w:val="24"/>
          <w:szCs w:val="24"/>
          <w:rtl/>
        </w:rPr>
        <w:t xml:space="preserve">מבחן </w:t>
      </w:r>
      <w:proofErr w:type="spellStart"/>
      <w:r w:rsidR="001B6E01" w:rsidRPr="00151520">
        <w:rPr>
          <w:rFonts w:ascii="David" w:hAnsi="David" w:cs="David" w:hint="cs"/>
          <w:b/>
          <w:bCs/>
          <w:sz w:val="24"/>
          <w:szCs w:val="24"/>
          <w:rtl/>
        </w:rPr>
        <w:t>טימס</w:t>
      </w:r>
      <w:proofErr w:type="spellEnd"/>
      <w:r w:rsidR="001B6E01">
        <w:rPr>
          <w:rFonts w:ascii="David" w:hAnsi="David" w:cs="David" w:hint="cs"/>
          <w:sz w:val="24"/>
          <w:szCs w:val="24"/>
          <w:rtl/>
        </w:rPr>
        <w:t xml:space="preserve"> (</w:t>
      </w:r>
      <w:r w:rsidR="001B6E01">
        <w:rPr>
          <w:rFonts w:ascii="David" w:hAnsi="David" w:cs="David" w:hint="cs"/>
          <w:sz w:val="24"/>
          <w:szCs w:val="24"/>
        </w:rPr>
        <w:t>TIMSS</w:t>
      </w:r>
      <w:r w:rsidR="00551350">
        <w:rPr>
          <w:rFonts w:ascii="David" w:hAnsi="David" w:cs="David" w:hint="cs"/>
          <w:sz w:val="24"/>
          <w:szCs w:val="24"/>
          <w:rtl/>
        </w:rPr>
        <w:t xml:space="preserve">) </w:t>
      </w:r>
      <w:r w:rsidR="00F55F49">
        <w:rPr>
          <w:rFonts w:ascii="David" w:hAnsi="David" w:cs="David" w:hint="cs"/>
          <w:sz w:val="24"/>
          <w:szCs w:val="24"/>
          <w:rtl/>
        </w:rPr>
        <w:t xml:space="preserve">המתמקד במתמטיקה ובמדעים </w:t>
      </w:r>
      <w:r w:rsidR="00551350">
        <w:rPr>
          <w:rFonts w:ascii="David" w:hAnsi="David" w:cs="David" w:hint="cs"/>
          <w:sz w:val="24"/>
          <w:szCs w:val="24"/>
          <w:rtl/>
        </w:rPr>
        <w:t>בכיתה ח'</w:t>
      </w:r>
      <w:r w:rsidR="00BD6C42">
        <w:rPr>
          <w:rFonts w:ascii="David" w:hAnsi="David" w:cs="David" w:hint="cs"/>
          <w:sz w:val="24"/>
          <w:szCs w:val="24"/>
          <w:rtl/>
        </w:rPr>
        <w:t xml:space="preserve">; </w:t>
      </w:r>
      <w:r w:rsidR="00BD6C42" w:rsidRPr="00446C6D">
        <w:rPr>
          <w:rFonts w:ascii="David" w:hAnsi="David" w:cs="David" w:hint="cs"/>
          <w:b/>
          <w:bCs/>
          <w:sz w:val="24"/>
          <w:szCs w:val="24"/>
          <w:rtl/>
        </w:rPr>
        <w:t>מבחן פיזה</w:t>
      </w:r>
      <w:r w:rsidR="00BD6C42">
        <w:rPr>
          <w:rFonts w:ascii="David" w:hAnsi="David" w:cs="David" w:hint="cs"/>
          <w:sz w:val="24"/>
          <w:szCs w:val="24"/>
          <w:rtl/>
        </w:rPr>
        <w:t xml:space="preserve"> </w:t>
      </w:r>
      <w:r w:rsidR="006128B2">
        <w:rPr>
          <w:rFonts w:ascii="David" w:hAnsi="David" w:cs="David"/>
          <w:sz w:val="24"/>
          <w:szCs w:val="24"/>
        </w:rPr>
        <w:t>(PIZA)</w:t>
      </w:r>
      <w:r w:rsidR="002E6458">
        <w:rPr>
          <w:rFonts w:ascii="David" w:hAnsi="David" w:cs="David" w:hint="cs"/>
          <w:sz w:val="24"/>
          <w:szCs w:val="24"/>
          <w:rtl/>
        </w:rPr>
        <w:t xml:space="preserve"> </w:t>
      </w:r>
      <w:r w:rsidR="00446C6D">
        <w:rPr>
          <w:rFonts w:ascii="David" w:hAnsi="David" w:cs="David" w:hint="cs"/>
          <w:sz w:val="24"/>
          <w:szCs w:val="24"/>
          <w:rtl/>
        </w:rPr>
        <w:t xml:space="preserve">באוריינות קריאה, מתמטיקה </w:t>
      </w:r>
      <w:r w:rsidR="00446C6D">
        <w:rPr>
          <w:rFonts w:ascii="David" w:hAnsi="David" w:cs="David" w:hint="cs"/>
          <w:sz w:val="24"/>
          <w:szCs w:val="24"/>
          <w:rtl/>
        </w:rPr>
        <w:lastRenderedPageBreak/>
        <w:t xml:space="preserve">ומדעים </w:t>
      </w:r>
      <w:r w:rsidR="002E6458">
        <w:rPr>
          <w:rFonts w:ascii="David" w:hAnsi="David" w:cs="David" w:hint="cs"/>
          <w:sz w:val="24"/>
          <w:szCs w:val="24"/>
          <w:rtl/>
        </w:rPr>
        <w:t>בכיתות ט' וי';</w:t>
      </w:r>
      <w:r w:rsidR="00E808ED">
        <w:rPr>
          <w:rFonts w:ascii="David" w:hAnsi="David" w:cs="David" w:hint="cs"/>
          <w:sz w:val="24"/>
          <w:szCs w:val="24"/>
          <w:rtl/>
        </w:rPr>
        <w:t xml:space="preserve"> </w:t>
      </w:r>
      <w:r w:rsidR="006963E6">
        <w:rPr>
          <w:rFonts w:ascii="David" w:hAnsi="David" w:cs="David" w:hint="cs"/>
          <w:b/>
          <w:bCs/>
          <w:sz w:val="24"/>
          <w:szCs w:val="24"/>
          <w:rtl/>
        </w:rPr>
        <w:t xml:space="preserve">מבחן </w:t>
      </w:r>
      <w:proofErr w:type="spellStart"/>
      <w:r w:rsidR="006963E6">
        <w:rPr>
          <w:rFonts w:ascii="David" w:hAnsi="David" w:cs="David" w:hint="cs"/>
          <w:b/>
          <w:bCs/>
          <w:sz w:val="24"/>
          <w:szCs w:val="24"/>
          <w:rtl/>
        </w:rPr>
        <w:t>פיאסק</w:t>
      </w:r>
      <w:proofErr w:type="spellEnd"/>
      <w:r w:rsidR="006963E6">
        <w:rPr>
          <w:rFonts w:ascii="David" w:hAnsi="David" w:cs="David" w:hint="cs"/>
          <w:b/>
          <w:bCs/>
          <w:sz w:val="24"/>
          <w:szCs w:val="24"/>
          <w:rtl/>
        </w:rPr>
        <w:t xml:space="preserve"> (</w:t>
      </w:r>
      <w:r w:rsidR="006963E6">
        <w:rPr>
          <w:rFonts w:ascii="David" w:hAnsi="David" w:cs="David"/>
          <w:b/>
          <w:bCs/>
          <w:sz w:val="24"/>
          <w:szCs w:val="24"/>
        </w:rPr>
        <w:t>PIAAC</w:t>
      </w:r>
      <w:r w:rsidR="006963E6">
        <w:rPr>
          <w:rFonts w:ascii="David" w:hAnsi="David" w:cs="David" w:hint="cs"/>
          <w:sz w:val="24"/>
          <w:szCs w:val="24"/>
          <w:rtl/>
        </w:rPr>
        <w:t>) המתמקד בכישורי</w:t>
      </w:r>
      <w:r w:rsidR="004F69CA">
        <w:rPr>
          <w:rFonts w:ascii="David" w:hAnsi="David" w:cs="David" w:hint="cs"/>
          <w:sz w:val="24"/>
          <w:szCs w:val="24"/>
          <w:rtl/>
        </w:rPr>
        <w:t xml:space="preserve"> חיים;</w:t>
      </w:r>
      <w:r w:rsidR="002E6458">
        <w:rPr>
          <w:rFonts w:ascii="David" w:hAnsi="David" w:cs="David" w:hint="cs"/>
          <w:sz w:val="24"/>
          <w:szCs w:val="24"/>
          <w:rtl/>
        </w:rPr>
        <w:t xml:space="preserve"> </w:t>
      </w:r>
      <w:r w:rsidR="00BE60B8">
        <w:rPr>
          <w:rFonts w:ascii="David" w:hAnsi="David" w:cs="David" w:hint="cs"/>
          <w:sz w:val="24"/>
          <w:szCs w:val="24"/>
          <w:rtl/>
        </w:rPr>
        <w:t>ו</w:t>
      </w:r>
      <w:r w:rsidR="002E6458">
        <w:rPr>
          <w:rFonts w:ascii="David" w:hAnsi="David" w:cs="David" w:hint="cs"/>
          <w:sz w:val="24"/>
          <w:szCs w:val="24"/>
          <w:rtl/>
        </w:rPr>
        <w:t xml:space="preserve">באמצעות </w:t>
      </w:r>
      <w:r w:rsidR="00BE60B8" w:rsidRPr="00AC6D6B">
        <w:rPr>
          <w:rFonts w:ascii="David" w:hAnsi="David" w:cs="David" w:hint="cs"/>
          <w:b/>
          <w:bCs/>
          <w:sz w:val="24"/>
          <w:szCs w:val="24"/>
          <w:rtl/>
        </w:rPr>
        <w:t>מבחני הבגרות</w:t>
      </w:r>
      <w:r w:rsidR="00BE60B8">
        <w:rPr>
          <w:rFonts w:ascii="David" w:hAnsi="David" w:cs="David" w:hint="cs"/>
          <w:sz w:val="24"/>
          <w:szCs w:val="24"/>
          <w:rtl/>
        </w:rPr>
        <w:t xml:space="preserve"> </w:t>
      </w:r>
      <w:r>
        <w:rPr>
          <w:rFonts w:ascii="David" w:hAnsi="David" w:cs="David" w:hint="cs"/>
          <w:sz w:val="24"/>
          <w:szCs w:val="24"/>
          <w:rtl/>
        </w:rPr>
        <w:t>ב</w:t>
      </w:r>
      <w:r w:rsidR="000F0EEF">
        <w:rPr>
          <w:rFonts w:ascii="David" w:hAnsi="David" w:cs="David" w:hint="cs"/>
          <w:sz w:val="24"/>
          <w:szCs w:val="24"/>
          <w:rtl/>
        </w:rPr>
        <w:t xml:space="preserve">מגוון </w:t>
      </w:r>
      <w:r>
        <w:rPr>
          <w:rFonts w:ascii="David" w:hAnsi="David" w:cs="David" w:hint="cs"/>
          <w:sz w:val="24"/>
          <w:szCs w:val="24"/>
          <w:rtl/>
        </w:rPr>
        <w:t>מקצועות ומספר יחידות לימוד</w:t>
      </w:r>
      <w:r w:rsidR="005F75C4">
        <w:rPr>
          <w:rFonts w:ascii="David" w:hAnsi="David" w:cs="David" w:hint="cs"/>
          <w:sz w:val="24"/>
          <w:szCs w:val="24"/>
          <w:rtl/>
        </w:rPr>
        <w:t xml:space="preserve"> (</w:t>
      </w:r>
      <w:r w:rsidR="005004A6">
        <w:rPr>
          <w:rFonts w:ascii="David" w:hAnsi="David" w:cs="David" w:hint="cs"/>
          <w:sz w:val="24"/>
          <w:szCs w:val="24"/>
          <w:rtl/>
        </w:rPr>
        <w:t>מחלוף וחלו, 2021)</w:t>
      </w:r>
      <w:r>
        <w:rPr>
          <w:rFonts w:ascii="David" w:hAnsi="David" w:cs="David" w:hint="cs"/>
          <w:sz w:val="24"/>
          <w:szCs w:val="24"/>
          <w:rtl/>
        </w:rPr>
        <w:t xml:space="preserve">. </w:t>
      </w:r>
      <w:r w:rsidR="006A6F88">
        <w:rPr>
          <w:rFonts w:ascii="David" w:hAnsi="David" w:cs="David" w:hint="cs"/>
          <w:sz w:val="24"/>
          <w:szCs w:val="24"/>
          <w:rtl/>
        </w:rPr>
        <w:t xml:space="preserve">מידע נוסף </w:t>
      </w:r>
      <w:r w:rsidR="00924204">
        <w:rPr>
          <w:rFonts w:ascii="David" w:hAnsi="David" w:cs="David" w:hint="cs"/>
          <w:sz w:val="24"/>
          <w:szCs w:val="24"/>
          <w:rtl/>
        </w:rPr>
        <w:t xml:space="preserve">על התלמידים </w:t>
      </w:r>
      <w:r w:rsidR="00C03ABF">
        <w:rPr>
          <w:rFonts w:ascii="David" w:hAnsi="David" w:cs="David" w:hint="cs"/>
          <w:sz w:val="24"/>
          <w:szCs w:val="24"/>
          <w:rtl/>
        </w:rPr>
        <w:t>ב</w:t>
      </w:r>
      <w:r w:rsidR="00924204">
        <w:rPr>
          <w:rFonts w:ascii="David" w:hAnsi="David" w:cs="David" w:hint="cs"/>
          <w:sz w:val="24"/>
          <w:szCs w:val="24"/>
          <w:rtl/>
        </w:rPr>
        <w:t>בתי הספר מתקבל באמצעות סקר אקלים חינוכי הכולל שאלות בתחום אקלים חינוכי, מיומנויות רגשיות-חברתיות וסביבה פדגוגית</w:t>
      </w:r>
      <w:r w:rsidR="005004A6">
        <w:rPr>
          <w:rFonts w:ascii="David" w:hAnsi="David" w:cs="David" w:hint="cs"/>
          <w:sz w:val="24"/>
          <w:szCs w:val="24"/>
          <w:rtl/>
        </w:rPr>
        <w:t xml:space="preserve"> (</w:t>
      </w:r>
      <w:proofErr w:type="spellStart"/>
      <w:r w:rsidR="00774658">
        <w:rPr>
          <w:rFonts w:ascii="David" w:hAnsi="David" w:cs="David" w:hint="cs"/>
          <w:sz w:val="24"/>
          <w:szCs w:val="24"/>
          <w:rtl/>
        </w:rPr>
        <w:t>ראמ"ה</w:t>
      </w:r>
      <w:proofErr w:type="spellEnd"/>
      <w:r w:rsidR="00774658">
        <w:rPr>
          <w:rFonts w:ascii="David" w:hAnsi="David" w:cs="David" w:hint="cs"/>
          <w:sz w:val="24"/>
          <w:szCs w:val="24"/>
          <w:rtl/>
        </w:rPr>
        <w:t xml:space="preserve">, </w:t>
      </w:r>
      <w:r w:rsidR="005D6081">
        <w:rPr>
          <w:rFonts w:ascii="David" w:hAnsi="David" w:cs="David" w:hint="cs"/>
          <w:sz w:val="24"/>
          <w:szCs w:val="24"/>
          <w:rtl/>
        </w:rPr>
        <w:t>2022</w:t>
      </w:r>
      <w:r w:rsidR="00F32D18">
        <w:rPr>
          <w:rFonts w:ascii="David" w:hAnsi="David" w:cs="David" w:hint="cs"/>
          <w:sz w:val="24"/>
          <w:szCs w:val="24"/>
          <w:rtl/>
        </w:rPr>
        <w:t>ב</w:t>
      </w:r>
      <w:r w:rsidR="005D6081">
        <w:rPr>
          <w:rFonts w:ascii="David" w:hAnsi="David" w:cs="David" w:hint="cs"/>
          <w:sz w:val="24"/>
          <w:szCs w:val="24"/>
          <w:rtl/>
        </w:rPr>
        <w:t>)</w:t>
      </w:r>
      <w:r w:rsidR="00924204">
        <w:rPr>
          <w:rFonts w:ascii="David" w:hAnsi="David" w:cs="David" w:hint="cs"/>
          <w:sz w:val="24"/>
          <w:szCs w:val="24"/>
          <w:rtl/>
        </w:rPr>
        <w:t xml:space="preserve">. </w:t>
      </w:r>
      <w:r w:rsidR="00FA71BF">
        <w:rPr>
          <w:rFonts w:ascii="David" w:hAnsi="David" w:cs="David" w:hint="cs"/>
          <w:sz w:val="24"/>
          <w:szCs w:val="24"/>
          <w:rtl/>
        </w:rPr>
        <w:t>לצד זאת</w:t>
      </w:r>
      <w:r w:rsidR="00860027">
        <w:rPr>
          <w:rFonts w:ascii="David" w:hAnsi="David" w:cs="David" w:hint="cs"/>
          <w:sz w:val="24"/>
          <w:szCs w:val="24"/>
          <w:rtl/>
        </w:rPr>
        <w:t xml:space="preserve">, ראוי לציין כי כ-20% מהתלמידים בכל שנתון אינם נבחנים </w:t>
      </w:r>
      <w:r w:rsidR="00860027">
        <w:rPr>
          <w:rFonts w:ascii="David" w:hAnsi="David" w:cs="David"/>
          <w:sz w:val="24"/>
          <w:szCs w:val="24"/>
          <w:rtl/>
        </w:rPr>
        <w:t>–</w:t>
      </w:r>
      <w:r w:rsidR="00860027">
        <w:rPr>
          <w:rFonts w:ascii="David" w:hAnsi="David" w:cs="David" w:hint="cs"/>
          <w:sz w:val="24"/>
          <w:szCs w:val="24"/>
          <w:rtl/>
        </w:rPr>
        <w:t xml:space="preserve"> רוב התלמידים בבתי הספר החרדיים, במזרח ירושלים, ותלמידי החינוך המיוחד (</w:t>
      </w:r>
      <w:r w:rsidR="00763AAB">
        <w:rPr>
          <w:rFonts w:ascii="David" w:hAnsi="David" w:cs="David" w:hint="cs"/>
          <w:sz w:val="24"/>
          <w:szCs w:val="24"/>
          <w:rtl/>
        </w:rPr>
        <w:t xml:space="preserve">בלס, 2022). </w:t>
      </w:r>
    </w:p>
    <w:p w14:paraId="09D884FF" w14:textId="7602A212" w:rsidR="00247A06" w:rsidRDefault="00247A06" w:rsidP="00DD65D9">
      <w:pPr>
        <w:spacing w:before="120" w:after="120" w:line="312" w:lineRule="auto"/>
        <w:jc w:val="both"/>
        <w:rPr>
          <w:rFonts w:ascii="David" w:hAnsi="David" w:cs="David"/>
          <w:sz w:val="24"/>
          <w:szCs w:val="24"/>
          <w:rtl/>
        </w:rPr>
      </w:pPr>
      <w:r w:rsidRPr="0004252C">
        <w:rPr>
          <w:rFonts w:ascii="David" w:hAnsi="David" w:cs="David" w:hint="cs"/>
          <w:sz w:val="24"/>
          <w:szCs w:val="24"/>
          <w:rtl/>
        </w:rPr>
        <w:t xml:space="preserve">זיהוי ההבדלים </w:t>
      </w:r>
      <w:r w:rsidR="00926C53" w:rsidRPr="0004252C">
        <w:rPr>
          <w:rFonts w:ascii="David" w:hAnsi="David" w:cs="David" w:hint="cs"/>
          <w:sz w:val="24"/>
          <w:szCs w:val="24"/>
          <w:rtl/>
        </w:rPr>
        <w:t xml:space="preserve">או אי שוויון </w:t>
      </w:r>
      <w:r w:rsidR="00EC7EBD" w:rsidRPr="0004252C">
        <w:rPr>
          <w:rFonts w:ascii="David" w:hAnsi="David" w:cs="David" w:hint="cs"/>
          <w:sz w:val="24"/>
          <w:szCs w:val="24"/>
          <w:rtl/>
        </w:rPr>
        <w:t xml:space="preserve">בין קבוצות אוכלוסייה שונות </w:t>
      </w:r>
      <w:r w:rsidRPr="0004252C">
        <w:rPr>
          <w:rFonts w:ascii="David" w:hAnsi="David" w:cs="David" w:hint="cs"/>
          <w:sz w:val="24"/>
          <w:szCs w:val="24"/>
          <w:rtl/>
        </w:rPr>
        <w:t xml:space="preserve">ברמת ההישגים בחינוך מתבסס על </w:t>
      </w:r>
      <w:r w:rsidR="009E3317" w:rsidRPr="0004252C">
        <w:rPr>
          <w:rFonts w:ascii="David" w:hAnsi="David" w:cs="David" w:hint="cs"/>
          <w:sz w:val="24"/>
          <w:szCs w:val="24"/>
          <w:rtl/>
        </w:rPr>
        <w:t xml:space="preserve">מספר </w:t>
      </w:r>
      <w:r w:rsidR="00864402">
        <w:rPr>
          <w:rFonts w:ascii="David" w:hAnsi="David" w:cs="David" w:hint="cs"/>
          <w:sz w:val="24"/>
          <w:szCs w:val="24"/>
          <w:rtl/>
        </w:rPr>
        <w:t>צירי ניתוח</w:t>
      </w:r>
      <w:r w:rsidRPr="0004252C">
        <w:rPr>
          <w:rFonts w:ascii="David" w:hAnsi="David" w:cs="David" w:hint="cs"/>
          <w:sz w:val="24"/>
          <w:szCs w:val="24"/>
          <w:rtl/>
        </w:rPr>
        <w:t xml:space="preserve"> שנבחרו </w:t>
      </w:r>
      <w:r w:rsidR="00C6155F" w:rsidRPr="0004252C">
        <w:rPr>
          <w:rFonts w:ascii="David" w:hAnsi="David" w:cs="David" w:hint="cs"/>
          <w:sz w:val="24"/>
          <w:szCs w:val="24"/>
          <w:rtl/>
        </w:rPr>
        <w:t>על ידי משרד החינוך</w:t>
      </w:r>
      <w:r w:rsidR="00EC7EBD" w:rsidRPr="0004252C">
        <w:rPr>
          <w:rFonts w:ascii="David" w:hAnsi="David" w:cs="David" w:hint="cs"/>
          <w:sz w:val="24"/>
          <w:szCs w:val="24"/>
          <w:rtl/>
        </w:rPr>
        <w:t>.</w:t>
      </w:r>
      <w:r w:rsidR="00ED4CBB" w:rsidRPr="0004252C">
        <w:rPr>
          <w:rFonts w:ascii="David" w:hAnsi="David" w:cs="David" w:hint="cs"/>
          <w:sz w:val="24"/>
          <w:szCs w:val="24"/>
          <w:rtl/>
        </w:rPr>
        <w:t xml:space="preserve"> </w:t>
      </w:r>
      <w:r w:rsidR="00926572" w:rsidRPr="0004252C">
        <w:rPr>
          <w:rFonts w:ascii="David" w:hAnsi="David" w:cs="David" w:hint="cs"/>
          <w:sz w:val="24"/>
          <w:szCs w:val="24"/>
          <w:rtl/>
        </w:rPr>
        <w:t xml:space="preserve">בשנים האחרונות </w:t>
      </w:r>
      <w:r w:rsidR="00ED4CBB" w:rsidRPr="0004252C">
        <w:rPr>
          <w:rFonts w:ascii="David" w:hAnsi="David" w:cs="David" w:hint="cs"/>
          <w:sz w:val="24"/>
          <w:szCs w:val="24"/>
          <w:rtl/>
        </w:rPr>
        <w:t xml:space="preserve">בישראל </w:t>
      </w:r>
      <w:r w:rsidR="00D5380A" w:rsidRPr="0004252C">
        <w:rPr>
          <w:rFonts w:ascii="David" w:hAnsi="David" w:cs="David" w:hint="cs"/>
          <w:sz w:val="24"/>
          <w:szCs w:val="24"/>
          <w:rtl/>
        </w:rPr>
        <w:t>כמעט כל</w:t>
      </w:r>
      <w:r w:rsidR="00ED4CBB" w:rsidRPr="0004252C">
        <w:rPr>
          <w:rFonts w:ascii="David" w:hAnsi="David" w:cs="David" w:hint="cs"/>
          <w:sz w:val="24"/>
          <w:szCs w:val="24"/>
          <w:rtl/>
        </w:rPr>
        <w:t xml:space="preserve"> </w:t>
      </w:r>
      <w:r w:rsidR="00ED4CBB">
        <w:rPr>
          <w:rFonts w:ascii="David" w:hAnsi="David" w:cs="David" w:hint="cs"/>
          <w:sz w:val="24"/>
          <w:szCs w:val="24"/>
          <w:rtl/>
        </w:rPr>
        <w:t>הניתוחים</w:t>
      </w:r>
      <w:r w:rsidR="00386333">
        <w:rPr>
          <w:rFonts w:ascii="David" w:hAnsi="David" w:cs="David" w:hint="cs"/>
          <w:sz w:val="24"/>
          <w:szCs w:val="24"/>
          <w:rtl/>
        </w:rPr>
        <w:t xml:space="preserve"> </w:t>
      </w:r>
      <w:r w:rsidR="003A2F39">
        <w:rPr>
          <w:rFonts w:ascii="David" w:hAnsi="David" w:cs="David" w:hint="cs"/>
          <w:sz w:val="24"/>
          <w:szCs w:val="24"/>
          <w:rtl/>
        </w:rPr>
        <w:t>ממוקדים</w:t>
      </w:r>
      <w:r w:rsidR="00386333">
        <w:rPr>
          <w:rFonts w:ascii="David" w:hAnsi="David" w:cs="David" w:hint="cs"/>
          <w:sz w:val="24"/>
          <w:szCs w:val="24"/>
          <w:rtl/>
        </w:rPr>
        <w:t xml:space="preserve"> בהבדלים בין מגדר</w:t>
      </w:r>
      <w:r w:rsidR="00BB1ACA">
        <w:rPr>
          <w:rFonts w:ascii="David" w:hAnsi="David" w:cs="David" w:hint="cs"/>
          <w:sz w:val="24"/>
          <w:szCs w:val="24"/>
          <w:rtl/>
        </w:rPr>
        <w:t xml:space="preserve">, </w:t>
      </w:r>
      <w:r w:rsidR="00B83D7E">
        <w:rPr>
          <w:rFonts w:ascii="David" w:hAnsi="David" w:cs="David" w:hint="cs"/>
          <w:sz w:val="24"/>
          <w:szCs w:val="24"/>
          <w:rtl/>
        </w:rPr>
        <w:t>דוברי עברית וערבית</w:t>
      </w:r>
      <w:r w:rsidR="00BB1ACA">
        <w:rPr>
          <w:rFonts w:ascii="David" w:hAnsi="David" w:cs="David" w:hint="cs"/>
          <w:sz w:val="24"/>
          <w:szCs w:val="24"/>
          <w:rtl/>
        </w:rPr>
        <w:t xml:space="preserve"> ורקע </w:t>
      </w:r>
      <w:r w:rsidR="00A77B30">
        <w:rPr>
          <w:rFonts w:ascii="David" w:hAnsi="David" w:cs="David" w:hint="cs"/>
          <w:sz w:val="24"/>
          <w:szCs w:val="24"/>
          <w:rtl/>
        </w:rPr>
        <w:t>כלכלי-חברתי אישי</w:t>
      </w:r>
      <w:r w:rsidR="00926572">
        <w:rPr>
          <w:rFonts w:ascii="David" w:hAnsi="David" w:cs="David" w:hint="cs"/>
          <w:sz w:val="24"/>
          <w:szCs w:val="24"/>
          <w:rtl/>
        </w:rPr>
        <w:t xml:space="preserve"> (</w:t>
      </w:r>
      <w:r w:rsidR="006B5D7F">
        <w:rPr>
          <w:rFonts w:ascii="David" w:hAnsi="David" w:cs="David" w:hint="cs"/>
          <w:sz w:val="24"/>
          <w:szCs w:val="24"/>
          <w:rtl/>
        </w:rPr>
        <w:t>מחלוף וח</w:t>
      </w:r>
      <w:r w:rsidR="007244BA">
        <w:rPr>
          <w:rFonts w:ascii="David" w:hAnsi="David" w:cs="David" w:hint="cs"/>
          <w:sz w:val="24"/>
          <w:szCs w:val="24"/>
          <w:rtl/>
        </w:rPr>
        <w:t xml:space="preserve">לו, 2021; </w:t>
      </w:r>
      <w:proofErr w:type="spellStart"/>
      <w:r w:rsidR="008D0561">
        <w:rPr>
          <w:rFonts w:ascii="David" w:hAnsi="David" w:cs="David" w:hint="cs"/>
          <w:sz w:val="24"/>
          <w:szCs w:val="24"/>
          <w:rtl/>
        </w:rPr>
        <w:t>ראמ"ה</w:t>
      </w:r>
      <w:proofErr w:type="spellEnd"/>
      <w:r w:rsidR="008D0561">
        <w:rPr>
          <w:rFonts w:ascii="David" w:hAnsi="David" w:cs="David" w:hint="cs"/>
          <w:sz w:val="24"/>
          <w:szCs w:val="24"/>
          <w:rtl/>
        </w:rPr>
        <w:t>, 2022</w:t>
      </w:r>
      <w:r w:rsidR="00A2491A">
        <w:rPr>
          <w:rFonts w:ascii="David" w:hAnsi="David" w:cs="David" w:hint="cs"/>
          <w:sz w:val="24"/>
          <w:szCs w:val="24"/>
          <w:rtl/>
        </w:rPr>
        <w:t>א</w:t>
      </w:r>
      <w:r w:rsidR="003B4ECB">
        <w:rPr>
          <w:rFonts w:ascii="David" w:hAnsi="David" w:cs="David" w:hint="cs"/>
          <w:sz w:val="24"/>
          <w:szCs w:val="24"/>
          <w:rtl/>
        </w:rPr>
        <w:t xml:space="preserve">; מחלוף ואחרים, </w:t>
      </w:r>
      <w:r w:rsidR="00271F7F">
        <w:rPr>
          <w:rFonts w:ascii="David" w:hAnsi="David" w:cs="David" w:hint="cs"/>
          <w:sz w:val="24"/>
          <w:szCs w:val="24"/>
          <w:rtl/>
        </w:rPr>
        <w:t>2020</w:t>
      </w:r>
      <w:r w:rsidR="008D0561">
        <w:rPr>
          <w:rFonts w:ascii="David" w:hAnsi="David" w:cs="David" w:hint="cs"/>
          <w:sz w:val="24"/>
          <w:szCs w:val="24"/>
          <w:rtl/>
        </w:rPr>
        <w:t>)</w:t>
      </w:r>
      <w:r w:rsidR="00B83D7E">
        <w:rPr>
          <w:rFonts w:ascii="David" w:hAnsi="David" w:cs="David" w:hint="cs"/>
          <w:sz w:val="24"/>
          <w:szCs w:val="24"/>
          <w:rtl/>
        </w:rPr>
        <w:t xml:space="preserve">. </w:t>
      </w:r>
      <w:r w:rsidR="0072678C">
        <w:rPr>
          <w:rFonts w:ascii="David" w:hAnsi="David" w:cs="David" w:hint="cs"/>
          <w:sz w:val="24"/>
          <w:szCs w:val="24"/>
          <w:rtl/>
        </w:rPr>
        <w:t>דירוג הרקע החברתי-כלכלי</w:t>
      </w:r>
      <w:r w:rsidR="007574F2">
        <w:rPr>
          <w:rFonts w:ascii="David" w:hAnsi="David" w:cs="David" w:hint="cs"/>
          <w:sz w:val="24"/>
          <w:szCs w:val="24"/>
          <w:rtl/>
        </w:rPr>
        <w:t xml:space="preserve"> מתבסס על מדד הטיפוח "שטראוס", המשקלל נתונים על השכל</w:t>
      </w:r>
      <w:r w:rsidR="00C60B9D">
        <w:rPr>
          <w:rFonts w:ascii="David" w:hAnsi="David" w:cs="David" w:hint="cs"/>
          <w:sz w:val="24"/>
          <w:szCs w:val="24"/>
          <w:rtl/>
        </w:rPr>
        <w:t>ת האם והאב, הכנסה, פריפריאליות ועלייה מארצות מצוקה</w:t>
      </w:r>
      <w:r w:rsidR="006526EE">
        <w:rPr>
          <w:rStyle w:val="ab"/>
          <w:rFonts w:ascii="David" w:hAnsi="David" w:cs="David"/>
          <w:sz w:val="24"/>
          <w:szCs w:val="24"/>
          <w:rtl/>
        </w:rPr>
        <w:footnoteReference w:id="6"/>
      </w:r>
      <w:r w:rsidR="00DC367F">
        <w:rPr>
          <w:rFonts w:ascii="David" w:hAnsi="David" w:cs="David" w:hint="cs"/>
          <w:sz w:val="24"/>
          <w:szCs w:val="24"/>
          <w:rtl/>
        </w:rPr>
        <w:t xml:space="preserve"> (</w:t>
      </w:r>
      <w:proofErr w:type="spellStart"/>
      <w:r w:rsidR="00DC367F">
        <w:rPr>
          <w:rFonts w:ascii="David" w:hAnsi="David" w:cs="David" w:hint="cs"/>
          <w:sz w:val="24"/>
          <w:szCs w:val="24"/>
          <w:rtl/>
        </w:rPr>
        <w:t>ראמ"ה</w:t>
      </w:r>
      <w:proofErr w:type="spellEnd"/>
      <w:r w:rsidR="00DC367F">
        <w:rPr>
          <w:rFonts w:ascii="David" w:hAnsi="David" w:cs="David" w:hint="cs"/>
          <w:sz w:val="24"/>
          <w:szCs w:val="24"/>
          <w:rtl/>
        </w:rPr>
        <w:t xml:space="preserve">, </w:t>
      </w:r>
      <w:r w:rsidR="00A35D5A">
        <w:rPr>
          <w:rFonts w:ascii="David" w:hAnsi="David" w:cs="David" w:hint="cs"/>
          <w:sz w:val="24"/>
          <w:szCs w:val="24"/>
          <w:rtl/>
        </w:rPr>
        <w:t>2022</w:t>
      </w:r>
      <w:r w:rsidR="00A2491A">
        <w:rPr>
          <w:rFonts w:ascii="David" w:hAnsi="David" w:cs="David" w:hint="cs"/>
          <w:sz w:val="24"/>
          <w:szCs w:val="24"/>
          <w:rtl/>
        </w:rPr>
        <w:t>א</w:t>
      </w:r>
      <w:r w:rsidR="00A35D5A">
        <w:rPr>
          <w:rFonts w:ascii="David" w:hAnsi="David" w:cs="David" w:hint="cs"/>
          <w:sz w:val="24"/>
          <w:szCs w:val="24"/>
          <w:rtl/>
        </w:rPr>
        <w:t>)</w:t>
      </w:r>
      <w:r w:rsidR="00C60B9D">
        <w:rPr>
          <w:rFonts w:ascii="David" w:hAnsi="David" w:cs="David" w:hint="cs"/>
          <w:sz w:val="24"/>
          <w:szCs w:val="24"/>
          <w:rtl/>
        </w:rPr>
        <w:t xml:space="preserve">. </w:t>
      </w:r>
      <w:r w:rsidR="00E80272">
        <w:rPr>
          <w:rFonts w:ascii="David" w:hAnsi="David" w:cs="David" w:hint="cs"/>
          <w:sz w:val="24"/>
          <w:szCs w:val="24"/>
          <w:rtl/>
        </w:rPr>
        <w:t>מחקרים נוספים</w:t>
      </w:r>
      <w:r w:rsidR="00ED4CBB">
        <w:rPr>
          <w:rFonts w:ascii="David" w:hAnsi="David" w:cs="David" w:hint="cs"/>
          <w:sz w:val="24"/>
          <w:szCs w:val="24"/>
          <w:rtl/>
        </w:rPr>
        <w:t xml:space="preserve"> מתייחסים </w:t>
      </w:r>
      <w:r w:rsidR="00F14B13">
        <w:rPr>
          <w:rFonts w:ascii="David" w:hAnsi="David" w:cs="David" w:hint="cs"/>
          <w:sz w:val="24"/>
          <w:szCs w:val="24"/>
          <w:rtl/>
        </w:rPr>
        <w:t xml:space="preserve">להישגים בתחום החינוך (שיעורי נשירה, </w:t>
      </w:r>
      <w:r w:rsidR="00E66883">
        <w:rPr>
          <w:rFonts w:ascii="David" w:hAnsi="David" w:cs="David" w:hint="cs"/>
          <w:sz w:val="24"/>
          <w:szCs w:val="24"/>
          <w:rtl/>
        </w:rPr>
        <w:t>זכאות לבגרות ו</w:t>
      </w:r>
      <w:r w:rsidR="00F14B13">
        <w:rPr>
          <w:rFonts w:ascii="David" w:hAnsi="David" w:cs="David" w:hint="cs"/>
          <w:sz w:val="24"/>
          <w:szCs w:val="24"/>
          <w:rtl/>
        </w:rPr>
        <w:t>השתלבות במוסדות להשכלה גבוהה)</w:t>
      </w:r>
      <w:r w:rsidR="003910F7">
        <w:rPr>
          <w:rFonts w:ascii="David" w:hAnsi="David" w:cs="David" w:hint="cs"/>
          <w:sz w:val="24"/>
          <w:szCs w:val="24"/>
          <w:rtl/>
        </w:rPr>
        <w:t>,</w:t>
      </w:r>
      <w:r w:rsidR="00F14B13">
        <w:rPr>
          <w:rFonts w:ascii="David" w:hAnsi="David" w:cs="David" w:hint="cs"/>
          <w:sz w:val="24"/>
          <w:szCs w:val="24"/>
          <w:rtl/>
        </w:rPr>
        <w:t xml:space="preserve"> </w:t>
      </w:r>
      <w:r w:rsidR="00ED4CBB">
        <w:rPr>
          <w:rFonts w:ascii="David" w:hAnsi="David" w:cs="David" w:hint="cs"/>
          <w:sz w:val="24"/>
          <w:szCs w:val="24"/>
          <w:rtl/>
        </w:rPr>
        <w:t>להבדלים במצב סוציו-אקונומי של המשפחות</w:t>
      </w:r>
      <w:r w:rsidR="00CE27BD">
        <w:rPr>
          <w:rFonts w:ascii="David" w:hAnsi="David" w:cs="David" w:hint="cs"/>
          <w:sz w:val="24"/>
          <w:szCs w:val="24"/>
          <w:rtl/>
        </w:rPr>
        <w:t xml:space="preserve">, כולל רמת </w:t>
      </w:r>
      <w:r w:rsidR="00ED4CBB">
        <w:rPr>
          <w:rFonts w:ascii="David" w:hAnsi="David" w:cs="David" w:hint="cs"/>
          <w:sz w:val="24"/>
          <w:szCs w:val="24"/>
          <w:rtl/>
        </w:rPr>
        <w:t>השכלה, משלח יד</w:t>
      </w:r>
      <w:r w:rsidR="00F73A6A">
        <w:rPr>
          <w:rFonts w:ascii="David" w:hAnsi="David" w:cs="David" w:hint="cs"/>
          <w:sz w:val="24"/>
          <w:szCs w:val="24"/>
          <w:rtl/>
        </w:rPr>
        <w:t xml:space="preserve"> והכנסה</w:t>
      </w:r>
      <w:r w:rsidR="00A24E2F">
        <w:rPr>
          <w:rFonts w:ascii="David" w:hAnsi="David" w:cs="David" w:hint="cs"/>
          <w:sz w:val="24"/>
          <w:szCs w:val="24"/>
          <w:rtl/>
        </w:rPr>
        <w:t xml:space="preserve"> (הלשכה המרכזית לסטטיסטיקה, 2021)</w:t>
      </w:r>
      <w:r w:rsidR="00D5380A">
        <w:rPr>
          <w:rFonts w:ascii="David" w:hAnsi="David" w:cs="David" w:hint="cs"/>
          <w:sz w:val="24"/>
          <w:szCs w:val="24"/>
          <w:rtl/>
        </w:rPr>
        <w:t>;</w:t>
      </w:r>
      <w:r>
        <w:rPr>
          <w:rFonts w:ascii="David" w:hAnsi="David" w:cs="David" w:hint="cs"/>
          <w:sz w:val="24"/>
          <w:szCs w:val="24"/>
          <w:rtl/>
        </w:rPr>
        <w:t xml:space="preserve"> </w:t>
      </w:r>
      <w:r w:rsidR="00F73A6A">
        <w:rPr>
          <w:rFonts w:ascii="David" w:hAnsi="David" w:cs="David" w:hint="cs"/>
          <w:sz w:val="24"/>
          <w:szCs w:val="24"/>
          <w:rtl/>
        </w:rPr>
        <w:t>לקבוצות אתניות</w:t>
      </w:r>
      <w:r w:rsidR="003F103C">
        <w:rPr>
          <w:rFonts w:ascii="David" w:hAnsi="David" w:cs="David" w:hint="cs"/>
          <w:sz w:val="24"/>
          <w:szCs w:val="24"/>
          <w:rtl/>
        </w:rPr>
        <w:t xml:space="preserve"> - </w:t>
      </w:r>
      <w:r w:rsidR="00F73A6A">
        <w:rPr>
          <w:rFonts w:ascii="David" w:hAnsi="David" w:cs="David" w:hint="cs"/>
          <w:sz w:val="24"/>
          <w:szCs w:val="24"/>
          <w:rtl/>
        </w:rPr>
        <w:t>האוכלוסייה הערבית</w:t>
      </w:r>
      <w:r w:rsidR="00104A16">
        <w:rPr>
          <w:rFonts w:ascii="David" w:hAnsi="David" w:cs="David" w:hint="cs"/>
          <w:sz w:val="24"/>
          <w:szCs w:val="24"/>
          <w:rtl/>
        </w:rPr>
        <w:t>, החרדית</w:t>
      </w:r>
      <w:r w:rsidR="00F73A6A">
        <w:rPr>
          <w:rFonts w:ascii="David" w:hAnsi="David" w:cs="David" w:hint="cs"/>
          <w:sz w:val="24"/>
          <w:szCs w:val="24"/>
          <w:rtl/>
        </w:rPr>
        <w:t xml:space="preserve"> ואוכלוסיית יוצאי אתיופיה</w:t>
      </w:r>
      <w:r w:rsidR="001B1A65">
        <w:rPr>
          <w:rFonts w:ascii="David" w:hAnsi="David" w:cs="David" w:hint="cs"/>
          <w:sz w:val="24"/>
          <w:szCs w:val="24"/>
          <w:rtl/>
        </w:rPr>
        <w:t xml:space="preserve"> (הלשכה המרכזית לסטטיסטיקה, </w:t>
      </w:r>
      <w:r w:rsidR="00A24E2F">
        <w:rPr>
          <w:rFonts w:ascii="David" w:hAnsi="David" w:cs="David" w:hint="cs"/>
          <w:sz w:val="24"/>
          <w:szCs w:val="24"/>
          <w:rtl/>
        </w:rPr>
        <w:t>2022</w:t>
      </w:r>
      <w:r w:rsidR="00F60694">
        <w:rPr>
          <w:rFonts w:ascii="David" w:hAnsi="David" w:cs="David" w:hint="cs"/>
          <w:sz w:val="24"/>
          <w:szCs w:val="24"/>
          <w:rtl/>
        </w:rPr>
        <w:t>; משרד הבריאות, 2019</w:t>
      </w:r>
      <w:r w:rsidR="00104A16">
        <w:rPr>
          <w:rFonts w:ascii="David" w:hAnsi="David" w:cs="David" w:hint="cs"/>
          <w:sz w:val="24"/>
          <w:szCs w:val="24"/>
          <w:rtl/>
        </w:rPr>
        <w:t>; חאג'</w:t>
      </w:r>
      <w:r w:rsidR="004675B3">
        <w:rPr>
          <w:rFonts w:ascii="David" w:hAnsi="David" w:cs="David" w:hint="cs"/>
          <w:sz w:val="24"/>
          <w:szCs w:val="24"/>
          <w:rtl/>
        </w:rPr>
        <w:t>-</w:t>
      </w:r>
      <w:r w:rsidR="00104A16">
        <w:rPr>
          <w:rFonts w:ascii="David" w:hAnsi="David" w:cs="David" w:hint="cs"/>
          <w:sz w:val="24"/>
          <w:szCs w:val="24"/>
          <w:rtl/>
        </w:rPr>
        <w:t>יחיא</w:t>
      </w:r>
      <w:r w:rsidR="004675B3">
        <w:rPr>
          <w:rFonts w:ascii="David" w:hAnsi="David" w:cs="David" w:hint="cs"/>
          <w:sz w:val="24"/>
          <w:szCs w:val="24"/>
          <w:rtl/>
        </w:rPr>
        <w:t xml:space="preserve"> ואחרים, 2022; </w:t>
      </w:r>
      <w:r w:rsidR="001B01EE">
        <w:rPr>
          <w:rFonts w:ascii="David" w:hAnsi="David" w:cs="David" w:hint="cs"/>
          <w:sz w:val="24"/>
          <w:szCs w:val="24"/>
          <w:rtl/>
        </w:rPr>
        <w:t xml:space="preserve">מלאך </w:t>
      </w:r>
      <w:proofErr w:type="spellStart"/>
      <w:r w:rsidR="001B01EE">
        <w:rPr>
          <w:rFonts w:ascii="David" w:hAnsi="David" w:cs="David" w:hint="cs"/>
          <w:sz w:val="24"/>
          <w:szCs w:val="24"/>
          <w:rtl/>
        </w:rPr>
        <w:t>וכהנר</w:t>
      </w:r>
      <w:proofErr w:type="spellEnd"/>
      <w:r w:rsidR="001B01EE">
        <w:rPr>
          <w:rFonts w:ascii="David" w:hAnsi="David" w:cs="David" w:hint="cs"/>
          <w:sz w:val="24"/>
          <w:szCs w:val="24"/>
          <w:rtl/>
        </w:rPr>
        <w:t>, 2022</w:t>
      </w:r>
      <w:r w:rsidR="00A24E2F">
        <w:rPr>
          <w:rFonts w:ascii="David" w:hAnsi="David" w:cs="David" w:hint="cs"/>
          <w:sz w:val="24"/>
          <w:szCs w:val="24"/>
          <w:rtl/>
        </w:rPr>
        <w:t>)</w:t>
      </w:r>
      <w:r w:rsidR="00757800">
        <w:rPr>
          <w:rFonts w:ascii="David" w:hAnsi="David" w:cs="David" w:hint="cs"/>
          <w:sz w:val="24"/>
          <w:szCs w:val="24"/>
          <w:rtl/>
        </w:rPr>
        <w:t>;</w:t>
      </w:r>
      <w:r w:rsidR="00D9376F">
        <w:rPr>
          <w:rFonts w:ascii="David" w:hAnsi="David" w:cs="David" w:hint="cs"/>
          <w:sz w:val="24"/>
          <w:szCs w:val="24"/>
          <w:rtl/>
        </w:rPr>
        <w:t xml:space="preserve"> ו</w:t>
      </w:r>
      <w:r w:rsidR="00C45F59">
        <w:rPr>
          <w:rFonts w:ascii="David" w:hAnsi="David" w:cs="David" w:hint="cs"/>
          <w:sz w:val="24"/>
          <w:szCs w:val="24"/>
          <w:rtl/>
        </w:rPr>
        <w:t>לעיתים רחוקות</w:t>
      </w:r>
      <w:r w:rsidR="00757800">
        <w:rPr>
          <w:rFonts w:ascii="David" w:hAnsi="David" w:cs="David" w:hint="cs"/>
          <w:sz w:val="24"/>
          <w:szCs w:val="24"/>
          <w:rtl/>
        </w:rPr>
        <w:t xml:space="preserve"> </w:t>
      </w:r>
      <w:r w:rsidR="00D9376F">
        <w:rPr>
          <w:rFonts w:ascii="David" w:hAnsi="David" w:cs="David" w:hint="cs"/>
          <w:sz w:val="24"/>
          <w:szCs w:val="24"/>
          <w:rtl/>
        </w:rPr>
        <w:t xml:space="preserve">למיקום הגאוגרפי </w:t>
      </w:r>
      <w:r w:rsidR="00F012AA">
        <w:rPr>
          <w:rFonts w:ascii="David" w:hAnsi="David" w:cs="David" w:hint="cs"/>
          <w:sz w:val="24"/>
          <w:szCs w:val="24"/>
          <w:rtl/>
        </w:rPr>
        <w:t>או היישוב של הנבחנים</w:t>
      </w:r>
      <w:r w:rsidR="003F103C">
        <w:rPr>
          <w:rFonts w:ascii="David" w:hAnsi="David" w:cs="David" w:hint="cs"/>
          <w:sz w:val="24"/>
          <w:szCs w:val="24"/>
          <w:rtl/>
        </w:rPr>
        <w:t xml:space="preserve">, כולל </w:t>
      </w:r>
      <w:r w:rsidR="00757800">
        <w:rPr>
          <w:rFonts w:ascii="David" w:hAnsi="David" w:cs="David" w:hint="cs"/>
          <w:sz w:val="24"/>
          <w:szCs w:val="24"/>
          <w:rtl/>
        </w:rPr>
        <w:t xml:space="preserve">התייחסות להבדלים בין </w:t>
      </w:r>
      <w:r w:rsidR="00F012AA">
        <w:rPr>
          <w:rFonts w:ascii="David" w:hAnsi="David" w:cs="David" w:hint="cs"/>
          <w:sz w:val="24"/>
          <w:szCs w:val="24"/>
          <w:rtl/>
        </w:rPr>
        <w:t>מרכז-פריפריה</w:t>
      </w:r>
      <w:r w:rsidR="00757800">
        <w:rPr>
          <w:rFonts w:ascii="David" w:hAnsi="David" w:cs="David" w:hint="cs"/>
          <w:sz w:val="24"/>
          <w:szCs w:val="24"/>
          <w:rtl/>
        </w:rPr>
        <w:t>,</w:t>
      </w:r>
      <w:r w:rsidR="00F012AA">
        <w:rPr>
          <w:rFonts w:ascii="David" w:hAnsi="David" w:cs="David" w:hint="cs"/>
          <w:sz w:val="24"/>
          <w:szCs w:val="24"/>
          <w:rtl/>
        </w:rPr>
        <w:t xml:space="preserve"> </w:t>
      </w:r>
      <w:r w:rsidR="00B65260">
        <w:rPr>
          <w:rFonts w:ascii="David" w:hAnsi="David" w:cs="David" w:hint="cs"/>
          <w:sz w:val="24"/>
          <w:szCs w:val="24"/>
          <w:rtl/>
        </w:rPr>
        <w:t>עיירות פיתוח, ערים מבוססות</w:t>
      </w:r>
      <w:r w:rsidR="003F103C">
        <w:rPr>
          <w:rFonts w:ascii="David" w:hAnsi="David" w:cs="David" w:hint="cs"/>
          <w:sz w:val="24"/>
          <w:szCs w:val="24"/>
          <w:rtl/>
        </w:rPr>
        <w:t xml:space="preserve"> ופורום ה-15</w:t>
      </w:r>
      <w:r w:rsidR="008441C5">
        <w:rPr>
          <w:rFonts w:ascii="David" w:hAnsi="David" w:cs="David" w:hint="cs"/>
          <w:sz w:val="24"/>
          <w:szCs w:val="24"/>
          <w:rtl/>
        </w:rPr>
        <w:t xml:space="preserve">, איגוד הערים שאינן מקבלות מענקים </w:t>
      </w:r>
      <w:r w:rsidR="008F320C">
        <w:rPr>
          <w:rFonts w:ascii="David" w:hAnsi="David" w:cs="David" w:hint="cs"/>
          <w:sz w:val="24"/>
          <w:szCs w:val="24"/>
          <w:rtl/>
        </w:rPr>
        <w:t>"</w:t>
      </w:r>
      <w:r w:rsidR="008441C5">
        <w:rPr>
          <w:rFonts w:ascii="David" w:hAnsi="David" w:cs="David" w:hint="cs"/>
          <w:sz w:val="24"/>
          <w:szCs w:val="24"/>
          <w:rtl/>
        </w:rPr>
        <w:t>איזון</w:t>
      </w:r>
      <w:r w:rsidR="008F320C">
        <w:rPr>
          <w:rFonts w:ascii="David" w:hAnsi="David" w:cs="David" w:hint="cs"/>
          <w:sz w:val="24"/>
          <w:szCs w:val="24"/>
          <w:rtl/>
        </w:rPr>
        <w:t>"</w:t>
      </w:r>
      <w:r w:rsidR="008441C5">
        <w:rPr>
          <w:rFonts w:ascii="David" w:hAnsi="David" w:cs="David" w:hint="cs"/>
          <w:sz w:val="24"/>
          <w:szCs w:val="24"/>
          <w:rtl/>
        </w:rPr>
        <w:t xml:space="preserve"> או </w:t>
      </w:r>
      <w:r w:rsidR="008F320C">
        <w:rPr>
          <w:rFonts w:ascii="David" w:hAnsi="David" w:cs="David" w:hint="cs"/>
          <w:sz w:val="24"/>
          <w:szCs w:val="24"/>
          <w:rtl/>
        </w:rPr>
        <w:t>"</w:t>
      </w:r>
      <w:r w:rsidR="008441C5">
        <w:rPr>
          <w:rFonts w:ascii="David" w:hAnsi="David" w:cs="David" w:hint="cs"/>
          <w:sz w:val="24"/>
          <w:szCs w:val="24"/>
          <w:rtl/>
        </w:rPr>
        <w:t>פיתוח</w:t>
      </w:r>
      <w:r w:rsidR="008F320C">
        <w:rPr>
          <w:rFonts w:ascii="David" w:hAnsi="David" w:cs="David" w:hint="cs"/>
          <w:sz w:val="24"/>
          <w:szCs w:val="24"/>
          <w:rtl/>
        </w:rPr>
        <w:t>"</w:t>
      </w:r>
      <w:r w:rsidR="008441C5">
        <w:rPr>
          <w:rFonts w:ascii="David" w:hAnsi="David" w:cs="David" w:hint="cs"/>
          <w:sz w:val="24"/>
          <w:szCs w:val="24"/>
          <w:rtl/>
        </w:rPr>
        <w:t xml:space="preserve"> מהממשלה</w:t>
      </w:r>
      <w:r w:rsidR="00BB272B">
        <w:rPr>
          <w:rFonts w:ascii="David" w:hAnsi="David" w:cs="David" w:hint="cs"/>
          <w:sz w:val="24"/>
          <w:szCs w:val="24"/>
          <w:rtl/>
        </w:rPr>
        <w:t xml:space="preserve"> </w:t>
      </w:r>
      <w:r w:rsidR="00584B21">
        <w:rPr>
          <w:rFonts w:ascii="David" w:hAnsi="David" w:cs="David" w:hint="cs"/>
          <w:sz w:val="24"/>
          <w:szCs w:val="24"/>
          <w:rtl/>
        </w:rPr>
        <w:t xml:space="preserve">(הלשכה המרכזית לסטטיסטיקה, 2019; </w:t>
      </w:r>
      <w:proofErr w:type="spellStart"/>
      <w:r w:rsidR="009A731E">
        <w:rPr>
          <w:rFonts w:ascii="David" w:hAnsi="David" w:cs="David" w:hint="cs"/>
          <w:sz w:val="24"/>
          <w:szCs w:val="24"/>
          <w:rtl/>
        </w:rPr>
        <w:t>סבירסקי</w:t>
      </w:r>
      <w:proofErr w:type="spellEnd"/>
      <w:r w:rsidR="009A731E">
        <w:rPr>
          <w:rFonts w:ascii="David" w:hAnsi="David" w:cs="David" w:hint="cs"/>
          <w:sz w:val="24"/>
          <w:szCs w:val="24"/>
          <w:rtl/>
        </w:rPr>
        <w:t xml:space="preserve"> ואחרים, </w:t>
      </w:r>
      <w:r w:rsidR="00F14B13">
        <w:rPr>
          <w:rFonts w:ascii="David" w:hAnsi="David" w:cs="David" w:hint="cs"/>
          <w:sz w:val="24"/>
          <w:szCs w:val="24"/>
          <w:rtl/>
        </w:rPr>
        <w:t>2022)</w:t>
      </w:r>
      <w:r w:rsidR="00F73A6A">
        <w:rPr>
          <w:rFonts w:ascii="David" w:hAnsi="David" w:cs="David" w:hint="cs"/>
          <w:sz w:val="24"/>
          <w:szCs w:val="24"/>
          <w:rtl/>
        </w:rPr>
        <w:t xml:space="preserve">. </w:t>
      </w:r>
    </w:p>
    <w:p w14:paraId="2A4B2CB5" w14:textId="6ECC260F" w:rsidR="00D85EE0" w:rsidRDefault="009F0280" w:rsidP="00DD65D9">
      <w:pPr>
        <w:spacing w:before="120" w:after="120" w:line="312" w:lineRule="auto"/>
        <w:jc w:val="both"/>
        <w:rPr>
          <w:rFonts w:ascii="David" w:hAnsi="David" w:cs="David"/>
          <w:sz w:val="24"/>
          <w:szCs w:val="24"/>
          <w:rtl/>
        </w:rPr>
      </w:pPr>
      <w:r>
        <w:rPr>
          <w:rFonts w:ascii="David" w:hAnsi="David" w:cs="David" w:hint="cs"/>
          <w:sz w:val="24"/>
          <w:szCs w:val="24"/>
          <w:rtl/>
        </w:rPr>
        <w:t xml:space="preserve">מגמת </w:t>
      </w:r>
      <w:r w:rsidR="00D96EDE">
        <w:rPr>
          <w:rFonts w:ascii="David" w:hAnsi="David" w:cs="David" w:hint="cs"/>
          <w:sz w:val="24"/>
          <w:szCs w:val="24"/>
          <w:rtl/>
        </w:rPr>
        <w:t xml:space="preserve">הפערים ברמת ההישגים בין </w:t>
      </w:r>
      <w:r>
        <w:rPr>
          <w:rFonts w:ascii="David" w:hAnsi="David" w:cs="David" w:hint="cs"/>
          <w:sz w:val="24"/>
          <w:szCs w:val="24"/>
          <w:rtl/>
        </w:rPr>
        <w:t xml:space="preserve">אוכלוסיית דוברי עברית וערבית, </w:t>
      </w:r>
      <w:r w:rsidR="006F158B">
        <w:rPr>
          <w:rFonts w:ascii="David" w:hAnsi="David" w:cs="David" w:hint="cs"/>
          <w:sz w:val="24"/>
          <w:szCs w:val="24"/>
          <w:rtl/>
        </w:rPr>
        <w:t xml:space="preserve">בין אוכלוסיות בדירוג חברתי-כלכלי שונה </w:t>
      </w:r>
      <w:r>
        <w:rPr>
          <w:rFonts w:ascii="David" w:hAnsi="David" w:cs="David" w:hint="cs"/>
          <w:sz w:val="24"/>
          <w:szCs w:val="24"/>
          <w:rtl/>
        </w:rPr>
        <w:t xml:space="preserve">ובין מגדרים </w:t>
      </w:r>
      <w:r w:rsidR="00503E74">
        <w:rPr>
          <w:rFonts w:ascii="David" w:hAnsi="David" w:cs="David" w:hint="cs"/>
          <w:sz w:val="24"/>
          <w:szCs w:val="24"/>
          <w:rtl/>
        </w:rPr>
        <w:t xml:space="preserve">- </w:t>
      </w:r>
      <w:r w:rsidR="006F158B">
        <w:rPr>
          <w:rFonts w:ascii="David" w:hAnsi="David" w:cs="David" w:hint="cs"/>
          <w:sz w:val="24"/>
          <w:szCs w:val="24"/>
          <w:rtl/>
        </w:rPr>
        <w:t>עקבי</w:t>
      </w:r>
      <w:r w:rsidR="00AB1555">
        <w:rPr>
          <w:rFonts w:ascii="David" w:hAnsi="David" w:cs="David" w:hint="cs"/>
          <w:sz w:val="24"/>
          <w:szCs w:val="24"/>
          <w:rtl/>
        </w:rPr>
        <w:t>ת</w:t>
      </w:r>
      <w:r w:rsidR="006F158B">
        <w:rPr>
          <w:rFonts w:ascii="David" w:hAnsi="David" w:cs="David" w:hint="cs"/>
          <w:sz w:val="24"/>
          <w:szCs w:val="24"/>
          <w:rtl/>
        </w:rPr>
        <w:t xml:space="preserve"> לאורך השנים</w:t>
      </w:r>
      <w:r w:rsidR="00F7251E">
        <w:rPr>
          <w:rFonts w:ascii="David" w:hAnsi="David" w:cs="David" w:hint="cs"/>
          <w:sz w:val="24"/>
          <w:szCs w:val="24"/>
          <w:rtl/>
        </w:rPr>
        <w:t xml:space="preserve"> </w:t>
      </w:r>
      <w:r w:rsidR="0007201D">
        <w:rPr>
          <w:rFonts w:ascii="David" w:hAnsi="David" w:cs="David" w:hint="cs"/>
          <w:sz w:val="24"/>
          <w:szCs w:val="24"/>
          <w:rtl/>
        </w:rPr>
        <w:t>(</w:t>
      </w:r>
      <w:proofErr w:type="spellStart"/>
      <w:r w:rsidR="002013BC">
        <w:rPr>
          <w:rFonts w:ascii="David" w:hAnsi="David" w:cs="David" w:hint="cs"/>
          <w:sz w:val="24"/>
          <w:szCs w:val="24"/>
          <w:rtl/>
        </w:rPr>
        <w:t>ראמ"ה</w:t>
      </w:r>
      <w:proofErr w:type="spellEnd"/>
      <w:r w:rsidR="002013BC">
        <w:rPr>
          <w:rFonts w:ascii="David" w:hAnsi="David" w:cs="David" w:hint="cs"/>
          <w:sz w:val="24"/>
          <w:szCs w:val="24"/>
          <w:rtl/>
        </w:rPr>
        <w:t>, 2018</w:t>
      </w:r>
      <w:r w:rsidR="00A50E3B">
        <w:rPr>
          <w:rFonts w:ascii="David" w:hAnsi="David" w:cs="David" w:hint="cs"/>
          <w:sz w:val="24"/>
          <w:szCs w:val="24"/>
          <w:rtl/>
        </w:rPr>
        <w:t>, 2019</w:t>
      </w:r>
      <w:r w:rsidR="00083543">
        <w:rPr>
          <w:rFonts w:ascii="David" w:hAnsi="David" w:cs="David" w:hint="cs"/>
          <w:sz w:val="24"/>
          <w:szCs w:val="24"/>
          <w:rtl/>
        </w:rPr>
        <w:t xml:space="preserve">, </w:t>
      </w:r>
      <w:r w:rsidR="00083543" w:rsidRPr="0099195B">
        <w:rPr>
          <w:rFonts w:ascii="David" w:hAnsi="David" w:cs="David" w:hint="cs"/>
          <w:sz w:val="24"/>
          <w:szCs w:val="24"/>
          <w:rtl/>
        </w:rPr>
        <w:t>2020</w:t>
      </w:r>
      <w:r w:rsidR="0099195B" w:rsidRPr="0099195B">
        <w:rPr>
          <w:rFonts w:ascii="David" w:hAnsi="David" w:cs="David" w:hint="cs"/>
          <w:sz w:val="24"/>
          <w:szCs w:val="24"/>
          <w:rtl/>
        </w:rPr>
        <w:t>; 2022ב)</w:t>
      </w:r>
      <w:r w:rsidR="006F158B" w:rsidRPr="0099195B">
        <w:rPr>
          <w:rFonts w:ascii="David" w:hAnsi="David" w:cs="David" w:hint="cs"/>
          <w:sz w:val="24"/>
          <w:szCs w:val="24"/>
          <w:rtl/>
        </w:rPr>
        <w:t>.</w:t>
      </w:r>
      <w:r w:rsidR="00EC792C">
        <w:rPr>
          <w:rFonts w:ascii="David" w:hAnsi="David" w:cs="David" w:hint="cs"/>
          <w:sz w:val="24"/>
          <w:szCs w:val="24"/>
          <w:rtl/>
        </w:rPr>
        <w:t xml:space="preserve"> </w:t>
      </w:r>
    </w:p>
    <w:p w14:paraId="1AC5C758" w14:textId="2BF7A463" w:rsidR="00926B31" w:rsidRDefault="00CF4FAF" w:rsidP="003D47A4">
      <w:pPr>
        <w:spacing w:before="120" w:after="120" w:line="312" w:lineRule="auto"/>
        <w:jc w:val="both"/>
        <w:rPr>
          <w:rFonts w:ascii="David" w:hAnsi="David" w:cs="David"/>
          <w:b/>
          <w:bCs/>
          <w:color w:val="000000" w:themeColor="text1"/>
          <w:kern w:val="0"/>
          <w:sz w:val="24"/>
          <w:szCs w:val="24"/>
          <w14:ligatures w14:val="none"/>
        </w:rPr>
      </w:pPr>
      <w:r>
        <w:rPr>
          <w:rFonts w:ascii="David" w:hAnsi="David" w:cs="David" w:hint="cs"/>
          <w:b/>
          <w:bCs/>
          <w:sz w:val="24"/>
          <w:szCs w:val="24"/>
          <w:rtl/>
        </w:rPr>
        <w:t xml:space="preserve">בתי ספר דוברי עברית וערבית: </w:t>
      </w:r>
      <w:r w:rsidR="00EC792C">
        <w:rPr>
          <w:rFonts w:ascii="David" w:hAnsi="David" w:cs="David" w:hint="cs"/>
          <w:sz w:val="24"/>
          <w:szCs w:val="24"/>
          <w:rtl/>
        </w:rPr>
        <w:t xml:space="preserve">רמת ההישגים של </w:t>
      </w:r>
      <w:r w:rsidR="007709A9">
        <w:rPr>
          <w:rFonts w:ascii="David" w:hAnsi="David" w:cs="David" w:hint="cs"/>
          <w:sz w:val="24"/>
          <w:szCs w:val="24"/>
          <w:rtl/>
        </w:rPr>
        <w:t xml:space="preserve">בתי ספר </w:t>
      </w:r>
      <w:r w:rsidR="00EC792C">
        <w:rPr>
          <w:rFonts w:ascii="David" w:hAnsi="David" w:cs="David" w:hint="cs"/>
          <w:sz w:val="24"/>
          <w:szCs w:val="24"/>
          <w:rtl/>
        </w:rPr>
        <w:t>דובר</w:t>
      </w:r>
      <w:r w:rsidR="007709A9">
        <w:rPr>
          <w:rFonts w:ascii="David" w:hAnsi="David" w:cs="David" w:hint="cs"/>
          <w:sz w:val="24"/>
          <w:szCs w:val="24"/>
          <w:rtl/>
        </w:rPr>
        <w:t>י</w:t>
      </w:r>
      <w:r w:rsidR="00EC792C">
        <w:rPr>
          <w:rFonts w:ascii="David" w:hAnsi="David" w:cs="David" w:hint="cs"/>
          <w:sz w:val="24"/>
          <w:szCs w:val="24"/>
          <w:rtl/>
        </w:rPr>
        <w:t xml:space="preserve"> ע</w:t>
      </w:r>
      <w:r w:rsidR="00DC6453">
        <w:rPr>
          <w:rFonts w:ascii="David" w:hAnsi="David" w:cs="David" w:hint="cs"/>
          <w:sz w:val="24"/>
          <w:szCs w:val="24"/>
          <w:rtl/>
        </w:rPr>
        <w:t>רבית</w:t>
      </w:r>
      <w:r w:rsidR="00EC792C">
        <w:rPr>
          <w:rFonts w:ascii="David" w:hAnsi="David" w:cs="David" w:hint="cs"/>
          <w:sz w:val="24"/>
          <w:szCs w:val="24"/>
          <w:rtl/>
        </w:rPr>
        <w:t xml:space="preserve"> </w:t>
      </w:r>
      <w:r w:rsidR="007709A9">
        <w:rPr>
          <w:rFonts w:ascii="David" w:hAnsi="David" w:cs="David" w:hint="cs"/>
          <w:sz w:val="24"/>
          <w:szCs w:val="24"/>
          <w:rtl/>
        </w:rPr>
        <w:t>נמוכ</w:t>
      </w:r>
      <w:r w:rsidR="00B733F0">
        <w:rPr>
          <w:rFonts w:ascii="David" w:hAnsi="David" w:cs="David" w:hint="cs"/>
          <w:sz w:val="24"/>
          <w:szCs w:val="24"/>
          <w:rtl/>
        </w:rPr>
        <w:t>ה</w:t>
      </w:r>
      <w:r w:rsidR="007709A9">
        <w:rPr>
          <w:rFonts w:ascii="David" w:hAnsi="David" w:cs="David" w:hint="cs"/>
          <w:sz w:val="24"/>
          <w:szCs w:val="24"/>
          <w:rtl/>
        </w:rPr>
        <w:t xml:space="preserve"> יותר מזו של דוברי הע</w:t>
      </w:r>
      <w:r w:rsidR="00DC6453">
        <w:rPr>
          <w:rFonts w:ascii="David" w:hAnsi="David" w:cs="David" w:hint="cs"/>
          <w:sz w:val="24"/>
          <w:szCs w:val="24"/>
          <w:rtl/>
        </w:rPr>
        <w:t>ברית</w:t>
      </w:r>
      <w:r w:rsidR="00B00C20">
        <w:rPr>
          <w:rFonts w:ascii="David" w:hAnsi="David" w:cs="David" w:hint="cs"/>
          <w:sz w:val="24"/>
          <w:szCs w:val="24"/>
          <w:rtl/>
        </w:rPr>
        <w:t xml:space="preserve"> במגוון מבחני הישגים </w:t>
      </w:r>
      <w:r w:rsidR="000A5EA7">
        <w:rPr>
          <w:rFonts w:ascii="David" w:hAnsi="David" w:cs="David" w:hint="cs"/>
          <w:sz w:val="24"/>
          <w:szCs w:val="24"/>
          <w:rtl/>
        </w:rPr>
        <w:t xml:space="preserve">בשפת אם, </w:t>
      </w:r>
      <w:r w:rsidR="00691D04">
        <w:rPr>
          <w:rFonts w:ascii="David" w:hAnsi="David" w:cs="David" w:hint="cs"/>
          <w:sz w:val="24"/>
          <w:szCs w:val="24"/>
          <w:rtl/>
        </w:rPr>
        <w:t xml:space="preserve">באנגלית, </w:t>
      </w:r>
      <w:r w:rsidR="000A5EA7">
        <w:rPr>
          <w:rFonts w:ascii="David" w:hAnsi="David" w:cs="David" w:hint="cs"/>
          <w:sz w:val="24"/>
          <w:szCs w:val="24"/>
          <w:rtl/>
        </w:rPr>
        <w:t>במתמטיקה וב</w:t>
      </w:r>
      <w:r w:rsidR="00691D04">
        <w:rPr>
          <w:rFonts w:ascii="David" w:hAnsi="David" w:cs="David" w:hint="cs"/>
          <w:sz w:val="24"/>
          <w:szCs w:val="24"/>
          <w:rtl/>
        </w:rPr>
        <w:t>מדעים</w:t>
      </w:r>
      <w:r w:rsidR="000A5EA7">
        <w:rPr>
          <w:rFonts w:ascii="David" w:hAnsi="David" w:cs="David" w:hint="cs"/>
          <w:sz w:val="24"/>
          <w:szCs w:val="24"/>
          <w:rtl/>
        </w:rPr>
        <w:t xml:space="preserve"> </w:t>
      </w:r>
      <w:r w:rsidR="00B00C20">
        <w:rPr>
          <w:rFonts w:ascii="David" w:hAnsi="David" w:cs="David" w:hint="cs"/>
          <w:sz w:val="24"/>
          <w:szCs w:val="24"/>
          <w:rtl/>
        </w:rPr>
        <w:t>ב</w:t>
      </w:r>
      <w:r w:rsidR="00B438C3">
        <w:rPr>
          <w:rFonts w:ascii="David" w:hAnsi="David" w:cs="David" w:hint="cs"/>
          <w:sz w:val="24"/>
          <w:szCs w:val="24"/>
          <w:rtl/>
        </w:rPr>
        <w:t>דרגות</w:t>
      </w:r>
      <w:r w:rsidR="00C47A51">
        <w:rPr>
          <w:rFonts w:ascii="David" w:hAnsi="David" w:cs="David" w:hint="cs"/>
          <w:sz w:val="24"/>
          <w:szCs w:val="24"/>
          <w:rtl/>
        </w:rPr>
        <w:t xml:space="preserve"> </w:t>
      </w:r>
      <w:r w:rsidR="00B00C20">
        <w:rPr>
          <w:rFonts w:ascii="David" w:hAnsi="David" w:cs="David" w:hint="cs"/>
          <w:sz w:val="24"/>
          <w:szCs w:val="24"/>
          <w:rtl/>
        </w:rPr>
        <w:t>כיתות שונות</w:t>
      </w:r>
      <w:r w:rsidR="0044342E">
        <w:rPr>
          <w:rFonts w:ascii="David" w:hAnsi="David" w:cs="David" w:hint="cs"/>
          <w:sz w:val="24"/>
          <w:szCs w:val="24"/>
          <w:rtl/>
        </w:rPr>
        <w:t xml:space="preserve"> (</w:t>
      </w:r>
      <w:proofErr w:type="spellStart"/>
      <w:r w:rsidR="0044342E">
        <w:rPr>
          <w:rFonts w:ascii="David" w:hAnsi="David" w:cs="David" w:hint="cs"/>
          <w:sz w:val="24"/>
          <w:szCs w:val="24"/>
          <w:rtl/>
        </w:rPr>
        <w:t>ראמ"ה</w:t>
      </w:r>
      <w:proofErr w:type="spellEnd"/>
      <w:r w:rsidR="0044342E">
        <w:rPr>
          <w:rFonts w:ascii="David" w:hAnsi="David" w:cs="David" w:hint="cs"/>
          <w:sz w:val="24"/>
          <w:szCs w:val="24"/>
          <w:rtl/>
        </w:rPr>
        <w:t>, 2022א)</w:t>
      </w:r>
      <w:r w:rsidR="00C47A51">
        <w:rPr>
          <w:rFonts w:ascii="David" w:hAnsi="David" w:cs="David" w:hint="cs"/>
          <w:sz w:val="24"/>
          <w:szCs w:val="24"/>
          <w:rtl/>
        </w:rPr>
        <w:t xml:space="preserve">. </w:t>
      </w:r>
    </w:p>
    <w:p w14:paraId="6B64499E" w14:textId="3619E728" w:rsidR="00C11550" w:rsidRDefault="002A26ED" w:rsidP="00945BE0">
      <w:pPr>
        <w:pStyle w:val="af2"/>
        <w:spacing w:line="240" w:lineRule="auto"/>
        <w:ind w:left="0" w:firstLine="0"/>
        <w:jc w:val="center"/>
        <w:rPr>
          <w:rFonts w:ascii="David" w:hAnsi="David" w:cs="David"/>
          <w:color w:val="000000" w:themeColor="text1"/>
          <w:sz w:val="24"/>
          <w:szCs w:val="24"/>
          <w:rtl/>
        </w:rPr>
      </w:pPr>
      <w:r w:rsidRPr="00885F5E">
        <w:rPr>
          <w:rFonts w:ascii="David" w:hAnsi="David" w:cs="David"/>
          <w:color w:val="000000" w:themeColor="text1"/>
          <w:sz w:val="24"/>
          <w:szCs w:val="24"/>
          <w:rtl/>
        </w:rPr>
        <w:t xml:space="preserve">תרשים </w:t>
      </w:r>
      <w:r w:rsidR="00773FC3">
        <w:rPr>
          <w:rFonts w:ascii="David" w:hAnsi="David" w:cs="David" w:hint="cs"/>
          <w:color w:val="000000" w:themeColor="text1"/>
          <w:sz w:val="24"/>
          <w:szCs w:val="24"/>
          <w:rtl/>
        </w:rPr>
        <w:t>1</w:t>
      </w:r>
      <w:r w:rsidRPr="00885F5E">
        <w:rPr>
          <w:rFonts w:ascii="David" w:hAnsi="David" w:cs="David"/>
          <w:color w:val="000000" w:themeColor="text1"/>
          <w:sz w:val="24"/>
          <w:szCs w:val="24"/>
          <w:rtl/>
        </w:rPr>
        <w:t xml:space="preserve">: </w:t>
      </w:r>
      <w:r w:rsidR="00C11550">
        <w:rPr>
          <w:rFonts w:ascii="David" w:hAnsi="David" w:cs="David" w:hint="cs"/>
          <w:color w:val="000000" w:themeColor="text1"/>
          <w:sz w:val="24"/>
          <w:szCs w:val="24"/>
          <w:rtl/>
        </w:rPr>
        <w:t>ההישגים במתמטיקה ובאנגלית לכיתות ח' בכלל בתי הספר לפי מגזרי שפה</w:t>
      </w:r>
      <w:r w:rsidR="00EE7923">
        <w:rPr>
          <w:rFonts w:ascii="David" w:hAnsi="David" w:cs="David" w:hint="cs"/>
          <w:color w:val="000000" w:themeColor="text1"/>
          <w:sz w:val="24"/>
          <w:szCs w:val="24"/>
          <w:rtl/>
        </w:rPr>
        <w:t xml:space="preserve">, בין השנים </w:t>
      </w:r>
      <w:r w:rsidR="00945BE0">
        <w:rPr>
          <w:rFonts w:ascii="David" w:hAnsi="David" w:cs="David" w:hint="cs"/>
          <w:color w:val="000000" w:themeColor="text1"/>
          <w:sz w:val="24"/>
          <w:szCs w:val="24"/>
          <w:rtl/>
        </w:rPr>
        <w:t xml:space="preserve">תשס"ט </w:t>
      </w:r>
      <w:r w:rsidR="00945BE0">
        <w:rPr>
          <w:rFonts w:ascii="David" w:hAnsi="David" w:cs="David"/>
          <w:color w:val="000000" w:themeColor="text1"/>
          <w:sz w:val="24"/>
          <w:szCs w:val="24"/>
          <w:rtl/>
        </w:rPr>
        <w:t>–</w:t>
      </w:r>
      <w:r w:rsidR="00945BE0">
        <w:rPr>
          <w:rFonts w:ascii="David" w:hAnsi="David" w:cs="David" w:hint="cs"/>
          <w:color w:val="000000" w:themeColor="text1"/>
          <w:sz w:val="24"/>
          <w:szCs w:val="24"/>
          <w:rtl/>
        </w:rPr>
        <w:t xml:space="preserve"> תשע"ח.</w:t>
      </w:r>
    </w:p>
    <w:p w14:paraId="38ADB363" w14:textId="6023498B" w:rsidR="00C11550" w:rsidRDefault="00305FFB" w:rsidP="0027480B">
      <w:pPr>
        <w:pStyle w:val="af2"/>
        <w:spacing w:line="240" w:lineRule="auto"/>
        <w:ind w:left="0" w:firstLine="0"/>
        <w:jc w:val="left"/>
        <w:rPr>
          <w:rFonts w:ascii="David" w:hAnsi="David" w:cs="David"/>
          <w:color w:val="000000" w:themeColor="text1"/>
          <w:sz w:val="24"/>
          <w:szCs w:val="24"/>
          <w:rtl/>
        </w:rPr>
      </w:pPr>
      <w:r>
        <w:rPr>
          <w:rFonts w:ascii="David" w:hAnsi="David" w:cs="David"/>
          <w:noProof/>
          <w:color w:val="000000" w:themeColor="text1"/>
          <w:sz w:val="24"/>
          <w:szCs w:val="24"/>
        </w:rPr>
        <w:drawing>
          <wp:anchor distT="0" distB="0" distL="114300" distR="114300" simplePos="0" relativeHeight="251659264" behindDoc="1" locked="0" layoutInCell="1" allowOverlap="1" wp14:anchorId="4F186665" wp14:editId="491FA712">
            <wp:simplePos x="0" y="0"/>
            <wp:positionH relativeFrom="column">
              <wp:posOffset>-754096</wp:posOffset>
            </wp:positionH>
            <wp:positionV relativeFrom="paragraph">
              <wp:posOffset>84882</wp:posOffset>
            </wp:positionV>
            <wp:extent cx="2926080" cy="2524125"/>
            <wp:effectExtent l="0" t="0" r="0" b="9525"/>
            <wp:wrapTight wrapText="bothSides">
              <wp:wrapPolygon edited="0">
                <wp:start x="8156" y="0"/>
                <wp:lineTo x="1688" y="1630"/>
                <wp:lineTo x="1547" y="2445"/>
                <wp:lineTo x="3656" y="2934"/>
                <wp:lineTo x="703" y="4565"/>
                <wp:lineTo x="141" y="5054"/>
                <wp:lineTo x="141" y="13368"/>
                <wp:lineTo x="3656" y="15976"/>
                <wp:lineTo x="1688" y="16302"/>
                <wp:lineTo x="1688" y="17117"/>
                <wp:lineTo x="3656" y="18584"/>
                <wp:lineTo x="1688" y="19236"/>
                <wp:lineTo x="1688" y="20051"/>
                <wp:lineTo x="4078" y="21192"/>
                <wp:lineTo x="4219" y="21518"/>
                <wp:lineTo x="19969" y="21518"/>
                <wp:lineTo x="20391" y="21192"/>
                <wp:lineTo x="20813" y="18584"/>
                <wp:lineTo x="20953" y="1956"/>
                <wp:lineTo x="15469" y="652"/>
                <wp:lineTo x="10688" y="0"/>
                <wp:lineTo x="8156" y="0"/>
              </wp:wrapPolygon>
            </wp:wrapTight>
            <wp:docPr id="81572569"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2524125"/>
                    </a:xfrm>
                    <a:prstGeom prst="rect">
                      <a:avLst/>
                    </a:prstGeom>
                    <a:noFill/>
                  </pic:spPr>
                </pic:pic>
              </a:graphicData>
            </a:graphic>
          </wp:anchor>
        </w:drawing>
      </w:r>
      <w:r w:rsidR="0027480B">
        <w:rPr>
          <w:rFonts w:ascii="David" w:hAnsi="David" w:cs="David"/>
          <w:noProof/>
          <w:color w:val="000000" w:themeColor="text1"/>
          <w:sz w:val="24"/>
          <w:szCs w:val="24"/>
        </w:rPr>
        <w:drawing>
          <wp:anchor distT="0" distB="0" distL="114300" distR="114300" simplePos="0" relativeHeight="251658240" behindDoc="1" locked="0" layoutInCell="1" allowOverlap="1" wp14:anchorId="0AA08130" wp14:editId="79D1939D">
            <wp:simplePos x="0" y="0"/>
            <wp:positionH relativeFrom="column">
              <wp:posOffset>2350827</wp:posOffset>
            </wp:positionH>
            <wp:positionV relativeFrom="paragraph">
              <wp:posOffset>78285</wp:posOffset>
            </wp:positionV>
            <wp:extent cx="2926080" cy="2524125"/>
            <wp:effectExtent l="0" t="0" r="0" b="9525"/>
            <wp:wrapTight wrapText="bothSides">
              <wp:wrapPolygon edited="0">
                <wp:start x="8156" y="0"/>
                <wp:lineTo x="1688" y="1630"/>
                <wp:lineTo x="1547" y="2445"/>
                <wp:lineTo x="3656" y="2934"/>
                <wp:lineTo x="703" y="4565"/>
                <wp:lineTo x="141" y="5054"/>
                <wp:lineTo x="141" y="13368"/>
                <wp:lineTo x="3656" y="15976"/>
                <wp:lineTo x="1688" y="16302"/>
                <wp:lineTo x="1688" y="17117"/>
                <wp:lineTo x="3656" y="18584"/>
                <wp:lineTo x="1688" y="19236"/>
                <wp:lineTo x="1688" y="20051"/>
                <wp:lineTo x="4078" y="21192"/>
                <wp:lineTo x="4219" y="21518"/>
                <wp:lineTo x="19969" y="21518"/>
                <wp:lineTo x="20391" y="21192"/>
                <wp:lineTo x="20813" y="18584"/>
                <wp:lineTo x="20953" y="1956"/>
                <wp:lineTo x="13359" y="326"/>
                <wp:lineTo x="8859" y="0"/>
                <wp:lineTo x="8156" y="0"/>
              </wp:wrapPolygon>
            </wp:wrapTight>
            <wp:docPr id="550195921"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2524125"/>
                    </a:xfrm>
                    <a:prstGeom prst="rect">
                      <a:avLst/>
                    </a:prstGeom>
                    <a:noFill/>
                  </pic:spPr>
                </pic:pic>
              </a:graphicData>
            </a:graphic>
          </wp:anchor>
        </w:drawing>
      </w:r>
    </w:p>
    <w:p w14:paraId="59B185FF" w14:textId="736278D4" w:rsidR="00C11550" w:rsidRDefault="00C11550" w:rsidP="00C11550">
      <w:pPr>
        <w:pStyle w:val="af2"/>
        <w:spacing w:line="240" w:lineRule="auto"/>
        <w:ind w:left="0" w:firstLine="0"/>
        <w:jc w:val="center"/>
        <w:rPr>
          <w:rFonts w:ascii="David" w:hAnsi="David" w:cs="David"/>
          <w:color w:val="000000" w:themeColor="text1"/>
          <w:sz w:val="24"/>
          <w:szCs w:val="24"/>
          <w:rtl/>
        </w:rPr>
      </w:pPr>
    </w:p>
    <w:p w14:paraId="4C10A3C7" w14:textId="7F23AFDA" w:rsidR="00C11550" w:rsidRDefault="00C11550" w:rsidP="00C11550">
      <w:pPr>
        <w:pStyle w:val="af2"/>
        <w:spacing w:line="240" w:lineRule="auto"/>
        <w:ind w:left="0" w:firstLine="0"/>
        <w:jc w:val="center"/>
        <w:rPr>
          <w:rFonts w:ascii="David" w:hAnsi="David" w:cs="David"/>
          <w:color w:val="000000" w:themeColor="text1"/>
          <w:sz w:val="24"/>
          <w:szCs w:val="24"/>
          <w:rtl/>
        </w:rPr>
      </w:pPr>
    </w:p>
    <w:p w14:paraId="70168347" w14:textId="09B79121" w:rsidR="00C11550" w:rsidRDefault="00C11550" w:rsidP="00C11550">
      <w:pPr>
        <w:pStyle w:val="af2"/>
        <w:spacing w:line="240" w:lineRule="auto"/>
        <w:ind w:left="0" w:firstLine="0"/>
        <w:jc w:val="center"/>
        <w:rPr>
          <w:rFonts w:ascii="David" w:hAnsi="David" w:cs="David"/>
          <w:color w:val="000000" w:themeColor="text1"/>
          <w:sz w:val="24"/>
          <w:szCs w:val="24"/>
          <w:rtl/>
        </w:rPr>
      </w:pPr>
    </w:p>
    <w:p w14:paraId="4E3D49FA" w14:textId="45940F47" w:rsidR="00C11550" w:rsidRDefault="00C11550" w:rsidP="00C11550">
      <w:pPr>
        <w:pStyle w:val="af2"/>
        <w:spacing w:line="240" w:lineRule="auto"/>
        <w:ind w:left="0" w:firstLine="0"/>
        <w:jc w:val="center"/>
        <w:rPr>
          <w:rFonts w:ascii="David" w:hAnsi="David" w:cs="David"/>
          <w:color w:val="000000" w:themeColor="text1"/>
          <w:sz w:val="24"/>
          <w:szCs w:val="24"/>
          <w:rtl/>
        </w:rPr>
      </w:pPr>
    </w:p>
    <w:p w14:paraId="0CBB1441" w14:textId="3DFAA18D" w:rsidR="003025C5" w:rsidRPr="002A26ED" w:rsidRDefault="003025C5" w:rsidP="00536796">
      <w:pPr>
        <w:pStyle w:val="af2"/>
        <w:spacing w:line="240" w:lineRule="auto"/>
        <w:ind w:left="0" w:firstLine="0"/>
        <w:rPr>
          <w:rFonts w:ascii="David" w:hAnsi="David" w:cs="David"/>
          <w:color w:val="000000" w:themeColor="text1"/>
          <w:sz w:val="24"/>
          <w:szCs w:val="24"/>
          <w:rtl/>
        </w:rPr>
      </w:pPr>
    </w:p>
    <w:tbl>
      <w:tblPr>
        <w:tblStyle w:val="TableGrid6"/>
        <w:bidiVisual/>
        <w:tblW w:w="5385" w:type="dxa"/>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1475"/>
        <w:gridCol w:w="1222"/>
        <w:gridCol w:w="1418"/>
        <w:gridCol w:w="1270"/>
      </w:tblGrid>
      <w:tr w:rsidR="00684259" w14:paraId="42169506" w14:textId="77777777" w:rsidTr="00536796">
        <w:trPr>
          <w:trHeight w:val="326"/>
          <w:jc w:val="center"/>
        </w:trPr>
        <w:tc>
          <w:tcPr>
            <w:tcW w:w="1475" w:type="dxa"/>
            <w:tcBorders>
              <w:top w:val="nil"/>
              <w:left w:val="single" w:sz="4" w:space="0" w:color="999999"/>
              <w:bottom w:val="nil"/>
              <w:right w:val="nil"/>
            </w:tcBorders>
            <w:vAlign w:val="center"/>
            <w:hideMark/>
          </w:tcPr>
          <w:p w14:paraId="64B9C242" w14:textId="77777777" w:rsidR="00A1090A" w:rsidRDefault="00A1090A" w:rsidP="00536796">
            <w:pPr>
              <w:jc w:val="center"/>
              <w:rPr>
                <w:rFonts w:ascii="Calibri" w:eastAsia="Calibri" w:hAnsi="Calibri"/>
                <w:noProof/>
                <w:sz w:val="18"/>
                <w:szCs w:val="18"/>
              </w:rPr>
            </w:pPr>
            <w:r>
              <w:rPr>
                <w:rFonts w:ascii="Calibri" w:eastAsia="Calibri" w:hAnsi="Calibri" w:hint="cs"/>
                <w:noProof/>
                <w:sz w:val="18"/>
                <w:szCs w:val="18"/>
                <w:rtl/>
              </w:rPr>
              <w:t>דוברי עברית</w:t>
            </w:r>
          </w:p>
        </w:tc>
        <w:tc>
          <w:tcPr>
            <w:tcW w:w="1222" w:type="dxa"/>
            <w:tcBorders>
              <w:top w:val="nil"/>
              <w:left w:val="nil"/>
              <w:bottom w:val="nil"/>
              <w:right w:val="nil"/>
            </w:tcBorders>
            <w:vAlign w:val="center"/>
            <w:hideMark/>
          </w:tcPr>
          <w:p w14:paraId="455E3BA3" w14:textId="1C351599" w:rsidR="00A1090A" w:rsidRDefault="00A1090A" w:rsidP="00536796">
            <w:pPr>
              <w:jc w:val="center"/>
              <w:rPr>
                <w:rFonts w:ascii="Calibri" w:eastAsia="Calibri" w:hAnsi="Calibri"/>
                <w:noProof/>
                <w:sz w:val="18"/>
                <w:szCs w:val="18"/>
              </w:rPr>
            </w:pPr>
            <w:r>
              <w:rPr>
                <w:rFonts w:ascii="Calibri" w:eastAsia="Calibri" w:hAnsi="Calibri"/>
                <w:noProof/>
              </w:rPr>
              <w:drawing>
                <wp:inline distT="0" distB="0" distL="0" distR="0" wp14:anchorId="1F2642FF" wp14:editId="2567DA79">
                  <wp:extent cx="217170" cy="153670"/>
                  <wp:effectExtent l="0" t="0" r="0" b="0"/>
                  <wp:docPr id="135125188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0">
                            <a:extLst>
                              <a:ext uri="{28A0092B-C50C-407E-A947-70E740481C1C}">
                                <a14:useLocalDpi xmlns:a14="http://schemas.microsoft.com/office/drawing/2010/main" val="0"/>
                              </a:ext>
                            </a:extLst>
                          </a:blip>
                          <a:srcRect l="14815" t="-14284" r="-2" b="-2"/>
                          <a:stretch>
                            <a:fillRect/>
                          </a:stretch>
                        </pic:blipFill>
                        <pic:spPr bwMode="auto">
                          <a:xfrm>
                            <a:off x="0" y="0"/>
                            <a:ext cx="217170" cy="153670"/>
                          </a:xfrm>
                          <a:prstGeom prst="rect">
                            <a:avLst/>
                          </a:prstGeom>
                          <a:noFill/>
                          <a:ln>
                            <a:noFill/>
                          </a:ln>
                        </pic:spPr>
                      </pic:pic>
                    </a:graphicData>
                  </a:graphic>
                </wp:inline>
              </w:drawing>
            </w:r>
          </w:p>
        </w:tc>
        <w:tc>
          <w:tcPr>
            <w:tcW w:w="1418" w:type="dxa"/>
            <w:tcBorders>
              <w:top w:val="nil"/>
              <w:left w:val="nil"/>
              <w:bottom w:val="nil"/>
              <w:right w:val="nil"/>
            </w:tcBorders>
            <w:vAlign w:val="center"/>
            <w:hideMark/>
          </w:tcPr>
          <w:p w14:paraId="4B22B800" w14:textId="77777777" w:rsidR="00A1090A" w:rsidRDefault="00A1090A" w:rsidP="00536796">
            <w:pPr>
              <w:jc w:val="center"/>
              <w:rPr>
                <w:rFonts w:ascii="Calibri" w:eastAsia="Calibri" w:hAnsi="Calibri"/>
                <w:noProof/>
                <w:sz w:val="18"/>
                <w:szCs w:val="18"/>
              </w:rPr>
            </w:pPr>
            <w:r>
              <w:rPr>
                <w:rFonts w:ascii="Calibri" w:eastAsia="Calibri" w:hAnsi="Calibri" w:hint="cs"/>
                <w:noProof/>
                <w:sz w:val="18"/>
                <w:szCs w:val="18"/>
                <w:rtl/>
              </w:rPr>
              <w:t>דוברי ערבית</w:t>
            </w:r>
          </w:p>
        </w:tc>
        <w:tc>
          <w:tcPr>
            <w:tcW w:w="1270" w:type="dxa"/>
            <w:tcBorders>
              <w:top w:val="nil"/>
              <w:left w:val="nil"/>
              <w:bottom w:val="nil"/>
              <w:right w:val="single" w:sz="4" w:space="0" w:color="999999"/>
            </w:tcBorders>
            <w:vAlign w:val="center"/>
            <w:hideMark/>
          </w:tcPr>
          <w:p w14:paraId="0DF9C566" w14:textId="70D99114" w:rsidR="00A1090A" w:rsidRDefault="00A1090A" w:rsidP="00536796">
            <w:pPr>
              <w:jc w:val="center"/>
              <w:rPr>
                <w:rFonts w:ascii="Calibri" w:eastAsia="Calibri" w:hAnsi="Calibri"/>
                <w:noProof/>
                <w:sz w:val="18"/>
                <w:szCs w:val="18"/>
              </w:rPr>
            </w:pPr>
            <w:r>
              <w:rPr>
                <w:rFonts w:ascii="Calibri" w:eastAsia="Calibri" w:hAnsi="Calibri"/>
                <w:noProof/>
              </w:rPr>
              <w:drawing>
                <wp:inline distT="0" distB="0" distL="0" distR="0" wp14:anchorId="19E4EA1C" wp14:editId="72097BA6">
                  <wp:extent cx="208280" cy="127000"/>
                  <wp:effectExtent l="0" t="0" r="1270" b="6350"/>
                  <wp:docPr id="9861800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
                            <a:extLst>
                              <a:ext uri="{28A0092B-C50C-407E-A947-70E740481C1C}">
                                <a14:useLocalDpi xmlns:a14="http://schemas.microsoft.com/office/drawing/2010/main" val="0"/>
                              </a:ext>
                            </a:extLst>
                          </a:blip>
                          <a:srcRect l="8333" t="18748" b="2"/>
                          <a:stretch>
                            <a:fillRect/>
                          </a:stretch>
                        </pic:blipFill>
                        <pic:spPr bwMode="auto">
                          <a:xfrm>
                            <a:off x="0" y="0"/>
                            <a:ext cx="208280" cy="127000"/>
                          </a:xfrm>
                          <a:prstGeom prst="rect">
                            <a:avLst/>
                          </a:prstGeom>
                          <a:noFill/>
                          <a:ln>
                            <a:noFill/>
                          </a:ln>
                        </pic:spPr>
                      </pic:pic>
                    </a:graphicData>
                  </a:graphic>
                </wp:inline>
              </w:drawing>
            </w:r>
          </w:p>
        </w:tc>
      </w:tr>
    </w:tbl>
    <w:p w14:paraId="4FB803FA" w14:textId="43464CA5" w:rsidR="00B62488" w:rsidRPr="00B6164B" w:rsidRDefault="00F5021F" w:rsidP="00806581">
      <w:pPr>
        <w:spacing w:before="120" w:after="120"/>
        <w:rPr>
          <w:rFonts w:ascii="David" w:hAnsi="David" w:cs="David"/>
          <w:b/>
          <w:bCs/>
          <w:sz w:val="20"/>
          <w:szCs w:val="20"/>
          <w:rtl/>
        </w:rPr>
      </w:pPr>
      <w:r w:rsidRPr="00F5021F">
        <w:rPr>
          <w:rFonts w:ascii="David" w:hAnsi="David" w:cs="David" w:hint="cs"/>
          <w:sz w:val="20"/>
          <w:szCs w:val="20"/>
          <w:rtl/>
        </w:rPr>
        <w:t>מקור</w:t>
      </w:r>
      <w:r>
        <w:rPr>
          <w:rFonts w:ascii="David" w:hAnsi="David" w:cs="David" w:hint="cs"/>
          <w:sz w:val="20"/>
          <w:szCs w:val="20"/>
          <w:rtl/>
        </w:rPr>
        <w:t xml:space="preserve">: </w:t>
      </w:r>
      <w:r w:rsidR="007556A5">
        <w:rPr>
          <w:rFonts w:ascii="David" w:hAnsi="David" w:cs="David" w:hint="cs"/>
          <w:sz w:val="20"/>
          <w:szCs w:val="20"/>
          <w:rtl/>
        </w:rPr>
        <w:t xml:space="preserve">הרשות הארצית למדידה והערכה בחינוך (2018). </w:t>
      </w:r>
      <w:r w:rsidR="00B6164B">
        <w:rPr>
          <w:rFonts w:ascii="David" w:hAnsi="David" w:cs="David" w:hint="cs"/>
          <w:b/>
          <w:bCs/>
          <w:sz w:val="20"/>
          <w:szCs w:val="20"/>
          <w:rtl/>
        </w:rPr>
        <w:t xml:space="preserve">מיצ"ב תשע"ח. מדדי יעילות וצמיחה בית ספרית. </w:t>
      </w:r>
    </w:p>
    <w:p w14:paraId="7CCCC707" w14:textId="77777777" w:rsidR="00945BE0" w:rsidRDefault="00945BE0" w:rsidP="00806581">
      <w:pPr>
        <w:spacing w:before="120" w:after="120" w:line="312" w:lineRule="auto"/>
        <w:rPr>
          <w:rFonts w:ascii="David" w:hAnsi="David" w:cs="David"/>
          <w:sz w:val="24"/>
          <w:szCs w:val="24"/>
          <w:rtl/>
        </w:rPr>
      </w:pPr>
    </w:p>
    <w:p w14:paraId="4353CE8E" w14:textId="77777777" w:rsidR="003D47A4" w:rsidRDefault="003D47A4" w:rsidP="003D47A4">
      <w:pPr>
        <w:spacing w:before="120" w:after="120" w:line="312" w:lineRule="auto"/>
        <w:jc w:val="both"/>
        <w:rPr>
          <w:rFonts w:ascii="David" w:hAnsi="David" w:cs="David"/>
          <w:sz w:val="24"/>
          <w:szCs w:val="24"/>
          <w:rtl/>
        </w:rPr>
      </w:pPr>
      <w:r>
        <w:rPr>
          <w:rFonts w:ascii="David" w:hAnsi="David" w:cs="David" w:hint="cs"/>
          <w:sz w:val="24"/>
          <w:szCs w:val="24"/>
          <w:rtl/>
        </w:rPr>
        <w:t xml:space="preserve">כך לדוגמה, קיימים פערים משמעותיים ברמת הישגים של תלמידים דוברי עברית ודוברי ערבית במתמטיקה ובאנגלית בכיתה ח' (תרשים 1, </w:t>
      </w:r>
      <w:proofErr w:type="spellStart"/>
      <w:r>
        <w:rPr>
          <w:rFonts w:ascii="David" w:hAnsi="David" w:cs="David" w:hint="cs"/>
          <w:sz w:val="24"/>
          <w:szCs w:val="24"/>
          <w:rtl/>
        </w:rPr>
        <w:t>ראמ"ה</w:t>
      </w:r>
      <w:proofErr w:type="spellEnd"/>
      <w:r>
        <w:rPr>
          <w:rFonts w:ascii="David" w:hAnsi="David" w:cs="David" w:hint="cs"/>
          <w:sz w:val="24"/>
          <w:szCs w:val="24"/>
          <w:rtl/>
        </w:rPr>
        <w:t>, 2018). קיימת מגמה של צמצום פערים באנגלית בין שתי האוכלוסיות, אך עדיין נותרו פערים משמעותיים. לצד זאת, ראוי לציין כי קיימים הבדלים ברמת ההישגים בקרב דוברי ערבית בין המגזרים השונים במבחנים במקצועות שונים. כך המגזר הבדואי בדרום בעל רמת ההישגים הנמוכה יותר ואילו המגזר הדרוזי בעל רמת ההישגים הגבוהה ביותר (</w:t>
      </w:r>
      <w:proofErr w:type="spellStart"/>
      <w:r>
        <w:rPr>
          <w:rFonts w:ascii="David" w:hAnsi="David" w:cs="David" w:hint="cs"/>
          <w:sz w:val="24"/>
          <w:szCs w:val="24"/>
          <w:rtl/>
        </w:rPr>
        <w:t>ראמ"ה</w:t>
      </w:r>
      <w:proofErr w:type="spellEnd"/>
      <w:r>
        <w:rPr>
          <w:rFonts w:ascii="David" w:hAnsi="David" w:cs="David" w:hint="cs"/>
          <w:sz w:val="24"/>
          <w:szCs w:val="24"/>
          <w:rtl/>
        </w:rPr>
        <w:t xml:space="preserve">, 2018, 2022א).  </w:t>
      </w:r>
    </w:p>
    <w:p w14:paraId="1BF18AC2" w14:textId="70BFEA46" w:rsidR="00044743" w:rsidRDefault="00044743" w:rsidP="00044743">
      <w:pPr>
        <w:spacing w:before="120" w:after="120" w:line="312" w:lineRule="auto"/>
        <w:rPr>
          <w:rFonts w:ascii="David" w:hAnsi="David" w:cs="David"/>
          <w:sz w:val="24"/>
          <w:szCs w:val="24"/>
          <w:rtl/>
        </w:rPr>
      </w:pPr>
      <w:r>
        <w:rPr>
          <w:rFonts w:ascii="David" w:hAnsi="David" w:cs="David" w:hint="cs"/>
          <w:sz w:val="24"/>
          <w:szCs w:val="24"/>
          <w:rtl/>
        </w:rPr>
        <w:t>רמת ההישגים בבחינות הבגרות מציגה מגמה דומה</w:t>
      </w:r>
      <w:r w:rsidR="00EA4AE9">
        <w:rPr>
          <w:rFonts w:ascii="David" w:hAnsi="David" w:cs="David" w:hint="cs"/>
          <w:sz w:val="24"/>
          <w:szCs w:val="24"/>
          <w:rtl/>
        </w:rPr>
        <w:t xml:space="preserve"> (תרשים 2)</w:t>
      </w:r>
      <w:r>
        <w:rPr>
          <w:rFonts w:ascii="David" w:hAnsi="David" w:cs="David" w:hint="cs"/>
          <w:sz w:val="24"/>
          <w:szCs w:val="24"/>
          <w:rtl/>
        </w:rPr>
        <w:t>. כך אחוז הזכאים בבתי ספר דוברי עברית גבוה יותר מזה של דוברי ערבית</w:t>
      </w:r>
      <w:r w:rsidR="00C17E44">
        <w:rPr>
          <w:rFonts w:ascii="David" w:hAnsi="David" w:cs="David" w:hint="cs"/>
          <w:sz w:val="24"/>
          <w:szCs w:val="24"/>
          <w:rtl/>
        </w:rPr>
        <w:t xml:space="preserve"> (משרד החינוך, 2023)</w:t>
      </w:r>
      <w:r>
        <w:rPr>
          <w:rFonts w:ascii="David" w:hAnsi="David" w:cs="David" w:hint="cs"/>
          <w:sz w:val="24"/>
          <w:szCs w:val="24"/>
          <w:rtl/>
        </w:rPr>
        <w:t xml:space="preserve">. לצד זאת, </w:t>
      </w:r>
      <w:r w:rsidR="00C17E44">
        <w:rPr>
          <w:rFonts w:ascii="David" w:hAnsi="David" w:cs="David" w:hint="cs"/>
          <w:sz w:val="24"/>
          <w:szCs w:val="24"/>
          <w:rtl/>
        </w:rPr>
        <w:t xml:space="preserve">קיימת שונות רבה ברמת ההישגים בקרב אוכלוסייה זו. </w:t>
      </w:r>
      <w:r>
        <w:rPr>
          <w:rFonts w:ascii="David" w:hAnsi="David" w:cs="David" w:hint="cs"/>
          <w:sz w:val="24"/>
          <w:szCs w:val="24"/>
          <w:rtl/>
        </w:rPr>
        <w:t xml:space="preserve">אחוז הזכאים בקרב הלומדים בבתי ספר דרוזים הוא הגבוה ביותר ובקרב הבדואים בנגב הוא </w:t>
      </w:r>
      <w:r w:rsidRPr="00C17E44">
        <w:rPr>
          <w:rFonts w:ascii="David" w:hAnsi="David" w:cs="David" w:hint="cs"/>
          <w:sz w:val="24"/>
          <w:szCs w:val="24"/>
          <w:rtl/>
        </w:rPr>
        <w:t xml:space="preserve">הנמוך ביותר.    </w:t>
      </w:r>
    </w:p>
    <w:p w14:paraId="1C650733" w14:textId="507A7CA0" w:rsidR="00044743" w:rsidRPr="003025C5" w:rsidRDefault="00044743" w:rsidP="00044743">
      <w:pPr>
        <w:pStyle w:val="af2"/>
        <w:spacing w:line="240" w:lineRule="auto"/>
        <w:ind w:left="0" w:firstLine="0"/>
        <w:jc w:val="center"/>
        <w:rPr>
          <w:rFonts w:ascii="David" w:hAnsi="David" w:cs="David"/>
          <w:color w:val="000000" w:themeColor="text1"/>
          <w:sz w:val="24"/>
          <w:szCs w:val="24"/>
          <w:rtl/>
        </w:rPr>
      </w:pPr>
      <w:r w:rsidRPr="00885F5E">
        <w:rPr>
          <w:rFonts w:ascii="David" w:hAnsi="David" w:cs="David"/>
          <w:color w:val="000000" w:themeColor="text1"/>
          <w:sz w:val="24"/>
          <w:szCs w:val="24"/>
          <w:rtl/>
        </w:rPr>
        <w:t xml:space="preserve">תרשים </w:t>
      </w:r>
      <w:r w:rsidR="00710415">
        <w:rPr>
          <w:rFonts w:ascii="David" w:hAnsi="David" w:cs="David" w:hint="cs"/>
          <w:color w:val="000000" w:themeColor="text1"/>
          <w:sz w:val="24"/>
          <w:szCs w:val="24"/>
          <w:rtl/>
        </w:rPr>
        <w:t>2</w:t>
      </w:r>
      <w:r w:rsidRPr="00885F5E">
        <w:rPr>
          <w:rFonts w:ascii="David" w:hAnsi="David" w:cs="David"/>
          <w:color w:val="000000" w:themeColor="text1"/>
          <w:sz w:val="24"/>
          <w:szCs w:val="24"/>
          <w:rtl/>
        </w:rPr>
        <w:t xml:space="preserve">: </w:t>
      </w:r>
      <w:r>
        <w:rPr>
          <w:rFonts w:ascii="David" w:hAnsi="David" w:cs="David" w:hint="cs"/>
          <w:color w:val="000000" w:themeColor="text1"/>
          <w:sz w:val="24"/>
          <w:szCs w:val="24"/>
          <w:rtl/>
        </w:rPr>
        <w:t xml:space="preserve">אחוז הזכאים לתעודת בגרות בתוך הלומדים בכיתה </w:t>
      </w:r>
      <w:proofErr w:type="spellStart"/>
      <w:r>
        <w:rPr>
          <w:rFonts w:ascii="David" w:hAnsi="David" w:cs="David" w:hint="cs"/>
          <w:color w:val="000000" w:themeColor="text1"/>
          <w:sz w:val="24"/>
          <w:szCs w:val="24"/>
          <w:rtl/>
        </w:rPr>
        <w:t>יב</w:t>
      </w:r>
      <w:proofErr w:type="spellEnd"/>
      <w:r>
        <w:rPr>
          <w:rFonts w:ascii="David" w:hAnsi="David" w:cs="David" w:hint="cs"/>
          <w:color w:val="000000" w:themeColor="text1"/>
          <w:sz w:val="24"/>
          <w:szCs w:val="24"/>
          <w:rtl/>
        </w:rPr>
        <w:t>'* בשנים תשע"א-תשפ"א</w:t>
      </w:r>
    </w:p>
    <w:p w14:paraId="6AD1F762" w14:textId="77777777" w:rsidR="00044743" w:rsidRPr="00377A61" w:rsidRDefault="00044743" w:rsidP="00044743">
      <w:pPr>
        <w:spacing w:before="120" w:after="120" w:line="312" w:lineRule="auto"/>
        <w:rPr>
          <w:rFonts w:ascii="David" w:hAnsi="David" w:cs="David"/>
          <w:sz w:val="24"/>
          <w:szCs w:val="24"/>
          <w:rtl/>
        </w:rPr>
      </w:pPr>
      <w:r w:rsidRPr="003025C5">
        <w:rPr>
          <w:rFonts w:ascii="David" w:hAnsi="David" w:cs="David"/>
          <w:noProof/>
          <w:sz w:val="24"/>
          <w:szCs w:val="24"/>
          <w:rtl/>
        </w:rPr>
        <w:drawing>
          <wp:inline distT="0" distB="0" distL="0" distR="0" wp14:anchorId="634D8FE3" wp14:editId="3195DC18">
            <wp:extent cx="5201681" cy="2938391"/>
            <wp:effectExtent l="19050" t="19050" r="18415" b="14605"/>
            <wp:docPr id="166668876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688763" name=""/>
                    <pic:cNvPicPr/>
                  </pic:nvPicPr>
                  <pic:blipFill rotWithShape="1">
                    <a:blip r:embed="rId12"/>
                    <a:srcRect l="39340" t="58703" r="-1"/>
                    <a:stretch/>
                  </pic:blipFill>
                  <pic:spPr bwMode="auto">
                    <a:xfrm>
                      <a:off x="0" y="0"/>
                      <a:ext cx="5226845" cy="2952606"/>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40C4BDD" w14:textId="77777777" w:rsidR="00044743" w:rsidRDefault="00044743" w:rsidP="00044743">
      <w:pPr>
        <w:spacing w:after="0" w:line="240" w:lineRule="auto"/>
        <w:rPr>
          <w:rFonts w:ascii="David" w:hAnsi="David" w:cs="David"/>
          <w:sz w:val="20"/>
          <w:szCs w:val="20"/>
          <w:rtl/>
        </w:rPr>
      </w:pPr>
      <w:r>
        <w:rPr>
          <w:rFonts w:ascii="David" w:hAnsi="David" w:cs="David" w:hint="cs"/>
          <w:sz w:val="20"/>
          <w:szCs w:val="20"/>
          <w:rtl/>
        </w:rPr>
        <w:t xml:space="preserve">* מוסדות מגישים לבגרות, כולל נבחני הקיץ ונבחני מועד ב', למעט שנת תשפ"א. </w:t>
      </w:r>
    </w:p>
    <w:p w14:paraId="36C70812" w14:textId="77777777" w:rsidR="00044743" w:rsidRDefault="00044743" w:rsidP="00044743">
      <w:pPr>
        <w:spacing w:after="0" w:line="240" w:lineRule="auto"/>
        <w:rPr>
          <w:rFonts w:ascii="David" w:hAnsi="David" w:cs="David"/>
          <w:sz w:val="20"/>
          <w:szCs w:val="20"/>
          <w:rtl/>
        </w:rPr>
      </w:pPr>
      <w:r>
        <w:rPr>
          <w:rFonts w:ascii="David" w:hAnsi="David" w:cs="David" w:hint="cs"/>
          <w:sz w:val="20"/>
          <w:szCs w:val="20"/>
          <w:rtl/>
        </w:rPr>
        <w:t>** החינוך בבתי ספר דוברי עברית כולל פיקוח חרדי. (בשנת תשפ"א היו 13,773 חרדים הלומדים בכיתה י"ב במוסדות מגישים לבגרות.</w:t>
      </w:r>
    </w:p>
    <w:p w14:paraId="0C8D6984" w14:textId="77777777" w:rsidR="00044743" w:rsidRDefault="00044743" w:rsidP="00044743">
      <w:pPr>
        <w:spacing w:after="0" w:line="240" w:lineRule="auto"/>
        <w:rPr>
          <w:rFonts w:ascii="David" w:hAnsi="David" w:cs="David"/>
          <w:sz w:val="20"/>
          <w:szCs w:val="20"/>
          <w:rtl/>
        </w:rPr>
      </w:pPr>
      <w:r>
        <w:rPr>
          <w:rFonts w:ascii="David" w:hAnsi="David" w:cs="David" w:hint="cs"/>
          <w:sz w:val="20"/>
          <w:szCs w:val="20"/>
          <w:rtl/>
        </w:rPr>
        <w:t xml:space="preserve">*** החישוב בחינוך דוברי הערבית לא כולל את מזרח ירושלים. בשנת תשפ"א היו 1,256 תלמידים בכיתה י"ב במוסדות מגישים לבגרות במזרח ירושלים. </w:t>
      </w:r>
    </w:p>
    <w:p w14:paraId="2815B1AA" w14:textId="77777777" w:rsidR="00044743" w:rsidRPr="00E10281" w:rsidRDefault="00044743" w:rsidP="00044743">
      <w:pPr>
        <w:spacing w:after="0" w:line="240" w:lineRule="auto"/>
        <w:rPr>
          <w:rFonts w:ascii="David" w:hAnsi="David" w:cs="David"/>
          <w:sz w:val="20"/>
          <w:szCs w:val="20"/>
          <w:rtl/>
        </w:rPr>
      </w:pPr>
      <w:r>
        <w:rPr>
          <w:rFonts w:ascii="David" w:hAnsi="David" w:cs="David" w:hint="cs"/>
          <w:sz w:val="20"/>
          <w:szCs w:val="20"/>
          <w:rtl/>
        </w:rPr>
        <w:t xml:space="preserve">מקור: משרד החינוך (2023). </w:t>
      </w:r>
      <w:r>
        <w:rPr>
          <w:rFonts w:ascii="David" w:hAnsi="David" w:cs="David" w:hint="cs"/>
          <w:b/>
          <w:bCs/>
          <w:sz w:val="20"/>
          <w:szCs w:val="20"/>
          <w:rtl/>
        </w:rPr>
        <w:t xml:space="preserve">התפתחות מערכת החינוך. עובדות ונתונים תשפ"ג. </w:t>
      </w:r>
      <w:r>
        <w:rPr>
          <w:rFonts w:ascii="David" w:hAnsi="David" w:cs="David" w:hint="cs"/>
          <w:sz w:val="20"/>
          <w:szCs w:val="20"/>
          <w:rtl/>
        </w:rPr>
        <w:t xml:space="preserve">המנהל לכלכלה ותקציבים, משרד החינוך. </w:t>
      </w:r>
    </w:p>
    <w:p w14:paraId="636E5CF8" w14:textId="77777777" w:rsidR="00044743" w:rsidRDefault="00044743" w:rsidP="00806581">
      <w:pPr>
        <w:spacing w:before="120" w:after="120" w:line="312" w:lineRule="auto"/>
        <w:rPr>
          <w:rFonts w:ascii="David" w:hAnsi="David" w:cs="David"/>
          <w:sz w:val="24"/>
          <w:szCs w:val="24"/>
          <w:rtl/>
        </w:rPr>
      </w:pPr>
    </w:p>
    <w:p w14:paraId="22EB97CB" w14:textId="031ED010" w:rsidR="00A1090A" w:rsidRDefault="00CF4FAF" w:rsidP="00806581">
      <w:pPr>
        <w:spacing w:before="120" w:after="120" w:line="312" w:lineRule="auto"/>
        <w:rPr>
          <w:rFonts w:ascii="David" w:hAnsi="David" w:cs="David"/>
          <w:sz w:val="24"/>
          <w:szCs w:val="24"/>
          <w:rtl/>
        </w:rPr>
      </w:pPr>
      <w:r>
        <w:rPr>
          <w:rFonts w:ascii="David" w:hAnsi="David" w:cs="David" w:hint="cs"/>
          <w:b/>
          <w:bCs/>
          <w:sz w:val="24"/>
          <w:szCs w:val="24"/>
          <w:rtl/>
        </w:rPr>
        <w:t xml:space="preserve">רקע חברתי-כלכלי: </w:t>
      </w:r>
      <w:r w:rsidR="003A7F2F">
        <w:rPr>
          <w:rFonts w:ascii="David" w:hAnsi="David" w:cs="David" w:hint="cs"/>
          <w:sz w:val="24"/>
          <w:szCs w:val="24"/>
          <w:rtl/>
        </w:rPr>
        <w:t>תלמידים מ</w:t>
      </w:r>
      <w:r w:rsidR="00524A2C">
        <w:rPr>
          <w:rFonts w:ascii="David" w:hAnsi="David" w:cs="David" w:hint="cs"/>
          <w:sz w:val="24"/>
          <w:szCs w:val="24"/>
          <w:rtl/>
        </w:rPr>
        <w:t xml:space="preserve">רקע חברתי-כלכלי גבוה בעלי </w:t>
      </w:r>
      <w:r w:rsidR="00912A7A">
        <w:rPr>
          <w:rFonts w:ascii="David" w:hAnsi="David" w:cs="David" w:hint="cs"/>
          <w:sz w:val="24"/>
          <w:szCs w:val="24"/>
          <w:rtl/>
        </w:rPr>
        <w:t>רמת הישגים גבוהה יותר</w:t>
      </w:r>
      <w:r w:rsidR="00524A2C">
        <w:rPr>
          <w:rFonts w:ascii="David" w:hAnsi="David" w:cs="David" w:hint="cs"/>
          <w:sz w:val="24"/>
          <w:szCs w:val="24"/>
          <w:rtl/>
        </w:rPr>
        <w:t xml:space="preserve"> מ</w:t>
      </w:r>
      <w:r w:rsidR="00BB2662">
        <w:rPr>
          <w:rFonts w:ascii="David" w:hAnsi="David" w:cs="David" w:hint="cs"/>
          <w:sz w:val="24"/>
          <w:szCs w:val="24"/>
          <w:rtl/>
        </w:rPr>
        <w:t xml:space="preserve">זו של </w:t>
      </w:r>
      <w:r w:rsidR="00524A2C">
        <w:rPr>
          <w:rFonts w:ascii="David" w:hAnsi="David" w:cs="David" w:hint="cs"/>
          <w:sz w:val="24"/>
          <w:szCs w:val="24"/>
          <w:rtl/>
        </w:rPr>
        <w:t xml:space="preserve">תלמידים </w:t>
      </w:r>
      <w:r w:rsidR="003A7F2F">
        <w:rPr>
          <w:rFonts w:ascii="David" w:hAnsi="David" w:cs="David" w:hint="cs"/>
          <w:sz w:val="24"/>
          <w:szCs w:val="24"/>
          <w:rtl/>
        </w:rPr>
        <w:t>מ</w:t>
      </w:r>
      <w:r w:rsidR="00524A2C">
        <w:rPr>
          <w:rFonts w:ascii="David" w:hAnsi="David" w:cs="David" w:hint="cs"/>
          <w:sz w:val="24"/>
          <w:szCs w:val="24"/>
          <w:rtl/>
        </w:rPr>
        <w:t xml:space="preserve">רקע חברתי-כלכלי נמוך. </w:t>
      </w:r>
      <w:r w:rsidR="00280EA4">
        <w:rPr>
          <w:rFonts w:ascii="David" w:hAnsi="David" w:cs="David" w:hint="cs"/>
          <w:sz w:val="24"/>
          <w:szCs w:val="24"/>
          <w:rtl/>
        </w:rPr>
        <w:t xml:space="preserve">כך לדוגמה, </w:t>
      </w:r>
      <w:r w:rsidR="00BB2662">
        <w:rPr>
          <w:rFonts w:ascii="David" w:hAnsi="David" w:cs="David" w:hint="cs"/>
          <w:sz w:val="24"/>
          <w:szCs w:val="24"/>
          <w:rtl/>
        </w:rPr>
        <w:t xml:space="preserve">קיימים פערים בין שתי הקבוצות </w:t>
      </w:r>
      <w:r w:rsidR="009C696A">
        <w:rPr>
          <w:rFonts w:ascii="David" w:hAnsi="David" w:cs="David" w:hint="cs"/>
          <w:sz w:val="24"/>
          <w:szCs w:val="24"/>
          <w:rtl/>
        </w:rPr>
        <w:t>ברמת ההישגים של תלמידים במבחני שפת האם בשנת תשע"ב</w:t>
      </w:r>
      <w:r w:rsidR="00AA334D">
        <w:rPr>
          <w:rFonts w:ascii="David" w:hAnsi="David" w:cs="David" w:hint="cs"/>
          <w:sz w:val="24"/>
          <w:szCs w:val="24"/>
          <w:rtl/>
        </w:rPr>
        <w:t xml:space="preserve"> (תרשים </w:t>
      </w:r>
      <w:r w:rsidR="00AB5B27">
        <w:rPr>
          <w:rFonts w:ascii="David" w:hAnsi="David" w:cs="David" w:hint="cs"/>
          <w:sz w:val="24"/>
          <w:szCs w:val="24"/>
          <w:rtl/>
        </w:rPr>
        <w:t>3</w:t>
      </w:r>
      <w:r w:rsidR="00AA334D">
        <w:rPr>
          <w:rFonts w:ascii="David" w:hAnsi="David" w:cs="David" w:hint="cs"/>
          <w:sz w:val="24"/>
          <w:szCs w:val="24"/>
          <w:rtl/>
        </w:rPr>
        <w:t xml:space="preserve">, </w:t>
      </w:r>
      <w:proofErr w:type="spellStart"/>
      <w:r w:rsidR="00AA334D">
        <w:rPr>
          <w:rFonts w:ascii="David" w:hAnsi="David" w:cs="David" w:hint="cs"/>
          <w:sz w:val="24"/>
          <w:szCs w:val="24"/>
          <w:rtl/>
        </w:rPr>
        <w:t>ראמ"ה</w:t>
      </w:r>
      <w:proofErr w:type="spellEnd"/>
      <w:r w:rsidR="00AA334D">
        <w:rPr>
          <w:rFonts w:ascii="David" w:hAnsi="David" w:cs="David" w:hint="cs"/>
          <w:sz w:val="24"/>
          <w:szCs w:val="24"/>
          <w:rtl/>
        </w:rPr>
        <w:t>, 2020)</w:t>
      </w:r>
      <w:r w:rsidR="009C696A">
        <w:rPr>
          <w:rFonts w:ascii="David" w:hAnsi="David" w:cs="David" w:hint="cs"/>
          <w:sz w:val="24"/>
          <w:szCs w:val="24"/>
          <w:rtl/>
        </w:rPr>
        <w:t xml:space="preserve">. </w:t>
      </w:r>
      <w:r w:rsidR="00524A2C">
        <w:rPr>
          <w:rFonts w:ascii="David" w:hAnsi="David" w:cs="David" w:hint="cs"/>
          <w:sz w:val="24"/>
          <w:szCs w:val="24"/>
          <w:rtl/>
        </w:rPr>
        <w:t>מגמה זו קיימת ב</w:t>
      </w:r>
      <w:r w:rsidR="00575479">
        <w:rPr>
          <w:rFonts w:ascii="David" w:hAnsi="David" w:cs="David" w:hint="cs"/>
          <w:sz w:val="24"/>
          <w:szCs w:val="24"/>
          <w:rtl/>
        </w:rPr>
        <w:t>רמת ההישגים במגוון מבחני הישגים במקצועות ובדרגות כיתה שונות</w:t>
      </w:r>
      <w:r w:rsidR="008B07A2">
        <w:rPr>
          <w:rFonts w:ascii="David" w:hAnsi="David" w:cs="David" w:hint="cs"/>
          <w:sz w:val="24"/>
          <w:szCs w:val="24"/>
          <w:rtl/>
        </w:rPr>
        <w:t xml:space="preserve"> (</w:t>
      </w:r>
      <w:proofErr w:type="spellStart"/>
      <w:r w:rsidR="008B07A2">
        <w:rPr>
          <w:rFonts w:ascii="David" w:hAnsi="David" w:cs="David" w:hint="cs"/>
          <w:sz w:val="24"/>
          <w:szCs w:val="24"/>
          <w:rtl/>
        </w:rPr>
        <w:t>רא</w:t>
      </w:r>
      <w:r w:rsidR="002C4A82">
        <w:rPr>
          <w:rFonts w:ascii="David" w:hAnsi="David" w:cs="David" w:hint="cs"/>
          <w:sz w:val="24"/>
          <w:szCs w:val="24"/>
          <w:rtl/>
        </w:rPr>
        <w:t>מ"ה</w:t>
      </w:r>
      <w:proofErr w:type="spellEnd"/>
      <w:r w:rsidR="002C4A82">
        <w:rPr>
          <w:rFonts w:ascii="David" w:hAnsi="David" w:cs="David" w:hint="cs"/>
          <w:sz w:val="24"/>
          <w:szCs w:val="24"/>
          <w:rtl/>
        </w:rPr>
        <w:t>, 2022א)</w:t>
      </w:r>
      <w:r w:rsidR="00575479">
        <w:rPr>
          <w:rFonts w:ascii="David" w:hAnsi="David" w:cs="David" w:hint="cs"/>
          <w:sz w:val="24"/>
          <w:szCs w:val="24"/>
          <w:rtl/>
        </w:rPr>
        <w:t xml:space="preserve">. </w:t>
      </w:r>
      <w:r w:rsidR="00AE3CEB">
        <w:rPr>
          <w:rFonts w:ascii="David" w:hAnsi="David" w:cs="David" w:hint="cs"/>
          <w:sz w:val="24"/>
          <w:szCs w:val="24"/>
          <w:rtl/>
        </w:rPr>
        <w:t xml:space="preserve">ראוי לסייג ולומר כי </w:t>
      </w:r>
      <w:r w:rsidR="005D22F8">
        <w:rPr>
          <w:rFonts w:ascii="David" w:hAnsi="David" w:cs="David" w:hint="cs"/>
          <w:sz w:val="24"/>
          <w:szCs w:val="24"/>
          <w:rtl/>
        </w:rPr>
        <w:t xml:space="preserve">בקרב דוברי ערבית, </w:t>
      </w:r>
      <w:r w:rsidR="005D0258">
        <w:rPr>
          <w:rFonts w:ascii="David" w:hAnsi="David" w:cs="David" w:hint="cs"/>
          <w:sz w:val="24"/>
          <w:szCs w:val="24"/>
          <w:rtl/>
        </w:rPr>
        <w:t>לא קיימים הבדלים משמעותיים ברמת ההישגים של בעלי רקע חברתי-כלכלי גבוה ובינוני</w:t>
      </w:r>
      <w:r w:rsidR="00CA0632">
        <w:rPr>
          <w:rFonts w:ascii="David" w:hAnsi="David" w:cs="David" w:hint="cs"/>
          <w:sz w:val="24"/>
          <w:szCs w:val="24"/>
          <w:rtl/>
        </w:rPr>
        <w:t xml:space="preserve"> </w:t>
      </w:r>
      <w:r w:rsidR="00406604">
        <w:rPr>
          <w:rFonts w:ascii="David" w:hAnsi="David" w:cs="David" w:hint="cs"/>
          <w:sz w:val="24"/>
          <w:szCs w:val="24"/>
          <w:rtl/>
        </w:rPr>
        <w:t>(</w:t>
      </w:r>
      <w:proofErr w:type="spellStart"/>
      <w:r w:rsidR="00406604">
        <w:rPr>
          <w:rFonts w:ascii="David" w:hAnsi="David" w:cs="David" w:hint="cs"/>
          <w:sz w:val="24"/>
          <w:szCs w:val="24"/>
          <w:rtl/>
        </w:rPr>
        <w:t>ראמ"ה</w:t>
      </w:r>
      <w:proofErr w:type="spellEnd"/>
      <w:r w:rsidR="00406604">
        <w:rPr>
          <w:rFonts w:ascii="David" w:hAnsi="David" w:cs="David" w:hint="cs"/>
          <w:sz w:val="24"/>
          <w:szCs w:val="24"/>
          <w:rtl/>
        </w:rPr>
        <w:t>, 2018</w:t>
      </w:r>
      <w:r w:rsidR="00C62A2A">
        <w:rPr>
          <w:rFonts w:ascii="David" w:hAnsi="David" w:cs="David" w:hint="cs"/>
          <w:sz w:val="24"/>
          <w:szCs w:val="24"/>
          <w:rtl/>
        </w:rPr>
        <w:t>; 2022א</w:t>
      </w:r>
      <w:r w:rsidR="00406604">
        <w:rPr>
          <w:rFonts w:ascii="David" w:hAnsi="David" w:cs="David" w:hint="cs"/>
          <w:sz w:val="24"/>
          <w:szCs w:val="24"/>
          <w:rtl/>
        </w:rPr>
        <w:t xml:space="preserve">) </w:t>
      </w:r>
      <w:r w:rsidR="00E82D93">
        <w:rPr>
          <w:rFonts w:ascii="David" w:hAnsi="David" w:cs="David" w:hint="cs"/>
          <w:sz w:val="24"/>
          <w:szCs w:val="24"/>
          <w:rtl/>
        </w:rPr>
        <w:t>ובחלק מה</w:t>
      </w:r>
      <w:r w:rsidR="00383BCD">
        <w:rPr>
          <w:rFonts w:ascii="David" w:hAnsi="David" w:cs="David" w:hint="cs"/>
          <w:sz w:val="24"/>
          <w:szCs w:val="24"/>
          <w:rtl/>
        </w:rPr>
        <w:t xml:space="preserve">מבחנים לא קיים ייצוג הולם לתלמידים </w:t>
      </w:r>
      <w:r w:rsidR="00C62A2A">
        <w:rPr>
          <w:rFonts w:ascii="David" w:hAnsi="David" w:cs="David" w:hint="cs"/>
          <w:sz w:val="24"/>
          <w:szCs w:val="24"/>
          <w:rtl/>
        </w:rPr>
        <w:t xml:space="preserve">דוברי ערבית </w:t>
      </w:r>
      <w:r w:rsidR="00383BCD">
        <w:rPr>
          <w:rFonts w:ascii="David" w:hAnsi="David" w:cs="David" w:hint="cs"/>
          <w:sz w:val="24"/>
          <w:szCs w:val="24"/>
          <w:rtl/>
        </w:rPr>
        <w:t>בעלי רקע חברתי-כלכלי גבוה</w:t>
      </w:r>
      <w:r w:rsidR="00341E3F">
        <w:rPr>
          <w:rFonts w:ascii="David" w:hAnsi="David" w:cs="David" w:hint="cs"/>
          <w:sz w:val="24"/>
          <w:szCs w:val="24"/>
          <w:rtl/>
        </w:rPr>
        <w:t xml:space="preserve"> </w:t>
      </w:r>
      <w:r w:rsidR="009560B2">
        <w:rPr>
          <w:rFonts w:ascii="David" w:hAnsi="David" w:cs="David" w:hint="cs"/>
          <w:sz w:val="24"/>
          <w:szCs w:val="24"/>
          <w:rtl/>
        </w:rPr>
        <w:t>(</w:t>
      </w:r>
      <w:proofErr w:type="spellStart"/>
      <w:r w:rsidR="009560B2">
        <w:rPr>
          <w:rFonts w:ascii="David" w:hAnsi="David" w:cs="David" w:hint="cs"/>
          <w:sz w:val="24"/>
          <w:szCs w:val="24"/>
          <w:rtl/>
        </w:rPr>
        <w:t>ראמ"ה</w:t>
      </w:r>
      <w:proofErr w:type="spellEnd"/>
      <w:r w:rsidR="009560B2">
        <w:rPr>
          <w:rFonts w:ascii="David" w:hAnsi="David" w:cs="David" w:hint="cs"/>
          <w:sz w:val="24"/>
          <w:szCs w:val="24"/>
          <w:rtl/>
        </w:rPr>
        <w:t xml:space="preserve">, 2020; </w:t>
      </w:r>
      <w:r w:rsidR="005D0258">
        <w:rPr>
          <w:rFonts w:ascii="David" w:hAnsi="David" w:cs="David" w:hint="cs"/>
          <w:sz w:val="24"/>
          <w:szCs w:val="24"/>
          <w:rtl/>
        </w:rPr>
        <w:t xml:space="preserve">. </w:t>
      </w:r>
    </w:p>
    <w:p w14:paraId="3C6029C7" w14:textId="77777777" w:rsidR="00230F34" w:rsidRPr="00030236" w:rsidRDefault="00230F34" w:rsidP="00230F34">
      <w:pPr>
        <w:spacing w:before="120" w:after="120" w:line="312" w:lineRule="auto"/>
        <w:rPr>
          <w:rFonts w:ascii="David" w:hAnsi="David" w:cs="David"/>
          <w:sz w:val="24"/>
          <w:szCs w:val="24"/>
          <w:rtl/>
        </w:rPr>
      </w:pPr>
      <w:bookmarkStart w:id="2" w:name="_Toc104790859"/>
      <w:r w:rsidRPr="00030236">
        <w:rPr>
          <w:rFonts w:ascii="David" w:hAnsi="David" w:cs="David" w:hint="cs"/>
          <w:b/>
          <w:bCs/>
          <w:sz w:val="24"/>
          <w:szCs w:val="24"/>
          <w:rtl/>
        </w:rPr>
        <w:t xml:space="preserve">מגדר: </w:t>
      </w:r>
      <w:r w:rsidRPr="00030236">
        <w:rPr>
          <w:rFonts w:ascii="David" w:hAnsi="David" w:cs="David" w:hint="cs"/>
          <w:sz w:val="24"/>
          <w:szCs w:val="24"/>
          <w:rtl/>
        </w:rPr>
        <w:t xml:space="preserve">רמת ההישגים של בנות גבוהה מזו של הבנים ברוב מבחני ההישגים, כפי שבא לידי ביטוי גם במבחנים בעברית בכיתה ד' (תרשים 3, </w:t>
      </w:r>
      <w:proofErr w:type="spellStart"/>
      <w:r w:rsidRPr="00030236">
        <w:rPr>
          <w:rFonts w:ascii="David" w:hAnsi="David" w:cs="David" w:hint="cs"/>
          <w:sz w:val="24"/>
          <w:szCs w:val="24"/>
          <w:rtl/>
        </w:rPr>
        <w:t>ראמ"ה</w:t>
      </w:r>
      <w:proofErr w:type="spellEnd"/>
      <w:r w:rsidRPr="00030236">
        <w:rPr>
          <w:rFonts w:ascii="David" w:hAnsi="David" w:cs="David" w:hint="cs"/>
          <w:sz w:val="24"/>
          <w:szCs w:val="24"/>
          <w:rtl/>
        </w:rPr>
        <w:t xml:space="preserve">, 2022א). לצד זאת, במבחנים במתמטיקה </w:t>
      </w:r>
      <w:r w:rsidRPr="00030236">
        <w:rPr>
          <w:rFonts w:ascii="David" w:hAnsi="David" w:cs="David" w:hint="cs"/>
          <w:sz w:val="24"/>
          <w:szCs w:val="24"/>
          <w:rtl/>
        </w:rPr>
        <w:lastRenderedPageBreak/>
        <w:t xml:space="preserve">ובמדעים, כמו במבחני </w:t>
      </w:r>
      <w:proofErr w:type="spellStart"/>
      <w:r w:rsidRPr="00030236">
        <w:rPr>
          <w:rFonts w:ascii="David" w:hAnsi="David" w:cs="David" w:hint="cs"/>
          <w:sz w:val="24"/>
          <w:szCs w:val="24"/>
          <w:rtl/>
        </w:rPr>
        <w:t>טימס</w:t>
      </w:r>
      <w:proofErr w:type="spellEnd"/>
      <w:r w:rsidRPr="00030236">
        <w:rPr>
          <w:rFonts w:ascii="David" w:hAnsi="David" w:cs="David" w:hint="cs"/>
          <w:sz w:val="24"/>
          <w:szCs w:val="24"/>
          <w:rtl/>
        </w:rPr>
        <w:t xml:space="preserve"> (</w:t>
      </w:r>
      <w:r w:rsidRPr="00030236">
        <w:rPr>
          <w:rFonts w:ascii="David" w:hAnsi="David" w:cs="David"/>
          <w:sz w:val="24"/>
          <w:szCs w:val="24"/>
        </w:rPr>
        <w:t>(TIMSS</w:t>
      </w:r>
      <w:r w:rsidRPr="00030236">
        <w:rPr>
          <w:rFonts w:ascii="David" w:hAnsi="David" w:cs="David" w:hint="cs"/>
          <w:sz w:val="24"/>
          <w:szCs w:val="24"/>
          <w:rtl/>
        </w:rPr>
        <w:t>, רמת ההישגים של בנים גבוהה מזו של הבנות. מגמה זו אינה עקבית ולעיתים הפוכה בקרב תלמידים בבתי ספר דוברי ערבית (</w:t>
      </w:r>
      <w:proofErr w:type="spellStart"/>
      <w:r w:rsidRPr="00030236">
        <w:rPr>
          <w:rFonts w:ascii="David" w:hAnsi="David" w:cs="David" w:hint="cs"/>
          <w:sz w:val="24"/>
          <w:szCs w:val="24"/>
          <w:rtl/>
        </w:rPr>
        <w:t>ראמ"ה</w:t>
      </w:r>
      <w:proofErr w:type="spellEnd"/>
      <w:r w:rsidRPr="00030236">
        <w:rPr>
          <w:rFonts w:ascii="David" w:hAnsi="David" w:cs="David" w:hint="cs"/>
          <w:sz w:val="24"/>
          <w:szCs w:val="24"/>
          <w:rtl/>
        </w:rPr>
        <w:t xml:space="preserve">, 2019, 2022א). </w:t>
      </w:r>
    </w:p>
    <w:p w14:paraId="7144637C" w14:textId="6056EF8E" w:rsidR="00873FDE" w:rsidRPr="00885F5E" w:rsidRDefault="00873FDE" w:rsidP="00873FDE">
      <w:pPr>
        <w:pStyle w:val="af2"/>
        <w:spacing w:line="240" w:lineRule="auto"/>
        <w:ind w:left="0" w:firstLine="0"/>
        <w:jc w:val="center"/>
        <w:rPr>
          <w:rFonts w:ascii="David" w:hAnsi="David" w:cs="David"/>
          <w:color w:val="000000" w:themeColor="text1"/>
          <w:sz w:val="24"/>
          <w:szCs w:val="24"/>
        </w:rPr>
      </w:pPr>
      <w:r w:rsidRPr="00885F5E">
        <w:rPr>
          <w:rFonts w:ascii="David" w:hAnsi="David" w:cs="David"/>
          <w:color w:val="000000" w:themeColor="text1"/>
          <w:sz w:val="24"/>
          <w:szCs w:val="24"/>
          <w:rtl/>
        </w:rPr>
        <w:t>תרשים</w:t>
      </w:r>
      <w:r w:rsidR="00885F5E" w:rsidRPr="00885F5E">
        <w:rPr>
          <w:rFonts w:ascii="David" w:hAnsi="David" w:cs="David"/>
          <w:color w:val="000000" w:themeColor="text1"/>
          <w:sz w:val="24"/>
          <w:szCs w:val="24"/>
          <w:rtl/>
        </w:rPr>
        <w:t xml:space="preserve"> </w:t>
      </w:r>
      <w:r w:rsidR="00230F34">
        <w:rPr>
          <w:rFonts w:ascii="David" w:hAnsi="David" w:cs="David" w:hint="cs"/>
          <w:color w:val="000000" w:themeColor="text1"/>
          <w:sz w:val="24"/>
          <w:szCs w:val="24"/>
          <w:rtl/>
        </w:rPr>
        <w:t>3</w:t>
      </w:r>
      <w:r w:rsidRPr="00885F5E">
        <w:rPr>
          <w:rFonts w:ascii="David" w:hAnsi="David" w:cs="David"/>
          <w:color w:val="000000" w:themeColor="text1"/>
          <w:sz w:val="24"/>
          <w:szCs w:val="24"/>
          <w:rtl/>
        </w:rPr>
        <w:t xml:space="preserve">: ממוצע הציון הכולל בעברית של כלל התלמידים דוברי העברית ובחלוקה לפי רקע חברתי-כלכלי </w:t>
      </w:r>
      <w:r w:rsidR="006648C6">
        <w:rPr>
          <w:rFonts w:ascii="David" w:hAnsi="David" w:cs="David" w:hint="cs"/>
          <w:color w:val="000000" w:themeColor="text1"/>
          <w:sz w:val="24"/>
          <w:szCs w:val="24"/>
          <w:rtl/>
        </w:rPr>
        <w:t>ו</w:t>
      </w:r>
      <w:r w:rsidRPr="00885F5E">
        <w:rPr>
          <w:rFonts w:ascii="David" w:hAnsi="David" w:cs="David"/>
          <w:color w:val="000000" w:themeColor="text1"/>
          <w:sz w:val="24"/>
          <w:szCs w:val="24"/>
          <w:rtl/>
        </w:rPr>
        <w:t>מגדר</w:t>
      </w:r>
      <w:bookmarkEnd w:id="2"/>
    </w:p>
    <w:p w14:paraId="67A97FF5" w14:textId="77777777" w:rsidR="00873FDE" w:rsidRPr="00AA334D" w:rsidRDefault="00873FDE" w:rsidP="00885F5E">
      <w:pPr>
        <w:pStyle w:val="af2"/>
        <w:spacing w:line="240" w:lineRule="auto"/>
        <w:rPr>
          <w:rFonts w:ascii="David" w:hAnsi="David" w:cs="David"/>
          <w:color w:val="000000" w:themeColor="text1"/>
          <w:sz w:val="24"/>
          <w:szCs w:val="24"/>
          <w:rtl/>
        </w:rPr>
      </w:pPr>
    </w:p>
    <w:tbl>
      <w:tblPr>
        <w:tblStyle w:val="af3"/>
        <w:bidiVisual/>
        <w:tblW w:w="854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8"/>
      </w:tblGrid>
      <w:tr w:rsidR="00873FDE" w14:paraId="2525F4ED" w14:textId="77777777" w:rsidTr="00DD1F4F">
        <w:trPr>
          <w:trHeight w:val="143"/>
          <w:jc w:val="center"/>
        </w:trPr>
        <w:tc>
          <w:tcPr>
            <w:tcW w:w="8548" w:type="dxa"/>
            <w:vAlign w:val="center"/>
            <w:hideMark/>
          </w:tcPr>
          <w:p w14:paraId="6C9EDA34" w14:textId="77777777" w:rsidR="00873FDE" w:rsidRDefault="00873FDE">
            <w:pPr>
              <w:jc w:val="center"/>
              <w:rPr>
                <w:rFonts w:ascii="Calibri" w:hAnsi="Calibri" w:cs="Calibri"/>
                <w:b/>
                <w:bCs/>
                <w:rtl/>
              </w:rPr>
            </w:pPr>
            <w:r>
              <w:rPr>
                <w:rFonts w:ascii="Calibri" w:hAnsi="Calibri" w:cs="Calibri" w:hint="cs"/>
                <w:b/>
                <w:bCs/>
                <w:rtl/>
              </w:rPr>
              <w:t>כלל התלמידים דוברי עברית</w:t>
            </w:r>
          </w:p>
        </w:tc>
      </w:tr>
      <w:tr w:rsidR="00873FDE" w14:paraId="6575A660" w14:textId="77777777" w:rsidTr="00DD1F4F">
        <w:trPr>
          <w:trHeight w:val="280"/>
          <w:jc w:val="center"/>
        </w:trPr>
        <w:tc>
          <w:tcPr>
            <w:tcW w:w="8548" w:type="dxa"/>
            <w:hideMark/>
          </w:tcPr>
          <w:p w14:paraId="3C3201A3" w14:textId="74AD7C78" w:rsidR="00873FDE" w:rsidRDefault="00873FDE">
            <w:pPr>
              <w:rPr>
                <w:rtl/>
              </w:rPr>
            </w:pPr>
            <w:bookmarkStart w:id="3" w:name="MP_GRAPH_t2a1_Ta_H4_G"/>
            <w:r>
              <w:rPr>
                <w:noProof/>
                <w:lang w:val="he-IL"/>
              </w:rPr>
              <w:drawing>
                <wp:inline distT="0" distB="0" distL="0" distR="0" wp14:anchorId="5F239596" wp14:editId="63BA1466">
                  <wp:extent cx="5165090" cy="397510"/>
                  <wp:effectExtent l="0" t="0" r="0" b="2540"/>
                  <wp:docPr id="580"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3"/>
          </w:p>
        </w:tc>
      </w:tr>
      <w:tr w:rsidR="00873FDE" w14:paraId="6049847A" w14:textId="77777777" w:rsidTr="00DD1F4F">
        <w:trPr>
          <w:trHeight w:val="143"/>
          <w:jc w:val="center"/>
        </w:trPr>
        <w:tc>
          <w:tcPr>
            <w:tcW w:w="8548" w:type="dxa"/>
            <w:vAlign w:val="center"/>
            <w:hideMark/>
          </w:tcPr>
          <w:p w14:paraId="6D7C9ABF" w14:textId="77777777" w:rsidR="00873FDE" w:rsidRDefault="00873FDE">
            <w:pPr>
              <w:jc w:val="center"/>
              <w:rPr>
                <w:b/>
                <w:bCs/>
                <w:rtl/>
              </w:rPr>
            </w:pPr>
            <w:r>
              <w:rPr>
                <w:rtl/>
              </w:rPr>
              <w:br w:type="page"/>
            </w:r>
            <w:r>
              <w:rPr>
                <w:b/>
                <w:bCs/>
                <w:rtl/>
              </w:rPr>
              <w:t>רקע חברתי-כלכלי</w:t>
            </w:r>
          </w:p>
        </w:tc>
      </w:tr>
      <w:tr w:rsidR="00873FDE" w14:paraId="709AF490" w14:textId="77777777" w:rsidTr="00DD1F4F">
        <w:trPr>
          <w:trHeight w:val="692"/>
          <w:jc w:val="center"/>
        </w:trPr>
        <w:tc>
          <w:tcPr>
            <w:tcW w:w="8548" w:type="dxa"/>
            <w:hideMark/>
          </w:tcPr>
          <w:p w14:paraId="7F6C1628" w14:textId="17910AC5" w:rsidR="00873FDE" w:rsidRDefault="00873FDE">
            <w:pPr>
              <w:rPr>
                <w:rtl/>
              </w:rPr>
            </w:pPr>
            <w:bookmarkStart w:id="4" w:name="MP_GRAPH_t2a_Ta_H4_G"/>
            <w:r>
              <w:rPr>
                <w:noProof/>
                <w:lang w:val="he-IL"/>
              </w:rPr>
              <w:drawing>
                <wp:inline distT="0" distB="0" distL="0" distR="0" wp14:anchorId="732E903B" wp14:editId="784559C0">
                  <wp:extent cx="5165090" cy="1056005"/>
                  <wp:effectExtent l="0" t="0" r="0" b="0"/>
                  <wp:docPr id="12"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4"/>
          </w:p>
        </w:tc>
      </w:tr>
      <w:tr w:rsidR="00873FDE" w14:paraId="746A7237" w14:textId="77777777" w:rsidTr="00DD1F4F">
        <w:trPr>
          <w:trHeight w:val="143"/>
          <w:jc w:val="center"/>
        </w:trPr>
        <w:tc>
          <w:tcPr>
            <w:tcW w:w="8548" w:type="dxa"/>
            <w:vAlign w:val="center"/>
            <w:hideMark/>
          </w:tcPr>
          <w:p w14:paraId="03A53838" w14:textId="77777777" w:rsidR="00873FDE" w:rsidRDefault="00873FDE">
            <w:pPr>
              <w:jc w:val="center"/>
              <w:rPr>
                <w:rFonts w:ascii="Calibri" w:hAnsi="Calibri" w:cs="Calibri"/>
                <w:b/>
                <w:bCs/>
                <w:rtl/>
              </w:rPr>
            </w:pPr>
            <w:r>
              <w:rPr>
                <w:rFonts w:ascii="Calibri" w:hAnsi="Calibri" w:cs="Calibri" w:hint="cs"/>
                <w:b/>
                <w:bCs/>
                <w:rtl/>
              </w:rPr>
              <w:t>מגדר</w:t>
            </w:r>
          </w:p>
        </w:tc>
      </w:tr>
      <w:tr w:rsidR="00873FDE" w14:paraId="226F9F69" w14:textId="77777777" w:rsidTr="00DD1F4F">
        <w:trPr>
          <w:trHeight w:val="497"/>
          <w:jc w:val="center"/>
        </w:trPr>
        <w:tc>
          <w:tcPr>
            <w:tcW w:w="8548" w:type="dxa"/>
            <w:hideMark/>
          </w:tcPr>
          <w:p w14:paraId="32AC98D3" w14:textId="3ACE35B8" w:rsidR="00873FDE" w:rsidRDefault="00873FDE">
            <w:pPr>
              <w:rPr>
                <w:rtl/>
              </w:rPr>
            </w:pPr>
            <w:bookmarkStart w:id="5" w:name="MP_GRAPH_t2b_Ta_H4_G"/>
            <w:r>
              <w:rPr>
                <w:noProof/>
                <w:lang w:val="he-IL"/>
              </w:rPr>
              <w:drawing>
                <wp:inline distT="0" distB="0" distL="0" distR="0" wp14:anchorId="5C601820" wp14:editId="4A2CFC0C">
                  <wp:extent cx="5165090" cy="707390"/>
                  <wp:effectExtent l="0" t="0" r="0" b="0"/>
                  <wp:docPr id="581"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5"/>
          </w:p>
        </w:tc>
      </w:tr>
      <w:tr w:rsidR="00873FDE" w14:paraId="6506476F" w14:textId="77777777" w:rsidTr="00DD1F4F">
        <w:trPr>
          <w:trHeight w:val="592"/>
          <w:jc w:val="center"/>
        </w:trPr>
        <w:tc>
          <w:tcPr>
            <w:tcW w:w="8548" w:type="dxa"/>
            <w:hideMark/>
          </w:tcPr>
          <w:p w14:paraId="3420AFD5" w14:textId="28B75AA5" w:rsidR="00873FDE" w:rsidRDefault="00873FDE">
            <w:pPr>
              <w:rPr>
                <w:rtl/>
              </w:rPr>
            </w:pPr>
            <w:bookmarkStart w:id="6" w:name="MP_GRAPH_t2c_Ta_H4_G"/>
            <w:r>
              <w:rPr>
                <w:noProof/>
                <w:lang w:val="he-IL"/>
              </w:rPr>
              <w:drawing>
                <wp:inline distT="0" distB="0" distL="0" distR="0" wp14:anchorId="6D8A64A8" wp14:editId="0A16466F">
                  <wp:extent cx="5165090" cy="253497"/>
                  <wp:effectExtent l="0" t="0" r="0" b="0"/>
                  <wp:docPr id="582"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6"/>
          </w:p>
        </w:tc>
      </w:tr>
    </w:tbl>
    <w:p w14:paraId="6CB23E8F" w14:textId="5608A86B" w:rsidR="00AA334D" w:rsidRPr="00230F34" w:rsidRDefault="00341492" w:rsidP="00230F34">
      <w:pPr>
        <w:spacing w:after="60" w:line="360" w:lineRule="auto"/>
        <w:rPr>
          <w:rFonts w:ascii="David" w:hAnsi="David" w:cs="David"/>
          <w:sz w:val="20"/>
          <w:szCs w:val="20"/>
        </w:rPr>
      </w:pPr>
      <w:r w:rsidRPr="00341492">
        <w:rPr>
          <w:rFonts w:ascii="David" w:hAnsi="David" w:cs="David" w:hint="cs"/>
          <w:sz w:val="20"/>
          <w:szCs w:val="20"/>
          <w:rtl/>
        </w:rPr>
        <w:t xml:space="preserve">מקור: </w:t>
      </w:r>
      <w:r w:rsidR="008C42AC">
        <w:rPr>
          <w:rFonts w:ascii="David" w:hAnsi="David" w:cs="David" w:hint="cs"/>
          <w:sz w:val="20"/>
          <w:szCs w:val="20"/>
          <w:rtl/>
        </w:rPr>
        <w:t>הרשות הארצית למדידה והערכה בחינוך</w:t>
      </w:r>
      <w:r w:rsidR="007556A5">
        <w:rPr>
          <w:rFonts w:ascii="David" w:hAnsi="David" w:cs="David" w:hint="cs"/>
          <w:sz w:val="20"/>
          <w:szCs w:val="20"/>
          <w:rtl/>
        </w:rPr>
        <w:t>. (2022</w:t>
      </w:r>
      <w:r w:rsidR="00340A3D">
        <w:rPr>
          <w:rFonts w:ascii="David" w:hAnsi="David" w:cs="David" w:hint="cs"/>
          <w:sz w:val="20"/>
          <w:szCs w:val="20"/>
          <w:rtl/>
        </w:rPr>
        <w:t>ב</w:t>
      </w:r>
      <w:r w:rsidR="007556A5">
        <w:rPr>
          <w:rFonts w:ascii="David" w:hAnsi="David" w:cs="David" w:hint="cs"/>
          <w:sz w:val="20"/>
          <w:szCs w:val="20"/>
          <w:rtl/>
        </w:rPr>
        <w:t>).</w:t>
      </w:r>
      <w:r w:rsidR="008C42AC">
        <w:rPr>
          <w:rFonts w:ascii="David" w:hAnsi="David" w:cs="David" w:hint="cs"/>
          <w:sz w:val="20"/>
          <w:szCs w:val="20"/>
          <w:rtl/>
        </w:rPr>
        <w:t xml:space="preserve"> נתוני הישגים לימודיים בשפת אם לכיתה </w:t>
      </w:r>
      <w:r w:rsidR="005A62E7">
        <w:rPr>
          <w:rFonts w:ascii="David" w:hAnsi="David" w:cs="David" w:hint="cs"/>
          <w:sz w:val="20"/>
          <w:szCs w:val="20"/>
          <w:rtl/>
        </w:rPr>
        <w:t>ד</w:t>
      </w:r>
      <w:r w:rsidR="008C42AC">
        <w:rPr>
          <w:rFonts w:ascii="David" w:hAnsi="David" w:cs="David" w:hint="cs"/>
          <w:sz w:val="20"/>
          <w:szCs w:val="20"/>
          <w:rtl/>
        </w:rPr>
        <w:t xml:space="preserve">', דוח ארצי </w:t>
      </w:r>
      <w:r w:rsidR="000D2941">
        <w:rPr>
          <w:rFonts w:ascii="David" w:hAnsi="David" w:cs="David" w:hint="cs"/>
          <w:sz w:val="20"/>
          <w:szCs w:val="20"/>
          <w:rtl/>
        </w:rPr>
        <w:t xml:space="preserve">לשנת הלימודים תשפ"ב. </w:t>
      </w:r>
    </w:p>
    <w:p w14:paraId="2D92D866" w14:textId="26FFA1D8" w:rsidR="00832C69" w:rsidRDefault="00832C69" w:rsidP="00832C69">
      <w:pPr>
        <w:spacing w:before="120" w:after="120" w:line="312" w:lineRule="auto"/>
        <w:rPr>
          <w:rFonts w:ascii="David" w:hAnsi="David" w:cs="David"/>
          <w:color w:val="4472C4" w:themeColor="accent1"/>
          <w:sz w:val="28"/>
          <w:szCs w:val="28"/>
          <w:rtl/>
        </w:rPr>
      </w:pPr>
      <w:r w:rsidRPr="00A8315D">
        <w:rPr>
          <w:rFonts w:ascii="David" w:hAnsi="David" w:cs="David" w:hint="cs"/>
          <w:color w:val="4472C4" w:themeColor="accent1"/>
          <w:sz w:val="28"/>
          <w:szCs w:val="28"/>
          <w:rtl/>
        </w:rPr>
        <w:t xml:space="preserve">אי שוויון ופערים </w:t>
      </w:r>
      <w:r>
        <w:rPr>
          <w:rFonts w:ascii="David" w:hAnsi="David" w:cs="David" w:hint="cs"/>
          <w:color w:val="4472C4" w:themeColor="accent1"/>
          <w:sz w:val="28"/>
          <w:szCs w:val="28"/>
          <w:rtl/>
        </w:rPr>
        <w:t xml:space="preserve">בין קבוצות אוכלוסייה </w:t>
      </w:r>
      <w:r w:rsidRPr="00A8315D">
        <w:rPr>
          <w:rFonts w:ascii="David" w:hAnsi="David" w:cs="David" w:hint="cs"/>
          <w:color w:val="4472C4" w:themeColor="accent1"/>
          <w:sz w:val="28"/>
          <w:szCs w:val="28"/>
          <w:rtl/>
        </w:rPr>
        <w:t>ב</w:t>
      </w:r>
      <w:r>
        <w:rPr>
          <w:rFonts w:ascii="David" w:hAnsi="David" w:cs="David" w:hint="cs"/>
          <w:color w:val="4472C4" w:themeColor="accent1"/>
          <w:sz w:val="28"/>
          <w:szCs w:val="28"/>
          <w:rtl/>
        </w:rPr>
        <w:t>צמתים שונים: גיל הרך, בית הספר ובמסגרות להשכלה גבוהה</w:t>
      </w:r>
    </w:p>
    <w:p w14:paraId="4952241F" w14:textId="7F4C85A2" w:rsidR="003500EA" w:rsidRPr="00257E85" w:rsidRDefault="003500EA" w:rsidP="00313059">
      <w:pPr>
        <w:pStyle w:val="NormalWeb"/>
        <w:bidi/>
        <w:spacing w:before="120" w:beforeAutospacing="0" w:after="120" w:afterAutospacing="0" w:line="312" w:lineRule="auto"/>
        <w:jc w:val="both"/>
        <w:textAlignment w:val="baseline"/>
        <w:rPr>
          <w:rFonts w:ascii="David" w:hAnsi="David" w:cs="David" w:hint="cs"/>
          <w:color w:val="FF0000"/>
          <w:rtl/>
        </w:rPr>
      </w:pPr>
      <w:r w:rsidRPr="007D1780">
        <w:rPr>
          <w:rFonts w:ascii="David" w:hAnsi="David" w:cs="David" w:hint="cs"/>
          <w:b/>
          <w:bCs/>
          <w:rtl/>
        </w:rPr>
        <w:t>המסגרות לגיל הרך</w:t>
      </w:r>
      <w:r w:rsidR="007D1780">
        <w:rPr>
          <w:rFonts w:ascii="David" w:hAnsi="David" w:cs="David" w:hint="cs"/>
          <w:b/>
          <w:bCs/>
          <w:rtl/>
        </w:rPr>
        <w:t xml:space="preserve">: </w:t>
      </w:r>
      <w:r w:rsidR="00416ADC">
        <w:rPr>
          <w:rFonts w:ascii="David" w:hAnsi="David" w:cs="David" w:hint="cs"/>
          <w:rtl/>
        </w:rPr>
        <w:t>הטיפול בגיל הרך בשנים הראשונות לחיי הילד בעל חשיבות מכרעת בעיצוב עתידו כבוגר</w:t>
      </w:r>
      <w:r w:rsidR="00541D92">
        <w:rPr>
          <w:rFonts w:ascii="David" w:hAnsi="David" w:cs="David" w:hint="cs"/>
          <w:rtl/>
        </w:rPr>
        <w:t xml:space="preserve"> </w:t>
      </w:r>
      <w:r w:rsidR="00292B73">
        <w:rPr>
          <w:rFonts w:ascii="David" w:hAnsi="David" w:cs="David" w:hint="cs"/>
          <w:rtl/>
        </w:rPr>
        <w:t>(</w:t>
      </w:r>
      <w:r w:rsidR="00585080">
        <w:rPr>
          <w:rFonts w:ascii="David" w:hAnsi="David" w:cs="David"/>
        </w:rPr>
        <w:t>(</w:t>
      </w:r>
      <w:r w:rsidR="00412A7F">
        <w:rPr>
          <w:rFonts w:ascii="David" w:hAnsi="David" w:cs="David"/>
        </w:rPr>
        <w:t>Elan</w:t>
      </w:r>
      <w:r w:rsidR="00585080">
        <w:rPr>
          <w:rFonts w:ascii="David" w:hAnsi="David" w:cs="David"/>
        </w:rPr>
        <w:t xml:space="preserve">go, et al., 2015; </w:t>
      </w:r>
      <w:r w:rsidR="00292B73">
        <w:rPr>
          <w:rFonts w:ascii="David" w:hAnsi="David" w:cs="David"/>
        </w:rPr>
        <w:t>Essa</w:t>
      </w:r>
      <w:r w:rsidR="006463DB">
        <w:rPr>
          <w:rFonts w:ascii="David" w:hAnsi="David" w:cs="David"/>
        </w:rPr>
        <w:t xml:space="preserve"> &amp; Burnham, 2019</w:t>
      </w:r>
      <w:r w:rsidR="00416ADC">
        <w:rPr>
          <w:rFonts w:ascii="David" w:hAnsi="David" w:cs="David" w:hint="cs"/>
          <w:rtl/>
        </w:rPr>
        <w:t xml:space="preserve">. </w:t>
      </w:r>
      <w:r w:rsidR="00553A50">
        <w:rPr>
          <w:rFonts w:ascii="David" w:hAnsi="David" w:cs="David" w:hint="cs"/>
          <w:rtl/>
        </w:rPr>
        <w:t>איכות הסביבה החינוכית</w:t>
      </w:r>
      <w:r w:rsidR="00F53311">
        <w:rPr>
          <w:rFonts w:ascii="David" w:hAnsi="David" w:cs="David" w:hint="cs"/>
          <w:rtl/>
        </w:rPr>
        <w:t xml:space="preserve"> בה הוא גדל</w:t>
      </w:r>
      <w:r w:rsidR="00553A50">
        <w:rPr>
          <w:rFonts w:ascii="David" w:hAnsi="David" w:cs="David" w:hint="cs"/>
          <w:rtl/>
        </w:rPr>
        <w:t xml:space="preserve"> וכוח האדם המועסק בה הינם קריטיים </w:t>
      </w:r>
      <w:r w:rsidR="00F53311">
        <w:rPr>
          <w:rFonts w:ascii="David" w:hAnsi="David" w:cs="David" w:hint="cs"/>
          <w:rtl/>
        </w:rPr>
        <w:t>להתפתחותו המיטבית.</w:t>
      </w:r>
      <w:r w:rsidR="00D26D56">
        <w:rPr>
          <w:rFonts w:ascii="David" w:hAnsi="David" w:cs="David" w:hint="cs"/>
          <w:rtl/>
        </w:rPr>
        <w:t xml:space="preserve"> </w:t>
      </w:r>
      <w:r w:rsidR="00661F83">
        <w:rPr>
          <w:rFonts w:ascii="David" w:hAnsi="David" w:cs="David" w:hint="cs"/>
          <w:rtl/>
        </w:rPr>
        <w:t>החל מ-</w:t>
      </w:r>
      <w:r w:rsidR="008F0773">
        <w:rPr>
          <w:rFonts w:ascii="David" w:hAnsi="David" w:cs="David" w:hint="cs"/>
          <w:rtl/>
        </w:rPr>
        <w:t xml:space="preserve">2022, </w:t>
      </w:r>
      <w:r w:rsidR="00F92AD4">
        <w:rPr>
          <w:rFonts w:ascii="David" w:hAnsi="David" w:cs="David" w:hint="cs"/>
          <w:rtl/>
        </w:rPr>
        <w:t xml:space="preserve">מסגרות החינוך לילדים בגיל הרך נמצאות </w:t>
      </w:r>
      <w:r w:rsidR="00661F83">
        <w:rPr>
          <w:rFonts w:ascii="David" w:hAnsi="David" w:cs="David" w:hint="cs"/>
          <w:rtl/>
        </w:rPr>
        <w:t>בפקוח זרוע העבודה (משפחתונים, פעוטונים ומעונות) ובפיקוח</w:t>
      </w:r>
      <w:r w:rsidR="008F0773">
        <w:rPr>
          <w:rFonts w:ascii="David" w:hAnsi="David" w:cs="David" w:hint="cs"/>
          <w:rtl/>
        </w:rPr>
        <w:t xml:space="preserve"> משרד החינוך (מעונות יום וגני ילדים). </w:t>
      </w:r>
      <w:r w:rsidR="00DB65C6">
        <w:rPr>
          <w:rFonts w:ascii="David" w:hAnsi="David" w:cs="David" w:hint="cs"/>
          <w:rtl/>
        </w:rPr>
        <w:t xml:space="preserve">גן הילדים מהווה מרחב משמעותי </w:t>
      </w:r>
      <w:r w:rsidR="00200893">
        <w:rPr>
          <w:rFonts w:ascii="David" w:hAnsi="David" w:cs="David" w:hint="cs"/>
          <w:rtl/>
        </w:rPr>
        <w:t>לטיפוח ה</w:t>
      </w:r>
      <w:r w:rsidR="00DB65C6">
        <w:rPr>
          <w:rFonts w:ascii="David" w:hAnsi="David" w:cs="David" w:hint="cs"/>
          <w:rtl/>
        </w:rPr>
        <w:t>התפתחות הקוגניטיבית, החברתית והרגשית של הילד</w:t>
      </w:r>
      <w:r w:rsidR="00DC17D5">
        <w:rPr>
          <w:rFonts w:ascii="David" w:hAnsi="David" w:cs="David" w:hint="cs"/>
          <w:rtl/>
        </w:rPr>
        <w:t xml:space="preserve"> (דוח מבקר המדינה, 2015)</w:t>
      </w:r>
      <w:r w:rsidR="00DB65C6">
        <w:rPr>
          <w:rFonts w:ascii="David" w:hAnsi="David" w:cs="David" w:hint="cs"/>
          <w:rtl/>
        </w:rPr>
        <w:t xml:space="preserve">. </w:t>
      </w:r>
      <w:r w:rsidR="006735EF">
        <w:rPr>
          <w:rFonts w:ascii="David" w:hAnsi="David" w:cs="David" w:hint="cs"/>
          <w:rtl/>
        </w:rPr>
        <w:t xml:space="preserve">מדוח מבקר המדינה </w:t>
      </w:r>
      <w:r w:rsidR="00823302">
        <w:rPr>
          <w:rFonts w:ascii="David" w:hAnsi="David" w:cs="David" w:hint="cs"/>
          <w:rtl/>
        </w:rPr>
        <w:t xml:space="preserve">(2015, 2022) </w:t>
      </w:r>
      <w:r w:rsidR="006735EF">
        <w:rPr>
          <w:rFonts w:ascii="David" w:hAnsi="David" w:cs="David" w:hint="cs"/>
          <w:rtl/>
        </w:rPr>
        <w:t>עולה</w:t>
      </w:r>
      <w:r w:rsidR="00823302">
        <w:rPr>
          <w:rFonts w:ascii="David" w:hAnsi="David" w:cs="David" w:hint="cs"/>
          <w:rtl/>
        </w:rPr>
        <w:t xml:space="preserve"> כקיימים פערים </w:t>
      </w:r>
      <w:r w:rsidR="003F7504">
        <w:rPr>
          <w:rFonts w:ascii="David" w:hAnsi="David" w:cs="David" w:hint="cs"/>
          <w:rtl/>
        </w:rPr>
        <w:t>בשיעור הילדים בגנים רשמיים בכל שלבי החינוך בין המגזר היהודי והערבי</w:t>
      </w:r>
      <w:r w:rsidR="009263BC">
        <w:rPr>
          <w:rFonts w:ascii="David" w:hAnsi="David" w:cs="David" w:hint="cs"/>
          <w:rtl/>
        </w:rPr>
        <w:t xml:space="preserve">. כך לדוגמה, בשנת 2014 לא למדו בגנים רשמיים </w:t>
      </w:r>
      <w:r w:rsidR="0064042A">
        <w:rPr>
          <w:rFonts w:ascii="David" w:hAnsi="David" w:cs="David" w:hint="cs"/>
          <w:rtl/>
        </w:rPr>
        <w:t xml:space="preserve">36% מהילדים במגזר הבדואי, </w:t>
      </w:r>
      <w:r w:rsidR="00E12FAD">
        <w:rPr>
          <w:rFonts w:ascii="David" w:hAnsi="David" w:cs="David" w:hint="cs"/>
          <w:rtl/>
        </w:rPr>
        <w:t>19</w:t>
      </w:r>
      <w:r w:rsidR="0064042A">
        <w:rPr>
          <w:rFonts w:ascii="David" w:hAnsi="David" w:cs="David" w:hint="cs"/>
          <w:rtl/>
        </w:rPr>
        <w:t>% מהמגזר הערבי לעומת 1</w:t>
      </w:r>
      <w:r w:rsidR="00E12FAD">
        <w:rPr>
          <w:rFonts w:ascii="David" w:hAnsi="David" w:cs="David" w:hint="cs"/>
          <w:rtl/>
        </w:rPr>
        <w:t>0</w:t>
      </w:r>
      <w:r w:rsidR="0064042A">
        <w:rPr>
          <w:rFonts w:ascii="David" w:hAnsi="David" w:cs="David" w:hint="cs"/>
          <w:rtl/>
        </w:rPr>
        <w:t xml:space="preserve">% מהילדים במגזר היהודי. </w:t>
      </w:r>
      <w:r w:rsidR="0064042A" w:rsidRPr="00257E85">
        <w:rPr>
          <w:rFonts w:ascii="David" w:hAnsi="David" w:cs="David" w:hint="cs"/>
          <w:color w:val="FF0000"/>
          <w:rtl/>
        </w:rPr>
        <w:t xml:space="preserve">אחת הסיבות העיקריות לכך היא מחסור </w:t>
      </w:r>
      <w:r w:rsidR="000379F1" w:rsidRPr="00257E85">
        <w:rPr>
          <w:rFonts w:ascii="David" w:hAnsi="David" w:cs="David" w:hint="cs"/>
          <w:color w:val="FF0000"/>
          <w:rtl/>
        </w:rPr>
        <w:t>בגני ילדים ביישובים הבדואים. חלק מהמבנים במגזר הערבי אינם מותאמים מבחינה פיזית לפעילות ההתפתחותית של הילדים (מבקר המדינה, 2015; 2022).</w:t>
      </w:r>
      <w:r w:rsidR="0064042A" w:rsidRPr="00257E85">
        <w:rPr>
          <w:rFonts w:ascii="David" w:hAnsi="David" w:cs="David" w:hint="cs"/>
          <w:color w:val="FF0000"/>
          <w:rtl/>
        </w:rPr>
        <w:t xml:space="preserve"> </w:t>
      </w:r>
      <w:r w:rsidR="008F6AE8" w:rsidRPr="00257E85">
        <w:rPr>
          <w:rFonts w:ascii="David" w:hAnsi="David" w:cs="David" w:hint="cs"/>
          <w:color w:val="FF0000"/>
          <w:rtl/>
        </w:rPr>
        <w:t xml:space="preserve">במגזר הערבי לומדים פחות 5 ימים ובמגזר היהודי </w:t>
      </w:r>
      <w:r w:rsidR="00EA49C1" w:rsidRPr="00257E85">
        <w:rPr>
          <w:rFonts w:ascii="David" w:hAnsi="David" w:cs="David" w:hint="cs"/>
          <w:color w:val="FF0000"/>
          <w:rtl/>
        </w:rPr>
        <w:t xml:space="preserve">6 ימים והדבר מאפשר יותר שעות לימוד והוראת יותר תכנים לימודיים. תוכניות הלימוד לא הותאמו לשפה ולתרבות של המגזר הערבי ולא הוקצו משאבים לכך. </w:t>
      </w:r>
      <w:r w:rsidR="009661D1" w:rsidRPr="00257E85">
        <w:rPr>
          <w:rFonts w:ascii="David" w:hAnsi="David" w:cs="David" w:hint="cs"/>
          <w:color w:val="FF0000"/>
          <w:rtl/>
        </w:rPr>
        <w:t>מעבר לכך נמצא מחסור במפקחות על הגנים</w:t>
      </w:r>
      <w:r w:rsidR="00A65F59">
        <w:rPr>
          <w:rFonts w:ascii="David" w:hAnsi="David" w:cs="David" w:hint="cs"/>
          <w:color w:val="FF0000"/>
          <w:rtl/>
        </w:rPr>
        <w:t xml:space="preserve"> (מבקר המדינה, 2015; 2022)</w:t>
      </w:r>
      <w:r w:rsidR="009661D1" w:rsidRPr="00257E85">
        <w:rPr>
          <w:rFonts w:ascii="David" w:hAnsi="David" w:cs="David" w:hint="cs"/>
          <w:color w:val="FF0000"/>
          <w:rtl/>
        </w:rPr>
        <w:t xml:space="preserve">. </w:t>
      </w:r>
    </w:p>
    <w:p w14:paraId="192EC70D" w14:textId="77777777" w:rsidR="003500EA" w:rsidRDefault="003500EA" w:rsidP="003500EA">
      <w:pPr>
        <w:pStyle w:val="NormalWeb"/>
        <w:bidi/>
        <w:spacing w:before="120" w:beforeAutospacing="0" w:after="120" w:afterAutospacing="0" w:line="312" w:lineRule="auto"/>
        <w:jc w:val="both"/>
        <w:textAlignment w:val="baseline"/>
        <w:rPr>
          <w:rFonts w:ascii="David" w:hAnsi="David" w:cs="David"/>
          <w:rtl/>
        </w:rPr>
      </w:pPr>
    </w:p>
    <w:p w14:paraId="6BBC081D" w14:textId="6F4084AD" w:rsidR="00EF7EB5" w:rsidRDefault="00EF7EB5" w:rsidP="003500EA">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נתונים על האוכלוסייה הערבית, החרדית וקהילת יוצאי אתיופיה </w:t>
      </w:r>
      <w:r w:rsidR="00947F4F">
        <w:rPr>
          <w:rFonts w:ascii="David" w:hAnsi="David" w:cs="David" w:hint="cs"/>
          <w:rtl/>
        </w:rPr>
        <w:t xml:space="preserve">אינם אחידים. </w:t>
      </w:r>
    </w:p>
    <w:p w14:paraId="6B70BB79" w14:textId="4B2B438C" w:rsidR="00F903A5" w:rsidRPr="00EF7EB5" w:rsidRDefault="00F903A5" w:rsidP="00F903A5">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ערבים, רקע חברתי-כלכלי, מגדר, </w:t>
      </w:r>
    </w:p>
    <w:p w14:paraId="0D9A1D37" w14:textId="34D1B290" w:rsidR="00313059" w:rsidRPr="003340E3" w:rsidRDefault="00313059" w:rsidP="00EF7EB5">
      <w:pPr>
        <w:pStyle w:val="NormalWeb"/>
        <w:bidi/>
        <w:spacing w:before="120" w:beforeAutospacing="0" w:after="120" w:afterAutospacing="0" w:line="312" w:lineRule="auto"/>
        <w:jc w:val="both"/>
        <w:textAlignment w:val="baseline"/>
        <w:rPr>
          <w:rFonts w:ascii="David" w:hAnsi="David" w:cs="David"/>
          <w:rtl/>
        </w:rPr>
      </w:pPr>
      <w:r w:rsidRPr="003340E3">
        <w:rPr>
          <w:rFonts w:ascii="David" w:hAnsi="David" w:cs="David" w:hint="cs"/>
          <w:b/>
          <w:bCs/>
          <w:rtl/>
        </w:rPr>
        <w:lastRenderedPageBreak/>
        <w:t>האוכלוסייה ה</w:t>
      </w:r>
      <w:r w:rsidR="000759E1" w:rsidRPr="003340E3">
        <w:rPr>
          <w:rFonts w:ascii="David" w:hAnsi="David" w:cs="David" w:hint="cs"/>
          <w:b/>
          <w:bCs/>
          <w:rtl/>
        </w:rPr>
        <w:t>ערבית</w:t>
      </w:r>
      <w:r w:rsidR="000759E1" w:rsidRPr="003340E3">
        <w:rPr>
          <w:rFonts w:ascii="David" w:hAnsi="David" w:cs="David" w:hint="cs"/>
          <w:rtl/>
        </w:rPr>
        <w:t xml:space="preserve">: </w:t>
      </w:r>
      <w:r w:rsidRPr="003340E3">
        <w:rPr>
          <w:rFonts w:ascii="David" w:hAnsi="David" w:cs="David" w:hint="cs"/>
          <w:rtl/>
        </w:rPr>
        <w:t xml:space="preserve">דפוס ההשתלבות במוסדות להשכלה גבוהה מצביע על כך שחלק מהסטודנטים הערבים אינם מצליחים לסיים לימודיהם בזמן התקני ומושכים את התואר יותר שנים מהתוכנית הקבועה בחוג, לעיתים סטודנטים ערבים אינם בוחרים במסלולי לימוד ההולמים את רצונם ומפסיקים את לימודיהם ומחפשים חלופות, דבר המאריך את זמן הלימודים לתואר (חאג' יחיא ואחרים, 2022). </w:t>
      </w:r>
    </w:p>
    <w:p w14:paraId="6C5F725D" w14:textId="77777777" w:rsidR="00313059" w:rsidRDefault="00313059" w:rsidP="00313059">
      <w:pPr>
        <w:pStyle w:val="NormalWeb"/>
        <w:bidi/>
        <w:spacing w:before="120" w:beforeAutospacing="0" w:after="120" w:afterAutospacing="0" w:line="312" w:lineRule="auto"/>
        <w:jc w:val="both"/>
        <w:textAlignment w:val="baseline"/>
        <w:rPr>
          <w:rFonts w:ascii="David" w:hAnsi="David" w:cs="David"/>
          <w:color w:val="FF0000"/>
          <w:rtl/>
        </w:rPr>
      </w:pPr>
      <w:r w:rsidRPr="00B63BDE">
        <w:rPr>
          <w:rFonts w:ascii="David" w:hAnsi="David" w:cs="David" w:hint="cs"/>
          <w:color w:val="FF0000"/>
          <w:rtl/>
        </w:rPr>
        <w:t xml:space="preserve">קיימים פערים גם בתחום ההקצאה הממשלתית והציבורית לתלמיד במערכת החינוך היסודית, בחטיבת הביניים ובעיקר בחטיבות העליונות (חאג' יחיא, 2022). פער זה אינו תוצאה ישירה של הקצאה לא שוויונית של משרד החינוך אלא בעיקר של שני מקורות תקציביים נוספים: תקצוב הרשויות המקומיות ותשלומי הורים (חאג' יחיא ואחרים, 2022; </w:t>
      </w:r>
      <w:proofErr w:type="spellStart"/>
      <w:r w:rsidRPr="00B63BDE">
        <w:rPr>
          <w:rFonts w:ascii="David" w:hAnsi="David" w:cs="David" w:hint="cs"/>
          <w:color w:val="FF0000"/>
          <w:rtl/>
        </w:rPr>
        <w:t>סבירסקי</w:t>
      </w:r>
      <w:proofErr w:type="spellEnd"/>
      <w:r w:rsidRPr="00B63BDE">
        <w:rPr>
          <w:rFonts w:ascii="David" w:hAnsi="David" w:cs="David" w:hint="cs"/>
          <w:color w:val="FF0000"/>
          <w:rtl/>
        </w:rPr>
        <w:t xml:space="preserve">, 2022). </w:t>
      </w:r>
    </w:p>
    <w:p w14:paraId="09E9B600" w14:textId="185FB18A" w:rsidR="000759E1" w:rsidRPr="00942F57" w:rsidRDefault="000759E1" w:rsidP="000759E1">
      <w:pPr>
        <w:pStyle w:val="NormalWeb"/>
        <w:bidi/>
        <w:spacing w:before="120" w:beforeAutospacing="0" w:after="120" w:afterAutospacing="0" w:line="312" w:lineRule="auto"/>
        <w:jc w:val="both"/>
        <w:textAlignment w:val="baseline"/>
        <w:rPr>
          <w:rFonts w:ascii="David" w:hAnsi="David" w:cs="David"/>
          <w:rtl/>
        </w:rPr>
      </w:pPr>
      <w:r w:rsidRPr="00942F57">
        <w:rPr>
          <w:rFonts w:ascii="David" w:hAnsi="David" w:cs="David" w:hint="cs"/>
          <w:b/>
          <w:bCs/>
          <w:rtl/>
        </w:rPr>
        <w:t xml:space="preserve">האוכלוסייה החרדית: </w:t>
      </w:r>
      <w:r w:rsidRPr="00942F57">
        <w:rPr>
          <w:rFonts w:ascii="David" w:hAnsi="David" w:cs="David" w:hint="cs"/>
          <w:rtl/>
        </w:rPr>
        <w:t xml:space="preserve">שיעורים נמוכים מבוגרי מערכת החינוך החרדית בעלי תעודת בגרות ותעודת בגרות העומדת בתנאי הסף לקבלה למוסדות להשכלה גבוהה בהשוואה לבוגרי מערכת החינוך העברי, ושיעור הבנות החרדיות הזכאיות לתעודת בגרות גבוה יותר משיעור הבנים החרדים. שליש מהאוכלוסייה החרדית אינו יודע שפה נוספת למעט שפת האם שלהם וכשליש שולט בשפה האנגלית. שיעורים אלו נמוכים במידה ניכרת מהשיעורים המקבילים בקרב האוכלוסייה היהודית הלא-חרדית (מלאך </w:t>
      </w:r>
      <w:proofErr w:type="spellStart"/>
      <w:r w:rsidRPr="00942F57">
        <w:rPr>
          <w:rFonts w:ascii="David" w:hAnsi="David" w:cs="David" w:hint="cs"/>
          <w:rtl/>
        </w:rPr>
        <w:t>וכהנר</w:t>
      </w:r>
      <w:proofErr w:type="spellEnd"/>
      <w:r w:rsidRPr="00942F57">
        <w:rPr>
          <w:rFonts w:ascii="David" w:hAnsi="David" w:cs="David" w:hint="cs"/>
          <w:rtl/>
        </w:rPr>
        <w:t xml:space="preserve">, 2022; </w:t>
      </w:r>
      <w:proofErr w:type="spellStart"/>
      <w:r w:rsidRPr="00942F57">
        <w:rPr>
          <w:rFonts w:ascii="David" w:hAnsi="David" w:cs="David" w:hint="cs"/>
          <w:rtl/>
        </w:rPr>
        <w:t>סבירסקי</w:t>
      </w:r>
      <w:proofErr w:type="spellEnd"/>
      <w:r w:rsidRPr="00942F57">
        <w:rPr>
          <w:rFonts w:ascii="David" w:hAnsi="David" w:cs="David" w:hint="cs"/>
          <w:rtl/>
        </w:rPr>
        <w:t xml:space="preserve">, 2022). </w:t>
      </w:r>
    </w:p>
    <w:p w14:paraId="65F7E674" w14:textId="77777777" w:rsidR="000759E1" w:rsidRPr="00942F57" w:rsidRDefault="000759E1" w:rsidP="000759E1">
      <w:pPr>
        <w:pStyle w:val="NormalWeb"/>
        <w:bidi/>
        <w:spacing w:before="120" w:beforeAutospacing="0" w:after="120" w:afterAutospacing="0" w:line="312" w:lineRule="auto"/>
        <w:jc w:val="both"/>
        <w:textAlignment w:val="baseline"/>
        <w:rPr>
          <w:rFonts w:ascii="David" w:hAnsi="David" w:cs="David"/>
          <w:rtl/>
        </w:rPr>
      </w:pPr>
      <w:r w:rsidRPr="00942F57">
        <w:rPr>
          <w:rFonts w:ascii="David" w:hAnsi="David" w:cs="David" w:hint="cs"/>
          <w:rtl/>
        </w:rPr>
        <w:t xml:space="preserve">שיעור נמוך מבין הבוגרים החרדים משתלבים בלימודים במוסדות להשכלה גבוהה בהשוואה לכלל האוכלוסייה בישראל. הגברים משתלבים בגיל מבוגר יותר (בעקבות לימודים בישיבה ולימודים במכינה קדם-אקדמית) ואילו הנשים בגיל צעיר , היות והן אינן משתלבות בצבא או בשירות לאומי. למעלה ממחצית האוכלוסייה החרדית משתלבת בלימודים בתחום החינוך ושיעורים נמוכים יותר משולבים במסלולים כמו מדעי הטבע ומחשבים (מלאך </w:t>
      </w:r>
      <w:proofErr w:type="spellStart"/>
      <w:r w:rsidRPr="00942F57">
        <w:rPr>
          <w:rFonts w:ascii="David" w:hAnsi="David" w:cs="David" w:hint="cs"/>
          <w:rtl/>
        </w:rPr>
        <w:t>וכהנר</w:t>
      </w:r>
      <w:proofErr w:type="spellEnd"/>
      <w:r w:rsidRPr="00942F57">
        <w:rPr>
          <w:rFonts w:ascii="David" w:hAnsi="David" w:cs="David" w:hint="cs"/>
          <w:rtl/>
        </w:rPr>
        <w:t xml:space="preserve">, 2022).  </w:t>
      </w:r>
    </w:p>
    <w:p w14:paraId="52DD8DE9" w14:textId="77777777" w:rsidR="00F31CFA" w:rsidRDefault="000759E1" w:rsidP="00926B31">
      <w:pPr>
        <w:pStyle w:val="NormalWeb"/>
        <w:bidi/>
        <w:spacing w:before="120" w:beforeAutospacing="0" w:after="120" w:afterAutospacing="0" w:line="312" w:lineRule="auto"/>
        <w:jc w:val="both"/>
        <w:textAlignment w:val="baseline"/>
        <w:rPr>
          <w:rFonts w:ascii="David" w:hAnsi="David" w:cs="David"/>
          <w:rtl/>
        </w:rPr>
      </w:pPr>
      <w:r w:rsidRPr="00942F57">
        <w:rPr>
          <w:rFonts w:ascii="David" w:hAnsi="David" w:cs="David" w:hint="cs"/>
          <w:b/>
          <w:bCs/>
          <w:rtl/>
        </w:rPr>
        <w:t>אוכלוסיית יוצאי אתיופיה</w:t>
      </w:r>
      <w:r w:rsidRPr="00942F57">
        <w:rPr>
          <w:rFonts w:ascii="David" w:hAnsi="David" w:cs="David" w:hint="cs"/>
          <w:rtl/>
        </w:rPr>
        <w:t xml:space="preserve">: מנתוני הלשכה המרכזית לסטטיסטיקה (2022) עולה גם כי שיעור גבוה (18%) מהתלמידים יוצאי אתיופיה משולבים בחינוך המיוחד. בחטיבה העליונה, כמחצית (47%) משולבים בחינוך הטכנולוגי מקצועי לעומת 35% בכלל החינוך העברי. לצד שיעורים גבוהים של ניגשים לבחינות הבגרות בקרב תלמידי כתות י"ב, שיעורי הזכאות לבגרות נמוכים יותר </w:t>
      </w:r>
      <w:r w:rsidRPr="00942F57">
        <w:rPr>
          <w:rFonts w:ascii="David" w:hAnsi="David" w:cs="David"/>
          <w:rtl/>
        </w:rPr>
        <w:t>–</w:t>
      </w:r>
      <w:r w:rsidRPr="00942F57">
        <w:rPr>
          <w:rFonts w:ascii="David" w:hAnsi="David" w:cs="David" w:hint="cs"/>
          <w:rtl/>
        </w:rPr>
        <w:t xml:space="preserve"> כ-80% זכאים לתעודת בגרות וכ-50% זכאים לתעודת בגרות העומדת בדרישות הסף של המוסדות להשכלה גבוהה. שיעור נמוך מהאוכלוסייה ממשיך לימודים במוסדות להשכלה גבוהה (23% לעומת 48% בקרב מסיימי תיכון עברי). רוב הלומדים משולבים במכללות (65%), ובעיקר במסלולים של מדעי החברה, עסקים, ניהול וחינוך. אחוז גבוה במיוחד (11%) של קטינים יוצאי אתיופיה הועמדו לדין (הלשכה המרכזית לסטטיסטיקה, 2022).</w:t>
      </w:r>
    </w:p>
    <w:p w14:paraId="361F706D" w14:textId="2782755F" w:rsidR="002B7FC2" w:rsidRDefault="000759E1" w:rsidP="00F31CFA">
      <w:pPr>
        <w:pStyle w:val="NormalWeb"/>
        <w:bidi/>
        <w:spacing w:before="120" w:beforeAutospacing="0" w:after="120" w:afterAutospacing="0" w:line="312" w:lineRule="auto"/>
        <w:jc w:val="both"/>
        <w:textAlignment w:val="baseline"/>
        <w:rPr>
          <w:rFonts w:ascii="David" w:hAnsi="David" w:cs="David"/>
          <w:rtl/>
        </w:rPr>
      </w:pPr>
      <w:r w:rsidRPr="00942F57">
        <w:rPr>
          <w:rFonts w:ascii="David" w:hAnsi="David" w:cs="David" w:hint="cs"/>
          <w:rtl/>
        </w:rPr>
        <w:t xml:space="preserve"> </w:t>
      </w:r>
    </w:p>
    <w:p w14:paraId="139DB97B" w14:textId="784170C3" w:rsidR="00C56A80" w:rsidRPr="00C56A80" w:rsidRDefault="00C56A80" w:rsidP="00C56A80">
      <w:pPr>
        <w:pStyle w:val="NormalWeb"/>
        <w:bidi/>
        <w:spacing w:before="120" w:beforeAutospacing="0" w:after="120" w:afterAutospacing="0" w:line="312" w:lineRule="auto"/>
        <w:jc w:val="both"/>
        <w:textAlignment w:val="baseline"/>
        <w:rPr>
          <w:rFonts w:ascii="David" w:hAnsi="David" w:cs="David"/>
          <w:b/>
          <w:bCs/>
          <w:rtl/>
        </w:rPr>
      </w:pPr>
      <w:r w:rsidRPr="00C56A80">
        <w:rPr>
          <w:rFonts w:ascii="David" w:hAnsi="David" w:cs="David" w:hint="cs"/>
          <w:b/>
          <w:bCs/>
          <w:rtl/>
        </w:rPr>
        <w:t xml:space="preserve">ילדים המתמודדים עם אתגרים מיוחדים, סביבת מגורים </w:t>
      </w:r>
      <w:proofErr w:type="spellStart"/>
      <w:r w:rsidRPr="00C56A80">
        <w:rPr>
          <w:rFonts w:ascii="David" w:hAnsi="David" w:cs="David" w:hint="cs"/>
          <w:b/>
          <w:bCs/>
          <w:rtl/>
        </w:rPr>
        <w:t>מגורים</w:t>
      </w:r>
      <w:proofErr w:type="spellEnd"/>
      <w:r w:rsidRPr="00C56A80">
        <w:rPr>
          <w:rFonts w:ascii="David" w:hAnsi="David" w:cs="David" w:hint="cs"/>
          <w:b/>
          <w:bCs/>
          <w:rtl/>
        </w:rPr>
        <w:t xml:space="preserve"> או תנאי חיים מאתגרים. </w:t>
      </w:r>
    </w:p>
    <w:p w14:paraId="10B7DCEA" w14:textId="5CBB717F" w:rsidR="00AC74F7" w:rsidRPr="00F31CFA" w:rsidRDefault="00896C86" w:rsidP="00DE7859">
      <w:pPr>
        <w:pStyle w:val="NormalWeb"/>
        <w:bidi/>
        <w:spacing w:before="120" w:beforeAutospacing="0" w:after="120" w:afterAutospacing="0" w:line="312" w:lineRule="auto"/>
        <w:jc w:val="both"/>
        <w:textAlignment w:val="baseline"/>
        <w:rPr>
          <w:rFonts w:ascii="David" w:hAnsi="David" w:cs="David"/>
          <w:color w:val="FF0000"/>
          <w:rtl/>
        </w:rPr>
      </w:pPr>
      <w:r w:rsidRPr="00F31CFA">
        <w:rPr>
          <w:rFonts w:ascii="David" w:hAnsi="David" w:cs="David" w:hint="cs"/>
          <w:color w:val="FF0000"/>
          <w:rtl/>
        </w:rPr>
        <w:t>ילדי עובדים זרים</w:t>
      </w:r>
      <w:r w:rsidR="00EF1145" w:rsidRPr="00F31CFA">
        <w:rPr>
          <w:rFonts w:ascii="David" w:hAnsi="David" w:cs="David" w:hint="cs"/>
          <w:color w:val="FF0000"/>
          <w:rtl/>
        </w:rPr>
        <w:t xml:space="preserve"> או מהגרי עבודה</w:t>
      </w:r>
      <w:r w:rsidRPr="00F31CFA">
        <w:rPr>
          <w:rFonts w:ascii="David" w:hAnsi="David" w:cs="David" w:hint="cs"/>
          <w:color w:val="FF0000"/>
          <w:rtl/>
        </w:rPr>
        <w:t>, משולבים במסגרות החינוך המיוחד, ילדי עולים</w:t>
      </w:r>
    </w:p>
    <w:p w14:paraId="16E2F334" w14:textId="2127A22E" w:rsidR="00CB4656" w:rsidRPr="00F31CFA" w:rsidRDefault="00CB4656" w:rsidP="00DE7859">
      <w:pPr>
        <w:pStyle w:val="NormalWeb"/>
        <w:bidi/>
        <w:spacing w:before="120" w:beforeAutospacing="0" w:after="120" w:afterAutospacing="0" w:line="312" w:lineRule="auto"/>
        <w:jc w:val="both"/>
        <w:textAlignment w:val="baseline"/>
        <w:rPr>
          <w:rFonts w:ascii="David" w:hAnsi="David" w:cs="David"/>
          <w:color w:val="FF0000"/>
          <w:rtl/>
        </w:rPr>
      </w:pPr>
      <w:r w:rsidRPr="00F31CFA">
        <w:rPr>
          <w:rFonts w:ascii="David" w:hAnsi="David" w:cs="David" w:hint="cs"/>
          <w:color w:val="FF0000"/>
          <w:rtl/>
        </w:rPr>
        <w:t xml:space="preserve">נכון לשנת 2020, </w:t>
      </w:r>
    </w:p>
    <w:p w14:paraId="31C5BE7E" w14:textId="0AB68397" w:rsidR="00DE7859" w:rsidRPr="00F31CFA" w:rsidRDefault="00DE7859" w:rsidP="00CB4656">
      <w:pPr>
        <w:pStyle w:val="NormalWeb"/>
        <w:bidi/>
        <w:spacing w:before="120" w:beforeAutospacing="0" w:after="120" w:afterAutospacing="0" w:line="312" w:lineRule="auto"/>
        <w:jc w:val="both"/>
        <w:textAlignment w:val="baseline"/>
        <w:rPr>
          <w:rFonts w:ascii="David" w:hAnsi="David" w:cs="David"/>
          <w:color w:val="FF0000"/>
          <w:rtl/>
        </w:rPr>
      </w:pPr>
      <w:r w:rsidRPr="00F31CFA">
        <w:rPr>
          <w:rFonts w:ascii="David" w:hAnsi="David" w:cs="David" w:hint="cs"/>
          <w:color w:val="FF0000"/>
          <w:rtl/>
        </w:rPr>
        <w:t xml:space="preserve">שני אחוזים מכלל הילדים בישראל הם ילדים עולים וכ-24% נוספים הינם ילדי עולים. </w:t>
      </w:r>
    </w:p>
    <w:p w14:paraId="5F395C28" w14:textId="0CCEF696" w:rsidR="00C3747B" w:rsidRPr="00F31CFA" w:rsidRDefault="00AB5E4D" w:rsidP="00C3747B">
      <w:pPr>
        <w:pStyle w:val="NormalWeb"/>
        <w:bidi/>
        <w:spacing w:before="120" w:beforeAutospacing="0" w:after="120" w:afterAutospacing="0" w:line="312" w:lineRule="auto"/>
        <w:jc w:val="both"/>
        <w:textAlignment w:val="baseline"/>
        <w:rPr>
          <w:rFonts w:ascii="David" w:hAnsi="David" w:cs="David"/>
          <w:color w:val="FF0000"/>
          <w:rtl/>
        </w:rPr>
      </w:pPr>
      <w:r w:rsidRPr="00F31CFA">
        <w:rPr>
          <w:rFonts w:ascii="David" w:hAnsi="David" w:cs="David" w:hint="cs"/>
          <w:color w:val="FF0000"/>
          <w:rtl/>
        </w:rPr>
        <w:t>כ-</w:t>
      </w:r>
      <w:r w:rsidR="00570AA8" w:rsidRPr="00F31CFA">
        <w:rPr>
          <w:rFonts w:ascii="David" w:hAnsi="David" w:cs="David" w:hint="cs"/>
          <w:color w:val="FF0000"/>
          <w:rtl/>
        </w:rPr>
        <w:t xml:space="preserve">6,262 תינוקות ופעוטות של מהגרי עבודה וזרים אינם ברי הרחקה </w:t>
      </w:r>
      <w:r w:rsidR="00812FB7" w:rsidRPr="00F31CFA">
        <w:rPr>
          <w:rFonts w:ascii="David" w:hAnsi="David" w:cs="David" w:hint="cs"/>
          <w:color w:val="FF0000"/>
          <w:rtl/>
        </w:rPr>
        <w:t xml:space="preserve">(רובם מבקשי מקלט) </w:t>
      </w:r>
      <w:r w:rsidR="00570AA8" w:rsidRPr="00F31CFA">
        <w:rPr>
          <w:rFonts w:ascii="David" w:hAnsi="David" w:cs="David" w:hint="cs"/>
          <w:color w:val="FF0000"/>
          <w:rtl/>
        </w:rPr>
        <w:t xml:space="preserve">טופלו בתחנות לבריאות המשפחה. </w:t>
      </w:r>
      <w:r w:rsidR="00FB7FB2" w:rsidRPr="00F31CFA">
        <w:rPr>
          <w:rFonts w:ascii="David" w:hAnsi="David" w:cs="David" w:hint="cs"/>
          <w:color w:val="FF0000"/>
          <w:rtl/>
        </w:rPr>
        <w:t xml:space="preserve">רובם מתגוררים במחוז תל-אביב. </w:t>
      </w:r>
      <w:r w:rsidR="00CB4656" w:rsidRPr="00F31CFA">
        <w:rPr>
          <w:rFonts w:ascii="David" w:hAnsi="David" w:cs="David" w:hint="cs"/>
          <w:color w:val="FF0000"/>
          <w:rtl/>
        </w:rPr>
        <w:t xml:space="preserve">כ- 12,192 ילדים </w:t>
      </w:r>
      <w:r w:rsidR="00991C81" w:rsidRPr="00F31CFA">
        <w:rPr>
          <w:rFonts w:ascii="David" w:hAnsi="David" w:cs="David" w:hint="cs"/>
          <w:color w:val="FF0000"/>
          <w:rtl/>
        </w:rPr>
        <w:t xml:space="preserve">(גיל לידה </w:t>
      </w:r>
      <w:r w:rsidR="00991C81" w:rsidRPr="00F31CFA">
        <w:rPr>
          <w:rFonts w:ascii="David" w:hAnsi="David" w:cs="David"/>
          <w:color w:val="FF0000"/>
          <w:rtl/>
        </w:rPr>
        <w:t>–</w:t>
      </w:r>
      <w:r w:rsidR="00991C81" w:rsidRPr="00F31CFA">
        <w:rPr>
          <w:rFonts w:ascii="David" w:hAnsi="David" w:cs="David" w:hint="cs"/>
          <w:color w:val="FF0000"/>
          <w:rtl/>
        </w:rPr>
        <w:t xml:space="preserve"> 18) </w:t>
      </w:r>
      <w:r w:rsidR="00CB4656" w:rsidRPr="00F31CFA">
        <w:rPr>
          <w:rFonts w:ascii="David" w:hAnsi="David" w:cs="David" w:hint="cs"/>
          <w:color w:val="FF0000"/>
          <w:rtl/>
        </w:rPr>
        <w:t xml:space="preserve">של מהגרי עבודה או </w:t>
      </w:r>
      <w:r w:rsidR="00991C81" w:rsidRPr="00F31CFA">
        <w:rPr>
          <w:rFonts w:ascii="David" w:hAnsi="David" w:cs="David" w:hint="cs"/>
          <w:color w:val="FF0000"/>
          <w:rtl/>
        </w:rPr>
        <w:t xml:space="preserve">ילדי זרים אינם ברי הרחקה מקבלים שירותים מקופת חולים מאוחדת. </w:t>
      </w:r>
    </w:p>
    <w:p w14:paraId="1520A9F1" w14:textId="6DB8FC5D" w:rsidR="0041318E" w:rsidRPr="00F31CFA" w:rsidRDefault="0074071C" w:rsidP="0041318E">
      <w:pPr>
        <w:pStyle w:val="NormalWeb"/>
        <w:bidi/>
        <w:spacing w:before="120" w:beforeAutospacing="0" w:after="120" w:afterAutospacing="0" w:line="312" w:lineRule="auto"/>
        <w:jc w:val="both"/>
        <w:textAlignment w:val="baseline"/>
        <w:rPr>
          <w:rFonts w:ascii="David" w:hAnsi="David" w:cs="David"/>
          <w:color w:val="FF0000"/>
          <w:rtl/>
        </w:rPr>
      </w:pPr>
      <w:r w:rsidRPr="00F31CFA">
        <w:rPr>
          <w:rFonts w:ascii="David" w:hAnsi="David" w:cs="David" w:hint="cs"/>
          <w:color w:val="FF0000"/>
          <w:rtl/>
        </w:rPr>
        <w:t>17% מהמשפחות בישראל בנות 4 ילדים ויותר</w:t>
      </w:r>
      <w:r w:rsidR="00623289" w:rsidRPr="00F31CFA">
        <w:rPr>
          <w:rFonts w:ascii="David" w:hAnsi="David" w:cs="David" w:hint="cs"/>
          <w:color w:val="FF0000"/>
          <w:rtl/>
        </w:rPr>
        <w:t xml:space="preserve">. 10% ממשפחות העולים בנות 4 ילדים ויותר. </w:t>
      </w:r>
    </w:p>
    <w:p w14:paraId="46D3957D" w14:textId="5ABB356B" w:rsidR="00F31CFA" w:rsidRDefault="00687AD6" w:rsidP="00F31CFA">
      <w:pPr>
        <w:pStyle w:val="NormalWeb"/>
        <w:bidi/>
        <w:spacing w:before="120" w:beforeAutospacing="0" w:after="120" w:afterAutospacing="0" w:line="312" w:lineRule="auto"/>
        <w:jc w:val="both"/>
        <w:textAlignment w:val="baseline"/>
        <w:rPr>
          <w:rFonts w:ascii="David" w:hAnsi="David" w:cs="David"/>
          <w:color w:val="FF0000"/>
          <w:rtl/>
        </w:rPr>
      </w:pPr>
      <w:r>
        <w:rPr>
          <w:rFonts w:ascii="David" w:hAnsi="David" w:cs="David" w:hint="cs"/>
          <w:color w:val="FF0000"/>
          <w:rtl/>
        </w:rPr>
        <w:t>כ-14% מהמשפחות בישראל,</w:t>
      </w:r>
      <w:r w:rsidR="00BB4D26">
        <w:rPr>
          <w:rFonts w:ascii="David" w:hAnsi="David" w:cs="David" w:hint="cs"/>
          <w:color w:val="FF0000"/>
          <w:rtl/>
        </w:rPr>
        <w:t xml:space="preserve"> 10% מהילדים,</w:t>
      </w:r>
      <w:r>
        <w:rPr>
          <w:rFonts w:ascii="David" w:hAnsi="David" w:cs="David" w:hint="cs"/>
          <w:color w:val="FF0000"/>
          <w:rtl/>
        </w:rPr>
        <w:t xml:space="preserve"> </w:t>
      </w:r>
      <w:r w:rsidR="00DF7FC5">
        <w:rPr>
          <w:rFonts w:ascii="David" w:hAnsi="David" w:cs="David" w:hint="cs"/>
          <w:color w:val="FF0000"/>
          <w:rtl/>
        </w:rPr>
        <w:t>287</w:t>
      </w:r>
      <w:r w:rsidR="00F32621">
        <w:rPr>
          <w:rFonts w:ascii="David" w:hAnsi="David" w:cs="David" w:hint="cs"/>
          <w:color w:val="FF0000"/>
          <w:rtl/>
        </w:rPr>
        <w:t>,572 ילדים גדלים במשפחות חד-הוריות</w:t>
      </w:r>
      <w:r w:rsidR="00140BA5">
        <w:rPr>
          <w:rFonts w:ascii="David" w:hAnsi="David" w:cs="David" w:hint="cs"/>
          <w:color w:val="FF0000"/>
          <w:rtl/>
        </w:rPr>
        <w:t xml:space="preserve">. כ- 12% מהם גדלים במשפחה בת </w:t>
      </w:r>
      <w:r w:rsidR="00146B4E">
        <w:rPr>
          <w:rFonts w:ascii="David" w:hAnsi="David" w:cs="David" w:hint="cs"/>
          <w:color w:val="FF0000"/>
          <w:rtl/>
        </w:rPr>
        <w:t xml:space="preserve">4 ילדים ויותר. </w:t>
      </w:r>
      <w:r>
        <w:rPr>
          <w:rFonts w:ascii="David" w:hAnsi="David" w:cs="David" w:hint="cs"/>
          <w:color w:val="FF0000"/>
          <w:rtl/>
        </w:rPr>
        <w:t xml:space="preserve">22% ממשפחות העולים </w:t>
      </w:r>
      <w:r w:rsidR="00CA4638">
        <w:rPr>
          <w:rFonts w:ascii="David" w:hAnsi="David" w:cs="David" w:hint="cs"/>
          <w:color w:val="FF0000"/>
          <w:rtl/>
        </w:rPr>
        <w:t>גדלים במשפחות שבהן הורה עצמאי</w:t>
      </w:r>
      <w:r w:rsidR="000149E5">
        <w:rPr>
          <w:rFonts w:ascii="David" w:hAnsi="David" w:cs="David" w:hint="cs"/>
          <w:color w:val="FF0000"/>
          <w:rtl/>
        </w:rPr>
        <w:t xml:space="preserve"> (הורים אלמנים, גרושים, רווקים)</w:t>
      </w:r>
      <w:r w:rsidR="00CA4638">
        <w:rPr>
          <w:rFonts w:ascii="David" w:hAnsi="David" w:cs="David" w:hint="cs"/>
          <w:color w:val="FF0000"/>
          <w:rtl/>
        </w:rPr>
        <w:t xml:space="preserve">. </w:t>
      </w:r>
    </w:p>
    <w:p w14:paraId="32DE3C06" w14:textId="473D8D13" w:rsidR="00955783" w:rsidRDefault="00955783" w:rsidP="00955783">
      <w:pPr>
        <w:pStyle w:val="NormalWeb"/>
        <w:bidi/>
        <w:spacing w:before="120" w:beforeAutospacing="0" w:after="120" w:afterAutospacing="0" w:line="312" w:lineRule="auto"/>
        <w:jc w:val="both"/>
        <w:textAlignment w:val="baseline"/>
        <w:rPr>
          <w:rFonts w:ascii="David" w:hAnsi="David" w:cs="David" w:hint="cs"/>
          <w:color w:val="FF0000"/>
          <w:rtl/>
        </w:rPr>
      </w:pPr>
      <w:r>
        <w:rPr>
          <w:rFonts w:ascii="David" w:hAnsi="David" w:cs="David" w:hint="cs"/>
          <w:color w:val="FF0000"/>
          <w:rtl/>
        </w:rPr>
        <w:lastRenderedPageBreak/>
        <w:t>ילדים המוכרים לרווחה (נפגעי אלימות</w:t>
      </w:r>
      <w:r w:rsidR="00DE0D10">
        <w:rPr>
          <w:rFonts w:ascii="David" w:hAnsi="David" w:cs="David" w:hint="cs"/>
          <w:color w:val="FF0000"/>
          <w:rtl/>
        </w:rPr>
        <w:t xml:space="preserve">, יתמות, </w:t>
      </w:r>
      <w:r w:rsidR="001212BA">
        <w:rPr>
          <w:rFonts w:ascii="David" w:hAnsi="David" w:cs="David" w:hint="cs"/>
          <w:color w:val="FF0000"/>
          <w:rtl/>
        </w:rPr>
        <w:t>ילדים החיים מחוץ למשפחתם</w:t>
      </w:r>
      <w:r w:rsidR="008746D5">
        <w:rPr>
          <w:rFonts w:ascii="David" w:hAnsi="David" w:cs="David" w:hint="cs"/>
          <w:color w:val="FF0000"/>
          <w:rtl/>
        </w:rPr>
        <w:t>, השמה חוץ ביתית</w:t>
      </w:r>
      <w:r w:rsidR="00174F52">
        <w:rPr>
          <w:rFonts w:ascii="David" w:hAnsi="David" w:cs="David" w:hint="cs"/>
          <w:color w:val="FF0000"/>
          <w:rtl/>
        </w:rPr>
        <w:t xml:space="preserve"> </w:t>
      </w:r>
      <w:r w:rsidR="00174F52">
        <w:rPr>
          <w:rFonts w:ascii="David" w:hAnsi="David" w:cs="David"/>
          <w:color w:val="FF0000"/>
          <w:rtl/>
        </w:rPr>
        <w:t>–</w:t>
      </w:r>
      <w:r w:rsidR="00174F52">
        <w:rPr>
          <w:rFonts w:ascii="David" w:hAnsi="David" w:cs="David" w:hint="cs"/>
          <w:color w:val="FF0000"/>
          <w:rtl/>
        </w:rPr>
        <w:t xml:space="preserve"> באומנה או בפנימיות</w:t>
      </w:r>
      <w:r w:rsidR="001212BA">
        <w:rPr>
          <w:rFonts w:ascii="David" w:hAnsi="David" w:cs="David" w:hint="cs"/>
          <w:color w:val="FF0000"/>
          <w:rtl/>
        </w:rPr>
        <w:t xml:space="preserve">, </w:t>
      </w:r>
      <w:r w:rsidR="007754A7">
        <w:rPr>
          <w:rFonts w:ascii="David" w:hAnsi="David" w:cs="David" w:hint="cs"/>
          <w:color w:val="FF0000"/>
          <w:rtl/>
        </w:rPr>
        <w:t>או במסגרות אחרות</w:t>
      </w:r>
    </w:p>
    <w:p w14:paraId="1AB9F8A3" w14:textId="77777777" w:rsidR="00146B4E" w:rsidRPr="00F31CFA" w:rsidRDefault="00146B4E" w:rsidP="00146B4E">
      <w:pPr>
        <w:pStyle w:val="NormalWeb"/>
        <w:bidi/>
        <w:spacing w:before="120" w:beforeAutospacing="0" w:after="120" w:afterAutospacing="0" w:line="312" w:lineRule="auto"/>
        <w:jc w:val="both"/>
        <w:textAlignment w:val="baseline"/>
        <w:rPr>
          <w:rFonts w:ascii="David" w:hAnsi="David" w:cs="David"/>
          <w:color w:val="FF0000"/>
          <w:rtl/>
        </w:rPr>
      </w:pPr>
    </w:p>
    <w:p w14:paraId="25F0C86A" w14:textId="77777777" w:rsidR="00DE7859" w:rsidRPr="00942F57" w:rsidRDefault="00DE7859" w:rsidP="00DE7859">
      <w:pPr>
        <w:pStyle w:val="NormalWeb"/>
        <w:bidi/>
        <w:spacing w:before="120" w:beforeAutospacing="0" w:after="120" w:afterAutospacing="0" w:line="312" w:lineRule="auto"/>
        <w:jc w:val="both"/>
        <w:textAlignment w:val="baseline"/>
        <w:rPr>
          <w:rFonts w:ascii="David" w:hAnsi="David" w:cs="David"/>
          <w:rtl/>
        </w:rPr>
      </w:pPr>
    </w:p>
    <w:p w14:paraId="7B21CDCC" w14:textId="77777777" w:rsidR="00F32836" w:rsidRDefault="0060442F" w:rsidP="0060442F">
      <w:pPr>
        <w:spacing w:before="120" w:after="120" w:line="312" w:lineRule="auto"/>
        <w:rPr>
          <w:rFonts w:ascii="David" w:hAnsi="David" w:cs="David"/>
          <w:color w:val="4472C4" w:themeColor="accent1"/>
          <w:sz w:val="28"/>
          <w:szCs w:val="28"/>
          <w:rtl/>
        </w:rPr>
      </w:pPr>
      <w:r w:rsidRPr="00A8315D">
        <w:rPr>
          <w:rFonts w:ascii="David" w:hAnsi="David" w:cs="David" w:hint="cs"/>
          <w:color w:val="4472C4" w:themeColor="accent1"/>
          <w:sz w:val="28"/>
          <w:szCs w:val="28"/>
          <w:rtl/>
        </w:rPr>
        <w:t xml:space="preserve">אי שוויון </w:t>
      </w:r>
      <w:r w:rsidR="00F91E87">
        <w:rPr>
          <w:rFonts w:ascii="David" w:hAnsi="David" w:cs="David" w:hint="cs"/>
          <w:color w:val="4472C4" w:themeColor="accent1"/>
          <w:sz w:val="28"/>
          <w:szCs w:val="28"/>
          <w:rtl/>
        </w:rPr>
        <w:t xml:space="preserve">בהזדמנויות ובנגישות לשירותים תומכים </w:t>
      </w:r>
    </w:p>
    <w:p w14:paraId="4C7DA6CA" w14:textId="77777777" w:rsidR="005A76A3" w:rsidRDefault="005A76A3" w:rsidP="0060442F">
      <w:pPr>
        <w:spacing w:before="120" w:after="120" w:line="312" w:lineRule="auto"/>
        <w:rPr>
          <w:rFonts w:ascii="David" w:hAnsi="David" w:cs="David"/>
          <w:color w:val="4472C4" w:themeColor="accent1"/>
          <w:sz w:val="28"/>
          <w:szCs w:val="28"/>
          <w:rtl/>
        </w:rPr>
      </w:pPr>
    </w:p>
    <w:p w14:paraId="16EAC83B" w14:textId="77777777" w:rsidR="00A763EC" w:rsidRDefault="00A763EC" w:rsidP="0060442F">
      <w:pPr>
        <w:spacing w:before="120" w:after="120" w:line="312" w:lineRule="auto"/>
        <w:rPr>
          <w:rFonts w:ascii="David" w:hAnsi="David" w:cs="David"/>
          <w:color w:val="4472C4" w:themeColor="accent1"/>
          <w:sz w:val="28"/>
          <w:szCs w:val="28"/>
          <w:rtl/>
        </w:rPr>
      </w:pPr>
    </w:p>
    <w:p w14:paraId="7BEBAD26" w14:textId="77777777" w:rsidR="00E13AB9" w:rsidRDefault="00E13AB9" w:rsidP="0060442F">
      <w:pPr>
        <w:spacing w:before="120" w:after="120" w:line="312" w:lineRule="auto"/>
        <w:rPr>
          <w:rFonts w:ascii="David" w:hAnsi="David" w:cs="David"/>
          <w:color w:val="4472C4" w:themeColor="accent1"/>
          <w:sz w:val="28"/>
          <w:szCs w:val="28"/>
          <w:rtl/>
        </w:rPr>
      </w:pPr>
    </w:p>
    <w:p w14:paraId="13CCDB9A" w14:textId="77777777" w:rsidR="00E13AB9" w:rsidRDefault="00E13AB9" w:rsidP="0060442F">
      <w:pPr>
        <w:spacing w:before="120" w:after="120" w:line="312" w:lineRule="auto"/>
        <w:rPr>
          <w:rFonts w:ascii="David" w:hAnsi="David" w:cs="David"/>
          <w:color w:val="4472C4" w:themeColor="accent1"/>
          <w:sz w:val="28"/>
          <w:szCs w:val="28"/>
          <w:rtl/>
        </w:rPr>
      </w:pPr>
    </w:p>
    <w:p w14:paraId="77DD2C0E" w14:textId="77777777" w:rsidR="00E13AB9" w:rsidRDefault="00E13AB9" w:rsidP="00E13AB9">
      <w:pPr>
        <w:pStyle w:val="NormalWeb"/>
        <w:bidi/>
        <w:spacing w:before="120" w:beforeAutospacing="0" w:after="120" w:afterAutospacing="0" w:line="312" w:lineRule="auto"/>
        <w:jc w:val="both"/>
        <w:textAlignment w:val="baseline"/>
        <w:rPr>
          <w:rFonts w:ascii="David" w:hAnsi="David" w:cs="David"/>
          <w:color w:val="4472C4" w:themeColor="accent1"/>
          <w:rtl/>
        </w:rPr>
      </w:pPr>
    </w:p>
    <w:p w14:paraId="7AEFFB6F" w14:textId="77777777" w:rsidR="00E13AB9" w:rsidRPr="00424596" w:rsidRDefault="00E13AB9" w:rsidP="00E13AB9">
      <w:pPr>
        <w:pStyle w:val="NormalWeb"/>
        <w:bidi/>
        <w:spacing w:before="120" w:beforeAutospacing="0" w:after="120" w:afterAutospacing="0" w:line="312" w:lineRule="auto"/>
        <w:ind w:left="360"/>
        <w:jc w:val="both"/>
        <w:textAlignment w:val="baseline"/>
        <w:rPr>
          <w:rFonts w:ascii="David" w:hAnsi="David" w:cs="David"/>
          <w:b/>
          <w:bCs/>
          <w:sz w:val="32"/>
          <w:szCs w:val="32"/>
        </w:rPr>
      </w:pPr>
      <w:r w:rsidRPr="00424596">
        <w:rPr>
          <w:rFonts w:ascii="David" w:hAnsi="David" w:cs="David" w:hint="cs"/>
          <w:b/>
          <w:bCs/>
          <w:sz w:val="32"/>
          <w:szCs w:val="32"/>
          <w:rtl/>
        </w:rPr>
        <w:t xml:space="preserve">מערכת החינוך אל מול אי השוויון: גורם </w:t>
      </w:r>
      <w:r>
        <w:rPr>
          <w:rFonts w:ascii="David" w:hAnsi="David" w:cs="David" w:hint="cs"/>
          <w:b/>
          <w:bCs/>
          <w:sz w:val="32"/>
          <w:szCs w:val="32"/>
          <w:rtl/>
        </w:rPr>
        <w:t xml:space="preserve">מרחיב פערים או </w:t>
      </w:r>
      <w:r w:rsidRPr="00424596">
        <w:rPr>
          <w:rFonts w:ascii="David" w:hAnsi="David" w:cs="David" w:hint="cs"/>
          <w:b/>
          <w:bCs/>
          <w:sz w:val="32"/>
          <w:szCs w:val="32"/>
          <w:rtl/>
        </w:rPr>
        <w:t>ממתן</w:t>
      </w:r>
      <w:r>
        <w:rPr>
          <w:rFonts w:ascii="David" w:hAnsi="David" w:cs="David" w:hint="cs"/>
          <w:b/>
          <w:bCs/>
          <w:sz w:val="32"/>
          <w:szCs w:val="32"/>
          <w:rtl/>
        </w:rPr>
        <w:t xml:space="preserve"> אותם</w:t>
      </w:r>
      <w:r w:rsidRPr="00424596">
        <w:rPr>
          <w:rFonts w:ascii="David" w:hAnsi="David" w:cs="David" w:hint="cs"/>
          <w:b/>
          <w:bCs/>
          <w:sz w:val="32"/>
          <w:szCs w:val="32"/>
          <w:rtl/>
        </w:rPr>
        <w:t>?</w:t>
      </w:r>
      <w:r w:rsidRPr="00F21D96">
        <w:rPr>
          <w:rFonts w:ascii="David" w:hAnsi="David" w:cs="David" w:hint="cs"/>
          <w:rtl/>
        </w:rPr>
        <w:t xml:space="preserve"> </w:t>
      </w:r>
    </w:p>
    <w:p w14:paraId="638DD652" w14:textId="77777777" w:rsidR="00E13AB9" w:rsidRPr="009530A3" w:rsidRDefault="00E13AB9" w:rsidP="00E13AB9">
      <w:pPr>
        <w:pStyle w:val="NormalWeb"/>
        <w:bidi/>
        <w:spacing w:before="120" w:beforeAutospacing="0" w:after="120" w:afterAutospacing="0" w:line="312" w:lineRule="auto"/>
        <w:ind w:left="360"/>
        <w:jc w:val="both"/>
        <w:textAlignment w:val="baseline"/>
        <w:rPr>
          <w:rFonts w:ascii="David" w:hAnsi="David" w:cs="David"/>
          <w:color w:val="4472C4" w:themeColor="accent1"/>
          <w:rtl/>
        </w:rPr>
      </w:pPr>
      <w:r w:rsidRPr="009530A3">
        <w:rPr>
          <w:rFonts w:ascii="David" w:hAnsi="David" w:cs="David" w:hint="cs"/>
          <w:color w:val="4472C4" w:themeColor="accent1"/>
          <w:rtl/>
        </w:rPr>
        <w:t xml:space="preserve">חלק </w:t>
      </w:r>
      <w:r>
        <w:rPr>
          <w:rFonts w:ascii="David" w:hAnsi="David" w:cs="David" w:hint="cs"/>
          <w:color w:val="4472C4" w:themeColor="accent1"/>
          <w:rtl/>
        </w:rPr>
        <w:t xml:space="preserve">זה </w:t>
      </w:r>
      <w:r w:rsidRPr="009530A3">
        <w:rPr>
          <w:rFonts w:ascii="David" w:hAnsi="David" w:cs="David" w:hint="cs"/>
          <w:color w:val="4472C4" w:themeColor="accent1"/>
          <w:rtl/>
        </w:rPr>
        <w:t>י</w:t>
      </w:r>
      <w:r>
        <w:rPr>
          <w:rFonts w:ascii="David" w:hAnsi="David" w:cs="David" w:hint="cs"/>
          <w:color w:val="4472C4" w:themeColor="accent1"/>
          <w:rtl/>
        </w:rPr>
        <w:t xml:space="preserve">ציג את הגורמים הנבחרים שזוהו כתורמים לאי שוויון ברמת המאקרו </w:t>
      </w:r>
      <w:r>
        <w:rPr>
          <w:rFonts w:ascii="David" w:hAnsi="David" w:cs="David"/>
          <w:color w:val="4472C4" w:themeColor="accent1"/>
          <w:rtl/>
        </w:rPr>
        <w:t>–</w:t>
      </w:r>
      <w:r>
        <w:rPr>
          <w:rFonts w:ascii="David" w:hAnsi="David" w:cs="David" w:hint="cs"/>
          <w:color w:val="4472C4" w:themeColor="accent1"/>
          <w:rtl/>
        </w:rPr>
        <w:t xml:space="preserve"> בכלל מערכת החינוך וברשות המקומית בספרות המקצועית (תשומות/</w:t>
      </w:r>
      <w:r>
        <w:rPr>
          <w:rFonts w:ascii="David" w:hAnsi="David" w:cs="David"/>
          <w:color w:val="4472C4" w:themeColor="accent1"/>
        </w:rPr>
        <w:t>inputs</w:t>
      </w:r>
      <w:r>
        <w:rPr>
          <w:rFonts w:ascii="David" w:hAnsi="David" w:cs="David" w:hint="cs"/>
          <w:color w:val="4472C4" w:themeColor="accent1"/>
          <w:rtl/>
        </w:rPr>
        <w:t xml:space="preserve"> ותהליכים/</w:t>
      </w:r>
      <w:r>
        <w:rPr>
          <w:rFonts w:ascii="David" w:hAnsi="David" w:cs="David"/>
          <w:color w:val="4472C4" w:themeColor="accent1"/>
        </w:rPr>
        <w:t>processes</w:t>
      </w:r>
      <w:r>
        <w:rPr>
          <w:rFonts w:ascii="David" w:hAnsi="David" w:cs="David" w:hint="cs"/>
          <w:color w:val="4472C4" w:themeColor="accent1"/>
          <w:rtl/>
        </w:rPr>
        <w:t xml:space="preserve">) </w:t>
      </w:r>
    </w:p>
    <w:p w14:paraId="5363F183" w14:textId="77777777" w:rsidR="00E13AB9" w:rsidRDefault="00E13AB9" w:rsidP="00E13AB9">
      <w:pPr>
        <w:spacing w:before="120" w:after="120" w:line="312" w:lineRule="auto"/>
        <w:ind w:left="360"/>
        <w:rPr>
          <w:rFonts w:ascii="David" w:hAnsi="David" w:cs="David"/>
          <w:b/>
          <w:bCs/>
          <w:color w:val="FF0000"/>
          <w:sz w:val="28"/>
          <w:szCs w:val="28"/>
          <w:rtl/>
        </w:rPr>
      </w:pPr>
    </w:p>
    <w:p w14:paraId="3C3513BE" w14:textId="77777777" w:rsidR="00E13AB9" w:rsidRPr="007355B6" w:rsidRDefault="00E13AB9" w:rsidP="00E13AB9">
      <w:pPr>
        <w:spacing w:before="120" w:after="120" w:line="312" w:lineRule="auto"/>
        <w:ind w:left="360"/>
        <w:rPr>
          <w:rFonts w:ascii="David" w:hAnsi="David" w:cs="David"/>
          <w:rtl/>
        </w:rPr>
      </w:pPr>
      <w:r w:rsidRPr="007355B6">
        <w:rPr>
          <w:rFonts w:ascii="David" w:hAnsi="David" w:cs="David" w:hint="cs"/>
          <w:b/>
          <w:bCs/>
          <w:sz w:val="28"/>
          <w:szCs w:val="28"/>
          <w:rtl/>
        </w:rPr>
        <w:t>גורמים במערכת החינוך שזוהו כתורמים לאי שוויון</w:t>
      </w:r>
      <w:r w:rsidRPr="007355B6">
        <w:rPr>
          <w:rFonts w:ascii="David" w:hAnsi="David" w:cs="David" w:hint="cs"/>
          <w:b/>
          <w:bCs/>
          <w:rtl/>
        </w:rPr>
        <w:t xml:space="preserve"> </w:t>
      </w:r>
    </w:p>
    <w:p w14:paraId="5B43421A" w14:textId="77777777" w:rsidR="00E13AB9" w:rsidRPr="007355B6" w:rsidRDefault="00E13AB9" w:rsidP="00E13AB9">
      <w:pPr>
        <w:spacing w:before="120" w:after="120" w:line="312" w:lineRule="auto"/>
        <w:ind w:left="360"/>
        <w:rPr>
          <w:rFonts w:ascii="David" w:hAnsi="David" w:cs="David"/>
          <w:rtl/>
        </w:rPr>
      </w:pPr>
      <w:r w:rsidRPr="007355B6">
        <w:rPr>
          <w:rFonts w:ascii="David" w:hAnsi="David" w:cs="David" w:hint="cs"/>
          <w:rtl/>
        </w:rPr>
        <w:t>ברמת כלל המערכת והרשות המקומית: מדיניות וחלוקת משאבים</w:t>
      </w:r>
    </w:p>
    <w:p w14:paraId="3E4BD6BB" w14:textId="77777777" w:rsidR="00E13AB9" w:rsidRPr="007355B6" w:rsidRDefault="00E13AB9" w:rsidP="00E13AB9">
      <w:pPr>
        <w:pStyle w:val="NormalWeb"/>
        <w:bidi/>
        <w:spacing w:before="120" w:beforeAutospacing="0" w:after="120" w:afterAutospacing="0" w:line="312" w:lineRule="auto"/>
        <w:ind w:left="360"/>
        <w:jc w:val="both"/>
        <w:textAlignment w:val="baseline"/>
        <w:rPr>
          <w:rFonts w:ascii="David" w:hAnsi="David" w:cs="David"/>
          <w:sz w:val="22"/>
          <w:szCs w:val="22"/>
          <w:rtl/>
        </w:rPr>
      </w:pPr>
      <w:r w:rsidRPr="007355B6">
        <w:rPr>
          <w:rFonts w:ascii="David" w:hAnsi="David" w:cs="David" w:hint="cs"/>
          <w:b/>
          <w:bCs/>
          <w:rtl/>
        </w:rPr>
        <w:t>מדיניות ומשאבים</w:t>
      </w:r>
    </w:p>
    <w:p w14:paraId="7E79A45D" w14:textId="77777777" w:rsidR="00E13AB9" w:rsidRPr="007355B6" w:rsidRDefault="00E13AB9" w:rsidP="00E13AB9">
      <w:pPr>
        <w:pStyle w:val="NormalWeb"/>
        <w:bidi/>
        <w:spacing w:before="120" w:beforeAutospacing="0" w:after="120" w:afterAutospacing="0" w:line="312" w:lineRule="auto"/>
        <w:ind w:left="360"/>
        <w:jc w:val="both"/>
        <w:textAlignment w:val="baseline"/>
        <w:rPr>
          <w:rFonts w:ascii="David" w:hAnsi="David" w:cs="David"/>
          <w:rtl/>
        </w:rPr>
      </w:pPr>
      <w:r w:rsidRPr="007355B6">
        <w:rPr>
          <w:rFonts w:ascii="David" w:hAnsi="David" w:cs="David" w:hint="cs"/>
          <w:rtl/>
        </w:rPr>
        <w:t xml:space="preserve">תקציב המוקצה למערכת החינוך </w:t>
      </w:r>
      <w:r w:rsidRPr="007355B6">
        <w:rPr>
          <w:rFonts w:ascii="David" w:hAnsi="David" w:cs="David" w:hint="cs"/>
          <w:sz w:val="22"/>
          <w:szCs w:val="22"/>
          <w:rtl/>
        </w:rPr>
        <w:t>(ממשלה, רשות מקומית, מגזר שלישי, הורים)</w:t>
      </w:r>
    </w:p>
    <w:p w14:paraId="1BA37B39" w14:textId="77777777" w:rsidR="00E13AB9" w:rsidRPr="007355B6" w:rsidRDefault="00E13AB9" w:rsidP="00E13AB9">
      <w:pPr>
        <w:pStyle w:val="NormalWeb"/>
        <w:bidi/>
        <w:spacing w:before="120" w:beforeAutospacing="0" w:after="120" w:afterAutospacing="0" w:line="312" w:lineRule="auto"/>
        <w:ind w:left="360"/>
        <w:jc w:val="both"/>
        <w:textAlignment w:val="baseline"/>
        <w:rPr>
          <w:rFonts w:ascii="David" w:hAnsi="David" w:cs="David"/>
          <w:rtl/>
        </w:rPr>
      </w:pPr>
      <w:r>
        <w:rPr>
          <w:rFonts w:ascii="David" w:hAnsi="David" w:cs="David" w:hint="cs"/>
          <w:rtl/>
        </w:rPr>
        <w:t xml:space="preserve">עמדות ותפיסות </w:t>
      </w:r>
      <w:r w:rsidRPr="005D4E0E">
        <w:rPr>
          <w:rFonts w:ascii="David" w:hAnsi="David" w:cs="David" w:hint="cs"/>
          <w:sz w:val="22"/>
          <w:szCs w:val="22"/>
          <w:rtl/>
        </w:rPr>
        <w:t xml:space="preserve">(קידום הפרטה, </w:t>
      </w:r>
      <w:r>
        <w:rPr>
          <w:rFonts w:ascii="David" w:hAnsi="David" w:cs="David" w:hint="cs"/>
          <w:sz w:val="22"/>
          <w:szCs w:val="22"/>
          <w:rtl/>
        </w:rPr>
        <w:t xml:space="preserve">טיפוח מנהלים, </w:t>
      </w:r>
      <w:r w:rsidRPr="005D4E0E">
        <w:rPr>
          <w:rFonts w:ascii="David" w:hAnsi="David" w:cs="David" w:hint="cs"/>
          <w:sz w:val="22"/>
          <w:szCs w:val="22"/>
          <w:rtl/>
        </w:rPr>
        <w:t>אוטונומיה בית ספרית)</w:t>
      </w:r>
    </w:p>
    <w:p w14:paraId="69BB01DC" w14:textId="77777777" w:rsidR="00E13AB9" w:rsidRPr="00443E9B" w:rsidRDefault="00E13AB9" w:rsidP="00E13AB9">
      <w:pPr>
        <w:pStyle w:val="NormalWeb"/>
        <w:bidi/>
        <w:spacing w:before="120" w:beforeAutospacing="0" w:after="120" w:afterAutospacing="0" w:line="312" w:lineRule="auto"/>
        <w:ind w:left="360"/>
        <w:jc w:val="both"/>
        <w:textAlignment w:val="baseline"/>
        <w:rPr>
          <w:rFonts w:ascii="David" w:hAnsi="David" w:cs="David"/>
          <w:sz w:val="22"/>
          <w:szCs w:val="22"/>
          <w:rtl/>
        </w:rPr>
      </w:pPr>
      <w:r w:rsidRPr="007355B6">
        <w:rPr>
          <w:rFonts w:ascii="David" w:hAnsi="David" w:cs="David" w:hint="cs"/>
          <w:rtl/>
        </w:rPr>
        <w:t>רשות מקומית</w:t>
      </w:r>
      <w:r w:rsidRPr="007355B6">
        <w:rPr>
          <w:rFonts w:ascii="David" w:hAnsi="David" w:cs="David" w:hint="cs"/>
          <w:b/>
          <w:bCs/>
          <w:rtl/>
        </w:rPr>
        <w:t xml:space="preserve"> </w:t>
      </w:r>
      <w:r w:rsidRPr="007355B6">
        <w:rPr>
          <w:rFonts w:ascii="David" w:hAnsi="David" w:cs="David" w:hint="cs"/>
          <w:sz w:val="22"/>
          <w:szCs w:val="22"/>
          <w:rtl/>
        </w:rPr>
        <w:t>(</w:t>
      </w:r>
      <w:r>
        <w:rPr>
          <w:rFonts w:ascii="David" w:hAnsi="David" w:cs="David" w:hint="cs"/>
          <w:sz w:val="22"/>
          <w:szCs w:val="22"/>
          <w:rtl/>
        </w:rPr>
        <w:t xml:space="preserve">כולל סוגיות כמו </w:t>
      </w:r>
      <w:r w:rsidRPr="007355B6">
        <w:rPr>
          <w:rFonts w:ascii="David" w:hAnsi="David" w:cs="David" w:hint="cs"/>
          <w:sz w:val="22"/>
          <w:szCs w:val="22"/>
          <w:rtl/>
        </w:rPr>
        <w:t>סדרי עדיפויות, איגום משאבים, יכולת לבחור בית ספר</w:t>
      </w:r>
      <w:r w:rsidRPr="00012869">
        <w:rPr>
          <w:rFonts w:ascii="David" w:hAnsi="David" w:cs="David" w:hint="cs"/>
          <w:sz w:val="22"/>
          <w:szCs w:val="22"/>
          <w:rtl/>
        </w:rPr>
        <w:t xml:space="preserve"> </w:t>
      </w:r>
      <w:r w:rsidRPr="007355B6">
        <w:rPr>
          <w:rFonts w:ascii="David" w:hAnsi="David" w:cs="David" w:hint="cs"/>
          <w:sz w:val="22"/>
          <w:szCs w:val="22"/>
          <w:rtl/>
        </w:rPr>
        <w:t>נגישות למסגרות לגיל הרך ולמוסדות להשכלה גבוהה</w:t>
      </w:r>
      <w:r>
        <w:rPr>
          <w:rFonts w:ascii="David" w:hAnsi="David" w:cs="David" w:hint="cs"/>
          <w:sz w:val="22"/>
          <w:szCs w:val="22"/>
          <w:rtl/>
        </w:rPr>
        <w:t>, נגישות לשירותים חברתיים)</w:t>
      </w:r>
    </w:p>
    <w:p w14:paraId="74446961" w14:textId="77777777" w:rsidR="00E13AB9" w:rsidRDefault="00E13AB9" w:rsidP="0060442F">
      <w:pPr>
        <w:spacing w:before="120" w:after="120" w:line="312" w:lineRule="auto"/>
        <w:rPr>
          <w:rFonts w:ascii="David" w:hAnsi="David" w:cs="David"/>
          <w:color w:val="4472C4" w:themeColor="accent1"/>
          <w:sz w:val="28"/>
          <w:szCs w:val="28"/>
          <w:rtl/>
        </w:rPr>
      </w:pPr>
    </w:p>
    <w:p w14:paraId="6E78E145" w14:textId="04539E3C" w:rsidR="00E13AB9" w:rsidRPr="00B502EC" w:rsidRDefault="00B502EC" w:rsidP="0060442F">
      <w:pPr>
        <w:spacing w:before="120" w:after="120" w:line="312" w:lineRule="auto"/>
        <w:rPr>
          <w:rFonts w:ascii="David" w:hAnsi="David" w:cs="David"/>
          <w:color w:val="4472C4" w:themeColor="accent1"/>
          <w:sz w:val="28"/>
          <w:szCs w:val="28"/>
          <w:rtl/>
        </w:rPr>
      </w:pPr>
      <w:r w:rsidRPr="00B502EC">
        <w:rPr>
          <w:rFonts w:ascii="David" w:hAnsi="David" w:cs="David" w:hint="cs"/>
          <w:b/>
          <w:bCs/>
          <w:sz w:val="24"/>
          <w:szCs w:val="24"/>
          <w:rtl/>
        </w:rPr>
        <w:t>חינוך חינם לגיל הרך אתגרים וחלופות מדיניות</w:t>
      </w:r>
      <w:r>
        <w:rPr>
          <w:rFonts w:ascii="David" w:hAnsi="David" w:cs="David" w:hint="cs"/>
          <w:color w:val="4472C4" w:themeColor="accent1"/>
          <w:sz w:val="28"/>
          <w:szCs w:val="28"/>
          <w:rtl/>
        </w:rPr>
        <w:t xml:space="preserve">, מרכז </w:t>
      </w:r>
      <w:proofErr w:type="spellStart"/>
      <w:r>
        <w:rPr>
          <w:rFonts w:ascii="David" w:hAnsi="David" w:cs="David" w:hint="cs"/>
          <w:color w:val="4472C4" w:themeColor="accent1"/>
          <w:sz w:val="28"/>
          <w:szCs w:val="28"/>
          <w:rtl/>
        </w:rPr>
        <w:t>טאוב</w:t>
      </w:r>
      <w:proofErr w:type="spellEnd"/>
      <w:r>
        <w:rPr>
          <w:rFonts w:ascii="David" w:hAnsi="David" w:cs="David" w:hint="cs"/>
          <w:color w:val="4472C4" w:themeColor="accent1"/>
          <w:sz w:val="28"/>
          <w:szCs w:val="28"/>
          <w:rtl/>
        </w:rPr>
        <w:t xml:space="preserve">. </w:t>
      </w:r>
      <w:r w:rsidRPr="00B502EC">
        <w:rPr>
          <w:rFonts w:ascii="David" w:hAnsi="David" w:cs="David" w:hint="cs"/>
          <w:color w:val="4472C4" w:themeColor="accent1"/>
          <w:sz w:val="28"/>
          <w:szCs w:val="28"/>
          <w:rtl/>
        </w:rPr>
        <w:t xml:space="preserve"> </w:t>
      </w:r>
    </w:p>
    <w:p w14:paraId="2AE6EB49" w14:textId="77777777" w:rsidR="00E13AB9" w:rsidRDefault="00E13AB9" w:rsidP="0060442F">
      <w:pPr>
        <w:spacing w:before="120" w:after="120" w:line="312" w:lineRule="auto"/>
        <w:rPr>
          <w:rFonts w:ascii="David" w:hAnsi="David" w:cs="David"/>
          <w:color w:val="4472C4" w:themeColor="accent1"/>
          <w:sz w:val="28"/>
          <w:szCs w:val="28"/>
          <w:rtl/>
        </w:rPr>
      </w:pPr>
    </w:p>
    <w:p w14:paraId="0B4B2155" w14:textId="77777777" w:rsidR="006C4A38" w:rsidRDefault="006C4A38" w:rsidP="006C4A38">
      <w:pPr>
        <w:spacing w:before="120" w:after="120" w:line="312" w:lineRule="auto"/>
        <w:rPr>
          <w:rFonts w:ascii="David" w:hAnsi="David" w:cs="David"/>
          <w:color w:val="4472C4" w:themeColor="accent1"/>
          <w:sz w:val="28"/>
          <w:szCs w:val="28"/>
          <w:rtl/>
        </w:rPr>
      </w:pPr>
      <w:r>
        <w:rPr>
          <w:rFonts w:ascii="David" w:hAnsi="David" w:cs="David" w:hint="cs"/>
          <w:color w:val="4472C4" w:themeColor="accent1"/>
          <w:sz w:val="28"/>
          <w:szCs w:val="28"/>
          <w:rtl/>
        </w:rPr>
        <w:t>אי שוויון ממסדי (תקציב, ייצוג בתפקידים בכירים, פיתוח והתאמה של תכנים ותוכניות לימודים)</w:t>
      </w:r>
    </w:p>
    <w:p w14:paraId="356553C3" w14:textId="693E3E3A" w:rsidR="006C4A38" w:rsidRDefault="00631422" w:rsidP="0060442F">
      <w:pPr>
        <w:spacing w:before="120" w:after="120" w:line="312" w:lineRule="auto"/>
        <w:rPr>
          <w:rFonts w:ascii="David" w:hAnsi="David" w:cs="David"/>
          <w:sz w:val="24"/>
          <w:szCs w:val="24"/>
          <w:rtl/>
        </w:rPr>
      </w:pPr>
      <w:r>
        <w:rPr>
          <w:rFonts w:ascii="David" w:hAnsi="David" w:cs="David" w:hint="cs"/>
          <w:sz w:val="24"/>
          <w:szCs w:val="24"/>
          <w:rtl/>
        </w:rPr>
        <w:t xml:space="preserve">הפרטה, בחירה ושוויון בחינוך (איילון ואחרים, </w:t>
      </w:r>
      <w:r w:rsidR="001764A4">
        <w:rPr>
          <w:rFonts w:ascii="David" w:hAnsi="David" w:cs="David" w:hint="cs"/>
          <w:sz w:val="24"/>
          <w:szCs w:val="24"/>
          <w:rtl/>
        </w:rPr>
        <w:t xml:space="preserve">, </w:t>
      </w:r>
      <w:r>
        <w:rPr>
          <w:rFonts w:ascii="David" w:hAnsi="David" w:cs="David" w:hint="cs"/>
          <w:sz w:val="24"/>
          <w:szCs w:val="24"/>
          <w:rtl/>
        </w:rPr>
        <w:t>2019</w:t>
      </w:r>
      <w:r w:rsidR="001764A4">
        <w:rPr>
          <w:rFonts w:ascii="David" w:hAnsi="David" w:cs="David" w:hint="cs"/>
          <w:sz w:val="24"/>
          <w:szCs w:val="24"/>
          <w:rtl/>
        </w:rPr>
        <w:t>, עמ' 37</w:t>
      </w:r>
      <w:r>
        <w:rPr>
          <w:rFonts w:ascii="David" w:hAnsi="David" w:cs="David" w:hint="cs"/>
          <w:sz w:val="24"/>
          <w:szCs w:val="24"/>
          <w:rtl/>
        </w:rPr>
        <w:t>)</w:t>
      </w:r>
    </w:p>
    <w:p w14:paraId="00A0A519" w14:textId="77777777" w:rsidR="00EC57EC" w:rsidRDefault="00EC57EC" w:rsidP="0060442F">
      <w:pPr>
        <w:spacing w:before="120" w:after="120" w:line="312" w:lineRule="auto"/>
        <w:rPr>
          <w:rFonts w:ascii="David" w:hAnsi="David" w:cs="David" w:hint="cs"/>
          <w:sz w:val="24"/>
          <w:szCs w:val="24"/>
          <w:rtl/>
        </w:rPr>
      </w:pPr>
    </w:p>
    <w:p w14:paraId="4BA5E697" w14:textId="5B53E78F" w:rsidR="00F96403" w:rsidRPr="00EC57EC" w:rsidRDefault="00430A9C" w:rsidP="00EC57EC">
      <w:pPr>
        <w:spacing w:before="120" w:after="120" w:line="312" w:lineRule="auto"/>
        <w:rPr>
          <w:rFonts w:ascii="David" w:hAnsi="David" w:cs="David"/>
          <w:sz w:val="24"/>
          <w:szCs w:val="24"/>
        </w:rPr>
      </w:pPr>
      <w:hyperlink r:id="rId17" w:history="1">
        <w:r w:rsidR="00EC57EC" w:rsidRPr="0036584F">
          <w:rPr>
            <w:rStyle w:val="Hyperlink"/>
            <w:rFonts w:ascii="David" w:hAnsi="David" w:cs="David"/>
            <w:sz w:val="24"/>
            <w:szCs w:val="24"/>
          </w:rPr>
          <w:t>https://edu.gov.il/sites/MinhalCalcala/economicandstatistics/main-info/Pages/data-summary.aspx</w:t>
        </w:r>
      </w:hyperlink>
      <w:r w:rsidR="00F96403">
        <w:rPr>
          <w:rFonts w:ascii="Assistant" w:hAnsi="Assistant" w:cs="Assistant" w:hint="cs"/>
          <w:color w:val="048FA4"/>
          <w:sz w:val="33"/>
          <w:szCs w:val="33"/>
        </w:rPr>
        <w:br/>
      </w:r>
      <w:r w:rsidR="00F96403">
        <w:rPr>
          <w:rFonts w:ascii="Assistant" w:hAnsi="Assistant" w:cs="Assistant" w:hint="cs"/>
          <w:color w:val="048FA4"/>
          <w:sz w:val="33"/>
          <w:szCs w:val="33"/>
          <w:rtl/>
        </w:rPr>
        <w:t>פרק ב - נתונים כלכליים על מערכת החינוך</w:t>
      </w:r>
    </w:p>
    <w:p w14:paraId="368C1429" w14:textId="7BD4199F" w:rsidR="00F96403" w:rsidRDefault="00430A9C" w:rsidP="00F96403">
      <w:pPr>
        <w:pStyle w:val="3"/>
        <w:rPr>
          <w:rFonts w:ascii="Assistant" w:hAnsi="Assistant" w:cs="Assistant"/>
          <w:color w:val="048FA4"/>
          <w:sz w:val="33"/>
          <w:szCs w:val="33"/>
        </w:rPr>
      </w:pPr>
      <w:hyperlink r:id="rId18" w:tgtFrame="_blank" w:history="1">
        <w:r w:rsidR="00F96403">
          <w:rPr>
            <w:rFonts w:ascii="Assistant" w:hAnsi="Assistant" w:cs="Assistant"/>
            <w:noProof/>
            <w:color w:val="1C4F7E"/>
            <w:sz w:val="33"/>
            <w:szCs w:val="33"/>
          </w:rPr>
          <w:drawing>
            <wp:inline distT="0" distB="0" distL="0" distR="0" wp14:anchorId="14278855" wp14:editId="0F4C43DC">
              <wp:extent cx="152400" cy="152400"/>
              <wp:effectExtent l="0" t="0" r="0" b="0"/>
              <wp:docPr id="261602133" name="תמונה 8">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96403">
          <w:rPr>
            <w:rStyle w:val="Hyperlink"/>
            <w:rFonts w:ascii="Assistant" w:hAnsi="Assistant" w:cs="Assistant" w:hint="cs"/>
            <w:color w:val="1C4F7E"/>
            <w:sz w:val="33"/>
            <w:szCs w:val="33"/>
            <w:u w:val="none"/>
            <w:rtl/>
          </w:rPr>
          <w:t>בפרק זה מוצגים, בין היתר, הנושאים הבאים</w:t>
        </w:r>
      </w:hyperlink>
      <w:r w:rsidR="00F96403">
        <w:rPr>
          <w:rFonts w:ascii="Assistant" w:hAnsi="Assistant" w:cs="Assistant" w:hint="cs"/>
          <w:color w:val="048FA4"/>
          <w:sz w:val="33"/>
          <w:szCs w:val="33"/>
        </w:rPr>
        <w:t>:</w:t>
      </w:r>
    </w:p>
    <w:p w14:paraId="36EE328D" w14:textId="77777777" w:rsidR="00F96403" w:rsidRDefault="00F96403" w:rsidP="00F96403">
      <w:pPr>
        <w:numPr>
          <w:ilvl w:val="0"/>
          <w:numId w:val="4"/>
        </w:numPr>
        <w:bidi w:val="0"/>
        <w:spacing w:before="100" w:beforeAutospacing="1" w:after="100" w:afterAutospacing="1" w:line="240" w:lineRule="auto"/>
        <w:rPr>
          <w:rFonts w:ascii="Assistant" w:hAnsi="Assistant" w:cs="Assistant"/>
          <w:color w:val="333333"/>
          <w:sz w:val="26"/>
          <w:szCs w:val="26"/>
        </w:rPr>
      </w:pPr>
      <w:r>
        <w:rPr>
          <w:rFonts w:ascii="Assistant" w:hAnsi="Assistant" w:cs="Assistant" w:hint="cs"/>
          <w:color w:val="333333"/>
          <w:sz w:val="26"/>
          <w:szCs w:val="26"/>
          <w:rtl/>
        </w:rPr>
        <w:t>תקציב משרד החינוך</w:t>
      </w:r>
    </w:p>
    <w:p w14:paraId="6B1613E7" w14:textId="77777777" w:rsidR="00F96403" w:rsidRDefault="00F96403" w:rsidP="00F96403">
      <w:pPr>
        <w:numPr>
          <w:ilvl w:val="0"/>
          <w:numId w:val="4"/>
        </w:numPr>
        <w:bidi w:val="0"/>
        <w:spacing w:before="100" w:beforeAutospacing="1" w:after="100" w:afterAutospacing="1" w:line="240" w:lineRule="auto"/>
        <w:rPr>
          <w:rFonts w:ascii="Assistant" w:hAnsi="Assistant" w:cs="Assistant"/>
          <w:color w:val="333333"/>
          <w:sz w:val="26"/>
          <w:szCs w:val="26"/>
        </w:rPr>
      </w:pPr>
      <w:r>
        <w:rPr>
          <w:rFonts w:ascii="Assistant" w:hAnsi="Assistant" w:cs="Assistant" w:hint="cs"/>
          <w:color w:val="333333"/>
          <w:sz w:val="26"/>
          <w:szCs w:val="26"/>
          <w:rtl/>
        </w:rPr>
        <w:t>שכר המורים</w:t>
      </w:r>
    </w:p>
    <w:p w14:paraId="4906661A" w14:textId="77777777" w:rsidR="00F96403" w:rsidRDefault="00F96403" w:rsidP="00F96403">
      <w:pPr>
        <w:numPr>
          <w:ilvl w:val="0"/>
          <w:numId w:val="4"/>
        </w:numPr>
        <w:bidi w:val="0"/>
        <w:spacing w:before="100" w:beforeAutospacing="1" w:after="100" w:afterAutospacing="1" w:line="240" w:lineRule="auto"/>
        <w:rPr>
          <w:rFonts w:ascii="Assistant" w:hAnsi="Assistant" w:cs="Assistant"/>
          <w:color w:val="333333"/>
          <w:sz w:val="26"/>
          <w:szCs w:val="26"/>
        </w:rPr>
      </w:pPr>
      <w:r>
        <w:rPr>
          <w:rFonts w:ascii="Assistant" w:hAnsi="Assistant" w:cs="Assistant" w:hint="cs"/>
          <w:color w:val="333333"/>
          <w:sz w:val="26"/>
          <w:szCs w:val="26"/>
          <w:rtl/>
        </w:rPr>
        <w:t>ההוצאה הלאומית לחינוך</w:t>
      </w:r>
    </w:p>
    <w:p w14:paraId="1587BD8D" w14:textId="77777777" w:rsidR="00F96403" w:rsidRDefault="00F96403" w:rsidP="00F96403">
      <w:pPr>
        <w:numPr>
          <w:ilvl w:val="0"/>
          <w:numId w:val="4"/>
        </w:numPr>
        <w:bidi w:val="0"/>
        <w:spacing w:before="100" w:beforeAutospacing="1" w:after="100" w:afterAutospacing="1" w:line="240" w:lineRule="auto"/>
        <w:rPr>
          <w:rFonts w:ascii="Assistant" w:hAnsi="Assistant" w:cs="Assistant"/>
          <w:color w:val="333333"/>
          <w:sz w:val="26"/>
          <w:szCs w:val="26"/>
        </w:rPr>
      </w:pPr>
      <w:r>
        <w:rPr>
          <w:rFonts w:ascii="Assistant" w:hAnsi="Assistant" w:cs="Assistant" w:hint="cs"/>
          <w:color w:val="333333"/>
          <w:sz w:val="26"/>
          <w:szCs w:val="26"/>
          <w:rtl/>
        </w:rPr>
        <w:t>ההוצאות לחינוך של משקי בית</w:t>
      </w:r>
    </w:p>
    <w:p w14:paraId="0C55A398" w14:textId="77777777" w:rsidR="00FB0A88" w:rsidRPr="00B93314" w:rsidRDefault="00FB0A88" w:rsidP="0060442F">
      <w:pPr>
        <w:spacing w:before="120" w:after="120" w:line="312" w:lineRule="auto"/>
        <w:rPr>
          <w:rFonts w:ascii="David" w:hAnsi="David" w:cs="David"/>
          <w:sz w:val="24"/>
          <w:szCs w:val="24"/>
          <w:rtl/>
        </w:rPr>
      </w:pPr>
    </w:p>
    <w:p w14:paraId="2C21E61B" w14:textId="6FEDBF0D" w:rsidR="002A0226" w:rsidRDefault="002A0226" w:rsidP="0060442F">
      <w:pPr>
        <w:spacing w:before="120" w:after="120" w:line="312" w:lineRule="auto"/>
        <w:rPr>
          <w:rFonts w:ascii="David" w:hAnsi="David" w:cs="David"/>
          <w:color w:val="4472C4" w:themeColor="accent1"/>
          <w:sz w:val="28"/>
          <w:szCs w:val="28"/>
          <w:rtl/>
        </w:rPr>
      </w:pPr>
    </w:p>
    <w:p w14:paraId="3DD4E8B0" w14:textId="43BDB3C9" w:rsidR="002A0226" w:rsidRDefault="00D379A7" w:rsidP="0060442F">
      <w:pPr>
        <w:spacing w:before="120" w:after="120" w:line="312" w:lineRule="auto"/>
        <w:rPr>
          <w:rFonts w:ascii="David" w:hAnsi="David" w:cs="David"/>
          <w:color w:val="4472C4" w:themeColor="accent1"/>
          <w:sz w:val="28"/>
          <w:szCs w:val="28"/>
          <w:rtl/>
        </w:rPr>
      </w:pPr>
      <w:r>
        <w:rPr>
          <w:rFonts w:ascii="David" w:hAnsi="David" w:cs="David" w:hint="cs"/>
          <w:color w:val="4472C4" w:themeColor="accent1"/>
          <w:sz w:val="28"/>
          <w:szCs w:val="28"/>
          <w:rtl/>
        </w:rPr>
        <w:t>בית הספר כמיקרו-קוסמוס של אי שוויון וריבוד</w:t>
      </w:r>
    </w:p>
    <w:p w14:paraId="21DB2D51" w14:textId="2441F626" w:rsidR="00D379A7" w:rsidRDefault="000C2618" w:rsidP="0060442F">
      <w:pPr>
        <w:spacing w:before="120" w:after="120" w:line="312" w:lineRule="auto"/>
        <w:rPr>
          <w:rFonts w:ascii="David" w:hAnsi="David" w:cs="David"/>
          <w:sz w:val="24"/>
          <w:szCs w:val="24"/>
          <w:rtl/>
        </w:rPr>
      </w:pPr>
      <w:r>
        <w:rPr>
          <w:rFonts w:ascii="David" w:hAnsi="David" w:cs="David" w:hint="cs"/>
          <w:sz w:val="24"/>
          <w:szCs w:val="24"/>
          <w:rtl/>
        </w:rPr>
        <w:t>אי שוויון כלכלי והשלכותיו (איילון ואחרים, 2019, עמ' 33)</w:t>
      </w:r>
    </w:p>
    <w:p w14:paraId="61F85E22" w14:textId="7E052F0E" w:rsidR="000C2618" w:rsidRPr="000C2618" w:rsidRDefault="008554D0" w:rsidP="0060442F">
      <w:pPr>
        <w:spacing w:before="120" w:after="120" w:line="312" w:lineRule="auto"/>
        <w:rPr>
          <w:rFonts w:ascii="David" w:hAnsi="David" w:cs="David"/>
          <w:sz w:val="24"/>
          <w:szCs w:val="24"/>
          <w:rtl/>
        </w:rPr>
      </w:pPr>
      <w:r>
        <w:rPr>
          <w:rFonts w:ascii="David" w:hAnsi="David" w:cs="David" w:hint="cs"/>
          <w:sz w:val="24"/>
          <w:szCs w:val="24"/>
          <w:rtl/>
        </w:rPr>
        <w:t>הון תרבותי (איילון ואחרים, 2019, עמ' 34)</w:t>
      </w:r>
    </w:p>
    <w:p w14:paraId="36376112" w14:textId="77777777" w:rsidR="002A0226" w:rsidRDefault="002A0226" w:rsidP="0060442F">
      <w:pPr>
        <w:spacing w:before="120" w:after="120" w:line="312" w:lineRule="auto"/>
        <w:rPr>
          <w:rFonts w:ascii="David" w:hAnsi="David" w:cs="David"/>
          <w:color w:val="4472C4" w:themeColor="accent1"/>
          <w:sz w:val="28"/>
          <w:szCs w:val="28"/>
          <w:rtl/>
        </w:rPr>
      </w:pPr>
    </w:p>
    <w:p w14:paraId="0D8B0EFD" w14:textId="77777777" w:rsidR="002A0226" w:rsidRDefault="002A0226" w:rsidP="0060442F">
      <w:pPr>
        <w:spacing w:before="120" w:after="120" w:line="312" w:lineRule="auto"/>
        <w:rPr>
          <w:rFonts w:ascii="David" w:hAnsi="David" w:cs="David"/>
          <w:color w:val="4472C4" w:themeColor="accent1"/>
          <w:sz w:val="28"/>
          <w:szCs w:val="28"/>
          <w:rtl/>
        </w:rPr>
      </w:pPr>
    </w:p>
    <w:p w14:paraId="0A97EC04" w14:textId="57AFB9BA" w:rsidR="005A76A3" w:rsidRDefault="004A40D3" w:rsidP="0060442F">
      <w:pPr>
        <w:spacing w:before="120" w:after="120" w:line="312" w:lineRule="auto"/>
        <w:rPr>
          <w:rFonts w:ascii="David" w:hAnsi="David" w:cs="David"/>
          <w:color w:val="4472C4" w:themeColor="accent1"/>
          <w:sz w:val="28"/>
          <w:szCs w:val="28"/>
          <w:rtl/>
        </w:rPr>
      </w:pPr>
      <w:r>
        <w:rPr>
          <w:rFonts w:ascii="David" w:hAnsi="David" w:cs="David" w:hint="cs"/>
          <w:color w:val="4472C4" w:themeColor="accent1"/>
          <w:sz w:val="28"/>
          <w:szCs w:val="28"/>
          <w:rtl/>
        </w:rPr>
        <w:t>מדידת אי שוויון במערכת החינוך</w:t>
      </w:r>
    </w:p>
    <w:p w14:paraId="3DE5B49E" w14:textId="0A8647B8" w:rsidR="008B11FC" w:rsidRDefault="004A40D3" w:rsidP="008B11FC">
      <w:pPr>
        <w:spacing w:before="120" w:after="120" w:line="312" w:lineRule="auto"/>
        <w:rPr>
          <w:rFonts w:ascii="David" w:hAnsi="David" w:cs="David"/>
          <w:sz w:val="24"/>
          <w:szCs w:val="24"/>
          <w:rtl/>
        </w:rPr>
      </w:pPr>
      <w:r>
        <w:rPr>
          <w:rFonts w:ascii="David" w:hAnsi="David" w:cs="David" w:hint="cs"/>
          <w:sz w:val="24"/>
          <w:szCs w:val="24"/>
          <w:rtl/>
        </w:rPr>
        <w:t>דדון-גולן, ז'</w:t>
      </w:r>
      <w:r w:rsidR="00453F30">
        <w:rPr>
          <w:rFonts w:ascii="David" w:hAnsi="David" w:cs="David" w:hint="cs"/>
          <w:sz w:val="24"/>
          <w:szCs w:val="24"/>
          <w:rtl/>
        </w:rPr>
        <w:t xml:space="preserve"> (2016) מדידת אי השוויון בחינוך במדינת ישראל. חיבור לשם קבלת דוקטור לפילוסופיה. בית הספר לחינוך, אוניברסיטת בר אילן</w:t>
      </w:r>
      <w:r w:rsidR="008B11FC">
        <w:rPr>
          <w:rFonts w:ascii="David" w:hAnsi="David" w:cs="David" w:hint="cs"/>
          <w:sz w:val="24"/>
          <w:szCs w:val="24"/>
          <w:rtl/>
        </w:rPr>
        <w:t xml:space="preserve">. </w:t>
      </w:r>
    </w:p>
    <w:p w14:paraId="7454D409" w14:textId="208C6676" w:rsidR="009B7B00" w:rsidRDefault="008B11FC" w:rsidP="008B11FC">
      <w:pPr>
        <w:spacing w:before="120" w:after="120" w:line="312" w:lineRule="auto"/>
        <w:rPr>
          <w:rFonts w:ascii="David" w:hAnsi="David" w:cs="David"/>
          <w:sz w:val="24"/>
          <w:szCs w:val="24"/>
          <w:rtl/>
        </w:rPr>
      </w:pPr>
      <w:r>
        <w:rPr>
          <w:rFonts w:ascii="David" w:hAnsi="David" w:cs="David" w:hint="cs"/>
          <w:sz w:val="24"/>
          <w:szCs w:val="24"/>
          <w:rtl/>
        </w:rPr>
        <w:t>איילון, ואחרים, 20</w:t>
      </w:r>
      <w:r w:rsidR="00061ECE">
        <w:rPr>
          <w:rFonts w:ascii="David" w:hAnsi="David" w:cs="David" w:hint="cs"/>
          <w:sz w:val="24"/>
          <w:szCs w:val="24"/>
          <w:rtl/>
        </w:rPr>
        <w:t>19</w:t>
      </w:r>
      <w:r>
        <w:rPr>
          <w:rFonts w:ascii="David" w:hAnsi="David" w:cs="David" w:hint="cs"/>
          <w:sz w:val="24"/>
          <w:szCs w:val="24"/>
          <w:rtl/>
        </w:rPr>
        <w:t xml:space="preserve">). אי שוויון בחינוך ממחקר למדיניות. </w:t>
      </w:r>
    </w:p>
    <w:p w14:paraId="4D96AAD2" w14:textId="77777777" w:rsidR="00DE74D1" w:rsidRDefault="00AC2FD3" w:rsidP="008B11FC">
      <w:pPr>
        <w:spacing w:before="120" w:after="120" w:line="312" w:lineRule="auto"/>
        <w:rPr>
          <w:rFonts w:ascii="David" w:hAnsi="David" w:cs="David"/>
          <w:sz w:val="24"/>
          <w:szCs w:val="24"/>
          <w:rtl/>
        </w:rPr>
      </w:pPr>
      <w:r>
        <w:rPr>
          <w:rFonts w:ascii="David" w:hAnsi="David" w:cs="David" w:hint="cs"/>
          <w:sz w:val="24"/>
          <w:szCs w:val="24"/>
          <w:rtl/>
        </w:rPr>
        <w:t xml:space="preserve">אבו-סעד, א' (2021). </w:t>
      </w:r>
      <w:r w:rsidRPr="00AC2FD3">
        <w:rPr>
          <w:rFonts w:ascii="David" w:hAnsi="David" w:cs="David" w:hint="cs"/>
          <w:b/>
          <w:bCs/>
          <w:sz w:val="24"/>
          <w:szCs w:val="24"/>
          <w:rtl/>
        </w:rPr>
        <w:t>משולש אי-שוויון במערכת החינוך הערבית בישראל</w:t>
      </w:r>
      <w:r>
        <w:rPr>
          <w:rFonts w:ascii="David" w:hAnsi="David" w:cs="David" w:hint="cs"/>
          <w:sz w:val="24"/>
          <w:szCs w:val="24"/>
          <w:rtl/>
        </w:rPr>
        <w:t xml:space="preserve">. </w:t>
      </w:r>
      <w:r w:rsidR="00DE74D1">
        <w:rPr>
          <w:rFonts w:ascii="David" w:hAnsi="David" w:cs="David" w:hint="cs"/>
          <w:sz w:val="24"/>
          <w:szCs w:val="24"/>
          <w:rtl/>
        </w:rPr>
        <w:t>המכון הישראלי לדמוקרטיה.</w:t>
      </w:r>
    </w:p>
    <w:p w14:paraId="55080527" w14:textId="3C319D31" w:rsidR="008B11FC" w:rsidRDefault="00DE74D1" w:rsidP="008B11FC">
      <w:pPr>
        <w:spacing w:before="120" w:after="120" w:line="312" w:lineRule="auto"/>
        <w:rPr>
          <w:rFonts w:ascii="David" w:hAnsi="David" w:cs="David"/>
          <w:sz w:val="24"/>
          <w:szCs w:val="24"/>
          <w:rtl/>
        </w:rPr>
      </w:pPr>
      <w:r>
        <w:rPr>
          <w:rFonts w:ascii="David" w:hAnsi="David" w:cs="David" w:hint="cs"/>
          <w:sz w:val="24"/>
          <w:szCs w:val="24"/>
          <w:rtl/>
        </w:rPr>
        <w:t>אי שוויון ממסדי</w:t>
      </w:r>
      <w:r w:rsidR="00DE6588">
        <w:rPr>
          <w:rFonts w:ascii="David" w:hAnsi="David" w:cs="David" w:hint="cs"/>
          <w:sz w:val="24"/>
          <w:szCs w:val="24"/>
          <w:rtl/>
        </w:rPr>
        <w:t xml:space="preserve">: אי שוויון תקציבי, </w:t>
      </w:r>
      <w:r w:rsidR="00892F08">
        <w:rPr>
          <w:rFonts w:ascii="David" w:hAnsi="David" w:cs="David" w:hint="cs"/>
          <w:sz w:val="24"/>
          <w:szCs w:val="24"/>
          <w:rtl/>
        </w:rPr>
        <w:t xml:space="preserve">אי שוויון ייצוגי בפיקוח ובניהול מערכת החינוך, כולל </w:t>
      </w:r>
      <w:r w:rsidR="00DE6588">
        <w:rPr>
          <w:rFonts w:ascii="David" w:hAnsi="David" w:cs="David" w:hint="cs"/>
          <w:sz w:val="24"/>
          <w:szCs w:val="24"/>
          <w:rtl/>
        </w:rPr>
        <w:t xml:space="preserve">אי שוויון בייצוג בתפקידים בכירים במערכת החינוך, </w:t>
      </w:r>
      <w:r w:rsidR="00892F08">
        <w:rPr>
          <w:rFonts w:ascii="David" w:hAnsi="David" w:cs="David" w:hint="cs"/>
          <w:sz w:val="24"/>
          <w:szCs w:val="24"/>
          <w:rtl/>
        </w:rPr>
        <w:t>ואי שוויון בתכנים לימודיים ותוכניות לימו</w:t>
      </w:r>
      <w:r w:rsidR="002F4A51">
        <w:rPr>
          <w:rFonts w:ascii="David" w:hAnsi="David" w:cs="David" w:hint="cs"/>
          <w:sz w:val="24"/>
          <w:szCs w:val="24"/>
          <w:rtl/>
        </w:rPr>
        <w:t xml:space="preserve">דים. </w:t>
      </w:r>
      <w:r w:rsidR="00AC2FD3">
        <w:rPr>
          <w:rFonts w:ascii="David" w:hAnsi="David" w:cs="David" w:hint="cs"/>
          <w:sz w:val="24"/>
          <w:szCs w:val="24"/>
          <w:rtl/>
        </w:rPr>
        <w:t xml:space="preserve"> </w:t>
      </w:r>
      <w:r w:rsidR="008B11FC">
        <w:rPr>
          <w:rFonts w:ascii="David" w:hAnsi="David" w:cs="David" w:hint="cs"/>
          <w:sz w:val="24"/>
          <w:szCs w:val="24"/>
          <w:rtl/>
        </w:rPr>
        <w:t xml:space="preserve"> </w:t>
      </w:r>
    </w:p>
    <w:p w14:paraId="5F3CFA03" w14:textId="3D9CB8D9" w:rsidR="00697304" w:rsidRPr="004A40D3" w:rsidRDefault="00C42CB7" w:rsidP="00375B88">
      <w:pPr>
        <w:bidi w:val="0"/>
        <w:spacing w:before="120" w:after="120" w:line="312" w:lineRule="auto"/>
        <w:rPr>
          <w:rFonts w:ascii="David" w:hAnsi="David" w:cs="David"/>
          <w:sz w:val="24"/>
          <w:szCs w:val="24"/>
        </w:rPr>
      </w:pPr>
      <w:r w:rsidRPr="00C42CB7">
        <w:rPr>
          <w:rFonts w:ascii="David" w:hAnsi="David" w:cs="David"/>
          <w:sz w:val="24"/>
          <w:szCs w:val="24"/>
        </w:rPr>
        <w:t xml:space="preserve">Manos </w:t>
      </w:r>
      <w:proofErr w:type="spellStart"/>
      <w:r w:rsidRPr="00C42CB7">
        <w:rPr>
          <w:rFonts w:ascii="David" w:hAnsi="David" w:cs="David"/>
          <w:sz w:val="24"/>
          <w:szCs w:val="24"/>
        </w:rPr>
        <w:t>Antoninis</w:t>
      </w:r>
      <w:proofErr w:type="spellEnd"/>
      <w:r w:rsidRPr="00C42CB7">
        <w:rPr>
          <w:rFonts w:ascii="David" w:hAnsi="David" w:cs="David"/>
          <w:sz w:val="24"/>
          <w:szCs w:val="24"/>
        </w:rPr>
        <w:t xml:space="preserve">, Marcos </w:t>
      </w:r>
      <w:proofErr w:type="spellStart"/>
      <w:proofErr w:type="gramStart"/>
      <w:r w:rsidRPr="00C42CB7">
        <w:rPr>
          <w:rFonts w:ascii="David" w:hAnsi="David" w:cs="David"/>
          <w:sz w:val="24"/>
          <w:szCs w:val="24"/>
        </w:rPr>
        <w:t>Delprato</w:t>
      </w:r>
      <w:proofErr w:type="spellEnd"/>
      <w:proofErr w:type="gramEnd"/>
      <w:r w:rsidRPr="00C42CB7">
        <w:rPr>
          <w:rFonts w:ascii="David" w:hAnsi="David" w:cs="David"/>
          <w:sz w:val="24"/>
          <w:szCs w:val="24"/>
        </w:rPr>
        <w:t xml:space="preserve"> and Aaron </w:t>
      </w:r>
      <w:proofErr w:type="spellStart"/>
      <w:r w:rsidRPr="00C42CB7">
        <w:rPr>
          <w:rFonts w:ascii="David" w:hAnsi="David" w:cs="David"/>
          <w:sz w:val="24"/>
          <w:szCs w:val="24"/>
        </w:rPr>
        <w:t>Benavot</w:t>
      </w:r>
      <w:proofErr w:type="spellEnd"/>
      <w:r>
        <w:rPr>
          <w:rFonts w:ascii="David" w:hAnsi="David" w:cs="David"/>
          <w:sz w:val="24"/>
          <w:szCs w:val="24"/>
        </w:rPr>
        <w:t xml:space="preserve"> </w:t>
      </w:r>
      <w:r w:rsidRPr="00C42CB7">
        <w:rPr>
          <w:rFonts w:ascii="David" w:hAnsi="David" w:cs="David"/>
          <w:sz w:val="24"/>
          <w:szCs w:val="24"/>
        </w:rPr>
        <w:t>Inequality in education: the challenge of measurement</w:t>
      </w:r>
      <w:r w:rsidR="00260CD0">
        <w:rPr>
          <w:rFonts w:ascii="David" w:hAnsi="David" w:cs="David"/>
          <w:sz w:val="24"/>
          <w:szCs w:val="24"/>
        </w:rPr>
        <w:t xml:space="preserve"> in </w:t>
      </w:r>
      <w:r w:rsidR="00260CD0">
        <w:rPr>
          <w:rFonts w:ascii="Arial" w:hAnsi="Arial" w:cs="Arial"/>
          <w:sz w:val="14"/>
          <w:szCs w:val="14"/>
          <w:shd w:val="clear" w:color="auto" w:fill="FFFFFF"/>
        </w:rPr>
        <w:br/>
        <w:t>World Social Science Report 2016, UNESCO and the ISSC, Paris.</w:t>
      </w:r>
    </w:p>
    <w:p w14:paraId="5AE90263" w14:textId="10793970" w:rsidR="00A8315D" w:rsidRDefault="00A13415" w:rsidP="00A13415">
      <w:pPr>
        <w:bidi w:val="0"/>
        <w:spacing w:before="120" w:after="120" w:line="312" w:lineRule="auto"/>
        <w:rPr>
          <w:rFonts w:ascii="David" w:hAnsi="David" w:cs="David"/>
          <w:sz w:val="24"/>
          <w:szCs w:val="24"/>
        </w:rPr>
      </w:pPr>
      <w:r>
        <w:rPr>
          <w:rFonts w:ascii="David" w:hAnsi="David" w:cs="David"/>
          <w:sz w:val="24"/>
          <w:szCs w:val="24"/>
        </w:rPr>
        <w:t>OECD 2022. Education at Glance</w:t>
      </w:r>
      <w:r w:rsidR="007C5C7C">
        <w:rPr>
          <w:rFonts w:ascii="David" w:hAnsi="David" w:cs="David"/>
          <w:sz w:val="24"/>
          <w:szCs w:val="24"/>
        </w:rPr>
        <w:t xml:space="preserve">. OECD indicators. </w:t>
      </w:r>
    </w:p>
    <w:p w14:paraId="77F3DABC" w14:textId="77777777" w:rsidR="00A8315D" w:rsidRDefault="00A8315D" w:rsidP="00F14BAF">
      <w:pPr>
        <w:spacing w:before="120" w:after="120" w:line="312" w:lineRule="auto"/>
        <w:rPr>
          <w:rFonts w:ascii="David" w:hAnsi="David" w:cs="David"/>
          <w:sz w:val="24"/>
          <w:szCs w:val="24"/>
          <w:rtl/>
        </w:rPr>
      </w:pPr>
    </w:p>
    <w:p w14:paraId="73556F04" w14:textId="380D7951" w:rsidR="00F440A2" w:rsidRDefault="00F440A2" w:rsidP="00F14BAF">
      <w:pPr>
        <w:spacing w:before="120" w:after="120" w:line="312" w:lineRule="auto"/>
        <w:rPr>
          <w:rFonts w:ascii="David" w:hAnsi="David" w:cs="David"/>
          <w:sz w:val="24"/>
          <w:szCs w:val="24"/>
          <w:rtl/>
        </w:rPr>
      </w:pPr>
      <w:r w:rsidRPr="00F440A2">
        <w:rPr>
          <w:rFonts w:ascii="David" w:hAnsi="David" w:cs="David" w:hint="cs"/>
          <w:sz w:val="24"/>
          <w:szCs w:val="24"/>
          <w:rtl/>
        </w:rPr>
        <w:t>חינוך מפתח לעתיד טוב יותר</w:t>
      </w:r>
    </w:p>
    <w:p w14:paraId="3763C707" w14:textId="1737864E" w:rsidR="00F503EF" w:rsidRDefault="00F503EF" w:rsidP="00F14BAF">
      <w:pPr>
        <w:spacing w:before="120" w:after="120" w:line="312" w:lineRule="auto"/>
        <w:rPr>
          <w:rFonts w:ascii="David" w:hAnsi="David" w:cs="David"/>
          <w:sz w:val="24"/>
          <w:szCs w:val="24"/>
          <w:rtl/>
        </w:rPr>
      </w:pPr>
      <w:r>
        <w:rPr>
          <w:rFonts w:ascii="David" w:hAnsi="David" w:cs="David" w:hint="cs"/>
          <w:sz w:val="24"/>
          <w:szCs w:val="24"/>
          <w:rtl/>
        </w:rPr>
        <w:t>תהליכי למידה ותוצרים</w:t>
      </w:r>
    </w:p>
    <w:p w14:paraId="40E87F95" w14:textId="77777777" w:rsidR="007211E3" w:rsidRDefault="007211E3" w:rsidP="0078007E">
      <w:pPr>
        <w:rPr>
          <w:rFonts w:ascii="David" w:hAnsi="David" w:cs="David"/>
          <w:sz w:val="24"/>
          <w:szCs w:val="24"/>
          <w:rtl/>
        </w:rPr>
      </w:pPr>
    </w:p>
    <w:p w14:paraId="0D4F27C3" w14:textId="77777777" w:rsidR="007211E3" w:rsidRDefault="007211E3" w:rsidP="0078007E">
      <w:pPr>
        <w:rPr>
          <w:rFonts w:ascii="David" w:hAnsi="David" w:cs="David"/>
          <w:sz w:val="24"/>
          <w:szCs w:val="24"/>
          <w:rtl/>
        </w:rPr>
      </w:pPr>
    </w:p>
    <w:p w14:paraId="2C5546BB" w14:textId="0BD659F4" w:rsidR="007211E3" w:rsidRDefault="001E2F5D" w:rsidP="0078007E">
      <w:pPr>
        <w:rPr>
          <w:rFonts w:ascii="David" w:hAnsi="David" w:cs="David"/>
          <w:sz w:val="24"/>
          <w:szCs w:val="24"/>
          <w:rtl/>
        </w:rPr>
      </w:pPr>
      <w:r>
        <w:rPr>
          <w:rFonts w:ascii="David" w:hAnsi="David" w:cs="David" w:hint="cs"/>
          <w:sz w:val="24"/>
          <w:szCs w:val="24"/>
          <w:rtl/>
        </w:rPr>
        <w:t xml:space="preserve">דוח </w:t>
      </w:r>
      <w:proofErr w:type="spellStart"/>
      <w:r>
        <w:rPr>
          <w:rFonts w:ascii="David" w:hAnsi="David" w:cs="David" w:hint="cs"/>
          <w:sz w:val="24"/>
          <w:szCs w:val="24"/>
          <w:rtl/>
        </w:rPr>
        <w:t>מקנזי</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מבחנים חזות </w:t>
      </w:r>
      <w:proofErr w:type="spellStart"/>
      <w:r>
        <w:rPr>
          <w:rFonts w:ascii="David" w:hAnsi="David" w:cs="David" w:hint="cs"/>
          <w:sz w:val="24"/>
          <w:szCs w:val="24"/>
          <w:rtl/>
        </w:rPr>
        <w:t>הכל</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לא חינוך (הרפז, 2007)</w:t>
      </w:r>
    </w:p>
    <w:p w14:paraId="3DE7A762" w14:textId="77777777" w:rsidR="001E2F5D" w:rsidRDefault="001E2F5D" w:rsidP="0078007E">
      <w:pPr>
        <w:rPr>
          <w:rFonts w:ascii="David" w:hAnsi="David" w:cs="David"/>
          <w:sz w:val="24"/>
          <w:szCs w:val="24"/>
          <w:rtl/>
        </w:rPr>
      </w:pPr>
    </w:p>
    <w:p w14:paraId="41B64659" w14:textId="7705CEB7" w:rsidR="001E2F5D" w:rsidRDefault="001E2F5D" w:rsidP="0078007E">
      <w:pPr>
        <w:rPr>
          <w:rFonts w:ascii="David" w:hAnsi="David" w:cs="David"/>
          <w:sz w:val="24"/>
          <w:szCs w:val="24"/>
          <w:rtl/>
        </w:rPr>
      </w:pPr>
      <w:r>
        <w:rPr>
          <w:rFonts w:ascii="David" w:hAnsi="David" w:cs="David" w:hint="cs"/>
          <w:sz w:val="24"/>
          <w:szCs w:val="24"/>
          <w:rtl/>
        </w:rPr>
        <w:t>אוטונומיה לבתי הספר, יוזמה</w:t>
      </w:r>
      <w:r w:rsidR="00F26184">
        <w:rPr>
          <w:rFonts w:ascii="David" w:hAnsi="David" w:cs="David" w:hint="cs"/>
          <w:sz w:val="24"/>
          <w:szCs w:val="24"/>
          <w:rtl/>
        </w:rPr>
        <w:t>, לתלמידים ולמורים</w:t>
      </w:r>
      <w:r>
        <w:rPr>
          <w:rFonts w:ascii="David" w:hAnsi="David" w:cs="David" w:hint="cs"/>
          <w:sz w:val="24"/>
          <w:szCs w:val="24"/>
          <w:rtl/>
        </w:rPr>
        <w:t xml:space="preserve"> </w:t>
      </w:r>
      <w:r w:rsidR="003A2854">
        <w:rPr>
          <w:rFonts w:ascii="David" w:hAnsi="David" w:cs="David" w:hint="cs"/>
          <w:sz w:val="24"/>
          <w:szCs w:val="24"/>
          <w:rtl/>
        </w:rPr>
        <w:t>(הרפז 2020)</w:t>
      </w:r>
    </w:p>
    <w:p w14:paraId="7E306658" w14:textId="77777777" w:rsidR="003C42AE" w:rsidRDefault="003C42AE" w:rsidP="0078007E">
      <w:pPr>
        <w:rPr>
          <w:rFonts w:ascii="David" w:hAnsi="David" w:cs="David"/>
          <w:sz w:val="24"/>
          <w:szCs w:val="24"/>
          <w:rtl/>
        </w:rPr>
      </w:pPr>
    </w:p>
    <w:p w14:paraId="4135A206" w14:textId="7693F8A0" w:rsidR="003C42AE" w:rsidRPr="00F440A2" w:rsidRDefault="003C42AE" w:rsidP="0078007E">
      <w:pPr>
        <w:rPr>
          <w:rFonts w:ascii="David" w:hAnsi="David" w:cs="David"/>
          <w:sz w:val="24"/>
          <w:szCs w:val="24"/>
          <w:rtl/>
        </w:rPr>
      </w:pPr>
      <w:r>
        <w:rPr>
          <w:rFonts w:ascii="David" w:hAnsi="David" w:cs="David" w:hint="cs"/>
          <w:sz w:val="24"/>
          <w:szCs w:val="24"/>
          <w:rtl/>
        </w:rPr>
        <w:lastRenderedPageBreak/>
        <w:t xml:space="preserve">בבתי ספר צריך להיות </w:t>
      </w:r>
      <w:r w:rsidR="00BE4315">
        <w:rPr>
          <w:rFonts w:ascii="David" w:hAnsi="David" w:cs="David" w:hint="cs"/>
          <w:sz w:val="24"/>
          <w:szCs w:val="24"/>
          <w:rtl/>
        </w:rPr>
        <w:t xml:space="preserve">אקולטורציה, כלים, </w:t>
      </w:r>
      <w:proofErr w:type="spellStart"/>
      <w:r w:rsidR="00BE4315">
        <w:rPr>
          <w:rFonts w:ascii="David" w:hAnsi="David" w:cs="David" w:hint="cs"/>
          <w:sz w:val="24"/>
          <w:szCs w:val="24"/>
          <w:rtl/>
        </w:rPr>
        <w:t>אינדבידואציה</w:t>
      </w:r>
      <w:proofErr w:type="spellEnd"/>
      <w:r w:rsidR="00BE4315">
        <w:rPr>
          <w:rFonts w:ascii="David" w:hAnsi="David" w:cs="David" w:hint="cs"/>
          <w:sz w:val="24"/>
          <w:szCs w:val="24"/>
          <w:rtl/>
        </w:rPr>
        <w:t xml:space="preserve"> (הרפז 2020)</w:t>
      </w:r>
    </w:p>
    <w:p w14:paraId="3606EDBE" w14:textId="5DADE5CA" w:rsidR="0078007E" w:rsidRDefault="0078007E" w:rsidP="0078007E">
      <w:pPr>
        <w:rPr>
          <w:rFonts w:ascii="David" w:eastAsiaTheme="minorEastAsia" w:hAnsi="David" w:cs="David"/>
          <w:b/>
          <w:bCs/>
          <w:kern w:val="0"/>
          <w:sz w:val="24"/>
          <w:szCs w:val="24"/>
          <w14:ligatures w14:val="none"/>
        </w:rPr>
      </w:pPr>
      <w:r>
        <w:rPr>
          <w:rFonts w:ascii="David" w:hAnsi="David" w:cs="David"/>
          <w:b/>
          <w:bCs/>
          <w:rtl/>
        </w:rPr>
        <w:br w:type="page"/>
      </w:r>
    </w:p>
    <w:p w14:paraId="2E443DF0" w14:textId="3108B4A5" w:rsidR="00333708" w:rsidRDefault="00333708" w:rsidP="006A59E3">
      <w:pPr>
        <w:pStyle w:val="NormalWeb"/>
        <w:bidi/>
        <w:spacing w:before="120" w:beforeAutospacing="0" w:after="120" w:afterAutospacing="0" w:line="312" w:lineRule="auto"/>
        <w:jc w:val="both"/>
        <w:textAlignment w:val="baseline"/>
        <w:rPr>
          <w:rFonts w:ascii="David" w:hAnsi="David" w:cs="David"/>
          <w:b/>
          <w:bCs/>
          <w:rtl/>
        </w:rPr>
      </w:pPr>
      <w:r>
        <w:rPr>
          <w:rFonts w:ascii="David" w:hAnsi="David" w:cs="David" w:hint="cs"/>
          <w:b/>
          <w:bCs/>
          <w:rtl/>
        </w:rPr>
        <w:lastRenderedPageBreak/>
        <w:t xml:space="preserve">טיוטה </w:t>
      </w:r>
      <w:r>
        <w:rPr>
          <w:rFonts w:ascii="David" w:hAnsi="David" w:cs="David"/>
          <w:b/>
          <w:bCs/>
          <w:rtl/>
        </w:rPr>
        <w:t>–</w:t>
      </w:r>
      <w:r>
        <w:rPr>
          <w:rFonts w:ascii="David" w:hAnsi="David" w:cs="David" w:hint="cs"/>
          <w:b/>
          <w:bCs/>
          <w:rtl/>
        </w:rPr>
        <w:t xml:space="preserve"> לא רלוונטי</w:t>
      </w:r>
    </w:p>
    <w:p w14:paraId="41050551" w14:textId="5C907E25" w:rsidR="003E25BA" w:rsidRDefault="003E25BA" w:rsidP="00333708">
      <w:pPr>
        <w:pStyle w:val="NormalWeb"/>
        <w:bidi/>
        <w:spacing w:before="120" w:beforeAutospacing="0" w:after="120" w:afterAutospacing="0" w:line="312" w:lineRule="auto"/>
        <w:jc w:val="both"/>
        <w:textAlignment w:val="baseline"/>
        <w:rPr>
          <w:rFonts w:ascii="David" w:hAnsi="David" w:cs="David"/>
          <w:b/>
          <w:bCs/>
          <w:rtl/>
        </w:rPr>
      </w:pPr>
      <w:r>
        <w:rPr>
          <w:rFonts w:ascii="David" w:hAnsi="David" w:cs="David" w:hint="cs"/>
          <w:b/>
          <w:bCs/>
          <w:rtl/>
        </w:rPr>
        <w:t>אי שוויון בחינוך</w:t>
      </w:r>
    </w:p>
    <w:p w14:paraId="2EC3BA8D" w14:textId="02176C2B" w:rsidR="00567139" w:rsidRDefault="002F58A9" w:rsidP="00567139">
      <w:pPr>
        <w:pStyle w:val="NormalWeb"/>
        <w:bidi/>
        <w:spacing w:before="120" w:beforeAutospacing="0" w:after="120" w:afterAutospacing="0" w:line="312" w:lineRule="auto"/>
        <w:jc w:val="both"/>
        <w:textAlignment w:val="baseline"/>
        <w:rPr>
          <w:rFonts w:ascii="David" w:hAnsi="David" w:cs="David"/>
          <w:rtl/>
        </w:rPr>
      </w:pPr>
      <w:r w:rsidRPr="002F58A9">
        <w:rPr>
          <w:rFonts w:ascii="David" w:hAnsi="David" w:cs="David" w:hint="cs"/>
          <w:rtl/>
        </w:rPr>
        <w:t xml:space="preserve">איכות המורים, </w:t>
      </w:r>
      <w:r>
        <w:rPr>
          <w:rFonts w:ascii="David" w:hAnsi="David" w:cs="David" w:hint="cs"/>
          <w:rtl/>
        </w:rPr>
        <w:t xml:space="preserve">מסגרות לגיל הרך </w:t>
      </w:r>
      <w:proofErr w:type="spellStart"/>
      <w:r>
        <w:rPr>
          <w:rFonts w:ascii="David" w:hAnsi="David" w:cs="David"/>
        </w:rPr>
        <w:t>Machlica</w:t>
      </w:r>
      <w:proofErr w:type="spellEnd"/>
    </w:p>
    <w:p w14:paraId="18F2DA9C" w14:textId="6E30C041" w:rsidR="008E5EC9" w:rsidRDefault="008E5EC9" w:rsidP="008E5EC9">
      <w:pPr>
        <w:pStyle w:val="NormalWeb"/>
        <w:bidi/>
        <w:spacing w:before="120" w:beforeAutospacing="0" w:after="120" w:afterAutospacing="0" w:line="312" w:lineRule="auto"/>
        <w:jc w:val="both"/>
        <w:textAlignment w:val="baseline"/>
        <w:rPr>
          <w:rFonts w:ascii="David" w:hAnsi="David" w:cs="David"/>
          <w:rtl/>
        </w:rPr>
      </w:pPr>
      <w:proofErr w:type="spellStart"/>
      <w:r>
        <w:rPr>
          <w:rFonts w:ascii="David" w:hAnsi="David" w:cs="David" w:hint="cs"/>
          <w:rtl/>
        </w:rPr>
        <w:t>סבירסקי</w:t>
      </w:r>
      <w:proofErr w:type="spellEnd"/>
      <w:r>
        <w:rPr>
          <w:rFonts w:ascii="David" w:hAnsi="David" w:cs="David" w:hint="cs"/>
          <w:rtl/>
        </w:rPr>
        <w:t>, חוק ההסדרים 2023: משרד החינוך יממן, השוק החופשי יחנך</w:t>
      </w:r>
    </w:p>
    <w:p w14:paraId="4E351F3F" w14:textId="27B429FD" w:rsidR="0078248F" w:rsidRDefault="0078248F" w:rsidP="0078248F">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קרן רשי </w:t>
      </w:r>
    </w:p>
    <w:p w14:paraId="5EE94556" w14:textId="0F09B40C" w:rsidR="004E0736" w:rsidRDefault="00430A9C" w:rsidP="004E0736">
      <w:pPr>
        <w:pStyle w:val="NormalWeb"/>
        <w:bidi/>
        <w:spacing w:before="120" w:beforeAutospacing="0" w:after="120" w:afterAutospacing="0" w:line="312" w:lineRule="auto"/>
        <w:jc w:val="both"/>
        <w:textAlignment w:val="baseline"/>
        <w:rPr>
          <w:rFonts w:ascii="David" w:hAnsi="David" w:cs="David"/>
          <w:rtl/>
        </w:rPr>
      </w:pPr>
      <w:hyperlink r:id="rId20" w:history="1">
        <w:r w:rsidR="004E0736" w:rsidRPr="00261514">
          <w:rPr>
            <w:rStyle w:val="Hyperlink"/>
            <w:rFonts w:ascii="David" w:hAnsi="David" w:cs="David"/>
          </w:rPr>
          <w:t>https://rashi.org.il/differential-budget/?gclid=CjwKCAjwkLCkBhA9EiwAka9QRsy4jzjLEclw7BTup3fRAXXWEt9BPOsYdgupo2YQNYApwGoq0aHgQhoCz_IQAvD_BwE</w:t>
        </w:r>
      </w:hyperlink>
    </w:p>
    <w:p w14:paraId="116516A9" w14:textId="77777777" w:rsidR="004E0736" w:rsidRPr="004E0736" w:rsidRDefault="004E0736" w:rsidP="004E0736">
      <w:pPr>
        <w:pStyle w:val="NormalWeb"/>
        <w:bidi/>
        <w:spacing w:before="120" w:beforeAutospacing="0" w:after="120" w:afterAutospacing="0" w:line="312" w:lineRule="auto"/>
        <w:jc w:val="both"/>
        <w:textAlignment w:val="baseline"/>
        <w:rPr>
          <w:rFonts w:ascii="David" w:hAnsi="David" w:cs="David"/>
          <w:rtl/>
        </w:rPr>
      </w:pPr>
    </w:p>
    <w:p w14:paraId="7F43D502" w14:textId="221CDEBB" w:rsidR="00567139" w:rsidRDefault="00567139" w:rsidP="00567139">
      <w:pPr>
        <w:pStyle w:val="NormalWeb"/>
        <w:bidi/>
        <w:spacing w:before="120" w:beforeAutospacing="0" w:after="120" w:afterAutospacing="0" w:line="312" w:lineRule="auto"/>
        <w:jc w:val="both"/>
        <w:textAlignment w:val="baseline"/>
        <w:rPr>
          <w:rFonts w:ascii="David" w:hAnsi="David" w:cs="David"/>
          <w:b/>
          <w:bCs/>
          <w:rtl/>
        </w:rPr>
      </w:pPr>
      <w:r>
        <w:rPr>
          <w:rFonts w:ascii="David" w:hAnsi="David" w:cs="David" w:hint="cs"/>
          <w:b/>
          <w:bCs/>
          <w:rtl/>
        </w:rPr>
        <w:t>אי שוויון בבריאות</w:t>
      </w:r>
    </w:p>
    <w:p w14:paraId="599CA7E2" w14:textId="77777777" w:rsidR="000D52E6" w:rsidRDefault="000D52E6" w:rsidP="008D3365">
      <w:pPr>
        <w:pStyle w:val="NormalWeb"/>
        <w:bidi/>
        <w:spacing w:before="120" w:beforeAutospacing="0" w:after="120" w:afterAutospacing="0" w:line="312" w:lineRule="auto"/>
        <w:jc w:val="both"/>
        <w:textAlignment w:val="baseline"/>
        <w:rPr>
          <w:rFonts w:ascii="David" w:hAnsi="David" w:cs="David"/>
          <w:b/>
          <w:bCs/>
          <w:rtl/>
        </w:rPr>
      </w:pPr>
    </w:p>
    <w:p w14:paraId="4D45F3D8" w14:textId="30DE4227" w:rsidR="008D3365" w:rsidRPr="00B42693" w:rsidRDefault="008D3365" w:rsidP="000D52E6">
      <w:pPr>
        <w:pStyle w:val="NormalWeb"/>
        <w:bidi/>
        <w:spacing w:before="120" w:beforeAutospacing="0" w:after="120" w:afterAutospacing="0" w:line="312" w:lineRule="auto"/>
        <w:jc w:val="both"/>
        <w:textAlignment w:val="baseline"/>
        <w:rPr>
          <w:rFonts w:ascii="David" w:hAnsi="David" w:cs="David"/>
          <w:b/>
          <w:bCs/>
        </w:rPr>
      </w:pPr>
      <w:r>
        <w:rPr>
          <w:rFonts w:ascii="David" w:hAnsi="David" w:cs="David" w:hint="cs"/>
          <w:b/>
          <w:bCs/>
          <w:rtl/>
        </w:rPr>
        <w:t xml:space="preserve">אי שוויון בדיור </w:t>
      </w:r>
      <w:proofErr w:type="spellStart"/>
      <w:r w:rsidR="00AD536B">
        <w:rPr>
          <w:rFonts w:ascii="David" w:hAnsi="David" w:cs="David"/>
          <w:b/>
          <w:bCs/>
        </w:rPr>
        <w:t>machlica</w:t>
      </w:r>
      <w:proofErr w:type="spellEnd"/>
    </w:p>
    <w:p w14:paraId="5C0EB1D2" w14:textId="7614F119" w:rsidR="00C30899" w:rsidRDefault="008B252D" w:rsidP="00C30899">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קרקעות </w:t>
      </w:r>
    </w:p>
    <w:p w14:paraId="27DC2AF5" w14:textId="77777777" w:rsidR="00F20AEE" w:rsidRDefault="00F20AEE" w:rsidP="00F20AEE">
      <w:pPr>
        <w:spacing w:line="312" w:lineRule="auto"/>
        <w:jc w:val="both"/>
        <w:rPr>
          <w:rFonts w:ascii="David" w:hAnsi="David" w:cs="David"/>
          <w:sz w:val="24"/>
          <w:szCs w:val="24"/>
          <w:rtl/>
        </w:rPr>
      </w:pPr>
      <w:r>
        <w:rPr>
          <w:rFonts w:ascii="David" w:hAnsi="David" w:cs="David" w:hint="cs"/>
          <w:sz w:val="24"/>
          <w:szCs w:val="24"/>
          <w:rtl/>
        </w:rPr>
        <w:t xml:space="preserve">בתחום החינוך,  (אליעז, 2021).  </w:t>
      </w:r>
    </w:p>
    <w:p w14:paraId="3B6D49DF" w14:textId="45D2CB7C" w:rsidR="00C8684E" w:rsidRDefault="00D45924" w:rsidP="00F20AEE">
      <w:pPr>
        <w:spacing w:line="312" w:lineRule="auto"/>
        <w:jc w:val="both"/>
        <w:rPr>
          <w:rFonts w:ascii="David" w:hAnsi="David" w:cs="David"/>
          <w:sz w:val="24"/>
          <w:szCs w:val="24"/>
          <w:rtl/>
        </w:rPr>
      </w:pPr>
      <w:r>
        <w:t>OECD (2018d), Engaging Young Children: Lessons from Research about Quality in Early Childhood Education and Care, Starting Strong series, OECD Publishing, Paris</w:t>
      </w:r>
    </w:p>
    <w:p w14:paraId="4DFE132E" w14:textId="0B9E2B2C" w:rsidR="00D45924" w:rsidRDefault="002C095A" w:rsidP="00F20AEE">
      <w:pPr>
        <w:spacing w:line="312" w:lineRule="auto"/>
        <w:jc w:val="both"/>
        <w:rPr>
          <w:rFonts w:ascii="David" w:hAnsi="David" w:cs="David"/>
          <w:sz w:val="24"/>
          <w:szCs w:val="24"/>
          <w:rtl/>
        </w:rPr>
      </w:pPr>
      <w:r>
        <w:t>OECD (2019b), PISA 2018 Results (Volume II): Where All Students Can Succeed, PISA, OECD Publishing, Paris, O</w:t>
      </w:r>
    </w:p>
    <w:p w14:paraId="56D19C11" w14:textId="6CECDDBB" w:rsidR="002C095A" w:rsidRDefault="006852A3" w:rsidP="00F20AEE">
      <w:pPr>
        <w:spacing w:line="312" w:lineRule="auto"/>
        <w:jc w:val="both"/>
        <w:rPr>
          <w:rFonts w:ascii="David" w:hAnsi="David" w:cs="David"/>
          <w:sz w:val="24"/>
          <w:szCs w:val="24"/>
          <w:rtl/>
        </w:rPr>
      </w:pPr>
      <w:r>
        <w:rPr>
          <w:rFonts w:ascii="David" w:hAnsi="David" w:cs="David"/>
          <w:sz w:val="24"/>
          <w:szCs w:val="24"/>
        </w:rPr>
        <w:t>Educational opportunities for all OECD</w:t>
      </w:r>
    </w:p>
    <w:p w14:paraId="3A900AC0" w14:textId="77777777" w:rsidR="00C5289E" w:rsidRPr="008B71F0" w:rsidRDefault="00C5289E" w:rsidP="00C5289E">
      <w:pPr>
        <w:spacing w:line="312" w:lineRule="auto"/>
        <w:rPr>
          <w:rFonts w:ascii="David" w:hAnsi="David" w:cs="David"/>
          <w:sz w:val="24"/>
          <w:szCs w:val="24"/>
          <w:rtl/>
        </w:rPr>
      </w:pPr>
      <w:r w:rsidRPr="008B71F0">
        <w:rPr>
          <w:rFonts w:ascii="David" w:hAnsi="David" w:cs="David" w:hint="cs"/>
          <w:sz w:val="24"/>
          <w:szCs w:val="24"/>
          <w:rtl/>
        </w:rPr>
        <w:t xml:space="preserve">אי שוויון מגדרי בחינוך שביט ואחרים (2017). </w:t>
      </w:r>
      <w:r>
        <w:rPr>
          <w:rFonts w:ascii="David" w:hAnsi="David" w:cs="David"/>
          <w:sz w:val="24"/>
          <w:szCs w:val="24"/>
          <w:rtl/>
        </w:rPr>
        <w:t>–</w:t>
      </w:r>
      <w:r>
        <w:rPr>
          <w:rFonts w:ascii="David" w:hAnsi="David" w:cs="David" w:hint="cs"/>
          <w:sz w:val="24"/>
          <w:szCs w:val="24"/>
          <w:rtl/>
        </w:rPr>
        <w:t xml:space="preserve"> חשוב </w:t>
      </w:r>
    </w:p>
    <w:p w14:paraId="0C808C38" w14:textId="77777777" w:rsidR="00C5289E" w:rsidRPr="002C095A" w:rsidRDefault="00C5289E" w:rsidP="00F20AEE">
      <w:pPr>
        <w:spacing w:line="312" w:lineRule="auto"/>
        <w:jc w:val="both"/>
        <w:rPr>
          <w:rFonts w:ascii="David" w:hAnsi="David" w:cs="David"/>
          <w:sz w:val="24"/>
          <w:szCs w:val="24"/>
        </w:rPr>
      </w:pPr>
    </w:p>
    <w:p w14:paraId="4296BFB8" w14:textId="0BECAFFA" w:rsidR="00C8684E" w:rsidRDefault="00C8684E" w:rsidP="00F20AEE">
      <w:pPr>
        <w:spacing w:line="312" w:lineRule="auto"/>
        <w:jc w:val="both"/>
        <w:rPr>
          <w:rFonts w:ascii="David" w:hAnsi="David" w:cs="David"/>
          <w:sz w:val="24"/>
          <w:szCs w:val="24"/>
          <w:rtl/>
        </w:rPr>
      </w:pPr>
      <w:r>
        <w:rPr>
          <w:rFonts w:ascii="David" w:hAnsi="David" w:cs="David" w:hint="cs"/>
          <w:sz w:val="24"/>
          <w:szCs w:val="24"/>
          <w:rtl/>
        </w:rPr>
        <w:t>מה יש לעשות ברמת הרשויות המקומיות</w:t>
      </w:r>
      <w:r w:rsidR="000028BB">
        <w:rPr>
          <w:rFonts w:ascii="David" w:hAnsi="David" w:cs="David" w:hint="cs"/>
          <w:sz w:val="24"/>
          <w:szCs w:val="24"/>
          <w:rtl/>
        </w:rPr>
        <w:t xml:space="preserve"> </w:t>
      </w:r>
      <w:r w:rsidR="000028BB">
        <w:rPr>
          <w:rFonts w:ascii="David" w:hAnsi="David" w:cs="David"/>
          <w:sz w:val="24"/>
          <w:szCs w:val="24"/>
          <w:rtl/>
        </w:rPr>
        <w:t>–</w:t>
      </w:r>
      <w:r w:rsidR="000028BB">
        <w:rPr>
          <w:rFonts w:ascii="David" w:hAnsi="David" w:cs="David" w:hint="cs"/>
          <w:sz w:val="24"/>
          <w:szCs w:val="24"/>
          <w:rtl/>
        </w:rPr>
        <w:t xml:space="preserve"> טבלת המלצות</w:t>
      </w:r>
    </w:p>
    <w:p w14:paraId="28A1F80A" w14:textId="68B56ABA" w:rsidR="00C8684E" w:rsidRDefault="00C8684E" w:rsidP="00F20AEE">
      <w:pPr>
        <w:spacing w:line="312" w:lineRule="auto"/>
        <w:jc w:val="both"/>
        <w:rPr>
          <w:rFonts w:ascii="David" w:hAnsi="David" w:cs="David"/>
          <w:sz w:val="24"/>
          <w:szCs w:val="24"/>
          <w:rtl/>
        </w:rPr>
      </w:pPr>
      <w:r>
        <w:rPr>
          <w:rFonts w:ascii="David" w:hAnsi="David" w:cs="David" w:hint="cs"/>
          <w:rtl/>
        </w:rPr>
        <w:t>(</w:t>
      </w:r>
      <w:r>
        <w:rPr>
          <w:rFonts w:ascii="David" w:hAnsi="David" w:cs="David"/>
        </w:rPr>
        <w:t>(</w:t>
      </w:r>
      <w:proofErr w:type="spellStart"/>
      <w:r>
        <w:rPr>
          <w:rFonts w:ascii="David" w:hAnsi="David" w:cs="David"/>
        </w:rPr>
        <w:t>Machlica</w:t>
      </w:r>
      <w:proofErr w:type="spellEnd"/>
      <w:r>
        <w:rPr>
          <w:rFonts w:ascii="David" w:hAnsi="David" w:cs="David"/>
        </w:rPr>
        <w:t>, 2020</w:t>
      </w:r>
    </w:p>
    <w:p w14:paraId="3A1DE4B8" w14:textId="53E9C9EB" w:rsidR="00F20AEE" w:rsidRPr="00E53F79" w:rsidRDefault="00E53F79" w:rsidP="00F20AEE">
      <w:pPr>
        <w:pStyle w:val="NormalWeb"/>
        <w:bidi/>
        <w:spacing w:before="120" w:beforeAutospacing="0" w:after="120" w:afterAutospacing="0" w:line="312" w:lineRule="auto"/>
        <w:jc w:val="both"/>
        <w:textAlignment w:val="baseline"/>
        <w:rPr>
          <w:rFonts w:ascii="David" w:hAnsi="David" w:cs="David"/>
          <w:rtl/>
        </w:rPr>
      </w:pPr>
      <w:r>
        <w:t>OECD (2018b), A Broken Social Elevator? How to Promote Social Mobility, OECD Publishing, Paris.</w:t>
      </w:r>
    </w:p>
    <w:p w14:paraId="1D285DC3" w14:textId="77777777" w:rsidR="006B6326" w:rsidRPr="006B6326" w:rsidRDefault="006B6326" w:rsidP="006B6326">
      <w:pPr>
        <w:pStyle w:val="NormalWeb"/>
        <w:bidi/>
        <w:spacing w:before="120" w:beforeAutospacing="0" w:after="120" w:afterAutospacing="0" w:line="312" w:lineRule="auto"/>
        <w:jc w:val="both"/>
        <w:textAlignment w:val="baseline"/>
        <w:rPr>
          <w:rFonts w:ascii="David" w:hAnsi="David" w:cs="David"/>
          <w:rtl/>
        </w:rPr>
      </w:pPr>
    </w:p>
    <w:p w14:paraId="5B179D95" w14:textId="77777777" w:rsidR="002F0926" w:rsidRDefault="002F0926" w:rsidP="002F0926">
      <w:pPr>
        <w:bidi w:val="0"/>
        <w:spacing w:line="312" w:lineRule="auto"/>
        <w:rPr>
          <w:rFonts w:ascii="David" w:hAnsi="David" w:cs="David"/>
          <w:sz w:val="32"/>
          <w:szCs w:val="32"/>
        </w:rPr>
      </w:pPr>
      <w:r>
        <w:rPr>
          <w:rFonts w:ascii="David" w:hAnsi="David" w:cs="David"/>
          <w:sz w:val="32"/>
          <w:szCs w:val="32"/>
          <w:rtl/>
        </w:rPr>
        <w:br w:type="page"/>
      </w:r>
    </w:p>
    <w:p w14:paraId="3ED042D5" w14:textId="25341BB4" w:rsidR="00DB4F6C" w:rsidRPr="00333708" w:rsidRDefault="002F0926" w:rsidP="000D52E6">
      <w:pPr>
        <w:shd w:val="clear" w:color="auto" w:fill="D9E2F3" w:themeFill="accent1" w:themeFillTint="33"/>
        <w:spacing w:line="312" w:lineRule="auto"/>
        <w:rPr>
          <w:rFonts w:ascii="David" w:hAnsi="David" w:cs="David"/>
          <w:color w:val="4472C4" w:themeColor="accent1"/>
          <w:sz w:val="36"/>
          <w:szCs w:val="36"/>
          <w:rtl/>
        </w:rPr>
      </w:pPr>
      <w:r w:rsidRPr="00333708">
        <w:rPr>
          <w:rFonts w:ascii="David" w:hAnsi="David" w:cs="David" w:hint="cs"/>
          <w:color w:val="4472C4" w:themeColor="accent1"/>
          <w:sz w:val="36"/>
          <w:szCs w:val="36"/>
          <w:rtl/>
        </w:rPr>
        <w:lastRenderedPageBreak/>
        <w:t>מקורות</w:t>
      </w:r>
    </w:p>
    <w:p w14:paraId="08584177" w14:textId="05FA3F9A" w:rsidR="00E84570" w:rsidRDefault="00E84570" w:rsidP="00CE35F9">
      <w:pPr>
        <w:spacing w:line="312" w:lineRule="auto"/>
        <w:jc w:val="both"/>
        <w:rPr>
          <w:rFonts w:ascii="David" w:hAnsi="David" w:cs="David"/>
          <w:sz w:val="24"/>
          <w:szCs w:val="24"/>
          <w:rtl/>
        </w:rPr>
      </w:pPr>
      <w:r>
        <w:rPr>
          <w:rFonts w:ascii="David" w:hAnsi="David" w:cs="David" w:hint="cs"/>
          <w:sz w:val="24"/>
          <w:szCs w:val="24"/>
          <w:rtl/>
        </w:rPr>
        <w:t xml:space="preserve">איילון, </w:t>
      </w:r>
      <w:r w:rsidR="00390C99">
        <w:rPr>
          <w:rFonts w:ascii="David" w:hAnsi="David" w:cs="David" w:hint="cs"/>
          <w:sz w:val="24"/>
          <w:szCs w:val="24"/>
          <w:rtl/>
        </w:rPr>
        <w:t xml:space="preserve">ח', בלס, נ', </w:t>
      </w:r>
      <w:r w:rsidR="009A0264">
        <w:rPr>
          <w:rFonts w:ascii="David" w:hAnsi="David" w:cs="David" w:hint="cs"/>
          <w:sz w:val="24"/>
          <w:szCs w:val="24"/>
          <w:rtl/>
        </w:rPr>
        <w:t>פניגר, י' ושביט, י' (20</w:t>
      </w:r>
      <w:r w:rsidR="00D600CF">
        <w:rPr>
          <w:rFonts w:ascii="David" w:hAnsi="David" w:cs="David" w:hint="cs"/>
          <w:sz w:val="24"/>
          <w:szCs w:val="24"/>
          <w:rtl/>
        </w:rPr>
        <w:t>19</w:t>
      </w:r>
      <w:r w:rsidR="009A0264">
        <w:rPr>
          <w:rFonts w:ascii="David" w:hAnsi="David" w:cs="David" w:hint="cs"/>
          <w:sz w:val="24"/>
          <w:szCs w:val="24"/>
          <w:rtl/>
        </w:rPr>
        <w:t xml:space="preserve">). </w:t>
      </w:r>
      <w:r w:rsidR="009A0264" w:rsidRPr="00D600CF">
        <w:rPr>
          <w:rFonts w:ascii="David" w:hAnsi="David" w:cs="David" w:hint="cs"/>
          <w:b/>
          <w:bCs/>
          <w:sz w:val="24"/>
          <w:szCs w:val="24"/>
          <w:rtl/>
        </w:rPr>
        <w:t>אי שוויון בחינוך. ממחקר למדיניות</w:t>
      </w:r>
      <w:r w:rsidR="009A0264">
        <w:rPr>
          <w:rFonts w:ascii="David" w:hAnsi="David" w:cs="David" w:hint="cs"/>
          <w:sz w:val="24"/>
          <w:szCs w:val="24"/>
          <w:rtl/>
        </w:rPr>
        <w:t xml:space="preserve">. מרכז </w:t>
      </w:r>
      <w:proofErr w:type="spellStart"/>
      <w:r w:rsidR="009A0264">
        <w:rPr>
          <w:rFonts w:ascii="David" w:hAnsi="David" w:cs="David" w:hint="cs"/>
          <w:sz w:val="24"/>
          <w:szCs w:val="24"/>
          <w:rtl/>
        </w:rPr>
        <w:t>טאוב</w:t>
      </w:r>
      <w:proofErr w:type="spellEnd"/>
      <w:r w:rsidR="009A0264">
        <w:rPr>
          <w:rFonts w:ascii="David" w:hAnsi="David" w:cs="David" w:hint="cs"/>
          <w:sz w:val="24"/>
          <w:szCs w:val="24"/>
          <w:rtl/>
        </w:rPr>
        <w:t xml:space="preserve"> ל</w:t>
      </w:r>
      <w:r w:rsidR="00D600CF">
        <w:rPr>
          <w:rFonts w:ascii="David" w:hAnsi="David" w:cs="David" w:hint="cs"/>
          <w:sz w:val="24"/>
          <w:szCs w:val="24"/>
          <w:rtl/>
        </w:rPr>
        <w:t xml:space="preserve">חקר המדיניות החברתית בישראל. </w:t>
      </w:r>
    </w:p>
    <w:p w14:paraId="5EAA87E0" w14:textId="5B092188" w:rsidR="00F77548" w:rsidRPr="004E52C1" w:rsidRDefault="00F77548" w:rsidP="00CE35F9">
      <w:pPr>
        <w:spacing w:line="312" w:lineRule="auto"/>
        <w:jc w:val="both"/>
        <w:rPr>
          <w:rFonts w:ascii="David" w:hAnsi="David" w:cs="David"/>
          <w:sz w:val="24"/>
          <w:szCs w:val="24"/>
          <w:rtl/>
        </w:rPr>
      </w:pPr>
      <w:r>
        <w:rPr>
          <w:rFonts w:ascii="David" w:hAnsi="David" w:cs="David" w:hint="cs"/>
          <w:sz w:val="24"/>
          <w:szCs w:val="24"/>
          <w:rtl/>
        </w:rPr>
        <w:t>אליהו, א' (</w:t>
      </w:r>
      <w:r w:rsidR="00A14BFE">
        <w:rPr>
          <w:rFonts w:ascii="David" w:hAnsi="David" w:cs="David" w:hint="cs"/>
          <w:sz w:val="24"/>
          <w:szCs w:val="24"/>
          <w:rtl/>
        </w:rPr>
        <w:t xml:space="preserve">2019). </w:t>
      </w:r>
      <w:r w:rsidR="00A14BFE">
        <w:rPr>
          <w:rFonts w:ascii="David" w:hAnsi="David" w:cs="David" w:hint="cs"/>
          <w:b/>
          <w:bCs/>
          <w:sz w:val="24"/>
          <w:szCs w:val="24"/>
          <w:rtl/>
        </w:rPr>
        <w:t xml:space="preserve">יום העלייה 2019 </w:t>
      </w:r>
      <w:r w:rsidR="00A14BFE">
        <w:rPr>
          <w:rFonts w:ascii="David" w:hAnsi="David" w:cs="David"/>
          <w:b/>
          <w:bCs/>
          <w:sz w:val="24"/>
          <w:szCs w:val="24"/>
          <w:rtl/>
        </w:rPr>
        <w:t>–</w:t>
      </w:r>
      <w:r w:rsidR="00A14BFE">
        <w:rPr>
          <w:rFonts w:ascii="David" w:hAnsi="David" w:cs="David" w:hint="cs"/>
          <w:b/>
          <w:bCs/>
          <w:sz w:val="24"/>
          <w:szCs w:val="24"/>
          <w:rtl/>
        </w:rPr>
        <w:t xml:space="preserve"> נתונים וסוגיות מרכזיות. </w:t>
      </w:r>
      <w:r w:rsidR="004E52C1">
        <w:rPr>
          <w:rFonts w:ascii="David" w:hAnsi="David" w:cs="David" w:hint="cs"/>
          <w:sz w:val="24"/>
          <w:szCs w:val="24"/>
          <w:rtl/>
        </w:rPr>
        <w:t>מרכז המחקר והמידע של הכנסת.</w:t>
      </w:r>
    </w:p>
    <w:p w14:paraId="27F96402" w14:textId="18390611" w:rsidR="004D0EA0" w:rsidRPr="00E645FF" w:rsidRDefault="004D0EA0" w:rsidP="00CE35F9">
      <w:pPr>
        <w:spacing w:line="312" w:lineRule="auto"/>
        <w:jc w:val="both"/>
        <w:rPr>
          <w:rFonts w:ascii="David" w:hAnsi="David" w:cs="David"/>
          <w:color w:val="FF0000"/>
          <w:sz w:val="24"/>
          <w:szCs w:val="24"/>
          <w:rtl/>
        </w:rPr>
      </w:pPr>
      <w:r w:rsidRPr="00E645FF">
        <w:rPr>
          <w:rFonts w:ascii="David" w:hAnsi="David" w:cs="David" w:hint="cs"/>
          <w:color w:val="FF0000"/>
          <w:sz w:val="24"/>
          <w:szCs w:val="24"/>
          <w:rtl/>
        </w:rPr>
        <w:t xml:space="preserve">אליעז, י' (2021). </w:t>
      </w:r>
      <w:r w:rsidR="00C20FC7" w:rsidRPr="00E645FF">
        <w:rPr>
          <w:rFonts w:ascii="David" w:hAnsi="David" w:cs="David" w:hint="cs"/>
          <w:b/>
          <w:bCs/>
          <w:color w:val="FF0000"/>
          <w:sz w:val="24"/>
          <w:szCs w:val="24"/>
          <w:rtl/>
        </w:rPr>
        <w:t xml:space="preserve">אי שוויון במערכת החינוך הישראלית: חקר התנאים שעומדים בבסיס ההישגים הנמוכים של תלמידים ממעמד סוציו-אקונומי נמוך. </w:t>
      </w:r>
      <w:r w:rsidR="00C20FC7" w:rsidRPr="00E645FF">
        <w:rPr>
          <w:rFonts w:ascii="David" w:hAnsi="David" w:cs="David" w:hint="cs"/>
          <w:color w:val="FF0000"/>
          <w:sz w:val="24"/>
          <w:szCs w:val="24"/>
          <w:rtl/>
        </w:rPr>
        <w:t xml:space="preserve">מומן על ידי קרן המחקרים של המוסד לביטוח לאומי. החוג לחינוך של האקדמית עמק יזרעאל. </w:t>
      </w:r>
    </w:p>
    <w:p w14:paraId="0FB33E96" w14:textId="5777B220" w:rsidR="00B97C9F" w:rsidRPr="00B97C9F" w:rsidRDefault="00B97C9F" w:rsidP="00CE35F9">
      <w:pPr>
        <w:spacing w:line="312" w:lineRule="auto"/>
        <w:jc w:val="both"/>
        <w:rPr>
          <w:rFonts w:ascii="David" w:hAnsi="David" w:cs="David"/>
          <w:color w:val="FF0000"/>
          <w:sz w:val="24"/>
          <w:szCs w:val="24"/>
          <w:rtl/>
        </w:rPr>
      </w:pPr>
      <w:proofErr w:type="spellStart"/>
      <w:r w:rsidRPr="00B97C9F">
        <w:rPr>
          <w:rFonts w:ascii="David" w:hAnsi="David" w:cs="David" w:hint="cs"/>
          <w:color w:val="FF0000"/>
          <w:sz w:val="24"/>
          <w:szCs w:val="24"/>
          <w:rtl/>
        </w:rPr>
        <w:t>אללוף</w:t>
      </w:r>
      <w:proofErr w:type="spellEnd"/>
      <w:r w:rsidRPr="00B97C9F">
        <w:rPr>
          <w:rFonts w:ascii="David" w:hAnsi="David" w:cs="David" w:hint="cs"/>
          <w:color w:val="FF0000"/>
          <w:sz w:val="24"/>
          <w:szCs w:val="24"/>
          <w:rtl/>
        </w:rPr>
        <w:t>, דוח הוועדה למלחמה בעוני בישראל</w:t>
      </w:r>
    </w:p>
    <w:p w14:paraId="73BE320C" w14:textId="456D5DC6" w:rsidR="00CC7BB9" w:rsidRPr="00865953" w:rsidRDefault="00865953" w:rsidP="00CE35F9">
      <w:pPr>
        <w:spacing w:line="312" w:lineRule="auto"/>
        <w:jc w:val="both"/>
        <w:rPr>
          <w:rFonts w:ascii="David" w:hAnsi="David" w:cs="David"/>
          <w:sz w:val="24"/>
          <w:szCs w:val="24"/>
          <w:rtl/>
        </w:rPr>
      </w:pPr>
      <w:proofErr w:type="spellStart"/>
      <w:r>
        <w:rPr>
          <w:rFonts w:ascii="David" w:hAnsi="David" w:cs="David" w:hint="cs"/>
          <w:sz w:val="24"/>
          <w:szCs w:val="24"/>
          <w:rtl/>
        </w:rPr>
        <w:t>אנדבלד</w:t>
      </w:r>
      <w:proofErr w:type="spellEnd"/>
      <w:r>
        <w:rPr>
          <w:rFonts w:ascii="David" w:hAnsi="David" w:cs="David" w:hint="cs"/>
          <w:sz w:val="24"/>
          <w:szCs w:val="24"/>
          <w:rtl/>
        </w:rPr>
        <w:t xml:space="preserve">, מ', </w:t>
      </w:r>
      <w:proofErr w:type="spellStart"/>
      <w:r>
        <w:rPr>
          <w:rFonts w:ascii="David" w:hAnsi="David" w:cs="David" w:hint="cs"/>
          <w:sz w:val="24"/>
          <w:szCs w:val="24"/>
          <w:rtl/>
        </w:rPr>
        <w:t>כראדי</w:t>
      </w:r>
      <w:proofErr w:type="spellEnd"/>
      <w:r>
        <w:rPr>
          <w:rFonts w:ascii="David" w:hAnsi="David" w:cs="David" w:hint="cs"/>
          <w:sz w:val="24"/>
          <w:szCs w:val="24"/>
          <w:rtl/>
        </w:rPr>
        <w:t xml:space="preserve">, ל', פינס, ר' </w:t>
      </w:r>
      <w:proofErr w:type="spellStart"/>
      <w:r>
        <w:rPr>
          <w:rFonts w:ascii="David" w:hAnsi="David" w:cs="David" w:hint="cs"/>
          <w:sz w:val="24"/>
          <w:szCs w:val="24"/>
          <w:rtl/>
        </w:rPr>
        <w:t>וקסיר</w:t>
      </w:r>
      <w:proofErr w:type="spellEnd"/>
      <w:r>
        <w:rPr>
          <w:rFonts w:ascii="David" w:hAnsi="David" w:cs="David" w:hint="cs"/>
          <w:sz w:val="24"/>
          <w:szCs w:val="24"/>
          <w:rtl/>
        </w:rPr>
        <w:t xml:space="preserve"> (קלינר), נ' (2023). </w:t>
      </w:r>
      <w:r>
        <w:rPr>
          <w:rFonts w:ascii="David" w:hAnsi="David" w:cs="David" w:hint="cs"/>
          <w:b/>
          <w:bCs/>
          <w:sz w:val="24"/>
          <w:szCs w:val="24"/>
          <w:rtl/>
        </w:rPr>
        <w:t xml:space="preserve">דוח ממדי העוני והאי-שוויון בהכנסות </w:t>
      </w:r>
      <w:r>
        <w:rPr>
          <w:rFonts w:ascii="David" w:hAnsi="David" w:cs="David"/>
          <w:b/>
          <w:bCs/>
          <w:sz w:val="24"/>
          <w:szCs w:val="24"/>
          <w:rtl/>
        </w:rPr>
        <w:t>–</w:t>
      </w:r>
      <w:r>
        <w:rPr>
          <w:rFonts w:ascii="David" w:hAnsi="David" w:cs="David" w:hint="cs"/>
          <w:b/>
          <w:bCs/>
          <w:sz w:val="24"/>
          <w:szCs w:val="24"/>
          <w:rtl/>
        </w:rPr>
        <w:t xml:space="preserve"> 2021, לפי נתונים מנהליים. </w:t>
      </w:r>
      <w:r>
        <w:rPr>
          <w:rFonts w:ascii="David" w:hAnsi="David" w:cs="David" w:hint="cs"/>
          <w:sz w:val="24"/>
          <w:szCs w:val="24"/>
          <w:rtl/>
        </w:rPr>
        <w:t xml:space="preserve">המוסד לביטוח לאומי. </w:t>
      </w:r>
    </w:p>
    <w:p w14:paraId="4B1E2527" w14:textId="31891A2E" w:rsidR="00CE35F9" w:rsidRPr="003C18B6" w:rsidRDefault="00CE35F9" w:rsidP="00CE35F9">
      <w:pPr>
        <w:spacing w:line="312" w:lineRule="auto"/>
        <w:jc w:val="both"/>
        <w:rPr>
          <w:rFonts w:ascii="David" w:hAnsi="David" w:cs="David"/>
          <w:color w:val="FF0000"/>
          <w:sz w:val="24"/>
          <w:szCs w:val="24"/>
          <w:rtl/>
        </w:rPr>
      </w:pPr>
      <w:proofErr w:type="spellStart"/>
      <w:r w:rsidRPr="003C18B6">
        <w:rPr>
          <w:rFonts w:ascii="David" w:hAnsi="David" w:cs="David" w:hint="cs"/>
          <w:color w:val="FF0000"/>
          <w:sz w:val="24"/>
          <w:szCs w:val="24"/>
          <w:rtl/>
        </w:rPr>
        <w:t>בושריאן</w:t>
      </w:r>
      <w:proofErr w:type="spellEnd"/>
      <w:r w:rsidRPr="003C18B6">
        <w:rPr>
          <w:rFonts w:ascii="David" w:hAnsi="David" w:cs="David" w:hint="cs"/>
          <w:color w:val="FF0000"/>
          <w:sz w:val="24"/>
          <w:szCs w:val="24"/>
          <w:rtl/>
        </w:rPr>
        <w:t xml:space="preserve">, ע' (2016). </w:t>
      </w:r>
      <w:proofErr w:type="spellStart"/>
      <w:r w:rsidRPr="003C18B6">
        <w:rPr>
          <w:rFonts w:ascii="David" w:hAnsi="David" w:cs="David"/>
          <w:b/>
          <w:bCs/>
          <w:color w:val="FF0000"/>
          <w:sz w:val="24"/>
          <w:szCs w:val="24"/>
          <w:rtl/>
        </w:rPr>
        <w:t>אי־שוויון</w:t>
      </w:r>
      <w:proofErr w:type="spellEnd"/>
      <w:r w:rsidRPr="003C18B6">
        <w:rPr>
          <w:rFonts w:ascii="David" w:hAnsi="David" w:cs="David"/>
          <w:b/>
          <w:bCs/>
          <w:color w:val="FF0000"/>
          <w:sz w:val="24"/>
          <w:szCs w:val="24"/>
          <w:rtl/>
        </w:rPr>
        <w:t xml:space="preserve"> וחינוך</w:t>
      </w:r>
      <w:r w:rsidRPr="003C18B6">
        <w:rPr>
          <w:rFonts w:ascii="David" w:hAnsi="David" w:cs="David" w:hint="cs"/>
          <w:b/>
          <w:bCs/>
          <w:color w:val="FF0000"/>
          <w:sz w:val="24"/>
          <w:szCs w:val="24"/>
          <w:rtl/>
        </w:rPr>
        <w:t xml:space="preserve">. </w:t>
      </w:r>
      <w:r w:rsidRPr="003C18B6">
        <w:rPr>
          <w:rFonts w:ascii="David" w:hAnsi="David" w:cs="David"/>
          <w:b/>
          <w:bCs/>
          <w:color w:val="FF0000"/>
          <w:sz w:val="24"/>
          <w:szCs w:val="24"/>
          <w:rtl/>
        </w:rPr>
        <w:t xml:space="preserve">קשרים בין גידול </w:t>
      </w:r>
      <w:proofErr w:type="spellStart"/>
      <w:r w:rsidRPr="003C18B6">
        <w:rPr>
          <w:rFonts w:ascii="David" w:hAnsi="David" w:cs="David"/>
          <w:b/>
          <w:bCs/>
          <w:color w:val="FF0000"/>
          <w:sz w:val="24"/>
          <w:szCs w:val="24"/>
          <w:rtl/>
        </w:rPr>
        <w:t>באי־שוויון</w:t>
      </w:r>
      <w:proofErr w:type="spellEnd"/>
      <w:r w:rsidRPr="003C18B6">
        <w:rPr>
          <w:rFonts w:ascii="David" w:hAnsi="David" w:cs="David"/>
          <w:b/>
          <w:bCs/>
          <w:color w:val="FF0000"/>
          <w:sz w:val="24"/>
          <w:szCs w:val="24"/>
          <w:rtl/>
        </w:rPr>
        <w:t xml:space="preserve"> </w:t>
      </w:r>
      <w:proofErr w:type="spellStart"/>
      <w:r w:rsidRPr="003C18B6">
        <w:rPr>
          <w:rFonts w:ascii="David" w:hAnsi="David" w:cs="David"/>
          <w:b/>
          <w:bCs/>
          <w:color w:val="FF0000"/>
          <w:sz w:val="24"/>
          <w:szCs w:val="24"/>
          <w:rtl/>
        </w:rPr>
        <w:t>חברתי־כלכלי</w:t>
      </w:r>
      <w:proofErr w:type="spellEnd"/>
      <w:r w:rsidRPr="003C18B6">
        <w:rPr>
          <w:rFonts w:ascii="David" w:hAnsi="David" w:cs="David" w:hint="cs"/>
          <w:b/>
          <w:bCs/>
          <w:color w:val="FF0000"/>
          <w:sz w:val="24"/>
          <w:szCs w:val="24"/>
          <w:rtl/>
        </w:rPr>
        <w:t xml:space="preserve"> </w:t>
      </w:r>
      <w:r w:rsidRPr="003C18B6">
        <w:rPr>
          <w:rFonts w:ascii="David" w:hAnsi="David" w:cs="David"/>
          <w:b/>
          <w:bCs/>
          <w:color w:val="FF0000"/>
          <w:sz w:val="24"/>
          <w:szCs w:val="24"/>
          <w:rtl/>
        </w:rPr>
        <w:t>לבין שוויון בהזדמנויות ובהישגים בחינוך</w:t>
      </w:r>
      <w:r w:rsidRPr="003C18B6">
        <w:rPr>
          <w:rFonts w:ascii="David" w:hAnsi="David" w:cs="David" w:hint="cs"/>
          <w:color w:val="FF0000"/>
          <w:sz w:val="24"/>
          <w:szCs w:val="24"/>
          <w:rtl/>
        </w:rPr>
        <w:t xml:space="preserve">. היזמה למחקר יישומי בחינוך. האקדמיה הלאומית הישראלית למדעים. </w:t>
      </w:r>
    </w:p>
    <w:p w14:paraId="4A1FD6FA" w14:textId="32F3B972" w:rsidR="002F0926" w:rsidRDefault="002F0926" w:rsidP="00CE35F9">
      <w:pPr>
        <w:spacing w:line="312" w:lineRule="auto"/>
        <w:jc w:val="both"/>
        <w:rPr>
          <w:rFonts w:ascii="David" w:hAnsi="David" w:cs="David"/>
          <w:sz w:val="24"/>
          <w:szCs w:val="24"/>
          <w:rtl/>
        </w:rPr>
      </w:pPr>
      <w:proofErr w:type="spellStart"/>
      <w:r>
        <w:rPr>
          <w:rFonts w:ascii="David" w:hAnsi="David" w:cs="David" w:hint="cs"/>
          <w:sz w:val="24"/>
          <w:szCs w:val="24"/>
          <w:rtl/>
        </w:rPr>
        <w:t>בלייך</w:t>
      </w:r>
      <w:proofErr w:type="spellEnd"/>
      <w:r>
        <w:rPr>
          <w:rFonts w:ascii="David" w:hAnsi="David" w:cs="David" w:hint="cs"/>
          <w:sz w:val="24"/>
          <w:szCs w:val="24"/>
          <w:rtl/>
        </w:rPr>
        <w:t xml:space="preserve">, ח' (2016). </w:t>
      </w:r>
      <w:r>
        <w:rPr>
          <w:rFonts w:ascii="David" w:hAnsi="David" w:cs="David" w:hint="cs"/>
          <w:b/>
          <w:bCs/>
          <w:sz w:val="24"/>
          <w:szCs w:val="24"/>
          <w:rtl/>
        </w:rPr>
        <w:t xml:space="preserve">עוני ואי שוויון בישראל במבט בין לאומי. </w:t>
      </w:r>
      <w:r>
        <w:rPr>
          <w:rFonts w:ascii="David" w:hAnsi="David" w:cs="David" w:hint="cs"/>
          <w:sz w:val="24"/>
          <w:szCs w:val="24"/>
          <w:rtl/>
        </w:rPr>
        <w:t xml:space="preserve">מרכז </w:t>
      </w:r>
      <w:proofErr w:type="spellStart"/>
      <w:r>
        <w:rPr>
          <w:rFonts w:ascii="David" w:hAnsi="David" w:cs="David" w:hint="cs"/>
          <w:sz w:val="24"/>
          <w:szCs w:val="24"/>
          <w:rtl/>
        </w:rPr>
        <w:t>טאוב</w:t>
      </w:r>
      <w:proofErr w:type="spellEnd"/>
      <w:r>
        <w:rPr>
          <w:rFonts w:ascii="David" w:hAnsi="David" w:cs="David" w:hint="cs"/>
          <w:sz w:val="24"/>
          <w:szCs w:val="24"/>
          <w:rtl/>
        </w:rPr>
        <w:t xml:space="preserve"> לחקר המדיניות החברתית בישראל.</w:t>
      </w:r>
    </w:p>
    <w:p w14:paraId="3D2571D9" w14:textId="2BFE5639" w:rsidR="007E2D7E" w:rsidRPr="0073785E" w:rsidRDefault="007E2D7E" w:rsidP="00CE35F9">
      <w:pPr>
        <w:spacing w:line="312" w:lineRule="auto"/>
        <w:jc w:val="both"/>
        <w:rPr>
          <w:rFonts w:ascii="David" w:hAnsi="David" w:cs="David"/>
          <w:sz w:val="24"/>
          <w:szCs w:val="24"/>
          <w:rtl/>
        </w:rPr>
      </w:pPr>
      <w:proofErr w:type="spellStart"/>
      <w:r>
        <w:rPr>
          <w:rFonts w:ascii="David" w:hAnsi="David" w:cs="David" w:hint="cs"/>
          <w:sz w:val="24"/>
          <w:szCs w:val="24"/>
          <w:rtl/>
        </w:rPr>
        <w:t>בלנק</w:t>
      </w:r>
      <w:proofErr w:type="spellEnd"/>
      <w:r>
        <w:rPr>
          <w:rFonts w:ascii="David" w:hAnsi="David" w:cs="David" w:hint="cs"/>
          <w:sz w:val="24"/>
          <w:szCs w:val="24"/>
          <w:rtl/>
        </w:rPr>
        <w:t xml:space="preserve">, כ' וסילברמן, ש' (2023). </w:t>
      </w:r>
      <w:r w:rsidR="0073785E">
        <w:rPr>
          <w:rFonts w:ascii="David" w:hAnsi="David" w:cs="David" w:hint="cs"/>
          <w:b/>
          <w:bCs/>
          <w:sz w:val="24"/>
          <w:szCs w:val="24"/>
          <w:rtl/>
        </w:rPr>
        <w:t xml:space="preserve">חינוך חינם לגיל הרך </w:t>
      </w:r>
      <w:r w:rsidR="0073785E">
        <w:rPr>
          <w:rFonts w:ascii="David" w:hAnsi="David" w:cs="David"/>
          <w:b/>
          <w:bCs/>
          <w:sz w:val="24"/>
          <w:szCs w:val="24"/>
          <w:rtl/>
        </w:rPr>
        <w:t>–</w:t>
      </w:r>
      <w:r w:rsidR="0073785E">
        <w:rPr>
          <w:rFonts w:ascii="David" w:hAnsi="David" w:cs="David" w:hint="cs"/>
          <w:b/>
          <w:bCs/>
          <w:sz w:val="24"/>
          <w:szCs w:val="24"/>
          <w:rtl/>
        </w:rPr>
        <w:t xml:space="preserve"> אתגרים וחלופות מדיניות. נייר עמדה. </w:t>
      </w:r>
      <w:r w:rsidR="0073785E">
        <w:rPr>
          <w:rFonts w:ascii="David" w:hAnsi="David" w:cs="David" w:hint="cs"/>
          <w:sz w:val="24"/>
          <w:szCs w:val="24"/>
          <w:rtl/>
        </w:rPr>
        <w:t xml:space="preserve">מרכז </w:t>
      </w:r>
      <w:proofErr w:type="spellStart"/>
      <w:r w:rsidR="0073785E">
        <w:rPr>
          <w:rFonts w:ascii="David" w:hAnsi="David" w:cs="David" w:hint="cs"/>
          <w:sz w:val="24"/>
          <w:szCs w:val="24"/>
          <w:rtl/>
        </w:rPr>
        <w:t>טאוב</w:t>
      </w:r>
      <w:proofErr w:type="spellEnd"/>
      <w:r w:rsidR="0073785E">
        <w:rPr>
          <w:rFonts w:ascii="David" w:hAnsi="David" w:cs="David" w:hint="cs"/>
          <w:sz w:val="24"/>
          <w:szCs w:val="24"/>
          <w:rtl/>
        </w:rPr>
        <w:t xml:space="preserve"> לחקר המדיניות החברתית בישראל</w:t>
      </w:r>
    </w:p>
    <w:p w14:paraId="151537D0" w14:textId="1518B1AA" w:rsidR="00084806" w:rsidRPr="00084806" w:rsidRDefault="00084806" w:rsidP="00CE35F9">
      <w:pPr>
        <w:spacing w:line="312" w:lineRule="auto"/>
        <w:jc w:val="both"/>
        <w:rPr>
          <w:rFonts w:ascii="David" w:hAnsi="David" w:cs="David"/>
          <w:sz w:val="24"/>
          <w:szCs w:val="24"/>
          <w:rtl/>
        </w:rPr>
      </w:pPr>
      <w:r>
        <w:rPr>
          <w:rFonts w:ascii="David" w:hAnsi="David" w:cs="David" w:hint="cs"/>
          <w:sz w:val="24"/>
          <w:szCs w:val="24"/>
          <w:rtl/>
        </w:rPr>
        <w:t xml:space="preserve">בלס, (2022). </w:t>
      </w:r>
      <w:r>
        <w:rPr>
          <w:rFonts w:ascii="David" w:hAnsi="David" w:cs="David" w:hint="cs"/>
          <w:b/>
          <w:bCs/>
          <w:sz w:val="24"/>
          <w:szCs w:val="24"/>
          <w:rtl/>
        </w:rPr>
        <w:t xml:space="preserve">הישגי מערכת החינוך בישראל: מבט-על. </w:t>
      </w:r>
      <w:r>
        <w:rPr>
          <w:rFonts w:ascii="David" w:hAnsi="David" w:cs="David" w:hint="cs"/>
          <w:sz w:val="24"/>
          <w:szCs w:val="24"/>
          <w:rtl/>
        </w:rPr>
        <w:t xml:space="preserve">מרכז </w:t>
      </w:r>
      <w:proofErr w:type="spellStart"/>
      <w:r>
        <w:rPr>
          <w:rFonts w:ascii="David" w:hAnsi="David" w:cs="David" w:hint="cs"/>
          <w:sz w:val="24"/>
          <w:szCs w:val="24"/>
          <w:rtl/>
        </w:rPr>
        <w:t>טאוב</w:t>
      </w:r>
      <w:proofErr w:type="spellEnd"/>
      <w:r>
        <w:rPr>
          <w:rFonts w:ascii="David" w:hAnsi="David" w:cs="David" w:hint="cs"/>
          <w:sz w:val="24"/>
          <w:szCs w:val="24"/>
          <w:rtl/>
        </w:rPr>
        <w:t xml:space="preserve"> לחקר המדיניות החברתית בישראל. </w:t>
      </w:r>
    </w:p>
    <w:p w14:paraId="1FC222CD" w14:textId="54FD50E5" w:rsidR="000B2778" w:rsidRPr="000B2778" w:rsidRDefault="000B2778" w:rsidP="00CE35F9">
      <w:pPr>
        <w:spacing w:line="312" w:lineRule="auto"/>
        <w:jc w:val="both"/>
        <w:rPr>
          <w:rFonts w:ascii="David" w:hAnsi="David" w:cs="David"/>
          <w:sz w:val="24"/>
          <w:szCs w:val="24"/>
          <w:rtl/>
        </w:rPr>
      </w:pPr>
      <w:r>
        <w:rPr>
          <w:rFonts w:ascii="David" w:hAnsi="David" w:cs="David" w:hint="cs"/>
          <w:sz w:val="24"/>
          <w:szCs w:val="24"/>
          <w:rtl/>
        </w:rPr>
        <w:t xml:space="preserve">בן פורת, א' (2003). אי שוויון חברתי בישראל. בתוך: א' יער וז' שביט (עורכים). </w:t>
      </w:r>
      <w:r w:rsidRPr="000B2778">
        <w:rPr>
          <w:rFonts w:ascii="David" w:hAnsi="David" w:cs="David" w:hint="cs"/>
          <w:b/>
          <w:bCs/>
          <w:sz w:val="24"/>
          <w:szCs w:val="24"/>
          <w:rtl/>
        </w:rPr>
        <w:t>מגמות בחברה הישראלית, א'</w:t>
      </w:r>
      <w:r>
        <w:rPr>
          <w:rFonts w:ascii="David" w:hAnsi="David" w:cs="David" w:hint="cs"/>
          <w:b/>
          <w:bCs/>
          <w:sz w:val="24"/>
          <w:szCs w:val="24"/>
          <w:rtl/>
        </w:rPr>
        <w:t>,</w:t>
      </w:r>
      <w:r>
        <w:rPr>
          <w:rFonts w:ascii="David" w:hAnsi="David" w:cs="David" w:hint="cs"/>
          <w:sz w:val="24"/>
          <w:szCs w:val="24"/>
          <w:rtl/>
        </w:rPr>
        <w:t xml:space="preserve"> (עמ' 558-487). האוניברסיטה הפתוחה. </w:t>
      </w:r>
    </w:p>
    <w:p w14:paraId="433348EC" w14:textId="46DC1707" w:rsidR="00894E6C" w:rsidRPr="00BB322A" w:rsidRDefault="00894E6C" w:rsidP="00894E6C">
      <w:pPr>
        <w:spacing w:line="312" w:lineRule="auto"/>
        <w:jc w:val="both"/>
        <w:rPr>
          <w:rFonts w:ascii="David" w:hAnsi="David" w:cs="David"/>
          <w:sz w:val="24"/>
          <w:szCs w:val="24"/>
          <w:rtl/>
        </w:rPr>
      </w:pPr>
      <w:r>
        <w:rPr>
          <w:rFonts w:ascii="David" w:hAnsi="David" w:cs="David" w:hint="cs"/>
          <w:sz w:val="24"/>
          <w:szCs w:val="24"/>
          <w:rtl/>
        </w:rPr>
        <w:t xml:space="preserve">בן-שחר, ד', גבריאל, ס' וגולן, ר' (2016). </w:t>
      </w:r>
      <w:r w:rsidR="00BB322A">
        <w:rPr>
          <w:rFonts w:ascii="David" w:hAnsi="David" w:cs="David" w:hint="cs"/>
          <w:b/>
          <w:bCs/>
          <w:sz w:val="24"/>
          <w:szCs w:val="24"/>
          <w:rtl/>
        </w:rPr>
        <w:t xml:space="preserve">אי-שוויון </w:t>
      </w:r>
      <w:proofErr w:type="spellStart"/>
      <w:r w:rsidR="00BB322A" w:rsidRPr="006C05F5">
        <w:rPr>
          <w:rFonts w:ascii="David" w:hAnsi="David" w:cs="David" w:hint="cs"/>
          <w:b/>
          <w:bCs/>
          <w:sz w:val="24"/>
          <w:szCs w:val="24"/>
          <w:highlight w:val="yellow"/>
          <w:rtl/>
        </w:rPr>
        <w:t>בנשיגות</w:t>
      </w:r>
      <w:proofErr w:type="spellEnd"/>
      <w:r w:rsidR="00BB322A">
        <w:rPr>
          <w:rFonts w:ascii="David" w:hAnsi="David" w:cs="David" w:hint="cs"/>
          <w:b/>
          <w:bCs/>
          <w:sz w:val="24"/>
          <w:szCs w:val="24"/>
          <w:rtl/>
        </w:rPr>
        <w:t xml:space="preserve"> הדיור בישראל. </w:t>
      </w:r>
      <w:r w:rsidR="00BB322A">
        <w:rPr>
          <w:rFonts w:ascii="David" w:hAnsi="David" w:cs="David" w:hint="cs"/>
          <w:sz w:val="24"/>
          <w:szCs w:val="24"/>
          <w:rtl/>
        </w:rPr>
        <w:t>מכון אלרוב לחקר הנד</w:t>
      </w:r>
      <w:r w:rsidR="00FE0DEB">
        <w:rPr>
          <w:rFonts w:ascii="David" w:hAnsi="David" w:cs="David" w:hint="cs"/>
          <w:sz w:val="24"/>
          <w:szCs w:val="24"/>
          <w:rtl/>
        </w:rPr>
        <w:t xml:space="preserve">ל"ן. אוניברסיטת תל-אביב. </w:t>
      </w:r>
    </w:p>
    <w:p w14:paraId="1574C576" w14:textId="067A91E8" w:rsidR="0082155B" w:rsidRDefault="0082155B" w:rsidP="00CE35F9">
      <w:pPr>
        <w:spacing w:line="312" w:lineRule="auto"/>
        <w:jc w:val="both"/>
        <w:rPr>
          <w:rFonts w:ascii="David" w:hAnsi="David" w:cs="David"/>
          <w:sz w:val="24"/>
          <w:szCs w:val="24"/>
          <w:rtl/>
        </w:rPr>
      </w:pPr>
      <w:proofErr w:type="spellStart"/>
      <w:r>
        <w:rPr>
          <w:rFonts w:ascii="David" w:hAnsi="David" w:cs="David" w:hint="cs"/>
          <w:sz w:val="24"/>
          <w:szCs w:val="24"/>
          <w:rtl/>
        </w:rPr>
        <w:t>בניש</w:t>
      </w:r>
      <w:proofErr w:type="spellEnd"/>
      <w:r>
        <w:rPr>
          <w:rFonts w:ascii="David" w:hAnsi="David" w:cs="David" w:hint="cs"/>
          <w:sz w:val="24"/>
          <w:szCs w:val="24"/>
          <w:rtl/>
        </w:rPr>
        <w:t xml:space="preserve">, א' ודוד, ל' (2018). זכות הגישה </w:t>
      </w:r>
      <w:proofErr w:type="spellStart"/>
      <w:r>
        <w:rPr>
          <w:rFonts w:ascii="David" w:hAnsi="David" w:cs="David" w:hint="cs"/>
          <w:sz w:val="24"/>
          <w:szCs w:val="24"/>
          <w:rtl/>
        </w:rPr>
        <w:t>למינהל</w:t>
      </w:r>
      <w:proofErr w:type="spellEnd"/>
      <w:r>
        <w:rPr>
          <w:rFonts w:ascii="David" w:hAnsi="David" w:cs="David" w:hint="cs"/>
          <w:sz w:val="24"/>
          <w:szCs w:val="24"/>
          <w:rtl/>
        </w:rPr>
        <w:t xml:space="preserve"> </w:t>
      </w:r>
      <w:r w:rsidRPr="006C05F5">
        <w:rPr>
          <w:rFonts w:ascii="David" w:hAnsi="David" w:cs="David" w:hint="cs"/>
          <w:sz w:val="24"/>
          <w:szCs w:val="24"/>
          <w:highlight w:val="yellow"/>
          <w:rtl/>
        </w:rPr>
        <w:t>במד</w:t>
      </w:r>
      <w:r w:rsidR="00BC593D">
        <w:rPr>
          <w:rFonts w:ascii="David" w:hAnsi="David" w:cs="David" w:hint="cs"/>
          <w:sz w:val="24"/>
          <w:szCs w:val="24"/>
          <w:highlight w:val="yellow"/>
          <w:rtl/>
        </w:rPr>
        <w:t>י</w:t>
      </w:r>
      <w:r w:rsidRPr="006C05F5">
        <w:rPr>
          <w:rFonts w:ascii="David" w:hAnsi="David" w:cs="David" w:hint="cs"/>
          <w:sz w:val="24"/>
          <w:szCs w:val="24"/>
          <w:highlight w:val="yellow"/>
          <w:rtl/>
        </w:rPr>
        <w:t>נת</w:t>
      </w:r>
      <w:r>
        <w:rPr>
          <w:rFonts w:ascii="David" w:hAnsi="David" w:cs="David" w:hint="cs"/>
          <w:sz w:val="24"/>
          <w:szCs w:val="24"/>
          <w:rtl/>
        </w:rPr>
        <w:t xml:space="preserve"> הרווחה: על [אי]-מיצוי זכויות חברתיות וחובת הנגשה של החקיקה החברתית. </w:t>
      </w:r>
      <w:r w:rsidRPr="0082155B">
        <w:rPr>
          <w:rFonts w:ascii="David" w:hAnsi="David" w:cs="David" w:hint="cs"/>
          <w:b/>
          <w:bCs/>
          <w:sz w:val="24"/>
          <w:szCs w:val="24"/>
          <w:rtl/>
        </w:rPr>
        <w:t xml:space="preserve">משפט וממשל, </w:t>
      </w:r>
      <w:proofErr w:type="spellStart"/>
      <w:r w:rsidRPr="0082155B">
        <w:rPr>
          <w:rFonts w:ascii="David" w:hAnsi="David" w:cs="David" w:hint="cs"/>
          <w:b/>
          <w:bCs/>
          <w:sz w:val="24"/>
          <w:szCs w:val="24"/>
          <w:rtl/>
        </w:rPr>
        <w:t>יט</w:t>
      </w:r>
      <w:proofErr w:type="spellEnd"/>
      <w:r>
        <w:rPr>
          <w:rFonts w:ascii="David" w:hAnsi="David" w:cs="David" w:hint="cs"/>
          <w:sz w:val="24"/>
          <w:szCs w:val="24"/>
          <w:rtl/>
        </w:rPr>
        <w:t xml:space="preserve">, 37-1. </w:t>
      </w:r>
    </w:p>
    <w:p w14:paraId="4151C5DC" w14:textId="2A31BEBF" w:rsidR="00337689" w:rsidRDefault="00337689" w:rsidP="00CE35F9">
      <w:pPr>
        <w:spacing w:line="312" w:lineRule="auto"/>
        <w:jc w:val="both"/>
        <w:rPr>
          <w:rFonts w:ascii="David" w:hAnsi="David" w:cs="David"/>
          <w:sz w:val="24"/>
          <w:szCs w:val="24"/>
          <w:rtl/>
        </w:rPr>
      </w:pPr>
      <w:r>
        <w:rPr>
          <w:rFonts w:ascii="David" w:hAnsi="David" w:cs="David" w:hint="cs"/>
          <w:sz w:val="24"/>
          <w:szCs w:val="24"/>
          <w:rtl/>
        </w:rPr>
        <w:t xml:space="preserve">ברבר מ' </w:t>
      </w:r>
      <w:proofErr w:type="spellStart"/>
      <w:r>
        <w:rPr>
          <w:rFonts w:ascii="David" w:hAnsi="David" w:cs="David" w:hint="cs"/>
          <w:sz w:val="24"/>
          <w:szCs w:val="24"/>
          <w:rtl/>
        </w:rPr>
        <w:t>ומורשד</w:t>
      </w:r>
      <w:proofErr w:type="spellEnd"/>
      <w:r>
        <w:rPr>
          <w:rFonts w:ascii="David" w:hAnsi="David" w:cs="David" w:hint="cs"/>
          <w:sz w:val="24"/>
          <w:szCs w:val="24"/>
          <w:rtl/>
        </w:rPr>
        <w:t xml:space="preserve">, מ' (2007). </w:t>
      </w:r>
      <w:r w:rsidRPr="00B150B3">
        <w:rPr>
          <w:rFonts w:ascii="David" w:hAnsi="David" w:cs="David" w:hint="cs"/>
          <w:b/>
          <w:bCs/>
          <w:sz w:val="24"/>
          <w:szCs w:val="24"/>
          <w:rtl/>
        </w:rPr>
        <w:t xml:space="preserve">דוח </w:t>
      </w:r>
      <w:proofErr w:type="spellStart"/>
      <w:r w:rsidRPr="00B150B3">
        <w:rPr>
          <w:rFonts w:ascii="David" w:hAnsi="David" w:cs="David" w:hint="cs"/>
          <w:b/>
          <w:bCs/>
          <w:sz w:val="24"/>
          <w:szCs w:val="24"/>
          <w:rtl/>
        </w:rPr>
        <w:t>מקנזי</w:t>
      </w:r>
      <w:proofErr w:type="spellEnd"/>
      <w:r w:rsidR="00B150B3" w:rsidRPr="00B150B3">
        <w:rPr>
          <w:rFonts w:ascii="David" w:hAnsi="David" w:cs="David" w:hint="cs"/>
          <w:b/>
          <w:bCs/>
          <w:sz w:val="24"/>
          <w:szCs w:val="24"/>
          <w:rtl/>
        </w:rPr>
        <w:t>. על הגורמים להצלחתן של מערכות החינוך הטובות בעולם</w:t>
      </w:r>
      <w:r w:rsidR="00B150B3">
        <w:rPr>
          <w:rFonts w:ascii="David" w:hAnsi="David" w:cs="David" w:hint="cs"/>
          <w:sz w:val="24"/>
          <w:szCs w:val="24"/>
          <w:rtl/>
        </w:rPr>
        <w:t xml:space="preserve">. </w:t>
      </w:r>
      <w:r w:rsidR="0089793A">
        <w:rPr>
          <w:rFonts w:ascii="David" w:hAnsi="David" w:cs="David" w:hint="cs"/>
          <w:sz w:val="24"/>
          <w:szCs w:val="24"/>
          <w:rtl/>
        </w:rPr>
        <w:t xml:space="preserve">הד החינוך. </w:t>
      </w:r>
    </w:p>
    <w:p w14:paraId="33484591" w14:textId="790178DA" w:rsidR="00E65FF3" w:rsidRDefault="00E65FF3" w:rsidP="00CE35F9">
      <w:pPr>
        <w:spacing w:line="312" w:lineRule="auto"/>
        <w:jc w:val="both"/>
        <w:rPr>
          <w:rFonts w:ascii="David" w:hAnsi="David" w:cs="David"/>
          <w:sz w:val="24"/>
          <w:szCs w:val="24"/>
          <w:rtl/>
        </w:rPr>
      </w:pPr>
      <w:r>
        <w:rPr>
          <w:rFonts w:ascii="David" w:hAnsi="David" w:cs="David" w:hint="cs"/>
          <w:sz w:val="24"/>
          <w:szCs w:val="24"/>
          <w:rtl/>
        </w:rPr>
        <w:t xml:space="preserve">בר-חיים, </w:t>
      </w:r>
      <w:r w:rsidR="002449B8">
        <w:rPr>
          <w:rFonts w:ascii="David" w:hAnsi="David" w:cs="David" w:hint="cs"/>
          <w:sz w:val="24"/>
          <w:szCs w:val="24"/>
          <w:rtl/>
        </w:rPr>
        <w:t xml:space="preserve">א' </w:t>
      </w:r>
      <w:proofErr w:type="spellStart"/>
      <w:r w:rsidR="002449B8">
        <w:rPr>
          <w:rFonts w:ascii="David" w:hAnsi="David" w:cs="David" w:hint="cs"/>
          <w:sz w:val="24"/>
          <w:szCs w:val="24"/>
          <w:rtl/>
        </w:rPr>
        <w:t>ופרינגר</w:t>
      </w:r>
      <w:proofErr w:type="spellEnd"/>
      <w:r w:rsidR="002449B8">
        <w:rPr>
          <w:rFonts w:ascii="David" w:hAnsi="David" w:cs="David" w:hint="cs"/>
          <w:sz w:val="24"/>
          <w:szCs w:val="24"/>
          <w:rtl/>
        </w:rPr>
        <w:t>, י' (2022).</w:t>
      </w:r>
      <w:r w:rsidR="002449B8" w:rsidRPr="002449B8">
        <w:rPr>
          <w:rFonts w:ascii="David" w:hAnsi="David" w:cs="David" w:hint="cs"/>
          <w:b/>
          <w:bCs/>
          <w:sz w:val="24"/>
          <w:szCs w:val="24"/>
          <w:rtl/>
        </w:rPr>
        <w:t xml:space="preserve"> הסללה והשפעתה ארוכת הטווח על הישגי ההשכלה והשכר של תלמידות ותלמידי תיכון בשנות התשעים</w:t>
      </w:r>
      <w:r w:rsidR="002449B8">
        <w:rPr>
          <w:rFonts w:ascii="David" w:hAnsi="David" w:cs="David" w:hint="cs"/>
          <w:sz w:val="24"/>
          <w:szCs w:val="24"/>
          <w:rtl/>
        </w:rPr>
        <w:t xml:space="preserve">. מרכז </w:t>
      </w:r>
      <w:proofErr w:type="spellStart"/>
      <w:r w:rsidR="002449B8">
        <w:rPr>
          <w:rFonts w:ascii="David" w:hAnsi="David" w:cs="David" w:hint="cs"/>
          <w:sz w:val="24"/>
          <w:szCs w:val="24"/>
          <w:rtl/>
        </w:rPr>
        <w:t>טאוב</w:t>
      </w:r>
      <w:proofErr w:type="spellEnd"/>
      <w:r w:rsidR="002449B8">
        <w:rPr>
          <w:rFonts w:ascii="David" w:hAnsi="David" w:cs="David" w:hint="cs"/>
          <w:sz w:val="24"/>
          <w:szCs w:val="24"/>
          <w:rtl/>
        </w:rPr>
        <w:t xml:space="preserve"> לחקר המדיניות החברתית בישראל. </w:t>
      </w:r>
    </w:p>
    <w:p w14:paraId="154E783F" w14:textId="037825A1" w:rsidR="00F42F45" w:rsidRPr="00F42F45" w:rsidRDefault="00F42F45" w:rsidP="00CE35F9">
      <w:pPr>
        <w:spacing w:line="312" w:lineRule="auto"/>
        <w:jc w:val="both"/>
        <w:rPr>
          <w:rFonts w:ascii="David" w:hAnsi="David" w:cs="David"/>
          <w:sz w:val="24"/>
          <w:szCs w:val="24"/>
          <w:rtl/>
        </w:rPr>
      </w:pPr>
      <w:r>
        <w:rPr>
          <w:rFonts w:ascii="David" w:hAnsi="David" w:cs="David" w:hint="cs"/>
          <w:sz w:val="24"/>
          <w:szCs w:val="24"/>
          <w:rtl/>
        </w:rPr>
        <w:t xml:space="preserve">גל, ג', </w:t>
      </w:r>
      <w:proofErr w:type="spellStart"/>
      <w:r>
        <w:rPr>
          <w:rFonts w:ascii="David" w:hAnsi="David" w:cs="David" w:hint="cs"/>
          <w:sz w:val="24"/>
          <w:szCs w:val="24"/>
          <w:rtl/>
        </w:rPr>
        <w:t>מדהלה</w:t>
      </w:r>
      <w:proofErr w:type="spellEnd"/>
      <w:r>
        <w:rPr>
          <w:rFonts w:ascii="David" w:hAnsi="David" w:cs="David" w:hint="cs"/>
          <w:sz w:val="24"/>
          <w:szCs w:val="24"/>
          <w:rtl/>
        </w:rPr>
        <w:t xml:space="preserve">, ש' וינאי, ג' (2020). </w:t>
      </w:r>
      <w:r>
        <w:rPr>
          <w:rFonts w:ascii="David" w:hAnsi="David" w:cs="David" w:hint="cs"/>
          <w:b/>
          <w:bCs/>
          <w:sz w:val="24"/>
          <w:szCs w:val="24"/>
          <w:rtl/>
        </w:rPr>
        <w:t xml:space="preserve">השקעה חברתית בישראל. </w:t>
      </w:r>
      <w:r>
        <w:rPr>
          <w:rFonts w:ascii="David" w:hAnsi="David" w:cs="David" w:hint="cs"/>
          <w:sz w:val="24"/>
          <w:szCs w:val="24"/>
          <w:rtl/>
        </w:rPr>
        <w:t xml:space="preserve">מרכז </w:t>
      </w:r>
      <w:proofErr w:type="spellStart"/>
      <w:r>
        <w:rPr>
          <w:rFonts w:ascii="David" w:hAnsi="David" w:cs="David" w:hint="cs"/>
          <w:sz w:val="24"/>
          <w:szCs w:val="24"/>
          <w:rtl/>
        </w:rPr>
        <w:t>טאוב</w:t>
      </w:r>
      <w:proofErr w:type="spellEnd"/>
      <w:r>
        <w:rPr>
          <w:rFonts w:ascii="David" w:hAnsi="David" w:cs="David" w:hint="cs"/>
          <w:sz w:val="24"/>
          <w:szCs w:val="24"/>
          <w:rtl/>
        </w:rPr>
        <w:t xml:space="preserve"> לחקר המדיניות החברתית בישראל. </w:t>
      </w:r>
    </w:p>
    <w:p w14:paraId="0F0578AC" w14:textId="4D0C0D4F" w:rsidR="000B4045" w:rsidRPr="000B4045" w:rsidRDefault="000B4045" w:rsidP="00CE35F9">
      <w:pPr>
        <w:spacing w:line="312" w:lineRule="auto"/>
        <w:jc w:val="both"/>
        <w:rPr>
          <w:rFonts w:ascii="David" w:hAnsi="David" w:cs="David"/>
          <w:sz w:val="24"/>
          <w:szCs w:val="24"/>
          <w:rtl/>
        </w:rPr>
      </w:pPr>
      <w:proofErr w:type="spellStart"/>
      <w:r>
        <w:rPr>
          <w:rFonts w:ascii="David" w:hAnsi="David" w:cs="David" w:hint="cs"/>
          <w:sz w:val="24"/>
          <w:szCs w:val="24"/>
          <w:rtl/>
        </w:rPr>
        <w:t>דבאוי</w:t>
      </w:r>
      <w:proofErr w:type="spellEnd"/>
      <w:r>
        <w:rPr>
          <w:rFonts w:ascii="David" w:hAnsi="David" w:cs="David" w:hint="cs"/>
          <w:sz w:val="24"/>
          <w:szCs w:val="24"/>
          <w:rtl/>
        </w:rPr>
        <w:t xml:space="preserve">, מ', אפשטיין, ג' ווייס, א' (2022). </w:t>
      </w:r>
      <w:r>
        <w:rPr>
          <w:rFonts w:ascii="David" w:hAnsi="David" w:cs="David" w:hint="cs"/>
          <w:b/>
          <w:bCs/>
          <w:sz w:val="24"/>
          <w:szCs w:val="24"/>
          <w:rtl/>
        </w:rPr>
        <w:t xml:space="preserve">עשירון השכר העליון של העובדים בישראל. </w:t>
      </w:r>
      <w:r>
        <w:rPr>
          <w:rFonts w:ascii="David" w:hAnsi="David" w:cs="David" w:hint="cs"/>
          <w:sz w:val="24"/>
          <w:szCs w:val="24"/>
          <w:rtl/>
        </w:rPr>
        <w:t xml:space="preserve">מרכז </w:t>
      </w:r>
      <w:proofErr w:type="spellStart"/>
      <w:r>
        <w:rPr>
          <w:rFonts w:ascii="David" w:hAnsi="David" w:cs="David" w:hint="cs"/>
          <w:sz w:val="24"/>
          <w:szCs w:val="24"/>
          <w:rtl/>
        </w:rPr>
        <w:t>טאוב</w:t>
      </w:r>
      <w:proofErr w:type="spellEnd"/>
      <w:r>
        <w:rPr>
          <w:rFonts w:ascii="David" w:hAnsi="David" w:cs="David" w:hint="cs"/>
          <w:sz w:val="24"/>
          <w:szCs w:val="24"/>
          <w:rtl/>
        </w:rPr>
        <w:t xml:space="preserve"> ל</w:t>
      </w:r>
      <w:r w:rsidR="00092B6B">
        <w:rPr>
          <w:rFonts w:ascii="David" w:hAnsi="David" w:cs="David" w:hint="cs"/>
          <w:sz w:val="24"/>
          <w:szCs w:val="24"/>
          <w:rtl/>
        </w:rPr>
        <w:t>חקר המדיניות החברתית בישראל</w:t>
      </w:r>
      <w:r>
        <w:rPr>
          <w:rFonts w:ascii="David" w:hAnsi="David" w:cs="David" w:hint="cs"/>
          <w:sz w:val="24"/>
          <w:szCs w:val="24"/>
          <w:rtl/>
        </w:rPr>
        <w:t xml:space="preserve">. </w:t>
      </w:r>
    </w:p>
    <w:p w14:paraId="1960958C" w14:textId="530201A2" w:rsidR="00AA7726" w:rsidRDefault="00AA7726" w:rsidP="00CE35F9">
      <w:pPr>
        <w:spacing w:line="312" w:lineRule="auto"/>
        <w:jc w:val="both"/>
        <w:rPr>
          <w:rFonts w:ascii="David" w:hAnsi="David" w:cs="David"/>
          <w:b/>
          <w:bCs/>
          <w:sz w:val="24"/>
          <w:szCs w:val="24"/>
          <w:rtl/>
        </w:rPr>
      </w:pPr>
      <w:r>
        <w:rPr>
          <w:rFonts w:ascii="David" w:hAnsi="David" w:cs="David" w:hint="cs"/>
          <w:sz w:val="24"/>
          <w:szCs w:val="24"/>
          <w:rtl/>
        </w:rPr>
        <w:t xml:space="preserve">דהן, מ' (2018). </w:t>
      </w:r>
      <w:r>
        <w:rPr>
          <w:rFonts w:ascii="David" w:hAnsi="David" w:cs="David" w:hint="cs"/>
          <w:b/>
          <w:bCs/>
          <w:sz w:val="24"/>
          <w:szCs w:val="24"/>
          <w:rtl/>
        </w:rPr>
        <w:t>אי-השוויון בהכנסות בישראל</w:t>
      </w:r>
      <w:r w:rsidR="00BE3C2D">
        <w:rPr>
          <w:rFonts w:ascii="David" w:hAnsi="David" w:cs="David" w:hint="cs"/>
          <w:b/>
          <w:bCs/>
          <w:sz w:val="24"/>
          <w:szCs w:val="24"/>
          <w:rtl/>
        </w:rPr>
        <w:t xml:space="preserve">: התפתחות ייחודית. </w:t>
      </w:r>
      <w:r w:rsidR="00E6115B" w:rsidRPr="00E6115B">
        <w:rPr>
          <w:rFonts w:ascii="David" w:hAnsi="David" w:cs="David" w:hint="cs"/>
          <w:sz w:val="24"/>
          <w:szCs w:val="24"/>
          <w:rtl/>
        </w:rPr>
        <w:t xml:space="preserve">האוניברסיטה העברית בירושלים. </w:t>
      </w:r>
    </w:p>
    <w:p w14:paraId="0AA788B7" w14:textId="430EAF7F" w:rsidR="00F813AB" w:rsidRDefault="00B47A6F" w:rsidP="00F813AB">
      <w:pPr>
        <w:spacing w:line="312" w:lineRule="auto"/>
        <w:jc w:val="both"/>
        <w:rPr>
          <w:rFonts w:ascii="David" w:hAnsi="David" w:cs="David"/>
          <w:sz w:val="24"/>
          <w:szCs w:val="24"/>
          <w:rtl/>
        </w:rPr>
      </w:pPr>
      <w:r>
        <w:rPr>
          <w:rFonts w:ascii="David" w:hAnsi="David" w:cs="David" w:hint="cs"/>
          <w:sz w:val="24"/>
          <w:szCs w:val="24"/>
          <w:rtl/>
        </w:rPr>
        <w:lastRenderedPageBreak/>
        <w:t xml:space="preserve">דהן, מ' (2013). </w:t>
      </w:r>
      <w:r>
        <w:rPr>
          <w:rFonts w:ascii="David" w:hAnsi="David" w:cs="David" w:hint="cs"/>
          <w:b/>
          <w:bCs/>
          <w:sz w:val="24"/>
          <w:szCs w:val="24"/>
          <w:rtl/>
        </w:rPr>
        <w:t>האם כור ה</w:t>
      </w:r>
      <w:r w:rsidR="007A21B5">
        <w:rPr>
          <w:rFonts w:ascii="David" w:hAnsi="David" w:cs="David" w:hint="cs"/>
          <w:b/>
          <w:bCs/>
          <w:sz w:val="24"/>
          <w:szCs w:val="24"/>
          <w:rtl/>
        </w:rPr>
        <w:t xml:space="preserve">היתוך הצליח בשדה הכלכלי? </w:t>
      </w:r>
      <w:r w:rsidR="007A21B5">
        <w:rPr>
          <w:rFonts w:ascii="David" w:hAnsi="David" w:cs="David" w:hint="cs"/>
          <w:sz w:val="24"/>
          <w:szCs w:val="24"/>
          <w:rtl/>
        </w:rPr>
        <w:t xml:space="preserve">בית הספר </w:t>
      </w:r>
      <w:r w:rsidR="00651F8A">
        <w:rPr>
          <w:rFonts w:ascii="David" w:hAnsi="David" w:cs="David" w:hint="cs"/>
          <w:sz w:val="24"/>
          <w:szCs w:val="24"/>
          <w:rtl/>
        </w:rPr>
        <w:t xml:space="preserve">ע"ש </w:t>
      </w:r>
      <w:proofErr w:type="spellStart"/>
      <w:r w:rsidR="00651F8A">
        <w:rPr>
          <w:rFonts w:ascii="David" w:hAnsi="David" w:cs="David" w:hint="cs"/>
          <w:sz w:val="24"/>
          <w:szCs w:val="24"/>
          <w:rtl/>
        </w:rPr>
        <w:t>פדרמן</w:t>
      </w:r>
      <w:proofErr w:type="spellEnd"/>
      <w:r w:rsidR="00651F8A">
        <w:rPr>
          <w:rFonts w:ascii="David" w:hAnsi="David" w:cs="David" w:hint="cs"/>
          <w:sz w:val="24"/>
          <w:szCs w:val="24"/>
          <w:rtl/>
        </w:rPr>
        <w:t xml:space="preserve"> למדיניות ציבורית וממשל. האוניברסיטה העברית. </w:t>
      </w:r>
    </w:p>
    <w:p w14:paraId="268C8D82" w14:textId="2C6A7216" w:rsidR="0082155B" w:rsidRPr="0082155B" w:rsidRDefault="0082155B" w:rsidP="00CE35F9">
      <w:pPr>
        <w:spacing w:line="312" w:lineRule="auto"/>
        <w:jc w:val="both"/>
        <w:rPr>
          <w:rFonts w:ascii="David" w:hAnsi="David" w:cs="David"/>
          <w:sz w:val="24"/>
          <w:szCs w:val="24"/>
          <w:rtl/>
        </w:rPr>
      </w:pPr>
      <w:proofErr w:type="spellStart"/>
      <w:r>
        <w:rPr>
          <w:rFonts w:ascii="David" w:hAnsi="David" w:cs="David" w:hint="cs"/>
          <w:sz w:val="24"/>
          <w:szCs w:val="24"/>
          <w:rtl/>
        </w:rPr>
        <w:t>הולר</w:t>
      </w:r>
      <w:proofErr w:type="spellEnd"/>
      <w:r>
        <w:rPr>
          <w:rFonts w:ascii="David" w:hAnsi="David" w:cs="David" w:hint="cs"/>
          <w:sz w:val="24"/>
          <w:szCs w:val="24"/>
          <w:rtl/>
        </w:rPr>
        <w:t xml:space="preserve">, ר', </w:t>
      </w:r>
      <w:proofErr w:type="spellStart"/>
      <w:r>
        <w:rPr>
          <w:rFonts w:ascii="David" w:hAnsi="David" w:cs="David" w:hint="cs"/>
          <w:sz w:val="24"/>
          <w:szCs w:val="24"/>
          <w:rtl/>
        </w:rPr>
        <w:t>בניש</w:t>
      </w:r>
      <w:proofErr w:type="spellEnd"/>
      <w:r>
        <w:rPr>
          <w:rFonts w:ascii="David" w:hAnsi="David" w:cs="David" w:hint="cs"/>
          <w:sz w:val="24"/>
          <w:szCs w:val="24"/>
          <w:rtl/>
        </w:rPr>
        <w:t xml:space="preserve">, א', גל, ג' ותרשיש, נ' (2021). מיצוי זכויות בישראל: מצב הידע וכיווני מחקר בעתיד. </w:t>
      </w:r>
      <w:r>
        <w:rPr>
          <w:rFonts w:ascii="David" w:hAnsi="David" w:cs="David" w:hint="cs"/>
          <w:b/>
          <w:bCs/>
          <w:sz w:val="24"/>
          <w:szCs w:val="24"/>
          <w:rtl/>
        </w:rPr>
        <w:t xml:space="preserve">ביטחון סוציאלי, 113, </w:t>
      </w:r>
      <w:r>
        <w:rPr>
          <w:rFonts w:ascii="David" w:hAnsi="David" w:cs="David" w:hint="cs"/>
          <w:sz w:val="24"/>
          <w:szCs w:val="24"/>
          <w:rtl/>
        </w:rPr>
        <w:t xml:space="preserve">17-5. </w:t>
      </w:r>
    </w:p>
    <w:p w14:paraId="55F9C04E" w14:textId="13BA8BD7" w:rsidR="00EF4BD6" w:rsidRDefault="00EF4BD6" w:rsidP="00CE35F9">
      <w:pPr>
        <w:spacing w:line="312" w:lineRule="auto"/>
        <w:jc w:val="both"/>
        <w:rPr>
          <w:rFonts w:ascii="David" w:hAnsi="David" w:cs="David"/>
          <w:sz w:val="24"/>
          <w:szCs w:val="24"/>
          <w:rtl/>
        </w:rPr>
      </w:pPr>
      <w:r>
        <w:rPr>
          <w:rFonts w:ascii="David" w:hAnsi="David" w:cs="David" w:hint="cs"/>
          <w:sz w:val="24"/>
          <w:szCs w:val="24"/>
          <w:rtl/>
        </w:rPr>
        <w:t xml:space="preserve">הופמן-דישון, י' (2018). </w:t>
      </w:r>
      <w:r w:rsidRPr="001E7A53">
        <w:rPr>
          <w:rFonts w:ascii="David" w:hAnsi="David" w:cs="David" w:hint="cs"/>
          <w:b/>
          <w:bCs/>
          <w:sz w:val="24"/>
          <w:szCs w:val="24"/>
          <w:rtl/>
        </w:rPr>
        <w:t>שוק השכירות כמחולל אי-שוויון</w:t>
      </w:r>
      <w:r>
        <w:rPr>
          <w:rFonts w:ascii="David" w:hAnsi="David" w:cs="David" w:hint="cs"/>
          <w:sz w:val="24"/>
          <w:szCs w:val="24"/>
          <w:rtl/>
        </w:rPr>
        <w:t xml:space="preserve">. </w:t>
      </w:r>
      <w:r w:rsidR="001E7A53">
        <w:rPr>
          <w:rFonts w:ascii="David" w:hAnsi="David" w:cs="David" w:hint="cs"/>
          <w:sz w:val="24"/>
          <w:szCs w:val="24"/>
          <w:rtl/>
        </w:rPr>
        <w:t>מרכז אדוה לשוויון וצדק חברתי בישראל.</w:t>
      </w:r>
    </w:p>
    <w:p w14:paraId="1F4F00F6" w14:textId="4B187EE0" w:rsidR="004170A1" w:rsidRPr="00AC093B" w:rsidRDefault="004170A1" w:rsidP="00CE35F9">
      <w:pPr>
        <w:spacing w:line="312" w:lineRule="auto"/>
        <w:jc w:val="both"/>
        <w:rPr>
          <w:rFonts w:ascii="David" w:hAnsi="David" w:cs="David"/>
          <w:sz w:val="24"/>
          <w:szCs w:val="24"/>
          <w:rtl/>
        </w:rPr>
      </w:pPr>
      <w:r>
        <w:rPr>
          <w:rFonts w:ascii="David" w:hAnsi="David" w:cs="David" w:hint="cs"/>
          <w:sz w:val="24"/>
          <w:szCs w:val="24"/>
          <w:rtl/>
        </w:rPr>
        <w:t>הלשכה המרכזית לסטטיסטיקה (</w:t>
      </w:r>
      <w:r w:rsidR="00BD5D75">
        <w:rPr>
          <w:rFonts w:ascii="David" w:hAnsi="David" w:cs="David" w:hint="cs"/>
          <w:sz w:val="24"/>
          <w:szCs w:val="24"/>
          <w:rtl/>
        </w:rPr>
        <w:t>2022</w:t>
      </w:r>
      <w:r>
        <w:rPr>
          <w:rFonts w:ascii="David" w:hAnsi="David" w:cs="David" w:hint="cs"/>
          <w:sz w:val="24"/>
          <w:szCs w:val="24"/>
          <w:rtl/>
        </w:rPr>
        <w:t xml:space="preserve">). </w:t>
      </w:r>
      <w:r w:rsidR="00AC093B">
        <w:rPr>
          <w:rFonts w:ascii="David" w:hAnsi="David" w:cs="David" w:hint="cs"/>
          <w:b/>
          <w:bCs/>
          <w:sz w:val="24"/>
          <w:szCs w:val="24"/>
          <w:rtl/>
        </w:rPr>
        <w:t xml:space="preserve">האוכלוסייה ממוצא אתיופי בישראל </w:t>
      </w:r>
      <w:r w:rsidR="00AC093B">
        <w:rPr>
          <w:rFonts w:ascii="David" w:hAnsi="David" w:cs="David"/>
          <w:b/>
          <w:bCs/>
          <w:sz w:val="24"/>
          <w:szCs w:val="24"/>
          <w:rtl/>
        </w:rPr>
        <w:t>–</w:t>
      </w:r>
      <w:r w:rsidR="00AC093B">
        <w:rPr>
          <w:rFonts w:ascii="David" w:hAnsi="David" w:cs="David" w:hint="cs"/>
          <w:b/>
          <w:bCs/>
          <w:sz w:val="24"/>
          <w:szCs w:val="24"/>
          <w:rtl/>
        </w:rPr>
        <w:t xml:space="preserve"> לקט נתונים לרגל חג הסיגד 2021. </w:t>
      </w:r>
      <w:r w:rsidR="00AC093B">
        <w:rPr>
          <w:rFonts w:ascii="David" w:hAnsi="David" w:cs="David" w:hint="cs"/>
          <w:sz w:val="24"/>
          <w:szCs w:val="24"/>
          <w:rtl/>
        </w:rPr>
        <w:t xml:space="preserve">הודעה לתקשורת. </w:t>
      </w:r>
      <w:r w:rsidR="00F77548">
        <w:rPr>
          <w:rFonts w:ascii="David" w:hAnsi="David" w:cs="David" w:hint="cs"/>
          <w:sz w:val="24"/>
          <w:szCs w:val="24"/>
          <w:rtl/>
        </w:rPr>
        <w:t xml:space="preserve">מדינת ישראל. </w:t>
      </w:r>
    </w:p>
    <w:p w14:paraId="25BA4363" w14:textId="05C84141" w:rsidR="00B16676" w:rsidRDefault="00B16676" w:rsidP="00CE35F9">
      <w:pPr>
        <w:spacing w:line="312" w:lineRule="auto"/>
        <w:jc w:val="both"/>
        <w:rPr>
          <w:rFonts w:ascii="David" w:hAnsi="David" w:cs="David"/>
          <w:sz w:val="24"/>
          <w:szCs w:val="24"/>
          <w:rtl/>
        </w:rPr>
      </w:pPr>
      <w:r>
        <w:rPr>
          <w:rFonts w:ascii="David" w:hAnsi="David" w:cs="David" w:hint="cs"/>
          <w:sz w:val="24"/>
          <w:szCs w:val="24"/>
          <w:rtl/>
        </w:rPr>
        <w:t>הלשכה המרכזית לסטטיסטיקה (202</w:t>
      </w:r>
      <w:r w:rsidR="00DF72C1">
        <w:rPr>
          <w:rFonts w:ascii="David" w:hAnsi="David" w:cs="David" w:hint="cs"/>
          <w:sz w:val="24"/>
          <w:szCs w:val="24"/>
          <w:rtl/>
        </w:rPr>
        <w:t>1</w:t>
      </w:r>
      <w:r>
        <w:rPr>
          <w:rFonts w:ascii="David" w:hAnsi="David" w:cs="David" w:hint="cs"/>
          <w:sz w:val="24"/>
          <w:szCs w:val="24"/>
          <w:rtl/>
        </w:rPr>
        <w:t xml:space="preserve">). </w:t>
      </w:r>
      <w:r w:rsidR="00F665BC" w:rsidRPr="00B345CD">
        <w:rPr>
          <w:rFonts w:ascii="David" w:hAnsi="David" w:cs="David" w:hint="cs"/>
          <w:b/>
          <w:bCs/>
          <w:sz w:val="24"/>
          <w:szCs w:val="24"/>
          <w:rtl/>
        </w:rPr>
        <w:t xml:space="preserve">פני החברה בישראל: פערים </w:t>
      </w:r>
      <w:r w:rsidR="00B345CD" w:rsidRPr="00B345CD">
        <w:rPr>
          <w:rFonts w:ascii="David" w:hAnsi="David" w:cs="David" w:hint="cs"/>
          <w:b/>
          <w:bCs/>
          <w:sz w:val="24"/>
          <w:szCs w:val="24"/>
          <w:rtl/>
        </w:rPr>
        <w:t>לפי רמת השכלה. דוח מס' 12</w:t>
      </w:r>
      <w:r w:rsidR="00B345CD">
        <w:rPr>
          <w:rFonts w:ascii="David" w:hAnsi="David" w:cs="David" w:hint="cs"/>
          <w:sz w:val="24"/>
          <w:szCs w:val="24"/>
          <w:rtl/>
        </w:rPr>
        <w:t>. מדינת ישראל.</w:t>
      </w:r>
    </w:p>
    <w:p w14:paraId="1688031F" w14:textId="07781B41" w:rsidR="00431F2C" w:rsidRDefault="00431F2C" w:rsidP="00CE35F9">
      <w:pPr>
        <w:spacing w:line="312" w:lineRule="auto"/>
        <w:jc w:val="both"/>
        <w:rPr>
          <w:rFonts w:ascii="David" w:hAnsi="David" w:cs="David"/>
          <w:sz w:val="24"/>
          <w:szCs w:val="24"/>
          <w:rtl/>
        </w:rPr>
      </w:pPr>
      <w:r>
        <w:rPr>
          <w:rFonts w:ascii="David" w:hAnsi="David" w:cs="David" w:hint="cs"/>
          <w:sz w:val="24"/>
          <w:szCs w:val="24"/>
          <w:rtl/>
        </w:rPr>
        <w:t>הלשכה המרכזית לסטטיסטיקה (20</w:t>
      </w:r>
      <w:r w:rsidR="004D166B">
        <w:rPr>
          <w:rFonts w:ascii="David" w:hAnsi="David" w:cs="David" w:hint="cs"/>
          <w:sz w:val="24"/>
          <w:szCs w:val="24"/>
          <w:rtl/>
        </w:rPr>
        <w:t>19</w:t>
      </w:r>
      <w:r>
        <w:rPr>
          <w:rFonts w:ascii="David" w:hAnsi="David" w:cs="David" w:hint="cs"/>
          <w:sz w:val="24"/>
          <w:szCs w:val="24"/>
          <w:rtl/>
        </w:rPr>
        <w:t xml:space="preserve">). </w:t>
      </w:r>
      <w:r w:rsidRPr="004D166B">
        <w:rPr>
          <w:rFonts w:ascii="David" w:hAnsi="David" w:cs="David" w:hint="cs"/>
          <w:b/>
          <w:bCs/>
          <w:sz w:val="24"/>
          <w:szCs w:val="24"/>
          <w:rtl/>
        </w:rPr>
        <w:t xml:space="preserve">פני החברה בישראל: פערים בין מרכז לפריפריה. </w:t>
      </w:r>
      <w:r w:rsidR="00C62547" w:rsidRPr="004D166B">
        <w:rPr>
          <w:rFonts w:ascii="David" w:hAnsi="David" w:cs="David" w:hint="cs"/>
          <w:b/>
          <w:bCs/>
          <w:sz w:val="24"/>
          <w:szCs w:val="24"/>
          <w:rtl/>
        </w:rPr>
        <w:t>דוח מס' 11</w:t>
      </w:r>
      <w:r w:rsidR="00C62547">
        <w:rPr>
          <w:rFonts w:ascii="David" w:hAnsi="David" w:cs="David" w:hint="cs"/>
          <w:sz w:val="24"/>
          <w:szCs w:val="24"/>
          <w:rtl/>
        </w:rPr>
        <w:t>. הלשכה המרכזית לסטטיסטיקה</w:t>
      </w:r>
      <w:r w:rsidR="004D166B">
        <w:rPr>
          <w:rFonts w:ascii="David" w:hAnsi="David" w:cs="David" w:hint="cs"/>
          <w:sz w:val="24"/>
          <w:szCs w:val="24"/>
          <w:rtl/>
        </w:rPr>
        <w:t>.</w:t>
      </w:r>
    </w:p>
    <w:p w14:paraId="71277B2B" w14:textId="032982DF" w:rsidR="00441A26" w:rsidRPr="00441A26" w:rsidRDefault="00441A26" w:rsidP="00CE35F9">
      <w:pPr>
        <w:spacing w:line="312" w:lineRule="auto"/>
        <w:jc w:val="both"/>
        <w:rPr>
          <w:rFonts w:ascii="David" w:hAnsi="David" w:cs="David"/>
          <w:sz w:val="24"/>
          <w:szCs w:val="24"/>
          <w:rtl/>
        </w:rPr>
      </w:pPr>
      <w:r>
        <w:rPr>
          <w:rFonts w:ascii="David" w:hAnsi="David" w:cs="David" w:hint="cs"/>
          <w:sz w:val="24"/>
          <w:szCs w:val="24"/>
          <w:rtl/>
        </w:rPr>
        <w:t xml:space="preserve">המדד המוניציפלי (2020). </w:t>
      </w:r>
      <w:r>
        <w:rPr>
          <w:rFonts w:ascii="David" w:hAnsi="David" w:cs="David" w:hint="cs"/>
          <w:b/>
          <w:bCs/>
          <w:sz w:val="24"/>
          <w:szCs w:val="24"/>
          <w:rtl/>
        </w:rPr>
        <w:t xml:space="preserve">השקעה בחינוך ברשויות המקומיות. </w:t>
      </w:r>
      <w:r>
        <w:rPr>
          <w:rFonts w:ascii="David" w:hAnsi="David" w:cs="David" w:hint="cs"/>
          <w:sz w:val="24"/>
          <w:szCs w:val="24"/>
          <w:rtl/>
        </w:rPr>
        <w:t xml:space="preserve">המדד </w:t>
      </w:r>
      <w:r w:rsidR="00D95247">
        <w:rPr>
          <w:rFonts w:ascii="David" w:hAnsi="David" w:cs="David" w:hint="cs"/>
          <w:sz w:val="24"/>
          <w:szCs w:val="24"/>
          <w:rtl/>
        </w:rPr>
        <w:t xml:space="preserve">המוניציפלי, בלוג על כלכלה מוניציפלית.  </w:t>
      </w:r>
    </w:p>
    <w:p w14:paraId="4D6EA443" w14:textId="6E5A5BC1" w:rsidR="00A35D5A" w:rsidRPr="00B56F28" w:rsidRDefault="00A35D5A" w:rsidP="00CE35F9">
      <w:pPr>
        <w:spacing w:line="312" w:lineRule="auto"/>
        <w:jc w:val="both"/>
        <w:rPr>
          <w:rFonts w:ascii="David" w:hAnsi="David" w:cs="David"/>
          <w:sz w:val="24"/>
          <w:szCs w:val="24"/>
          <w:rtl/>
        </w:rPr>
      </w:pPr>
      <w:r>
        <w:rPr>
          <w:rFonts w:ascii="David" w:hAnsi="David" w:cs="David" w:hint="cs"/>
          <w:sz w:val="24"/>
          <w:szCs w:val="24"/>
          <w:rtl/>
        </w:rPr>
        <w:t>הרשות הארצית למדידה והערכה בחינוך</w:t>
      </w:r>
      <w:r w:rsidR="00E95F39">
        <w:rPr>
          <w:rFonts w:ascii="David" w:hAnsi="David" w:cs="David" w:hint="cs"/>
          <w:sz w:val="24"/>
          <w:szCs w:val="24"/>
          <w:rtl/>
        </w:rPr>
        <w:t xml:space="preserve"> (</w:t>
      </w:r>
      <w:proofErr w:type="spellStart"/>
      <w:r w:rsidR="00E95F39">
        <w:rPr>
          <w:rFonts w:ascii="David" w:hAnsi="David" w:cs="David" w:hint="cs"/>
          <w:sz w:val="24"/>
          <w:szCs w:val="24"/>
          <w:rtl/>
        </w:rPr>
        <w:t>ראמ"ה</w:t>
      </w:r>
      <w:proofErr w:type="spellEnd"/>
      <w:r w:rsidR="00E95F39">
        <w:rPr>
          <w:rFonts w:ascii="David" w:hAnsi="David" w:cs="David" w:hint="cs"/>
          <w:sz w:val="24"/>
          <w:szCs w:val="24"/>
          <w:rtl/>
        </w:rPr>
        <w:t>),</w:t>
      </w:r>
      <w:r>
        <w:rPr>
          <w:rFonts w:ascii="David" w:hAnsi="David" w:cs="David" w:hint="cs"/>
          <w:sz w:val="24"/>
          <w:szCs w:val="24"/>
          <w:rtl/>
        </w:rPr>
        <w:t xml:space="preserve"> (2022</w:t>
      </w:r>
      <w:r w:rsidR="00090997">
        <w:rPr>
          <w:rFonts w:ascii="David" w:hAnsi="David" w:cs="David" w:hint="cs"/>
          <w:sz w:val="24"/>
          <w:szCs w:val="24"/>
          <w:rtl/>
        </w:rPr>
        <w:t>א</w:t>
      </w:r>
      <w:r>
        <w:rPr>
          <w:rFonts w:ascii="David" w:hAnsi="David" w:cs="David" w:hint="cs"/>
          <w:sz w:val="24"/>
          <w:szCs w:val="24"/>
          <w:rtl/>
        </w:rPr>
        <w:t xml:space="preserve">). </w:t>
      </w:r>
      <w:r w:rsidR="0099348F">
        <w:rPr>
          <w:rFonts w:ascii="David" w:hAnsi="David" w:cs="David" w:hint="cs"/>
          <w:b/>
          <w:bCs/>
          <w:sz w:val="24"/>
          <w:szCs w:val="24"/>
          <w:rtl/>
        </w:rPr>
        <w:t xml:space="preserve">הערכה בית ספרית חיצונית. תמונת מצב. נתוני הישגים לימודיים בשפת אם לכיתה ד'. דוח ארצי לשנת הלימודים תשפ"ב. </w:t>
      </w:r>
      <w:r w:rsidR="00B56F28">
        <w:rPr>
          <w:rFonts w:ascii="David" w:hAnsi="David" w:cs="David" w:hint="cs"/>
          <w:sz w:val="24"/>
          <w:szCs w:val="24"/>
          <w:rtl/>
        </w:rPr>
        <w:t xml:space="preserve">משרד החינוך. </w:t>
      </w:r>
    </w:p>
    <w:p w14:paraId="591A6184" w14:textId="618CEC10" w:rsidR="006269A1" w:rsidRDefault="006269A1" w:rsidP="00A0179D">
      <w:pPr>
        <w:spacing w:line="312" w:lineRule="auto"/>
        <w:jc w:val="both"/>
        <w:rPr>
          <w:rFonts w:ascii="David" w:hAnsi="David" w:cs="David"/>
          <w:sz w:val="24"/>
          <w:szCs w:val="24"/>
          <w:rtl/>
        </w:rPr>
      </w:pPr>
      <w:r>
        <w:rPr>
          <w:rFonts w:ascii="David" w:hAnsi="David" w:cs="David" w:hint="cs"/>
          <w:sz w:val="24"/>
          <w:szCs w:val="24"/>
          <w:rtl/>
        </w:rPr>
        <w:t>הרשות הארצית למדידה והערכה בחינוך</w:t>
      </w:r>
      <w:r w:rsidR="00B10BE0">
        <w:rPr>
          <w:rFonts w:ascii="David" w:hAnsi="David" w:cs="David" w:hint="cs"/>
          <w:sz w:val="24"/>
          <w:szCs w:val="24"/>
          <w:rtl/>
        </w:rPr>
        <w:t xml:space="preserve"> </w:t>
      </w:r>
      <w:r>
        <w:rPr>
          <w:rFonts w:ascii="David" w:hAnsi="David" w:cs="David" w:hint="cs"/>
          <w:sz w:val="24"/>
          <w:szCs w:val="24"/>
          <w:rtl/>
        </w:rPr>
        <w:t>(</w:t>
      </w:r>
      <w:proofErr w:type="spellStart"/>
      <w:r>
        <w:rPr>
          <w:rFonts w:ascii="David" w:hAnsi="David" w:cs="David" w:hint="cs"/>
          <w:sz w:val="24"/>
          <w:szCs w:val="24"/>
          <w:rtl/>
        </w:rPr>
        <w:t>ראמ"ה</w:t>
      </w:r>
      <w:proofErr w:type="spellEnd"/>
      <w:r>
        <w:rPr>
          <w:rFonts w:ascii="David" w:hAnsi="David" w:cs="David" w:hint="cs"/>
          <w:sz w:val="24"/>
          <w:szCs w:val="24"/>
          <w:rtl/>
        </w:rPr>
        <w:t>)</w:t>
      </w:r>
      <w:r w:rsidR="00340A3D">
        <w:rPr>
          <w:rFonts w:ascii="David" w:hAnsi="David" w:cs="David" w:hint="cs"/>
          <w:sz w:val="24"/>
          <w:szCs w:val="24"/>
          <w:rtl/>
        </w:rPr>
        <w:t>,</w:t>
      </w:r>
      <w:r>
        <w:rPr>
          <w:rFonts w:ascii="David" w:hAnsi="David" w:cs="David" w:hint="cs"/>
          <w:sz w:val="24"/>
          <w:szCs w:val="24"/>
          <w:rtl/>
        </w:rPr>
        <w:t xml:space="preserve"> (2022ב). </w:t>
      </w:r>
      <w:r w:rsidRPr="00090997">
        <w:rPr>
          <w:rFonts w:ascii="David" w:hAnsi="David" w:cs="David" w:hint="cs"/>
          <w:b/>
          <w:bCs/>
          <w:sz w:val="24"/>
          <w:szCs w:val="24"/>
          <w:rtl/>
        </w:rPr>
        <w:t>נתוני האקלים החינוכי והסביבה הפדגוגית. דוח ארצי לשנת הלימודים תשפ"ב</w:t>
      </w:r>
      <w:r>
        <w:rPr>
          <w:rFonts w:ascii="David" w:hAnsi="David" w:cs="David" w:hint="cs"/>
          <w:sz w:val="24"/>
          <w:szCs w:val="24"/>
          <w:rtl/>
        </w:rPr>
        <w:t>. משרד החינוך</w:t>
      </w:r>
      <w:r w:rsidR="00090997">
        <w:rPr>
          <w:rFonts w:ascii="David" w:hAnsi="David" w:cs="David" w:hint="cs"/>
          <w:sz w:val="24"/>
          <w:szCs w:val="24"/>
          <w:rtl/>
        </w:rPr>
        <w:t xml:space="preserve">. </w:t>
      </w:r>
    </w:p>
    <w:p w14:paraId="7CA545E8" w14:textId="05F31286" w:rsidR="00A0179D" w:rsidRDefault="00A0179D" w:rsidP="00A0179D">
      <w:pPr>
        <w:spacing w:line="312" w:lineRule="auto"/>
        <w:jc w:val="both"/>
        <w:rPr>
          <w:rFonts w:ascii="David" w:hAnsi="David" w:cs="David"/>
          <w:sz w:val="24"/>
          <w:szCs w:val="24"/>
          <w:rtl/>
        </w:rPr>
      </w:pPr>
      <w:r>
        <w:rPr>
          <w:rFonts w:ascii="David" w:hAnsi="David" w:cs="David" w:hint="cs"/>
          <w:sz w:val="24"/>
          <w:szCs w:val="24"/>
          <w:rtl/>
        </w:rPr>
        <w:t>הרשות הארצית למדידה והערכה בחינוך (</w:t>
      </w:r>
      <w:proofErr w:type="spellStart"/>
      <w:r>
        <w:rPr>
          <w:rFonts w:ascii="David" w:hAnsi="David" w:cs="David" w:hint="cs"/>
          <w:sz w:val="24"/>
          <w:szCs w:val="24"/>
          <w:rtl/>
        </w:rPr>
        <w:t>ראמ"ה</w:t>
      </w:r>
      <w:proofErr w:type="spellEnd"/>
      <w:r>
        <w:rPr>
          <w:rFonts w:ascii="David" w:hAnsi="David" w:cs="David" w:hint="cs"/>
          <w:sz w:val="24"/>
          <w:szCs w:val="24"/>
          <w:rtl/>
        </w:rPr>
        <w:t xml:space="preserve">), (2018). </w:t>
      </w:r>
      <w:r>
        <w:rPr>
          <w:rFonts w:ascii="David" w:hAnsi="David" w:cs="David" w:hint="cs"/>
          <w:b/>
          <w:bCs/>
          <w:sz w:val="24"/>
          <w:szCs w:val="24"/>
          <w:rtl/>
        </w:rPr>
        <w:t xml:space="preserve">מיצ"ב תשע"ח. מדדי יעילות וצמיחה בית ספרית. מבחני הישגים. </w:t>
      </w:r>
      <w:r w:rsidR="00A373DD">
        <w:rPr>
          <w:rFonts w:ascii="David" w:hAnsi="David" w:cs="David" w:hint="cs"/>
          <w:sz w:val="24"/>
          <w:szCs w:val="24"/>
          <w:rtl/>
        </w:rPr>
        <w:t>משרד החינוך</w:t>
      </w:r>
      <w:r>
        <w:rPr>
          <w:rFonts w:ascii="David" w:hAnsi="David" w:cs="David" w:hint="cs"/>
          <w:sz w:val="24"/>
          <w:szCs w:val="24"/>
          <w:rtl/>
        </w:rPr>
        <w:t xml:space="preserve">. </w:t>
      </w:r>
    </w:p>
    <w:p w14:paraId="3E79791C" w14:textId="1E59F8AA" w:rsidR="00244AF1" w:rsidRPr="00244AF1" w:rsidRDefault="00244AF1" w:rsidP="00CE35F9">
      <w:pPr>
        <w:spacing w:line="312" w:lineRule="auto"/>
        <w:jc w:val="both"/>
        <w:rPr>
          <w:rFonts w:ascii="David" w:hAnsi="David" w:cs="David"/>
          <w:sz w:val="24"/>
          <w:szCs w:val="24"/>
          <w:rtl/>
        </w:rPr>
      </w:pPr>
      <w:proofErr w:type="spellStart"/>
      <w:r>
        <w:rPr>
          <w:rFonts w:ascii="David" w:hAnsi="David" w:cs="David" w:hint="cs"/>
          <w:sz w:val="24"/>
          <w:szCs w:val="24"/>
          <w:rtl/>
        </w:rPr>
        <w:t>וינריב</w:t>
      </w:r>
      <w:proofErr w:type="spellEnd"/>
      <w:r>
        <w:rPr>
          <w:rFonts w:ascii="David" w:hAnsi="David" w:cs="David" w:hint="cs"/>
          <w:sz w:val="24"/>
          <w:szCs w:val="24"/>
          <w:rtl/>
        </w:rPr>
        <w:t xml:space="preserve">, א' (2007). </w:t>
      </w:r>
      <w:r>
        <w:rPr>
          <w:rFonts w:ascii="David" w:hAnsi="David" w:cs="David" w:hint="cs"/>
          <w:b/>
          <w:bCs/>
          <w:sz w:val="24"/>
          <w:szCs w:val="24"/>
          <w:rtl/>
        </w:rPr>
        <w:t xml:space="preserve">על שוויון </w:t>
      </w:r>
      <w:proofErr w:type="spellStart"/>
      <w:r>
        <w:rPr>
          <w:rFonts w:ascii="David" w:hAnsi="David" w:cs="David" w:hint="cs"/>
          <w:b/>
          <w:bCs/>
          <w:sz w:val="24"/>
          <w:szCs w:val="24"/>
          <w:rtl/>
        </w:rPr>
        <w:t>ואישוויון</w:t>
      </w:r>
      <w:proofErr w:type="spellEnd"/>
      <w:r>
        <w:rPr>
          <w:rFonts w:ascii="David" w:hAnsi="David" w:cs="David" w:hint="cs"/>
          <w:b/>
          <w:bCs/>
          <w:sz w:val="24"/>
          <w:szCs w:val="24"/>
          <w:rtl/>
        </w:rPr>
        <w:t xml:space="preserve">. מבט פילוסופי. </w:t>
      </w:r>
      <w:r>
        <w:rPr>
          <w:rFonts w:ascii="David" w:hAnsi="David" w:cs="David" w:hint="cs"/>
          <w:sz w:val="24"/>
          <w:szCs w:val="24"/>
          <w:rtl/>
        </w:rPr>
        <w:t xml:space="preserve">אוניברסיטת חיפה ופרדס הוצאה לאור. </w:t>
      </w:r>
    </w:p>
    <w:p w14:paraId="29925291" w14:textId="65647DF2" w:rsidR="00163D29" w:rsidRPr="002234DD" w:rsidRDefault="00163D29" w:rsidP="00CE35F9">
      <w:pPr>
        <w:spacing w:line="312" w:lineRule="auto"/>
        <w:jc w:val="both"/>
        <w:rPr>
          <w:rFonts w:ascii="David" w:hAnsi="David" w:cs="David"/>
          <w:sz w:val="24"/>
          <w:szCs w:val="24"/>
          <w:rtl/>
        </w:rPr>
      </w:pPr>
      <w:r>
        <w:rPr>
          <w:rFonts w:ascii="David" w:hAnsi="David" w:cs="David" w:hint="cs"/>
          <w:sz w:val="24"/>
          <w:szCs w:val="24"/>
          <w:rtl/>
        </w:rPr>
        <w:t>חאג' יחיא</w:t>
      </w:r>
      <w:r w:rsidR="0095518A">
        <w:rPr>
          <w:rFonts w:ascii="David" w:hAnsi="David" w:cs="David" w:hint="cs"/>
          <w:sz w:val="24"/>
          <w:szCs w:val="24"/>
          <w:rtl/>
        </w:rPr>
        <w:t xml:space="preserve">, נ', </w:t>
      </w:r>
      <w:proofErr w:type="spellStart"/>
      <w:r w:rsidR="0095518A">
        <w:rPr>
          <w:rFonts w:ascii="David" w:hAnsi="David" w:cs="David" w:hint="cs"/>
          <w:sz w:val="24"/>
          <w:szCs w:val="24"/>
          <w:rtl/>
        </w:rPr>
        <w:t>ח'לאילה</w:t>
      </w:r>
      <w:proofErr w:type="spellEnd"/>
      <w:r w:rsidR="0095518A">
        <w:rPr>
          <w:rFonts w:ascii="David" w:hAnsi="David" w:cs="David" w:hint="cs"/>
          <w:sz w:val="24"/>
          <w:szCs w:val="24"/>
          <w:rtl/>
        </w:rPr>
        <w:t xml:space="preserve">, מ', </w:t>
      </w:r>
      <w:proofErr w:type="spellStart"/>
      <w:r w:rsidR="0095518A">
        <w:rPr>
          <w:rFonts w:ascii="David" w:hAnsi="David" w:cs="David" w:hint="cs"/>
          <w:sz w:val="24"/>
          <w:szCs w:val="24"/>
          <w:rtl/>
        </w:rPr>
        <w:t>רודניצקי</w:t>
      </w:r>
      <w:proofErr w:type="spellEnd"/>
      <w:r w:rsidR="0095518A">
        <w:rPr>
          <w:rFonts w:ascii="David" w:hAnsi="David" w:cs="David" w:hint="cs"/>
          <w:sz w:val="24"/>
          <w:szCs w:val="24"/>
          <w:rtl/>
        </w:rPr>
        <w:t xml:space="preserve">, א' </w:t>
      </w:r>
      <w:proofErr w:type="spellStart"/>
      <w:r w:rsidR="0095518A">
        <w:rPr>
          <w:rFonts w:ascii="David" w:hAnsi="David" w:cs="David" w:hint="cs"/>
          <w:sz w:val="24"/>
          <w:szCs w:val="24"/>
          <w:rtl/>
        </w:rPr>
        <w:t>ופרג'ון</w:t>
      </w:r>
      <w:proofErr w:type="spellEnd"/>
      <w:r w:rsidR="0095518A">
        <w:rPr>
          <w:rFonts w:ascii="David" w:hAnsi="David" w:cs="David" w:hint="cs"/>
          <w:sz w:val="24"/>
          <w:szCs w:val="24"/>
          <w:rtl/>
        </w:rPr>
        <w:t xml:space="preserve">, ב' (2022). </w:t>
      </w:r>
      <w:r w:rsidR="002234DD">
        <w:rPr>
          <w:rFonts w:ascii="David" w:hAnsi="David" w:cs="David" w:hint="cs"/>
          <w:b/>
          <w:bCs/>
          <w:sz w:val="24"/>
          <w:szCs w:val="24"/>
          <w:rtl/>
        </w:rPr>
        <w:t xml:space="preserve">שנתון החברה הערבית בישראל. </w:t>
      </w:r>
      <w:r w:rsidR="002234DD">
        <w:rPr>
          <w:rFonts w:ascii="David" w:hAnsi="David" w:cs="David" w:hint="cs"/>
          <w:sz w:val="24"/>
          <w:szCs w:val="24"/>
          <w:rtl/>
        </w:rPr>
        <w:t xml:space="preserve">המכון הישראלי לדמוקרטיה. </w:t>
      </w:r>
    </w:p>
    <w:p w14:paraId="05BAAA95" w14:textId="66B785BB" w:rsidR="000625F0" w:rsidRDefault="000625F0" w:rsidP="00CE35F9">
      <w:pPr>
        <w:spacing w:line="312" w:lineRule="auto"/>
        <w:jc w:val="both"/>
        <w:rPr>
          <w:rFonts w:ascii="David" w:hAnsi="David" w:cs="David"/>
          <w:sz w:val="24"/>
          <w:szCs w:val="24"/>
          <w:rtl/>
        </w:rPr>
      </w:pPr>
      <w:proofErr w:type="spellStart"/>
      <w:r>
        <w:rPr>
          <w:rFonts w:ascii="David" w:hAnsi="David" w:cs="David" w:hint="cs"/>
          <w:sz w:val="24"/>
          <w:szCs w:val="24"/>
          <w:rtl/>
        </w:rPr>
        <w:t>חתוקה</w:t>
      </w:r>
      <w:proofErr w:type="spellEnd"/>
      <w:r>
        <w:rPr>
          <w:rFonts w:ascii="David" w:hAnsi="David" w:cs="David" w:hint="cs"/>
          <w:sz w:val="24"/>
          <w:szCs w:val="24"/>
          <w:rtl/>
        </w:rPr>
        <w:t>, ט' וצור, ה' (2018). הדרה ואי שוויון בעיקר הדיגיטלית. בתוך:</w:t>
      </w:r>
      <w:r w:rsidR="00C11E47">
        <w:rPr>
          <w:rFonts w:ascii="David" w:hAnsi="David" w:cs="David" w:hint="cs"/>
          <w:sz w:val="24"/>
          <w:szCs w:val="24"/>
          <w:rtl/>
        </w:rPr>
        <w:t xml:space="preserve"> ט' </w:t>
      </w:r>
      <w:proofErr w:type="spellStart"/>
      <w:r w:rsidR="00C11E47">
        <w:rPr>
          <w:rFonts w:ascii="David" w:hAnsi="David" w:cs="David" w:hint="cs"/>
          <w:sz w:val="24"/>
          <w:szCs w:val="24"/>
          <w:rtl/>
        </w:rPr>
        <w:t>חתוקה</w:t>
      </w:r>
      <w:proofErr w:type="spellEnd"/>
      <w:r w:rsidR="00C11E47">
        <w:rPr>
          <w:rFonts w:ascii="David" w:hAnsi="David" w:cs="David" w:hint="cs"/>
          <w:sz w:val="24"/>
          <w:szCs w:val="24"/>
          <w:rtl/>
        </w:rPr>
        <w:t xml:space="preserve"> (עורכת).</w:t>
      </w:r>
      <w:r>
        <w:rPr>
          <w:rFonts w:ascii="David" w:hAnsi="David" w:cs="David" w:hint="cs"/>
          <w:sz w:val="24"/>
          <w:szCs w:val="24"/>
          <w:rtl/>
        </w:rPr>
        <w:t xml:space="preserve"> </w:t>
      </w:r>
      <w:r w:rsidRPr="00C271A3">
        <w:rPr>
          <w:rFonts w:ascii="David" w:hAnsi="David" w:cs="David" w:hint="cs"/>
          <w:b/>
          <w:bCs/>
          <w:sz w:val="24"/>
          <w:szCs w:val="24"/>
          <w:rtl/>
        </w:rPr>
        <w:t>העיר בעידן הדיגיטלי: תכנון טכנולוגיה</w:t>
      </w:r>
      <w:r w:rsidR="00C271A3" w:rsidRPr="00C271A3">
        <w:rPr>
          <w:rFonts w:ascii="David" w:hAnsi="David" w:cs="David" w:hint="cs"/>
          <w:b/>
          <w:bCs/>
          <w:sz w:val="24"/>
          <w:szCs w:val="24"/>
          <w:rtl/>
        </w:rPr>
        <w:t>, פרטיות ואי שוויון</w:t>
      </w:r>
      <w:r w:rsidR="00C271A3">
        <w:rPr>
          <w:rFonts w:ascii="David" w:hAnsi="David" w:cs="David" w:hint="cs"/>
          <w:sz w:val="24"/>
          <w:szCs w:val="24"/>
          <w:rtl/>
        </w:rPr>
        <w:t xml:space="preserve">. (עמ' 113-88). אוניברסיטת תל-אביב. </w:t>
      </w:r>
    </w:p>
    <w:p w14:paraId="7F853A63" w14:textId="6A391281" w:rsidR="001A497B" w:rsidRDefault="001A497B" w:rsidP="00CE35F9">
      <w:pPr>
        <w:spacing w:line="312" w:lineRule="auto"/>
        <w:jc w:val="both"/>
        <w:rPr>
          <w:rFonts w:ascii="David" w:hAnsi="David" w:cs="David"/>
          <w:sz w:val="24"/>
          <w:szCs w:val="24"/>
          <w:rtl/>
        </w:rPr>
      </w:pPr>
      <w:r>
        <w:rPr>
          <w:rFonts w:ascii="David" w:hAnsi="David" w:cs="David" w:hint="cs"/>
          <w:sz w:val="24"/>
          <w:szCs w:val="24"/>
          <w:rtl/>
        </w:rPr>
        <w:t>חסון, י', הופמן-דישון, י' ושרעבי, ת' (</w:t>
      </w:r>
      <w:r w:rsidR="00C93140">
        <w:rPr>
          <w:rFonts w:ascii="David" w:hAnsi="David" w:cs="David" w:hint="cs"/>
          <w:sz w:val="24"/>
          <w:szCs w:val="24"/>
          <w:rtl/>
        </w:rPr>
        <w:t xml:space="preserve">2023). </w:t>
      </w:r>
      <w:r w:rsidR="00C93140" w:rsidRPr="00B20800">
        <w:rPr>
          <w:rFonts w:ascii="David" w:hAnsi="David" w:cs="David" w:hint="cs"/>
          <w:b/>
          <w:bCs/>
          <w:sz w:val="24"/>
          <w:szCs w:val="24"/>
          <w:rtl/>
        </w:rPr>
        <w:t>בית משלך. אי שוויון מגדרי בדיור</w:t>
      </w:r>
      <w:r w:rsidR="00C93140">
        <w:rPr>
          <w:rFonts w:ascii="David" w:hAnsi="David" w:cs="David" w:hint="cs"/>
          <w:sz w:val="24"/>
          <w:szCs w:val="24"/>
          <w:rtl/>
        </w:rPr>
        <w:t xml:space="preserve">. </w:t>
      </w:r>
      <w:r w:rsidR="00B20800">
        <w:rPr>
          <w:rFonts w:ascii="David" w:hAnsi="David" w:cs="David" w:hint="cs"/>
          <w:sz w:val="24"/>
          <w:szCs w:val="24"/>
          <w:rtl/>
        </w:rPr>
        <w:t xml:space="preserve">מרכז אדוה לשוויון וצדק חברתי בישראל. </w:t>
      </w:r>
    </w:p>
    <w:p w14:paraId="1672585C" w14:textId="3EE20276" w:rsidR="00EB5FD1" w:rsidRDefault="00EB5FD1" w:rsidP="00CE35F9">
      <w:pPr>
        <w:spacing w:line="312" w:lineRule="auto"/>
        <w:jc w:val="both"/>
        <w:rPr>
          <w:rFonts w:ascii="David" w:hAnsi="David" w:cs="David"/>
          <w:sz w:val="24"/>
          <w:szCs w:val="24"/>
          <w:rtl/>
        </w:rPr>
      </w:pPr>
      <w:r>
        <w:rPr>
          <w:rFonts w:ascii="David" w:hAnsi="David" w:cs="David" w:hint="cs"/>
          <w:sz w:val="24"/>
          <w:szCs w:val="24"/>
          <w:rtl/>
        </w:rPr>
        <w:t>ירון, א' (202</w:t>
      </w:r>
      <w:r w:rsidR="00F04AE6">
        <w:rPr>
          <w:rFonts w:ascii="David" w:hAnsi="David" w:cs="David" w:hint="cs"/>
          <w:sz w:val="24"/>
          <w:szCs w:val="24"/>
          <w:rtl/>
        </w:rPr>
        <w:t xml:space="preserve">0). </w:t>
      </w:r>
      <w:r w:rsidR="00F04AE6" w:rsidRPr="004F70A3">
        <w:rPr>
          <w:rFonts w:ascii="David" w:hAnsi="David" w:cs="David" w:hint="cs"/>
          <w:b/>
          <w:bCs/>
          <w:sz w:val="24"/>
          <w:szCs w:val="24"/>
          <w:rtl/>
        </w:rPr>
        <w:t>דוח בנק ישראל 2019</w:t>
      </w:r>
      <w:r w:rsidR="00F04AE6">
        <w:rPr>
          <w:rFonts w:ascii="David" w:hAnsi="David" w:cs="David" w:hint="cs"/>
          <w:sz w:val="24"/>
          <w:szCs w:val="24"/>
          <w:rtl/>
        </w:rPr>
        <w:t xml:space="preserve">. </w:t>
      </w:r>
      <w:r w:rsidR="007E234F">
        <w:rPr>
          <w:rFonts w:ascii="David" w:hAnsi="David" w:cs="David" w:hint="cs"/>
          <w:sz w:val="24"/>
          <w:szCs w:val="24"/>
          <w:rtl/>
        </w:rPr>
        <w:t xml:space="preserve">בנק ישראל. </w:t>
      </w:r>
    </w:p>
    <w:p w14:paraId="4FEFA3CC" w14:textId="18AAFA39" w:rsidR="00FC7B4B" w:rsidRPr="00B737B3" w:rsidRDefault="00FC7B4B" w:rsidP="00CE35F9">
      <w:pPr>
        <w:spacing w:line="312" w:lineRule="auto"/>
        <w:jc w:val="both"/>
        <w:rPr>
          <w:rFonts w:ascii="David" w:hAnsi="David" w:cs="David"/>
          <w:sz w:val="24"/>
          <w:szCs w:val="24"/>
          <w:rtl/>
        </w:rPr>
      </w:pPr>
      <w:r>
        <w:rPr>
          <w:rFonts w:ascii="David" w:hAnsi="David" w:cs="David" w:hint="cs"/>
          <w:sz w:val="24"/>
          <w:szCs w:val="24"/>
          <w:rtl/>
        </w:rPr>
        <w:t>זיני, ר'</w:t>
      </w:r>
      <w:r w:rsidR="00B737B3">
        <w:rPr>
          <w:rFonts w:ascii="David" w:hAnsi="David" w:cs="David" w:hint="cs"/>
          <w:sz w:val="24"/>
          <w:szCs w:val="24"/>
          <w:rtl/>
        </w:rPr>
        <w:t xml:space="preserve">, </w:t>
      </w:r>
      <w:proofErr w:type="spellStart"/>
      <w:r w:rsidR="00B737B3">
        <w:rPr>
          <w:rFonts w:ascii="David" w:hAnsi="David" w:cs="David" w:hint="cs"/>
          <w:sz w:val="24"/>
          <w:szCs w:val="24"/>
          <w:rtl/>
        </w:rPr>
        <w:t>שראל</w:t>
      </w:r>
      <w:proofErr w:type="spellEnd"/>
      <w:r w:rsidR="00B737B3">
        <w:rPr>
          <w:rFonts w:ascii="David" w:hAnsi="David" w:cs="David" w:hint="cs"/>
          <w:sz w:val="24"/>
          <w:szCs w:val="24"/>
          <w:rtl/>
        </w:rPr>
        <w:t xml:space="preserve">, מ', אברהם, נ' וממן, ר' (2022). </w:t>
      </w:r>
      <w:r w:rsidR="00B737B3">
        <w:rPr>
          <w:rFonts w:ascii="David" w:hAnsi="David" w:cs="David" w:hint="cs"/>
          <w:b/>
          <w:bCs/>
          <w:sz w:val="24"/>
          <w:szCs w:val="24"/>
          <w:rtl/>
        </w:rPr>
        <w:t xml:space="preserve">חינוך חינם לגיל הרך </w:t>
      </w:r>
      <w:r w:rsidR="00B737B3">
        <w:rPr>
          <w:rFonts w:ascii="David" w:hAnsi="David" w:cs="David"/>
          <w:b/>
          <w:bCs/>
          <w:sz w:val="24"/>
          <w:szCs w:val="24"/>
          <w:rtl/>
        </w:rPr>
        <w:t>–</w:t>
      </w:r>
      <w:r w:rsidR="00B737B3">
        <w:rPr>
          <w:rFonts w:ascii="David" w:hAnsi="David" w:cs="David" w:hint="cs"/>
          <w:b/>
          <w:bCs/>
          <w:sz w:val="24"/>
          <w:szCs w:val="24"/>
          <w:rtl/>
        </w:rPr>
        <w:t xml:space="preserve"> לא ממש חינוך, וממש לא חינם. </w:t>
      </w:r>
      <w:r w:rsidR="00624A8F">
        <w:rPr>
          <w:rFonts w:ascii="David" w:hAnsi="David" w:cs="David" w:hint="cs"/>
          <w:sz w:val="24"/>
          <w:szCs w:val="24"/>
          <w:rtl/>
        </w:rPr>
        <w:t xml:space="preserve">נייר מדיניות מס' 80. פורום קהלת למדיניות. </w:t>
      </w:r>
    </w:p>
    <w:p w14:paraId="6C417A6B" w14:textId="625E1F9D" w:rsidR="00DA23B5" w:rsidRPr="00A47A42" w:rsidRDefault="00DA23B5" w:rsidP="00CE35F9">
      <w:pPr>
        <w:spacing w:line="312" w:lineRule="auto"/>
        <w:jc w:val="both"/>
        <w:rPr>
          <w:rFonts w:ascii="David" w:hAnsi="David" w:cs="David"/>
          <w:sz w:val="24"/>
          <w:szCs w:val="24"/>
          <w:rtl/>
        </w:rPr>
      </w:pPr>
      <w:proofErr w:type="spellStart"/>
      <w:r>
        <w:rPr>
          <w:rFonts w:ascii="David" w:hAnsi="David" w:cs="David" w:hint="cs"/>
          <w:sz w:val="24"/>
          <w:szCs w:val="24"/>
          <w:rtl/>
        </w:rPr>
        <w:t>כהונאי</w:t>
      </w:r>
      <w:proofErr w:type="spellEnd"/>
      <w:r>
        <w:rPr>
          <w:rFonts w:ascii="David" w:hAnsi="David" w:cs="David" w:hint="cs"/>
          <w:sz w:val="24"/>
          <w:szCs w:val="24"/>
          <w:rtl/>
        </w:rPr>
        <w:t xml:space="preserve">, ס' (2004). </w:t>
      </w:r>
      <w:r w:rsidR="00A47A42">
        <w:rPr>
          <w:rFonts w:ascii="David" w:hAnsi="David" w:cs="David" w:hint="cs"/>
          <w:b/>
          <w:bCs/>
          <w:sz w:val="24"/>
          <w:szCs w:val="24"/>
          <w:rtl/>
        </w:rPr>
        <w:t xml:space="preserve">מדידת העוני בישראל </w:t>
      </w:r>
      <w:r w:rsidR="00A47A42">
        <w:rPr>
          <w:rFonts w:ascii="David" w:hAnsi="David" w:cs="David"/>
          <w:b/>
          <w:bCs/>
          <w:sz w:val="24"/>
          <w:szCs w:val="24"/>
          <w:rtl/>
        </w:rPr>
        <w:t>–</w:t>
      </w:r>
      <w:r w:rsidR="00A47A42">
        <w:rPr>
          <w:rFonts w:ascii="David" w:hAnsi="David" w:cs="David" w:hint="cs"/>
          <w:b/>
          <w:bCs/>
          <w:sz w:val="24"/>
          <w:szCs w:val="24"/>
          <w:rtl/>
        </w:rPr>
        <w:t xml:space="preserve"> השיטה הנוכחית ושיטות חלופיות. </w:t>
      </w:r>
      <w:r w:rsidR="00A47A42">
        <w:rPr>
          <w:rFonts w:ascii="David" w:hAnsi="David" w:cs="David" w:hint="cs"/>
          <w:sz w:val="24"/>
          <w:szCs w:val="24"/>
          <w:rtl/>
        </w:rPr>
        <w:t xml:space="preserve">הכנסת </w:t>
      </w:r>
      <w:r w:rsidR="00A47A42">
        <w:rPr>
          <w:rFonts w:ascii="David" w:hAnsi="David" w:cs="David"/>
          <w:sz w:val="24"/>
          <w:szCs w:val="24"/>
          <w:rtl/>
        </w:rPr>
        <w:t>–</w:t>
      </w:r>
      <w:r w:rsidR="00A47A42">
        <w:rPr>
          <w:rFonts w:ascii="David" w:hAnsi="David" w:cs="David" w:hint="cs"/>
          <w:sz w:val="24"/>
          <w:szCs w:val="24"/>
          <w:rtl/>
        </w:rPr>
        <w:t xml:space="preserve"> מרכז מחקר ומידע. </w:t>
      </w:r>
    </w:p>
    <w:p w14:paraId="60FDCFF7" w14:textId="70342AD8" w:rsidR="00942F91" w:rsidRPr="006C4C08" w:rsidRDefault="00942F91" w:rsidP="00CE35F9">
      <w:pPr>
        <w:spacing w:line="312" w:lineRule="auto"/>
        <w:jc w:val="both"/>
        <w:rPr>
          <w:rFonts w:ascii="David" w:hAnsi="David" w:cs="David"/>
          <w:sz w:val="24"/>
          <w:szCs w:val="24"/>
          <w:rtl/>
        </w:rPr>
      </w:pPr>
      <w:r>
        <w:rPr>
          <w:rFonts w:ascii="David" w:hAnsi="David" w:cs="David" w:hint="cs"/>
          <w:sz w:val="24"/>
          <w:szCs w:val="24"/>
          <w:rtl/>
        </w:rPr>
        <w:t xml:space="preserve">כרמון, נ' (2019). </w:t>
      </w:r>
      <w:r w:rsidR="006C4C08" w:rsidRPr="00CC0F66">
        <w:rPr>
          <w:rFonts w:ascii="David" w:hAnsi="David" w:cs="David" w:hint="cs"/>
          <w:b/>
          <w:bCs/>
          <w:sz w:val="24"/>
          <w:szCs w:val="24"/>
          <w:rtl/>
        </w:rPr>
        <w:t>התחדשות דיור בישראל: מי נהנה ומי מפסיד?</w:t>
      </w:r>
      <w:r w:rsidR="00640EBC">
        <w:rPr>
          <w:rFonts w:ascii="David" w:hAnsi="David" w:cs="David" w:hint="cs"/>
          <w:sz w:val="24"/>
          <w:szCs w:val="24"/>
          <w:rtl/>
        </w:rPr>
        <w:t>.</w:t>
      </w:r>
      <w:r w:rsidR="006C4C08">
        <w:rPr>
          <w:rFonts w:ascii="David" w:hAnsi="David" w:cs="David" w:hint="cs"/>
          <w:sz w:val="24"/>
          <w:szCs w:val="24"/>
          <w:rtl/>
        </w:rPr>
        <w:t xml:space="preserve"> </w:t>
      </w:r>
      <w:r w:rsidR="006C4C08" w:rsidRPr="00640EBC">
        <w:rPr>
          <w:rFonts w:ascii="David" w:hAnsi="David" w:cs="David" w:hint="cs"/>
          <w:sz w:val="24"/>
          <w:szCs w:val="24"/>
          <w:rtl/>
        </w:rPr>
        <w:t>מחקר בגובה העיניים.</w:t>
      </w:r>
      <w:r w:rsidR="006C4C08">
        <w:rPr>
          <w:rFonts w:ascii="David" w:hAnsi="David" w:cs="David" w:hint="cs"/>
          <w:b/>
          <w:bCs/>
          <w:sz w:val="24"/>
          <w:szCs w:val="24"/>
          <w:rtl/>
        </w:rPr>
        <w:t xml:space="preserve"> </w:t>
      </w:r>
      <w:r w:rsidR="006C4C08">
        <w:rPr>
          <w:rFonts w:ascii="David" w:hAnsi="David" w:cs="David" w:hint="cs"/>
          <w:sz w:val="24"/>
          <w:szCs w:val="24"/>
          <w:rtl/>
        </w:rPr>
        <w:t xml:space="preserve">הקרן הלאומית למדע. </w:t>
      </w:r>
    </w:p>
    <w:p w14:paraId="76BFE420" w14:textId="605FA3F3" w:rsidR="00187862" w:rsidRDefault="00187862" w:rsidP="00CE35F9">
      <w:pPr>
        <w:spacing w:line="312" w:lineRule="auto"/>
        <w:jc w:val="both"/>
        <w:rPr>
          <w:rFonts w:ascii="David" w:hAnsi="David" w:cs="David"/>
          <w:sz w:val="24"/>
          <w:szCs w:val="24"/>
          <w:rtl/>
        </w:rPr>
      </w:pPr>
      <w:r>
        <w:rPr>
          <w:rFonts w:ascii="David" w:hAnsi="David" w:cs="David" w:hint="cs"/>
          <w:sz w:val="24"/>
          <w:szCs w:val="24"/>
          <w:rtl/>
        </w:rPr>
        <w:lastRenderedPageBreak/>
        <w:t xml:space="preserve">לוי, ב' </w:t>
      </w:r>
      <w:proofErr w:type="spellStart"/>
      <w:r>
        <w:rPr>
          <w:rFonts w:ascii="David" w:hAnsi="David" w:cs="David" w:hint="cs"/>
          <w:sz w:val="24"/>
          <w:szCs w:val="24"/>
          <w:rtl/>
        </w:rPr>
        <w:t>ודוידוביץ</w:t>
      </w:r>
      <w:proofErr w:type="spellEnd"/>
      <w:r>
        <w:rPr>
          <w:rFonts w:ascii="David" w:hAnsi="David" w:cs="David" w:hint="cs"/>
          <w:sz w:val="24"/>
          <w:szCs w:val="24"/>
          <w:rtl/>
        </w:rPr>
        <w:t xml:space="preserve">, נ' (2022). </w:t>
      </w:r>
      <w:r w:rsidRPr="002A1D4A">
        <w:rPr>
          <w:rFonts w:ascii="David" w:hAnsi="David" w:cs="David" w:hint="cs"/>
          <w:b/>
          <w:bCs/>
          <w:sz w:val="24"/>
          <w:szCs w:val="24"/>
          <w:rtl/>
        </w:rPr>
        <w:t>מערכת הבריאות בישראל: מבט-על</w:t>
      </w:r>
      <w:r>
        <w:rPr>
          <w:rFonts w:ascii="David" w:hAnsi="David" w:cs="David" w:hint="cs"/>
          <w:sz w:val="24"/>
          <w:szCs w:val="24"/>
          <w:rtl/>
        </w:rPr>
        <w:t xml:space="preserve">. </w:t>
      </w:r>
      <w:r w:rsidR="002A1D4A">
        <w:rPr>
          <w:rFonts w:ascii="David" w:hAnsi="David" w:cs="David" w:hint="cs"/>
          <w:sz w:val="24"/>
          <w:szCs w:val="24"/>
          <w:rtl/>
        </w:rPr>
        <w:t xml:space="preserve">מרכז </w:t>
      </w:r>
      <w:proofErr w:type="spellStart"/>
      <w:r w:rsidR="002A1D4A">
        <w:rPr>
          <w:rFonts w:ascii="David" w:hAnsi="David" w:cs="David" w:hint="cs"/>
          <w:sz w:val="24"/>
          <w:szCs w:val="24"/>
          <w:rtl/>
        </w:rPr>
        <w:t>טאוב</w:t>
      </w:r>
      <w:proofErr w:type="spellEnd"/>
      <w:r w:rsidR="002A1D4A">
        <w:rPr>
          <w:rFonts w:ascii="David" w:hAnsi="David" w:cs="David" w:hint="cs"/>
          <w:sz w:val="24"/>
          <w:szCs w:val="24"/>
          <w:rtl/>
        </w:rPr>
        <w:t xml:space="preserve"> לחקר המדיניות החברתית בישראל.</w:t>
      </w:r>
    </w:p>
    <w:p w14:paraId="6A60E880" w14:textId="134FC832" w:rsidR="00373B61" w:rsidRDefault="00373B61" w:rsidP="00CE35F9">
      <w:pPr>
        <w:spacing w:line="312" w:lineRule="auto"/>
        <w:jc w:val="both"/>
        <w:rPr>
          <w:rFonts w:ascii="David" w:hAnsi="David" w:cs="David"/>
          <w:sz w:val="24"/>
          <w:szCs w:val="24"/>
          <w:rtl/>
        </w:rPr>
      </w:pPr>
      <w:r>
        <w:rPr>
          <w:rFonts w:ascii="David" w:hAnsi="David" w:cs="David" w:hint="cs"/>
          <w:sz w:val="24"/>
          <w:szCs w:val="24"/>
          <w:rtl/>
        </w:rPr>
        <w:t xml:space="preserve">לוין, ד' ואהרון-גוטמן, מ' (2021). </w:t>
      </w:r>
      <w:r w:rsidR="00E74D97">
        <w:rPr>
          <w:rFonts w:ascii="David" w:hAnsi="David" w:cs="David" w:hint="cs"/>
          <w:sz w:val="24"/>
          <w:szCs w:val="24"/>
          <w:rtl/>
        </w:rPr>
        <w:t xml:space="preserve">דור המינוף העצמי: לקראת מפנה בדיון החברתי על התחדשות עירונית בישראל. </w:t>
      </w:r>
      <w:r w:rsidR="00E74D97" w:rsidRPr="00942F91">
        <w:rPr>
          <w:rFonts w:ascii="David" w:hAnsi="David" w:cs="David" w:hint="cs"/>
          <w:b/>
          <w:bCs/>
          <w:sz w:val="24"/>
          <w:szCs w:val="24"/>
          <w:rtl/>
        </w:rPr>
        <w:t>תיאוריה וביקורת, 55</w:t>
      </w:r>
      <w:r w:rsidR="00E74D97">
        <w:rPr>
          <w:rFonts w:ascii="David" w:hAnsi="David" w:cs="David" w:hint="cs"/>
          <w:sz w:val="24"/>
          <w:szCs w:val="24"/>
          <w:rtl/>
        </w:rPr>
        <w:t xml:space="preserve">, </w:t>
      </w:r>
      <w:r w:rsidR="00000B4E">
        <w:rPr>
          <w:rFonts w:ascii="David" w:hAnsi="David" w:cs="David" w:hint="cs"/>
          <w:sz w:val="24"/>
          <w:szCs w:val="24"/>
          <w:rtl/>
        </w:rPr>
        <w:t xml:space="preserve">100-73. </w:t>
      </w:r>
    </w:p>
    <w:p w14:paraId="1E12283D" w14:textId="66575F1F" w:rsidR="000625F0" w:rsidRDefault="000625F0" w:rsidP="00CE35F9">
      <w:pPr>
        <w:spacing w:line="312" w:lineRule="auto"/>
        <w:jc w:val="both"/>
        <w:rPr>
          <w:rFonts w:ascii="David" w:hAnsi="David" w:cs="David"/>
          <w:sz w:val="24"/>
          <w:szCs w:val="24"/>
          <w:rtl/>
        </w:rPr>
      </w:pPr>
      <w:proofErr w:type="spellStart"/>
      <w:r>
        <w:rPr>
          <w:rFonts w:ascii="David" w:hAnsi="David" w:cs="David" w:hint="cs"/>
          <w:sz w:val="24"/>
          <w:szCs w:val="24"/>
          <w:rtl/>
        </w:rPr>
        <w:t>ליסיצה</w:t>
      </w:r>
      <w:proofErr w:type="spellEnd"/>
      <w:r>
        <w:rPr>
          <w:rFonts w:ascii="David" w:hAnsi="David" w:cs="David" w:hint="cs"/>
          <w:sz w:val="24"/>
          <w:szCs w:val="24"/>
          <w:rtl/>
        </w:rPr>
        <w:t xml:space="preserve">, ס' </w:t>
      </w:r>
      <w:proofErr w:type="spellStart"/>
      <w:r>
        <w:rPr>
          <w:rFonts w:ascii="David" w:hAnsi="David" w:cs="David" w:hint="cs"/>
          <w:sz w:val="24"/>
          <w:szCs w:val="24"/>
          <w:rtl/>
        </w:rPr>
        <w:t>וצ'אצ'אשוילי-בולוטין</w:t>
      </w:r>
      <w:proofErr w:type="spellEnd"/>
      <w:r>
        <w:rPr>
          <w:rFonts w:ascii="David" w:hAnsi="David" w:cs="David" w:hint="cs"/>
          <w:sz w:val="24"/>
          <w:szCs w:val="24"/>
          <w:rtl/>
        </w:rPr>
        <w:t xml:space="preserve">, ס' (2013). </w:t>
      </w:r>
      <w:r w:rsidRPr="000625F0">
        <w:rPr>
          <w:rFonts w:ascii="David" w:hAnsi="David" w:cs="David"/>
          <w:sz w:val="24"/>
          <w:szCs w:val="24"/>
          <w:rtl/>
        </w:rPr>
        <w:t xml:space="preserve">הפער הדיגיטאלי כפער חברתי, האומנם? אי-שוויון בנגישות ובשימוש במחשב ובאינטרנט בקרב מהגרים בחברה הישראלית. </w:t>
      </w:r>
      <w:r w:rsidRPr="000625F0">
        <w:rPr>
          <w:rFonts w:ascii="David" w:hAnsi="David" w:cs="David"/>
          <w:b/>
          <w:bCs/>
          <w:sz w:val="24"/>
          <w:szCs w:val="24"/>
          <w:rtl/>
        </w:rPr>
        <w:t>מסגרות מדיה, 10</w:t>
      </w:r>
      <w:r w:rsidRPr="000625F0">
        <w:rPr>
          <w:rFonts w:ascii="David" w:hAnsi="David" w:cs="David"/>
          <w:sz w:val="24"/>
          <w:szCs w:val="24"/>
          <w:rtl/>
        </w:rPr>
        <w:t xml:space="preserve">, </w:t>
      </w:r>
      <w:r w:rsidR="0059425E">
        <w:rPr>
          <w:rFonts w:ascii="David" w:hAnsi="David" w:cs="David" w:hint="cs"/>
          <w:sz w:val="24"/>
          <w:szCs w:val="24"/>
          <w:rtl/>
        </w:rPr>
        <w:t>8 - 31</w:t>
      </w:r>
      <w:r w:rsidRPr="000625F0">
        <w:rPr>
          <w:rFonts w:ascii="David" w:hAnsi="David" w:cs="David"/>
          <w:sz w:val="24"/>
          <w:szCs w:val="24"/>
          <w:rtl/>
        </w:rPr>
        <w:t>.</w:t>
      </w:r>
    </w:p>
    <w:p w14:paraId="175E77ED" w14:textId="169A81B8" w:rsidR="00674923" w:rsidRPr="00EC5E3F" w:rsidRDefault="00674923" w:rsidP="00CE35F9">
      <w:pPr>
        <w:spacing w:line="312" w:lineRule="auto"/>
        <w:jc w:val="both"/>
        <w:rPr>
          <w:rFonts w:ascii="David" w:hAnsi="David" w:cs="David"/>
          <w:b/>
          <w:bCs/>
          <w:sz w:val="24"/>
          <w:szCs w:val="24"/>
          <w:rtl/>
        </w:rPr>
      </w:pPr>
      <w:proofErr w:type="spellStart"/>
      <w:r>
        <w:rPr>
          <w:rFonts w:ascii="David" w:hAnsi="David" w:cs="David" w:hint="cs"/>
          <w:sz w:val="24"/>
          <w:szCs w:val="24"/>
          <w:rtl/>
        </w:rPr>
        <w:t>ליסק</w:t>
      </w:r>
      <w:proofErr w:type="spellEnd"/>
      <w:r>
        <w:rPr>
          <w:rFonts w:ascii="David" w:hAnsi="David" w:cs="David" w:hint="cs"/>
          <w:sz w:val="24"/>
          <w:szCs w:val="24"/>
          <w:rtl/>
        </w:rPr>
        <w:t xml:space="preserve">, מ' (2000). יחד שבטי ישראל? שסעים עיקריים בחברה הישראלית. בתוך: י' </w:t>
      </w:r>
      <w:proofErr w:type="spellStart"/>
      <w:r>
        <w:rPr>
          <w:rFonts w:ascii="David" w:hAnsi="David" w:cs="David" w:hint="cs"/>
          <w:sz w:val="24"/>
          <w:szCs w:val="24"/>
          <w:rtl/>
        </w:rPr>
        <w:t>קופ</w:t>
      </w:r>
      <w:proofErr w:type="spellEnd"/>
      <w:r w:rsidR="00EC5E3F">
        <w:rPr>
          <w:rFonts w:ascii="David" w:hAnsi="David" w:cs="David" w:hint="cs"/>
          <w:sz w:val="24"/>
          <w:szCs w:val="24"/>
          <w:rtl/>
        </w:rPr>
        <w:t xml:space="preserve"> (עורך). </w:t>
      </w:r>
      <w:r w:rsidR="00EC5E3F" w:rsidRPr="003C73C4">
        <w:rPr>
          <w:rFonts w:ascii="David" w:hAnsi="David" w:cs="David" w:hint="cs"/>
          <w:b/>
          <w:bCs/>
          <w:sz w:val="24"/>
          <w:szCs w:val="24"/>
          <w:rtl/>
        </w:rPr>
        <w:t>פלורליזם בישראל. מכור היתוך ל"מעורב ירושלמי"</w:t>
      </w:r>
      <w:r w:rsidR="00EC5E3F">
        <w:rPr>
          <w:rFonts w:ascii="David" w:hAnsi="David" w:cs="David" w:hint="cs"/>
          <w:sz w:val="24"/>
          <w:szCs w:val="24"/>
          <w:rtl/>
        </w:rPr>
        <w:t xml:space="preserve">. (עמ' </w:t>
      </w:r>
      <w:r w:rsidR="003C73C4">
        <w:rPr>
          <w:rFonts w:ascii="David" w:hAnsi="David" w:cs="David" w:hint="cs"/>
          <w:sz w:val="24"/>
          <w:szCs w:val="24"/>
          <w:rtl/>
        </w:rPr>
        <w:t xml:space="preserve">54-27). מרכז </w:t>
      </w:r>
      <w:proofErr w:type="spellStart"/>
      <w:r w:rsidR="003C73C4">
        <w:rPr>
          <w:rFonts w:ascii="David" w:hAnsi="David" w:cs="David" w:hint="cs"/>
          <w:sz w:val="24"/>
          <w:szCs w:val="24"/>
          <w:rtl/>
        </w:rPr>
        <w:t>טאוב</w:t>
      </w:r>
      <w:proofErr w:type="spellEnd"/>
      <w:r w:rsidR="003C73C4">
        <w:rPr>
          <w:rFonts w:ascii="David" w:hAnsi="David" w:cs="David" w:hint="cs"/>
          <w:sz w:val="24"/>
          <w:szCs w:val="24"/>
          <w:rtl/>
        </w:rPr>
        <w:t xml:space="preserve"> לחקר המדיניות החברתית בישראל.</w:t>
      </w:r>
    </w:p>
    <w:p w14:paraId="41F294F4" w14:textId="73174902" w:rsidR="00F813AB" w:rsidRDefault="00F813AB" w:rsidP="00CE35F9">
      <w:pPr>
        <w:spacing w:line="312" w:lineRule="auto"/>
        <w:jc w:val="both"/>
        <w:rPr>
          <w:rFonts w:ascii="David" w:hAnsi="David" w:cs="David"/>
          <w:sz w:val="24"/>
          <w:szCs w:val="24"/>
          <w:rtl/>
        </w:rPr>
      </w:pPr>
      <w:r>
        <w:rPr>
          <w:rFonts w:ascii="David" w:hAnsi="David" w:cs="David" w:hint="cs"/>
          <w:sz w:val="24"/>
          <w:szCs w:val="24"/>
          <w:rtl/>
        </w:rPr>
        <w:t xml:space="preserve">מבקר המדינה, (2015). </w:t>
      </w:r>
      <w:r w:rsidRPr="00F813AB">
        <w:rPr>
          <w:rFonts w:ascii="David" w:hAnsi="David" w:cs="David" w:hint="cs"/>
          <w:b/>
          <w:bCs/>
          <w:sz w:val="24"/>
          <w:szCs w:val="24"/>
          <w:rtl/>
        </w:rPr>
        <w:t>יישום רפורמות וצמצום פערים בחינוך לגיל הרך</w:t>
      </w:r>
      <w:r>
        <w:rPr>
          <w:rFonts w:ascii="David" w:hAnsi="David" w:cs="David" w:hint="cs"/>
          <w:sz w:val="24"/>
          <w:szCs w:val="24"/>
          <w:rtl/>
        </w:rPr>
        <w:t xml:space="preserve">. </w:t>
      </w:r>
      <w:r w:rsidR="00124697">
        <w:rPr>
          <w:rFonts w:ascii="David" w:hAnsi="David" w:cs="David" w:hint="cs"/>
          <w:sz w:val="24"/>
          <w:szCs w:val="24"/>
          <w:rtl/>
        </w:rPr>
        <w:t xml:space="preserve">משרד מבקר המדינה. </w:t>
      </w:r>
    </w:p>
    <w:p w14:paraId="6EA27BF6" w14:textId="67F3A399" w:rsidR="00124697" w:rsidRDefault="00124697" w:rsidP="00CE35F9">
      <w:pPr>
        <w:spacing w:line="312" w:lineRule="auto"/>
        <w:jc w:val="both"/>
        <w:rPr>
          <w:rFonts w:ascii="David" w:hAnsi="David" w:cs="David"/>
          <w:sz w:val="24"/>
          <w:szCs w:val="24"/>
          <w:rtl/>
        </w:rPr>
      </w:pPr>
      <w:r>
        <w:rPr>
          <w:rFonts w:ascii="David" w:hAnsi="David" w:cs="David" w:hint="cs"/>
          <w:sz w:val="24"/>
          <w:szCs w:val="24"/>
          <w:rtl/>
        </w:rPr>
        <w:t xml:space="preserve">מבקר המדינה, (2022). </w:t>
      </w:r>
      <w:r w:rsidRPr="00193796">
        <w:rPr>
          <w:rFonts w:ascii="David" w:hAnsi="David" w:cs="David" w:hint="cs"/>
          <w:b/>
          <w:bCs/>
          <w:sz w:val="24"/>
          <w:szCs w:val="24"/>
          <w:rtl/>
        </w:rPr>
        <w:t xml:space="preserve">יישום רפורמות וצמצום פערים בחינוך לגיל הרך </w:t>
      </w:r>
      <w:r w:rsidRPr="00193796">
        <w:rPr>
          <w:rFonts w:ascii="David" w:hAnsi="David" w:cs="David"/>
          <w:b/>
          <w:bCs/>
          <w:sz w:val="24"/>
          <w:szCs w:val="24"/>
          <w:rtl/>
        </w:rPr>
        <w:t>–</w:t>
      </w:r>
      <w:r w:rsidRPr="00193796">
        <w:rPr>
          <w:rFonts w:ascii="David" w:hAnsi="David" w:cs="David" w:hint="cs"/>
          <w:b/>
          <w:bCs/>
          <w:sz w:val="24"/>
          <w:szCs w:val="24"/>
          <w:rtl/>
        </w:rPr>
        <w:t xml:space="preserve"> ביקורת מעקב</w:t>
      </w:r>
      <w:r>
        <w:rPr>
          <w:rFonts w:ascii="David" w:hAnsi="David" w:cs="David" w:hint="cs"/>
          <w:sz w:val="24"/>
          <w:szCs w:val="24"/>
          <w:rtl/>
        </w:rPr>
        <w:t>. משרד מבקר המדינה</w:t>
      </w:r>
      <w:r w:rsidR="00193796">
        <w:rPr>
          <w:rFonts w:ascii="David" w:hAnsi="David" w:cs="David" w:hint="cs"/>
          <w:sz w:val="24"/>
          <w:szCs w:val="24"/>
          <w:rtl/>
        </w:rPr>
        <w:t xml:space="preserve">. </w:t>
      </w:r>
      <w:r>
        <w:rPr>
          <w:rFonts w:ascii="David" w:hAnsi="David" w:cs="David" w:hint="cs"/>
          <w:sz w:val="24"/>
          <w:szCs w:val="24"/>
          <w:rtl/>
        </w:rPr>
        <w:t xml:space="preserve">  </w:t>
      </w:r>
    </w:p>
    <w:p w14:paraId="7C73CA3F" w14:textId="256F829D" w:rsidR="00FD4108" w:rsidRDefault="00FD4108" w:rsidP="00CE35F9">
      <w:pPr>
        <w:spacing w:line="312" w:lineRule="auto"/>
        <w:jc w:val="both"/>
        <w:rPr>
          <w:rFonts w:ascii="David" w:hAnsi="David" w:cs="David"/>
          <w:sz w:val="24"/>
          <w:szCs w:val="24"/>
          <w:rtl/>
        </w:rPr>
      </w:pPr>
      <w:r>
        <w:rPr>
          <w:rFonts w:ascii="David" w:hAnsi="David" w:cs="David" w:hint="cs"/>
          <w:sz w:val="24"/>
          <w:szCs w:val="24"/>
          <w:rtl/>
        </w:rPr>
        <w:t>מחלוף, י'</w:t>
      </w:r>
      <w:r w:rsidR="007568A9">
        <w:rPr>
          <w:rFonts w:ascii="David" w:hAnsi="David" w:cs="David" w:hint="cs"/>
          <w:sz w:val="24"/>
          <w:szCs w:val="24"/>
          <w:rtl/>
        </w:rPr>
        <w:t xml:space="preserve"> וחלו, ג'</w:t>
      </w:r>
      <w:r>
        <w:rPr>
          <w:rFonts w:ascii="David" w:hAnsi="David" w:cs="David" w:hint="cs"/>
          <w:sz w:val="24"/>
          <w:szCs w:val="24"/>
          <w:rtl/>
        </w:rPr>
        <w:t xml:space="preserve"> (20</w:t>
      </w:r>
      <w:r w:rsidR="007568A9">
        <w:rPr>
          <w:rFonts w:ascii="David" w:hAnsi="David" w:cs="David" w:hint="cs"/>
          <w:sz w:val="24"/>
          <w:szCs w:val="24"/>
          <w:rtl/>
        </w:rPr>
        <w:t>21</w:t>
      </w:r>
      <w:r>
        <w:rPr>
          <w:rFonts w:ascii="David" w:hAnsi="David" w:cs="David" w:hint="cs"/>
          <w:sz w:val="24"/>
          <w:szCs w:val="24"/>
          <w:rtl/>
        </w:rPr>
        <w:t xml:space="preserve">). </w:t>
      </w:r>
      <w:r w:rsidR="00346AF2" w:rsidRPr="000509D1">
        <w:rPr>
          <w:rFonts w:ascii="David" w:hAnsi="David" w:cs="David" w:hint="cs"/>
          <w:b/>
          <w:bCs/>
          <w:sz w:val="24"/>
          <w:szCs w:val="24"/>
          <w:rtl/>
        </w:rPr>
        <w:t xml:space="preserve">תובנות ממחקרים בינלאומיים: האוריינות כפי שמשתקפת בממצאים נבחרים של </w:t>
      </w:r>
      <w:r w:rsidR="00346AF2" w:rsidRPr="000509D1">
        <w:rPr>
          <w:rFonts w:ascii="David" w:hAnsi="David" w:cs="David"/>
          <w:b/>
          <w:bCs/>
          <w:sz w:val="24"/>
          <w:szCs w:val="24"/>
        </w:rPr>
        <w:t>TIMSS</w:t>
      </w:r>
      <w:r w:rsidR="001D7B44" w:rsidRPr="000509D1">
        <w:rPr>
          <w:rFonts w:ascii="David" w:hAnsi="David" w:cs="David" w:hint="cs"/>
          <w:b/>
          <w:bCs/>
          <w:sz w:val="24"/>
          <w:szCs w:val="24"/>
          <w:rtl/>
        </w:rPr>
        <w:t xml:space="preserve"> 2018</w:t>
      </w:r>
      <w:r w:rsidR="00346AF2" w:rsidRPr="000509D1">
        <w:rPr>
          <w:rFonts w:ascii="David" w:hAnsi="David" w:cs="David" w:hint="cs"/>
          <w:b/>
          <w:bCs/>
          <w:sz w:val="24"/>
          <w:szCs w:val="24"/>
          <w:rtl/>
        </w:rPr>
        <w:t xml:space="preserve"> ו</w:t>
      </w:r>
      <w:r w:rsidR="001D7B44" w:rsidRPr="000509D1">
        <w:rPr>
          <w:rFonts w:ascii="David" w:hAnsi="David" w:cs="David" w:hint="cs"/>
          <w:b/>
          <w:bCs/>
          <w:sz w:val="24"/>
          <w:szCs w:val="24"/>
          <w:rtl/>
        </w:rPr>
        <w:t>-</w:t>
      </w:r>
      <w:r w:rsidR="001D7B44" w:rsidRPr="000509D1">
        <w:rPr>
          <w:rFonts w:ascii="David" w:hAnsi="David" w:cs="David"/>
          <w:b/>
          <w:bCs/>
          <w:sz w:val="24"/>
          <w:szCs w:val="24"/>
        </w:rPr>
        <w:t>PIZA</w:t>
      </w:r>
      <w:r w:rsidR="001D7B44" w:rsidRPr="000509D1">
        <w:rPr>
          <w:rFonts w:ascii="David" w:hAnsi="David" w:cs="David" w:hint="cs"/>
          <w:b/>
          <w:bCs/>
          <w:sz w:val="24"/>
          <w:szCs w:val="24"/>
          <w:rtl/>
        </w:rPr>
        <w:t xml:space="preserve"> 2019</w:t>
      </w:r>
      <w:r w:rsidR="001D7B44">
        <w:rPr>
          <w:rFonts w:ascii="David" w:hAnsi="David" w:cs="David" w:hint="cs"/>
          <w:sz w:val="24"/>
          <w:szCs w:val="24"/>
          <w:rtl/>
        </w:rPr>
        <w:t xml:space="preserve">. הרשות הארצית למדידה והערכה בחינוך. </w:t>
      </w:r>
    </w:p>
    <w:p w14:paraId="1DBC8366" w14:textId="47A54DD5" w:rsidR="00271F7F" w:rsidRDefault="00271F7F" w:rsidP="00271F7F">
      <w:pPr>
        <w:spacing w:line="312" w:lineRule="auto"/>
        <w:jc w:val="both"/>
        <w:rPr>
          <w:rFonts w:ascii="David" w:hAnsi="David" w:cs="David"/>
          <w:sz w:val="24"/>
          <w:szCs w:val="24"/>
          <w:rtl/>
        </w:rPr>
      </w:pPr>
      <w:r>
        <w:rPr>
          <w:rFonts w:ascii="David" w:hAnsi="David" w:cs="David" w:hint="cs"/>
          <w:sz w:val="24"/>
          <w:szCs w:val="24"/>
          <w:rtl/>
        </w:rPr>
        <w:t>מחלוף, י', חלו, ג'</w:t>
      </w:r>
      <w:r w:rsidR="00452F63">
        <w:rPr>
          <w:rFonts w:ascii="David" w:hAnsi="David" w:cs="David" w:hint="cs"/>
          <w:sz w:val="24"/>
          <w:szCs w:val="24"/>
          <w:rtl/>
        </w:rPr>
        <w:t xml:space="preserve">, שלומי, י', </w:t>
      </w:r>
      <w:proofErr w:type="spellStart"/>
      <w:r w:rsidR="00452F63">
        <w:rPr>
          <w:rFonts w:ascii="David" w:hAnsi="David" w:cs="David" w:hint="cs"/>
          <w:sz w:val="24"/>
          <w:szCs w:val="24"/>
          <w:rtl/>
        </w:rPr>
        <w:t>ליפשטט</w:t>
      </w:r>
      <w:proofErr w:type="spellEnd"/>
      <w:r w:rsidR="00452F63">
        <w:rPr>
          <w:rFonts w:ascii="David" w:hAnsi="David" w:cs="David" w:hint="cs"/>
          <w:sz w:val="24"/>
          <w:szCs w:val="24"/>
          <w:rtl/>
        </w:rPr>
        <w:t>, נ' וגליקמן, ח'</w:t>
      </w:r>
      <w:r>
        <w:rPr>
          <w:rFonts w:ascii="David" w:hAnsi="David" w:cs="David" w:hint="cs"/>
          <w:sz w:val="24"/>
          <w:szCs w:val="24"/>
          <w:rtl/>
        </w:rPr>
        <w:t xml:space="preserve"> (202</w:t>
      </w:r>
      <w:r w:rsidR="00452F63">
        <w:rPr>
          <w:rFonts w:ascii="David" w:hAnsi="David" w:cs="David" w:hint="cs"/>
          <w:sz w:val="24"/>
          <w:szCs w:val="24"/>
          <w:rtl/>
        </w:rPr>
        <w:t>0</w:t>
      </w:r>
      <w:r>
        <w:rPr>
          <w:rFonts w:ascii="David" w:hAnsi="David" w:cs="David" w:hint="cs"/>
          <w:sz w:val="24"/>
          <w:szCs w:val="24"/>
          <w:rtl/>
        </w:rPr>
        <w:t xml:space="preserve">). </w:t>
      </w:r>
      <w:r w:rsidR="00560883">
        <w:rPr>
          <w:rFonts w:ascii="David" w:hAnsi="David" w:cs="David" w:hint="cs"/>
          <w:b/>
          <w:bCs/>
          <w:sz w:val="24"/>
          <w:szCs w:val="24"/>
          <w:rtl/>
        </w:rPr>
        <w:t xml:space="preserve">מחקר </w:t>
      </w:r>
      <w:proofErr w:type="spellStart"/>
      <w:r w:rsidR="00560883">
        <w:rPr>
          <w:rFonts w:ascii="David" w:hAnsi="David" w:cs="David" w:hint="cs"/>
          <w:b/>
          <w:bCs/>
          <w:sz w:val="24"/>
          <w:szCs w:val="24"/>
          <w:rtl/>
        </w:rPr>
        <w:t>טימס</w:t>
      </w:r>
      <w:proofErr w:type="spellEnd"/>
      <w:r w:rsidRPr="000509D1">
        <w:rPr>
          <w:rFonts w:ascii="David" w:hAnsi="David" w:cs="David" w:hint="cs"/>
          <w:b/>
          <w:bCs/>
          <w:sz w:val="24"/>
          <w:szCs w:val="24"/>
          <w:rtl/>
        </w:rPr>
        <w:t xml:space="preserve"> 2019</w:t>
      </w:r>
      <w:r w:rsidR="00560883">
        <w:rPr>
          <w:rFonts w:ascii="David" w:hAnsi="David" w:cs="David" w:hint="cs"/>
          <w:sz w:val="24"/>
          <w:szCs w:val="24"/>
          <w:rtl/>
        </w:rPr>
        <w:t xml:space="preserve">. </w:t>
      </w:r>
      <w:r w:rsidR="00560883" w:rsidRPr="00560883">
        <w:rPr>
          <w:rFonts w:ascii="David" w:hAnsi="David" w:cs="David" w:hint="cs"/>
          <w:b/>
          <w:bCs/>
          <w:sz w:val="24"/>
          <w:szCs w:val="24"/>
          <w:rtl/>
        </w:rPr>
        <w:t>מחקר בין לאומי להערכת הידע והמיומנויות של תלמידי כיתה ח' במתמטיקה ובמדעים</w:t>
      </w:r>
      <w:r>
        <w:rPr>
          <w:rFonts w:ascii="David" w:hAnsi="David" w:cs="David" w:hint="cs"/>
          <w:sz w:val="24"/>
          <w:szCs w:val="24"/>
          <w:rtl/>
        </w:rPr>
        <w:t xml:space="preserve">. הרשות הארצית למדידה והערכה בחינוך. </w:t>
      </w:r>
    </w:p>
    <w:p w14:paraId="32387C37" w14:textId="413B5F1C" w:rsidR="003D48A7" w:rsidRDefault="003D48A7" w:rsidP="00CE35F9">
      <w:pPr>
        <w:spacing w:line="312" w:lineRule="auto"/>
        <w:jc w:val="both"/>
        <w:rPr>
          <w:rFonts w:ascii="David" w:hAnsi="David" w:cs="David"/>
          <w:sz w:val="24"/>
          <w:szCs w:val="24"/>
          <w:rtl/>
        </w:rPr>
      </w:pPr>
      <w:r>
        <w:rPr>
          <w:rFonts w:ascii="David" w:hAnsi="David" w:cs="David" w:hint="cs"/>
          <w:sz w:val="24"/>
          <w:szCs w:val="24"/>
          <w:rtl/>
        </w:rPr>
        <w:t xml:space="preserve">מלאך ג' </w:t>
      </w:r>
      <w:proofErr w:type="spellStart"/>
      <w:r>
        <w:rPr>
          <w:rFonts w:ascii="David" w:hAnsi="David" w:cs="David" w:hint="cs"/>
          <w:sz w:val="24"/>
          <w:szCs w:val="24"/>
          <w:rtl/>
        </w:rPr>
        <w:t>וכהנר</w:t>
      </w:r>
      <w:proofErr w:type="spellEnd"/>
      <w:r>
        <w:rPr>
          <w:rFonts w:ascii="David" w:hAnsi="David" w:cs="David" w:hint="cs"/>
          <w:sz w:val="24"/>
          <w:szCs w:val="24"/>
          <w:rtl/>
        </w:rPr>
        <w:t xml:space="preserve"> ל' (2022). </w:t>
      </w:r>
      <w:r w:rsidRPr="003D48A7">
        <w:rPr>
          <w:rFonts w:ascii="David" w:hAnsi="David" w:cs="David" w:hint="cs"/>
          <w:b/>
          <w:bCs/>
          <w:sz w:val="24"/>
          <w:szCs w:val="24"/>
          <w:rtl/>
        </w:rPr>
        <w:t>שנתון החברה החרדית בישראל</w:t>
      </w:r>
      <w:r>
        <w:rPr>
          <w:rFonts w:ascii="David" w:hAnsi="David" w:cs="David" w:hint="cs"/>
          <w:sz w:val="24"/>
          <w:szCs w:val="24"/>
          <w:rtl/>
        </w:rPr>
        <w:t xml:space="preserve">. המכון הישראלי לדמוקרטיה. </w:t>
      </w:r>
    </w:p>
    <w:p w14:paraId="347701E8" w14:textId="25C85005" w:rsidR="001E4534" w:rsidRPr="00921BA2" w:rsidRDefault="001E4534" w:rsidP="00CE35F9">
      <w:pPr>
        <w:spacing w:line="312" w:lineRule="auto"/>
        <w:jc w:val="both"/>
        <w:rPr>
          <w:rFonts w:ascii="David" w:hAnsi="David" w:cs="David"/>
          <w:sz w:val="24"/>
          <w:szCs w:val="24"/>
          <w:rtl/>
        </w:rPr>
      </w:pPr>
      <w:r>
        <w:rPr>
          <w:rFonts w:ascii="David" w:hAnsi="David" w:cs="David" w:hint="cs"/>
          <w:sz w:val="24"/>
          <w:szCs w:val="24"/>
          <w:rtl/>
        </w:rPr>
        <w:t xml:space="preserve">מלצר, י' (2013). </w:t>
      </w:r>
      <w:r w:rsidR="00921BA2">
        <w:rPr>
          <w:rFonts w:ascii="David" w:hAnsi="David" w:cs="David" w:hint="cs"/>
          <w:b/>
          <w:bCs/>
          <w:sz w:val="24"/>
          <w:szCs w:val="24"/>
          <w:rtl/>
        </w:rPr>
        <w:t xml:space="preserve">אי שוויון בתשואה להשכלה בין קבוצות אוכלוסייה שונות. </w:t>
      </w:r>
      <w:r w:rsidR="002C5632">
        <w:rPr>
          <w:rFonts w:ascii="David" w:hAnsi="David" w:cs="David" w:hint="cs"/>
          <w:sz w:val="24"/>
          <w:szCs w:val="24"/>
          <w:rtl/>
        </w:rPr>
        <w:t xml:space="preserve">מחקר למילוי דרישות לקבלת תואר "דוקטור לפילוסופיה". אוניברסיטת בן גוריון בנגב. </w:t>
      </w:r>
    </w:p>
    <w:p w14:paraId="448E5342" w14:textId="2460E67D" w:rsidR="00FB67B9" w:rsidRDefault="00FB67B9" w:rsidP="00CE35F9">
      <w:pPr>
        <w:spacing w:line="312" w:lineRule="auto"/>
        <w:jc w:val="both"/>
        <w:rPr>
          <w:rFonts w:ascii="David" w:hAnsi="David" w:cs="David"/>
          <w:sz w:val="24"/>
          <w:szCs w:val="24"/>
          <w:rtl/>
        </w:rPr>
      </w:pPr>
      <w:r>
        <w:rPr>
          <w:rFonts w:ascii="David" w:hAnsi="David" w:cs="David" w:hint="cs"/>
          <w:sz w:val="24"/>
          <w:szCs w:val="24"/>
          <w:rtl/>
        </w:rPr>
        <w:t xml:space="preserve">משרד הבריאות (2021). </w:t>
      </w:r>
      <w:r w:rsidRPr="00FB67B9">
        <w:rPr>
          <w:rFonts w:ascii="David" w:hAnsi="David" w:cs="David" w:hint="cs"/>
          <w:b/>
          <w:bCs/>
          <w:sz w:val="24"/>
          <w:szCs w:val="24"/>
          <w:rtl/>
        </w:rPr>
        <w:t>מאגר ידע בנושא אי שוויון בבריאות</w:t>
      </w:r>
      <w:r>
        <w:rPr>
          <w:rFonts w:ascii="David" w:hAnsi="David" w:cs="David" w:hint="cs"/>
          <w:sz w:val="24"/>
          <w:szCs w:val="24"/>
          <w:rtl/>
        </w:rPr>
        <w:t xml:space="preserve">. </w:t>
      </w:r>
      <w:proofErr w:type="spellStart"/>
      <w:r>
        <w:rPr>
          <w:rFonts w:ascii="David" w:hAnsi="David" w:cs="David" w:hint="cs"/>
          <w:sz w:val="24"/>
          <w:szCs w:val="24"/>
          <w:rtl/>
        </w:rPr>
        <w:t>מינהל</w:t>
      </w:r>
      <w:proofErr w:type="spellEnd"/>
      <w:r>
        <w:rPr>
          <w:rFonts w:ascii="David" w:hAnsi="David" w:cs="David" w:hint="cs"/>
          <w:sz w:val="24"/>
          <w:szCs w:val="24"/>
          <w:rtl/>
        </w:rPr>
        <w:t xml:space="preserve"> תכנון אסטרטגי וכלכלי. משרד הבריאות. </w:t>
      </w:r>
    </w:p>
    <w:p w14:paraId="73E64D8B" w14:textId="3EE11644" w:rsidR="00F15865" w:rsidRDefault="00430A9C" w:rsidP="00CE35F9">
      <w:pPr>
        <w:spacing w:line="312" w:lineRule="auto"/>
        <w:jc w:val="both"/>
        <w:rPr>
          <w:rFonts w:ascii="David" w:hAnsi="David" w:cs="David"/>
          <w:sz w:val="24"/>
          <w:szCs w:val="24"/>
          <w:rtl/>
        </w:rPr>
      </w:pPr>
      <w:hyperlink r:id="rId21" w:history="1">
        <w:r w:rsidR="00F15865" w:rsidRPr="00261514">
          <w:rPr>
            <w:rStyle w:val="Hyperlink"/>
            <w:rFonts w:ascii="David" w:hAnsi="David" w:cs="David"/>
            <w:sz w:val="24"/>
            <w:szCs w:val="24"/>
          </w:rPr>
          <w:t>https://www.gov.il/he/departments/guides/equality-health-info?chapterIndex=1</w:t>
        </w:r>
      </w:hyperlink>
    </w:p>
    <w:p w14:paraId="60024B36" w14:textId="77AFE54F" w:rsidR="0070507B" w:rsidRPr="0070507B" w:rsidRDefault="0070507B" w:rsidP="00CE35F9">
      <w:pPr>
        <w:spacing w:line="312" w:lineRule="auto"/>
        <w:jc w:val="both"/>
        <w:rPr>
          <w:rFonts w:ascii="David" w:hAnsi="David" w:cs="David"/>
          <w:sz w:val="24"/>
          <w:szCs w:val="24"/>
          <w:rtl/>
        </w:rPr>
      </w:pPr>
      <w:r>
        <w:rPr>
          <w:rFonts w:ascii="David" w:hAnsi="David" w:cs="David" w:hint="cs"/>
          <w:sz w:val="24"/>
          <w:szCs w:val="24"/>
          <w:rtl/>
        </w:rPr>
        <w:t xml:space="preserve">משרד הבריאות (2019). </w:t>
      </w:r>
      <w:r>
        <w:rPr>
          <w:rFonts w:ascii="David" w:hAnsi="David" w:cs="David" w:hint="cs"/>
          <w:b/>
          <w:bCs/>
          <w:sz w:val="24"/>
          <w:szCs w:val="24"/>
          <w:rtl/>
        </w:rPr>
        <w:t xml:space="preserve">מצב הבריאות של יוצאי אתיופיה בישראל 2018. </w:t>
      </w:r>
      <w:r w:rsidR="00371501">
        <w:rPr>
          <w:rFonts w:ascii="David" w:hAnsi="David" w:cs="David" w:hint="cs"/>
          <w:sz w:val="24"/>
          <w:szCs w:val="24"/>
          <w:rtl/>
        </w:rPr>
        <w:t xml:space="preserve">חטיבת טכנולוגיות רפואיות, מידע ומחקר. </w:t>
      </w:r>
    </w:p>
    <w:p w14:paraId="538A62EF" w14:textId="1F7DC125" w:rsidR="006B3185" w:rsidRDefault="006B3185" w:rsidP="00CE35F9">
      <w:pPr>
        <w:spacing w:line="312" w:lineRule="auto"/>
        <w:jc w:val="both"/>
        <w:rPr>
          <w:rFonts w:ascii="David" w:hAnsi="David" w:cs="David"/>
          <w:sz w:val="24"/>
          <w:szCs w:val="24"/>
          <w:rtl/>
        </w:rPr>
      </w:pPr>
      <w:r>
        <w:rPr>
          <w:rFonts w:ascii="David" w:hAnsi="David" w:cs="David" w:hint="cs"/>
          <w:sz w:val="24"/>
          <w:szCs w:val="24"/>
          <w:rtl/>
        </w:rPr>
        <w:t>נגר</w:t>
      </w:r>
      <w:r w:rsidR="00632D9F">
        <w:rPr>
          <w:rFonts w:ascii="David" w:hAnsi="David" w:cs="David" w:hint="cs"/>
          <w:sz w:val="24"/>
          <w:szCs w:val="24"/>
          <w:rtl/>
        </w:rPr>
        <w:t>-</w:t>
      </w:r>
      <w:r>
        <w:rPr>
          <w:rFonts w:ascii="David" w:hAnsi="David" w:cs="David" w:hint="cs"/>
          <w:sz w:val="24"/>
          <w:szCs w:val="24"/>
          <w:rtl/>
        </w:rPr>
        <w:t>רון</w:t>
      </w:r>
      <w:r w:rsidR="00632D9F">
        <w:rPr>
          <w:rFonts w:ascii="David" w:hAnsi="David" w:cs="David" w:hint="cs"/>
          <w:sz w:val="24"/>
          <w:szCs w:val="24"/>
          <w:rtl/>
        </w:rPr>
        <w:t xml:space="preserve">, ס' (2021). סטטיסטיקה לאומית, קטגוריזציה אתנית ומדידת אי שוויון בישראל. </w:t>
      </w:r>
      <w:r w:rsidR="00E818E2" w:rsidRPr="005D078B">
        <w:rPr>
          <w:rFonts w:ascii="David" w:hAnsi="David" w:cs="David" w:hint="cs"/>
          <w:b/>
          <w:bCs/>
          <w:sz w:val="24"/>
          <w:szCs w:val="24"/>
          <w:rtl/>
        </w:rPr>
        <w:t>סוציולוגיה ישראלית,</w:t>
      </w:r>
      <w:r w:rsidR="00E818E2">
        <w:rPr>
          <w:rFonts w:ascii="David" w:hAnsi="David" w:cs="David" w:hint="cs"/>
          <w:sz w:val="24"/>
          <w:szCs w:val="24"/>
          <w:rtl/>
        </w:rPr>
        <w:t xml:space="preserve"> </w:t>
      </w:r>
      <w:proofErr w:type="spellStart"/>
      <w:r w:rsidR="00E818E2">
        <w:rPr>
          <w:rFonts w:ascii="David" w:hAnsi="David" w:cs="David" w:hint="cs"/>
          <w:sz w:val="24"/>
          <w:szCs w:val="24"/>
          <w:rtl/>
        </w:rPr>
        <w:t>כב</w:t>
      </w:r>
      <w:proofErr w:type="spellEnd"/>
      <w:r w:rsidR="0009308F">
        <w:rPr>
          <w:rFonts w:ascii="David" w:hAnsi="David" w:cs="David" w:hint="cs"/>
          <w:sz w:val="24"/>
          <w:szCs w:val="24"/>
          <w:rtl/>
        </w:rPr>
        <w:t xml:space="preserve"> (1), 30-6. </w:t>
      </w:r>
      <w:r w:rsidR="005D078B">
        <w:rPr>
          <w:rFonts w:ascii="David" w:hAnsi="David" w:cs="David" w:hint="cs"/>
          <w:sz w:val="24"/>
          <w:szCs w:val="24"/>
          <w:rtl/>
        </w:rPr>
        <w:t xml:space="preserve"> </w:t>
      </w:r>
    </w:p>
    <w:p w14:paraId="5A74BFB6" w14:textId="05958134" w:rsidR="00AF194B" w:rsidRDefault="00AF194B" w:rsidP="00CE35F9">
      <w:pPr>
        <w:spacing w:line="312" w:lineRule="auto"/>
        <w:jc w:val="both"/>
        <w:rPr>
          <w:rFonts w:ascii="David" w:hAnsi="David" w:cs="David"/>
          <w:sz w:val="24"/>
          <w:szCs w:val="24"/>
          <w:rtl/>
        </w:rPr>
      </w:pPr>
      <w:proofErr w:type="spellStart"/>
      <w:r>
        <w:rPr>
          <w:rFonts w:ascii="David" w:hAnsi="David" w:cs="David" w:hint="cs"/>
          <w:sz w:val="24"/>
          <w:szCs w:val="24"/>
          <w:rtl/>
        </w:rPr>
        <w:t>סבירסקי</w:t>
      </w:r>
      <w:proofErr w:type="spellEnd"/>
      <w:r>
        <w:rPr>
          <w:rFonts w:ascii="David" w:hAnsi="David" w:cs="David" w:hint="cs"/>
          <w:sz w:val="24"/>
          <w:szCs w:val="24"/>
          <w:rtl/>
        </w:rPr>
        <w:t>,</w:t>
      </w:r>
      <w:r w:rsidR="008A69A5">
        <w:rPr>
          <w:rFonts w:ascii="David" w:hAnsi="David" w:cs="David" w:hint="cs"/>
          <w:sz w:val="24"/>
          <w:szCs w:val="24"/>
          <w:rtl/>
        </w:rPr>
        <w:t xml:space="preserve"> ש' </w:t>
      </w:r>
      <w:proofErr w:type="spellStart"/>
      <w:r w:rsidR="008A69A5">
        <w:rPr>
          <w:rFonts w:ascii="David" w:hAnsi="David" w:cs="David" w:hint="cs"/>
          <w:sz w:val="24"/>
          <w:szCs w:val="24"/>
          <w:rtl/>
        </w:rPr>
        <w:t>קונור</w:t>
      </w:r>
      <w:proofErr w:type="spellEnd"/>
      <w:r w:rsidR="008A69A5">
        <w:rPr>
          <w:rFonts w:ascii="David" w:hAnsi="David" w:cs="David" w:hint="cs"/>
          <w:sz w:val="24"/>
          <w:szCs w:val="24"/>
          <w:rtl/>
        </w:rPr>
        <w:t xml:space="preserve">-אטיאס, א', </w:t>
      </w:r>
      <w:proofErr w:type="spellStart"/>
      <w:r w:rsidR="008A69A5">
        <w:rPr>
          <w:rFonts w:ascii="David" w:hAnsi="David" w:cs="David" w:hint="cs"/>
          <w:sz w:val="24"/>
          <w:szCs w:val="24"/>
          <w:rtl/>
        </w:rPr>
        <w:t>סבירסקי</w:t>
      </w:r>
      <w:proofErr w:type="spellEnd"/>
      <w:r w:rsidR="008A69A5">
        <w:rPr>
          <w:rFonts w:ascii="David" w:hAnsi="David" w:cs="David" w:hint="cs"/>
          <w:sz w:val="24"/>
          <w:szCs w:val="24"/>
          <w:rtl/>
        </w:rPr>
        <w:t xml:space="preserve">, ב', בר-און ממן, ש', </w:t>
      </w:r>
      <w:r w:rsidR="005D08D9">
        <w:rPr>
          <w:rFonts w:ascii="David" w:hAnsi="David" w:cs="David" w:hint="cs"/>
          <w:sz w:val="24"/>
          <w:szCs w:val="24"/>
          <w:rtl/>
        </w:rPr>
        <w:t>הופמן-דישון, י', וליברמן, א' (2022).</w:t>
      </w:r>
      <w:r>
        <w:rPr>
          <w:rFonts w:ascii="David" w:hAnsi="David" w:cs="David" w:hint="cs"/>
          <w:sz w:val="24"/>
          <w:szCs w:val="24"/>
          <w:rtl/>
        </w:rPr>
        <w:t xml:space="preserve"> </w:t>
      </w:r>
      <w:r>
        <w:rPr>
          <w:rFonts w:ascii="David" w:hAnsi="David" w:cs="David" w:hint="cs"/>
          <w:b/>
          <w:bCs/>
          <w:sz w:val="24"/>
          <w:szCs w:val="24"/>
          <w:rtl/>
        </w:rPr>
        <w:t xml:space="preserve">תמונת מצב חברתית 2022: מגפת אי השוויון נמשכת. </w:t>
      </w:r>
      <w:r>
        <w:rPr>
          <w:rFonts w:ascii="David" w:hAnsi="David" w:cs="David" w:hint="cs"/>
          <w:sz w:val="24"/>
          <w:szCs w:val="24"/>
          <w:rtl/>
        </w:rPr>
        <w:t>מרכז אדווה.</w:t>
      </w:r>
    </w:p>
    <w:p w14:paraId="2F4D34E9" w14:textId="19149636" w:rsidR="00AF194B" w:rsidRPr="00206D1C" w:rsidRDefault="006C1951" w:rsidP="006C1951">
      <w:pPr>
        <w:spacing w:line="312" w:lineRule="auto"/>
        <w:jc w:val="both"/>
        <w:rPr>
          <w:rFonts w:ascii="David" w:hAnsi="David" w:cs="David"/>
          <w:sz w:val="24"/>
          <w:szCs w:val="24"/>
          <w:rtl/>
        </w:rPr>
      </w:pPr>
      <w:proofErr w:type="spellStart"/>
      <w:r>
        <w:rPr>
          <w:rFonts w:ascii="David" w:hAnsi="David" w:cs="David" w:hint="cs"/>
          <w:sz w:val="24"/>
          <w:szCs w:val="24"/>
          <w:rtl/>
        </w:rPr>
        <w:t>סבירסקי</w:t>
      </w:r>
      <w:proofErr w:type="spellEnd"/>
      <w:r>
        <w:rPr>
          <w:rFonts w:ascii="David" w:hAnsi="David" w:cs="David" w:hint="cs"/>
          <w:sz w:val="24"/>
          <w:szCs w:val="24"/>
          <w:rtl/>
        </w:rPr>
        <w:t xml:space="preserve">, ש' </w:t>
      </w:r>
      <w:proofErr w:type="spellStart"/>
      <w:r>
        <w:rPr>
          <w:rFonts w:ascii="David" w:hAnsi="David" w:cs="David" w:hint="cs"/>
          <w:sz w:val="24"/>
          <w:szCs w:val="24"/>
          <w:rtl/>
        </w:rPr>
        <w:t>קונור</w:t>
      </w:r>
      <w:proofErr w:type="spellEnd"/>
      <w:r>
        <w:rPr>
          <w:rFonts w:ascii="David" w:hAnsi="David" w:cs="David" w:hint="cs"/>
          <w:sz w:val="24"/>
          <w:szCs w:val="24"/>
          <w:rtl/>
        </w:rPr>
        <w:t xml:space="preserve">-אטיאס, א', </w:t>
      </w:r>
      <w:proofErr w:type="spellStart"/>
      <w:r>
        <w:rPr>
          <w:rFonts w:ascii="David" w:hAnsi="David" w:cs="David" w:hint="cs"/>
          <w:sz w:val="24"/>
          <w:szCs w:val="24"/>
          <w:rtl/>
        </w:rPr>
        <w:t>סבירסקי</w:t>
      </w:r>
      <w:proofErr w:type="spellEnd"/>
      <w:r>
        <w:rPr>
          <w:rFonts w:ascii="David" w:hAnsi="David" w:cs="David" w:hint="cs"/>
          <w:sz w:val="24"/>
          <w:szCs w:val="24"/>
          <w:rtl/>
        </w:rPr>
        <w:t xml:space="preserve">, ב', </w:t>
      </w:r>
      <w:r w:rsidR="00D23DEB">
        <w:rPr>
          <w:rFonts w:ascii="David" w:hAnsi="David" w:cs="David" w:hint="cs"/>
          <w:sz w:val="24"/>
          <w:szCs w:val="24"/>
          <w:rtl/>
        </w:rPr>
        <w:t>ליבנת, י'</w:t>
      </w:r>
      <w:r>
        <w:rPr>
          <w:rFonts w:ascii="David" w:hAnsi="David" w:cs="David" w:hint="cs"/>
          <w:sz w:val="24"/>
          <w:szCs w:val="24"/>
          <w:rtl/>
        </w:rPr>
        <w:t>, הופמן-דישון, י', וליברמן, א' (202</w:t>
      </w:r>
      <w:r w:rsidR="00D23DEB">
        <w:rPr>
          <w:rFonts w:ascii="David" w:hAnsi="David" w:cs="David" w:hint="cs"/>
          <w:sz w:val="24"/>
          <w:szCs w:val="24"/>
          <w:rtl/>
        </w:rPr>
        <w:t>1</w:t>
      </w:r>
      <w:r>
        <w:rPr>
          <w:rFonts w:ascii="David" w:hAnsi="David" w:cs="David" w:hint="cs"/>
          <w:sz w:val="24"/>
          <w:szCs w:val="24"/>
          <w:rtl/>
        </w:rPr>
        <w:t xml:space="preserve">). </w:t>
      </w:r>
      <w:r w:rsidRPr="00206D1C">
        <w:rPr>
          <w:rFonts w:ascii="David" w:hAnsi="David" w:cs="David" w:hint="cs"/>
          <w:b/>
          <w:bCs/>
          <w:sz w:val="24"/>
          <w:szCs w:val="24"/>
          <w:rtl/>
        </w:rPr>
        <w:t>תמונת מצב חברתית 202</w:t>
      </w:r>
      <w:r w:rsidR="00B14838" w:rsidRPr="00206D1C">
        <w:rPr>
          <w:rFonts w:ascii="David" w:hAnsi="David" w:cs="David" w:hint="cs"/>
          <w:b/>
          <w:bCs/>
          <w:sz w:val="24"/>
          <w:szCs w:val="24"/>
          <w:rtl/>
        </w:rPr>
        <w:t>1</w:t>
      </w:r>
      <w:r w:rsidRPr="00206D1C">
        <w:rPr>
          <w:rFonts w:ascii="David" w:hAnsi="David" w:cs="David" w:hint="cs"/>
          <w:b/>
          <w:bCs/>
          <w:sz w:val="24"/>
          <w:szCs w:val="24"/>
          <w:rtl/>
        </w:rPr>
        <w:t xml:space="preserve">: </w:t>
      </w:r>
      <w:r w:rsidR="00B14838" w:rsidRPr="00206D1C">
        <w:rPr>
          <w:rFonts w:ascii="David" w:hAnsi="David" w:cs="David" w:hint="cs"/>
          <w:b/>
          <w:bCs/>
          <w:sz w:val="24"/>
          <w:szCs w:val="24"/>
          <w:rtl/>
        </w:rPr>
        <w:t>הקורונה ו</w:t>
      </w:r>
      <w:r w:rsidRPr="00206D1C">
        <w:rPr>
          <w:rFonts w:ascii="David" w:hAnsi="David" w:cs="David" w:hint="cs"/>
          <w:b/>
          <w:bCs/>
          <w:sz w:val="24"/>
          <w:szCs w:val="24"/>
          <w:rtl/>
        </w:rPr>
        <w:t xml:space="preserve">מגפת אי השוויון נמשכת. </w:t>
      </w:r>
      <w:r w:rsidRPr="00206D1C">
        <w:rPr>
          <w:rFonts w:ascii="David" w:hAnsi="David" w:cs="David" w:hint="cs"/>
          <w:sz w:val="24"/>
          <w:szCs w:val="24"/>
          <w:rtl/>
        </w:rPr>
        <w:t>מרכז אדווה.</w:t>
      </w:r>
    </w:p>
    <w:p w14:paraId="00660154" w14:textId="39A7ABED" w:rsidR="00ED784C" w:rsidRPr="00206D1C" w:rsidRDefault="00203C7B" w:rsidP="00CE35F9">
      <w:pPr>
        <w:spacing w:line="312" w:lineRule="auto"/>
        <w:jc w:val="both"/>
        <w:rPr>
          <w:rFonts w:ascii="David" w:hAnsi="David" w:cs="David"/>
          <w:sz w:val="24"/>
          <w:szCs w:val="24"/>
          <w:rtl/>
        </w:rPr>
      </w:pPr>
      <w:r w:rsidRPr="00206D1C">
        <w:rPr>
          <w:rFonts w:ascii="David" w:hAnsi="David" w:cs="David" w:hint="cs"/>
          <w:sz w:val="24"/>
          <w:szCs w:val="24"/>
          <w:rtl/>
        </w:rPr>
        <w:t>פרץ, ג'</w:t>
      </w:r>
      <w:r w:rsidR="00ED784C" w:rsidRPr="00206D1C">
        <w:rPr>
          <w:rFonts w:ascii="David" w:hAnsi="David" w:cs="David" w:hint="cs"/>
          <w:sz w:val="24"/>
          <w:szCs w:val="24"/>
          <w:rtl/>
        </w:rPr>
        <w:t xml:space="preserve">, אברבוך, א', </w:t>
      </w:r>
      <w:proofErr w:type="spellStart"/>
      <w:r w:rsidR="00ED784C" w:rsidRPr="00206D1C">
        <w:rPr>
          <w:rFonts w:ascii="David" w:hAnsi="David" w:cs="David" w:hint="cs"/>
          <w:sz w:val="24"/>
          <w:szCs w:val="24"/>
          <w:rtl/>
        </w:rPr>
        <w:t>קאופן</w:t>
      </w:r>
      <w:proofErr w:type="spellEnd"/>
      <w:r w:rsidR="00ED784C" w:rsidRPr="00206D1C">
        <w:rPr>
          <w:rFonts w:ascii="David" w:hAnsi="David" w:cs="David" w:hint="cs"/>
          <w:sz w:val="24"/>
          <w:szCs w:val="24"/>
          <w:rtl/>
        </w:rPr>
        <w:t xml:space="preserve">, ד', וגרינבאום-אריסון, א' (2022). </w:t>
      </w:r>
      <w:r w:rsidR="007A7204" w:rsidRPr="00206D1C">
        <w:rPr>
          <w:rFonts w:ascii="David" w:hAnsi="David" w:cs="David" w:hint="cs"/>
          <w:b/>
          <w:bCs/>
          <w:sz w:val="24"/>
          <w:szCs w:val="24"/>
          <w:rtl/>
        </w:rPr>
        <w:t>אי שוויון בבריאות וההתמודדות עמו</w:t>
      </w:r>
      <w:r w:rsidR="0008605E" w:rsidRPr="00206D1C">
        <w:rPr>
          <w:rFonts w:ascii="David" w:hAnsi="David" w:cs="David" w:hint="cs"/>
          <w:b/>
          <w:bCs/>
          <w:sz w:val="24"/>
          <w:szCs w:val="24"/>
          <w:rtl/>
        </w:rPr>
        <w:t xml:space="preserve"> 2021</w:t>
      </w:r>
      <w:r w:rsidR="007A7204" w:rsidRPr="00206D1C">
        <w:rPr>
          <w:rFonts w:ascii="David" w:hAnsi="David" w:cs="David" w:hint="cs"/>
          <w:sz w:val="24"/>
          <w:szCs w:val="24"/>
          <w:rtl/>
        </w:rPr>
        <w:t xml:space="preserve">. </w:t>
      </w:r>
      <w:proofErr w:type="spellStart"/>
      <w:r w:rsidR="007A7204" w:rsidRPr="00206D1C">
        <w:rPr>
          <w:rFonts w:ascii="David" w:hAnsi="David" w:cs="David" w:hint="cs"/>
          <w:sz w:val="24"/>
          <w:szCs w:val="24"/>
          <w:rtl/>
        </w:rPr>
        <w:t>מינהל</w:t>
      </w:r>
      <w:proofErr w:type="spellEnd"/>
      <w:r w:rsidR="007A7204" w:rsidRPr="00206D1C">
        <w:rPr>
          <w:rFonts w:ascii="David" w:hAnsi="David" w:cs="David" w:hint="cs"/>
          <w:sz w:val="24"/>
          <w:szCs w:val="24"/>
          <w:rtl/>
        </w:rPr>
        <w:t xml:space="preserve"> תכנון אסטרטגי וכלכלי. משרד הבריאות. </w:t>
      </w:r>
    </w:p>
    <w:p w14:paraId="6CB58CBD" w14:textId="2F22CCDB" w:rsidR="000D4A6F" w:rsidRPr="000D4A6F" w:rsidRDefault="000D4A6F" w:rsidP="00CE35F9">
      <w:pPr>
        <w:spacing w:line="312" w:lineRule="auto"/>
        <w:jc w:val="both"/>
        <w:rPr>
          <w:rFonts w:ascii="David" w:hAnsi="David" w:cs="David"/>
          <w:sz w:val="24"/>
          <w:szCs w:val="24"/>
          <w:rtl/>
        </w:rPr>
      </w:pPr>
      <w:proofErr w:type="spellStart"/>
      <w:r>
        <w:rPr>
          <w:rFonts w:ascii="David" w:hAnsi="David" w:cs="David" w:hint="cs"/>
          <w:sz w:val="24"/>
          <w:szCs w:val="24"/>
          <w:rtl/>
        </w:rPr>
        <w:t>קופראק</w:t>
      </w:r>
      <w:proofErr w:type="spellEnd"/>
      <w:r>
        <w:rPr>
          <w:rFonts w:ascii="David" w:hAnsi="David" w:cs="David" w:hint="cs"/>
          <w:sz w:val="24"/>
          <w:szCs w:val="24"/>
          <w:rtl/>
        </w:rPr>
        <w:t xml:space="preserve">, נ' (2020). </w:t>
      </w:r>
      <w:r>
        <w:rPr>
          <w:rFonts w:ascii="David" w:hAnsi="David" w:cs="David" w:hint="cs"/>
          <w:b/>
          <w:bCs/>
          <w:sz w:val="24"/>
          <w:szCs w:val="24"/>
          <w:rtl/>
        </w:rPr>
        <w:t xml:space="preserve">נתונים על דיור ועל חלוקת תקציבי סיוע לפי מגזר. </w:t>
      </w:r>
      <w:r w:rsidR="00247F55">
        <w:rPr>
          <w:rFonts w:ascii="David" w:hAnsi="David" w:cs="David" w:hint="cs"/>
          <w:sz w:val="24"/>
          <w:szCs w:val="24"/>
          <w:rtl/>
        </w:rPr>
        <w:t xml:space="preserve">המחלקה לפיקוח תקציבי. מרכז המחקר והמידע של הכנסת. </w:t>
      </w:r>
    </w:p>
    <w:p w14:paraId="799BF865" w14:textId="5480CFED" w:rsidR="002136A8" w:rsidRDefault="002136A8" w:rsidP="00CE35F9">
      <w:pPr>
        <w:spacing w:line="312" w:lineRule="auto"/>
        <w:jc w:val="both"/>
        <w:rPr>
          <w:rFonts w:ascii="David" w:hAnsi="David" w:cs="David"/>
          <w:sz w:val="24"/>
          <w:szCs w:val="24"/>
          <w:rtl/>
        </w:rPr>
      </w:pPr>
      <w:r w:rsidRPr="002136A8">
        <w:rPr>
          <w:rFonts w:ascii="David" w:hAnsi="David" w:cs="David"/>
          <w:sz w:val="24"/>
          <w:szCs w:val="24"/>
          <w:rtl/>
        </w:rPr>
        <w:lastRenderedPageBreak/>
        <w:t>שביט,</w:t>
      </w:r>
      <w:r>
        <w:rPr>
          <w:rFonts w:ascii="David" w:hAnsi="David" w:cs="David" w:hint="cs"/>
          <w:sz w:val="24"/>
          <w:szCs w:val="24"/>
          <w:rtl/>
        </w:rPr>
        <w:t xml:space="preserve"> י',</w:t>
      </w:r>
      <w:r w:rsidRPr="002136A8">
        <w:rPr>
          <w:rFonts w:ascii="David" w:hAnsi="David" w:cs="David"/>
          <w:sz w:val="24"/>
          <w:szCs w:val="24"/>
          <w:rtl/>
        </w:rPr>
        <w:t xml:space="preserve"> פניגר,</w:t>
      </w:r>
      <w:r>
        <w:rPr>
          <w:rFonts w:ascii="David" w:hAnsi="David" w:cs="David" w:hint="cs"/>
          <w:sz w:val="24"/>
          <w:szCs w:val="24"/>
          <w:rtl/>
        </w:rPr>
        <w:t xml:space="preserve"> י' ו</w:t>
      </w:r>
      <w:r w:rsidRPr="002136A8">
        <w:rPr>
          <w:rFonts w:ascii="David" w:hAnsi="David" w:cs="David"/>
          <w:sz w:val="24"/>
          <w:szCs w:val="24"/>
          <w:rtl/>
        </w:rPr>
        <w:t>ארביב-אלישיב</w:t>
      </w:r>
      <w:r>
        <w:rPr>
          <w:rFonts w:ascii="David" w:hAnsi="David" w:cs="David" w:hint="cs"/>
          <w:sz w:val="24"/>
          <w:szCs w:val="24"/>
          <w:rtl/>
        </w:rPr>
        <w:t>, ר'</w:t>
      </w:r>
      <w:r w:rsidRPr="002136A8">
        <w:rPr>
          <w:rFonts w:ascii="David" w:hAnsi="David" w:cs="David"/>
          <w:sz w:val="24"/>
          <w:szCs w:val="24"/>
          <w:rtl/>
        </w:rPr>
        <w:t xml:space="preserve"> (2017). </w:t>
      </w:r>
      <w:r w:rsidRPr="00681340">
        <w:rPr>
          <w:rFonts w:ascii="David" w:hAnsi="David" w:cs="David"/>
          <w:b/>
          <w:bCs/>
          <w:sz w:val="24"/>
          <w:szCs w:val="24"/>
          <w:rtl/>
        </w:rPr>
        <w:t>יש סיכוי לשינוי?: תאוריה ומחקר עדכני על שוויון הזדמנויות בחינוך.</w:t>
      </w:r>
      <w:r w:rsidRPr="002136A8">
        <w:rPr>
          <w:rFonts w:ascii="David" w:hAnsi="David" w:cs="David"/>
          <w:sz w:val="24"/>
          <w:szCs w:val="24"/>
          <w:rtl/>
        </w:rPr>
        <w:t xml:space="preserve"> מכון </w:t>
      </w:r>
      <w:proofErr w:type="spellStart"/>
      <w:r w:rsidRPr="002136A8">
        <w:rPr>
          <w:rFonts w:ascii="David" w:hAnsi="David" w:cs="David"/>
          <w:sz w:val="24"/>
          <w:szCs w:val="24"/>
          <w:rtl/>
        </w:rPr>
        <w:t>מופ</w:t>
      </w:r>
      <w:proofErr w:type="spellEnd"/>
      <w:r w:rsidRPr="002136A8">
        <w:rPr>
          <w:rFonts w:ascii="David" w:hAnsi="David" w:cs="David"/>
          <w:sz w:val="24"/>
          <w:szCs w:val="24"/>
          <w:rtl/>
        </w:rPr>
        <w:t>" ת.</w:t>
      </w:r>
    </w:p>
    <w:p w14:paraId="1710FE47" w14:textId="4D881BB6" w:rsidR="00097317" w:rsidRPr="00097317" w:rsidRDefault="00097317" w:rsidP="00CE35F9">
      <w:pPr>
        <w:spacing w:line="312" w:lineRule="auto"/>
        <w:jc w:val="both"/>
        <w:rPr>
          <w:rFonts w:ascii="David" w:hAnsi="David" w:cs="David"/>
          <w:b/>
          <w:bCs/>
          <w:sz w:val="24"/>
          <w:szCs w:val="24"/>
          <w:rtl/>
        </w:rPr>
      </w:pPr>
      <w:r>
        <w:rPr>
          <w:rFonts w:ascii="David" w:hAnsi="David" w:cs="David" w:hint="cs"/>
          <w:sz w:val="24"/>
          <w:szCs w:val="24"/>
          <w:rtl/>
        </w:rPr>
        <w:t xml:space="preserve">שבע, נ' (2021). </w:t>
      </w:r>
      <w:r>
        <w:rPr>
          <w:rFonts w:ascii="David" w:hAnsi="David" w:cs="David" w:hint="cs"/>
          <w:b/>
          <w:bCs/>
          <w:sz w:val="24"/>
          <w:szCs w:val="24"/>
          <w:rtl/>
        </w:rPr>
        <w:t xml:space="preserve">ניתוח משקלו של מעמד הביניים בישראל והשינויים שחלו בו בשנים 2008 </w:t>
      </w:r>
      <w:r>
        <w:rPr>
          <w:rFonts w:ascii="David" w:hAnsi="David" w:cs="David"/>
          <w:b/>
          <w:bCs/>
          <w:sz w:val="24"/>
          <w:szCs w:val="24"/>
          <w:rtl/>
        </w:rPr>
        <w:t>–</w:t>
      </w:r>
      <w:r>
        <w:rPr>
          <w:rFonts w:ascii="David" w:hAnsi="David" w:cs="David" w:hint="cs"/>
          <w:b/>
          <w:bCs/>
          <w:sz w:val="24"/>
          <w:szCs w:val="24"/>
          <w:rtl/>
        </w:rPr>
        <w:t xml:space="preserve"> 2017. </w:t>
      </w:r>
    </w:p>
    <w:p w14:paraId="59AE534A" w14:textId="62AD389C" w:rsidR="00206D1C" w:rsidRPr="00206D1C" w:rsidRDefault="00206D1C" w:rsidP="00CE35F9">
      <w:pPr>
        <w:spacing w:line="312" w:lineRule="auto"/>
        <w:jc w:val="both"/>
        <w:rPr>
          <w:rFonts w:ascii="David" w:hAnsi="David" w:cs="David"/>
          <w:sz w:val="24"/>
          <w:szCs w:val="24"/>
          <w:rtl/>
        </w:rPr>
      </w:pPr>
      <w:r>
        <w:rPr>
          <w:rFonts w:ascii="David" w:hAnsi="David" w:cs="David" w:hint="cs"/>
          <w:sz w:val="24"/>
          <w:szCs w:val="24"/>
          <w:rtl/>
        </w:rPr>
        <w:t xml:space="preserve">שי, ד' ושביט, י' (2022). </w:t>
      </w:r>
      <w:r>
        <w:rPr>
          <w:rFonts w:ascii="David" w:hAnsi="David" w:cs="David" w:hint="cs"/>
          <w:b/>
          <w:bCs/>
          <w:sz w:val="24"/>
          <w:szCs w:val="24"/>
          <w:rtl/>
        </w:rPr>
        <w:t xml:space="preserve">הכנסה משפחתית בגיל הרך ובמהלך הילדות והשפעתה על הישגים לימודיים. </w:t>
      </w:r>
      <w:r>
        <w:rPr>
          <w:rFonts w:ascii="David" w:hAnsi="David" w:cs="David" w:hint="cs"/>
          <w:sz w:val="24"/>
          <w:szCs w:val="24"/>
          <w:rtl/>
        </w:rPr>
        <w:t xml:space="preserve">מרכז </w:t>
      </w:r>
      <w:proofErr w:type="spellStart"/>
      <w:r>
        <w:rPr>
          <w:rFonts w:ascii="David" w:hAnsi="David" w:cs="David" w:hint="cs"/>
          <w:sz w:val="24"/>
          <w:szCs w:val="24"/>
          <w:rtl/>
        </w:rPr>
        <w:t>טאוב</w:t>
      </w:r>
      <w:proofErr w:type="spellEnd"/>
      <w:r>
        <w:rPr>
          <w:rFonts w:ascii="David" w:hAnsi="David" w:cs="David" w:hint="cs"/>
          <w:sz w:val="24"/>
          <w:szCs w:val="24"/>
          <w:rtl/>
        </w:rPr>
        <w:t xml:space="preserve"> ל</w:t>
      </w:r>
      <w:r w:rsidR="00092B6B">
        <w:rPr>
          <w:rFonts w:ascii="David" w:hAnsi="David" w:cs="David" w:hint="cs"/>
          <w:sz w:val="24"/>
          <w:szCs w:val="24"/>
          <w:rtl/>
        </w:rPr>
        <w:t>חקר המדיניות החברתית בישראל</w:t>
      </w:r>
      <w:r>
        <w:rPr>
          <w:rFonts w:ascii="David" w:hAnsi="David" w:cs="David" w:hint="cs"/>
          <w:sz w:val="24"/>
          <w:szCs w:val="24"/>
          <w:rtl/>
        </w:rPr>
        <w:t xml:space="preserve">. </w:t>
      </w:r>
    </w:p>
    <w:p w14:paraId="4418FBDF" w14:textId="07942724" w:rsidR="002F0926" w:rsidRDefault="00182B83" w:rsidP="00CE35F9">
      <w:pPr>
        <w:spacing w:line="312" w:lineRule="auto"/>
        <w:jc w:val="both"/>
        <w:rPr>
          <w:rFonts w:ascii="David" w:hAnsi="David" w:cs="David"/>
          <w:sz w:val="24"/>
          <w:szCs w:val="24"/>
          <w:rtl/>
        </w:rPr>
      </w:pPr>
      <w:r>
        <w:rPr>
          <w:rFonts w:ascii="David" w:hAnsi="David" w:cs="David" w:hint="cs"/>
          <w:sz w:val="24"/>
          <w:szCs w:val="24"/>
          <w:rtl/>
        </w:rPr>
        <w:t xml:space="preserve">ששון, י' ורגב, ע' (2022). אי שוויון מעמדי בבריאות ובתמותה בישראל: סקירה תאורטית ואמפירית. </w:t>
      </w:r>
      <w:r>
        <w:rPr>
          <w:rFonts w:ascii="David" w:hAnsi="David" w:cs="David" w:hint="cs"/>
          <w:b/>
          <w:bCs/>
          <w:sz w:val="24"/>
          <w:szCs w:val="24"/>
          <w:rtl/>
        </w:rPr>
        <w:t xml:space="preserve">סוציולוגיה ישראלית, </w:t>
      </w:r>
      <w:proofErr w:type="spellStart"/>
      <w:r>
        <w:rPr>
          <w:rFonts w:ascii="David" w:hAnsi="David" w:cs="David" w:hint="cs"/>
          <w:b/>
          <w:bCs/>
          <w:sz w:val="24"/>
          <w:szCs w:val="24"/>
          <w:rtl/>
        </w:rPr>
        <w:t>כג</w:t>
      </w:r>
      <w:proofErr w:type="spellEnd"/>
      <w:r>
        <w:rPr>
          <w:rFonts w:ascii="David" w:hAnsi="David" w:cs="David" w:hint="cs"/>
          <w:sz w:val="24"/>
          <w:szCs w:val="24"/>
          <w:rtl/>
        </w:rPr>
        <w:t xml:space="preserve">(1), 132-109. </w:t>
      </w:r>
    </w:p>
    <w:p w14:paraId="0131043F" w14:textId="016D6266" w:rsidR="0082155B" w:rsidRPr="00182B83" w:rsidRDefault="0082155B" w:rsidP="00CE35F9">
      <w:pPr>
        <w:spacing w:line="312" w:lineRule="auto"/>
        <w:jc w:val="both"/>
        <w:rPr>
          <w:rFonts w:ascii="David" w:hAnsi="David" w:cs="David"/>
          <w:sz w:val="24"/>
          <w:szCs w:val="24"/>
          <w:rtl/>
        </w:rPr>
      </w:pPr>
      <w:r>
        <w:rPr>
          <w:rFonts w:ascii="David" w:hAnsi="David" w:cs="David" w:hint="cs"/>
          <w:sz w:val="24"/>
          <w:szCs w:val="24"/>
          <w:rtl/>
        </w:rPr>
        <w:t xml:space="preserve">תרשיש נ' </w:t>
      </w:r>
      <w:proofErr w:type="spellStart"/>
      <w:r>
        <w:rPr>
          <w:rFonts w:ascii="David" w:hAnsi="David" w:cs="David" w:hint="cs"/>
          <w:sz w:val="24"/>
          <w:szCs w:val="24"/>
          <w:rtl/>
        </w:rPr>
        <w:t>והולר</w:t>
      </w:r>
      <w:proofErr w:type="spellEnd"/>
      <w:r>
        <w:rPr>
          <w:rFonts w:ascii="David" w:hAnsi="David" w:cs="David" w:hint="cs"/>
          <w:sz w:val="24"/>
          <w:szCs w:val="24"/>
          <w:rtl/>
        </w:rPr>
        <w:t xml:space="preserve">, ר' (2021). חסמים ואסטרטגיות למיצוי זכויות: נקודת המבט של מקבלי קצבאות הביטוח הלאומי. </w:t>
      </w:r>
      <w:r w:rsidRPr="0082155B">
        <w:rPr>
          <w:rFonts w:ascii="David" w:hAnsi="David" w:cs="David" w:hint="cs"/>
          <w:b/>
          <w:bCs/>
          <w:sz w:val="24"/>
          <w:szCs w:val="24"/>
          <w:rtl/>
        </w:rPr>
        <w:t>ביטחון סוציאלי, 113</w:t>
      </w:r>
      <w:r>
        <w:rPr>
          <w:rFonts w:ascii="David" w:hAnsi="David" w:cs="David" w:hint="cs"/>
          <w:sz w:val="24"/>
          <w:szCs w:val="24"/>
          <w:rtl/>
        </w:rPr>
        <w:t xml:space="preserve">, 77-49. </w:t>
      </w:r>
    </w:p>
    <w:p w14:paraId="68862CA9" w14:textId="77777777" w:rsidR="00565F03" w:rsidRDefault="00565F03" w:rsidP="00565F03">
      <w:pPr>
        <w:spacing w:line="312" w:lineRule="auto"/>
        <w:rPr>
          <w:rFonts w:ascii="David" w:hAnsi="David" w:cs="David"/>
          <w:sz w:val="24"/>
          <w:szCs w:val="24"/>
        </w:rPr>
      </w:pPr>
    </w:p>
    <w:p w14:paraId="737599B1" w14:textId="77777777" w:rsidR="00891C76" w:rsidRDefault="00EE70E6" w:rsidP="00891C76">
      <w:pPr>
        <w:bidi w:val="0"/>
        <w:spacing w:line="312" w:lineRule="auto"/>
        <w:rPr>
          <w:rFonts w:ascii="David" w:hAnsi="David" w:cs="David"/>
          <w:sz w:val="24"/>
          <w:szCs w:val="24"/>
        </w:rPr>
      </w:pPr>
      <w:r>
        <w:rPr>
          <w:rFonts w:ascii="David" w:hAnsi="David" w:cs="David"/>
          <w:sz w:val="24"/>
          <w:szCs w:val="24"/>
        </w:rPr>
        <w:t>C</w:t>
      </w:r>
      <w:r w:rsidR="00440D6C">
        <w:rPr>
          <w:rFonts w:ascii="David" w:hAnsi="David" w:cs="David"/>
          <w:sz w:val="24"/>
          <w:szCs w:val="24"/>
        </w:rPr>
        <w:t>E</w:t>
      </w:r>
      <w:r>
        <w:rPr>
          <w:rFonts w:ascii="David" w:hAnsi="David" w:cs="David"/>
          <w:sz w:val="24"/>
          <w:szCs w:val="24"/>
        </w:rPr>
        <w:t>B</w:t>
      </w:r>
      <w:r w:rsidR="00440D6C">
        <w:rPr>
          <w:rFonts w:ascii="David" w:hAnsi="David" w:cs="David"/>
          <w:sz w:val="24"/>
          <w:szCs w:val="24"/>
        </w:rPr>
        <w:t xml:space="preserve"> – Council of Europe Development Ban</w:t>
      </w:r>
      <w:r w:rsidR="00B76725">
        <w:rPr>
          <w:rFonts w:ascii="David" w:hAnsi="David" w:cs="David"/>
          <w:sz w:val="24"/>
          <w:szCs w:val="24"/>
        </w:rPr>
        <w:t xml:space="preserve">k, (2017). </w:t>
      </w:r>
      <w:r w:rsidR="00565F03" w:rsidRPr="00F65719">
        <w:rPr>
          <w:rFonts w:ascii="David" w:hAnsi="David" w:cs="David"/>
          <w:i/>
          <w:iCs/>
          <w:sz w:val="24"/>
          <w:szCs w:val="24"/>
        </w:rPr>
        <w:t>Housing inequality in Europe</w:t>
      </w:r>
      <w:r w:rsidR="00F65719" w:rsidRPr="00F65719">
        <w:rPr>
          <w:rFonts w:ascii="David" w:hAnsi="David" w:cs="David"/>
          <w:i/>
          <w:iCs/>
          <w:sz w:val="24"/>
          <w:szCs w:val="24"/>
        </w:rPr>
        <w:t>.</w:t>
      </w:r>
      <w:r w:rsidR="00565F03" w:rsidRPr="00F65719">
        <w:rPr>
          <w:rFonts w:ascii="David" w:hAnsi="David" w:cs="David"/>
          <w:i/>
          <w:iCs/>
          <w:sz w:val="24"/>
          <w:szCs w:val="24"/>
        </w:rPr>
        <w:t xml:space="preserve"> Tackling inequalities in Europe: </w:t>
      </w:r>
      <w:r w:rsidR="00F65719">
        <w:rPr>
          <w:rFonts w:ascii="David" w:hAnsi="David" w:cs="David"/>
          <w:i/>
          <w:iCs/>
          <w:sz w:val="24"/>
          <w:szCs w:val="24"/>
        </w:rPr>
        <w:t>T</w:t>
      </w:r>
      <w:r w:rsidR="00565F03" w:rsidRPr="00F65719">
        <w:rPr>
          <w:rFonts w:ascii="David" w:hAnsi="David" w:cs="David"/>
          <w:i/>
          <w:iCs/>
          <w:sz w:val="24"/>
          <w:szCs w:val="24"/>
        </w:rPr>
        <w:t xml:space="preserve">he role of social </w:t>
      </w:r>
      <w:r w:rsidR="00F65719" w:rsidRPr="00F65719">
        <w:rPr>
          <w:rFonts w:ascii="David" w:hAnsi="David" w:cs="David"/>
          <w:i/>
          <w:iCs/>
          <w:sz w:val="24"/>
          <w:szCs w:val="24"/>
        </w:rPr>
        <w:t>investment</w:t>
      </w:r>
      <w:r w:rsidR="00F65719" w:rsidRPr="00565F03">
        <w:rPr>
          <w:rFonts w:ascii="David" w:hAnsi="David" w:cs="David"/>
          <w:sz w:val="24"/>
          <w:szCs w:val="24"/>
        </w:rPr>
        <w:t>.</w:t>
      </w:r>
      <w:r w:rsidR="00F65719">
        <w:rPr>
          <w:rFonts w:ascii="David" w:hAnsi="David" w:cs="David"/>
          <w:sz w:val="24"/>
          <w:szCs w:val="24"/>
        </w:rPr>
        <w:t xml:space="preserve"> </w:t>
      </w:r>
      <w:r w:rsidR="007F5E3E">
        <w:rPr>
          <w:rFonts w:ascii="David" w:hAnsi="David" w:cs="David"/>
          <w:sz w:val="24"/>
          <w:szCs w:val="24"/>
        </w:rPr>
        <w:t xml:space="preserve">Council of Europe Development Bank. </w:t>
      </w:r>
    </w:p>
    <w:p w14:paraId="15A20B6C" w14:textId="47D28CEF" w:rsidR="00017C01" w:rsidRPr="00185928" w:rsidRDefault="00017C01" w:rsidP="00891C76">
      <w:pPr>
        <w:bidi w:val="0"/>
        <w:spacing w:line="312" w:lineRule="auto"/>
        <w:rPr>
          <w:rFonts w:ascii="David" w:hAnsi="David" w:cs="David"/>
          <w:sz w:val="24"/>
          <w:szCs w:val="24"/>
        </w:rPr>
      </w:pPr>
      <w:r>
        <w:rPr>
          <w:rFonts w:ascii="David" w:hAnsi="David" w:cs="David"/>
          <w:sz w:val="24"/>
          <w:szCs w:val="24"/>
        </w:rPr>
        <w:t>Cha</w:t>
      </w:r>
      <w:r w:rsidR="0091050E">
        <w:rPr>
          <w:rFonts w:ascii="David" w:hAnsi="David" w:cs="David"/>
          <w:sz w:val="24"/>
          <w:szCs w:val="24"/>
        </w:rPr>
        <w:t>ncel, L</w:t>
      </w:r>
      <w:r w:rsidR="00E32680">
        <w:rPr>
          <w:rFonts w:ascii="David" w:hAnsi="David" w:cs="David"/>
          <w:sz w:val="24"/>
          <w:szCs w:val="24"/>
        </w:rPr>
        <w:t xml:space="preserve">., Piketty, T., </w:t>
      </w:r>
      <w:proofErr w:type="spellStart"/>
      <w:r w:rsidR="00E32680">
        <w:rPr>
          <w:rFonts w:ascii="David" w:hAnsi="David" w:cs="David"/>
          <w:sz w:val="24"/>
          <w:szCs w:val="24"/>
        </w:rPr>
        <w:t>Saez</w:t>
      </w:r>
      <w:proofErr w:type="spellEnd"/>
      <w:r w:rsidR="00E32680">
        <w:rPr>
          <w:rFonts w:ascii="David" w:hAnsi="David" w:cs="David"/>
          <w:sz w:val="24"/>
          <w:szCs w:val="24"/>
        </w:rPr>
        <w:t>, E.</w:t>
      </w:r>
      <w:r w:rsidR="00C0586C">
        <w:rPr>
          <w:rFonts w:ascii="David" w:hAnsi="David" w:cs="David"/>
          <w:sz w:val="24"/>
          <w:szCs w:val="24"/>
        </w:rPr>
        <w:t>, &amp;</w:t>
      </w:r>
      <w:r w:rsidR="00E32680">
        <w:rPr>
          <w:rFonts w:ascii="David" w:hAnsi="David" w:cs="David"/>
          <w:sz w:val="24"/>
          <w:szCs w:val="24"/>
        </w:rPr>
        <w:t xml:space="preserve"> </w:t>
      </w:r>
      <w:r w:rsidR="00303480">
        <w:rPr>
          <w:rFonts w:ascii="David" w:hAnsi="David" w:cs="David"/>
          <w:sz w:val="24"/>
          <w:szCs w:val="24"/>
        </w:rPr>
        <w:t xml:space="preserve">Zucman, G. (2022). </w:t>
      </w:r>
      <w:r w:rsidR="00AB1659">
        <w:rPr>
          <w:rFonts w:ascii="David" w:hAnsi="David" w:cs="David"/>
          <w:i/>
          <w:iCs/>
          <w:sz w:val="24"/>
          <w:szCs w:val="24"/>
        </w:rPr>
        <w:t xml:space="preserve">World </w:t>
      </w:r>
      <w:r w:rsidR="00185928">
        <w:rPr>
          <w:rFonts w:ascii="David" w:hAnsi="David" w:cs="David"/>
          <w:i/>
          <w:iCs/>
          <w:sz w:val="24"/>
          <w:szCs w:val="24"/>
        </w:rPr>
        <w:t xml:space="preserve">Inequality Report 2022. </w:t>
      </w:r>
      <w:r w:rsidR="00185928">
        <w:rPr>
          <w:rFonts w:ascii="David" w:hAnsi="David" w:cs="David"/>
          <w:sz w:val="24"/>
          <w:szCs w:val="24"/>
        </w:rPr>
        <w:t>World Inequality Lab</w:t>
      </w:r>
      <w:r w:rsidR="002C02E6">
        <w:rPr>
          <w:rFonts w:ascii="David" w:hAnsi="David" w:cs="David"/>
          <w:sz w:val="24"/>
          <w:szCs w:val="24"/>
        </w:rPr>
        <w:t xml:space="preserve">. </w:t>
      </w:r>
    </w:p>
    <w:p w14:paraId="62364D1E" w14:textId="09AB8F38" w:rsidR="00CC3E36" w:rsidRDefault="00CC3E36" w:rsidP="00017C01">
      <w:pPr>
        <w:bidi w:val="0"/>
        <w:spacing w:line="312" w:lineRule="auto"/>
        <w:rPr>
          <w:rFonts w:ascii="David" w:hAnsi="David" w:cs="David"/>
          <w:sz w:val="24"/>
          <w:szCs w:val="24"/>
        </w:rPr>
      </w:pPr>
      <w:r w:rsidRPr="00CC3E36">
        <w:rPr>
          <w:rFonts w:ascii="David" w:hAnsi="David" w:cs="David"/>
          <w:sz w:val="24"/>
          <w:szCs w:val="24"/>
        </w:rPr>
        <w:t xml:space="preserve">Crimmins, E. M., Saito, Y., Kim, J. K., Zhang, Y. S., </w:t>
      </w:r>
      <w:proofErr w:type="spellStart"/>
      <w:r w:rsidRPr="00CC3E36">
        <w:rPr>
          <w:rFonts w:ascii="David" w:hAnsi="David" w:cs="David"/>
          <w:sz w:val="24"/>
          <w:szCs w:val="24"/>
        </w:rPr>
        <w:t>Sasson</w:t>
      </w:r>
      <w:proofErr w:type="spellEnd"/>
      <w:r w:rsidRPr="00CC3E36">
        <w:rPr>
          <w:rFonts w:ascii="David" w:hAnsi="David" w:cs="David"/>
          <w:sz w:val="24"/>
          <w:szCs w:val="24"/>
        </w:rPr>
        <w:t>, I., &amp;</w:t>
      </w:r>
      <w:r>
        <w:rPr>
          <w:rFonts w:ascii="David" w:hAnsi="David" w:cs="David"/>
          <w:sz w:val="24"/>
          <w:szCs w:val="24"/>
        </w:rPr>
        <w:t xml:space="preserve"> </w:t>
      </w:r>
      <w:r w:rsidRPr="00CC3E36">
        <w:rPr>
          <w:rFonts w:ascii="David" w:hAnsi="David" w:cs="David"/>
          <w:sz w:val="24"/>
          <w:szCs w:val="24"/>
        </w:rPr>
        <w:t>Hayward, M. D.</w:t>
      </w:r>
      <w:r>
        <w:rPr>
          <w:rFonts w:ascii="David" w:hAnsi="David" w:cs="David"/>
          <w:sz w:val="24"/>
          <w:szCs w:val="24"/>
        </w:rPr>
        <w:t xml:space="preserve"> </w:t>
      </w:r>
      <w:r w:rsidRPr="00CC3E36">
        <w:rPr>
          <w:rFonts w:ascii="David" w:hAnsi="David" w:cs="David"/>
          <w:sz w:val="24"/>
          <w:szCs w:val="24"/>
        </w:rPr>
        <w:t>(2018). Educational Differences in the prevalence of</w:t>
      </w:r>
      <w:r>
        <w:rPr>
          <w:rFonts w:ascii="David" w:hAnsi="David" w:cs="David"/>
          <w:sz w:val="24"/>
          <w:szCs w:val="24"/>
        </w:rPr>
        <w:t xml:space="preserve"> </w:t>
      </w:r>
      <w:r w:rsidRPr="00CC3E36">
        <w:rPr>
          <w:rFonts w:ascii="David" w:hAnsi="David" w:cs="David"/>
          <w:sz w:val="24"/>
          <w:szCs w:val="24"/>
        </w:rPr>
        <w:t>dementia and life expectancy with dementia: Changes from 2000 to 2010</w:t>
      </w:r>
      <w:r w:rsidRPr="00CC3E36">
        <w:rPr>
          <w:rFonts w:ascii="David" w:hAnsi="David" w:cs="David"/>
          <w:sz w:val="24"/>
          <w:szCs w:val="24"/>
          <w:rtl/>
        </w:rPr>
        <w:t>.</w:t>
      </w:r>
      <w:r>
        <w:rPr>
          <w:rFonts w:ascii="David" w:hAnsi="David" w:cs="David"/>
          <w:sz w:val="24"/>
          <w:szCs w:val="24"/>
        </w:rPr>
        <w:t xml:space="preserve"> </w:t>
      </w:r>
      <w:r w:rsidRPr="00CC3E36">
        <w:rPr>
          <w:rFonts w:ascii="David" w:hAnsi="David" w:cs="David"/>
          <w:i/>
          <w:iCs/>
          <w:sz w:val="24"/>
          <w:szCs w:val="24"/>
        </w:rPr>
        <w:t>The Journals of Gerontology: Series B, 73</w:t>
      </w:r>
      <w:r w:rsidRPr="00CC3E36">
        <w:rPr>
          <w:rFonts w:ascii="David" w:hAnsi="David" w:cs="David"/>
          <w:sz w:val="24"/>
          <w:szCs w:val="24"/>
        </w:rPr>
        <w:t>(suppl_1), S20–S28</w:t>
      </w:r>
      <w:r w:rsidRPr="00CC3E36">
        <w:rPr>
          <w:rFonts w:ascii="David" w:hAnsi="David" w:cs="David"/>
          <w:sz w:val="24"/>
          <w:szCs w:val="24"/>
          <w:rtl/>
        </w:rPr>
        <w:t>.</w:t>
      </w:r>
    </w:p>
    <w:p w14:paraId="17ABEBDA" w14:textId="7C31FCF9" w:rsidR="00522E0A" w:rsidRDefault="00522E0A" w:rsidP="00631315">
      <w:pPr>
        <w:bidi w:val="0"/>
        <w:spacing w:line="312" w:lineRule="auto"/>
        <w:rPr>
          <w:rFonts w:ascii="David" w:hAnsi="David" w:cs="David"/>
          <w:sz w:val="24"/>
          <w:szCs w:val="24"/>
        </w:rPr>
      </w:pPr>
      <w:r w:rsidRPr="00522E0A">
        <w:rPr>
          <w:rFonts w:ascii="David" w:hAnsi="David" w:cs="David"/>
          <w:sz w:val="24"/>
          <w:szCs w:val="24"/>
        </w:rPr>
        <w:t xml:space="preserve">Elango, S., García, J. L., Heckman, J. J., &amp; </w:t>
      </w:r>
      <w:proofErr w:type="spellStart"/>
      <w:r w:rsidRPr="00522E0A">
        <w:rPr>
          <w:rFonts w:ascii="David" w:hAnsi="David" w:cs="David"/>
          <w:sz w:val="24"/>
          <w:szCs w:val="24"/>
        </w:rPr>
        <w:t>Hojman</w:t>
      </w:r>
      <w:proofErr w:type="spellEnd"/>
      <w:r w:rsidRPr="00522E0A">
        <w:rPr>
          <w:rFonts w:ascii="David" w:hAnsi="David" w:cs="David"/>
          <w:sz w:val="24"/>
          <w:szCs w:val="24"/>
        </w:rPr>
        <w:t xml:space="preserve">, A. (2015). Early childhood education. In </w:t>
      </w:r>
      <w:r w:rsidRPr="00141180">
        <w:rPr>
          <w:rFonts w:ascii="David" w:hAnsi="David" w:cs="David"/>
          <w:i/>
          <w:iCs/>
          <w:sz w:val="24"/>
          <w:szCs w:val="24"/>
        </w:rPr>
        <w:t>Economics of Means-Tested Transfer Programs in the United States</w:t>
      </w:r>
      <w:r w:rsidRPr="00522E0A">
        <w:rPr>
          <w:rFonts w:ascii="David" w:hAnsi="David" w:cs="David"/>
          <w:sz w:val="24"/>
          <w:szCs w:val="24"/>
        </w:rPr>
        <w:t>,</w:t>
      </w:r>
      <w:r w:rsidR="00141180">
        <w:rPr>
          <w:rFonts w:ascii="David" w:hAnsi="David" w:cs="David"/>
          <w:sz w:val="24"/>
          <w:szCs w:val="24"/>
        </w:rPr>
        <w:t xml:space="preserve"> </w:t>
      </w:r>
      <w:r w:rsidRPr="00522E0A">
        <w:rPr>
          <w:rFonts w:ascii="David" w:hAnsi="David" w:cs="David"/>
          <w:sz w:val="24"/>
          <w:szCs w:val="24"/>
        </w:rPr>
        <w:t>2 (pp. 235-297). University of Chicago Press</w:t>
      </w:r>
      <w:r w:rsidR="00141180">
        <w:rPr>
          <w:rFonts w:ascii="David" w:hAnsi="David" w:cs="David"/>
          <w:sz w:val="24"/>
          <w:szCs w:val="24"/>
        </w:rPr>
        <w:t>.</w:t>
      </w:r>
    </w:p>
    <w:p w14:paraId="5999EE41" w14:textId="0525D6BE" w:rsidR="00E83302" w:rsidRDefault="00FA7545" w:rsidP="00522E0A">
      <w:pPr>
        <w:bidi w:val="0"/>
        <w:spacing w:line="312" w:lineRule="auto"/>
        <w:rPr>
          <w:rFonts w:ascii="David" w:hAnsi="David" w:cs="David"/>
          <w:sz w:val="24"/>
          <w:szCs w:val="24"/>
        </w:rPr>
      </w:pPr>
      <w:r w:rsidRPr="00FA7545">
        <w:rPr>
          <w:rFonts w:ascii="David" w:hAnsi="David" w:cs="David"/>
          <w:sz w:val="24"/>
          <w:szCs w:val="24"/>
        </w:rPr>
        <w:t xml:space="preserve">Essa, E. L., &amp; Burnham, M. M. (2019). </w:t>
      </w:r>
      <w:r w:rsidRPr="00E83302">
        <w:rPr>
          <w:rFonts w:ascii="David" w:hAnsi="David" w:cs="David"/>
          <w:i/>
          <w:iCs/>
          <w:sz w:val="24"/>
          <w:szCs w:val="24"/>
        </w:rPr>
        <w:t>Introduction to early childhood education</w:t>
      </w:r>
      <w:r w:rsidRPr="00FA7545">
        <w:rPr>
          <w:rFonts w:ascii="David" w:hAnsi="David" w:cs="David"/>
          <w:sz w:val="24"/>
          <w:szCs w:val="24"/>
        </w:rPr>
        <w:t>. Sage Publication</w:t>
      </w:r>
      <w:r w:rsidR="00E83302">
        <w:rPr>
          <w:rFonts w:ascii="David" w:hAnsi="David" w:cs="David"/>
          <w:sz w:val="24"/>
          <w:szCs w:val="24"/>
        </w:rPr>
        <w:t>s.</w:t>
      </w:r>
    </w:p>
    <w:p w14:paraId="7828B6F3" w14:textId="62EA8269" w:rsidR="004D4E01" w:rsidRDefault="004D4E01" w:rsidP="00E83302">
      <w:pPr>
        <w:bidi w:val="0"/>
        <w:spacing w:line="312" w:lineRule="auto"/>
        <w:rPr>
          <w:rFonts w:ascii="David" w:hAnsi="David" w:cs="David"/>
          <w:sz w:val="24"/>
          <w:szCs w:val="24"/>
        </w:rPr>
      </w:pPr>
      <w:r w:rsidRPr="004D4E01">
        <w:rPr>
          <w:rFonts w:ascii="David" w:hAnsi="David" w:cs="David"/>
          <w:sz w:val="24"/>
          <w:szCs w:val="24"/>
        </w:rPr>
        <w:t xml:space="preserve">Darling-Hammond, L., Burns, D., Campbell, C., Goodwin, A. L., </w:t>
      </w:r>
      <w:proofErr w:type="spellStart"/>
      <w:r w:rsidRPr="004D4E01">
        <w:rPr>
          <w:rFonts w:ascii="David" w:hAnsi="David" w:cs="David"/>
          <w:sz w:val="24"/>
          <w:szCs w:val="24"/>
        </w:rPr>
        <w:t>Hammerness</w:t>
      </w:r>
      <w:proofErr w:type="spellEnd"/>
      <w:r w:rsidRPr="004D4E01">
        <w:rPr>
          <w:rFonts w:ascii="David" w:hAnsi="David" w:cs="David"/>
          <w:sz w:val="24"/>
          <w:szCs w:val="24"/>
        </w:rPr>
        <w:t xml:space="preserve">, K., Low, E. L., &amp; </w:t>
      </w:r>
      <w:proofErr w:type="spellStart"/>
      <w:r w:rsidRPr="004D4E01">
        <w:rPr>
          <w:rFonts w:ascii="David" w:hAnsi="David" w:cs="David"/>
          <w:sz w:val="24"/>
          <w:szCs w:val="24"/>
        </w:rPr>
        <w:t>Zeichner</w:t>
      </w:r>
      <w:proofErr w:type="spellEnd"/>
      <w:r w:rsidRPr="004D4E01">
        <w:rPr>
          <w:rFonts w:ascii="David" w:hAnsi="David" w:cs="David"/>
          <w:sz w:val="24"/>
          <w:szCs w:val="24"/>
        </w:rPr>
        <w:t xml:space="preserve">, K. (2017). </w:t>
      </w:r>
      <w:r w:rsidRPr="004D4E01">
        <w:rPr>
          <w:rFonts w:ascii="David" w:hAnsi="David" w:cs="David"/>
          <w:i/>
          <w:iCs/>
          <w:sz w:val="24"/>
          <w:szCs w:val="24"/>
        </w:rPr>
        <w:t>Empowered educators: How high-performing systems shape teaching quality around the world</w:t>
      </w:r>
      <w:r w:rsidRPr="004D4E01">
        <w:rPr>
          <w:rFonts w:ascii="David" w:hAnsi="David" w:cs="David"/>
          <w:sz w:val="24"/>
          <w:szCs w:val="24"/>
        </w:rPr>
        <w:t>. John Wiley &amp; Sons.</w:t>
      </w:r>
      <w:r w:rsidRPr="004D4E01">
        <w:rPr>
          <w:rFonts w:ascii="David" w:hAnsi="David" w:cs="David"/>
          <w:sz w:val="24"/>
          <w:szCs w:val="24"/>
          <w:rtl/>
        </w:rPr>
        <w:t>‏</w:t>
      </w:r>
    </w:p>
    <w:p w14:paraId="228B0B72" w14:textId="58D82C4F" w:rsidR="00631315" w:rsidRDefault="00790457" w:rsidP="004D4E01">
      <w:pPr>
        <w:bidi w:val="0"/>
        <w:spacing w:line="312" w:lineRule="auto"/>
        <w:rPr>
          <w:rFonts w:ascii="David" w:hAnsi="David" w:cs="David"/>
          <w:sz w:val="24"/>
          <w:szCs w:val="24"/>
        </w:rPr>
      </w:pPr>
      <w:proofErr w:type="spellStart"/>
      <w:r w:rsidRPr="00790457">
        <w:rPr>
          <w:rFonts w:ascii="David" w:hAnsi="David" w:cs="David"/>
          <w:sz w:val="24"/>
          <w:szCs w:val="24"/>
        </w:rPr>
        <w:t>Hargittai</w:t>
      </w:r>
      <w:proofErr w:type="spellEnd"/>
      <w:r w:rsidRPr="00790457">
        <w:rPr>
          <w:rFonts w:ascii="David" w:hAnsi="David" w:cs="David"/>
          <w:sz w:val="24"/>
          <w:szCs w:val="24"/>
        </w:rPr>
        <w:t>, E</w:t>
      </w:r>
      <w:r w:rsidR="00631315">
        <w:rPr>
          <w:rFonts w:ascii="David" w:hAnsi="David" w:cs="David"/>
          <w:sz w:val="24"/>
          <w:szCs w:val="24"/>
        </w:rPr>
        <w:t xml:space="preserve">. &amp; </w:t>
      </w:r>
      <w:proofErr w:type="spellStart"/>
      <w:r w:rsidRPr="00790457">
        <w:rPr>
          <w:rFonts w:ascii="David" w:hAnsi="David" w:cs="David"/>
          <w:sz w:val="24"/>
          <w:szCs w:val="24"/>
        </w:rPr>
        <w:t>Micheli</w:t>
      </w:r>
      <w:proofErr w:type="spellEnd"/>
      <w:r w:rsidRPr="00790457">
        <w:rPr>
          <w:rFonts w:ascii="David" w:hAnsi="David" w:cs="David"/>
          <w:sz w:val="24"/>
          <w:szCs w:val="24"/>
        </w:rPr>
        <w:t>,</w:t>
      </w:r>
      <w:r w:rsidR="00631315">
        <w:rPr>
          <w:rFonts w:ascii="David" w:hAnsi="David" w:cs="David"/>
          <w:sz w:val="24"/>
          <w:szCs w:val="24"/>
        </w:rPr>
        <w:t xml:space="preserve"> M. (2019).</w:t>
      </w:r>
      <w:r w:rsidRPr="00790457">
        <w:rPr>
          <w:rFonts w:ascii="David" w:hAnsi="David" w:cs="David"/>
          <w:sz w:val="24"/>
          <w:szCs w:val="24"/>
        </w:rPr>
        <w:t xml:space="preserve"> Internet Skills and Why They Matter</w:t>
      </w:r>
      <w:r w:rsidR="00631315">
        <w:rPr>
          <w:rFonts w:ascii="David" w:hAnsi="David" w:cs="David"/>
          <w:sz w:val="24"/>
          <w:szCs w:val="24"/>
        </w:rPr>
        <w:t>.</w:t>
      </w:r>
      <w:r w:rsidRPr="00790457">
        <w:rPr>
          <w:rFonts w:ascii="David" w:hAnsi="David" w:cs="David"/>
          <w:sz w:val="24"/>
          <w:szCs w:val="24"/>
        </w:rPr>
        <w:t xml:space="preserve"> </w:t>
      </w:r>
      <w:r w:rsidR="00631315">
        <w:rPr>
          <w:rFonts w:ascii="David" w:hAnsi="David" w:cs="David"/>
          <w:sz w:val="24"/>
          <w:szCs w:val="24"/>
        </w:rPr>
        <w:t>I</w:t>
      </w:r>
      <w:r w:rsidRPr="00790457">
        <w:rPr>
          <w:rFonts w:ascii="David" w:hAnsi="David" w:cs="David"/>
          <w:sz w:val="24"/>
          <w:szCs w:val="24"/>
        </w:rPr>
        <w:t>n M</w:t>
      </w:r>
      <w:r w:rsidR="00631315">
        <w:rPr>
          <w:rFonts w:ascii="David" w:hAnsi="David" w:cs="David"/>
          <w:sz w:val="24"/>
          <w:szCs w:val="24"/>
        </w:rPr>
        <w:t>.</w:t>
      </w:r>
      <w:r w:rsidRPr="00790457">
        <w:rPr>
          <w:rFonts w:ascii="David" w:hAnsi="David" w:cs="David"/>
          <w:sz w:val="24"/>
          <w:szCs w:val="24"/>
        </w:rPr>
        <w:t xml:space="preserve"> Graham,</w:t>
      </w:r>
      <w:r w:rsidR="00631315">
        <w:rPr>
          <w:rFonts w:ascii="David" w:hAnsi="David" w:cs="David"/>
          <w:sz w:val="24"/>
          <w:szCs w:val="24"/>
        </w:rPr>
        <w:t xml:space="preserve"> &amp; W.</w:t>
      </w:r>
      <w:r w:rsidRPr="00790457">
        <w:rPr>
          <w:rFonts w:ascii="David" w:hAnsi="David" w:cs="David"/>
          <w:sz w:val="24"/>
          <w:szCs w:val="24"/>
        </w:rPr>
        <w:t xml:space="preserve"> H. Dutton (eds)</w:t>
      </w:r>
      <w:r w:rsidR="00515E30">
        <w:rPr>
          <w:rFonts w:ascii="David" w:hAnsi="David" w:cs="David"/>
          <w:sz w:val="24"/>
          <w:szCs w:val="24"/>
        </w:rPr>
        <w:t xml:space="preserve">. </w:t>
      </w:r>
      <w:r w:rsidRPr="00515E30">
        <w:rPr>
          <w:rFonts w:ascii="David" w:hAnsi="David" w:cs="David"/>
          <w:i/>
          <w:iCs/>
          <w:sz w:val="24"/>
          <w:szCs w:val="24"/>
        </w:rPr>
        <w:t>Society and the Internet: How Networks of Information and Communication are Changing Our Lives</w:t>
      </w:r>
      <w:r w:rsidR="00515E30">
        <w:rPr>
          <w:rFonts w:ascii="David" w:hAnsi="David" w:cs="David"/>
          <w:sz w:val="24"/>
          <w:szCs w:val="24"/>
        </w:rPr>
        <w:t>.</w:t>
      </w:r>
      <w:r w:rsidRPr="00790457">
        <w:rPr>
          <w:rFonts w:ascii="David" w:hAnsi="David" w:cs="David"/>
          <w:sz w:val="24"/>
          <w:szCs w:val="24"/>
        </w:rPr>
        <w:t xml:space="preserve"> 2nd </w:t>
      </w:r>
      <w:proofErr w:type="spellStart"/>
      <w:r w:rsidRPr="00790457">
        <w:rPr>
          <w:rFonts w:ascii="David" w:hAnsi="David" w:cs="David"/>
          <w:sz w:val="24"/>
          <w:szCs w:val="24"/>
        </w:rPr>
        <w:t>edn</w:t>
      </w:r>
      <w:proofErr w:type="spellEnd"/>
      <w:r w:rsidR="00515E30">
        <w:rPr>
          <w:rFonts w:ascii="David" w:hAnsi="David" w:cs="David"/>
          <w:sz w:val="24"/>
          <w:szCs w:val="24"/>
        </w:rPr>
        <w:t xml:space="preserve">. </w:t>
      </w:r>
      <w:r w:rsidRPr="00790457">
        <w:rPr>
          <w:rFonts w:ascii="David" w:hAnsi="David" w:cs="David"/>
          <w:sz w:val="24"/>
          <w:szCs w:val="24"/>
        </w:rPr>
        <w:t>Oxford Academic</w:t>
      </w:r>
      <w:r w:rsidR="00515E30">
        <w:rPr>
          <w:rFonts w:ascii="David" w:hAnsi="David" w:cs="David"/>
          <w:sz w:val="24"/>
          <w:szCs w:val="24"/>
        </w:rPr>
        <w:t>.</w:t>
      </w:r>
      <w:r w:rsidRPr="00790457">
        <w:rPr>
          <w:rFonts w:ascii="David" w:hAnsi="David" w:cs="David"/>
          <w:sz w:val="24"/>
          <w:szCs w:val="24"/>
        </w:rPr>
        <w:t xml:space="preserve"> </w:t>
      </w:r>
      <w:hyperlink r:id="rId22" w:history="1">
        <w:r w:rsidR="009F38BD" w:rsidRPr="00261514">
          <w:rPr>
            <w:rStyle w:val="Hyperlink"/>
            <w:rFonts w:ascii="David" w:hAnsi="David" w:cs="David"/>
            <w:sz w:val="24"/>
            <w:szCs w:val="24"/>
          </w:rPr>
          <w:t>https://doi.org/10.1093/oso/9780198843498.003.0007</w:t>
        </w:r>
      </w:hyperlink>
    </w:p>
    <w:p w14:paraId="439402A5" w14:textId="79769EC9" w:rsidR="0082155B" w:rsidRDefault="0082155B" w:rsidP="00790457">
      <w:pPr>
        <w:bidi w:val="0"/>
        <w:spacing w:line="312" w:lineRule="auto"/>
        <w:rPr>
          <w:rFonts w:ascii="David" w:hAnsi="David" w:cs="David"/>
          <w:sz w:val="24"/>
          <w:szCs w:val="24"/>
        </w:rPr>
      </w:pPr>
      <w:proofErr w:type="spellStart"/>
      <w:r w:rsidRPr="0082155B">
        <w:rPr>
          <w:rFonts w:ascii="David" w:hAnsi="David" w:cs="David"/>
          <w:sz w:val="24"/>
          <w:szCs w:val="24"/>
        </w:rPr>
        <w:t>Hernanz</w:t>
      </w:r>
      <w:proofErr w:type="spellEnd"/>
      <w:r w:rsidRPr="0082155B">
        <w:rPr>
          <w:rFonts w:ascii="David" w:hAnsi="David" w:cs="David"/>
          <w:sz w:val="24"/>
          <w:szCs w:val="24"/>
        </w:rPr>
        <w:t xml:space="preserve">, V., </w:t>
      </w:r>
      <w:proofErr w:type="spellStart"/>
      <w:r w:rsidRPr="0082155B">
        <w:rPr>
          <w:rFonts w:ascii="David" w:hAnsi="David" w:cs="David"/>
          <w:sz w:val="24"/>
          <w:szCs w:val="24"/>
        </w:rPr>
        <w:t>Malherbet</w:t>
      </w:r>
      <w:proofErr w:type="spellEnd"/>
      <w:r w:rsidRPr="0082155B">
        <w:rPr>
          <w:rFonts w:ascii="David" w:hAnsi="David" w:cs="David"/>
          <w:sz w:val="24"/>
          <w:szCs w:val="24"/>
        </w:rPr>
        <w:t xml:space="preserve">, F., &amp; </w:t>
      </w:r>
      <w:proofErr w:type="spellStart"/>
      <w:r w:rsidRPr="0082155B">
        <w:rPr>
          <w:rFonts w:ascii="David" w:hAnsi="David" w:cs="David"/>
          <w:sz w:val="24"/>
          <w:szCs w:val="24"/>
        </w:rPr>
        <w:t>Pellizarri</w:t>
      </w:r>
      <w:proofErr w:type="spellEnd"/>
      <w:r w:rsidRPr="0082155B">
        <w:rPr>
          <w:rFonts w:ascii="David" w:hAnsi="David" w:cs="David"/>
          <w:sz w:val="24"/>
          <w:szCs w:val="24"/>
        </w:rPr>
        <w:t xml:space="preserve">, M. (2004). </w:t>
      </w:r>
      <w:r w:rsidRPr="00510886">
        <w:rPr>
          <w:rFonts w:ascii="David" w:hAnsi="David" w:cs="David"/>
          <w:i/>
          <w:iCs/>
          <w:sz w:val="24"/>
          <w:szCs w:val="24"/>
        </w:rPr>
        <w:t>Take-up of Benefits in OECD countries: A review of the evidence</w:t>
      </w:r>
      <w:r w:rsidRPr="0082155B">
        <w:rPr>
          <w:rFonts w:ascii="David" w:hAnsi="David" w:cs="David"/>
          <w:sz w:val="24"/>
          <w:szCs w:val="24"/>
        </w:rPr>
        <w:t>. Paris: OECD</w:t>
      </w:r>
      <w:r>
        <w:rPr>
          <w:rFonts w:ascii="David" w:hAnsi="David" w:cs="David"/>
          <w:sz w:val="24"/>
          <w:szCs w:val="24"/>
        </w:rPr>
        <w:t>.</w:t>
      </w:r>
      <w:r w:rsidRPr="0082155B">
        <w:rPr>
          <w:rFonts w:ascii="David" w:hAnsi="David" w:cs="David"/>
          <w:sz w:val="24"/>
          <w:szCs w:val="24"/>
        </w:rPr>
        <w:t xml:space="preserve"> </w:t>
      </w:r>
    </w:p>
    <w:p w14:paraId="47C4FC93" w14:textId="01876E02" w:rsidR="00E35CD9" w:rsidRPr="00E35CD9" w:rsidRDefault="00E35CD9" w:rsidP="0082155B">
      <w:pPr>
        <w:bidi w:val="0"/>
        <w:spacing w:line="312" w:lineRule="auto"/>
        <w:rPr>
          <w:rFonts w:ascii="David" w:hAnsi="David" w:cs="David"/>
          <w:sz w:val="24"/>
          <w:szCs w:val="24"/>
        </w:rPr>
      </w:pPr>
      <w:r w:rsidRPr="00E35CD9">
        <w:rPr>
          <w:rFonts w:ascii="David" w:hAnsi="David" w:cs="David"/>
          <w:sz w:val="24"/>
          <w:szCs w:val="24"/>
        </w:rPr>
        <w:t>Hummer, R</w:t>
      </w:r>
      <w:r w:rsidR="00CC3E36">
        <w:rPr>
          <w:rFonts w:ascii="David" w:hAnsi="David" w:cs="David"/>
          <w:sz w:val="24"/>
          <w:szCs w:val="24"/>
        </w:rPr>
        <w:t>.</w:t>
      </w:r>
      <w:r w:rsidRPr="00E35CD9">
        <w:rPr>
          <w:rFonts w:ascii="David" w:hAnsi="David" w:cs="David"/>
          <w:sz w:val="24"/>
          <w:szCs w:val="24"/>
        </w:rPr>
        <w:t xml:space="preserve"> A., &amp; Hernandez</w:t>
      </w:r>
      <w:r w:rsidR="00CC3E36">
        <w:rPr>
          <w:rFonts w:ascii="David" w:hAnsi="David" w:cs="David"/>
          <w:sz w:val="24"/>
          <w:szCs w:val="24"/>
        </w:rPr>
        <w:t>, E. M.</w:t>
      </w:r>
      <w:r w:rsidRPr="00E35CD9">
        <w:rPr>
          <w:rFonts w:ascii="David" w:hAnsi="David" w:cs="David"/>
          <w:sz w:val="24"/>
          <w:szCs w:val="24"/>
        </w:rPr>
        <w:t xml:space="preserve"> (2013). The effect of educational attainment on adult mortality in the United States. </w:t>
      </w:r>
      <w:r w:rsidRPr="00E35CD9">
        <w:rPr>
          <w:rFonts w:ascii="David" w:hAnsi="David" w:cs="David"/>
          <w:i/>
          <w:iCs/>
          <w:sz w:val="24"/>
          <w:szCs w:val="24"/>
        </w:rPr>
        <w:t>Population Bulletin</w:t>
      </w:r>
      <w:r w:rsidRPr="00E35CD9">
        <w:rPr>
          <w:rFonts w:ascii="David" w:hAnsi="David" w:cs="David"/>
          <w:i/>
          <w:iCs/>
          <w:sz w:val="24"/>
          <w:szCs w:val="24"/>
          <w:rtl/>
        </w:rPr>
        <w:t>,</w:t>
      </w:r>
      <w:r w:rsidRPr="00E35CD9">
        <w:rPr>
          <w:rFonts w:ascii="David" w:hAnsi="David" w:cs="David"/>
          <w:i/>
          <w:iCs/>
          <w:sz w:val="24"/>
          <w:szCs w:val="24"/>
        </w:rPr>
        <w:t xml:space="preserve"> 68</w:t>
      </w:r>
      <w:r w:rsidRPr="00E35CD9">
        <w:rPr>
          <w:rFonts w:ascii="David" w:hAnsi="David" w:cs="David"/>
          <w:sz w:val="24"/>
          <w:szCs w:val="24"/>
        </w:rPr>
        <w:t>(1), 1-16</w:t>
      </w:r>
      <w:r w:rsidRPr="00E35CD9">
        <w:rPr>
          <w:rFonts w:ascii="David" w:hAnsi="David" w:cs="David"/>
          <w:sz w:val="24"/>
          <w:szCs w:val="24"/>
          <w:rtl/>
        </w:rPr>
        <w:t>.</w:t>
      </w:r>
    </w:p>
    <w:p w14:paraId="60C78C16" w14:textId="59E0DDB0" w:rsidR="006812BE" w:rsidRPr="00C6309D" w:rsidRDefault="006812BE" w:rsidP="00882CEC">
      <w:pPr>
        <w:bidi w:val="0"/>
        <w:spacing w:line="312" w:lineRule="auto"/>
        <w:rPr>
          <w:rFonts w:ascii="David" w:hAnsi="David" w:cs="David"/>
          <w:color w:val="FF0000"/>
          <w:sz w:val="24"/>
          <w:szCs w:val="24"/>
        </w:rPr>
      </w:pPr>
      <w:r w:rsidRPr="00C6309D">
        <w:rPr>
          <w:rFonts w:ascii="David" w:hAnsi="David" w:cs="David"/>
          <w:color w:val="FF0000"/>
          <w:sz w:val="24"/>
          <w:szCs w:val="24"/>
        </w:rPr>
        <w:t xml:space="preserve">Hurst, C. E., Gibbon, H. M. F., &amp; Nurse, A. M. (2016). </w:t>
      </w:r>
      <w:r w:rsidRPr="00C6309D">
        <w:rPr>
          <w:rFonts w:ascii="David" w:hAnsi="David" w:cs="David"/>
          <w:i/>
          <w:iCs/>
          <w:color w:val="FF0000"/>
          <w:sz w:val="24"/>
          <w:szCs w:val="24"/>
        </w:rPr>
        <w:t>Social inequality: Forms, causes, and consequences</w:t>
      </w:r>
      <w:r w:rsidRPr="00C6309D">
        <w:rPr>
          <w:rFonts w:ascii="David" w:hAnsi="David" w:cs="David"/>
          <w:color w:val="FF0000"/>
          <w:sz w:val="24"/>
          <w:szCs w:val="24"/>
        </w:rPr>
        <w:t>. Routledge.</w:t>
      </w:r>
      <w:r w:rsidRPr="00C6309D">
        <w:rPr>
          <w:rFonts w:ascii="David" w:hAnsi="David" w:cs="David"/>
          <w:color w:val="FF0000"/>
          <w:sz w:val="24"/>
          <w:szCs w:val="24"/>
          <w:rtl/>
        </w:rPr>
        <w:t>‏</w:t>
      </w:r>
    </w:p>
    <w:p w14:paraId="7E39D174" w14:textId="77777777" w:rsidR="00D61EA0" w:rsidRDefault="00D61EA0" w:rsidP="00882CEC">
      <w:pPr>
        <w:bidi w:val="0"/>
        <w:spacing w:line="312" w:lineRule="auto"/>
        <w:rPr>
          <w:rFonts w:ascii="David" w:hAnsi="David" w:cs="David"/>
          <w:sz w:val="24"/>
          <w:szCs w:val="24"/>
        </w:rPr>
      </w:pPr>
      <w:proofErr w:type="spellStart"/>
      <w:r w:rsidRPr="00D61EA0">
        <w:rPr>
          <w:rFonts w:ascii="David" w:hAnsi="David" w:cs="David"/>
          <w:sz w:val="24"/>
          <w:szCs w:val="24"/>
        </w:rPr>
        <w:lastRenderedPageBreak/>
        <w:t>Leithwood</w:t>
      </w:r>
      <w:proofErr w:type="spellEnd"/>
      <w:r w:rsidRPr="00D61EA0">
        <w:rPr>
          <w:rFonts w:ascii="David" w:hAnsi="David" w:cs="David"/>
          <w:sz w:val="24"/>
          <w:szCs w:val="24"/>
        </w:rPr>
        <w:t xml:space="preserve">, K., Harris, A., &amp; Hopkins, D. (2020). Seven strong claims about successful school leadership revisited. </w:t>
      </w:r>
      <w:r w:rsidRPr="00D61EA0">
        <w:rPr>
          <w:rFonts w:ascii="David" w:hAnsi="David" w:cs="David"/>
          <w:i/>
          <w:iCs/>
          <w:sz w:val="24"/>
          <w:szCs w:val="24"/>
        </w:rPr>
        <w:t>School leadership &amp; management, 40</w:t>
      </w:r>
      <w:r w:rsidRPr="00D61EA0">
        <w:rPr>
          <w:rFonts w:ascii="David" w:hAnsi="David" w:cs="David"/>
          <w:sz w:val="24"/>
          <w:szCs w:val="24"/>
        </w:rPr>
        <w:t>(1), 5-22.</w:t>
      </w:r>
      <w:r w:rsidRPr="00D61EA0">
        <w:rPr>
          <w:rFonts w:ascii="David" w:hAnsi="David" w:cs="David"/>
          <w:sz w:val="24"/>
          <w:szCs w:val="24"/>
          <w:rtl/>
        </w:rPr>
        <w:t>‏</w:t>
      </w:r>
    </w:p>
    <w:p w14:paraId="5845E125" w14:textId="33DE9D00" w:rsidR="00882CEC" w:rsidRDefault="00882CEC" w:rsidP="00D61EA0">
      <w:pPr>
        <w:bidi w:val="0"/>
        <w:spacing w:line="312" w:lineRule="auto"/>
        <w:rPr>
          <w:rFonts w:ascii="David" w:hAnsi="David" w:cs="David"/>
          <w:sz w:val="24"/>
          <w:szCs w:val="24"/>
        </w:rPr>
      </w:pPr>
      <w:r w:rsidRPr="00882CEC">
        <w:rPr>
          <w:rFonts w:ascii="David" w:hAnsi="David" w:cs="David"/>
          <w:sz w:val="24"/>
          <w:szCs w:val="24"/>
        </w:rPr>
        <w:t xml:space="preserve">Link, Bruce G., Jo Phelan, Richard </w:t>
      </w:r>
      <w:proofErr w:type="spellStart"/>
      <w:r w:rsidRPr="00882CEC">
        <w:rPr>
          <w:rFonts w:ascii="David" w:hAnsi="David" w:cs="David"/>
          <w:sz w:val="24"/>
          <w:szCs w:val="24"/>
        </w:rPr>
        <w:t>Miech</w:t>
      </w:r>
      <w:proofErr w:type="spellEnd"/>
      <w:r w:rsidRPr="00882CEC">
        <w:rPr>
          <w:rFonts w:ascii="David" w:hAnsi="David" w:cs="David"/>
          <w:sz w:val="24"/>
          <w:szCs w:val="24"/>
        </w:rPr>
        <w:t xml:space="preserve">, &amp; Emily </w:t>
      </w:r>
      <w:proofErr w:type="spellStart"/>
      <w:r w:rsidRPr="00882CEC">
        <w:rPr>
          <w:rFonts w:ascii="David" w:hAnsi="David" w:cs="David"/>
          <w:sz w:val="24"/>
          <w:szCs w:val="24"/>
        </w:rPr>
        <w:t>Leckman</w:t>
      </w:r>
      <w:proofErr w:type="spellEnd"/>
      <w:r w:rsidRPr="00882CEC">
        <w:rPr>
          <w:rFonts w:ascii="David" w:hAnsi="David" w:cs="David"/>
          <w:sz w:val="24"/>
          <w:szCs w:val="24"/>
        </w:rPr>
        <w:t xml:space="preserve"> Westin</w:t>
      </w:r>
      <w:r w:rsidRPr="00882CEC">
        <w:rPr>
          <w:rFonts w:ascii="David" w:hAnsi="David" w:cs="David"/>
          <w:sz w:val="24"/>
          <w:szCs w:val="24"/>
          <w:rtl/>
        </w:rPr>
        <w:t>. (2008).</w:t>
      </w:r>
      <w:r>
        <w:rPr>
          <w:rFonts w:ascii="David" w:hAnsi="David" w:cs="David"/>
          <w:sz w:val="24"/>
          <w:szCs w:val="24"/>
        </w:rPr>
        <w:t xml:space="preserve"> </w:t>
      </w:r>
      <w:r w:rsidRPr="00882CEC">
        <w:rPr>
          <w:rFonts w:ascii="David" w:hAnsi="David" w:cs="David"/>
          <w:sz w:val="24"/>
          <w:szCs w:val="24"/>
        </w:rPr>
        <w:t>The resources that matter: Fundamental social causes of health disparities</w:t>
      </w:r>
      <w:r>
        <w:rPr>
          <w:rFonts w:ascii="David" w:hAnsi="David" w:cs="David"/>
          <w:sz w:val="24"/>
          <w:szCs w:val="24"/>
        </w:rPr>
        <w:t xml:space="preserve"> </w:t>
      </w:r>
      <w:r w:rsidRPr="00882CEC">
        <w:rPr>
          <w:rFonts w:ascii="David" w:hAnsi="David" w:cs="David"/>
          <w:sz w:val="24"/>
          <w:szCs w:val="24"/>
        </w:rPr>
        <w:t>and the</w:t>
      </w:r>
      <w:r>
        <w:rPr>
          <w:rFonts w:ascii="David" w:hAnsi="David" w:cs="David"/>
          <w:sz w:val="24"/>
          <w:szCs w:val="24"/>
        </w:rPr>
        <w:t xml:space="preserve"> </w:t>
      </w:r>
      <w:r w:rsidRPr="00882CEC">
        <w:rPr>
          <w:rFonts w:ascii="David" w:hAnsi="David" w:cs="David"/>
          <w:sz w:val="24"/>
          <w:szCs w:val="24"/>
        </w:rPr>
        <w:t xml:space="preserve">challenge of intelligence. </w:t>
      </w:r>
      <w:r w:rsidRPr="00882CEC">
        <w:rPr>
          <w:rFonts w:ascii="David" w:hAnsi="David" w:cs="David"/>
          <w:i/>
          <w:iCs/>
          <w:sz w:val="24"/>
          <w:szCs w:val="24"/>
        </w:rPr>
        <w:t>Journal of Health and Social Behavior</w:t>
      </w:r>
      <w:r w:rsidRPr="00882CEC">
        <w:rPr>
          <w:rFonts w:ascii="David" w:hAnsi="David" w:cs="David"/>
          <w:i/>
          <w:iCs/>
          <w:sz w:val="24"/>
          <w:szCs w:val="24"/>
          <w:rtl/>
        </w:rPr>
        <w:t>,</w:t>
      </w:r>
      <w:r w:rsidRPr="00882CEC">
        <w:rPr>
          <w:rFonts w:ascii="David" w:hAnsi="David" w:cs="David"/>
          <w:i/>
          <w:iCs/>
          <w:sz w:val="24"/>
          <w:szCs w:val="24"/>
        </w:rPr>
        <w:t xml:space="preserve"> 49</w:t>
      </w:r>
      <w:r w:rsidRPr="00882CEC">
        <w:rPr>
          <w:rFonts w:ascii="David" w:hAnsi="David" w:cs="David"/>
          <w:sz w:val="24"/>
          <w:szCs w:val="24"/>
        </w:rPr>
        <w:t>(1), 72–91.</w:t>
      </w:r>
    </w:p>
    <w:p w14:paraId="29B83330" w14:textId="19291636" w:rsidR="00533C7B" w:rsidRDefault="00533C7B" w:rsidP="00882CEC">
      <w:pPr>
        <w:bidi w:val="0"/>
        <w:spacing w:line="312" w:lineRule="auto"/>
        <w:jc w:val="both"/>
        <w:rPr>
          <w:rFonts w:ascii="David" w:hAnsi="David" w:cs="David"/>
          <w:sz w:val="24"/>
          <w:szCs w:val="24"/>
        </w:rPr>
      </w:pPr>
      <w:proofErr w:type="spellStart"/>
      <w:r>
        <w:rPr>
          <w:rFonts w:ascii="David" w:hAnsi="David" w:cs="David"/>
          <w:sz w:val="24"/>
          <w:szCs w:val="24"/>
        </w:rPr>
        <w:t>Machlica</w:t>
      </w:r>
      <w:proofErr w:type="spellEnd"/>
      <w:r>
        <w:rPr>
          <w:rFonts w:ascii="David" w:hAnsi="David" w:cs="David"/>
          <w:sz w:val="24"/>
          <w:szCs w:val="24"/>
        </w:rPr>
        <w:t xml:space="preserve">, G. (2020). </w:t>
      </w:r>
      <w:r w:rsidRPr="00533C7B">
        <w:rPr>
          <w:rFonts w:ascii="David" w:hAnsi="David" w:cs="David"/>
          <w:i/>
          <w:iCs/>
          <w:sz w:val="24"/>
          <w:szCs w:val="24"/>
        </w:rPr>
        <w:t xml:space="preserve">Reducing Socio-Economic Differences Between Municipalities </w:t>
      </w:r>
      <w:r>
        <w:rPr>
          <w:rFonts w:ascii="David" w:hAnsi="David" w:cs="David"/>
          <w:i/>
          <w:iCs/>
          <w:sz w:val="24"/>
          <w:szCs w:val="24"/>
        </w:rPr>
        <w:t>i</w:t>
      </w:r>
      <w:r w:rsidRPr="00533C7B">
        <w:rPr>
          <w:rFonts w:ascii="David" w:hAnsi="David" w:cs="David"/>
          <w:i/>
          <w:iCs/>
          <w:sz w:val="24"/>
          <w:szCs w:val="24"/>
        </w:rPr>
        <w:t>n Israel</w:t>
      </w:r>
      <w:r>
        <w:rPr>
          <w:rFonts w:ascii="David" w:hAnsi="David" w:cs="David"/>
          <w:sz w:val="24"/>
          <w:szCs w:val="24"/>
        </w:rPr>
        <w:t xml:space="preserve">. OECD </w:t>
      </w:r>
      <w:r w:rsidRPr="00533C7B">
        <w:rPr>
          <w:rFonts w:ascii="David" w:hAnsi="David" w:cs="David"/>
          <w:sz w:val="24"/>
          <w:szCs w:val="24"/>
        </w:rPr>
        <w:t>Economics Department Working Papers No. 1645</w:t>
      </w:r>
      <w:r>
        <w:rPr>
          <w:rFonts w:ascii="David" w:hAnsi="David" w:cs="David"/>
          <w:sz w:val="24"/>
          <w:szCs w:val="24"/>
        </w:rPr>
        <w:t xml:space="preserve">. </w:t>
      </w:r>
    </w:p>
    <w:p w14:paraId="2E38A29C" w14:textId="10918530" w:rsidR="00533C7B" w:rsidRDefault="00430A9C" w:rsidP="00CE35F9">
      <w:pPr>
        <w:bidi w:val="0"/>
        <w:spacing w:line="312" w:lineRule="auto"/>
        <w:jc w:val="both"/>
        <w:rPr>
          <w:rFonts w:ascii="David" w:hAnsi="David" w:cs="David"/>
          <w:sz w:val="24"/>
          <w:szCs w:val="24"/>
        </w:rPr>
      </w:pPr>
      <w:hyperlink r:id="rId23" w:history="1">
        <w:r w:rsidR="00533C7B" w:rsidRPr="0070017D">
          <w:rPr>
            <w:rStyle w:val="Hyperlink"/>
            <w:rFonts w:ascii="David" w:hAnsi="David" w:cs="David"/>
            <w:sz w:val="24"/>
            <w:szCs w:val="24"/>
          </w:rPr>
          <w:t>http://www.oecd.org/economy/israel-economic-snapshot/</w:t>
        </w:r>
      </w:hyperlink>
    </w:p>
    <w:p w14:paraId="33A05908" w14:textId="367769CD" w:rsidR="00CC3E36" w:rsidRDefault="0053476E" w:rsidP="00CC3E36">
      <w:pPr>
        <w:bidi w:val="0"/>
        <w:spacing w:line="312" w:lineRule="auto"/>
        <w:rPr>
          <w:rFonts w:ascii="David" w:hAnsi="David" w:cs="David"/>
          <w:sz w:val="24"/>
          <w:szCs w:val="24"/>
        </w:rPr>
      </w:pPr>
      <w:proofErr w:type="spellStart"/>
      <w:r w:rsidRPr="0053476E">
        <w:rPr>
          <w:rFonts w:ascii="David" w:hAnsi="David" w:cs="David"/>
          <w:sz w:val="24"/>
          <w:szCs w:val="24"/>
        </w:rPr>
        <w:t>Martikainen</w:t>
      </w:r>
      <w:proofErr w:type="spellEnd"/>
      <w:r w:rsidRPr="0053476E">
        <w:rPr>
          <w:rFonts w:ascii="David" w:hAnsi="David" w:cs="David"/>
          <w:sz w:val="24"/>
          <w:szCs w:val="24"/>
        </w:rPr>
        <w:t xml:space="preserve">, P., </w:t>
      </w:r>
      <w:proofErr w:type="spellStart"/>
      <w:r w:rsidRPr="0053476E">
        <w:rPr>
          <w:rFonts w:ascii="David" w:hAnsi="David" w:cs="David"/>
          <w:sz w:val="24"/>
          <w:szCs w:val="24"/>
        </w:rPr>
        <w:t>Mäkelä</w:t>
      </w:r>
      <w:proofErr w:type="spellEnd"/>
      <w:r w:rsidRPr="0053476E">
        <w:rPr>
          <w:rFonts w:ascii="David" w:hAnsi="David" w:cs="David"/>
          <w:sz w:val="24"/>
          <w:szCs w:val="24"/>
        </w:rPr>
        <w:t xml:space="preserve">, P., </w:t>
      </w:r>
      <w:proofErr w:type="spellStart"/>
      <w:r w:rsidRPr="0053476E">
        <w:rPr>
          <w:rFonts w:ascii="David" w:hAnsi="David" w:cs="David"/>
          <w:sz w:val="24"/>
          <w:szCs w:val="24"/>
        </w:rPr>
        <w:t>Peltonen</w:t>
      </w:r>
      <w:proofErr w:type="spellEnd"/>
      <w:r w:rsidRPr="0053476E">
        <w:rPr>
          <w:rFonts w:ascii="David" w:hAnsi="David" w:cs="David"/>
          <w:sz w:val="24"/>
          <w:szCs w:val="24"/>
        </w:rPr>
        <w:t xml:space="preserve">, R., &amp; </w:t>
      </w:r>
      <w:proofErr w:type="spellStart"/>
      <w:r w:rsidRPr="0053476E">
        <w:rPr>
          <w:rFonts w:ascii="David" w:hAnsi="David" w:cs="David"/>
          <w:sz w:val="24"/>
          <w:szCs w:val="24"/>
        </w:rPr>
        <w:t>Myrskylä</w:t>
      </w:r>
      <w:proofErr w:type="spellEnd"/>
      <w:r w:rsidRPr="0053476E">
        <w:rPr>
          <w:rFonts w:ascii="David" w:hAnsi="David" w:cs="David"/>
          <w:sz w:val="24"/>
          <w:szCs w:val="24"/>
        </w:rPr>
        <w:t>, M.</w:t>
      </w:r>
      <w:r>
        <w:rPr>
          <w:rFonts w:ascii="David" w:hAnsi="David" w:cs="David"/>
          <w:sz w:val="24"/>
          <w:szCs w:val="24"/>
        </w:rPr>
        <w:t xml:space="preserve"> </w:t>
      </w:r>
      <w:r w:rsidR="00CC3E36" w:rsidRPr="00CC3E36">
        <w:rPr>
          <w:rFonts w:ascii="David" w:hAnsi="David" w:cs="David"/>
          <w:sz w:val="24"/>
          <w:szCs w:val="24"/>
          <w:rtl/>
        </w:rPr>
        <w:t>(2014)</w:t>
      </w:r>
      <w:r>
        <w:rPr>
          <w:rFonts w:ascii="David" w:hAnsi="David" w:cs="David"/>
          <w:sz w:val="24"/>
          <w:szCs w:val="24"/>
        </w:rPr>
        <w:t>.</w:t>
      </w:r>
      <w:r w:rsidR="00CC3E36">
        <w:rPr>
          <w:rFonts w:ascii="David" w:hAnsi="David" w:cs="David"/>
          <w:sz w:val="24"/>
          <w:szCs w:val="24"/>
        </w:rPr>
        <w:t xml:space="preserve"> </w:t>
      </w:r>
      <w:r w:rsidR="00CC3E36" w:rsidRPr="00CC3E36">
        <w:rPr>
          <w:rFonts w:ascii="David" w:hAnsi="David" w:cs="David"/>
          <w:sz w:val="24"/>
          <w:szCs w:val="24"/>
        </w:rPr>
        <w:t>Income differences in life expectancy: The changing contribution of harmful</w:t>
      </w:r>
      <w:r w:rsidR="00CC3E36">
        <w:rPr>
          <w:rFonts w:ascii="David" w:hAnsi="David" w:cs="David"/>
          <w:sz w:val="24"/>
          <w:szCs w:val="24"/>
        </w:rPr>
        <w:t xml:space="preserve"> </w:t>
      </w:r>
      <w:r w:rsidR="00CC3E36" w:rsidRPr="00CC3E36">
        <w:rPr>
          <w:rFonts w:ascii="David" w:hAnsi="David" w:cs="David"/>
          <w:sz w:val="24"/>
          <w:szCs w:val="24"/>
        </w:rPr>
        <w:t xml:space="preserve">consumption of alcohol and smoking. </w:t>
      </w:r>
      <w:r w:rsidR="00CC3E36" w:rsidRPr="0053476E">
        <w:rPr>
          <w:rFonts w:ascii="David" w:hAnsi="David" w:cs="David"/>
          <w:i/>
          <w:iCs/>
          <w:sz w:val="24"/>
          <w:szCs w:val="24"/>
        </w:rPr>
        <w:t>Epidemiology, 25</w:t>
      </w:r>
      <w:r w:rsidR="00CC3E36" w:rsidRPr="00CC3E36">
        <w:rPr>
          <w:rFonts w:ascii="David" w:hAnsi="David" w:cs="David"/>
          <w:sz w:val="24"/>
          <w:szCs w:val="24"/>
        </w:rPr>
        <w:t xml:space="preserve">(2), 182–190. </w:t>
      </w:r>
    </w:p>
    <w:p w14:paraId="3B8E93B5" w14:textId="32051572" w:rsidR="00C1440F" w:rsidRDefault="00C1440F" w:rsidP="00CC3E36">
      <w:pPr>
        <w:bidi w:val="0"/>
        <w:spacing w:line="312" w:lineRule="auto"/>
        <w:rPr>
          <w:rFonts w:ascii="David" w:hAnsi="David" w:cs="David"/>
          <w:sz w:val="24"/>
          <w:szCs w:val="24"/>
        </w:rPr>
      </w:pPr>
      <w:r>
        <w:rPr>
          <w:rFonts w:ascii="David" w:hAnsi="David" w:cs="David"/>
          <w:sz w:val="24"/>
          <w:szCs w:val="24"/>
        </w:rPr>
        <w:t xml:space="preserve">OECD, 2022. </w:t>
      </w:r>
      <w:r w:rsidRPr="00A466A9">
        <w:rPr>
          <w:rFonts w:ascii="David" w:hAnsi="David" w:cs="David"/>
          <w:i/>
          <w:iCs/>
          <w:sz w:val="24"/>
          <w:szCs w:val="24"/>
        </w:rPr>
        <w:t>Current Challenges to Social Mobility and Equality of Opportunity. Centre on Well-Being</w:t>
      </w:r>
      <w:r w:rsidRPr="00A466A9">
        <w:rPr>
          <w:rFonts w:ascii="David" w:hAnsi="David" w:cs="David"/>
          <w:i/>
          <w:iCs/>
          <w:sz w:val="24"/>
          <w:szCs w:val="24"/>
          <w:rtl/>
        </w:rPr>
        <w:t>,</w:t>
      </w:r>
      <w:r w:rsidRPr="00A466A9">
        <w:rPr>
          <w:rFonts w:ascii="David" w:hAnsi="David" w:cs="David"/>
          <w:i/>
          <w:iCs/>
          <w:sz w:val="24"/>
          <w:szCs w:val="24"/>
        </w:rPr>
        <w:t xml:space="preserve"> Inclusion, Sustainability and Equal Opportunity</w:t>
      </w:r>
      <w:r w:rsidR="004355C6">
        <w:rPr>
          <w:rFonts w:ascii="David" w:hAnsi="David" w:cs="David"/>
          <w:sz w:val="24"/>
          <w:szCs w:val="24"/>
        </w:rPr>
        <w:t xml:space="preserve">. </w:t>
      </w:r>
      <w:r w:rsidRPr="009C005F">
        <w:rPr>
          <w:rFonts w:ascii="David" w:hAnsi="David" w:cs="David"/>
          <w:sz w:val="24"/>
          <w:szCs w:val="24"/>
        </w:rPr>
        <w:t>Policy Paper</w:t>
      </w:r>
      <w:r>
        <w:rPr>
          <w:rFonts w:ascii="David" w:hAnsi="David" w:cs="David"/>
          <w:sz w:val="24"/>
          <w:szCs w:val="24"/>
        </w:rPr>
        <w:t xml:space="preserve">. </w:t>
      </w:r>
      <w:r w:rsidRPr="009C005F">
        <w:rPr>
          <w:rFonts w:ascii="David" w:hAnsi="David" w:cs="David"/>
          <w:sz w:val="24"/>
          <w:szCs w:val="24"/>
        </w:rPr>
        <w:t>November 2022 N°10</w:t>
      </w:r>
      <w:r>
        <w:rPr>
          <w:rFonts w:ascii="David" w:hAnsi="David" w:cs="David"/>
          <w:sz w:val="24"/>
          <w:szCs w:val="24"/>
        </w:rPr>
        <w:t>.</w:t>
      </w:r>
    </w:p>
    <w:p w14:paraId="4E578082" w14:textId="6F812B02" w:rsidR="00F67C0F" w:rsidRDefault="00F67C0F" w:rsidP="00DE6D8A">
      <w:pPr>
        <w:bidi w:val="0"/>
        <w:spacing w:line="312" w:lineRule="auto"/>
        <w:rPr>
          <w:rFonts w:ascii="David" w:hAnsi="David" w:cs="David"/>
          <w:sz w:val="24"/>
          <w:szCs w:val="24"/>
        </w:rPr>
      </w:pPr>
      <w:r>
        <w:rPr>
          <w:rFonts w:ascii="David" w:hAnsi="David" w:cs="David"/>
          <w:sz w:val="24"/>
          <w:szCs w:val="24"/>
        </w:rPr>
        <w:t xml:space="preserve">OECD (2017). </w:t>
      </w:r>
      <w:r w:rsidRPr="00A466A9">
        <w:rPr>
          <w:rFonts w:ascii="David" w:hAnsi="David" w:cs="David"/>
          <w:i/>
          <w:iCs/>
          <w:sz w:val="24"/>
          <w:szCs w:val="24"/>
        </w:rPr>
        <w:t>E</w:t>
      </w:r>
      <w:r w:rsidR="00B95CC7" w:rsidRPr="00A466A9">
        <w:rPr>
          <w:rFonts w:ascii="David" w:hAnsi="David" w:cs="David"/>
          <w:i/>
          <w:iCs/>
          <w:sz w:val="24"/>
          <w:szCs w:val="24"/>
        </w:rPr>
        <w:t xml:space="preserve">ducational Opportunities for All: Overcoming Inequality throughout the Life </w:t>
      </w:r>
      <w:r w:rsidR="00AD4C33" w:rsidRPr="00A466A9">
        <w:rPr>
          <w:rFonts w:ascii="David" w:hAnsi="David" w:cs="David"/>
          <w:i/>
          <w:iCs/>
          <w:sz w:val="24"/>
          <w:szCs w:val="24"/>
        </w:rPr>
        <w:t>Course</w:t>
      </w:r>
      <w:r w:rsidR="00B95CC7">
        <w:rPr>
          <w:rFonts w:ascii="David" w:hAnsi="David" w:cs="David"/>
          <w:sz w:val="24"/>
          <w:szCs w:val="24"/>
        </w:rPr>
        <w:t xml:space="preserve">. OECD Publishing. Paris.  </w:t>
      </w:r>
    </w:p>
    <w:p w14:paraId="5B91B545" w14:textId="1E7A212D" w:rsidR="007F5C8F" w:rsidRDefault="007F5C8F" w:rsidP="00F67C0F">
      <w:pPr>
        <w:bidi w:val="0"/>
        <w:spacing w:line="312" w:lineRule="auto"/>
        <w:rPr>
          <w:rFonts w:ascii="David" w:hAnsi="David" w:cs="David"/>
          <w:sz w:val="24"/>
          <w:szCs w:val="24"/>
        </w:rPr>
      </w:pPr>
      <w:r>
        <w:rPr>
          <w:rFonts w:ascii="David" w:hAnsi="David" w:cs="David"/>
          <w:sz w:val="24"/>
          <w:szCs w:val="24"/>
        </w:rPr>
        <w:t xml:space="preserve">OECD, </w:t>
      </w:r>
      <w:r w:rsidR="00903BA2">
        <w:rPr>
          <w:rFonts w:ascii="David" w:hAnsi="David" w:cs="David"/>
          <w:sz w:val="24"/>
          <w:szCs w:val="24"/>
        </w:rPr>
        <w:t>(</w:t>
      </w:r>
      <w:r>
        <w:rPr>
          <w:rFonts w:ascii="David" w:hAnsi="David" w:cs="David"/>
          <w:sz w:val="24"/>
          <w:szCs w:val="24"/>
        </w:rPr>
        <w:t>202</w:t>
      </w:r>
      <w:r w:rsidR="00903BA2">
        <w:rPr>
          <w:rFonts w:ascii="David" w:hAnsi="David" w:cs="David"/>
          <w:sz w:val="24"/>
          <w:szCs w:val="24"/>
        </w:rPr>
        <w:t xml:space="preserve">1). Income Inequality. </w:t>
      </w:r>
    </w:p>
    <w:p w14:paraId="5FD5831B" w14:textId="43AE6810" w:rsidR="003C1D61" w:rsidRDefault="00430A9C" w:rsidP="003C1D61">
      <w:pPr>
        <w:bidi w:val="0"/>
        <w:spacing w:line="312" w:lineRule="auto"/>
        <w:rPr>
          <w:rFonts w:ascii="David" w:hAnsi="David" w:cs="David"/>
          <w:sz w:val="24"/>
          <w:szCs w:val="24"/>
        </w:rPr>
      </w:pPr>
      <w:hyperlink r:id="rId24" w:history="1">
        <w:r w:rsidR="003C1D61" w:rsidRPr="00261514">
          <w:rPr>
            <w:rStyle w:val="Hyperlink"/>
            <w:rFonts w:ascii="David" w:hAnsi="David" w:cs="David"/>
            <w:sz w:val="24"/>
            <w:szCs w:val="24"/>
          </w:rPr>
          <w:t>https://data.oecd.org/inequality/income-inequality.htm</w:t>
        </w:r>
      </w:hyperlink>
    </w:p>
    <w:p w14:paraId="736617F4" w14:textId="369DB767" w:rsidR="0082155B" w:rsidRDefault="0082155B" w:rsidP="007F5C8F">
      <w:pPr>
        <w:bidi w:val="0"/>
        <w:spacing w:line="312" w:lineRule="auto"/>
        <w:rPr>
          <w:rFonts w:ascii="David" w:hAnsi="David" w:cs="David"/>
          <w:sz w:val="24"/>
          <w:szCs w:val="24"/>
        </w:rPr>
      </w:pPr>
      <w:proofErr w:type="spellStart"/>
      <w:r w:rsidRPr="0082155B">
        <w:rPr>
          <w:rFonts w:ascii="David" w:hAnsi="David" w:cs="David"/>
          <w:sz w:val="24"/>
          <w:szCs w:val="24"/>
        </w:rPr>
        <w:t>Roosma</w:t>
      </w:r>
      <w:proofErr w:type="spellEnd"/>
      <w:r w:rsidRPr="0082155B">
        <w:rPr>
          <w:rFonts w:ascii="David" w:hAnsi="David" w:cs="David"/>
          <w:sz w:val="24"/>
          <w:szCs w:val="24"/>
        </w:rPr>
        <w:t xml:space="preserve">, F., van Oorschot, W., &amp; </w:t>
      </w:r>
      <w:proofErr w:type="spellStart"/>
      <w:r w:rsidRPr="0082155B">
        <w:rPr>
          <w:rFonts w:ascii="David" w:hAnsi="David" w:cs="David"/>
          <w:sz w:val="24"/>
          <w:szCs w:val="24"/>
        </w:rPr>
        <w:t>Gelissen</w:t>
      </w:r>
      <w:proofErr w:type="spellEnd"/>
      <w:r w:rsidRPr="0082155B">
        <w:rPr>
          <w:rFonts w:ascii="David" w:hAnsi="David" w:cs="David"/>
          <w:sz w:val="24"/>
          <w:szCs w:val="24"/>
        </w:rPr>
        <w:t>, J. (2016). The Achilles’ heel of welfare state</w:t>
      </w:r>
      <w:r>
        <w:rPr>
          <w:rFonts w:ascii="David" w:hAnsi="David" w:cs="David"/>
          <w:sz w:val="24"/>
          <w:szCs w:val="24"/>
        </w:rPr>
        <w:t xml:space="preserve"> </w:t>
      </w:r>
      <w:r w:rsidRPr="0082155B">
        <w:rPr>
          <w:rFonts w:ascii="David" w:hAnsi="David" w:cs="David"/>
          <w:sz w:val="24"/>
          <w:szCs w:val="24"/>
        </w:rPr>
        <w:t xml:space="preserve">legitimacy: Perceptions of overuse and underuse of social benefits in Europe. </w:t>
      </w:r>
      <w:r w:rsidRPr="00AD4C33">
        <w:rPr>
          <w:rFonts w:ascii="David" w:hAnsi="David" w:cs="David"/>
          <w:i/>
          <w:iCs/>
          <w:sz w:val="24"/>
          <w:szCs w:val="24"/>
        </w:rPr>
        <w:t>Journal of European Public Policy, 23</w:t>
      </w:r>
      <w:r w:rsidRPr="0082155B">
        <w:rPr>
          <w:rFonts w:ascii="David" w:hAnsi="David" w:cs="David"/>
          <w:sz w:val="24"/>
          <w:szCs w:val="24"/>
        </w:rPr>
        <w:t>(2), 177-196.</w:t>
      </w:r>
    </w:p>
    <w:p w14:paraId="6DE8C135" w14:textId="5284DA66" w:rsidR="00CE2690" w:rsidRDefault="00CE2690" w:rsidP="0082155B">
      <w:pPr>
        <w:bidi w:val="0"/>
        <w:spacing w:line="312" w:lineRule="auto"/>
        <w:rPr>
          <w:rFonts w:ascii="David" w:hAnsi="David" w:cs="David"/>
          <w:sz w:val="24"/>
          <w:szCs w:val="24"/>
        </w:rPr>
      </w:pPr>
      <w:proofErr w:type="spellStart"/>
      <w:r w:rsidRPr="00CE2690">
        <w:rPr>
          <w:rFonts w:ascii="David" w:hAnsi="David" w:cs="David"/>
          <w:sz w:val="24"/>
          <w:szCs w:val="24"/>
        </w:rPr>
        <w:t>Schmelkes</w:t>
      </w:r>
      <w:proofErr w:type="spellEnd"/>
      <w:r w:rsidRPr="00CE2690">
        <w:rPr>
          <w:rFonts w:ascii="David" w:hAnsi="David" w:cs="David"/>
          <w:sz w:val="24"/>
          <w:szCs w:val="24"/>
        </w:rPr>
        <w:t xml:space="preserve">, </w:t>
      </w:r>
      <w:r>
        <w:rPr>
          <w:rFonts w:ascii="David" w:hAnsi="David" w:cs="David"/>
          <w:sz w:val="24"/>
          <w:szCs w:val="24"/>
        </w:rPr>
        <w:t>V</w:t>
      </w:r>
      <w:r w:rsidR="00714214">
        <w:rPr>
          <w:rFonts w:ascii="David" w:hAnsi="David" w:cs="David"/>
          <w:sz w:val="24"/>
          <w:szCs w:val="24"/>
        </w:rPr>
        <w:t>. (</w:t>
      </w:r>
      <w:r w:rsidRPr="00CE2690">
        <w:rPr>
          <w:rFonts w:ascii="David" w:hAnsi="David" w:cs="David"/>
          <w:sz w:val="24"/>
          <w:szCs w:val="24"/>
        </w:rPr>
        <w:t>2020</w:t>
      </w:r>
      <w:r w:rsidR="00714214">
        <w:rPr>
          <w:rFonts w:ascii="David" w:hAnsi="David" w:cs="David"/>
          <w:sz w:val="24"/>
          <w:szCs w:val="24"/>
        </w:rPr>
        <w:t xml:space="preserve">). </w:t>
      </w:r>
      <w:r w:rsidR="00714214" w:rsidRPr="00A37962">
        <w:rPr>
          <w:rFonts w:ascii="David" w:hAnsi="David" w:cs="David"/>
          <w:i/>
          <w:iCs/>
          <w:sz w:val="24"/>
          <w:szCs w:val="24"/>
        </w:rPr>
        <w:t>Recognizing and Overcoming Inequity in Education</w:t>
      </w:r>
      <w:r w:rsidR="00714214">
        <w:rPr>
          <w:rFonts w:ascii="David" w:hAnsi="David" w:cs="David"/>
          <w:sz w:val="24"/>
          <w:szCs w:val="24"/>
        </w:rPr>
        <w:t>. UN Chronicle, United Nation.</w:t>
      </w:r>
    </w:p>
    <w:p w14:paraId="6D5BA30B" w14:textId="1AF6174E" w:rsidR="00C1440F" w:rsidRPr="00C1440F" w:rsidRDefault="00C1440F" w:rsidP="00CE2690">
      <w:pPr>
        <w:bidi w:val="0"/>
        <w:spacing w:line="312" w:lineRule="auto"/>
        <w:rPr>
          <w:rFonts w:ascii="David" w:hAnsi="David" w:cs="David"/>
          <w:sz w:val="24"/>
          <w:szCs w:val="24"/>
        </w:rPr>
      </w:pPr>
      <w:r>
        <w:rPr>
          <w:rFonts w:ascii="David" w:hAnsi="David" w:cs="David"/>
          <w:sz w:val="24"/>
          <w:szCs w:val="24"/>
        </w:rPr>
        <w:t xml:space="preserve">United Nations. (2015). </w:t>
      </w:r>
      <w:r w:rsidRPr="00C1440F">
        <w:rPr>
          <w:rFonts w:ascii="David" w:hAnsi="David" w:cs="David"/>
          <w:i/>
          <w:iCs/>
          <w:sz w:val="24"/>
          <w:szCs w:val="24"/>
        </w:rPr>
        <w:t>Concepts of Inequality</w:t>
      </w:r>
      <w:r>
        <w:rPr>
          <w:rFonts w:ascii="David" w:hAnsi="David" w:cs="David"/>
          <w:i/>
          <w:iCs/>
          <w:sz w:val="24"/>
          <w:szCs w:val="24"/>
        </w:rPr>
        <w:t>.</w:t>
      </w:r>
      <w:r w:rsidRPr="00C1440F">
        <w:rPr>
          <w:rFonts w:ascii="David" w:hAnsi="David" w:cs="David"/>
          <w:i/>
          <w:iCs/>
          <w:sz w:val="24"/>
          <w:szCs w:val="24"/>
        </w:rPr>
        <w:t xml:space="preserve"> Development Issues No. 1</w:t>
      </w:r>
      <w:r>
        <w:rPr>
          <w:rFonts w:ascii="David" w:hAnsi="David" w:cs="David"/>
          <w:i/>
          <w:iCs/>
          <w:sz w:val="24"/>
          <w:szCs w:val="24"/>
        </w:rPr>
        <w:t xml:space="preserve">. </w:t>
      </w:r>
      <w:r w:rsidR="00DE6D8A">
        <w:rPr>
          <w:rFonts w:ascii="David" w:hAnsi="David" w:cs="David"/>
          <w:sz w:val="24"/>
          <w:szCs w:val="24"/>
        </w:rPr>
        <w:t>D</w:t>
      </w:r>
      <w:r w:rsidRPr="00C1440F">
        <w:rPr>
          <w:rFonts w:ascii="David" w:hAnsi="David" w:cs="David"/>
          <w:sz w:val="24"/>
          <w:szCs w:val="24"/>
        </w:rPr>
        <w:t>evelopment Strategy and Policy Analysis Unit</w:t>
      </w:r>
      <w:r w:rsidR="00DE6D8A">
        <w:rPr>
          <w:rFonts w:ascii="David" w:hAnsi="David" w:cs="David"/>
          <w:sz w:val="24"/>
          <w:szCs w:val="24"/>
        </w:rPr>
        <w:t>,</w:t>
      </w:r>
      <w:r w:rsidRPr="00C1440F">
        <w:rPr>
          <w:rFonts w:ascii="David" w:hAnsi="David" w:cs="David"/>
          <w:sz w:val="24"/>
          <w:szCs w:val="24"/>
        </w:rPr>
        <w:t xml:space="preserve"> Development </w:t>
      </w:r>
      <w:proofErr w:type="gramStart"/>
      <w:r w:rsidRPr="00C1440F">
        <w:rPr>
          <w:rFonts w:ascii="David" w:hAnsi="David" w:cs="David"/>
          <w:sz w:val="24"/>
          <w:szCs w:val="24"/>
        </w:rPr>
        <w:t>Policy</w:t>
      </w:r>
      <w:proofErr w:type="gramEnd"/>
      <w:r w:rsidRPr="00C1440F">
        <w:rPr>
          <w:rFonts w:ascii="David" w:hAnsi="David" w:cs="David"/>
          <w:sz w:val="24"/>
          <w:szCs w:val="24"/>
        </w:rPr>
        <w:t xml:space="preserve"> and Analysis Division</w:t>
      </w:r>
      <w:r w:rsidR="00DE6D8A">
        <w:rPr>
          <w:rFonts w:ascii="David" w:hAnsi="David" w:cs="David"/>
          <w:sz w:val="24"/>
          <w:szCs w:val="24"/>
        </w:rPr>
        <w:t xml:space="preserve"> and </w:t>
      </w:r>
      <w:r w:rsidRPr="00C1440F">
        <w:rPr>
          <w:rFonts w:ascii="David" w:hAnsi="David" w:cs="David"/>
          <w:sz w:val="24"/>
          <w:szCs w:val="24"/>
        </w:rPr>
        <w:t>Department of Economic and Social Affairs</w:t>
      </w:r>
      <w:r w:rsidR="00DE6D8A">
        <w:rPr>
          <w:rFonts w:ascii="David" w:hAnsi="David" w:cs="David"/>
          <w:sz w:val="24"/>
          <w:szCs w:val="24"/>
        </w:rPr>
        <w:t xml:space="preserve">. </w:t>
      </w:r>
      <w:r w:rsidRPr="00C1440F">
        <w:rPr>
          <w:rFonts w:ascii="David" w:hAnsi="David" w:cs="David"/>
          <w:sz w:val="24"/>
          <w:szCs w:val="24"/>
        </w:rPr>
        <w:t xml:space="preserve"> </w:t>
      </w:r>
    </w:p>
    <w:p w14:paraId="2385791E" w14:textId="14A732FC" w:rsidR="00533C7B" w:rsidRDefault="00244AF1" w:rsidP="00C1440F">
      <w:pPr>
        <w:bidi w:val="0"/>
        <w:spacing w:line="312" w:lineRule="auto"/>
        <w:rPr>
          <w:rFonts w:ascii="David" w:hAnsi="David" w:cs="David"/>
          <w:sz w:val="24"/>
          <w:szCs w:val="24"/>
        </w:rPr>
      </w:pPr>
      <w:r>
        <w:rPr>
          <w:rFonts w:ascii="David" w:hAnsi="David" w:cs="David"/>
          <w:sz w:val="24"/>
          <w:szCs w:val="24"/>
        </w:rPr>
        <w:t xml:space="preserve">Wade, R. H. (2014). </w:t>
      </w:r>
      <w:r w:rsidR="003252DE" w:rsidRPr="003252DE">
        <w:rPr>
          <w:rFonts w:ascii="David" w:hAnsi="David" w:cs="David"/>
          <w:sz w:val="24"/>
          <w:szCs w:val="24"/>
        </w:rPr>
        <w:t>The Piketty phenomenon and the future of inequality</w:t>
      </w:r>
      <w:r w:rsidR="003252DE">
        <w:rPr>
          <w:rFonts w:ascii="David" w:hAnsi="David" w:cs="David"/>
          <w:sz w:val="24"/>
          <w:szCs w:val="24"/>
        </w:rPr>
        <w:t xml:space="preserve">. </w:t>
      </w:r>
      <w:r w:rsidR="003252DE" w:rsidRPr="003252DE">
        <w:rPr>
          <w:rFonts w:ascii="David" w:hAnsi="David" w:cs="David"/>
          <w:i/>
          <w:iCs/>
          <w:sz w:val="24"/>
          <w:szCs w:val="24"/>
        </w:rPr>
        <w:t xml:space="preserve">Real-World </w:t>
      </w:r>
      <w:r w:rsidR="003252DE">
        <w:rPr>
          <w:rFonts w:ascii="David" w:hAnsi="David" w:cs="David"/>
          <w:i/>
          <w:iCs/>
          <w:sz w:val="24"/>
          <w:szCs w:val="24"/>
        </w:rPr>
        <w:t>E</w:t>
      </w:r>
      <w:r w:rsidR="003252DE" w:rsidRPr="003252DE">
        <w:rPr>
          <w:rFonts w:ascii="David" w:hAnsi="David" w:cs="David"/>
          <w:i/>
          <w:iCs/>
          <w:sz w:val="24"/>
          <w:szCs w:val="24"/>
        </w:rPr>
        <w:t>conomics Review, 69</w:t>
      </w:r>
      <w:r w:rsidR="003252DE">
        <w:rPr>
          <w:rFonts w:ascii="David" w:hAnsi="David" w:cs="David"/>
          <w:sz w:val="24"/>
          <w:szCs w:val="24"/>
        </w:rPr>
        <w:t xml:space="preserve">, 2-17.  </w:t>
      </w:r>
    </w:p>
    <w:p w14:paraId="4389FDB9" w14:textId="550A2C1B" w:rsidR="003252DE" w:rsidRDefault="00430A9C" w:rsidP="003252DE">
      <w:pPr>
        <w:bidi w:val="0"/>
        <w:spacing w:line="312" w:lineRule="auto"/>
        <w:rPr>
          <w:rFonts w:ascii="David" w:hAnsi="David" w:cs="David"/>
          <w:sz w:val="24"/>
          <w:szCs w:val="24"/>
        </w:rPr>
      </w:pPr>
      <w:hyperlink r:id="rId25" w:history="1">
        <w:r w:rsidR="003252DE" w:rsidRPr="0070017D">
          <w:rPr>
            <w:rStyle w:val="Hyperlink"/>
            <w:rFonts w:ascii="David" w:hAnsi="David" w:cs="David"/>
            <w:sz w:val="24"/>
            <w:szCs w:val="24"/>
          </w:rPr>
          <w:t>http://www.paecon.net/PAEReview/issue69/Wade69.pdf</w:t>
        </w:r>
      </w:hyperlink>
    </w:p>
    <w:p w14:paraId="39136917" w14:textId="5CF4DF41" w:rsidR="003252DE" w:rsidRDefault="00961A6D" w:rsidP="003252DE">
      <w:pPr>
        <w:bidi w:val="0"/>
        <w:spacing w:line="312" w:lineRule="auto"/>
        <w:rPr>
          <w:rFonts w:ascii="David" w:hAnsi="David" w:cs="David"/>
          <w:sz w:val="24"/>
          <w:szCs w:val="24"/>
        </w:rPr>
      </w:pPr>
      <w:r w:rsidRPr="00961A6D">
        <w:rPr>
          <w:rFonts w:ascii="David" w:hAnsi="David" w:cs="David"/>
          <w:sz w:val="24"/>
          <w:szCs w:val="24"/>
        </w:rPr>
        <w:t>Yates, S</w:t>
      </w:r>
      <w:r>
        <w:rPr>
          <w:rFonts w:ascii="David" w:hAnsi="David" w:cs="David"/>
          <w:sz w:val="24"/>
          <w:szCs w:val="24"/>
        </w:rPr>
        <w:t>.</w:t>
      </w:r>
      <w:r w:rsidRPr="00961A6D">
        <w:rPr>
          <w:rFonts w:ascii="David" w:hAnsi="David" w:cs="David"/>
          <w:sz w:val="24"/>
          <w:szCs w:val="24"/>
        </w:rPr>
        <w:t xml:space="preserve"> J., </w:t>
      </w:r>
      <w:r>
        <w:rPr>
          <w:rFonts w:ascii="David" w:hAnsi="David" w:cs="David"/>
          <w:sz w:val="24"/>
          <w:szCs w:val="24"/>
        </w:rPr>
        <w:t>&amp;</w:t>
      </w:r>
      <w:r w:rsidRPr="00961A6D">
        <w:rPr>
          <w:rFonts w:ascii="David" w:hAnsi="David" w:cs="David"/>
          <w:sz w:val="24"/>
          <w:szCs w:val="24"/>
        </w:rPr>
        <w:t xml:space="preserve"> Eleanor Lockley,</w:t>
      </w:r>
      <w:r>
        <w:rPr>
          <w:rFonts w:ascii="David" w:hAnsi="David" w:cs="David"/>
          <w:sz w:val="24"/>
          <w:szCs w:val="24"/>
        </w:rPr>
        <w:t xml:space="preserve"> E. (2020).</w:t>
      </w:r>
      <w:r w:rsidRPr="00961A6D">
        <w:rPr>
          <w:rFonts w:ascii="David" w:hAnsi="David" w:cs="David"/>
          <w:sz w:val="24"/>
          <w:szCs w:val="24"/>
        </w:rPr>
        <w:t xml:space="preserve"> Digital Engagement and Class: Economic, Social, and Cultural Capital in a Digital Age</w:t>
      </w:r>
      <w:r>
        <w:rPr>
          <w:rFonts w:ascii="David" w:hAnsi="David" w:cs="David"/>
          <w:sz w:val="24"/>
          <w:szCs w:val="24"/>
        </w:rPr>
        <w:t>.</w:t>
      </w:r>
      <w:r w:rsidRPr="00961A6D">
        <w:rPr>
          <w:rFonts w:ascii="David" w:hAnsi="David" w:cs="David"/>
          <w:sz w:val="24"/>
          <w:szCs w:val="24"/>
        </w:rPr>
        <w:t xml:space="preserve"> in S</w:t>
      </w:r>
      <w:r>
        <w:rPr>
          <w:rFonts w:ascii="David" w:hAnsi="David" w:cs="David"/>
          <w:sz w:val="24"/>
          <w:szCs w:val="24"/>
        </w:rPr>
        <w:t>.</w:t>
      </w:r>
      <w:r w:rsidRPr="00961A6D">
        <w:rPr>
          <w:rFonts w:ascii="David" w:hAnsi="David" w:cs="David"/>
          <w:sz w:val="24"/>
          <w:szCs w:val="24"/>
        </w:rPr>
        <w:t xml:space="preserve"> J. Yates, </w:t>
      </w:r>
      <w:r w:rsidR="001F2E82">
        <w:rPr>
          <w:rFonts w:ascii="David" w:hAnsi="David" w:cs="David"/>
          <w:sz w:val="24"/>
          <w:szCs w:val="24"/>
        </w:rPr>
        <w:t>&amp;</w:t>
      </w:r>
      <w:r w:rsidRPr="00961A6D">
        <w:rPr>
          <w:rFonts w:ascii="David" w:hAnsi="David" w:cs="David"/>
          <w:sz w:val="24"/>
          <w:szCs w:val="24"/>
        </w:rPr>
        <w:t xml:space="preserve"> R</w:t>
      </w:r>
      <w:r w:rsidR="001F2E82">
        <w:rPr>
          <w:rFonts w:ascii="David" w:hAnsi="David" w:cs="David"/>
          <w:sz w:val="24"/>
          <w:szCs w:val="24"/>
        </w:rPr>
        <w:t>.</w:t>
      </w:r>
      <w:r w:rsidRPr="00961A6D">
        <w:rPr>
          <w:rFonts w:ascii="David" w:hAnsi="David" w:cs="David"/>
          <w:sz w:val="24"/>
          <w:szCs w:val="24"/>
        </w:rPr>
        <w:t xml:space="preserve"> E. Rice (eds)</w:t>
      </w:r>
      <w:r w:rsidR="0089090B">
        <w:rPr>
          <w:rFonts w:ascii="David" w:hAnsi="David" w:cs="David"/>
          <w:sz w:val="24"/>
          <w:szCs w:val="24"/>
        </w:rPr>
        <w:t>.</w:t>
      </w:r>
      <w:r w:rsidRPr="00961A6D">
        <w:rPr>
          <w:rFonts w:ascii="David" w:hAnsi="David" w:cs="David"/>
          <w:sz w:val="24"/>
          <w:szCs w:val="24"/>
        </w:rPr>
        <w:t xml:space="preserve"> </w:t>
      </w:r>
      <w:r w:rsidRPr="0089090B">
        <w:rPr>
          <w:rFonts w:ascii="David" w:hAnsi="David" w:cs="David"/>
          <w:i/>
          <w:iCs/>
          <w:sz w:val="24"/>
          <w:szCs w:val="24"/>
        </w:rPr>
        <w:t>The Oxford Handbook of Digital Technology and Society</w:t>
      </w:r>
      <w:r w:rsidR="0089090B">
        <w:rPr>
          <w:rFonts w:ascii="David" w:hAnsi="David" w:cs="David"/>
          <w:sz w:val="24"/>
          <w:szCs w:val="24"/>
        </w:rPr>
        <w:t>.</w:t>
      </w:r>
      <w:r w:rsidRPr="00961A6D">
        <w:rPr>
          <w:rFonts w:ascii="David" w:hAnsi="David" w:cs="David"/>
          <w:sz w:val="24"/>
          <w:szCs w:val="24"/>
        </w:rPr>
        <w:t xml:space="preserve"> Oxford Handbooks</w:t>
      </w:r>
      <w:r w:rsidR="0089090B">
        <w:rPr>
          <w:rFonts w:ascii="David" w:hAnsi="David" w:cs="David"/>
          <w:sz w:val="24"/>
          <w:szCs w:val="24"/>
        </w:rPr>
        <w:t>.</w:t>
      </w:r>
      <w:r w:rsidRPr="00961A6D">
        <w:rPr>
          <w:rFonts w:ascii="David" w:hAnsi="David" w:cs="David"/>
          <w:sz w:val="24"/>
          <w:szCs w:val="24"/>
        </w:rPr>
        <w:t xml:space="preserve"> </w:t>
      </w:r>
      <w:hyperlink r:id="rId26" w:history="1">
        <w:r w:rsidR="0089090B" w:rsidRPr="00261514">
          <w:rPr>
            <w:rStyle w:val="Hyperlink"/>
            <w:rFonts w:ascii="David" w:hAnsi="David" w:cs="David"/>
            <w:sz w:val="24"/>
            <w:szCs w:val="24"/>
          </w:rPr>
          <w:t>https://doi.org/10.1093/oxfordhb/9780190932596.013.25</w:t>
        </w:r>
      </w:hyperlink>
    </w:p>
    <w:p w14:paraId="3ECEFF7B" w14:textId="77777777" w:rsidR="0089090B" w:rsidRPr="003252DE" w:rsidRDefault="0089090B" w:rsidP="0089090B">
      <w:pPr>
        <w:bidi w:val="0"/>
        <w:spacing w:line="312" w:lineRule="auto"/>
        <w:rPr>
          <w:rFonts w:ascii="David" w:hAnsi="David" w:cs="David"/>
          <w:sz w:val="24"/>
          <w:szCs w:val="24"/>
        </w:rPr>
      </w:pPr>
    </w:p>
    <w:sectPr w:rsidR="0089090B" w:rsidRPr="003252DE" w:rsidSect="003D47A4">
      <w:footerReference w:type="default" r:id="rId27"/>
      <w:pgSz w:w="11906" w:h="16838"/>
      <w:pgMar w:top="1440" w:right="1797" w:bottom="130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A2C8" w14:textId="77777777" w:rsidR="00797632" w:rsidRDefault="00797632" w:rsidP="00C6309D">
      <w:pPr>
        <w:spacing w:after="0" w:line="240" w:lineRule="auto"/>
      </w:pPr>
      <w:r>
        <w:separator/>
      </w:r>
    </w:p>
  </w:endnote>
  <w:endnote w:type="continuationSeparator" w:id="0">
    <w:p w14:paraId="3D028567" w14:textId="77777777" w:rsidR="00797632" w:rsidRDefault="00797632" w:rsidP="00C6309D">
      <w:pPr>
        <w:spacing w:after="0" w:line="240" w:lineRule="auto"/>
      </w:pPr>
      <w:r>
        <w:continuationSeparator/>
      </w:r>
    </w:p>
  </w:endnote>
  <w:endnote w:type="continuationNotice" w:id="1">
    <w:p w14:paraId="229B8777" w14:textId="77777777" w:rsidR="00797632" w:rsidRDefault="00797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avid" w:hAnsi="David" w:cs="David"/>
        <w:sz w:val="20"/>
        <w:szCs w:val="20"/>
        <w:rtl/>
      </w:rPr>
      <w:id w:val="-685747297"/>
      <w:docPartObj>
        <w:docPartGallery w:val="Page Numbers (Bottom of Page)"/>
        <w:docPartUnique/>
      </w:docPartObj>
    </w:sdtPr>
    <w:sdtEndPr/>
    <w:sdtContent>
      <w:p w14:paraId="402BE6EF" w14:textId="008331BA" w:rsidR="00C6309D" w:rsidRPr="00C6309D" w:rsidRDefault="00C6309D">
        <w:pPr>
          <w:pStyle w:val="a7"/>
          <w:jc w:val="center"/>
          <w:rPr>
            <w:rFonts w:ascii="David" w:hAnsi="David" w:cs="David"/>
            <w:sz w:val="20"/>
            <w:szCs w:val="20"/>
          </w:rPr>
        </w:pPr>
        <w:r w:rsidRPr="00C6309D">
          <w:rPr>
            <w:rFonts w:ascii="David" w:hAnsi="David" w:cs="David"/>
            <w:sz w:val="20"/>
            <w:szCs w:val="20"/>
          </w:rPr>
          <w:fldChar w:fldCharType="begin"/>
        </w:r>
        <w:r w:rsidRPr="00C6309D">
          <w:rPr>
            <w:rFonts w:ascii="David" w:hAnsi="David" w:cs="David"/>
            <w:sz w:val="20"/>
            <w:szCs w:val="20"/>
          </w:rPr>
          <w:instrText>PAGE   \* MERGEFORMAT</w:instrText>
        </w:r>
        <w:r w:rsidRPr="00C6309D">
          <w:rPr>
            <w:rFonts w:ascii="David" w:hAnsi="David" w:cs="David"/>
            <w:sz w:val="20"/>
            <w:szCs w:val="20"/>
          </w:rPr>
          <w:fldChar w:fldCharType="separate"/>
        </w:r>
        <w:r w:rsidRPr="00C6309D">
          <w:rPr>
            <w:rFonts w:ascii="David" w:hAnsi="David" w:cs="David"/>
            <w:sz w:val="20"/>
            <w:szCs w:val="20"/>
            <w:rtl/>
            <w:lang w:val="he-IL"/>
          </w:rPr>
          <w:t>2</w:t>
        </w:r>
        <w:r w:rsidRPr="00C6309D">
          <w:rPr>
            <w:rFonts w:ascii="David" w:hAnsi="David" w:cs="David"/>
            <w:sz w:val="20"/>
            <w:szCs w:val="20"/>
          </w:rPr>
          <w:fldChar w:fldCharType="end"/>
        </w:r>
      </w:p>
    </w:sdtContent>
  </w:sdt>
  <w:p w14:paraId="67CFA830" w14:textId="77777777" w:rsidR="00C6309D" w:rsidRDefault="00C630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BDB7" w14:textId="77777777" w:rsidR="00797632" w:rsidRDefault="00797632" w:rsidP="00C6309D">
      <w:pPr>
        <w:spacing w:after="0" w:line="240" w:lineRule="auto"/>
      </w:pPr>
      <w:r>
        <w:separator/>
      </w:r>
    </w:p>
  </w:footnote>
  <w:footnote w:type="continuationSeparator" w:id="0">
    <w:p w14:paraId="31D20D80" w14:textId="77777777" w:rsidR="00797632" w:rsidRDefault="00797632" w:rsidP="00C6309D">
      <w:pPr>
        <w:spacing w:after="0" w:line="240" w:lineRule="auto"/>
      </w:pPr>
      <w:r>
        <w:continuationSeparator/>
      </w:r>
    </w:p>
  </w:footnote>
  <w:footnote w:type="continuationNotice" w:id="1">
    <w:p w14:paraId="1A248748" w14:textId="77777777" w:rsidR="00797632" w:rsidRDefault="00797632">
      <w:pPr>
        <w:spacing w:after="0" w:line="240" w:lineRule="auto"/>
      </w:pPr>
    </w:p>
  </w:footnote>
  <w:footnote w:id="2">
    <w:p w14:paraId="128E7A8E" w14:textId="4F913D63" w:rsidR="00B773F8" w:rsidRPr="00B773F8" w:rsidRDefault="00B773F8">
      <w:pPr>
        <w:pStyle w:val="a9"/>
        <w:rPr>
          <w:rFonts w:ascii="David" w:hAnsi="David" w:cs="David"/>
          <w:rtl/>
        </w:rPr>
      </w:pPr>
      <w:r>
        <w:rPr>
          <w:rStyle w:val="ab"/>
        </w:rPr>
        <w:footnoteRef/>
      </w:r>
      <w:r>
        <w:rPr>
          <w:rtl/>
        </w:rPr>
        <w:t xml:space="preserve"> </w:t>
      </w:r>
      <w:r>
        <w:rPr>
          <w:rFonts w:ascii="David" w:hAnsi="David" w:cs="David" w:hint="cs"/>
        </w:rPr>
        <w:t>PPP</w:t>
      </w:r>
      <w:r>
        <w:rPr>
          <w:rFonts w:ascii="David" w:hAnsi="David" w:cs="David" w:hint="cs"/>
          <w:rtl/>
        </w:rPr>
        <w:t xml:space="preserve"> </w:t>
      </w:r>
      <w:r>
        <w:rPr>
          <w:rFonts w:ascii="David" w:hAnsi="David" w:cs="David"/>
          <w:rtl/>
        </w:rPr>
        <w:t>–</w:t>
      </w:r>
      <w:r>
        <w:rPr>
          <w:rFonts w:ascii="David" w:hAnsi="David" w:cs="David" w:hint="cs"/>
          <w:rtl/>
        </w:rPr>
        <w:t xml:space="preserve"> </w:t>
      </w:r>
      <w:r>
        <w:rPr>
          <w:rFonts w:ascii="David" w:hAnsi="David" w:cs="David"/>
        </w:rPr>
        <w:t>Purchasing Power Parity</w:t>
      </w:r>
      <w:r w:rsidR="008B43DE">
        <w:rPr>
          <w:rFonts w:ascii="David" w:hAnsi="David" w:cs="David" w:hint="cs"/>
          <w:rtl/>
        </w:rPr>
        <w:t>, מדד המבטא את ההכנסה הלאומית במונחים של כוח קניה</w:t>
      </w:r>
      <w:r w:rsidR="00292419">
        <w:rPr>
          <w:rFonts w:ascii="David" w:hAnsi="David" w:cs="David" w:hint="cs"/>
          <w:rtl/>
        </w:rPr>
        <w:t xml:space="preserve"> בניטרול </w:t>
      </w:r>
      <w:r w:rsidR="00A322A9">
        <w:rPr>
          <w:rFonts w:ascii="David" w:hAnsi="David" w:cs="David" w:hint="cs"/>
          <w:rtl/>
        </w:rPr>
        <w:t>השפעות הבדלי שער חליפין</w:t>
      </w:r>
      <w:r w:rsidR="008B43DE">
        <w:rPr>
          <w:rFonts w:ascii="David" w:hAnsi="David" w:cs="David" w:hint="cs"/>
          <w:rtl/>
        </w:rPr>
        <w:t xml:space="preserve">. </w:t>
      </w:r>
    </w:p>
  </w:footnote>
  <w:footnote w:id="3">
    <w:p w14:paraId="04C5819D" w14:textId="1C557871" w:rsidR="00254AE0" w:rsidRPr="00254AE0" w:rsidRDefault="00254AE0">
      <w:pPr>
        <w:pStyle w:val="a9"/>
        <w:rPr>
          <w:rFonts w:ascii="David" w:hAnsi="David" w:cs="David"/>
          <w:rtl/>
        </w:rPr>
      </w:pPr>
      <w:r>
        <w:rPr>
          <w:rStyle w:val="ab"/>
        </w:rPr>
        <w:footnoteRef/>
      </w:r>
      <w:r>
        <w:rPr>
          <w:rtl/>
        </w:rPr>
        <w:t xml:space="preserve"> </w:t>
      </w:r>
      <w:r w:rsidR="00096E83">
        <w:rPr>
          <w:rFonts w:ascii="David" w:hAnsi="David" w:cs="David" w:hint="cs"/>
          <w:rtl/>
        </w:rPr>
        <w:t xml:space="preserve">מדד </w:t>
      </w:r>
      <w:proofErr w:type="spellStart"/>
      <w:r w:rsidR="00096E83">
        <w:rPr>
          <w:rFonts w:ascii="David" w:hAnsi="David" w:cs="David" w:hint="cs"/>
          <w:rtl/>
        </w:rPr>
        <w:t>ג'יני</w:t>
      </w:r>
      <w:proofErr w:type="spellEnd"/>
      <w:r w:rsidR="00096E83">
        <w:rPr>
          <w:rFonts w:ascii="David" w:hAnsi="David" w:cs="David" w:hint="cs"/>
          <w:rtl/>
        </w:rPr>
        <w:t xml:space="preserve"> הוא מדד</w:t>
      </w:r>
      <w:r w:rsidR="00DD1220">
        <w:rPr>
          <w:rFonts w:ascii="David" w:hAnsi="David" w:cs="David" w:hint="cs"/>
          <w:rtl/>
        </w:rPr>
        <w:t xml:space="preserve"> סטטיסטי הבודק </w:t>
      </w:r>
      <w:r w:rsidR="00290666">
        <w:rPr>
          <w:rFonts w:ascii="David" w:hAnsi="David" w:cs="David" w:hint="cs"/>
          <w:rtl/>
        </w:rPr>
        <w:t>את רמת השוויוניות בחלוקת ההכנסות במדינה</w:t>
      </w:r>
      <w:r w:rsidR="00096E83">
        <w:rPr>
          <w:rFonts w:ascii="David" w:hAnsi="David" w:cs="David" w:hint="cs"/>
          <w:rtl/>
        </w:rPr>
        <w:t xml:space="preserve">. </w:t>
      </w:r>
      <w:r w:rsidR="00290666">
        <w:rPr>
          <w:rFonts w:ascii="David" w:hAnsi="David" w:cs="David" w:hint="cs"/>
          <w:rtl/>
        </w:rPr>
        <w:t xml:space="preserve">ערכי המדד נעים בין </w:t>
      </w:r>
      <w:r w:rsidR="00923A88">
        <w:rPr>
          <w:rFonts w:ascii="David" w:hAnsi="David" w:cs="David" w:hint="cs"/>
          <w:rtl/>
        </w:rPr>
        <w:t xml:space="preserve">0 עד 1 </w:t>
      </w:r>
      <w:r w:rsidR="00096E83">
        <w:rPr>
          <w:rFonts w:ascii="David" w:hAnsi="David" w:cs="David" w:hint="cs"/>
          <w:rtl/>
        </w:rPr>
        <w:t xml:space="preserve">כאשר 0 מציין </w:t>
      </w:r>
      <w:r w:rsidR="00923A88">
        <w:rPr>
          <w:rFonts w:ascii="David" w:hAnsi="David" w:cs="David" w:hint="cs"/>
          <w:rtl/>
        </w:rPr>
        <w:t>חלוקה שוויונית (לכל האזרחים הכנסה שווה)</w:t>
      </w:r>
      <w:r w:rsidR="00096E83">
        <w:rPr>
          <w:rFonts w:ascii="David" w:hAnsi="David" w:cs="David" w:hint="cs"/>
          <w:rtl/>
        </w:rPr>
        <w:t xml:space="preserve"> ו-</w:t>
      </w:r>
      <w:r w:rsidR="00923A88">
        <w:rPr>
          <w:rFonts w:ascii="David" w:hAnsi="David" w:cs="David" w:hint="cs"/>
          <w:rtl/>
        </w:rPr>
        <w:t>1</w:t>
      </w:r>
      <w:r w:rsidR="00096E83">
        <w:rPr>
          <w:rFonts w:ascii="David" w:hAnsi="David" w:cs="David" w:hint="cs"/>
          <w:rtl/>
        </w:rPr>
        <w:t xml:space="preserve"> </w:t>
      </w:r>
      <w:r w:rsidR="00CE2603">
        <w:rPr>
          <w:rFonts w:ascii="David" w:hAnsi="David" w:cs="David" w:hint="cs"/>
          <w:rtl/>
        </w:rPr>
        <w:t>אי שוויון מלא</w:t>
      </w:r>
      <w:r w:rsidR="008431CD">
        <w:rPr>
          <w:rFonts w:ascii="David" w:hAnsi="David" w:cs="David" w:hint="cs"/>
          <w:rtl/>
        </w:rPr>
        <w:t xml:space="preserve"> (</w:t>
      </w:r>
      <w:r w:rsidR="003142E3">
        <w:rPr>
          <w:rFonts w:ascii="David" w:hAnsi="David" w:cs="David" w:hint="cs"/>
          <w:rtl/>
        </w:rPr>
        <w:t>כל ההכנסות מרוכזות בידי אדם אחד) (</w:t>
      </w:r>
      <w:r w:rsidR="006A5571">
        <w:rPr>
          <w:rFonts w:ascii="David" w:hAnsi="David" w:cs="David" w:hint="cs"/>
          <w:rtl/>
        </w:rPr>
        <w:t>אנדבלד, 2023)</w:t>
      </w:r>
      <w:r w:rsidR="00CE2603">
        <w:rPr>
          <w:rFonts w:ascii="David" w:hAnsi="David" w:cs="David" w:hint="cs"/>
          <w:rtl/>
        </w:rPr>
        <w:t xml:space="preserve">. </w:t>
      </w:r>
    </w:p>
  </w:footnote>
  <w:footnote w:id="4">
    <w:p w14:paraId="68C88A18" w14:textId="4368EC01" w:rsidR="00EF3708" w:rsidRPr="00C01C83" w:rsidRDefault="00EF3708">
      <w:pPr>
        <w:pStyle w:val="a9"/>
        <w:rPr>
          <w:rFonts w:ascii="David" w:hAnsi="David" w:cs="David"/>
        </w:rPr>
      </w:pPr>
      <w:r>
        <w:rPr>
          <w:rStyle w:val="ab"/>
        </w:rPr>
        <w:footnoteRef/>
      </w:r>
      <w:r>
        <w:rPr>
          <w:rtl/>
        </w:rPr>
        <w:t xml:space="preserve"> </w:t>
      </w:r>
      <w:r w:rsidR="00C01C83">
        <w:rPr>
          <w:rFonts w:ascii="David" w:hAnsi="David" w:cs="David" w:hint="cs"/>
          <w:rtl/>
        </w:rPr>
        <w:t>מדד ה-</w:t>
      </w:r>
      <w:r w:rsidR="00C01C83">
        <w:rPr>
          <w:rFonts w:ascii="David" w:hAnsi="David" w:cs="David" w:hint="cs"/>
        </w:rPr>
        <w:t>FGT</w:t>
      </w:r>
      <w:r w:rsidR="00C01C83">
        <w:rPr>
          <w:rFonts w:ascii="David" w:hAnsi="David" w:cs="David" w:hint="cs"/>
          <w:rtl/>
        </w:rPr>
        <w:t xml:space="preserve"> </w:t>
      </w:r>
      <w:r w:rsidR="00A27863">
        <w:rPr>
          <w:rFonts w:ascii="David" w:hAnsi="David" w:cs="David" w:hint="cs"/>
          <w:rtl/>
        </w:rPr>
        <w:t xml:space="preserve">- </w:t>
      </w:r>
      <w:r w:rsidR="00812B64">
        <w:rPr>
          <w:rFonts w:ascii="David" w:hAnsi="David" w:cs="David" w:hint="cs"/>
          <w:rtl/>
        </w:rPr>
        <w:t xml:space="preserve">על שם מפתחיו, </w:t>
      </w:r>
      <w:r w:rsidR="00544D75">
        <w:rPr>
          <w:rFonts w:ascii="David" w:hAnsi="David" w:cs="David"/>
        </w:rPr>
        <w:t>(Foster</w:t>
      </w:r>
      <w:r w:rsidR="00812B64">
        <w:rPr>
          <w:rFonts w:ascii="David" w:hAnsi="David" w:cs="David"/>
        </w:rPr>
        <w:t xml:space="preserve">, Greer &amp; Thorbecke, </w:t>
      </w:r>
      <w:r w:rsidR="00A27863">
        <w:rPr>
          <w:rFonts w:ascii="David" w:hAnsi="David" w:cs="David"/>
        </w:rPr>
        <w:t>1989)</w:t>
      </w:r>
      <w:r w:rsidR="00A27863">
        <w:rPr>
          <w:rFonts w:ascii="David" w:hAnsi="David" w:cs="David" w:hint="cs"/>
          <w:rtl/>
        </w:rPr>
        <w:t xml:space="preserve"> </w:t>
      </w:r>
      <w:r w:rsidR="004C22CF">
        <w:rPr>
          <w:rFonts w:ascii="David" w:hAnsi="David" w:cs="David" w:hint="cs"/>
          <w:rtl/>
        </w:rPr>
        <w:t xml:space="preserve">מחושב כשיעור תחולת העוני </w:t>
      </w:r>
      <w:r w:rsidR="00A45F23">
        <w:rPr>
          <w:rFonts w:ascii="David" w:hAnsi="David" w:cs="David" w:hint="cs"/>
          <w:rtl/>
        </w:rPr>
        <w:t xml:space="preserve">ומתייחס לכלל האוכלוסייה, אך משקף את שיעור הנפשות בעוני חמור, מתוך שיעור העוני. </w:t>
      </w:r>
      <w:r w:rsidR="00E30569">
        <w:rPr>
          <w:rFonts w:ascii="David" w:hAnsi="David" w:cs="David" w:hint="cs"/>
          <w:rtl/>
        </w:rPr>
        <w:t xml:space="preserve">מקבל ערכים שבין 0 </w:t>
      </w:r>
      <w:r w:rsidR="00E30569">
        <w:rPr>
          <w:rFonts w:ascii="David" w:hAnsi="David" w:cs="David"/>
          <w:rtl/>
        </w:rPr>
        <w:t>–</w:t>
      </w:r>
      <w:r w:rsidR="00E30569">
        <w:rPr>
          <w:rFonts w:ascii="David" w:hAnsi="David" w:cs="David" w:hint="cs"/>
          <w:rtl/>
        </w:rPr>
        <w:t xml:space="preserve"> אם הכנסות העניים צמודות לקו העוני </w:t>
      </w:r>
      <w:r w:rsidR="004D41BA">
        <w:rPr>
          <w:rFonts w:ascii="David" w:hAnsi="David" w:cs="David" w:hint="cs"/>
          <w:rtl/>
        </w:rPr>
        <w:t>וערך 100 אם כל מי שחי בעוני ללא הכנסות כלל</w:t>
      </w:r>
      <w:r w:rsidR="00F769A6">
        <w:rPr>
          <w:rFonts w:ascii="David" w:hAnsi="David" w:cs="David" w:hint="cs"/>
          <w:rtl/>
        </w:rPr>
        <w:t xml:space="preserve">. המדד </w:t>
      </w:r>
      <w:r w:rsidR="00E514CD">
        <w:rPr>
          <w:rFonts w:ascii="David" w:hAnsi="David" w:cs="David" w:hint="cs"/>
          <w:rtl/>
        </w:rPr>
        <w:t>מתבסס על קו העוני וההכנסה של המשפחה</w:t>
      </w:r>
      <w:r w:rsidR="006A5571">
        <w:rPr>
          <w:rFonts w:ascii="David" w:hAnsi="David" w:cs="David" w:hint="cs"/>
          <w:rtl/>
        </w:rPr>
        <w:t xml:space="preserve"> </w:t>
      </w:r>
      <w:r w:rsidR="00DA23B5">
        <w:rPr>
          <w:rFonts w:ascii="David" w:hAnsi="David" w:cs="David" w:hint="cs"/>
          <w:rtl/>
        </w:rPr>
        <w:t>(כהונאי, 2004)</w:t>
      </w:r>
      <w:r w:rsidR="00E514CD">
        <w:rPr>
          <w:rFonts w:ascii="David" w:hAnsi="David" w:cs="David" w:hint="cs"/>
          <w:rtl/>
        </w:rPr>
        <w:t xml:space="preserve">. </w:t>
      </w:r>
    </w:p>
  </w:footnote>
  <w:footnote w:id="5">
    <w:p w14:paraId="0CB080A6" w14:textId="77777777" w:rsidR="0066051D" w:rsidRPr="008C163F" w:rsidRDefault="0066051D" w:rsidP="0066051D">
      <w:pPr>
        <w:pStyle w:val="a9"/>
        <w:rPr>
          <w:rFonts w:ascii="David" w:hAnsi="David" w:cs="David"/>
          <w:rtl/>
        </w:rPr>
      </w:pPr>
      <w:r>
        <w:rPr>
          <w:rStyle w:val="ab"/>
        </w:rPr>
        <w:footnoteRef/>
      </w:r>
      <w:r>
        <w:rPr>
          <w:rtl/>
        </w:rPr>
        <w:t xml:space="preserve"> </w:t>
      </w:r>
      <w:r>
        <w:rPr>
          <w:rFonts w:ascii="David" w:hAnsi="David" w:cs="David" w:hint="cs"/>
          <w:rtl/>
        </w:rPr>
        <w:t xml:space="preserve">מדד הפריפריאליות הינו במובן הגאוגרפי. אזור פריפריאלי מוגדר כאזור המרוחק מהמרכז - ממחוז תל-אביב, בהיותו מרכז כלכלי ועסקי של המדינה ומתלכד עם המרכז הגיאוגרפי של המדינה. אזור פריפריאלי מרוחק מאפשרויות, (כגון שווקים, מקומות תעסוקה ושירותי בריאות), ומפעילויות, (כמו עבודה, לימודים, קניות ופנאי), או מנכסים הקיימים באזורים אלו. </w:t>
      </w:r>
    </w:p>
  </w:footnote>
  <w:footnote w:id="6">
    <w:p w14:paraId="2215F5A9" w14:textId="13DBE56B" w:rsidR="006526EE" w:rsidRPr="006526EE" w:rsidRDefault="006526EE">
      <w:pPr>
        <w:pStyle w:val="a9"/>
        <w:rPr>
          <w:rFonts w:ascii="David" w:hAnsi="David" w:cs="David"/>
          <w:rtl/>
        </w:rPr>
      </w:pPr>
      <w:r>
        <w:rPr>
          <w:rStyle w:val="ab"/>
        </w:rPr>
        <w:footnoteRef/>
      </w:r>
      <w:r>
        <w:rPr>
          <w:rtl/>
        </w:rPr>
        <w:t xml:space="preserve"> </w:t>
      </w:r>
      <w:r w:rsidR="00580518">
        <w:rPr>
          <w:rFonts w:ascii="David" w:hAnsi="David" w:cs="David" w:hint="cs"/>
          <w:rtl/>
        </w:rPr>
        <w:t xml:space="preserve">כל תלמיד מסווג לאחת משלוש קבוצות </w:t>
      </w:r>
      <w:r>
        <w:rPr>
          <w:rFonts w:ascii="David" w:hAnsi="David" w:cs="David" w:hint="cs"/>
          <w:rtl/>
        </w:rPr>
        <w:t>רקע חברתי-כלכלי</w:t>
      </w:r>
      <w:r w:rsidR="00D40DF1">
        <w:rPr>
          <w:rFonts w:ascii="David" w:hAnsi="David" w:cs="David" w:hint="cs"/>
          <w:rtl/>
        </w:rPr>
        <w:t xml:space="preserve"> אישי</w:t>
      </w:r>
      <w:r w:rsidR="00580518">
        <w:rPr>
          <w:rFonts w:ascii="David" w:hAnsi="David" w:cs="David" w:hint="cs"/>
          <w:rtl/>
        </w:rPr>
        <w:t xml:space="preserve">: </w:t>
      </w:r>
      <w:r w:rsidR="00CA08D2">
        <w:rPr>
          <w:rFonts w:ascii="David" w:hAnsi="David" w:cs="David" w:hint="cs"/>
          <w:rtl/>
        </w:rPr>
        <w:t xml:space="preserve">נמוך </w:t>
      </w:r>
      <w:r w:rsidR="00CA08D2">
        <w:rPr>
          <w:rFonts w:ascii="David" w:hAnsi="David" w:cs="David"/>
          <w:rtl/>
        </w:rPr>
        <w:t>–</w:t>
      </w:r>
      <w:r w:rsidR="00CA08D2">
        <w:rPr>
          <w:rFonts w:ascii="David" w:hAnsi="David" w:cs="David" w:hint="cs"/>
          <w:rtl/>
        </w:rPr>
        <w:t xml:space="preserve"> עשירונים 10-8, בינוני </w:t>
      </w:r>
      <w:r w:rsidR="00CA08D2">
        <w:rPr>
          <w:rFonts w:ascii="David" w:hAnsi="David" w:cs="David"/>
          <w:rtl/>
        </w:rPr>
        <w:t>–</w:t>
      </w:r>
      <w:r w:rsidR="00CA08D2">
        <w:rPr>
          <w:rFonts w:ascii="David" w:hAnsi="David" w:cs="David" w:hint="cs"/>
          <w:rtl/>
        </w:rPr>
        <w:t xml:space="preserve"> עשירונים 7-4 וגבוה </w:t>
      </w:r>
      <w:r w:rsidR="00CA08D2">
        <w:rPr>
          <w:rFonts w:ascii="David" w:hAnsi="David" w:cs="David"/>
          <w:rtl/>
        </w:rPr>
        <w:t>–</w:t>
      </w:r>
      <w:r w:rsidR="00CA08D2">
        <w:rPr>
          <w:rFonts w:ascii="David" w:hAnsi="David" w:cs="David" w:hint="cs"/>
          <w:rtl/>
        </w:rPr>
        <w:t xml:space="preserve"> עשירונים </w:t>
      </w:r>
      <w:r w:rsidR="003D6072">
        <w:rPr>
          <w:rFonts w:ascii="David" w:hAnsi="David" w:cs="David" w:hint="cs"/>
          <w:rtl/>
        </w:rPr>
        <w:t xml:space="preserve">3-1. </w:t>
      </w:r>
      <w:r w:rsidR="00D40DF1">
        <w:rPr>
          <w:rFonts w:ascii="David" w:hAnsi="David" w:cs="David"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6B3"/>
    <w:multiLevelType w:val="hybridMultilevel"/>
    <w:tmpl w:val="E4202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A2296"/>
    <w:multiLevelType w:val="multilevel"/>
    <w:tmpl w:val="28F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A6362F"/>
    <w:multiLevelType w:val="hybridMultilevel"/>
    <w:tmpl w:val="655C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F10E7E"/>
    <w:multiLevelType w:val="hybridMultilevel"/>
    <w:tmpl w:val="C4C2E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176076">
    <w:abstractNumId w:val="2"/>
  </w:num>
  <w:num w:numId="2" w16cid:durableId="992106804">
    <w:abstractNumId w:val="0"/>
  </w:num>
  <w:num w:numId="3" w16cid:durableId="744767253">
    <w:abstractNumId w:val="3"/>
  </w:num>
  <w:num w:numId="4" w16cid:durableId="1442144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6C"/>
    <w:rsid w:val="00000414"/>
    <w:rsid w:val="00000A70"/>
    <w:rsid w:val="00000B4E"/>
    <w:rsid w:val="00001B6C"/>
    <w:rsid w:val="000028BB"/>
    <w:rsid w:val="00007C56"/>
    <w:rsid w:val="000149E5"/>
    <w:rsid w:val="00015476"/>
    <w:rsid w:val="00017249"/>
    <w:rsid w:val="00017C01"/>
    <w:rsid w:val="00030236"/>
    <w:rsid w:val="000315E1"/>
    <w:rsid w:val="00031670"/>
    <w:rsid w:val="000329C6"/>
    <w:rsid w:val="000368FB"/>
    <w:rsid w:val="000379F1"/>
    <w:rsid w:val="00041C75"/>
    <w:rsid w:val="0004252C"/>
    <w:rsid w:val="00044743"/>
    <w:rsid w:val="00047C4D"/>
    <w:rsid w:val="000509D1"/>
    <w:rsid w:val="00050F36"/>
    <w:rsid w:val="0005295C"/>
    <w:rsid w:val="00053624"/>
    <w:rsid w:val="00054660"/>
    <w:rsid w:val="000606FB"/>
    <w:rsid w:val="000614D7"/>
    <w:rsid w:val="00061ECE"/>
    <w:rsid w:val="000625F0"/>
    <w:rsid w:val="00065DF6"/>
    <w:rsid w:val="0006654B"/>
    <w:rsid w:val="000703A3"/>
    <w:rsid w:val="00070583"/>
    <w:rsid w:val="00071338"/>
    <w:rsid w:val="0007193F"/>
    <w:rsid w:val="0007201D"/>
    <w:rsid w:val="000759E1"/>
    <w:rsid w:val="00075CB9"/>
    <w:rsid w:val="00075F73"/>
    <w:rsid w:val="00083543"/>
    <w:rsid w:val="00083FDF"/>
    <w:rsid w:val="00084806"/>
    <w:rsid w:val="00085320"/>
    <w:rsid w:val="0008540F"/>
    <w:rsid w:val="0008605E"/>
    <w:rsid w:val="00090997"/>
    <w:rsid w:val="00090A18"/>
    <w:rsid w:val="0009261B"/>
    <w:rsid w:val="00092B6B"/>
    <w:rsid w:val="0009308F"/>
    <w:rsid w:val="00095AC2"/>
    <w:rsid w:val="00096E83"/>
    <w:rsid w:val="00097075"/>
    <w:rsid w:val="00097317"/>
    <w:rsid w:val="0009757A"/>
    <w:rsid w:val="00097D2C"/>
    <w:rsid w:val="000A052F"/>
    <w:rsid w:val="000A0DEC"/>
    <w:rsid w:val="000A48E5"/>
    <w:rsid w:val="000A5EA7"/>
    <w:rsid w:val="000A6665"/>
    <w:rsid w:val="000A6C4D"/>
    <w:rsid w:val="000A6E2C"/>
    <w:rsid w:val="000B062E"/>
    <w:rsid w:val="000B12EB"/>
    <w:rsid w:val="000B2778"/>
    <w:rsid w:val="000B2F49"/>
    <w:rsid w:val="000B4045"/>
    <w:rsid w:val="000B6EEE"/>
    <w:rsid w:val="000B755E"/>
    <w:rsid w:val="000B7B00"/>
    <w:rsid w:val="000B7F89"/>
    <w:rsid w:val="000C09F5"/>
    <w:rsid w:val="000C1784"/>
    <w:rsid w:val="000C2618"/>
    <w:rsid w:val="000C2808"/>
    <w:rsid w:val="000C3144"/>
    <w:rsid w:val="000C496B"/>
    <w:rsid w:val="000C66D6"/>
    <w:rsid w:val="000C70C8"/>
    <w:rsid w:val="000D0337"/>
    <w:rsid w:val="000D038F"/>
    <w:rsid w:val="000D1EDD"/>
    <w:rsid w:val="000D2941"/>
    <w:rsid w:val="000D31BF"/>
    <w:rsid w:val="000D4A6F"/>
    <w:rsid w:val="000D4FB5"/>
    <w:rsid w:val="000D52E6"/>
    <w:rsid w:val="000D585C"/>
    <w:rsid w:val="000D620E"/>
    <w:rsid w:val="000D76CF"/>
    <w:rsid w:val="000E2A30"/>
    <w:rsid w:val="000E32AF"/>
    <w:rsid w:val="000E403F"/>
    <w:rsid w:val="000E6004"/>
    <w:rsid w:val="000E6E05"/>
    <w:rsid w:val="000F0BE0"/>
    <w:rsid w:val="000F0EEF"/>
    <w:rsid w:val="000F12C7"/>
    <w:rsid w:val="000F180B"/>
    <w:rsid w:val="000F1F3F"/>
    <w:rsid w:val="000F3DBC"/>
    <w:rsid w:val="000F436D"/>
    <w:rsid w:val="000F51E1"/>
    <w:rsid w:val="000F5DA3"/>
    <w:rsid w:val="000F6E28"/>
    <w:rsid w:val="001044C0"/>
    <w:rsid w:val="00104A16"/>
    <w:rsid w:val="00110258"/>
    <w:rsid w:val="00110415"/>
    <w:rsid w:val="00116AF1"/>
    <w:rsid w:val="00116C6E"/>
    <w:rsid w:val="00117E77"/>
    <w:rsid w:val="001202C1"/>
    <w:rsid w:val="001212BA"/>
    <w:rsid w:val="00122853"/>
    <w:rsid w:val="00122BAB"/>
    <w:rsid w:val="00124697"/>
    <w:rsid w:val="00133510"/>
    <w:rsid w:val="00140BA5"/>
    <w:rsid w:val="001410FA"/>
    <w:rsid w:val="00141180"/>
    <w:rsid w:val="00141F40"/>
    <w:rsid w:val="001422A4"/>
    <w:rsid w:val="00143326"/>
    <w:rsid w:val="0014513F"/>
    <w:rsid w:val="00146B4E"/>
    <w:rsid w:val="00151520"/>
    <w:rsid w:val="00151A6B"/>
    <w:rsid w:val="001546C9"/>
    <w:rsid w:val="00154D7E"/>
    <w:rsid w:val="00155341"/>
    <w:rsid w:val="001559B7"/>
    <w:rsid w:val="00156ED8"/>
    <w:rsid w:val="00157F32"/>
    <w:rsid w:val="00163D29"/>
    <w:rsid w:val="00164123"/>
    <w:rsid w:val="00166861"/>
    <w:rsid w:val="00167D52"/>
    <w:rsid w:val="001721FA"/>
    <w:rsid w:val="001726E5"/>
    <w:rsid w:val="001728A4"/>
    <w:rsid w:val="001731A5"/>
    <w:rsid w:val="00173AD5"/>
    <w:rsid w:val="00174F52"/>
    <w:rsid w:val="001758D5"/>
    <w:rsid w:val="001764A4"/>
    <w:rsid w:val="00176A77"/>
    <w:rsid w:val="001777A8"/>
    <w:rsid w:val="00180C30"/>
    <w:rsid w:val="00180D50"/>
    <w:rsid w:val="00180FE8"/>
    <w:rsid w:val="0018173E"/>
    <w:rsid w:val="00181BCF"/>
    <w:rsid w:val="00182B83"/>
    <w:rsid w:val="001845A3"/>
    <w:rsid w:val="00184FA7"/>
    <w:rsid w:val="0018530C"/>
    <w:rsid w:val="00185928"/>
    <w:rsid w:val="00186316"/>
    <w:rsid w:val="00187862"/>
    <w:rsid w:val="00190A94"/>
    <w:rsid w:val="001920CF"/>
    <w:rsid w:val="00193796"/>
    <w:rsid w:val="0019435E"/>
    <w:rsid w:val="001A162F"/>
    <w:rsid w:val="001A21FB"/>
    <w:rsid w:val="001A31E8"/>
    <w:rsid w:val="001A426E"/>
    <w:rsid w:val="001A497B"/>
    <w:rsid w:val="001A697A"/>
    <w:rsid w:val="001B01B8"/>
    <w:rsid w:val="001B01EE"/>
    <w:rsid w:val="001B08EE"/>
    <w:rsid w:val="001B1A65"/>
    <w:rsid w:val="001B355D"/>
    <w:rsid w:val="001B4C7A"/>
    <w:rsid w:val="001B6E01"/>
    <w:rsid w:val="001C2A0F"/>
    <w:rsid w:val="001C2D92"/>
    <w:rsid w:val="001C305C"/>
    <w:rsid w:val="001C3E8E"/>
    <w:rsid w:val="001C5B15"/>
    <w:rsid w:val="001C62A9"/>
    <w:rsid w:val="001C79FB"/>
    <w:rsid w:val="001C7C8A"/>
    <w:rsid w:val="001C7DD4"/>
    <w:rsid w:val="001D1E20"/>
    <w:rsid w:val="001D3D6D"/>
    <w:rsid w:val="001D6D99"/>
    <w:rsid w:val="001D7B44"/>
    <w:rsid w:val="001E017E"/>
    <w:rsid w:val="001E2F5D"/>
    <w:rsid w:val="001E2FAE"/>
    <w:rsid w:val="001E3202"/>
    <w:rsid w:val="001E4534"/>
    <w:rsid w:val="001E4773"/>
    <w:rsid w:val="001E48C5"/>
    <w:rsid w:val="001E4F42"/>
    <w:rsid w:val="001E50FF"/>
    <w:rsid w:val="001E59B5"/>
    <w:rsid w:val="001E7A53"/>
    <w:rsid w:val="001E7D83"/>
    <w:rsid w:val="001F2E82"/>
    <w:rsid w:val="001F5359"/>
    <w:rsid w:val="001F62B0"/>
    <w:rsid w:val="001F6AB7"/>
    <w:rsid w:val="001F7691"/>
    <w:rsid w:val="00200893"/>
    <w:rsid w:val="002013BC"/>
    <w:rsid w:val="0020385C"/>
    <w:rsid w:val="00203AC7"/>
    <w:rsid w:val="00203C7B"/>
    <w:rsid w:val="00203D9D"/>
    <w:rsid w:val="0020468F"/>
    <w:rsid w:val="00206467"/>
    <w:rsid w:val="00206485"/>
    <w:rsid w:val="002067AF"/>
    <w:rsid w:val="00206D1C"/>
    <w:rsid w:val="002071C8"/>
    <w:rsid w:val="002076E5"/>
    <w:rsid w:val="002104D5"/>
    <w:rsid w:val="00210FB4"/>
    <w:rsid w:val="002132C0"/>
    <w:rsid w:val="002136A8"/>
    <w:rsid w:val="002136F5"/>
    <w:rsid w:val="00215686"/>
    <w:rsid w:val="00216333"/>
    <w:rsid w:val="00217885"/>
    <w:rsid w:val="00222429"/>
    <w:rsid w:val="002234DD"/>
    <w:rsid w:val="00226634"/>
    <w:rsid w:val="00230329"/>
    <w:rsid w:val="00230500"/>
    <w:rsid w:val="00230F34"/>
    <w:rsid w:val="00230F69"/>
    <w:rsid w:val="00231BF8"/>
    <w:rsid w:val="002343E7"/>
    <w:rsid w:val="002354CC"/>
    <w:rsid w:val="00236AF7"/>
    <w:rsid w:val="002404CB"/>
    <w:rsid w:val="00241028"/>
    <w:rsid w:val="00241EB6"/>
    <w:rsid w:val="00241EB7"/>
    <w:rsid w:val="002433A6"/>
    <w:rsid w:val="002442FB"/>
    <w:rsid w:val="002449B8"/>
    <w:rsid w:val="00244AF1"/>
    <w:rsid w:val="00246C2E"/>
    <w:rsid w:val="00247A06"/>
    <w:rsid w:val="00247F55"/>
    <w:rsid w:val="00250A87"/>
    <w:rsid w:val="00254AE0"/>
    <w:rsid w:val="002555C6"/>
    <w:rsid w:val="0025665C"/>
    <w:rsid w:val="00257E85"/>
    <w:rsid w:val="00260CD0"/>
    <w:rsid w:val="002650BC"/>
    <w:rsid w:val="00265383"/>
    <w:rsid w:val="00265AB4"/>
    <w:rsid w:val="00271114"/>
    <w:rsid w:val="002716C8"/>
    <w:rsid w:val="00271F7F"/>
    <w:rsid w:val="00272FB0"/>
    <w:rsid w:val="0027480B"/>
    <w:rsid w:val="00275C07"/>
    <w:rsid w:val="00280EA4"/>
    <w:rsid w:val="00281601"/>
    <w:rsid w:val="002818A2"/>
    <w:rsid w:val="00283C1B"/>
    <w:rsid w:val="002865B8"/>
    <w:rsid w:val="0028710D"/>
    <w:rsid w:val="00290666"/>
    <w:rsid w:val="002913E3"/>
    <w:rsid w:val="0029224F"/>
    <w:rsid w:val="00292419"/>
    <w:rsid w:val="00292B73"/>
    <w:rsid w:val="0029532E"/>
    <w:rsid w:val="002A0226"/>
    <w:rsid w:val="002A0AA5"/>
    <w:rsid w:val="002A0D20"/>
    <w:rsid w:val="002A0E14"/>
    <w:rsid w:val="002A1D4A"/>
    <w:rsid w:val="002A26ED"/>
    <w:rsid w:val="002A2CD0"/>
    <w:rsid w:val="002A367B"/>
    <w:rsid w:val="002A4179"/>
    <w:rsid w:val="002A50CE"/>
    <w:rsid w:val="002A547A"/>
    <w:rsid w:val="002B1399"/>
    <w:rsid w:val="002B2584"/>
    <w:rsid w:val="002B39F4"/>
    <w:rsid w:val="002B460D"/>
    <w:rsid w:val="002B48B2"/>
    <w:rsid w:val="002B4B19"/>
    <w:rsid w:val="002B5034"/>
    <w:rsid w:val="002B7225"/>
    <w:rsid w:val="002B75B3"/>
    <w:rsid w:val="002B7FC2"/>
    <w:rsid w:val="002C02E6"/>
    <w:rsid w:val="002C095A"/>
    <w:rsid w:val="002C4987"/>
    <w:rsid w:val="002C4A82"/>
    <w:rsid w:val="002C5632"/>
    <w:rsid w:val="002C6F40"/>
    <w:rsid w:val="002C704E"/>
    <w:rsid w:val="002D1FE9"/>
    <w:rsid w:val="002D2E51"/>
    <w:rsid w:val="002D30CB"/>
    <w:rsid w:val="002D789F"/>
    <w:rsid w:val="002E1CE9"/>
    <w:rsid w:val="002E39E1"/>
    <w:rsid w:val="002E6458"/>
    <w:rsid w:val="002F0926"/>
    <w:rsid w:val="002F4A51"/>
    <w:rsid w:val="002F5264"/>
    <w:rsid w:val="002F55DD"/>
    <w:rsid w:val="002F58A9"/>
    <w:rsid w:val="002F61B3"/>
    <w:rsid w:val="002F6B17"/>
    <w:rsid w:val="003024FC"/>
    <w:rsid w:val="003025C5"/>
    <w:rsid w:val="00303480"/>
    <w:rsid w:val="00304264"/>
    <w:rsid w:val="00305DF3"/>
    <w:rsid w:val="00305FFB"/>
    <w:rsid w:val="00306E10"/>
    <w:rsid w:val="003071A3"/>
    <w:rsid w:val="00310165"/>
    <w:rsid w:val="00310206"/>
    <w:rsid w:val="00310D9D"/>
    <w:rsid w:val="00313059"/>
    <w:rsid w:val="003142E3"/>
    <w:rsid w:val="0031686B"/>
    <w:rsid w:val="00317C59"/>
    <w:rsid w:val="0032303A"/>
    <w:rsid w:val="003252DE"/>
    <w:rsid w:val="003254E7"/>
    <w:rsid w:val="0032595C"/>
    <w:rsid w:val="003262FE"/>
    <w:rsid w:val="00326504"/>
    <w:rsid w:val="00331296"/>
    <w:rsid w:val="0033233A"/>
    <w:rsid w:val="003328EF"/>
    <w:rsid w:val="003330D8"/>
    <w:rsid w:val="00333708"/>
    <w:rsid w:val="003340E3"/>
    <w:rsid w:val="00337689"/>
    <w:rsid w:val="00340711"/>
    <w:rsid w:val="00340A3D"/>
    <w:rsid w:val="00340AEB"/>
    <w:rsid w:val="00341492"/>
    <w:rsid w:val="00341E3F"/>
    <w:rsid w:val="00342944"/>
    <w:rsid w:val="003466D6"/>
    <w:rsid w:val="00346AF2"/>
    <w:rsid w:val="003500EA"/>
    <w:rsid w:val="00350C19"/>
    <w:rsid w:val="00351F37"/>
    <w:rsid w:val="00354DAF"/>
    <w:rsid w:val="00354F76"/>
    <w:rsid w:val="003555B9"/>
    <w:rsid w:val="00355DDB"/>
    <w:rsid w:val="00357121"/>
    <w:rsid w:val="003629A6"/>
    <w:rsid w:val="00363245"/>
    <w:rsid w:val="0036488E"/>
    <w:rsid w:val="00366434"/>
    <w:rsid w:val="00371501"/>
    <w:rsid w:val="00372840"/>
    <w:rsid w:val="003736B1"/>
    <w:rsid w:val="00373948"/>
    <w:rsid w:val="00373B61"/>
    <w:rsid w:val="00374D51"/>
    <w:rsid w:val="00375B88"/>
    <w:rsid w:val="00377A61"/>
    <w:rsid w:val="00377CD9"/>
    <w:rsid w:val="003806D3"/>
    <w:rsid w:val="003819B6"/>
    <w:rsid w:val="00383BCD"/>
    <w:rsid w:val="00383D91"/>
    <w:rsid w:val="00383F0E"/>
    <w:rsid w:val="00384C32"/>
    <w:rsid w:val="00386333"/>
    <w:rsid w:val="00386E46"/>
    <w:rsid w:val="00387663"/>
    <w:rsid w:val="003876D4"/>
    <w:rsid w:val="00387D99"/>
    <w:rsid w:val="00390C99"/>
    <w:rsid w:val="003910C0"/>
    <w:rsid w:val="003910F7"/>
    <w:rsid w:val="00391936"/>
    <w:rsid w:val="0039304B"/>
    <w:rsid w:val="00394588"/>
    <w:rsid w:val="003961F2"/>
    <w:rsid w:val="003965B9"/>
    <w:rsid w:val="003A0044"/>
    <w:rsid w:val="003A1416"/>
    <w:rsid w:val="003A14ED"/>
    <w:rsid w:val="003A2854"/>
    <w:rsid w:val="003A2F39"/>
    <w:rsid w:val="003A5348"/>
    <w:rsid w:val="003A5ACC"/>
    <w:rsid w:val="003A6C56"/>
    <w:rsid w:val="003A7F2F"/>
    <w:rsid w:val="003B087C"/>
    <w:rsid w:val="003B1732"/>
    <w:rsid w:val="003B20E2"/>
    <w:rsid w:val="003B398E"/>
    <w:rsid w:val="003B49F9"/>
    <w:rsid w:val="003B4E88"/>
    <w:rsid w:val="003B4ECB"/>
    <w:rsid w:val="003B5EA3"/>
    <w:rsid w:val="003C18B6"/>
    <w:rsid w:val="003C1D61"/>
    <w:rsid w:val="003C42AE"/>
    <w:rsid w:val="003C5658"/>
    <w:rsid w:val="003C5D08"/>
    <w:rsid w:val="003C73C4"/>
    <w:rsid w:val="003C76AF"/>
    <w:rsid w:val="003C788D"/>
    <w:rsid w:val="003D1279"/>
    <w:rsid w:val="003D178C"/>
    <w:rsid w:val="003D4301"/>
    <w:rsid w:val="003D47A4"/>
    <w:rsid w:val="003D48A7"/>
    <w:rsid w:val="003D4F4E"/>
    <w:rsid w:val="003D4FC8"/>
    <w:rsid w:val="003D6072"/>
    <w:rsid w:val="003D6C1A"/>
    <w:rsid w:val="003D74DE"/>
    <w:rsid w:val="003E039A"/>
    <w:rsid w:val="003E25BA"/>
    <w:rsid w:val="003E26C8"/>
    <w:rsid w:val="003E4C77"/>
    <w:rsid w:val="003E55AC"/>
    <w:rsid w:val="003E67BA"/>
    <w:rsid w:val="003E6D00"/>
    <w:rsid w:val="003F103C"/>
    <w:rsid w:val="003F57FF"/>
    <w:rsid w:val="003F7504"/>
    <w:rsid w:val="0040349D"/>
    <w:rsid w:val="004061CE"/>
    <w:rsid w:val="00406604"/>
    <w:rsid w:val="00406946"/>
    <w:rsid w:val="00410CA1"/>
    <w:rsid w:val="0041231A"/>
    <w:rsid w:val="00412A7F"/>
    <w:rsid w:val="0041318E"/>
    <w:rsid w:val="00416050"/>
    <w:rsid w:val="00416ADC"/>
    <w:rsid w:val="004170A1"/>
    <w:rsid w:val="004178BB"/>
    <w:rsid w:val="00420C07"/>
    <w:rsid w:val="00421353"/>
    <w:rsid w:val="0042270D"/>
    <w:rsid w:val="00422911"/>
    <w:rsid w:val="00430870"/>
    <w:rsid w:val="00431F2C"/>
    <w:rsid w:val="00433303"/>
    <w:rsid w:val="00434B6D"/>
    <w:rsid w:val="00434DFC"/>
    <w:rsid w:val="004355C6"/>
    <w:rsid w:val="00435EB1"/>
    <w:rsid w:val="0044048B"/>
    <w:rsid w:val="00440D6C"/>
    <w:rsid w:val="004411F8"/>
    <w:rsid w:val="004412D9"/>
    <w:rsid w:val="00441A26"/>
    <w:rsid w:val="00442BFF"/>
    <w:rsid w:val="0044342E"/>
    <w:rsid w:val="004445F3"/>
    <w:rsid w:val="00444A10"/>
    <w:rsid w:val="00445D72"/>
    <w:rsid w:val="0044617B"/>
    <w:rsid w:val="00446C6D"/>
    <w:rsid w:val="00452F63"/>
    <w:rsid w:val="004530CA"/>
    <w:rsid w:val="00453757"/>
    <w:rsid w:val="00453F30"/>
    <w:rsid w:val="0045594C"/>
    <w:rsid w:val="00455C16"/>
    <w:rsid w:val="00455C28"/>
    <w:rsid w:val="004565D6"/>
    <w:rsid w:val="00456DB9"/>
    <w:rsid w:val="00460463"/>
    <w:rsid w:val="0046392F"/>
    <w:rsid w:val="00463EE3"/>
    <w:rsid w:val="00466F93"/>
    <w:rsid w:val="004675B3"/>
    <w:rsid w:val="00467FAB"/>
    <w:rsid w:val="00473216"/>
    <w:rsid w:val="00473EB9"/>
    <w:rsid w:val="0047440B"/>
    <w:rsid w:val="00474EC2"/>
    <w:rsid w:val="00475027"/>
    <w:rsid w:val="00475E21"/>
    <w:rsid w:val="00480E60"/>
    <w:rsid w:val="00481BB5"/>
    <w:rsid w:val="00482641"/>
    <w:rsid w:val="00482661"/>
    <w:rsid w:val="004830F6"/>
    <w:rsid w:val="004841BD"/>
    <w:rsid w:val="00487087"/>
    <w:rsid w:val="004927A6"/>
    <w:rsid w:val="004928B4"/>
    <w:rsid w:val="004949EC"/>
    <w:rsid w:val="00496179"/>
    <w:rsid w:val="00496259"/>
    <w:rsid w:val="0049632A"/>
    <w:rsid w:val="004968E5"/>
    <w:rsid w:val="004A23E5"/>
    <w:rsid w:val="004A40D3"/>
    <w:rsid w:val="004A4B84"/>
    <w:rsid w:val="004A602D"/>
    <w:rsid w:val="004A668F"/>
    <w:rsid w:val="004A6ACA"/>
    <w:rsid w:val="004B0AFC"/>
    <w:rsid w:val="004B16A6"/>
    <w:rsid w:val="004B2469"/>
    <w:rsid w:val="004B307D"/>
    <w:rsid w:val="004B3C1C"/>
    <w:rsid w:val="004B3DAF"/>
    <w:rsid w:val="004B3DEF"/>
    <w:rsid w:val="004B53A1"/>
    <w:rsid w:val="004C0F94"/>
    <w:rsid w:val="004C2108"/>
    <w:rsid w:val="004C22CF"/>
    <w:rsid w:val="004C4DFD"/>
    <w:rsid w:val="004C5570"/>
    <w:rsid w:val="004C602A"/>
    <w:rsid w:val="004C698F"/>
    <w:rsid w:val="004D0EA0"/>
    <w:rsid w:val="004D13EC"/>
    <w:rsid w:val="004D166B"/>
    <w:rsid w:val="004D41BA"/>
    <w:rsid w:val="004D435A"/>
    <w:rsid w:val="004D4E01"/>
    <w:rsid w:val="004D5487"/>
    <w:rsid w:val="004D63CF"/>
    <w:rsid w:val="004D7505"/>
    <w:rsid w:val="004E0736"/>
    <w:rsid w:val="004E341D"/>
    <w:rsid w:val="004E3F19"/>
    <w:rsid w:val="004E52C1"/>
    <w:rsid w:val="004E7043"/>
    <w:rsid w:val="004F1112"/>
    <w:rsid w:val="004F17F6"/>
    <w:rsid w:val="004F2E1E"/>
    <w:rsid w:val="004F69CA"/>
    <w:rsid w:val="004F70A3"/>
    <w:rsid w:val="004F7996"/>
    <w:rsid w:val="005004A6"/>
    <w:rsid w:val="00501397"/>
    <w:rsid w:val="00501534"/>
    <w:rsid w:val="00503E74"/>
    <w:rsid w:val="00504395"/>
    <w:rsid w:val="00506E2C"/>
    <w:rsid w:val="0050718F"/>
    <w:rsid w:val="0051026F"/>
    <w:rsid w:val="00510886"/>
    <w:rsid w:val="00511657"/>
    <w:rsid w:val="0051213A"/>
    <w:rsid w:val="00512804"/>
    <w:rsid w:val="00515E30"/>
    <w:rsid w:val="005204B3"/>
    <w:rsid w:val="0052050A"/>
    <w:rsid w:val="00521500"/>
    <w:rsid w:val="00522E0A"/>
    <w:rsid w:val="00522FF9"/>
    <w:rsid w:val="00524A2C"/>
    <w:rsid w:val="00530597"/>
    <w:rsid w:val="0053166B"/>
    <w:rsid w:val="00532A0D"/>
    <w:rsid w:val="00533C7B"/>
    <w:rsid w:val="0053476E"/>
    <w:rsid w:val="00536796"/>
    <w:rsid w:val="00541D92"/>
    <w:rsid w:val="00544D75"/>
    <w:rsid w:val="00545C11"/>
    <w:rsid w:val="00551350"/>
    <w:rsid w:val="00551FCE"/>
    <w:rsid w:val="00553A50"/>
    <w:rsid w:val="005546F2"/>
    <w:rsid w:val="00555D8D"/>
    <w:rsid w:val="00560883"/>
    <w:rsid w:val="00561262"/>
    <w:rsid w:val="00565F03"/>
    <w:rsid w:val="00566C0D"/>
    <w:rsid w:val="00567139"/>
    <w:rsid w:val="00570AA8"/>
    <w:rsid w:val="00575479"/>
    <w:rsid w:val="00577966"/>
    <w:rsid w:val="00580518"/>
    <w:rsid w:val="00584B21"/>
    <w:rsid w:val="00585080"/>
    <w:rsid w:val="00585220"/>
    <w:rsid w:val="00590A93"/>
    <w:rsid w:val="00592017"/>
    <w:rsid w:val="005933F3"/>
    <w:rsid w:val="0059425E"/>
    <w:rsid w:val="0059690B"/>
    <w:rsid w:val="005A02F4"/>
    <w:rsid w:val="005A085D"/>
    <w:rsid w:val="005A0C01"/>
    <w:rsid w:val="005A13EB"/>
    <w:rsid w:val="005A185A"/>
    <w:rsid w:val="005A1D03"/>
    <w:rsid w:val="005A203E"/>
    <w:rsid w:val="005A2D86"/>
    <w:rsid w:val="005A39B6"/>
    <w:rsid w:val="005A3D20"/>
    <w:rsid w:val="005A3E51"/>
    <w:rsid w:val="005A4FF5"/>
    <w:rsid w:val="005A62E7"/>
    <w:rsid w:val="005A73AD"/>
    <w:rsid w:val="005A76A3"/>
    <w:rsid w:val="005B163A"/>
    <w:rsid w:val="005B4A0F"/>
    <w:rsid w:val="005C28CD"/>
    <w:rsid w:val="005C38B5"/>
    <w:rsid w:val="005C4504"/>
    <w:rsid w:val="005C5CED"/>
    <w:rsid w:val="005C5EF1"/>
    <w:rsid w:val="005C70F4"/>
    <w:rsid w:val="005D0258"/>
    <w:rsid w:val="005D078B"/>
    <w:rsid w:val="005D08D9"/>
    <w:rsid w:val="005D22F8"/>
    <w:rsid w:val="005D3502"/>
    <w:rsid w:val="005D5FCF"/>
    <w:rsid w:val="005D6081"/>
    <w:rsid w:val="005E1F68"/>
    <w:rsid w:val="005E4DF4"/>
    <w:rsid w:val="005E5844"/>
    <w:rsid w:val="005E77F5"/>
    <w:rsid w:val="005F11D8"/>
    <w:rsid w:val="005F192B"/>
    <w:rsid w:val="005F5C6A"/>
    <w:rsid w:val="005F6F92"/>
    <w:rsid w:val="005F75C4"/>
    <w:rsid w:val="00602B11"/>
    <w:rsid w:val="0060442F"/>
    <w:rsid w:val="006049EF"/>
    <w:rsid w:val="00604C0F"/>
    <w:rsid w:val="00606848"/>
    <w:rsid w:val="006073FA"/>
    <w:rsid w:val="00607BA3"/>
    <w:rsid w:val="006111CC"/>
    <w:rsid w:val="006128B2"/>
    <w:rsid w:val="00613640"/>
    <w:rsid w:val="00614C3E"/>
    <w:rsid w:val="00614FF3"/>
    <w:rsid w:val="00616B49"/>
    <w:rsid w:val="00617F1A"/>
    <w:rsid w:val="006206B5"/>
    <w:rsid w:val="00622EAD"/>
    <w:rsid w:val="00623289"/>
    <w:rsid w:val="0062450D"/>
    <w:rsid w:val="00624A8F"/>
    <w:rsid w:val="006267DB"/>
    <w:rsid w:val="006269A1"/>
    <w:rsid w:val="00631315"/>
    <w:rsid w:val="00631422"/>
    <w:rsid w:val="00632D9F"/>
    <w:rsid w:val="00635A7B"/>
    <w:rsid w:val="00636586"/>
    <w:rsid w:val="00636821"/>
    <w:rsid w:val="006378C3"/>
    <w:rsid w:val="0064042A"/>
    <w:rsid w:val="00640EBC"/>
    <w:rsid w:val="00641C98"/>
    <w:rsid w:val="00643B49"/>
    <w:rsid w:val="006463DB"/>
    <w:rsid w:val="00647FB1"/>
    <w:rsid w:val="00650FBD"/>
    <w:rsid w:val="00651338"/>
    <w:rsid w:val="006514FA"/>
    <w:rsid w:val="00651F8A"/>
    <w:rsid w:val="006526EE"/>
    <w:rsid w:val="0065559C"/>
    <w:rsid w:val="00660065"/>
    <w:rsid w:val="0066051D"/>
    <w:rsid w:val="0066130B"/>
    <w:rsid w:val="00661F83"/>
    <w:rsid w:val="00662B2F"/>
    <w:rsid w:val="00663AF8"/>
    <w:rsid w:val="00663D29"/>
    <w:rsid w:val="006648C6"/>
    <w:rsid w:val="006652D5"/>
    <w:rsid w:val="00665A8A"/>
    <w:rsid w:val="0066664B"/>
    <w:rsid w:val="00667425"/>
    <w:rsid w:val="006704DE"/>
    <w:rsid w:val="006735EF"/>
    <w:rsid w:val="006735FE"/>
    <w:rsid w:val="00674923"/>
    <w:rsid w:val="006759B8"/>
    <w:rsid w:val="00675AEF"/>
    <w:rsid w:val="006804C7"/>
    <w:rsid w:val="006812BE"/>
    <w:rsid w:val="00681340"/>
    <w:rsid w:val="00681745"/>
    <w:rsid w:val="00682EEE"/>
    <w:rsid w:val="00684259"/>
    <w:rsid w:val="00684B5C"/>
    <w:rsid w:val="006852A3"/>
    <w:rsid w:val="00685D4E"/>
    <w:rsid w:val="00686C0B"/>
    <w:rsid w:val="00686EAC"/>
    <w:rsid w:val="00687AD6"/>
    <w:rsid w:val="00690ACD"/>
    <w:rsid w:val="00691D04"/>
    <w:rsid w:val="00691DCE"/>
    <w:rsid w:val="00691DF5"/>
    <w:rsid w:val="00691DFB"/>
    <w:rsid w:val="006924F3"/>
    <w:rsid w:val="006963E6"/>
    <w:rsid w:val="00696418"/>
    <w:rsid w:val="00696A4C"/>
    <w:rsid w:val="00697304"/>
    <w:rsid w:val="006A1EF9"/>
    <w:rsid w:val="006A5502"/>
    <w:rsid w:val="006A5571"/>
    <w:rsid w:val="006A59E3"/>
    <w:rsid w:val="006A6CD6"/>
    <w:rsid w:val="006A6E64"/>
    <w:rsid w:val="006A6F88"/>
    <w:rsid w:val="006A7342"/>
    <w:rsid w:val="006B3185"/>
    <w:rsid w:val="006B3EF9"/>
    <w:rsid w:val="006B5D7F"/>
    <w:rsid w:val="006B6326"/>
    <w:rsid w:val="006C05F5"/>
    <w:rsid w:val="006C1951"/>
    <w:rsid w:val="006C39E6"/>
    <w:rsid w:val="006C3C35"/>
    <w:rsid w:val="006C49D0"/>
    <w:rsid w:val="006C4A38"/>
    <w:rsid w:val="006C4C08"/>
    <w:rsid w:val="006C4CFD"/>
    <w:rsid w:val="006C57CA"/>
    <w:rsid w:val="006D005B"/>
    <w:rsid w:val="006D2C99"/>
    <w:rsid w:val="006D5358"/>
    <w:rsid w:val="006D58E7"/>
    <w:rsid w:val="006D5BB9"/>
    <w:rsid w:val="006D66D5"/>
    <w:rsid w:val="006D7E51"/>
    <w:rsid w:val="006E0855"/>
    <w:rsid w:val="006E23F3"/>
    <w:rsid w:val="006E368B"/>
    <w:rsid w:val="006E4398"/>
    <w:rsid w:val="006E5530"/>
    <w:rsid w:val="006E5989"/>
    <w:rsid w:val="006E64BB"/>
    <w:rsid w:val="006E7623"/>
    <w:rsid w:val="006F02AA"/>
    <w:rsid w:val="006F0359"/>
    <w:rsid w:val="006F045D"/>
    <w:rsid w:val="006F158B"/>
    <w:rsid w:val="006F2697"/>
    <w:rsid w:val="006F346D"/>
    <w:rsid w:val="006F5189"/>
    <w:rsid w:val="006F5FEA"/>
    <w:rsid w:val="00700576"/>
    <w:rsid w:val="00700C87"/>
    <w:rsid w:val="0070118F"/>
    <w:rsid w:val="00701262"/>
    <w:rsid w:val="007032E2"/>
    <w:rsid w:val="007036B3"/>
    <w:rsid w:val="0070507B"/>
    <w:rsid w:val="0070548F"/>
    <w:rsid w:val="00706266"/>
    <w:rsid w:val="007072A0"/>
    <w:rsid w:val="007073CE"/>
    <w:rsid w:val="0070748B"/>
    <w:rsid w:val="007100F7"/>
    <w:rsid w:val="00710415"/>
    <w:rsid w:val="0071051B"/>
    <w:rsid w:val="007112D1"/>
    <w:rsid w:val="00712124"/>
    <w:rsid w:val="00714214"/>
    <w:rsid w:val="007146AE"/>
    <w:rsid w:val="00717B42"/>
    <w:rsid w:val="00720A8B"/>
    <w:rsid w:val="007211E3"/>
    <w:rsid w:val="00722467"/>
    <w:rsid w:val="00722471"/>
    <w:rsid w:val="0072301B"/>
    <w:rsid w:val="00723CD5"/>
    <w:rsid w:val="00723EF2"/>
    <w:rsid w:val="007244BA"/>
    <w:rsid w:val="00724FA2"/>
    <w:rsid w:val="00724FFA"/>
    <w:rsid w:val="00725064"/>
    <w:rsid w:val="0072678C"/>
    <w:rsid w:val="007337BF"/>
    <w:rsid w:val="0073785E"/>
    <w:rsid w:val="00740668"/>
    <w:rsid w:val="0074071C"/>
    <w:rsid w:val="0074184D"/>
    <w:rsid w:val="00742FFB"/>
    <w:rsid w:val="00750ADC"/>
    <w:rsid w:val="007526A0"/>
    <w:rsid w:val="0075310D"/>
    <w:rsid w:val="007536A3"/>
    <w:rsid w:val="00754E58"/>
    <w:rsid w:val="00754F00"/>
    <w:rsid w:val="007556A5"/>
    <w:rsid w:val="007568A9"/>
    <w:rsid w:val="007574F2"/>
    <w:rsid w:val="00757800"/>
    <w:rsid w:val="0076155E"/>
    <w:rsid w:val="00761ED9"/>
    <w:rsid w:val="007622F4"/>
    <w:rsid w:val="0076296D"/>
    <w:rsid w:val="00763107"/>
    <w:rsid w:val="0076335A"/>
    <w:rsid w:val="00763AAB"/>
    <w:rsid w:val="007671C8"/>
    <w:rsid w:val="00770920"/>
    <w:rsid w:val="007709A9"/>
    <w:rsid w:val="00772312"/>
    <w:rsid w:val="00773FC3"/>
    <w:rsid w:val="00774658"/>
    <w:rsid w:val="007754A7"/>
    <w:rsid w:val="00775748"/>
    <w:rsid w:val="00776CBD"/>
    <w:rsid w:val="0078007E"/>
    <w:rsid w:val="0078248F"/>
    <w:rsid w:val="00782549"/>
    <w:rsid w:val="0078299B"/>
    <w:rsid w:val="0078655F"/>
    <w:rsid w:val="00790457"/>
    <w:rsid w:val="0079175D"/>
    <w:rsid w:val="0079203B"/>
    <w:rsid w:val="00793851"/>
    <w:rsid w:val="0079600B"/>
    <w:rsid w:val="00797331"/>
    <w:rsid w:val="00797632"/>
    <w:rsid w:val="007A0132"/>
    <w:rsid w:val="007A0FDD"/>
    <w:rsid w:val="007A1546"/>
    <w:rsid w:val="007A21B5"/>
    <w:rsid w:val="007A243D"/>
    <w:rsid w:val="007A2AD5"/>
    <w:rsid w:val="007A7204"/>
    <w:rsid w:val="007A76A9"/>
    <w:rsid w:val="007B0435"/>
    <w:rsid w:val="007B049D"/>
    <w:rsid w:val="007B0BC8"/>
    <w:rsid w:val="007B4AE1"/>
    <w:rsid w:val="007B5D86"/>
    <w:rsid w:val="007B61AB"/>
    <w:rsid w:val="007B650E"/>
    <w:rsid w:val="007B6643"/>
    <w:rsid w:val="007B6D03"/>
    <w:rsid w:val="007B7553"/>
    <w:rsid w:val="007B7F12"/>
    <w:rsid w:val="007C4197"/>
    <w:rsid w:val="007C4261"/>
    <w:rsid w:val="007C5C7C"/>
    <w:rsid w:val="007C5FE6"/>
    <w:rsid w:val="007C6527"/>
    <w:rsid w:val="007C6863"/>
    <w:rsid w:val="007D1780"/>
    <w:rsid w:val="007D17EB"/>
    <w:rsid w:val="007D1C44"/>
    <w:rsid w:val="007D647E"/>
    <w:rsid w:val="007D689F"/>
    <w:rsid w:val="007D77CD"/>
    <w:rsid w:val="007E0C08"/>
    <w:rsid w:val="007E13F6"/>
    <w:rsid w:val="007E234F"/>
    <w:rsid w:val="007E2D7E"/>
    <w:rsid w:val="007E7237"/>
    <w:rsid w:val="007F33BD"/>
    <w:rsid w:val="007F5AAB"/>
    <w:rsid w:val="007F5C8F"/>
    <w:rsid w:val="007F5E3E"/>
    <w:rsid w:val="007F62B2"/>
    <w:rsid w:val="008025DF"/>
    <w:rsid w:val="00806581"/>
    <w:rsid w:val="00807884"/>
    <w:rsid w:val="00810FC9"/>
    <w:rsid w:val="00811B8B"/>
    <w:rsid w:val="00812326"/>
    <w:rsid w:val="00812B64"/>
    <w:rsid w:val="00812FB7"/>
    <w:rsid w:val="008131AD"/>
    <w:rsid w:val="008131D7"/>
    <w:rsid w:val="008155FD"/>
    <w:rsid w:val="00817B4C"/>
    <w:rsid w:val="008205C6"/>
    <w:rsid w:val="0082155B"/>
    <w:rsid w:val="008218E3"/>
    <w:rsid w:val="00823302"/>
    <w:rsid w:val="00825B7E"/>
    <w:rsid w:val="00832C69"/>
    <w:rsid w:val="0083354C"/>
    <w:rsid w:val="008342A0"/>
    <w:rsid w:val="008353BC"/>
    <w:rsid w:val="0083653B"/>
    <w:rsid w:val="00836B36"/>
    <w:rsid w:val="00841F8F"/>
    <w:rsid w:val="008431CD"/>
    <w:rsid w:val="008440FB"/>
    <w:rsid w:val="008441C5"/>
    <w:rsid w:val="00845FC2"/>
    <w:rsid w:val="0084722A"/>
    <w:rsid w:val="00850EB8"/>
    <w:rsid w:val="00850FEE"/>
    <w:rsid w:val="00852544"/>
    <w:rsid w:val="00852D40"/>
    <w:rsid w:val="00853193"/>
    <w:rsid w:val="008554D0"/>
    <w:rsid w:val="008561DC"/>
    <w:rsid w:val="00860027"/>
    <w:rsid w:val="00860603"/>
    <w:rsid w:val="00861CD8"/>
    <w:rsid w:val="00864402"/>
    <w:rsid w:val="008653DF"/>
    <w:rsid w:val="00865869"/>
    <w:rsid w:val="00865953"/>
    <w:rsid w:val="00866CAD"/>
    <w:rsid w:val="0086763C"/>
    <w:rsid w:val="00867C41"/>
    <w:rsid w:val="008703D5"/>
    <w:rsid w:val="0087065A"/>
    <w:rsid w:val="00871A44"/>
    <w:rsid w:val="008732F8"/>
    <w:rsid w:val="00873A75"/>
    <w:rsid w:val="00873FDE"/>
    <w:rsid w:val="008746D5"/>
    <w:rsid w:val="0087626E"/>
    <w:rsid w:val="00876AA9"/>
    <w:rsid w:val="00876F68"/>
    <w:rsid w:val="00877766"/>
    <w:rsid w:val="00881471"/>
    <w:rsid w:val="00882CEC"/>
    <w:rsid w:val="00883196"/>
    <w:rsid w:val="0088427E"/>
    <w:rsid w:val="008857C9"/>
    <w:rsid w:val="00885AB4"/>
    <w:rsid w:val="00885E67"/>
    <w:rsid w:val="00885F5E"/>
    <w:rsid w:val="0089090B"/>
    <w:rsid w:val="008909C5"/>
    <w:rsid w:val="00891C76"/>
    <w:rsid w:val="00892F08"/>
    <w:rsid w:val="00894E6C"/>
    <w:rsid w:val="0089640A"/>
    <w:rsid w:val="00896C86"/>
    <w:rsid w:val="0089793A"/>
    <w:rsid w:val="008A0244"/>
    <w:rsid w:val="008A0409"/>
    <w:rsid w:val="008A101D"/>
    <w:rsid w:val="008A30AD"/>
    <w:rsid w:val="008A5A11"/>
    <w:rsid w:val="008A69A5"/>
    <w:rsid w:val="008A7101"/>
    <w:rsid w:val="008B07A2"/>
    <w:rsid w:val="008B11FC"/>
    <w:rsid w:val="008B1B1D"/>
    <w:rsid w:val="008B252D"/>
    <w:rsid w:val="008B43DE"/>
    <w:rsid w:val="008B5015"/>
    <w:rsid w:val="008B71F0"/>
    <w:rsid w:val="008C163F"/>
    <w:rsid w:val="008C3EA9"/>
    <w:rsid w:val="008C3F43"/>
    <w:rsid w:val="008C42AC"/>
    <w:rsid w:val="008C5362"/>
    <w:rsid w:val="008C7C81"/>
    <w:rsid w:val="008D0561"/>
    <w:rsid w:val="008D0A61"/>
    <w:rsid w:val="008D24AF"/>
    <w:rsid w:val="008D3365"/>
    <w:rsid w:val="008D4C5C"/>
    <w:rsid w:val="008D69C5"/>
    <w:rsid w:val="008E06B3"/>
    <w:rsid w:val="008E2092"/>
    <w:rsid w:val="008E3CC0"/>
    <w:rsid w:val="008E5D61"/>
    <w:rsid w:val="008E5EC9"/>
    <w:rsid w:val="008E61C2"/>
    <w:rsid w:val="008F0773"/>
    <w:rsid w:val="008F12A5"/>
    <w:rsid w:val="008F320C"/>
    <w:rsid w:val="008F36DE"/>
    <w:rsid w:val="008F61F6"/>
    <w:rsid w:val="008F6AE8"/>
    <w:rsid w:val="00903BA2"/>
    <w:rsid w:val="0090600E"/>
    <w:rsid w:val="00906720"/>
    <w:rsid w:val="00906BBA"/>
    <w:rsid w:val="009102E4"/>
    <w:rsid w:val="0091050E"/>
    <w:rsid w:val="00910655"/>
    <w:rsid w:val="00910BEE"/>
    <w:rsid w:val="00910D67"/>
    <w:rsid w:val="00911624"/>
    <w:rsid w:val="009123DE"/>
    <w:rsid w:val="009125F4"/>
    <w:rsid w:val="00912A7A"/>
    <w:rsid w:val="0091534C"/>
    <w:rsid w:val="009159EC"/>
    <w:rsid w:val="00920FFB"/>
    <w:rsid w:val="00921BA2"/>
    <w:rsid w:val="00923A88"/>
    <w:rsid w:val="00924204"/>
    <w:rsid w:val="00924428"/>
    <w:rsid w:val="009263BC"/>
    <w:rsid w:val="00926572"/>
    <w:rsid w:val="00926B31"/>
    <w:rsid w:val="00926C53"/>
    <w:rsid w:val="00927E2B"/>
    <w:rsid w:val="009304E9"/>
    <w:rsid w:val="0093066D"/>
    <w:rsid w:val="00934566"/>
    <w:rsid w:val="00937A50"/>
    <w:rsid w:val="00942ED9"/>
    <w:rsid w:val="00942F57"/>
    <w:rsid w:val="00942F91"/>
    <w:rsid w:val="00945BE0"/>
    <w:rsid w:val="009463D7"/>
    <w:rsid w:val="00946BBB"/>
    <w:rsid w:val="00947F4F"/>
    <w:rsid w:val="00952BDE"/>
    <w:rsid w:val="00953A9E"/>
    <w:rsid w:val="00954881"/>
    <w:rsid w:val="0095518A"/>
    <w:rsid w:val="00955783"/>
    <w:rsid w:val="009560B2"/>
    <w:rsid w:val="00956F0A"/>
    <w:rsid w:val="009603C1"/>
    <w:rsid w:val="00961A6D"/>
    <w:rsid w:val="00963111"/>
    <w:rsid w:val="00963FA7"/>
    <w:rsid w:val="00965E3C"/>
    <w:rsid w:val="009661D1"/>
    <w:rsid w:val="009742AE"/>
    <w:rsid w:val="00976891"/>
    <w:rsid w:val="00977E3B"/>
    <w:rsid w:val="0098042C"/>
    <w:rsid w:val="00981A49"/>
    <w:rsid w:val="00981BC0"/>
    <w:rsid w:val="00982D89"/>
    <w:rsid w:val="00990085"/>
    <w:rsid w:val="00990E23"/>
    <w:rsid w:val="0099195B"/>
    <w:rsid w:val="00991C81"/>
    <w:rsid w:val="0099348F"/>
    <w:rsid w:val="00995CBC"/>
    <w:rsid w:val="009A0264"/>
    <w:rsid w:val="009A02BC"/>
    <w:rsid w:val="009A222D"/>
    <w:rsid w:val="009A23C4"/>
    <w:rsid w:val="009A44ED"/>
    <w:rsid w:val="009A53D1"/>
    <w:rsid w:val="009A59F4"/>
    <w:rsid w:val="009A6D67"/>
    <w:rsid w:val="009A7229"/>
    <w:rsid w:val="009A731E"/>
    <w:rsid w:val="009B1E02"/>
    <w:rsid w:val="009B2D27"/>
    <w:rsid w:val="009B468E"/>
    <w:rsid w:val="009B56F3"/>
    <w:rsid w:val="009B7B00"/>
    <w:rsid w:val="009C005F"/>
    <w:rsid w:val="009C3A6F"/>
    <w:rsid w:val="009C5DEA"/>
    <w:rsid w:val="009C696A"/>
    <w:rsid w:val="009D5091"/>
    <w:rsid w:val="009D69A3"/>
    <w:rsid w:val="009E0CD4"/>
    <w:rsid w:val="009E0EC4"/>
    <w:rsid w:val="009E2AE9"/>
    <w:rsid w:val="009E2B33"/>
    <w:rsid w:val="009E3317"/>
    <w:rsid w:val="009E3A21"/>
    <w:rsid w:val="009E650F"/>
    <w:rsid w:val="009E7B63"/>
    <w:rsid w:val="009E7BA5"/>
    <w:rsid w:val="009F01DA"/>
    <w:rsid w:val="009F0280"/>
    <w:rsid w:val="009F18C1"/>
    <w:rsid w:val="009F3749"/>
    <w:rsid w:val="009F38BD"/>
    <w:rsid w:val="009F4C24"/>
    <w:rsid w:val="009F5C3C"/>
    <w:rsid w:val="009F654A"/>
    <w:rsid w:val="009F7D10"/>
    <w:rsid w:val="00A00E58"/>
    <w:rsid w:val="00A0179D"/>
    <w:rsid w:val="00A03B6D"/>
    <w:rsid w:val="00A04BC9"/>
    <w:rsid w:val="00A0647B"/>
    <w:rsid w:val="00A102CC"/>
    <w:rsid w:val="00A1090A"/>
    <w:rsid w:val="00A10DCB"/>
    <w:rsid w:val="00A10EA2"/>
    <w:rsid w:val="00A1171C"/>
    <w:rsid w:val="00A11B36"/>
    <w:rsid w:val="00A13415"/>
    <w:rsid w:val="00A14BFE"/>
    <w:rsid w:val="00A16A5F"/>
    <w:rsid w:val="00A17E02"/>
    <w:rsid w:val="00A17FD4"/>
    <w:rsid w:val="00A20AE6"/>
    <w:rsid w:val="00A20BA0"/>
    <w:rsid w:val="00A2151A"/>
    <w:rsid w:val="00A22ADA"/>
    <w:rsid w:val="00A24302"/>
    <w:rsid w:val="00A2491A"/>
    <w:rsid w:val="00A24E2F"/>
    <w:rsid w:val="00A2601F"/>
    <w:rsid w:val="00A2634E"/>
    <w:rsid w:val="00A27863"/>
    <w:rsid w:val="00A30F85"/>
    <w:rsid w:val="00A322A9"/>
    <w:rsid w:val="00A3332B"/>
    <w:rsid w:val="00A346A2"/>
    <w:rsid w:val="00A35D5A"/>
    <w:rsid w:val="00A36ED9"/>
    <w:rsid w:val="00A373DD"/>
    <w:rsid w:val="00A37962"/>
    <w:rsid w:val="00A40521"/>
    <w:rsid w:val="00A4070B"/>
    <w:rsid w:val="00A41B44"/>
    <w:rsid w:val="00A42CDF"/>
    <w:rsid w:val="00A440D1"/>
    <w:rsid w:val="00A457AC"/>
    <w:rsid w:val="00A45F23"/>
    <w:rsid w:val="00A466A9"/>
    <w:rsid w:val="00A47A42"/>
    <w:rsid w:val="00A5093D"/>
    <w:rsid w:val="00A50E3B"/>
    <w:rsid w:val="00A53FC5"/>
    <w:rsid w:val="00A55980"/>
    <w:rsid w:val="00A61004"/>
    <w:rsid w:val="00A61143"/>
    <w:rsid w:val="00A64A9D"/>
    <w:rsid w:val="00A658AA"/>
    <w:rsid w:val="00A65F59"/>
    <w:rsid w:val="00A6655A"/>
    <w:rsid w:val="00A6692A"/>
    <w:rsid w:val="00A671DA"/>
    <w:rsid w:val="00A711AD"/>
    <w:rsid w:val="00A7158D"/>
    <w:rsid w:val="00A71EF7"/>
    <w:rsid w:val="00A746FF"/>
    <w:rsid w:val="00A761C6"/>
    <w:rsid w:val="00A763EC"/>
    <w:rsid w:val="00A76DEA"/>
    <w:rsid w:val="00A774D2"/>
    <w:rsid w:val="00A779AF"/>
    <w:rsid w:val="00A77B30"/>
    <w:rsid w:val="00A804D0"/>
    <w:rsid w:val="00A807B4"/>
    <w:rsid w:val="00A8315D"/>
    <w:rsid w:val="00A876FC"/>
    <w:rsid w:val="00A9541B"/>
    <w:rsid w:val="00A96A25"/>
    <w:rsid w:val="00AA1F0A"/>
    <w:rsid w:val="00AA28AB"/>
    <w:rsid w:val="00AA2F0A"/>
    <w:rsid w:val="00AA334D"/>
    <w:rsid w:val="00AA4792"/>
    <w:rsid w:val="00AA7726"/>
    <w:rsid w:val="00AA78D8"/>
    <w:rsid w:val="00AB1056"/>
    <w:rsid w:val="00AB13A3"/>
    <w:rsid w:val="00AB13C5"/>
    <w:rsid w:val="00AB1555"/>
    <w:rsid w:val="00AB1659"/>
    <w:rsid w:val="00AB25EA"/>
    <w:rsid w:val="00AB5B27"/>
    <w:rsid w:val="00AB5D94"/>
    <w:rsid w:val="00AB5E4D"/>
    <w:rsid w:val="00AC093B"/>
    <w:rsid w:val="00AC0D29"/>
    <w:rsid w:val="00AC2804"/>
    <w:rsid w:val="00AC2FD3"/>
    <w:rsid w:val="00AC6D6B"/>
    <w:rsid w:val="00AC70BD"/>
    <w:rsid w:val="00AC7476"/>
    <w:rsid w:val="00AC74F7"/>
    <w:rsid w:val="00AD09FD"/>
    <w:rsid w:val="00AD4C33"/>
    <w:rsid w:val="00AD536B"/>
    <w:rsid w:val="00AE3CEB"/>
    <w:rsid w:val="00AE3DCA"/>
    <w:rsid w:val="00AE7CE6"/>
    <w:rsid w:val="00AF0151"/>
    <w:rsid w:val="00AF194B"/>
    <w:rsid w:val="00AF3C9E"/>
    <w:rsid w:val="00AF63FA"/>
    <w:rsid w:val="00AF6859"/>
    <w:rsid w:val="00B000E1"/>
    <w:rsid w:val="00B00C20"/>
    <w:rsid w:val="00B00C2A"/>
    <w:rsid w:val="00B061B5"/>
    <w:rsid w:val="00B069CA"/>
    <w:rsid w:val="00B06F1C"/>
    <w:rsid w:val="00B10BE0"/>
    <w:rsid w:val="00B1316A"/>
    <w:rsid w:val="00B14838"/>
    <w:rsid w:val="00B150B3"/>
    <w:rsid w:val="00B16676"/>
    <w:rsid w:val="00B16A98"/>
    <w:rsid w:val="00B173C0"/>
    <w:rsid w:val="00B20230"/>
    <w:rsid w:val="00B20800"/>
    <w:rsid w:val="00B30256"/>
    <w:rsid w:val="00B30F4C"/>
    <w:rsid w:val="00B31892"/>
    <w:rsid w:val="00B32FA7"/>
    <w:rsid w:val="00B33052"/>
    <w:rsid w:val="00B34223"/>
    <w:rsid w:val="00B3428E"/>
    <w:rsid w:val="00B345CD"/>
    <w:rsid w:val="00B35CDE"/>
    <w:rsid w:val="00B35DB4"/>
    <w:rsid w:val="00B402E7"/>
    <w:rsid w:val="00B404FC"/>
    <w:rsid w:val="00B41759"/>
    <w:rsid w:val="00B42693"/>
    <w:rsid w:val="00B427F1"/>
    <w:rsid w:val="00B438C3"/>
    <w:rsid w:val="00B45810"/>
    <w:rsid w:val="00B47A6F"/>
    <w:rsid w:val="00B502EC"/>
    <w:rsid w:val="00B53611"/>
    <w:rsid w:val="00B539E0"/>
    <w:rsid w:val="00B53A14"/>
    <w:rsid w:val="00B553A9"/>
    <w:rsid w:val="00B56C6F"/>
    <w:rsid w:val="00B56F28"/>
    <w:rsid w:val="00B6164B"/>
    <w:rsid w:val="00B62271"/>
    <w:rsid w:val="00B62488"/>
    <w:rsid w:val="00B63504"/>
    <w:rsid w:val="00B63BDE"/>
    <w:rsid w:val="00B65260"/>
    <w:rsid w:val="00B661EF"/>
    <w:rsid w:val="00B675A1"/>
    <w:rsid w:val="00B70128"/>
    <w:rsid w:val="00B7074A"/>
    <w:rsid w:val="00B70E66"/>
    <w:rsid w:val="00B733F0"/>
    <w:rsid w:val="00B737B3"/>
    <w:rsid w:val="00B74423"/>
    <w:rsid w:val="00B76725"/>
    <w:rsid w:val="00B767AE"/>
    <w:rsid w:val="00B773F8"/>
    <w:rsid w:val="00B77891"/>
    <w:rsid w:val="00B7794D"/>
    <w:rsid w:val="00B8277B"/>
    <w:rsid w:val="00B83D7E"/>
    <w:rsid w:val="00B84BC7"/>
    <w:rsid w:val="00B84FD1"/>
    <w:rsid w:val="00B87175"/>
    <w:rsid w:val="00B90FD9"/>
    <w:rsid w:val="00B93314"/>
    <w:rsid w:val="00B936A1"/>
    <w:rsid w:val="00B94289"/>
    <w:rsid w:val="00B9436E"/>
    <w:rsid w:val="00B9440F"/>
    <w:rsid w:val="00B95CC7"/>
    <w:rsid w:val="00B95E8A"/>
    <w:rsid w:val="00B974FD"/>
    <w:rsid w:val="00B978EC"/>
    <w:rsid w:val="00B97C9F"/>
    <w:rsid w:val="00B97CDB"/>
    <w:rsid w:val="00BA193C"/>
    <w:rsid w:val="00BA1FB6"/>
    <w:rsid w:val="00BA25B9"/>
    <w:rsid w:val="00BA52B3"/>
    <w:rsid w:val="00BA66F7"/>
    <w:rsid w:val="00BB0E3F"/>
    <w:rsid w:val="00BB1ACA"/>
    <w:rsid w:val="00BB2662"/>
    <w:rsid w:val="00BB272B"/>
    <w:rsid w:val="00BB322A"/>
    <w:rsid w:val="00BB47E1"/>
    <w:rsid w:val="00BB4D26"/>
    <w:rsid w:val="00BB6D46"/>
    <w:rsid w:val="00BB7E02"/>
    <w:rsid w:val="00BC11C7"/>
    <w:rsid w:val="00BC1664"/>
    <w:rsid w:val="00BC277D"/>
    <w:rsid w:val="00BC2D0F"/>
    <w:rsid w:val="00BC3252"/>
    <w:rsid w:val="00BC428E"/>
    <w:rsid w:val="00BC4314"/>
    <w:rsid w:val="00BC593D"/>
    <w:rsid w:val="00BC6451"/>
    <w:rsid w:val="00BD488A"/>
    <w:rsid w:val="00BD4DC6"/>
    <w:rsid w:val="00BD5D75"/>
    <w:rsid w:val="00BD647E"/>
    <w:rsid w:val="00BD679A"/>
    <w:rsid w:val="00BD6C42"/>
    <w:rsid w:val="00BD744D"/>
    <w:rsid w:val="00BD7C5E"/>
    <w:rsid w:val="00BE01B0"/>
    <w:rsid w:val="00BE3517"/>
    <w:rsid w:val="00BE3C2D"/>
    <w:rsid w:val="00BE3CF8"/>
    <w:rsid w:val="00BE4315"/>
    <w:rsid w:val="00BE4EEC"/>
    <w:rsid w:val="00BE60B8"/>
    <w:rsid w:val="00BE6921"/>
    <w:rsid w:val="00BE6B7B"/>
    <w:rsid w:val="00BE7924"/>
    <w:rsid w:val="00BE7D60"/>
    <w:rsid w:val="00BF0458"/>
    <w:rsid w:val="00BF31B2"/>
    <w:rsid w:val="00BF3D64"/>
    <w:rsid w:val="00BF3EE2"/>
    <w:rsid w:val="00BF40B8"/>
    <w:rsid w:val="00BF64E0"/>
    <w:rsid w:val="00BF683A"/>
    <w:rsid w:val="00BF72CC"/>
    <w:rsid w:val="00BF746A"/>
    <w:rsid w:val="00C004D1"/>
    <w:rsid w:val="00C01BFB"/>
    <w:rsid w:val="00C01C83"/>
    <w:rsid w:val="00C0323D"/>
    <w:rsid w:val="00C03ABF"/>
    <w:rsid w:val="00C03B5D"/>
    <w:rsid w:val="00C0433A"/>
    <w:rsid w:val="00C0586C"/>
    <w:rsid w:val="00C11243"/>
    <w:rsid w:val="00C11550"/>
    <w:rsid w:val="00C11E47"/>
    <w:rsid w:val="00C1440F"/>
    <w:rsid w:val="00C17E44"/>
    <w:rsid w:val="00C20FC7"/>
    <w:rsid w:val="00C2499F"/>
    <w:rsid w:val="00C271A3"/>
    <w:rsid w:val="00C27B8E"/>
    <w:rsid w:val="00C30899"/>
    <w:rsid w:val="00C31C1D"/>
    <w:rsid w:val="00C321C9"/>
    <w:rsid w:val="00C325AE"/>
    <w:rsid w:val="00C33075"/>
    <w:rsid w:val="00C354A1"/>
    <w:rsid w:val="00C355EB"/>
    <w:rsid w:val="00C37379"/>
    <w:rsid w:val="00C3747B"/>
    <w:rsid w:val="00C40A8B"/>
    <w:rsid w:val="00C42CB7"/>
    <w:rsid w:val="00C45F59"/>
    <w:rsid w:val="00C46747"/>
    <w:rsid w:val="00C47A51"/>
    <w:rsid w:val="00C501DD"/>
    <w:rsid w:val="00C5066B"/>
    <w:rsid w:val="00C5289E"/>
    <w:rsid w:val="00C56A80"/>
    <w:rsid w:val="00C60B9D"/>
    <w:rsid w:val="00C6140E"/>
    <w:rsid w:val="00C6155F"/>
    <w:rsid w:val="00C62547"/>
    <w:rsid w:val="00C62A2A"/>
    <w:rsid w:val="00C6309D"/>
    <w:rsid w:val="00C63195"/>
    <w:rsid w:val="00C63A42"/>
    <w:rsid w:val="00C63D88"/>
    <w:rsid w:val="00C64C78"/>
    <w:rsid w:val="00C6777C"/>
    <w:rsid w:val="00C67ABF"/>
    <w:rsid w:val="00C714D3"/>
    <w:rsid w:val="00C7466A"/>
    <w:rsid w:val="00C74D74"/>
    <w:rsid w:val="00C7638F"/>
    <w:rsid w:val="00C77F0B"/>
    <w:rsid w:val="00C829DD"/>
    <w:rsid w:val="00C8684E"/>
    <w:rsid w:val="00C877C0"/>
    <w:rsid w:val="00C87DEE"/>
    <w:rsid w:val="00C90121"/>
    <w:rsid w:val="00C909EA"/>
    <w:rsid w:val="00C92138"/>
    <w:rsid w:val="00C93140"/>
    <w:rsid w:val="00C943DF"/>
    <w:rsid w:val="00C97244"/>
    <w:rsid w:val="00CA017D"/>
    <w:rsid w:val="00CA0632"/>
    <w:rsid w:val="00CA08D2"/>
    <w:rsid w:val="00CA249A"/>
    <w:rsid w:val="00CA3ECE"/>
    <w:rsid w:val="00CA4638"/>
    <w:rsid w:val="00CA4DB4"/>
    <w:rsid w:val="00CA6124"/>
    <w:rsid w:val="00CA7156"/>
    <w:rsid w:val="00CB3009"/>
    <w:rsid w:val="00CB4656"/>
    <w:rsid w:val="00CB6946"/>
    <w:rsid w:val="00CC052B"/>
    <w:rsid w:val="00CC0AFF"/>
    <w:rsid w:val="00CC0F66"/>
    <w:rsid w:val="00CC148C"/>
    <w:rsid w:val="00CC2FD7"/>
    <w:rsid w:val="00CC3E36"/>
    <w:rsid w:val="00CC47F3"/>
    <w:rsid w:val="00CC5962"/>
    <w:rsid w:val="00CC67BE"/>
    <w:rsid w:val="00CC79AE"/>
    <w:rsid w:val="00CC7BB9"/>
    <w:rsid w:val="00CD05C6"/>
    <w:rsid w:val="00CD16D5"/>
    <w:rsid w:val="00CD30B8"/>
    <w:rsid w:val="00CD6F00"/>
    <w:rsid w:val="00CE055A"/>
    <w:rsid w:val="00CE1162"/>
    <w:rsid w:val="00CE168E"/>
    <w:rsid w:val="00CE2603"/>
    <w:rsid w:val="00CE2690"/>
    <w:rsid w:val="00CE27BD"/>
    <w:rsid w:val="00CE2F75"/>
    <w:rsid w:val="00CE35F9"/>
    <w:rsid w:val="00CE3F6A"/>
    <w:rsid w:val="00CE4C50"/>
    <w:rsid w:val="00CE5272"/>
    <w:rsid w:val="00CE57C0"/>
    <w:rsid w:val="00CE6BE6"/>
    <w:rsid w:val="00CE731A"/>
    <w:rsid w:val="00CF16F1"/>
    <w:rsid w:val="00CF1E7D"/>
    <w:rsid w:val="00CF4FAF"/>
    <w:rsid w:val="00CF77A3"/>
    <w:rsid w:val="00CF7CAA"/>
    <w:rsid w:val="00CF7DBC"/>
    <w:rsid w:val="00D00926"/>
    <w:rsid w:val="00D00A28"/>
    <w:rsid w:val="00D00BFF"/>
    <w:rsid w:val="00D01857"/>
    <w:rsid w:val="00D042E5"/>
    <w:rsid w:val="00D04345"/>
    <w:rsid w:val="00D047B8"/>
    <w:rsid w:val="00D06203"/>
    <w:rsid w:val="00D12644"/>
    <w:rsid w:val="00D143B0"/>
    <w:rsid w:val="00D16070"/>
    <w:rsid w:val="00D17ACA"/>
    <w:rsid w:val="00D2042F"/>
    <w:rsid w:val="00D22BA9"/>
    <w:rsid w:val="00D23DEB"/>
    <w:rsid w:val="00D26CCF"/>
    <w:rsid w:val="00D26D56"/>
    <w:rsid w:val="00D308C3"/>
    <w:rsid w:val="00D31A8B"/>
    <w:rsid w:val="00D31F0F"/>
    <w:rsid w:val="00D324E1"/>
    <w:rsid w:val="00D33149"/>
    <w:rsid w:val="00D34ED6"/>
    <w:rsid w:val="00D35589"/>
    <w:rsid w:val="00D36749"/>
    <w:rsid w:val="00D379A7"/>
    <w:rsid w:val="00D40DF1"/>
    <w:rsid w:val="00D41028"/>
    <w:rsid w:val="00D43289"/>
    <w:rsid w:val="00D45924"/>
    <w:rsid w:val="00D46830"/>
    <w:rsid w:val="00D4693F"/>
    <w:rsid w:val="00D470E6"/>
    <w:rsid w:val="00D50C6F"/>
    <w:rsid w:val="00D526B6"/>
    <w:rsid w:val="00D5305C"/>
    <w:rsid w:val="00D530BB"/>
    <w:rsid w:val="00D5380A"/>
    <w:rsid w:val="00D54994"/>
    <w:rsid w:val="00D55CA7"/>
    <w:rsid w:val="00D5679B"/>
    <w:rsid w:val="00D579CF"/>
    <w:rsid w:val="00D600CF"/>
    <w:rsid w:val="00D61EA0"/>
    <w:rsid w:val="00D62946"/>
    <w:rsid w:val="00D65E66"/>
    <w:rsid w:val="00D70B1D"/>
    <w:rsid w:val="00D733C1"/>
    <w:rsid w:val="00D73BCB"/>
    <w:rsid w:val="00D77CEA"/>
    <w:rsid w:val="00D805C3"/>
    <w:rsid w:val="00D80AA0"/>
    <w:rsid w:val="00D81031"/>
    <w:rsid w:val="00D82BE5"/>
    <w:rsid w:val="00D83A30"/>
    <w:rsid w:val="00D84A98"/>
    <w:rsid w:val="00D85EE0"/>
    <w:rsid w:val="00D86E79"/>
    <w:rsid w:val="00D8773C"/>
    <w:rsid w:val="00D877D8"/>
    <w:rsid w:val="00D91EB3"/>
    <w:rsid w:val="00D9315A"/>
    <w:rsid w:val="00D9376F"/>
    <w:rsid w:val="00D95247"/>
    <w:rsid w:val="00D96EDE"/>
    <w:rsid w:val="00DA0532"/>
    <w:rsid w:val="00DA06A2"/>
    <w:rsid w:val="00DA23B5"/>
    <w:rsid w:val="00DA4149"/>
    <w:rsid w:val="00DA4931"/>
    <w:rsid w:val="00DA6145"/>
    <w:rsid w:val="00DA6397"/>
    <w:rsid w:val="00DB114B"/>
    <w:rsid w:val="00DB2609"/>
    <w:rsid w:val="00DB29B4"/>
    <w:rsid w:val="00DB4F6C"/>
    <w:rsid w:val="00DB5346"/>
    <w:rsid w:val="00DB6194"/>
    <w:rsid w:val="00DB65C6"/>
    <w:rsid w:val="00DC17D5"/>
    <w:rsid w:val="00DC18AD"/>
    <w:rsid w:val="00DC2EBA"/>
    <w:rsid w:val="00DC367F"/>
    <w:rsid w:val="00DC5323"/>
    <w:rsid w:val="00DC6453"/>
    <w:rsid w:val="00DC6BC7"/>
    <w:rsid w:val="00DD03FF"/>
    <w:rsid w:val="00DD1220"/>
    <w:rsid w:val="00DD1A95"/>
    <w:rsid w:val="00DD1F4F"/>
    <w:rsid w:val="00DD59D2"/>
    <w:rsid w:val="00DD65D9"/>
    <w:rsid w:val="00DD70A6"/>
    <w:rsid w:val="00DD7943"/>
    <w:rsid w:val="00DE0D10"/>
    <w:rsid w:val="00DE1779"/>
    <w:rsid w:val="00DE2D37"/>
    <w:rsid w:val="00DE3118"/>
    <w:rsid w:val="00DE57CD"/>
    <w:rsid w:val="00DE6588"/>
    <w:rsid w:val="00DE6D8A"/>
    <w:rsid w:val="00DE74D1"/>
    <w:rsid w:val="00DE7859"/>
    <w:rsid w:val="00DE7F6A"/>
    <w:rsid w:val="00DF4084"/>
    <w:rsid w:val="00DF72C1"/>
    <w:rsid w:val="00DF7771"/>
    <w:rsid w:val="00DF7FC5"/>
    <w:rsid w:val="00E0077E"/>
    <w:rsid w:val="00E017F2"/>
    <w:rsid w:val="00E020E8"/>
    <w:rsid w:val="00E0329F"/>
    <w:rsid w:val="00E06424"/>
    <w:rsid w:val="00E06CDE"/>
    <w:rsid w:val="00E10281"/>
    <w:rsid w:val="00E10CD6"/>
    <w:rsid w:val="00E1157D"/>
    <w:rsid w:val="00E12FAD"/>
    <w:rsid w:val="00E1395C"/>
    <w:rsid w:val="00E13AB9"/>
    <w:rsid w:val="00E17B8E"/>
    <w:rsid w:val="00E203E0"/>
    <w:rsid w:val="00E21C0A"/>
    <w:rsid w:val="00E256F5"/>
    <w:rsid w:val="00E30569"/>
    <w:rsid w:val="00E324C7"/>
    <w:rsid w:val="00E32680"/>
    <w:rsid w:val="00E32E17"/>
    <w:rsid w:val="00E33A15"/>
    <w:rsid w:val="00E34DA2"/>
    <w:rsid w:val="00E35CD9"/>
    <w:rsid w:val="00E377E9"/>
    <w:rsid w:val="00E4364A"/>
    <w:rsid w:val="00E4440F"/>
    <w:rsid w:val="00E44491"/>
    <w:rsid w:val="00E4609F"/>
    <w:rsid w:val="00E46EAD"/>
    <w:rsid w:val="00E51068"/>
    <w:rsid w:val="00E51434"/>
    <w:rsid w:val="00E514CD"/>
    <w:rsid w:val="00E519DB"/>
    <w:rsid w:val="00E520BE"/>
    <w:rsid w:val="00E53572"/>
    <w:rsid w:val="00E53D44"/>
    <w:rsid w:val="00E53F79"/>
    <w:rsid w:val="00E5499A"/>
    <w:rsid w:val="00E6115B"/>
    <w:rsid w:val="00E61939"/>
    <w:rsid w:val="00E62B32"/>
    <w:rsid w:val="00E645FF"/>
    <w:rsid w:val="00E65FF3"/>
    <w:rsid w:val="00E66883"/>
    <w:rsid w:val="00E67C5F"/>
    <w:rsid w:val="00E70091"/>
    <w:rsid w:val="00E71A3D"/>
    <w:rsid w:val="00E7227C"/>
    <w:rsid w:val="00E724C0"/>
    <w:rsid w:val="00E7265A"/>
    <w:rsid w:val="00E7358F"/>
    <w:rsid w:val="00E73B81"/>
    <w:rsid w:val="00E74822"/>
    <w:rsid w:val="00E74D97"/>
    <w:rsid w:val="00E74E15"/>
    <w:rsid w:val="00E754B4"/>
    <w:rsid w:val="00E765C4"/>
    <w:rsid w:val="00E776CE"/>
    <w:rsid w:val="00E779FD"/>
    <w:rsid w:val="00E80272"/>
    <w:rsid w:val="00E808ED"/>
    <w:rsid w:val="00E8143D"/>
    <w:rsid w:val="00E818E2"/>
    <w:rsid w:val="00E8258D"/>
    <w:rsid w:val="00E82D93"/>
    <w:rsid w:val="00E83302"/>
    <w:rsid w:val="00E83FB9"/>
    <w:rsid w:val="00E84570"/>
    <w:rsid w:val="00E924E7"/>
    <w:rsid w:val="00E93865"/>
    <w:rsid w:val="00E93F52"/>
    <w:rsid w:val="00E9598E"/>
    <w:rsid w:val="00E95F39"/>
    <w:rsid w:val="00EA232E"/>
    <w:rsid w:val="00EA49C1"/>
    <w:rsid w:val="00EA4AE9"/>
    <w:rsid w:val="00EA6AA4"/>
    <w:rsid w:val="00EA6B45"/>
    <w:rsid w:val="00EA7931"/>
    <w:rsid w:val="00EB04C1"/>
    <w:rsid w:val="00EB237B"/>
    <w:rsid w:val="00EB2697"/>
    <w:rsid w:val="00EB5FBE"/>
    <w:rsid w:val="00EB5FD1"/>
    <w:rsid w:val="00EC5208"/>
    <w:rsid w:val="00EC57EC"/>
    <w:rsid w:val="00EC5CE9"/>
    <w:rsid w:val="00EC5E3F"/>
    <w:rsid w:val="00EC6280"/>
    <w:rsid w:val="00EC792C"/>
    <w:rsid w:val="00EC7EBD"/>
    <w:rsid w:val="00ED124E"/>
    <w:rsid w:val="00ED23DE"/>
    <w:rsid w:val="00ED309F"/>
    <w:rsid w:val="00ED4CBB"/>
    <w:rsid w:val="00ED7138"/>
    <w:rsid w:val="00ED784C"/>
    <w:rsid w:val="00EE2624"/>
    <w:rsid w:val="00EE2B60"/>
    <w:rsid w:val="00EE4339"/>
    <w:rsid w:val="00EE70E6"/>
    <w:rsid w:val="00EE7923"/>
    <w:rsid w:val="00EF0334"/>
    <w:rsid w:val="00EF1145"/>
    <w:rsid w:val="00EF3452"/>
    <w:rsid w:val="00EF3708"/>
    <w:rsid w:val="00EF3E7F"/>
    <w:rsid w:val="00EF4BD6"/>
    <w:rsid w:val="00EF6558"/>
    <w:rsid w:val="00EF7EB5"/>
    <w:rsid w:val="00F00218"/>
    <w:rsid w:val="00F012AA"/>
    <w:rsid w:val="00F02260"/>
    <w:rsid w:val="00F04506"/>
    <w:rsid w:val="00F04AE6"/>
    <w:rsid w:val="00F075F9"/>
    <w:rsid w:val="00F1044E"/>
    <w:rsid w:val="00F14B13"/>
    <w:rsid w:val="00F14BAF"/>
    <w:rsid w:val="00F15865"/>
    <w:rsid w:val="00F15FE1"/>
    <w:rsid w:val="00F165B9"/>
    <w:rsid w:val="00F1780E"/>
    <w:rsid w:val="00F20AEE"/>
    <w:rsid w:val="00F21731"/>
    <w:rsid w:val="00F21B6A"/>
    <w:rsid w:val="00F26184"/>
    <w:rsid w:val="00F27A9F"/>
    <w:rsid w:val="00F30581"/>
    <w:rsid w:val="00F318FE"/>
    <w:rsid w:val="00F31CFA"/>
    <w:rsid w:val="00F32621"/>
    <w:rsid w:val="00F32836"/>
    <w:rsid w:val="00F32D18"/>
    <w:rsid w:val="00F343A3"/>
    <w:rsid w:val="00F34A25"/>
    <w:rsid w:val="00F37ECF"/>
    <w:rsid w:val="00F41490"/>
    <w:rsid w:val="00F4284C"/>
    <w:rsid w:val="00F42F45"/>
    <w:rsid w:val="00F440A2"/>
    <w:rsid w:val="00F46112"/>
    <w:rsid w:val="00F5021F"/>
    <w:rsid w:val="00F503EF"/>
    <w:rsid w:val="00F50559"/>
    <w:rsid w:val="00F50DBF"/>
    <w:rsid w:val="00F531A9"/>
    <w:rsid w:val="00F53311"/>
    <w:rsid w:val="00F5354B"/>
    <w:rsid w:val="00F54718"/>
    <w:rsid w:val="00F55F49"/>
    <w:rsid w:val="00F5638F"/>
    <w:rsid w:val="00F56D00"/>
    <w:rsid w:val="00F570CB"/>
    <w:rsid w:val="00F60694"/>
    <w:rsid w:val="00F62483"/>
    <w:rsid w:val="00F63C24"/>
    <w:rsid w:val="00F644E4"/>
    <w:rsid w:val="00F65719"/>
    <w:rsid w:val="00F665BC"/>
    <w:rsid w:val="00F67C0F"/>
    <w:rsid w:val="00F701B8"/>
    <w:rsid w:val="00F710E3"/>
    <w:rsid w:val="00F7251E"/>
    <w:rsid w:val="00F72C12"/>
    <w:rsid w:val="00F73A6A"/>
    <w:rsid w:val="00F7624E"/>
    <w:rsid w:val="00F769A6"/>
    <w:rsid w:val="00F76C52"/>
    <w:rsid w:val="00F7740D"/>
    <w:rsid w:val="00F77548"/>
    <w:rsid w:val="00F813AB"/>
    <w:rsid w:val="00F840BB"/>
    <w:rsid w:val="00F84461"/>
    <w:rsid w:val="00F848ED"/>
    <w:rsid w:val="00F86634"/>
    <w:rsid w:val="00F903A5"/>
    <w:rsid w:val="00F90FF2"/>
    <w:rsid w:val="00F91E87"/>
    <w:rsid w:val="00F92AD4"/>
    <w:rsid w:val="00F92BBB"/>
    <w:rsid w:val="00F93396"/>
    <w:rsid w:val="00F94609"/>
    <w:rsid w:val="00F94BF3"/>
    <w:rsid w:val="00F956B8"/>
    <w:rsid w:val="00F96403"/>
    <w:rsid w:val="00F96FD7"/>
    <w:rsid w:val="00FA0C53"/>
    <w:rsid w:val="00FA5FF7"/>
    <w:rsid w:val="00FA64BC"/>
    <w:rsid w:val="00FA65C1"/>
    <w:rsid w:val="00FA71BF"/>
    <w:rsid w:val="00FA7545"/>
    <w:rsid w:val="00FA7A4C"/>
    <w:rsid w:val="00FB0A88"/>
    <w:rsid w:val="00FB1043"/>
    <w:rsid w:val="00FB495E"/>
    <w:rsid w:val="00FB582F"/>
    <w:rsid w:val="00FB5892"/>
    <w:rsid w:val="00FB60C0"/>
    <w:rsid w:val="00FB6322"/>
    <w:rsid w:val="00FB67B9"/>
    <w:rsid w:val="00FB698F"/>
    <w:rsid w:val="00FB78C2"/>
    <w:rsid w:val="00FB7FB2"/>
    <w:rsid w:val="00FC340C"/>
    <w:rsid w:val="00FC5485"/>
    <w:rsid w:val="00FC730F"/>
    <w:rsid w:val="00FC7B4B"/>
    <w:rsid w:val="00FD2DF3"/>
    <w:rsid w:val="00FD4108"/>
    <w:rsid w:val="00FD4B0E"/>
    <w:rsid w:val="00FE0DEB"/>
    <w:rsid w:val="00FE441E"/>
    <w:rsid w:val="00FE48A8"/>
    <w:rsid w:val="00FE53AE"/>
    <w:rsid w:val="00FE66CD"/>
    <w:rsid w:val="00FF375D"/>
    <w:rsid w:val="00FF3845"/>
    <w:rsid w:val="00FF3922"/>
    <w:rsid w:val="00FF5987"/>
    <w:rsid w:val="00FF6AC5"/>
    <w:rsid w:val="00FF75DF"/>
    <w:rsid w:val="00FF7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5682"/>
  <w15:chartTrackingRefBased/>
  <w15:docId w15:val="{C0CD18E5-3545-4245-813E-8EC0A00F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F6C"/>
    <w:pPr>
      <w:bidi/>
    </w:pPr>
  </w:style>
  <w:style w:type="paragraph" w:styleId="3">
    <w:name w:val="heading 3"/>
    <w:basedOn w:val="a"/>
    <w:link w:val="30"/>
    <w:uiPriority w:val="9"/>
    <w:qFormat/>
    <w:rsid w:val="006D5358"/>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F6C"/>
    <w:pPr>
      <w:ind w:left="720"/>
      <w:contextualSpacing/>
    </w:pPr>
  </w:style>
  <w:style w:type="paragraph" w:styleId="NormalWeb">
    <w:name w:val="Normal (Web)"/>
    <w:basedOn w:val="a"/>
    <w:uiPriority w:val="99"/>
    <w:unhideWhenUsed/>
    <w:rsid w:val="00D82BE5"/>
    <w:pPr>
      <w:bidi w:val="0"/>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character" w:styleId="Hyperlink">
    <w:name w:val="Hyperlink"/>
    <w:basedOn w:val="a0"/>
    <w:uiPriority w:val="99"/>
    <w:unhideWhenUsed/>
    <w:rsid w:val="00533C7B"/>
    <w:rPr>
      <w:color w:val="0563C1" w:themeColor="hyperlink"/>
      <w:u w:val="single"/>
    </w:rPr>
  </w:style>
  <w:style w:type="character" w:styleId="a4">
    <w:name w:val="Unresolved Mention"/>
    <w:basedOn w:val="a0"/>
    <w:uiPriority w:val="99"/>
    <w:semiHidden/>
    <w:unhideWhenUsed/>
    <w:rsid w:val="00533C7B"/>
    <w:rPr>
      <w:color w:val="605E5C"/>
      <w:shd w:val="clear" w:color="auto" w:fill="E1DFDD"/>
    </w:rPr>
  </w:style>
  <w:style w:type="paragraph" w:styleId="a5">
    <w:name w:val="header"/>
    <w:basedOn w:val="a"/>
    <w:link w:val="a6"/>
    <w:uiPriority w:val="99"/>
    <w:unhideWhenUsed/>
    <w:rsid w:val="00C6309D"/>
    <w:pPr>
      <w:tabs>
        <w:tab w:val="center" w:pos="4153"/>
        <w:tab w:val="right" w:pos="8306"/>
      </w:tabs>
      <w:spacing w:after="0" w:line="240" w:lineRule="auto"/>
    </w:pPr>
  </w:style>
  <w:style w:type="character" w:customStyle="1" w:styleId="a6">
    <w:name w:val="כותרת עליונה תו"/>
    <w:basedOn w:val="a0"/>
    <w:link w:val="a5"/>
    <w:uiPriority w:val="99"/>
    <w:rsid w:val="00C6309D"/>
  </w:style>
  <w:style w:type="paragraph" w:styleId="a7">
    <w:name w:val="footer"/>
    <w:basedOn w:val="a"/>
    <w:link w:val="a8"/>
    <w:uiPriority w:val="99"/>
    <w:unhideWhenUsed/>
    <w:rsid w:val="00C6309D"/>
    <w:pPr>
      <w:tabs>
        <w:tab w:val="center" w:pos="4153"/>
        <w:tab w:val="right" w:pos="8306"/>
      </w:tabs>
      <w:spacing w:after="0" w:line="240" w:lineRule="auto"/>
    </w:pPr>
  </w:style>
  <w:style w:type="character" w:customStyle="1" w:styleId="a8">
    <w:name w:val="כותרת תחתונה תו"/>
    <w:basedOn w:val="a0"/>
    <w:link w:val="a7"/>
    <w:uiPriority w:val="99"/>
    <w:rsid w:val="00C6309D"/>
  </w:style>
  <w:style w:type="character" w:customStyle="1" w:styleId="30">
    <w:name w:val="כותרת 3 תו"/>
    <w:basedOn w:val="a0"/>
    <w:link w:val="3"/>
    <w:uiPriority w:val="9"/>
    <w:rsid w:val="006D5358"/>
    <w:rPr>
      <w:rFonts w:ascii="Times New Roman" w:eastAsia="Times New Roman" w:hAnsi="Times New Roman" w:cs="Times New Roman"/>
      <w:b/>
      <w:bCs/>
      <w:kern w:val="0"/>
      <w:sz w:val="27"/>
      <w:szCs w:val="27"/>
      <w14:ligatures w14:val="none"/>
    </w:rPr>
  </w:style>
  <w:style w:type="paragraph" w:styleId="a9">
    <w:name w:val="footnote text"/>
    <w:basedOn w:val="a"/>
    <w:link w:val="aa"/>
    <w:uiPriority w:val="99"/>
    <w:semiHidden/>
    <w:unhideWhenUsed/>
    <w:rsid w:val="00254AE0"/>
    <w:pPr>
      <w:spacing w:after="0" w:line="240" w:lineRule="auto"/>
    </w:pPr>
    <w:rPr>
      <w:sz w:val="20"/>
      <w:szCs w:val="20"/>
    </w:rPr>
  </w:style>
  <w:style w:type="character" w:customStyle="1" w:styleId="aa">
    <w:name w:val="טקסט הערת שוליים תו"/>
    <w:basedOn w:val="a0"/>
    <w:link w:val="a9"/>
    <w:uiPriority w:val="99"/>
    <w:semiHidden/>
    <w:rsid w:val="00254AE0"/>
    <w:rPr>
      <w:sz w:val="20"/>
      <w:szCs w:val="20"/>
    </w:rPr>
  </w:style>
  <w:style w:type="character" w:styleId="ab">
    <w:name w:val="footnote reference"/>
    <w:basedOn w:val="a0"/>
    <w:uiPriority w:val="99"/>
    <w:semiHidden/>
    <w:unhideWhenUsed/>
    <w:rsid w:val="00254AE0"/>
    <w:rPr>
      <w:vertAlign w:val="superscript"/>
    </w:rPr>
  </w:style>
  <w:style w:type="paragraph" w:styleId="ac">
    <w:name w:val="Revision"/>
    <w:hidden/>
    <w:uiPriority w:val="99"/>
    <w:semiHidden/>
    <w:rsid w:val="00075F73"/>
    <w:pPr>
      <w:spacing w:after="0" w:line="240" w:lineRule="auto"/>
    </w:pPr>
  </w:style>
  <w:style w:type="character" w:styleId="ad">
    <w:name w:val="annotation reference"/>
    <w:basedOn w:val="a0"/>
    <w:uiPriority w:val="99"/>
    <w:semiHidden/>
    <w:unhideWhenUsed/>
    <w:rsid w:val="00CE4C50"/>
    <w:rPr>
      <w:sz w:val="16"/>
      <w:szCs w:val="16"/>
    </w:rPr>
  </w:style>
  <w:style w:type="paragraph" w:styleId="ae">
    <w:name w:val="annotation text"/>
    <w:basedOn w:val="a"/>
    <w:link w:val="af"/>
    <w:uiPriority w:val="99"/>
    <w:semiHidden/>
    <w:unhideWhenUsed/>
    <w:rsid w:val="00CE4C50"/>
    <w:pPr>
      <w:spacing w:line="240" w:lineRule="auto"/>
    </w:pPr>
    <w:rPr>
      <w:sz w:val="20"/>
      <w:szCs w:val="20"/>
    </w:rPr>
  </w:style>
  <w:style w:type="character" w:customStyle="1" w:styleId="af">
    <w:name w:val="טקסט הערה תו"/>
    <w:basedOn w:val="a0"/>
    <w:link w:val="ae"/>
    <w:uiPriority w:val="99"/>
    <w:semiHidden/>
    <w:rsid w:val="00CE4C50"/>
    <w:rPr>
      <w:sz w:val="20"/>
      <w:szCs w:val="20"/>
    </w:rPr>
  </w:style>
  <w:style w:type="paragraph" w:styleId="af0">
    <w:name w:val="annotation subject"/>
    <w:basedOn w:val="ae"/>
    <w:next w:val="ae"/>
    <w:link w:val="af1"/>
    <w:uiPriority w:val="99"/>
    <w:semiHidden/>
    <w:unhideWhenUsed/>
    <w:rsid w:val="00CE4C50"/>
    <w:rPr>
      <w:b/>
      <w:bCs/>
    </w:rPr>
  </w:style>
  <w:style w:type="character" w:customStyle="1" w:styleId="af1">
    <w:name w:val="נושא הערה תו"/>
    <w:basedOn w:val="af"/>
    <w:link w:val="af0"/>
    <w:uiPriority w:val="99"/>
    <w:semiHidden/>
    <w:rsid w:val="00CE4C50"/>
    <w:rPr>
      <w:b/>
      <w:bCs/>
      <w:sz w:val="20"/>
      <w:szCs w:val="20"/>
    </w:rPr>
  </w:style>
  <w:style w:type="paragraph" w:customStyle="1" w:styleId="-">
    <w:name w:val="הערה מתחת לתרשים- הישגים"/>
    <w:basedOn w:val="a"/>
    <w:qFormat/>
    <w:rsid w:val="00873FDE"/>
    <w:pPr>
      <w:spacing w:after="0" w:line="240" w:lineRule="auto"/>
      <w:ind w:left="-284"/>
      <w:jc w:val="both"/>
    </w:pPr>
    <w:rPr>
      <w:rFonts w:ascii="Arial" w:hAnsi="Arial" w:cs="Arial"/>
      <w:kern w:val="0"/>
      <w:sz w:val="20"/>
      <w:szCs w:val="20"/>
      <w14:ligatures w14:val="none"/>
    </w:rPr>
  </w:style>
  <w:style w:type="paragraph" w:customStyle="1" w:styleId="af2">
    <w:name w:val="כותרת תרשים שתי שורות"/>
    <w:basedOn w:val="a"/>
    <w:qFormat/>
    <w:rsid w:val="00873FDE"/>
    <w:pPr>
      <w:spacing w:before="120" w:after="0" w:line="360" w:lineRule="auto"/>
      <w:ind w:left="720" w:hanging="720"/>
      <w:jc w:val="both"/>
    </w:pPr>
    <w:rPr>
      <w:b/>
      <w:bCs/>
      <w:kern w:val="0"/>
      <w14:ligatures w14:val="none"/>
    </w:rPr>
  </w:style>
  <w:style w:type="table" w:styleId="af3">
    <w:name w:val="Table Grid"/>
    <w:basedOn w:val="a1"/>
    <w:rsid w:val="00873FD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rsid w:val="00A1090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5504">
      <w:bodyDiv w:val="1"/>
      <w:marLeft w:val="0"/>
      <w:marRight w:val="0"/>
      <w:marTop w:val="0"/>
      <w:marBottom w:val="0"/>
      <w:divBdr>
        <w:top w:val="none" w:sz="0" w:space="0" w:color="auto"/>
        <w:left w:val="none" w:sz="0" w:space="0" w:color="auto"/>
        <w:bottom w:val="none" w:sz="0" w:space="0" w:color="auto"/>
        <w:right w:val="none" w:sz="0" w:space="0" w:color="auto"/>
      </w:divBdr>
    </w:div>
    <w:div w:id="96214099">
      <w:bodyDiv w:val="1"/>
      <w:marLeft w:val="0"/>
      <w:marRight w:val="0"/>
      <w:marTop w:val="0"/>
      <w:marBottom w:val="0"/>
      <w:divBdr>
        <w:top w:val="none" w:sz="0" w:space="0" w:color="auto"/>
        <w:left w:val="none" w:sz="0" w:space="0" w:color="auto"/>
        <w:bottom w:val="none" w:sz="0" w:space="0" w:color="auto"/>
        <w:right w:val="none" w:sz="0" w:space="0" w:color="auto"/>
      </w:divBdr>
    </w:div>
    <w:div w:id="304286826">
      <w:bodyDiv w:val="1"/>
      <w:marLeft w:val="0"/>
      <w:marRight w:val="0"/>
      <w:marTop w:val="0"/>
      <w:marBottom w:val="0"/>
      <w:divBdr>
        <w:top w:val="none" w:sz="0" w:space="0" w:color="auto"/>
        <w:left w:val="none" w:sz="0" w:space="0" w:color="auto"/>
        <w:bottom w:val="none" w:sz="0" w:space="0" w:color="auto"/>
        <w:right w:val="none" w:sz="0" w:space="0" w:color="auto"/>
      </w:divBdr>
    </w:div>
    <w:div w:id="572736411">
      <w:bodyDiv w:val="1"/>
      <w:marLeft w:val="0"/>
      <w:marRight w:val="0"/>
      <w:marTop w:val="0"/>
      <w:marBottom w:val="0"/>
      <w:divBdr>
        <w:top w:val="none" w:sz="0" w:space="0" w:color="auto"/>
        <w:left w:val="none" w:sz="0" w:space="0" w:color="auto"/>
        <w:bottom w:val="none" w:sz="0" w:space="0" w:color="auto"/>
        <w:right w:val="none" w:sz="0" w:space="0" w:color="auto"/>
      </w:divBdr>
    </w:div>
    <w:div w:id="947351742">
      <w:bodyDiv w:val="1"/>
      <w:marLeft w:val="0"/>
      <w:marRight w:val="0"/>
      <w:marTop w:val="0"/>
      <w:marBottom w:val="0"/>
      <w:divBdr>
        <w:top w:val="none" w:sz="0" w:space="0" w:color="auto"/>
        <w:left w:val="none" w:sz="0" w:space="0" w:color="auto"/>
        <w:bottom w:val="none" w:sz="0" w:space="0" w:color="auto"/>
        <w:right w:val="none" w:sz="0" w:space="0" w:color="auto"/>
      </w:divBdr>
    </w:div>
    <w:div w:id="1118985596">
      <w:bodyDiv w:val="1"/>
      <w:marLeft w:val="0"/>
      <w:marRight w:val="0"/>
      <w:marTop w:val="0"/>
      <w:marBottom w:val="0"/>
      <w:divBdr>
        <w:top w:val="none" w:sz="0" w:space="0" w:color="auto"/>
        <w:left w:val="none" w:sz="0" w:space="0" w:color="auto"/>
        <w:bottom w:val="none" w:sz="0" w:space="0" w:color="auto"/>
        <w:right w:val="none" w:sz="0" w:space="0" w:color="auto"/>
      </w:divBdr>
    </w:div>
    <w:div w:id="159104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yperlink" Target="https://meyda.education.gov.il/files/MinhalCalcala/uvdot_venetunim_kalka_2022.pdf" TargetMode="External"/><Relationship Id="rId26" Type="http://schemas.openxmlformats.org/officeDocument/2006/relationships/hyperlink" Target="https://doi.org/10.1093/oxfordhb/9780190932596.013.25" TargetMode="External"/><Relationship Id="rId3" Type="http://schemas.openxmlformats.org/officeDocument/2006/relationships/styles" Target="styles.xml"/><Relationship Id="rId21" Type="http://schemas.openxmlformats.org/officeDocument/2006/relationships/hyperlink" Target="https://www.gov.il/he/departments/guides/equality-health-info?chapterIndex=1"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du.gov.il/sites/MinhalCalcala/economicandstatistics/main-info/Pages/data-summary.aspx" TargetMode="External"/><Relationship Id="rId25" Type="http://schemas.openxmlformats.org/officeDocument/2006/relationships/hyperlink" Target="http://www.paecon.net/PAEReview/issue69/Wade69.pdf"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rashi.org.il/differential-budget/?gclid=CjwKCAjwkLCkBhA9EiwAka9QRsy4jzjLEclw7BTup3fRAXXWEt9BPOsYdgupo2YQNYApwGoq0aHgQhoCz_IQAvD_Bw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ata.oecd.org/inequality/income-inequality.htm"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www.oecd.org/economy/israel-economic-snapshot/"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hyperlink" Target="https://doi.org/10.1093/oso/9780198843498.003.0007"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54576136300925"/>
          <c:y val="0"/>
          <c:w val="0.78266535384663038"/>
          <c:h val="1"/>
        </c:manualLayout>
      </c:layout>
      <c:barChart>
        <c:barDir val="bar"/>
        <c:grouping val="clustered"/>
        <c:varyColors val="0"/>
        <c:ser>
          <c:idx val="0"/>
          <c:order val="0"/>
          <c:tx>
            <c:strRef>
              <c:f>Sheet1!$B$1</c:f>
              <c:strCache>
                <c:ptCount val="1"/>
                <c:pt idx="0">
                  <c:v>C01</c:v>
                </c:pt>
              </c:strCache>
            </c:strRef>
          </c:tx>
          <c:spPr>
            <a:solidFill>
              <a:srgbClr val="4794A3"/>
            </a:solidFill>
            <a:ln>
              <a:noFill/>
            </a:ln>
            <a:effectLst/>
          </c:spPr>
          <c:invertIfNegative val="0"/>
          <c:dPt>
            <c:idx val="0"/>
            <c:invertIfNegative val="0"/>
            <c:bubble3D val="0"/>
            <c:spPr>
              <a:solidFill>
                <a:srgbClr val="087B98"/>
              </a:solidFill>
              <a:ln>
                <a:noFill/>
              </a:ln>
              <a:effectLst/>
            </c:spPr>
            <c:extLst>
              <c:ext xmlns:c16="http://schemas.microsoft.com/office/drawing/2014/chart" uri="{C3380CC4-5D6E-409C-BE32-E72D297353CC}">
                <c16:uniqueId val="{00000001-CE53-42FC-9FAD-5956FE4D7178}"/>
              </c:ext>
            </c:extLst>
          </c:dPt>
          <c:dLbls>
            <c:dLbl>
              <c:idx val="0"/>
              <c:tx>
                <c:rich>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fld id="{C05DE9BF-5094-8245-99D5-C120E17CE765}" type="VALUE">
                      <a:rPr lang="en-US" sz="1050">
                        <a:solidFill>
                          <a:sysClr val="windowText" lastClr="000000"/>
                        </a:solidFill>
                      </a:rPr>
                      <a:pPr>
                        <a:defRPr sz="1050" b="1">
                          <a:solidFill>
                            <a:sysClr val="windowText" lastClr="000000"/>
                          </a:solidFill>
                          <a:latin typeface="Calibri" panose="020F0502020204030204" pitchFamily="34" charset="0"/>
                          <a:cs typeface="Calibri" panose="020F0502020204030204" pitchFamily="34" charset="0"/>
                        </a:defRPr>
                      </a:pPr>
                      <a:t>[ערך]</a:t>
                    </a:fld>
                    <a:endParaRPr lang="he-IL"/>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he-IL"/>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E53-42FC-9FAD-5956FE4D7178}"/>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he-IL"/>
              </a:p>
            </c:txPr>
            <c:dLblPos val="outEnd"/>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דוברי עברית</c:v>
                </c:pt>
              </c:strCache>
            </c:strRef>
          </c:cat>
          <c:val>
            <c:numRef>
              <c:f>Sheet1!$B$2:$B$2</c:f>
              <c:numCache>
                <c:formatCode>General</c:formatCode>
                <c:ptCount val="1"/>
                <c:pt idx="0">
                  <c:v>300</c:v>
                </c:pt>
              </c:numCache>
            </c:numRef>
          </c:val>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6="http://schemas.microsoft.com/office/drawing/2014/chart" uri="{C3380CC4-5D6E-409C-BE32-E72D297353CC}">
              <c16:uniqueId val="{00000002-CE53-42FC-9FAD-5956FE4D7178}"/>
            </c:ext>
          </c:extLst>
        </c:ser>
        <c:dLbls>
          <c:showLegendKey val="0"/>
          <c:showVal val="0"/>
          <c:showCatName val="0"/>
          <c:showSerName val="0"/>
          <c:showPercent val="0"/>
          <c:showBubbleSize val="0"/>
        </c:dLbls>
        <c:gapWidth val="60"/>
        <c:overlap val="59"/>
        <c:axId val="2119500912"/>
        <c:axId val="2108723248"/>
      </c:barChart>
      <c:catAx>
        <c:axId val="21195009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Calibri" panose="020F0502020204030204" pitchFamily="34" charset="0"/>
                <a:ea typeface="+mn-ea"/>
                <a:cs typeface="Calibri" panose="020F0502020204030204" pitchFamily="34" charset="0"/>
              </a:defRPr>
            </a:pPr>
            <a:endParaRPr lang="he-IL"/>
          </a:p>
        </c:txPr>
        <c:crossAx val="2108723248"/>
        <c:crosses val="autoZero"/>
        <c:auto val="1"/>
        <c:lblAlgn val="ctr"/>
        <c:lblOffset val="100"/>
        <c:noMultiLvlLbl val="0"/>
      </c:catAx>
      <c:valAx>
        <c:axId val="2108723248"/>
        <c:scaling>
          <c:orientation val="minMax"/>
          <c:max val="400"/>
          <c:min val="200"/>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crossAx val="2119500912"/>
        <c:crosses val="autoZero"/>
        <c:crossBetween val="between"/>
        <c:majorUnit val="25"/>
      </c:valAx>
      <c:spPr>
        <a:noFill/>
        <a:ln w="25400">
          <a:noFill/>
        </a:ln>
        <a:effectLst/>
      </c:spPr>
    </c:plotArea>
    <c:plotVisOnly val="1"/>
    <c:dispBlanksAs val="gap"/>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54576136300925"/>
          <c:y val="8.8300220750551876E-3"/>
          <c:w val="0.78266535384663038"/>
          <c:h val="0.99116997792494477"/>
        </c:manualLayout>
      </c:layout>
      <c:barChart>
        <c:barDir val="bar"/>
        <c:grouping val="clustered"/>
        <c:varyColors val="0"/>
        <c:ser>
          <c:idx val="0"/>
          <c:order val="0"/>
          <c:tx>
            <c:strRef>
              <c:f>Sheet1!$B$1</c:f>
              <c:strCache>
                <c:ptCount val="1"/>
                <c:pt idx="0">
                  <c:v>C01</c:v>
                </c:pt>
              </c:strCache>
            </c:strRef>
          </c:tx>
          <c:spPr>
            <a:solidFill>
              <a:srgbClr val="08A8C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he-IL"/>
              </a:p>
            </c:txPr>
            <c:dLblPos val="outEnd"/>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רקע גבוה</c:v>
                </c:pt>
                <c:pt idx="1">
                  <c:v>רקע בינוני</c:v>
                </c:pt>
                <c:pt idx="2">
                  <c:v>רקע נמוך</c:v>
                </c:pt>
              </c:strCache>
            </c:strRef>
          </c:cat>
          <c:val>
            <c:numRef>
              <c:f>Sheet1!$B$2:$B$4</c:f>
              <c:numCache>
                <c:formatCode>General</c:formatCode>
                <c:ptCount val="3"/>
                <c:pt idx="0">
                  <c:v>310</c:v>
                </c:pt>
                <c:pt idx="1">
                  <c:v>297</c:v>
                </c:pt>
                <c:pt idx="2">
                  <c:v>278</c:v>
                </c:pt>
              </c:numCache>
            </c:numRef>
          </c:val>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6="http://schemas.microsoft.com/office/drawing/2014/chart" uri="{C3380CC4-5D6E-409C-BE32-E72D297353CC}">
              <c16:uniqueId val="{00000000-9CE7-4C39-B4FA-53A05084785E}"/>
            </c:ext>
          </c:extLst>
        </c:ser>
        <c:dLbls>
          <c:showLegendKey val="0"/>
          <c:showVal val="0"/>
          <c:showCatName val="0"/>
          <c:showSerName val="0"/>
          <c:showPercent val="0"/>
          <c:showBubbleSize val="0"/>
        </c:dLbls>
        <c:gapWidth val="40"/>
        <c:overlap val="59"/>
        <c:axId val="2119500912"/>
        <c:axId val="2108723248"/>
      </c:barChart>
      <c:catAx>
        <c:axId val="21195009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Calibri" panose="020F0502020204030204" pitchFamily="34" charset="0"/>
                <a:ea typeface="+mn-ea"/>
                <a:cs typeface="Calibri" panose="020F0502020204030204" pitchFamily="34" charset="0"/>
              </a:defRPr>
            </a:pPr>
            <a:endParaRPr lang="he-IL"/>
          </a:p>
        </c:txPr>
        <c:crossAx val="2108723248"/>
        <c:crosses val="autoZero"/>
        <c:auto val="1"/>
        <c:lblAlgn val="ctr"/>
        <c:lblOffset val="100"/>
        <c:noMultiLvlLbl val="0"/>
      </c:catAx>
      <c:valAx>
        <c:axId val="2108723248"/>
        <c:scaling>
          <c:orientation val="minMax"/>
          <c:max val="400"/>
          <c:min val="200"/>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crossAx val="2119500912"/>
        <c:crosses val="autoZero"/>
        <c:crossBetween val="between"/>
        <c:majorUnit val="25"/>
      </c:valAx>
      <c:spPr>
        <a:noFill/>
        <a:ln>
          <a:noFill/>
        </a:ln>
        <a:effectLst/>
      </c:spPr>
    </c:plotArea>
    <c:plotVisOnly val="1"/>
    <c:dispBlanksAs val="gap"/>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54576136300925"/>
          <c:y val="7.7344449590859921E-3"/>
          <c:w val="0.78266535384663038"/>
          <c:h val="0.99226555504091396"/>
        </c:manualLayout>
      </c:layout>
      <c:barChart>
        <c:barDir val="bar"/>
        <c:grouping val="clustered"/>
        <c:varyColors val="0"/>
        <c:ser>
          <c:idx val="0"/>
          <c:order val="0"/>
          <c:tx>
            <c:strRef>
              <c:f>Sheet1!$B$1</c:f>
              <c:strCache>
                <c:ptCount val="1"/>
                <c:pt idx="0">
                  <c:v>C01</c:v>
                </c:pt>
              </c:strCache>
            </c:strRef>
          </c:tx>
          <c:spPr>
            <a:solidFill>
              <a:srgbClr val="08A8C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he-IL"/>
              </a:p>
            </c:txPr>
            <c:dLblPos val="outEnd"/>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בנים</c:v>
                </c:pt>
                <c:pt idx="1">
                  <c:v>בנות</c:v>
                </c:pt>
              </c:strCache>
            </c:strRef>
          </c:cat>
          <c:val>
            <c:numRef>
              <c:f>Sheet1!$B$2:$B$3</c:f>
              <c:numCache>
                <c:formatCode>General</c:formatCode>
                <c:ptCount val="2"/>
                <c:pt idx="0">
                  <c:v>294</c:v>
                </c:pt>
                <c:pt idx="1">
                  <c:v>305</c:v>
                </c:pt>
              </c:numCache>
            </c:numRef>
          </c:val>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6="http://schemas.microsoft.com/office/drawing/2014/chart" uri="{C3380CC4-5D6E-409C-BE32-E72D297353CC}">
              <c16:uniqueId val="{00000000-515E-4F33-9C08-C4DAC49C501E}"/>
            </c:ext>
          </c:extLst>
        </c:ser>
        <c:dLbls>
          <c:showLegendKey val="0"/>
          <c:showVal val="0"/>
          <c:showCatName val="0"/>
          <c:showSerName val="0"/>
          <c:showPercent val="0"/>
          <c:showBubbleSize val="0"/>
        </c:dLbls>
        <c:gapWidth val="40"/>
        <c:overlap val="-100"/>
        <c:axId val="2119500912"/>
        <c:axId val="2108723248"/>
      </c:barChart>
      <c:catAx>
        <c:axId val="21195009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Calibri" panose="020F0502020204030204" pitchFamily="34" charset="0"/>
                <a:ea typeface="+mn-ea"/>
                <a:cs typeface="Calibri" panose="020F0502020204030204" pitchFamily="34" charset="0"/>
              </a:defRPr>
            </a:pPr>
            <a:endParaRPr lang="he-IL"/>
          </a:p>
        </c:txPr>
        <c:crossAx val="2108723248"/>
        <c:crosses val="autoZero"/>
        <c:auto val="1"/>
        <c:lblAlgn val="ctr"/>
        <c:lblOffset val="100"/>
        <c:noMultiLvlLbl val="0"/>
      </c:catAx>
      <c:valAx>
        <c:axId val="2108723248"/>
        <c:scaling>
          <c:orientation val="minMax"/>
          <c:max val="400"/>
          <c:min val="200"/>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crossAx val="2119500912"/>
        <c:crosses val="autoZero"/>
        <c:crossBetween val="between"/>
        <c:majorUnit val="25"/>
      </c:valAx>
      <c:spPr>
        <a:noFill/>
        <a:ln>
          <a:noFill/>
        </a:ln>
        <a:effectLst/>
      </c:spPr>
    </c:plotArea>
    <c:plotVisOnly val="1"/>
    <c:dispBlanksAs val="gap"/>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54576136300925"/>
          <c:y val="4.1895939478153463E-3"/>
          <c:w val="0.78266535384663038"/>
          <c:h val="0.11940771554499084"/>
        </c:manualLayout>
      </c:layout>
      <c:barChart>
        <c:barDir val="bar"/>
        <c:grouping val="clustered"/>
        <c:varyColors val="0"/>
        <c:ser>
          <c:idx val="0"/>
          <c:order val="0"/>
          <c:tx>
            <c:strRef>
              <c:f>Sheet1!$B$1</c:f>
              <c:strCache>
                <c:ptCount val="1"/>
                <c:pt idx="0">
                  <c:v>C01</c:v>
                </c:pt>
              </c:strCache>
            </c:strRef>
          </c:tx>
          <c:spPr>
            <a:solidFill>
              <a:srgbClr val="08A8C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he-IL"/>
              </a:p>
            </c:txPr>
            <c:dLblPos val="outEnd"/>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numCache>
            </c:numRef>
          </c:val>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6="http://schemas.microsoft.com/office/drawing/2014/chart" uri="{C3380CC4-5D6E-409C-BE32-E72D297353CC}">
              <c16:uniqueId val="{00000000-EA0B-461D-AD8C-1F887E3D72CB}"/>
            </c:ext>
          </c:extLst>
        </c:ser>
        <c:dLbls>
          <c:showLegendKey val="0"/>
          <c:showVal val="0"/>
          <c:showCatName val="0"/>
          <c:showSerName val="0"/>
          <c:showPercent val="0"/>
          <c:showBubbleSize val="0"/>
        </c:dLbls>
        <c:gapWidth val="40"/>
        <c:overlap val="-100"/>
        <c:axId val="2119500912"/>
        <c:axId val="2108723248"/>
      </c:barChart>
      <c:catAx>
        <c:axId val="2119500912"/>
        <c:scaling>
          <c:orientation val="maxMin"/>
        </c:scaling>
        <c:delete val="1"/>
        <c:axPos val="l"/>
        <c:numFmt formatCode="General" sourceLinked="1"/>
        <c:majorTickMark val="none"/>
        <c:minorTickMark val="none"/>
        <c:tickLblPos val="nextTo"/>
        <c:crossAx val="2108723248"/>
        <c:crosses val="autoZero"/>
        <c:auto val="1"/>
        <c:lblAlgn val="ctr"/>
        <c:lblOffset val="100"/>
        <c:noMultiLvlLbl val="0"/>
      </c:catAx>
      <c:valAx>
        <c:axId val="2108723248"/>
        <c:scaling>
          <c:orientation val="minMax"/>
          <c:max val="400"/>
          <c:min val="200"/>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119500912"/>
        <c:crosses val="autoZero"/>
        <c:crossBetween val="between"/>
        <c:majorUnit val="25"/>
      </c:valAx>
      <c:spPr>
        <a:noFill/>
        <a:ln w="25400">
          <a:noFill/>
        </a:ln>
        <a:effectLst/>
      </c:spPr>
    </c:plotArea>
    <c:plotVisOnly val="1"/>
    <c:dispBlanksAs val="gap"/>
    <c:extLst xmlns:mc="http://schemas.openxmlformats.org/markup-compatibility/2006" xmlns:c14="http://schemas.microsoft.com/office/drawing/2007/8/2/chart" xmlns:c15="http://schemas.microsoft.com/office/drawing/2012/chart" xmlns:c16="http://schemas.microsoft.com/office/drawing/2014/chart" xmlns:c16r3="http://schemas.microsoft.com/office/drawing/2017/03/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E42E1-2A6F-46BA-A5D4-2D18CC42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9224</Words>
  <Characters>46125</Characters>
  <Application>Microsoft Office Word</Application>
  <DocSecurity>0</DocSecurity>
  <Lines>384</Lines>
  <Paragraphs>110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Lifshitz</dc:creator>
  <cp:keywords/>
  <dc:description/>
  <cp:lastModifiedBy>Chen Lifshitz</cp:lastModifiedBy>
  <cp:revision>2</cp:revision>
  <dcterms:created xsi:type="dcterms:W3CDTF">2023-06-27T11:37:00Z</dcterms:created>
  <dcterms:modified xsi:type="dcterms:W3CDTF">2023-06-27T11:37:00Z</dcterms:modified>
</cp:coreProperties>
</file>