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94F7" w14:textId="77777777" w:rsidR="00000000" w:rsidRDefault="00436F74">
      <w:pPr>
        <w:pStyle w:val="Sansinterligne"/>
        <w:spacing w:line="360" w:lineRule="auto"/>
        <w:jc w:val="both"/>
        <w:rPr>
          <w:b/>
          <w:bCs/>
          <w:sz w:val="24"/>
        </w:rPr>
      </w:pPr>
      <w:bookmarkStart w:id="0" w:name="OLE_LINK11"/>
      <w:r>
        <w:rPr>
          <w:b/>
          <w:bCs/>
          <w:sz w:val="24"/>
        </w:rPr>
        <w:t>Islamic Jurisprudence and Social Dependency in a Premodern Saharan Oasis Society</w:t>
      </w:r>
      <w:bookmarkEnd w:id="0"/>
      <w:r>
        <w:rPr>
          <w:rStyle w:val="FootnoteReference"/>
          <w:b/>
          <w:bCs/>
          <w:sz w:val="24"/>
        </w:rPr>
        <w:footnoteReference w:id="1"/>
      </w:r>
      <w:r>
        <w:rPr>
          <w:b/>
          <w:bCs/>
          <w:sz w:val="24"/>
        </w:rPr>
        <w:t xml:space="preserve"> </w:t>
      </w:r>
    </w:p>
    <w:p w14:paraId="47C87450" w14:textId="77777777" w:rsidR="00000000" w:rsidRDefault="00436F74">
      <w:pPr>
        <w:spacing w:line="360" w:lineRule="auto"/>
        <w:jc w:val="both"/>
        <w:rPr>
          <w:lang w:val="en-US"/>
        </w:rPr>
      </w:pPr>
    </w:p>
    <w:p w14:paraId="7022FDD2" w14:textId="77777777" w:rsidR="00000000" w:rsidRDefault="00436F74">
      <w:pPr>
        <w:spacing w:line="360" w:lineRule="auto"/>
        <w:jc w:val="both"/>
        <w:rPr>
          <w:lang w:val="en-US"/>
        </w:rPr>
      </w:pPr>
      <w:r>
        <w:rPr>
          <w:lang w:val="en-US"/>
        </w:rPr>
        <w:t>Ismail Warscheid</w:t>
      </w:r>
    </w:p>
    <w:p w14:paraId="09705C8D" w14:textId="77777777" w:rsidR="00000000" w:rsidRDefault="00436F74">
      <w:pPr>
        <w:spacing w:line="360" w:lineRule="auto"/>
        <w:jc w:val="both"/>
      </w:pPr>
      <w:r>
        <w:rPr>
          <w:i/>
          <w:iCs/>
        </w:rPr>
        <w:t>CNRS-IRHT</w:t>
      </w:r>
      <w:r>
        <w:t xml:space="preserve">, Paris, France </w:t>
      </w:r>
    </w:p>
    <w:p w14:paraId="369B390E" w14:textId="77777777" w:rsidR="00000000" w:rsidRDefault="00436F74">
      <w:pPr>
        <w:spacing w:line="360" w:lineRule="auto"/>
        <w:jc w:val="both"/>
      </w:pPr>
      <w:r>
        <w:t>ismailwarscheid@irht.cnrs.fr</w:t>
      </w:r>
    </w:p>
    <w:p w14:paraId="7BE8B1E3" w14:textId="77777777" w:rsidR="00000000" w:rsidRDefault="00436F74">
      <w:pPr>
        <w:spacing w:line="360" w:lineRule="auto"/>
        <w:jc w:val="both"/>
      </w:pPr>
    </w:p>
    <w:p w14:paraId="28FD4F92" w14:textId="77777777" w:rsidR="00000000" w:rsidRDefault="00436F74">
      <w:pPr>
        <w:spacing w:line="360" w:lineRule="auto"/>
        <w:jc w:val="both"/>
        <w:rPr>
          <w:b/>
          <w:bCs/>
          <w:lang w:val="en-US"/>
        </w:rPr>
      </w:pPr>
      <w:r>
        <w:rPr>
          <w:b/>
          <w:bCs/>
          <w:lang w:val="en-US"/>
        </w:rPr>
        <w:t xml:space="preserve">Abstract </w:t>
      </w:r>
    </w:p>
    <w:p w14:paraId="18E2627E" w14:textId="77777777" w:rsidR="00000000" w:rsidRDefault="00436F74">
      <w:pPr>
        <w:spacing w:line="360" w:lineRule="auto"/>
        <w:jc w:val="both"/>
        <w:rPr>
          <w:b/>
          <w:bCs/>
          <w:lang w:val="en-US"/>
        </w:rPr>
      </w:pPr>
    </w:p>
    <w:p w14:paraId="3FE93611" w14:textId="77777777" w:rsidR="00000000" w:rsidRDefault="00436F74">
      <w:pPr>
        <w:jc w:val="both"/>
        <w:rPr>
          <w:lang w:val="en-US"/>
        </w:rPr>
      </w:pPr>
      <w:r>
        <w:rPr>
          <w:lang w:val="en-US"/>
        </w:rPr>
        <w:t>This paper investigates the role of Islamic jurisprudence in creating and sustaining for</w:t>
      </w:r>
      <w:r>
        <w:rPr>
          <w:lang w:val="en-US"/>
        </w:rPr>
        <w:t>ms of social dependency in the oases o</w:t>
      </w:r>
      <w:r>
        <w:rPr>
          <w:lang w:val="en-US"/>
        </w:rPr>
        <w:t xml:space="preserve">f Tuwāt (present-day southern Algeria). Drawing upon a series of </w:t>
      </w:r>
      <w:r>
        <w:rPr>
          <w:i/>
          <w:iCs/>
          <w:lang w:val="en-US"/>
        </w:rPr>
        <w:t>fatwā</w:t>
      </w:r>
      <w:r>
        <w:rPr>
          <w:lang w:val="en-US"/>
        </w:rPr>
        <w:t>s collections compiled between 1750 and 1850, I examine how Saharan legal scholars reinforced the structural hegemony of local elites and ensured their control over servile and semi-serv</w:t>
      </w:r>
      <w:r>
        <w:rPr>
          <w:lang w:val="en-US"/>
        </w:rPr>
        <w:t xml:space="preserve">ile groups, particularly the Haratin population. The materials reveal that jurisprudential techniques and arguments were instrumental in fostering practices of subordination, most notably through the defense of exploitative sharecropping arrangements. The </w:t>
      </w:r>
      <w:r>
        <w:rPr>
          <w:lang w:val="en-US"/>
        </w:rPr>
        <w:t xml:space="preserve">tendency of local jurists to uphold individual property rights </w:t>
      </w:r>
      <w:r>
        <w:rPr>
          <w:i/>
          <w:iCs/>
          <w:lang w:val="en-US"/>
        </w:rPr>
        <w:t>de facto</w:t>
      </w:r>
      <w:r>
        <w:rPr>
          <w:lang w:val="en-US"/>
        </w:rPr>
        <w:t xml:space="preserve"> worked in favor of descent groups claiming genealogical and cultural superiority. It significantly contributed to the maintenance of unequal relationships between individuals and socia</w:t>
      </w:r>
      <w:r>
        <w:rPr>
          <w:lang w:val="en-US"/>
        </w:rPr>
        <w:t>l groups in a society profoundly shaped by the trans-Saharan slave trade.</w:t>
      </w:r>
    </w:p>
    <w:p w14:paraId="70CC1027" w14:textId="77777777" w:rsidR="00000000" w:rsidRDefault="00436F74">
      <w:pPr>
        <w:jc w:val="both"/>
        <w:rPr>
          <w:highlight w:val="yellow"/>
          <w:lang w:val="en-US"/>
        </w:rPr>
      </w:pPr>
    </w:p>
    <w:p w14:paraId="5F948A2C" w14:textId="77777777" w:rsidR="00000000" w:rsidRDefault="00436F74">
      <w:pPr>
        <w:jc w:val="both"/>
        <w:rPr>
          <w:highlight w:val="yellow"/>
          <w:lang w:val="en-US"/>
        </w:rPr>
      </w:pPr>
    </w:p>
    <w:p w14:paraId="6085AA4D" w14:textId="77777777" w:rsidR="00000000" w:rsidRDefault="00436F74">
      <w:pPr>
        <w:spacing w:line="360" w:lineRule="auto"/>
        <w:jc w:val="both"/>
        <w:rPr>
          <w:b/>
          <w:bCs/>
          <w:lang w:val="en-US"/>
        </w:rPr>
      </w:pPr>
      <w:r>
        <w:rPr>
          <w:b/>
          <w:bCs/>
          <w:lang w:val="en-US"/>
        </w:rPr>
        <w:t>Key Words</w:t>
      </w:r>
    </w:p>
    <w:p w14:paraId="02E33088" w14:textId="77777777" w:rsidR="00000000" w:rsidRDefault="00436F74">
      <w:pPr>
        <w:jc w:val="both"/>
        <w:rPr>
          <w:lang w:val="en-US"/>
        </w:rPr>
      </w:pPr>
      <w:r>
        <w:rPr>
          <w:lang w:val="en-US"/>
        </w:rPr>
        <w:br/>
        <w:t xml:space="preserve">Islamic Law, Saharan West, Algeria, </w:t>
      </w:r>
      <w:r>
        <w:rPr>
          <w:i/>
          <w:iCs/>
          <w:lang w:val="en-US"/>
        </w:rPr>
        <w:t>fatwā</w:t>
      </w:r>
      <w:r>
        <w:rPr>
          <w:lang w:val="en-US"/>
        </w:rPr>
        <w:t xml:space="preserve">, Tuwāt, Haratin, </w:t>
      </w:r>
      <w:r>
        <w:rPr>
          <w:i/>
          <w:iCs/>
          <w:lang w:val="en-US"/>
        </w:rPr>
        <w:t>khammāsa</w:t>
      </w:r>
      <w:r>
        <w:rPr>
          <w:lang w:val="en-US"/>
        </w:rPr>
        <w:t>, Saharan manuscripts, precolonial North Africa, Trans-Saharan slavery</w:t>
      </w:r>
    </w:p>
    <w:p w14:paraId="60C97BBD" w14:textId="77777777" w:rsidR="00000000" w:rsidRDefault="00436F74">
      <w:pPr>
        <w:spacing w:line="360" w:lineRule="auto"/>
        <w:jc w:val="both"/>
        <w:rPr>
          <w:highlight w:val="yellow"/>
          <w:lang w:val="en-US"/>
        </w:rPr>
      </w:pPr>
    </w:p>
    <w:p w14:paraId="2C9CF38E" w14:textId="77777777" w:rsidR="00000000" w:rsidRDefault="00436F74">
      <w:pPr>
        <w:spacing w:line="360" w:lineRule="auto"/>
        <w:jc w:val="both"/>
        <w:rPr>
          <w:highlight w:val="yellow"/>
          <w:lang w:val="en-US"/>
        </w:rPr>
      </w:pPr>
    </w:p>
    <w:p w14:paraId="1C385CAA" w14:textId="77777777" w:rsidR="00000000" w:rsidRDefault="00436F74">
      <w:pPr>
        <w:spacing w:line="360" w:lineRule="auto"/>
        <w:jc w:val="both"/>
        <w:rPr>
          <w:lang w:val="en-US"/>
        </w:rPr>
      </w:pPr>
      <w:r>
        <w:rPr>
          <w:lang w:val="en-US"/>
        </w:rPr>
        <w:t>From the fifteenth century on</w:t>
      </w:r>
      <w:r>
        <w:rPr>
          <w:lang w:val="en-US"/>
        </w:rPr>
        <w:t>wards</w:t>
      </w:r>
      <w:r>
        <w:rPr>
          <w:rStyle w:val="FootnoteReference"/>
          <w:lang w:val="en-US"/>
        </w:rPr>
        <w:footnoteReference w:id="2"/>
      </w:r>
      <w:r>
        <w:rPr>
          <w:lang w:val="en-US"/>
        </w:rPr>
        <w:t xml:space="preserve">, the oases of Tuwāt in modern-day Algeria emerged as a hub of Muslim scholarship fostering intellectual connections between the Maghrib and the burgeoning </w:t>
      </w:r>
      <w:r>
        <w:rPr>
          <w:i/>
          <w:iCs/>
          <w:lang w:val="en-US"/>
        </w:rPr>
        <w:t>ʿulamāʾ</w:t>
      </w:r>
      <w:r>
        <w:rPr>
          <w:lang w:val="en-US"/>
        </w:rPr>
        <w:t xml:space="preserve"> communities in the Sahel and Sahara. As Tuwātī scholars gained prominence as jurists, </w:t>
      </w:r>
      <w:r>
        <w:rPr>
          <w:lang w:val="en-US"/>
        </w:rPr>
        <w:t>teachers, and religious leaders, they contributed to the development of significant literary traditions, especially during the eighteenth and early nineteenth centuries. Their writings offer insights into how the spread of scholarly knowledge influenced so</w:t>
      </w:r>
      <w:r>
        <w:rPr>
          <w:lang w:val="en-US"/>
        </w:rPr>
        <w:t xml:space="preserve">cial hierarchies and power structures in the oases. This paper contends that the cultivation of </w:t>
      </w:r>
      <w:r>
        <w:rPr>
          <w:i/>
          <w:iCs/>
          <w:lang w:val="en-US"/>
        </w:rPr>
        <w:t>fiqh</w:t>
      </w:r>
      <w:r>
        <w:rPr>
          <w:lang w:val="en-US"/>
        </w:rPr>
        <w:t xml:space="preserve">, or Islamic jurisprudence, was crucial in establishing and maintaining a discursive and </w:t>
      </w:r>
      <w:r>
        <w:rPr>
          <w:lang w:val="en-US"/>
        </w:rPr>
        <w:lastRenderedPageBreak/>
        <w:t>institutional framework for specific forms of social dependency rel</w:t>
      </w:r>
      <w:r>
        <w:rPr>
          <w:lang w:val="en-US"/>
        </w:rPr>
        <w:t>ated to trans-Saharan slavery, an institution that was central to the economic and agricultural activity of Tuwāt. Islamic jurisprudence provided a normative grammar that bound the people of the oases together, albeit in a profoundly unequal manner, perpet</w:t>
      </w:r>
      <w:r>
        <w:rPr>
          <w:lang w:val="en-US"/>
        </w:rPr>
        <w:t xml:space="preserve">uating the hegemony of certain social groups in Tuwāt based on notions of genealogical prestige and inherited social status. </w:t>
      </w:r>
    </w:p>
    <w:p w14:paraId="3947A393" w14:textId="77777777" w:rsidR="00000000" w:rsidRDefault="00436F74">
      <w:pPr>
        <w:spacing w:line="360" w:lineRule="auto"/>
        <w:ind w:firstLine="567"/>
        <w:jc w:val="both"/>
        <w:rPr>
          <w:lang w:val="en-US"/>
        </w:rPr>
      </w:pPr>
      <w:r>
        <w:rPr>
          <w:lang w:val="en-US"/>
        </w:rPr>
        <w:t>Historical research on Muslim scholarly culture in the Sahara has primarily concentrated on the rich textual legacy of the Arabic-</w:t>
      </w:r>
      <w:r>
        <w:rPr>
          <w:lang w:val="en-US"/>
        </w:rPr>
        <w:t>speaking populations in Mauritania and northern Mali.</w:t>
      </w:r>
      <w:r>
        <w:rPr>
          <w:rStyle w:val="FootnoteReference"/>
          <w:lang w:val="en-US"/>
        </w:rPr>
        <w:footnoteReference w:id="3"/>
      </w:r>
      <w:r>
        <w:rPr>
          <w:lang w:val="en-US"/>
        </w:rPr>
        <w:t xml:space="preserve"> Researchers have examined how religious prestige and scholarly knowledge were deployed to exert power and control material resources.</w:t>
      </w:r>
      <w:r>
        <w:rPr>
          <w:rStyle w:val="FootnoteReference"/>
          <w:lang w:val="en-US"/>
        </w:rPr>
        <w:footnoteReference w:id="4"/>
      </w:r>
      <w:r>
        <w:rPr>
          <w:lang w:val="en-US"/>
        </w:rPr>
        <w:t xml:space="preserve"> Concurrently, they have highlighted the emergence of a culture of </w:t>
      </w:r>
      <w:r>
        <w:rPr>
          <w:lang w:val="en-US"/>
        </w:rPr>
        <w:t>juridical reasoning that supported the dissemination of Islamic normative and literacy practices.</w:t>
      </w:r>
      <w:r>
        <w:rPr>
          <w:rStyle w:val="FootnoteReference"/>
          <w:lang w:val="en-US"/>
        </w:rPr>
        <w:footnoteReference w:id="5"/>
      </w:r>
      <w:r>
        <w:rPr>
          <w:lang w:val="en-US"/>
        </w:rPr>
        <w:t xml:space="preserve"> Through this work, it is now well established that Muslim scholarship and Islamic law played a crucial role in generating the forms of social and political o</w:t>
      </w:r>
      <w:r>
        <w:rPr>
          <w:lang w:val="en-US"/>
        </w:rPr>
        <w:t>rganization that structured life in the great desert before 1900. Within the region’s political landscape, social order largely depended on establishing or challenging power relations. This involved struggles over who could wield influence and by which mea</w:t>
      </w:r>
      <w:r>
        <w:rPr>
          <w:lang w:val="en-US"/>
        </w:rPr>
        <w:t>ns, and the constant production of dependencies in terms of resources or services.</w:t>
      </w:r>
      <w:r>
        <w:rPr>
          <w:rStyle w:val="FootnoteReference"/>
          <w:lang w:val="en-US"/>
        </w:rPr>
        <w:footnoteReference w:id="6"/>
      </w:r>
      <w:r>
        <w:rPr>
          <w:lang w:val="en-US"/>
        </w:rPr>
        <w:t xml:space="preserve"> Cultural paradigms, shaped by the diffusion of Arabo-Islamic civilization across the Sahara since the tenth century, significantly impacted these dynamics. Social hierarchi</w:t>
      </w:r>
      <w:r>
        <w:rPr>
          <w:lang w:val="en-US"/>
        </w:rPr>
        <w:t>es and classifications mirrored the spread of Islamic genealogy (</w:t>
      </w:r>
      <w:r>
        <w:rPr>
          <w:i/>
          <w:iCs/>
          <w:lang w:val="en-US"/>
        </w:rPr>
        <w:t>ʿilm al-nasab</w:t>
      </w:r>
      <w:r>
        <w:rPr>
          <w:lang w:val="en-US"/>
        </w:rPr>
        <w:t>) and were part of a comprehensive typology that designated specific collective identities.</w:t>
      </w:r>
      <w:r>
        <w:rPr>
          <w:rStyle w:val="FootnoteReference"/>
          <w:lang w:val="en-US"/>
        </w:rPr>
        <w:footnoteReference w:id="7"/>
      </w:r>
      <w:r>
        <w:rPr>
          <w:lang w:val="en-US"/>
        </w:rPr>
        <w:t xml:space="preserve"> Because such claims entailed the </w:t>
      </w:r>
      <w:r>
        <w:rPr>
          <w:lang w:val="en-US"/>
        </w:rPr>
        <w:lastRenderedPageBreak/>
        <w:t>submission of others, they led to pervasive dependen</w:t>
      </w:r>
      <w:r>
        <w:rPr>
          <w:lang w:val="en-US"/>
        </w:rPr>
        <w:t>cy relations in varying degrees and forms in the Saharan West up to the present day. The designation of low status imbedded one within a complex system of servile or semi-servile relations, a system that at its core was rooted in the painful history of the</w:t>
      </w:r>
      <w:r>
        <w:rPr>
          <w:lang w:val="en-US"/>
        </w:rPr>
        <w:t xml:space="preserve"> enslavement of West Africans for centuries.</w:t>
      </w:r>
      <w:r>
        <w:rPr>
          <w:rStyle w:val="FootnoteReference"/>
          <w:lang w:val="en-US"/>
        </w:rPr>
        <w:footnoteReference w:id="8"/>
      </w:r>
      <w:r>
        <w:rPr>
          <w:lang w:val="en-US"/>
        </w:rPr>
        <w:t xml:space="preserve"> </w:t>
      </w:r>
    </w:p>
    <w:p w14:paraId="0C5B12A0" w14:textId="77777777" w:rsidR="00000000" w:rsidRDefault="00436F74">
      <w:pPr>
        <w:spacing w:line="360" w:lineRule="auto"/>
        <w:ind w:firstLine="567"/>
        <w:jc w:val="both"/>
        <w:rPr>
          <w:highlight w:val="yellow"/>
          <w:lang w:val="en-US"/>
        </w:rPr>
      </w:pPr>
      <w:r>
        <w:rPr>
          <w:lang w:val="en-US"/>
        </w:rPr>
        <w:t>The materials from Tuw</w:t>
      </w:r>
      <w:r>
        <w:rPr>
          <w:lang w:val="en-US"/>
        </w:rPr>
        <w:t>āt enable us to broaden the scope of historical studies on pre-1900 Saharan Islam. Most notably, they provide a distinctive vantage point for investigating the specificities of social order in the oases of the northern Sahara and the substantial role Islam</w:t>
      </w:r>
      <w:r>
        <w:rPr>
          <w:lang w:val="en-US"/>
        </w:rPr>
        <w:t xml:space="preserve">ic legal institutions played in shaping them. Although located further north, Tuwāt shares several key socio-cultural aspects with the southern fringes of the Sahara, including a social order grounded in various corporate identities determined by cultural </w:t>
      </w:r>
      <w:r>
        <w:rPr>
          <w:lang w:val="en-US"/>
        </w:rPr>
        <w:t>and genealogical factors. Moreover, the shadow of trans-Saharan slavery looms large over the production of relationships of inequality between individuals and social groups. This paper explores the role of Islamic jurisprudence within such a system of hier</w:t>
      </w:r>
      <w:r>
        <w:rPr>
          <w:lang w:val="en-US"/>
        </w:rPr>
        <w:t>archical classifications and examines its impact on political and economic life in the oases. Our focus is on the jurisprudential techniques and arguments employed by local scholars to sustain practices of subordination, most importantly through the vigoro</w:t>
      </w:r>
      <w:r>
        <w:rPr>
          <w:lang w:val="en-US"/>
        </w:rPr>
        <w:t>us defense of exploitative sharecropping arrangements. While this paper may occasionally seem to adopt a domination approach to social relations, its aim lies elsewhere. We strive to comprehend how the production of social dependency was articulated throug</w:t>
      </w:r>
      <w:r>
        <w:rPr>
          <w:lang w:val="en-US"/>
        </w:rPr>
        <w:t xml:space="preserve">h a sophisticated legal discourse that skillfully navigated between mechanisms of inclusion and exclusion. </w:t>
      </w:r>
    </w:p>
    <w:p w14:paraId="1CE63DE6" w14:textId="77777777" w:rsidR="00000000" w:rsidRDefault="00436F74">
      <w:pPr>
        <w:spacing w:before="240" w:after="120" w:line="360" w:lineRule="auto"/>
        <w:jc w:val="both"/>
        <w:rPr>
          <w:b/>
          <w:bCs/>
          <w:lang w:val="en-US"/>
        </w:rPr>
      </w:pPr>
      <w:r>
        <w:rPr>
          <w:b/>
          <w:bCs/>
          <w:lang w:val="en-US"/>
        </w:rPr>
        <w:t xml:space="preserve">Muslim Scholarship in </w:t>
      </w:r>
      <w:r>
        <w:rPr>
          <w:b/>
          <w:bCs/>
          <w:lang w:val="en-US"/>
        </w:rPr>
        <w:t>Tuwāt</w:t>
      </w:r>
    </w:p>
    <w:p w14:paraId="47E155C1" w14:textId="77777777" w:rsidR="00000000" w:rsidRDefault="00436F74">
      <w:pPr>
        <w:spacing w:line="360" w:lineRule="auto"/>
        <w:jc w:val="both"/>
        <w:rPr>
          <w:lang w:val="en-US"/>
        </w:rPr>
      </w:pPr>
      <w:r>
        <w:rPr>
          <w:lang w:val="en-US"/>
        </w:rPr>
        <w:t>Located at the convergence of several major trans-Saharan trade routes, the oases of Tuwāt</w:t>
      </w:r>
      <w:r>
        <w:rPr>
          <w:rStyle w:val="FootnoteReference"/>
          <w:lang w:val="en-US"/>
        </w:rPr>
        <w:footnoteReference w:id="9"/>
      </w:r>
      <w:r>
        <w:rPr>
          <w:lang w:val="en-US"/>
        </w:rPr>
        <w:t xml:space="preserve"> have served as a hub for exchanges between North and West Africa since at least the fourteenth century.</w:t>
      </w:r>
      <w:r>
        <w:rPr>
          <w:rStyle w:val="FootnoteReference"/>
          <w:lang w:val="en-US"/>
        </w:rPr>
        <w:footnoteReference w:id="10"/>
      </w:r>
      <w:r>
        <w:rPr>
          <w:lang w:val="en-US"/>
        </w:rPr>
        <w:t xml:space="preserve"> The development of Muslim scholarship in Tuwāt also m</w:t>
      </w:r>
      <w:r>
        <w:rPr>
          <w:lang w:val="en-US"/>
        </w:rPr>
        <w:t xml:space="preserve">irrors this history of Trans-Saharan mobility and commerce. According to local and external sources, the earliest scholars were immigrants from the northern Maghrib who arrived in the region during </w:t>
      </w:r>
      <w:r>
        <w:rPr>
          <w:lang w:val="en-US"/>
        </w:rPr>
        <w:lastRenderedPageBreak/>
        <w:t>the fifteenth and sixteenth centuries.</w:t>
      </w:r>
      <w:r>
        <w:rPr>
          <w:rStyle w:val="FootnoteReference"/>
          <w:lang w:val="en-US"/>
        </w:rPr>
        <w:footnoteReference w:id="11"/>
      </w:r>
      <w:r>
        <w:rPr>
          <w:lang w:val="en-US"/>
        </w:rPr>
        <w:t xml:space="preserve"> Some of these scho</w:t>
      </w:r>
      <w:r>
        <w:rPr>
          <w:lang w:val="en-US"/>
        </w:rPr>
        <w:t xml:space="preserve">lars permanently settled in the various oasis villages, called </w:t>
      </w:r>
      <w:r>
        <w:rPr>
          <w:i/>
          <w:iCs/>
          <w:lang w:val="en-US"/>
        </w:rPr>
        <w:t>qṣūr</w:t>
      </w:r>
      <w:r>
        <w:rPr>
          <w:lang w:val="en-US"/>
        </w:rPr>
        <w:t xml:space="preserve"> (sg. </w:t>
      </w:r>
      <w:r>
        <w:rPr>
          <w:i/>
          <w:iCs/>
          <w:lang w:val="en-US"/>
        </w:rPr>
        <w:t>qaṣr</w:t>
      </w:r>
      <w:r>
        <w:rPr>
          <w:lang w:val="en-US"/>
        </w:rPr>
        <w:t>) or “castles” in dialectal Arabic because of their fortified structures. Others ventured further south to the Sahel, where several, most notably the Tlemcenian scholar ʿAbd al-Karīm al-Maghīlī (d. 909/1504), rose to prominence within West Af</w:t>
      </w:r>
      <w:r>
        <w:rPr>
          <w:lang w:val="en-US"/>
        </w:rPr>
        <w:t>rica’s emerging Muslim communities.</w:t>
      </w:r>
      <w:r>
        <w:rPr>
          <w:rStyle w:val="FootnoteReference"/>
          <w:lang w:val="en-US"/>
        </w:rPr>
        <w:footnoteReference w:id="12"/>
      </w:r>
      <w:r>
        <w:rPr>
          <w:lang w:val="en-US"/>
        </w:rPr>
        <w:t xml:space="preserve"> From the seventeenth century onwards, northern emigrants are less frequently mentioned in records, as a handful of local families began to dominate intellectual and religious life in the oases.</w:t>
      </w:r>
      <w:r>
        <w:rPr>
          <w:rStyle w:val="FootnoteReference"/>
          <w:lang w:val="en-US"/>
        </w:rPr>
        <w:footnoteReference w:id="13"/>
      </w:r>
      <w:r>
        <w:rPr>
          <w:lang w:val="en-US"/>
        </w:rPr>
        <w:t xml:space="preserve"> Nevertheless, these fami</w:t>
      </w:r>
      <w:r>
        <w:rPr>
          <w:lang w:val="en-US"/>
        </w:rPr>
        <w:t>lies were deeply involved in trans-Saharan cultural and economic networks, including the pilgrimage traffic to the east. Alongside nurturing scholarly connections across the desert, they also engaged in caravan trade ventures between the Maghrib, Egypt, an</w:t>
      </w:r>
      <w:r>
        <w:rPr>
          <w:lang w:val="en-US"/>
        </w:rPr>
        <w:t>d the Sahel. Interactions with neighboring regions and distant places were indeed crucial for sustaining the complex web of property and power relations within Tuwāt, allowing for investment in the resources vital for oasis agriculture: land, water, and la</w:t>
      </w:r>
      <w:r>
        <w:rPr>
          <w:lang w:val="en-US"/>
        </w:rPr>
        <w:t>bor.</w:t>
      </w:r>
      <w:r>
        <w:rPr>
          <w:rStyle w:val="FootnoteReference"/>
          <w:lang w:val="en-US"/>
        </w:rPr>
        <w:footnoteReference w:id="14"/>
      </w:r>
    </w:p>
    <w:p w14:paraId="2AA3A59B" w14:textId="77777777" w:rsidR="00000000" w:rsidRDefault="00436F74">
      <w:pPr>
        <w:spacing w:line="360" w:lineRule="auto"/>
        <w:ind w:firstLine="567"/>
        <w:jc w:val="both"/>
        <w:rPr>
          <w:lang w:val="en-US"/>
        </w:rPr>
      </w:pPr>
      <w:r>
        <w:rPr>
          <w:lang w:val="en-US"/>
        </w:rPr>
        <w:t>Intellectual life in the oases appears to have been particularly dynamic between the late seventeenth and the early nineteenth centuries, as most local authors whose works now exist as manuscripts in the region’s numerous private libraries (</w:t>
      </w:r>
      <w:r>
        <w:rPr>
          <w:i/>
          <w:iCs/>
          <w:lang w:val="en-US"/>
        </w:rPr>
        <w:t>khizāna</w:t>
      </w:r>
      <w:r>
        <w:rPr>
          <w:lang w:val="en-US"/>
        </w:rPr>
        <w:t xml:space="preserve">, </w:t>
      </w:r>
      <w:r>
        <w:rPr>
          <w:lang w:val="en-US"/>
        </w:rPr>
        <w:t xml:space="preserve">pl. </w:t>
      </w:r>
      <w:r>
        <w:rPr>
          <w:i/>
          <w:iCs/>
          <w:lang w:val="en-US"/>
        </w:rPr>
        <w:t>khazāʾin</w:t>
      </w:r>
      <w:r>
        <w:rPr>
          <w:lang w:val="en-US"/>
        </w:rPr>
        <w:t>) lived during this period.</w:t>
      </w:r>
      <w:r>
        <w:rPr>
          <w:rStyle w:val="FootnoteReference"/>
          <w:lang w:val="en-US"/>
        </w:rPr>
        <w:footnoteReference w:id="15"/>
      </w:r>
      <w:r>
        <w:rPr>
          <w:lang w:val="en-US"/>
        </w:rPr>
        <w:t xml:space="preserve"> Their works encompass the full range of scholarly writing in the Islamic West, including chronicles, biographical dictionaries, hagiographies, travelogues, treatises, commentaries, </w:t>
      </w:r>
      <w:r>
        <w:rPr>
          <w:i/>
          <w:iCs/>
          <w:lang w:val="en-US"/>
        </w:rPr>
        <w:t>fatwā</w:t>
      </w:r>
      <w:r>
        <w:rPr>
          <w:lang w:val="en-US"/>
        </w:rPr>
        <w:t>s collections, and poetry.</w:t>
      </w:r>
      <w:r>
        <w:rPr>
          <w:rStyle w:val="FootnoteReference"/>
          <w:lang w:val="en-US"/>
        </w:rPr>
        <w:footnoteReference w:id="16"/>
      </w:r>
      <w:r>
        <w:rPr>
          <w:lang w:val="en-US"/>
        </w:rPr>
        <w:t xml:space="preserve"> I</w:t>
      </w:r>
      <w:r>
        <w:rPr>
          <w:lang w:val="en-US"/>
        </w:rPr>
        <w:t>t is not surprising that the growing body of publications by Algerian researchers on these texts characterizes the period as the “golden era” of Tuwātī culture.</w:t>
      </w:r>
      <w:r>
        <w:rPr>
          <w:rStyle w:val="FootnoteReference"/>
          <w:lang w:val="en-US"/>
        </w:rPr>
        <w:footnoteReference w:id="17"/>
      </w:r>
      <w:r>
        <w:rPr>
          <w:lang w:val="en-US"/>
        </w:rPr>
        <w:t xml:space="preserve"> What is undoubtedly remarkable is the extent to which jurisprudential reasoning became a vehic</w:t>
      </w:r>
      <w:r>
        <w:rPr>
          <w:lang w:val="en-US"/>
        </w:rPr>
        <w:t xml:space="preserve">le for scholarly expression. As in other parts of the </w:t>
      </w:r>
      <w:r>
        <w:rPr>
          <w:lang w:val="en-US"/>
        </w:rPr>
        <w:lastRenderedPageBreak/>
        <w:t>Sahara and the Maghrib, significant effort was dedicated to compiling case collections (</w:t>
      </w:r>
      <w:r>
        <w:rPr>
          <w:i/>
          <w:iCs/>
          <w:lang w:val="en-US"/>
        </w:rPr>
        <w:t>nawāzil</w:t>
      </w:r>
      <w:r>
        <w:rPr>
          <w:lang w:val="en-US"/>
        </w:rPr>
        <w:t xml:space="preserve">), which assembled </w:t>
      </w:r>
      <w:r>
        <w:rPr>
          <w:i/>
          <w:iCs/>
          <w:lang w:val="en-US"/>
        </w:rPr>
        <w:t>fatwā</w:t>
      </w:r>
      <w:r>
        <w:rPr>
          <w:lang w:val="en-US"/>
        </w:rPr>
        <w:t>s, rulings, or correspondences of local jurists.</w:t>
      </w:r>
      <w:r>
        <w:rPr>
          <w:rStyle w:val="FootnoteReference"/>
          <w:lang w:val="en-US"/>
        </w:rPr>
        <w:footnoteReference w:id="18"/>
      </w:r>
      <w:r>
        <w:rPr>
          <w:lang w:val="en-US"/>
        </w:rPr>
        <w:t xml:space="preserve"> </w:t>
      </w:r>
    </w:p>
    <w:p w14:paraId="6314F2A3" w14:textId="77777777" w:rsidR="00000000" w:rsidRDefault="00436F74">
      <w:pPr>
        <w:spacing w:line="360" w:lineRule="auto"/>
        <w:ind w:firstLine="567"/>
        <w:jc w:val="both"/>
        <w:rPr>
          <w:lang w:val="en-US"/>
        </w:rPr>
      </w:pPr>
      <w:r>
        <w:rPr>
          <w:lang w:val="en-US"/>
        </w:rPr>
        <w:t>Between 1700 and 1850, three pri</w:t>
      </w:r>
      <w:r>
        <w:rPr>
          <w:lang w:val="en-US"/>
        </w:rPr>
        <w:t xml:space="preserve">ncipal compilations came into existence, along with several smaller collections and single </w:t>
      </w:r>
      <w:r>
        <w:rPr>
          <w:i/>
          <w:iCs/>
          <w:lang w:val="en-US"/>
        </w:rPr>
        <w:t>fatwā</w:t>
      </w:r>
      <w:r>
        <w:rPr>
          <w:lang w:val="en-US"/>
        </w:rPr>
        <w:t>s on specific topics.</w:t>
      </w:r>
      <w:r>
        <w:rPr>
          <w:rStyle w:val="FootnoteReference"/>
          <w:lang w:val="en-US"/>
        </w:rPr>
        <w:footnoteReference w:id="19"/>
      </w:r>
      <w:r>
        <w:rPr>
          <w:lang w:val="en-US"/>
        </w:rPr>
        <w:t xml:space="preserve"> The texts examined in this paper stem from these compilations.</w:t>
      </w:r>
      <w:r>
        <w:rPr>
          <w:rStyle w:val="FootnoteReference"/>
          <w:lang w:val="en-US"/>
        </w:rPr>
        <w:footnoteReference w:id="20"/>
      </w:r>
      <w:r>
        <w:rPr>
          <w:lang w:val="en-US"/>
        </w:rPr>
        <w:t xml:space="preserve"> We rely on the </w:t>
      </w:r>
      <w:r>
        <w:rPr>
          <w:i/>
          <w:iCs/>
          <w:lang w:val="en-US"/>
        </w:rPr>
        <w:t xml:space="preserve">Nawāzil </w:t>
      </w:r>
      <w:r>
        <w:rPr>
          <w:lang w:val="en-US"/>
        </w:rPr>
        <w:t>attributed to ʿAbd al-Raḥmān al-Jantūrī (d. 1160/1</w:t>
      </w:r>
      <w:r>
        <w:rPr>
          <w:lang w:val="en-US"/>
        </w:rPr>
        <w:t>747),</w:t>
      </w:r>
      <w:r>
        <w:rPr>
          <w:rStyle w:val="FootnoteReference"/>
          <w:lang w:val="en-US"/>
        </w:rPr>
        <w:footnoteReference w:id="21"/>
      </w:r>
      <w:r>
        <w:rPr>
          <w:lang w:val="en-US"/>
        </w:rPr>
        <w:t xml:space="preserve"> those of Muḥammad al-ʿĀlim al-Zajlāwī (fl. 1700-1750),</w:t>
      </w:r>
      <w:r>
        <w:rPr>
          <w:rStyle w:val="FootnoteReference"/>
          <w:lang w:val="en-US"/>
        </w:rPr>
        <w:footnoteReference w:id="22"/>
      </w:r>
      <w:r>
        <w:rPr>
          <w:lang w:val="en-US"/>
        </w:rPr>
        <w:t xml:space="preserve"> the </w:t>
      </w:r>
      <w:r>
        <w:rPr>
          <w:i/>
          <w:lang w:val="en-US"/>
        </w:rPr>
        <w:t>Ghāyat al-amānī fī ajwibat Abī Zayd al-Tinilānī</w:t>
      </w:r>
      <w:r>
        <w:rPr>
          <w:rStyle w:val="FootnoteReference"/>
          <w:lang w:val="en-US"/>
        </w:rPr>
        <w:footnoteReference w:id="23"/>
      </w:r>
      <w:r>
        <w:rPr>
          <w:i/>
          <w:lang w:val="en-US"/>
        </w:rPr>
        <w:t xml:space="preserve"> </w:t>
      </w:r>
      <w:r>
        <w:rPr>
          <w:iCs/>
          <w:lang w:val="en-US"/>
        </w:rPr>
        <w:t xml:space="preserve">dedicated to the jurisprudence of </w:t>
      </w:r>
      <w:r>
        <w:rPr>
          <w:lang w:val="en-US"/>
        </w:rPr>
        <w:t xml:space="preserve">ʿAbd al-Raḥmān b. ʿUmar Tinilānī (d. 1189/1775), and the extensive </w:t>
      </w:r>
      <w:r>
        <w:rPr>
          <w:i/>
          <w:iCs/>
          <w:lang w:val="en-US"/>
        </w:rPr>
        <w:t>Ghunyat al-muqtaṣid al-sāʾil fī mā waqa</w:t>
      </w:r>
      <w:r>
        <w:rPr>
          <w:i/>
          <w:iCs/>
          <w:lang w:val="en-US"/>
        </w:rPr>
        <w:t>ʿa fī Tuwāt min al-qaḍāyā wa-l-masāʾil</w:t>
      </w:r>
      <w:r>
        <w:rPr>
          <w:lang w:val="en-US"/>
        </w:rPr>
        <w:t>, compiled by Muḥammad al-Ḥājj b. ʿAbd al-Raḥmān al-Balbālī (d. 1244/1828) and his son and successor ʿAbd al-ʿAzīz (d. 1261/1845).</w:t>
      </w:r>
      <w:r>
        <w:rPr>
          <w:rStyle w:val="FootnoteReference"/>
          <w:lang w:val="en-US"/>
        </w:rPr>
        <w:footnoteReference w:id="24"/>
      </w:r>
      <w:r>
        <w:rPr>
          <w:lang w:val="en-US"/>
        </w:rPr>
        <w:t xml:space="preserve"> Furthermore, in the second part of our paper, we draw on a long single </w:t>
      </w:r>
      <w:r>
        <w:rPr>
          <w:i/>
          <w:iCs/>
          <w:lang w:val="en-US"/>
        </w:rPr>
        <w:t>fatwā</w:t>
      </w:r>
      <w:r>
        <w:rPr>
          <w:lang w:val="en-US"/>
        </w:rPr>
        <w:t xml:space="preserve"> on sharec</w:t>
      </w:r>
      <w:r>
        <w:rPr>
          <w:lang w:val="en-US"/>
        </w:rPr>
        <w:t>ropping contracts written by Muḥammad b. Ubba al-Muzammirī (d. 1160/1747).</w:t>
      </w:r>
      <w:r>
        <w:rPr>
          <w:rStyle w:val="FootnoteReference"/>
          <w:lang w:val="en-US"/>
        </w:rPr>
        <w:footnoteReference w:id="25"/>
      </w:r>
      <w:r>
        <w:rPr>
          <w:lang w:val="en-US"/>
        </w:rPr>
        <w:t xml:space="preserve"> </w:t>
      </w:r>
    </w:p>
    <w:p w14:paraId="35AD546C" w14:textId="77777777" w:rsidR="00000000" w:rsidRDefault="00436F74">
      <w:pPr>
        <w:spacing w:line="360" w:lineRule="auto"/>
        <w:ind w:firstLine="567"/>
        <w:jc w:val="both"/>
        <w:rPr>
          <w:lang w:val="en-US"/>
        </w:rPr>
      </w:pPr>
      <w:r>
        <w:rPr>
          <w:lang w:val="en-US"/>
        </w:rPr>
        <w:t xml:space="preserve">The materials in these compilations are closely related to the development of institutional structures for Islamic adjudication within the oases. The growth of Muslim scholarship </w:t>
      </w:r>
      <w:r>
        <w:rPr>
          <w:lang w:val="en-US"/>
        </w:rPr>
        <w:t xml:space="preserve">since the fifteenth century fostered the development of a dense regional network of “legal service providers”, as Ghislaine Lydon aptly calls them, with Muslim scholars assuming the roles of </w:t>
      </w:r>
      <w:r>
        <w:rPr>
          <w:i/>
          <w:iCs/>
          <w:lang w:val="en-US"/>
        </w:rPr>
        <w:t>qāḍī</w:t>
      </w:r>
      <w:r>
        <w:rPr>
          <w:lang w:val="en-US"/>
        </w:rPr>
        <w:t xml:space="preserve">s and </w:t>
      </w:r>
      <w:r>
        <w:rPr>
          <w:i/>
          <w:iCs/>
          <w:lang w:val="en-US"/>
        </w:rPr>
        <w:t>muftī</w:t>
      </w:r>
      <w:r>
        <w:rPr>
          <w:lang w:val="en-US"/>
        </w:rPr>
        <w:t>s in the various oasis villages.</w:t>
      </w:r>
      <w:r>
        <w:rPr>
          <w:rStyle w:val="FootnoteReference"/>
          <w:lang w:val="en-US"/>
        </w:rPr>
        <w:footnoteReference w:id="26"/>
      </w:r>
      <w:r>
        <w:rPr>
          <w:lang w:val="en-US"/>
        </w:rPr>
        <w:t xml:space="preserve"> During the eight</w:t>
      </w:r>
      <w:r>
        <w:rPr>
          <w:lang w:val="en-US"/>
        </w:rPr>
        <w:t xml:space="preserve">eenth and nineteenth centuries, some </w:t>
      </w:r>
      <w:r>
        <w:rPr>
          <w:i/>
          <w:iCs/>
          <w:lang w:val="en-US"/>
        </w:rPr>
        <w:t>qāḍī</w:t>
      </w:r>
      <w:r>
        <w:rPr>
          <w:lang w:val="en-US"/>
        </w:rPr>
        <w:t xml:space="preserve">s even received formal investiture letters as </w:t>
      </w:r>
      <w:r>
        <w:rPr>
          <w:i/>
          <w:iCs/>
          <w:color w:val="0E101A"/>
          <w:lang w:val="en-US"/>
        </w:rPr>
        <w:t>qā</w:t>
      </w:r>
      <w:r>
        <w:rPr>
          <w:i/>
          <w:iCs/>
          <w:lang w:val="en-US"/>
        </w:rPr>
        <w:t>ḍ</w:t>
      </w:r>
      <w:r>
        <w:rPr>
          <w:i/>
          <w:iCs/>
          <w:color w:val="0E101A"/>
          <w:lang w:val="en-US"/>
        </w:rPr>
        <w:t>ī al-jamā</w:t>
      </w:r>
      <w:r>
        <w:rPr>
          <w:lang w:val="en-US"/>
        </w:rPr>
        <w:t>ʿ</w:t>
      </w:r>
      <w:r>
        <w:rPr>
          <w:i/>
          <w:iCs/>
          <w:color w:val="0E101A"/>
          <w:lang w:val="en-US"/>
        </w:rPr>
        <w:t>a</w:t>
      </w:r>
      <w:r>
        <w:rPr>
          <w:rStyle w:val="FootnoteReference"/>
          <w:lang w:val="en-US"/>
        </w:rPr>
        <w:footnoteReference w:id="27"/>
      </w:r>
      <w:r>
        <w:rPr>
          <w:i/>
          <w:iCs/>
          <w:color w:val="0E101A"/>
          <w:lang w:val="en-US"/>
        </w:rPr>
        <w:t xml:space="preserve"> </w:t>
      </w:r>
      <w:r>
        <w:rPr>
          <w:lang w:val="en-US"/>
        </w:rPr>
        <w:t xml:space="preserve">from the Moroccan Alawite sultans, who exerted a loose sovereignty over the region. However, such institutional roles must be viewed as participating in </w:t>
      </w:r>
      <w:r>
        <w:rPr>
          <w:lang w:val="en-US"/>
        </w:rPr>
        <w:t xml:space="preserve">a larger system of alliances and competition among Tuwāt’s scholarly families. Local scholars were indeed </w:t>
      </w:r>
      <w:r>
        <w:rPr>
          <w:lang w:val="en-US"/>
        </w:rPr>
        <w:lastRenderedPageBreak/>
        <w:t>intricately connected to each other through marital ties, master-disciple relationships, and shared economic interests as landowners and caravan trade</w:t>
      </w:r>
      <w:r>
        <w:rPr>
          <w:lang w:val="en-US"/>
        </w:rPr>
        <w:t xml:space="preserve"> entrepreneurs.</w:t>
      </w:r>
      <w:r>
        <w:rPr>
          <w:rStyle w:val="FootnoteReference"/>
          <w:lang w:val="en-US"/>
        </w:rPr>
        <w:footnoteReference w:id="28"/>
      </w:r>
      <w:r>
        <w:rPr>
          <w:lang w:val="en-US"/>
        </w:rPr>
        <w:t xml:space="preserve"> </w:t>
      </w:r>
    </w:p>
    <w:p w14:paraId="558C7AB7" w14:textId="77777777" w:rsidR="00000000" w:rsidRDefault="00436F74">
      <w:pPr>
        <w:spacing w:line="360" w:lineRule="auto"/>
        <w:ind w:firstLine="567"/>
        <w:jc w:val="both"/>
        <w:rPr>
          <w:lang w:val="en-US"/>
        </w:rPr>
      </w:pPr>
      <w:r>
        <w:rPr>
          <w:lang w:val="en-US"/>
        </w:rPr>
        <w:t xml:space="preserve">In the mid-eighteenth century, the </w:t>
      </w:r>
      <w:r>
        <w:rPr>
          <w:i/>
          <w:iCs/>
          <w:lang w:val="en-US"/>
        </w:rPr>
        <w:t>qāḍī al-jamāʿa</w:t>
      </w:r>
      <w:r>
        <w:rPr>
          <w:lang w:val="en-US"/>
        </w:rPr>
        <w:t xml:space="preserve"> ʿAbd al-Ḥaqq al-Bakrī (d. 1210/1796) established a formal deliberative council called </w:t>
      </w:r>
      <w:r>
        <w:rPr>
          <w:i/>
          <w:iCs/>
          <w:lang w:val="en-US"/>
        </w:rPr>
        <w:t>shūrā</w:t>
      </w:r>
      <w:r>
        <w:rPr>
          <w:lang w:val="en-US"/>
        </w:rPr>
        <w:t>, in which the leading jurists of the oases discussed legal cases and questions. While the counci</w:t>
      </w:r>
      <w:r>
        <w:rPr>
          <w:lang w:val="en-US"/>
        </w:rPr>
        <w:t xml:space="preserve">l’s formation harkens back to institutional models from the days of </w:t>
      </w:r>
      <w:r>
        <w:rPr>
          <w:i/>
          <w:iCs/>
          <w:lang w:val="en-US"/>
        </w:rPr>
        <w:t>al-Andalus</w:t>
      </w:r>
      <w:r>
        <w:rPr>
          <w:lang w:val="en-US"/>
        </w:rPr>
        <w:t>,</w:t>
      </w:r>
      <w:r>
        <w:rPr>
          <w:rStyle w:val="FootnoteReference"/>
          <w:lang w:val="en-US"/>
        </w:rPr>
        <w:footnoteReference w:id="29"/>
      </w:r>
      <w:r>
        <w:rPr>
          <w:lang w:val="en-US"/>
        </w:rPr>
        <w:t xml:space="preserve"> it reveals the alliance between two influential local families, the al-Bakrī-s and the al-Tinilānī-s. The leader of the latter, ʿAbd al-Raḥmān b. ʿUmar al-Tinilānī (d. 1189/17</w:t>
      </w:r>
      <w:r>
        <w:rPr>
          <w:lang w:val="en-US"/>
        </w:rPr>
        <w:t xml:space="preserve">75), appears to have been the principal </w:t>
      </w:r>
      <w:r>
        <w:rPr>
          <w:i/>
          <w:iCs/>
          <w:lang w:val="en-US"/>
        </w:rPr>
        <w:t>muftī</w:t>
      </w:r>
      <w:r>
        <w:rPr>
          <w:lang w:val="en-US"/>
        </w:rPr>
        <w:t xml:space="preserve"> in the oases.</w:t>
      </w:r>
      <w:r>
        <w:rPr>
          <w:rFonts w:hint="cs"/>
          <w:rtl/>
          <w:lang w:val="en-US"/>
        </w:rPr>
        <w:t xml:space="preserve"> </w:t>
      </w:r>
      <w:r>
        <w:rPr>
          <w:lang w:val="en-US"/>
        </w:rPr>
        <w:t xml:space="preserve">Many of the </w:t>
      </w:r>
      <w:r>
        <w:rPr>
          <w:i/>
          <w:iCs/>
          <w:lang w:val="en-US"/>
        </w:rPr>
        <w:t>shūrā</w:t>
      </w:r>
      <w:r>
        <w:rPr>
          <w:lang w:val="en-US"/>
        </w:rPr>
        <w:t xml:space="preserve"> council’s deliberations later found their way into the </w:t>
      </w:r>
      <w:r>
        <w:rPr>
          <w:i/>
          <w:iCs/>
          <w:lang w:val="en-US"/>
        </w:rPr>
        <w:t>Ghunya</w:t>
      </w:r>
      <w:r>
        <w:rPr>
          <w:lang w:val="en-US"/>
        </w:rPr>
        <w:t xml:space="preserve"> collection, which reflects the rise of another local family, the al-Balbālī-s. In the early nineteenth century, the </w:t>
      </w:r>
      <w:r>
        <w:rPr>
          <w:i/>
          <w:iCs/>
          <w:lang w:val="en-US"/>
        </w:rPr>
        <w:t>Ghunya</w:t>
      </w:r>
      <w:r>
        <w:rPr>
          <w:lang w:val="en-US"/>
        </w:rPr>
        <w:t xml:space="preserve">’s initial compiler, Muḥammad al-Ḥājj b. ʿAbd al-Raḥmān al-Balbālī, became </w:t>
      </w:r>
      <w:r>
        <w:rPr>
          <w:i/>
          <w:iCs/>
          <w:color w:val="0E101A"/>
          <w:lang w:val="en-US"/>
        </w:rPr>
        <w:t>qā</w:t>
      </w:r>
      <w:r>
        <w:rPr>
          <w:i/>
          <w:iCs/>
          <w:lang w:val="en-US"/>
        </w:rPr>
        <w:t>ḍ</w:t>
      </w:r>
      <w:r>
        <w:rPr>
          <w:i/>
          <w:iCs/>
          <w:color w:val="0E101A"/>
          <w:lang w:val="en-US"/>
        </w:rPr>
        <w:t>ī al-jamā</w:t>
      </w:r>
      <w:r>
        <w:rPr>
          <w:lang w:val="en-US"/>
        </w:rPr>
        <w:t>ʿ</w:t>
      </w:r>
      <w:r>
        <w:rPr>
          <w:i/>
          <w:iCs/>
          <w:color w:val="0E101A"/>
          <w:lang w:val="en-US"/>
        </w:rPr>
        <w:t>a</w:t>
      </w:r>
      <w:r>
        <w:rPr>
          <w:lang w:val="en-US"/>
        </w:rPr>
        <w:t xml:space="preserve"> and began assembling various materials related to legal practice in the oases, thereby laying the groundwork for what would become the </w:t>
      </w:r>
      <w:r>
        <w:rPr>
          <w:i/>
          <w:iCs/>
          <w:lang w:val="en-US"/>
        </w:rPr>
        <w:t>Ghunya</w:t>
      </w:r>
      <w:r>
        <w:rPr>
          <w:lang w:val="en-US"/>
        </w:rPr>
        <w:t>. In short, involve</w:t>
      </w:r>
      <w:r>
        <w:rPr>
          <w:lang w:val="en-US"/>
        </w:rPr>
        <w:t>ment in legal scholarship was integral to the power structures investigated in this paper.</w:t>
      </w:r>
    </w:p>
    <w:p w14:paraId="094CA343" w14:textId="77777777" w:rsidR="00000000" w:rsidRDefault="00436F74">
      <w:pPr>
        <w:spacing w:line="360" w:lineRule="auto"/>
        <w:ind w:firstLine="567"/>
        <w:jc w:val="both"/>
        <w:rPr>
          <w:lang w:val="en-US"/>
        </w:rPr>
      </w:pPr>
      <w:r>
        <w:rPr>
          <w:lang w:val="en-US"/>
        </w:rPr>
        <w:t>In contrast to the recent proliferation of Arabic publications on Tuwāt’s contribution to Algeria’s national cultural heritage (</w:t>
      </w:r>
      <w:r>
        <w:rPr>
          <w:i/>
          <w:iCs/>
          <w:lang w:val="en-US"/>
        </w:rPr>
        <w:t>turāth</w:t>
      </w:r>
      <w:r>
        <w:rPr>
          <w:lang w:val="en-US"/>
        </w:rPr>
        <w:t>), research in European languag</w:t>
      </w:r>
      <w:r>
        <w:rPr>
          <w:lang w:val="en-US"/>
        </w:rPr>
        <w:t>es has largely overlooked the history of Muslim scholarship in the oases. Authored by geographers and anthropologists, most studies approach the region’s past from the perspective of its contemporary social and economic structures. A considerable body of l</w:t>
      </w:r>
      <w:r>
        <w:rPr>
          <w:lang w:val="en-US"/>
        </w:rPr>
        <w:t>iterature exists, for example,</w:t>
      </w:r>
      <w:r>
        <w:rPr>
          <w:lang w:val="en-US"/>
        </w:rPr>
        <w:t xml:space="preserve"> on the development of palm plantations, small-scale crop farming, and Tuwāt’s irrigation system, which relies on subterranean canals known as </w:t>
      </w:r>
      <w:r>
        <w:rPr>
          <w:i/>
          <w:iCs/>
          <w:lang w:val="en-US"/>
        </w:rPr>
        <w:t>foggāra</w:t>
      </w:r>
      <w:r>
        <w:rPr>
          <w:lang w:val="en-US"/>
        </w:rPr>
        <w:t xml:space="preserve"> in the local dialect.</w:t>
      </w:r>
      <w:r>
        <w:rPr>
          <w:rStyle w:val="FootnoteReference"/>
          <w:lang w:val="en-US"/>
        </w:rPr>
        <w:footnoteReference w:id="30"/>
      </w:r>
      <w:r>
        <w:rPr>
          <w:lang w:val="en-US"/>
        </w:rPr>
        <w:t xml:space="preserve"> These studies only indirectly engage with the abundant manuscript materials found </w:t>
      </w:r>
      <w:r>
        <w:rPr>
          <w:lang w:val="en-US"/>
        </w:rPr>
        <w:t xml:space="preserve">in nearly all oasis villages, and their analytical approach appears to be profoundly influenced by the legacy of colonial ethnography. </w:t>
      </w:r>
    </w:p>
    <w:p w14:paraId="5C200094" w14:textId="77777777" w:rsidR="00000000" w:rsidRDefault="00436F74">
      <w:pPr>
        <w:spacing w:line="360" w:lineRule="auto"/>
        <w:ind w:firstLine="567"/>
        <w:jc w:val="both"/>
        <w:rPr>
          <w:lang w:val="en-US"/>
        </w:rPr>
      </w:pPr>
      <w:r>
        <w:rPr>
          <w:lang w:val="en-US"/>
        </w:rPr>
        <w:t xml:space="preserve">In a series of papers published in the 1970s, Gilbert Grandguillaume offers a cursory exploration of the </w:t>
      </w:r>
      <w:r>
        <w:rPr>
          <w:i/>
          <w:iCs/>
          <w:lang w:val="en-US"/>
        </w:rPr>
        <w:t>Ghunya</w:t>
      </w:r>
      <w:r>
        <w:rPr>
          <w:lang w:val="en-US"/>
        </w:rPr>
        <w:t xml:space="preserve"> compilat</w:t>
      </w:r>
      <w:r>
        <w:rPr>
          <w:lang w:val="en-US"/>
        </w:rPr>
        <w:t xml:space="preserve">ion, which he primarily interprets through the lens of a dichotomous struggle between customary law and Islamic law in the oases, a classic theme of </w:t>
      </w:r>
      <w:r>
        <w:rPr>
          <w:lang w:val="en-US"/>
        </w:rPr>
        <w:lastRenderedPageBreak/>
        <w:t>French colonial studies on rural societies in North Africa.</w:t>
      </w:r>
      <w:r>
        <w:rPr>
          <w:rStyle w:val="FootnoteReference"/>
          <w:lang w:val="en-US"/>
        </w:rPr>
        <w:footnoteReference w:id="31"/>
      </w:r>
      <w:r>
        <w:rPr>
          <w:lang w:val="en-US"/>
        </w:rPr>
        <w:t xml:space="preserve"> On the other hand, the only comprehensive hist</w:t>
      </w:r>
      <w:r>
        <w:rPr>
          <w:lang w:val="en-US"/>
        </w:rPr>
        <w:t xml:space="preserve">orical study available on the region, Rachid Bellil’s </w:t>
      </w:r>
      <w:r>
        <w:rPr>
          <w:i/>
          <w:iCs/>
          <w:lang w:val="en-US"/>
        </w:rPr>
        <w:t>Les oasis du Gourara</w:t>
      </w:r>
      <w:r>
        <w:rPr>
          <w:lang w:val="en-US"/>
        </w:rPr>
        <w:t xml:space="preserve">, relies almost exclusively on oral narratives collected from local </w:t>
      </w:r>
      <w:r>
        <w:rPr>
          <w:i/>
          <w:iCs/>
          <w:lang w:val="en-US"/>
        </w:rPr>
        <w:t>zanātīya</w:t>
      </w:r>
      <w:r>
        <w:rPr>
          <w:lang w:val="en-US"/>
        </w:rPr>
        <w:t>-speaking communities and the works of colonial administrators and military officers, such as A.G.P. Marti</w:t>
      </w:r>
      <w:r>
        <w:rPr>
          <w:lang w:val="en-US"/>
        </w:rPr>
        <w:t>n.</w:t>
      </w:r>
      <w:r>
        <w:rPr>
          <w:rStyle w:val="FootnoteReference"/>
          <w:lang w:val="en-US"/>
        </w:rPr>
        <w:footnoteReference w:id="32"/>
      </w:r>
      <w:r>
        <w:rPr>
          <w:lang w:val="en-US"/>
        </w:rPr>
        <w:t xml:space="preserve"> Despite the study’s merits in documenting Gourara’s rich </w:t>
      </w:r>
      <w:r>
        <w:rPr>
          <w:i/>
          <w:iCs/>
          <w:lang w:val="en-US"/>
        </w:rPr>
        <w:t>zanātīya</w:t>
      </w:r>
      <w:r>
        <w:rPr>
          <w:lang w:val="en-US"/>
        </w:rPr>
        <w:t xml:space="preserve"> traditions, the lack of interest in the region’s intellectual history results in a portrayal that presents local Islamic culture, once again, as the exclusive domain of charismatic and i</w:t>
      </w:r>
      <w:r>
        <w:rPr>
          <w:lang w:val="en-US"/>
        </w:rPr>
        <w:t>lliterate ‘saints’</w:t>
      </w:r>
      <w:r>
        <w:rPr>
          <w:color w:val="0E101A"/>
          <w:lang w:val="en-US"/>
        </w:rPr>
        <w:t>.</w:t>
      </w:r>
      <w:r>
        <w:rPr>
          <w:rStyle w:val="FootnoteReference"/>
          <w:lang w:val="en-US"/>
        </w:rPr>
        <w:footnoteReference w:id="33"/>
      </w:r>
      <w:r>
        <w:rPr>
          <w:lang w:val="en-US"/>
        </w:rPr>
        <w:t xml:space="preserve"> </w:t>
      </w:r>
    </w:p>
    <w:p w14:paraId="52C3134B" w14:textId="77777777" w:rsidR="00000000" w:rsidRDefault="00436F74">
      <w:pPr>
        <w:spacing w:line="360" w:lineRule="auto"/>
        <w:ind w:firstLine="567"/>
        <w:jc w:val="both"/>
        <w:rPr>
          <w:lang w:val="en-US"/>
        </w:rPr>
      </w:pPr>
      <w:r>
        <w:rPr>
          <w:lang w:val="en-US"/>
        </w:rPr>
        <w:t>In her recent work on Tuwāt’s role in twentieth-century trans-Saharan mobility networks, anthropologist Judith Scheele develops a more sophisticated approach to the local traditions of Muslim scholarship. By combining fieldwork observ</w:t>
      </w:r>
      <w:r>
        <w:rPr>
          <w:lang w:val="en-US"/>
        </w:rPr>
        <w:t xml:space="preserve">ations with the analysis of French administrative reports and Arabic documents, including some pre-1900 </w:t>
      </w:r>
      <w:r>
        <w:rPr>
          <w:i/>
          <w:iCs/>
          <w:lang w:val="en-US"/>
        </w:rPr>
        <w:t>fatwā</w:t>
      </w:r>
      <w:r>
        <w:rPr>
          <w:lang w:val="en-US"/>
        </w:rPr>
        <w:t>s, Scheele identifies the resort to Islamic law and literacy as a critical element in how oasis communities organized their interactions with the b</w:t>
      </w:r>
      <w:r>
        <w:rPr>
          <w:lang w:val="en-US"/>
        </w:rPr>
        <w:t xml:space="preserve">roader Saharan world. Islamic cultural and normative models furnished the necessary tools for shaping commercial interactions with external actors, upon which the local economy heavily depended. More fundamentally, they provided an “idiom of civilization, </w:t>
      </w:r>
      <w:r>
        <w:rPr>
          <w:lang w:val="en-US"/>
        </w:rPr>
        <w:t>[…], thereby inscribing local society with all its conscious and unconscious shortcomings into a larger and unquestionable scheme of order and legitimacy […]”.</w:t>
      </w:r>
      <w:r>
        <w:rPr>
          <w:rStyle w:val="FootnoteReference"/>
        </w:rPr>
        <w:footnoteReference w:id="34"/>
      </w:r>
      <w:r>
        <w:rPr>
          <w:lang w:val="en-US"/>
        </w:rPr>
        <w:t xml:space="preserve"> Adherence to Islamic intellectual and legal culture was not without tension. However, such “ten</w:t>
      </w:r>
      <w:r>
        <w:rPr>
          <w:lang w:val="en-US"/>
        </w:rPr>
        <w:t>sions do not arise between different legal ‘systems’ and their representatives, rather within the same institutions, and mainly result from practical contradictions between individual property rights and collective responsibilities, between attempts at mun</w:t>
      </w:r>
      <w:r>
        <w:rPr>
          <w:lang w:val="en-US"/>
        </w:rPr>
        <w:t>icipal containment and necessary reliance on outside funds and prestige, without ever questioning the validity of the overarching Islamic framework as such.”</w:t>
      </w:r>
      <w:r>
        <w:rPr>
          <w:rStyle w:val="FootnoteReference"/>
          <w:lang w:val="en-US"/>
        </w:rPr>
        <w:footnoteReference w:id="35"/>
      </w:r>
      <w:r>
        <w:rPr>
          <w:lang w:val="en-US"/>
        </w:rPr>
        <w:t xml:space="preserve"> </w:t>
      </w:r>
    </w:p>
    <w:p w14:paraId="20C802CF" w14:textId="77777777" w:rsidR="00000000" w:rsidRDefault="00436F74">
      <w:pPr>
        <w:spacing w:line="360" w:lineRule="auto"/>
        <w:ind w:firstLine="567"/>
        <w:jc w:val="both"/>
        <w:rPr>
          <w:lang w:val="en-US"/>
        </w:rPr>
      </w:pPr>
      <w:r>
        <w:rPr>
          <w:lang w:val="en-US"/>
        </w:rPr>
        <w:lastRenderedPageBreak/>
        <w:t>Scheele’s observations on Islamic legal culture in the twentieth century lead us to the main arg</w:t>
      </w:r>
      <w:r>
        <w:rPr>
          <w:lang w:val="en-US"/>
        </w:rPr>
        <w:t xml:space="preserve">ument presented in this paper. Through the various texts preserved in the </w:t>
      </w:r>
      <w:r>
        <w:rPr>
          <w:i/>
          <w:iCs/>
          <w:lang w:val="en-US"/>
        </w:rPr>
        <w:t>nawāzil</w:t>
      </w:r>
      <w:r>
        <w:rPr>
          <w:lang w:val="en-US"/>
        </w:rPr>
        <w:t xml:space="preserve"> collections, it becomes apparent that Muslim scholarship and Islamic law provided a sort of working language for the institutions and agents that shaped and framed social int</w:t>
      </w:r>
      <w:r>
        <w:rPr>
          <w:lang w:val="en-US"/>
        </w:rPr>
        <w:t>eractions within the oasis communities during the eighteenth and early nineteenth centuries. The influence of this working language, its power to secure the hegemony of local elites and endorse communal hierarchies, stemmed from its ability to offer concre</w:t>
      </w:r>
      <w:r>
        <w:rPr>
          <w:lang w:val="en-US"/>
        </w:rPr>
        <w:t xml:space="preserve">te normative and institutional models for social ordering. </w:t>
      </w:r>
      <w:r>
        <w:rPr>
          <w:lang w:val="de-DE"/>
        </w:rPr>
        <w:t xml:space="preserve">In pre-1900 Tuwāt, it was what Niklas Luhmann called </w:t>
      </w:r>
      <w:r>
        <w:rPr>
          <w:i/>
          <w:iCs/>
          <w:lang w:val="de-DE"/>
        </w:rPr>
        <w:t>das</w:t>
      </w:r>
      <w:r>
        <w:rPr>
          <w:lang w:val="de-DE"/>
        </w:rPr>
        <w:t xml:space="preserve"> </w:t>
      </w:r>
      <w:r>
        <w:rPr>
          <w:i/>
          <w:iCs/>
          <w:lang w:val="de-DE"/>
        </w:rPr>
        <w:t>Recht der Gesellschaft</w:t>
      </w:r>
      <w:r>
        <w:rPr>
          <w:lang w:val="de-DE"/>
        </w:rPr>
        <w:t>.</w:t>
      </w:r>
      <w:r>
        <w:rPr>
          <w:rStyle w:val="FootnoteReference"/>
          <w:lang w:val="en-US"/>
        </w:rPr>
        <w:footnoteReference w:id="36"/>
      </w:r>
      <w:r>
        <w:rPr>
          <w:lang w:val="de-DE"/>
        </w:rPr>
        <w:t xml:space="preserve"> </w:t>
      </w:r>
      <w:r>
        <w:rPr>
          <w:lang w:val="en-US"/>
        </w:rPr>
        <w:t>However, to fully comprehend the operative modes of the “Islamic framework” highlighted by Scheele, we need a more precise understanding of the dynamics generated by Muslim s</w:t>
      </w:r>
      <w:r>
        <w:rPr>
          <w:lang w:val="en-US"/>
        </w:rPr>
        <w:t>cholars’ intellectual and institutional work. These dynamics do not represent the unidirectional transposition of external scriptural norms to local contexts. Instead, they express the unfolding of scholarly knowledge in its various forms within society, a</w:t>
      </w:r>
      <w:r>
        <w:rPr>
          <w:lang w:val="en-US"/>
        </w:rPr>
        <w:t>mong different groups and actors, under varying circumstances, and inseparable from practices of subordination and unequal power relations.</w:t>
      </w:r>
    </w:p>
    <w:p w14:paraId="34207B84" w14:textId="77777777" w:rsidR="00000000" w:rsidRDefault="00436F74">
      <w:pPr>
        <w:spacing w:before="240" w:after="120" w:line="360" w:lineRule="auto"/>
        <w:jc w:val="both"/>
        <w:rPr>
          <w:b/>
          <w:bCs/>
          <w:lang w:val="en-US"/>
        </w:rPr>
      </w:pPr>
      <w:r>
        <w:rPr>
          <w:b/>
          <w:bCs/>
          <w:lang w:val="en-US"/>
        </w:rPr>
        <w:t xml:space="preserve">A Premodern Oasis Society and Its Leaders </w:t>
      </w:r>
    </w:p>
    <w:p w14:paraId="5D2F5942" w14:textId="77777777" w:rsidR="00000000" w:rsidRDefault="00436F74">
      <w:pPr>
        <w:spacing w:line="360" w:lineRule="auto"/>
        <w:jc w:val="both"/>
        <w:rPr>
          <w:lang w:val="en-US"/>
        </w:rPr>
      </w:pPr>
      <w:r>
        <w:rPr>
          <w:lang w:val="en-US"/>
        </w:rPr>
        <w:t>Geographical and anthropological studies have consistently emphasized the</w:t>
      </w:r>
      <w:r>
        <w:rPr>
          <w:lang w:val="en-US"/>
        </w:rPr>
        <w:t xml:space="preserve"> impact of status and hierarchy on social and economic relations within the Tuwāt region. Living in a </w:t>
      </w:r>
      <w:r>
        <w:rPr>
          <w:i/>
          <w:iCs/>
          <w:lang w:val="en-US"/>
        </w:rPr>
        <w:t>qṣar</w:t>
      </w:r>
      <w:r>
        <w:rPr>
          <w:lang w:val="en-US"/>
        </w:rPr>
        <w:t xml:space="preserve"> community was tantamount to being affiliated with a descent group</w:t>
      </w:r>
      <w:r>
        <w:rPr>
          <w:rStyle w:val="FootnoteReference"/>
          <w:rFonts w:eastAsia="Yu Gothic Light"/>
        </w:rPr>
        <w:footnoteReference w:id="37"/>
      </w:r>
      <w:r>
        <w:rPr>
          <w:lang w:val="en-US"/>
        </w:rPr>
        <w:t xml:space="preserve"> invested with a specific genealogical and cultural status. More precisely, those w</w:t>
      </w:r>
      <w:r>
        <w:rPr>
          <w:lang w:val="en-US"/>
        </w:rPr>
        <w:t>ith the power to enforce such classifications sought to differentiate themselves from those who lacked it. Let us first consider the descent groups whose members dominated social and political life in Tuwāt until at least the French colonial conquest in 19</w:t>
      </w:r>
      <w:r>
        <w:rPr>
          <w:lang w:val="en-US"/>
        </w:rPr>
        <w:t>00.</w:t>
      </w:r>
      <w:r>
        <w:rPr>
          <w:rStyle w:val="FootnoteReference"/>
          <w:lang w:val="en-US"/>
        </w:rPr>
        <w:footnoteReference w:id="38"/>
      </w:r>
      <w:r>
        <w:rPr>
          <w:lang w:val="en-US"/>
        </w:rPr>
        <w:t xml:space="preserve"> </w:t>
      </w:r>
    </w:p>
    <w:p w14:paraId="7C801ECD" w14:textId="77777777" w:rsidR="00000000" w:rsidRDefault="00436F74">
      <w:pPr>
        <w:spacing w:line="360" w:lineRule="auto"/>
        <w:ind w:firstLine="567"/>
        <w:jc w:val="both"/>
        <w:rPr>
          <w:lang w:val="en-US"/>
        </w:rPr>
      </w:pPr>
      <w:r>
        <w:rPr>
          <w:lang w:val="en-US"/>
        </w:rPr>
        <w:t xml:space="preserve">In local vernacular Arabic, the term </w:t>
      </w:r>
      <w:r>
        <w:rPr>
          <w:i/>
          <w:iCs/>
          <w:lang w:val="en-US"/>
        </w:rPr>
        <w:t>mrābṭīn</w:t>
      </w:r>
      <w:r>
        <w:rPr>
          <w:lang w:val="en-US"/>
        </w:rPr>
        <w:t xml:space="preserve"> refers to those who identified themselves as a religious notability, with their prominent figures and ancestors specializing in </w:t>
      </w:r>
      <w:r>
        <w:rPr>
          <w:lang w:val="en-US"/>
        </w:rPr>
        <w:lastRenderedPageBreak/>
        <w:t xml:space="preserve">disseminating Islamic knowledge and culture. On the other hand, the </w:t>
      </w:r>
      <w:r>
        <w:rPr>
          <w:i/>
          <w:iCs/>
          <w:lang w:val="en-US"/>
        </w:rPr>
        <w:t>shurafāʾ</w:t>
      </w:r>
      <w:r>
        <w:rPr>
          <w:lang w:val="en-US"/>
        </w:rPr>
        <w:t xml:space="preserve"> </w:t>
      </w:r>
      <w:r>
        <w:rPr>
          <w:lang w:val="en-US"/>
        </w:rPr>
        <w:t>are families who claim to be descendants of the Prophet Muhammad, forming the second type of descent group within Tuwāt’s population, among whom power was concentrated. One may wonder why we distinguish between the two, as most historical and anthropologic</w:t>
      </w:r>
      <w:r>
        <w:rPr>
          <w:lang w:val="en-US"/>
        </w:rPr>
        <w:t>al studies on the Maghrib consider them largely overlapping versions of the charismatic “saint” acting as a mediator between social groups.</w:t>
      </w:r>
      <w:r>
        <w:rPr>
          <w:rStyle w:val="FootnoteReference"/>
          <w:lang w:val="en-US"/>
        </w:rPr>
        <w:footnoteReference w:id="39"/>
      </w:r>
      <w:r>
        <w:rPr>
          <w:lang w:val="en-US"/>
        </w:rPr>
        <w:t xml:space="preserve"> A comprehensive analysis of the question falls beyond the scope of this paper.</w:t>
      </w:r>
      <w:r>
        <w:rPr>
          <w:rStyle w:val="FootnoteReference"/>
          <w:lang w:val="en-US"/>
        </w:rPr>
        <w:footnoteReference w:id="40"/>
      </w:r>
      <w:r>
        <w:rPr>
          <w:lang w:val="en-US"/>
        </w:rPr>
        <w:t xml:space="preserve"> However, a few observations warrant</w:t>
      </w:r>
      <w:r>
        <w:rPr>
          <w:lang w:val="en-US"/>
        </w:rPr>
        <w:t xml:space="preserve"> mention. In the historical records from the eighteenth and nineteenth centuries, </w:t>
      </w:r>
      <w:r>
        <w:rPr>
          <w:i/>
          <w:iCs/>
          <w:lang w:val="en-US"/>
        </w:rPr>
        <w:t>shurafāʾ</w:t>
      </w:r>
      <w:r>
        <w:rPr>
          <w:lang w:val="en-US"/>
        </w:rPr>
        <w:t xml:space="preserve"> and </w:t>
      </w:r>
      <w:r>
        <w:rPr>
          <w:i/>
          <w:iCs/>
          <w:lang w:val="en-US"/>
        </w:rPr>
        <w:t>mrābṭīn</w:t>
      </w:r>
      <w:r>
        <w:rPr>
          <w:lang w:val="en-US"/>
        </w:rPr>
        <w:t xml:space="preserve"> families, in Tuwāt at least, appear to have pursued distinct ways of construing their social prestige. Among the </w:t>
      </w:r>
      <w:r>
        <w:rPr>
          <w:i/>
          <w:iCs/>
          <w:lang w:val="en-US"/>
        </w:rPr>
        <w:t>mrābṭīn</w:t>
      </w:r>
      <w:r>
        <w:rPr>
          <w:lang w:val="en-US"/>
        </w:rPr>
        <w:t>, we observe an ostensible claim of religious and scholarly excellence.</w:t>
      </w:r>
      <w:r>
        <w:rPr>
          <w:rStyle w:val="FootnoteReference"/>
          <w:lang w:val="en-US"/>
        </w:rPr>
        <w:footnoteReference w:id="41"/>
      </w:r>
      <w:r>
        <w:rPr>
          <w:lang w:val="en-US"/>
        </w:rPr>
        <w:t xml:space="preserve"> For instance, all the scholars in the ment</w:t>
      </w:r>
      <w:r>
        <w:rPr>
          <w:lang w:val="en-US"/>
        </w:rPr>
        <w:t xml:space="preserve">ioned eighteenth-century </w:t>
      </w:r>
      <w:r>
        <w:rPr>
          <w:i/>
          <w:iCs/>
          <w:lang w:val="en-US"/>
        </w:rPr>
        <w:t>shūrā</w:t>
      </w:r>
      <w:r>
        <w:rPr>
          <w:lang w:val="en-US"/>
        </w:rPr>
        <w:t xml:space="preserve"> council have a </w:t>
      </w:r>
      <w:r>
        <w:rPr>
          <w:i/>
          <w:iCs/>
          <w:lang w:val="en-US"/>
        </w:rPr>
        <w:t>mrābṭīn</w:t>
      </w:r>
      <w:r>
        <w:rPr>
          <w:lang w:val="en-US"/>
        </w:rPr>
        <w:t xml:space="preserve"> background.</w:t>
      </w:r>
      <w:r>
        <w:rPr>
          <w:rStyle w:val="FootnoteReference"/>
          <w:lang w:val="en-US"/>
        </w:rPr>
        <w:footnoteReference w:id="42"/>
      </w:r>
      <w:r>
        <w:rPr>
          <w:lang w:val="en-US"/>
        </w:rPr>
        <w:t xml:space="preserve"> Similarly, the institution of the </w:t>
      </w:r>
      <w:r>
        <w:rPr>
          <w:i/>
          <w:iCs/>
          <w:lang w:val="en-US"/>
        </w:rPr>
        <w:t>zāwiya</w:t>
      </w:r>
      <w:r>
        <w:rPr>
          <w:lang w:val="en-US"/>
        </w:rPr>
        <w:t xml:space="preserve"> as the principal framework for Islamic knowledge transmission is primarily associated with </w:t>
      </w:r>
      <w:r>
        <w:rPr>
          <w:i/>
          <w:iCs/>
          <w:lang w:val="en-US"/>
        </w:rPr>
        <w:t>mrābṭīn</w:t>
      </w:r>
      <w:r>
        <w:rPr>
          <w:lang w:val="en-US"/>
        </w:rPr>
        <w:t xml:space="preserve"> descent groups.</w:t>
      </w:r>
      <w:r>
        <w:rPr>
          <w:rStyle w:val="FootnoteReference"/>
          <w:lang w:val="en-US"/>
        </w:rPr>
        <w:footnoteReference w:id="43"/>
      </w:r>
      <w:r>
        <w:rPr>
          <w:lang w:val="en-US"/>
        </w:rPr>
        <w:t xml:space="preserve"> In short, Muslim scholarship and</w:t>
      </w:r>
      <w:r>
        <w:rPr>
          <w:lang w:val="en-US"/>
        </w:rPr>
        <w:t xml:space="preserve"> religious zeal seem to have been foremost a </w:t>
      </w:r>
      <w:r>
        <w:rPr>
          <w:i/>
          <w:iCs/>
          <w:lang w:val="en-US"/>
        </w:rPr>
        <w:t>mrābṭīn</w:t>
      </w:r>
      <w:r>
        <w:rPr>
          <w:lang w:val="en-US"/>
        </w:rPr>
        <w:t xml:space="preserve"> affair, distinct from the genealogical privilege of being a </w:t>
      </w:r>
      <w:r>
        <w:rPr>
          <w:i/>
          <w:iCs/>
          <w:lang w:val="en-US"/>
        </w:rPr>
        <w:t>sharīf</w:t>
      </w:r>
      <w:r>
        <w:rPr>
          <w:lang w:val="en-US"/>
        </w:rPr>
        <w:t xml:space="preserve">. </w:t>
      </w:r>
    </w:p>
    <w:p w14:paraId="5A2A98E7" w14:textId="77777777" w:rsidR="00000000" w:rsidRDefault="00436F74">
      <w:pPr>
        <w:spacing w:line="360" w:lineRule="auto"/>
        <w:ind w:firstLine="567"/>
        <w:jc w:val="both"/>
        <w:rPr>
          <w:lang w:val="en-US"/>
        </w:rPr>
      </w:pPr>
      <w:r>
        <w:rPr>
          <w:lang w:val="en-US"/>
        </w:rPr>
        <w:t xml:space="preserve">What, then, was the </w:t>
      </w:r>
      <w:r>
        <w:rPr>
          <w:i/>
          <w:iCs/>
          <w:lang w:val="en-US"/>
        </w:rPr>
        <w:t>shurafāʾ</w:t>
      </w:r>
      <w:r>
        <w:rPr>
          <w:lang w:val="en-US"/>
        </w:rPr>
        <w:t xml:space="preserve">’s place in Tuwāt’s society? Reading through the sources, especially the </w:t>
      </w:r>
      <w:r>
        <w:rPr>
          <w:i/>
          <w:iCs/>
          <w:color w:val="0E101A"/>
          <w:lang w:val="en-US"/>
        </w:rPr>
        <w:t>nawāzil</w:t>
      </w:r>
      <w:r>
        <w:rPr>
          <w:lang w:val="en-US"/>
        </w:rPr>
        <w:t xml:space="preserve"> collections, reveals seve</w:t>
      </w:r>
      <w:r>
        <w:rPr>
          <w:lang w:val="en-US"/>
        </w:rPr>
        <w:t xml:space="preserve">ral surprises. Although there are accounts of </w:t>
      </w:r>
      <w:r>
        <w:rPr>
          <w:i/>
          <w:iCs/>
          <w:lang w:val="en-US"/>
        </w:rPr>
        <w:t>shurafāʾ</w:t>
      </w:r>
      <w:r>
        <w:rPr>
          <w:lang w:val="en-US"/>
        </w:rPr>
        <w:t xml:space="preserve"> mediating between descent groups in a Gellnerian manner,</w:t>
      </w:r>
      <w:r>
        <w:rPr>
          <w:rStyle w:val="FootnoteReference"/>
          <w:lang w:val="en-US"/>
        </w:rPr>
        <w:footnoteReference w:id="44"/>
      </w:r>
      <w:r>
        <w:rPr>
          <w:lang w:val="en-US"/>
        </w:rPr>
        <w:t xml:space="preserve"> the overall impression is quite different. Most </w:t>
      </w:r>
      <w:r>
        <w:rPr>
          <w:i/>
          <w:iCs/>
          <w:lang w:val="en-US"/>
        </w:rPr>
        <w:t>shurafāʾ</w:t>
      </w:r>
      <w:r>
        <w:rPr>
          <w:lang w:val="en-US"/>
        </w:rPr>
        <w:t xml:space="preserve"> families do not appear as religious intermediaries, but rather as notables vying for c</w:t>
      </w:r>
      <w:r>
        <w:rPr>
          <w:lang w:val="en-US"/>
        </w:rPr>
        <w:t xml:space="preserve">ontrol of local politics. Admittedly, </w:t>
      </w:r>
      <w:r>
        <w:rPr>
          <w:i/>
          <w:iCs/>
          <w:lang w:val="en-US"/>
        </w:rPr>
        <w:t>shurafāʾ</w:t>
      </w:r>
      <w:r>
        <w:rPr>
          <w:lang w:val="en-US"/>
        </w:rPr>
        <w:t xml:space="preserve"> and </w:t>
      </w:r>
      <w:r>
        <w:rPr>
          <w:i/>
          <w:iCs/>
          <w:lang w:val="en-US"/>
        </w:rPr>
        <w:t>mrābṭīn</w:t>
      </w:r>
      <w:r>
        <w:rPr>
          <w:lang w:val="en-US"/>
        </w:rPr>
        <w:t xml:space="preserve"> families shared similarities regarding their socioeconomic resources, as both derived their income from caravan trading and land ownership. However, local texts strongly suggest that most </w:t>
      </w:r>
      <w:r>
        <w:rPr>
          <w:i/>
          <w:iCs/>
          <w:lang w:val="en-US"/>
        </w:rPr>
        <w:lastRenderedPageBreak/>
        <w:t>shurafāʾ</w:t>
      </w:r>
      <w:r>
        <w:rPr>
          <w:lang w:val="en-US"/>
        </w:rPr>
        <w:t xml:space="preserve"> </w:t>
      </w:r>
      <w:r>
        <w:rPr>
          <w:lang w:val="en-US"/>
        </w:rPr>
        <w:t xml:space="preserve">families, or their leaders, conducted their affairs without staging scholarship as a way of life. In fact, they often resorted to force and violence to assert their interests, as illustrated by the following example: In a lawsuit presided over by the </w:t>
      </w:r>
      <w:r>
        <w:rPr>
          <w:i/>
          <w:iCs/>
          <w:lang w:val="en-US"/>
        </w:rPr>
        <w:t xml:space="preserve">qāḍī </w:t>
      </w:r>
      <w:r>
        <w:rPr>
          <w:i/>
          <w:iCs/>
          <w:lang w:val="en-US"/>
        </w:rPr>
        <w:t xml:space="preserve">al-jamāʿa </w:t>
      </w:r>
      <w:r>
        <w:rPr>
          <w:lang w:val="en-US"/>
        </w:rPr>
        <w:t>ʿAbd al-Ḥaqq al-Bakrī in Tamentit, one party was unable to present its witnesses in court due to their fears of being assaulted (</w:t>
      </w:r>
      <w:r>
        <w:rPr>
          <w:i/>
          <w:iCs/>
          <w:lang w:val="en-US"/>
        </w:rPr>
        <w:t>saṭwa</w:t>
      </w:r>
      <w:r>
        <w:rPr>
          <w:lang w:val="en-US"/>
        </w:rPr>
        <w:t xml:space="preserve">) by an unnamed </w:t>
      </w:r>
      <w:r>
        <w:rPr>
          <w:i/>
          <w:iCs/>
          <w:lang w:val="en-US"/>
        </w:rPr>
        <w:t>shurafāʾ</w:t>
      </w:r>
      <w:r>
        <w:rPr>
          <w:lang w:val="en-US"/>
        </w:rPr>
        <w:t xml:space="preserve"> group.</w:t>
      </w:r>
      <w:r>
        <w:rPr>
          <w:rStyle w:val="FootnoteReference"/>
          <w:lang w:val="en-US"/>
        </w:rPr>
        <w:footnoteReference w:id="45"/>
      </w:r>
      <w:r>
        <w:rPr>
          <w:lang w:val="en-US"/>
        </w:rPr>
        <w:t xml:space="preserve"> The evidence from the </w:t>
      </w:r>
      <w:r>
        <w:rPr>
          <w:i/>
          <w:iCs/>
          <w:lang w:val="en-US"/>
        </w:rPr>
        <w:t>nawāzil</w:t>
      </w:r>
      <w:r>
        <w:rPr>
          <w:lang w:val="en-US"/>
        </w:rPr>
        <w:t xml:space="preserve"> further reveals that, for the </w:t>
      </w:r>
      <w:r>
        <w:rPr>
          <w:i/>
          <w:iCs/>
          <w:lang w:val="en-US"/>
        </w:rPr>
        <w:t>shurafāʾ</w:t>
      </w:r>
      <w:r>
        <w:rPr>
          <w:lang w:val="en-US"/>
        </w:rPr>
        <w:t>, competing</w:t>
      </w:r>
      <w:r>
        <w:rPr>
          <w:lang w:val="en-US"/>
        </w:rPr>
        <w:t xml:space="preserve"> for influence in the oases involved raiding rivals, plundering their caravans, and destroying their </w:t>
      </w:r>
      <w:r>
        <w:rPr>
          <w:i/>
          <w:iCs/>
          <w:lang w:val="en-US"/>
        </w:rPr>
        <w:t>qṣūr</w:t>
      </w:r>
      <w:r>
        <w:rPr>
          <w:lang w:val="en-US"/>
        </w:rPr>
        <w:t xml:space="preserve"> and palm plantations. Thus, being a </w:t>
      </w:r>
      <w:r>
        <w:rPr>
          <w:i/>
          <w:iCs/>
          <w:lang w:val="en-US"/>
        </w:rPr>
        <w:t>sharīf</w:t>
      </w:r>
      <w:r>
        <w:rPr>
          <w:lang w:val="en-US"/>
        </w:rPr>
        <w:t xml:space="preserve"> meant engaging in Saharan power “politics” (</w:t>
      </w:r>
      <w:r>
        <w:rPr>
          <w:i/>
          <w:iCs/>
          <w:lang w:val="en-US"/>
        </w:rPr>
        <w:t>siyāsa</w:t>
      </w:r>
      <w:r>
        <w:rPr>
          <w:lang w:val="en-US"/>
        </w:rPr>
        <w:t xml:space="preserve">), a term used, not only in Tuwāt, to account for active </w:t>
      </w:r>
      <w:r>
        <w:rPr>
          <w:lang w:val="en-US"/>
        </w:rPr>
        <w:t xml:space="preserve">involvement in conflicts between descent groups. This is not to suggest that </w:t>
      </w:r>
      <w:r>
        <w:rPr>
          <w:i/>
          <w:iCs/>
          <w:lang w:val="en-US"/>
        </w:rPr>
        <w:t>mrābṭīn</w:t>
      </w:r>
      <w:r>
        <w:rPr>
          <w:lang w:val="en-US"/>
        </w:rPr>
        <w:t xml:space="preserve"> did not participate in such </w:t>
      </w:r>
      <w:r>
        <w:rPr>
          <w:i/>
          <w:iCs/>
          <w:lang w:val="en-US"/>
        </w:rPr>
        <w:t>siyāsa</w:t>
      </w:r>
      <w:r>
        <w:rPr>
          <w:lang w:val="en-US"/>
        </w:rPr>
        <w:t xml:space="preserve"> struggles; however, their involvement was primarily linked to their prestige as guardians of Islamic knowledge and culture.</w:t>
      </w:r>
      <w:r>
        <w:rPr>
          <w:rStyle w:val="FootnoteReference"/>
          <w:lang w:val="en-US"/>
        </w:rPr>
        <w:footnoteReference w:id="46"/>
      </w:r>
      <w:r>
        <w:rPr>
          <w:lang w:val="en-US"/>
        </w:rPr>
        <w:t xml:space="preserve"> In contrast</w:t>
      </w:r>
      <w:r>
        <w:rPr>
          <w:lang w:val="en-US"/>
        </w:rPr>
        <w:t xml:space="preserve">, members of </w:t>
      </w:r>
      <w:r>
        <w:rPr>
          <w:i/>
          <w:iCs/>
          <w:lang w:val="en-US"/>
        </w:rPr>
        <w:t>shurafāʾ</w:t>
      </w:r>
      <w:r>
        <w:rPr>
          <w:lang w:val="en-US"/>
        </w:rPr>
        <w:t xml:space="preserve"> families were rather among those who sought the services provided by the local scholarly community, particularly in the realm of justice.</w:t>
      </w:r>
      <w:r>
        <w:rPr>
          <w:rStyle w:val="FootnoteReference"/>
          <w:lang w:val="en-US"/>
        </w:rPr>
        <w:footnoteReference w:id="47"/>
      </w:r>
      <w:r>
        <w:rPr>
          <w:lang w:val="en-US"/>
        </w:rPr>
        <w:t xml:space="preserve"> </w:t>
      </w:r>
    </w:p>
    <w:p w14:paraId="2F38CEA1" w14:textId="77777777" w:rsidR="00000000" w:rsidRDefault="00436F74">
      <w:pPr>
        <w:spacing w:line="360" w:lineRule="auto"/>
        <w:ind w:firstLine="567"/>
        <w:jc w:val="both"/>
        <w:rPr>
          <w:lang w:val="en-US"/>
        </w:rPr>
      </w:pPr>
      <w:r>
        <w:rPr>
          <w:lang w:val="en-US"/>
        </w:rPr>
        <w:t xml:space="preserve">These observations bring us to another crucial aspect of power dynamics in Tuwāt before 1900. </w:t>
      </w:r>
      <w:r>
        <w:rPr>
          <w:lang w:val="en-US"/>
        </w:rPr>
        <w:t>Existing scholarship emphasizes the region’s historical autonomy, which, according to most authors, amounted to a situation of “statelessness” prior to the French colonial conquest in 1900. Although research acknowledges the Saadian conquest of the oases i</w:t>
      </w:r>
      <w:r>
        <w:rPr>
          <w:lang w:val="en-US"/>
        </w:rPr>
        <w:t>n 1581, followed by the Alawites in the 1650s</w:t>
      </w:r>
      <w:r>
        <w:rPr>
          <w:rStyle w:val="FootnoteReference"/>
          <w:lang w:val="en-US"/>
        </w:rPr>
        <w:footnoteReference w:id="48"/>
      </w:r>
      <w:r>
        <w:rPr>
          <w:lang w:val="en-US"/>
        </w:rPr>
        <w:t>, the Moroccan sultans’ presence in the oases has been deemed marginal, confined to periodic tax expeditions, and largely disintegrating in the nineteenth century. Regarding the period under scrutiny here, Alaw</w:t>
      </w:r>
      <w:r>
        <w:rPr>
          <w:lang w:val="en-US"/>
        </w:rPr>
        <w:t xml:space="preserve">ite sultans indeed do appear content with maintaining clientelist relationships with those who wielded power and influence within the otherwise autonomous </w:t>
      </w:r>
      <w:r>
        <w:rPr>
          <w:i/>
          <w:iCs/>
          <w:lang w:val="en-US"/>
        </w:rPr>
        <w:t>qṣūr</w:t>
      </w:r>
      <w:r>
        <w:rPr>
          <w:lang w:val="en-US"/>
        </w:rPr>
        <w:t xml:space="preserve"> communities. The primary goal seems to </w:t>
      </w:r>
      <w:r>
        <w:rPr>
          <w:lang w:val="en-US"/>
        </w:rPr>
        <w:lastRenderedPageBreak/>
        <w:t>have been ensuring a basic form of allegiance. On the oth</w:t>
      </w:r>
      <w:r>
        <w:rPr>
          <w:lang w:val="en-US"/>
        </w:rPr>
        <w:t>er hand, these clientelist relationships with the Alawite state apparatus (</w:t>
      </w:r>
      <w:r>
        <w:rPr>
          <w:i/>
          <w:iCs/>
          <w:lang w:val="en-US"/>
        </w:rPr>
        <w:t>makhzan</w:t>
      </w:r>
      <w:r>
        <w:rPr>
          <w:lang w:val="en-US"/>
        </w:rPr>
        <w:t xml:space="preserve">) played a pivotal role in Tuwāt’s internal affairs. Not only did the </w:t>
      </w:r>
      <w:r>
        <w:rPr>
          <w:i/>
          <w:iCs/>
          <w:lang w:val="en-US"/>
        </w:rPr>
        <w:t>makhzan</w:t>
      </w:r>
      <w:r>
        <w:rPr>
          <w:lang w:val="en-US"/>
        </w:rPr>
        <w:t xml:space="preserve"> routinely send gifts and grant fiscal exemptions, but its support could serve as a powerful sour</w:t>
      </w:r>
      <w:r>
        <w:rPr>
          <w:lang w:val="en-US"/>
        </w:rPr>
        <w:t>ce of legitimation for local notables, who, at least in theory, recognized the Alawite dynasty as the region’s legitimate Islamic rulers (</w:t>
      </w:r>
      <w:r>
        <w:rPr>
          <w:i/>
          <w:iCs/>
          <w:lang w:val="en-US"/>
        </w:rPr>
        <w:t>imām</w:t>
      </w:r>
      <w:r>
        <w:rPr>
          <w:lang w:val="en-US"/>
        </w:rPr>
        <w:t>).</w:t>
      </w:r>
      <w:r>
        <w:rPr>
          <w:rStyle w:val="FootnoteReference"/>
          <w:lang w:val="en-US"/>
        </w:rPr>
        <w:footnoteReference w:id="49"/>
      </w:r>
      <w:r>
        <w:rPr>
          <w:lang w:val="en-US"/>
        </w:rPr>
        <w:t xml:space="preserve"> Some </w:t>
      </w:r>
      <w:r>
        <w:rPr>
          <w:i/>
          <w:iCs/>
          <w:lang w:val="en-US"/>
        </w:rPr>
        <w:t>shurafāʾ</w:t>
      </w:r>
      <w:r>
        <w:rPr>
          <w:lang w:val="en-US"/>
        </w:rPr>
        <w:t xml:space="preserve"> families had even closer ties. Unlike most </w:t>
      </w:r>
      <w:r>
        <w:rPr>
          <w:i/>
          <w:iCs/>
          <w:lang w:val="en-US"/>
        </w:rPr>
        <w:t>shurafāʾ</w:t>
      </w:r>
      <w:r>
        <w:rPr>
          <w:lang w:val="en-US"/>
        </w:rPr>
        <w:t xml:space="preserve"> descent groups in western Algeria and Morocc</w:t>
      </w:r>
      <w:r>
        <w:rPr>
          <w:lang w:val="en-US"/>
        </w:rPr>
        <w:t xml:space="preserve">o, they did not claim to be descendants of Idris I. Instead, they traced their genealogy back to al-Ḥasan al-Dākhil, the ancestor of the </w:t>
      </w:r>
      <w:r>
        <w:rPr>
          <w:i/>
          <w:iCs/>
          <w:lang w:val="en-US"/>
        </w:rPr>
        <w:t>shurafāʾ</w:t>
      </w:r>
      <w:r>
        <w:rPr>
          <w:lang w:val="en-US"/>
        </w:rPr>
        <w:t xml:space="preserve"> community in Tafilalt, which gave rise to the Alawite dynasty in the seventeenth century.</w:t>
      </w:r>
      <w:r>
        <w:rPr>
          <w:rStyle w:val="FootnoteReference"/>
          <w:lang w:val="en-US"/>
        </w:rPr>
        <w:footnoteReference w:id="50"/>
      </w:r>
      <w:r>
        <w:rPr>
          <w:lang w:val="en-US"/>
        </w:rPr>
        <w:t xml:space="preserve"> Unsurprisingly, the</w:t>
      </w:r>
      <w:r>
        <w:rPr>
          <w:lang w:val="en-US"/>
        </w:rPr>
        <w:t xml:space="preserve"> Alawite sultans heavily relied on their distant cousins to keep the oases within their sphere of influence.</w:t>
      </w:r>
    </w:p>
    <w:p w14:paraId="315BC1DE" w14:textId="77777777" w:rsidR="00000000" w:rsidRDefault="00436F74">
      <w:pPr>
        <w:spacing w:line="360" w:lineRule="auto"/>
        <w:ind w:firstLine="567"/>
        <w:jc w:val="both"/>
        <w:rPr>
          <w:lang w:val="en-US"/>
        </w:rPr>
      </w:pPr>
      <w:r>
        <w:rPr>
          <w:lang w:val="en-US"/>
        </w:rPr>
        <w:t xml:space="preserve">To sum up, we observe two principal ways through which pre-1900 </w:t>
      </w:r>
      <w:r>
        <w:rPr>
          <w:i/>
          <w:iCs/>
          <w:lang w:val="en-US"/>
        </w:rPr>
        <w:t>Tuwātī</w:t>
      </w:r>
      <w:r>
        <w:rPr>
          <w:lang w:val="en-US"/>
        </w:rPr>
        <w:t xml:space="preserve"> elites articulated their claims to power. Some put forward their alleged gen</w:t>
      </w:r>
      <w:r>
        <w:rPr>
          <w:lang w:val="en-US"/>
        </w:rPr>
        <w:t xml:space="preserve">ealogical connection to the Prophet of Islam, while others emphasized scholarly learning as a shared heritage and source of social prestige. At the same time, </w:t>
      </w:r>
      <w:r>
        <w:rPr>
          <w:i/>
          <w:iCs/>
          <w:lang w:val="en-US"/>
        </w:rPr>
        <w:t>mrābṭīn</w:t>
      </w:r>
      <w:r>
        <w:rPr>
          <w:lang w:val="en-US"/>
        </w:rPr>
        <w:t xml:space="preserve"> and </w:t>
      </w:r>
      <w:r>
        <w:rPr>
          <w:i/>
          <w:iCs/>
          <w:lang w:val="en-US"/>
        </w:rPr>
        <w:t>shurafāʾ</w:t>
      </w:r>
      <w:r>
        <w:rPr>
          <w:lang w:val="en-US"/>
        </w:rPr>
        <w:t xml:space="preserve"> families cooperatively managed local affairs within the various oasis villag</w:t>
      </w:r>
      <w:r>
        <w:rPr>
          <w:lang w:val="en-US"/>
        </w:rPr>
        <w:t xml:space="preserve">es. Their leading figures oversaw the administration of collective resources, supervised the work of local </w:t>
      </w:r>
      <w:r>
        <w:rPr>
          <w:i/>
          <w:iCs/>
          <w:lang w:val="en-US"/>
        </w:rPr>
        <w:t>qāḍīs</w:t>
      </w:r>
      <w:r>
        <w:rPr>
          <w:lang w:val="en-US"/>
        </w:rPr>
        <w:t xml:space="preserve">, and coordinated relations with “external” powers, namely Saharan pastoral groups and the various expedition corps dispatched by the </w:t>
      </w:r>
      <w:r>
        <w:rPr>
          <w:i/>
          <w:iCs/>
          <w:lang w:val="en-US"/>
        </w:rPr>
        <w:t>makhzan</w:t>
      </w:r>
      <w:r>
        <w:rPr>
          <w:lang w:val="en-US"/>
        </w:rPr>
        <w:t xml:space="preserve"> to</w:t>
      </w:r>
      <w:r>
        <w:rPr>
          <w:lang w:val="en-US"/>
        </w:rPr>
        <w:t xml:space="preserve"> collect taxes. The community council institution (</w:t>
      </w:r>
      <w:r>
        <w:rPr>
          <w:i/>
          <w:iCs/>
          <w:lang w:val="en-US"/>
        </w:rPr>
        <w:t>al-jamāʿa</w:t>
      </w:r>
      <w:r>
        <w:rPr>
          <w:lang w:val="en-US"/>
        </w:rPr>
        <w:t xml:space="preserve">), present in most oasis villages, facilitated this collaboration. It served as a communal space for discussion and negotiation, which the region’s jurisconsults recognized as a formal substitute </w:t>
      </w:r>
      <w:r>
        <w:rPr>
          <w:lang w:val="en-US"/>
        </w:rPr>
        <w:t>for the Alawite sultans’ somewhat remote authority.</w:t>
      </w:r>
      <w:r>
        <w:rPr>
          <w:rStyle w:val="FootnoteReference"/>
          <w:lang w:val="en-US"/>
        </w:rPr>
        <w:footnoteReference w:id="51"/>
      </w:r>
      <w:r>
        <w:rPr>
          <w:lang w:val="en-US"/>
        </w:rPr>
        <w:t xml:space="preserve"> However, the councils’ composition, consisting exclusively of </w:t>
      </w:r>
      <w:r>
        <w:rPr>
          <w:i/>
          <w:iCs/>
          <w:lang w:val="en-US"/>
        </w:rPr>
        <w:t>mrābṭīn</w:t>
      </w:r>
      <w:r>
        <w:rPr>
          <w:lang w:val="en-US"/>
        </w:rPr>
        <w:t xml:space="preserve"> and </w:t>
      </w:r>
      <w:r>
        <w:rPr>
          <w:i/>
          <w:iCs/>
          <w:lang w:val="en-US"/>
        </w:rPr>
        <w:t>shurafāʾ</w:t>
      </w:r>
      <w:r>
        <w:rPr>
          <w:lang w:val="en-US"/>
        </w:rPr>
        <w:t xml:space="preserve"> notables, mirrored the systematic subordination of a significant portion of the oasis population, to which we now turn o</w:t>
      </w:r>
      <w:r>
        <w:rPr>
          <w:lang w:val="en-US"/>
        </w:rPr>
        <w:t>ur attention.</w:t>
      </w:r>
    </w:p>
    <w:p w14:paraId="28293126" w14:textId="77777777" w:rsidR="00000000" w:rsidRDefault="00436F74">
      <w:pPr>
        <w:spacing w:before="240" w:after="120" w:line="360" w:lineRule="auto"/>
        <w:jc w:val="both"/>
        <w:rPr>
          <w:b/>
          <w:bCs/>
          <w:lang w:val="en-US"/>
        </w:rPr>
      </w:pPr>
      <w:r>
        <w:rPr>
          <w:b/>
          <w:bCs/>
          <w:lang w:val="en-US"/>
        </w:rPr>
        <w:t xml:space="preserve">The Shadow of Trans-Saharan Slavery </w:t>
      </w:r>
    </w:p>
    <w:p w14:paraId="4F4F4DEE" w14:textId="77777777" w:rsidR="00000000" w:rsidRDefault="00436F74">
      <w:pPr>
        <w:spacing w:line="360" w:lineRule="auto"/>
        <w:jc w:val="both"/>
        <w:rPr>
          <w:lang w:val="en-US"/>
        </w:rPr>
      </w:pPr>
      <w:r>
        <w:rPr>
          <w:lang w:val="en-US"/>
        </w:rPr>
        <w:t>In the oasis societies of the Sahara, the rise of certain descent groups to leadership positions within their communities and their claims to specific social status were mirrored by the existence of indivi</w:t>
      </w:r>
      <w:r>
        <w:rPr>
          <w:lang w:val="en-US"/>
        </w:rPr>
        <w:t xml:space="preserve">duals who were relegated to permanent subordinate positions for similar reasons. In their case, an inherent lack of ‘nobility’ was believed to justify the domination exerted over them. As one might expect, such subordination mechanisms were intrinsically </w:t>
      </w:r>
      <w:r>
        <w:rPr>
          <w:lang w:val="en-US"/>
        </w:rPr>
        <w:lastRenderedPageBreak/>
        <w:t>t</w:t>
      </w:r>
      <w:r>
        <w:rPr>
          <w:lang w:val="en-US"/>
        </w:rPr>
        <w:t>ied to the issue of trans-Saharan slavery and its enduring consequences. Social anthropologists and historians have dealt in depth with this fundamental aspect of Saharan history, exploring the ways slavery and the definition of one’s ethnic origins affect</w:t>
      </w:r>
      <w:r>
        <w:rPr>
          <w:lang w:val="en-US"/>
        </w:rPr>
        <w:t>ed – and still affect – most social relations.</w:t>
      </w:r>
      <w:r>
        <w:rPr>
          <w:rStyle w:val="FootnoteReference"/>
          <w:lang w:val="en-US"/>
        </w:rPr>
        <w:footnoteReference w:id="52"/>
      </w:r>
      <w:r>
        <w:rPr>
          <w:lang w:val="en-US"/>
        </w:rPr>
        <w:t xml:space="preserve"> For a long time, the role of Muslim scholarly culture was largely absent from these discussions, but the growing interest in Saharan textual traditions has prompted a significant shift in focus. Researchers n</w:t>
      </w:r>
      <w:r>
        <w:rPr>
          <w:lang w:val="en-US"/>
        </w:rPr>
        <w:t>ow emphasize how Islamic legal culture supplied both a practical and theoretical framework that played a crucial role in shaping the lived experiences of enslaved individuals, formerly enslaved people, and their descendants.</w:t>
      </w:r>
      <w:r>
        <w:rPr>
          <w:rStyle w:val="FootnoteReference"/>
          <w:lang w:val="en-US"/>
        </w:rPr>
        <w:footnoteReference w:id="53"/>
      </w:r>
      <w:r>
        <w:rPr>
          <w:lang w:val="en-US"/>
        </w:rPr>
        <w:t xml:space="preserve"> Most recently, Rainer Oßwald’s</w:t>
      </w:r>
      <w:r>
        <w:rPr>
          <w:lang w:val="en-US"/>
        </w:rPr>
        <w:t xml:space="preserve"> exhaustive study </w:t>
      </w:r>
      <w:r>
        <w:rPr>
          <w:i/>
          <w:iCs/>
          <w:lang w:val="en-US"/>
        </w:rPr>
        <w:t>Sklavenhandel und Sklavenleben zwischen Senegal und Atlas</w:t>
      </w:r>
      <w:r>
        <w:rPr>
          <w:lang w:val="en-US"/>
        </w:rPr>
        <w:t xml:space="preserve">, based on a thorough examination of </w:t>
      </w:r>
      <w:r>
        <w:rPr>
          <w:i/>
          <w:iCs/>
          <w:lang w:val="en-US"/>
        </w:rPr>
        <w:t>fat</w:t>
      </w:r>
      <w:r>
        <w:rPr>
          <w:i/>
          <w:iCs/>
          <w:lang w:val="en-US"/>
        </w:rPr>
        <w:t>wā</w:t>
      </w:r>
      <w:r>
        <w:rPr>
          <w:lang w:val="en-US"/>
        </w:rPr>
        <w:t>s and archival documents, demonstrates that local modalities and consequences of being enslaved closely echoed local readings of Islamic legal texts.</w:t>
      </w:r>
      <w:r>
        <w:rPr>
          <w:rStyle w:val="FootnoteReference"/>
          <w:lang w:val="en-US"/>
        </w:rPr>
        <w:footnoteReference w:id="54"/>
      </w:r>
      <w:r>
        <w:rPr>
          <w:lang w:val="en-US"/>
        </w:rPr>
        <w:t xml:space="preserve"> </w:t>
      </w:r>
    </w:p>
    <w:p w14:paraId="306D761C" w14:textId="77777777" w:rsidR="00000000" w:rsidRDefault="00436F74">
      <w:pPr>
        <w:spacing w:line="360" w:lineRule="auto"/>
        <w:ind w:firstLine="567"/>
        <w:jc w:val="both"/>
        <w:rPr>
          <w:lang w:val="en-US"/>
        </w:rPr>
      </w:pPr>
      <w:r>
        <w:rPr>
          <w:lang w:val="en-US"/>
        </w:rPr>
        <w:t>The materials from Tuwāt confirm Oßwald’s findings. For centuries, Tuwāt served as a central hub for t</w:t>
      </w:r>
      <w:r>
        <w:rPr>
          <w:lang w:val="en-US"/>
        </w:rPr>
        <w:t>he trans-Saharan slave trade, and its population continues to reflect the history of enslavement and deportation of West Africans.</w:t>
      </w:r>
      <w:r>
        <w:rPr>
          <w:rStyle w:val="FootnoteReference"/>
          <w:lang w:val="en-US"/>
        </w:rPr>
        <w:footnoteReference w:id="55"/>
      </w:r>
      <w:r>
        <w:rPr>
          <w:lang w:val="en-US"/>
        </w:rPr>
        <w:t xml:space="preserve"> The </w:t>
      </w:r>
      <w:r>
        <w:rPr>
          <w:i/>
          <w:iCs/>
          <w:lang w:val="en-US"/>
        </w:rPr>
        <w:t>nawāzil</w:t>
      </w:r>
      <w:r>
        <w:rPr>
          <w:lang w:val="en-US"/>
        </w:rPr>
        <w:t xml:space="preserve"> collections contain numerous cases that shed light on the operational realities of slave trading networks and th</w:t>
      </w:r>
      <w:r>
        <w:rPr>
          <w:lang w:val="en-US"/>
        </w:rPr>
        <w:t>e living conditions of enslaved people. Legal complaints and inquiries submitted to local jurists in the context of slave trade ventures often address conflicts arising from the failed delivery of enslaved individuals by agents (</w:t>
      </w:r>
      <w:r>
        <w:rPr>
          <w:i/>
          <w:iCs/>
          <w:lang w:val="en-US"/>
        </w:rPr>
        <w:t>wakīl</w:t>
      </w:r>
      <w:r>
        <w:rPr>
          <w:lang w:val="en-US"/>
        </w:rPr>
        <w:t>) or trustees (</w:t>
      </w:r>
      <w:r>
        <w:rPr>
          <w:i/>
          <w:iCs/>
          <w:lang w:val="en-US"/>
        </w:rPr>
        <w:t>amīn</w:t>
      </w:r>
      <w:r>
        <w:rPr>
          <w:lang w:val="en-US"/>
        </w:rPr>
        <w:t>) e</w:t>
      </w:r>
      <w:r>
        <w:rPr>
          <w:lang w:val="en-US"/>
        </w:rPr>
        <w:t>ntrusted with their transportation, or from the leasing of enslaved people to others.</w:t>
      </w:r>
      <w:r>
        <w:rPr>
          <w:rStyle w:val="FootnoteReference"/>
          <w:lang w:val="en-US"/>
        </w:rPr>
        <w:footnoteReference w:id="56"/>
      </w:r>
      <w:r>
        <w:rPr>
          <w:lang w:val="en-US"/>
        </w:rPr>
        <w:t xml:space="preserve"> During travel, the enslaved person might have gone missing (</w:t>
      </w:r>
      <w:r>
        <w:rPr>
          <w:i/>
          <w:iCs/>
          <w:lang w:val="en-US"/>
        </w:rPr>
        <w:t>mafqūd</w:t>
      </w:r>
      <w:r>
        <w:rPr>
          <w:lang w:val="en-US"/>
        </w:rPr>
        <w:t>), been injured, or, in the case of leasing, the agent may have used them for purposes other than those</w:t>
      </w:r>
      <w:r>
        <w:rPr>
          <w:lang w:val="en-US"/>
        </w:rPr>
        <w:t xml:space="preserve"> agreed upon with the owner. For example, we learn about a merchant who had tasked someone with delivering an enslaved person to a creditor in an unspecified distant location to settle an outstanding debt. Years later, upon returning from his </w:t>
      </w:r>
      <w:r>
        <w:rPr>
          <w:lang w:val="en-US"/>
        </w:rPr>
        <w:lastRenderedPageBreak/>
        <w:t>pilgrimage to</w:t>
      </w:r>
      <w:r>
        <w:rPr>
          <w:lang w:val="en-US"/>
        </w:rPr>
        <w:t xml:space="preserve"> Mecca, he encounters his creditor in Egypt, who promptly claims that the enslaved person never arrived. The merchant eventually concedes and pays his debtor the value of the missing person</w:t>
      </w:r>
      <w:r>
        <w:rPr>
          <w:lang w:val="en-US"/>
        </w:rPr>
        <w:t>. However, upon returning to Tuwāt, he sues his former agent for the failed delivery before a local judge.</w:t>
      </w:r>
      <w:r>
        <w:rPr>
          <w:rStyle w:val="FootnoteReference"/>
          <w:lang w:val="en-US"/>
        </w:rPr>
        <w:footnoteReference w:id="57"/>
      </w:r>
      <w:r>
        <w:rPr>
          <w:lang w:val="en-US"/>
        </w:rPr>
        <w:t xml:space="preserve"> It is worth noting in this context that many of the slave merchants mentioned in the </w:t>
      </w:r>
      <w:r>
        <w:rPr>
          <w:i/>
          <w:iCs/>
          <w:lang w:val="en-US"/>
        </w:rPr>
        <w:t>nawāzil</w:t>
      </w:r>
      <w:r>
        <w:rPr>
          <w:lang w:val="en-US"/>
        </w:rPr>
        <w:t xml:space="preserve"> are explicitly identified as members of </w:t>
      </w:r>
      <w:r>
        <w:rPr>
          <w:i/>
          <w:iCs/>
          <w:lang w:val="en-US"/>
        </w:rPr>
        <w:t>shurafāʾ</w:t>
      </w:r>
      <w:r>
        <w:rPr>
          <w:lang w:val="en-US"/>
        </w:rPr>
        <w:t xml:space="preserve"> famili</w:t>
      </w:r>
      <w:r>
        <w:rPr>
          <w:lang w:val="en-US"/>
        </w:rPr>
        <w:t xml:space="preserve">es, as the honorific title of </w:t>
      </w:r>
      <w:r>
        <w:rPr>
          <w:i/>
          <w:iCs/>
          <w:lang w:val="en-US"/>
        </w:rPr>
        <w:t>mawlāy</w:t>
      </w:r>
      <w:r>
        <w:rPr>
          <w:lang w:val="en-US"/>
        </w:rPr>
        <w:t xml:space="preserve"> (or </w:t>
      </w:r>
      <w:r>
        <w:rPr>
          <w:i/>
          <w:iCs/>
          <w:lang w:val="en-US"/>
        </w:rPr>
        <w:t>mūlāy</w:t>
      </w:r>
      <w:r>
        <w:rPr>
          <w:lang w:val="en-US"/>
        </w:rPr>
        <w:t xml:space="preserve"> in vernacular Arabic) preceding their names indicates a sharifian background.   </w:t>
      </w:r>
    </w:p>
    <w:p w14:paraId="7258D10F" w14:textId="77777777" w:rsidR="00000000" w:rsidRDefault="00436F74">
      <w:pPr>
        <w:tabs>
          <w:tab w:val="left" w:pos="567"/>
        </w:tabs>
        <w:spacing w:line="360" w:lineRule="auto"/>
        <w:jc w:val="both"/>
        <w:rPr>
          <w:lang w:val="en-US"/>
        </w:rPr>
      </w:pPr>
      <w:r>
        <w:rPr>
          <w:lang w:val="en-US"/>
        </w:rPr>
        <w:tab/>
        <w:t xml:space="preserve">The insights offered by the </w:t>
      </w:r>
      <w:r>
        <w:rPr>
          <w:i/>
          <w:iCs/>
          <w:lang w:val="en-US"/>
        </w:rPr>
        <w:t>nawāzil</w:t>
      </w:r>
      <w:r>
        <w:rPr>
          <w:lang w:val="en-US"/>
        </w:rPr>
        <w:t xml:space="preserve"> become even more valuable when examining the living conditions of servile and semi-servile </w:t>
      </w:r>
      <w:r>
        <w:rPr>
          <w:lang w:val="en-US"/>
        </w:rPr>
        <w:t>populations within the oases. The practice of slavery led to the formation of the status category of “slaves” (</w:t>
      </w:r>
      <w:r>
        <w:rPr>
          <w:i/>
          <w:iCs/>
          <w:lang w:val="en-US"/>
        </w:rPr>
        <w:t>ʿabīd</w:t>
      </w:r>
      <w:r>
        <w:rPr>
          <w:lang w:val="en-US"/>
        </w:rPr>
        <w:t>), which included not only enslaved individuals but also those who had been manumitted and their descendants. Most enslaved persons were ass</w:t>
      </w:r>
      <w:r>
        <w:rPr>
          <w:lang w:val="en-US"/>
        </w:rPr>
        <w:t xml:space="preserve">igned to perform domestic duties within </w:t>
      </w:r>
      <w:r>
        <w:rPr>
          <w:i/>
          <w:iCs/>
          <w:lang w:val="en-US"/>
        </w:rPr>
        <w:t>mrābṭīn</w:t>
      </w:r>
      <w:r>
        <w:rPr>
          <w:lang w:val="en-US"/>
        </w:rPr>
        <w:t xml:space="preserve"> and </w:t>
      </w:r>
      <w:r>
        <w:rPr>
          <w:i/>
          <w:iCs/>
          <w:lang w:val="en-US"/>
        </w:rPr>
        <w:t>shurafāʾ</w:t>
      </w:r>
      <w:r>
        <w:rPr>
          <w:lang w:val="en-US"/>
        </w:rPr>
        <w:t xml:space="preserve"> households. Regarding enslaved women, the </w:t>
      </w:r>
      <w:r>
        <w:rPr>
          <w:i/>
          <w:iCs/>
          <w:lang w:val="en-US"/>
        </w:rPr>
        <w:t>nawāzil</w:t>
      </w:r>
      <w:r>
        <w:rPr>
          <w:lang w:val="en-US"/>
        </w:rPr>
        <w:t xml:space="preserve"> from Tuwāt and other regions in the Saharan West make it clear that domestic slavery often involved sexual exploitation as concubines.</w:t>
      </w:r>
      <w:r>
        <w:rPr>
          <w:rStyle w:val="FootnoteReference"/>
          <w:lang w:val="en-US"/>
        </w:rPr>
        <w:footnoteReference w:id="58"/>
      </w:r>
      <w:r>
        <w:rPr>
          <w:lang w:val="en-US"/>
        </w:rPr>
        <w:t xml:space="preserve"> To illust</w:t>
      </w:r>
      <w:r>
        <w:rPr>
          <w:lang w:val="en-US"/>
        </w:rPr>
        <w:t>rate this point, we may cite one example among many, which exhibits a clear race-related bias against enslaved individuals that extended beyond the legal question of being free or not.</w:t>
      </w:r>
      <w:r>
        <w:rPr>
          <w:rStyle w:val="FootnoteReference"/>
          <w:szCs w:val="18"/>
          <w:lang w:val="en-US"/>
        </w:rPr>
        <w:footnoteReference w:id="59"/>
      </w:r>
      <w:r>
        <w:rPr>
          <w:szCs w:val="18"/>
          <w:lang w:val="en-US"/>
        </w:rPr>
        <w:t xml:space="preserve"> </w:t>
      </w:r>
      <w:r>
        <w:rPr>
          <w:lang w:val="en-US"/>
        </w:rPr>
        <w:t xml:space="preserve">In an inquiry submitted to the jurisconsult and </w:t>
      </w:r>
      <w:r>
        <w:rPr>
          <w:i/>
          <w:iCs/>
          <w:lang w:val="en-US"/>
        </w:rPr>
        <w:t>qāḍī</w:t>
      </w:r>
      <w:r>
        <w:rPr>
          <w:lang w:val="en-US"/>
        </w:rPr>
        <w:t xml:space="preserve"> ʿUmar b. ʿAbd al-</w:t>
      </w:r>
      <w:r>
        <w:rPr>
          <w:lang w:val="en-US"/>
        </w:rPr>
        <w:t>Qādir al-Tinilānī (d. 1152/1739), we learn about a man who, on the eve of his wedding, was required by his bride to swear an oath that he would neither take a second wife nor engage in sexual intercourse with “black women” (</w:t>
      </w:r>
      <w:r>
        <w:rPr>
          <w:i/>
          <w:iCs/>
          <w:lang w:val="en-US"/>
        </w:rPr>
        <w:t>kaḥlāt</w:t>
      </w:r>
      <w:r>
        <w:rPr>
          <w:lang w:val="en-US"/>
        </w:rPr>
        <w:t>)</w:t>
      </w:r>
      <w:r>
        <w:rPr>
          <w:szCs w:val="18"/>
          <w:lang w:val="en-US"/>
        </w:rPr>
        <w:t>.</w:t>
      </w:r>
      <w:r>
        <w:rPr>
          <w:rStyle w:val="FootnoteReference"/>
          <w:lang w:val="en-US"/>
        </w:rPr>
        <w:footnoteReference w:id="60"/>
      </w:r>
      <w:r>
        <w:rPr>
          <w:szCs w:val="18"/>
          <w:lang w:val="en-US"/>
        </w:rPr>
        <w:t xml:space="preserve"> </w:t>
      </w:r>
    </w:p>
    <w:p w14:paraId="545911D4" w14:textId="77777777" w:rsidR="00000000" w:rsidRDefault="00436F74">
      <w:pPr>
        <w:tabs>
          <w:tab w:val="left" w:pos="567"/>
        </w:tabs>
        <w:spacing w:line="360" w:lineRule="auto"/>
        <w:jc w:val="both"/>
        <w:rPr>
          <w:lang w:val="en-US"/>
        </w:rPr>
      </w:pPr>
      <w:r>
        <w:rPr>
          <w:szCs w:val="18"/>
          <w:lang w:val="en-US"/>
        </w:rPr>
        <w:tab/>
      </w:r>
      <w:r>
        <w:rPr>
          <w:lang w:val="en-US"/>
        </w:rPr>
        <w:t>Agricultural labor w</w:t>
      </w:r>
      <w:r>
        <w:rPr>
          <w:lang w:val="en-US"/>
        </w:rPr>
        <w:t xml:space="preserve">as primarily assigned to a distinct category of people with low status and likely sub-Saharan origins who, at least legally speaking, were free: the </w:t>
      </w:r>
      <w:r>
        <w:rPr>
          <w:i/>
          <w:iCs/>
          <w:lang w:val="en-US"/>
        </w:rPr>
        <w:t>ḥarāthīn</w:t>
      </w:r>
      <w:r>
        <w:rPr>
          <w:i/>
          <w:iCs/>
          <w:color w:val="0E101A"/>
          <w:lang w:val="en-US"/>
        </w:rPr>
        <w:t>.</w:t>
      </w:r>
      <w:r>
        <w:rPr>
          <w:rStyle w:val="FootnoteReference"/>
          <w:lang w:val="en-US"/>
        </w:rPr>
        <w:footnoteReference w:id="61"/>
      </w:r>
      <w:r>
        <w:rPr>
          <w:lang w:val="en-US"/>
        </w:rPr>
        <w:t xml:space="preserve"> Members of </w:t>
      </w:r>
      <w:r>
        <w:rPr>
          <w:i/>
          <w:iCs/>
          <w:lang w:val="en-US"/>
        </w:rPr>
        <w:t>ḥarāthīn</w:t>
      </w:r>
      <w:r>
        <w:rPr>
          <w:lang w:val="en-US"/>
        </w:rPr>
        <w:t xml:space="preserve"> descent groups predominantly worked for </w:t>
      </w:r>
      <w:r>
        <w:rPr>
          <w:i/>
          <w:iCs/>
          <w:lang w:val="en-US"/>
        </w:rPr>
        <w:t>mrābṭīn</w:t>
      </w:r>
      <w:r>
        <w:rPr>
          <w:lang w:val="en-US"/>
        </w:rPr>
        <w:t xml:space="preserve"> and </w:t>
      </w:r>
      <w:r>
        <w:rPr>
          <w:i/>
          <w:iCs/>
          <w:lang w:val="en-US"/>
        </w:rPr>
        <w:t>shurafāʾ</w:t>
      </w:r>
      <w:r>
        <w:rPr>
          <w:lang w:val="en-US"/>
        </w:rPr>
        <w:t xml:space="preserve"> families who ow</w:t>
      </w:r>
      <w:r>
        <w:rPr>
          <w:lang w:val="en-US"/>
        </w:rPr>
        <w:t>ned the majority of the oases’ agricultural resources and properties.</w:t>
      </w:r>
      <w:r>
        <w:rPr>
          <w:rStyle w:val="FootnoteReference"/>
          <w:lang w:val="en-US"/>
        </w:rPr>
        <w:footnoteReference w:id="62"/>
      </w:r>
      <w:r>
        <w:rPr>
          <w:lang w:val="en-US"/>
        </w:rPr>
        <w:t xml:space="preserve"> As the second part of this paper will argue, the systematic use of sharecropping contracts served as the primary tool for institutionalizing and perpetuating a structural dependency tha</w:t>
      </w:r>
      <w:r>
        <w:rPr>
          <w:lang w:val="en-US"/>
        </w:rPr>
        <w:t xml:space="preserve">t bound the </w:t>
      </w:r>
      <w:r>
        <w:rPr>
          <w:i/>
          <w:iCs/>
          <w:lang w:val="en-US"/>
        </w:rPr>
        <w:t>ḥarāthīn</w:t>
      </w:r>
      <w:r>
        <w:rPr>
          <w:lang w:val="en-US"/>
        </w:rPr>
        <w:t xml:space="preserve"> to their employers. </w:t>
      </w:r>
    </w:p>
    <w:p w14:paraId="780DC2B6" w14:textId="77777777" w:rsidR="00000000" w:rsidRDefault="00436F74">
      <w:pPr>
        <w:tabs>
          <w:tab w:val="left" w:pos="567"/>
        </w:tabs>
        <w:spacing w:line="360" w:lineRule="auto"/>
        <w:jc w:val="both"/>
        <w:rPr>
          <w:lang w:val="en-US"/>
        </w:rPr>
      </w:pPr>
      <w:r>
        <w:rPr>
          <w:lang w:val="en-US"/>
        </w:rPr>
        <w:tab/>
        <w:t xml:space="preserve">Readers familiar with servile and semi-servile groups in the southern Sahara may find our presentation of the </w:t>
      </w:r>
      <w:r>
        <w:rPr>
          <w:i/>
          <w:iCs/>
          <w:lang w:val="en-US"/>
        </w:rPr>
        <w:t>ʿabīd</w:t>
      </w:r>
      <w:r>
        <w:rPr>
          <w:lang w:val="en-US"/>
        </w:rPr>
        <w:t xml:space="preserve"> and </w:t>
      </w:r>
      <w:r>
        <w:rPr>
          <w:i/>
          <w:iCs/>
          <w:lang w:val="en-US"/>
        </w:rPr>
        <w:t>ḥarāthīn</w:t>
      </w:r>
      <w:r>
        <w:rPr>
          <w:lang w:val="en-US"/>
        </w:rPr>
        <w:t xml:space="preserve"> surprising</w:t>
      </w:r>
      <w:r>
        <w:rPr>
          <w:color w:val="0E101A"/>
          <w:lang w:val="en-US"/>
        </w:rPr>
        <w:t>.</w:t>
      </w:r>
      <w:r>
        <w:rPr>
          <w:lang w:val="en-US"/>
        </w:rPr>
        <w:t xml:space="preserve"> Indeed, while in Mauritania the term </w:t>
      </w:r>
      <w:r>
        <w:rPr>
          <w:i/>
          <w:iCs/>
          <w:lang w:val="en-US"/>
        </w:rPr>
        <w:lastRenderedPageBreak/>
        <w:t>ḥarāthīn</w:t>
      </w:r>
      <w:r>
        <w:rPr>
          <w:lang w:val="en-US"/>
        </w:rPr>
        <w:t xml:space="preserve"> refers to the descendants of former sl</w:t>
      </w:r>
      <w:r>
        <w:rPr>
          <w:lang w:val="en-US"/>
        </w:rPr>
        <w:t>aves,</w:t>
      </w:r>
      <w:r>
        <w:rPr>
          <w:rStyle w:val="FootnoteReference"/>
          <w:lang w:val="en-US"/>
        </w:rPr>
        <w:footnoteReference w:id="63"/>
      </w:r>
      <w:r>
        <w:rPr>
          <w:lang w:val="en-US"/>
        </w:rPr>
        <w:t xml:space="preserve"> its discursive use in the northwestern Sahara seems to separate the concept from the institution of slavery. This distinction led colonial ethnographers and others to engage in speculative discussions about the supposed origins of these northern </w:t>
      </w:r>
      <w:r>
        <w:rPr>
          <w:i/>
          <w:iCs/>
          <w:lang w:val="en-US"/>
        </w:rPr>
        <w:t>ḥar</w:t>
      </w:r>
      <w:r>
        <w:rPr>
          <w:i/>
          <w:iCs/>
          <w:lang w:val="en-US"/>
        </w:rPr>
        <w:t>āthīn</w:t>
      </w:r>
      <w:r>
        <w:rPr>
          <w:lang w:val="en-US"/>
        </w:rPr>
        <w:t xml:space="preserve">. Although a comprehensive history of </w:t>
      </w:r>
      <w:r>
        <w:rPr>
          <w:i/>
          <w:iCs/>
          <w:lang w:val="en-US"/>
        </w:rPr>
        <w:t>ḥarāthīn</w:t>
      </w:r>
      <w:r>
        <w:rPr>
          <w:lang w:val="en-US"/>
        </w:rPr>
        <w:t xml:space="preserve"> communities has yet to be written,</w:t>
      </w:r>
      <w:r>
        <w:rPr>
          <w:rStyle w:val="FootnoteReference"/>
          <w:lang w:val="en-US"/>
        </w:rPr>
        <w:footnoteReference w:id="64"/>
      </w:r>
      <w:r>
        <w:rPr>
          <w:lang w:val="en-US"/>
        </w:rPr>
        <w:t xml:space="preserve"> several anthropological studies have investigated the situation of </w:t>
      </w:r>
      <w:r>
        <w:rPr>
          <w:i/>
          <w:iCs/>
          <w:lang w:val="en-US"/>
        </w:rPr>
        <w:t xml:space="preserve">ʿabīd </w:t>
      </w:r>
      <w:r>
        <w:rPr>
          <w:lang w:val="en-US"/>
        </w:rPr>
        <w:t xml:space="preserve">and </w:t>
      </w:r>
      <w:r>
        <w:rPr>
          <w:i/>
          <w:iCs/>
          <w:lang w:val="en-US"/>
        </w:rPr>
        <w:t>ḥarāthīn</w:t>
      </w:r>
      <w:r>
        <w:rPr>
          <w:lang w:val="en-US"/>
        </w:rPr>
        <w:t xml:space="preserve"> in contemporary southern Morocco. These studies describe realities that we can als</w:t>
      </w:r>
      <w:r>
        <w:rPr>
          <w:lang w:val="en-US"/>
        </w:rPr>
        <w:t xml:space="preserve">o discern in the eighteenth and early nineteenth century </w:t>
      </w:r>
      <w:r>
        <w:rPr>
          <w:i/>
          <w:iCs/>
          <w:lang w:val="en-US"/>
        </w:rPr>
        <w:t>nawāzil</w:t>
      </w:r>
      <w:r>
        <w:rPr>
          <w:lang w:val="en-US"/>
        </w:rPr>
        <w:t xml:space="preserve"> from Tuwāt.</w:t>
      </w:r>
      <w:r>
        <w:rPr>
          <w:rStyle w:val="FootnoteReference"/>
          <w:lang w:val="en-US"/>
        </w:rPr>
        <w:footnoteReference w:id="65"/>
      </w:r>
      <w:r>
        <w:rPr>
          <w:lang w:val="en-US"/>
        </w:rPr>
        <w:t xml:space="preserve"> Of particular interest to us is the observation that the reputation of not being a slave descendant paradoxically reinforces the </w:t>
      </w:r>
      <w:r>
        <w:rPr>
          <w:i/>
          <w:iCs/>
          <w:lang w:val="en-US"/>
        </w:rPr>
        <w:t>ḥarāthīn</w:t>
      </w:r>
      <w:r>
        <w:rPr>
          <w:lang w:val="en-US"/>
        </w:rPr>
        <w:t>’s status as social outcasts, something w</w:t>
      </w:r>
      <w:r>
        <w:rPr>
          <w:lang w:val="en-US"/>
        </w:rPr>
        <w:t xml:space="preserve">e have also noticed during our research visits to Tuwāt between 2009 and 2018. It appears that </w:t>
      </w:r>
      <w:r>
        <w:rPr>
          <w:i/>
          <w:iCs/>
          <w:lang w:val="en-US"/>
        </w:rPr>
        <w:t>ḥarāthīn</w:t>
      </w:r>
      <w:r>
        <w:rPr>
          <w:lang w:val="en-US"/>
        </w:rPr>
        <w:t xml:space="preserve"> face discrimination and exclusion precisely because they are seen as people without identifiable origins. They neither have been the loyal servants of ‘</w:t>
      </w:r>
      <w:r>
        <w:rPr>
          <w:lang w:val="en-US"/>
        </w:rPr>
        <w:t>noble’ families nor “free people” (</w:t>
      </w:r>
      <w:r>
        <w:rPr>
          <w:i/>
          <w:iCs/>
          <w:lang w:val="en-US"/>
        </w:rPr>
        <w:t>aḥrār</w:t>
      </w:r>
      <w:r>
        <w:rPr>
          <w:lang w:val="en-US"/>
        </w:rPr>
        <w:t xml:space="preserve">) who brought civilization and religion to the oases - the standard narrative of origins among </w:t>
      </w:r>
      <w:r>
        <w:rPr>
          <w:i/>
          <w:iCs/>
          <w:lang w:val="en-US"/>
        </w:rPr>
        <w:t>mrābṭīn</w:t>
      </w:r>
      <w:r>
        <w:rPr>
          <w:lang w:val="en-US"/>
        </w:rPr>
        <w:t xml:space="preserve"> or </w:t>
      </w:r>
      <w:r>
        <w:rPr>
          <w:i/>
          <w:iCs/>
          <w:lang w:val="en-US"/>
        </w:rPr>
        <w:t>shurafāʾ</w:t>
      </w:r>
      <w:r>
        <w:rPr>
          <w:lang w:val="en-US"/>
        </w:rPr>
        <w:t xml:space="preserve"> descent groups. In stark contrast, the close relationships resulting from the domestic work assigned </w:t>
      </w:r>
      <w:r>
        <w:rPr>
          <w:lang w:val="en-US"/>
        </w:rPr>
        <w:t xml:space="preserve">to enslaved people render the </w:t>
      </w:r>
      <w:r>
        <w:rPr>
          <w:i/>
          <w:iCs/>
          <w:lang w:val="en-US"/>
        </w:rPr>
        <w:t>ʿabīd</w:t>
      </w:r>
      <w:r>
        <w:rPr>
          <w:lang w:val="en-US"/>
        </w:rPr>
        <w:t xml:space="preserve"> unfree yet trustworthy members of </w:t>
      </w:r>
      <w:r>
        <w:rPr>
          <w:i/>
          <w:iCs/>
          <w:lang w:val="en-US"/>
        </w:rPr>
        <w:t>mrābṭīn</w:t>
      </w:r>
      <w:r>
        <w:rPr>
          <w:lang w:val="en-US"/>
        </w:rPr>
        <w:t xml:space="preserve"> or </w:t>
      </w:r>
      <w:r>
        <w:rPr>
          <w:i/>
          <w:iCs/>
          <w:lang w:val="en-US"/>
        </w:rPr>
        <w:t>shurafāʾ</w:t>
      </w:r>
      <w:r>
        <w:rPr>
          <w:lang w:val="en-US"/>
        </w:rPr>
        <w:t xml:space="preserve"> households.</w:t>
      </w:r>
      <w:r>
        <w:rPr>
          <w:rStyle w:val="FootnoteReference"/>
          <w:lang w:val="en-US"/>
        </w:rPr>
        <w:footnoteReference w:id="66"/>
      </w:r>
      <w:r>
        <w:rPr>
          <w:lang w:val="en-US"/>
        </w:rPr>
        <w:t xml:space="preserve"> </w:t>
      </w:r>
    </w:p>
    <w:p w14:paraId="42F3B202" w14:textId="77777777" w:rsidR="00000000" w:rsidRDefault="00436F74">
      <w:pPr>
        <w:tabs>
          <w:tab w:val="left" w:pos="567"/>
        </w:tabs>
        <w:spacing w:line="360" w:lineRule="auto"/>
        <w:jc w:val="both"/>
        <w:rPr>
          <w:lang w:val="en-US"/>
        </w:rPr>
      </w:pPr>
      <w:r>
        <w:rPr>
          <w:lang w:val="en-US"/>
        </w:rPr>
        <w:tab/>
        <w:t xml:space="preserve">Examining the evidence provided by the </w:t>
      </w:r>
      <w:r>
        <w:rPr>
          <w:i/>
          <w:iCs/>
          <w:lang w:val="en-US"/>
        </w:rPr>
        <w:t>nawāzil</w:t>
      </w:r>
      <w:r>
        <w:rPr>
          <w:lang w:val="en-US"/>
        </w:rPr>
        <w:t xml:space="preserve"> from Tuwāt, we not only encounter historical echoes of these discourses, but more significantly, we gain</w:t>
      </w:r>
      <w:r>
        <w:rPr>
          <w:lang w:val="en-US"/>
        </w:rPr>
        <w:t xml:space="preserve"> insight into how they related to specific practices of subordination. We shall begin with an inquiry (</w:t>
      </w:r>
      <w:r>
        <w:rPr>
          <w:i/>
          <w:iCs/>
          <w:lang w:val="en-US"/>
        </w:rPr>
        <w:t>istiftāʾ</w:t>
      </w:r>
      <w:r>
        <w:rPr>
          <w:lang w:val="en-US"/>
        </w:rPr>
        <w:t xml:space="preserve">) from the early seventeenth century submitted to the </w:t>
      </w:r>
      <w:r>
        <w:rPr>
          <w:i/>
          <w:iCs/>
          <w:lang w:val="en-US"/>
        </w:rPr>
        <w:t>qāḍī al-jamāʿa</w:t>
      </w:r>
      <w:r>
        <w:rPr>
          <w:lang w:val="en-US"/>
        </w:rPr>
        <w:t xml:space="preserve"> ʿAbd al-Karīm b. Aḥmad al-Bakrī (d. 1042/1633), which was later included in </w:t>
      </w:r>
      <w:r>
        <w:rPr>
          <w:lang w:val="en-US"/>
        </w:rPr>
        <w:t xml:space="preserve">the </w:t>
      </w:r>
      <w:r>
        <w:rPr>
          <w:i/>
          <w:iCs/>
          <w:lang w:val="en-US"/>
        </w:rPr>
        <w:t>Ghunya</w:t>
      </w:r>
      <w:r>
        <w:rPr>
          <w:lang w:val="en-US"/>
        </w:rPr>
        <w:t xml:space="preserve"> collection.</w:t>
      </w:r>
      <w:r>
        <w:rPr>
          <w:rStyle w:val="FootnoteReference"/>
          <w:lang w:val="en-US"/>
        </w:rPr>
        <w:footnoteReference w:id="67"/>
      </w:r>
      <w:r>
        <w:rPr>
          <w:lang w:val="en-US"/>
        </w:rPr>
        <w:t xml:space="preserve"> The inquiry addresses the manumission (</w:t>
      </w:r>
      <w:r>
        <w:rPr>
          <w:i/>
          <w:iCs/>
          <w:lang w:val="en-US"/>
        </w:rPr>
        <w:t>ʿitq</w:t>
      </w:r>
      <w:r>
        <w:rPr>
          <w:lang w:val="en-US"/>
        </w:rPr>
        <w:t xml:space="preserve">) of an enslaved person by a member of one of Tuwāt’s oldest </w:t>
      </w:r>
      <w:r>
        <w:rPr>
          <w:i/>
          <w:iCs/>
          <w:lang w:val="en-US"/>
        </w:rPr>
        <w:t>mrābṭīn</w:t>
      </w:r>
      <w:r>
        <w:rPr>
          <w:lang w:val="en-US"/>
        </w:rPr>
        <w:t xml:space="preserve"> groups, the al-ʿAṣnūnī-s</w:t>
      </w:r>
      <w:r>
        <w:rPr>
          <w:rStyle w:val="FootnoteReference"/>
          <w:lang w:val="en-US"/>
        </w:rPr>
        <w:footnoteReference w:id="68"/>
      </w:r>
      <w:r>
        <w:rPr>
          <w:lang w:val="en-US"/>
        </w:rPr>
        <w:t xml:space="preserve">. The </w:t>
      </w:r>
      <w:r>
        <w:rPr>
          <w:i/>
          <w:iCs/>
          <w:lang w:val="en-US"/>
        </w:rPr>
        <w:t>istiftāʾ</w:t>
      </w:r>
      <w:r>
        <w:rPr>
          <w:lang w:val="en-US"/>
        </w:rPr>
        <w:t xml:space="preserve"> reads as follows:</w:t>
      </w:r>
    </w:p>
    <w:p w14:paraId="1A00D42A" w14:textId="77777777" w:rsidR="00000000" w:rsidRDefault="00436F74">
      <w:pPr>
        <w:spacing w:line="360" w:lineRule="auto"/>
        <w:ind w:firstLine="567"/>
        <w:jc w:val="both"/>
        <w:rPr>
          <w:lang w:val="en-US"/>
        </w:rPr>
      </w:pPr>
    </w:p>
    <w:p w14:paraId="2CD81624" w14:textId="77777777" w:rsidR="00000000" w:rsidRDefault="00436F74">
      <w:pPr>
        <w:spacing w:line="360" w:lineRule="auto"/>
        <w:ind w:left="567"/>
        <w:jc w:val="both"/>
        <w:rPr>
          <w:lang w:val="en-US"/>
        </w:rPr>
      </w:pPr>
      <w:r>
        <w:rPr>
          <w:lang w:val="en-US"/>
        </w:rPr>
        <w:t>“He was asked about the legal problem (</w:t>
      </w:r>
      <w:r>
        <w:rPr>
          <w:i/>
          <w:iCs/>
          <w:lang w:val="en-US"/>
        </w:rPr>
        <w:t>masʾala</w:t>
      </w:r>
      <w:r>
        <w:rPr>
          <w:lang w:val="en-US"/>
        </w:rPr>
        <w:t>) [that arose w</w:t>
      </w:r>
      <w:r>
        <w:rPr>
          <w:lang w:val="en-US"/>
        </w:rPr>
        <w:t>hen] Muḥammad al-ʿAṣnūnī manumitted his servant (</w:t>
      </w:r>
      <w:r>
        <w:rPr>
          <w:i/>
          <w:iCs/>
          <w:lang w:val="en-US"/>
        </w:rPr>
        <w:t>waṣīf</w:t>
      </w:r>
      <w:r>
        <w:rPr>
          <w:lang w:val="en-US"/>
        </w:rPr>
        <w:t>) Abū-l-Khayr. [From that point on], he held no longer any rights over him except those connected to the institution of patronage (</w:t>
      </w:r>
      <w:r>
        <w:rPr>
          <w:i/>
          <w:iCs/>
          <w:lang w:val="en-US"/>
        </w:rPr>
        <w:t>walāʾ</w:t>
      </w:r>
      <w:r>
        <w:rPr>
          <w:lang w:val="en-US"/>
        </w:rPr>
        <w:t>). Both parties agreed that courteous relations (</w:t>
      </w:r>
      <w:r>
        <w:rPr>
          <w:i/>
          <w:iCs/>
          <w:lang w:val="en-US"/>
        </w:rPr>
        <w:t>iḥsān</w:t>
      </w:r>
      <w:r>
        <w:rPr>
          <w:lang w:val="en-US"/>
        </w:rPr>
        <w:t>) would prev</w:t>
      </w:r>
      <w:r>
        <w:rPr>
          <w:lang w:val="en-US"/>
        </w:rPr>
        <w:t>ail between them and that the former master and his children would provide (</w:t>
      </w:r>
      <w:r>
        <w:rPr>
          <w:i/>
          <w:iCs/>
          <w:lang w:val="en-US"/>
        </w:rPr>
        <w:t xml:space="preserve">yakfilu </w:t>
      </w:r>
      <w:r>
        <w:rPr>
          <w:lang w:val="en-US"/>
        </w:rPr>
        <w:t>or</w:t>
      </w:r>
      <w:r>
        <w:rPr>
          <w:i/>
          <w:iCs/>
          <w:lang w:val="en-US"/>
        </w:rPr>
        <w:t xml:space="preserve"> yukafillu</w:t>
      </w:r>
      <w:r>
        <w:rPr>
          <w:lang w:val="en-US"/>
        </w:rPr>
        <w:t>) for the servant’s children within the masters’ household (</w:t>
      </w:r>
      <w:r>
        <w:rPr>
          <w:i/>
          <w:iCs/>
          <w:lang w:val="en-US"/>
        </w:rPr>
        <w:t>bi-diyār al-sādāt</w:t>
      </w:r>
      <w:r>
        <w:rPr>
          <w:lang w:val="en-US"/>
        </w:rPr>
        <w:t>). Abū-l-Khayr was to send them three of his children in the customary way (</w:t>
      </w:r>
      <w:r>
        <w:rPr>
          <w:i/>
          <w:iCs/>
          <w:lang w:val="en-US"/>
        </w:rPr>
        <w:t>ʿalā wa</w:t>
      </w:r>
      <w:r>
        <w:rPr>
          <w:i/>
          <w:iCs/>
          <w:lang w:val="en-US"/>
        </w:rPr>
        <w:t>jh al-maʿrūf</w:t>
      </w:r>
      <w:r>
        <w:rPr>
          <w:lang w:val="en-US"/>
        </w:rPr>
        <w:t>). However, after this, the servant’s wife protested (</w:t>
      </w:r>
      <w:r>
        <w:rPr>
          <w:i/>
          <w:iCs/>
          <w:lang w:val="en-US"/>
        </w:rPr>
        <w:t>qāmat</w:t>
      </w:r>
      <w:r>
        <w:rPr>
          <w:lang w:val="en-US"/>
        </w:rPr>
        <w:t>)</w:t>
      </w:r>
      <w:r>
        <w:rPr>
          <w:rStyle w:val="FootnoteReference"/>
          <w:lang w:val="en-US"/>
        </w:rPr>
        <w:footnoteReference w:id="69"/>
      </w:r>
      <w:r>
        <w:rPr>
          <w:lang w:val="en-US"/>
        </w:rPr>
        <w:t xml:space="preserve"> and took away her daughter, who was among the three [children]. This led to the former master also protesting, demanding the return of the girl for whom he was supposed to provide. W</w:t>
      </w:r>
      <w:r>
        <w:rPr>
          <w:lang w:val="en-US"/>
        </w:rPr>
        <w:t>hat is the appropriate ruling (</w:t>
      </w:r>
      <w:r>
        <w:rPr>
          <w:i/>
          <w:iCs/>
          <w:lang w:val="en-US"/>
        </w:rPr>
        <w:t>ḥukm</w:t>
      </w:r>
      <w:r>
        <w:rPr>
          <w:lang w:val="en-US"/>
        </w:rPr>
        <w:t>) to be applied in this case?”</w:t>
      </w:r>
      <w:r>
        <w:rPr>
          <w:rStyle w:val="FootnoteReference"/>
          <w:rtl/>
          <w:lang w:val="en-US"/>
        </w:rPr>
        <w:footnoteReference w:id="70"/>
      </w:r>
    </w:p>
    <w:p w14:paraId="78D63678" w14:textId="77777777" w:rsidR="00000000" w:rsidRDefault="00436F74">
      <w:pPr>
        <w:spacing w:line="360" w:lineRule="auto"/>
        <w:jc w:val="both"/>
        <w:rPr>
          <w:lang w:val="en-US"/>
        </w:rPr>
      </w:pPr>
    </w:p>
    <w:p w14:paraId="4CF4A02A" w14:textId="77777777" w:rsidR="00000000" w:rsidRDefault="00436F74">
      <w:pPr>
        <w:spacing w:line="360" w:lineRule="auto"/>
        <w:jc w:val="both"/>
        <w:rPr>
          <w:lang w:val="en-US"/>
        </w:rPr>
      </w:pPr>
      <w:r>
        <w:rPr>
          <w:lang w:val="en-US"/>
        </w:rPr>
        <w:t xml:space="preserve">The </w:t>
      </w:r>
      <w:r>
        <w:rPr>
          <w:i/>
          <w:iCs/>
          <w:lang w:val="en-US"/>
        </w:rPr>
        <w:t>istiftā</w:t>
      </w:r>
      <w:r>
        <w:rPr>
          <w:lang w:val="en-US"/>
        </w:rPr>
        <w:t>ʾ</w:t>
      </w:r>
      <w:r>
        <w:rPr>
          <w:i/>
          <w:iCs/>
          <w:lang w:val="en-US"/>
        </w:rPr>
        <w:t xml:space="preserve"> </w:t>
      </w:r>
      <w:r>
        <w:rPr>
          <w:lang w:val="en-US"/>
        </w:rPr>
        <w:t>encapsulates the profound ambiguity characterizing servile and semi-servile relations in the pre-1900 Saharan West. It illustrates how formerly enslaved people remained tied t</w:t>
      </w:r>
      <w:r>
        <w:rPr>
          <w:lang w:val="en-US"/>
        </w:rPr>
        <w:t xml:space="preserve">o </w:t>
      </w:r>
      <w:r>
        <w:rPr>
          <w:i/>
          <w:iCs/>
          <w:lang w:val="en-US"/>
        </w:rPr>
        <w:t>mrābṭīn</w:t>
      </w:r>
      <w:r>
        <w:rPr>
          <w:lang w:val="en-US"/>
        </w:rPr>
        <w:t xml:space="preserve"> or </w:t>
      </w:r>
      <w:r>
        <w:rPr>
          <w:i/>
          <w:iCs/>
          <w:color w:val="0E101A"/>
          <w:lang w:val="en-US"/>
        </w:rPr>
        <w:t>shurafāʾ</w:t>
      </w:r>
      <w:r>
        <w:rPr>
          <w:lang w:val="en-US"/>
        </w:rPr>
        <w:t xml:space="preserve"> families over generations as part of an unequal alliance. The narrative, evoking “courteous relations” and “providing”, employs euphemistic terms to describe a </w:t>
      </w:r>
      <w:r>
        <w:rPr>
          <w:i/>
          <w:iCs/>
          <w:color w:val="0E101A"/>
          <w:lang w:val="en-US"/>
        </w:rPr>
        <w:t>de facto</w:t>
      </w:r>
      <w:r>
        <w:rPr>
          <w:lang w:val="en-US"/>
        </w:rPr>
        <w:t xml:space="preserve"> situation of dependency that did not end with Abū-l-Khayr’s manum</w:t>
      </w:r>
      <w:r>
        <w:rPr>
          <w:lang w:val="en-US"/>
        </w:rPr>
        <w:t xml:space="preserve">ission. On the contrary, he and his descendants were expected to comply with a custom that required them to provide domestic servants for the former master’s family. The </w:t>
      </w:r>
      <w:r>
        <w:rPr>
          <w:i/>
          <w:iCs/>
          <w:lang w:val="en-US"/>
        </w:rPr>
        <w:t>muftī</w:t>
      </w:r>
      <w:r>
        <w:rPr>
          <w:lang w:val="en-US"/>
        </w:rPr>
        <w:t>’s assessment of the case presents the matter even more unequivocally while offer</w:t>
      </w:r>
      <w:r>
        <w:rPr>
          <w:lang w:val="en-US"/>
        </w:rPr>
        <w:t xml:space="preserve">ing legal caution to the practice. ʿAbd al-Karīm b. Aḥmad al-Bakrī adduces evidence in form of two quotes from the founding figures of the Mālikī school. He takes the first from Saḥnūn’s </w:t>
      </w:r>
      <w:r>
        <w:rPr>
          <w:i/>
          <w:iCs/>
          <w:lang w:val="en-US"/>
        </w:rPr>
        <w:t>Mudawwana</w:t>
      </w:r>
      <w:r>
        <w:rPr>
          <w:lang w:val="en-US"/>
        </w:rPr>
        <w:t xml:space="preserve"> and the second from a statement by Mālik himself, reported </w:t>
      </w:r>
      <w:r>
        <w:rPr>
          <w:lang w:val="en-US"/>
        </w:rPr>
        <w:t>by his student ʿAbd Allāh b. Nāfiʿ (d. 206/822), although the source remains unspecified. The two quotes attest to the right of a man to give his daughter (</w:t>
      </w:r>
      <w:r>
        <w:rPr>
          <w:i/>
          <w:iCs/>
          <w:lang w:val="en-US"/>
        </w:rPr>
        <w:t>ibna</w:t>
      </w:r>
      <w:r>
        <w:rPr>
          <w:lang w:val="en-US"/>
        </w:rPr>
        <w:t>) as a gift (</w:t>
      </w:r>
      <w:r>
        <w:rPr>
          <w:i/>
          <w:iCs/>
          <w:lang w:val="en-US"/>
        </w:rPr>
        <w:t>hiba</w:t>
      </w:r>
      <w:r>
        <w:rPr>
          <w:lang w:val="en-US"/>
        </w:rPr>
        <w:t xml:space="preserve">) to another person, provided that the transaction implies no sexual relations </w:t>
      </w:r>
      <w:r>
        <w:rPr>
          <w:lang w:val="en-US"/>
        </w:rPr>
        <w:t xml:space="preserve">and only aims at ensuring the child’s upbringing </w:t>
      </w:r>
      <w:r>
        <w:rPr>
          <w:lang w:val="en-US"/>
        </w:rPr>
        <w:lastRenderedPageBreak/>
        <w:t>(</w:t>
      </w:r>
      <w:r>
        <w:rPr>
          <w:i/>
          <w:iCs/>
          <w:lang w:val="en-US"/>
        </w:rPr>
        <w:t>ḥaḍāna</w:t>
      </w:r>
      <w:r>
        <w:rPr>
          <w:lang w:val="en-US"/>
        </w:rPr>
        <w:t>). In such a case, according to Saḥnūn, “her mother has no right to object” (</w:t>
      </w:r>
      <w:r>
        <w:rPr>
          <w:i/>
          <w:iCs/>
          <w:lang w:val="en-US"/>
        </w:rPr>
        <w:t>lā qawl li-ummihā</w:t>
      </w:r>
      <w:r>
        <w:rPr>
          <w:lang w:val="en-US"/>
        </w:rPr>
        <w:t>).</w:t>
      </w:r>
    </w:p>
    <w:p w14:paraId="5FB14DC9" w14:textId="77777777" w:rsidR="00000000" w:rsidRDefault="00436F74">
      <w:pPr>
        <w:spacing w:line="360" w:lineRule="auto"/>
        <w:ind w:firstLine="567"/>
        <w:jc w:val="both"/>
        <w:rPr>
          <w:lang w:val="en-US"/>
        </w:rPr>
      </w:pPr>
      <w:r>
        <w:rPr>
          <w:lang w:val="en-US"/>
        </w:rPr>
        <w:t xml:space="preserve">The </w:t>
      </w:r>
      <w:r>
        <w:rPr>
          <w:i/>
          <w:iCs/>
          <w:lang w:val="en-US"/>
        </w:rPr>
        <w:t>nawāzil</w:t>
      </w:r>
      <w:r>
        <w:rPr>
          <w:lang w:val="en-US"/>
        </w:rPr>
        <w:t xml:space="preserve"> collections enable us to discern similar patterns of subordination concerning the </w:t>
      </w:r>
      <w:r>
        <w:rPr>
          <w:i/>
          <w:iCs/>
          <w:lang w:val="en-US"/>
        </w:rPr>
        <w:t>ḥarāthīn</w:t>
      </w:r>
      <w:r>
        <w:rPr>
          <w:lang w:val="en-US"/>
        </w:rPr>
        <w:t xml:space="preserve"> </w:t>
      </w:r>
      <w:r>
        <w:rPr>
          <w:lang w:val="en-US"/>
        </w:rPr>
        <w:t xml:space="preserve">population, with the difference that interaction primarily occurred outside the household. A </w:t>
      </w:r>
      <w:r>
        <w:rPr>
          <w:i/>
          <w:iCs/>
          <w:lang w:val="en-US"/>
        </w:rPr>
        <w:t>fatwā</w:t>
      </w:r>
      <w:r>
        <w:rPr>
          <w:lang w:val="en-US"/>
        </w:rPr>
        <w:t xml:space="preserve"> issued by the eighteenth-century scholar from the oasis of Zaglou, Muḥammad al-ʿĀlim al-Zajlāwī, may illustrate this point. al-Zajlāwī discusses the case of </w:t>
      </w:r>
      <w:r>
        <w:rPr>
          <w:lang w:val="en-US"/>
        </w:rPr>
        <w:t xml:space="preserve">a </w:t>
      </w:r>
      <w:r>
        <w:rPr>
          <w:i/>
          <w:iCs/>
          <w:lang w:val="en-US"/>
        </w:rPr>
        <w:t>ḥarthānī</w:t>
      </w:r>
      <w:r>
        <w:rPr>
          <w:lang w:val="en-US"/>
        </w:rPr>
        <w:t xml:space="preserve"> man who, unable to repay his debts, is compelled to perform agricultural work for his creditors. Again, the </w:t>
      </w:r>
      <w:r>
        <w:rPr>
          <w:i/>
          <w:iCs/>
          <w:lang w:val="en-US"/>
        </w:rPr>
        <w:t>muftī</w:t>
      </w:r>
      <w:r>
        <w:rPr>
          <w:lang w:val="en-US"/>
        </w:rPr>
        <w:t xml:space="preserve"> sanctions local practice: </w:t>
      </w:r>
    </w:p>
    <w:p w14:paraId="300212C1" w14:textId="77777777" w:rsidR="00000000" w:rsidRDefault="00436F74">
      <w:pPr>
        <w:spacing w:line="360" w:lineRule="auto"/>
        <w:ind w:firstLine="567"/>
        <w:jc w:val="both"/>
        <w:rPr>
          <w:lang w:val="en-US"/>
        </w:rPr>
      </w:pPr>
    </w:p>
    <w:p w14:paraId="5A963DD2" w14:textId="77777777" w:rsidR="00000000" w:rsidRDefault="00436F74">
      <w:pPr>
        <w:spacing w:line="360" w:lineRule="auto"/>
        <w:ind w:left="567"/>
        <w:jc w:val="both"/>
        <w:rPr>
          <w:lang w:val="en-US"/>
        </w:rPr>
      </w:pPr>
      <w:r>
        <w:rPr>
          <w:lang w:val="en-US"/>
        </w:rPr>
        <w:t xml:space="preserve">“Indeed, labor is obligatory for him because it is the only way they [the </w:t>
      </w:r>
      <w:r>
        <w:rPr>
          <w:i/>
          <w:iCs/>
          <w:lang w:val="en-US"/>
        </w:rPr>
        <w:t>ḥarāthīn</w:t>
      </w:r>
      <w:r>
        <w:rPr>
          <w:lang w:val="en-US"/>
        </w:rPr>
        <w:t xml:space="preserve">] may participate in </w:t>
      </w:r>
      <w:r>
        <w:rPr>
          <w:lang w:val="en-US"/>
        </w:rPr>
        <w:t>commercial transactions in our country. Nobody would do business with them if they did not have their labor to sell. They would become a burden for the Muslim community.”</w:t>
      </w:r>
      <w:r>
        <w:rPr>
          <w:rStyle w:val="FootnoteReference"/>
          <w:lang w:val="en-US"/>
        </w:rPr>
        <w:footnoteReference w:id="71"/>
      </w:r>
      <w:r>
        <w:rPr>
          <w:lang w:val="en-US"/>
        </w:rPr>
        <w:t xml:space="preserve"> </w:t>
      </w:r>
    </w:p>
    <w:p w14:paraId="50CE749C" w14:textId="77777777" w:rsidR="00000000" w:rsidRDefault="00436F74">
      <w:pPr>
        <w:spacing w:line="360" w:lineRule="auto"/>
        <w:ind w:firstLine="567"/>
        <w:jc w:val="both"/>
        <w:rPr>
          <w:lang w:val="en-US"/>
        </w:rPr>
      </w:pPr>
    </w:p>
    <w:p w14:paraId="1B5C5DEA" w14:textId="77777777" w:rsidR="00000000" w:rsidRDefault="00436F74">
      <w:pPr>
        <w:spacing w:line="360" w:lineRule="auto"/>
        <w:jc w:val="both"/>
        <w:rPr>
          <w:lang w:val="en-US"/>
        </w:rPr>
      </w:pPr>
      <w:r>
        <w:rPr>
          <w:lang w:val="en-US"/>
        </w:rPr>
        <w:t xml:space="preserve">The mobilization of </w:t>
      </w:r>
      <w:r>
        <w:rPr>
          <w:i/>
          <w:iCs/>
          <w:lang w:val="en-US"/>
        </w:rPr>
        <w:t>ḥarthānī</w:t>
      </w:r>
      <w:r>
        <w:rPr>
          <w:lang w:val="en-US"/>
        </w:rPr>
        <w:t xml:space="preserve"> labor in the agricultural sector relied on the widesp</w:t>
      </w:r>
      <w:r>
        <w:rPr>
          <w:lang w:val="en-US"/>
        </w:rPr>
        <w:t xml:space="preserve">read use of sharecropping agreements, most notably the local version of the North African </w:t>
      </w:r>
      <w:r>
        <w:rPr>
          <w:i/>
          <w:iCs/>
          <w:lang w:val="en-US"/>
        </w:rPr>
        <w:t>khammāsa</w:t>
      </w:r>
      <w:r>
        <w:rPr>
          <w:lang w:val="en-US"/>
        </w:rPr>
        <w:t xml:space="preserve"> contract.</w:t>
      </w:r>
      <w:r>
        <w:rPr>
          <w:rStyle w:val="FootnoteReference"/>
          <w:lang w:val="en-US"/>
        </w:rPr>
        <w:footnoteReference w:id="72"/>
      </w:r>
      <w:r>
        <w:rPr>
          <w:lang w:val="en-US"/>
        </w:rPr>
        <w:t xml:space="preserve"> As the contract’s name indicates, the sharecropper (</w:t>
      </w:r>
      <w:r>
        <w:rPr>
          <w:i/>
          <w:iCs/>
          <w:lang w:val="en-US"/>
        </w:rPr>
        <w:t>khammās</w:t>
      </w:r>
      <w:r>
        <w:rPr>
          <w:lang w:val="en-US"/>
        </w:rPr>
        <w:t>) was formally supposed to receive one-fifth of the crops from the property owner in ex</w:t>
      </w:r>
      <w:r>
        <w:rPr>
          <w:lang w:val="en-US"/>
        </w:rPr>
        <w:t xml:space="preserve">change for his work. In practice, however, the </w:t>
      </w:r>
      <w:r>
        <w:rPr>
          <w:i/>
          <w:iCs/>
          <w:lang w:val="en-US"/>
        </w:rPr>
        <w:t>khammāsa</w:t>
      </w:r>
      <w:r>
        <w:rPr>
          <w:lang w:val="en-US"/>
        </w:rPr>
        <w:t xml:space="preserve"> was a generic term that referred to a much more complex institution, perpetuating dependency relations between landowning and sharecropping groups across generations. Its details could vary from regio</w:t>
      </w:r>
      <w:r>
        <w:rPr>
          <w:lang w:val="en-US"/>
        </w:rPr>
        <w:t xml:space="preserve">n to region, combining </w:t>
      </w:r>
      <w:r>
        <w:rPr>
          <w:i/>
          <w:iCs/>
          <w:lang w:val="en-US"/>
        </w:rPr>
        <w:t>fiqh</w:t>
      </w:r>
      <w:r>
        <w:rPr>
          <w:lang w:val="en-US"/>
        </w:rPr>
        <w:t xml:space="preserve"> elements and customary norms.</w:t>
      </w:r>
      <w:r>
        <w:rPr>
          <w:rStyle w:val="FootnoteReference"/>
          <w:lang w:val="en-US"/>
        </w:rPr>
        <w:footnoteReference w:id="73"/>
      </w:r>
      <w:r>
        <w:rPr>
          <w:lang w:val="en-US"/>
        </w:rPr>
        <w:t xml:space="preserve"> In Tuwāt, the </w:t>
      </w:r>
      <w:r>
        <w:rPr>
          <w:i/>
          <w:iCs/>
          <w:lang w:val="en-US"/>
        </w:rPr>
        <w:t>khammāsa</w:t>
      </w:r>
      <w:r>
        <w:rPr>
          <w:lang w:val="en-US"/>
        </w:rPr>
        <w:t xml:space="preserve"> was not only the principal tool for employing the </w:t>
      </w:r>
      <w:r>
        <w:rPr>
          <w:i/>
          <w:iCs/>
          <w:lang w:val="en-US"/>
        </w:rPr>
        <w:t>ḥarāthīn</w:t>
      </w:r>
      <w:r>
        <w:rPr>
          <w:lang w:val="en-US"/>
        </w:rPr>
        <w:t xml:space="preserve">, but also a means of maintaining tight and constant pressure over them. </w:t>
      </w:r>
    </w:p>
    <w:p w14:paraId="418B9A4C" w14:textId="77777777" w:rsidR="00000000" w:rsidRDefault="00436F74">
      <w:pPr>
        <w:spacing w:before="240" w:after="120" w:line="360" w:lineRule="auto"/>
        <w:jc w:val="both"/>
        <w:rPr>
          <w:b/>
          <w:bCs/>
          <w:lang w:val="en-US"/>
        </w:rPr>
      </w:pPr>
      <w:r>
        <w:rPr>
          <w:b/>
          <w:bCs/>
          <w:lang w:val="en-US"/>
        </w:rPr>
        <w:t xml:space="preserve"> “Because of their Vicious Way of Living”</w:t>
      </w:r>
    </w:p>
    <w:p w14:paraId="23AB299B" w14:textId="77777777" w:rsidR="00000000" w:rsidRDefault="00436F74">
      <w:pPr>
        <w:spacing w:line="360" w:lineRule="auto"/>
        <w:jc w:val="both"/>
        <w:rPr>
          <w:lang w:val="en-US"/>
        </w:rPr>
      </w:pPr>
      <w:r>
        <w:rPr>
          <w:lang w:val="en-US"/>
        </w:rPr>
        <w:t xml:space="preserve">In the </w:t>
      </w:r>
      <w:r>
        <w:rPr>
          <w:i/>
          <w:iCs/>
          <w:lang w:val="en-US"/>
        </w:rPr>
        <w:t>Ghunya</w:t>
      </w:r>
      <w:r>
        <w:rPr>
          <w:lang w:val="en-US"/>
        </w:rPr>
        <w:t xml:space="preserve"> collection, we learn about the “custom and usage (</w:t>
      </w:r>
      <w:r>
        <w:rPr>
          <w:i/>
          <w:iCs/>
          <w:lang w:val="en-US"/>
        </w:rPr>
        <w:t>al-ʿurf wa-l-ʿāda</w:t>
      </w:r>
      <w:r>
        <w:rPr>
          <w:lang w:val="en-US"/>
        </w:rPr>
        <w:t xml:space="preserve">) prevailing in this country” which obliges sharecroppers indebted to their landowners to remain under the </w:t>
      </w:r>
      <w:r>
        <w:rPr>
          <w:i/>
          <w:iCs/>
          <w:lang w:val="en-US"/>
        </w:rPr>
        <w:t>khammāsa</w:t>
      </w:r>
      <w:r>
        <w:rPr>
          <w:lang w:val="en-US"/>
        </w:rPr>
        <w:t xml:space="preserve"> contract until their debts are repaid.</w:t>
      </w:r>
      <w:r>
        <w:rPr>
          <w:rStyle w:val="FootnoteReference"/>
          <w:lang w:val="en-US"/>
        </w:rPr>
        <w:footnoteReference w:id="74"/>
      </w:r>
      <w:r>
        <w:rPr>
          <w:lang w:val="en-US"/>
        </w:rPr>
        <w:t xml:space="preserve"> The practice is not</w:t>
      </w:r>
      <w:r>
        <w:rPr>
          <w:lang w:val="en-US"/>
        </w:rPr>
        <w:t xml:space="preserve"> surprising: anthropological and sociological research conducted in various North African contexts has </w:t>
      </w:r>
      <w:r>
        <w:rPr>
          <w:lang w:val="en-US"/>
        </w:rPr>
        <w:lastRenderedPageBreak/>
        <w:t xml:space="preserve">emphasized the critical role of credit in transforming the </w:t>
      </w:r>
      <w:r>
        <w:rPr>
          <w:i/>
          <w:iCs/>
          <w:lang w:val="en-US"/>
        </w:rPr>
        <w:t>khammāsa</w:t>
      </w:r>
      <w:r>
        <w:rPr>
          <w:lang w:val="en-US"/>
        </w:rPr>
        <w:t xml:space="preserve"> and other tenancy agreements into powerful tools for establishing and sustaining soci</w:t>
      </w:r>
      <w:r>
        <w:rPr>
          <w:lang w:val="en-US"/>
        </w:rPr>
        <w:t>al dependencies.</w:t>
      </w:r>
      <w:r>
        <w:rPr>
          <w:rStyle w:val="FootnoteReference"/>
          <w:lang w:val="en-US"/>
        </w:rPr>
        <w:footnoteReference w:id="75"/>
      </w:r>
      <w:r>
        <w:rPr>
          <w:lang w:val="en-US"/>
        </w:rPr>
        <w:t xml:space="preserve"> In fact, it was highly improbable for sharecroppers to liberate themselves from such contracted debts. As a result, clientelist relationships developed and endured across generations. For Tuwāt, Scheele’s observes that “debts […] pervaded</w:t>
      </w:r>
      <w:r>
        <w:rPr>
          <w:lang w:val="en-US"/>
        </w:rPr>
        <w:t xml:space="preserve"> all aspects of oasis life, and bound even the smallest farmer or </w:t>
      </w:r>
      <w:r>
        <w:rPr>
          <w:i/>
          <w:iCs/>
          <w:lang w:val="en-US"/>
        </w:rPr>
        <w:t>khammas</w:t>
      </w:r>
      <w:r>
        <w:rPr>
          <w:lang w:val="en-US"/>
        </w:rPr>
        <w:t xml:space="preserve"> [sic] into monetary relations that circumscribed him firmly within regional patterns of interdependency and exchange.”</w:t>
      </w:r>
      <w:r>
        <w:rPr>
          <w:rStyle w:val="FootnoteReference"/>
          <w:lang w:val="en-US"/>
        </w:rPr>
        <w:footnoteReference w:id="76"/>
      </w:r>
      <w:r>
        <w:rPr>
          <w:lang w:val="en-US"/>
        </w:rPr>
        <w:t xml:space="preserve"> From this perspective, the mentioned case in the </w:t>
      </w:r>
      <w:r>
        <w:rPr>
          <w:i/>
          <w:iCs/>
          <w:lang w:val="en-US"/>
        </w:rPr>
        <w:t>Ghunya</w:t>
      </w:r>
      <w:r>
        <w:rPr>
          <w:lang w:val="en-US"/>
        </w:rPr>
        <w:t xml:space="preserve"> warran</w:t>
      </w:r>
      <w:r>
        <w:rPr>
          <w:lang w:val="en-US"/>
        </w:rPr>
        <w:t>ts further comments. It addresses the “legal problem of interaction between the owner of a palm-garden and the sharecropper” (</w:t>
      </w:r>
      <w:r>
        <w:rPr>
          <w:i/>
          <w:iCs/>
          <w:lang w:val="en-US"/>
        </w:rPr>
        <w:t>mas</w:t>
      </w:r>
      <w:r>
        <w:rPr>
          <w:lang w:val="en-US"/>
        </w:rPr>
        <w:t>ʾ</w:t>
      </w:r>
      <w:r>
        <w:rPr>
          <w:i/>
          <w:iCs/>
          <w:lang w:val="en-US"/>
        </w:rPr>
        <w:t>alat mu</w:t>
      </w:r>
      <w:r>
        <w:rPr>
          <w:lang w:val="en-US"/>
        </w:rPr>
        <w:t>ʿ</w:t>
      </w:r>
      <w:r>
        <w:rPr>
          <w:i/>
          <w:iCs/>
          <w:lang w:val="en-US"/>
        </w:rPr>
        <w:t>āmalat rabb al-janān wa-khammās</w:t>
      </w:r>
      <w:r>
        <w:rPr>
          <w:lang w:val="en-US"/>
        </w:rPr>
        <w:t>), thus categorizing it as “an issue that has arisen out of a history of debate and may still be debated, if there are willing adversaries,” as Bernard Weiss defines the term</w:t>
      </w:r>
      <w:r>
        <w:rPr>
          <w:i/>
          <w:iCs/>
          <w:lang w:val="en-US"/>
        </w:rPr>
        <w:t xml:space="preserve"> mas</w:t>
      </w:r>
      <w:r>
        <w:rPr>
          <w:lang w:val="en-US"/>
        </w:rPr>
        <w:t>ʾ</w:t>
      </w:r>
      <w:r>
        <w:rPr>
          <w:i/>
          <w:iCs/>
          <w:lang w:val="en-US"/>
        </w:rPr>
        <w:t>ala</w:t>
      </w:r>
      <w:r>
        <w:rPr>
          <w:lang w:val="en-US"/>
        </w:rPr>
        <w:t>.</w:t>
      </w:r>
      <w:r>
        <w:rPr>
          <w:rStyle w:val="FootnoteReference"/>
          <w:lang w:val="en-US"/>
        </w:rPr>
        <w:footnoteReference w:id="77"/>
      </w:r>
      <w:r>
        <w:rPr>
          <w:lang w:val="en-US"/>
        </w:rPr>
        <w:t xml:space="preserve"> In other words, Tuwāt’s scholar</w:t>
      </w:r>
      <w:r>
        <w:rPr>
          <w:lang w:val="en-US"/>
        </w:rPr>
        <w:t xml:space="preserve">ly community held differing opinions on the subject. </w:t>
      </w:r>
    </w:p>
    <w:p w14:paraId="7867EA89" w14:textId="77777777" w:rsidR="00000000" w:rsidRDefault="00436F74">
      <w:pPr>
        <w:spacing w:line="360" w:lineRule="auto"/>
        <w:ind w:firstLine="567"/>
        <w:jc w:val="both"/>
        <w:rPr>
          <w:lang w:val="en-US"/>
        </w:rPr>
      </w:pPr>
      <w:r>
        <w:rPr>
          <w:lang w:val="en-US"/>
        </w:rPr>
        <w:t xml:space="preserve">Unfortunately, the </w:t>
      </w:r>
      <w:r>
        <w:rPr>
          <w:i/>
          <w:iCs/>
          <w:lang w:val="en-US"/>
        </w:rPr>
        <w:t>istiftā</w:t>
      </w:r>
      <w:r>
        <w:rPr>
          <w:lang w:val="en-US"/>
        </w:rPr>
        <w:t xml:space="preserve">ʾ offers limited information on how the debate emerged. A specific local conflict may well have been the reason, as the </w:t>
      </w:r>
      <w:r>
        <w:rPr>
          <w:i/>
          <w:iCs/>
          <w:lang w:val="en-US"/>
        </w:rPr>
        <w:t>istiftā</w:t>
      </w:r>
      <w:r>
        <w:rPr>
          <w:lang w:val="en-US"/>
        </w:rPr>
        <w:t>ʾ begins by mentioning “a man who has become anot</w:t>
      </w:r>
      <w:r>
        <w:rPr>
          <w:lang w:val="en-US"/>
        </w:rPr>
        <w:t xml:space="preserve">her man’s </w:t>
      </w:r>
      <w:r>
        <w:rPr>
          <w:i/>
          <w:iCs/>
          <w:lang w:val="en-US"/>
        </w:rPr>
        <w:t xml:space="preserve">khammās </w:t>
      </w:r>
      <w:r>
        <w:rPr>
          <w:lang w:val="en-US"/>
        </w:rPr>
        <w:t>and close companion (</w:t>
      </w:r>
      <w:r>
        <w:rPr>
          <w:i/>
          <w:iCs/>
          <w:lang w:val="en-US"/>
        </w:rPr>
        <w:t>wa-khāla</w:t>
      </w:r>
      <w:r>
        <w:rPr>
          <w:rStyle w:val="st"/>
          <w:rFonts w:eastAsia="Yu Gothic Light"/>
          <w:i/>
          <w:iCs/>
          <w:lang w:val="en-US"/>
        </w:rPr>
        <w:t>ṭ</w:t>
      </w:r>
      <w:r>
        <w:rPr>
          <w:i/>
          <w:iCs/>
          <w:lang w:val="en-US"/>
        </w:rPr>
        <w:t>a bi-mukhāla</w:t>
      </w:r>
      <w:r>
        <w:rPr>
          <w:rStyle w:val="st"/>
          <w:rFonts w:eastAsia="Yu Gothic Light"/>
          <w:i/>
          <w:iCs/>
          <w:lang w:val="en-US"/>
        </w:rPr>
        <w:t>ṭ</w:t>
      </w:r>
      <w:r>
        <w:rPr>
          <w:i/>
          <w:iCs/>
          <w:lang w:val="en-US"/>
        </w:rPr>
        <w:t>a</w:t>
      </w:r>
      <w:r>
        <w:rPr>
          <w:lang w:val="en-US"/>
        </w:rPr>
        <w:t>)”</w:t>
      </w:r>
      <w:r>
        <w:rPr>
          <w:rStyle w:val="FootnoteReference"/>
          <w:lang w:val="en-US"/>
        </w:rPr>
        <w:footnoteReference w:id="78"/>
      </w:r>
      <w:r>
        <w:rPr>
          <w:lang w:val="en-US"/>
        </w:rPr>
        <w:t xml:space="preserve">, but this could also serve as a suitable, fictitious entry for discussing legal theory in the casuistic style of Mālikī </w:t>
      </w:r>
      <w:r>
        <w:rPr>
          <w:i/>
          <w:iCs/>
          <w:lang w:val="en-US"/>
        </w:rPr>
        <w:t>fatwā</w:t>
      </w:r>
      <w:r>
        <w:rPr>
          <w:lang w:val="en-US"/>
        </w:rPr>
        <w:t>s collections. Furthermore, the questioner’s identity remains unk</w:t>
      </w:r>
      <w:r>
        <w:rPr>
          <w:lang w:val="en-US"/>
        </w:rPr>
        <w:t xml:space="preserve">nown. Be this as it may, the compiler records the responses of two jurists who were both prominent figures in the local scholarly milieu. First, he quotes </w:t>
      </w:r>
      <w:r>
        <w:rPr>
          <w:i/>
          <w:iCs/>
          <w:color w:val="0E101A"/>
          <w:lang w:val="en-US"/>
        </w:rPr>
        <w:t>qā</w:t>
      </w:r>
      <w:r>
        <w:rPr>
          <w:i/>
          <w:iCs/>
          <w:lang w:val="en-US"/>
        </w:rPr>
        <w:t>ḍ</w:t>
      </w:r>
      <w:r>
        <w:rPr>
          <w:i/>
          <w:iCs/>
          <w:color w:val="0E101A"/>
          <w:lang w:val="en-US"/>
        </w:rPr>
        <w:t>ī al-jamā</w:t>
      </w:r>
      <w:r>
        <w:rPr>
          <w:lang w:val="en-US"/>
        </w:rPr>
        <w:t>ʿ</w:t>
      </w:r>
      <w:r>
        <w:rPr>
          <w:i/>
          <w:iCs/>
          <w:color w:val="0E101A"/>
          <w:lang w:val="en-US"/>
        </w:rPr>
        <w:t>a</w:t>
      </w:r>
      <w:r>
        <w:rPr>
          <w:lang w:val="en-US"/>
        </w:rPr>
        <w:t xml:space="preserve"> ʿAbd al-Ḥaqq al-Bakrī. For the </w:t>
      </w:r>
      <w:r>
        <w:rPr>
          <w:i/>
          <w:iCs/>
          <w:color w:val="0E101A"/>
          <w:lang w:val="en-US"/>
        </w:rPr>
        <w:t>qā</w:t>
      </w:r>
      <w:r>
        <w:rPr>
          <w:i/>
          <w:iCs/>
          <w:lang w:val="en-US"/>
        </w:rPr>
        <w:t>ḍ</w:t>
      </w:r>
      <w:r>
        <w:rPr>
          <w:i/>
          <w:iCs/>
          <w:color w:val="0E101A"/>
          <w:lang w:val="en-US"/>
        </w:rPr>
        <w:t>ī</w:t>
      </w:r>
      <w:r>
        <w:rPr>
          <w:lang w:val="en-US"/>
        </w:rPr>
        <w:t>, the matter is clear: “Considering that custom and</w:t>
      </w:r>
      <w:r>
        <w:rPr>
          <w:lang w:val="en-US"/>
        </w:rPr>
        <w:t xml:space="preserve"> usage operate as you have recounted, they must be endorsed and relied upon (</w:t>
      </w:r>
      <w:r>
        <w:rPr>
          <w:i/>
          <w:iCs/>
          <w:lang w:val="en-US"/>
        </w:rPr>
        <w:t xml:space="preserve">yuḥkam bihi wa-yuʾawwal </w:t>
      </w:r>
      <w:r>
        <w:rPr>
          <w:lang w:val="en-US"/>
        </w:rPr>
        <w:t>ʿ</w:t>
      </w:r>
      <w:r>
        <w:rPr>
          <w:i/>
          <w:iCs/>
          <w:lang w:val="en-US"/>
        </w:rPr>
        <w:t>alayhi</w:t>
      </w:r>
      <w:r>
        <w:rPr>
          <w:lang w:val="en-US"/>
        </w:rPr>
        <w:t>). Moreover, indebted individuals only take the exceeding amount [of their share] after the palm garden’s owner debt has become due, as is customary</w:t>
      </w:r>
      <w:r>
        <w:rPr>
          <w:lang w:val="en-US"/>
        </w:rPr>
        <w:t>.”</w:t>
      </w:r>
      <w:r>
        <w:rPr>
          <w:rStyle w:val="FootnoteReference"/>
          <w:lang w:val="en-US"/>
        </w:rPr>
        <w:footnoteReference w:id="79"/>
      </w:r>
      <w:r>
        <w:rPr>
          <w:lang w:val="en-US"/>
        </w:rPr>
        <w:t xml:space="preserve"> </w:t>
      </w:r>
    </w:p>
    <w:p w14:paraId="459D71B2" w14:textId="77777777" w:rsidR="00000000" w:rsidRDefault="00436F74">
      <w:pPr>
        <w:spacing w:line="360" w:lineRule="auto"/>
        <w:ind w:firstLine="567"/>
        <w:jc w:val="both"/>
        <w:rPr>
          <w:rtl/>
          <w:lang w:val="en-US"/>
        </w:rPr>
      </w:pPr>
      <w:r>
        <w:rPr>
          <w:lang w:val="en-US"/>
        </w:rPr>
        <w:t>The second jurist, ʿAbd al-Raḥmān b. ʿUmar al-Tinilānī, disputes this view.</w:t>
      </w:r>
      <w:r>
        <w:rPr>
          <w:rStyle w:val="FootnoteReference"/>
          <w:lang w:val="en-US"/>
        </w:rPr>
        <w:footnoteReference w:id="80"/>
      </w:r>
      <w:r>
        <w:rPr>
          <w:lang w:val="en-US"/>
        </w:rPr>
        <w:t xml:space="preserve"> He denies any compelling normative force to the custom, as it contradicts the “apparent meaning of the noble Quran” (</w:t>
      </w:r>
      <w:r>
        <w:rPr>
          <w:i/>
          <w:iCs/>
          <w:lang w:val="en-US"/>
        </w:rPr>
        <w:t>li-</w:t>
      </w:r>
      <w:r>
        <w:rPr>
          <w:rStyle w:val="st"/>
          <w:rFonts w:eastAsia="Yu Gothic Light"/>
          <w:i/>
          <w:iCs/>
          <w:lang w:val="en-US"/>
        </w:rPr>
        <w:t>ẓ</w:t>
      </w:r>
      <w:r>
        <w:rPr>
          <w:i/>
          <w:iCs/>
          <w:lang w:val="en-US"/>
        </w:rPr>
        <w:t>āhir al-qur</w:t>
      </w:r>
      <w:r>
        <w:rPr>
          <w:lang w:val="en-US"/>
        </w:rPr>
        <w:t>ʾ</w:t>
      </w:r>
      <w:r>
        <w:rPr>
          <w:i/>
          <w:iCs/>
          <w:lang w:val="en-US"/>
        </w:rPr>
        <w:t>ān al-karīm</w:t>
      </w:r>
      <w:r>
        <w:rPr>
          <w:lang w:val="en-US"/>
        </w:rPr>
        <w:t>), citing Sura 2 verse 280, wh</w:t>
      </w:r>
      <w:r>
        <w:rPr>
          <w:lang w:val="en-US"/>
        </w:rPr>
        <w:t>ich calls for a lenient attitude towards indebted individuals. al-Tinilānī further explains that the “custom results in maintaining the debtor in a state of perpetual indebtedness, and there is no authoritative statement to support this.” Additionally, the</w:t>
      </w:r>
      <w:r>
        <w:rPr>
          <w:lang w:val="en-US"/>
        </w:rPr>
        <w:t xml:space="preserve"> </w:t>
      </w:r>
      <w:r>
        <w:rPr>
          <w:i/>
          <w:iCs/>
          <w:lang w:val="en-US"/>
        </w:rPr>
        <w:t>muftī</w:t>
      </w:r>
      <w:r>
        <w:rPr>
          <w:lang w:val="en-US"/>
        </w:rPr>
        <w:t xml:space="preserve"> contends that the disagreement only </w:t>
      </w:r>
      <w:r>
        <w:rPr>
          <w:lang w:val="en-US"/>
        </w:rPr>
        <w:lastRenderedPageBreak/>
        <w:t>pertains to the categorization of the sharecropper’s lease (</w:t>
      </w:r>
      <w:r>
        <w:rPr>
          <w:i/>
          <w:iCs/>
          <w:lang w:val="en-US"/>
        </w:rPr>
        <w:t>istījārihi</w:t>
      </w:r>
      <w:r>
        <w:rPr>
          <w:lang w:val="en-US"/>
        </w:rPr>
        <w:t>) and the companionship (</w:t>
      </w:r>
      <w:r>
        <w:rPr>
          <w:i/>
          <w:iCs/>
          <w:lang w:val="en-US"/>
        </w:rPr>
        <w:t>mulāzama</w:t>
      </w:r>
      <w:r>
        <w:rPr>
          <w:lang w:val="en-US"/>
        </w:rPr>
        <w:t>)</w:t>
      </w:r>
      <w:r>
        <w:rPr>
          <w:rStyle w:val="FootnoteReference"/>
          <w:lang w:val="en-US"/>
        </w:rPr>
        <w:footnoteReference w:id="81"/>
      </w:r>
      <w:r>
        <w:rPr>
          <w:lang w:val="en-US"/>
        </w:rPr>
        <w:t xml:space="preserve"> tying him </w:t>
      </w:r>
      <w:r>
        <w:rPr>
          <w:rFonts w:eastAsia="Calibri"/>
          <w:lang w:val="en-US"/>
        </w:rPr>
        <w:t>to the landowner</w:t>
      </w:r>
      <w:r>
        <w:rPr>
          <w:lang w:val="en-US"/>
        </w:rPr>
        <w:t>. The authoritative position within the Mālikī school (</w:t>
      </w:r>
      <w:r>
        <w:rPr>
          <w:i/>
          <w:iCs/>
          <w:lang w:val="en-US"/>
        </w:rPr>
        <w:t>al-mashhūr</w:t>
      </w:r>
      <w:r>
        <w:rPr>
          <w:lang w:val="en-US"/>
        </w:rPr>
        <w:t>) rejects the fo</w:t>
      </w:r>
      <w:r>
        <w:rPr>
          <w:lang w:val="en-US"/>
        </w:rPr>
        <w:t>rmer as a valid legal institution, and agreement (</w:t>
      </w:r>
      <w:r>
        <w:rPr>
          <w:i/>
          <w:iCs/>
          <w:lang w:val="en-US"/>
        </w:rPr>
        <w:t>ittifāq</w:t>
      </w:r>
      <w:r>
        <w:rPr>
          <w:lang w:val="en-US"/>
        </w:rPr>
        <w:t xml:space="preserve">) exists to adopt the same position in the case of the </w:t>
      </w:r>
      <w:r>
        <w:rPr>
          <w:i/>
          <w:iCs/>
          <w:lang w:val="en-US"/>
        </w:rPr>
        <w:t>mulāzama</w:t>
      </w:r>
      <w:r>
        <w:rPr>
          <w:lang w:val="en-US"/>
        </w:rPr>
        <w:t xml:space="preserve">. In any case, the </w:t>
      </w:r>
      <w:r>
        <w:rPr>
          <w:i/>
          <w:iCs/>
          <w:lang w:val="en-US"/>
        </w:rPr>
        <w:t>qāḍī</w:t>
      </w:r>
      <w:r>
        <w:rPr>
          <w:lang w:val="en-US"/>
        </w:rPr>
        <w:t>’s initial answer “does not align with the question” (</w:t>
      </w:r>
      <w:r>
        <w:rPr>
          <w:i/>
          <w:iCs/>
          <w:lang w:val="en-US"/>
        </w:rPr>
        <w:t>bi-ghayr muṭābaq al-suʾāl</w:t>
      </w:r>
      <w:r>
        <w:rPr>
          <w:lang w:val="en-US"/>
        </w:rPr>
        <w:t>).</w:t>
      </w:r>
      <w:r>
        <w:rPr>
          <w:rStyle w:val="FootnoteReference"/>
          <w:lang w:val="en-US"/>
        </w:rPr>
        <w:footnoteReference w:id="82"/>
      </w:r>
    </w:p>
    <w:p w14:paraId="441F911B" w14:textId="77777777" w:rsidR="00000000" w:rsidRDefault="00436F74">
      <w:pPr>
        <w:spacing w:line="360" w:lineRule="auto"/>
        <w:ind w:firstLine="567"/>
        <w:jc w:val="both"/>
        <w:rPr>
          <w:lang w:val="en-US"/>
        </w:rPr>
      </w:pPr>
      <w:r>
        <w:rPr>
          <w:lang w:val="en-US"/>
        </w:rPr>
        <w:t xml:space="preserve">al-Tinilānī’s critique of the </w:t>
      </w:r>
      <w:r>
        <w:rPr>
          <w:lang w:val="en-US"/>
        </w:rPr>
        <w:t xml:space="preserve">local custom recalls the controversies among Māliki jurists concerning the status of the </w:t>
      </w:r>
      <w:r>
        <w:rPr>
          <w:i/>
          <w:iCs/>
          <w:lang w:val="en-US"/>
        </w:rPr>
        <w:t>khammāsa</w:t>
      </w:r>
      <w:r>
        <w:rPr>
          <w:lang w:val="en-US"/>
        </w:rPr>
        <w:t xml:space="preserve"> contract.</w:t>
      </w:r>
      <w:r>
        <w:rPr>
          <w:rStyle w:val="FootnoteReference"/>
          <w:lang w:val="en-US"/>
        </w:rPr>
        <w:footnoteReference w:id="83"/>
      </w:r>
      <w:r>
        <w:rPr>
          <w:lang w:val="en-US"/>
        </w:rPr>
        <w:t xml:space="preserve"> The </w:t>
      </w:r>
      <w:r>
        <w:rPr>
          <w:i/>
          <w:iCs/>
          <w:lang w:val="en-US"/>
        </w:rPr>
        <w:t>khammāsa</w:t>
      </w:r>
      <w:r>
        <w:rPr>
          <w:lang w:val="en-US"/>
        </w:rPr>
        <w:t xml:space="preserve"> violated several fundamental principles of Islamic contract law, most notably the obligatory definition of costs and benefits for each</w:t>
      </w:r>
      <w:r>
        <w:rPr>
          <w:lang w:val="en-US"/>
        </w:rPr>
        <w:t xml:space="preserve"> party when concluding the transaction, as the exact amount of the one-fifth the sharecropper was to receive from the crop could only be estimated. The various customary regulations to which the notion of “companionship” alludes were a further source of co</w:t>
      </w:r>
      <w:r>
        <w:rPr>
          <w:lang w:val="en-US"/>
        </w:rPr>
        <w:t xml:space="preserve">ncern for the jurists. On the other hand, the </w:t>
      </w:r>
      <w:r>
        <w:rPr>
          <w:i/>
          <w:iCs/>
          <w:lang w:val="en-US"/>
        </w:rPr>
        <w:t>qāḍī</w:t>
      </w:r>
      <w:r>
        <w:rPr>
          <w:lang w:val="en-US"/>
        </w:rPr>
        <w:t xml:space="preserve">’s endorsement of the practice reflects the pragmatic approach adopted by many Mālikī jurists, who accepted the </w:t>
      </w:r>
      <w:r>
        <w:rPr>
          <w:i/>
          <w:iCs/>
          <w:lang w:val="en-US"/>
        </w:rPr>
        <w:t>khammāsa</w:t>
      </w:r>
      <w:r>
        <w:rPr>
          <w:lang w:val="en-US"/>
        </w:rPr>
        <w:t xml:space="preserve"> as a societal necessity despite its legal shortcomings. </w:t>
      </w:r>
    </w:p>
    <w:p w14:paraId="0A0E91AD" w14:textId="77777777" w:rsidR="00000000" w:rsidRDefault="00436F74">
      <w:pPr>
        <w:spacing w:line="360" w:lineRule="auto"/>
        <w:ind w:firstLine="567"/>
        <w:jc w:val="both"/>
        <w:rPr>
          <w:lang w:val="en-US"/>
        </w:rPr>
      </w:pPr>
      <w:r>
        <w:rPr>
          <w:lang w:val="en-US"/>
        </w:rPr>
        <w:t xml:space="preserve">As is often the case when drawing upon evidence from </w:t>
      </w:r>
      <w:r>
        <w:rPr>
          <w:i/>
          <w:iCs/>
          <w:lang w:val="en-US"/>
        </w:rPr>
        <w:t>fatwā</w:t>
      </w:r>
      <w:r>
        <w:rPr>
          <w:lang w:val="en-US"/>
        </w:rPr>
        <w:t>s collections, t</w:t>
      </w:r>
      <w:r>
        <w:rPr>
          <w:lang w:val="en-US"/>
        </w:rPr>
        <w:t xml:space="preserve">he subsequent development of the debate remains unknown. Nevertheless, the two opposing perspectives exemplify the inherent tension within the Law as an institution that seeks to reinforce forms of social order while simultaneously providing an avenue for </w:t>
      </w:r>
      <w:r>
        <w:rPr>
          <w:lang w:val="en-US"/>
        </w:rPr>
        <w:t xml:space="preserve">questioning them. Yet most local jurists seem resolute in their support for enforcing subordination mechanisms such as the </w:t>
      </w:r>
      <w:r>
        <w:rPr>
          <w:i/>
          <w:iCs/>
          <w:lang w:val="en-US"/>
        </w:rPr>
        <w:t>khammāsa</w:t>
      </w:r>
      <w:r>
        <w:rPr>
          <w:lang w:val="en-US"/>
        </w:rPr>
        <w:t xml:space="preserve">. Some even display an open bias against </w:t>
      </w:r>
      <w:r>
        <w:rPr>
          <w:i/>
          <w:iCs/>
          <w:lang w:val="en-US"/>
        </w:rPr>
        <w:t>khammāsa</w:t>
      </w:r>
      <w:r>
        <w:rPr>
          <w:lang w:val="en-US"/>
        </w:rPr>
        <w:t xml:space="preserve"> sharecroppers, who, it is important to note again, predominantly belonged to the </w:t>
      </w:r>
      <w:r>
        <w:rPr>
          <w:i/>
          <w:iCs/>
          <w:lang w:val="en-US"/>
        </w:rPr>
        <w:t>ḥarthānī</w:t>
      </w:r>
      <w:r>
        <w:rPr>
          <w:lang w:val="en-US"/>
        </w:rPr>
        <w:t xml:space="preserve"> population. </w:t>
      </w:r>
    </w:p>
    <w:p w14:paraId="6BF75DA8" w14:textId="77777777" w:rsidR="00000000" w:rsidRDefault="00436F74">
      <w:pPr>
        <w:spacing w:line="360" w:lineRule="auto"/>
        <w:ind w:firstLine="567"/>
        <w:jc w:val="both"/>
        <w:rPr>
          <w:lang w:val="en-US"/>
        </w:rPr>
      </w:pPr>
      <w:r>
        <w:rPr>
          <w:lang w:val="en-US"/>
        </w:rPr>
        <w:t>A lengthy fatwa of the eighteenth-century jurist Muḥammad b. Ubba al-Muzammirī (d. 1160/1747)</w:t>
      </w:r>
      <w:r>
        <w:rPr>
          <w:rStyle w:val="FootnoteReference"/>
          <w:lang w:val="en-US"/>
        </w:rPr>
        <w:footnoteReference w:id="84"/>
      </w:r>
      <w:r>
        <w:rPr>
          <w:lang w:val="en-US"/>
        </w:rPr>
        <w:t xml:space="preserve"> </w:t>
      </w:r>
      <w:r>
        <w:rPr>
          <w:lang w:val="en-US"/>
        </w:rPr>
        <w:t xml:space="preserve">allows us to have a closer look. The text, entitled </w:t>
      </w:r>
      <w:r>
        <w:rPr>
          <w:i/>
          <w:iCs/>
          <w:lang w:val="en-US"/>
        </w:rPr>
        <w:t>Ta</w:t>
      </w:r>
      <w:r>
        <w:rPr>
          <w:rStyle w:val="st"/>
          <w:i/>
          <w:iCs/>
          <w:lang w:val="en-US"/>
        </w:rPr>
        <w:t>ḥliyat al-qar</w:t>
      </w:r>
      <w:r>
        <w:rPr>
          <w:i/>
          <w:iCs/>
          <w:lang w:val="en-US"/>
        </w:rPr>
        <w:t xml:space="preserve">ṭās bi-l-kalām </w:t>
      </w:r>
      <w:r>
        <w:rPr>
          <w:i/>
          <w:iCs/>
          <w:lang w:val="en-US"/>
        </w:rPr>
        <w:lastRenderedPageBreak/>
        <w:t>ʿalā masʾala taḍmīn al-khammās</w:t>
      </w:r>
      <w:r>
        <w:rPr>
          <w:rStyle w:val="FootnoteReference"/>
          <w:lang w:val="en-US"/>
        </w:rPr>
        <w:footnoteReference w:id="85"/>
      </w:r>
      <w:r>
        <w:rPr>
          <w:i/>
          <w:iCs/>
          <w:lang w:val="en-US"/>
        </w:rPr>
        <w:t>,</w:t>
      </w:r>
      <w:r>
        <w:rPr>
          <w:lang w:val="en-US"/>
        </w:rPr>
        <w:t xml:space="preserve"> responds to an inquiry from another prominent local jurist, ʿUmar b. Muḥammad al-Raqqādī al-Kuntī. The latter belonged to a branch of the Sah</w:t>
      </w:r>
      <w:r>
        <w:rPr>
          <w:lang w:val="en-US"/>
        </w:rPr>
        <w:t xml:space="preserve">aran Kunta confederation that settled in southern Tuwāt during the seventeenth century and produced several influential scholars, whose activities contributed to the establishment of the </w:t>
      </w:r>
      <w:r>
        <w:rPr>
          <w:i/>
          <w:iCs/>
          <w:lang w:val="en-US"/>
        </w:rPr>
        <w:t>qṣar</w:t>
      </w:r>
      <w:r>
        <w:rPr>
          <w:lang w:val="en-US"/>
        </w:rPr>
        <w:t>, Zawiyet Kounta.</w:t>
      </w:r>
      <w:r>
        <w:rPr>
          <w:rStyle w:val="FootnoteReference"/>
          <w:lang w:val="en-US"/>
        </w:rPr>
        <w:footnoteReference w:id="86"/>
      </w:r>
      <w:r>
        <w:rPr>
          <w:lang w:val="en-US"/>
        </w:rPr>
        <w:t xml:space="preserve"> al-Muzammirī’s argument is straightforward: a </w:t>
      </w:r>
      <w:r>
        <w:rPr>
          <w:lang w:val="en-US"/>
        </w:rPr>
        <w:t>sharecropper is fully liable for any loss in the date crops if the yield turns out to be less than the expected amount based on the estimation of a communal expert (</w:t>
      </w:r>
      <w:r>
        <w:rPr>
          <w:i/>
          <w:iCs/>
          <w:lang w:val="en-US"/>
        </w:rPr>
        <w:t>mā naqa</w:t>
      </w:r>
      <w:r>
        <w:rPr>
          <w:rStyle w:val="st"/>
          <w:rFonts w:eastAsia="Yu Gothic Light"/>
          <w:i/>
          <w:iCs/>
          <w:lang w:val="en-US"/>
        </w:rPr>
        <w:t>ṣ</w:t>
      </w:r>
      <w:r>
        <w:rPr>
          <w:i/>
          <w:iCs/>
          <w:lang w:val="en-US"/>
        </w:rPr>
        <w:t>a ʿan takhrī</w:t>
      </w:r>
      <w:r>
        <w:rPr>
          <w:rStyle w:val="st"/>
          <w:rFonts w:eastAsia="Yu Gothic Light"/>
          <w:i/>
          <w:iCs/>
          <w:lang w:val="en-US"/>
        </w:rPr>
        <w:t>ṣ</w:t>
      </w:r>
      <w:r>
        <w:rPr>
          <w:i/>
          <w:iCs/>
          <w:lang w:val="en-US"/>
        </w:rPr>
        <w:t xml:space="preserve"> al-</w:t>
      </w:r>
      <w:r>
        <w:rPr>
          <w:lang w:val="en-US"/>
        </w:rPr>
        <w:t>ʿ</w:t>
      </w:r>
      <w:r>
        <w:rPr>
          <w:i/>
          <w:iCs/>
          <w:lang w:val="en-US"/>
        </w:rPr>
        <w:t>ārif</w:t>
      </w:r>
      <w:r>
        <w:rPr>
          <w:lang w:val="en-US"/>
        </w:rPr>
        <w:t>).</w:t>
      </w:r>
      <w:r>
        <w:rPr>
          <w:rStyle w:val="FootnoteReference"/>
          <w:lang w:val="en-US"/>
        </w:rPr>
        <w:footnoteReference w:id="87"/>
      </w:r>
      <w:r>
        <w:rPr>
          <w:lang w:val="en-US"/>
        </w:rPr>
        <w:t xml:space="preserve"> The inquiry specifies that, in such cases, the sharecropp</w:t>
      </w:r>
      <w:r>
        <w:rPr>
          <w:lang w:val="en-US"/>
        </w:rPr>
        <w:t xml:space="preserve">er tends to deny any responsibility, attributing the discrepancy to natural causes or a calculation error, while the communal expert accuses the sharecropper of neglecting the palm trees or even stealing the missing portion. Whose testimony prevails? </w:t>
      </w:r>
    </w:p>
    <w:p w14:paraId="0BD0DEA2" w14:textId="77777777" w:rsidR="00000000" w:rsidRDefault="00436F74">
      <w:pPr>
        <w:spacing w:line="360" w:lineRule="auto"/>
        <w:ind w:firstLine="567"/>
        <w:jc w:val="both"/>
        <w:rPr>
          <w:lang w:val="en-US"/>
        </w:rPr>
      </w:pPr>
      <w:r>
        <w:rPr>
          <w:lang w:val="en-US"/>
        </w:rPr>
        <w:t>In h</w:t>
      </w:r>
      <w:r>
        <w:rPr>
          <w:lang w:val="en-US"/>
        </w:rPr>
        <w:t xml:space="preserve">is response, </w:t>
      </w:r>
      <w:r>
        <w:rPr>
          <w:lang w:val="en-US"/>
        </w:rPr>
        <w:t>al-Muzammirī employs a wide array of legal arguments and engages with numerous jurisprudential debates within the Mālikī tradition to establish the precedence of the communal expert’s assessment over the sharecropper’s defense. Most significantly, he asser</w:t>
      </w:r>
      <w:r>
        <w:rPr>
          <w:lang w:val="en-US"/>
        </w:rPr>
        <w:t>ts that the sharecropper is not in the defending position (</w:t>
      </w:r>
      <w:r>
        <w:rPr>
          <w:i/>
          <w:iCs/>
          <w:lang w:val="en-US"/>
        </w:rPr>
        <w:t>al-muddaʿa ʿalayhi</w:t>
      </w:r>
      <w:r>
        <w:rPr>
          <w:lang w:val="en-US"/>
        </w:rPr>
        <w:t>) but instead acts as the plaintiff (</w:t>
      </w:r>
      <w:r>
        <w:rPr>
          <w:i/>
          <w:iCs/>
          <w:lang w:val="en-US"/>
        </w:rPr>
        <w:t>al-muddaʿa</w:t>
      </w:r>
      <w:r>
        <w:rPr>
          <w:lang w:val="en-US"/>
        </w:rPr>
        <w:t>), which implies the burden of proof (</w:t>
      </w:r>
      <w:r>
        <w:rPr>
          <w:i/>
          <w:iCs/>
          <w:lang w:val="en-US"/>
        </w:rPr>
        <w:t>al-bayyina</w:t>
      </w:r>
      <w:r>
        <w:rPr>
          <w:lang w:val="en-US"/>
        </w:rPr>
        <w:t>) falls on the sharecropper, and not on the landowner. Another line of reasoning aim</w:t>
      </w:r>
      <w:r>
        <w:rPr>
          <w:lang w:val="en-US"/>
        </w:rPr>
        <w:t>s to demonstrate that the communal expert’s estimation can be considered evidence, even if the individual lacks the status of an honorable witness (</w:t>
      </w:r>
      <w:r>
        <w:rPr>
          <w:i/>
          <w:iCs/>
          <w:lang w:val="en-US"/>
        </w:rPr>
        <w:t>shāhid ʿadl</w:t>
      </w:r>
      <w:r>
        <w:rPr>
          <w:lang w:val="en-US"/>
        </w:rPr>
        <w:t>). As the only person present with the requisite technical knowledge, the expert’s honorability (</w:t>
      </w:r>
      <w:r>
        <w:rPr>
          <w:i/>
          <w:iCs/>
          <w:lang w:val="en-US"/>
        </w:rPr>
        <w:t>ʿadāla</w:t>
      </w:r>
      <w:r>
        <w:rPr>
          <w:lang w:val="en-US"/>
        </w:rPr>
        <w:t>) is not a precondition for accepting his testimony.</w:t>
      </w:r>
      <w:r>
        <w:rPr>
          <w:rStyle w:val="FootnoteReference"/>
          <w:lang w:val="en-US"/>
        </w:rPr>
        <w:footnoteReference w:id="88"/>
      </w:r>
      <w:r>
        <w:rPr>
          <w:lang w:val="en-US"/>
        </w:rPr>
        <w:t xml:space="preserve"> </w:t>
      </w:r>
    </w:p>
    <w:p w14:paraId="66F9B634" w14:textId="77777777" w:rsidR="00000000" w:rsidRDefault="00436F74">
      <w:pPr>
        <w:spacing w:line="360" w:lineRule="auto"/>
        <w:ind w:firstLine="567"/>
        <w:jc w:val="both"/>
        <w:rPr>
          <w:lang w:val="en-US"/>
        </w:rPr>
      </w:pPr>
      <w:r>
        <w:rPr>
          <w:lang w:val="en-US"/>
        </w:rPr>
        <w:t xml:space="preserve">A full analysis of the </w:t>
      </w:r>
      <w:r>
        <w:rPr>
          <w:i/>
          <w:iCs/>
          <w:lang w:val="en-US"/>
        </w:rPr>
        <w:t>muftī</w:t>
      </w:r>
      <w:r>
        <w:rPr>
          <w:lang w:val="en-US"/>
        </w:rPr>
        <w:t xml:space="preserve">’s argumentation is unfortunately beyond the scope of our discussion. Therefore, we will only focus on how the alleged defective morality of </w:t>
      </w:r>
      <w:r>
        <w:rPr>
          <w:i/>
          <w:iCs/>
          <w:lang w:val="en-US"/>
        </w:rPr>
        <w:t>khammāsa</w:t>
      </w:r>
      <w:r>
        <w:rPr>
          <w:lang w:val="en-US"/>
        </w:rPr>
        <w:t xml:space="preserve"> sharecroppers bec</w:t>
      </w:r>
      <w:r>
        <w:rPr>
          <w:lang w:val="en-US"/>
        </w:rPr>
        <w:t xml:space="preserve">omes a legal argument. The </w:t>
      </w:r>
      <w:r>
        <w:rPr>
          <w:i/>
          <w:iCs/>
          <w:lang w:val="en-US"/>
        </w:rPr>
        <w:t>istiftāʾ</w:t>
      </w:r>
      <w:r>
        <w:rPr>
          <w:lang w:val="en-US"/>
        </w:rPr>
        <w:t xml:space="preserve"> mentions that, due to their “vicious way of living” (</w:t>
      </w:r>
      <w:r>
        <w:rPr>
          <w:i/>
          <w:iCs/>
          <w:lang w:val="en-US"/>
        </w:rPr>
        <w:t>min sīratihim al-khabītha</w:t>
      </w:r>
      <w:r>
        <w:rPr>
          <w:lang w:val="en-US"/>
        </w:rPr>
        <w:t>), sharecroppers intentionally set aside parts of the date crops and later claim that the communal expert made a mistake, all to “conceal thei</w:t>
      </w:r>
      <w:r>
        <w:rPr>
          <w:lang w:val="en-US"/>
        </w:rPr>
        <w:t>r insolent doing” (</w:t>
      </w:r>
      <w:r>
        <w:rPr>
          <w:i/>
          <w:iCs/>
          <w:lang w:val="en-US"/>
        </w:rPr>
        <w:t>sitran ʿalā qabīḥ fiʿlihi</w:t>
      </w:r>
      <w:r>
        <w:rPr>
          <w:lang w:val="en-US"/>
        </w:rPr>
        <w:t xml:space="preserve">). The passage could be viewed as an apt illustration of James Scott’s classic study of indirect resistance among subordinate groups, especially considering the economic vulnerability </w:t>
      </w:r>
      <w:r>
        <w:rPr>
          <w:i/>
          <w:iCs/>
          <w:lang w:val="en-US"/>
        </w:rPr>
        <w:t>khammāsa</w:t>
      </w:r>
      <w:r>
        <w:rPr>
          <w:lang w:val="en-US"/>
        </w:rPr>
        <w:t xml:space="preserve"> sharecroppers faced</w:t>
      </w:r>
      <w:r>
        <w:rPr>
          <w:lang w:val="en-US"/>
        </w:rPr>
        <w:t>.</w:t>
      </w:r>
      <w:r>
        <w:rPr>
          <w:rStyle w:val="FootnoteReference"/>
          <w:lang w:val="en-US"/>
        </w:rPr>
        <w:footnoteReference w:id="89"/>
      </w:r>
      <w:r>
        <w:rPr>
          <w:lang w:val="en-US"/>
        </w:rPr>
        <w:t xml:space="preserve"> The </w:t>
      </w:r>
      <w:r>
        <w:rPr>
          <w:i/>
          <w:iCs/>
          <w:lang w:val="en-US"/>
        </w:rPr>
        <w:t xml:space="preserve">istiftāʾ </w:t>
      </w:r>
      <w:r>
        <w:rPr>
          <w:lang w:val="en-US"/>
        </w:rPr>
        <w:t xml:space="preserve">explicitly states that sharecroppers have their “children and animals” consume the diverted dates. Other cases in </w:t>
      </w:r>
      <w:r>
        <w:rPr>
          <w:lang w:val="en-US"/>
        </w:rPr>
        <w:lastRenderedPageBreak/>
        <w:t xml:space="preserve">the </w:t>
      </w:r>
      <w:r>
        <w:rPr>
          <w:i/>
          <w:iCs/>
          <w:lang w:val="en-US"/>
        </w:rPr>
        <w:t>nawāzil</w:t>
      </w:r>
      <w:r>
        <w:rPr>
          <w:lang w:val="en-US"/>
        </w:rPr>
        <w:t xml:space="preserve"> records attest to the extreme poverty of the </w:t>
      </w:r>
      <w:r>
        <w:rPr>
          <w:i/>
          <w:iCs/>
          <w:lang w:val="en-US"/>
        </w:rPr>
        <w:t>ḥarthānī</w:t>
      </w:r>
      <w:r>
        <w:rPr>
          <w:lang w:val="en-US"/>
        </w:rPr>
        <w:t xml:space="preserve"> population, a situation also highlighted by ethnographic res</w:t>
      </w:r>
      <w:r>
        <w:rPr>
          <w:lang w:val="en-US"/>
        </w:rPr>
        <w:t>earch during the colonial period.</w:t>
      </w:r>
      <w:r>
        <w:rPr>
          <w:rStyle w:val="FootnoteReference"/>
          <w:lang w:val="en-US"/>
        </w:rPr>
        <w:footnoteReference w:id="90"/>
      </w:r>
      <w:r>
        <w:rPr>
          <w:lang w:val="en-US"/>
        </w:rPr>
        <w:t xml:space="preserve"> However, al-Muzammirī disregards any potential motives related to the sharecroppers’ suffering and hunger. Instead, the </w:t>
      </w:r>
      <w:r>
        <w:rPr>
          <w:i/>
          <w:iCs/>
          <w:lang w:val="en-US"/>
        </w:rPr>
        <w:t>istiftāʾ</w:t>
      </w:r>
      <w:r>
        <w:rPr>
          <w:lang w:val="en-US"/>
        </w:rPr>
        <w:t>’s presentation of events leads his thoughts in almost the opposite direction. He argues that</w:t>
      </w:r>
      <w:r>
        <w:rPr>
          <w:lang w:val="en-US"/>
        </w:rPr>
        <w:t xml:space="preserve"> a general suspicion of theft (</w:t>
      </w:r>
      <w:r>
        <w:rPr>
          <w:i/>
          <w:iCs/>
          <w:lang w:val="en-US"/>
        </w:rPr>
        <w:t>sarqa</w:t>
      </w:r>
      <w:r>
        <w:rPr>
          <w:lang w:val="en-US"/>
        </w:rPr>
        <w:t xml:space="preserve">) weighs on the </w:t>
      </w:r>
      <w:r>
        <w:rPr>
          <w:i/>
          <w:iCs/>
          <w:lang w:val="en-US"/>
        </w:rPr>
        <w:t>khammās</w:t>
      </w:r>
      <w:r>
        <w:rPr>
          <w:lang w:val="en-US"/>
        </w:rPr>
        <w:t xml:space="preserve"> and justifies considering him as the plaintiff who must prove that he has not stolen the dates “because if the suspect’s (</w:t>
      </w:r>
      <w:r>
        <w:rPr>
          <w:i/>
          <w:iCs/>
          <w:lang w:val="en-US"/>
        </w:rPr>
        <w:t>muttaham</w:t>
      </w:r>
      <w:r>
        <w:rPr>
          <w:lang w:val="en-US"/>
        </w:rPr>
        <w:t>) general reputation for such acts strengthens the suspicion (</w:t>
      </w:r>
      <w:r>
        <w:rPr>
          <w:i/>
          <w:iCs/>
          <w:lang w:val="en-US"/>
        </w:rPr>
        <w:t>tuhm</w:t>
      </w:r>
      <w:r>
        <w:rPr>
          <w:i/>
          <w:iCs/>
          <w:lang w:val="en-US"/>
        </w:rPr>
        <w:t>a</w:t>
      </w:r>
      <w:r>
        <w:rPr>
          <w:lang w:val="en-US"/>
        </w:rPr>
        <w:t>), the burden of proof is on him.”</w:t>
      </w:r>
      <w:r>
        <w:rPr>
          <w:rStyle w:val="FootnoteReference"/>
          <w:lang w:val="en-US"/>
        </w:rPr>
        <w:footnoteReference w:id="91"/>
      </w:r>
      <w:r>
        <w:rPr>
          <w:lang w:val="en-US"/>
        </w:rPr>
        <w:t xml:space="preserve">     </w:t>
      </w:r>
    </w:p>
    <w:p w14:paraId="14CFE26D" w14:textId="77777777" w:rsidR="00000000" w:rsidRDefault="00436F74">
      <w:pPr>
        <w:spacing w:line="360" w:lineRule="auto"/>
        <w:ind w:firstLine="567"/>
        <w:jc w:val="both"/>
        <w:rPr>
          <w:lang w:val="en-US"/>
        </w:rPr>
      </w:pPr>
      <w:r>
        <w:rPr>
          <w:lang w:val="en-US"/>
        </w:rPr>
        <w:t>In another section of his response, al-Muzammirī turns the argument of necessity (</w:t>
      </w:r>
      <w:r>
        <w:rPr>
          <w:i/>
          <w:iCs/>
          <w:lang w:val="en-US"/>
        </w:rPr>
        <w:t>al-ḍarūra</w:t>
      </w:r>
      <w:r>
        <w:rPr>
          <w:lang w:val="en-US"/>
        </w:rPr>
        <w:t xml:space="preserve">) against the </w:t>
      </w:r>
      <w:r>
        <w:rPr>
          <w:i/>
          <w:iCs/>
          <w:lang w:val="en-US"/>
        </w:rPr>
        <w:t>khammās</w:t>
      </w:r>
      <w:r>
        <w:rPr>
          <w:lang w:val="en-US"/>
        </w:rPr>
        <w:t xml:space="preserve">. He contends that local people – i.e. the </w:t>
      </w:r>
      <w:r>
        <w:rPr>
          <w:i/>
          <w:iCs/>
          <w:lang w:val="en-US"/>
        </w:rPr>
        <w:t>mrābṭīn</w:t>
      </w:r>
      <w:r>
        <w:rPr>
          <w:lang w:val="en-US"/>
        </w:rPr>
        <w:t xml:space="preserve"> and </w:t>
      </w:r>
      <w:r>
        <w:rPr>
          <w:i/>
          <w:iCs/>
          <w:color w:val="0E101A"/>
          <w:lang w:val="en-US"/>
        </w:rPr>
        <w:t>shurafāʾ</w:t>
      </w:r>
      <w:r>
        <w:rPr>
          <w:lang w:val="en-US"/>
        </w:rPr>
        <w:t xml:space="preserve"> population – have no choice but to rel</w:t>
      </w:r>
      <w:r>
        <w:rPr>
          <w:lang w:val="en-US"/>
        </w:rPr>
        <w:t xml:space="preserve">y on the </w:t>
      </w:r>
      <w:r>
        <w:rPr>
          <w:i/>
          <w:iCs/>
          <w:lang w:val="en-US"/>
        </w:rPr>
        <w:t>khammās</w:t>
      </w:r>
      <w:r>
        <w:rPr>
          <w:lang w:val="en-US"/>
        </w:rPr>
        <w:t xml:space="preserve">’ labor, despite being aware of their “bad manners” and their propensity to “to unjustly and aggressively seize the property of fellow Muslims.” al-Muzammirī also interprets the dubious legality of the </w:t>
      </w:r>
      <w:r>
        <w:rPr>
          <w:i/>
          <w:iCs/>
          <w:lang w:val="en-US"/>
        </w:rPr>
        <w:t>khammāsa</w:t>
      </w:r>
      <w:r>
        <w:rPr>
          <w:lang w:val="en-US"/>
        </w:rPr>
        <w:t xml:space="preserve"> contract in this light, stati</w:t>
      </w:r>
      <w:r>
        <w:rPr>
          <w:lang w:val="en-US"/>
        </w:rPr>
        <w:t>ng, “In our land today, leasing agreements (</w:t>
      </w:r>
      <w:r>
        <w:rPr>
          <w:i/>
          <w:iCs/>
          <w:lang w:val="en-US"/>
        </w:rPr>
        <w:t>ijāra</w:t>
      </w:r>
      <w:r>
        <w:rPr>
          <w:lang w:val="en-US"/>
        </w:rPr>
        <w:t xml:space="preserve">) with the </w:t>
      </w:r>
      <w:r>
        <w:rPr>
          <w:i/>
          <w:iCs/>
          <w:lang w:val="en-US"/>
        </w:rPr>
        <w:t>khammās</w:t>
      </w:r>
      <w:r>
        <w:rPr>
          <w:lang w:val="en-US"/>
        </w:rPr>
        <w:t xml:space="preserve"> are flawed (</w:t>
      </w:r>
      <w:r>
        <w:rPr>
          <w:i/>
          <w:iCs/>
          <w:lang w:val="en-US"/>
        </w:rPr>
        <w:t>fāsida</w:t>
      </w:r>
      <w:r>
        <w:rPr>
          <w:lang w:val="en-US"/>
        </w:rPr>
        <w:t>). Scholars have only granted an exception (</w:t>
      </w:r>
      <w:r>
        <w:rPr>
          <w:i/>
          <w:iCs/>
          <w:lang w:val="en-US"/>
        </w:rPr>
        <w:t>rukh</w:t>
      </w:r>
      <w:r>
        <w:rPr>
          <w:rStyle w:val="st"/>
          <w:rFonts w:eastAsia="Yu Gothic Light"/>
          <w:i/>
          <w:iCs/>
          <w:lang w:val="en-US"/>
        </w:rPr>
        <w:t>ṣ</w:t>
      </w:r>
      <w:r>
        <w:rPr>
          <w:i/>
          <w:iCs/>
          <w:lang w:val="en-US"/>
        </w:rPr>
        <w:t>a</w:t>
      </w:r>
      <w:r>
        <w:rPr>
          <w:lang w:val="en-US"/>
        </w:rPr>
        <w:t>) for palm-garden owners because of necessity (</w:t>
      </w:r>
      <w:r>
        <w:rPr>
          <w:i/>
          <w:iCs/>
          <w:lang w:val="en-US"/>
        </w:rPr>
        <w:t>ḍarūra</w:t>
      </w:r>
      <w:r>
        <w:rPr>
          <w:lang w:val="en-US"/>
        </w:rPr>
        <w:t>).”</w:t>
      </w:r>
      <w:r>
        <w:rPr>
          <w:rStyle w:val="FootnoteReference"/>
          <w:lang w:val="en-US"/>
        </w:rPr>
        <w:footnoteReference w:id="92"/>
      </w:r>
      <w:r>
        <w:rPr>
          <w:lang w:val="en-US"/>
        </w:rPr>
        <w:t xml:space="preserve"> The </w:t>
      </w:r>
      <w:r>
        <w:rPr>
          <w:i/>
          <w:iCs/>
          <w:lang w:val="en-US"/>
        </w:rPr>
        <w:t>muftī</w:t>
      </w:r>
      <w:r>
        <w:rPr>
          <w:lang w:val="en-US"/>
        </w:rPr>
        <w:t xml:space="preserve"> further argues that the sole reason such contracts p</w:t>
      </w:r>
      <w:r>
        <w:rPr>
          <w:lang w:val="en-US"/>
        </w:rPr>
        <w:t xml:space="preserve">ersist is the </w:t>
      </w:r>
      <w:r>
        <w:rPr>
          <w:i/>
          <w:iCs/>
          <w:lang w:val="en-US"/>
        </w:rPr>
        <w:t>khammās</w:t>
      </w:r>
      <w:r>
        <w:rPr>
          <w:lang w:val="en-US"/>
        </w:rPr>
        <w:t>’ ability to convince people of their claims (</w:t>
      </w:r>
      <w:r>
        <w:rPr>
          <w:i/>
          <w:iCs/>
          <w:lang w:val="en-US"/>
        </w:rPr>
        <w:t>daʿwatahum</w:t>
      </w:r>
      <w:r>
        <w:rPr>
          <w:lang w:val="en-US"/>
        </w:rPr>
        <w:t>). Standard legal conditions of leasing contracts could be applied without causing any harm (</w:t>
      </w:r>
      <w:r>
        <w:rPr>
          <w:i/>
          <w:iCs/>
          <w:lang w:val="en-US"/>
        </w:rPr>
        <w:t>ḍarar</w:t>
      </w:r>
      <w:r>
        <w:rPr>
          <w:lang w:val="en-US"/>
        </w:rPr>
        <w:t xml:space="preserve">) to the </w:t>
      </w:r>
      <w:r>
        <w:rPr>
          <w:i/>
          <w:iCs/>
          <w:lang w:val="en-US"/>
        </w:rPr>
        <w:t>khammās</w:t>
      </w:r>
      <w:r>
        <w:rPr>
          <w:lang w:val="en-US"/>
        </w:rPr>
        <w:t>. Under these circumstances, he asks, how can any trustworthiness</w:t>
      </w:r>
      <w:r>
        <w:rPr>
          <w:lang w:val="en-US"/>
        </w:rPr>
        <w:t xml:space="preserve"> (</w:t>
      </w:r>
      <w:r>
        <w:rPr>
          <w:i/>
          <w:iCs/>
          <w:lang w:val="en-US"/>
        </w:rPr>
        <w:t>amāna</w:t>
      </w:r>
      <w:r>
        <w:rPr>
          <w:lang w:val="en-US"/>
        </w:rPr>
        <w:t xml:space="preserve">) of the </w:t>
      </w:r>
      <w:r>
        <w:rPr>
          <w:i/>
          <w:iCs/>
          <w:lang w:val="en-US"/>
        </w:rPr>
        <w:t>khammās</w:t>
      </w:r>
      <w:r>
        <w:rPr>
          <w:lang w:val="en-US"/>
        </w:rPr>
        <w:t xml:space="preserve"> be derived from such agreements? While the owner is compelled to conclude them, his partner has the freedom to choose (</w:t>
      </w:r>
      <w:r>
        <w:rPr>
          <w:i/>
          <w:iCs/>
          <w:lang w:val="en-US"/>
        </w:rPr>
        <w:t>fa-l-mālik muḍtarr wa-l-khammās mukhtār</w:t>
      </w:r>
      <w:r>
        <w:rPr>
          <w:lang w:val="en-US"/>
        </w:rPr>
        <w:t>). al-Muzammirī concludes his argument with a moralistic perspective, sugg</w:t>
      </w:r>
      <w:r>
        <w:rPr>
          <w:lang w:val="en-US"/>
        </w:rPr>
        <w:t xml:space="preserve">esting that holding the </w:t>
      </w:r>
      <w:r>
        <w:rPr>
          <w:i/>
          <w:iCs/>
          <w:lang w:val="en-US"/>
        </w:rPr>
        <w:t>khammās</w:t>
      </w:r>
      <w:r>
        <w:rPr>
          <w:lang w:val="en-US"/>
        </w:rPr>
        <w:t xml:space="preserve"> accountable for losses would impart a valuable lesson, “which would dispel from his heart for a long time what it has become accustomed to and prevent it from following its passions.”</w:t>
      </w:r>
      <w:r>
        <w:rPr>
          <w:rStyle w:val="FootnoteReference"/>
          <w:lang w:val="en-US"/>
        </w:rPr>
        <w:footnoteReference w:id="93"/>
      </w:r>
      <w:r>
        <w:rPr>
          <w:lang w:val="en-US"/>
        </w:rPr>
        <w:t xml:space="preserve"> </w:t>
      </w:r>
    </w:p>
    <w:p w14:paraId="062E3AE8" w14:textId="77777777" w:rsidR="00000000" w:rsidRDefault="00436F74">
      <w:pPr>
        <w:spacing w:before="240" w:after="120" w:line="360" w:lineRule="auto"/>
        <w:jc w:val="both"/>
        <w:rPr>
          <w:b/>
          <w:bCs/>
          <w:lang w:val="en-US"/>
        </w:rPr>
      </w:pPr>
      <w:r>
        <w:rPr>
          <w:b/>
          <w:bCs/>
          <w:lang w:val="en-US"/>
        </w:rPr>
        <w:t>The Ambiguities of Legal</w:t>
      </w:r>
      <w:r>
        <w:rPr>
          <w:b/>
          <w:bCs/>
          <w:i/>
          <w:iCs/>
          <w:lang w:val="en-US"/>
        </w:rPr>
        <w:t xml:space="preserve"> </w:t>
      </w:r>
      <w:r>
        <w:rPr>
          <w:b/>
          <w:bCs/>
          <w:lang w:val="en-US"/>
        </w:rPr>
        <w:t>Agency</w:t>
      </w:r>
    </w:p>
    <w:p w14:paraId="36967873" w14:textId="77777777" w:rsidR="00000000" w:rsidRDefault="00436F74">
      <w:pPr>
        <w:spacing w:line="360" w:lineRule="auto"/>
        <w:jc w:val="both"/>
        <w:rPr>
          <w:lang w:val="en-US"/>
        </w:rPr>
      </w:pPr>
      <w:r>
        <w:rPr>
          <w:lang w:val="en-US"/>
        </w:rPr>
        <w:t>al-Muz</w:t>
      </w:r>
      <w:r>
        <w:rPr>
          <w:lang w:val="en-US"/>
        </w:rPr>
        <w:t xml:space="preserve">ammirī’s rebuttal of the </w:t>
      </w:r>
      <w:r>
        <w:rPr>
          <w:i/>
          <w:iCs/>
          <w:lang w:val="en-US"/>
        </w:rPr>
        <w:t>khammās</w:t>
      </w:r>
      <w:r>
        <w:rPr>
          <w:lang w:val="en-US"/>
        </w:rPr>
        <w:t xml:space="preserve">’ defense raises the question of the extent to which members of </w:t>
      </w:r>
      <w:r>
        <w:rPr>
          <w:i/>
          <w:iCs/>
          <w:lang w:val="en-US"/>
        </w:rPr>
        <w:t>ḥarthānī</w:t>
      </w:r>
      <w:r>
        <w:rPr>
          <w:lang w:val="en-US"/>
        </w:rPr>
        <w:t xml:space="preserve"> families could engage as active participants in the legal sphere. In discussing the issue, our goal is not simply to provide additional evidence for th</w:t>
      </w:r>
      <w:r>
        <w:rPr>
          <w:lang w:val="en-US"/>
        </w:rPr>
        <w:t xml:space="preserve">e study of </w:t>
      </w:r>
      <w:r>
        <w:rPr>
          <w:lang w:val="en-US"/>
        </w:rPr>
        <w:lastRenderedPageBreak/>
        <w:t>subaltern agency within Islamic legal institutions.</w:t>
      </w:r>
      <w:r>
        <w:rPr>
          <w:rStyle w:val="FootnoteReference"/>
          <w:lang w:val="en-US"/>
        </w:rPr>
        <w:footnoteReference w:id="94"/>
      </w:r>
      <w:r>
        <w:rPr>
          <w:lang w:val="en-US"/>
        </w:rPr>
        <w:t xml:space="preserve"> Rather, we aim to shed light on the complex interplay between legal exclusion and inclusion, an interplay that in Tuwāt as elsewhere appears to primarily serve the interests of the powerful.</w:t>
      </w:r>
    </w:p>
    <w:p w14:paraId="4597A706" w14:textId="77777777" w:rsidR="00000000" w:rsidRDefault="00436F74">
      <w:pPr>
        <w:spacing w:line="360" w:lineRule="auto"/>
        <w:ind w:firstLine="567"/>
        <w:jc w:val="both"/>
        <w:rPr>
          <w:lang w:val="en-US"/>
        </w:rPr>
      </w:pPr>
      <w:r>
        <w:rPr>
          <w:lang w:val="en-US"/>
        </w:rPr>
        <w:t>W</w:t>
      </w:r>
      <w:r>
        <w:rPr>
          <w:lang w:val="en-US"/>
        </w:rPr>
        <w:t xml:space="preserve">e have encountered ʿAbd al-Raḥmān b. ʿUmar al-Tinilānī as a critic of the </w:t>
      </w:r>
      <w:r>
        <w:rPr>
          <w:i/>
          <w:iCs/>
          <w:lang w:val="en-US"/>
        </w:rPr>
        <w:t>khammāsa</w:t>
      </w:r>
      <w:r>
        <w:rPr>
          <w:lang w:val="en-US"/>
        </w:rPr>
        <w:t xml:space="preserve"> system. In another </w:t>
      </w:r>
      <w:r>
        <w:rPr>
          <w:i/>
          <w:iCs/>
          <w:lang w:val="en-US"/>
        </w:rPr>
        <w:t>fatwā</w:t>
      </w:r>
      <w:r>
        <w:rPr>
          <w:lang w:val="en-US"/>
        </w:rPr>
        <w:t xml:space="preserve">, he more specifically addresses the </w:t>
      </w:r>
      <w:r>
        <w:rPr>
          <w:i/>
          <w:iCs/>
          <w:lang w:val="en-US"/>
        </w:rPr>
        <w:t>ḥarāthīn</w:t>
      </w:r>
      <w:r>
        <w:rPr>
          <w:lang w:val="en-US"/>
        </w:rPr>
        <w:t>’s legal rights, as guaranteed by their membership in the Muslim community.</w:t>
      </w:r>
      <w:r>
        <w:rPr>
          <w:rStyle w:val="FootnoteReference"/>
          <w:lang w:val="en-US"/>
        </w:rPr>
        <w:footnoteReference w:id="95"/>
      </w:r>
      <w:r>
        <w:rPr>
          <w:lang w:val="en-US"/>
        </w:rPr>
        <w:t xml:space="preserve"> The inquiry pertains to the</w:t>
      </w:r>
      <w:r>
        <w:rPr>
          <w:lang w:val="en-US"/>
        </w:rPr>
        <w:t xml:space="preserve"> frequent raids conducted by Saharan pastoral groups during the eighteenth and nineteenth centuries.</w:t>
      </w:r>
      <w:r>
        <w:rPr>
          <w:rStyle w:val="FootnoteReference"/>
          <w:lang w:val="en-US"/>
        </w:rPr>
        <w:footnoteReference w:id="96"/>
      </w:r>
      <w:r>
        <w:rPr>
          <w:lang w:val="en-US"/>
        </w:rPr>
        <w:t xml:space="preserve"> One such attack in an unspecified area had caused considerable disarray by mixing up the crops of several individuals. As a result, the testimony of some </w:t>
      </w:r>
      <w:r>
        <w:rPr>
          <w:i/>
          <w:iCs/>
          <w:lang w:val="en-US"/>
        </w:rPr>
        <w:t>ḥarthānī</w:t>
      </w:r>
      <w:r>
        <w:rPr>
          <w:lang w:val="en-US"/>
        </w:rPr>
        <w:t xml:space="preserve"> agricultural workers was needed to determine each person’s property rights. But can their testimony be accepted? al-Tinilānī affirms that it can, provided that the </w:t>
      </w:r>
      <w:r>
        <w:rPr>
          <w:i/>
          <w:iCs/>
          <w:lang w:val="en-US"/>
        </w:rPr>
        <w:t>ḥarthānī</w:t>
      </w:r>
      <w:r>
        <w:rPr>
          <w:lang w:val="en-US"/>
        </w:rPr>
        <w:t xml:space="preserve"> individuals in question are recognized within their community as honorable</w:t>
      </w:r>
      <w:r>
        <w:rPr>
          <w:lang w:val="en-US"/>
        </w:rPr>
        <w:t xml:space="preserve"> men (</w:t>
      </w:r>
      <w:r>
        <w:rPr>
          <w:i/>
          <w:iCs/>
          <w:lang w:val="en-US"/>
        </w:rPr>
        <w:t>ʿudūl</w:t>
      </w:r>
      <w:r>
        <w:rPr>
          <w:lang w:val="en-US"/>
        </w:rPr>
        <w:t>) and thus entitled to bear witness.</w:t>
      </w:r>
    </w:p>
    <w:p w14:paraId="65EF6373" w14:textId="77777777" w:rsidR="00000000" w:rsidRDefault="00436F74">
      <w:pPr>
        <w:spacing w:line="360" w:lineRule="auto"/>
        <w:ind w:firstLine="567"/>
        <w:jc w:val="both"/>
        <w:rPr>
          <w:lang w:val="en-US"/>
        </w:rPr>
      </w:pPr>
      <w:r>
        <w:rPr>
          <w:lang w:val="en-US"/>
        </w:rPr>
        <w:t xml:space="preserve">The </w:t>
      </w:r>
      <w:r>
        <w:rPr>
          <w:i/>
          <w:iCs/>
          <w:lang w:val="en-US"/>
        </w:rPr>
        <w:t>muftī</w:t>
      </w:r>
      <w:r>
        <w:rPr>
          <w:lang w:val="en-US"/>
        </w:rPr>
        <w:t xml:space="preserve">’s response reveals the interdependency of abstract Islamic concepts and local notions of social status. From a </w:t>
      </w:r>
      <w:r>
        <w:rPr>
          <w:i/>
          <w:iCs/>
          <w:lang w:val="en-US"/>
        </w:rPr>
        <w:t>fiqh</w:t>
      </w:r>
      <w:r>
        <w:rPr>
          <w:lang w:val="en-US"/>
        </w:rPr>
        <w:t xml:space="preserve"> perspective, being </w:t>
      </w:r>
      <w:r>
        <w:rPr>
          <w:i/>
          <w:iCs/>
          <w:lang w:val="en-US"/>
        </w:rPr>
        <w:t>ḥarthānī</w:t>
      </w:r>
      <w:r>
        <w:rPr>
          <w:lang w:val="en-US"/>
        </w:rPr>
        <w:t xml:space="preserve"> has no legal value and, as such, does not determine wh</w:t>
      </w:r>
      <w:r>
        <w:rPr>
          <w:lang w:val="en-US"/>
        </w:rPr>
        <w:t>ether an individual can act as a witness. The sole criterion is the person’s honorability (</w:t>
      </w:r>
      <w:r>
        <w:rPr>
          <w:i/>
          <w:iCs/>
          <w:lang w:val="en-US"/>
        </w:rPr>
        <w:t>ʿadāla</w:t>
      </w:r>
      <w:r>
        <w:rPr>
          <w:lang w:val="en-US"/>
        </w:rPr>
        <w:t>), even though assessing it may involve discussing potential exceptions to the general rule applicable in a specific case. Conversely, the understanding of wha</w:t>
      </w:r>
      <w:r>
        <w:rPr>
          <w:lang w:val="en-US"/>
        </w:rPr>
        <w:t>t constitutes an “honorable” person is heavily influenced by the local community’s shared values and customs.</w:t>
      </w:r>
      <w:r>
        <w:rPr>
          <w:rStyle w:val="FootnoteReference"/>
          <w:lang w:val="en-US"/>
        </w:rPr>
        <w:footnoteReference w:id="97"/>
      </w:r>
      <w:r>
        <w:rPr>
          <w:lang w:val="en-US"/>
        </w:rPr>
        <w:t xml:space="preserve"> al-Tinilānī’s </w:t>
      </w:r>
      <w:r>
        <w:rPr>
          <w:i/>
          <w:iCs/>
          <w:lang w:val="en-US"/>
        </w:rPr>
        <w:t>fatwā</w:t>
      </w:r>
      <w:r>
        <w:rPr>
          <w:lang w:val="en-US"/>
        </w:rPr>
        <w:t xml:space="preserve"> introduces an additional element to this discussion. If acknowledging honorability were solely a matter of local values, it i</w:t>
      </w:r>
      <w:r>
        <w:rPr>
          <w:lang w:val="en-US"/>
        </w:rPr>
        <w:t xml:space="preserve">s unlikely that any </w:t>
      </w:r>
      <w:r>
        <w:rPr>
          <w:i/>
          <w:iCs/>
          <w:lang w:val="en-US"/>
        </w:rPr>
        <w:t>ḥarthānī</w:t>
      </w:r>
      <w:r>
        <w:rPr>
          <w:lang w:val="en-US"/>
        </w:rPr>
        <w:t xml:space="preserve"> in premodern Tuwāt could realistically expect to be admitted as a witness, given the general bias they faced. However, it appears that in this case, al-Tinilānī provided legal justification precisely for accepting the </w:t>
      </w:r>
      <w:r>
        <w:rPr>
          <w:i/>
          <w:iCs/>
          <w:lang w:val="en-US"/>
        </w:rPr>
        <w:t>ḥarāthīn</w:t>
      </w:r>
      <w:r>
        <w:rPr>
          <w:lang w:val="en-US"/>
        </w:rPr>
        <w:t>’</w:t>
      </w:r>
      <w:r>
        <w:rPr>
          <w:lang w:val="en-US"/>
        </w:rPr>
        <w:t>s testimony, rather than dismissing it due to local assumptions about their marginality. In other words, when examining the implementation or enforcement of communal values and customs, we must carefully consider the underlying circumstances and the specif</w:t>
      </w:r>
      <w:r>
        <w:rPr>
          <w:lang w:val="en-US"/>
        </w:rPr>
        <w:t xml:space="preserve">ic convergence of events. Even more importantly, </w:t>
      </w:r>
      <w:r>
        <w:rPr>
          <w:lang w:val="en-US"/>
        </w:rPr>
        <w:lastRenderedPageBreak/>
        <w:t xml:space="preserve">the case highlights the resilience of unequal power relations, as it demonstrates the capacity of elites to establish and adapt the rules of their hegemony. At times, it may have been beneficial to rely on </w:t>
      </w:r>
      <w:r>
        <w:rPr>
          <w:i/>
          <w:iCs/>
          <w:lang w:val="en-US"/>
        </w:rPr>
        <w:t>ḥarāthīn</w:t>
      </w:r>
      <w:r>
        <w:rPr>
          <w:lang w:val="en-US"/>
        </w:rPr>
        <w:t xml:space="preserve"> as witnesses, while in other instances, such as in al-Muzammirī’s </w:t>
      </w:r>
      <w:r>
        <w:rPr>
          <w:i/>
          <w:iCs/>
          <w:lang w:val="en-US"/>
        </w:rPr>
        <w:t>fatwā</w:t>
      </w:r>
      <w:r>
        <w:rPr>
          <w:lang w:val="en-US"/>
        </w:rPr>
        <w:t>, denying any legitimacy to their voices was the favored option.</w:t>
      </w:r>
    </w:p>
    <w:p w14:paraId="2BC71D8D" w14:textId="77777777" w:rsidR="00000000" w:rsidRDefault="00436F74">
      <w:pPr>
        <w:spacing w:line="360" w:lineRule="auto"/>
        <w:ind w:firstLine="567"/>
        <w:jc w:val="both"/>
        <w:rPr>
          <w:lang w:val="en-US"/>
        </w:rPr>
      </w:pPr>
      <w:r>
        <w:rPr>
          <w:lang w:val="en-US"/>
        </w:rPr>
        <w:t xml:space="preserve">Admittedly, the argument may appear overly deterministic in the light of studies that highlight the ability of </w:t>
      </w:r>
      <w:r>
        <w:rPr>
          <w:lang w:val="en-US"/>
        </w:rPr>
        <w:t xml:space="preserve">subaltern or marginalized individuals </w:t>
      </w:r>
      <w:r>
        <w:rPr>
          <w:rFonts w:eastAsia="Calibri"/>
          <w:lang w:val="en-US"/>
        </w:rPr>
        <w:t>to turn legal devices and institutions</w:t>
      </w:r>
      <w:r>
        <w:rPr>
          <w:lang w:val="en-US"/>
        </w:rPr>
        <w:t xml:space="preserve"> </w:t>
      </w:r>
      <w:r>
        <w:rPr>
          <w:rFonts w:eastAsia="Calibri"/>
          <w:lang w:val="en-US"/>
        </w:rPr>
        <w:t>into their interest</w:t>
      </w:r>
      <w:r>
        <w:rPr>
          <w:lang w:val="en-US"/>
        </w:rPr>
        <w:t>.</w:t>
      </w:r>
      <w:r>
        <w:rPr>
          <w:rStyle w:val="FootnoteReference"/>
          <w:lang w:val="en-US"/>
        </w:rPr>
        <w:footnoteReference w:id="98"/>
      </w:r>
      <w:r>
        <w:rPr>
          <w:lang w:val="en-US"/>
        </w:rPr>
        <w:t xml:space="preserve"> Scholarship has also rightly stressed that any form of subordination implies, at least to some extent, mutual dependence. al-Muzammirī acknowledges this fund</w:t>
      </w:r>
      <w:r>
        <w:rPr>
          <w:lang w:val="en-US"/>
        </w:rPr>
        <w:t xml:space="preserve">amental aspect of power relations when he deplores the landowners’ need for the </w:t>
      </w:r>
      <w:r>
        <w:rPr>
          <w:i/>
          <w:iCs/>
          <w:color w:val="0E101A"/>
          <w:lang w:val="en-US"/>
        </w:rPr>
        <w:t>ḥarāthīn</w:t>
      </w:r>
      <w:r>
        <w:rPr>
          <w:lang w:val="en-US"/>
        </w:rPr>
        <w:t xml:space="preserve"> as agricultural workers. Interestingly, however, the </w:t>
      </w:r>
      <w:r>
        <w:rPr>
          <w:i/>
          <w:iCs/>
          <w:lang w:val="en-US"/>
        </w:rPr>
        <w:t>muftī</w:t>
      </w:r>
      <w:r>
        <w:rPr>
          <w:lang w:val="en-US"/>
        </w:rPr>
        <w:t xml:space="preserve"> does so to dismiss the sharecroppers’ claims and reaffirm the authority of those in power. The emphasis on e</w:t>
      </w:r>
      <w:r>
        <w:rPr>
          <w:lang w:val="en-US"/>
        </w:rPr>
        <w:t xml:space="preserve">xisting social hierarchies is partly an effect of the </w:t>
      </w:r>
      <w:r>
        <w:rPr>
          <w:i/>
          <w:iCs/>
          <w:lang w:val="en-US"/>
        </w:rPr>
        <w:t>nawāzil</w:t>
      </w:r>
      <w:r>
        <w:rPr>
          <w:lang w:val="en-US"/>
        </w:rPr>
        <w:t xml:space="preserve"> genre. We are not dealing with court records or other archival materials on law in action, but with a scholarly discourse reflecting on the application of the law and its conformity to religious</w:t>
      </w:r>
      <w:r>
        <w:rPr>
          <w:lang w:val="en-US"/>
        </w:rPr>
        <w:t xml:space="preserve"> ideals and legal doctrines.</w:t>
      </w:r>
      <w:r>
        <w:rPr>
          <w:rStyle w:val="FootnoteReference"/>
          <w:lang w:val="en-US"/>
        </w:rPr>
        <w:footnoteReference w:id="99"/>
      </w:r>
      <w:r>
        <w:rPr>
          <w:lang w:val="en-US"/>
        </w:rPr>
        <w:t xml:space="preserve"> Exploring how legal practice unfolded locally was part of a much broader narrative on Muslim jurists’ ongoing efforts to establish God’s Law (</w:t>
      </w:r>
      <w:r>
        <w:rPr>
          <w:i/>
          <w:iCs/>
          <w:lang w:val="en-US"/>
        </w:rPr>
        <w:t>iqāmat al-sharʿ</w:t>
      </w:r>
      <w:r>
        <w:rPr>
          <w:lang w:val="en-US"/>
        </w:rPr>
        <w:t>) within their communities, despite varying conditions of time and pl</w:t>
      </w:r>
      <w:r>
        <w:rPr>
          <w:lang w:val="en-US"/>
        </w:rPr>
        <w:t>ace. On the other hand, by articulating the relevant beliefs for the justification of power rules,</w:t>
      </w:r>
      <w:r>
        <w:rPr>
          <w:rStyle w:val="FootnoteReference"/>
          <w:lang w:val="en-US"/>
        </w:rPr>
        <w:footnoteReference w:id="100"/>
      </w:r>
      <w:r>
        <w:rPr>
          <w:lang w:val="en-US"/>
        </w:rPr>
        <w:t xml:space="preserve"> the normative discourse of Muslim scholars significantly contributed to creating and restraining the spaces of agency that subaltern studies have investigat</w:t>
      </w:r>
      <w:r>
        <w:rPr>
          <w:lang w:val="en-US"/>
        </w:rPr>
        <w:t>ed using archival evidence.</w:t>
      </w:r>
      <w:r>
        <w:rPr>
          <w:rStyle w:val="FootnoteReference"/>
          <w:lang w:val="en-US"/>
        </w:rPr>
        <w:footnoteReference w:id="101"/>
      </w:r>
      <w:r>
        <w:rPr>
          <w:lang w:val="en-US"/>
        </w:rPr>
        <w:t xml:space="preserve"> </w:t>
      </w:r>
    </w:p>
    <w:p w14:paraId="10C57DD9" w14:textId="77777777" w:rsidR="00000000" w:rsidRDefault="00436F74">
      <w:pPr>
        <w:spacing w:line="360" w:lineRule="auto"/>
        <w:ind w:firstLine="567"/>
        <w:jc w:val="both"/>
        <w:rPr>
          <w:lang w:val="en-US"/>
        </w:rPr>
      </w:pPr>
      <w:r>
        <w:rPr>
          <w:lang w:val="en-US"/>
        </w:rPr>
        <w:t xml:space="preserve">To illustrate this last point, we turn again to </w:t>
      </w:r>
      <w:r>
        <w:rPr>
          <w:lang w:val="en-US"/>
        </w:rPr>
        <w:t xml:space="preserve">ʿAbd al-Raḥmān b. ʿUmar al-Tinilānī’s handling of a case in the </w:t>
      </w:r>
      <w:r>
        <w:rPr>
          <w:i/>
          <w:iCs/>
          <w:lang w:val="en-US"/>
        </w:rPr>
        <w:t>Ghunya</w:t>
      </w:r>
      <w:r>
        <w:rPr>
          <w:lang w:val="en-US"/>
        </w:rPr>
        <w:t xml:space="preserve"> compilation. The question revolves around a free woman (</w:t>
      </w:r>
      <w:r>
        <w:rPr>
          <w:i/>
          <w:iCs/>
          <w:lang w:val="en-US"/>
        </w:rPr>
        <w:t>mrāʾ ḥurra</w:t>
      </w:r>
      <w:r>
        <w:rPr>
          <w:lang w:val="en-US"/>
        </w:rPr>
        <w:t>) who became engaged to a client (</w:t>
      </w:r>
      <w:r>
        <w:rPr>
          <w:i/>
          <w:iCs/>
          <w:lang w:val="en-US"/>
        </w:rPr>
        <w:t>mawlā</w:t>
      </w:r>
      <w:r>
        <w:rPr>
          <w:lang w:val="en-US"/>
        </w:rPr>
        <w:t>). The father had likely passed away, as we learn that her brothers refused to a</w:t>
      </w:r>
      <w:r>
        <w:rPr>
          <w:lang w:val="en-US"/>
        </w:rPr>
        <w:t>ct as her marriage guardians (</w:t>
      </w:r>
      <w:r>
        <w:rPr>
          <w:i/>
          <w:iCs/>
          <w:lang w:val="en-US"/>
        </w:rPr>
        <w:t>walī</w:t>
      </w:r>
      <w:r>
        <w:rPr>
          <w:lang w:val="en-US"/>
        </w:rPr>
        <w:t>) because of the disgrace (</w:t>
      </w:r>
      <w:r>
        <w:rPr>
          <w:i/>
          <w:iCs/>
          <w:lang w:val="en-US"/>
        </w:rPr>
        <w:t>maʾarra</w:t>
      </w:r>
      <w:r>
        <w:rPr>
          <w:lang w:val="en-US"/>
        </w:rPr>
        <w:t>) they believed would result from such a union.</w:t>
      </w:r>
      <w:r>
        <w:rPr>
          <w:rStyle w:val="FootnoteReference"/>
          <w:lang w:val="en-US"/>
        </w:rPr>
        <w:footnoteReference w:id="102"/>
      </w:r>
      <w:r>
        <w:rPr>
          <w:lang w:val="en-US"/>
        </w:rPr>
        <w:t xml:space="preserve"> In contrast, one of her </w:t>
      </w:r>
      <w:r>
        <w:rPr>
          <w:lang w:val="en-US"/>
        </w:rPr>
        <w:lastRenderedPageBreak/>
        <w:t>paternal uncles agreed to take on the role and concluded the marriage on her behalf. The question submitted to al-T</w:t>
      </w:r>
      <w:r>
        <w:rPr>
          <w:lang w:val="en-US"/>
        </w:rPr>
        <w:t>inilānī was whether the brothers had the right to request the annulment of such a marriage (</w:t>
      </w:r>
      <w:r>
        <w:rPr>
          <w:i/>
          <w:iCs/>
          <w:lang w:val="en-US"/>
        </w:rPr>
        <w:t>faskh al-nikāḥ</w:t>
      </w:r>
      <w:r>
        <w:rPr>
          <w:lang w:val="en-US"/>
        </w:rPr>
        <w:t>). At first glance, the matter seems clear: “It is the authoritative position within our school (</w:t>
      </w:r>
      <w:r>
        <w:rPr>
          <w:i/>
          <w:iCs/>
          <w:lang w:val="en-US"/>
        </w:rPr>
        <w:t>mashhūr al-madhhab</w:t>
      </w:r>
      <w:r>
        <w:rPr>
          <w:lang w:val="en-US"/>
        </w:rPr>
        <w:t>) that the client is equal to the f</w:t>
      </w:r>
      <w:r>
        <w:rPr>
          <w:lang w:val="en-US"/>
        </w:rPr>
        <w:t>ree-born woman (</w:t>
      </w:r>
      <w:r>
        <w:rPr>
          <w:i/>
          <w:iCs/>
          <w:lang w:val="en-US"/>
        </w:rPr>
        <w:t>al-mawlā kaffʾ</w:t>
      </w:r>
      <w:r>
        <w:rPr>
          <w:rFonts w:hint="cs"/>
          <w:i/>
          <w:iCs/>
          <w:rtl/>
          <w:lang w:val="en-US"/>
        </w:rPr>
        <w:t xml:space="preserve"> </w:t>
      </w:r>
      <w:r>
        <w:rPr>
          <w:i/>
          <w:iCs/>
          <w:lang w:val="en-US"/>
        </w:rPr>
        <w:t>li-l-ḥurra</w:t>
      </w:r>
      <w:r>
        <w:rPr>
          <w:lang w:val="en-US"/>
        </w:rPr>
        <w:t xml:space="preserve">), as stated in the </w:t>
      </w:r>
      <w:r>
        <w:rPr>
          <w:i/>
          <w:iCs/>
          <w:lang w:val="en-US"/>
        </w:rPr>
        <w:t>Mudawwana</w:t>
      </w:r>
      <w:r>
        <w:rPr>
          <w:lang w:val="en-US"/>
        </w:rPr>
        <w:t xml:space="preserve">, the </w:t>
      </w:r>
      <w:r>
        <w:rPr>
          <w:i/>
          <w:iCs/>
          <w:lang w:val="en-US"/>
        </w:rPr>
        <w:t>Mukhtaṣar</w:t>
      </w:r>
      <w:r>
        <w:rPr>
          <w:lang w:val="en-US"/>
        </w:rPr>
        <w:t>, and other works</w:t>
      </w:r>
      <w:r>
        <w:rPr>
          <w:i/>
          <w:iCs/>
          <w:lang w:val="en-US"/>
        </w:rPr>
        <w:t>.</w:t>
      </w:r>
      <w:r>
        <w:rPr>
          <w:lang w:val="en-US"/>
        </w:rPr>
        <w:t xml:space="preserve">” Yet, in Islamic jurisprudential reasoning, general principles may be qualified according to circumstances. In this case, al-Tinilānī identifies such a </w:t>
      </w:r>
      <w:r>
        <w:rPr>
          <w:lang w:val="en-US"/>
        </w:rPr>
        <w:t>qualification (</w:t>
      </w:r>
      <w:r>
        <w:rPr>
          <w:i/>
          <w:iCs/>
          <w:lang w:val="en-US"/>
        </w:rPr>
        <w:t>tafṣīl</w:t>
      </w:r>
      <w:r>
        <w:rPr>
          <w:lang w:val="en-US"/>
        </w:rPr>
        <w:t>) in a statement by the Ifrīqiyan jurist Abū-l-Ḥasan al-Lakhmī (d. 478/1086) that “corresponds to the contemporary situation</w:t>
      </w:r>
      <w:r>
        <w:rPr>
          <w:rFonts w:hint="cs"/>
          <w:rtl/>
          <w:lang w:val="en-US"/>
        </w:rPr>
        <w:t xml:space="preserve"> </w:t>
      </w:r>
      <w:r>
        <w:rPr>
          <w:lang w:val="en-US"/>
        </w:rPr>
        <w:t>in which a free woman’s guardian would face severe disgrace if she married a client. Such a situation could ev</w:t>
      </w:r>
      <w:r>
        <w:rPr>
          <w:lang w:val="en-US"/>
        </w:rPr>
        <w:t>en lead to discord and bloodshed.”</w:t>
      </w:r>
      <w:r>
        <w:rPr>
          <w:rStyle w:val="FootnoteReference"/>
          <w:lang w:val="en-US"/>
        </w:rPr>
        <w:footnoteReference w:id="103"/>
      </w:r>
      <w:r>
        <w:rPr>
          <w:lang w:val="en-US"/>
        </w:rPr>
        <w:t xml:space="preserve"> </w:t>
      </w:r>
    </w:p>
    <w:p w14:paraId="03799639" w14:textId="77777777" w:rsidR="00000000" w:rsidRDefault="00436F74">
      <w:pPr>
        <w:spacing w:line="360" w:lineRule="auto"/>
        <w:ind w:firstLine="567"/>
        <w:jc w:val="both"/>
        <w:rPr>
          <w:lang w:val="en-US"/>
        </w:rPr>
      </w:pPr>
      <w:r>
        <w:rPr>
          <w:lang w:val="en-US"/>
        </w:rPr>
        <w:t>Abū-l-Ḥasan al-Lakhmī maintains that this type of matrimonial union is only conceivable for a poor woman because “the inviolability of noble descent falls with indigence” (</w:t>
      </w:r>
      <w:r>
        <w:rPr>
          <w:i/>
          <w:iCs/>
          <w:lang w:val="en-US"/>
        </w:rPr>
        <w:t>ḥurmat al-nasab maʿa al-faqr sāqiṭa</w:t>
      </w:r>
      <w:r>
        <w:rPr>
          <w:lang w:val="en-US"/>
        </w:rPr>
        <w:t>). Otherwise</w:t>
      </w:r>
      <w:r>
        <w:rPr>
          <w:lang w:val="en-US"/>
        </w:rPr>
        <w:t>, both the woman and her parental guardians may reject the marriage. A second opinion, attributed to the later Ifriqiyan jurist, Aḥmad al-Qalshānī (d. 863/1458), makes a similar point. al-Tinilānī specifies that Aḥmad Bābā al-Tinbuktī (d. 1036/1627) transm</w:t>
      </w:r>
      <w:r>
        <w:rPr>
          <w:lang w:val="en-US"/>
        </w:rPr>
        <w:t>itted the passage on the grounds of juristic preference (</w:t>
      </w:r>
      <w:r>
        <w:rPr>
          <w:i/>
          <w:iCs/>
          <w:lang w:val="en-US"/>
        </w:rPr>
        <w:t>istiḥsanahu</w:t>
      </w:r>
      <w:r>
        <w:rPr>
          <w:lang w:val="en-US"/>
        </w:rPr>
        <w:t>) without citing his source. The quote distinguishes three basic requirements regarding equity between spouses (</w:t>
      </w:r>
      <w:r>
        <w:rPr>
          <w:i/>
          <w:iCs/>
          <w:lang w:val="en-US"/>
        </w:rPr>
        <w:t>kafāʾa</w:t>
      </w:r>
      <w:r>
        <w:rPr>
          <w:lang w:val="en-US"/>
        </w:rPr>
        <w:t>): what God may claim (i.e. the groom being a Muslim), what the future</w:t>
      </w:r>
      <w:r>
        <w:rPr>
          <w:lang w:val="en-US"/>
        </w:rPr>
        <w:t xml:space="preserve"> wife may claim (the absence of any physical or mental disability), and finally, what the woman and her marriage guardians may claim, which is the prevention of disgrace resulting from the groom’s “moral depravity” (</w:t>
      </w:r>
      <w:r>
        <w:rPr>
          <w:i/>
          <w:iCs/>
          <w:lang w:val="en-US"/>
        </w:rPr>
        <w:t>fisq</w:t>
      </w:r>
      <w:r>
        <w:rPr>
          <w:lang w:val="en-US"/>
        </w:rPr>
        <w:t>) or less prestigious genealogy (</w:t>
      </w:r>
      <w:r>
        <w:rPr>
          <w:i/>
          <w:iCs/>
          <w:lang w:val="en-US"/>
        </w:rPr>
        <w:t>naq</w:t>
      </w:r>
      <w:r>
        <w:rPr>
          <w:rStyle w:val="st"/>
          <w:rFonts w:eastAsia="Yu Gothic Light"/>
          <w:i/>
          <w:iCs/>
          <w:lang w:val="en-US"/>
        </w:rPr>
        <w:t>ṣ</w:t>
      </w:r>
      <w:r>
        <w:rPr>
          <w:i/>
          <w:iCs/>
          <w:lang w:val="en-US"/>
        </w:rPr>
        <w:t>ihi nasaban</w:t>
      </w:r>
      <w:r>
        <w:rPr>
          <w:lang w:val="en-US"/>
        </w:rPr>
        <w:t xml:space="preserve">). </w:t>
      </w:r>
    </w:p>
    <w:p w14:paraId="6A84B882" w14:textId="77777777" w:rsidR="00000000" w:rsidRDefault="00436F74">
      <w:pPr>
        <w:spacing w:line="360" w:lineRule="auto"/>
        <w:ind w:firstLine="567"/>
        <w:jc w:val="both"/>
        <w:rPr>
          <w:lang w:val="en-US"/>
        </w:rPr>
      </w:pPr>
      <w:r>
        <w:rPr>
          <w:lang w:val="en-US"/>
        </w:rPr>
        <w:t>Together, the two quotes establish, in al-Tinilānī’s view, the brothers’ right to request the annulment of the marriage. For him, “in this country”, the potential disgrace for the women’s guardians is evident (</w:t>
      </w:r>
      <w:r>
        <w:rPr>
          <w:rStyle w:val="st"/>
          <w:rFonts w:eastAsia="Yu Gothic Light"/>
          <w:i/>
          <w:iCs/>
          <w:lang w:val="en-US"/>
        </w:rPr>
        <w:t>ẓ</w:t>
      </w:r>
      <w:r>
        <w:rPr>
          <w:i/>
          <w:iCs/>
          <w:lang w:val="en-US"/>
        </w:rPr>
        <w:t>āhir</w:t>
      </w:r>
      <w:r>
        <w:rPr>
          <w:lang w:val="en-US"/>
        </w:rPr>
        <w:t>). He adds another reason</w:t>
      </w:r>
      <w:r>
        <w:rPr>
          <w:lang w:val="en-US"/>
        </w:rPr>
        <w:t xml:space="preserve"> that recalls the discussions on the </w:t>
      </w:r>
      <w:r>
        <w:rPr>
          <w:i/>
          <w:iCs/>
          <w:lang w:val="en-US"/>
        </w:rPr>
        <w:t>khammāsa</w:t>
      </w:r>
      <w:r>
        <w:rPr>
          <w:lang w:val="en-US"/>
        </w:rPr>
        <w:t xml:space="preserve"> contract. If the groom is known as a vicious person who engages in cursing and earns his living in a prohibited way due to the unlawful gain (</w:t>
      </w:r>
      <w:r>
        <w:rPr>
          <w:i/>
          <w:iCs/>
          <w:lang w:val="en-US"/>
        </w:rPr>
        <w:t>ribā</w:t>
      </w:r>
      <w:r>
        <w:rPr>
          <w:lang w:val="en-US"/>
        </w:rPr>
        <w:t xml:space="preserve">) his activities entail - which, strictly speaking, is the case </w:t>
      </w:r>
      <w:r>
        <w:rPr>
          <w:lang w:val="en-US"/>
        </w:rPr>
        <w:t xml:space="preserve">with the </w:t>
      </w:r>
      <w:r>
        <w:rPr>
          <w:i/>
          <w:iCs/>
          <w:lang w:val="en-US"/>
        </w:rPr>
        <w:t>khammāsa</w:t>
      </w:r>
      <w:r>
        <w:rPr>
          <w:lang w:val="en-US"/>
        </w:rPr>
        <w:t xml:space="preserve"> contract - then there is no disagreement (</w:t>
      </w:r>
      <w:r>
        <w:rPr>
          <w:i/>
          <w:iCs/>
          <w:lang w:val="en-US"/>
        </w:rPr>
        <w:t>khilāf</w:t>
      </w:r>
      <w:r>
        <w:rPr>
          <w:lang w:val="en-US"/>
        </w:rPr>
        <w:t xml:space="preserve">) whatsoever on the fact that the marriage must be declared void. The compiler of the </w:t>
      </w:r>
      <w:r>
        <w:rPr>
          <w:i/>
          <w:iCs/>
          <w:color w:val="0E101A"/>
          <w:lang w:val="en-US"/>
        </w:rPr>
        <w:t>Ghunya</w:t>
      </w:r>
      <w:r>
        <w:rPr>
          <w:lang w:val="en-US"/>
        </w:rPr>
        <w:t xml:space="preserve"> mentions that a certain Muḥammad b. ʿAbd al-Karīm, whom we unfortunately could not identify, had </w:t>
      </w:r>
      <w:r>
        <w:rPr>
          <w:lang w:val="en-US"/>
        </w:rPr>
        <w:t xml:space="preserve">appended a note below al-Tinilānī’s original </w:t>
      </w:r>
      <w:r>
        <w:rPr>
          <w:i/>
          <w:iCs/>
          <w:lang w:val="en-US"/>
        </w:rPr>
        <w:t>fatwā</w:t>
      </w:r>
      <w:r>
        <w:rPr>
          <w:lang w:val="en-US"/>
        </w:rPr>
        <w:t xml:space="preserve">. As expected, the second jurist supports al-Tinilānī’s position by providing additional bibliographical references and includes a personal comment on why, in Tuwāt, marriages </w:t>
      </w:r>
      <w:r>
        <w:rPr>
          <w:lang w:val="en-US"/>
        </w:rPr>
        <w:lastRenderedPageBreak/>
        <w:t>between nobles and clients are</w:t>
      </w:r>
      <w:r>
        <w:rPr>
          <w:lang w:val="en-US"/>
        </w:rPr>
        <w:t xml:space="preserve"> unacceptable: “It is essential to prevent such disgrace in this country. Opening its door would have significant consequences since no client desires more from free people than to marry a </w:t>
      </w:r>
      <w:r>
        <w:rPr>
          <w:i/>
          <w:iCs/>
          <w:lang w:val="en-US"/>
        </w:rPr>
        <w:t>sharīfa</w:t>
      </w:r>
      <w:r>
        <w:rPr>
          <w:lang w:val="en-US"/>
        </w:rPr>
        <w:t>. On the other hand, considering the mentioned quotes […] on</w:t>
      </w:r>
      <w:r>
        <w:rPr>
          <w:lang w:val="en-US"/>
        </w:rPr>
        <w:t xml:space="preserve"> disgrace would effectively close the doors to dissension and conflict (</w:t>
      </w:r>
      <w:r>
        <w:rPr>
          <w:i/>
          <w:iCs/>
          <w:lang w:val="en-US"/>
        </w:rPr>
        <w:t>sadd li-abwāb al-fitan wa-l-nizā</w:t>
      </w:r>
      <w:r>
        <w:rPr>
          <w:lang w:val="en-US"/>
        </w:rPr>
        <w:t>ʿ).”</w:t>
      </w:r>
      <w:r>
        <w:rPr>
          <w:rStyle w:val="FootnoteReference"/>
          <w:lang w:val="en-US"/>
        </w:rPr>
        <w:footnoteReference w:id="104"/>
      </w:r>
      <w:r>
        <w:rPr>
          <w:lang w:val="en-US"/>
        </w:rPr>
        <w:t xml:space="preserve">  </w:t>
      </w:r>
    </w:p>
    <w:p w14:paraId="00A74F16" w14:textId="77777777" w:rsidR="00000000" w:rsidRDefault="00436F74">
      <w:pPr>
        <w:spacing w:line="360" w:lineRule="auto"/>
        <w:ind w:firstLine="567"/>
        <w:jc w:val="both"/>
        <w:rPr>
          <w:lang w:val="en-US"/>
        </w:rPr>
      </w:pPr>
      <w:r>
        <w:rPr>
          <w:lang w:val="en-US"/>
        </w:rPr>
        <w:t xml:space="preserve">al-Tinilānī’s </w:t>
      </w:r>
      <w:r>
        <w:rPr>
          <w:i/>
          <w:iCs/>
          <w:lang w:val="en-US"/>
        </w:rPr>
        <w:t>fatwā</w:t>
      </w:r>
      <w:r>
        <w:rPr>
          <w:lang w:val="en-US"/>
        </w:rPr>
        <w:t xml:space="preserve"> articulates the sweeping condemnation faced by semi-servile groups in Tuwāt and elsewhere in the northern Sahara as marginal</w:t>
      </w:r>
      <w:r>
        <w:rPr>
          <w:lang w:val="en-US"/>
        </w:rPr>
        <w:t>ized and disdained outsiders. Although the legal discussion is sophisticated and reflects the nuances of jurisprudential reasoning, its conclusions entail a clear affirmation of how things should be ordered. To be sure, reading between the lines, we percei</w:t>
      </w:r>
      <w:r>
        <w:rPr>
          <w:lang w:val="en-US"/>
        </w:rPr>
        <w:t xml:space="preserve">ve how the complexity of actual practices contrasts with the rigidity of discourses on social status and hierarchy. Assuming the case is not fictitious, it tells us about the marriage plans of a woman of probable </w:t>
      </w:r>
      <w:r>
        <w:rPr>
          <w:i/>
          <w:iCs/>
          <w:lang w:val="en-US"/>
        </w:rPr>
        <w:t>shurafāʾ</w:t>
      </w:r>
      <w:r>
        <w:rPr>
          <w:lang w:val="en-US"/>
        </w:rPr>
        <w:t xml:space="preserve"> origin, as the second jurist’s comment suggests, and a client. Not only did the woman agree (</w:t>
      </w:r>
      <w:r>
        <w:rPr>
          <w:i/>
          <w:iCs/>
          <w:color w:val="0E101A"/>
          <w:lang w:val="en-US"/>
        </w:rPr>
        <w:t>ra</w:t>
      </w:r>
      <w:r>
        <w:rPr>
          <w:i/>
          <w:iCs/>
          <w:lang w:val="en-US"/>
        </w:rPr>
        <w:t>ḍ</w:t>
      </w:r>
      <w:r>
        <w:rPr>
          <w:i/>
          <w:iCs/>
          <w:color w:val="0E101A"/>
          <w:lang w:val="en-US"/>
        </w:rPr>
        <w:t>iyat bihi</w:t>
      </w:r>
      <w:r>
        <w:rPr>
          <w:lang w:val="en-US"/>
        </w:rPr>
        <w:t xml:space="preserve">) to the marriage, but she was also able to mobilize one paternal uncle’s support against her brothers’ refusal. Other cases in the local </w:t>
      </w:r>
      <w:r>
        <w:rPr>
          <w:i/>
          <w:iCs/>
          <w:lang w:val="en-US"/>
        </w:rPr>
        <w:t>nawā</w:t>
      </w:r>
      <w:r>
        <w:rPr>
          <w:i/>
          <w:iCs/>
          <w:lang w:val="en-US"/>
        </w:rPr>
        <w:t>zil</w:t>
      </w:r>
      <w:r>
        <w:rPr>
          <w:lang w:val="en-US"/>
        </w:rPr>
        <w:t xml:space="preserve"> compilations, and the materials from Mauritania recently studied by Rainer Oßwald, attest to similar couple relationships in which closeness and affection seem to have transcended genealogical divisions.</w:t>
      </w:r>
      <w:r>
        <w:rPr>
          <w:rStyle w:val="FootnoteReference"/>
          <w:lang w:val="en-US"/>
        </w:rPr>
        <w:footnoteReference w:id="105"/>
      </w:r>
      <w:r>
        <w:rPr>
          <w:lang w:val="en-US"/>
        </w:rPr>
        <w:t xml:space="preserve"> One could thus argue that the strict normative </w:t>
      </w:r>
      <w:r>
        <w:rPr>
          <w:lang w:val="en-US"/>
        </w:rPr>
        <w:t xml:space="preserve">upholding of hierarchies was also a reaction to the porousness of social boundaries. </w:t>
      </w:r>
    </w:p>
    <w:p w14:paraId="2D91BC23" w14:textId="77777777" w:rsidR="00000000" w:rsidRDefault="00436F74">
      <w:pPr>
        <w:spacing w:line="360" w:lineRule="auto"/>
        <w:ind w:firstLine="567"/>
        <w:jc w:val="both"/>
        <w:rPr>
          <w:lang w:val="en-US"/>
        </w:rPr>
      </w:pPr>
      <w:r>
        <w:rPr>
          <w:lang w:val="en-US"/>
        </w:rPr>
        <w:t>Notwithstanding these observations, the determination and intellectual energy that al-Tinilānī and the second jurist have invested in crafting a legally sound argument to prevent or end such transgressions reminds us of the strict limits in overcoming soci</w:t>
      </w:r>
      <w:r>
        <w:rPr>
          <w:lang w:val="en-US"/>
        </w:rPr>
        <w:t xml:space="preserve">al marginality. Tuwāt’s institutional setting, in which Muslim jurists strove to apply Islamic law as </w:t>
      </w:r>
      <w:r>
        <w:rPr>
          <w:i/>
          <w:iCs/>
          <w:lang w:val="en-US"/>
        </w:rPr>
        <w:t>muftī</w:t>
      </w:r>
      <w:r>
        <w:rPr>
          <w:lang w:val="en-US"/>
        </w:rPr>
        <w:t xml:space="preserve">s and </w:t>
      </w:r>
      <w:r>
        <w:rPr>
          <w:i/>
          <w:iCs/>
          <w:color w:val="0E101A"/>
          <w:lang w:val="en-US"/>
        </w:rPr>
        <w:t>qā</w:t>
      </w:r>
      <w:r>
        <w:rPr>
          <w:i/>
          <w:iCs/>
          <w:lang w:val="en-US"/>
        </w:rPr>
        <w:t>ḍ</w:t>
      </w:r>
      <w:r>
        <w:rPr>
          <w:i/>
          <w:iCs/>
          <w:color w:val="0E101A"/>
          <w:lang w:val="en-US"/>
        </w:rPr>
        <w:t>ī</w:t>
      </w:r>
      <w:r>
        <w:rPr>
          <w:color w:val="0E101A"/>
          <w:lang w:val="en-US"/>
        </w:rPr>
        <w:t>s</w:t>
      </w:r>
      <w:r>
        <w:rPr>
          <w:lang w:val="en-US"/>
        </w:rPr>
        <w:t xml:space="preserve">, provided a space where any person invested with legal rights by the </w:t>
      </w:r>
      <w:r>
        <w:rPr>
          <w:i/>
          <w:iCs/>
          <w:lang w:val="en-US"/>
        </w:rPr>
        <w:t>fiqh</w:t>
      </w:r>
      <w:r>
        <w:rPr>
          <w:lang w:val="en-US"/>
        </w:rPr>
        <w:t xml:space="preserve"> could voice their concerns and claims. But the normative evalua</w:t>
      </w:r>
      <w:r>
        <w:rPr>
          <w:lang w:val="en-US"/>
        </w:rPr>
        <w:t>tion of these concerns and claims closely followed the patterns of social ordering. Islamic law therefore provided local power relations with an efficient tool for “generating the evidence needed for their own legitimation.”</w:t>
      </w:r>
      <w:r>
        <w:rPr>
          <w:rStyle w:val="FootnoteReference"/>
          <w:lang w:val="en-US"/>
        </w:rPr>
        <w:footnoteReference w:id="106"/>
      </w:r>
      <w:r>
        <w:rPr>
          <w:lang w:val="en-US"/>
        </w:rPr>
        <w:t xml:space="preserve">  </w:t>
      </w:r>
    </w:p>
    <w:p w14:paraId="4AEB4695" w14:textId="77777777" w:rsidR="00000000" w:rsidRDefault="00436F74">
      <w:pPr>
        <w:spacing w:before="240" w:after="120" w:line="360" w:lineRule="auto"/>
        <w:jc w:val="both"/>
        <w:rPr>
          <w:b/>
          <w:bCs/>
          <w:lang w:val="en-US"/>
        </w:rPr>
      </w:pPr>
      <w:r>
        <w:rPr>
          <w:b/>
          <w:bCs/>
          <w:lang w:val="en-US"/>
        </w:rPr>
        <w:t>Conclusion</w:t>
      </w:r>
    </w:p>
    <w:p w14:paraId="3EFFAC7D" w14:textId="77777777" w:rsidR="00000000" w:rsidRDefault="00436F74">
      <w:pPr>
        <w:spacing w:line="360" w:lineRule="auto"/>
        <w:jc w:val="both"/>
        <w:rPr>
          <w:lang w:val="en-US"/>
        </w:rPr>
      </w:pPr>
      <w:r>
        <w:rPr>
          <w:lang w:val="en-US"/>
        </w:rPr>
        <w:lastRenderedPageBreak/>
        <w:t xml:space="preserve">In the </w:t>
      </w:r>
      <w:r>
        <w:rPr>
          <w:i/>
          <w:iCs/>
          <w:color w:val="0E101A"/>
          <w:lang w:val="en-US"/>
        </w:rPr>
        <w:t>nawāzil</w:t>
      </w:r>
      <w:r>
        <w:rPr>
          <w:lang w:val="en-US"/>
        </w:rPr>
        <w:t xml:space="preserve"> of</w:t>
      </w:r>
      <w:r>
        <w:rPr>
          <w:lang w:val="en-US"/>
        </w:rPr>
        <w:t xml:space="preserve"> Tuwāt, the subalterns do not speak. Yet, at times,</w:t>
      </w:r>
      <w:r>
        <w:rPr>
          <w:rStyle w:val="FootnoteReference"/>
          <w:lang w:val="en-US"/>
        </w:rPr>
        <w:footnoteReference w:id="107"/>
      </w:r>
      <w:r>
        <w:rPr>
          <w:lang w:val="en-US"/>
        </w:rPr>
        <w:t xml:space="preserve"> some of their words and actions became crucial objects of normative reasoning over how social relations should be ordered. The elites do not speak either, at least not directly. Although their words and </w:t>
      </w:r>
      <w:r>
        <w:rPr>
          <w:lang w:val="en-US"/>
        </w:rPr>
        <w:t>actions are much more visible in the ‘cases’ (</w:t>
      </w:r>
      <w:r>
        <w:rPr>
          <w:i/>
          <w:iCs/>
          <w:lang w:val="en-US"/>
        </w:rPr>
        <w:t>nawāzil</w:t>
      </w:r>
      <w:r>
        <w:rPr>
          <w:lang w:val="en-US"/>
        </w:rPr>
        <w:t xml:space="preserve">, sg. </w:t>
      </w:r>
      <w:r>
        <w:rPr>
          <w:i/>
          <w:iCs/>
          <w:lang w:val="en-US"/>
        </w:rPr>
        <w:t>nāzila</w:t>
      </w:r>
      <w:r>
        <w:rPr>
          <w:lang w:val="en-US"/>
        </w:rPr>
        <w:t>) that local scholars have recorded for future generations of Muslim jurists, the mentioned principle of normative conceptualization also applies to them. In a way, both are subject to a proc</w:t>
      </w:r>
      <w:r>
        <w:rPr>
          <w:lang w:val="en-US"/>
        </w:rPr>
        <w:t>ess of representation.</w:t>
      </w:r>
      <w:r>
        <w:rPr>
          <w:rStyle w:val="FootnoteReference"/>
          <w:lang w:val="en-US"/>
        </w:rPr>
        <w:footnoteReference w:id="108"/>
      </w:r>
      <w:r>
        <w:rPr>
          <w:lang w:val="en-US"/>
        </w:rPr>
        <w:t xml:space="preserve"> As we have stressed, this representation is technical in that it operates within the discipline of </w:t>
      </w:r>
      <w:r>
        <w:rPr>
          <w:i/>
          <w:iCs/>
          <w:lang w:val="en-US"/>
        </w:rPr>
        <w:t>fiqh</w:t>
      </w:r>
      <w:r>
        <w:rPr>
          <w:lang w:val="en-US"/>
        </w:rPr>
        <w:t>, carefully observing the epistemologies and conventions that made up Islamic legal science in the post-1300 Muslim world.</w:t>
      </w:r>
      <w:r>
        <w:rPr>
          <w:rStyle w:val="FootnoteReference"/>
          <w:lang w:val="en-US"/>
        </w:rPr>
        <w:footnoteReference w:id="109"/>
      </w:r>
      <w:r>
        <w:rPr>
          <w:lang w:val="en-US"/>
        </w:rPr>
        <w:t xml:space="preserve"> Howev</w:t>
      </w:r>
      <w:r>
        <w:rPr>
          <w:lang w:val="en-US"/>
        </w:rPr>
        <w:t>er, a fundamental difference exists: while we can access the</w:t>
      </w:r>
      <w:r>
        <w:rPr>
          <w:i/>
          <w:iCs/>
          <w:lang w:val="en-US"/>
        </w:rPr>
        <w:t xml:space="preserve"> </w:t>
      </w:r>
      <w:r>
        <w:rPr>
          <w:i/>
          <w:iCs/>
          <w:lang w:val="en-US"/>
        </w:rPr>
        <w:t>mrābṭīn</w:t>
      </w:r>
      <w:r>
        <w:rPr>
          <w:lang w:val="en-US"/>
        </w:rPr>
        <w:t xml:space="preserve"> scholars’ normative reading of social relations in Tuwāt, we do not know of any influential </w:t>
      </w:r>
      <w:r>
        <w:rPr>
          <w:i/>
          <w:iCs/>
          <w:color w:val="0E101A"/>
          <w:lang w:val="en-US"/>
        </w:rPr>
        <w:t>ḥarthānī</w:t>
      </w:r>
      <w:r>
        <w:rPr>
          <w:lang w:val="en-US"/>
        </w:rPr>
        <w:t xml:space="preserve"> or </w:t>
      </w:r>
      <w:r>
        <w:rPr>
          <w:i/>
          <w:iCs/>
          <w:lang w:val="en-US"/>
        </w:rPr>
        <w:t>ʿabīd</w:t>
      </w:r>
      <w:r>
        <w:rPr>
          <w:lang w:val="en-US"/>
        </w:rPr>
        <w:t xml:space="preserve"> scholar who engaged in issuing </w:t>
      </w:r>
      <w:r>
        <w:rPr>
          <w:i/>
          <w:iCs/>
          <w:lang w:val="en-US"/>
        </w:rPr>
        <w:t>fatwā</w:t>
      </w:r>
      <w:r>
        <w:rPr>
          <w:lang w:val="en-US"/>
        </w:rPr>
        <w:t>s.</w:t>
      </w:r>
      <w:r>
        <w:rPr>
          <w:rStyle w:val="FootnoteReference"/>
          <w:lang w:val="en-US"/>
        </w:rPr>
        <w:footnoteReference w:id="110"/>
      </w:r>
      <w:r>
        <w:rPr>
          <w:lang w:val="en-US"/>
        </w:rPr>
        <w:t xml:space="preserve"> </w:t>
      </w:r>
    </w:p>
    <w:p w14:paraId="71891E36" w14:textId="77777777" w:rsidR="00000000" w:rsidRDefault="00436F74">
      <w:pPr>
        <w:spacing w:line="360" w:lineRule="auto"/>
        <w:ind w:firstLine="567"/>
        <w:jc w:val="both"/>
        <w:rPr>
          <w:lang w:val="en-US"/>
        </w:rPr>
      </w:pPr>
      <w:r>
        <w:rPr>
          <w:lang w:val="en-US"/>
        </w:rPr>
        <w:t xml:space="preserve">From this perspective, our paper is in line with the sociological analysis of Muslim scholarship </w:t>
      </w:r>
      <w:r>
        <w:rPr>
          <w:lang w:val="en-US"/>
        </w:rPr>
        <w:t xml:space="preserve">in the rural areas of the precolonial Maghrib as developed by Francophone authors in the second half of the twentieth century, such as Jacques Berque, Magali Morsy, Halima Ferhat, Abdel Wedoud Ould Cheikh, Abdellah Hammoudi, or Houari Touati. Scholars and </w:t>
      </w:r>
      <w:r>
        <w:rPr>
          <w:lang w:val="en-US"/>
        </w:rPr>
        <w:t xml:space="preserve">saints formed an elite whose academic and religious activity cannot be separated from their interests as locally engaged economic and political actors. Mastering the </w:t>
      </w:r>
      <w:r>
        <w:rPr>
          <w:i/>
          <w:iCs/>
          <w:lang w:val="en-US"/>
        </w:rPr>
        <w:t>ʿilm</w:t>
      </w:r>
      <w:r>
        <w:rPr>
          <w:lang w:val="en-US"/>
        </w:rPr>
        <w:t xml:space="preserve"> was a precious asset for pursuing and achieving these interests. Conversely, the spaces of agency for subalterns, which especially Islamic legal institutions offered, could do little more than occasionally make the “hidden transcripts” less hidden.</w:t>
      </w:r>
      <w:r>
        <w:rPr>
          <w:rStyle w:val="FootnoteReference"/>
          <w:lang w:val="en-US"/>
        </w:rPr>
        <w:footnoteReference w:id="111"/>
      </w:r>
      <w:r>
        <w:rPr>
          <w:lang w:val="en-US"/>
        </w:rPr>
        <w:t xml:space="preserve"> I</w:t>
      </w:r>
      <w:r>
        <w:rPr>
          <w:lang w:val="en-US"/>
        </w:rPr>
        <w:t xml:space="preserve">n the final analysis, such spaces were under the firm control of local elites who, incidentally, also created them in the first place. </w:t>
      </w:r>
    </w:p>
    <w:p w14:paraId="3458DF8D" w14:textId="77777777" w:rsidR="00436F74" w:rsidRDefault="00436F74">
      <w:pPr>
        <w:spacing w:line="360" w:lineRule="auto"/>
        <w:ind w:firstLine="567"/>
        <w:jc w:val="both"/>
        <w:rPr>
          <w:lang w:val="en-US"/>
        </w:rPr>
      </w:pPr>
      <w:r>
        <w:rPr>
          <w:lang w:val="en-US"/>
        </w:rPr>
        <w:t>In the light of the preceding discussion, what would be our paper’s contribution besides providing further empirical evi</w:t>
      </w:r>
      <w:r>
        <w:rPr>
          <w:lang w:val="en-US"/>
        </w:rPr>
        <w:t>dence from the northern Sahara? We hope to have succeeded in demonstrating how the recourse to Islamic law as a framework for conceptualizing power relations manifested itself socially and discursively. Given the significant progress made in research on Sa</w:t>
      </w:r>
      <w:r>
        <w:rPr>
          <w:lang w:val="en-US"/>
        </w:rPr>
        <w:t xml:space="preserve">haran Islam and its textual legacy, we believe it is essential to delve deeper into understanding how things functioned on the ground, socially, discursively, and intellectually. The jurisprudential construction of the </w:t>
      </w:r>
      <w:r>
        <w:rPr>
          <w:i/>
          <w:iCs/>
          <w:color w:val="0E101A"/>
          <w:lang w:val="en-US"/>
        </w:rPr>
        <w:t>ḥarāthīn</w:t>
      </w:r>
      <w:r>
        <w:rPr>
          <w:lang w:val="en-US"/>
        </w:rPr>
        <w:t>’s and other subaltern groups</w:t>
      </w:r>
      <w:r>
        <w:rPr>
          <w:lang w:val="en-US"/>
        </w:rPr>
        <w:t xml:space="preserve">’ marginality </w:t>
      </w:r>
      <w:r>
        <w:rPr>
          <w:lang w:val="en-US"/>
        </w:rPr>
        <w:lastRenderedPageBreak/>
        <w:t>both articulates an embeddedness in local assumptions on social status, and the capacity of Tuwātī jurists to engage in compelling legal argumentation. In other words, to account for the social effects of Muslim scholarly knowledge, we must f</w:t>
      </w:r>
      <w:r>
        <w:rPr>
          <w:lang w:val="en-US"/>
        </w:rPr>
        <w:t>ully grasp the intellectual operations such knowledge generated, not just its societal underpinnings. Reconstructing these operations is not merely a pedantic exercise for old-fashioned philologists; rather, it calls for retrieving the dual nature of Sahar</w:t>
      </w:r>
      <w:r>
        <w:rPr>
          <w:lang w:val="en-US"/>
        </w:rPr>
        <w:t xml:space="preserve">an scholarly texts as locally situated expressions of an ongoing engagement with Muslim thought in which academic curiosity and the desire for power sustain each other. </w:t>
      </w:r>
    </w:p>
    <w:sectPr w:rsidR="00436F74">
      <w:footerReference w:type="even" r:id="rId7"/>
      <w:footerReference w:type="default" r:id="rId8"/>
      <w:pgSz w:w="11900"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6897" w14:textId="77777777" w:rsidR="00436F74" w:rsidRDefault="00436F74">
      <w:r>
        <w:separator/>
      </w:r>
    </w:p>
  </w:endnote>
  <w:endnote w:type="continuationSeparator" w:id="0">
    <w:p w14:paraId="73DFC1CA" w14:textId="77777777" w:rsidR="00436F74" w:rsidRDefault="0043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29F3" w14:textId="77777777" w:rsidR="00000000" w:rsidRDefault="00436F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67951209" w14:textId="77777777" w:rsidR="00000000" w:rsidRDefault="00436F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951A" w14:textId="77777777" w:rsidR="00000000" w:rsidRDefault="00436F74">
    <w:pPr>
      <w:pStyle w:val="Footer"/>
      <w:framePr w:wrap="none" w:vAnchor="text" w:hAnchor="margin" w:xAlign="right" w:y="1"/>
      <w:rPr>
        <w:rStyle w:val="PageNumber"/>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Pr>
        <w:rStyle w:val="PageNumber"/>
        <w:rFonts w:ascii="Times New Roman" w:hAnsi="Times New Roman" w:cs="Times New Roman"/>
        <w:noProof/>
      </w:rPr>
      <w:t>2</w:t>
    </w:r>
    <w:r>
      <w:rPr>
        <w:rStyle w:val="PageNumber"/>
        <w:rFonts w:ascii="Times New Roman" w:hAnsi="Times New Roman" w:cs="Times New Roman"/>
      </w:rPr>
      <w:fldChar w:fldCharType="end"/>
    </w:r>
  </w:p>
  <w:p w14:paraId="381FFABC" w14:textId="77777777" w:rsidR="00000000" w:rsidRDefault="00436F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C1D69" w14:textId="77777777" w:rsidR="00436F74" w:rsidRDefault="00436F74">
      <w:r>
        <w:separator/>
      </w:r>
    </w:p>
  </w:footnote>
  <w:footnote w:type="continuationSeparator" w:id="0">
    <w:p w14:paraId="504255BF" w14:textId="77777777" w:rsidR="00436F74" w:rsidRDefault="00436F74">
      <w:r>
        <w:continuationSeparator/>
      </w:r>
    </w:p>
  </w:footnote>
  <w:footnote w:id="1">
    <w:p w14:paraId="2A6B3C9B"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I express my gratitude to Matthew Steele for his feedback throughout the various sta</w:t>
      </w:r>
      <w:r>
        <w:rPr>
          <w:rFonts w:cs="Times New Roman"/>
          <w:sz w:val="20"/>
          <w:szCs w:val="18"/>
        </w:rPr>
        <w:t xml:space="preserve">ges of writing this paper. I would also like to extend my appreciation to Nora Barakat and Adam Mestyan for providing the opportunity to present a draft at the 2022 ASLH Annual Meeting in Chicago. Lastly, I am indebted to the anonymous reviewers for their </w:t>
      </w:r>
      <w:r>
        <w:rPr>
          <w:rFonts w:cs="Times New Roman"/>
          <w:sz w:val="20"/>
          <w:szCs w:val="18"/>
        </w:rPr>
        <w:t>meticulous and constructive evaluation of my manuscript.</w:t>
      </w:r>
    </w:p>
  </w:footnote>
  <w:footnote w:id="2">
    <w:p w14:paraId="6F00C28C"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 note on transliteration and dates: I adhere to Brill’s </w:t>
      </w:r>
      <w:r>
        <w:rPr>
          <w:rFonts w:cs="Times New Roman"/>
          <w:i/>
          <w:iCs/>
          <w:sz w:val="20"/>
          <w:szCs w:val="18"/>
        </w:rPr>
        <w:t>E.I. 3</w:t>
      </w:r>
      <w:r>
        <w:rPr>
          <w:rFonts w:cs="Times New Roman"/>
          <w:sz w:val="20"/>
          <w:szCs w:val="18"/>
        </w:rPr>
        <w:t xml:space="preserve"> transliteration system for classical Arabic in this article. In some cases, I transliterate Arabic terms, such as </w:t>
      </w:r>
      <w:r>
        <w:rPr>
          <w:rStyle w:val="Emphasis"/>
          <w:rFonts w:cs="Times New Roman"/>
          <w:color w:val="0E101A"/>
          <w:sz w:val="20"/>
          <w:szCs w:val="18"/>
        </w:rPr>
        <w:t>zw</w:t>
      </w:r>
      <w:r>
        <w:rPr>
          <w:rStyle w:val="Emphasis"/>
          <w:rFonts w:cs="Times New Roman"/>
          <w:color w:val="0E101A"/>
          <w:sz w:val="20"/>
          <w:szCs w:val="18"/>
        </w:rPr>
        <w:t>āyā</w:t>
      </w:r>
      <w:r>
        <w:rPr>
          <w:rFonts w:cs="Times New Roman"/>
          <w:sz w:val="20"/>
          <w:szCs w:val="18"/>
        </w:rPr>
        <w:t xml:space="preserve"> or </w:t>
      </w:r>
      <w:r>
        <w:rPr>
          <w:rStyle w:val="Emphasis"/>
          <w:rFonts w:cs="Times New Roman"/>
          <w:color w:val="0E101A"/>
          <w:sz w:val="20"/>
          <w:szCs w:val="18"/>
        </w:rPr>
        <w:t>ṭ</w:t>
      </w:r>
      <w:r>
        <w:rPr>
          <w:rStyle w:val="Emphasis"/>
          <w:rFonts w:cs="Times New Roman"/>
          <w:color w:val="0E101A"/>
          <w:sz w:val="20"/>
          <w:szCs w:val="18"/>
        </w:rPr>
        <w:t>ulba</w:t>
      </w:r>
      <w:r>
        <w:rPr>
          <w:rFonts w:cs="Times New Roman"/>
          <w:sz w:val="20"/>
          <w:szCs w:val="18"/>
        </w:rPr>
        <w:t xml:space="preserve">, according to their vernacular form when this seems more suitable for capturing their local meaning. I employ the common-era calendar; only death dates are given in both </w:t>
      </w:r>
      <w:r>
        <w:rPr>
          <w:rStyle w:val="Emphasis"/>
          <w:rFonts w:cs="Times New Roman"/>
          <w:color w:val="0E101A"/>
          <w:sz w:val="20"/>
          <w:szCs w:val="18"/>
        </w:rPr>
        <w:t>hijrī</w:t>
      </w:r>
      <w:r>
        <w:rPr>
          <w:rFonts w:cs="Times New Roman"/>
          <w:sz w:val="20"/>
          <w:szCs w:val="18"/>
        </w:rPr>
        <w:t xml:space="preserve"> and common-era formats.</w:t>
      </w:r>
    </w:p>
  </w:footnote>
  <w:footnote w:id="3">
    <w:p w14:paraId="0B347690"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Ulrich Rebstock, </w:t>
      </w:r>
      <w:r>
        <w:rPr>
          <w:rFonts w:cs="Times New Roman"/>
          <w:i/>
          <w:iCs/>
          <w:sz w:val="20"/>
          <w:szCs w:val="18"/>
        </w:rPr>
        <w:t>Maurische Literaturgesch</w:t>
      </w:r>
      <w:r>
        <w:rPr>
          <w:rFonts w:cs="Times New Roman"/>
          <w:i/>
          <w:iCs/>
          <w:sz w:val="20"/>
          <w:szCs w:val="18"/>
        </w:rPr>
        <w:t>ichte</w:t>
      </w:r>
      <w:r>
        <w:rPr>
          <w:rFonts w:cs="Times New Roman"/>
          <w:sz w:val="20"/>
          <w:szCs w:val="18"/>
        </w:rPr>
        <w:t xml:space="preserve"> (Würzburg: Ergon Verlag, 2009), 3 vols, Charles Stewart, </w:t>
      </w:r>
      <w:r>
        <w:rPr>
          <w:rFonts w:cs="Times New Roman"/>
          <w:i/>
          <w:iCs/>
          <w:sz w:val="20"/>
          <w:szCs w:val="18"/>
        </w:rPr>
        <w:t>The Writings of Mauritania and the Western Sahara</w:t>
      </w:r>
      <w:r>
        <w:rPr>
          <w:rFonts w:cs="Times New Roman"/>
          <w:sz w:val="20"/>
          <w:szCs w:val="18"/>
        </w:rPr>
        <w:t>, compiled with Sidi Ahmed Wuld Ahmed Salim (Leiden: Brill, 2016), 2 vols.</w:t>
      </w:r>
    </w:p>
  </w:footnote>
  <w:footnote w:id="4">
    <w:p w14:paraId="76B535F8" w14:textId="77777777" w:rsidR="00000000" w:rsidRDefault="00436F74">
      <w:pPr>
        <w:pStyle w:val="FootnoteText"/>
        <w:spacing w:line="240" w:lineRule="auto"/>
        <w:jc w:val="both"/>
        <w:rPr>
          <w:rFonts w:ascii="Times New Roman" w:hAnsi="Times New Roman" w:cs="Times New Roman"/>
          <w:szCs w:val="18"/>
          <w:lang w:val="fr-FR"/>
        </w:rPr>
      </w:pPr>
      <w:r>
        <w:rPr>
          <w:rStyle w:val="FootnoteReference"/>
          <w:rFonts w:ascii="Times New Roman" w:hAnsi="Times New Roman" w:cs="Times New Roman"/>
          <w:szCs w:val="18"/>
        </w:rPr>
        <w:footnoteRef/>
      </w:r>
      <w:r>
        <w:rPr>
          <w:rFonts w:ascii="Times New Roman" w:hAnsi="Times New Roman" w:cs="Times New Roman"/>
          <w:szCs w:val="18"/>
          <w:lang w:val="fr-FR"/>
        </w:rPr>
        <w:t xml:space="preserve"> See most importantly, </w:t>
      </w:r>
      <w:r>
        <w:rPr>
          <w:rFonts w:ascii="Times New Roman" w:hAnsi="Times New Roman" w:cs="Times New Roman"/>
          <w:szCs w:val="18"/>
          <w:shd w:val="clear" w:color="auto" w:fill="FFFFFF"/>
          <w:lang w:val="fr-FR"/>
        </w:rPr>
        <w:t xml:space="preserve">Rahal Boubrik, </w:t>
      </w:r>
      <w:r>
        <w:rPr>
          <w:rFonts w:ascii="Times New Roman" w:hAnsi="Times New Roman" w:cs="Times New Roman"/>
          <w:i/>
          <w:iCs/>
          <w:szCs w:val="18"/>
          <w:shd w:val="clear" w:color="auto" w:fill="FFFFFF"/>
          <w:lang w:val="fr-FR"/>
        </w:rPr>
        <w:t xml:space="preserve">Entre Dieu et la tribu: homme </w:t>
      </w:r>
      <w:r>
        <w:rPr>
          <w:rFonts w:ascii="Times New Roman" w:hAnsi="Times New Roman" w:cs="Times New Roman"/>
          <w:i/>
          <w:iCs/>
          <w:szCs w:val="18"/>
          <w:shd w:val="clear" w:color="auto" w:fill="FFFFFF"/>
          <w:lang w:val="fr-FR"/>
        </w:rPr>
        <w:t>et pouvoir politique en Mauritanie</w:t>
      </w:r>
      <w:r>
        <w:rPr>
          <w:rFonts w:ascii="Times New Roman" w:hAnsi="Times New Roman" w:cs="Times New Roman"/>
          <w:szCs w:val="18"/>
          <w:shd w:val="clear" w:color="auto" w:fill="FFFFFF"/>
          <w:lang w:val="fr-FR"/>
        </w:rPr>
        <w:t xml:space="preserve"> (Rabat: Publications de la Faculté des lettres et sciences humaines, Université Mohammed V, 2011), </w:t>
      </w:r>
      <w:r>
        <w:rPr>
          <w:rFonts w:ascii="Times New Roman" w:hAnsi="Times New Roman" w:cs="Times New Roman"/>
          <w:szCs w:val="18"/>
          <w:lang w:val="fr-FR"/>
        </w:rPr>
        <w:t xml:space="preserve">Rainer Oßwald, </w:t>
      </w:r>
      <w:r>
        <w:rPr>
          <w:rFonts w:ascii="Times New Roman" w:hAnsi="Times New Roman" w:cs="Times New Roman"/>
          <w:i/>
          <w:iCs/>
          <w:szCs w:val="18"/>
          <w:lang w:val="fr-FR"/>
        </w:rPr>
        <w:t>Die Handelsstädte der Westsahara: die Entwicklung der a</w:t>
      </w:r>
      <w:r>
        <w:rPr>
          <w:rFonts w:ascii="Times New Roman" w:hAnsi="Times New Roman" w:cs="Times New Roman"/>
          <w:i/>
          <w:iCs/>
          <w:szCs w:val="18"/>
          <w:lang w:val="fr-FR"/>
        </w:rPr>
        <w:t>rabisch-maurischen Kultur von Šinqī</w:t>
      </w:r>
      <w:r>
        <w:rPr>
          <w:rFonts w:ascii="Times New Roman" w:hAnsi="Times New Roman" w:cs="Times New Roman"/>
          <w:i/>
          <w:iCs/>
          <w:szCs w:val="18"/>
          <w:lang w:val="fr-FR"/>
        </w:rPr>
        <w:t>ṭ</w:t>
      </w:r>
      <w:r>
        <w:rPr>
          <w:rFonts w:ascii="Times New Roman" w:hAnsi="Times New Roman" w:cs="Times New Roman"/>
          <w:i/>
          <w:iCs/>
          <w:szCs w:val="18"/>
          <w:lang w:val="fr-FR"/>
        </w:rPr>
        <w:t>, Wādān, Tīšīt und Walāta</w:t>
      </w:r>
      <w:r>
        <w:rPr>
          <w:rFonts w:ascii="Times New Roman" w:hAnsi="Times New Roman" w:cs="Times New Roman"/>
          <w:szCs w:val="18"/>
          <w:lang w:val="fr-FR"/>
        </w:rPr>
        <w:t xml:space="preserve"> (Berlin: D. Reimer, 1986), Yahya Ould-Al-Bara, </w:t>
      </w:r>
      <w:r>
        <w:rPr>
          <w:rFonts w:ascii="Times New Roman" w:hAnsi="Times New Roman" w:cs="Times New Roman"/>
          <w:i/>
          <w:iCs/>
          <w:szCs w:val="18"/>
          <w:lang w:val="fr-FR"/>
        </w:rPr>
        <w:t>Fiqh, société et pouvoir: étude des soucis et préoccupations socio-politiques des théologiens-légistes maures (fuqahā) à partir de leurs consultati</w:t>
      </w:r>
      <w:r>
        <w:rPr>
          <w:rFonts w:ascii="Times New Roman" w:hAnsi="Times New Roman" w:cs="Times New Roman"/>
          <w:i/>
          <w:iCs/>
          <w:szCs w:val="18"/>
          <w:lang w:val="fr-FR"/>
        </w:rPr>
        <w:t>ons juridiques (futāwā), du XVII</w:t>
      </w:r>
      <w:r>
        <w:rPr>
          <w:rFonts w:ascii="Times New Roman" w:hAnsi="Times New Roman" w:cs="Times New Roman"/>
          <w:i/>
          <w:iCs/>
          <w:szCs w:val="18"/>
          <w:vertAlign w:val="superscript"/>
          <w:lang w:val="fr-FR"/>
        </w:rPr>
        <w:t>e</w:t>
      </w:r>
      <w:r>
        <w:rPr>
          <w:rFonts w:ascii="Times New Roman" w:hAnsi="Times New Roman" w:cs="Times New Roman"/>
          <w:i/>
          <w:iCs/>
          <w:szCs w:val="18"/>
          <w:lang w:val="fr-FR"/>
        </w:rPr>
        <w:t xml:space="preserve"> au XX</w:t>
      </w:r>
      <w:r>
        <w:rPr>
          <w:rFonts w:ascii="Times New Roman" w:hAnsi="Times New Roman" w:cs="Times New Roman"/>
          <w:i/>
          <w:iCs/>
          <w:szCs w:val="18"/>
          <w:vertAlign w:val="superscript"/>
          <w:lang w:val="fr-FR"/>
        </w:rPr>
        <w:t>e</w:t>
      </w:r>
      <w:r>
        <w:rPr>
          <w:rFonts w:ascii="Times New Roman" w:hAnsi="Times New Roman" w:cs="Times New Roman"/>
          <w:i/>
          <w:iCs/>
          <w:szCs w:val="18"/>
          <w:lang w:val="fr-FR"/>
        </w:rPr>
        <w:t xml:space="preserve"> siècle</w:t>
      </w:r>
      <w:r>
        <w:rPr>
          <w:rFonts w:ascii="Times New Roman" w:hAnsi="Times New Roman" w:cs="Times New Roman"/>
          <w:szCs w:val="18"/>
          <w:lang w:val="fr-FR"/>
        </w:rPr>
        <w:t xml:space="preserve"> (Ph.D. dissertation: Social  Anthropology: École des Hautes Études en Sciences Sociales, Paris, 2000), Abdel Wedoud Ould Cheikh, </w:t>
      </w:r>
      <w:r>
        <w:rPr>
          <w:rFonts w:ascii="Times New Roman" w:hAnsi="Times New Roman" w:cs="Times New Roman"/>
          <w:i/>
          <w:iCs/>
          <w:szCs w:val="18"/>
          <w:lang w:val="fr-FR"/>
        </w:rPr>
        <w:t>Nomadisme, Islam et pouvoir dans la société maure précoloniale (XI</w:t>
      </w:r>
      <w:r>
        <w:rPr>
          <w:rFonts w:ascii="Times New Roman" w:hAnsi="Times New Roman" w:cs="Times New Roman"/>
          <w:i/>
          <w:iCs/>
          <w:szCs w:val="18"/>
          <w:vertAlign w:val="superscript"/>
          <w:lang w:val="fr-FR"/>
        </w:rPr>
        <w:t>e</w:t>
      </w:r>
      <w:r>
        <w:rPr>
          <w:rFonts w:ascii="Times New Roman" w:hAnsi="Times New Roman" w:cs="Times New Roman"/>
          <w:i/>
          <w:iCs/>
          <w:szCs w:val="18"/>
          <w:lang w:val="fr-FR"/>
        </w:rPr>
        <w:t xml:space="preserve"> siècle – XI</w:t>
      </w:r>
      <w:r>
        <w:rPr>
          <w:rFonts w:ascii="Times New Roman" w:hAnsi="Times New Roman" w:cs="Times New Roman"/>
          <w:i/>
          <w:iCs/>
          <w:szCs w:val="18"/>
          <w:lang w:val="fr-FR"/>
        </w:rPr>
        <w:t>X</w:t>
      </w:r>
      <w:r>
        <w:rPr>
          <w:rFonts w:ascii="Times New Roman" w:hAnsi="Times New Roman" w:cs="Times New Roman"/>
          <w:i/>
          <w:iCs/>
          <w:szCs w:val="18"/>
          <w:vertAlign w:val="superscript"/>
          <w:lang w:val="fr-FR"/>
        </w:rPr>
        <w:t>e</w:t>
      </w:r>
      <w:r>
        <w:rPr>
          <w:rFonts w:ascii="Times New Roman" w:hAnsi="Times New Roman" w:cs="Times New Roman"/>
          <w:i/>
          <w:iCs/>
          <w:szCs w:val="18"/>
          <w:lang w:val="fr-FR"/>
        </w:rPr>
        <w:t xml:space="preserve"> siècle): essai sur quelques aspects du tribalisme</w:t>
      </w:r>
      <w:r>
        <w:rPr>
          <w:rFonts w:ascii="Times New Roman" w:hAnsi="Times New Roman" w:cs="Times New Roman"/>
          <w:szCs w:val="18"/>
          <w:lang w:val="fr-FR"/>
        </w:rPr>
        <w:t xml:space="preserve"> (Ph.d. dissertation: Sociology: Université Paris Descartes, 1985), Charles Stewart, </w:t>
      </w:r>
      <w:r>
        <w:rPr>
          <w:rFonts w:ascii="Times New Roman" w:hAnsi="Times New Roman" w:cs="Times New Roman"/>
          <w:i/>
          <w:iCs/>
          <w:szCs w:val="18"/>
          <w:lang w:val="fr-FR"/>
        </w:rPr>
        <w:t>Islam and Social Order in Mauritania: A Case Study from the 19th Century</w:t>
      </w:r>
      <w:r>
        <w:rPr>
          <w:rFonts w:ascii="Times New Roman" w:hAnsi="Times New Roman" w:cs="Times New Roman"/>
          <w:szCs w:val="18"/>
          <w:lang w:val="fr-FR"/>
        </w:rPr>
        <w:t xml:space="preserve"> (Oxford: Clarendon Press, 1973).</w:t>
      </w:r>
    </w:p>
  </w:footnote>
  <w:footnote w:id="5">
    <w:p w14:paraId="20E46C1F" w14:textId="77777777" w:rsidR="00000000" w:rsidRDefault="00436F74">
      <w:pPr>
        <w:pStyle w:val="FootnoteText"/>
        <w:spacing w:line="240" w:lineRule="auto"/>
        <w:jc w:val="both"/>
        <w:rPr>
          <w:rFonts w:ascii="Times New Roman" w:hAnsi="Times New Roman" w:cs="Times New Roman"/>
          <w:szCs w:val="18"/>
          <w:lang w:val="fr-FR"/>
        </w:rPr>
      </w:pPr>
      <w:r>
        <w:rPr>
          <w:rStyle w:val="FootnoteReference"/>
          <w:rFonts w:ascii="Times New Roman" w:hAnsi="Times New Roman" w:cs="Times New Roman"/>
          <w:szCs w:val="18"/>
        </w:rPr>
        <w:footnoteRef/>
      </w:r>
      <w:r>
        <w:rPr>
          <w:rFonts w:ascii="Times New Roman" w:hAnsi="Times New Roman" w:cs="Times New Roman"/>
          <w:szCs w:val="18"/>
        </w:rPr>
        <w:t xml:space="preserve"> Bruce Hall,</w:t>
      </w:r>
      <w:r>
        <w:rPr>
          <w:rFonts w:ascii="Times New Roman" w:hAnsi="Times New Roman" w:cs="Times New Roman"/>
          <w:szCs w:val="18"/>
        </w:rPr>
        <w:t xml:space="preserve"> </w:t>
      </w:r>
      <w:r>
        <w:rPr>
          <w:rFonts w:ascii="Times New Roman" w:hAnsi="Times New Roman" w:cs="Times New Roman"/>
          <w:i/>
          <w:iCs/>
          <w:szCs w:val="18"/>
        </w:rPr>
        <w:t>A History of Race in Muslim West Africa, 1600-1900</w:t>
      </w:r>
      <w:r>
        <w:rPr>
          <w:rFonts w:ascii="Times New Roman" w:hAnsi="Times New Roman" w:cs="Times New Roman"/>
          <w:szCs w:val="18"/>
        </w:rPr>
        <w:t xml:space="preserve"> (Cambridge, New York: Cambridge University Press, 2011), </w:t>
      </w:r>
      <w:r>
        <w:rPr>
          <w:rStyle w:val="SansinterligneCar"/>
          <w:rFonts w:cs="Times New Roman"/>
          <w:sz w:val="20"/>
          <w:szCs w:val="18"/>
        </w:rPr>
        <w:t xml:space="preserve">Ghislaine Lydon, </w:t>
      </w:r>
      <w:r>
        <w:rPr>
          <w:rStyle w:val="SansinterligneCar"/>
          <w:rFonts w:cs="Times New Roman"/>
          <w:i/>
          <w:iCs/>
          <w:sz w:val="20"/>
          <w:szCs w:val="18"/>
        </w:rPr>
        <w:t>On Trans-Saharan Trails: Islamic Law, Trade Networks, and Cross-Cultural Exchange in Nineteenth-Century Western Africa</w:t>
      </w:r>
      <w:r>
        <w:rPr>
          <w:rStyle w:val="SansinterligneCar"/>
          <w:rFonts w:cs="Times New Roman"/>
          <w:sz w:val="20"/>
          <w:szCs w:val="18"/>
        </w:rPr>
        <w:t xml:space="preserve"> (Cambridge:</w:t>
      </w:r>
      <w:r>
        <w:rPr>
          <w:rStyle w:val="SansinterligneCar"/>
          <w:rFonts w:cs="Times New Roman"/>
          <w:sz w:val="20"/>
          <w:szCs w:val="18"/>
        </w:rPr>
        <w:t xml:space="preserve"> Cambridge University Press, 2009),</w:t>
      </w:r>
      <w:r>
        <w:rPr>
          <w:rFonts w:ascii="Times New Roman" w:hAnsi="Times New Roman" w:cs="Times New Roman"/>
          <w:szCs w:val="18"/>
        </w:rPr>
        <w:t xml:space="preserve"> Rainer Oßwald, </w:t>
      </w:r>
      <w:r>
        <w:rPr>
          <w:rFonts w:ascii="Times New Roman" w:hAnsi="Times New Roman" w:cs="Times New Roman"/>
          <w:i/>
          <w:iCs/>
          <w:szCs w:val="18"/>
        </w:rPr>
        <w:t xml:space="preserve">Schichtengesellschaft und islamisches Recht: die Zawāyā und Krieger der Westsahara im Spiegel von Rechtsgutachten des 16.-19. </w:t>
      </w:r>
      <w:r>
        <w:rPr>
          <w:rFonts w:ascii="Times New Roman" w:hAnsi="Times New Roman" w:cs="Times New Roman"/>
          <w:i/>
          <w:iCs/>
          <w:szCs w:val="18"/>
          <w:lang w:val="fr-FR"/>
        </w:rPr>
        <w:t>Jahrhunderts</w:t>
      </w:r>
      <w:r>
        <w:rPr>
          <w:rFonts w:ascii="Times New Roman" w:hAnsi="Times New Roman" w:cs="Times New Roman"/>
          <w:szCs w:val="18"/>
          <w:lang w:val="fr-FR"/>
        </w:rPr>
        <w:t xml:space="preserve"> (Wiesbaden: Harrassowitz, 1993), Ould-Al-Bara, </w:t>
      </w:r>
      <w:r>
        <w:rPr>
          <w:rFonts w:ascii="Times New Roman" w:hAnsi="Times New Roman" w:cs="Times New Roman"/>
          <w:i/>
          <w:iCs/>
          <w:szCs w:val="18"/>
          <w:lang w:val="fr-FR"/>
        </w:rPr>
        <w:t>Fiqh, société et po</w:t>
      </w:r>
      <w:r>
        <w:rPr>
          <w:rFonts w:ascii="Times New Roman" w:hAnsi="Times New Roman" w:cs="Times New Roman"/>
          <w:i/>
          <w:iCs/>
          <w:szCs w:val="18"/>
          <w:lang w:val="fr-FR"/>
        </w:rPr>
        <w:t>uvoir</w:t>
      </w:r>
      <w:r>
        <w:rPr>
          <w:rFonts w:ascii="Times New Roman" w:hAnsi="Times New Roman" w:cs="Times New Roman"/>
          <w:szCs w:val="18"/>
          <w:lang w:val="fr-FR"/>
        </w:rPr>
        <w:t xml:space="preserve">, </w:t>
      </w:r>
      <w:r>
        <w:rPr>
          <w:rStyle w:val="SansinterligneCar"/>
          <w:rFonts w:cs="Times New Roman"/>
          <w:sz w:val="20"/>
          <w:szCs w:val="18"/>
          <w:lang w:val="fr-FR"/>
        </w:rPr>
        <w:t xml:space="preserve">Ismail Warscheid, </w:t>
      </w:r>
      <w:r>
        <w:rPr>
          <w:rStyle w:val="SansinterligneCar"/>
          <w:rFonts w:cs="Times New Roman"/>
          <w:i/>
          <w:iCs/>
          <w:sz w:val="20"/>
          <w:szCs w:val="18"/>
          <w:lang w:val="fr-FR"/>
        </w:rPr>
        <w:t>Droit musulman et société au Sahara prémoderne : la justice islamique dans les oasis du Grand Touat (Algérie) aux XVIIe-XIXe siècles</w:t>
      </w:r>
      <w:r>
        <w:rPr>
          <w:rStyle w:val="SansinterligneCar"/>
          <w:rFonts w:cs="Times New Roman"/>
          <w:sz w:val="20"/>
          <w:szCs w:val="18"/>
          <w:lang w:val="fr-FR"/>
        </w:rPr>
        <w:t xml:space="preserve"> (Leiden: Brill, 2017).</w:t>
      </w:r>
    </w:p>
  </w:footnote>
  <w:footnote w:id="6">
    <w:p w14:paraId="7614B301"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For a thoughtful analysis of such power dynamics, see the various works b</w:t>
      </w:r>
      <w:r>
        <w:rPr>
          <w:rFonts w:cs="Times New Roman"/>
          <w:sz w:val="20"/>
          <w:szCs w:val="18"/>
        </w:rPr>
        <w:t xml:space="preserve">y the French anthropologist Pierre Bonte, most notably his </w:t>
      </w:r>
      <w:r>
        <w:rPr>
          <w:rFonts w:cs="Times New Roman"/>
          <w:i/>
          <w:iCs/>
          <w:sz w:val="20"/>
          <w:szCs w:val="18"/>
        </w:rPr>
        <w:t>L’émirat de l’Adrar mauritanien: harîm, competition et protection dans une société tribale saharienne</w:t>
      </w:r>
      <w:r>
        <w:rPr>
          <w:rFonts w:cs="Times New Roman"/>
          <w:sz w:val="20"/>
          <w:szCs w:val="18"/>
        </w:rPr>
        <w:t xml:space="preserve"> (Paris: Karthala, 2008).</w:t>
      </w:r>
      <w:r>
        <w:rPr>
          <w:rFonts w:cs="Times New Roman"/>
          <w:i/>
          <w:iCs/>
          <w:sz w:val="20"/>
          <w:szCs w:val="18"/>
        </w:rPr>
        <w:t xml:space="preserve"> </w:t>
      </w:r>
      <w:r>
        <w:rPr>
          <w:rFonts w:cs="Times New Roman"/>
          <w:sz w:val="20"/>
          <w:szCs w:val="18"/>
        </w:rPr>
        <w:t xml:space="preserve"> </w:t>
      </w:r>
    </w:p>
  </w:footnote>
  <w:footnote w:id="7">
    <w:p w14:paraId="13243416"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Religious groups emerged, claiming social prestige through piety a</w:t>
      </w:r>
      <w:r>
        <w:rPr>
          <w:rFonts w:cs="Times New Roman"/>
          <w:sz w:val="20"/>
          <w:szCs w:val="18"/>
        </w:rPr>
        <w:t xml:space="preserve">nd knowledge, while investing in oasis agriculture and the caravan trade. Such groups were referred to as </w:t>
      </w:r>
      <w:r>
        <w:rPr>
          <w:rFonts w:cs="Times New Roman"/>
          <w:i/>
          <w:iCs/>
          <w:sz w:val="20"/>
          <w:szCs w:val="18"/>
        </w:rPr>
        <w:t>zwāyā</w:t>
      </w:r>
      <w:r>
        <w:rPr>
          <w:rFonts w:cs="Times New Roman"/>
          <w:sz w:val="20"/>
          <w:szCs w:val="18"/>
        </w:rPr>
        <w:t xml:space="preserve">, </w:t>
      </w:r>
      <w:r>
        <w:rPr>
          <w:rFonts w:cs="Times New Roman"/>
          <w:i/>
          <w:iCs/>
          <w:sz w:val="20"/>
          <w:szCs w:val="18"/>
        </w:rPr>
        <w:t>ṭ</w:t>
      </w:r>
      <w:r>
        <w:rPr>
          <w:rFonts w:cs="Times New Roman"/>
          <w:i/>
          <w:iCs/>
          <w:sz w:val="20"/>
          <w:szCs w:val="18"/>
        </w:rPr>
        <w:t>ulba</w:t>
      </w:r>
      <w:r>
        <w:rPr>
          <w:rFonts w:cs="Times New Roman"/>
          <w:sz w:val="20"/>
          <w:szCs w:val="18"/>
        </w:rPr>
        <w:t xml:space="preserve">, or </w:t>
      </w:r>
      <w:r>
        <w:rPr>
          <w:rFonts w:cs="Times New Roman"/>
          <w:i/>
          <w:iCs/>
          <w:sz w:val="20"/>
          <w:szCs w:val="18"/>
        </w:rPr>
        <w:t>mrāb</w:t>
      </w:r>
      <w:r>
        <w:rPr>
          <w:rFonts w:cs="Times New Roman"/>
          <w:i/>
          <w:iCs/>
          <w:sz w:val="20"/>
          <w:szCs w:val="18"/>
        </w:rPr>
        <w:t>ṭ</w:t>
      </w:r>
      <w:r>
        <w:rPr>
          <w:rFonts w:cs="Times New Roman"/>
          <w:i/>
          <w:iCs/>
          <w:sz w:val="20"/>
          <w:szCs w:val="18"/>
        </w:rPr>
        <w:t>īn</w:t>
      </w:r>
      <w:r>
        <w:rPr>
          <w:rFonts w:cs="Times New Roman"/>
          <w:sz w:val="20"/>
          <w:szCs w:val="18"/>
        </w:rPr>
        <w:t xml:space="preserve"> in vernacular Arabic, with the specific term used varying from region to region. Others asserted their descent from the Banū </w:t>
      </w:r>
      <w:r>
        <w:rPr>
          <w:rFonts w:cs="Times New Roman"/>
          <w:sz w:val="20"/>
          <w:szCs w:val="18"/>
        </w:rPr>
        <w:t xml:space="preserve">Hilāl and, as fierce desert raiders, sought to uphold their ancestors’ Bedouin ideals. Cf. Ould Cheikh, </w:t>
      </w:r>
      <w:r>
        <w:rPr>
          <w:rFonts w:cs="Times New Roman"/>
          <w:i/>
          <w:iCs/>
          <w:sz w:val="20"/>
          <w:szCs w:val="18"/>
        </w:rPr>
        <w:t>Nomadisme, Islam et pouvoir</w:t>
      </w:r>
      <w:r>
        <w:rPr>
          <w:rFonts w:cs="Times New Roman"/>
          <w:sz w:val="20"/>
          <w:szCs w:val="18"/>
        </w:rPr>
        <w:t xml:space="preserve">, Stewart, </w:t>
      </w:r>
      <w:r>
        <w:rPr>
          <w:rFonts w:cs="Times New Roman"/>
          <w:i/>
          <w:iCs/>
          <w:sz w:val="20"/>
          <w:szCs w:val="18"/>
        </w:rPr>
        <w:t>Islam and Social Order</w:t>
      </w:r>
      <w:r>
        <w:rPr>
          <w:rFonts w:cs="Times New Roman"/>
          <w:sz w:val="20"/>
          <w:szCs w:val="18"/>
        </w:rPr>
        <w:t>.</w:t>
      </w:r>
    </w:p>
  </w:footnote>
  <w:footnote w:id="8">
    <w:p w14:paraId="6EEEFA3E"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Hall, </w:t>
      </w:r>
      <w:r>
        <w:rPr>
          <w:rFonts w:cs="Times New Roman"/>
          <w:i/>
          <w:sz w:val="20"/>
          <w:szCs w:val="18"/>
        </w:rPr>
        <w:t>A History of Race</w:t>
      </w:r>
      <w:r>
        <w:rPr>
          <w:rFonts w:cs="Times New Roman"/>
          <w:sz w:val="20"/>
          <w:szCs w:val="18"/>
        </w:rPr>
        <w:t xml:space="preserve">, Rainer Oßwald, </w:t>
      </w:r>
      <w:r>
        <w:rPr>
          <w:rFonts w:cs="Times New Roman"/>
          <w:i/>
          <w:sz w:val="20"/>
          <w:szCs w:val="18"/>
        </w:rPr>
        <w:t xml:space="preserve">Sklavenhandel und Sklavenleben zwischen Senegal </w:t>
      </w:r>
      <w:r>
        <w:rPr>
          <w:rFonts w:cs="Times New Roman"/>
          <w:i/>
          <w:sz w:val="20"/>
          <w:szCs w:val="18"/>
        </w:rPr>
        <w:t>und Atlas</w:t>
      </w:r>
      <w:r>
        <w:rPr>
          <w:rFonts w:cs="Times New Roman"/>
          <w:sz w:val="20"/>
          <w:szCs w:val="18"/>
        </w:rPr>
        <w:t xml:space="preserve"> (Würzburg: Ergon, 2016), Marielle Villasante-de Beauvais (ed.), </w:t>
      </w:r>
      <w:r>
        <w:rPr>
          <w:rFonts w:cs="Times New Roman"/>
          <w:i/>
          <w:iCs/>
          <w:sz w:val="20"/>
          <w:szCs w:val="18"/>
        </w:rPr>
        <w:t>Groupes serviles au Sahara: approche comparative à partir du cas des arabophones de Mauritanie</w:t>
      </w:r>
      <w:r>
        <w:rPr>
          <w:rFonts w:cs="Times New Roman"/>
          <w:sz w:val="20"/>
          <w:szCs w:val="18"/>
        </w:rPr>
        <w:t xml:space="preserve"> (Paris: Éd. du CNRS, 2000), E. Ann McDougall, “</w:t>
      </w:r>
      <w:r>
        <w:rPr>
          <w:rFonts w:cs="Times New Roman"/>
          <w:color w:val="000000"/>
          <w:sz w:val="20"/>
          <w:szCs w:val="18"/>
        </w:rPr>
        <w:t>Visions of the Sahara: Negotiating the H</w:t>
      </w:r>
      <w:r>
        <w:rPr>
          <w:rFonts w:cs="Times New Roman"/>
          <w:color w:val="000000"/>
          <w:sz w:val="20"/>
          <w:szCs w:val="18"/>
        </w:rPr>
        <w:t xml:space="preserve">istory and Historiography of Premodern Saharan Slavery”, </w:t>
      </w:r>
      <w:r>
        <w:rPr>
          <w:rFonts w:cs="Times New Roman"/>
          <w:i/>
          <w:iCs/>
          <w:color w:val="000000"/>
          <w:sz w:val="20"/>
          <w:szCs w:val="18"/>
        </w:rPr>
        <w:t>Comparative Studies of South Asia, Africa, and the Middle East</w:t>
      </w:r>
      <w:r>
        <w:rPr>
          <w:rFonts w:cs="Times New Roman"/>
          <w:color w:val="000000"/>
          <w:sz w:val="20"/>
          <w:szCs w:val="18"/>
        </w:rPr>
        <w:t xml:space="preserve"> 38:2 (2018), 211-29.</w:t>
      </w:r>
      <w:r>
        <w:rPr>
          <w:rFonts w:cs="Times New Roman"/>
          <w:i/>
          <w:iCs/>
          <w:color w:val="000000"/>
          <w:sz w:val="20"/>
          <w:szCs w:val="18"/>
        </w:rPr>
        <w:t xml:space="preserve"> </w:t>
      </w:r>
      <w:r>
        <w:rPr>
          <w:rFonts w:cs="Times New Roman"/>
          <w:sz w:val="20"/>
          <w:szCs w:val="18"/>
        </w:rPr>
        <w:t xml:space="preserve"> </w:t>
      </w:r>
    </w:p>
  </w:footnote>
  <w:footnote w:id="9">
    <w:p w14:paraId="61031CF3"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More precisely, the region comprises three main oasis groups: Tuwāt itself, Tidikelt, and Gourara, part of whose inhabitants speak a variant of </w:t>
      </w:r>
      <w:r>
        <w:rPr>
          <w:rFonts w:cs="Times New Roman"/>
          <w:i/>
          <w:iCs/>
          <w:sz w:val="20"/>
          <w:szCs w:val="18"/>
        </w:rPr>
        <w:t>Tamazight</w:t>
      </w:r>
      <w:r>
        <w:rPr>
          <w:rFonts w:cs="Times New Roman"/>
          <w:sz w:val="20"/>
          <w:szCs w:val="18"/>
        </w:rPr>
        <w:t xml:space="preserve"> called </w:t>
      </w:r>
      <w:r>
        <w:rPr>
          <w:rFonts w:cs="Times New Roman"/>
          <w:i/>
          <w:iCs/>
          <w:sz w:val="20"/>
          <w:szCs w:val="18"/>
        </w:rPr>
        <w:t>zanātīya</w:t>
      </w:r>
      <w:r>
        <w:rPr>
          <w:rFonts w:cs="Times New Roman"/>
          <w:sz w:val="20"/>
          <w:szCs w:val="18"/>
        </w:rPr>
        <w:t>.</w:t>
      </w:r>
    </w:p>
  </w:footnote>
  <w:footnote w:id="10">
    <w:p w14:paraId="4F7A7D01"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Judith Scheele, </w:t>
      </w:r>
      <w:r>
        <w:rPr>
          <w:rFonts w:cs="Times New Roman"/>
          <w:i/>
          <w:iCs/>
          <w:sz w:val="20"/>
          <w:szCs w:val="18"/>
        </w:rPr>
        <w:t>Smugglers and Saints of the Sahara: Regional Connectivity in the T</w:t>
      </w:r>
      <w:r>
        <w:rPr>
          <w:rFonts w:cs="Times New Roman"/>
          <w:i/>
          <w:iCs/>
          <w:sz w:val="20"/>
          <w:szCs w:val="18"/>
        </w:rPr>
        <w:t>wentieth Century</w:t>
      </w:r>
      <w:r>
        <w:rPr>
          <w:rFonts w:cs="Times New Roman"/>
          <w:sz w:val="20"/>
          <w:szCs w:val="18"/>
        </w:rPr>
        <w:t xml:space="preserve"> (Cambridge: Cambridge University Press, 2012).</w:t>
      </w:r>
    </w:p>
  </w:footnote>
  <w:footnote w:id="11">
    <w:p w14:paraId="291A6A54" w14:textId="77777777" w:rsidR="00000000"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Élise Voguet, “Tlemcen-Touat-Tombouctou: un réseau transsaharien de diffusion du mālikisme (fin VIII</w:t>
      </w:r>
      <w:r>
        <w:rPr>
          <w:rFonts w:cs="Times New Roman"/>
          <w:sz w:val="20"/>
          <w:szCs w:val="18"/>
          <w:vertAlign w:val="superscript"/>
          <w:lang w:val="fr-FR"/>
        </w:rPr>
        <w:t>e</w:t>
      </w:r>
      <w:r>
        <w:rPr>
          <w:rFonts w:cs="Times New Roman"/>
          <w:sz w:val="20"/>
          <w:szCs w:val="18"/>
          <w:lang w:val="fr-FR"/>
        </w:rPr>
        <w:t>/XIV</w:t>
      </w:r>
      <w:r>
        <w:rPr>
          <w:rFonts w:cs="Times New Roman"/>
          <w:sz w:val="20"/>
          <w:szCs w:val="18"/>
          <w:vertAlign w:val="superscript"/>
          <w:lang w:val="fr-FR"/>
        </w:rPr>
        <w:t>e</w:t>
      </w:r>
      <w:r>
        <w:rPr>
          <w:rFonts w:cs="Times New Roman"/>
          <w:sz w:val="20"/>
          <w:szCs w:val="18"/>
          <w:lang w:val="fr-FR"/>
        </w:rPr>
        <w:t>-XI</w:t>
      </w:r>
      <w:r>
        <w:rPr>
          <w:rFonts w:cs="Times New Roman"/>
          <w:sz w:val="20"/>
          <w:szCs w:val="18"/>
          <w:vertAlign w:val="superscript"/>
          <w:lang w:val="fr-FR"/>
        </w:rPr>
        <w:t>e</w:t>
      </w:r>
      <w:r>
        <w:rPr>
          <w:rFonts w:cs="Times New Roman"/>
          <w:sz w:val="20"/>
          <w:szCs w:val="18"/>
          <w:lang w:val="fr-FR"/>
        </w:rPr>
        <w:t>/XVII</w:t>
      </w:r>
      <w:r>
        <w:rPr>
          <w:rFonts w:cs="Times New Roman"/>
          <w:sz w:val="20"/>
          <w:szCs w:val="18"/>
          <w:vertAlign w:val="superscript"/>
          <w:lang w:val="fr-FR"/>
        </w:rPr>
        <w:t>e</w:t>
      </w:r>
      <w:r>
        <w:rPr>
          <w:rFonts w:cs="Times New Roman"/>
          <w:sz w:val="20"/>
          <w:szCs w:val="18"/>
          <w:lang w:val="fr-FR"/>
        </w:rPr>
        <w:t xml:space="preserve"> siècle)”, </w:t>
      </w:r>
      <w:r>
        <w:rPr>
          <w:rFonts w:cs="Times New Roman"/>
          <w:i/>
          <w:iCs/>
          <w:sz w:val="20"/>
          <w:szCs w:val="18"/>
          <w:lang w:val="fr-FR"/>
        </w:rPr>
        <w:t>Revue des Mondes Musulmans et de la Méditerranée</w:t>
      </w:r>
      <w:r>
        <w:rPr>
          <w:rFonts w:cs="Times New Roman"/>
          <w:sz w:val="20"/>
          <w:szCs w:val="18"/>
          <w:lang w:val="fr-FR"/>
        </w:rPr>
        <w:t xml:space="preserve"> 141 (2017), 25</w:t>
      </w:r>
      <w:r>
        <w:rPr>
          <w:rFonts w:cs="Times New Roman"/>
          <w:sz w:val="20"/>
          <w:szCs w:val="18"/>
          <w:lang w:val="fr-FR"/>
        </w:rPr>
        <w:t xml:space="preserve">9-79, Warscheid, </w:t>
      </w:r>
      <w:r>
        <w:rPr>
          <w:rFonts w:cs="Times New Roman"/>
          <w:i/>
          <w:iCs/>
          <w:sz w:val="20"/>
          <w:szCs w:val="18"/>
          <w:lang w:val="fr-FR"/>
        </w:rPr>
        <w:t>Droit musulman et société</w:t>
      </w:r>
      <w:r>
        <w:rPr>
          <w:rFonts w:cs="Times New Roman"/>
          <w:sz w:val="20"/>
          <w:szCs w:val="18"/>
          <w:lang w:val="fr-FR"/>
        </w:rPr>
        <w:t>, 28-39.</w:t>
      </w:r>
    </w:p>
  </w:footnote>
  <w:footnote w:id="12">
    <w:p w14:paraId="756DDF9F"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John Hunwick, </w:t>
      </w:r>
      <w:r>
        <w:rPr>
          <w:rFonts w:cs="Times New Roman"/>
          <w:i/>
          <w:iCs/>
          <w:sz w:val="20"/>
          <w:szCs w:val="18"/>
        </w:rPr>
        <w:t>Sharī´a in Songhay: The Replies of al-Maghīlī to the Questions of Askia al-</w:t>
      </w:r>
      <w:r>
        <w:rPr>
          <w:rFonts w:cs="Times New Roman"/>
          <w:i/>
          <w:iCs/>
          <w:sz w:val="20"/>
          <w:szCs w:val="18"/>
        </w:rPr>
        <w:t>Ḥ</w:t>
      </w:r>
      <w:r>
        <w:rPr>
          <w:rFonts w:cs="Times New Roman"/>
          <w:i/>
          <w:iCs/>
          <w:sz w:val="20"/>
          <w:szCs w:val="18"/>
        </w:rPr>
        <w:t>ājj Mu</w:t>
      </w:r>
      <w:r>
        <w:rPr>
          <w:rFonts w:cs="Times New Roman"/>
          <w:i/>
          <w:iCs/>
          <w:sz w:val="20"/>
          <w:szCs w:val="18"/>
        </w:rPr>
        <w:t>ḥ</w:t>
      </w:r>
      <w:r>
        <w:rPr>
          <w:rFonts w:cs="Times New Roman"/>
          <w:i/>
          <w:iCs/>
          <w:sz w:val="20"/>
          <w:szCs w:val="18"/>
        </w:rPr>
        <w:t>ammad</w:t>
      </w:r>
      <w:r>
        <w:rPr>
          <w:rFonts w:cs="Times New Roman"/>
          <w:sz w:val="20"/>
          <w:szCs w:val="18"/>
        </w:rPr>
        <w:t xml:space="preserve"> (Oxford: Oxford University Press, 1985).</w:t>
      </w:r>
    </w:p>
  </w:footnote>
  <w:footnote w:id="13">
    <w:p w14:paraId="1328BF11" w14:textId="77777777" w:rsidR="00000000" w:rsidRDefault="00436F74">
      <w:pPr>
        <w:pStyle w:val="Sansinterligne"/>
        <w:jc w:val="both"/>
        <w:rPr>
          <w:rFonts w:cs="Times New Roman"/>
          <w:sz w:val="20"/>
          <w:szCs w:val="18"/>
          <w:lang w:val="fr-CH"/>
        </w:rPr>
      </w:pPr>
      <w:r>
        <w:rPr>
          <w:rStyle w:val="FootnoteReference"/>
          <w:rFonts w:cs="Times New Roman"/>
          <w:sz w:val="20"/>
          <w:szCs w:val="18"/>
        </w:rPr>
        <w:footnoteRef/>
      </w:r>
      <w:r>
        <w:rPr>
          <w:rFonts w:cs="Times New Roman"/>
          <w:sz w:val="20"/>
          <w:szCs w:val="18"/>
          <w:lang w:val="fr-FR"/>
        </w:rPr>
        <w:t xml:space="preserve"> </w:t>
      </w:r>
      <w:r>
        <w:rPr>
          <w:rFonts w:cs="Times New Roman"/>
          <w:sz w:val="20"/>
          <w:szCs w:val="18"/>
          <w:lang w:val="fr-CH"/>
        </w:rPr>
        <w:t xml:space="preserve">Warscheid, </w:t>
      </w:r>
      <w:r>
        <w:rPr>
          <w:rFonts w:cs="Times New Roman"/>
          <w:i/>
          <w:iCs/>
          <w:sz w:val="20"/>
          <w:szCs w:val="18"/>
          <w:lang w:val="fr-FR"/>
        </w:rPr>
        <w:t>Droit musulman et société</w:t>
      </w:r>
      <w:r>
        <w:rPr>
          <w:rFonts w:cs="Times New Roman"/>
          <w:sz w:val="20"/>
          <w:szCs w:val="18"/>
          <w:lang w:val="fr-FR"/>
        </w:rPr>
        <w:t>, 40-48.</w:t>
      </w:r>
    </w:p>
  </w:footnote>
  <w:footnote w:id="14">
    <w:p w14:paraId="1D369CA9"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Judith Sch</w:t>
      </w:r>
      <w:r>
        <w:rPr>
          <w:rFonts w:cs="Times New Roman"/>
          <w:sz w:val="20"/>
          <w:szCs w:val="18"/>
        </w:rPr>
        <w:t xml:space="preserve">eele, “Traders, Saints, and Irrigation: Reflections on Saharan Connectivity”, </w:t>
      </w:r>
      <w:r>
        <w:rPr>
          <w:rFonts w:cs="Times New Roman"/>
          <w:i/>
          <w:iCs/>
          <w:sz w:val="20"/>
          <w:szCs w:val="18"/>
        </w:rPr>
        <w:t xml:space="preserve">Journal of African History </w:t>
      </w:r>
      <w:r>
        <w:rPr>
          <w:rFonts w:cs="Times New Roman"/>
          <w:sz w:val="20"/>
          <w:szCs w:val="18"/>
        </w:rPr>
        <w:t xml:space="preserve">51:3 (2010), 281-300. </w:t>
      </w:r>
    </w:p>
  </w:footnote>
  <w:footnote w:id="15">
    <w:p w14:paraId="5324BCAF" w14:textId="77777777" w:rsidR="00000000"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rtl/>
        </w:rPr>
        <w:t xml:space="preserve"> </w:t>
      </w:r>
      <w:r>
        <w:rPr>
          <w:rFonts w:cs="Times New Roman"/>
          <w:sz w:val="20"/>
          <w:szCs w:val="18"/>
        </w:rPr>
        <w:t>On manuscripts collections in contemporary Tuwāt, see Judith Scheele, “Coming to Terms with Tradition: Manuscript Conservation</w:t>
      </w:r>
      <w:r>
        <w:rPr>
          <w:rFonts w:cs="Times New Roman"/>
          <w:sz w:val="20"/>
          <w:szCs w:val="18"/>
        </w:rPr>
        <w:t xml:space="preserve"> in Contemporary Algeria”, in </w:t>
      </w:r>
      <w:r>
        <w:rPr>
          <w:rFonts w:cs="Times New Roman"/>
          <w:i/>
          <w:iCs/>
          <w:sz w:val="20"/>
          <w:szCs w:val="18"/>
        </w:rPr>
        <w:t>The Trans-Saharan Book Trade: Manuscript Culture, Arabic Literacy and Intellectual History in Muslim Africa</w:t>
      </w:r>
      <w:r>
        <w:rPr>
          <w:rFonts w:cs="Times New Roman"/>
          <w:sz w:val="20"/>
          <w:szCs w:val="18"/>
        </w:rPr>
        <w:t xml:space="preserve">, ed. </w:t>
      </w:r>
      <w:r>
        <w:rPr>
          <w:rFonts w:cs="Times New Roman"/>
          <w:sz w:val="20"/>
          <w:szCs w:val="18"/>
          <w:lang w:val="fr-FR"/>
        </w:rPr>
        <w:t>Graziano Krätli and Ghislaine Lydon (Leiden: Brill, 2011), 291-318,</w:t>
      </w:r>
      <w:r>
        <w:rPr>
          <w:rFonts w:cs="Times New Roman"/>
          <w:i/>
          <w:iCs/>
          <w:sz w:val="20"/>
          <w:szCs w:val="18"/>
          <w:lang w:val="fr-FR"/>
        </w:rPr>
        <w:t xml:space="preserve"> </w:t>
      </w:r>
      <w:r>
        <w:rPr>
          <w:rFonts w:cs="Times New Roman"/>
          <w:sz w:val="20"/>
          <w:szCs w:val="18"/>
          <w:lang w:val="fr-FR"/>
        </w:rPr>
        <w:t xml:space="preserve">Élise Voguet, “Travailler sur les manuscrits </w:t>
      </w:r>
      <w:r>
        <w:rPr>
          <w:rFonts w:cs="Times New Roman"/>
          <w:sz w:val="20"/>
          <w:szCs w:val="18"/>
          <w:lang w:val="fr-FR"/>
        </w:rPr>
        <w:t xml:space="preserve">du Touat: expérience de recherche dans les bibliothèques privées (khizânât) du Sahara algérien”, </w:t>
      </w:r>
      <w:r>
        <w:rPr>
          <w:rFonts w:cs="Times New Roman"/>
          <w:i/>
          <w:iCs/>
          <w:sz w:val="20"/>
          <w:szCs w:val="18"/>
          <w:lang w:val="fr-FR"/>
        </w:rPr>
        <w:t>Revue de l’HISCA</w:t>
      </w:r>
      <w:r>
        <w:rPr>
          <w:rFonts w:cs="Times New Roman"/>
          <w:sz w:val="20"/>
          <w:szCs w:val="18"/>
          <w:lang w:val="fr-FR"/>
        </w:rPr>
        <w:t xml:space="preserve"> 8 (2019), 55-65.</w:t>
      </w:r>
    </w:p>
  </w:footnote>
  <w:footnote w:id="16">
    <w:p w14:paraId="436775BE"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On Islamic scholarly writing in the Saharan West, see Bruce Hall, Charles Stewart, “The Historic “Core Curriculum” and the </w:t>
      </w:r>
      <w:r>
        <w:rPr>
          <w:rFonts w:cs="Times New Roman"/>
          <w:sz w:val="20"/>
          <w:szCs w:val="18"/>
        </w:rPr>
        <w:t xml:space="preserve">Book Market in Islamic West Africa”, in Krätli, Lydon, </w:t>
      </w:r>
      <w:r>
        <w:rPr>
          <w:rFonts w:cs="Times New Roman"/>
          <w:i/>
          <w:iCs/>
          <w:sz w:val="20"/>
          <w:szCs w:val="18"/>
        </w:rPr>
        <w:t>The Trans-Saharan Book Trade</w:t>
      </w:r>
      <w:r>
        <w:rPr>
          <w:rFonts w:cs="Times New Roman"/>
          <w:sz w:val="20"/>
          <w:szCs w:val="18"/>
        </w:rPr>
        <w:t>, 109-174,</w:t>
      </w:r>
      <w:r>
        <w:rPr>
          <w:rFonts w:cs="Times New Roman"/>
          <w:i/>
          <w:iCs/>
          <w:sz w:val="20"/>
          <w:szCs w:val="18"/>
        </w:rPr>
        <w:t xml:space="preserve"> </w:t>
      </w:r>
      <w:r>
        <w:rPr>
          <w:rFonts w:cs="Times New Roman"/>
          <w:sz w:val="20"/>
          <w:szCs w:val="18"/>
        </w:rPr>
        <w:t xml:space="preserve">Rebstock, </w:t>
      </w:r>
      <w:r>
        <w:rPr>
          <w:rFonts w:cs="Times New Roman"/>
          <w:i/>
          <w:iCs/>
          <w:sz w:val="20"/>
          <w:szCs w:val="18"/>
        </w:rPr>
        <w:t>Maurische Literaturgeschichte</w:t>
      </w:r>
      <w:r>
        <w:rPr>
          <w:rFonts w:cs="Times New Roman"/>
          <w:sz w:val="20"/>
          <w:szCs w:val="18"/>
        </w:rPr>
        <w:t xml:space="preserve">, Stewart, </w:t>
      </w:r>
      <w:r>
        <w:rPr>
          <w:rFonts w:cs="Times New Roman"/>
          <w:i/>
          <w:iCs/>
          <w:sz w:val="20"/>
          <w:szCs w:val="18"/>
        </w:rPr>
        <w:t>The Writings of Mauritania and the Western Sahara</w:t>
      </w:r>
      <w:r>
        <w:rPr>
          <w:rFonts w:cs="Times New Roman"/>
          <w:sz w:val="20"/>
          <w:szCs w:val="18"/>
        </w:rPr>
        <w:t>.</w:t>
      </w:r>
    </w:p>
  </w:footnote>
  <w:footnote w:id="17">
    <w:p w14:paraId="731CD0A3" w14:textId="77777777" w:rsidR="00000000"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Ismail Warscheid, “Comment écrire un passé qui ne soit ni c</w:t>
      </w:r>
      <w:r>
        <w:rPr>
          <w:rFonts w:cs="Times New Roman"/>
          <w:sz w:val="20"/>
          <w:szCs w:val="18"/>
          <w:lang w:val="fr-FR"/>
        </w:rPr>
        <w:t xml:space="preserve">olonial ni classique </w:t>
      </w:r>
      <w:r>
        <w:rPr>
          <w:rFonts w:cs="Times New Roman"/>
          <w:sz w:val="20"/>
          <w:szCs w:val="18"/>
          <w:lang w:val="fr-FR"/>
        </w:rPr>
        <w:t xml:space="preserve">? Le cas du Tuwāt algérien”, in </w:t>
      </w:r>
      <w:r>
        <w:rPr>
          <w:rFonts w:cs="Times New Roman"/>
          <w:i/>
          <w:iCs/>
          <w:sz w:val="20"/>
          <w:szCs w:val="18"/>
          <w:lang w:val="fr-FR"/>
        </w:rPr>
        <w:t>Après l’Orientalisme: l’Orient crée par l’Orient</w:t>
      </w:r>
      <w:r>
        <w:rPr>
          <w:rFonts w:cs="Times New Roman"/>
          <w:sz w:val="20"/>
          <w:szCs w:val="18"/>
          <w:lang w:val="fr-FR"/>
        </w:rPr>
        <w:t xml:space="preserve">, ed. François Pouillon and Jean-Claude Vatin (Paris: Karthala, 2011), 411-424.    </w:t>
      </w:r>
    </w:p>
  </w:footnote>
  <w:footnote w:id="18">
    <w:p w14:paraId="337CFC85" w14:textId="77777777" w:rsidR="00000000"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Ismail Warscheid, “</w:t>
      </w:r>
      <w:r>
        <w:rPr>
          <w:rFonts w:cs="Times New Roman"/>
          <w:i/>
          <w:iCs/>
          <w:sz w:val="20"/>
          <w:szCs w:val="18"/>
          <w:lang w:val="fr-FR"/>
        </w:rPr>
        <w:t>Nawāzil de l’Ouest saharien (XVIIe – XXe siècles): une tradition jurisp</w:t>
      </w:r>
      <w:r>
        <w:rPr>
          <w:rFonts w:cs="Times New Roman"/>
          <w:i/>
          <w:iCs/>
          <w:sz w:val="20"/>
          <w:szCs w:val="18"/>
          <w:lang w:val="fr-FR"/>
        </w:rPr>
        <w:t>rudentielle africaine</w:t>
      </w:r>
      <w:r>
        <w:rPr>
          <w:rFonts w:cs="Times New Roman"/>
          <w:sz w:val="20"/>
          <w:szCs w:val="18"/>
          <w:lang w:val="fr-FR"/>
        </w:rPr>
        <w:t xml:space="preserve">”, in </w:t>
      </w:r>
      <w:r>
        <w:rPr>
          <w:rFonts w:cs="Times New Roman"/>
          <w:i/>
          <w:iCs/>
          <w:sz w:val="20"/>
          <w:szCs w:val="18"/>
          <w:lang w:val="fr-FR"/>
        </w:rPr>
        <w:t>Encyclopédie des historiographies: Afriques, Amériques, Asies</w:t>
      </w:r>
      <w:r>
        <w:rPr>
          <w:rFonts w:cs="Times New Roman"/>
          <w:sz w:val="20"/>
          <w:szCs w:val="18"/>
          <w:lang w:val="fr-FR"/>
        </w:rPr>
        <w:t>, ed. Nathalie Kouamé, Éric P. Meyer and Anne Viguier (Paris: Presse de l’Inalco, 2020), 1272-1281.</w:t>
      </w:r>
    </w:p>
  </w:footnote>
  <w:footnote w:id="19">
    <w:p w14:paraId="5CF0452B"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For details, see Warscheid, </w:t>
      </w:r>
      <w:r>
        <w:rPr>
          <w:rFonts w:cs="Times New Roman"/>
          <w:i/>
          <w:iCs/>
          <w:sz w:val="20"/>
          <w:szCs w:val="18"/>
        </w:rPr>
        <w:t>Droit musulman et société.</w:t>
      </w:r>
      <w:r>
        <w:rPr>
          <w:rFonts w:cs="Times New Roman"/>
          <w:sz w:val="20"/>
          <w:szCs w:val="18"/>
        </w:rPr>
        <w:t xml:space="preserve"> </w:t>
      </w:r>
    </w:p>
  </w:footnote>
  <w:footnote w:id="20">
    <w:p w14:paraId="089A6E12" w14:textId="77777777" w:rsidR="00000000" w:rsidRDefault="00436F74">
      <w:pPr>
        <w:jc w:val="both"/>
        <w:rPr>
          <w:sz w:val="20"/>
          <w:szCs w:val="18"/>
          <w:lang w:val="en-US"/>
        </w:rPr>
      </w:pPr>
      <w:r>
        <w:rPr>
          <w:rStyle w:val="FootnoteReference"/>
          <w:sz w:val="20"/>
          <w:szCs w:val="18"/>
        </w:rPr>
        <w:footnoteRef/>
      </w:r>
      <w:r>
        <w:rPr>
          <w:sz w:val="20"/>
          <w:szCs w:val="18"/>
          <w:lang w:val="en-US"/>
        </w:rPr>
        <w:t xml:space="preserve"> I worked</w:t>
      </w:r>
      <w:r>
        <w:rPr>
          <w:sz w:val="20"/>
          <w:szCs w:val="18"/>
          <w:lang w:val="en-US"/>
        </w:rPr>
        <w:t xml:space="preserve"> exclusively with manuscript copies collected during several research visit</w:t>
      </w:r>
      <w:r>
        <w:rPr>
          <w:sz w:val="20"/>
          <w:szCs w:val="18"/>
          <w:lang w:val="en-US"/>
        </w:rPr>
        <w:t xml:space="preserve">s to Tuwāt between 2009 and 2018. While I am unaware of any critical editions of these texts, it is likely that meanwhile some editions have been published. A selection of </w:t>
      </w:r>
      <w:r>
        <w:rPr>
          <w:rStyle w:val="Emphasis"/>
          <w:color w:val="0E101A"/>
          <w:sz w:val="20"/>
          <w:szCs w:val="18"/>
          <w:lang w:val="en-US"/>
        </w:rPr>
        <w:t>nawāzil</w:t>
      </w:r>
      <w:r>
        <w:rPr>
          <w:sz w:val="20"/>
          <w:szCs w:val="18"/>
          <w:lang w:val="en-US"/>
        </w:rPr>
        <w:t xml:space="preserve"> from Tuwāt was digitized between 2014 and 2017 as part of the French ANR-fun</w:t>
      </w:r>
      <w:r>
        <w:rPr>
          <w:sz w:val="20"/>
          <w:szCs w:val="18"/>
          <w:lang w:val="en-US"/>
        </w:rPr>
        <w:t xml:space="preserve">ded project </w:t>
      </w:r>
      <w:r>
        <w:rPr>
          <w:rStyle w:val="Emphasis"/>
          <w:color w:val="0E101A"/>
          <w:sz w:val="20"/>
          <w:szCs w:val="18"/>
          <w:lang w:val="en-US"/>
        </w:rPr>
        <w:t xml:space="preserve">Le Touat à la croisée des routes sahariennes (XIIIe-XVIIIe siècles) </w:t>
      </w:r>
      <w:r>
        <w:rPr>
          <w:sz w:val="20"/>
          <w:szCs w:val="18"/>
          <w:lang w:val="en-US"/>
        </w:rPr>
        <w:t xml:space="preserve">led by Élise Voguet (CNRS-IRHT). For more information on the project, see </w:t>
      </w:r>
      <w:hyperlink r:id="rId1" w:history="1">
        <w:r>
          <w:rPr>
            <w:rStyle w:val="Hyperlink"/>
            <w:sz w:val="20"/>
            <w:szCs w:val="18"/>
            <w:lang w:val="en-US"/>
          </w:rPr>
          <w:t>https://touat.fr</w:t>
        </w:r>
      </w:hyperlink>
      <w:r>
        <w:rPr>
          <w:sz w:val="20"/>
          <w:szCs w:val="18"/>
          <w:lang w:val="en-US"/>
        </w:rPr>
        <w:t xml:space="preserve">. </w:t>
      </w:r>
    </w:p>
  </w:footnote>
  <w:footnote w:id="21">
    <w:p w14:paraId="277D6E26"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ʿAbd al-Ra</w:t>
      </w:r>
      <w:r>
        <w:rPr>
          <w:rFonts w:cs="Times New Roman"/>
          <w:sz w:val="20"/>
          <w:szCs w:val="18"/>
        </w:rPr>
        <w:t>ḥ</w:t>
      </w:r>
      <w:r>
        <w:rPr>
          <w:rFonts w:cs="Times New Roman"/>
          <w:sz w:val="20"/>
          <w:szCs w:val="18"/>
        </w:rPr>
        <w:t xml:space="preserve">mān al-Jantūrī, </w:t>
      </w:r>
      <w:r>
        <w:rPr>
          <w:rFonts w:cs="Times New Roman"/>
          <w:i/>
          <w:iCs/>
          <w:sz w:val="20"/>
          <w:szCs w:val="18"/>
        </w:rPr>
        <w:t>Nawāzil</w:t>
      </w:r>
      <w:r>
        <w:rPr>
          <w:rFonts w:cs="Times New Roman"/>
          <w:sz w:val="20"/>
          <w:szCs w:val="18"/>
        </w:rPr>
        <w:t>, mss., collec</w:t>
      </w:r>
      <w:r>
        <w:rPr>
          <w:rFonts w:cs="Times New Roman"/>
          <w:sz w:val="20"/>
          <w:szCs w:val="18"/>
        </w:rPr>
        <w:t xml:space="preserve">tion </w:t>
      </w:r>
      <w:r>
        <w:rPr>
          <w:rFonts w:cs="Times New Roman"/>
          <w:i/>
          <w:iCs/>
          <w:sz w:val="20"/>
          <w:szCs w:val="18"/>
        </w:rPr>
        <w:t>khizāna</w:t>
      </w:r>
      <w:r>
        <w:rPr>
          <w:rFonts w:cs="Times New Roman"/>
          <w:sz w:val="20"/>
          <w:szCs w:val="18"/>
        </w:rPr>
        <w:t xml:space="preserve"> Badriane, Wilaya of Adrar, Algeria. </w:t>
      </w:r>
    </w:p>
  </w:footnote>
  <w:footnote w:id="22">
    <w:p w14:paraId="11F777D5"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Mu</w:t>
      </w:r>
      <w:r>
        <w:rPr>
          <w:rFonts w:cs="Times New Roman"/>
          <w:sz w:val="20"/>
          <w:szCs w:val="18"/>
        </w:rPr>
        <w:t>ḥ</w:t>
      </w:r>
      <w:r>
        <w:rPr>
          <w:rFonts w:cs="Times New Roman"/>
          <w:sz w:val="20"/>
          <w:szCs w:val="18"/>
        </w:rPr>
        <w:t xml:space="preserve">ammad al-Zajlāwī, </w:t>
      </w:r>
      <w:r>
        <w:rPr>
          <w:rFonts w:cs="Times New Roman"/>
          <w:i/>
          <w:iCs/>
          <w:sz w:val="20"/>
          <w:szCs w:val="18"/>
        </w:rPr>
        <w:t>Nawāzil</w:t>
      </w:r>
      <w:r>
        <w:rPr>
          <w:rFonts w:cs="Times New Roman"/>
          <w:sz w:val="20"/>
          <w:szCs w:val="18"/>
        </w:rPr>
        <w:t xml:space="preserve">, mss., collection </w:t>
      </w:r>
      <w:r>
        <w:rPr>
          <w:rFonts w:cs="Times New Roman"/>
          <w:i/>
          <w:iCs/>
          <w:sz w:val="20"/>
          <w:szCs w:val="18"/>
        </w:rPr>
        <w:t>khizāna</w:t>
      </w:r>
      <w:r>
        <w:rPr>
          <w:rFonts w:cs="Times New Roman"/>
          <w:sz w:val="20"/>
          <w:szCs w:val="18"/>
        </w:rPr>
        <w:t xml:space="preserve"> Lemtarfa, Wilaya of Adrar, Algeria. </w:t>
      </w:r>
    </w:p>
  </w:footnote>
  <w:footnote w:id="23">
    <w:p w14:paraId="5DBCD98E"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Mu</w:t>
      </w:r>
      <w:r>
        <w:rPr>
          <w:rFonts w:cs="Times New Roman"/>
          <w:sz w:val="20"/>
          <w:szCs w:val="18"/>
        </w:rPr>
        <w:t>ḥ</w:t>
      </w:r>
      <w:r>
        <w:rPr>
          <w:rFonts w:cs="Times New Roman"/>
          <w:sz w:val="20"/>
          <w:szCs w:val="18"/>
        </w:rPr>
        <w:t xml:space="preserve">ammad </w:t>
      </w:r>
      <w:r>
        <w:rPr>
          <w:rFonts w:cs="Times New Roman"/>
          <w:i/>
          <w:iCs/>
          <w:sz w:val="20"/>
          <w:szCs w:val="18"/>
        </w:rPr>
        <w:t>ʿ</w:t>
      </w:r>
      <w:r>
        <w:rPr>
          <w:rFonts w:cs="Times New Roman"/>
          <w:sz w:val="20"/>
          <w:szCs w:val="18"/>
        </w:rPr>
        <w:t xml:space="preserve">Abd al-Karīm </w:t>
      </w:r>
      <w:r>
        <w:rPr>
          <w:rFonts w:cs="Times New Roman"/>
          <w:iCs/>
          <w:sz w:val="20"/>
          <w:szCs w:val="18"/>
        </w:rPr>
        <w:t>al-Balbālī</w:t>
      </w:r>
      <w:r>
        <w:rPr>
          <w:rFonts w:cs="Times New Roman"/>
          <w:sz w:val="20"/>
          <w:szCs w:val="18"/>
        </w:rPr>
        <w:t xml:space="preserve">, </w:t>
      </w:r>
      <w:r>
        <w:rPr>
          <w:rFonts w:cs="Times New Roman"/>
          <w:i/>
          <w:sz w:val="20"/>
          <w:szCs w:val="18"/>
        </w:rPr>
        <w:t>Ghāyat al-amānī fī ajwibat Abī Zayd al-Tinilānī</w:t>
      </w:r>
      <w:r>
        <w:rPr>
          <w:rFonts w:cs="Times New Roman"/>
          <w:sz w:val="20"/>
          <w:szCs w:val="18"/>
        </w:rPr>
        <w:t xml:space="preserve">, mss., collection </w:t>
      </w:r>
      <w:r>
        <w:rPr>
          <w:rFonts w:cs="Times New Roman"/>
          <w:i/>
          <w:sz w:val="20"/>
          <w:szCs w:val="18"/>
        </w:rPr>
        <w:t>khizāna</w:t>
      </w:r>
      <w:r>
        <w:rPr>
          <w:rFonts w:cs="Times New Roman"/>
          <w:sz w:val="20"/>
          <w:szCs w:val="18"/>
        </w:rPr>
        <w:t xml:space="preserve"> K</w:t>
      </w:r>
      <w:r>
        <w:rPr>
          <w:rFonts w:cs="Times New Roman"/>
          <w:sz w:val="20"/>
          <w:szCs w:val="18"/>
        </w:rPr>
        <w:t>ousam, Wilaya of Adrar, Algeria.</w:t>
      </w:r>
    </w:p>
  </w:footnote>
  <w:footnote w:id="24">
    <w:p w14:paraId="30F2F8C0" w14:textId="77777777" w:rsidR="00000000" w:rsidRDefault="00436F74">
      <w:pPr>
        <w:pStyle w:val="Sansinterligne"/>
        <w:jc w:val="both"/>
        <w:rPr>
          <w:rFonts w:cs="Times New Roman"/>
          <w:i/>
          <w:iCs/>
          <w:sz w:val="20"/>
          <w:szCs w:val="18"/>
        </w:rPr>
      </w:pPr>
      <w:r>
        <w:rPr>
          <w:rStyle w:val="FootnoteReference"/>
          <w:rFonts w:cs="Times New Roman"/>
          <w:sz w:val="20"/>
          <w:szCs w:val="18"/>
        </w:rPr>
        <w:footnoteRef/>
      </w:r>
      <w:r>
        <w:rPr>
          <w:rFonts w:cs="Times New Roman"/>
          <w:sz w:val="20"/>
          <w:szCs w:val="18"/>
        </w:rPr>
        <w:t xml:space="preserve"> Mu</w:t>
      </w:r>
      <w:r>
        <w:rPr>
          <w:rFonts w:cs="Times New Roman"/>
          <w:sz w:val="20"/>
          <w:szCs w:val="18"/>
        </w:rPr>
        <w:t>ḥ</w:t>
      </w:r>
      <w:r>
        <w:rPr>
          <w:rFonts w:cs="Times New Roman"/>
          <w:sz w:val="20"/>
          <w:szCs w:val="18"/>
        </w:rPr>
        <w:t>ammad al-</w:t>
      </w:r>
      <w:r>
        <w:rPr>
          <w:rFonts w:cs="Times New Roman"/>
          <w:sz w:val="20"/>
          <w:szCs w:val="18"/>
        </w:rPr>
        <w:t>Ḥ</w:t>
      </w:r>
      <w:r>
        <w:rPr>
          <w:rFonts w:cs="Times New Roman"/>
          <w:sz w:val="20"/>
          <w:szCs w:val="18"/>
        </w:rPr>
        <w:t>ājj b. ʿAbd al-Ra</w:t>
      </w:r>
      <w:r>
        <w:rPr>
          <w:rFonts w:cs="Times New Roman"/>
          <w:sz w:val="20"/>
          <w:szCs w:val="18"/>
        </w:rPr>
        <w:t>ḥ</w:t>
      </w:r>
      <w:r>
        <w:rPr>
          <w:rFonts w:cs="Times New Roman"/>
          <w:sz w:val="20"/>
          <w:szCs w:val="18"/>
        </w:rPr>
        <w:t xml:space="preserve">mān al-Balbālī, ʿAbd al-ʿAzīz al-Balbālī, </w:t>
      </w:r>
      <w:r>
        <w:rPr>
          <w:rFonts w:cs="Times New Roman"/>
          <w:i/>
          <w:iCs/>
          <w:sz w:val="20"/>
          <w:szCs w:val="18"/>
        </w:rPr>
        <w:t>Ghunyat al-muqta</w:t>
      </w:r>
      <w:r>
        <w:rPr>
          <w:rFonts w:cs="Times New Roman"/>
          <w:i/>
          <w:iCs/>
          <w:sz w:val="20"/>
          <w:szCs w:val="18"/>
        </w:rPr>
        <w:t>ṣ</w:t>
      </w:r>
      <w:r>
        <w:rPr>
          <w:rFonts w:cs="Times New Roman"/>
          <w:i/>
          <w:iCs/>
          <w:sz w:val="20"/>
          <w:szCs w:val="18"/>
        </w:rPr>
        <w:t>id al-sāʾil fī mā waqaʿa fī Tuwāt min al-qa</w:t>
      </w:r>
      <w:r>
        <w:rPr>
          <w:rFonts w:cs="Times New Roman"/>
          <w:i/>
          <w:iCs/>
          <w:sz w:val="20"/>
          <w:szCs w:val="18"/>
        </w:rPr>
        <w:t>ḍ</w:t>
      </w:r>
      <w:r>
        <w:rPr>
          <w:rFonts w:cs="Times New Roman"/>
          <w:i/>
          <w:iCs/>
          <w:sz w:val="20"/>
          <w:szCs w:val="18"/>
        </w:rPr>
        <w:t>āyā wa-l-masāʾil</w:t>
      </w:r>
      <w:r>
        <w:rPr>
          <w:rFonts w:cs="Times New Roman"/>
          <w:sz w:val="20"/>
          <w:szCs w:val="18"/>
        </w:rPr>
        <w:t>, mss</w:t>
      </w:r>
      <w:r>
        <w:rPr>
          <w:rFonts w:cs="Times New Roman"/>
          <w:i/>
          <w:iCs/>
          <w:sz w:val="20"/>
          <w:szCs w:val="18"/>
        </w:rPr>
        <w:t>.</w:t>
      </w:r>
      <w:r>
        <w:rPr>
          <w:rFonts w:cs="Times New Roman"/>
          <w:sz w:val="20"/>
          <w:szCs w:val="18"/>
        </w:rPr>
        <w:t xml:space="preserve">, collection </w:t>
      </w:r>
      <w:r>
        <w:rPr>
          <w:rFonts w:cs="Times New Roman"/>
          <w:i/>
          <w:iCs/>
          <w:sz w:val="20"/>
          <w:szCs w:val="18"/>
        </w:rPr>
        <w:t>khizāna</w:t>
      </w:r>
      <w:r>
        <w:rPr>
          <w:rFonts w:cs="Times New Roman"/>
          <w:sz w:val="20"/>
          <w:szCs w:val="18"/>
        </w:rPr>
        <w:t xml:space="preserve"> Lemtarfa, Wilaya of Adrar, Algeria.</w:t>
      </w:r>
    </w:p>
  </w:footnote>
  <w:footnote w:id="25">
    <w:p w14:paraId="743DA142"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Mu</w:t>
      </w:r>
      <w:r>
        <w:rPr>
          <w:rFonts w:cs="Times New Roman"/>
          <w:sz w:val="20"/>
          <w:szCs w:val="18"/>
        </w:rPr>
        <w:t>ḥ</w:t>
      </w:r>
      <w:r>
        <w:rPr>
          <w:rFonts w:cs="Times New Roman"/>
          <w:sz w:val="20"/>
          <w:szCs w:val="18"/>
        </w:rPr>
        <w:t>amm</w:t>
      </w:r>
      <w:r>
        <w:rPr>
          <w:rFonts w:cs="Times New Roman"/>
          <w:sz w:val="20"/>
          <w:szCs w:val="18"/>
        </w:rPr>
        <w:t xml:space="preserve">ad b. Ubba al-Muzammirī, </w:t>
      </w:r>
      <w:r>
        <w:rPr>
          <w:rFonts w:cs="Times New Roman"/>
          <w:i/>
          <w:iCs/>
          <w:sz w:val="20"/>
          <w:szCs w:val="18"/>
        </w:rPr>
        <w:t>Ta</w:t>
      </w:r>
      <w:r>
        <w:rPr>
          <w:rStyle w:val="st"/>
          <w:rFonts w:cs="Times New Roman"/>
          <w:i/>
          <w:iCs/>
          <w:sz w:val="20"/>
          <w:szCs w:val="18"/>
        </w:rPr>
        <w:t>ḥ</w:t>
      </w:r>
      <w:r>
        <w:rPr>
          <w:rStyle w:val="st"/>
          <w:rFonts w:cs="Times New Roman"/>
          <w:i/>
          <w:iCs/>
          <w:sz w:val="20"/>
          <w:szCs w:val="18"/>
        </w:rPr>
        <w:t>līyat al-qar</w:t>
      </w:r>
      <w:r>
        <w:rPr>
          <w:rFonts w:cs="Times New Roman"/>
          <w:i/>
          <w:iCs/>
          <w:sz w:val="20"/>
          <w:szCs w:val="18"/>
        </w:rPr>
        <w:t>ṭ</w:t>
      </w:r>
      <w:r>
        <w:rPr>
          <w:rFonts w:cs="Times New Roman"/>
          <w:i/>
          <w:iCs/>
          <w:sz w:val="20"/>
          <w:szCs w:val="18"/>
        </w:rPr>
        <w:t>ās bi-l-kalām ʿalā masʾala ta</w:t>
      </w:r>
      <w:r>
        <w:rPr>
          <w:rFonts w:cs="Times New Roman"/>
          <w:i/>
          <w:iCs/>
          <w:sz w:val="20"/>
          <w:szCs w:val="18"/>
        </w:rPr>
        <w:t>ḍ</w:t>
      </w:r>
      <w:r>
        <w:rPr>
          <w:rFonts w:cs="Times New Roman"/>
          <w:i/>
          <w:iCs/>
          <w:sz w:val="20"/>
          <w:szCs w:val="18"/>
        </w:rPr>
        <w:t>mīn al-khammās</w:t>
      </w:r>
      <w:r>
        <w:rPr>
          <w:rFonts w:cs="Times New Roman"/>
          <w:sz w:val="20"/>
          <w:szCs w:val="18"/>
        </w:rPr>
        <w:t>, mss</w:t>
      </w:r>
      <w:r>
        <w:rPr>
          <w:rFonts w:cs="Times New Roman"/>
          <w:i/>
          <w:iCs/>
          <w:sz w:val="20"/>
          <w:szCs w:val="18"/>
        </w:rPr>
        <w:t>.</w:t>
      </w:r>
      <w:r>
        <w:rPr>
          <w:rFonts w:cs="Times New Roman"/>
          <w:sz w:val="20"/>
          <w:szCs w:val="18"/>
        </w:rPr>
        <w:t xml:space="preserve">, collection Sīdī Mawlāy </w:t>
      </w:r>
      <w:r>
        <w:rPr>
          <w:rFonts w:cs="Times New Roman"/>
          <w:i/>
          <w:iCs/>
          <w:sz w:val="20"/>
          <w:szCs w:val="18"/>
        </w:rPr>
        <w:t>ʿ</w:t>
      </w:r>
      <w:r>
        <w:rPr>
          <w:rFonts w:cs="Times New Roman"/>
          <w:sz w:val="20"/>
          <w:szCs w:val="18"/>
        </w:rPr>
        <w:t>Alī, Awlād Ibrāhīm, Tīmī, Wilaya of Adrar, Algeria.</w:t>
      </w:r>
    </w:p>
  </w:footnote>
  <w:footnote w:id="26">
    <w:p w14:paraId="7B605410"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Lydon, </w:t>
      </w:r>
      <w:r>
        <w:rPr>
          <w:rFonts w:cs="Times New Roman"/>
          <w:i/>
          <w:sz w:val="20"/>
          <w:szCs w:val="18"/>
        </w:rPr>
        <w:t>On Trans-Saharan Trails</w:t>
      </w:r>
      <w:r>
        <w:rPr>
          <w:rFonts w:cs="Times New Roman"/>
          <w:sz w:val="20"/>
          <w:szCs w:val="18"/>
        </w:rPr>
        <w:t>.</w:t>
      </w:r>
    </w:p>
  </w:footnote>
  <w:footnote w:id="27">
    <w:p w14:paraId="3985EA04"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On the institution of </w:t>
      </w:r>
      <w:r>
        <w:rPr>
          <w:rFonts w:cs="Times New Roman"/>
          <w:i/>
          <w:iCs/>
          <w:color w:val="0E101A"/>
          <w:sz w:val="20"/>
          <w:szCs w:val="18"/>
        </w:rPr>
        <w:t>qā</w:t>
      </w:r>
      <w:r>
        <w:rPr>
          <w:rFonts w:cs="Times New Roman"/>
          <w:i/>
          <w:iCs/>
          <w:sz w:val="20"/>
          <w:szCs w:val="18"/>
        </w:rPr>
        <w:t>ḍ</w:t>
      </w:r>
      <w:r>
        <w:rPr>
          <w:rFonts w:cs="Times New Roman"/>
          <w:i/>
          <w:iCs/>
          <w:color w:val="0E101A"/>
          <w:sz w:val="20"/>
          <w:szCs w:val="18"/>
        </w:rPr>
        <w:t>ī al-jamā</w:t>
      </w:r>
      <w:r>
        <w:rPr>
          <w:rFonts w:cs="Times New Roman"/>
          <w:sz w:val="20"/>
          <w:szCs w:val="18"/>
        </w:rPr>
        <w:t>ʿ</w:t>
      </w:r>
      <w:r>
        <w:rPr>
          <w:rFonts w:cs="Times New Roman"/>
          <w:i/>
          <w:iCs/>
          <w:color w:val="0E101A"/>
          <w:sz w:val="20"/>
          <w:szCs w:val="18"/>
        </w:rPr>
        <w:t>a</w:t>
      </w:r>
      <w:r>
        <w:rPr>
          <w:rFonts w:cs="Times New Roman"/>
          <w:color w:val="0E101A"/>
          <w:sz w:val="20"/>
          <w:szCs w:val="18"/>
        </w:rPr>
        <w:t>,</w:t>
      </w:r>
      <w:r>
        <w:rPr>
          <w:rFonts w:cs="Times New Roman"/>
          <w:sz w:val="20"/>
          <w:szCs w:val="18"/>
        </w:rPr>
        <w:t xml:space="preserve"> see Christian</w:t>
      </w:r>
      <w:r>
        <w:rPr>
          <w:rFonts w:cs="Times New Roman"/>
          <w:sz w:val="20"/>
          <w:szCs w:val="18"/>
        </w:rPr>
        <w:t xml:space="preserve"> Müller, “Judging with God’s Law on Earth: Judicial Powers of the </w:t>
      </w:r>
      <w:r>
        <w:rPr>
          <w:rFonts w:cs="Times New Roman"/>
          <w:i/>
          <w:iCs/>
          <w:color w:val="0E101A"/>
          <w:sz w:val="20"/>
          <w:szCs w:val="18"/>
        </w:rPr>
        <w:t>qā</w:t>
      </w:r>
      <w:r>
        <w:rPr>
          <w:rFonts w:cs="Times New Roman"/>
          <w:i/>
          <w:iCs/>
          <w:sz w:val="20"/>
          <w:szCs w:val="18"/>
        </w:rPr>
        <w:t>ḍ</w:t>
      </w:r>
      <w:r>
        <w:rPr>
          <w:rFonts w:cs="Times New Roman"/>
          <w:i/>
          <w:iCs/>
          <w:color w:val="0E101A"/>
          <w:sz w:val="20"/>
          <w:szCs w:val="18"/>
        </w:rPr>
        <w:t>ī al-jamā</w:t>
      </w:r>
      <w:r>
        <w:rPr>
          <w:rFonts w:cs="Times New Roman"/>
          <w:sz w:val="20"/>
          <w:szCs w:val="18"/>
        </w:rPr>
        <w:t>ʿ</w:t>
      </w:r>
      <w:r>
        <w:rPr>
          <w:rFonts w:cs="Times New Roman"/>
          <w:i/>
          <w:iCs/>
          <w:color w:val="0E101A"/>
          <w:sz w:val="20"/>
          <w:szCs w:val="18"/>
        </w:rPr>
        <w:t>a</w:t>
      </w:r>
      <w:r>
        <w:rPr>
          <w:rFonts w:cs="Times New Roman"/>
          <w:sz w:val="20"/>
          <w:szCs w:val="18"/>
        </w:rPr>
        <w:t xml:space="preserve"> of Cordoba in the Fifth/Eleventh Century”, </w:t>
      </w:r>
      <w:r>
        <w:rPr>
          <w:rFonts w:cs="Times New Roman"/>
          <w:i/>
          <w:iCs/>
          <w:sz w:val="20"/>
          <w:szCs w:val="18"/>
        </w:rPr>
        <w:t>Islamic Law and Society</w:t>
      </w:r>
      <w:r>
        <w:rPr>
          <w:rFonts w:cs="Times New Roman"/>
          <w:sz w:val="20"/>
          <w:szCs w:val="18"/>
        </w:rPr>
        <w:t xml:space="preserve"> 7:2 (2000), 159-186.</w:t>
      </w:r>
    </w:p>
  </w:footnote>
  <w:footnote w:id="28">
    <w:p w14:paraId="616F6D33"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Judith Scheele, “Councils without customs, qadis without states: property and communi</w:t>
      </w:r>
      <w:r>
        <w:rPr>
          <w:rFonts w:cs="Times New Roman"/>
          <w:sz w:val="20"/>
          <w:szCs w:val="18"/>
        </w:rPr>
        <w:t xml:space="preserve">ty in the Algerian Touat”, </w:t>
      </w:r>
      <w:r>
        <w:rPr>
          <w:rFonts w:cs="Times New Roman"/>
          <w:i/>
          <w:iCs/>
          <w:sz w:val="20"/>
          <w:szCs w:val="18"/>
        </w:rPr>
        <w:t>Islamic Law and Society</w:t>
      </w:r>
      <w:r>
        <w:rPr>
          <w:rFonts w:cs="Times New Roman"/>
          <w:sz w:val="20"/>
          <w:szCs w:val="18"/>
        </w:rPr>
        <w:t xml:space="preserve"> 17:3 (2010), 350-74, Warscheid, </w:t>
      </w:r>
      <w:r>
        <w:rPr>
          <w:rFonts w:cs="Times New Roman"/>
          <w:i/>
          <w:iCs/>
          <w:sz w:val="20"/>
          <w:szCs w:val="18"/>
        </w:rPr>
        <w:t>Droit musulman et société.</w:t>
      </w:r>
    </w:p>
  </w:footnote>
  <w:footnote w:id="29">
    <w:p w14:paraId="0ABD1DE4" w14:textId="77777777" w:rsidR="00000000"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Manuela Marin, “</w:t>
      </w:r>
      <w:r>
        <w:rPr>
          <w:rStyle w:val="Emphasis"/>
          <w:rFonts w:cs="Times New Roman"/>
          <w:i w:val="0"/>
          <w:iCs w:val="0"/>
          <w:sz w:val="20"/>
          <w:szCs w:val="18"/>
          <w:lang w:val="fr-FR"/>
        </w:rPr>
        <w:t>Šūra et al-Šūra dans al-Andalus</w:t>
      </w:r>
      <w:r>
        <w:rPr>
          <w:rFonts w:cs="Times New Roman"/>
          <w:sz w:val="20"/>
          <w:szCs w:val="18"/>
          <w:lang w:val="fr-FR"/>
        </w:rPr>
        <w:t xml:space="preserve">”, </w:t>
      </w:r>
      <w:r>
        <w:rPr>
          <w:rFonts w:cs="Times New Roman"/>
          <w:i/>
          <w:iCs/>
          <w:sz w:val="20"/>
          <w:szCs w:val="18"/>
          <w:lang w:val="fr-FR"/>
        </w:rPr>
        <w:t>Studia Islamica</w:t>
      </w:r>
      <w:r>
        <w:rPr>
          <w:rFonts w:cs="Times New Roman"/>
          <w:sz w:val="20"/>
          <w:szCs w:val="18"/>
          <w:lang w:val="fr-FR"/>
        </w:rPr>
        <w:t xml:space="preserve"> 61-62 (1985), 25-51.</w:t>
      </w:r>
    </w:p>
  </w:footnote>
  <w:footnote w:id="30">
    <w:p w14:paraId="14305792" w14:textId="77777777" w:rsidR="00000000" w:rsidRDefault="00436F74">
      <w:pPr>
        <w:jc w:val="both"/>
        <w:rPr>
          <w:sz w:val="20"/>
          <w:szCs w:val="18"/>
        </w:rPr>
      </w:pPr>
      <w:r>
        <w:rPr>
          <w:rStyle w:val="FootnoteReference"/>
          <w:sz w:val="20"/>
          <w:szCs w:val="18"/>
        </w:rPr>
        <w:footnoteRef/>
      </w:r>
      <w:r>
        <w:rPr>
          <w:sz w:val="20"/>
          <w:szCs w:val="18"/>
        </w:rPr>
        <w:t xml:space="preserve"> Jean Bisson, </w:t>
      </w:r>
      <w:r>
        <w:rPr>
          <w:i/>
          <w:iCs/>
          <w:sz w:val="20"/>
          <w:szCs w:val="18"/>
        </w:rPr>
        <w:t>Le Gourara: étude de géographie humaine</w:t>
      </w:r>
      <w:r>
        <w:rPr>
          <w:sz w:val="20"/>
          <w:szCs w:val="18"/>
        </w:rPr>
        <w:t xml:space="preserve"> (A</w:t>
      </w:r>
      <w:r>
        <w:rPr>
          <w:sz w:val="20"/>
          <w:szCs w:val="18"/>
        </w:rPr>
        <w:t xml:space="preserve">lgiers: Institut des Recherches Sahariennes, 1957), Nadir Marouf, </w:t>
      </w:r>
      <w:r>
        <w:rPr>
          <w:i/>
          <w:sz w:val="20"/>
          <w:szCs w:val="18"/>
        </w:rPr>
        <w:t>Lecture de l’espace oasien</w:t>
      </w:r>
      <w:r>
        <w:rPr>
          <w:sz w:val="20"/>
          <w:szCs w:val="18"/>
        </w:rPr>
        <w:t xml:space="preserve"> (Paris: Sindbad, 1980), idem, </w:t>
      </w:r>
      <w:r>
        <w:rPr>
          <w:i/>
          <w:iCs/>
          <w:sz w:val="20"/>
          <w:szCs w:val="18"/>
        </w:rPr>
        <w:t>L’eau, la terre, les hommes: passé et présent des oasis occidentales: Algérie</w:t>
      </w:r>
      <w:r>
        <w:rPr>
          <w:sz w:val="20"/>
          <w:szCs w:val="18"/>
        </w:rPr>
        <w:t xml:space="preserve"> (Paris: l’Harmattan, 2010), Abderrahmane Moussaoui, </w:t>
      </w:r>
      <w:r>
        <w:rPr>
          <w:i/>
          <w:iCs/>
          <w:sz w:val="20"/>
          <w:szCs w:val="18"/>
        </w:rPr>
        <w:t>Les</w:t>
      </w:r>
      <w:r>
        <w:rPr>
          <w:i/>
          <w:iCs/>
          <w:sz w:val="20"/>
          <w:szCs w:val="18"/>
        </w:rPr>
        <w:t xml:space="preserve"> oasis au fil de l’eau: de la foggara au pivot</w:t>
      </w:r>
      <w:r>
        <w:rPr>
          <w:sz w:val="20"/>
          <w:szCs w:val="18"/>
        </w:rPr>
        <w:t xml:space="preserve"> (Igé: l’Etrave, 2019), Judith Scheele, “L’énigme de la foggara: commerce, crédit et agriculture dans le Touat algérien”, </w:t>
      </w:r>
      <w:r>
        <w:rPr>
          <w:i/>
          <w:iCs/>
          <w:sz w:val="20"/>
          <w:szCs w:val="18"/>
        </w:rPr>
        <w:t>Annales: histoire, sciences sociales</w:t>
      </w:r>
      <w:r>
        <w:rPr>
          <w:sz w:val="20"/>
          <w:szCs w:val="18"/>
        </w:rPr>
        <w:t xml:space="preserve"> 67:2 (2012), 471-93.  </w:t>
      </w:r>
    </w:p>
  </w:footnote>
  <w:footnote w:id="31">
    <w:p w14:paraId="1D9C482B" w14:textId="77777777" w:rsidR="00000000"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fr-FR"/>
        </w:rPr>
        <w:t xml:space="preserve"> Gilbert Grandguillaume, “R</w:t>
      </w:r>
      <w:r>
        <w:rPr>
          <w:rFonts w:cs="Times New Roman"/>
          <w:sz w:val="20"/>
          <w:szCs w:val="18"/>
          <w:lang w:val="fr-FR"/>
        </w:rPr>
        <w:t xml:space="preserve">égime économique et structure du pouvoir: le système des foggaras du Touat”, </w:t>
      </w:r>
      <w:r>
        <w:rPr>
          <w:rFonts w:cs="Times New Roman"/>
          <w:i/>
          <w:sz w:val="20"/>
          <w:szCs w:val="18"/>
          <w:lang w:val="fr-FR"/>
        </w:rPr>
        <w:t>Revue de l’Occident musulman et de la Méditerranée</w:t>
      </w:r>
      <w:r>
        <w:rPr>
          <w:rFonts w:cs="Times New Roman"/>
          <w:sz w:val="20"/>
          <w:szCs w:val="18"/>
          <w:lang w:val="fr-FR"/>
        </w:rPr>
        <w:t xml:space="preserve"> </w:t>
      </w:r>
      <w:r>
        <w:rPr>
          <w:rFonts w:eastAsia="Arial Unicode MS" w:cs="Times New Roman"/>
          <w:sz w:val="20"/>
          <w:szCs w:val="18"/>
          <w:lang w:val="fr-FR"/>
        </w:rPr>
        <w:t>13-14</w:t>
      </w:r>
      <w:r>
        <w:rPr>
          <w:rFonts w:cs="Times New Roman"/>
          <w:sz w:val="20"/>
          <w:szCs w:val="18"/>
          <w:lang w:val="fr-FR"/>
        </w:rPr>
        <w:t xml:space="preserve"> (</w:t>
      </w:r>
      <w:r>
        <w:rPr>
          <w:rFonts w:eastAsia="Arial Unicode MS" w:cs="Times New Roman"/>
          <w:sz w:val="20"/>
          <w:szCs w:val="18"/>
          <w:lang w:val="fr-FR"/>
        </w:rPr>
        <w:t xml:space="preserve">1973), 437-457, idem, </w:t>
      </w:r>
      <w:r>
        <w:rPr>
          <w:rFonts w:cs="Times New Roman"/>
          <w:sz w:val="20"/>
          <w:szCs w:val="18"/>
          <w:lang w:val="fr-FR"/>
        </w:rPr>
        <w:t>“</w:t>
      </w:r>
      <w:r>
        <w:rPr>
          <w:rFonts w:cs="Times New Roman"/>
          <w:sz w:val="20"/>
          <w:szCs w:val="18"/>
          <w:lang w:val="fr-CH"/>
        </w:rPr>
        <w:t>Universalisme musulman et pratique locale au Touat</w:t>
      </w:r>
      <w:r>
        <w:rPr>
          <w:rFonts w:cs="Times New Roman"/>
          <w:sz w:val="20"/>
          <w:szCs w:val="18"/>
          <w:lang w:val="fr-FR"/>
        </w:rPr>
        <w:t>”,</w:t>
      </w:r>
      <w:r>
        <w:rPr>
          <w:rFonts w:cs="Times New Roman"/>
          <w:sz w:val="20"/>
          <w:szCs w:val="18"/>
          <w:lang w:val="fr-CH"/>
        </w:rPr>
        <w:t xml:space="preserve"> in </w:t>
      </w:r>
      <w:r>
        <w:rPr>
          <w:rFonts w:cs="Times New Roman"/>
          <w:i/>
          <w:iCs/>
          <w:sz w:val="20"/>
          <w:szCs w:val="18"/>
          <w:lang w:val="fr-CH"/>
        </w:rPr>
        <w:t>Actes du XXIX</w:t>
      </w:r>
      <w:r>
        <w:rPr>
          <w:rFonts w:cs="Times New Roman"/>
          <w:i/>
          <w:iCs/>
          <w:sz w:val="20"/>
          <w:szCs w:val="18"/>
          <w:vertAlign w:val="superscript"/>
          <w:lang w:val="fr-CH"/>
        </w:rPr>
        <w:t>e</w:t>
      </w:r>
      <w:r>
        <w:rPr>
          <w:rFonts w:cs="Times New Roman"/>
          <w:i/>
          <w:iCs/>
          <w:sz w:val="20"/>
          <w:szCs w:val="18"/>
          <w:lang w:val="fr-CH"/>
        </w:rPr>
        <w:t xml:space="preserve"> Congrès international des o</w:t>
      </w:r>
      <w:r>
        <w:rPr>
          <w:rFonts w:cs="Times New Roman"/>
          <w:i/>
          <w:iCs/>
          <w:sz w:val="20"/>
          <w:szCs w:val="18"/>
          <w:lang w:val="fr-CH"/>
        </w:rPr>
        <w:t>rientalistes: études arabes et islamiques I - histoire et civilisation</w:t>
      </w:r>
      <w:r>
        <w:rPr>
          <w:rFonts w:cs="Times New Roman"/>
          <w:sz w:val="20"/>
          <w:szCs w:val="18"/>
          <w:lang w:val="fr-CH"/>
        </w:rPr>
        <w:t xml:space="preserve">, ed. Claude Cahen (Paris: L’Asiathèque, 1975), 89-93, idem, </w:t>
      </w:r>
      <w:r>
        <w:rPr>
          <w:rFonts w:cs="Times New Roman"/>
          <w:sz w:val="20"/>
          <w:szCs w:val="18"/>
          <w:lang w:val="fr-FR"/>
        </w:rPr>
        <w:t>“Le droit de l’eau dans les foggara du Touat au XVIII</w:t>
      </w:r>
      <w:r>
        <w:rPr>
          <w:rFonts w:cs="Times New Roman"/>
          <w:sz w:val="20"/>
          <w:szCs w:val="18"/>
          <w:vertAlign w:val="superscript"/>
          <w:lang w:val="fr-FR"/>
        </w:rPr>
        <w:t>e</w:t>
      </w:r>
      <w:r>
        <w:rPr>
          <w:rFonts w:cs="Times New Roman"/>
          <w:sz w:val="20"/>
          <w:szCs w:val="18"/>
          <w:lang w:val="fr-FR"/>
        </w:rPr>
        <w:t xml:space="preserve"> siècle”, </w:t>
      </w:r>
      <w:r>
        <w:rPr>
          <w:rFonts w:cs="Times New Roman"/>
          <w:i/>
          <w:sz w:val="20"/>
          <w:szCs w:val="18"/>
          <w:lang w:val="fr-FR"/>
        </w:rPr>
        <w:t>Revue des études islamiques</w:t>
      </w:r>
      <w:r>
        <w:rPr>
          <w:rFonts w:cs="Times New Roman"/>
          <w:sz w:val="20"/>
          <w:szCs w:val="18"/>
          <w:lang w:val="fr-FR"/>
        </w:rPr>
        <w:t xml:space="preserve"> 43:2 (1977), 287-332, idem, “De l</w:t>
      </w:r>
      <w:r>
        <w:rPr>
          <w:rFonts w:cs="Times New Roman"/>
          <w:sz w:val="20"/>
          <w:szCs w:val="18"/>
          <w:lang w:val="fr-FR"/>
        </w:rPr>
        <w:t xml:space="preserve">a coutume à la loi: droit de l’eau et statut des communautés locales dans le Touat précolonial,” </w:t>
      </w:r>
      <w:r>
        <w:rPr>
          <w:rFonts w:cs="Times New Roman"/>
          <w:i/>
          <w:sz w:val="20"/>
          <w:szCs w:val="18"/>
          <w:lang w:val="fr-FR"/>
        </w:rPr>
        <w:t>Peuples méditerranéens</w:t>
      </w:r>
      <w:r>
        <w:rPr>
          <w:rFonts w:cs="Times New Roman"/>
          <w:sz w:val="20"/>
          <w:szCs w:val="18"/>
          <w:lang w:val="fr-FR"/>
        </w:rPr>
        <w:t xml:space="preserve"> 2 (1978), 119-133. </w:t>
      </w:r>
      <w:r>
        <w:rPr>
          <w:rFonts w:cs="Times New Roman"/>
          <w:sz w:val="20"/>
          <w:szCs w:val="18"/>
          <w:lang w:val="de-DE"/>
        </w:rPr>
        <w:t xml:space="preserve">On the relationship between Islamic law and customary normativity, see also </w:t>
      </w:r>
      <w:r>
        <w:rPr>
          <w:rFonts w:cs="Times New Roman"/>
          <w:i/>
          <w:iCs/>
          <w:color w:val="000000"/>
          <w:sz w:val="20"/>
          <w:szCs w:val="18"/>
          <w:lang w:val="de-DE"/>
        </w:rPr>
        <w:t>Rechtspluralismus in der Islamischen Welt</w:t>
      </w:r>
      <w:r>
        <w:rPr>
          <w:rFonts w:cs="Times New Roman"/>
          <w:i/>
          <w:iCs/>
          <w:color w:val="000000"/>
          <w:sz w:val="20"/>
          <w:szCs w:val="18"/>
          <w:lang w:val="de-DE"/>
        </w:rPr>
        <w:t>: Gewohnheitsrecht zwischen Staat und Gesellschaft</w:t>
      </w:r>
      <w:r>
        <w:rPr>
          <w:rFonts w:cs="Times New Roman"/>
          <w:color w:val="000000"/>
          <w:sz w:val="20"/>
          <w:szCs w:val="18"/>
          <w:lang w:val="de-DE"/>
        </w:rPr>
        <w:t xml:space="preserve">, ed. Michael Kemper and Maurus Reinkowski (Berlin, New York: </w:t>
      </w:r>
      <w:r>
        <w:rPr>
          <w:rFonts w:cs="Times New Roman"/>
          <w:sz w:val="20"/>
          <w:szCs w:val="18"/>
          <w:lang w:val="de-DE"/>
        </w:rPr>
        <w:t>Walter de Gruyter,</w:t>
      </w:r>
      <w:r>
        <w:rPr>
          <w:rFonts w:cs="Times New Roman"/>
          <w:color w:val="000000"/>
          <w:sz w:val="20"/>
          <w:szCs w:val="18"/>
          <w:lang w:val="de-DE"/>
        </w:rPr>
        <w:t xml:space="preserve"> 2005).</w:t>
      </w:r>
    </w:p>
  </w:footnote>
  <w:footnote w:id="32">
    <w:p w14:paraId="0F896214" w14:textId="77777777" w:rsidR="00000000"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Rachid Bellil, </w:t>
      </w:r>
      <w:r>
        <w:rPr>
          <w:rFonts w:cs="Times New Roman"/>
          <w:i/>
          <w:sz w:val="20"/>
          <w:szCs w:val="18"/>
          <w:lang w:val="fr-FR"/>
        </w:rPr>
        <w:t>Les oasis du Gourara, Sahara algérien</w:t>
      </w:r>
      <w:r>
        <w:rPr>
          <w:rFonts w:cs="Times New Roman"/>
          <w:sz w:val="20"/>
          <w:szCs w:val="18"/>
          <w:lang w:val="fr-FR"/>
        </w:rPr>
        <w:t xml:space="preserve"> (Paris, Louvain: Éd. Peeters, 1999-2000), 3 vols. See also Wars</w:t>
      </w:r>
      <w:r>
        <w:rPr>
          <w:rFonts w:cs="Times New Roman"/>
          <w:sz w:val="20"/>
          <w:szCs w:val="18"/>
          <w:lang w:val="fr-FR"/>
        </w:rPr>
        <w:t>cheid, “Comment écrire un passé”.</w:t>
      </w:r>
    </w:p>
  </w:footnote>
  <w:footnote w:id="33">
    <w:p w14:paraId="2484658B" w14:textId="77777777" w:rsidR="00000000" w:rsidRDefault="00436F74">
      <w:pPr>
        <w:jc w:val="both"/>
        <w:rPr>
          <w:sz w:val="20"/>
          <w:szCs w:val="18"/>
        </w:rPr>
      </w:pPr>
      <w:r>
        <w:rPr>
          <w:rStyle w:val="FootnoteReference"/>
          <w:sz w:val="20"/>
          <w:szCs w:val="18"/>
        </w:rPr>
        <w:footnoteRef/>
      </w:r>
      <w:r>
        <w:rPr>
          <w:sz w:val="20"/>
          <w:szCs w:val="18"/>
        </w:rPr>
        <w:t xml:space="preserve"> Much the same can be said of Abderrahmane Moussaoui’s, </w:t>
      </w:r>
      <w:r>
        <w:rPr>
          <w:i/>
          <w:iCs/>
          <w:sz w:val="20"/>
          <w:szCs w:val="18"/>
        </w:rPr>
        <w:t>Espace et sacré au Sahara: ksour et oasis du Sud-Ouest algérien</w:t>
      </w:r>
      <w:r>
        <w:rPr>
          <w:sz w:val="20"/>
          <w:szCs w:val="18"/>
        </w:rPr>
        <w:t xml:space="preserve"> (Paris: CNRS, 2002). For a critique of the “marabout” model, see Fanny Colonna, </w:t>
      </w:r>
      <w:r>
        <w:rPr>
          <w:i/>
          <w:iCs/>
          <w:sz w:val="20"/>
          <w:szCs w:val="18"/>
        </w:rPr>
        <w:t>Les versets de l’invi</w:t>
      </w:r>
      <w:r>
        <w:rPr>
          <w:i/>
          <w:iCs/>
          <w:sz w:val="20"/>
          <w:szCs w:val="18"/>
        </w:rPr>
        <w:t>ncibilité: permanence et changement religieux dans l’Algérie contemporaine</w:t>
      </w:r>
      <w:r>
        <w:rPr>
          <w:sz w:val="20"/>
          <w:szCs w:val="18"/>
        </w:rPr>
        <w:t xml:space="preserve"> (Paris: Presses de la Fondation nationale des sciences politiques, 1995), 19-24, 35-56,</w:t>
      </w:r>
      <w:r>
        <w:rPr>
          <w:i/>
          <w:iCs/>
          <w:sz w:val="20"/>
          <w:szCs w:val="18"/>
        </w:rPr>
        <w:t xml:space="preserve"> </w:t>
      </w:r>
      <w:r>
        <w:rPr>
          <w:sz w:val="20"/>
          <w:szCs w:val="18"/>
        </w:rPr>
        <w:t xml:space="preserve">Rüdiger Seesemann, </w:t>
      </w:r>
      <w:r>
        <w:rPr>
          <w:i/>
          <w:iCs/>
          <w:sz w:val="20"/>
          <w:szCs w:val="18"/>
        </w:rPr>
        <w:t>The Divine Flood: Ibrahim Niasse and the Roots of a Twentieth-Century Sufi</w:t>
      </w:r>
      <w:r>
        <w:rPr>
          <w:i/>
          <w:iCs/>
          <w:sz w:val="20"/>
          <w:szCs w:val="18"/>
        </w:rPr>
        <w:t xml:space="preserve"> Revival</w:t>
      </w:r>
      <w:r>
        <w:rPr>
          <w:sz w:val="20"/>
          <w:szCs w:val="18"/>
        </w:rPr>
        <w:t xml:space="preserve"> (New York: Oxford University Press, 2011)</w:t>
      </w:r>
      <w:r>
        <w:rPr>
          <w:sz w:val="20"/>
          <w:szCs w:val="18"/>
          <w:lang w:val="fr-CH"/>
        </w:rPr>
        <w:t>, 11-22.</w:t>
      </w:r>
    </w:p>
  </w:footnote>
  <w:footnote w:id="34">
    <w:p w14:paraId="06385BE4" w14:textId="77777777" w:rsidR="00000000" w:rsidRDefault="00436F74">
      <w:pPr>
        <w:pStyle w:val="Sansinterligne"/>
        <w:jc w:val="both"/>
        <w:rPr>
          <w:rFonts w:cs="Times New Roman"/>
          <w:i/>
          <w:iCs/>
          <w:sz w:val="20"/>
          <w:szCs w:val="18"/>
        </w:rPr>
      </w:pPr>
      <w:r>
        <w:rPr>
          <w:rStyle w:val="FootnoteReference"/>
          <w:rFonts w:cs="Times New Roman"/>
          <w:sz w:val="20"/>
          <w:szCs w:val="18"/>
        </w:rPr>
        <w:footnoteRef/>
      </w:r>
      <w:r>
        <w:rPr>
          <w:rFonts w:cs="Times New Roman"/>
          <w:sz w:val="20"/>
          <w:szCs w:val="18"/>
        </w:rPr>
        <w:t xml:space="preserve"> Scheele, “Councils without Customs”, 352.</w:t>
      </w:r>
    </w:p>
  </w:footnote>
  <w:footnote w:id="35">
    <w:p w14:paraId="3B29FDDD" w14:textId="77777777" w:rsidR="00000000"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de-DE"/>
        </w:rPr>
        <w:t xml:space="preserve"> </w:t>
      </w:r>
      <w:r>
        <w:rPr>
          <w:rFonts w:cs="Times New Roman"/>
          <w:i/>
          <w:iCs/>
          <w:sz w:val="20"/>
          <w:szCs w:val="18"/>
          <w:lang w:val="de-DE"/>
        </w:rPr>
        <w:t>Ibidem</w:t>
      </w:r>
      <w:r>
        <w:rPr>
          <w:rFonts w:cs="Times New Roman"/>
          <w:sz w:val="20"/>
          <w:szCs w:val="18"/>
          <w:lang w:val="de-DE"/>
        </w:rPr>
        <w:t>.</w:t>
      </w:r>
    </w:p>
  </w:footnote>
  <w:footnote w:id="36">
    <w:p w14:paraId="54FCDE6D" w14:textId="77777777" w:rsidR="00000000"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de-DE"/>
        </w:rPr>
        <w:t xml:space="preserve"> Niklas Luhmann, </w:t>
      </w:r>
      <w:r>
        <w:rPr>
          <w:rFonts w:cs="Times New Roman"/>
          <w:i/>
          <w:iCs/>
          <w:sz w:val="20"/>
          <w:szCs w:val="18"/>
          <w:lang w:val="de-DE"/>
        </w:rPr>
        <w:t>Das Recht der Gesellschaft</w:t>
      </w:r>
      <w:r>
        <w:rPr>
          <w:rFonts w:cs="Times New Roman"/>
          <w:sz w:val="20"/>
          <w:szCs w:val="18"/>
          <w:lang w:val="de-DE"/>
        </w:rPr>
        <w:t xml:space="preserve"> (Frankfurt am Main: Suhrkamp, 1995). </w:t>
      </w:r>
    </w:p>
  </w:footnote>
  <w:footnote w:id="37">
    <w:p w14:paraId="03EDDEF5" w14:textId="77777777" w:rsidR="00000000" w:rsidRDefault="00436F74">
      <w:pPr>
        <w:jc w:val="both"/>
        <w:rPr>
          <w:color w:val="262626"/>
          <w:sz w:val="20"/>
          <w:szCs w:val="18"/>
        </w:rPr>
      </w:pPr>
      <w:r>
        <w:rPr>
          <w:rStyle w:val="FootnoteReference"/>
          <w:rFonts w:eastAsia="Yu Gothic Light"/>
          <w:sz w:val="20"/>
          <w:szCs w:val="18"/>
        </w:rPr>
        <w:footnoteRef/>
      </w:r>
      <w:r>
        <w:rPr>
          <w:sz w:val="20"/>
          <w:szCs w:val="18"/>
          <w:lang w:val="en-US"/>
        </w:rPr>
        <w:t xml:space="preserve"> We use the term descent group rather than “tribe” to refer</w:t>
      </w:r>
      <w:r>
        <w:rPr>
          <w:sz w:val="20"/>
          <w:szCs w:val="18"/>
          <w:lang w:val="en-US"/>
        </w:rPr>
        <w:t xml:space="preserve"> to the notion of </w:t>
      </w:r>
      <w:r>
        <w:rPr>
          <w:i/>
          <w:iCs/>
          <w:sz w:val="20"/>
          <w:szCs w:val="18"/>
          <w:lang w:val="en-US"/>
        </w:rPr>
        <w:t>awlād</w:t>
      </w:r>
      <w:r>
        <w:rPr>
          <w:sz w:val="20"/>
          <w:szCs w:val="18"/>
          <w:lang w:val="en-US"/>
        </w:rPr>
        <w:t xml:space="preserve"> </w:t>
      </w:r>
      <w:r>
        <w:rPr>
          <w:i/>
          <w:iCs/>
          <w:sz w:val="20"/>
          <w:szCs w:val="18"/>
          <w:lang w:val="en-US"/>
        </w:rPr>
        <w:t>fulān</w:t>
      </w:r>
      <w:r>
        <w:rPr>
          <w:sz w:val="20"/>
          <w:szCs w:val="18"/>
          <w:lang w:val="en-US"/>
        </w:rPr>
        <w:t xml:space="preserve">, which we understand as a group united by kinship ties and the shared memory of specific patronymic ancestors. The literature on the topic is extensive.  </w:t>
      </w:r>
      <w:r>
        <w:rPr>
          <w:sz w:val="20"/>
          <w:szCs w:val="18"/>
        </w:rPr>
        <w:t xml:space="preserve">Useful readings for northern Saharan oasis contexts include Geneviève Bedoucha, </w:t>
      </w:r>
      <w:r>
        <w:rPr>
          <w:i/>
          <w:sz w:val="20"/>
          <w:szCs w:val="18"/>
        </w:rPr>
        <w:t>L’eau, l’a</w:t>
      </w:r>
      <w:r>
        <w:rPr>
          <w:i/>
          <w:sz w:val="20"/>
          <w:szCs w:val="18"/>
        </w:rPr>
        <w:t>mie du puissant: une communauté oasienne du Sud tunisien</w:t>
      </w:r>
      <w:r>
        <w:rPr>
          <w:sz w:val="20"/>
          <w:szCs w:val="18"/>
        </w:rPr>
        <w:t xml:space="preserve"> (Paris: Archives contemporaines, 1987), </w:t>
      </w:r>
      <w:r>
        <w:rPr>
          <w:color w:val="262626"/>
          <w:sz w:val="20"/>
          <w:szCs w:val="18"/>
        </w:rPr>
        <w:t>Ahmed</w:t>
      </w:r>
      <w:r>
        <w:rPr>
          <w:sz w:val="20"/>
          <w:szCs w:val="18"/>
        </w:rPr>
        <w:t xml:space="preserve"> Joumani</w:t>
      </w:r>
      <w:r>
        <w:rPr>
          <w:color w:val="262626"/>
          <w:sz w:val="20"/>
          <w:szCs w:val="18"/>
        </w:rPr>
        <w:t xml:space="preserve">, </w:t>
      </w:r>
      <w:r>
        <w:rPr>
          <w:i/>
          <w:iCs/>
          <w:color w:val="262626"/>
          <w:sz w:val="20"/>
          <w:szCs w:val="18"/>
        </w:rPr>
        <w:t>L’oasis d’Asrir: éléments d’histoire sociale de l’Oued Noun</w:t>
      </w:r>
      <w:r>
        <w:rPr>
          <w:color w:val="262626"/>
          <w:sz w:val="20"/>
          <w:szCs w:val="18"/>
        </w:rPr>
        <w:t xml:space="preserve"> (</w:t>
      </w:r>
      <w:r>
        <w:rPr>
          <w:sz w:val="20"/>
          <w:szCs w:val="18"/>
        </w:rPr>
        <w:t>Casablanca: Éditions la croisée des chemins, 2008)</w:t>
      </w:r>
      <w:r>
        <w:rPr>
          <w:color w:val="262626"/>
          <w:sz w:val="20"/>
          <w:szCs w:val="18"/>
        </w:rPr>
        <w:t xml:space="preserve">, Mondher Kilani, </w:t>
      </w:r>
      <w:r>
        <w:rPr>
          <w:i/>
          <w:iCs/>
          <w:color w:val="262626"/>
          <w:sz w:val="20"/>
          <w:szCs w:val="18"/>
        </w:rPr>
        <w:t>La construction</w:t>
      </w:r>
      <w:r>
        <w:rPr>
          <w:i/>
          <w:iCs/>
          <w:color w:val="262626"/>
          <w:sz w:val="20"/>
          <w:szCs w:val="18"/>
        </w:rPr>
        <w:t xml:space="preserve"> de la mémoire: le lignage et la sainteté dans l’oasis d’El-Ksar</w:t>
      </w:r>
      <w:r>
        <w:rPr>
          <w:color w:val="262626"/>
          <w:sz w:val="20"/>
          <w:szCs w:val="18"/>
        </w:rPr>
        <w:t xml:space="preserve"> (Genève: Labor et Fidès, 1992), Mustapha Naïmi, </w:t>
      </w:r>
      <w:r>
        <w:rPr>
          <w:i/>
          <w:iCs/>
          <w:color w:val="262626"/>
          <w:sz w:val="20"/>
          <w:szCs w:val="18"/>
        </w:rPr>
        <w:t xml:space="preserve">La dynamique des alliances ouest-sahariennes: de l’espace géographique à l’espace social </w:t>
      </w:r>
      <w:r>
        <w:rPr>
          <w:color w:val="262626"/>
          <w:sz w:val="20"/>
          <w:szCs w:val="18"/>
        </w:rPr>
        <w:t>(Paris: Éd. de la Maison des sciences de l’homme, 2004</w:t>
      </w:r>
      <w:r>
        <w:rPr>
          <w:color w:val="262626"/>
          <w:sz w:val="20"/>
          <w:szCs w:val="18"/>
        </w:rPr>
        <w:t>).</w:t>
      </w:r>
    </w:p>
  </w:footnote>
  <w:footnote w:id="38">
    <w:p w14:paraId="578F0AEF"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The historical genesis of these hierarchies remains under-researched but seems to have emerged progressively between the fifteenth and sixteenth centuries. Cf. Bellil, </w:t>
      </w:r>
      <w:r>
        <w:rPr>
          <w:rFonts w:cs="Times New Roman"/>
          <w:i/>
          <w:iCs/>
          <w:color w:val="0E101A"/>
          <w:sz w:val="20"/>
          <w:szCs w:val="18"/>
        </w:rPr>
        <w:t>Les oasis du Gourara</w:t>
      </w:r>
      <w:r>
        <w:rPr>
          <w:rFonts w:cs="Times New Roman"/>
          <w:sz w:val="20"/>
          <w:szCs w:val="18"/>
        </w:rPr>
        <w:t>. The French military officer A.G.P. Martin has offered an intr</w:t>
      </w:r>
      <w:r>
        <w:rPr>
          <w:rFonts w:cs="Times New Roman"/>
          <w:sz w:val="20"/>
          <w:szCs w:val="18"/>
        </w:rPr>
        <w:t xml:space="preserve">oductory account of the region's history, relying on local chronicles he had gathered after the colonial conquest in 1900. </w:t>
      </w:r>
      <w:r>
        <w:rPr>
          <w:rFonts w:cs="Times New Roman"/>
          <w:sz w:val="20"/>
          <w:szCs w:val="18"/>
          <w:lang w:val="fr-FR"/>
        </w:rPr>
        <w:t xml:space="preserve">Alfred Georges Paul Martin, </w:t>
      </w:r>
      <w:r>
        <w:rPr>
          <w:rFonts w:cs="Times New Roman"/>
          <w:i/>
          <w:sz w:val="20"/>
          <w:szCs w:val="18"/>
          <w:lang w:val="fr-FR"/>
        </w:rPr>
        <w:t>Les oasis sahariennes (Gourara – Touat – Tidikelt)</w:t>
      </w:r>
      <w:r>
        <w:rPr>
          <w:rFonts w:cs="Times New Roman"/>
          <w:sz w:val="20"/>
          <w:szCs w:val="18"/>
          <w:lang w:val="fr-FR"/>
        </w:rPr>
        <w:t xml:space="preserve"> (Alger: Edition de l’Imprimerie algérienne, 1908). </w:t>
      </w:r>
      <w:r>
        <w:rPr>
          <w:rFonts w:cs="Times New Roman"/>
          <w:sz w:val="20"/>
          <w:szCs w:val="18"/>
        </w:rPr>
        <w:t>For</w:t>
      </w:r>
      <w:r>
        <w:rPr>
          <w:rFonts w:cs="Times New Roman"/>
          <w:sz w:val="20"/>
          <w:szCs w:val="18"/>
        </w:rPr>
        <w:t xml:space="preserve"> a discussion of A.G.P. Martin’s work, see Warscheid, “Comment écrire un passé”.</w:t>
      </w:r>
    </w:p>
  </w:footnote>
  <w:footnote w:id="39">
    <w:p w14:paraId="25A359ED" w14:textId="77777777" w:rsidR="00000000" w:rsidRDefault="00436F74">
      <w:pPr>
        <w:jc w:val="both"/>
        <w:rPr>
          <w:sz w:val="20"/>
          <w:szCs w:val="18"/>
          <w:rtl/>
        </w:rPr>
      </w:pPr>
      <w:r>
        <w:rPr>
          <w:rStyle w:val="FootnoteReference"/>
          <w:sz w:val="20"/>
          <w:szCs w:val="18"/>
        </w:rPr>
        <w:footnoteRef/>
      </w:r>
      <w:r>
        <w:rPr>
          <w:sz w:val="20"/>
          <w:szCs w:val="18"/>
        </w:rPr>
        <w:t xml:space="preserve"> </w:t>
      </w:r>
      <w:r>
        <w:rPr>
          <w:rStyle w:val="SansinterligneCar"/>
          <w:sz w:val="20"/>
          <w:szCs w:val="18"/>
          <w:lang w:val="fr-FR"/>
        </w:rPr>
        <w:t xml:space="preserve">See, </w:t>
      </w:r>
      <w:r>
        <w:rPr>
          <w:rStyle w:val="SansinterligneCar"/>
          <w:i/>
          <w:iCs/>
          <w:sz w:val="20"/>
          <w:szCs w:val="18"/>
          <w:lang w:val="fr-FR"/>
        </w:rPr>
        <w:t>e.g</w:t>
      </w:r>
      <w:r>
        <w:rPr>
          <w:rStyle w:val="SansinterligneCar"/>
          <w:sz w:val="20"/>
          <w:szCs w:val="18"/>
          <w:lang w:val="fr-FR"/>
        </w:rPr>
        <w:t xml:space="preserve">., Raymond Jamous, </w:t>
      </w:r>
      <w:r>
        <w:rPr>
          <w:rStyle w:val="SansinterligneCar"/>
          <w:i/>
          <w:iCs/>
          <w:sz w:val="20"/>
          <w:szCs w:val="18"/>
          <w:lang w:val="fr-FR"/>
        </w:rPr>
        <w:t>Honneur et baraka : les structures sociales traditionnelles dans le Rif</w:t>
      </w:r>
      <w:r>
        <w:rPr>
          <w:rStyle w:val="SansinterligneCar"/>
          <w:sz w:val="20"/>
          <w:szCs w:val="18"/>
          <w:lang w:val="fr-FR"/>
        </w:rPr>
        <w:t xml:space="preserve"> (Paris: Éditions de la Maison des sciences de l’Homme, 1981).</w:t>
      </w:r>
    </w:p>
  </w:footnote>
  <w:footnote w:id="40">
    <w:p w14:paraId="06BDB08B"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For a deta</w:t>
      </w:r>
      <w:r>
        <w:rPr>
          <w:rFonts w:cs="Times New Roman"/>
          <w:sz w:val="20"/>
          <w:szCs w:val="18"/>
        </w:rPr>
        <w:t xml:space="preserve">iled discussion, see Ismail Warscheid “Le pouvoir du chérif: perspectives sahariennes”, </w:t>
      </w:r>
      <w:r>
        <w:rPr>
          <w:rFonts w:cs="Times New Roman"/>
          <w:i/>
          <w:iCs/>
          <w:sz w:val="20"/>
          <w:szCs w:val="18"/>
        </w:rPr>
        <w:t>Oriente Moderno</w:t>
      </w:r>
      <w:r>
        <w:rPr>
          <w:rFonts w:cs="Times New Roman"/>
          <w:sz w:val="20"/>
          <w:szCs w:val="18"/>
        </w:rPr>
        <w:t xml:space="preserve"> in press.</w:t>
      </w:r>
    </w:p>
  </w:footnote>
  <w:footnote w:id="41">
    <w:p w14:paraId="362A7700" w14:textId="77777777" w:rsidR="00000000" w:rsidRDefault="00436F74">
      <w:pPr>
        <w:pStyle w:val="Sansinterligne"/>
        <w:jc w:val="both"/>
        <w:rPr>
          <w:rFonts w:cs="Times New Roman"/>
          <w:sz w:val="20"/>
          <w:szCs w:val="18"/>
          <w:highlight w:val="yellow"/>
        </w:rPr>
      </w:pPr>
      <w:r>
        <w:rPr>
          <w:rStyle w:val="FootnoteReference"/>
          <w:rFonts w:cs="Times New Roman"/>
          <w:sz w:val="20"/>
          <w:szCs w:val="18"/>
        </w:rPr>
        <w:footnoteRef/>
      </w:r>
      <w:r>
        <w:rPr>
          <w:rFonts w:cs="Times New Roman"/>
          <w:sz w:val="20"/>
          <w:szCs w:val="18"/>
        </w:rPr>
        <w:t xml:space="preserve"> We base our appreciation on the analysis of several local biographical dictionaries, </w:t>
      </w:r>
      <w:r>
        <w:rPr>
          <w:rFonts w:cs="Times New Roman"/>
          <w:i/>
          <w:iCs/>
          <w:sz w:val="20"/>
          <w:szCs w:val="18"/>
        </w:rPr>
        <w:t>ri</w:t>
      </w:r>
      <w:r>
        <w:rPr>
          <w:rFonts w:cs="Times New Roman"/>
          <w:i/>
          <w:iCs/>
          <w:sz w:val="20"/>
          <w:szCs w:val="18"/>
        </w:rPr>
        <w:t>ḥ</w:t>
      </w:r>
      <w:r>
        <w:rPr>
          <w:rFonts w:cs="Times New Roman"/>
          <w:i/>
          <w:iCs/>
          <w:sz w:val="20"/>
          <w:szCs w:val="18"/>
        </w:rPr>
        <w:t>la</w:t>
      </w:r>
      <w:r>
        <w:rPr>
          <w:rFonts w:cs="Times New Roman"/>
          <w:sz w:val="20"/>
          <w:szCs w:val="18"/>
        </w:rPr>
        <w:t xml:space="preserve"> and </w:t>
      </w:r>
      <w:r>
        <w:rPr>
          <w:rFonts w:cs="Times New Roman"/>
          <w:i/>
          <w:iCs/>
          <w:sz w:val="20"/>
          <w:szCs w:val="18"/>
        </w:rPr>
        <w:t>fahrasa</w:t>
      </w:r>
      <w:r>
        <w:rPr>
          <w:rFonts w:cs="Times New Roman"/>
          <w:sz w:val="20"/>
          <w:szCs w:val="18"/>
        </w:rPr>
        <w:t xml:space="preserve"> works such as Mu</w:t>
      </w:r>
      <w:r>
        <w:rPr>
          <w:rFonts w:cs="Times New Roman"/>
          <w:sz w:val="20"/>
          <w:szCs w:val="18"/>
        </w:rPr>
        <w:t>ḥ</w:t>
      </w:r>
      <w:r>
        <w:rPr>
          <w:rFonts w:cs="Times New Roman"/>
          <w:sz w:val="20"/>
          <w:szCs w:val="18"/>
        </w:rPr>
        <w:t xml:space="preserve">ammad b. </w:t>
      </w:r>
      <w:r>
        <w:rPr>
          <w:rFonts w:cs="Times New Roman"/>
          <w:i/>
          <w:iCs/>
          <w:sz w:val="20"/>
          <w:szCs w:val="18"/>
        </w:rPr>
        <w:t>ʿ</w:t>
      </w:r>
      <w:r>
        <w:rPr>
          <w:rFonts w:cs="Times New Roman"/>
          <w:sz w:val="20"/>
          <w:szCs w:val="18"/>
        </w:rPr>
        <w:t xml:space="preserve">Abd al-Karīm al-Bakrī’s </w:t>
      </w:r>
      <w:r>
        <w:rPr>
          <w:rFonts w:cs="Times New Roman"/>
          <w:i/>
          <w:sz w:val="20"/>
          <w:szCs w:val="18"/>
        </w:rPr>
        <w:t>Durrat al-aqlām fī</w:t>
      </w:r>
      <w:r>
        <w:rPr>
          <w:rFonts w:cs="Times New Roman"/>
          <w:sz w:val="20"/>
          <w:szCs w:val="18"/>
        </w:rPr>
        <w:t xml:space="preserve"> </w:t>
      </w:r>
      <w:r>
        <w:rPr>
          <w:rFonts w:cs="Times New Roman"/>
          <w:i/>
          <w:sz w:val="20"/>
          <w:szCs w:val="18"/>
        </w:rPr>
        <w:t>akhbār al-Maghrib baʿd al-islām</w:t>
      </w:r>
      <w:r>
        <w:rPr>
          <w:rFonts w:cs="Times New Roman"/>
          <w:iCs/>
          <w:sz w:val="20"/>
          <w:szCs w:val="18"/>
        </w:rPr>
        <w:t xml:space="preserve">, </w:t>
      </w:r>
      <w:r>
        <w:rPr>
          <w:rFonts w:cs="Times New Roman"/>
          <w:sz w:val="20"/>
          <w:szCs w:val="18"/>
        </w:rPr>
        <w:t>Mu</w:t>
      </w:r>
      <w:r>
        <w:rPr>
          <w:rFonts w:cs="Times New Roman"/>
          <w:sz w:val="20"/>
          <w:szCs w:val="18"/>
        </w:rPr>
        <w:t>ḥ</w:t>
      </w:r>
      <w:r>
        <w:rPr>
          <w:rFonts w:cs="Times New Roman"/>
          <w:sz w:val="20"/>
          <w:szCs w:val="18"/>
        </w:rPr>
        <w:t xml:space="preserve">ammad b. </w:t>
      </w:r>
      <w:r>
        <w:rPr>
          <w:rFonts w:cs="Times New Roman"/>
          <w:i/>
          <w:iCs/>
          <w:sz w:val="20"/>
          <w:szCs w:val="18"/>
        </w:rPr>
        <w:t>ʿ</w:t>
      </w:r>
      <w:r>
        <w:rPr>
          <w:rFonts w:cs="Times New Roman"/>
          <w:sz w:val="20"/>
          <w:szCs w:val="18"/>
        </w:rPr>
        <w:t xml:space="preserve">Abd al-Qādir al-Tinilānī’s, </w:t>
      </w:r>
      <w:r>
        <w:rPr>
          <w:rFonts w:cs="Times New Roman"/>
          <w:i/>
          <w:sz w:val="20"/>
          <w:szCs w:val="18"/>
        </w:rPr>
        <w:t>al-Durrat al-fākhira fī dhikr mā bi-Tuwāt min al-</w:t>
      </w:r>
      <w:r>
        <w:rPr>
          <w:rFonts w:cs="Times New Roman"/>
          <w:i/>
          <w:iCs/>
          <w:sz w:val="20"/>
          <w:szCs w:val="18"/>
        </w:rPr>
        <w:t>ʿ</w:t>
      </w:r>
      <w:r>
        <w:rPr>
          <w:rFonts w:cs="Times New Roman"/>
          <w:i/>
          <w:iCs/>
          <w:sz w:val="20"/>
          <w:szCs w:val="18"/>
        </w:rPr>
        <w:t>ulam</w:t>
      </w:r>
      <w:r>
        <w:rPr>
          <w:rFonts w:cs="Times New Roman"/>
          <w:i/>
          <w:sz w:val="20"/>
          <w:szCs w:val="18"/>
        </w:rPr>
        <w:t>ā</w:t>
      </w:r>
      <w:r>
        <w:rPr>
          <w:rFonts w:cs="Times New Roman"/>
          <w:i/>
          <w:iCs/>
          <w:sz w:val="20"/>
          <w:szCs w:val="18"/>
        </w:rPr>
        <w:t>ʾ</w:t>
      </w:r>
      <w:r>
        <w:rPr>
          <w:rFonts w:cs="Times New Roman"/>
          <w:i/>
          <w:iCs/>
          <w:sz w:val="20"/>
          <w:szCs w:val="18"/>
        </w:rPr>
        <w:t xml:space="preserve"> wa-l-ashr</w:t>
      </w:r>
      <w:r>
        <w:rPr>
          <w:rFonts w:cs="Times New Roman"/>
          <w:i/>
          <w:sz w:val="20"/>
          <w:szCs w:val="18"/>
        </w:rPr>
        <w:t>āf al-idrīssiyīn wa-l-</w:t>
      </w:r>
      <w:r>
        <w:rPr>
          <w:rFonts w:cs="Times New Roman"/>
          <w:i/>
          <w:iCs/>
          <w:sz w:val="20"/>
          <w:szCs w:val="18"/>
        </w:rPr>
        <w:t>ʿ</w:t>
      </w:r>
      <w:r>
        <w:rPr>
          <w:rFonts w:cs="Times New Roman"/>
          <w:i/>
          <w:iCs/>
          <w:sz w:val="20"/>
          <w:szCs w:val="18"/>
        </w:rPr>
        <w:t>al</w:t>
      </w:r>
      <w:r>
        <w:rPr>
          <w:rFonts w:cs="Times New Roman"/>
          <w:i/>
          <w:sz w:val="20"/>
          <w:szCs w:val="18"/>
        </w:rPr>
        <w:t>āwi</w:t>
      </w:r>
      <w:r>
        <w:rPr>
          <w:rFonts w:cs="Times New Roman"/>
          <w:i/>
          <w:sz w:val="20"/>
          <w:szCs w:val="18"/>
        </w:rPr>
        <w:t>yīn</w:t>
      </w:r>
      <w:r>
        <w:rPr>
          <w:rFonts w:cs="Times New Roman"/>
          <w:iCs/>
          <w:sz w:val="20"/>
          <w:szCs w:val="18"/>
        </w:rPr>
        <w:t>, or</w:t>
      </w:r>
      <w:r>
        <w:rPr>
          <w:rFonts w:cs="Times New Roman"/>
          <w:i/>
          <w:iCs/>
          <w:sz w:val="20"/>
          <w:szCs w:val="18"/>
        </w:rPr>
        <w:t xml:space="preserve"> ʿ</w:t>
      </w:r>
      <w:r>
        <w:rPr>
          <w:rFonts w:cs="Times New Roman"/>
          <w:sz w:val="20"/>
          <w:szCs w:val="18"/>
        </w:rPr>
        <w:t xml:space="preserve">Umar b. </w:t>
      </w:r>
      <w:r>
        <w:rPr>
          <w:rFonts w:cs="Times New Roman"/>
          <w:i/>
          <w:iCs/>
          <w:sz w:val="20"/>
          <w:szCs w:val="18"/>
        </w:rPr>
        <w:t>ʿ</w:t>
      </w:r>
      <w:r>
        <w:rPr>
          <w:rFonts w:cs="Times New Roman"/>
          <w:sz w:val="20"/>
          <w:szCs w:val="18"/>
        </w:rPr>
        <w:t>Abd al-Ra</w:t>
      </w:r>
      <w:r>
        <w:rPr>
          <w:rFonts w:cs="Times New Roman"/>
          <w:sz w:val="20"/>
          <w:szCs w:val="18"/>
        </w:rPr>
        <w:t>ḥ</w:t>
      </w:r>
      <w:r>
        <w:rPr>
          <w:rFonts w:cs="Times New Roman"/>
          <w:sz w:val="20"/>
          <w:szCs w:val="18"/>
        </w:rPr>
        <w:t>mān al-</w:t>
      </w:r>
      <w:r>
        <w:rPr>
          <w:rFonts w:cs="Times New Roman"/>
          <w:iCs/>
          <w:sz w:val="20"/>
          <w:szCs w:val="18"/>
        </w:rPr>
        <w:t xml:space="preserve">Tinilānī’s </w:t>
      </w:r>
      <w:r>
        <w:rPr>
          <w:rFonts w:cs="Times New Roman"/>
          <w:i/>
          <w:sz w:val="20"/>
          <w:szCs w:val="18"/>
        </w:rPr>
        <w:t>Fahrasa</w:t>
      </w:r>
      <w:r>
        <w:rPr>
          <w:rFonts w:cs="Times New Roman"/>
          <w:sz w:val="20"/>
          <w:szCs w:val="18"/>
        </w:rPr>
        <w:t xml:space="preserve">. For details, refer to Warscheid, </w:t>
      </w:r>
      <w:r>
        <w:rPr>
          <w:rFonts w:cs="Times New Roman"/>
          <w:i/>
          <w:iCs/>
          <w:sz w:val="20"/>
          <w:szCs w:val="18"/>
        </w:rPr>
        <w:t>Droit musulman et société.</w:t>
      </w:r>
      <w:r>
        <w:rPr>
          <w:rFonts w:cs="Times New Roman"/>
          <w:sz w:val="20"/>
          <w:szCs w:val="18"/>
        </w:rPr>
        <w:t xml:space="preserve">   </w:t>
      </w:r>
    </w:p>
  </w:footnote>
  <w:footnote w:id="42">
    <w:p w14:paraId="1623FED0" w14:textId="77777777" w:rsidR="00000000" w:rsidRDefault="00436F74">
      <w:pPr>
        <w:pStyle w:val="Sansinterligne"/>
        <w:jc w:val="both"/>
        <w:rPr>
          <w:rFonts w:cs="Times New Roman"/>
          <w:sz w:val="20"/>
          <w:szCs w:val="18"/>
          <w:highlight w:val="yellow"/>
        </w:rPr>
      </w:pPr>
      <w:r>
        <w:rPr>
          <w:rStyle w:val="FootnoteReference"/>
          <w:rFonts w:cs="Times New Roman"/>
          <w:sz w:val="20"/>
          <w:szCs w:val="18"/>
        </w:rPr>
        <w:footnoteRef/>
      </w:r>
      <w:r>
        <w:rPr>
          <w:rFonts w:cs="Times New Roman"/>
          <w:sz w:val="20"/>
          <w:szCs w:val="18"/>
        </w:rPr>
        <w:t xml:space="preserve"> It is true that, today, the al-Bakrī family claims descent from </w:t>
      </w:r>
      <w:r>
        <w:rPr>
          <w:rFonts w:cs="Times New Roman"/>
          <w:i/>
          <w:iCs/>
          <w:sz w:val="20"/>
          <w:szCs w:val="18"/>
        </w:rPr>
        <w:t>ʿ</w:t>
      </w:r>
      <w:r>
        <w:rPr>
          <w:rFonts w:cs="Times New Roman"/>
          <w:sz w:val="20"/>
          <w:szCs w:val="18"/>
        </w:rPr>
        <w:t xml:space="preserve">Alī b. Abī </w:t>
      </w:r>
      <w:r>
        <w:rPr>
          <w:rFonts w:cs="Times New Roman"/>
          <w:sz w:val="20"/>
          <w:szCs w:val="18"/>
        </w:rPr>
        <w:t>Ṭ</w:t>
      </w:r>
      <w:r>
        <w:rPr>
          <w:rFonts w:cs="Times New Roman"/>
          <w:sz w:val="20"/>
          <w:szCs w:val="18"/>
        </w:rPr>
        <w:t>ālib. However, our examination of pre-1900 historical sourc</w:t>
      </w:r>
      <w:r>
        <w:rPr>
          <w:rFonts w:cs="Times New Roman"/>
          <w:sz w:val="20"/>
          <w:szCs w:val="18"/>
        </w:rPr>
        <w:t xml:space="preserve">es, including those written by family members, revealed no such claims. Notably, the nineteenth-century local chronicle </w:t>
      </w:r>
      <w:r>
        <w:rPr>
          <w:rFonts w:cs="Times New Roman"/>
          <w:i/>
          <w:iCs/>
          <w:sz w:val="20"/>
          <w:szCs w:val="18"/>
        </w:rPr>
        <w:t>Qawl al-basī</w:t>
      </w:r>
      <w:r>
        <w:rPr>
          <w:rStyle w:val="Emphasis"/>
          <w:rFonts w:cs="Times New Roman"/>
          <w:sz w:val="20"/>
          <w:szCs w:val="18"/>
        </w:rPr>
        <w:t>ṭ</w:t>
      </w:r>
      <w:r>
        <w:rPr>
          <w:rFonts w:cs="Times New Roman"/>
          <w:i/>
          <w:iCs/>
          <w:sz w:val="20"/>
          <w:szCs w:val="18"/>
        </w:rPr>
        <w:t xml:space="preserve"> fī akhbār</w:t>
      </w:r>
      <w:r>
        <w:rPr>
          <w:rFonts w:cs="Times New Roman"/>
          <w:sz w:val="20"/>
          <w:szCs w:val="18"/>
        </w:rPr>
        <w:t xml:space="preserve"> </w:t>
      </w:r>
      <w:r>
        <w:rPr>
          <w:rStyle w:val="Emphasis"/>
          <w:rFonts w:cs="Times New Roman"/>
          <w:sz w:val="20"/>
          <w:szCs w:val="18"/>
        </w:rPr>
        <w:t>Taman</w:t>
      </w:r>
      <w:r>
        <w:rPr>
          <w:rStyle w:val="Emphasis"/>
          <w:rFonts w:cs="Times New Roman"/>
          <w:sz w:val="20"/>
          <w:szCs w:val="18"/>
        </w:rPr>
        <w:t>ṭ</w:t>
      </w:r>
      <w:r>
        <w:rPr>
          <w:rStyle w:val="Emphasis"/>
          <w:rFonts w:cs="Times New Roman"/>
          <w:sz w:val="20"/>
          <w:szCs w:val="18"/>
        </w:rPr>
        <w:t>ī</w:t>
      </w:r>
      <w:r>
        <w:rPr>
          <w:rStyle w:val="Emphasis"/>
          <w:rFonts w:cs="Times New Roman"/>
          <w:sz w:val="20"/>
          <w:szCs w:val="18"/>
        </w:rPr>
        <w:t>ṭ</w:t>
      </w:r>
      <w:r>
        <w:rPr>
          <w:rFonts w:cs="Times New Roman"/>
          <w:sz w:val="20"/>
          <w:szCs w:val="18"/>
        </w:rPr>
        <w:t xml:space="preserve">, suggests that the al-Bakrī family initially traced their ancestry to the Moroccan Banū Marīn dynasty. </w:t>
      </w:r>
      <w:r>
        <w:rPr>
          <w:rFonts w:cs="Times New Roman"/>
          <w:sz w:val="20"/>
          <w:szCs w:val="18"/>
          <w:lang w:val="fr-FR"/>
        </w:rPr>
        <w:t xml:space="preserve">Refer to Louis Watin, “Origines des population d’après les traditions conserves dans le pays”, </w:t>
      </w:r>
      <w:r>
        <w:rPr>
          <w:rFonts w:cs="Times New Roman"/>
          <w:i/>
          <w:iCs/>
          <w:sz w:val="20"/>
          <w:szCs w:val="18"/>
          <w:lang w:val="fr-FR"/>
        </w:rPr>
        <w:t>Bulletin de la société de géographie d’Alger et de l’Afrique du Nord</w:t>
      </w:r>
      <w:r>
        <w:rPr>
          <w:rFonts w:cs="Times New Roman"/>
          <w:sz w:val="20"/>
          <w:szCs w:val="18"/>
          <w:lang w:val="fr-FR"/>
        </w:rPr>
        <w:t xml:space="preserve"> 10:2 (1905), 230. </w:t>
      </w:r>
      <w:r>
        <w:rPr>
          <w:rFonts w:cs="Times New Roman"/>
          <w:sz w:val="20"/>
          <w:szCs w:val="18"/>
        </w:rPr>
        <w:t xml:space="preserve">Be this as it may, the case nicely illustrates the changes within Saharan </w:t>
      </w:r>
      <w:r>
        <w:rPr>
          <w:rFonts w:cs="Times New Roman"/>
          <w:sz w:val="20"/>
          <w:szCs w:val="18"/>
        </w:rPr>
        <w:t>genealogical narratives over time.</w:t>
      </w:r>
    </w:p>
  </w:footnote>
  <w:footnote w:id="43">
    <w:p w14:paraId="7DF333CC" w14:textId="77777777" w:rsidR="00000000" w:rsidRDefault="00436F74">
      <w:pPr>
        <w:jc w:val="both"/>
        <w:rPr>
          <w:sz w:val="20"/>
          <w:szCs w:val="18"/>
        </w:rPr>
      </w:pPr>
      <w:r>
        <w:rPr>
          <w:rStyle w:val="FootnoteReference"/>
          <w:sz w:val="20"/>
          <w:szCs w:val="18"/>
        </w:rPr>
        <w:footnoteRef/>
      </w:r>
      <w:r>
        <w:rPr>
          <w:sz w:val="20"/>
          <w:szCs w:val="18"/>
          <w:lang w:val="en-US"/>
        </w:rPr>
        <w:t xml:space="preserve"> The only exception we know is the </w:t>
      </w:r>
      <w:r>
        <w:rPr>
          <w:i/>
          <w:iCs/>
          <w:sz w:val="20"/>
          <w:szCs w:val="18"/>
          <w:lang w:val="en-US"/>
        </w:rPr>
        <w:t>zāwiya</w:t>
      </w:r>
      <w:r>
        <w:rPr>
          <w:sz w:val="20"/>
          <w:szCs w:val="18"/>
          <w:lang w:val="en-US"/>
        </w:rPr>
        <w:t xml:space="preserve"> founded by the early eighteenth-century Sufi saint and </w:t>
      </w:r>
      <w:r>
        <w:rPr>
          <w:i/>
          <w:iCs/>
          <w:sz w:val="20"/>
          <w:szCs w:val="18"/>
          <w:lang w:val="en-US"/>
        </w:rPr>
        <w:t>sharīf</w:t>
      </w:r>
      <w:r>
        <w:rPr>
          <w:sz w:val="20"/>
          <w:szCs w:val="18"/>
          <w:lang w:val="en-US"/>
        </w:rPr>
        <w:t xml:space="preserve"> ʿAbd Allāh al-Raggānī in southern Tuwāt. However, it is striking that neither the founder nor his successors showed particular interest in scholarly activities. Even their credentials as </w:t>
      </w:r>
      <w:r>
        <w:rPr>
          <w:sz w:val="20"/>
          <w:szCs w:val="18"/>
          <w:lang w:val="en-US"/>
        </w:rPr>
        <w:t>Sufi leaders appear relatively modest. Teaching Sufism seems to have been little more than transmitting a set of litanies (</w:t>
      </w:r>
      <w:r>
        <w:rPr>
          <w:i/>
          <w:iCs/>
          <w:sz w:val="20"/>
          <w:szCs w:val="18"/>
          <w:lang w:val="en-US"/>
        </w:rPr>
        <w:t>wird</w:t>
      </w:r>
      <w:r>
        <w:rPr>
          <w:sz w:val="20"/>
          <w:szCs w:val="18"/>
          <w:lang w:val="en-US"/>
        </w:rPr>
        <w:t xml:space="preserve">; </w:t>
      </w:r>
      <w:r>
        <w:rPr>
          <w:i/>
          <w:iCs/>
          <w:sz w:val="20"/>
          <w:szCs w:val="18"/>
          <w:lang w:val="en-US"/>
        </w:rPr>
        <w:t>awrād</w:t>
      </w:r>
      <w:r>
        <w:rPr>
          <w:sz w:val="20"/>
          <w:szCs w:val="18"/>
          <w:lang w:val="en-US"/>
        </w:rPr>
        <w:t xml:space="preserve">) ʿAbd Allāh al-Raggānī had received from his master, Muḥammad b. Abī Ziyān (d. 1145/1732), who had set up a </w:t>
      </w:r>
      <w:r>
        <w:rPr>
          <w:i/>
          <w:iCs/>
          <w:sz w:val="20"/>
          <w:szCs w:val="18"/>
          <w:lang w:val="en-US"/>
        </w:rPr>
        <w:t>zāwiya</w:t>
      </w:r>
      <w:r>
        <w:rPr>
          <w:sz w:val="20"/>
          <w:szCs w:val="18"/>
          <w:lang w:val="en-US"/>
        </w:rPr>
        <w:t xml:space="preserve"> in the</w:t>
      </w:r>
      <w:r>
        <w:rPr>
          <w:sz w:val="20"/>
          <w:szCs w:val="18"/>
          <w:lang w:val="en-US"/>
        </w:rPr>
        <w:t xml:space="preserve"> Wadi Saoura region further north. </w:t>
      </w:r>
      <w:r>
        <w:rPr>
          <w:sz w:val="20"/>
          <w:szCs w:val="18"/>
        </w:rPr>
        <w:t>Cf. Warscheid, “Le pouvoir du chérif”.</w:t>
      </w:r>
    </w:p>
  </w:footnote>
  <w:footnote w:id="44">
    <w:p w14:paraId="761708D3" w14:textId="77777777" w:rsidR="00000000"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w:t>
      </w:r>
      <w:r>
        <w:rPr>
          <w:rFonts w:cs="Times New Roman"/>
          <w:i/>
          <w:iCs/>
          <w:sz w:val="20"/>
          <w:szCs w:val="18"/>
          <w:lang w:val="fr-FR"/>
        </w:rPr>
        <w:t>e.g</w:t>
      </w:r>
      <w:r>
        <w:rPr>
          <w:rFonts w:cs="Times New Roman"/>
          <w:sz w:val="20"/>
          <w:szCs w:val="18"/>
          <w:lang w:val="fr-FR"/>
        </w:rPr>
        <w:t xml:space="preserve">., al-Jantūrī, </w:t>
      </w:r>
      <w:r>
        <w:rPr>
          <w:rFonts w:cs="Times New Roman"/>
          <w:i/>
          <w:iCs/>
          <w:sz w:val="20"/>
          <w:szCs w:val="18"/>
          <w:lang w:val="fr-FR"/>
        </w:rPr>
        <w:t xml:space="preserve">Nawāzil, </w:t>
      </w:r>
      <w:r>
        <w:rPr>
          <w:rFonts w:cs="Times New Roman"/>
          <w:sz w:val="20"/>
          <w:szCs w:val="18"/>
          <w:lang w:val="fr-FR"/>
        </w:rPr>
        <w:t>97.</w:t>
      </w:r>
    </w:p>
  </w:footnote>
  <w:footnote w:id="45">
    <w:p w14:paraId="6CBA8042"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w:t>
      </w:r>
      <w:r>
        <w:rPr>
          <w:rFonts w:cs="Times New Roman"/>
          <w:i/>
          <w:sz w:val="20"/>
          <w:szCs w:val="18"/>
        </w:rPr>
        <w:t>-</w:t>
      </w:r>
      <w:r>
        <w:rPr>
          <w:rFonts w:cs="Times New Roman"/>
          <w:sz w:val="20"/>
          <w:szCs w:val="18"/>
        </w:rPr>
        <w:t xml:space="preserve">Balbālī, al-Balbālī, </w:t>
      </w:r>
      <w:r>
        <w:rPr>
          <w:rFonts w:cs="Times New Roman"/>
          <w:i/>
          <w:iCs/>
          <w:sz w:val="20"/>
          <w:szCs w:val="18"/>
        </w:rPr>
        <w:t>Ghunyat al-muqta</w:t>
      </w:r>
      <w:r>
        <w:rPr>
          <w:rFonts w:cs="Times New Roman"/>
          <w:i/>
          <w:iCs/>
          <w:sz w:val="20"/>
          <w:szCs w:val="18"/>
        </w:rPr>
        <w:t>ṣ</w:t>
      </w:r>
      <w:r>
        <w:rPr>
          <w:rFonts w:cs="Times New Roman"/>
          <w:i/>
          <w:iCs/>
          <w:sz w:val="20"/>
          <w:szCs w:val="18"/>
        </w:rPr>
        <w:t>id</w:t>
      </w:r>
      <w:r>
        <w:rPr>
          <w:rFonts w:cs="Times New Roman"/>
          <w:sz w:val="20"/>
          <w:szCs w:val="18"/>
        </w:rPr>
        <w:t>, 658.</w:t>
      </w:r>
    </w:p>
  </w:footnote>
  <w:footnote w:id="46">
    <w:p w14:paraId="49D75CB0" w14:textId="77777777" w:rsidR="00000000" w:rsidRDefault="00436F74">
      <w:pPr>
        <w:jc w:val="both"/>
        <w:rPr>
          <w:sz w:val="20"/>
          <w:szCs w:val="18"/>
          <w:lang w:val="en-US"/>
        </w:rPr>
      </w:pPr>
      <w:r>
        <w:rPr>
          <w:rStyle w:val="FootnoteReference"/>
          <w:sz w:val="20"/>
          <w:szCs w:val="18"/>
        </w:rPr>
        <w:footnoteRef/>
      </w:r>
      <w:r>
        <w:rPr>
          <w:sz w:val="20"/>
          <w:szCs w:val="18"/>
          <w:lang w:val="en-US"/>
        </w:rPr>
        <w:t xml:space="preserve"> The Sahelian Kunta scholars are an obvious illustration. On their political role, see mainly Az</w:t>
      </w:r>
      <w:r>
        <w:rPr>
          <w:sz w:val="20"/>
          <w:szCs w:val="18"/>
          <w:lang w:val="en-US"/>
        </w:rPr>
        <w:t xml:space="preserve">iz A. Batran, </w:t>
      </w:r>
      <w:r>
        <w:rPr>
          <w:i/>
          <w:iCs/>
          <w:sz w:val="20"/>
          <w:szCs w:val="18"/>
          <w:shd w:val="clear" w:color="auto" w:fill="FFFFFF"/>
          <w:lang w:val="en-US"/>
        </w:rPr>
        <w:t>The Qadiryya Brotherhood in West Africa and the Western Sahara: The Live and Times of Shaykh al-Mukhtar al-Kunti (1729-1811)</w:t>
      </w:r>
      <w:r>
        <w:rPr>
          <w:sz w:val="20"/>
          <w:szCs w:val="18"/>
          <w:shd w:val="clear" w:color="auto" w:fill="FFFFFF"/>
          <w:lang w:val="en-US"/>
        </w:rPr>
        <w:t xml:space="preserve"> (</w:t>
      </w:r>
      <w:r>
        <w:rPr>
          <w:sz w:val="20"/>
          <w:szCs w:val="18"/>
          <w:lang w:val="en-US"/>
        </w:rPr>
        <w:t>Rabat: Institut des études africaines, 2001)</w:t>
      </w:r>
      <w:r>
        <w:rPr>
          <w:sz w:val="20"/>
          <w:szCs w:val="18"/>
          <w:shd w:val="clear" w:color="auto" w:fill="FFFFFF"/>
          <w:lang w:val="en-US"/>
        </w:rPr>
        <w:t xml:space="preserve">, </w:t>
      </w:r>
      <w:r>
        <w:rPr>
          <w:sz w:val="20"/>
          <w:szCs w:val="18"/>
          <w:lang w:val="en-US"/>
        </w:rPr>
        <w:t>Abdel Wedoud Ould Cheikh, “La généalogie et les capitaux flottants: al</w:t>
      </w:r>
      <w:r>
        <w:rPr>
          <w:sz w:val="20"/>
          <w:szCs w:val="18"/>
          <w:lang w:val="en-US"/>
        </w:rPr>
        <w:t>-Shaykh Sîd al-Mukhtâr (c. 1750-1811) et les Kunta”, in</w:t>
      </w:r>
      <w:r>
        <w:rPr>
          <w:color w:val="262626"/>
          <w:sz w:val="20"/>
          <w:szCs w:val="18"/>
          <w:lang w:val="en-US"/>
        </w:rPr>
        <w:t xml:space="preserve"> </w:t>
      </w:r>
      <w:r>
        <w:rPr>
          <w:i/>
          <w:color w:val="262626"/>
          <w:sz w:val="20"/>
          <w:szCs w:val="18"/>
          <w:lang w:val="en-US"/>
        </w:rPr>
        <w:t>al-Ansâb la quête des origines: anthropologie historique de la société tribale arabe</w:t>
      </w:r>
      <w:r>
        <w:rPr>
          <w:color w:val="262626"/>
          <w:sz w:val="20"/>
          <w:szCs w:val="18"/>
          <w:lang w:val="en-US"/>
        </w:rPr>
        <w:t xml:space="preserve">, ed. </w:t>
      </w:r>
      <w:r>
        <w:rPr>
          <w:sz w:val="20"/>
          <w:szCs w:val="18"/>
        </w:rPr>
        <w:t>Pierre Bonte, Édouard Conte, Constant Hames and Abdel Wedoud Ould Cheikh (</w:t>
      </w:r>
      <w:r>
        <w:rPr>
          <w:color w:val="262626"/>
          <w:sz w:val="20"/>
          <w:szCs w:val="18"/>
        </w:rPr>
        <w:t>Paris: Éd. de la Maison des sciences</w:t>
      </w:r>
      <w:r>
        <w:rPr>
          <w:color w:val="262626"/>
          <w:sz w:val="20"/>
          <w:szCs w:val="18"/>
        </w:rPr>
        <w:t xml:space="preserve"> de l’homme, 1991)</w:t>
      </w:r>
      <w:r>
        <w:rPr>
          <w:sz w:val="20"/>
          <w:szCs w:val="18"/>
        </w:rPr>
        <w:t xml:space="preserve">, 137-62, Boubacar Sissiko, 2019, </w:t>
      </w:r>
      <w:r>
        <w:rPr>
          <w:i/>
          <w:iCs/>
          <w:sz w:val="20"/>
          <w:szCs w:val="18"/>
        </w:rPr>
        <w:t>Le cheikh al-Muḫtār aṣ-Ṣaghīr al-Kuntī (1790-1847): médiation entre l’État peul du Macina et les Touaregs de Tombouctou de 1826 à 1847</w:t>
      </w:r>
      <w:r>
        <w:rPr>
          <w:sz w:val="20"/>
          <w:szCs w:val="18"/>
        </w:rPr>
        <w:t xml:space="preserve">, Lyon, Ph.D. dissertation, Université Lumière de Lyon 2, 2019. </w:t>
      </w:r>
      <w:r>
        <w:rPr>
          <w:sz w:val="20"/>
          <w:szCs w:val="18"/>
          <w:lang w:val="en-US"/>
        </w:rPr>
        <w:t>Anothe</w:t>
      </w:r>
      <w:r>
        <w:rPr>
          <w:sz w:val="20"/>
          <w:szCs w:val="18"/>
          <w:lang w:val="en-US"/>
        </w:rPr>
        <w:t xml:space="preserve">r prominent example of a </w:t>
      </w:r>
      <w:r>
        <w:rPr>
          <w:i/>
          <w:iCs/>
          <w:sz w:val="20"/>
          <w:szCs w:val="18"/>
          <w:lang w:val="en-US"/>
        </w:rPr>
        <w:t>zawāyā</w:t>
      </w:r>
      <w:r>
        <w:rPr>
          <w:sz w:val="20"/>
          <w:szCs w:val="18"/>
          <w:lang w:val="en-US"/>
        </w:rPr>
        <w:t xml:space="preserve"> ‘politician’ is the Mauritanian Sidīya al-Kabīr (d. 1284/1869) studied by Charles Stewart in his pioneering </w:t>
      </w:r>
      <w:r>
        <w:rPr>
          <w:i/>
          <w:iCs/>
          <w:sz w:val="20"/>
          <w:szCs w:val="18"/>
          <w:lang w:val="en-US"/>
        </w:rPr>
        <w:t>Islam and Social Order in Mauritania</w:t>
      </w:r>
      <w:r>
        <w:rPr>
          <w:sz w:val="20"/>
          <w:szCs w:val="18"/>
          <w:lang w:val="en-US"/>
        </w:rPr>
        <w:t>.</w:t>
      </w:r>
    </w:p>
  </w:footnote>
  <w:footnote w:id="47">
    <w:p w14:paraId="660B9763" w14:textId="77777777" w:rsidR="00000000"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rPr>
        <w:t xml:space="preserve"> Still today, cultural life in Tuwāt is reminiscent of this distinction. For </w:t>
      </w:r>
      <w:r>
        <w:rPr>
          <w:rFonts w:cs="Times New Roman"/>
          <w:sz w:val="20"/>
          <w:szCs w:val="18"/>
        </w:rPr>
        <w:t xml:space="preserve">example, most </w:t>
      </w:r>
      <w:r>
        <w:rPr>
          <w:rFonts w:cs="Times New Roman"/>
          <w:i/>
          <w:iCs/>
          <w:sz w:val="20"/>
          <w:szCs w:val="18"/>
        </w:rPr>
        <w:t>q</w:t>
      </w:r>
      <w:r>
        <w:rPr>
          <w:rFonts w:cs="Times New Roman"/>
          <w:i/>
          <w:iCs/>
          <w:sz w:val="20"/>
          <w:szCs w:val="18"/>
        </w:rPr>
        <w:t>ṣ</w:t>
      </w:r>
      <w:r>
        <w:rPr>
          <w:rFonts w:cs="Times New Roman"/>
          <w:i/>
          <w:iCs/>
          <w:sz w:val="20"/>
          <w:szCs w:val="18"/>
        </w:rPr>
        <w:t>ūr</w:t>
      </w:r>
      <w:r>
        <w:rPr>
          <w:rFonts w:cs="Times New Roman"/>
          <w:sz w:val="20"/>
          <w:szCs w:val="18"/>
        </w:rPr>
        <w:t xml:space="preserve"> communities organize annual celebrations called </w:t>
      </w:r>
      <w:r>
        <w:rPr>
          <w:rFonts w:cs="Times New Roman"/>
          <w:i/>
          <w:iCs/>
          <w:sz w:val="20"/>
          <w:szCs w:val="18"/>
        </w:rPr>
        <w:t>ziyāra</w:t>
      </w:r>
      <w:r>
        <w:rPr>
          <w:rFonts w:cs="Times New Roman"/>
          <w:sz w:val="20"/>
          <w:szCs w:val="18"/>
        </w:rPr>
        <w:t xml:space="preserve"> in memory of their ancestors. On these occasions, descent groups claiming a </w:t>
      </w:r>
      <w:r>
        <w:rPr>
          <w:rFonts w:cs="Times New Roman"/>
          <w:i/>
          <w:iCs/>
          <w:sz w:val="20"/>
          <w:szCs w:val="18"/>
        </w:rPr>
        <w:t>mrāb</w:t>
      </w:r>
      <w:r>
        <w:rPr>
          <w:rFonts w:cs="Times New Roman"/>
          <w:i/>
          <w:iCs/>
          <w:sz w:val="20"/>
          <w:szCs w:val="18"/>
        </w:rPr>
        <w:t>ṭ</w:t>
      </w:r>
      <w:r>
        <w:rPr>
          <w:rFonts w:cs="Times New Roman"/>
          <w:i/>
          <w:iCs/>
          <w:sz w:val="20"/>
          <w:szCs w:val="18"/>
        </w:rPr>
        <w:t>īn</w:t>
      </w:r>
      <w:r>
        <w:rPr>
          <w:rFonts w:cs="Times New Roman"/>
          <w:sz w:val="20"/>
          <w:szCs w:val="18"/>
        </w:rPr>
        <w:t xml:space="preserve"> background organize a </w:t>
      </w:r>
      <w:r>
        <w:rPr>
          <w:rFonts w:cs="Times New Roman"/>
          <w:i/>
          <w:iCs/>
          <w:sz w:val="20"/>
          <w:szCs w:val="18"/>
        </w:rPr>
        <w:t>ḥ</w:t>
      </w:r>
      <w:r>
        <w:rPr>
          <w:rFonts w:cs="Times New Roman"/>
          <w:i/>
          <w:iCs/>
          <w:sz w:val="20"/>
          <w:szCs w:val="18"/>
        </w:rPr>
        <w:t>a</w:t>
      </w:r>
      <w:r>
        <w:rPr>
          <w:rFonts w:cs="Times New Roman"/>
          <w:i/>
          <w:iCs/>
          <w:sz w:val="20"/>
          <w:szCs w:val="18"/>
        </w:rPr>
        <w:t>ḍ</w:t>
      </w:r>
      <w:r>
        <w:rPr>
          <w:rFonts w:cs="Times New Roman"/>
          <w:i/>
          <w:iCs/>
          <w:sz w:val="20"/>
          <w:szCs w:val="18"/>
        </w:rPr>
        <w:t>ra</w:t>
      </w:r>
      <w:r>
        <w:rPr>
          <w:rFonts w:cs="Times New Roman"/>
          <w:sz w:val="20"/>
          <w:szCs w:val="18"/>
        </w:rPr>
        <w:t xml:space="preserve"> ritual in the style of the </w:t>
      </w:r>
      <w:r>
        <w:rPr>
          <w:rFonts w:cs="Times New Roman"/>
          <w:i/>
          <w:iCs/>
          <w:sz w:val="20"/>
          <w:szCs w:val="18"/>
        </w:rPr>
        <w:t>dhikr</w:t>
      </w:r>
      <w:r>
        <w:rPr>
          <w:rFonts w:cs="Times New Roman"/>
          <w:sz w:val="20"/>
          <w:szCs w:val="18"/>
        </w:rPr>
        <w:t xml:space="preserve"> sessions practiced by North African S</w:t>
      </w:r>
      <w:r>
        <w:rPr>
          <w:rFonts w:cs="Times New Roman"/>
          <w:sz w:val="20"/>
          <w:szCs w:val="18"/>
        </w:rPr>
        <w:t xml:space="preserve">ufis. In contrast, those claiming </w:t>
      </w:r>
      <w:r>
        <w:rPr>
          <w:rFonts w:cs="Times New Roman"/>
          <w:i/>
          <w:iCs/>
          <w:sz w:val="20"/>
          <w:szCs w:val="18"/>
        </w:rPr>
        <w:t>shurafāʾ</w:t>
      </w:r>
      <w:r>
        <w:rPr>
          <w:rFonts w:cs="Times New Roman"/>
          <w:sz w:val="20"/>
          <w:szCs w:val="18"/>
        </w:rPr>
        <w:t xml:space="preserve"> ancestry stage so-called “rifle dances” (</w:t>
      </w:r>
      <w:r>
        <w:rPr>
          <w:rFonts w:cs="Times New Roman"/>
          <w:i/>
          <w:iCs/>
          <w:sz w:val="20"/>
          <w:szCs w:val="18"/>
        </w:rPr>
        <w:t>bārūd</w:t>
      </w:r>
      <w:r>
        <w:rPr>
          <w:rFonts w:cs="Times New Roman"/>
          <w:sz w:val="20"/>
          <w:szCs w:val="18"/>
        </w:rPr>
        <w:t xml:space="preserve">), the symbol par excellence in the Maghrib and the Sahara of a ‘mundane power’ seeking lifestyle. We draw here on fieldwork observations between 2009 and 2018. The </w:t>
      </w:r>
      <w:r>
        <w:rPr>
          <w:rFonts w:cs="Times New Roman"/>
          <w:i/>
          <w:iCs/>
          <w:sz w:val="20"/>
          <w:szCs w:val="18"/>
        </w:rPr>
        <w:t>na</w:t>
      </w:r>
      <w:r>
        <w:rPr>
          <w:rFonts w:cs="Times New Roman"/>
          <w:i/>
          <w:iCs/>
          <w:sz w:val="20"/>
          <w:szCs w:val="18"/>
        </w:rPr>
        <w:t>wāzil</w:t>
      </w:r>
      <w:r>
        <w:rPr>
          <w:rFonts w:cs="Times New Roman"/>
          <w:sz w:val="20"/>
          <w:szCs w:val="18"/>
        </w:rPr>
        <w:t xml:space="preserve"> collections also mention the </w:t>
      </w:r>
      <w:r>
        <w:rPr>
          <w:rFonts w:cs="Times New Roman"/>
          <w:i/>
          <w:iCs/>
          <w:sz w:val="20"/>
          <w:szCs w:val="18"/>
        </w:rPr>
        <w:t>bārūd</w:t>
      </w:r>
      <w:r>
        <w:rPr>
          <w:rFonts w:cs="Times New Roman"/>
          <w:sz w:val="20"/>
          <w:szCs w:val="18"/>
        </w:rPr>
        <w:t xml:space="preserve"> ritual. Interestingly, local jurists argue that participation in </w:t>
      </w:r>
      <w:r>
        <w:rPr>
          <w:rFonts w:cs="Times New Roman"/>
          <w:i/>
          <w:iCs/>
          <w:sz w:val="20"/>
          <w:szCs w:val="18"/>
        </w:rPr>
        <w:t>bārūd</w:t>
      </w:r>
      <w:r>
        <w:rPr>
          <w:rFonts w:cs="Times New Roman"/>
          <w:sz w:val="20"/>
          <w:szCs w:val="18"/>
        </w:rPr>
        <w:t xml:space="preserve">-s affects a person’s capacity to act as an honorable witness. </w:t>
      </w:r>
      <w:r>
        <w:rPr>
          <w:rFonts w:cs="Times New Roman"/>
          <w:sz w:val="20"/>
          <w:szCs w:val="18"/>
          <w:lang w:val="fr-FR"/>
        </w:rPr>
        <w:t xml:space="preserve">See, </w:t>
      </w:r>
      <w:r>
        <w:rPr>
          <w:rFonts w:cs="Times New Roman"/>
          <w:i/>
          <w:iCs/>
          <w:sz w:val="20"/>
          <w:szCs w:val="18"/>
          <w:lang w:val="fr-FR"/>
        </w:rPr>
        <w:t>e.g</w:t>
      </w:r>
      <w:r>
        <w:rPr>
          <w:rFonts w:cs="Times New Roman"/>
          <w:sz w:val="20"/>
          <w:szCs w:val="18"/>
          <w:lang w:val="fr-FR"/>
        </w:rPr>
        <w:t xml:space="preserve">., al-Zajlāwī, </w:t>
      </w:r>
      <w:r>
        <w:rPr>
          <w:rFonts w:cs="Times New Roman"/>
          <w:i/>
          <w:iCs/>
          <w:sz w:val="20"/>
          <w:szCs w:val="18"/>
          <w:lang w:val="fr-FR"/>
        </w:rPr>
        <w:t>Nawāzil</w:t>
      </w:r>
      <w:r>
        <w:rPr>
          <w:rFonts w:cs="Times New Roman"/>
          <w:sz w:val="20"/>
          <w:szCs w:val="18"/>
          <w:lang w:val="fr-FR"/>
        </w:rPr>
        <w:t xml:space="preserve">, 126. </w:t>
      </w:r>
    </w:p>
  </w:footnote>
  <w:footnote w:id="48">
    <w:p w14:paraId="65BBADCB" w14:textId="77777777" w:rsidR="00000000" w:rsidRDefault="00436F74">
      <w:pPr>
        <w:pStyle w:val="Sansinterligne"/>
        <w:jc w:val="both"/>
        <w:rPr>
          <w:rFonts w:cs="Times New Roman"/>
          <w:sz w:val="20"/>
          <w:szCs w:val="18"/>
          <w:lang w:val="fr-CH"/>
        </w:rPr>
      </w:pPr>
      <w:r>
        <w:rPr>
          <w:rStyle w:val="FootnoteReference"/>
          <w:rFonts w:cs="Times New Roman"/>
          <w:sz w:val="20"/>
          <w:szCs w:val="18"/>
        </w:rPr>
        <w:footnoteRef/>
      </w:r>
      <w:r>
        <w:rPr>
          <w:rFonts w:cs="Times New Roman"/>
          <w:sz w:val="20"/>
          <w:szCs w:val="18"/>
          <w:lang w:val="fr-FR"/>
        </w:rPr>
        <w:t xml:space="preserve"> On the Saadian and Alawite conquest, see L</w:t>
      </w:r>
      <w:r>
        <w:rPr>
          <w:rFonts w:cs="Times New Roman"/>
          <w:sz w:val="20"/>
          <w:szCs w:val="18"/>
          <w:lang w:val="fr-FR"/>
        </w:rPr>
        <w:t xml:space="preserve">ouis Mougin, “Les premiers sultans sa’dides et le Sahara”, </w:t>
      </w:r>
      <w:r>
        <w:rPr>
          <w:rFonts w:cs="Times New Roman"/>
          <w:i/>
          <w:sz w:val="20"/>
          <w:szCs w:val="18"/>
          <w:lang w:val="fr-FR"/>
        </w:rPr>
        <w:t>Revue de l’Occident musulman et de la Méditerranée</w:t>
      </w:r>
      <w:r>
        <w:rPr>
          <w:rFonts w:cs="Times New Roman"/>
          <w:sz w:val="20"/>
          <w:szCs w:val="18"/>
          <w:lang w:val="fr-FR"/>
        </w:rPr>
        <w:t xml:space="preserve"> 19 (1975), 169-187 and Larbi Mezzine, </w:t>
      </w:r>
      <w:r>
        <w:rPr>
          <w:rFonts w:cs="Times New Roman"/>
          <w:i/>
          <w:sz w:val="20"/>
          <w:szCs w:val="18"/>
          <w:lang w:val="fr-FR"/>
        </w:rPr>
        <w:t>Le Tafilalt: contribution à l’histoire du Maroc aux XVII</w:t>
      </w:r>
      <w:r>
        <w:rPr>
          <w:rFonts w:cs="Times New Roman"/>
          <w:i/>
          <w:sz w:val="20"/>
          <w:szCs w:val="18"/>
          <w:vertAlign w:val="superscript"/>
          <w:lang w:val="fr-FR"/>
        </w:rPr>
        <w:t>e</w:t>
      </w:r>
      <w:r>
        <w:rPr>
          <w:rFonts w:cs="Times New Roman"/>
          <w:i/>
          <w:sz w:val="20"/>
          <w:szCs w:val="18"/>
          <w:lang w:val="fr-FR"/>
        </w:rPr>
        <w:t xml:space="preserve"> et XVIII</w:t>
      </w:r>
      <w:r>
        <w:rPr>
          <w:rFonts w:cs="Times New Roman"/>
          <w:i/>
          <w:sz w:val="20"/>
          <w:szCs w:val="18"/>
          <w:vertAlign w:val="superscript"/>
          <w:lang w:val="fr-FR"/>
        </w:rPr>
        <w:t>e</w:t>
      </w:r>
      <w:r>
        <w:rPr>
          <w:rFonts w:cs="Times New Roman"/>
          <w:i/>
          <w:sz w:val="20"/>
          <w:szCs w:val="18"/>
          <w:lang w:val="fr-FR"/>
        </w:rPr>
        <w:t xml:space="preserve"> siècle</w:t>
      </w:r>
      <w:r>
        <w:rPr>
          <w:rFonts w:cs="Times New Roman"/>
          <w:sz w:val="20"/>
          <w:szCs w:val="18"/>
          <w:lang w:val="fr-FR"/>
        </w:rPr>
        <w:t xml:space="preserve"> (Rabat: Publications de la Facult</w:t>
      </w:r>
      <w:r>
        <w:rPr>
          <w:rFonts w:cs="Times New Roman"/>
          <w:sz w:val="20"/>
          <w:szCs w:val="18"/>
          <w:lang w:val="fr-FR"/>
        </w:rPr>
        <w:t>é des lettres et des sciences humaines, 1987), 315-320.</w:t>
      </w:r>
    </w:p>
  </w:footnote>
  <w:footnote w:id="49">
    <w:p w14:paraId="6C07361C" w14:textId="77777777" w:rsidR="00000000"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Cf. Ismail Warscheid, “Les </w:t>
      </w:r>
      <w:r>
        <w:rPr>
          <w:rFonts w:cs="Times New Roman"/>
          <w:i/>
          <w:iCs/>
          <w:sz w:val="20"/>
          <w:szCs w:val="18"/>
          <w:lang w:val="fr-FR"/>
        </w:rPr>
        <w:t>Jours du Makhzen</w:t>
      </w:r>
      <w:r>
        <w:rPr>
          <w:rFonts w:cs="Times New Roman"/>
          <w:sz w:val="20"/>
          <w:szCs w:val="18"/>
          <w:lang w:val="fr-FR"/>
        </w:rPr>
        <w:t xml:space="preserve">: levée d’impôt et relations communautaires dans les oasis du Touat (Sud algérien), 1700-1850”, </w:t>
      </w:r>
      <w:r>
        <w:rPr>
          <w:rFonts w:cs="Times New Roman"/>
          <w:i/>
          <w:iCs/>
          <w:sz w:val="20"/>
          <w:szCs w:val="18"/>
          <w:lang w:val="fr-FR"/>
        </w:rPr>
        <w:t>Revue d’histoire du XIX</w:t>
      </w:r>
      <w:r>
        <w:rPr>
          <w:rFonts w:cs="Times New Roman"/>
          <w:i/>
          <w:iCs/>
          <w:sz w:val="20"/>
          <w:szCs w:val="18"/>
          <w:vertAlign w:val="superscript"/>
          <w:lang w:val="fr-FR"/>
        </w:rPr>
        <w:t>e</w:t>
      </w:r>
      <w:r>
        <w:rPr>
          <w:rFonts w:cs="Times New Roman"/>
          <w:i/>
          <w:iCs/>
          <w:sz w:val="20"/>
          <w:szCs w:val="18"/>
          <w:lang w:val="fr-FR"/>
        </w:rPr>
        <w:t xml:space="preserve"> siècle</w:t>
      </w:r>
      <w:r>
        <w:rPr>
          <w:rFonts w:cs="Times New Roman"/>
          <w:sz w:val="20"/>
          <w:szCs w:val="18"/>
          <w:lang w:val="fr-FR"/>
        </w:rPr>
        <w:t xml:space="preserve"> 59 (2019), 31-48.</w:t>
      </w:r>
    </w:p>
  </w:footnote>
  <w:footnote w:id="50">
    <w:p w14:paraId="6BB3C98E" w14:textId="77777777" w:rsidR="00000000" w:rsidRDefault="00436F74">
      <w:pPr>
        <w:pStyle w:val="Sansinterligne"/>
        <w:jc w:val="both"/>
        <w:rPr>
          <w:rFonts w:cs="Times New Roman"/>
          <w:i/>
          <w:sz w:val="20"/>
          <w:szCs w:val="18"/>
          <w:lang w:val="fr-FR"/>
        </w:rPr>
      </w:pPr>
      <w:r>
        <w:rPr>
          <w:rStyle w:val="FootnoteReference"/>
          <w:rFonts w:cs="Times New Roman"/>
          <w:sz w:val="20"/>
          <w:szCs w:val="18"/>
        </w:rPr>
        <w:footnoteRef/>
      </w:r>
      <w:r>
        <w:rPr>
          <w:rFonts w:cs="Times New Roman"/>
          <w:sz w:val="20"/>
          <w:szCs w:val="18"/>
          <w:lang w:val="fr-FR"/>
        </w:rPr>
        <w:t xml:space="preserve"> Mezzine</w:t>
      </w:r>
      <w:r>
        <w:rPr>
          <w:rFonts w:cs="Times New Roman"/>
          <w:sz w:val="20"/>
          <w:szCs w:val="18"/>
          <w:lang w:val="fr-FR"/>
        </w:rPr>
        <w:t xml:space="preserve">, </w:t>
      </w:r>
      <w:r>
        <w:rPr>
          <w:rFonts w:cs="Times New Roman"/>
          <w:i/>
          <w:sz w:val="20"/>
          <w:szCs w:val="18"/>
          <w:lang w:val="fr-FR"/>
        </w:rPr>
        <w:t>Le Tafilalt.</w:t>
      </w:r>
    </w:p>
  </w:footnote>
  <w:footnote w:id="51">
    <w:p w14:paraId="6B483050" w14:textId="77777777" w:rsidR="00000000"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Warscheid, </w:t>
      </w:r>
      <w:r>
        <w:rPr>
          <w:rFonts w:cs="Times New Roman"/>
          <w:i/>
          <w:iCs/>
          <w:sz w:val="20"/>
          <w:szCs w:val="18"/>
          <w:lang w:val="fr-FR"/>
        </w:rPr>
        <w:t>Droit musulman et société</w:t>
      </w:r>
      <w:r>
        <w:rPr>
          <w:rFonts w:cs="Times New Roman"/>
          <w:sz w:val="20"/>
          <w:szCs w:val="18"/>
          <w:lang w:val="fr-FR"/>
        </w:rPr>
        <w:t>,</w:t>
      </w:r>
      <w:r>
        <w:rPr>
          <w:rFonts w:cs="Times New Roman"/>
          <w:i/>
          <w:iCs/>
          <w:sz w:val="20"/>
          <w:szCs w:val="18"/>
          <w:lang w:val="fr-FR"/>
        </w:rPr>
        <w:t xml:space="preserve"> </w:t>
      </w:r>
      <w:r>
        <w:rPr>
          <w:rFonts w:cs="Times New Roman"/>
          <w:sz w:val="20"/>
          <w:szCs w:val="18"/>
          <w:lang w:val="fr-FR"/>
        </w:rPr>
        <w:t>158-163.</w:t>
      </w:r>
    </w:p>
  </w:footnote>
  <w:footnote w:id="52">
    <w:p w14:paraId="4B726446"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Most significant for the Saharan West context is E. Ann Mcdougall’s pioneering work, </w:t>
      </w:r>
      <w:r>
        <w:rPr>
          <w:rFonts w:cs="Times New Roman"/>
          <w:i/>
          <w:iCs/>
          <w:sz w:val="20"/>
          <w:szCs w:val="18"/>
        </w:rPr>
        <w:t>e.g.</w:t>
      </w:r>
      <w:r>
        <w:rPr>
          <w:rFonts w:cs="Times New Roman"/>
          <w:sz w:val="20"/>
          <w:szCs w:val="18"/>
        </w:rPr>
        <w:t xml:space="preserve"> E. Ann Mcdougall, “Salt, Saharans, and the trans-Saharan slave trade: nineteenth century development</w:t>
      </w:r>
      <w:r>
        <w:rPr>
          <w:rFonts w:cs="Times New Roman"/>
          <w:sz w:val="20"/>
          <w:szCs w:val="18"/>
        </w:rPr>
        <w:t xml:space="preserve">s”, in </w:t>
      </w:r>
      <w:r>
        <w:rPr>
          <w:rFonts w:cs="Times New Roman"/>
          <w:i/>
          <w:iCs/>
          <w:sz w:val="20"/>
          <w:szCs w:val="18"/>
        </w:rPr>
        <w:t>The Human Commodity: Perspectives on the Trans-Saharan Slave Trade</w:t>
      </w:r>
      <w:r>
        <w:rPr>
          <w:rFonts w:cs="Times New Roman"/>
          <w:sz w:val="20"/>
          <w:szCs w:val="18"/>
        </w:rPr>
        <w:t xml:space="preserve">, ed. Elizabeth Savage (London, Portland: F. Cass, 1992), 61-88, idem, “A Sense of Self: The Life of Fatma Barka”, </w:t>
      </w:r>
      <w:r>
        <w:rPr>
          <w:rFonts w:cs="Times New Roman"/>
          <w:i/>
          <w:iCs/>
          <w:sz w:val="20"/>
          <w:szCs w:val="18"/>
        </w:rPr>
        <w:t>Canadian Journal of African Studies</w:t>
      </w:r>
      <w:r>
        <w:rPr>
          <w:rFonts w:cs="Times New Roman"/>
          <w:sz w:val="20"/>
          <w:szCs w:val="18"/>
        </w:rPr>
        <w:t xml:space="preserve"> 32:2 (1998), 285-315, idem, “Sla</w:t>
      </w:r>
      <w:r>
        <w:rPr>
          <w:rFonts w:cs="Times New Roman"/>
          <w:sz w:val="20"/>
          <w:szCs w:val="18"/>
        </w:rPr>
        <w:t xml:space="preserve">very, Sorcery, and Colonial ‘Reality’ in Mauritania, ca 1910-1960”, in </w:t>
      </w:r>
      <w:r>
        <w:rPr>
          <w:rFonts w:cs="Times New Roman"/>
          <w:i/>
          <w:iCs/>
          <w:sz w:val="20"/>
          <w:szCs w:val="18"/>
        </w:rPr>
        <w:t>Agency and Action in Colonial Africa: Essays for John E. Flint</w:t>
      </w:r>
      <w:r>
        <w:rPr>
          <w:rFonts w:cs="Times New Roman"/>
          <w:sz w:val="20"/>
          <w:szCs w:val="18"/>
        </w:rPr>
        <w:t>, ed. Chris Youé and Tim Stapelton (Basingstoke: Palgrave, 2001), 69-82, idem, “Discourse and Distortion: Critical Reflexio</w:t>
      </w:r>
      <w:r>
        <w:rPr>
          <w:rFonts w:cs="Times New Roman"/>
          <w:sz w:val="20"/>
          <w:szCs w:val="18"/>
        </w:rPr>
        <w:t xml:space="preserve">ns on Studying the Saharan Slave Trade”, </w:t>
      </w:r>
      <w:r>
        <w:rPr>
          <w:rFonts w:cs="Times New Roman"/>
          <w:i/>
          <w:iCs/>
          <w:sz w:val="20"/>
          <w:szCs w:val="18"/>
        </w:rPr>
        <w:t xml:space="preserve">Outre-mers: revue d’histoire </w:t>
      </w:r>
      <w:r>
        <w:rPr>
          <w:rFonts w:cs="Times New Roman"/>
          <w:sz w:val="20"/>
          <w:szCs w:val="18"/>
        </w:rPr>
        <w:t>336/337 (2002), 195-227.</w:t>
      </w:r>
    </w:p>
  </w:footnote>
  <w:footnote w:id="53">
    <w:p w14:paraId="7E7DAAF7" w14:textId="77777777" w:rsidR="00000000" w:rsidRDefault="00436F74">
      <w:pPr>
        <w:pStyle w:val="Sansinterligne"/>
        <w:rPr>
          <w:rFonts w:cs="Times New Roman"/>
          <w:sz w:val="20"/>
        </w:rPr>
      </w:pPr>
      <w:r>
        <w:rPr>
          <w:rStyle w:val="FootnoteReference"/>
          <w:rFonts w:cs="Times New Roman"/>
          <w:sz w:val="20"/>
        </w:rPr>
        <w:footnoteRef/>
      </w:r>
      <w:r>
        <w:rPr>
          <w:rFonts w:cs="Times New Roman"/>
          <w:sz w:val="20"/>
        </w:rPr>
        <w:t xml:space="preserve"> Hall, </w:t>
      </w:r>
      <w:r>
        <w:rPr>
          <w:rFonts w:cs="Times New Roman"/>
          <w:i/>
          <w:iCs/>
          <w:sz w:val="20"/>
        </w:rPr>
        <w:t>A History of Race</w:t>
      </w:r>
      <w:r>
        <w:rPr>
          <w:rFonts w:cs="Times New Roman"/>
          <w:sz w:val="20"/>
        </w:rPr>
        <w:t>.</w:t>
      </w:r>
    </w:p>
  </w:footnote>
  <w:footnote w:id="54">
    <w:p w14:paraId="3614C842" w14:textId="77777777" w:rsidR="00000000" w:rsidRDefault="00436F74">
      <w:pPr>
        <w:pStyle w:val="Sansinterligne"/>
        <w:jc w:val="both"/>
        <w:rPr>
          <w:rFonts w:cs="Times New Roman"/>
          <w:b/>
          <w:bCs/>
          <w:sz w:val="20"/>
          <w:szCs w:val="18"/>
          <w:lang w:val="de-DE"/>
        </w:rPr>
      </w:pPr>
      <w:r>
        <w:rPr>
          <w:rStyle w:val="FootnoteReference"/>
          <w:rFonts w:cs="Times New Roman"/>
          <w:sz w:val="20"/>
          <w:szCs w:val="18"/>
        </w:rPr>
        <w:footnoteRef/>
      </w:r>
      <w:r>
        <w:rPr>
          <w:rFonts w:cs="Times New Roman"/>
          <w:sz w:val="20"/>
          <w:szCs w:val="18"/>
          <w:lang w:val="de-DE"/>
        </w:rPr>
        <w:t xml:space="preserve"> Oßwald, </w:t>
      </w:r>
      <w:r>
        <w:rPr>
          <w:rFonts w:cs="Times New Roman"/>
          <w:i/>
          <w:iCs/>
          <w:sz w:val="20"/>
          <w:szCs w:val="18"/>
          <w:lang w:val="de-DE"/>
        </w:rPr>
        <w:t>Sklavenhandel und Slavenleben.</w:t>
      </w:r>
    </w:p>
  </w:footnote>
  <w:footnote w:id="55">
    <w:p w14:paraId="56534FA3"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Wright, John, </w:t>
      </w:r>
      <w:r>
        <w:rPr>
          <w:rFonts w:cs="Times New Roman"/>
          <w:i/>
          <w:iCs/>
          <w:sz w:val="20"/>
          <w:szCs w:val="18"/>
        </w:rPr>
        <w:t>The Trans-Saharan Slave Trade</w:t>
      </w:r>
      <w:r>
        <w:rPr>
          <w:rFonts w:cs="Times New Roman"/>
          <w:sz w:val="20"/>
          <w:szCs w:val="18"/>
        </w:rPr>
        <w:t xml:space="preserve"> (London: Routledge, 2007).</w:t>
      </w:r>
    </w:p>
  </w:footnote>
  <w:footnote w:id="56">
    <w:p w14:paraId="5522FAE1" w14:textId="77777777" w:rsidR="00000000" w:rsidRDefault="00436F74">
      <w:pPr>
        <w:pStyle w:val="Sansinterligne"/>
        <w:jc w:val="both"/>
        <w:rPr>
          <w:rFonts w:cs="Times New Roman"/>
          <w:i/>
          <w:iCs/>
          <w:sz w:val="20"/>
          <w:szCs w:val="18"/>
        </w:rPr>
      </w:pPr>
      <w:r>
        <w:rPr>
          <w:rStyle w:val="FootnoteReference"/>
          <w:rFonts w:cs="Times New Roman"/>
          <w:sz w:val="20"/>
          <w:szCs w:val="18"/>
        </w:rPr>
        <w:footnoteRef/>
      </w:r>
      <w:r>
        <w:rPr>
          <w:rFonts w:cs="Times New Roman"/>
          <w:sz w:val="20"/>
          <w:szCs w:val="18"/>
        </w:rPr>
        <w:t xml:space="preserve"> See also Oßwald, </w:t>
      </w:r>
      <w:r>
        <w:rPr>
          <w:rFonts w:cs="Times New Roman"/>
          <w:i/>
          <w:iCs/>
          <w:sz w:val="20"/>
          <w:szCs w:val="18"/>
        </w:rPr>
        <w:t>S</w:t>
      </w:r>
      <w:r>
        <w:rPr>
          <w:rFonts w:cs="Times New Roman"/>
          <w:i/>
          <w:iCs/>
          <w:sz w:val="20"/>
          <w:szCs w:val="18"/>
        </w:rPr>
        <w:t>klavenhandel und Sklavenleben</w:t>
      </w:r>
      <w:r>
        <w:rPr>
          <w:rFonts w:cs="Times New Roman"/>
          <w:sz w:val="20"/>
          <w:szCs w:val="18"/>
        </w:rPr>
        <w:t>, 130-33, 188-91,</w:t>
      </w:r>
      <w:r>
        <w:rPr>
          <w:rFonts w:cs="Times New Roman"/>
          <w:i/>
          <w:iCs/>
          <w:sz w:val="20"/>
          <w:szCs w:val="18"/>
        </w:rPr>
        <w:t xml:space="preserve"> </w:t>
      </w:r>
      <w:r>
        <w:rPr>
          <w:rFonts w:cs="Times New Roman"/>
          <w:sz w:val="20"/>
        </w:rPr>
        <w:t xml:space="preserve">Bruce Hall and Ghislaine Lydon, “Excavating Arabic Sources For the History of Slavery in Western Africa”, in </w:t>
      </w:r>
      <w:r>
        <w:rPr>
          <w:rStyle w:val="Emphasis"/>
          <w:rFonts w:cs="Times New Roman"/>
          <w:sz w:val="20"/>
        </w:rPr>
        <w:t>African Slavery/African Voices</w:t>
      </w:r>
      <w:r>
        <w:rPr>
          <w:rFonts w:cs="Times New Roman"/>
          <w:sz w:val="20"/>
        </w:rPr>
        <w:t xml:space="preserve">, Volume 2, </w:t>
      </w:r>
      <w:r>
        <w:rPr>
          <w:rStyle w:val="Emphasis"/>
          <w:rFonts w:cs="Times New Roman"/>
          <w:sz w:val="20"/>
        </w:rPr>
        <w:t>Methodology</w:t>
      </w:r>
      <w:r>
        <w:rPr>
          <w:rFonts w:cs="Times New Roman"/>
          <w:sz w:val="20"/>
        </w:rPr>
        <w:t xml:space="preserve">, ed. Alice Bellagamba, Sandra Greene, Carolyn </w:t>
      </w:r>
      <w:r>
        <w:rPr>
          <w:rFonts w:cs="Times New Roman"/>
          <w:sz w:val="20"/>
        </w:rPr>
        <w:t xml:space="preserve">Brown and Martin Klein (New York: Cambridge University Press, 2016), 15-49, </w:t>
      </w:r>
      <w:r>
        <w:rPr>
          <w:rFonts w:cs="Times New Roman"/>
          <w:sz w:val="20"/>
          <w:szCs w:val="18"/>
        </w:rPr>
        <w:t xml:space="preserve">Ghislaine Lydon, “Islamic Legal Culture and Slave-Ownership Contests in Nineteenth-Century Sahara”, </w:t>
      </w:r>
      <w:r>
        <w:rPr>
          <w:rFonts w:cs="Times New Roman"/>
          <w:i/>
          <w:iCs/>
          <w:sz w:val="20"/>
          <w:szCs w:val="18"/>
        </w:rPr>
        <w:t>The International Journal of African Historical Studies</w:t>
      </w:r>
      <w:r>
        <w:rPr>
          <w:rFonts w:cs="Times New Roman"/>
          <w:sz w:val="20"/>
          <w:szCs w:val="18"/>
        </w:rPr>
        <w:t xml:space="preserve"> 40:3/1 (2007), 391–439, </w:t>
      </w:r>
      <w:r>
        <w:rPr>
          <w:rFonts w:cs="Times New Roman"/>
          <w:sz w:val="20"/>
          <w:szCs w:val="18"/>
        </w:rPr>
        <w:t xml:space="preserve">idem, “Slavery, Exchange and Islamic Law: A Glimpse from the Archives of Mali and Mauritania”, </w:t>
      </w:r>
      <w:r>
        <w:rPr>
          <w:rFonts w:cs="Times New Roman"/>
          <w:i/>
          <w:iCs/>
          <w:sz w:val="20"/>
          <w:szCs w:val="18"/>
        </w:rPr>
        <w:t>African Economic History</w:t>
      </w:r>
      <w:r>
        <w:rPr>
          <w:rFonts w:cs="Times New Roman"/>
          <w:sz w:val="20"/>
          <w:szCs w:val="18"/>
        </w:rPr>
        <w:t xml:space="preserve"> 33:1 (2005), 117–48.</w:t>
      </w:r>
    </w:p>
  </w:footnote>
  <w:footnote w:id="57">
    <w:p w14:paraId="39FF5B56" w14:textId="77777777" w:rsidR="00000000"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de-DE"/>
        </w:rPr>
        <w:t xml:space="preserve"> al-Jantūrī, </w:t>
      </w:r>
      <w:r>
        <w:rPr>
          <w:rFonts w:cs="Times New Roman"/>
          <w:i/>
          <w:iCs/>
          <w:sz w:val="20"/>
          <w:szCs w:val="18"/>
          <w:lang w:val="de-DE"/>
        </w:rPr>
        <w:t>Nawazil</w:t>
      </w:r>
      <w:r>
        <w:rPr>
          <w:rFonts w:cs="Times New Roman"/>
          <w:sz w:val="20"/>
          <w:szCs w:val="18"/>
          <w:lang w:val="de-DE"/>
        </w:rPr>
        <w:t>, 163-164.</w:t>
      </w:r>
    </w:p>
  </w:footnote>
  <w:footnote w:id="58">
    <w:p w14:paraId="145FC4AB" w14:textId="77777777" w:rsidR="00000000"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de-DE"/>
        </w:rPr>
        <w:t xml:space="preserve"> Oßwald, </w:t>
      </w:r>
      <w:r>
        <w:rPr>
          <w:rFonts w:cs="Times New Roman"/>
          <w:i/>
          <w:iCs/>
          <w:sz w:val="20"/>
          <w:szCs w:val="18"/>
          <w:lang w:val="de-DE"/>
        </w:rPr>
        <w:t>Sklavenhandel und Sklavenleben</w:t>
      </w:r>
      <w:r>
        <w:rPr>
          <w:rFonts w:cs="Times New Roman"/>
          <w:sz w:val="20"/>
          <w:szCs w:val="18"/>
          <w:lang w:val="de-DE"/>
        </w:rPr>
        <w:t>, 259-81.</w:t>
      </w:r>
    </w:p>
  </w:footnote>
  <w:footnote w:id="59">
    <w:p w14:paraId="3908801B" w14:textId="77777777" w:rsidR="00000000"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de-DE"/>
        </w:rPr>
        <w:t xml:space="preserve">  Hall, </w:t>
      </w:r>
      <w:r>
        <w:rPr>
          <w:rFonts w:cs="Times New Roman"/>
          <w:i/>
          <w:iCs/>
          <w:sz w:val="20"/>
          <w:szCs w:val="18"/>
          <w:lang w:val="de-DE"/>
        </w:rPr>
        <w:t>A History of Race</w:t>
      </w:r>
      <w:r>
        <w:rPr>
          <w:rFonts w:cs="Times New Roman"/>
          <w:sz w:val="20"/>
          <w:szCs w:val="18"/>
          <w:lang w:val="de-DE"/>
        </w:rPr>
        <w:t>, Oßwal</w:t>
      </w:r>
      <w:r>
        <w:rPr>
          <w:rFonts w:cs="Times New Roman"/>
          <w:sz w:val="20"/>
          <w:szCs w:val="18"/>
          <w:lang w:val="de-DE"/>
        </w:rPr>
        <w:t xml:space="preserve">d, </w:t>
      </w:r>
      <w:r>
        <w:rPr>
          <w:rFonts w:cs="Times New Roman"/>
          <w:i/>
          <w:iCs/>
          <w:sz w:val="20"/>
          <w:szCs w:val="18"/>
          <w:lang w:val="de-DE"/>
        </w:rPr>
        <w:t>Sklavenhandel und Sklavenleben</w:t>
      </w:r>
      <w:r>
        <w:rPr>
          <w:rFonts w:cs="Times New Roman"/>
          <w:sz w:val="20"/>
          <w:szCs w:val="18"/>
          <w:lang w:val="de-DE"/>
        </w:rPr>
        <w:t>, 93-107.</w:t>
      </w:r>
    </w:p>
  </w:footnote>
  <w:footnote w:id="60">
    <w:p w14:paraId="16275730" w14:textId="77777777" w:rsidR="00000000"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de-DE"/>
        </w:rPr>
        <w:t xml:space="preserve"> al-Zajlāwī, </w:t>
      </w:r>
      <w:r>
        <w:rPr>
          <w:rFonts w:cs="Times New Roman"/>
          <w:i/>
          <w:iCs/>
          <w:sz w:val="20"/>
          <w:szCs w:val="18"/>
          <w:lang w:val="de-DE"/>
        </w:rPr>
        <w:t>Nawāzil</w:t>
      </w:r>
      <w:r>
        <w:rPr>
          <w:rFonts w:cs="Times New Roman"/>
          <w:sz w:val="20"/>
          <w:szCs w:val="18"/>
          <w:lang w:val="de-DE"/>
        </w:rPr>
        <w:t xml:space="preserve">, 24. </w:t>
      </w:r>
    </w:p>
  </w:footnote>
  <w:footnote w:id="61">
    <w:p w14:paraId="7E489BEF"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lang w:val="de-DE"/>
        </w:rPr>
        <w:t xml:space="preserve"> Our transliteration follows the way the term appears in the local manuscripts, namely </w:t>
      </w:r>
      <w:r>
        <w:rPr>
          <w:rFonts w:cs="Times New Roman"/>
          <w:sz w:val="20"/>
          <w:szCs w:val="18"/>
          <w:rtl/>
        </w:rPr>
        <w:t>حراثين</w:t>
      </w:r>
      <w:r>
        <w:rPr>
          <w:rFonts w:cs="Times New Roman"/>
          <w:sz w:val="20"/>
          <w:szCs w:val="18"/>
          <w:lang w:val="de-DE"/>
        </w:rPr>
        <w:t xml:space="preserve"> instead of the more common </w:t>
      </w:r>
      <w:r>
        <w:rPr>
          <w:rFonts w:cs="Times New Roman"/>
          <w:sz w:val="20"/>
          <w:szCs w:val="18"/>
          <w:rtl/>
          <w:lang w:val="fr-CH"/>
        </w:rPr>
        <w:t>حراطين</w:t>
      </w:r>
      <w:r>
        <w:rPr>
          <w:rFonts w:cs="Times New Roman"/>
          <w:sz w:val="20"/>
          <w:szCs w:val="18"/>
          <w:lang w:val="de-DE"/>
        </w:rPr>
        <w:t xml:space="preserve">. </w:t>
      </w:r>
      <w:r>
        <w:rPr>
          <w:rFonts w:cs="Times New Roman"/>
          <w:sz w:val="20"/>
          <w:szCs w:val="18"/>
        </w:rPr>
        <w:t>For the sake of consistency, we will use this translite</w:t>
      </w:r>
      <w:r>
        <w:rPr>
          <w:rFonts w:cs="Times New Roman"/>
          <w:sz w:val="20"/>
          <w:szCs w:val="18"/>
        </w:rPr>
        <w:t xml:space="preserve">ration also when referring to other Saharan regions. </w:t>
      </w:r>
    </w:p>
  </w:footnote>
  <w:footnote w:id="62">
    <w:p w14:paraId="42931550"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We should note in this context that, historically, water, land, and (palm) trees are separate commodities in North African oasis societies.</w:t>
      </w:r>
    </w:p>
  </w:footnote>
  <w:footnote w:id="63">
    <w:p w14:paraId="1FA570B6" w14:textId="77777777" w:rsidR="00000000" w:rsidRDefault="00436F74">
      <w:pPr>
        <w:jc w:val="both"/>
        <w:rPr>
          <w:sz w:val="20"/>
          <w:szCs w:val="18"/>
        </w:rPr>
      </w:pPr>
      <w:r>
        <w:rPr>
          <w:rStyle w:val="FootnoteReference"/>
          <w:sz w:val="20"/>
          <w:szCs w:val="18"/>
        </w:rPr>
        <w:footnoteRef/>
      </w:r>
      <w:r>
        <w:rPr>
          <w:sz w:val="20"/>
          <w:szCs w:val="18"/>
        </w:rPr>
        <w:t xml:space="preserve"> See</w:t>
      </w:r>
      <w:r>
        <w:rPr>
          <w:i/>
          <w:iCs/>
          <w:sz w:val="20"/>
          <w:szCs w:val="18"/>
        </w:rPr>
        <w:t>, e.g</w:t>
      </w:r>
      <w:r>
        <w:rPr>
          <w:sz w:val="20"/>
          <w:szCs w:val="18"/>
        </w:rPr>
        <w:t>., Urs Peter Ruf, “Du neuf dans le vieux: la situa</w:t>
      </w:r>
      <w:r>
        <w:rPr>
          <w:sz w:val="20"/>
          <w:szCs w:val="18"/>
        </w:rPr>
        <w:t xml:space="preserve">tion des harâtîn et ‘abîd en Mauritanie rurale”, </w:t>
      </w:r>
      <w:r>
        <w:rPr>
          <w:i/>
          <w:sz w:val="20"/>
          <w:szCs w:val="18"/>
        </w:rPr>
        <w:t>Journal des africanistes</w:t>
      </w:r>
      <w:r>
        <w:rPr>
          <w:iCs/>
          <w:sz w:val="20"/>
          <w:szCs w:val="18"/>
        </w:rPr>
        <w:t xml:space="preserve"> 70:1 (2000), 239-54</w:t>
      </w:r>
      <w:r>
        <w:rPr>
          <w:sz w:val="20"/>
          <w:szCs w:val="18"/>
        </w:rPr>
        <w:t>.</w:t>
      </w:r>
    </w:p>
  </w:footnote>
  <w:footnote w:id="64">
    <w:p w14:paraId="28E1B702"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Chouki el-Hamel provides some historical perspectives. See Chouki El Hamel, “Race, Slavery in Maghribi Mediterranean Thought: The Question of the Haratin in Mo</w:t>
      </w:r>
      <w:r>
        <w:rPr>
          <w:rFonts w:cs="Times New Roman"/>
          <w:sz w:val="20"/>
          <w:szCs w:val="18"/>
        </w:rPr>
        <w:t xml:space="preserve">rocco”, </w:t>
      </w:r>
      <w:r>
        <w:rPr>
          <w:rFonts w:cs="Times New Roman"/>
          <w:i/>
          <w:iCs/>
          <w:sz w:val="20"/>
          <w:szCs w:val="18"/>
        </w:rPr>
        <w:t>Journal of North African Studies</w:t>
      </w:r>
      <w:r>
        <w:rPr>
          <w:rFonts w:cs="Times New Roman"/>
          <w:sz w:val="20"/>
          <w:szCs w:val="18"/>
        </w:rPr>
        <w:t xml:space="preserve"> 7:3 (2002), 29-52. An important preliminary work on southern Algeria to be mentioned is Benjamin Brower’s insightful chapter entitled “The Servile Populations of the Algerian Sahara, 1850-1900”, in, </w:t>
      </w:r>
      <w:r>
        <w:rPr>
          <w:rFonts w:cs="Times New Roman"/>
          <w:i/>
          <w:iCs/>
          <w:sz w:val="20"/>
          <w:szCs w:val="18"/>
        </w:rPr>
        <w:t>Slavery, Islam a</w:t>
      </w:r>
      <w:r>
        <w:rPr>
          <w:rFonts w:cs="Times New Roman"/>
          <w:i/>
          <w:iCs/>
          <w:sz w:val="20"/>
          <w:szCs w:val="18"/>
        </w:rPr>
        <w:t>nd Diaspora</w:t>
      </w:r>
      <w:r>
        <w:rPr>
          <w:rFonts w:cs="Times New Roman"/>
          <w:sz w:val="20"/>
          <w:szCs w:val="18"/>
        </w:rPr>
        <w:t>, ed. Behnaz A. Mirzai, Ismael Musah Montanam and Paul E. Lovejoy (Trenton (N.J.): Africa World Press, 2009), 169-92.</w:t>
      </w:r>
    </w:p>
  </w:footnote>
  <w:footnote w:id="65">
    <w:p w14:paraId="763686BD" w14:textId="77777777" w:rsidR="00000000" w:rsidRDefault="00436F74">
      <w:pPr>
        <w:jc w:val="both"/>
        <w:rPr>
          <w:sz w:val="20"/>
          <w:szCs w:val="18"/>
          <w:lang w:val="en-US"/>
        </w:rPr>
      </w:pPr>
      <w:r>
        <w:rPr>
          <w:rStyle w:val="FootnoteReference"/>
          <w:sz w:val="20"/>
          <w:szCs w:val="18"/>
        </w:rPr>
        <w:footnoteRef/>
      </w:r>
      <w:r>
        <w:rPr>
          <w:sz w:val="20"/>
          <w:szCs w:val="18"/>
          <w:lang w:val="en-US"/>
        </w:rPr>
        <w:t xml:space="preserve"> Cf., most importantly, the recent special issue edited by E. Ann Mcdougall, “Devenir visibles dans le sillage de l’esclavage:</w:t>
      </w:r>
      <w:r>
        <w:rPr>
          <w:sz w:val="20"/>
          <w:szCs w:val="18"/>
          <w:lang w:val="en-US"/>
        </w:rPr>
        <w:t xml:space="preserve"> la question haratin en Mauritanie et au Maroc”, </w:t>
      </w:r>
      <w:r>
        <w:rPr>
          <w:i/>
          <w:iCs/>
          <w:sz w:val="20"/>
          <w:szCs w:val="18"/>
          <w:lang w:val="en-US"/>
        </w:rPr>
        <w:t>Cahiers l’Ouest saharien</w:t>
      </w:r>
      <w:r>
        <w:rPr>
          <w:sz w:val="20"/>
          <w:szCs w:val="18"/>
          <w:lang w:val="en-US"/>
        </w:rPr>
        <w:t xml:space="preserve"> 10-11 (2020) but also Cynthia Becker, “‘We Are Real Slaves, Real Ismkhan’: Memories of the Trans-Saharan Slave Trade in the Tafilalet of South-Eastern Morocco”, </w:t>
      </w:r>
      <w:r>
        <w:rPr>
          <w:i/>
          <w:iCs/>
          <w:sz w:val="20"/>
          <w:szCs w:val="18"/>
          <w:lang w:val="en-US"/>
        </w:rPr>
        <w:t xml:space="preserve">The Journal of North </w:t>
      </w:r>
      <w:r>
        <w:rPr>
          <w:i/>
          <w:iCs/>
          <w:sz w:val="20"/>
          <w:szCs w:val="18"/>
          <w:lang w:val="en-US"/>
        </w:rPr>
        <w:t>African Studies</w:t>
      </w:r>
      <w:r>
        <w:rPr>
          <w:sz w:val="20"/>
          <w:szCs w:val="18"/>
          <w:lang w:val="en-US"/>
        </w:rPr>
        <w:t xml:space="preserve"> 7:4 (2002), 97-121, Remco Ensel, </w:t>
      </w:r>
      <w:r>
        <w:rPr>
          <w:i/>
          <w:sz w:val="20"/>
          <w:szCs w:val="18"/>
          <w:lang w:val="en-US"/>
        </w:rPr>
        <w:t xml:space="preserve">Saint and Servants in Southern Morocco </w:t>
      </w:r>
      <w:r>
        <w:rPr>
          <w:iCs/>
          <w:sz w:val="20"/>
          <w:szCs w:val="18"/>
          <w:lang w:val="en-US"/>
        </w:rPr>
        <w:t>(</w:t>
      </w:r>
      <w:r>
        <w:rPr>
          <w:sz w:val="20"/>
          <w:szCs w:val="18"/>
          <w:lang w:val="en-US"/>
        </w:rPr>
        <w:t xml:space="preserve">Leiden: Brill, 1999), Salima Naji, </w:t>
      </w:r>
      <w:r>
        <w:rPr>
          <w:i/>
          <w:iCs/>
          <w:sz w:val="20"/>
          <w:szCs w:val="18"/>
          <w:lang w:val="en-US"/>
        </w:rPr>
        <w:t>Fils de saints contre fils d’esclaves: les pèlerinages de la Zawya d’Imi n’Tatelt (Anti-Atlas et Maroc présaharien)</w:t>
      </w:r>
      <w:r>
        <w:rPr>
          <w:sz w:val="20"/>
          <w:szCs w:val="18"/>
          <w:lang w:val="en-US"/>
        </w:rPr>
        <w:t xml:space="preserve"> (Angers, Rabat: </w:t>
      </w:r>
      <w:r>
        <w:rPr>
          <w:sz w:val="20"/>
          <w:szCs w:val="18"/>
          <w:lang w:val="en-US"/>
        </w:rPr>
        <w:t xml:space="preserve">Les cinq parties du monde, DTG société nouvelle, 2011).  </w:t>
      </w:r>
      <w:r>
        <w:rPr>
          <w:i/>
          <w:iCs/>
          <w:sz w:val="20"/>
          <w:szCs w:val="18"/>
          <w:lang w:val="en-US"/>
        </w:rPr>
        <w:t xml:space="preserve"> </w:t>
      </w:r>
    </w:p>
  </w:footnote>
  <w:footnote w:id="66">
    <w:p w14:paraId="24DBF7A6"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lang w:val="fr-FR"/>
        </w:rPr>
        <w:t xml:space="preserve"> See also Claire-Cécile Mitatre, </w:t>
      </w:r>
      <w:r>
        <w:rPr>
          <w:rFonts w:cs="Times New Roman"/>
          <w:i/>
          <w:iCs/>
          <w:sz w:val="20"/>
          <w:szCs w:val="18"/>
          <w:lang w:val="fr-FR"/>
        </w:rPr>
        <w:t>Au nord du Sud: espace, valeurs et passion au Sahara atlantique</w:t>
      </w:r>
      <w:r>
        <w:rPr>
          <w:rFonts w:cs="Times New Roman"/>
          <w:sz w:val="20"/>
          <w:szCs w:val="18"/>
          <w:lang w:val="fr-FR"/>
        </w:rPr>
        <w:t xml:space="preserve"> (Paris: Ed. de l’EHESS, 2021).</w:t>
      </w:r>
      <w:r>
        <w:rPr>
          <w:rFonts w:cs="Times New Roman"/>
          <w:i/>
          <w:iCs/>
          <w:sz w:val="20"/>
          <w:szCs w:val="18"/>
          <w:lang w:val="fr-FR"/>
        </w:rPr>
        <w:t xml:space="preserve"> </w:t>
      </w:r>
      <w:r>
        <w:rPr>
          <w:rFonts w:cs="Times New Roman"/>
          <w:sz w:val="20"/>
          <w:szCs w:val="18"/>
        </w:rPr>
        <w:t xml:space="preserve">To be compared with Naji, </w:t>
      </w:r>
      <w:r>
        <w:rPr>
          <w:rFonts w:cs="Times New Roman"/>
          <w:i/>
          <w:iCs/>
          <w:sz w:val="20"/>
          <w:szCs w:val="18"/>
        </w:rPr>
        <w:t>Fils de saints</w:t>
      </w:r>
      <w:r>
        <w:rPr>
          <w:rFonts w:cs="Times New Roman"/>
          <w:sz w:val="20"/>
          <w:szCs w:val="18"/>
        </w:rPr>
        <w:t xml:space="preserve">, Ensel, </w:t>
      </w:r>
      <w:r>
        <w:rPr>
          <w:rFonts w:cs="Times New Roman"/>
          <w:i/>
          <w:sz w:val="20"/>
          <w:szCs w:val="18"/>
        </w:rPr>
        <w:t>Saint and Servants.</w:t>
      </w:r>
    </w:p>
  </w:footnote>
  <w:footnote w:id="67">
    <w:p w14:paraId="25B85FDE"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w:t>
      </w:r>
      <w:r>
        <w:rPr>
          <w:rFonts w:cs="Times New Roman"/>
          <w:i/>
          <w:sz w:val="20"/>
          <w:szCs w:val="18"/>
        </w:rPr>
        <w:t>-</w:t>
      </w:r>
      <w:r>
        <w:rPr>
          <w:rFonts w:cs="Times New Roman"/>
          <w:sz w:val="20"/>
          <w:szCs w:val="18"/>
        </w:rPr>
        <w:t xml:space="preserve">Balbālī, al-Balbālī, </w:t>
      </w:r>
      <w:r>
        <w:rPr>
          <w:rFonts w:cs="Times New Roman"/>
          <w:i/>
          <w:iCs/>
          <w:sz w:val="20"/>
          <w:szCs w:val="18"/>
        </w:rPr>
        <w:t>Ghunyat al-muqta</w:t>
      </w:r>
      <w:r>
        <w:rPr>
          <w:rFonts w:cs="Times New Roman"/>
          <w:i/>
          <w:iCs/>
          <w:sz w:val="20"/>
          <w:szCs w:val="18"/>
        </w:rPr>
        <w:t>ṣ</w:t>
      </w:r>
      <w:r>
        <w:rPr>
          <w:rFonts w:cs="Times New Roman"/>
          <w:i/>
          <w:iCs/>
          <w:sz w:val="20"/>
          <w:szCs w:val="18"/>
        </w:rPr>
        <w:t>id</w:t>
      </w:r>
      <w:r>
        <w:rPr>
          <w:rFonts w:cs="Times New Roman"/>
          <w:sz w:val="20"/>
          <w:szCs w:val="18"/>
        </w:rPr>
        <w:t>, 118.</w:t>
      </w:r>
    </w:p>
  </w:footnote>
  <w:footnote w:id="68">
    <w:p w14:paraId="2D4282D8" w14:textId="77777777" w:rsidR="00000000" w:rsidRDefault="00436F74">
      <w:pPr>
        <w:jc w:val="both"/>
        <w:rPr>
          <w:sz w:val="20"/>
          <w:szCs w:val="18"/>
          <w:lang w:val="en-US"/>
        </w:rPr>
      </w:pPr>
      <w:r>
        <w:rPr>
          <w:rStyle w:val="FootnoteReference"/>
          <w:sz w:val="20"/>
          <w:szCs w:val="18"/>
        </w:rPr>
        <w:footnoteRef/>
      </w:r>
      <w:r>
        <w:rPr>
          <w:sz w:val="20"/>
          <w:szCs w:val="18"/>
          <w:lang w:val="en-US"/>
        </w:rPr>
        <w:t xml:space="preserve"> By the mid-fifteenth century, the family’s ancestors ʿAbd Allāh al-ʿAsnūnī and his brother Muḥammad had emigrated from Tlemcen and established themselves as scholars in Tuwāt. ʿAbd Allāh became famous for hi</w:t>
      </w:r>
      <w:r>
        <w:rPr>
          <w:sz w:val="20"/>
          <w:szCs w:val="18"/>
          <w:lang w:val="en-US"/>
        </w:rPr>
        <w:t>s opposition to ʿAbd al-Karīm al-Maghīlī’s agitation against the local Jewish community. Several of his descendants, most notably Sālim al-ʿAsnūnī (d. 960/1560), also distinguished themselves as scholars until the seventeenth century, when the al-ʿAṣnūnī-s</w:t>
      </w:r>
      <w:r>
        <w:rPr>
          <w:sz w:val="20"/>
          <w:szCs w:val="18"/>
          <w:lang w:val="en-US"/>
        </w:rPr>
        <w:t xml:space="preserve"> seem to have progressively lost their academic credentials. At that time, another</w:t>
      </w:r>
      <w:r>
        <w:rPr>
          <w:i/>
          <w:iCs/>
          <w:color w:val="0E101A"/>
          <w:sz w:val="20"/>
          <w:szCs w:val="18"/>
          <w:lang w:val="en-US"/>
        </w:rPr>
        <w:t xml:space="preserve"> mrābṭīn</w:t>
      </w:r>
      <w:r>
        <w:rPr>
          <w:sz w:val="20"/>
          <w:szCs w:val="18"/>
          <w:lang w:val="en-US"/>
        </w:rPr>
        <w:t xml:space="preserve"> family in Tamentit, the al-Bakrī-s, began to rise to prominence. The inquiry under review was sent to the founding figure of the family’s scholarly traditions, ʿAbd </w:t>
      </w:r>
      <w:r>
        <w:rPr>
          <w:sz w:val="20"/>
          <w:szCs w:val="18"/>
          <w:lang w:val="en-US"/>
        </w:rPr>
        <w:t xml:space="preserve">al-Karīm b. Aḥmad al-Bakrī. Cf. Warscheid, </w:t>
      </w:r>
      <w:r>
        <w:rPr>
          <w:i/>
          <w:iCs/>
          <w:sz w:val="20"/>
          <w:szCs w:val="18"/>
          <w:lang w:val="en-US"/>
        </w:rPr>
        <w:t>Droit musulman et société</w:t>
      </w:r>
      <w:r>
        <w:rPr>
          <w:sz w:val="20"/>
          <w:szCs w:val="18"/>
          <w:lang w:val="en-US"/>
        </w:rPr>
        <w:t>,</w:t>
      </w:r>
      <w:r>
        <w:rPr>
          <w:i/>
          <w:iCs/>
          <w:sz w:val="20"/>
          <w:szCs w:val="18"/>
          <w:lang w:val="en-US"/>
        </w:rPr>
        <w:t xml:space="preserve"> </w:t>
      </w:r>
      <w:r>
        <w:rPr>
          <w:sz w:val="20"/>
          <w:szCs w:val="18"/>
          <w:lang w:val="en-US"/>
        </w:rPr>
        <w:t>31-40.</w:t>
      </w:r>
      <w:r>
        <w:rPr>
          <w:i/>
          <w:iCs/>
          <w:sz w:val="20"/>
          <w:szCs w:val="18"/>
          <w:lang w:val="en-US"/>
        </w:rPr>
        <w:t xml:space="preserve"> </w:t>
      </w:r>
      <w:r>
        <w:rPr>
          <w:sz w:val="20"/>
          <w:szCs w:val="18"/>
          <w:lang w:val="en-US"/>
        </w:rPr>
        <w:t xml:space="preserve">On the conflict between ʿAbd Allāh al-ʿAsnūnī and ʿAbd al-Karīm al-Maghīlī, see John Hunwick, </w:t>
      </w:r>
      <w:r>
        <w:rPr>
          <w:i/>
          <w:iCs/>
          <w:sz w:val="20"/>
          <w:szCs w:val="18"/>
          <w:lang w:val="en-US"/>
        </w:rPr>
        <w:t>Jews of a Saharan Oasis: Elimination of the Tamentit Community</w:t>
      </w:r>
      <w:r>
        <w:rPr>
          <w:sz w:val="20"/>
          <w:szCs w:val="18"/>
          <w:lang w:val="en-US"/>
        </w:rPr>
        <w:t xml:space="preserve"> (Princeton: M. Wiener,</w:t>
      </w:r>
      <w:r>
        <w:rPr>
          <w:sz w:val="20"/>
          <w:szCs w:val="18"/>
          <w:lang w:val="en-US"/>
        </w:rPr>
        <w:t xml:space="preserve"> 2006), David S Powers, “Aḥmad al-Wanshar</w:t>
      </w:r>
      <w:r>
        <w:rPr>
          <w:iCs/>
          <w:sz w:val="20"/>
          <w:szCs w:val="18"/>
          <w:shd w:val="clear" w:color="auto" w:fill="FFFFFF"/>
          <w:lang w:val="en-US"/>
        </w:rPr>
        <w:t>īsī</w:t>
      </w:r>
      <w:r>
        <w:rPr>
          <w:sz w:val="20"/>
          <w:szCs w:val="18"/>
          <w:lang w:val="en-US"/>
        </w:rPr>
        <w:t xml:space="preserve"> (d. 914/1509)”, in </w:t>
      </w:r>
      <w:r>
        <w:rPr>
          <w:i/>
          <w:sz w:val="20"/>
          <w:szCs w:val="18"/>
          <w:lang w:val="en-US"/>
        </w:rPr>
        <w:t>Islamic Legal Thought: A Compendium of Muslim Jurists</w:t>
      </w:r>
      <w:r>
        <w:rPr>
          <w:sz w:val="20"/>
          <w:szCs w:val="18"/>
          <w:lang w:val="en-US"/>
        </w:rPr>
        <w:t>, ed. Oussama Arabi, David S. Powers and Susan A. Spectorsky (Leiden: Brill, 2013), 382-399.</w:t>
      </w:r>
    </w:p>
  </w:footnote>
  <w:footnote w:id="69">
    <w:p w14:paraId="6BA25EF9"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The sense of </w:t>
      </w:r>
      <w:r>
        <w:rPr>
          <w:rFonts w:cs="Times New Roman"/>
          <w:i/>
          <w:iCs/>
          <w:sz w:val="20"/>
          <w:szCs w:val="18"/>
        </w:rPr>
        <w:t>qāma</w:t>
      </w:r>
      <w:r>
        <w:rPr>
          <w:rFonts w:cs="Times New Roman"/>
          <w:sz w:val="20"/>
          <w:szCs w:val="18"/>
        </w:rPr>
        <w:t xml:space="preserve"> here is not entirely clear</w:t>
      </w:r>
      <w:r>
        <w:rPr>
          <w:rFonts w:cs="Times New Roman"/>
          <w:sz w:val="20"/>
          <w:szCs w:val="18"/>
        </w:rPr>
        <w:t xml:space="preserve">. It may have the general meaning of ‘protesting’, but it could also refer to the fact that the woman filed a case before a local </w:t>
      </w:r>
      <w:r>
        <w:rPr>
          <w:rFonts w:cs="Times New Roman"/>
          <w:i/>
          <w:iCs/>
          <w:sz w:val="20"/>
          <w:szCs w:val="18"/>
        </w:rPr>
        <w:t>qā</w:t>
      </w:r>
      <w:r>
        <w:rPr>
          <w:rStyle w:val="st"/>
          <w:rFonts w:eastAsia="Yu Gothic Light" w:cs="Times New Roman"/>
          <w:i/>
          <w:iCs/>
          <w:sz w:val="20"/>
          <w:szCs w:val="18"/>
        </w:rPr>
        <w:t>ḍ</w:t>
      </w:r>
      <w:r>
        <w:rPr>
          <w:rStyle w:val="st"/>
          <w:rFonts w:eastAsia="Yu Gothic Light" w:cs="Times New Roman"/>
          <w:i/>
          <w:iCs/>
          <w:sz w:val="20"/>
          <w:szCs w:val="18"/>
        </w:rPr>
        <w:t>ī</w:t>
      </w:r>
      <w:r>
        <w:rPr>
          <w:rStyle w:val="st"/>
          <w:rFonts w:eastAsia="Yu Gothic Light" w:cs="Times New Roman"/>
          <w:sz w:val="20"/>
          <w:szCs w:val="18"/>
        </w:rPr>
        <w:t>.</w:t>
      </w:r>
    </w:p>
  </w:footnote>
  <w:footnote w:id="70">
    <w:p w14:paraId="4F2273BD"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w:t>
      </w:r>
      <w:r>
        <w:rPr>
          <w:rFonts w:cs="Times New Roman"/>
          <w:i/>
          <w:sz w:val="20"/>
          <w:szCs w:val="18"/>
        </w:rPr>
        <w:t>-</w:t>
      </w:r>
      <w:r>
        <w:rPr>
          <w:rFonts w:cs="Times New Roman"/>
          <w:sz w:val="20"/>
          <w:szCs w:val="18"/>
        </w:rPr>
        <w:t xml:space="preserve">Balbālī, al-Balbālī, </w:t>
      </w:r>
      <w:r>
        <w:rPr>
          <w:rFonts w:cs="Times New Roman"/>
          <w:i/>
          <w:iCs/>
          <w:sz w:val="20"/>
          <w:szCs w:val="18"/>
        </w:rPr>
        <w:t>Ghunyat al-muqta</w:t>
      </w:r>
      <w:r>
        <w:rPr>
          <w:rFonts w:cs="Times New Roman"/>
          <w:i/>
          <w:iCs/>
          <w:sz w:val="20"/>
          <w:szCs w:val="18"/>
        </w:rPr>
        <w:t>ṣ</w:t>
      </w:r>
      <w:r>
        <w:rPr>
          <w:rFonts w:cs="Times New Roman"/>
          <w:i/>
          <w:iCs/>
          <w:sz w:val="20"/>
          <w:szCs w:val="18"/>
        </w:rPr>
        <w:t>id</w:t>
      </w:r>
      <w:r>
        <w:rPr>
          <w:rFonts w:cs="Times New Roman"/>
          <w:sz w:val="20"/>
          <w:szCs w:val="18"/>
        </w:rPr>
        <w:t>, 118.</w:t>
      </w:r>
    </w:p>
  </w:footnote>
  <w:footnote w:id="71">
    <w:p w14:paraId="77BEE81B"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r>
        <w:rPr>
          <w:rFonts w:cs="Times New Roman"/>
          <w:iCs/>
          <w:sz w:val="20"/>
          <w:szCs w:val="18"/>
        </w:rPr>
        <w:t>al-Balbālī</w:t>
      </w:r>
      <w:r>
        <w:rPr>
          <w:rFonts w:cs="Times New Roman"/>
          <w:sz w:val="20"/>
          <w:szCs w:val="18"/>
        </w:rPr>
        <w:t xml:space="preserve">, </w:t>
      </w:r>
      <w:r>
        <w:rPr>
          <w:rFonts w:cs="Times New Roman"/>
          <w:i/>
          <w:sz w:val="20"/>
          <w:szCs w:val="18"/>
        </w:rPr>
        <w:t>Ghāyat al-amānī</w:t>
      </w:r>
      <w:r>
        <w:rPr>
          <w:rFonts w:cs="Times New Roman"/>
          <w:sz w:val="20"/>
          <w:szCs w:val="18"/>
        </w:rPr>
        <w:t>, 19.</w:t>
      </w:r>
    </w:p>
  </w:footnote>
  <w:footnote w:id="72">
    <w:p w14:paraId="71DB5AD4" w14:textId="77777777" w:rsidR="00000000"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On the </w:t>
      </w:r>
      <w:r>
        <w:rPr>
          <w:rFonts w:cs="Times New Roman"/>
          <w:i/>
          <w:iCs/>
          <w:sz w:val="20"/>
          <w:szCs w:val="18"/>
          <w:lang w:val="fr-FR"/>
        </w:rPr>
        <w:t>khammāsa</w:t>
      </w:r>
      <w:r>
        <w:rPr>
          <w:rFonts w:cs="Times New Roman"/>
          <w:sz w:val="20"/>
          <w:szCs w:val="18"/>
          <w:lang w:val="fr-FR"/>
        </w:rPr>
        <w:t xml:space="preserve"> in twentieth-ce</w:t>
      </w:r>
      <w:r>
        <w:rPr>
          <w:rFonts w:cs="Times New Roman"/>
          <w:sz w:val="20"/>
          <w:szCs w:val="18"/>
          <w:lang w:val="fr-FR"/>
        </w:rPr>
        <w:t xml:space="preserve">ntury Tuwāt, see Bisson, </w:t>
      </w:r>
      <w:r>
        <w:rPr>
          <w:rFonts w:cs="Times New Roman"/>
          <w:i/>
          <w:iCs/>
          <w:sz w:val="20"/>
          <w:szCs w:val="18"/>
          <w:lang w:val="fr-FR"/>
        </w:rPr>
        <w:t>Le Gourara</w:t>
      </w:r>
      <w:r>
        <w:rPr>
          <w:rFonts w:cs="Times New Roman"/>
          <w:sz w:val="20"/>
          <w:szCs w:val="18"/>
          <w:lang w:val="fr-FR"/>
        </w:rPr>
        <w:t xml:space="preserve">, R. Capot-Rey, W. Damade, “Irrigation et structure agraire à Tamentit”, </w:t>
      </w:r>
      <w:r>
        <w:rPr>
          <w:rFonts w:cs="Times New Roman"/>
          <w:i/>
          <w:iCs/>
          <w:sz w:val="20"/>
          <w:szCs w:val="18"/>
          <w:lang w:val="fr-FR"/>
        </w:rPr>
        <w:t>Travaux de l’Institut des recherches sahariennes</w:t>
      </w:r>
      <w:r>
        <w:rPr>
          <w:rFonts w:cs="Times New Roman"/>
          <w:sz w:val="20"/>
          <w:szCs w:val="18"/>
          <w:lang w:val="fr-FR"/>
        </w:rPr>
        <w:t xml:space="preserve"> 21 (1962), 99-119, Yves Guillermou, “Survie et ordre social au Sahara: Les oasis du Touat-Gourara-T</w:t>
      </w:r>
      <w:r>
        <w:rPr>
          <w:rFonts w:cs="Times New Roman"/>
          <w:sz w:val="20"/>
          <w:szCs w:val="18"/>
          <w:lang w:val="fr-FR"/>
        </w:rPr>
        <w:t xml:space="preserve">idikelt en Algérie”, </w:t>
      </w:r>
      <w:r>
        <w:rPr>
          <w:rFonts w:cs="Times New Roman"/>
          <w:i/>
          <w:sz w:val="20"/>
          <w:szCs w:val="18"/>
          <w:lang w:val="fr-FR"/>
        </w:rPr>
        <w:t>Cahiers des sciences humaines</w:t>
      </w:r>
      <w:r>
        <w:rPr>
          <w:rFonts w:cs="Times New Roman"/>
          <w:iCs/>
          <w:sz w:val="20"/>
          <w:szCs w:val="18"/>
          <w:lang w:val="fr-FR"/>
        </w:rPr>
        <w:t xml:space="preserve"> 29:1 (1993), 121-38.</w:t>
      </w:r>
      <w:r>
        <w:rPr>
          <w:rFonts w:cs="Times New Roman"/>
          <w:sz w:val="20"/>
          <w:szCs w:val="18"/>
          <w:lang w:val="fr-FR"/>
        </w:rPr>
        <w:t xml:space="preserve"> </w:t>
      </w:r>
    </w:p>
  </w:footnote>
  <w:footnote w:id="73">
    <w:p w14:paraId="07385D26" w14:textId="77777777" w:rsidR="00000000"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lang w:val="fr-FR"/>
        </w:rPr>
        <w:t xml:space="preserve"> For a study on </w:t>
      </w:r>
      <w:r>
        <w:rPr>
          <w:rFonts w:cs="Times New Roman"/>
          <w:i/>
          <w:iCs/>
          <w:sz w:val="20"/>
          <w:szCs w:val="18"/>
          <w:lang w:val="fr-FR"/>
        </w:rPr>
        <w:t>mālikī</w:t>
      </w:r>
      <w:r>
        <w:rPr>
          <w:rFonts w:cs="Times New Roman"/>
          <w:sz w:val="20"/>
          <w:szCs w:val="18"/>
          <w:lang w:val="fr-FR"/>
        </w:rPr>
        <w:t xml:space="preserve"> sharecropping and leasing contracts in the fourteenth-fifteenth century Maghrib, see Élise Voguet, </w:t>
      </w:r>
      <w:r>
        <w:rPr>
          <w:rFonts w:cs="Times New Roman"/>
          <w:i/>
          <w:iCs/>
          <w:sz w:val="20"/>
          <w:szCs w:val="18"/>
          <w:lang w:val="fr-FR"/>
        </w:rPr>
        <w:t>Le monde rural du Maghreb central: réalités sociales et cons</w:t>
      </w:r>
      <w:r>
        <w:rPr>
          <w:rFonts w:cs="Times New Roman"/>
          <w:i/>
          <w:iCs/>
          <w:sz w:val="20"/>
          <w:szCs w:val="18"/>
          <w:lang w:val="fr-FR"/>
        </w:rPr>
        <w:t>tructions juridiques d'après les Nawāzil Māzūna</w:t>
      </w:r>
      <w:r>
        <w:rPr>
          <w:rFonts w:cs="Times New Roman"/>
          <w:sz w:val="20"/>
          <w:szCs w:val="18"/>
          <w:lang w:val="fr-FR"/>
        </w:rPr>
        <w:t xml:space="preserve"> (Paris: Publications de la Sorbonne, 2014), 337-345.  </w:t>
      </w:r>
    </w:p>
  </w:footnote>
  <w:footnote w:id="74">
    <w:p w14:paraId="185A1E19"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w:t>
      </w:r>
      <w:r>
        <w:rPr>
          <w:rFonts w:cs="Times New Roman"/>
          <w:i/>
          <w:sz w:val="20"/>
          <w:szCs w:val="18"/>
        </w:rPr>
        <w:t>-</w:t>
      </w:r>
      <w:r>
        <w:rPr>
          <w:rFonts w:cs="Times New Roman"/>
          <w:sz w:val="20"/>
          <w:szCs w:val="18"/>
        </w:rPr>
        <w:t xml:space="preserve">Balbālī, al-Balbālī, </w:t>
      </w:r>
      <w:r>
        <w:rPr>
          <w:rFonts w:cs="Times New Roman"/>
          <w:i/>
          <w:iCs/>
          <w:sz w:val="20"/>
          <w:szCs w:val="18"/>
        </w:rPr>
        <w:t>Ghunyat al-muqta</w:t>
      </w:r>
      <w:r>
        <w:rPr>
          <w:rFonts w:cs="Times New Roman"/>
          <w:i/>
          <w:iCs/>
          <w:sz w:val="20"/>
          <w:szCs w:val="18"/>
        </w:rPr>
        <w:t>ṣ</w:t>
      </w:r>
      <w:r>
        <w:rPr>
          <w:rFonts w:cs="Times New Roman"/>
          <w:i/>
          <w:iCs/>
          <w:sz w:val="20"/>
          <w:szCs w:val="18"/>
        </w:rPr>
        <w:t>id</w:t>
      </w:r>
      <w:r>
        <w:rPr>
          <w:rFonts w:cs="Times New Roman"/>
          <w:sz w:val="20"/>
          <w:szCs w:val="18"/>
        </w:rPr>
        <w:t>,</w:t>
      </w:r>
      <w:r>
        <w:rPr>
          <w:rStyle w:val="SansinterligneCar"/>
          <w:rFonts w:cs="Times New Roman"/>
          <w:sz w:val="20"/>
          <w:szCs w:val="18"/>
        </w:rPr>
        <w:t xml:space="preserve"> 259.</w:t>
      </w:r>
    </w:p>
  </w:footnote>
  <w:footnote w:id="75">
    <w:p w14:paraId="54416DC3"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See most notably the work of Paul Pascon, André Noushi, Jacques Berque and Abdellah Hammoudi. </w:t>
      </w:r>
    </w:p>
  </w:footnote>
  <w:footnote w:id="76">
    <w:p w14:paraId="6D1CB305"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Sc</w:t>
      </w:r>
      <w:r>
        <w:rPr>
          <w:rFonts w:cs="Times New Roman"/>
          <w:sz w:val="20"/>
          <w:szCs w:val="18"/>
        </w:rPr>
        <w:t>heele, “Traders, Saints, and Irrigation”, 295.</w:t>
      </w:r>
    </w:p>
  </w:footnote>
  <w:footnote w:id="77">
    <w:p w14:paraId="010CB737"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Bernard G. Weiss, </w:t>
      </w:r>
      <w:r>
        <w:rPr>
          <w:rFonts w:cs="Times New Roman"/>
          <w:i/>
          <w:iCs/>
          <w:sz w:val="20"/>
          <w:szCs w:val="18"/>
        </w:rPr>
        <w:t>The Search for God’s Law: Islamic Jurisprudence in the Writings of Sayf al-Dīn al-Āmidī</w:t>
      </w:r>
      <w:r>
        <w:rPr>
          <w:rFonts w:cs="Times New Roman"/>
          <w:sz w:val="20"/>
          <w:szCs w:val="18"/>
        </w:rPr>
        <w:t xml:space="preserve"> (Salt Lake City: University of Utah Press, 2010), 46-47.</w:t>
      </w:r>
    </w:p>
  </w:footnote>
  <w:footnote w:id="78">
    <w:p w14:paraId="5FDD57C6"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w:t>
      </w:r>
      <w:r>
        <w:rPr>
          <w:rFonts w:cs="Times New Roman"/>
          <w:i/>
          <w:sz w:val="20"/>
          <w:szCs w:val="18"/>
        </w:rPr>
        <w:t>-</w:t>
      </w:r>
      <w:r>
        <w:rPr>
          <w:rFonts w:cs="Times New Roman"/>
          <w:sz w:val="20"/>
          <w:szCs w:val="18"/>
        </w:rPr>
        <w:t xml:space="preserve">Balbālī, al-Balbālī, </w:t>
      </w:r>
      <w:r>
        <w:rPr>
          <w:rFonts w:cs="Times New Roman"/>
          <w:i/>
          <w:iCs/>
          <w:sz w:val="20"/>
          <w:szCs w:val="18"/>
        </w:rPr>
        <w:t>Ghunyat al-muqta</w:t>
      </w:r>
      <w:r>
        <w:rPr>
          <w:rFonts w:cs="Times New Roman"/>
          <w:i/>
          <w:iCs/>
          <w:sz w:val="20"/>
          <w:szCs w:val="18"/>
        </w:rPr>
        <w:t>ṣ</w:t>
      </w:r>
      <w:r>
        <w:rPr>
          <w:rFonts w:cs="Times New Roman"/>
          <w:i/>
          <w:iCs/>
          <w:sz w:val="20"/>
          <w:szCs w:val="18"/>
        </w:rPr>
        <w:t>i</w:t>
      </w:r>
      <w:r>
        <w:rPr>
          <w:rFonts w:cs="Times New Roman"/>
          <w:i/>
          <w:iCs/>
          <w:sz w:val="20"/>
          <w:szCs w:val="18"/>
        </w:rPr>
        <w:t>d</w:t>
      </w:r>
      <w:r>
        <w:rPr>
          <w:rFonts w:cs="Times New Roman"/>
          <w:sz w:val="20"/>
          <w:szCs w:val="18"/>
        </w:rPr>
        <w:t xml:space="preserve">, </w:t>
      </w:r>
      <w:r>
        <w:rPr>
          <w:rStyle w:val="SansinterligneCar"/>
          <w:rFonts w:cs="Times New Roman"/>
          <w:sz w:val="20"/>
          <w:szCs w:val="18"/>
        </w:rPr>
        <w:t>259.</w:t>
      </w:r>
      <w:r>
        <w:rPr>
          <w:rStyle w:val="SansinterligneCar"/>
          <w:rFonts w:cs="Times New Roman"/>
          <w:sz w:val="20"/>
          <w:szCs w:val="18"/>
          <w:rtl/>
        </w:rPr>
        <w:t xml:space="preserve"> </w:t>
      </w:r>
    </w:p>
  </w:footnote>
  <w:footnote w:id="79">
    <w:p w14:paraId="497D39DF"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r>
        <w:rPr>
          <w:rFonts w:cs="Times New Roman"/>
          <w:i/>
          <w:iCs/>
          <w:sz w:val="20"/>
          <w:szCs w:val="18"/>
        </w:rPr>
        <w:t>Ibidem</w:t>
      </w:r>
      <w:r>
        <w:rPr>
          <w:rFonts w:cs="Times New Roman"/>
          <w:sz w:val="20"/>
          <w:szCs w:val="18"/>
        </w:rPr>
        <w:t>.</w:t>
      </w:r>
    </w:p>
  </w:footnote>
  <w:footnote w:id="80">
    <w:p w14:paraId="6421F760" w14:textId="77777777" w:rsidR="00000000" w:rsidRDefault="00436F74">
      <w:pPr>
        <w:pStyle w:val="FootnoteText"/>
        <w:spacing w:line="240" w:lineRule="auto"/>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cs="Times New Roman"/>
          <w:szCs w:val="18"/>
        </w:rPr>
        <w:t xml:space="preserve"> As mentioned earlier, al-Tinilānī appears in the </w:t>
      </w:r>
      <w:r>
        <w:rPr>
          <w:rFonts w:ascii="Times New Roman" w:hAnsi="Times New Roman" w:cs="Times New Roman"/>
          <w:i/>
          <w:iCs/>
          <w:szCs w:val="18"/>
        </w:rPr>
        <w:t>nawāzil</w:t>
      </w:r>
      <w:r>
        <w:rPr>
          <w:rFonts w:ascii="Times New Roman" w:hAnsi="Times New Roman" w:cs="Times New Roman"/>
          <w:szCs w:val="18"/>
        </w:rPr>
        <w:t xml:space="preserve"> collections as a regional chief mufti, mainly advising ʿAbd al-</w:t>
      </w:r>
      <w:r>
        <w:rPr>
          <w:rFonts w:ascii="Times New Roman" w:hAnsi="Times New Roman" w:cs="Times New Roman"/>
          <w:szCs w:val="18"/>
        </w:rPr>
        <w:t>Ḥ</w:t>
      </w:r>
      <w:r>
        <w:rPr>
          <w:rFonts w:ascii="Times New Roman" w:hAnsi="Times New Roman" w:cs="Times New Roman"/>
          <w:szCs w:val="18"/>
        </w:rPr>
        <w:t>aqq al-Bakrī.</w:t>
      </w:r>
    </w:p>
  </w:footnote>
  <w:footnote w:id="81">
    <w:p w14:paraId="061C1624" w14:textId="77777777" w:rsidR="00000000" w:rsidRDefault="00436F74">
      <w:pPr>
        <w:pStyle w:val="Sansinterligne"/>
        <w:jc w:val="both"/>
        <w:rPr>
          <w:rFonts w:cs="Times New Roman"/>
          <w:sz w:val="20"/>
          <w:szCs w:val="18"/>
          <w:lang w:val="fr-FR"/>
        </w:rPr>
      </w:pPr>
      <w:r>
        <w:rPr>
          <w:rStyle w:val="FootnoteReference"/>
          <w:rFonts w:cs="Times New Roman"/>
          <w:sz w:val="20"/>
          <w:szCs w:val="18"/>
        </w:rPr>
        <w:footnoteRef/>
      </w:r>
      <w:r>
        <w:rPr>
          <w:rFonts w:cs="Times New Roman"/>
          <w:sz w:val="20"/>
          <w:szCs w:val="18"/>
        </w:rPr>
        <w:t xml:space="preserve"> Such “companionship” entailed various reciprocal services that tightly bound the sharecropper to t</w:t>
      </w:r>
      <w:r>
        <w:rPr>
          <w:rFonts w:cs="Times New Roman"/>
          <w:sz w:val="20"/>
          <w:szCs w:val="18"/>
        </w:rPr>
        <w:t xml:space="preserve">he landowner. Jacques Berque studied a similar relationship in his early work on herding contracts in the Moroccan Gharb. </w:t>
      </w:r>
      <w:r>
        <w:rPr>
          <w:rFonts w:cs="Times New Roman"/>
          <w:sz w:val="20"/>
          <w:szCs w:val="18"/>
          <w:lang w:val="fr-FR"/>
        </w:rPr>
        <w:t xml:space="preserve">See Jacques Berque, </w:t>
      </w:r>
      <w:r>
        <w:rPr>
          <w:rFonts w:cs="Times New Roman"/>
          <w:i/>
          <w:iCs/>
          <w:sz w:val="20"/>
          <w:szCs w:val="18"/>
          <w:lang w:val="fr-FR"/>
        </w:rPr>
        <w:t>Contribution à l’étude des contrats nord-africains (les pactes pastoraux Beni Meskine)</w:t>
      </w:r>
      <w:r>
        <w:rPr>
          <w:rFonts w:cs="Times New Roman"/>
          <w:sz w:val="20"/>
          <w:szCs w:val="18"/>
          <w:lang w:val="fr-FR"/>
        </w:rPr>
        <w:t xml:space="preserve"> (Algiers: Typo-Litho et Car</w:t>
      </w:r>
      <w:r>
        <w:rPr>
          <w:rFonts w:cs="Times New Roman"/>
          <w:sz w:val="20"/>
          <w:szCs w:val="18"/>
          <w:lang w:val="fr-FR"/>
        </w:rPr>
        <w:t xml:space="preserve">bonel, 1936) reprinted in Jacques Berque, </w:t>
      </w:r>
      <w:r>
        <w:rPr>
          <w:rFonts w:cs="Times New Roman"/>
          <w:i/>
          <w:iCs/>
          <w:sz w:val="20"/>
          <w:szCs w:val="18"/>
          <w:lang w:val="fr-FR"/>
        </w:rPr>
        <w:t>Opera minora</w:t>
      </w:r>
      <w:r>
        <w:rPr>
          <w:rFonts w:cs="Times New Roman"/>
          <w:sz w:val="20"/>
          <w:szCs w:val="18"/>
          <w:lang w:val="fr-FR"/>
        </w:rPr>
        <w:t xml:space="preserve"> (Paris: Éditions Bouchène, 2001), 16-67.</w:t>
      </w:r>
    </w:p>
  </w:footnote>
  <w:footnote w:id="82">
    <w:p w14:paraId="7E8A04A4"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w:t>
      </w:r>
      <w:r>
        <w:rPr>
          <w:rFonts w:cs="Times New Roman"/>
          <w:i/>
          <w:sz w:val="20"/>
          <w:szCs w:val="18"/>
        </w:rPr>
        <w:t>-</w:t>
      </w:r>
      <w:r>
        <w:rPr>
          <w:rFonts w:cs="Times New Roman"/>
          <w:sz w:val="20"/>
          <w:szCs w:val="18"/>
        </w:rPr>
        <w:t xml:space="preserve">Balbālī, al-Balbālī, </w:t>
      </w:r>
      <w:r>
        <w:rPr>
          <w:rFonts w:cs="Times New Roman"/>
          <w:i/>
          <w:iCs/>
          <w:sz w:val="20"/>
          <w:szCs w:val="18"/>
        </w:rPr>
        <w:t>Ghunyat al-muqta</w:t>
      </w:r>
      <w:r>
        <w:rPr>
          <w:rFonts w:cs="Times New Roman"/>
          <w:i/>
          <w:iCs/>
          <w:sz w:val="20"/>
          <w:szCs w:val="18"/>
        </w:rPr>
        <w:t>ṣ</w:t>
      </w:r>
      <w:r>
        <w:rPr>
          <w:rFonts w:cs="Times New Roman"/>
          <w:i/>
          <w:iCs/>
          <w:sz w:val="20"/>
          <w:szCs w:val="18"/>
        </w:rPr>
        <w:t>id</w:t>
      </w:r>
      <w:r>
        <w:rPr>
          <w:rFonts w:cs="Times New Roman"/>
          <w:sz w:val="20"/>
          <w:szCs w:val="18"/>
        </w:rPr>
        <w:t xml:space="preserve">, </w:t>
      </w:r>
      <w:r>
        <w:rPr>
          <w:rStyle w:val="SansinterligneCar"/>
          <w:rFonts w:cs="Times New Roman"/>
          <w:sz w:val="20"/>
          <w:szCs w:val="18"/>
        </w:rPr>
        <w:t>259.</w:t>
      </w:r>
      <w:r>
        <w:rPr>
          <w:rStyle w:val="SansinterligneCar"/>
          <w:rFonts w:cs="Times New Roman"/>
          <w:sz w:val="20"/>
          <w:szCs w:val="18"/>
          <w:rtl/>
        </w:rPr>
        <w:t xml:space="preserve"> </w:t>
      </w:r>
      <w:r>
        <w:rPr>
          <w:rFonts w:cs="Times New Roman"/>
          <w:sz w:val="20"/>
          <w:szCs w:val="18"/>
        </w:rPr>
        <w:t xml:space="preserve">We should note that the </w:t>
      </w:r>
      <w:r>
        <w:rPr>
          <w:rFonts w:cs="Times New Roman"/>
          <w:i/>
          <w:iCs/>
          <w:color w:val="0E101A"/>
          <w:sz w:val="20"/>
          <w:szCs w:val="18"/>
        </w:rPr>
        <w:t>qā</w:t>
      </w:r>
      <w:r>
        <w:rPr>
          <w:rFonts w:cs="Times New Roman"/>
          <w:i/>
          <w:iCs/>
          <w:sz w:val="20"/>
          <w:szCs w:val="18"/>
        </w:rPr>
        <w:t>ḍ</w:t>
      </w:r>
      <w:r>
        <w:rPr>
          <w:rFonts w:cs="Times New Roman"/>
          <w:i/>
          <w:iCs/>
          <w:color w:val="0E101A"/>
          <w:sz w:val="20"/>
          <w:szCs w:val="18"/>
        </w:rPr>
        <w:t>ī</w:t>
      </w:r>
      <w:r>
        <w:rPr>
          <w:rFonts w:cs="Times New Roman"/>
          <w:sz w:val="20"/>
          <w:szCs w:val="18"/>
        </w:rPr>
        <w:t>-’s intervention is explicitly characterized as a ‘reply’ (</w:t>
      </w:r>
      <w:r>
        <w:rPr>
          <w:rFonts w:cs="Times New Roman"/>
          <w:i/>
          <w:iCs/>
          <w:sz w:val="20"/>
          <w:szCs w:val="18"/>
        </w:rPr>
        <w:t>jawāb</w:t>
      </w:r>
      <w:r>
        <w:rPr>
          <w:rFonts w:cs="Times New Roman"/>
          <w:sz w:val="20"/>
          <w:szCs w:val="18"/>
        </w:rPr>
        <w:t>) and not as a ruling (</w:t>
      </w:r>
      <w:r>
        <w:rPr>
          <w:rFonts w:cs="Times New Roman"/>
          <w:i/>
          <w:iCs/>
          <w:sz w:val="20"/>
          <w:szCs w:val="18"/>
        </w:rPr>
        <w:t>ḥ</w:t>
      </w:r>
      <w:r>
        <w:rPr>
          <w:rFonts w:cs="Times New Roman"/>
          <w:i/>
          <w:iCs/>
          <w:sz w:val="20"/>
          <w:szCs w:val="18"/>
        </w:rPr>
        <w:t>ukm</w:t>
      </w:r>
      <w:r>
        <w:rPr>
          <w:rFonts w:cs="Times New Roman"/>
          <w:sz w:val="20"/>
          <w:szCs w:val="18"/>
        </w:rPr>
        <w:t xml:space="preserve">). On Mālikī </w:t>
      </w:r>
      <w:r>
        <w:rPr>
          <w:rFonts w:cs="Times New Roman"/>
          <w:i/>
          <w:iCs/>
          <w:color w:val="0E101A"/>
          <w:sz w:val="20"/>
          <w:szCs w:val="18"/>
        </w:rPr>
        <w:t>qā</w:t>
      </w:r>
      <w:r>
        <w:rPr>
          <w:rFonts w:cs="Times New Roman"/>
          <w:i/>
          <w:iCs/>
          <w:sz w:val="20"/>
          <w:szCs w:val="18"/>
        </w:rPr>
        <w:t>ḍ</w:t>
      </w:r>
      <w:r>
        <w:rPr>
          <w:rFonts w:cs="Times New Roman"/>
          <w:i/>
          <w:iCs/>
          <w:color w:val="0E101A"/>
          <w:sz w:val="20"/>
          <w:szCs w:val="18"/>
        </w:rPr>
        <w:t>ī</w:t>
      </w:r>
      <w:r>
        <w:rPr>
          <w:rFonts w:cs="Times New Roman"/>
          <w:sz w:val="20"/>
          <w:szCs w:val="18"/>
        </w:rPr>
        <w:t xml:space="preserve">s also acting as </w:t>
      </w:r>
      <w:r>
        <w:rPr>
          <w:rFonts w:cs="Times New Roman"/>
          <w:i/>
          <w:iCs/>
          <w:sz w:val="20"/>
          <w:szCs w:val="18"/>
        </w:rPr>
        <w:t>muftī</w:t>
      </w:r>
      <w:r>
        <w:rPr>
          <w:rFonts w:cs="Times New Roman"/>
          <w:sz w:val="20"/>
          <w:szCs w:val="18"/>
        </w:rPr>
        <w:t xml:space="preserve">s, see Aharon Layish, </w:t>
      </w:r>
      <w:r>
        <w:rPr>
          <w:rFonts w:cs="Times New Roman"/>
          <w:i/>
          <w:sz w:val="20"/>
          <w:szCs w:val="18"/>
        </w:rPr>
        <w:t xml:space="preserve">Sharīʿa and Custom in Libyan </w:t>
      </w:r>
      <w:r>
        <w:rPr>
          <w:rFonts w:cs="Times New Roman"/>
          <w:i/>
          <w:sz w:val="20"/>
          <w:szCs w:val="18"/>
        </w:rPr>
        <w:t>Tribal Society: An Annotated Translation of Decisions from the Sharīʿa Courts of Adjābiyya and Kufra</w:t>
      </w:r>
      <w:r>
        <w:rPr>
          <w:rFonts w:cs="Times New Roman"/>
          <w:sz w:val="20"/>
          <w:szCs w:val="18"/>
        </w:rPr>
        <w:t xml:space="preserve"> (Leiden: Brill, 2005), X.</w:t>
      </w:r>
    </w:p>
  </w:footnote>
  <w:footnote w:id="83">
    <w:p w14:paraId="0FE1162C" w14:textId="77777777" w:rsidR="00000000" w:rsidRDefault="00436F74">
      <w:pPr>
        <w:pStyle w:val="Sansinterligne"/>
        <w:jc w:val="both"/>
        <w:rPr>
          <w:rFonts w:cs="Times New Roman"/>
          <w:i/>
          <w:iCs/>
          <w:sz w:val="20"/>
          <w:szCs w:val="18"/>
          <w:lang w:val="de-DE"/>
        </w:rPr>
      </w:pPr>
      <w:r>
        <w:rPr>
          <w:rStyle w:val="FootnoteReference"/>
          <w:rFonts w:cs="Times New Roman"/>
          <w:sz w:val="20"/>
          <w:szCs w:val="18"/>
        </w:rPr>
        <w:footnoteRef/>
      </w:r>
      <w:r>
        <w:rPr>
          <w:rFonts w:cs="Times New Roman"/>
          <w:sz w:val="20"/>
          <w:szCs w:val="18"/>
          <w:lang w:val="de-DE"/>
        </w:rPr>
        <w:t xml:space="preserve"> Robert Brunschvig, “Contribution à l’histoire du contrat de khamessat en Afrique du Nord”, </w:t>
      </w:r>
      <w:r>
        <w:rPr>
          <w:rFonts w:cs="Times New Roman"/>
          <w:i/>
          <w:iCs/>
          <w:sz w:val="20"/>
          <w:szCs w:val="18"/>
          <w:lang w:val="de-DE"/>
        </w:rPr>
        <w:t>Revue algérienne de législation</w:t>
      </w:r>
      <w:r>
        <w:rPr>
          <w:rFonts w:cs="Times New Roman"/>
          <w:sz w:val="20"/>
          <w:szCs w:val="18"/>
          <w:lang w:val="de-DE"/>
        </w:rPr>
        <w:t>, Feb</w:t>
      </w:r>
      <w:r>
        <w:rPr>
          <w:rFonts w:cs="Times New Roman"/>
          <w:sz w:val="20"/>
          <w:szCs w:val="18"/>
          <w:lang w:val="de-DE"/>
        </w:rPr>
        <w:t xml:space="preserve">ruary (1938), 1-5, Christian Müller, “Sitte, Brauch, und Gewohnheitsrecht im mālikitischen </w:t>
      </w:r>
      <w:r>
        <w:rPr>
          <w:rFonts w:cs="Times New Roman"/>
          <w:i/>
          <w:iCs/>
          <w:sz w:val="20"/>
          <w:szCs w:val="18"/>
          <w:lang w:val="de-DE"/>
        </w:rPr>
        <w:t>fiqh</w:t>
      </w:r>
      <w:r>
        <w:rPr>
          <w:rFonts w:cs="Times New Roman"/>
          <w:sz w:val="20"/>
          <w:szCs w:val="18"/>
          <w:lang w:val="de-DE"/>
        </w:rPr>
        <w:t xml:space="preserve">”, in </w:t>
      </w:r>
      <w:r>
        <w:rPr>
          <w:rFonts w:cs="Times New Roman"/>
          <w:i/>
          <w:iCs/>
          <w:sz w:val="20"/>
          <w:szCs w:val="18"/>
          <w:lang w:val="de-DE"/>
        </w:rPr>
        <w:t>Rechtspluralismus in der Islamischen Welt</w:t>
      </w:r>
      <w:r>
        <w:rPr>
          <w:rFonts w:cs="Times New Roman"/>
          <w:sz w:val="20"/>
          <w:szCs w:val="18"/>
          <w:lang w:val="de-DE"/>
        </w:rPr>
        <w:t>, 17-38.</w:t>
      </w:r>
      <w:r>
        <w:rPr>
          <w:rFonts w:cs="Times New Roman"/>
          <w:i/>
          <w:iCs/>
          <w:sz w:val="20"/>
          <w:szCs w:val="18"/>
          <w:lang w:val="de-DE"/>
        </w:rPr>
        <w:t xml:space="preserve"> </w:t>
      </w:r>
    </w:p>
  </w:footnote>
  <w:footnote w:id="84">
    <w:p w14:paraId="491C3C92" w14:textId="77777777" w:rsidR="00000000" w:rsidRDefault="00436F74">
      <w:pPr>
        <w:jc w:val="both"/>
        <w:rPr>
          <w:sz w:val="20"/>
          <w:szCs w:val="18"/>
          <w:rtl/>
          <w:lang w:val="en-US"/>
        </w:rPr>
      </w:pPr>
      <w:r>
        <w:rPr>
          <w:rStyle w:val="FootnoteReference"/>
          <w:sz w:val="20"/>
          <w:szCs w:val="18"/>
        </w:rPr>
        <w:footnoteRef/>
      </w:r>
      <w:r>
        <w:rPr>
          <w:sz w:val="20"/>
          <w:szCs w:val="18"/>
          <w:lang w:val="en-US"/>
        </w:rPr>
        <w:t xml:space="preserve"> Muḥammad al-Muzammirī is best known for his poems and writings in the domain of </w:t>
      </w:r>
      <w:r>
        <w:rPr>
          <w:i/>
          <w:iCs/>
          <w:sz w:val="20"/>
          <w:szCs w:val="18"/>
          <w:lang w:val="en-US"/>
        </w:rPr>
        <w:t>lugha</w:t>
      </w:r>
      <w:r>
        <w:rPr>
          <w:sz w:val="20"/>
          <w:szCs w:val="18"/>
          <w:lang w:val="en-US"/>
        </w:rPr>
        <w:t xml:space="preserve">. He is also one </w:t>
      </w:r>
      <w:r>
        <w:rPr>
          <w:sz w:val="20"/>
          <w:szCs w:val="18"/>
          <w:lang w:val="en-US"/>
        </w:rPr>
        <w:t xml:space="preserve">of the few authors from Tuwāt whose works appear in manuscript collections in the southern Sahara, Sahel region. For details, refer to John O. Hunwick, </w:t>
      </w:r>
      <w:r>
        <w:rPr>
          <w:i/>
          <w:sz w:val="20"/>
          <w:szCs w:val="18"/>
          <w:lang w:val="en-US"/>
        </w:rPr>
        <w:t xml:space="preserve">Arabic Literature of Africa Volume 4: The Writings of Western Sudanic Africa </w:t>
      </w:r>
      <w:r>
        <w:rPr>
          <w:iCs/>
          <w:sz w:val="20"/>
          <w:szCs w:val="18"/>
          <w:lang w:val="en-US"/>
        </w:rPr>
        <w:t>(</w:t>
      </w:r>
      <w:r>
        <w:rPr>
          <w:sz w:val="20"/>
          <w:szCs w:val="18"/>
          <w:lang w:val="en-US"/>
        </w:rPr>
        <w:t>Leiden: Brill, 2002), Rebs</w:t>
      </w:r>
      <w:r>
        <w:rPr>
          <w:sz w:val="20"/>
          <w:szCs w:val="18"/>
          <w:lang w:val="en-US"/>
        </w:rPr>
        <w:t xml:space="preserve">tock, </w:t>
      </w:r>
      <w:r>
        <w:rPr>
          <w:i/>
          <w:iCs/>
          <w:sz w:val="20"/>
          <w:szCs w:val="18"/>
          <w:lang w:val="en-US"/>
        </w:rPr>
        <w:t>Maurische Literaturgeschichte</w:t>
      </w:r>
      <w:r>
        <w:rPr>
          <w:sz w:val="20"/>
          <w:szCs w:val="18"/>
          <w:lang w:val="en-US"/>
        </w:rPr>
        <w:t xml:space="preserve">, Stewart, </w:t>
      </w:r>
      <w:r>
        <w:rPr>
          <w:i/>
          <w:iCs/>
          <w:sz w:val="20"/>
          <w:szCs w:val="18"/>
          <w:lang w:val="en-US"/>
        </w:rPr>
        <w:t>The Writings of Mauritania and the Western Sahara</w:t>
      </w:r>
      <w:r>
        <w:rPr>
          <w:sz w:val="20"/>
          <w:szCs w:val="18"/>
          <w:lang w:val="en-US"/>
        </w:rPr>
        <w:t xml:space="preserve">. On al-Muzammirī’s life and work, see Aḥmad Abā-l-Ṣāfī Jaʿfrī, </w:t>
      </w:r>
      <w:r>
        <w:rPr>
          <w:i/>
          <w:sz w:val="20"/>
          <w:szCs w:val="18"/>
          <w:lang w:val="en-US"/>
        </w:rPr>
        <w:t>Rijāl fī l-dhākira: waqafāt tārīkhīya fī aʿmāq al-dhākirat al-tuwātīya, Muḥammad b. Ubba al-Muzam</w:t>
      </w:r>
      <w:r>
        <w:rPr>
          <w:i/>
          <w:sz w:val="20"/>
          <w:szCs w:val="18"/>
          <w:lang w:val="en-US"/>
        </w:rPr>
        <w:t>mirī ḥayātuhu wa-athāruhu</w:t>
      </w:r>
      <w:r>
        <w:rPr>
          <w:sz w:val="20"/>
          <w:szCs w:val="18"/>
          <w:lang w:val="en-US"/>
        </w:rPr>
        <w:t xml:space="preserve"> (Oran: Dār al-Gharb li-l-Nashr wa-l-Tawzīʿ, 2007).</w:t>
      </w:r>
    </w:p>
  </w:footnote>
  <w:footnote w:id="85">
    <w:p w14:paraId="5B4C9BC8" w14:textId="77777777" w:rsidR="00000000" w:rsidRDefault="00436F74">
      <w:pPr>
        <w:pStyle w:val="Sansinterligne"/>
        <w:jc w:val="both"/>
        <w:rPr>
          <w:rFonts w:cs="Times New Roman"/>
          <w:i/>
          <w:iCs/>
          <w:sz w:val="20"/>
          <w:szCs w:val="18"/>
          <w:rtl/>
        </w:rPr>
      </w:pPr>
      <w:r>
        <w:rPr>
          <w:rStyle w:val="FootnoteReference"/>
          <w:rFonts w:cs="Times New Roman"/>
          <w:sz w:val="20"/>
          <w:szCs w:val="18"/>
        </w:rPr>
        <w:footnoteRef/>
      </w:r>
      <w:r>
        <w:rPr>
          <w:rFonts w:cs="Times New Roman"/>
          <w:sz w:val="20"/>
          <w:szCs w:val="18"/>
        </w:rPr>
        <w:t xml:space="preserve"> al-Muzammirī,</w:t>
      </w:r>
      <w:r>
        <w:rPr>
          <w:rFonts w:cs="Times New Roman"/>
          <w:i/>
          <w:iCs/>
          <w:sz w:val="20"/>
        </w:rPr>
        <w:t xml:space="preserve"> Ta</w:t>
      </w:r>
      <w:r>
        <w:rPr>
          <w:rStyle w:val="st"/>
          <w:rFonts w:cs="Times New Roman"/>
          <w:i/>
          <w:iCs/>
          <w:sz w:val="20"/>
        </w:rPr>
        <w:t>ḥ</w:t>
      </w:r>
      <w:r>
        <w:rPr>
          <w:rStyle w:val="st"/>
          <w:rFonts w:cs="Times New Roman"/>
          <w:i/>
          <w:iCs/>
          <w:sz w:val="20"/>
        </w:rPr>
        <w:t>liyat al-qar</w:t>
      </w:r>
      <w:r>
        <w:rPr>
          <w:rFonts w:cs="Times New Roman"/>
          <w:i/>
          <w:iCs/>
          <w:sz w:val="20"/>
        </w:rPr>
        <w:t>ṭ</w:t>
      </w:r>
      <w:r>
        <w:rPr>
          <w:rFonts w:cs="Times New Roman"/>
          <w:i/>
          <w:iCs/>
          <w:sz w:val="20"/>
        </w:rPr>
        <w:t>ās</w:t>
      </w:r>
      <w:r>
        <w:rPr>
          <w:rFonts w:cs="Times New Roman"/>
          <w:i/>
          <w:iCs/>
          <w:sz w:val="20"/>
          <w:szCs w:val="18"/>
        </w:rPr>
        <w:t>.</w:t>
      </w:r>
    </w:p>
  </w:footnote>
  <w:footnote w:id="86">
    <w:p w14:paraId="25013355"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On the Kunta in Tuwāt, see Batran, </w:t>
      </w:r>
      <w:r>
        <w:rPr>
          <w:rFonts w:cs="Times New Roman"/>
          <w:i/>
          <w:iCs/>
          <w:sz w:val="20"/>
          <w:szCs w:val="18"/>
          <w:shd w:val="clear" w:color="auto" w:fill="FFFFFF"/>
        </w:rPr>
        <w:t>The Qadiryya Brotherhood</w:t>
      </w:r>
      <w:r>
        <w:rPr>
          <w:rFonts w:cs="Times New Roman"/>
          <w:sz w:val="20"/>
          <w:szCs w:val="18"/>
          <w:shd w:val="clear" w:color="auto" w:fill="FFFFFF"/>
        </w:rPr>
        <w:t>, 40-46.</w:t>
      </w:r>
    </w:p>
  </w:footnote>
  <w:footnote w:id="87">
    <w:p w14:paraId="3A1AF808"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al-Muzammirī,</w:t>
      </w:r>
      <w:r>
        <w:rPr>
          <w:rFonts w:cs="Times New Roman"/>
          <w:i/>
          <w:iCs/>
          <w:sz w:val="20"/>
          <w:szCs w:val="18"/>
        </w:rPr>
        <w:t xml:space="preserve"> Ta</w:t>
      </w:r>
      <w:r>
        <w:rPr>
          <w:rStyle w:val="st"/>
          <w:rFonts w:cs="Times New Roman"/>
          <w:i/>
          <w:iCs/>
          <w:sz w:val="20"/>
          <w:szCs w:val="18"/>
        </w:rPr>
        <w:t>ḥ</w:t>
      </w:r>
      <w:r>
        <w:rPr>
          <w:rStyle w:val="st"/>
          <w:rFonts w:cs="Times New Roman"/>
          <w:i/>
          <w:iCs/>
          <w:sz w:val="20"/>
          <w:szCs w:val="18"/>
        </w:rPr>
        <w:t>līyat al-qar</w:t>
      </w:r>
      <w:r>
        <w:rPr>
          <w:rFonts w:cs="Times New Roman"/>
          <w:i/>
          <w:iCs/>
          <w:sz w:val="20"/>
          <w:szCs w:val="18"/>
        </w:rPr>
        <w:t>ṭ</w:t>
      </w:r>
      <w:r>
        <w:rPr>
          <w:rFonts w:cs="Times New Roman"/>
          <w:i/>
          <w:iCs/>
          <w:sz w:val="20"/>
          <w:szCs w:val="18"/>
        </w:rPr>
        <w:t>ās</w:t>
      </w:r>
      <w:r>
        <w:rPr>
          <w:rFonts w:cs="Times New Roman"/>
          <w:sz w:val="20"/>
          <w:szCs w:val="18"/>
        </w:rPr>
        <w:t>, 1.</w:t>
      </w:r>
    </w:p>
  </w:footnote>
  <w:footnote w:id="88">
    <w:p w14:paraId="37AA0E91"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r>
        <w:rPr>
          <w:rFonts w:cs="Times New Roman"/>
          <w:i/>
          <w:iCs/>
          <w:sz w:val="20"/>
          <w:szCs w:val="18"/>
        </w:rPr>
        <w:t>Ibidem</w:t>
      </w:r>
      <w:r>
        <w:rPr>
          <w:rFonts w:cs="Times New Roman"/>
          <w:sz w:val="20"/>
          <w:szCs w:val="18"/>
        </w:rPr>
        <w:t>, 3-5.</w:t>
      </w:r>
    </w:p>
  </w:footnote>
  <w:footnote w:id="89">
    <w:p w14:paraId="11FDAB58"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James C. Scott, </w:t>
      </w:r>
      <w:r>
        <w:rPr>
          <w:rFonts w:cs="Times New Roman"/>
          <w:i/>
          <w:iCs/>
          <w:sz w:val="20"/>
          <w:szCs w:val="18"/>
        </w:rPr>
        <w:t>D</w:t>
      </w:r>
      <w:r>
        <w:rPr>
          <w:rFonts w:cs="Times New Roman"/>
          <w:i/>
          <w:iCs/>
          <w:sz w:val="20"/>
          <w:szCs w:val="18"/>
        </w:rPr>
        <w:t>omination and the Arts of Resistance: Hidden Transcripts</w:t>
      </w:r>
      <w:r>
        <w:rPr>
          <w:rFonts w:cs="Times New Roman"/>
          <w:sz w:val="20"/>
          <w:szCs w:val="18"/>
        </w:rPr>
        <w:t xml:space="preserve"> (New Haven: Yale University Press, 1990).</w:t>
      </w:r>
    </w:p>
  </w:footnote>
  <w:footnote w:id="90">
    <w:p w14:paraId="4BA2FA34"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r>
        <w:rPr>
          <w:rFonts w:cs="Times New Roman"/>
          <w:sz w:val="20"/>
          <w:szCs w:val="18"/>
          <w:lang w:val="en-AU"/>
        </w:rPr>
        <w:t>The earliest account is</w:t>
      </w:r>
      <w:r>
        <w:rPr>
          <w:rFonts w:cs="Times New Roman"/>
          <w:sz w:val="20"/>
          <w:szCs w:val="18"/>
        </w:rPr>
        <w:t xml:space="preserve"> Alfred Georges Paul Martin, </w:t>
      </w:r>
      <w:r>
        <w:rPr>
          <w:rFonts w:cs="Times New Roman"/>
          <w:i/>
          <w:sz w:val="20"/>
          <w:szCs w:val="18"/>
        </w:rPr>
        <w:t>Les oasis sahariennes (Gourara – Touat – Tidikelt)</w:t>
      </w:r>
      <w:r>
        <w:rPr>
          <w:rFonts w:cs="Times New Roman"/>
          <w:sz w:val="20"/>
          <w:szCs w:val="18"/>
        </w:rPr>
        <w:t xml:space="preserve"> (Alger: Édition de l’imprimerie algérienne, 1908).</w:t>
      </w:r>
    </w:p>
  </w:footnote>
  <w:footnote w:id="91">
    <w:p w14:paraId="46656F50"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al-Muzammirī,</w:t>
      </w:r>
      <w:r>
        <w:rPr>
          <w:rFonts w:cs="Times New Roman"/>
          <w:i/>
          <w:iCs/>
          <w:sz w:val="20"/>
          <w:szCs w:val="18"/>
        </w:rPr>
        <w:t xml:space="preserve"> Ta</w:t>
      </w:r>
      <w:r>
        <w:rPr>
          <w:rStyle w:val="st"/>
          <w:rFonts w:cs="Times New Roman"/>
          <w:i/>
          <w:iCs/>
          <w:sz w:val="20"/>
          <w:szCs w:val="18"/>
        </w:rPr>
        <w:t>ḥ</w:t>
      </w:r>
      <w:r>
        <w:rPr>
          <w:rStyle w:val="st"/>
          <w:rFonts w:cs="Times New Roman"/>
          <w:i/>
          <w:iCs/>
          <w:sz w:val="20"/>
          <w:szCs w:val="18"/>
        </w:rPr>
        <w:t>līyat al-qar</w:t>
      </w:r>
      <w:r>
        <w:rPr>
          <w:rFonts w:cs="Times New Roman"/>
          <w:i/>
          <w:iCs/>
          <w:sz w:val="20"/>
          <w:szCs w:val="18"/>
        </w:rPr>
        <w:t>ṭ</w:t>
      </w:r>
      <w:r>
        <w:rPr>
          <w:rFonts w:cs="Times New Roman"/>
          <w:i/>
          <w:iCs/>
          <w:sz w:val="20"/>
          <w:szCs w:val="18"/>
        </w:rPr>
        <w:t>ās</w:t>
      </w:r>
      <w:r>
        <w:rPr>
          <w:rFonts w:cs="Times New Roman"/>
          <w:sz w:val="20"/>
          <w:szCs w:val="18"/>
        </w:rPr>
        <w:t>, 1.</w:t>
      </w:r>
    </w:p>
  </w:footnote>
  <w:footnote w:id="92">
    <w:p w14:paraId="3C6C2269"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r>
        <w:rPr>
          <w:rFonts w:cs="Times New Roman"/>
          <w:i/>
          <w:iCs/>
          <w:sz w:val="20"/>
          <w:szCs w:val="18"/>
        </w:rPr>
        <w:t>Ibidem</w:t>
      </w:r>
      <w:r>
        <w:rPr>
          <w:rFonts w:cs="Times New Roman"/>
          <w:sz w:val="20"/>
          <w:szCs w:val="18"/>
        </w:rPr>
        <w:t>, 2</w:t>
      </w:r>
    </w:p>
  </w:footnote>
  <w:footnote w:id="93">
    <w:p w14:paraId="1B70E186" w14:textId="77777777" w:rsidR="00000000" w:rsidRDefault="00436F74">
      <w:pPr>
        <w:pStyle w:val="Sansinterligne"/>
        <w:jc w:val="both"/>
        <w:rPr>
          <w:rFonts w:cs="Times New Roman"/>
          <w:sz w:val="20"/>
          <w:szCs w:val="18"/>
          <w:rtl/>
          <w:lang w:val="fr-CH"/>
        </w:rPr>
      </w:pPr>
      <w:r>
        <w:rPr>
          <w:rStyle w:val="FootnoteReference"/>
          <w:rFonts w:cs="Times New Roman"/>
          <w:sz w:val="20"/>
          <w:szCs w:val="18"/>
        </w:rPr>
        <w:footnoteRef/>
      </w:r>
      <w:r>
        <w:rPr>
          <w:rFonts w:cs="Times New Roman"/>
          <w:sz w:val="20"/>
          <w:szCs w:val="18"/>
        </w:rPr>
        <w:t xml:space="preserve"> </w:t>
      </w:r>
      <w:r>
        <w:rPr>
          <w:rFonts w:cs="Times New Roman"/>
          <w:i/>
          <w:iCs/>
          <w:sz w:val="20"/>
          <w:szCs w:val="18"/>
        </w:rPr>
        <w:t>Ibid</w:t>
      </w:r>
      <w:r>
        <w:rPr>
          <w:rFonts w:cs="Times New Roman"/>
          <w:sz w:val="20"/>
          <w:szCs w:val="18"/>
        </w:rPr>
        <w:t>., 5.</w:t>
      </w:r>
    </w:p>
  </w:footnote>
  <w:footnote w:id="94">
    <w:p w14:paraId="5488A12D" w14:textId="77777777" w:rsidR="00000000" w:rsidRDefault="00436F74">
      <w:pPr>
        <w:jc w:val="both"/>
        <w:rPr>
          <w:sz w:val="20"/>
          <w:szCs w:val="18"/>
          <w:lang w:val="en-US"/>
        </w:rPr>
      </w:pPr>
      <w:r>
        <w:rPr>
          <w:rStyle w:val="FootnoteReference"/>
          <w:sz w:val="20"/>
          <w:szCs w:val="18"/>
        </w:rPr>
        <w:footnoteRef/>
      </w:r>
      <w:r>
        <w:rPr>
          <w:sz w:val="20"/>
          <w:szCs w:val="18"/>
          <w:lang w:val="en-US"/>
        </w:rPr>
        <w:t xml:space="preserve"> See, </w:t>
      </w:r>
      <w:r>
        <w:rPr>
          <w:i/>
          <w:iCs/>
          <w:sz w:val="20"/>
          <w:szCs w:val="18"/>
          <w:lang w:val="en-US"/>
        </w:rPr>
        <w:t>e.g</w:t>
      </w:r>
      <w:r>
        <w:rPr>
          <w:sz w:val="20"/>
          <w:szCs w:val="18"/>
          <w:lang w:val="en-US"/>
        </w:rPr>
        <w:t xml:space="preserve">, Bruce Hall, “How slaves used Islam: The letters of enslaved Muslim commercial agents in the nineteenth-century Niger Bend and Central Sahara”, </w:t>
      </w:r>
      <w:r>
        <w:rPr>
          <w:rStyle w:val="Emphasis"/>
          <w:sz w:val="20"/>
          <w:szCs w:val="18"/>
          <w:lang w:val="en-US"/>
        </w:rPr>
        <w:t>Journal of African History</w:t>
      </w:r>
      <w:r>
        <w:rPr>
          <w:sz w:val="20"/>
          <w:szCs w:val="18"/>
          <w:lang w:val="en-US"/>
        </w:rPr>
        <w:t xml:space="preserve"> 52:3 (2011),</w:t>
      </w:r>
      <w:r>
        <w:rPr>
          <w:sz w:val="20"/>
          <w:szCs w:val="18"/>
          <w:lang w:val="en-US"/>
        </w:rPr>
        <w:t xml:space="preserve"> 279-97, Ghislaine Lydon, “Obtaining Freedom at the Muslims’ Tribunal: Colonial Kadijustiz and Women’s Divorce Litigation in Ndar (Senegal)”, in </w:t>
      </w:r>
      <w:r>
        <w:rPr>
          <w:i/>
          <w:sz w:val="20"/>
          <w:szCs w:val="18"/>
          <w:lang w:val="en-US"/>
        </w:rPr>
        <w:t>Muslim Family Law in Sub-Saharan Africa: Colonial Legacies and Post-Colonial Challenges</w:t>
      </w:r>
      <w:r>
        <w:rPr>
          <w:sz w:val="20"/>
          <w:szCs w:val="18"/>
          <w:lang w:val="en-US"/>
        </w:rPr>
        <w:t>, ed. Shamil Jeppie, Ebr</w:t>
      </w:r>
      <w:r>
        <w:rPr>
          <w:sz w:val="20"/>
          <w:szCs w:val="18"/>
          <w:lang w:val="en-US"/>
        </w:rPr>
        <w:t xml:space="preserve">ahim Moosa and Richard Roberts (Amsterdam: Amsterdam University Press, 2010), 135-164, Maya Shatzmiller, </w:t>
      </w:r>
      <w:r>
        <w:rPr>
          <w:i/>
          <w:sz w:val="20"/>
          <w:szCs w:val="18"/>
          <w:lang w:val="en-US"/>
        </w:rPr>
        <w:t>Her Day in Court: Women’s Property Rights in Fifteenth-Century Granada</w:t>
      </w:r>
      <w:r>
        <w:rPr>
          <w:sz w:val="20"/>
          <w:szCs w:val="18"/>
          <w:lang w:val="en-US"/>
        </w:rPr>
        <w:t xml:space="preserve"> (Harvard: Harvard University Press, </w:t>
      </w:r>
      <w:r>
        <w:rPr>
          <w:iCs/>
          <w:sz w:val="20"/>
          <w:szCs w:val="18"/>
          <w:lang w:val="en-US"/>
        </w:rPr>
        <w:t>2007), Elke Stockreiter</w:t>
      </w:r>
      <w:r>
        <w:rPr>
          <w:sz w:val="20"/>
          <w:szCs w:val="18"/>
          <w:lang w:val="en-US"/>
        </w:rPr>
        <w:t xml:space="preserve">, </w:t>
      </w:r>
      <w:r>
        <w:rPr>
          <w:i/>
          <w:iCs/>
          <w:sz w:val="20"/>
          <w:szCs w:val="18"/>
          <w:lang w:val="en-US"/>
        </w:rPr>
        <w:t>Islamic Law, Gender</w:t>
      </w:r>
      <w:r>
        <w:rPr>
          <w:i/>
          <w:iCs/>
          <w:sz w:val="20"/>
          <w:szCs w:val="18"/>
          <w:lang w:val="en-US"/>
        </w:rPr>
        <w:t>, and Social Change in Post-Abolition Zanzibar</w:t>
      </w:r>
      <w:r>
        <w:rPr>
          <w:sz w:val="20"/>
          <w:szCs w:val="18"/>
          <w:lang w:val="en-US"/>
        </w:rPr>
        <w:t xml:space="preserve"> (New York: Cambridge University Press, 2015).</w:t>
      </w:r>
    </w:p>
  </w:footnote>
  <w:footnote w:id="95">
    <w:p w14:paraId="189C30D7"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al-Jantūrī, </w:t>
      </w:r>
      <w:r>
        <w:rPr>
          <w:rFonts w:cs="Times New Roman"/>
          <w:i/>
          <w:iCs/>
          <w:sz w:val="20"/>
          <w:szCs w:val="18"/>
        </w:rPr>
        <w:t>Nawāzil</w:t>
      </w:r>
      <w:r>
        <w:rPr>
          <w:rFonts w:cs="Times New Roman"/>
          <w:sz w:val="20"/>
          <w:szCs w:val="18"/>
        </w:rPr>
        <w:t>, 115.</w:t>
      </w:r>
    </w:p>
  </w:footnote>
  <w:footnote w:id="96">
    <w:p w14:paraId="3B0A5464"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The various local chronicles studied by A.G.P. Martin contain frequent descriptions of such raids. Cf. Martin, </w:t>
      </w:r>
      <w:r>
        <w:rPr>
          <w:rFonts w:cs="Times New Roman"/>
          <w:i/>
          <w:iCs/>
          <w:sz w:val="20"/>
          <w:szCs w:val="18"/>
        </w:rPr>
        <w:t>Quatre siècles d’histo</w:t>
      </w:r>
      <w:r>
        <w:rPr>
          <w:rFonts w:cs="Times New Roman"/>
          <w:i/>
          <w:iCs/>
          <w:sz w:val="20"/>
          <w:szCs w:val="18"/>
        </w:rPr>
        <w:t>ire marocaine</w:t>
      </w:r>
      <w:r>
        <w:rPr>
          <w:rFonts w:cs="Times New Roman"/>
          <w:sz w:val="20"/>
          <w:szCs w:val="18"/>
        </w:rPr>
        <w:t>.</w:t>
      </w:r>
    </w:p>
  </w:footnote>
  <w:footnote w:id="97">
    <w:p w14:paraId="16544138"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Leslie Peirce, </w:t>
      </w:r>
      <w:r>
        <w:rPr>
          <w:rFonts w:cs="Times New Roman"/>
          <w:i/>
          <w:sz w:val="20"/>
          <w:szCs w:val="18"/>
        </w:rPr>
        <w:t>Morality Tales: Law and Gender in the Ottoman Court of Aintab</w:t>
      </w:r>
      <w:r>
        <w:rPr>
          <w:rFonts w:cs="Times New Roman"/>
          <w:sz w:val="20"/>
          <w:szCs w:val="18"/>
        </w:rPr>
        <w:t xml:space="preserve"> (Berkeley: University of California Press, 2003).</w:t>
      </w:r>
    </w:p>
  </w:footnote>
  <w:footnote w:id="98">
    <w:p w14:paraId="3956C05C" w14:textId="77777777" w:rsidR="00000000" w:rsidRDefault="00436F74">
      <w:pPr>
        <w:jc w:val="both"/>
        <w:rPr>
          <w:sz w:val="20"/>
          <w:szCs w:val="18"/>
          <w:lang w:val="en-US"/>
        </w:rPr>
      </w:pPr>
      <w:r>
        <w:rPr>
          <w:rStyle w:val="FootnoteReference"/>
          <w:sz w:val="20"/>
          <w:szCs w:val="18"/>
        </w:rPr>
        <w:footnoteRef/>
      </w:r>
      <w:r>
        <w:rPr>
          <w:sz w:val="20"/>
          <w:szCs w:val="18"/>
          <w:lang w:val="en-US"/>
        </w:rPr>
        <w:t xml:space="preserve"> Bruce, Hall, “How Slaves Used Islam”, Oßwald, </w:t>
      </w:r>
      <w:r>
        <w:rPr>
          <w:i/>
          <w:iCs/>
          <w:sz w:val="20"/>
          <w:szCs w:val="18"/>
          <w:lang w:val="en-US"/>
        </w:rPr>
        <w:t>Sklavenhandel und Sklavenleben</w:t>
      </w:r>
      <w:r>
        <w:rPr>
          <w:sz w:val="20"/>
          <w:szCs w:val="18"/>
          <w:lang w:val="en-US"/>
        </w:rPr>
        <w:t>,</w:t>
      </w:r>
      <w:r>
        <w:rPr>
          <w:i/>
          <w:iCs/>
          <w:sz w:val="20"/>
          <w:szCs w:val="18"/>
          <w:lang w:val="en-US"/>
        </w:rPr>
        <w:t xml:space="preserve"> </w:t>
      </w:r>
      <w:r>
        <w:rPr>
          <w:sz w:val="20"/>
          <w:szCs w:val="18"/>
          <w:lang w:val="en-US"/>
        </w:rPr>
        <w:t xml:space="preserve">250-254, Richard Roberts, </w:t>
      </w:r>
      <w:r>
        <w:rPr>
          <w:i/>
          <w:iCs/>
          <w:sz w:val="20"/>
          <w:szCs w:val="18"/>
          <w:lang w:val="en-US"/>
        </w:rPr>
        <w:t>Litiga</w:t>
      </w:r>
      <w:r>
        <w:rPr>
          <w:i/>
          <w:iCs/>
          <w:sz w:val="20"/>
          <w:szCs w:val="18"/>
          <w:lang w:val="en-US"/>
        </w:rPr>
        <w:t>nts and Households: African Disputes and Colonial Courts in the French Soudan 1895-1912</w:t>
      </w:r>
      <w:r>
        <w:rPr>
          <w:sz w:val="20"/>
          <w:szCs w:val="18"/>
          <w:lang w:val="en-US"/>
        </w:rPr>
        <w:t xml:space="preserve"> (Porthmouth, NH: Heinemann, 2005). </w:t>
      </w:r>
    </w:p>
  </w:footnote>
  <w:footnote w:id="99">
    <w:p w14:paraId="501E5A0B"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David S., Powers, </w:t>
      </w:r>
      <w:r>
        <w:rPr>
          <w:rFonts w:cs="Times New Roman"/>
          <w:i/>
          <w:sz w:val="20"/>
          <w:szCs w:val="18"/>
        </w:rPr>
        <w:t>Law, Society and Culture in the Maghrib: 1300-1500</w:t>
      </w:r>
      <w:r>
        <w:rPr>
          <w:rFonts w:cs="Times New Roman"/>
          <w:sz w:val="20"/>
          <w:szCs w:val="18"/>
        </w:rPr>
        <w:t xml:space="preserve"> (London: New York, Cambridge University Press, 2002), Oßwald,</w:t>
      </w:r>
      <w:r>
        <w:rPr>
          <w:rFonts w:cs="Times New Roman"/>
          <w:sz w:val="20"/>
          <w:szCs w:val="18"/>
        </w:rPr>
        <w:t xml:space="preserve"> </w:t>
      </w:r>
      <w:r>
        <w:rPr>
          <w:rFonts w:cs="Times New Roman"/>
          <w:i/>
          <w:iCs/>
          <w:sz w:val="20"/>
          <w:szCs w:val="18"/>
        </w:rPr>
        <w:t>Schichtengesellschaft und islamisches Recht</w:t>
      </w:r>
      <w:r>
        <w:rPr>
          <w:rFonts w:cs="Times New Roman"/>
          <w:sz w:val="20"/>
          <w:szCs w:val="18"/>
        </w:rPr>
        <w:t>, Delfina Serrano Ruano, “</w:t>
      </w:r>
      <w:r>
        <w:rPr>
          <w:rFonts w:cs="Times New Roman"/>
          <w:color w:val="000000"/>
          <w:sz w:val="20"/>
          <w:szCs w:val="18"/>
        </w:rPr>
        <w:t xml:space="preserve">Qadis and muftis: Judicial Authority and the Social Practice of Islamic Law”, in </w:t>
      </w:r>
      <w:r>
        <w:rPr>
          <w:rFonts w:cs="Times New Roman"/>
          <w:i/>
          <w:iCs/>
          <w:color w:val="000000"/>
          <w:sz w:val="20"/>
          <w:szCs w:val="18"/>
        </w:rPr>
        <w:t>Routledge Handbook of Islamic Law</w:t>
      </w:r>
      <w:r>
        <w:rPr>
          <w:rFonts w:cs="Times New Roman"/>
          <w:color w:val="000000"/>
          <w:sz w:val="20"/>
          <w:szCs w:val="18"/>
        </w:rPr>
        <w:t>, ed. Khaled Abou El Fadl, Ahmad Atif Ahmad and Said Fares Hassan (Londo</w:t>
      </w:r>
      <w:r>
        <w:rPr>
          <w:rFonts w:cs="Times New Roman"/>
          <w:color w:val="000000"/>
          <w:sz w:val="20"/>
          <w:szCs w:val="18"/>
        </w:rPr>
        <w:t>n: Routledge, 2019), 156-170, Amalia Zomeño, “</w:t>
      </w:r>
      <w:r>
        <w:rPr>
          <w:rFonts w:cs="Times New Roman"/>
          <w:sz w:val="20"/>
          <w:szCs w:val="18"/>
        </w:rPr>
        <w:t>The Stories in the Fatwas and the Fatwas in History</w:t>
      </w:r>
      <w:r>
        <w:rPr>
          <w:rFonts w:cs="Times New Roman"/>
          <w:color w:val="000000"/>
          <w:sz w:val="20"/>
          <w:szCs w:val="18"/>
        </w:rPr>
        <w:t xml:space="preserve">”, in </w:t>
      </w:r>
      <w:r>
        <w:rPr>
          <w:rFonts w:cs="Times New Roman"/>
          <w:i/>
          <w:iCs/>
          <w:sz w:val="20"/>
          <w:szCs w:val="18"/>
          <w:lang w:val="en-GB"/>
        </w:rPr>
        <w:t>Narratives of Truth in Islamic Law</w:t>
      </w:r>
      <w:r>
        <w:rPr>
          <w:rFonts w:cs="Times New Roman"/>
          <w:sz w:val="20"/>
          <w:szCs w:val="18"/>
          <w:lang w:val="en-GB"/>
        </w:rPr>
        <w:t>, ed. Baudouin Dupret, Barbara Drieskens and Annelies Moors (London, New York: I. B. Tauris, 2008), 25-49</w:t>
      </w:r>
      <w:r>
        <w:rPr>
          <w:rFonts w:cs="Times New Roman"/>
          <w:sz w:val="20"/>
          <w:szCs w:val="18"/>
        </w:rPr>
        <w:t>.</w:t>
      </w:r>
    </w:p>
  </w:footnote>
  <w:footnote w:id="100">
    <w:p w14:paraId="377142EB"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David Beet</w:t>
      </w:r>
      <w:r>
        <w:rPr>
          <w:rFonts w:cs="Times New Roman"/>
          <w:sz w:val="20"/>
          <w:szCs w:val="18"/>
        </w:rPr>
        <w:t xml:space="preserve">ham, </w:t>
      </w:r>
      <w:r>
        <w:rPr>
          <w:rFonts w:cs="Times New Roman"/>
          <w:i/>
          <w:iCs/>
          <w:sz w:val="20"/>
          <w:szCs w:val="18"/>
        </w:rPr>
        <w:t>The Legitimation of Power</w:t>
      </w:r>
      <w:r>
        <w:rPr>
          <w:rFonts w:cs="Times New Roman"/>
          <w:sz w:val="20"/>
          <w:szCs w:val="18"/>
        </w:rPr>
        <w:t xml:space="preserve"> (Basingstoke: Palgrave Macmillan, 2013), 69.</w:t>
      </w:r>
    </w:p>
  </w:footnote>
  <w:footnote w:id="101">
    <w:p w14:paraId="0F2112EE" w14:textId="77777777" w:rsidR="00000000" w:rsidRDefault="00436F74">
      <w:pPr>
        <w:pStyle w:val="FootnoteText"/>
        <w:spacing w:line="240" w:lineRule="auto"/>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cs="Times New Roman"/>
          <w:szCs w:val="18"/>
        </w:rPr>
        <w:t xml:space="preserve"> While our paper does not claim to contribute to the extensive literature of subaltern studies, our understanding of the notion of subalternity is informed by our readings of John</w:t>
      </w:r>
      <w:r>
        <w:rPr>
          <w:rFonts w:ascii="Times New Roman" w:hAnsi="Times New Roman" w:cs="Times New Roman"/>
          <w:szCs w:val="18"/>
        </w:rPr>
        <w:t xml:space="preserve"> Beverley, </w:t>
      </w:r>
      <w:r>
        <w:rPr>
          <w:rFonts w:ascii="Times New Roman" w:hAnsi="Times New Roman" w:cs="Times New Roman"/>
          <w:i/>
          <w:iCs/>
          <w:szCs w:val="18"/>
        </w:rPr>
        <w:t>Subalternity and Representation: Arguments in Cultural Theory</w:t>
      </w:r>
      <w:r>
        <w:rPr>
          <w:rFonts w:ascii="Times New Roman" w:hAnsi="Times New Roman" w:cs="Times New Roman"/>
          <w:szCs w:val="18"/>
        </w:rPr>
        <w:t xml:space="preserve"> (Durham, London: Duke University Press, 1999),</w:t>
      </w:r>
      <w:r>
        <w:rPr>
          <w:rFonts w:ascii="Times New Roman" w:hAnsi="Times New Roman" w:cs="Times New Roman"/>
          <w:i/>
          <w:iCs/>
          <w:szCs w:val="18"/>
        </w:rPr>
        <w:t xml:space="preserve"> </w:t>
      </w:r>
      <w:r>
        <w:rPr>
          <w:rFonts w:ascii="Times New Roman" w:hAnsi="Times New Roman" w:cs="Times New Roman"/>
          <w:szCs w:val="18"/>
        </w:rPr>
        <w:t xml:space="preserve">and the classic Spivak, Gayatri Chakravorty, “Can the Subaltern Speak?”, in </w:t>
      </w:r>
      <w:r>
        <w:rPr>
          <w:rFonts w:ascii="Times New Roman" w:hAnsi="Times New Roman" w:cs="Times New Roman"/>
          <w:i/>
          <w:iCs/>
          <w:szCs w:val="18"/>
        </w:rPr>
        <w:t>Marxism and the Interpretation of Culture</w:t>
      </w:r>
      <w:r>
        <w:rPr>
          <w:rFonts w:ascii="Times New Roman" w:hAnsi="Times New Roman" w:cs="Times New Roman"/>
          <w:szCs w:val="18"/>
        </w:rPr>
        <w:t>, ed. Cary Nelson a</w:t>
      </w:r>
      <w:r>
        <w:rPr>
          <w:rFonts w:ascii="Times New Roman" w:hAnsi="Times New Roman" w:cs="Times New Roman"/>
          <w:szCs w:val="18"/>
        </w:rPr>
        <w:t>nd Lawrence Grossberg (London: Macmillan, 1988), 271-313.</w:t>
      </w:r>
    </w:p>
  </w:footnote>
  <w:footnote w:id="102">
    <w:p w14:paraId="02DFFAF9"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al</w:t>
      </w:r>
      <w:r>
        <w:rPr>
          <w:rFonts w:cs="Times New Roman"/>
          <w:i/>
          <w:sz w:val="20"/>
          <w:szCs w:val="18"/>
        </w:rPr>
        <w:t>-</w:t>
      </w:r>
      <w:r>
        <w:rPr>
          <w:rFonts w:cs="Times New Roman"/>
          <w:sz w:val="20"/>
          <w:szCs w:val="18"/>
        </w:rPr>
        <w:t xml:space="preserve">Balbālī, al-Balbālī, </w:t>
      </w:r>
      <w:r>
        <w:rPr>
          <w:rFonts w:cs="Times New Roman"/>
          <w:i/>
          <w:iCs/>
          <w:sz w:val="20"/>
          <w:szCs w:val="18"/>
        </w:rPr>
        <w:t>Ghunyat al-muqta</w:t>
      </w:r>
      <w:r>
        <w:rPr>
          <w:rFonts w:cs="Times New Roman"/>
          <w:i/>
          <w:iCs/>
          <w:sz w:val="20"/>
          <w:szCs w:val="18"/>
        </w:rPr>
        <w:t>ṣ</w:t>
      </w:r>
      <w:r>
        <w:rPr>
          <w:rFonts w:cs="Times New Roman"/>
          <w:i/>
          <w:iCs/>
          <w:sz w:val="20"/>
          <w:szCs w:val="18"/>
        </w:rPr>
        <w:t>id</w:t>
      </w:r>
      <w:r>
        <w:rPr>
          <w:rFonts w:cs="Times New Roman"/>
          <w:sz w:val="20"/>
          <w:szCs w:val="18"/>
        </w:rPr>
        <w:t>, 69.</w:t>
      </w:r>
    </w:p>
  </w:footnote>
  <w:footnote w:id="103">
    <w:p w14:paraId="65ABD302"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w:t>
      </w:r>
      <w:r>
        <w:rPr>
          <w:rFonts w:cs="Times New Roman"/>
          <w:i/>
          <w:iCs/>
          <w:sz w:val="20"/>
          <w:szCs w:val="18"/>
        </w:rPr>
        <w:t>Ibidem</w:t>
      </w:r>
      <w:r>
        <w:rPr>
          <w:rFonts w:cs="Times New Roman"/>
          <w:sz w:val="20"/>
          <w:szCs w:val="18"/>
        </w:rPr>
        <w:t>.</w:t>
      </w:r>
    </w:p>
  </w:footnote>
  <w:footnote w:id="104">
    <w:p w14:paraId="0BCAE88C" w14:textId="77777777" w:rsidR="00000000"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de-DE"/>
        </w:rPr>
        <w:t xml:space="preserve"> </w:t>
      </w:r>
      <w:r>
        <w:rPr>
          <w:rFonts w:cs="Times New Roman"/>
          <w:i/>
          <w:iCs/>
          <w:sz w:val="20"/>
          <w:szCs w:val="18"/>
          <w:lang w:val="de-DE"/>
        </w:rPr>
        <w:t>Ibidem</w:t>
      </w:r>
      <w:r>
        <w:rPr>
          <w:rFonts w:cs="Times New Roman"/>
          <w:sz w:val="20"/>
          <w:szCs w:val="18"/>
          <w:lang w:val="de-DE"/>
        </w:rPr>
        <w:t>, 70.</w:t>
      </w:r>
    </w:p>
  </w:footnote>
  <w:footnote w:id="105">
    <w:p w14:paraId="0247EDCC" w14:textId="77777777" w:rsidR="00000000"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lang w:val="de-DE"/>
        </w:rPr>
        <w:t xml:space="preserve"> Oßwald, </w:t>
      </w:r>
      <w:r>
        <w:rPr>
          <w:rFonts w:cs="Times New Roman"/>
          <w:i/>
          <w:iCs/>
          <w:sz w:val="20"/>
          <w:szCs w:val="18"/>
          <w:lang w:val="de-DE"/>
        </w:rPr>
        <w:t>Sklavenhandel und Sklavenleben</w:t>
      </w:r>
      <w:r>
        <w:rPr>
          <w:rFonts w:cs="Times New Roman"/>
          <w:sz w:val="20"/>
          <w:szCs w:val="18"/>
          <w:lang w:val="de-DE"/>
        </w:rPr>
        <w:t>, 278-281, 349-357.</w:t>
      </w:r>
    </w:p>
  </w:footnote>
  <w:footnote w:id="106">
    <w:p w14:paraId="1C7A61A9"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Beetham,</w:t>
      </w:r>
      <w:r>
        <w:rPr>
          <w:rFonts w:cs="Times New Roman"/>
          <w:i/>
          <w:iCs/>
          <w:sz w:val="20"/>
          <w:szCs w:val="18"/>
        </w:rPr>
        <w:t xml:space="preserve"> The Legitimation of Power</w:t>
      </w:r>
      <w:r>
        <w:rPr>
          <w:rFonts w:cs="Times New Roman"/>
          <w:sz w:val="20"/>
          <w:szCs w:val="18"/>
        </w:rPr>
        <w:t>, 60.</w:t>
      </w:r>
    </w:p>
  </w:footnote>
  <w:footnote w:id="107">
    <w:p w14:paraId="1E014CDE"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Remarkably, the num</w:t>
      </w:r>
      <w:r>
        <w:rPr>
          <w:rFonts w:cs="Times New Roman"/>
          <w:sz w:val="20"/>
          <w:szCs w:val="18"/>
        </w:rPr>
        <w:t xml:space="preserve">ber of cases involving </w:t>
      </w:r>
      <w:r>
        <w:rPr>
          <w:rFonts w:cs="Times New Roman"/>
          <w:i/>
          <w:iCs/>
          <w:color w:val="0E101A"/>
          <w:sz w:val="20"/>
          <w:szCs w:val="18"/>
        </w:rPr>
        <w:t>ḥ</w:t>
      </w:r>
      <w:r>
        <w:rPr>
          <w:rFonts w:cs="Times New Roman"/>
          <w:i/>
          <w:iCs/>
          <w:color w:val="0E101A"/>
          <w:sz w:val="20"/>
          <w:szCs w:val="18"/>
        </w:rPr>
        <w:t>arthānī</w:t>
      </w:r>
      <w:r>
        <w:rPr>
          <w:rFonts w:cs="Times New Roman"/>
          <w:sz w:val="20"/>
          <w:szCs w:val="18"/>
        </w:rPr>
        <w:t xml:space="preserve"> and </w:t>
      </w:r>
      <w:r>
        <w:rPr>
          <w:rFonts w:cs="Times New Roman"/>
          <w:i/>
          <w:iCs/>
          <w:sz w:val="20"/>
          <w:szCs w:val="18"/>
        </w:rPr>
        <w:t>ʿ</w:t>
      </w:r>
      <w:r>
        <w:rPr>
          <w:rFonts w:cs="Times New Roman"/>
          <w:i/>
          <w:iCs/>
          <w:sz w:val="20"/>
          <w:szCs w:val="18"/>
        </w:rPr>
        <w:t>abīd</w:t>
      </w:r>
      <w:r>
        <w:rPr>
          <w:rFonts w:cs="Times New Roman"/>
          <w:sz w:val="20"/>
          <w:szCs w:val="18"/>
        </w:rPr>
        <w:t xml:space="preserve"> actors is small compared to the vast bulk of materials discussing property rights or family affairs in which only </w:t>
      </w:r>
      <w:r>
        <w:rPr>
          <w:rFonts w:cs="Times New Roman"/>
          <w:i/>
          <w:iCs/>
          <w:sz w:val="20"/>
          <w:szCs w:val="18"/>
        </w:rPr>
        <w:t>shurafāʾ</w:t>
      </w:r>
      <w:r>
        <w:rPr>
          <w:rFonts w:cs="Times New Roman"/>
          <w:sz w:val="20"/>
          <w:szCs w:val="18"/>
        </w:rPr>
        <w:t xml:space="preserve"> and </w:t>
      </w:r>
      <w:r>
        <w:rPr>
          <w:rFonts w:cs="Times New Roman"/>
          <w:i/>
          <w:iCs/>
          <w:sz w:val="20"/>
          <w:szCs w:val="18"/>
        </w:rPr>
        <w:t>mrāb</w:t>
      </w:r>
      <w:r>
        <w:rPr>
          <w:rFonts w:cs="Times New Roman"/>
          <w:i/>
          <w:iCs/>
          <w:sz w:val="20"/>
          <w:szCs w:val="18"/>
        </w:rPr>
        <w:t>ṭ</w:t>
      </w:r>
      <w:r>
        <w:rPr>
          <w:rFonts w:cs="Times New Roman"/>
          <w:i/>
          <w:iCs/>
          <w:sz w:val="20"/>
          <w:szCs w:val="18"/>
        </w:rPr>
        <w:t>īn</w:t>
      </w:r>
      <w:r>
        <w:rPr>
          <w:rFonts w:cs="Times New Roman"/>
          <w:sz w:val="20"/>
          <w:szCs w:val="18"/>
        </w:rPr>
        <w:t xml:space="preserve"> seem to appear.  </w:t>
      </w:r>
    </w:p>
  </w:footnote>
  <w:footnote w:id="108">
    <w:p w14:paraId="32EE9B2B"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Spivak, “Can the Subaltern Speak?”.</w:t>
      </w:r>
    </w:p>
  </w:footnote>
  <w:footnote w:id="109">
    <w:p w14:paraId="06C39525" w14:textId="77777777" w:rsidR="00000000" w:rsidRDefault="00436F74">
      <w:pPr>
        <w:pStyle w:val="Sansinterligne"/>
        <w:jc w:val="both"/>
        <w:rPr>
          <w:rFonts w:cs="Times New Roman"/>
          <w:sz w:val="20"/>
          <w:szCs w:val="18"/>
          <w:lang w:val="de-DE"/>
        </w:rPr>
      </w:pPr>
      <w:r>
        <w:rPr>
          <w:rStyle w:val="FootnoteReference"/>
          <w:rFonts w:cs="Times New Roman"/>
          <w:sz w:val="20"/>
          <w:szCs w:val="18"/>
        </w:rPr>
        <w:footnoteRef/>
      </w:r>
      <w:r>
        <w:rPr>
          <w:rFonts w:cs="Times New Roman"/>
          <w:sz w:val="20"/>
          <w:szCs w:val="18"/>
        </w:rPr>
        <w:t xml:space="preserve"> We are alluding here </w:t>
      </w:r>
      <w:r>
        <w:rPr>
          <w:rFonts w:cs="Times New Roman"/>
          <w:sz w:val="20"/>
          <w:szCs w:val="18"/>
        </w:rPr>
        <w:t xml:space="preserve">to Christian Müller’s concept of the </w:t>
      </w:r>
      <w:r>
        <w:rPr>
          <w:rFonts w:cs="Times New Roman"/>
          <w:i/>
          <w:iCs/>
          <w:sz w:val="20"/>
          <w:szCs w:val="18"/>
        </w:rPr>
        <w:t>sharī</w:t>
      </w:r>
      <w:r>
        <w:rPr>
          <w:rFonts w:cs="Times New Roman"/>
          <w:i/>
          <w:iCs/>
          <w:color w:val="0E101A"/>
          <w:sz w:val="20"/>
          <w:szCs w:val="18"/>
        </w:rPr>
        <w:t>ʿ</w:t>
      </w:r>
      <w:r>
        <w:rPr>
          <w:rFonts w:cs="Times New Roman"/>
          <w:i/>
          <w:iCs/>
          <w:sz w:val="20"/>
          <w:szCs w:val="18"/>
        </w:rPr>
        <w:t>atic</w:t>
      </w:r>
      <w:r>
        <w:rPr>
          <w:rFonts w:cs="Times New Roman"/>
          <w:sz w:val="20"/>
          <w:szCs w:val="18"/>
        </w:rPr>
        <w:t xml:space="preserve"> turn. </w:t>
      </w:r>
      <w:r>
        <w:rPr>
          <w:rFonts w:cs="Times New Roman"/>
          <w:sz w:val="20"/>
          <w:szCs w:val="18"/>
          <w:lang w:val="de-DE"/>
        </w:rPr>
        <w:t xml:space="preserve">Cf. Christian Müller, </w:t>
      </w:r>
      <w:r>
        <w:rPr>
          <w:rFonts w:cs="Times New Roman"/>
          <w:i/>
          <w:iCs/>
          <w:sz w:val="20"/>
          <w:szCs w:val="18"/>
          <w:lang w:val="de-DE"/>
        </w:rPr>
        <w:t>Recht und die historische Entwicklung der Scharia im Islam</w:t>
      </w:r>
      <w:r>
        <w:rPr>
          <w:rFonts w:cs="Times New Roman"/>
          <w:sz w:val="20"/>
          <w:szCs w:val="18"/>
          <w:lang w:val="de-DE"/>
        </w:rPr>
        <w:t xml:space="preserve"> (Berlin, Boston: De Gruyter, 2022). </w:t>
      </w:r>
    </w:p>
  </w:footnote>
  <w:footnote w:id="110">
    <w:p w14:paraId="183D5BB9" w14:textId="77777777" w:rsidR="00000000" w:rsidRDefault="00436F74">
      <w:pPr>
        <w:pStyle w:val="Sansinterligne"/>
        <w:jc w:val="both"/>
        <w:rPr>
          <w:rFonts w:cs="Times New Roman"/>
          <w:sz w:val="20"/>
          <w:szCs w:val="18"/>
        </w:rPr>
      </w:pPr>
      <w:r>
        <w:rPr>
          <w:rStyle w:val="FootnoteReference"/>
          <w:rFonts w:cs="Times New Roman"/>
          <w:sz w:val="20"/>
          <w:szCs w:val="18"/>
        </w:rPr>
        <w:footnoteRef/>
      </w:r>
      <w:r>
        <w:rPr>
          <w:rFonts w:cs="Times New Roman"/>
          <w:sz w:val="20"/>
          <w:szCs w:val="18"/>
        </w:rPr>
        <w:t xml:space="preserve"> This vision may need some qualification as Khaled Esseissah’s recent article on th</w:t>
      </w:r>
      <w:r>
        <w:rPr>
          <w:rFonts w:cs="Times New Roman"/>
          <w:sz w:val="20"/>
          <w:szCs w:val="18"/>
        </w:rPr>
        <w:t xml:space="preserve">e nineteenth-century Mauritanian Sufi Bilāl wuld Mahmūd suggests. Cf. Khaled Esseissah, “Enslaved Muslim Sufi Saints in the Nineteenth-Century Sahara: The Life of Bilal Ould Mahmoud”, </w:t>
      </w:r>
      <w:r>
        <w:rPr>
          <w:rFonts w:cs="Times New Roman"/>
          <w:i/>
          <w:iCs/>
          <w:sz w:val="20"/>
          <w:szCs w:val="18"/>
        </w:rPr>
        <w:t>The Journal of African History</w:t>
      </w:r>
      <w:r>
        <w:rPr>
          <w:rFonts w:cs="Times New Roman"/>
          <w:sz w:val="20"/>
          <w:szCs w:val="18"/>
        </w:rPr>
        <w:t xml:space="preserve"> 62:3 (2021), 342-57.</w:t>
      </w:r>
      <w:r>
        <w:rPr>
          <w:rFonts w:cs="Times New Roman"/>
          <w:i/>
          <w:iCs/>
          <w:sz w:val="20"/>
          <w:szCs w:val="18"/>
        </w:rPr>
        <w:t xml:space="preserve"> </w:t>
      </w:r>
      <w:r>
        <w:rPr>
          <w:rFonts w:cs="Times New Roman"/>
          <w:sz w:val="20"/>
          <w:szCs w:val="18"/>
        </w:rPr>
        <w:t xml:space="preserve">   </w:t>
      </w:r>
    </w:p>
  </w:footnote>
  <w:footnote w:id="111">
    <w:p w14:paraId="04F4934A" w14:textId="77777777" w:rsidR="00000000" w:rsidRDefault="00436F74">
      <w:pPr>
        <w:pStyle w:val="Sansinterligne"/>
        <w:jc w:val="both"/>
        <w:rPr>
          <w:rFonts w:cs="Times New Roman"/>
          <w:sz w:val="20"/>
          <w:szCs w:val="18"/>
          <w:lang w:val="fr-CH"/>
        </w:rPr>
      </w:pPr>
      <w:r>
        <w:rPr>
          <w:rStyle w:val="FootnoteReference"/>
          <w:rFonts w:cs="Times New Roman"/>
          <w:sz w:val="20"/>
          <w:szCs w:val="18"/>
        </w:rPr>
        <w:footnoteRef/>
      </w:r>
      <w:r>
        <w:rPr>
          <w:rFonts w:cs="Times New Roman"/>
          <w:sz w:val="20"/>
          <w:szCs w:val="18"/>
        </w:rPr>
        <w:t xml:space="preserve"> Scott, </w:t>
      </w:r>
      <w:r>
        <w:rPr>
          <w:rFonts w:cs="Times New Roman"/>
          <w:i/>
          <w:iCs/>
          <w:sz w:val="20"/>
          <w:szCs w:val="18"/>
        </w:rPr>
        <w:t>Dominat</w:t>
      </w:r>
      <w:r>
        <w:rPr>
          <w:rFonts w:cs="Times New Roman"/>
          <w:i/>
          <w:iCs/>
          <w:sz w:val="20"/>
          <w:szCs w:val="18"/>
        </w:rPr>
        <w:t>ion</w:t>
      </w:r>
      <w:r>
        <w:rPr>
          <w:rFonts w:cs="Times New Roman"/>
          <w:sz w:val="20"/>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2ED1"/>
    <w:multiLevelType w:val="hybridMultilevel"/>
    <w:tmpl w:val="AA202D7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1F"/>
    <w:rsid w:val="00436F74"/>
    <w:rsid w:val="004D7C1F"/>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0DE4"/>
  <w15:chartTrackingRefBased/>
  <w15:docId w15:val="{B9AB86C0-7710-47D3-872B-7B7D84A9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L"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fr-FR" w:eastAsia="fr-FR" w:bidi="ar-SA"/>
    </w:rPr>
  </w:style>
  <w:style w:type="paragraph" w:styleId="Heading1">
    <w:name w:val="heading 1"/>
    <w:basedOn w:val="Normal"/>
    <w:next w:val="Normal"/>
    <w:qFormat/>
    <w:pPr>
      <w:keepNext/>
      <w:keepLines/>
      <w:spacing w:before="240"/>
      <w:outlineLvl w:val="0"/>
    </w:pPr>
    <w:rPr>
      <w:rFonts w:ascii="Calibri Light" w:eastAsia="Yu Gothic Light" w:hAnsi="Calibri Light"/>
      <w:color w:val="2F5496"/>
      <w:sz w:val="32"/>
      <w:szCs w:val="32"/>
    </w:rPr>
  </w:style>
  <w:style w:type="paragraph" w:styleId="Heading2">
    <w:name w:val="heading 2"/>
    <w:aliases w:val="Chapitre"/>
    <w:basedOn w:val="Normal"/>
    <w:next w:val="Normal"/>
    <w:qFormat/>
    <w:pPr>
      <w:keepNext/>
      <w:keepLines/>
      <w:spacing w:before="200" w:line="360" w:lineRule="auto"/>
      <w:jc w:val="both"/>
      <w:outlineLvl w:val="1"/>
    </w:pPr>
    <w:rPr>
      <w:rFonts w:eastAsia="Yu Gothic Light"/>
      <w:b/>
      <w:bCs/>
      <w:sz w:val="32"/>
      <w:szCs w:val="26"/>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2Car">
    <w:name w:val="Titre 2 Car"/>
    <w:aliases w:val="Chapitre Car"/>
    <w:rPr>
      <w:rFonts w:ascii="Times New Roman" w:eastAsia="Yu Gothic Light" w:hAnsi="Times New Roman" w:cs="Times New Roman"/>
      <w:b/>
      <w:bCs/>
      <w:sz w:val="32"/>
      <w:szCs w:val="26"/>
      <w:lang w:eastAsia="fr-FR"/>
    </w:rPr>
  </w:style>
  <w:style w:type="character" w:styleId="PageNumber">
    <w:name w:val="page number"/>
    <w:semiHidden/>
    <w:rPr>
      <w:lang w:val="en-US"/>
    </w:rPr>
  </w:style>
  <w:style w:type="paragraph" w:styleId="Footer">
    <w:name w:val="footer"/>
    <w:basedOn w:val="Normal"/>
    <w:semiHidden/>
    <w:unhideWhenUsed/>
    <w:pPr>
      <w:tabs>
        <w:tab w:val="center" w:pos="4536"/>
        <w:tab w:val="right" w:pos="9072"/>
      </w:tabs>
      <w:spacing w:line="360" w:lineRule="auto"/>
    </w:pPr>
    <w:rPr>
      <w:rFonts w:ascii="Calibri" w:eastAsia="Calibri" w:hAnsi="Calibri" w:cs="Arial"/>
      <w:lang w:val="en-US" w:eastAsia="en-US"/>
    </w:rPr>
  </w:style>
  <w:style w:type="character" w:customStyle="1" w:styleId="PieddepageCar">
    <w:name w:val="Pied de page Car"/>
    <w:rPr>
      <w:lang w:val="en-US"/>
    </w:rPr>
  </w:style>
  <w:style w:type="paragraph" w:styleId="FootnoteText">
    <w:name w:val="footnote text"/>
    <w:basedOn w:val="Normal"/>
    <w:semiHidden/>
    <w:unhideWhenUsed/>
    <w:pPr>
      <w:spacing w:line="360" w:lineRule="auto"/>
    </w:pPr>
    <w:rPr>
      <w:rFonts w:ascii="Calibri" w:eastAsia="Calibri" w:hAnsi="Calibri" w:cs="Arial"/>
      <w:sz w:val="20"/>
      <w:szCs w:val="20"/>
      <w:lang w:val="en-US" w:eastAsia="en-US"/>
    </w:rPr>
  </w:style>
  <w:style w:type="character" w:customStyle="1" w:styleId="NotedebasdepageCar">
    <w:name w:val="Note de bas de page Car"/>
    <w:rPr>
      <w:sz w:val="20"/>
      <w:szCs w:val="20"/>
      <w:lang w:val="en-US"/>
    </w:rPr>
  </w:style>
  <w:style w:type="character" w:styleId="FootnoteReference">
    <w:name w:val="footnote reference"/>
    <w:semiHidden/>
    <w:unhideWhenUsed/>
    <w:rPr>
      <w:vertAlign w:val="superscript"/>
    </w:rPr>
  </w:style>
  <w:style w:type="paragraph" w:customStyle="1" w:styleId="Sansinterligne">
    <w:name w:val="Sans interligne"/>
    <w:aliases w:val="note de bas de page"/>
    <w:qFormat/>
    <w:rPr>
      <w:rFonts w:ascii="Times New Roman" w:hAnsi="Times New Roman"/>
      <w:sz w:val="18"/>
      <w:szCs w:val="24"/>
      <w:lang w:val="en-US" w:eastAsia="en-US" w:bidi="ar-SA"/>
    </w:rPr>
  </w:style>
  <w:style w:type="paragraph" w:styleId="Header">
    <w:name w:val="header"/>
    <w:basedOn w:val="Normal"/>
    <w:semiHidden/>
    <w:unhideWhenUsed/>
    <w:pPr>
      <w:tabs>
        <w:tab w:val="center" w:pos="4536"/>
        <w:tab w:val="right" w:pos="9072"/>
      </w:tabs>
      <w:spacing w:line="360" w:lineRule="auto"/>
    </w:pPr>
    <w:rPr>
      <w:rFonts w:ascii="Calibri" w:eastAsia="Calibri" w:hAnsi="Calibri" w:cs="Arial"/>
      <w:lang w:val="en-US" w:eastAsia="en-US"/>
    </w:rPr>
  </w:style>
  <w:style w:type="character" w:customStyle="1" w:styleId="En-tteCar">
    <w:name w:val="En-tête Car"/>
    <w:rPr>
      <w:lang w:val="en-US"/>
    </w:rPr>
  </w:style>
  <w:style w:type="character" w:customStyle="1" w:styleId="SansinterligneCar">
    <w:name w:val="Sans interligne Car"/>
    <w:aliases w:val="note de bas de page Car"/>
    <w:rPr>
      <w:rFonts w:ascii="Times New Roman" w:hAnsi="Times New Roman"/>
      <w:sz w:val="18"/>
      <w:lang w:val="en-US"/>
    </w:rPr>
  </w:style>
  <w:style w:type="paragraph" w:customStyle="1" w:styleId="Standard">
    <w:name w:val="Standard"/>
    <w:pPr>
      <w:widowControl w:val="0"/>
      <w:suppressAutoHyphens/>
      <w:autoSpaceDN w:val="0"/>
      <w:textAlignment w:val="baseline"/>
    </w:pPr>
    <w:rPr>
      <w:rFonts w:ascii="Times New Roman" w:eastAsia="SimSun" w:hAnsi="Times New Roman" w:cs="Lucida Sans"/>
      <w:kern w:val="3"/>
      <w:sz w:val="24"/>
      <w:szCs w:val="24"/>
      <w:lang w:val="fr-CH" w:bidi="hi-IN"/>
    </w:rPr>
  </w:style>
  <w:style w:type="character" w:customStyle="1" w:styleId="tlid-translation">
    <w:name w:val="tlid-translation"/>
    <w:basedOn w:val="DefaultParagraphFont"/>
  </w:style>
  <w:style w:type="character" w:styleId="Emphasis">
    <w:name w:val="Emphasis"/>
    <w:qFormat/>
    <w:rPr>
      <w:i/>
      <w:iCs/>
    </w:rPr>
  </w:style>
  <w:style w:type="character" w:customStyle="1" w:styleId="personname">
    <w:name w:val="person_name"/>
    <w:basedOn w:val="DefaultParagraphFont"/>
  </w:style>
  <w:style w:type="character" w:customStyle="1" w:styleId="st">
    <w:name w:val="st"/>
    <w:basedOn w:val="DefaultParagraphFont"/>
  </w:style>
  <w:style w:type="paragraph" w:styleId="NormalWeb">
    <w:name w:val="Normal (Web)"/>
    <w:basedOn w:val="Normal"/>
    <w:semiHidden/>
    <w:unhideWhenUsed/>
    <w:pPr>
      <w:spacing w:before="100" w:beforeAutospacing="1" w:after="100" w:afterAutospacing="1" w:line="360" w:lineRule="auto"/>
    </w:pPr>
  </w:style>
  <w:style w:type="character" w:styleId="Hyperlink">
    <w:name w:val="Hyperlink"/>
    <w:semiHidden/>
    <w:unhideWhenUsed/>
    <w:rPr>
      <w:color w:val="0000FF"/>
      <w:u w:val="single"/>
    </w:rPr>
  </w:style>
  <w:style w:type="paragraph" w:customStyle="1" w:styleId="Paragraphedeliste">
    <w:name w:val="Paragraphe de liste"/>
    <w:basedOn w:val="Normal"/>
    <w:qFormat/>
    <w:pPr>
      <w:ind w:left="720"/>
      <w:contextualSpacing/>
    </w:pPr>
    <w:rPr>
      <w:rFonts w:ascii="Calibri" w:eastAsia="Calibri" w:hAnsi="Calibri" w:cs="Arial"/>
      <w:lang w:val="en-US" w:eastAsia="en-US"/>
    </w:rPr>
  </w:style>
  <w:style w:type="character" w:customStyle="1" w:styleId="Mentionnonrsolue">
    <w:name w:val="Mention non résolue"/>
    <w:semiHidden/>
    <w:unhideWhenUsed/>
    <w:rPr>
      <w:color w:val="605E5C"/>
      <w:shd w:val="clear" w:color="auto" w:fill="E1DFDD"/>
    </w:rPr>
  </w:style>
  <w:style w:type="character" w:customStyle="1" w:styleId="notice-label">
    <w:name w:val="notice-label"/>
    <w:basedOn w:val="DefaultParagraphFont"/>
  </w:style>
  <w:style w:type="character" w:customStyle="1" w:styleId="Titre1Car">
    <w:name w:val="Titre 1 Car"/>
    <w:rPr>
      <w:rFonts w:ascii="Calibri Light" w:eastAsia="Yu Gothic Light" w:hAnsi="Calibri Light" w:cs="Times New Roman"/>
      <w:color w:val="2F5496"/>
      <w:sz w:val="32"/>
      <w:szCs w:val="32"/>
      <w:lang w:eastAsia="fr-FR"/>
    </w:rPr>
  </w:style>
  <w:style w:type="character" w:customStyle="1" w:styleId="text">
    <w:name w:val="text"/>
    <w:basedOn w:val="DefaultParagraphFont"/>
  </w:style>
  <w:style w:type="character" w:customStyle="1" w:styleId="Titredulivre">
    <w:name w:val="Titre du livre"/>
    <w:qFormat/>
    <w:rPr>
      <w:b/>
      <w:bCs/>
      <w:i/>
      <w:iCs/>
      <w:spacing w:val="5"/>
    </w:rPr>
  </w:style>
  <w:style w:type="paragraph" w:customStyle="1" w:styleId="Rvision">
    <w:name w:val="Révision"/>
    <w:hidden/>
    <w:semiHidden/>
    <w:rPr>
      <w:rFonts w:ascii="Times New Roman" w:eastAsia="Times New Roman" w:hAnsi="Times New Roman" w:cs="Times New Roman"/>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oua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8689</Words>
  <Characters>47966</Characters>
  <Application>Microsoft Office Word</Application>
  <DocSecurity>0</DocSecurity>
  <Lines>905</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56528</CharactersWithSpaces>
  <SharedDoc>false</SharedDoc>
  <HLinks>
    <vt:vector size="6" baseType="variant">
      <vt:variant>
        <vt:i4>4390995</vt:i4>
      </vt:variant>
      <vt:variant>
        <vt:i4>0</vt:i4>
      </vt:variant>
      <vt:variant>
        <vt:i4>0</vt:i4>
      </vt:variant>
      <vt:variant>
        <vt:i4>5</vt:i4>
      </vt:variant>
      <vt:variant>
        <vt:lpwstr>https://touat.fr/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Warscheid</dc:creator>
  <cp:keywords/>
  <dc:description/>
  <cp:lastModifiedBy>Susan</cp:lastModifiedBy>
  <cp:revision>2</cp:revision>
  <cp:lastPrinted>2023-04-10T14:40:00Z</cp:lastPrinted>
  <dcterms:created xsi:type="dcterms:W3CDTF">2023-07-19T19:29:00Z</dcterms:created>
  <dcterms:modified xsi:type="dcterms:W3CDTF">2023-07-19T19:29:00Z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documentId_876</vt:lpwstr>
  </property>
  <property fmtid="{D5CDD505-2E9C-101B-9397-08002B2CF9AE}" pid="3" name="grammarly_documentContext">
    <vt:lpwstr>{"goals":[],"domain":"general","emotions":[],"dialect":"american"}</vt:lpwstr>
  </property>
</Properties>
</file>