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14DBF" w14:textId="3354BC66" w:rsidR="00EE362F" w:rsidRDefault="00EE362F" w:rsidP="00EE362F">
      <w:pPr>
        <w:bidi w:val="0"/>
        <w:rPr>
          <w:b/>
          <w:bCs/>
        </w:rPr>
      </w:pPr>
      <w:r w:rsidRPr="00E17D14">
        <w:rPr>
          <w:b/>
          <w:bCs/>
          <w:i/>
          <w:iCs/>
        </w:rPr>
        <w:t>ratione naturali inter omnes homines</w:t>
      </w:r>
      <w:r w:rsidRPr="00E17D14">
        <w:rPr>
          <w:b/>
          <w:bCs/>
        </w:rPr>
        <w:t xml:space="preserve">: </w:t>
      </w:r>
      <w:r w:rsidR="00E17D14" w:rsidRPr="00E17D14">
        <w:rPr>
          <w:b/>
          <w:bCs/>
        </w:rPr>
        <w:t>A</w:t>
      </w:r>
      <w:r w:rsidR="00822159" w:rsidRPr="00E17D14">
        <w:rPr>
          <w:b/>
          <w:bCs/>
        </w:rPr>
        <w:t xml:space="preserve"> </w:t>
      </w:r>
      <w:r w:rsidR="00E17D14" w:rsidRPr="00E17D14">
        <w:rPr>
          <w:b/>
          <w:bCs/>
        </w:rPr>
        <w:t>Case Study of Local Law in Roman Provinces</w:t>
      </w:r>
    </w:p>
    <w:p w14:paraId="46AF197D" w14:textId="05DD5819" w:rsidR="00E17D14" w:rsidRDefault="00E17D14" w:rsidP="00E17D14">
      <w:pPr>
        <w:bidi w:val="0"/>
      </w:pPr>
      <w:r w:rsidRPr="00843158">
        <w:t>Elyashiv Cherlow</w:t>
      </w:r>
    </w:p>
    <w:p w14:paraId="6971EFA6" w14:textId="31469015" w:rsidR="00D223DB" w:rsidRPr="00843158" w:rsidRDefault="00D223DB" w:rsidP="00D223DB">
      <w:pPr>
        <w:rPr>
          <w:rFonts w:hint="cs"/>
          <w:rtl/>
        </w:rPr>
      </w:pPr>
      <w:r w:rsidRPr="00D223DB">
        <w:rPr>
          <w:rFonts w:hint="cs"/>
          <w:b/>
          <w:bCs/>
          <w:rtl/>
        </w:rPr>
        <w:t>תקציר</w:t>
      </w:r>
      <w:r>
        <w:rPr>
          <w:rFonts w:hint="cs"/>
          <w:rtl/>
        </w:rPr>
        <w:t xml:space="preserve">: </w:t>
      </w:r>
      <w:r w:rsidR="00694F31">
        <w:rPr>
          <w:rFonts w:hint="cs"/>
          <w:rtl/>
        </w:rPr>
        <w:t>בעשורים האחרונים הולכת וגוברת ההכרה שחקר יחסי החוק הרומי וההלכה היהודית חשוב להבנת האימפריאליזם הרומי עצמו.</w:t>
      </w:r>
      <w:r w:rsidR="0032441C">
        <w:rPr>
          <w:rFonts w:hint="cs"/>
          <w:rtl/>
        </w:rPr>
        <w:t xml:space="preserve"> </w:t>
      </w:r>
      <w:r w:rsidR="00440175">
        <w:rPr>
          <w:rFonts w:hint="cs"/>
          <w:rtl/>
        </w:rPr>
        <w:t xml:space="preserve">מחקר החוק המקומי בפרובינקיות נשען בדרך כלל על </w:t>
      </w:r>
      <w:r w:rsidR="00857075">
        <w:rPr>
          <w:rFonts w:hint="cs"/>
          <w:rtl/>
        </w:rPr>
        <w:t>עיון ב</w:t>
      </w:r>
      <w:r w:rsidR="00440175">
        <w:rPr>
          <w:rFonts w:hint="cs"/>
          <w:rtl/>
        </w:rPr>
        <w:t>מ</w:t>
      </w:r>
      <w:r w:rsidR="00135231">
        <w:rPr>
          <w:rFonts w:hint="cs"/>
          <w:rtl/>
        </w:rPr>
        <w:t>סמכים אותנטיים שהתגלו באקראי.</w:t>
      </w:r>
      <w:r w:rsidR="00514F3D">
        <w:rPr>
          <w:rFonts w:hint="cs"/>
          <w:rtl/>
        </w:rPr>
        <w:t xml:space="preserve"> קשה מאד להפיק ממסמכים אלו תפיסות תיאורטיות של המשפט, ועוד יותר קשה לשחזר את ההתפתחות שלהם.</w:t>
      </w:r>
      <w:r w:rsidR="00B3686F">
        <w:rPr>
          <w:rFonts w:hint="cs"/>
          <w:rtl/>
        </w:rPr>
        <w:t xml:space="preserve"> לעומת זאת, הספרות הרבנית היא ספרות ערוכה,</w:t>
      </w:r>
      <w:r w:rsidR="003D24AC">
        <w:rPr>
          <w:rFonts w:hint="cs"/>
          <w:rtl/>
        </w:rPr>
        <w:t xml:space="preserve"> תיאורטית</w:t>
      </w:r>
      <w:r w:rsidR="00B3686F">
        <w:rPr>
          <w:rFonts w:hint="cs"/>
          <w:rtl/>
        </w:rPr>
        <w:t xml:space="preserve"> </w:t>
      </w:r>
      <w:r w:rsidR="003D24AC">
        <w:rPr>
          <w:rFonts w:hint="cs"/>
          <w:rtl/>
        </w:rPr>
        <w:t>ו</w:t>
      </w:r>
      <w:r w:rsidR="00B3686F">
        <w:rPr>
          <w:rFonts w:hint="cs"/>
          <w:rtl/>
        </w:rPr>
        <w:t>מרובת שכבות,</w:t>
      </w:r>
      <w:r w:rsidR="00FA75B5">
        <w:rPr>
          <w:rFonts w:hint="cs"/>
          <w:rtl/>
        </w:rPr>
        <w:t xml:space="preserve"> בדומה לספרות החוק הרומי. באמצעות ניתוח דיאכרוני של </w:t>
      </w:r>
      <w:r w:rsidR="00857075">
        <w:rPr>
          <w:rFonts w:hint="cs"/>
          <w:rtl/>
        </w:rPr>
        <w:t>ספרות החוק הרבני והרומי</w:t>
      </w:r>
      <w:r w:rsidR="00FA75B5">
        <w:rPr>
          <w:rFonts w:hint="cs"/>
          <w:rtl/>
        </w:rPr>
        <w:t xml:space="preserve"> ניתן ללמוד על </w:t>
      </w:r>
      <w:r w:rsidR="008A5CF1">
        <w:rPr>
          <w:rFonts w:hint="cs"/>
          <w:rtl/>
        </w:rPr>
        <w:t>תהליכי הפיתוח המשפטיים שארעו בכל אחת מן המערכות</w:t>
      </w:r>
      <w:r w:rsidR="00E30510">
        <w:rPr>
          <w:rFonts w:hint="cs"/>
          <w:rtl/>
        </w:rPr>
        <w:t>, ולהבין את היחסים ביניהן</w:t>
      </w:r>
      <w:r w:rsidR="008A5CF1">
        <w:rPr>
          <w:rFonts w:hint="cs"/>
          <w:rtl/>
        </w:rPr>
        <w:t xml:space="preserve">. במאמר זה אני מדגים את האפשרות הזאת באמצעות חשיפה של תהליך </w:t>
      </w:r>
      <w:r w:rsidR="006470FB">
        <w:rPr>
          <w:rFonts w:hint="cs"/>
          <w:rtl/>
        </w:rPr>
        <w:t>משפטי מקביל שאירע בספרות הרבנית ובספרות הרומית.</w:t>
      </w:r>
      <w:r w:rsidR="00230B8B">
        <w:rPr>
          <w:rFonts w:hint="cs"/>
          <w:rtl/>
        </w:rPr>
        <w:t xml:space="preserve"> חשיפת התהליך יכולה להוביל לפיתוח מודלים חדשים לתיאור ההשפעה הרומית על החוק המקומי בפרובינקיות.</w:t>
      </w:r>
      <w:r w:rsidR="00135231">
        <w:rPr>
          <w:rFonts w:hint="cs"/>
          <w:rtl/>
        </w:rPr>
        <w:t xml:space="preserve"> </w:t>
      </w:r>
      <w:r w:rsidR="00E10258">
        <w:rPr>
          <w:rFonts w:hint="cs"/>
          <w:rtl/>
        </w:rPr>
        <w:t xml:space="preserve"> </w:t>
      </w:r>
    </w:p>
    <w:p w14:paraId="7285085C" w14:textId="3FC5668C" w:rsidR="00155832" w:rsidRPr="008E32C1" w:rsidRDefault="008E32C1" w:rsidP="004D7A1F">
      <w:pPr>
        <w:pStyle w:val="2"/>
        <w:rPr>
          <w:rtl/>
        </w:rPr>
      </w:pPr>
      <w:r w:rsidRPr="008E32C1">
        <w:rPr>
          <w:rFonts w:hint="cs"/>
          <w:rtl/>
        </w:rPr>
        <w:t>מבוא</w:t>
      </w:r>
    </w:p>
    <w:p w14:paraId="6D515261" w14:textId="04217CBD" w:rsidR="0009499E" w:rsidRDefault="008426F1" w:rsidP="0086417E">
      <w:pPr>
        <w:rPr>
          <w:rFonts w:hint="cs"/>
          <w:rtl/>
        </w:rPr>
      </w:pPr>
      <w:r>
        <w:rPr>
          <w:rFonts w:hint="cs"/>
          <w:rtl/>
        </w:rPr>
        <w:t>בעשורים האחרונים הולכת וגוברת ההכרה ש</w:t>
      </w:r>
      <w:r w:rsidR="001D24AF">
        <w:rPr>
          <w:rFonts w:hint="cs"/>
          <w:rtl/>
        </w:rPr>
        <w:t>חקר יחסי החוק הרומי וההלכה היהודית חשוב להבנת האימפריאליזם הרומי עצמו.</w:t>
      </w:r>
      <w:r w:rsidR="007E6173">
        <w:rPr>
          <w:rFonts w:hint="cs"/>
          <w:rtl/>
        </w:rPr>
        <w:t xml:space="preserve"> המקורות הראשוניים של ההלכה הרבנית </w:t>
      </w:r>
      <w:r w:rsidR="007E6173">
        <w:rPr>
          <w:rtl/>
        </w:rPr>
        <w:t>–</w:t>
      </w:r>
      <w:r w:rsidR="007E6173">
        <w:rPr>
          <w:rFonts w:hint="cs"/>
          <w:rtl/>
        </w:rPr>
        <w:t xml:space="preserve"> המשנה, התוספתא ומדרשי התנאים </w:t>
      </w:r>
      <w:r w:rsidR="00722E5F">
        <w:rPr>
          <w:rtl/>
        </w:rPr>
        <w:t>–</w:t>
      </w:r>
      <w:r w:rsidR="003C30CF">
        <w:rPr>
          <w:rFonts w:hint="cs"/>
          <w:rtl/>
        </w:rPr>
        <w:t xml:space="preserve"> </w:t>
      </w:r>
      <w:r w:rsidR="00722E5F">
        <w:rPr>
          <w:rFonts w:hint="cs"/>
          <w:rtl/>
        </w:rPr>
        <w:t>נוצרו תחת שלטון רומי.</w:t>
      </w:r>
      <w:r w:rsidR="008505C7">
        <w:rPr>
          <w:rStyle w:val="a6"/>
          <w:rtl/>
        </w:rPr>
        <w:footnoteReference w:id="1"/>
      </w:r>
      <w:r w:rsidR="00722E5F">
        <w:rPr>
          <w:rFonts w:hint="cs"/>
          <w:rtl/>
        </w:rPr>
        <w:t xml:space="preserve"> </w:t>
      </w:r>
      <w:r w:rsidR="005A30FC">
        <w:rPr>
          <w:rFonts w:hint="cs"/>
          <w:rtl/>
        </w:rPr>
        <w:t xml:space="preserve">יוצרי החיבורים הללו חיו </w:t>
      </w:r>
      <w:r w:rsidR="00FF02FC">
        <w:rPr>
          <w:rFonts w:hint="cs"/>
          <w:rtl/>
        </w:rPr>
        <w:t>זה כמה דורות</w:t>
      </w:r>
      <w:r w:rsidR="005A30FC">
        <w:rPr>
          <w:rFonts w:hint="cs"/>
          <w:rtl/>
        </w:rPr>
        <w:t xml:space="preserve"> </w:t>
      </w:r>
      <w:r w:rsidR="00FB1F19">
        <w:rPr>
          <w:rFonts w:hint="cs"/>
          <w:rtl/>
        </w:rPr>
        <w:t>בפרובינקיה רומית</w:t>
      </w:r>
      <w:r w:rsidR="005A30FC">
        <w:rPr>
          <w:rFonts w:hint="cs"/>
          <w:rtl/>
        </w:rPr>
        <w:t>, ולכל ה</w:t>
      </w:r>
      <w:r w:rsidR="005C29C5">
        <w:rPr>
          <w:rFonts w:hint="cs"/>
          <w:rtl/>
        </w:rPr>
        <w:t>מאוחר בשנת 212</w:t>
      </w:r>
      <w:r w:rsidR="001C673C">
        <w:rPr>
          <w:rFonts w:hint="cs"/>
          <w:rtl/>
        </w:rPr>
        <w:t>, בעקבות ה</w:t>
      </w:r>
      <w:r w:rsidR="001C673C" w:rsidRPr="001C673C">
        <w:t xml:space="preserve"> </w:t>
      </w:r>
      <w:r w:rsidR="001C673C" w:rsidRPr="001C673C">
        <w:rPr>
          <w:i/>
          <w:iCs/>
        </w:rPr>
        <w:t>Constitutio Antoniniana</w:t>
      </w:r>
      <w:r w:rsidR="005C29C5">
        <w:rPr>
          <w:rFonts w:hint="cs"/>
          <w:rtl/>
        </w:rPr>
        <w:t>היו גם לאזרחים רומיים.</w:t>
      </w:r>
      <w:r w:rsidR="007E6173">
        <w:rPr>
          <w:rFonts w:hint="cs"/>
          <w:rtl/>
        </w:rPr>
        <w:t xml:space="preserve"> </w:t>
      </w:r>
      <w:r w:rsidR="003B481C">
        <w:rPr>
          <w:rFonts w:hint="cs"/>
          <w:rtl/>
        </w:rPr>
        <w:t xml:space="preserve">ההנחה שחיבורים אלו הושפעו מן התרבות והמשפט הרומיים </w:t>
      </w:r>
      <w:r w:rsidR="00EE3F2F">
        <w:rPr>
          <w:rFonts w:hint="cs"/>
          <w:rtl/>
        </w:rPr>
        <w:t xml:space="preserve">כמעט מובנת מאליה. </w:t>
      </w:r>
      <w:r w:rsidR="000678C8">
        <w:rPr>
          <w:rFonts w:hint="cs"/>
          <w:rtl/>
        </w:rPr>
        <w:t xml:space="preserve">ואמנם, כבר </w:t>
      </w:r>
      <w:r w:rsidR="003A1266">
        <w:rPr>
          <w:rFonts w:hint="cs"/>
          <w:rtl/>
        </w:rPr>
        <w:t>עשורים רבים</w:t>
      </w:r>
      <w:r w:rsidR="000678C8">
        <w:rPr>
          <w:rFonts w:hint="cs"/>
          <w:rtl/>
        </w:rPr>
        <w:t xml:space="preserve"> </w:t>
      </w:r>
      <w:r w:rsidR="00F00FE7">
        <w:rPr>
          <w:rFonts w:hint="cs"/>
          <w:rtl/>
        </w:rPr>
        <w:t>שחוקרים עמלים על זיהוי וניתוח המקבילות בין ספרות החוק היהודית ובין החוק הרומי.</w:t>
      </w:r>
      <w:r w:rsidR="006160FE">
        <w:rPr>
          <w:rStyle w:val="a6"/>
          <w:rtl/>
        </w:rPr>
        <w:footnoteReference w:id="2"/>
      </w:r>
      <w:r w:rsidR="000678C8">
        <w:rPr>
          <w:rFonts w:hint="cs"/>
          <w:rtl/>
        </w:rPr>
        <w:t xml:space="preserve"> </w:t>
      </w:r>
    </w:p>
    <w:p w14:paraId="585A34C9" w14:textId="72CEC11B" w:rsidR="00901AA5" w:rsidRDefault="00955EFB" w:rsidP="00454C68">
      <w:pPr>
        <w:rPr>
          <w:rtl/>
        </w:rPr>
      </w:pPr>
      <w:r>
        <w:rPr>
          <w:rFonts w:hint="cs"/>
          <w:rtl/>
        </w:rPr>
        <w:lastRenderedPageBreak/>
        <w:t xml:space="preserve">רוב מוחלט של מחקרים אלו נעשו </w:t>
      </w:r>
      <w:r w:rsidR="00FD2415">
        <w:rPr>
          <w:rFonts w:hint="cs"/>
          <w:rtl/>
        </w:rPr>
        <w:t>מתוך מגמה להבין את</w:t>
      </w:r>
      <w:r>
        <w:rPr>
          <w:rFonts w:hint="cs"/>
          <w:rtl/>
        </w:rPr>
        <w:t xml:space="preserve"> </w:t>
      </w:r>
      <w:r w:rsidR="00FD2415">
        <w:rPr>
          <w:rFonts w:hint="cs"/>
          <w:rtl/>
        </w:rPr>
        <w:t>ה</w:t>
      </w:r>
      <w:r>
        <w:rPr>
          <w:rFonts w:hint="cs"/>
          <w:rtl/>
        </w:rPr>
        <w:t>הלכה ו</w:t>
      </w:r>
      <w:r w:rsidR="00FD2415">
        <w:rPr>
          <w:rFonts w:hint="cs"/>
          <w:rtl/>
        </w:rPr>
        <w:t>ה</w:t>
      </w:r>
      <w:r>
        <w:rPr>
          <w:rFonts w:hint="cs"/>
          <w:rtl/>
        </w:rPr>
        <w:t xml:space="preserve">היסטוריה </w:t>
      </w:r>
      <w:r w:rsidR="00FD2415">
        <w:rPr>
          <w:rFonts w:hint="cs"/>
          <w:rtl/>
        </w:rPr>
        <w:t>ה</w:t>
      </w:r>
      <w:r>
        <w:rPr>
          <w:rFonts w:hint="cs"/>
          <w:rtl/>
        </w:rPr>
        <w:t>יהודית, ות</w:t>
      </w:r>
      <w:r w:rsidR="00C47483">
        <w:rPr>
          <w:rFonts w:hint="cs"/>
          <w:rtl/>
        </w:rPr>
        <w:t>רמו בעיקר לתחומים אלו</w:t>
      </w:r>
      <w:r>
        <w:rPr>
          <w:rFonts w:hint="cs"/>
          <w:rtl/>
        </w:rPr>
        <w:t>.</w:t>
      </w:r>
      <w:r w:rsidR="00C47483">
        <w:rPr>
          <w:rFonts w:hint="cs"/>
          <w:rtl/>
        </w:rPr>
        <w:t xml:space="preserve"> אך </w:t>
      </w:r>
      <w:r w:rsidR="006D2890">
        <w:rPr>
          <w:rFonts w:hint="cs"/>
          <w:rtl/>
        </w:rPr>
        <w:t>מגמה זו הולכת ומשתנה.</w:t>
      </w:r>
      <w:r w:rsidR="00225D6A">
        <w:rPr>
          <w:rStyle w:val="a6"/>
          <w:rtl/>
        </w:rPr>
        <w:footnoteReference w:id="3"/>
      </w:r>
      <w:r w:rsidR="006D2890">
        <w:rPr>
          <w:rFonts w:hint="cs"/>
          <w:rtl/>
        </w:rPr>
        <w:t xml:space="preserve"> </w:t>
      </w:r>
      <w:r w:rsidR="0058086B">
        <w:rPr>
          <w:rFonts w:hint="cs"/>
          <w:rtl/>
        </w:rPr>
        <w:t xml:space="preserve">בכמה מחקרים אחרונים </w:t>
      </w:r>
      <w:r w:rsidR="005653FB">
        <w:rPr>
          <w:rFonts w:hint="cs"/>
          <w:rtl/>
        </w:rPr>
        <w:t xml:space="preserve">נידונה </w:t>
      </w:r>
      <w:r w:rsidR="006D2890">
        <w:rPr>
          <w:rFonts w:hint="cs"/>
          <w:rtl/>
        </w:rPr>
        <w:t xml:space="preserve">השפעת המשפט הרומי על החוק היהודי </w:t>
      </w:r>
      <w:r w:rsidR="005653FB">
        <w:rPr>
          <w:rFonts w:hint="cs"/>
          <w:rtl/>
        </w:rPr>
        <w:t>כ</w:t>
      </w:r>
      <w:r w:rsidR="006D2890">
        <w:rPr>
          <w:rFonts w:hint="cs"/>
          <w:rtl/>
        </w:rPr>
        <w:t>מקרה מבחן</w:t>
      </w:r>
      <w:r w:rsidR="00D1526F">
        <w:rPr>
          <w:rFonts w:hint="cs"/>
          <w:rtl/>
        </w:rPr>
        <w:t xml:space="preserve"> ייחודי</w:t>
      </w:r>
      <w:r w:rsidR="006D2890">
        <w:rPr>
          <w:rFonts w:hint="cs"/>
          <w:rtl/>
        </w:rPr>
        <w:t xml:space="preserve"> </w:t>
      </w:r>
      <w:r w:rsidR="005653FB">
        <w:rPr>
          <w:rFonts w:hint="cs"/>
          <w:rtl/>
        </w:rPr>
        <w:t>בתוך הדיון הרחב</w:t>
      </w:r>
      <w:r w:rsidR="00E346F6">
        <w:rPr>
          <w:rFonts w:hint="cs"/>
          <w:rtl/>
        </w:rPr>
        <w:t xml:space="preserve"> על אודות</w:t>
      </w:r>
      <w:r w:rsidR="006D2890">
        <w:rPr>
          <w:rFonts w:hint="cs"/>
          <w:rtl/>
        </w:rPr>
        <w:t xml:space="preserve"> השפעת החוק הרומי בפרובינקיות</w:t>
      </w:r>
      <w:r w:rsidR="008C48C6">
        <w:rPr>
          <w:rFonts w:hint="cs"/>
          <w:rtl/>
        </w:rPr>
        <w:t xml:space="preserve"> בכלל</w:t>
      </w:r>
      <w:r w:rsidR="006D2890">
        <w:rPr>
          <w:rFonts w:hint="cs"/>
          <w:rtl/>
        </w:rPr>
        <w:t>.</w:t>
      </w:r>
      <w:r w:rsidR="00454C68">
        <w:rPr>
          <w:rFonts w:hint="cs"/>
          <w:rtl/>
        </w:rPr>
        <w:t xml:space="preserve"> </w:t>
      </w:r>
      <w:r w:rsidR="00901AA5">
        <w:rPr>
          <w:rFonts w:hint="cs"/>
          <w:rtl/>
        </w:rPr>
        <w:t>האימפריה הרומית השתרעה על שטח עצום ושלטה בפרובינקיות רבות. תחת שלטונה חסו עמים שונים, שלכל אחד מהם היתה מסורת משפטית ופרקטיקות משפטיות שונות. כפי שמקובל היום, במערכת ה</w:t>
      </w:r>
      <w:r w:rsidR="008C48C6">
        <w:rPr>
          <w:rFonts w:hint="cs"/>
          <w:rtl/>
        </w:rPr>
        <w:t>אימפריאלית</w:t>
      </w:r>
      <w:r w:rsidR="00901AA5">
        <w:rPr>
          <w:rFonts w:hint="cs"/>
          <w:rtl/>
        </w:rPr>
        <w:t xml:space="preserve"> הרומית היה עקרון מרכזי של </w:t>
      </w:r>
      <w:r w:rsidR="00672EEC">
        <w:t>legal pluralism</w:t>
      </w:r>
      <w:r w:rsidR="00901AA5">
        <w:rPr>
          <w:rFonts w:hint="cs"/>
          <w:rtl/>
        </w:rPr>
        <w:t>, ולא היתה שלילה קטגורית של כל מערכת חוק שונה.</w:t>
      </w:r>
      <w:r w:rsidR="00454C68">
        <w:rPr>
          <w:rStyle w:val="a6"/>
          <w:rtl/>
        </w:rPr>
        <w:footnoteReference w:id="4"/>
      </w:r>
      <w:r w:rsidR="00901AA5">
        <w:rPr>
          <w:rFonts w:hint="cs"/>
          <w:rtl/>
        </w:rPr>
        <w:t xml:space="preserve"> </w:t>
      </w:r>
      <w:r w:rsidR="00912784">
        <w:rPr>
          <w:rFonts w:hint="cs"/>
          <w:rtl/>
        </w:rPr>
        <w:t xml:space="preserve">עקרון זה יצר מערכות חוק פרובנציאליות ששילבו באופנים מגוונים בין חוקים ומנהגים מקומיים ובין </w:t>
      </w:r>
      <w:r w:rsidR="004260AB">
        <w:rPr>
          <w:rFonts w:hint="cs"/>
          <w:rtl/>
        </w:rPr>
        <w:t>החוק הרומי</w:t>
      </w:r>
      <w:r w:rsidR="00901AA5">
        <w:rPr>
          <w:rFonts w:hint="cs"/>
          <w:rtl/>
        </w:rPr>
        <w:t xml:space="preserve">. מצב זה מציב עבור החוקר אתגר קשה. הספרות המרכזית של החוק הרומי נכתבה על ידי משפטנים וסמכויות שלטון רומיות. רוב הספרות נכתבה ברומא גופה והתייחסה לאזרחים רומים. אזכורים של פרקטיקות משפטיות מקומיות והתייחסויות אליהן נדירים יחסית בספרות זו. על הנהגים המקומיים </w:t>
      </w:r>
      <w:r w:rsidR="00E346F6">
        <w:rPr>
          <w:rFonts w:hint="cs"/>
          <w:rtl/>
        </w:rPr>
        <w:t xml:space="preserve">בפרובינקיות </w:t>
      </w:r>
      <w:r w:rsidR="00901AA5">
        <w:rPr>
          <w:rFonts w:hint="cs"/>
          <w:rtl/>
        </w:rPr>
        <w:t xml:space="preserve">לומדים החוקרים מתוך </w:t>
      </w:r>
      <w:r w:rsidR="004260AB">
        <w:rPr>
          <w:rFonts w:hint="cs"/>
          <w:rtl/>
        </w:rPr>
        <w:t xml:space="preserve">רמזים אקראיים בספרות </w:t>
      </w:r>
      <w:r w:rsidR="00E25B85">
        <w:rPr>
          <w:rFonts w:hint="cs"/>
          <w:rtl/>
        </w:rPr>
        <w:t>ובעיקר</w:t>
      </w:r>
      <w:r w:rsidR="004260AB">
        <w:rPr>
          <w:rFonts w:hint="cs"/>
          <w:rtl/>
        </w:rPr>
        <w:t xml:space="preserve"> </w:t>
      </w:r>
      <w:r w:rsidR="0081327E">
        <w:rPr>
          <w:rFonts w:hint="cs"/>
          <w:rtl/>
        </w:rPr>
        <w:t>מ</w:t>
      </w:r>
      <w:r w:rsidR="00901AA5">
        <w:rPr>
          <w:rFonts w:hint="cs"/>
          <w:rtl/>
        </w:rPr>
        <w:t xml:space="preserve">ממצאים </w:t>
      </w:r>
      <w:r w:rsidR="004260AB">
        <w:rPr>
          <w:rFonts w:hint="cs"/>
          <w:rtl/>
        </w:rPr>
        <w:t>א</w:t>
      </w:r>
      <w:r w:rsidR="00EE2E00">
        <w:rPr>
          <w:rFonts w:hint="cs"/>
          <w:rtl/>
        </w:rPr>
        <w:t>פיגרפיים</w:t>
      </w:r>
      <w:r w:rsidR="00901AA5">
        <w:rPr>
          <w:rFonts w:hint="cs"/>
          <w:rtl/>
        </w:rPr>
        <w:t>: שטרות, כתובות, ולעתים גם קבצי חוק שנשמרו מסיבה כזאת או אחרת לדורות הבאים.</w:t>
      </w:r>
      <w:r w:rsidR="00F421BF">
        <w:rPr>
          <w:rStyle w:val="a6"/>
          <w:rtl/>
        </w:rPr>
        <w:footnoteReference w:id="5"/>
      </w:r>
      <w:r w:rsidR="00545A81">
        <w:rPr>
          <w:rFonts w:hint="cs"/>
          <w:rtl/>
        </w:rPr>
        <w:t xml:space="preserve"> </w:t>
      </w:r>
      <w:r w:rsidR="0081327E">
        <w:rPr>
          <w:rFonts w:hint="cs"/>
          <w:rtl/>
        </w:rPr>
        <w:t>באמצעות</w:t>
      </w:r>
      <w:r w:rsidR="00545A81">
        <w:rPr>
          <w:rFonts w:hint="cs"/>
          <w:rtl/>
        </w:rPr>
        <w:t xml:space="preserve"> </w:t>
      </w:r>
      <w:r w:rsidR="00545A81">
        <w:rPr>
          <w:rFonts w:hint="cs"/>
          <w:rtl/>
        </w:rPr>
        <w:lastRenderedPageBreak/>
        <w:t xml:space="preserve">השוואה בין </w:t>
      </w:r>
      <w:r w:rsidR="00712E7A">
        <w:rPr>
          <w:rFonts w:hint="cs"/>
          <w:rtl/>
        </w:rPr>
        <w:t>הפרגמנטים הללו ובין ספרות החוק הרומי מנסים החוקרים לשחזר את המצב המשפטי בפרובינקיות.</w:t>
      </w:r>
    </w:p>
    <w:p w14:paraId="3D98EC0B" w14:textId="14C7FEFD" w:rsidR="005539F8" w:rsidRDefault="00F421BF" w:rsidP="0086417E">
      <w:pPr>
        <w:rPr>
          <w:rtl/>
        </w:rPr>
      </w:pPr>
      <w:r>
        <w:rPr>
          <w:rFonts w:hint="cs"/>
          <w:rtl/>
        </w:rPr>
        <w:t xml:space="preserve">בהקשר זה מערכת החוק היהודית מתבלטת כדוגמה ייחודית </w:t>
      </w:r>
      <w:r w:rsidR="004E408E">
        <w:rPr>
          <w:rFonts w:hint="cs"/>
          <w:rtl/>
        </w:rPr>
        <w:t>ו</w:t>
      </w:r>
      <w:r>
        <w:rPr>
          <w:rFonts w:hint="cs"/>
          <w:rtl/>
        </w:rPr>
        <w:t>שונה</w:t>
      </w:r>
      <w:r w:rsidR="00901AA5">
        <w:rPr>
          <w:rFonts w:hint="cs"/>
          <w:rtl/>
        </w:rPr>
        <w:t xml:space="preserve">. המשנה </w:t>
      </w:r>
      <w:r w:rsidR="00901AA5">
        <w:rPr>
          <w:rtl/>
        </w:rPr>
        <w:t>–</w:t>
      </w:r>
      <w:r w:rsidR="00901AA5">
        <w:rPr>
          <w:rFonts w:hint="cs"/>
          <w:rtl/>
        </w:rPr>
        <w:t xml:space="preserve"> חיבור שנערך ופורסם בארץ ישראל בתחילת המאה השלישית </w:t>
      </w:r>
      <w:r w:rsidR="00901AA5">
        <w:rPr>
          <w:rtl/>
        </w:rPr>
        <w:t>–</w:t>
      </w:r>
      <w:r w:rsidR="00901AA5">
        <w:rPr>
          <w:rFonts w:hint="cs"/>
          <w:rtl/>
        </w:rPr>
        <w:t xml:space="preserve"> היא הטקסט החוקי המקיף והרחב ביותר שנשמר מן הפרובינקיות של האימפריה הרומית.</w:t>
      </w:r>
      <w:r w:rsidR="005539F8">
        <w:rPr>
          <w:rFonts w:hint="cs"/>
          <w:rtl/>
        </w:rPr>
        <w:t xml:space="preserve"> אמנם ברובה עוסקת המשנה בתחומים דתיים שאין להם נגיעה ישירה למערכת החוק, אבל חלקים נרחבים ממנה עוסקים בנושאי חוק אזרחי, מעמד אישי, משפט פלילי, ועוד. </w:t>
      </w:r>
      <w:r w:rsidR="00A56430">
        <w:rPr>
          <w:rFonts w:hint="cs"/>
          <w:rtl/>
        </w:rPr>
        <w:t>עיון היסטורי-השוואתי במשנה</w:t>
      </w:r>
      <w:r w:rsidR="005539F8">
        <w:rPr>
          <w:rFonts w:hint="cs"/>
          <w:rtl/>
        </w:rPr>
        <w:t xml:space="preserve"> </w:t>
      </w:r>
      <w:r w:rsidR="00A56430">
        <w:rPr>
          <w:rFonts w:hint="cs"/>
          <w:rtl/>
        </w:rPr>
        <w:t xml:space="preserve">יכול ללמד </w:t>
      </w:r>
      <w:r w:rsidR="005539F8">
        <w:rPr>
          <w:rFonts w:hint="cs"/>
          <w:rtl/>
        </w:rPr>
        <w:t>כיצד מתפתחת מערכת חוק מקומית בפרובינקיה רומית</w:t>
      </w:r>
      <w:r w:rsidR="009A4853">
        <w:rPr>
          <w:rFonts w:hint="cs"/>
          <w:rtl/>
        </w:rPr>
        <w:t>.</w:t>
      </w:r>
      <w:r w:rsidR="005539F8">
        <w:rPr>
          <w:rFonts w:hint="cs"/>
          <w:rtl/>
        </w:rPr>
        <w:t xml:space="preserve"> </w:t>
      </w:r>
      <w:r w:rsidR="009A4853">
        <w:rPr>
          <w:rFonts w:hint="cs"/>
          <w:rtl/>
        </w:rPr>
        <w:t xml:space="preserve">תיאור זה משפיע הן על הבנת האימפריאליזם הרומי עצמו והן על הבנת </w:t>
      </w:r>
      <w:r w:rsidR="005160C3">
        <w:rPr>
          <w:rFonts w:hint="cs"/>
          <w:rtl/>
        </w:rPr>
        <w:t>התפיסות הפוליטיות והחברתיות של תושבי הפרובינקיות</w:t>
      </w:r>
      <w:r w:rsidR="00291970">
        <w:rPr>
          <w:rFonts w:hint="cs"/>
          <w:rtl/>
        </w:rPr>
        <w:t>. התיאור יכול לשמש כמודל להבנת תהליכים שאירעו גם בפרובינקיות אחרות</w:t>
      </w:r>
      <w:r w:rsidR="00137834">
        <w:rPr>
          <w:rFonts w:hint="cs"/>
          <w:rtl/>
        </w:rPr>
        <w:t>, כמובן, תוך זהירות מפני מאפיינים שרלוונטיים למקרה היהודי בלבד.</w:t>
      </w:r>
    </w:p>
    <w:p w14:paraId="00BB0BD8" w14:textId="11B40348" w:rsidR="00815D81" w:rsidRDefault="005539F8" w:rsidP="00815D81">
      <w:pPr>
        <w:rPr>
          <w:rtl/>
        </w:rPr>
      </w:pPr>
      <w:r>
        <w:rPr>
          <w:rFonts w:hint="cs"/>
          <w:rtl/>
        </w:rPr>
        <w:t xml:space="preserve">יתרונה של המשנה בהקשר זה </w:t>
      </w:r>
      <w:r w:rsidR="00291970">
        <w:rPr>
          <w:rFonts w:hint="cs"/>
          <w:rtl/>
        </w:rPr>
        <w:t>איננו רק</w:t>
      </w:r>
      <w:r>
        <w:rPr>
          <w:rFonts w:hint="cs"/>
          <w:rtl/>
        </w:rPr>
        <w:t xml:space="preserve"> כמותי. </w:t>
      </w:r>
      <w:r w:rsidR="00815D81">
        <w:rPr>
          <w:rFonts w:hint="cs"/>
          <w:rtl/>
        </w:rPr>
        <w:t xml:space="preserve">החל משלהי המאה העשרים נשמעו ביקורות רבות על המחקר הקלאסי של החוק הרומי בפרובינקיות. באופן כללי, עד שלהי המאה העשרים (ובמקצת עד היום) מקובל היה להתייחס </w:t>
      </w:r>
      <w:r w:rsidR="007F0507">
        <w:rPr>
          <w:rFonts w:hint="cs"/>
          <w:rtl/>
        </w:rPr>
        <w:t xml:space="preserve">לנושא </w:t>
      </w:r>
      <w:r w:rsidR="00326676">
        <w:rPr>
          <w:rFonts w:hint="cs"/>
          <w:rtl/>
        </w:rPr>
        <w:t xml:space="preserve">מתוך תפיסה של </w:t>
      </w:r>
      <w:r w:rsidR="00815D81">
        <w:rPr>
          <w:rFonts w:hint="cs"/>
          <w:rtl/>
        </w:rPr>
        <w:t>מאבק בין מערכת החוק הרומית ובין מערכת החוק המקומית. החוקרים בחנו היכן השתלטה המערכת הרומית</w:t>
      </w:r>
      <w:r w:rsidR="00AE1D35">
        <w:rPr>
          <w:rFonts w:hint="cs"/>
          <w:rtl/>
        </w:rPr>
        <w:t xml:space="preserve"> על המרחב</w:t>
      </w:r>
      <w:r w:rsidR="00815D81">
        <w:rPr>
          <w:rFonts w:hint="cs"/>
          <w:rtl/>
        </w:rPr>
        <w:t xml:space="preserve"> ו</w:t>
      </w:r>
      <w:r w:rsidR="00AE1D35">
        <w:rPr>
          <w:rFonts w:hint="cs"/>
          <w:rtl/>
        </w:rPr>
        <w:t>היכן</w:t>
      </w:r>
      <w:r w:rsidR="00815D81">
        <w:rPr>
          <w:rFonts w:hint="cs"/>
          <w:rtl/>
        </w:rPr>
        <w:t xml:space="preserve"> 'שרדו' החוקים המקומיים. בעשורים האחרונים זכתה שיטה זו לביקורת מכמה כיוונים.</w:t>
      </w:r>
      <w:r w:rsidR="00815D81">
        <w:rPr>
          <w:rStyle w:val="a6"/>
          <w:rtl/>
        </w:rPr>
        <w:footnoteReference w:id="6"/>
      </w:r>
      <w:r w:rsidR="00815D81">
        <w:rPr>
          <w:rFonts w:hint="cs"/>
          <w:rtl/>
        </w:rPr>
        <w:t xml:space="preserve"> בין השאר נטען שלא ניתן להשוות באופן פשוט בין ספרות החוק הרומי ובין המסמכים המשפטיים</w:t>
      </w:r>
      <w:r w:rsidR="00AE1D35">
        <w:rPr>
          <w:rFonts w:hint="cs"/>
          <w:rtl/>
        </w:rPr>
        <w:t xml:space="preserve"> מן הפרובינקיות</w:t>
      </w:r>
      <w:r w:rsidR="00815D81">
        <w:rPr>
          <w:rFonts w:hint="cs"/>
          <w:rtl/>
        </w:rPr>
        <w:t xml:space="preserve">. </w:t>
      </w:r>
      <w:r w:rsidR="00974D15">
        <w:rPr>
          <w:rFonts w:hint="cs"/>
          <w:rtl/>
        </w:rPr>
        <w:t>בעוד</w:t>
      </w:r>
      <w:r w:rsidR="00815D81">
        <w:rPr>
          <w:rFonts w:hint="cs"/>
          <w:rtl/>
        </w:rPr>
        <w:t xml:space="preserve"> הראשונים מייצגים את ה"</w:t>
      </w:r>
      <w:r w:rsidR="00815D81">
        <w:t>“law on the books</w:t>
      </w:r>
      <w:r w:rsidR="00974D15">
        <w:rPr>
          <w:rFonts w:hint="cs"/>
          <w:rtl/>
        </w:rPr>
        <w:t>,</w:t>
      </w:r>
      <w:r w:rsidR="00815D81">
        <w:rPr>
          <w:rFonts w:hint="cs"/>
          <w:rtl/>
        </w:rPr>
        <w:t xml:space="preserve"> האחרונים </w:t>
      </w:r>
      <w:r w:rsidR="00974D15">
        <w:rPr>
          <w:rFonts w:hint="cs"/>
          <w:rtl/>
        </w:rPr>
        <w:t>הם</w:t>
      </w:r>
      <w:r w:rsidR="00815D81">
        <w:rPr>
          <w:rFonts w:hint="cs"/>
          <w:rtl/>
        </w:rPr>
        <w:t xml:space="preserve"> ה</w:t>
      </w:r>
      <w:r w:rsidR="00815D81">
        <w:t>“law in practice”</w:t>
      </w:r>
      <w:r w:rsidR="00815D81">
        <w:rPr>
          <w:rFonts w:hint="cs"/>
          <w:rtl/>
        </w:rPr>
        <w:t xml:space="preserve">. כלומר, הבדלים רבים ביניהם נובעים מאופיים, ולא מההקשר החברתי-פרובנקיאלי שבו נמצאו. מעבר לזה, חוקרים נתנו את דעתם למודלים </w:t>
      </w:r>
      <w:r w:rsidR="00070562">
        <w:rPr>
          <w:rFonts w:hint="cs"/>
          <w:rtl/>
        </w:rPr>
        <w:t>נוספים</w:t>
      </w:r>
      <w:r w:rsidR="00815D81">
        <w:rPr>
          <w:rFonts w:hint="cs"/>
          <w:rtl/>
        </w:rPr>
        <w:t xml:space="preserve"> של התפתחות החוק. עד מחצית המאה העשרים היתה מקובלת בעיקר תיאוריה של התפתחות </w:t>
      </w:r>
      <w:r w:rsidR="00815D81" w:rsidRPr="00D76203">
        <w:rPr>
          <w:rStyle w:val="fontstyle01"/>
          <w:rtl/>
        </w:rPr>
        <w:t xml:space="preserve"> </w:t>
      </w:r>
      <w:r w:rsidR="00815D81">
        <w:rPr>
          <w:rFonts w:hint="cs"/>
          <w:rtl/>
        </w:rPr>
        <w:t>"</w:t>
      </w:r>
      <w:r w:rsidR="00815D81">
        <w:t>top-down</w:t>
      </w:r>
      <w:r w:rsidR="00815D81">
        <w:rPr>
          <w:rFonts w:hint="cs"/>
          <w:rtl/>
        </w:rPr>
        <w:t>", כלומר, שהשלטון קובע את החוק ומשליט אותו בקרב האוכל</w:t>
      </w:r>
      <w:r w:rsidR="009D0AF3">
        <w:rPr>
          <w:rFonts w:hint="cs"/>
          <w:rtl/>
        </w:rPr>
        <w:t>ו</w:t>
      </w:r>
      <w:r w:rsidR="00815D81">
        <w:rPr>
          <w:rFonts w:hint="cs"/>
          <w:rtl/>
        </w:rPr>
        <w:t xml:space="preserve">סיות. אבל בעשורים האחרונים הולכת וגוברת המודעות למודלים אחרים, הן מודלים של התפתחות מלמטה למעלה </w:t>
      </w:r>
      <w:r w:rsidR="00815D81">
        <w:rPr>
          <w:rtl/>
        </w:rPr>
        <w:t>–</w:t>
      </w:r>
      <w:r w:rsidR="00815D81">
        <w:rPr>
          <w:rFonts w:hint="cs"/>
          <w:rtl/>
        </w:rPr>
        <w:t xml:space="preserve"> כלומר אימוץ של פרקטיקות נוהגות על ידי הרשויות </w:t>
      </w:r>
      <w:r w:rsidR="00815D81">
        <w:rPr>
          <w:rtl/>
        </w:rPr>
        <w:t>–</w:t>
      </w:r>
      <w:r w:rsidR="00815D81">
        <w:rPr>
          <w:rFonts w:hint="cs"/>
          <w:rtl/>
        </w:rPr>
        <w:t xml:space="preserve"> והן תהליכים שונים של התקבלות על ידי האוכלוסייה שמשפיעים על יצירת החוק עצמו.</w:t>
      </w:r>
    </w:p>
    <w:p w14:paraId="0844FA48" w14:textId="70006BFC" w:rsidR="00815D81" w:rsidRDefault="00815D81" w:rsidP="005B06A0">
      <w:pPr>
        <w:rPr>
          <w:rFonts w:hint="cs"/>
          <w:rtl/>
        </w:rPr>
      </w:pPr>
      <w:r>
        <w:rPr>
          <w:rFonts w:hint="cs"/>
          <w:rtl/>
        </w:rPr>
        <w:t xml:space="preserve">מכיוון אחר, מחקרים עדכניים הראו שהמסגרות 'חוק רומי' ו'חוק מקומי' אינן קשיחות, אלא דינמיות ומשתנות בהתאם לאופי הדיון. מה שמוגדר כחוק או מנהג מקומי מוגדר כך פעמים רבות דווקא בעקבות ההשפעה הזרה, ומה שנתפס על ידי המקומיים כחוק רומי אינו בהכרח החוק שמופיע בספרות המשפטית. זאת ועוד, יש מן החוקרים שערערו על המושג "חוק" עצמו, וטענו שהגדרה זו מטשטשת את ההבחנות בין עניינים שונים: מנהגים, מוסכמות חברתיות, דת, וכן </w:t>
      </w:r>
      <w:r>
        <w:rPr>
          <w:rFonts w:hint="cs"/>
          <w:rtl/>
        </w:rPr>
        <w:lastRenderedPageBreak/>
        <w:t>הלאה.</w:t>
      </w:r>
      <w:r w:rsidR="00B655CE">
        <w:rPr>
          <w:rStyle w:val="a6"/>
          <w:rtl/>
        </w:rPr>
        <w:footnoteReference w:id="7"/>
      </w:r>
      <w:r>
        <w:rPr>
          <w:rFonts w:hint="cs"/>
          <w:rtl/>
        </w:rPr>
        <w:t xml:space="preserve"> ביקורות אלו מקשות מאד על עצם ההשוואה בין מערכות החוק. על כך יש להוסיף</w:t>
      </w:r>
      <w:r w:rsidR="003836B5">
        <w:rPr>
          <w:rFonts w:hint="cs"/>
          <w:rtl/>
        </w:rPr>
        <w:t xml:space="preserve"> </w:t>
      </w:r>
      <w:r>
        <w:rPr>
          <w:rFonts w:hint="cs"/>
          <w:rtl/>
        </w:rPr>
        <w:t>את המחקר הענף של ספרות החוק הרומי עצמה, שהראה התפתחויות רבות וסוערות בתוך הספרות. כלומר, לא תמיד פשוט לדעת מה היה "החוק הרומי" בנקודת זמן מסויימת.</w:t>
      </w:r>
      <w:r w:rsidR="005B06A0">
        <w:rPr>
          <w:rFonts w:hint="cs"/>
          <w:rtl/>
        </w:rPr>
        <w:t xml:space="preserve"> </w:t>
      </w:r>
    </w:p>
    <w:p w14:paraId="135DCCDE" w14:textId="25491C02" w:rsidR="009D03F6" w:rsidRDefault="00815D81" w:rsidP="00D900EA">
      <w:pPr>
        <w:rPr>
          <w:rtl/>
        </w:rPr>
      </w:pPr>
      <w:r>
        <w:rPr>
          <w:rFonts w:hint="cs"/>
          <w:rtl/>
        </w:rPr>
        <w:t xml:space="preserve">על רקע ביקורות נכוחות אלו ההשוואה בין המקורות הספרותיים של החוק היהודי ובין המקורות הספרותיים של החוק הרומי מספקת נקודת מבט </w:t>
      </w:r>
      <w:r w:rsidR="00CD1582">
        <w:rPr>
          <w:rFonts w:hint="cs"/>
          <w:rtl/>
        </w:rPr>
        <w:t>ייחודי</w:t>
      </w:r>
      <w:r>
        <w:rPr>
          <w:rFonts w:hint="cs"/>
          <w:rtl/>
        </w:rPr>
        <w:t xml:space="preserve">ת. בדומה לספרות החוק הרומית, הספרות היהודית היא </w:t>
      </w:r>
      <w:r>
        <w:rPr>
          <w:rtl/>
        </w:rPr>
        <w:t>–</w:t>
      </w:r>
      <w:r>
        <w:rPr>
          <w:rFonts w:hint="cs"/>
          <w:rtl/>
        </w:rPr>
        <w:t xml:space="preserve"> במידה רבה </w:t>
      </w:r>
      <w:r>
        <w:rPr>
          <w:rtl/>
        </w:rPr>
        <w:t>–</w:t>
      </w:r>
      <w:r>
        <w:rPr>
          <w:rFonts w:hint="cs"/>
          <w:rtl/>
        </w:rPr>
        <w:t xml:space="preserve"> תוצר של אליטה</w:t>
      </w:r>
      <w:r w:rsidR="005B3DBB">
        <w:rPr>
          <w:rFonts w:hint="cs"/>
          <w:rtl/>
        </w:rPr>
        <w:t xml:space="preserve"> (לפחות בעיני עצמה)</w:t>
      </w:r>
      <w:r>
        <w:rPr>
          <w:rFonts w:hint="cs"/>
          <w:rtl/>
        </w:rPr>
        <w:t xml:space="preserve"> שמבקשת להשליט חוק מלמעלה למטה.</w:t>
      </w:r>
      <w:r w:rsidR="00E279CC">
        <w:rPr>
          <w:rStyle w:val="a6"/>
          <w:rtl/>
        </w:rPr>
        <w:footnoteReference w:id="8"/>
      </w:r>
      <w:r>
        <w:rPr>
          <w:rFonts w:hint="cs"/>
          <w:rtl/>
        </w:rPr>
        <w:t xml:space="preserve"> כמו כן, היא משקפת את החוק של הספר, ולאו דווקא את הפרקטיקה המשפטית. בנוסף, המשנה נתפסה </w:t>
      </w:r>
      <w:r w:rsidR="003460CD">
        <w:rPr>
          <w:rFonts w:hint="cs"/>
          <w:rtl/>
        </w:rPr>
        <w:t>בעיני יוצריה</w:t>
      </w:r>
      <w:r>
        <w:rPr>
          <w:rFonts w:hint="cs"/>
          <w:rtl/>
        </w:rPr>
        <w:t xml:space="preserve"> כמייצגת את חוק יהודי</w:t>
      </w:r>
      <w:r w:rsidR="00247130">
        <w:rPr>
          <w:rFonts w:hint="cs"/>
          <w:rtl/>
        </w:rPr>
        <w:t xml:space="preserve"> דווקא</w:t>
      </w:r>
      <w:r>
        <w:rPr>
          <w:rFonts w:hint="cs"/>
          <w:rtl/>
        </w:rPr>
        <w:t>, כפי שספרות ה</w:t>
      </w:r>
      <w:r w:rsidR="0094023F">
        <w:rPr>
          <w:rFonts w:hint="cs"/>
          <w:rtl/>
        </w:rPr>
        <w:t>חוק ה</w:t>
      </w:r>
      <w:r>
        <w:rPr>
          <w:rFonts w:hint="cs"/>
          <w:rtl/>
        </w:rPr>
        <w:t xml:space="preserve">רומי מייצגת חוק רומי, אף שבשני המקרים יונקים החיבורים גם ממקורות זרים. אפילו </w:t>
      </w:r>
      <w:r w:rsidR="001B4C61">
        <w:rPr>
          <w:rFonts w:hint="cs"/>
          <w:rtl/>
        </w:rPr>
        <w:t>בעיות</w:t>
      </w:r>
      <w:r>
        <w:rPr>
          <w:rFonts w:hint="cs"/>
          <w:rtl/>
        </w:rPr>
        <w:t xml:space="preserve"> </w:t>
      </w:r>
      <w:r w:rsidR="001B4C61">
        <w:rPr>
          <w:rFonts w:hint="cs"/>
          <w:rtl/>
        </w:rPr>
        <w:t>השחזור</w:t>
      </w:r>
      <w:r>
        <w:rPr>
          <w:rFonts w:hint="cs"/>
          <w:rtl/>
        </w:rPr>
        <w:t xml:space="preserve"> </w:t>
      </w:r>
      <w:r w:rsidR="001B4C61">
        <w:rPr>
          <w:rFonts w:hint="cs"/>
          <w:rtl/>
        </w:rPr>
        <w:t>של</w:t>
      </w:r>
      <w:r>
        <w:rPr>
          <w:rFonts w:hint="cs"/>
          <w:rtl/>
        </w:rPr>
        <w:t xml:space="preserve"> ההתפתחות הטקסטואלית משותפת במידה רבה לספרות הרבנית ולספרות החוק הרומי.</w:t>
      </w:r>
      <w:r w:rsidR="009D03F6">
        <w:rPr>
          <w:rStyle w:val="a6"/>
          <w:rtl/>
        </w:rPr>
        <w:footnoteReference w:id="9"/>
      </w:r>
    </w:p>
    <w:p w14:paraId="316825FF" w14:textId="16182B38" w:rsidR="00420930" w:rsidRDefault="00815D81" w:rsidP="00A433AF">
      <w:pPr>
        <w:rPr>
          <w:rFonts w:hint="cs"/>
          <w:rtl/>
        </w:rPr>
      </w:pPr>
      <w:r>
        <w:rPr>
          <w:rFonts w:hint="cs"/>
          <w:rtl/>
        </w:rPr>
        <w:t xml:space="preserve">מאפיינים אלו הופכים את ההשוואה בין ספרות המשפט הרבנית ובין ספרות החוק הרומי למקרה מבחן שכמעט ואינו קיים בשום ספרות אחרת. ההשוואה יכולה ללמד על קשרים אינטלקטואליים </w:t>
      </w:r>
      <w:r>
        <w:rPr>
          <w:rFonts w:hint="cs"/>
          <w:rtl/>
        </w:rPr>
        <w:lastRenderedPageBreak/>
        <w:t>בין משפטנים, ועל תפיסות תיאורטיות של משפט, דברים שקשה מאד ללמוד מן הפרקטיקה עצמה. כמו כן, היא יכולה להציע תיאור מורכב של השפעה רומית</w:t>
      </w:r>
      <w:r w:rsidR="00A433AF">
        <w:rPr>
          <w:rFonts w:hint="cs"/>
          <w:rtl/>
        </w:rPr>
        <w:t xml:space="preserve"> על החוק המקומי</w:t>
      </w:r>
      <w:r w:rsidR="00893631">
        <w:rPr>
          <w:rFonts w:hint="cs"/>
          <w:rtl/>
        </w:rPr>
        <w:t>, כגון השפעה רומית על הצורה של החוק</w:t>
      </w:r>
      <w:r w:rsidR="00EC00B4">
        <w:rPr>
          <w:rFonts w:hint="cs"/>
          <w:rtl/>
        </w:rPr>
        <w:t>, שאינה</w:t>
      </w:r>
      <w:r w:rsidR="00E30E77">
        <w:rPr>
          <w:rFonts w:hint="cs"/>
          <w:rtl/>
        </w:rPr>
        <w:t xml:space="preserve"> </w:t>
      </w:r>
      <w:r w:rsidR="00EC00B4">
        <w:rPr>
          <w:rFonts w:hint="cs"/>
          <w:rtl/>
        </w:rPr>
        <w:t>כוללת</w:t>
      </w:r>
      <w:r w:rsidR="00E30E77">
        <w:rPr>
          <w:rFonts w:hint="cs"/>
          <w:rtl/>
        </w:rPr>
        <w:t xml:space="preserve"> בהכרח</w:t>
      </w:r>
      <w:r w:rsidR="00EC00B4">
        <w:rPr>
          <w:rFonts w:hint="cs"/>
          <w:rtl/>
        </w:rPr>
        <w:t xml:space="preserve"> השפעה על התוכן.</w:t>
      </w:r>
      <w:r w:rsidR="00DD1C6B">
        <w:rPr>
          <w:rStyle w:val="a6"/>
          <w:rtl/>
        </w:rPr>
        <w:footnoteReference w:id="10"/>
      </w:r>
    </w:p>
    <w:p w14:paraId="5006FE76" w14:textId="2CBA5B95" w:rsidR="005A67B6" w:rsidRDefault="00496C33" w:rsidP="003A7C10">
      <w:pPr>
        <w:rPr>
          <w:rtl/>
        </w:rPr>
      </w:pPr>
      <w:r>
        <w:rPr>
          <w:rFonts w:hint="cs"/>
          <w:rtl/>
        </w:rPr>
        <w:t>כפי שיודגם במאמר זה</w:t>
      </w:r>
      <w:r>
        <w:rPr>
          <w:rFonts w:hint="cs"/>
          <w:rtl/>
        </w:rPr>
        <w:t xml:space="preserve">, </w:t>
      </w:r>
      <w:r w:rsidR="00FA2CE3">
        <w:rPr>
          <w:rFonts w:hint="cs"/>
          <w:rtl/>
        </w:rPr>
        <w:t>כדי</w:t>
      </w:r>
      <w:r w:rsidR="008B6DD7">
        <w:rPr>
          <w:rFonts w:hint="cs"/>
          <w:rtl/>
        </w:rPr>
        <w:t xml:space="preserve"> לנצל את אופיה המיוחד של הספרות הרבנית בהקשר זה</w:t>
      </w:r>
      <w:r w:rsidR="005C7168">
        <w:rPr>
          <w:rFonts w:hint="cs"/>
          <w:rtl/>
        </w:rPr>
        <w:t xml:space="preserve"> הכרחי לבחון את ההשוואה בינה ובין החוק הרומי </w:t>
      </w:r>
      <w:r w:rsidR="008B6DD7">
        <w:rPr>
          <w:rFonts w:hint="cs"/>
          <w:rtl/>
        </w:rPr>
        <w:t xml:space="preserve">מתוך </w:t>
      </w:r>
      <w:r w:rsidR="005C7168">
        <w:rPr>
          <w:rFonts w:hint="cs"/>
          <w:rtl/>
        </w:rPr>
        <w:t xml:space="preserve">מבט דיאכרוני, ולא להסתפק במבט סינכרוני. כלומר, </w:t>
      </w:r>
      <w:r w:rsidR="009467B8">
        <w:rPr>
          <w:rFonts w:hint="cs"/>
          <w:rtl/>
        </w:rPr>
        <w:t xml:space="preserve">עלינו לבחון את ההתפתחות הספרותית והמשפטית של המקורות הרומיים והיהודיים, כדי לזהות </w:t>
      </w:r>
      <w:r w:rsidR="00043769">
        <w:rPr>
          <w:rFonts w:hint="cs"/>
          <w:rtl/>
        </w:rPr>
        <w:t>באילו אופנים הושפעה ההלכה מן החוק הרומי.</w:t>
      </w:r>
      <w:r w:rsidR="00EB4881">
        <w:rPr>
          <w:rFonts w:hint="cs"/>
          <w:rtl/>
        </w:rPr>
        <w:t xml:space="preserve"> </w:t>
      </w:r>
      <w:r w:rsidR="00E26638">
        <w:rPr>
          <w:rFonts w:hint="cs"/>
          <w:rtl/>
        </w:rPr>
        <w:t>המבט הדיאכרוני שיוצע במאמר זה</w:t>
      </w:r>
      <w:r w:rsidR="003A7C10">
        <w:rPr>
          <w:rFonts w:hint="cs"/>
          <w:rtl/>
        </w:rPr>
        <w:t xml:space="preserve"> חושף – בפעם</w:t>
      </w:r>
      <w:r w:rsidR="00BF3B54">
        <w:rPr>
          <w:rFonts w:hint="cs"/>
          <w:rtl/>
        </w:rPr>
        <w:t xml:space="preserve"> </w:t>
      </w:r>
      <w:r w:rsidR="003A7C10">
        <w:rPr>
          <w:rFonts w:hint="cs"/>
          <w:rtl/>
        </w:rPr>
        <w:t>ה</w:t>
      </w:r>
      <w:r w:rsidR="00BF3B54">
        <w:rPr>
          <w:rFonts w:hint="cs"/>
          <w:rtl/>
        </w:rPr>
        <w:t>ראשונה, למיטב ידיעתי</w:t>
      </w:r>
      <w:r w:rsidR="003A7C10">
        <w:rPr>
          <w:rFonts w:hint="cs"/>
          <w:rtl/>
        </w:rPr>
        <w:t xml:space="preserve"> –</w:t>
      </w:r>
      <w:r w:rsidR="006E3DB3">
        <w:rPr>
          <w:rFonts w:hint="cs"/>
          <w:rtl/>
        </w:rPr>
        <w:t xml:space="preserve"> </w:t>
      </w:r>
      <w:r w:rsidR="00BF3B54">
        <w:rPr>
          <w:rFonts w:hint="cs"/>
          <w:rtl/>
        </w:rPr>
        <w:t>תהליך טקסטואלי וקונספטואלי משותף שאירע בערך באותו זמן בספרות החוק הרומית ובספרות החוק היהודית.</w:t>
      </w:r>
      <w:r w:rsidR="00443608">
        <w:rPr>
          <w:rFonts w:hint="cs"/>
          <w:rtl/>
        </w:rPr>
        <w:t xml:space="preserve"> </w:t>
      </w:r>
      <w:r w:rsidR="00EB4881">
        <w:rPr>
          <w:rFonts w:hint="cs"/>
          <w:rtl/>
        </w:rPr>
        <w:t xml:space="preserve">דוגמה זו </w:t>
      </w:r>
      <w:r w:rsidR="003A7C10">
        <w:rPr>
          <w:rFonts w:hint="cs"/>
          <w:rtl/>
        </w:rPr>
        <w:t>מאפשרת</w:t>
      </w:r>
      <w:r w:rsidR="00EB4881">
        <w:rPr>
          <w:rFonts w:hint="cs"/>
          <w:rtl/>
        </w:rPr>
        <w:t xml:space="preserve"> לפתח מודלים חדשים של יחסים בין </w:t>
      </w:r>
      <w:r w:rsidR="00525623">
        <w:rPr>
          <w:rFonts w:hint="cs"/>
          <w:rtl/>
        </w:rPr>
        <w:t>המשפטנים הרומיים</w:t>
      </w:r>
      <w:r w:rsidR="00EB4881">
        <w:rPr>
          <w:rFonts w:hint="cs"/>
          <w:rtl/>
        </w:rPr>
        <w:t xml:space="preserve"> ותושבי הפרובינקיות.</w:t>
      </w:r>
    </w:p>
    <w:p w14:paraId="568A3981" w14:textId="762346F3" w:rsidR="008E32C1" w:rsidRPr="008E32C1" w:rsidRDefault="008E32C1" w:rsidP="004D7A1F">
      <w:pPr>
        <w:pStyle w:val="2"/>
        <w:rPr>
          <w:rtl/>
        </w:rPr>
      </w:pPr>
      <w:r w:rsidRPr="008E32C1">
        <w:rPr>
          <w:rFonts w:hint="cs"/>
          <w:rtl/>
        </w:rPr>
        <w:t>המקורות</w:t>
      </w:r>
    </w:p>
    <w:p w14:paraId="6684AC87" w14:textId="5679E9BD" w:rsidR="0081701C" w:rsidRPr="00F06071" w:rsidRDefault="00335F76" w:rsidP="0086417E">
      <w:pPr>
        <w:rPr>
          <w:rtl/>
        </w:rPr>
      </w:pPr>
      <w:r>
        <w:rPr>
          <w:rFonts w:hint="cs"/>
          <w:rtl/>
        </w:rPr>
        <w:t xml:space="preserve">במרכז העיון </w:t>
      </w:r>
      <w:r w:rsidR="00443608">
        <w:rPr>
          <w:rFonts w:hint="cs"/>
          <w:rtl/>
        </w:rPr>
        <w:t xml:space="preserve">בדוגמה זו </w:t>
      </w:r>
      <w:r>
        <w:rPr>
          <w:rFonts w:hint="cs"/>
          <w:rtl/>
        </w:rPr>
        <w:t xml:space="preserve">תעמוד השוואה בין שני </w:t>
      </w:r>
      <w:r w:rsidR="0025713F">
        <w:rPr>
          <w:rFonts w:hint="cs"/>
          <w:rtl/>
        </w:rPr>
        <w:t>טקסטים משפטיים, יהודי ורומי</w:t>
      </w:r>
      <w:r>
        <w:rPr>
          <w:rFonts w:hint="cs"/>
          <w:rtl/>
        </w:rPr>
        <w:t xml:space="preserve">. מן הצד היהודי </w:t>
      </w:r>
      <w:r w:rsidR="00443608">
        <w:rPr>
          <w:rFonts w:hint="cs"/>
          <w:rtl/>
        </w:rPr>
        <w:t>יובאו כמה הלכות מן התוספתא</w:t>
      </w:r>
      <w:r>
        <w:rPr>
          <w:rFonts w:hint="cs"/>
          <w:rtl/>
        </w:rPr>
        <w:t xml:space="preserve"> (מילולית 'תוספת')</w:t>
      </w:r>
      <w:r w:rsidR="0081701C">
        <w:rPr>
          <w:rFonts w:hint="cs"/>
          <w:rtl/>
        </w:rPr>
        <w:t>,</w:t>
      </w:r>
      <w:r>
        <w:rPr>
          <w:rFonts w:hint="cs"/>
          <w:rtl/>
        </w:rPr>
        <w:t xml:space="preserve"> </w:t>
      </w:r>
      <w:r w:rsidR="0081701C">
        <w:rPr>
          <w:rFonts w:hint="cs"/>
          <w:rtl/>
        </w:rPr>
        <w:t xml:space="preserve">ומן הצד הרומי </w:t>
      </w:r>
      <w:r w:rsidR="00F06071">
        <w:rPr>
          <w:rFonts w:hint="cs"/>
          <w:rtl/>
        </w:rPr>
        <w:t xml:space="preserve">קטע מספרו של המשפטן הרומי גאיוס </w:t>
      </w:r>
      <w:r w:rsidR="00F06071" w:rsidRPr="00CD7A7D">
        <w:rPr>
          <w:i/>
          <w:iCs/>
        </w:rPr>
        <w:t>Res cottidianae sive aurea</w:t>
      </w:r>
      <w:r w:rsidR="00F06071">
        <w:t xml:space="preserve"> (</w:t>
      </w:r>
      <w:r w:rsidR="00F06071" w:rsidRPr="00CD7A7D">
        <w:t>Common Matters or Golden Things</w:t>
      </w:r>
      <w:r w:rsidR="00F06071">
        <w:t>)</w:t>
      </w:r>
      <w:r w:rsidR="00D5775F">
        <w:rPr>
          <w:rFonts w:hint="cs"/>
          <w:rtl/>
        </w:rPr>
        <w:t>. עבור קוראים שהחיבורים הללו אינם מוכרים להם אקדים כאן הקדמה קצרה.</w:t>
      </w:r>
    </w:p>
    <w:p w14:paraId="3D18C911" w14:textId="5414253D" w:rsidR="00BD442D" w:rsidRDefault="00FA5BD3" w:rsidP="0086417E">
      <w:pPr>
        <w:rPr>
          <w:rtl/>
        </w:rPr>
      </w:pPr>
      <w:r>
        <w:rPr>
          <w:rFonts w:hint="cs"/>
          <w:rtl/>
        </w:rPr>
        <w:t>המשנה</w:t>
      </w:r>
      <w:r w:rsidR="006A4DC6">
        <w:rPr>
          <w:rFonts w:hint="cs"/>
          <w:rtl/>
        </w:rPr>
        <w:t xml:space="preserve"> (מן השורש העברי שנ"י, לשנן)</w:t>
      </w:r>
      <w:r>
        <w:rPr>
          <w:rFonts w:hint="cs"/>
          <w:rtl/>
        </w:rPr>
        <w:t xml:space="preserve"> היא הקודקס הראשוני והחשוב ביותר של ההלכה הרבנית.</w:t>
      </w:r>
      <w:r w:rsidR="006A4DC6">
        <w:rPr>
          <w:rFonts w:hint="cs"/>
          <w:rtl/>
        </w:rPr>
        <w:t xml:space="preserve"> זהו חיבור מקיף ש</w:t>
      </w:r>
      <w:r w:rsidR="00AC6464">
        <w:rPr>
          <w:rFonts w:hint="cs"/>
          <w:rtl/>
        </w:rPr>
        <w:t xml:space="preserve">לפי המסורת </w:t>
      </w:r>
      <w:r w:rsidR="006A4DC6">
        <w:rPr>
          <w:rFonts w:hint="cs"/>
          <w:rtl/>
        </w:rPr>
        <w:t>נערך</w:t>
      </w:r>
      <w:r w:rsidR="002C554F">
        <w:rPr>
          <w:rFonts w:hint="cs"/>
          <w:rtl/>
        </w:rPr>
        <w:t xml:space="preserve"> </w:t>
      </w:r>
      <w:r w:rsidR="006A4DC6">
        <w:rPr>
          <w:rFonts w:hint="cs"/>
          <w:rtl/>
        </w:rPr>
        <w:t>על ידי רבי יהודה הנשיא בתחילת המאה השלישית לספירה.</w:t>
      </w:r>
      <w:r w:rsidR="004E4FD0">
        <w:rPr>
          <w:rFonts w:hint="cs"/>
          <w:rtl/>
        </w:rPr>
        <w:t xml:space="preserve"> החיבור מבוסס </w:t>
      </w:r>
      <w:r w:rsidR="005A2831">
        <w:rPr>
          <w:rFonts w:hint="cs"/>
          <w:rtl/>
        </w:rPr>
        <w:t xml:space="preserve">בעיקר </w:t>
      </w:r>
      <w:r w:rsidR="00E32034">
        <w:rPr>
          <w:rFonts w:hint="cs"/>
          <w:rtl/>
        </w:rPr>
        <w:t xml:space="preserve">על מסורות </w:t>
      </w:r>
      <w:r w:rsidR="005A2831">
        <w:rPr>
          <w:rFonts w:hint="cs"/>
          <w:rtl/>
        </w:rPr>
        <w:t>מן ה</w:t>
      </w:r>
      <w:r w:rsidR="00E32034">
        <w:rPr>
          <w:rFonts w:hint="cs"/>
          <w:rtl/>
        </w:rPr>
        <w:t xml:space="preserve">מאה השניה לספירה, אך כולל גם </w:t>
      </w:r>
      <w:r w:rsidR="00890529">
        <w:rPr>
          <w:rFonts w:hint="cs"/>
          <w:rtl/>
        </w:rPr>
        <w:t xml:space="preserve">מעט </w:t>
      </w:r>
      <w:r w:rsidR="00E32034">
        <w:rPr>
          <w:rFonts w:hint="cs"/>
          <w:rtl/>
        </w:rPr>
        <w:t>מסורות מסוף המאה הראשונה ומתחילת השלישית.</w:t>
      </w:r>
      <w:r w:rsidR="00532AE9">
        <w:rPr>
          <w:rFonts w:hint="cs"/>
          <w:rtl/>
        </w:rPr>
        <w:t xml:space="preserve"> כל החיבורים ההלכתיים שנוצרו מאז ואילך התייחסו אל המשנה או לאחד החיבורים ש</w:t>
      </w:r>
      <w:r w:rsidR="007E46F1">
        <w:rPr>
          <w:rFonts w:hint="cs"/>
          <w:rtl/>
        </w:rPr>
        <w:t>נוצרו בעקבותיה. החכמים שנזכרים במשנה מכונים 'תנאים' (מן השורש תנ"י, הצורה הארמית של השורש העברי שנ</w:t>
      </w:r>
      <w:r w:rsidR="008D5747">
        <w:rPr>
          <w:rFonts w:hint="cs"/>
          <w:rtl/>
        </w:rPr>
        <w:t>"</w:t>
      </w:r>
      <w:r w:rsidR="007E46F1">
        <w:rPr>
          <w:rFonts w:hint="cs"/>
          <w:rtl/>
        </w:rPr>
        <w:t xml:space="preserve">י, </w:t>
      </w:r>
      <w:r w:rsidR="00104502">
        <w:rPr>
          <w:rFonts w:hint="cs"/>
          <w:rtl/>
        </w:rPr>
        <w:t>שנן).</w:t>
      </w:r>
      <w:r>
        <w:rPr>
          <w:rFonts w:hint="cs"/>
          <w:rtl/>
        </w:rPr>
        <w:t xml:space="preserve"> </w:t>
      </w:r>
    </w:p>
    <w:p w14:paraId="06E8DAB0" w14:textId="4B4E9115" w:rsidR="00155832" w:rsidRDefault="00D5775F" w:rsidP="0086417E">
      <w:pPr>
        <w:rPr>
          <w:rtl/>
        </w:rPr>
      </w:pPr>
      <w:r>
        <w:rPr>
          <w:rFonts w:hint="cs"/>
          <w:rtl/>
        </w:rPr>
        <w:t xml:space="preserve">התוספתא </w:t>
      </w:r>
      <w:r w:rsidR="00335F76">
        <w:rPr>
          <w:rFonts w:hint="cs"/>
          <w:rtl/>
        </w:rPr>
        <w:t xml:space="preserve">היא חיבור </w:t>
      </w:r>
      <w:r w:rsidR="00E62AE3">
        <w:rPr>
          <w:rFonts w:hint="cs"/>
          <w:rtl/>
        </w:rPr>
        <w:t>שבנוי כ</w:t>
      </w:r>
      <w:r w:rsidR="00335F76">
        <w:rPr>
          <w:rFonts w:hint="cs"/>
          <w:rtl/>
        </w:rPr>
        <w:t xml:space="preserve">נספח </w:t>
      </w:r>
      <w:r w:rsidR="00E62AE3">
        <w:rPr>
          <w:rFonts w:hint="cs"/>
          <w:rtl/>
        </w:rPr>
        <w:t>של השלמות</w:t>
      </w:r>
      <w:r w:rsidR="00914161">
        <w:rPr>
          <w:rFonts w:hint="cs"/>
          <w:rtl/>
        </w:rPr>
        <w:t xml:space="preserve"> </w:t>
      </w:r>
      <w:r w:rsidR="00335F76">
        <w:rPr>
          <w:rFonts w:hint="cs"/>
          <w:rtl/>
        </w:rPr>
        <w:t>למשנה</w:t>
      </w:r>
      <w:r w:rsidR="00914161">
        <w:rPr>
          <w:rFonts w:hint="cs"/>
          <w:rtl/>
        </w:rPr>
        <w:t>.</w:t>
      </w:r>
      <w:r w:rsidR="00335F76">
        <w:rPr>
          <w:rFonts w:hint="cs"/>
          <w:rtl/>
        </w:rPr>
        <w:t xml:space="preserve"> </w:t>
      </w:r>
      <w:r w:rsidR="0096097C">
        <w:rPr>
          <w:rFonts w:hint="cs"/>
          <w:rtl/>
        </w:rPr>
        <w:t>התוספתא ערוכה בדרך כלל בהקבלה גמורה למשנה, והיא מרחיבה את הדיון באמצעות הוספה של הסברים, דעות נוספות, דיונים רלוונטיים</w:t>
      </w:r>
      <w:r w:rsidR="000F3FB0">
        <w:rPr>
          <w:rFonts w:hint="cs"/>
          <w:rtl/>
        </w:rPr>
        <w:t>, ועוד.</w:t>
      </w:r>
      <w:r w:rsidR="006255B7">
        <w:rPr>
          <w:rStyle w:val="a6"/>
          <w:rtl/>
        </w:rPr>
        <w:footnoteReference w:id="11"/>
      </w:r>
      <w:r w:rsidR="00914161">
        <w:rPr>
          <w:rFonts w:hint="cs"/>
          <w:rtl/>
        </w:rPr>
        <w:t xml:space="preserve"> </w:t>
      </w:r>
      <w:r w:rsidR="000F3FB0">
        <w:rPr>
          <w:rFonts w:hint="cs"/>
          <w:rtl/>
        </w:rPr>
        <w:t>על פי המקובל במחקר</w:t>
      </w:r>
      <w:r w:rsidR="006E3DB3">
        <w:rPr>
          <w:rFonts w:hint="cs"/>
          <w:rtl/>
        </w:rPr>
        <w:t xml:space="preserve"> כיום</w:t>
      </w:r>
      <w:r w:rsidR="000F3FB0">
        <w:rPr>
          <w:rFonts w:hint="cs"/>
          <w:rtl/>
        </w:rPr>
        <w:t xml:space="preserve">, התוספתא נערכה כחצי דור לאחר המשנה, </w:t>
      </w:r>
      <w:r w:rsidR="00B767A3">
        <w:rPr>
          <w:rFonts w:hint="cs"/>
          <w:rtl/>
        </w:rPr>
        <w:t xml:space="preserve">כלומר </w:t>
      </w:r>
      <w:r w:rsidR="000F3FB0">
        <w:rPr>
          <w:rFonts w:hint="cs"/>
          <w:rtl/>
        </w:rPr>
        <w:lastRenderedPageBreak/>
        <w:t xml:space="preserve">באמצע המאה השלישית. עם זאת, החומרים שבתוספתא </w:t>
      </w:r>
      <w:r w:rsidR="00E62AE3">
        <w:rPr>
          <w:rFonts w:hint="cs"/>
          <w:rtl/>
        </w:rPr>
        <w:t>הם</w:t>
      </w:r>
      <w:r w:rsidR="000F3FB0">
        <w:rPr>
          <w:rFonts w:hint="cs"/>
          <w:rtl/>
        </w:rPr>
        <w:t xml:space="preserve"> ברובם המוחלט </w:t>
      </w:r>
      <w:r w:rsidR="00E62AE3">
        <w:rPr>
          <w:rFonts w:hint="cs"/>
          <w:rtl/>
        </w:rPr>
        <w:t>תנאיים</w:t>
      </w:r>
      <w:r w:rsidR="000F3FB0">
        <w:rPr>
          <w:rFonts w:hint="cs"/>
          <w:rtl/>
        </w:rPr>
        <w:t xml:space="preserve">, כלומר, </w:t>
      </w:r>
      <w:r w:rsidR="00E62AE3">
        <w:rPr>
          <w:rFonts w:hint="cs"/>
          <w:rtl/>
        </w:rPr>
        <w:t xml:space="preserve">הם שייכים </w:t>
      </w:r>
      <w:r w:rsidR="000F3FB0">
        <w:rPr>
          <w:rFonts w:hint="cs"/>
          <w:rtl/>
        </w:rPr>
        <w:t>לאותה תקופה שאליה שייכים החומרים שבמשנה.</w:t>
      </w:r>
      <w:r w:rsidR="00506653" w:rsidRPr="00506653">
        <w:rPr>
          <w:rStyle w:val="fontstyle01"/>
          <w:rtl/>
        </w:rPr>
        <w:t xml:space="preserve"> </w:t>
      </w:r>
      <w:r w:rsidR="00506653">
        <w:rPr>
          <w:rStyle w:val="a6"/>
          <w:rtl/>
        </w:rPr>
        <w:footnoteReference w:id="12"/>
      </w:r>
      <w:r w:rsidR="006F5516">
        <w:rPr>
          <w:rFonts w:hint="cs"/>
          <w:rtl/>
        </w:rPr>
        <w:t xml:space="preserve"> </w:t>
      </w:r>
    </w:p>
    <w:p w14:paraId="3843D075" w14:textId="44C5A013" w:rsidR="00AF16BF" w:rsidRDefault="00C55F08" w:rsidP="00A14713">
      <w:pPr>
        <w:rPr>
          <w:rFonts w:hint="cs"/>
          <w:rtl/>
        </w:rPr>
      </w:pPr>
      <w:r>
        <w:rPr>
          <w:rFonts w:hint="cs"/>
          <w:rtl/>
        </w:rPr>
        <w:t>על הביוגרפיה של גאיוס</w:t>
      </w:r>
      <w:r w:rsidR="009A0204">
        <w:rPr>
          <w:rFonts w:hint="cs"/>
          <w:rtl/>
        </w:rPr>
        <w:t xml:space="preserve"> ידוע לנו רק מעט</w:t>
      </w:r>
      <w:r>
        <w:rPr>
          <w:rFonts w:hint="cs"/>
          <w:rtl/>
        </w:rPr>
        <w:t>.</w:t>
      </w:r>
      <w:r w:rsidR="006D3C0B">
        <w:rPr>
          <w:rFonts w:hint="cs"/>
          <w:rtl/>
        </w:rPr>
        <w:t xml:space="preserve"> </w:t>
      </w:r>
      <w:r w:rsidR="006D3C0B">
        <w:rPr>
          <w:rFonts w:hint="cs"/>
          <w:rtl/>
        </w:rPr>
        <w:t>הוא</w:t>
      </w:r>
      <w:r w:rsidR="006D3C0B" w:rsidRPr="000F45F4">
        <w:rPr>
          <w:rFonts w:hint="cs"/>
          <w:rtl/>
        </w:rPr>
        <w:t xml:space="preserve"> פעל</w:t>
      </w:r>
      <w:r w:rsidR="006D3C0B">
        <w:rPr>
          <w:rFonts w:hint="cs"/>
          <w:rtl/>
        </w:rPr>
        <w:t xml:space="preserve"> כנראה</w:t>
      </w:r>
      <w:r w:rsidR="006D3C0B" w:rsidRPr="000F45F4">
        <w:rPr>
          <w:rFonts w:hint="cs"/>
          <w:rtl/>
        </w:rPr>
        <w:t xml:space="preserve"> </w:t>
      </w:r>
      <w:r w:rsidR="006D3C0B">
        <w:rPr>
          <w:rFonts w:hint="cs"/>
          <w:rtl/>
        </w:rPr>
        <w:t>סביב אמצע המ</w:t>
      </w:r>
      <w:r w:rsidR="006D3C0B" w:rsidRPr="000F45F4">
        <w:rPr>
          <w:rFonts w:hint="cs"/>
          <w:rtl/>
        </w:rPr>
        <w:t xml:space="preserve">אה השניה לספירה, אך עיקר פרסומו בא לו </w:t>
      </w:r>
      <w:r w:rsidR="006D3C0B">
        <w:rPr>
          <w:rFonts w:hint="cs"/>
          <w:rtl/>
        </w:rPr>
        <w:t xml:space="preserve">רק </w:t>
      </w:r>
      <w:r w:rsidR="006D3C0B" w:rsidRPr="000F45F4">
        <w:rPr>
          <w:rFonts w:hint="cs"/>
          <w:rtl/>
        </w:rPr>
        <w:t>במאות החמישית והשישית.</w:t>
      </w:r>
      <w:r>
        <w:rPr>
          <w:rFonts w:hint="cs"/>
          <w:rtl/>
        </w:rPr>
        <w:t xml:space="preserve"> </w:t>
      </w:r>
      <w:r w:rsidR="000F45F4" w:rsidRPr="000F45F4">
        <w:rPr>
          <w:rFonts w:hint="cs"/>
          <w:rtl/>
        </w:rPr>
        <w:t>חיבוריו העיקריים הם חיבורים מבואיים לתלמידים מתחילים של המשפט הרומי. מבחינה משפטית הם נחשבים לחיבורים נחותים יחסית, שאין בהם העמקה גדולה, אך מסיבה זאת הם כנראה היו פופולריים, ואולי מצאו את דרכם גם לקהלים רחוקים (כמו חז"ל?).</w:t>
      </w:r>
      <w:bookmarkStart w:id="0" w:name="_Ref139357880"/>
      <w:r w:rsidR="000F45F4">
        <w:rPr>
          <w:rStyle w:val="a6"/>
          <w:rtl/>
        </w:rPr>
        <w:footnoteReference w:id="13"/>
      </w:r>
      <w:bookmarkEnd w:id="0"/>
      <w:r w:rsidR="00682CD5">
        <w:rPr>
          <w:rFonts w:hint="cs"/>
          <w:rtl/>
        </w:rPr>
        <w:t xml:space="preserve"> </w:t>
      </w:r>
      <w:r w:rsidR="000F45F4" w:rsidRPr="000F45F4">
        <w:rPr>
          <w:rFonts w:hint="cs"/>
          <w:rtl/>
        </w:rPr>
        <w:t>החיבור הידוע ביותר של גאיוס הוא האינסטיטוציות, מעין מבוא למשפט רומי המחולק לארבעה ספרים. כתב יד נרחב של חיבור זה התגלה בראשית המאה ה-19, וכך הוא נעשה לחיבור היחידי מן התקופה הקלאסית של המשפט הרומי שהגיע אלינו כמעט בשלמותו. עם זאת, כתב היד פגום מבחינה פיזית</w:t>
      </w:r>
      <w:r w:rsidR="00704B5C">
        <w:rPr>
          <w:rFonts w:hint="cs"/>
          <w:rtl/>
        </w:rPr>
        <w:t xml:space="preserve"> ו</w:t>
      </w:r>
      <w:r w:rsidR="000F45F4" w:rsidRPr="000F45F4">
        <w:rPr>
          <w:rFonts w:hint="cs"/>
          <w:rtl/>
        </w:rPr>
        <w:t>נראה ש</w:t>
      </w:r>
      <w:r w:rsidR="00704B5C">
        <w:rPr>
          <w:rFonts w:hint="cs"/>
          <w:rtl/>
        </w:rPr>
        <w:t xml:space="preserve">גם </w:t>
      </w:r>
      <w:r w:rsidR="000F45F4" w:rsidRPr="000F45F4">
        <w:rPr>
          <w:rFonts w:hint="cs"/>
          <w:rtl/>
        </w:rPr>
        <w:t>הנוסח שבו הוא נוסח מדורדר. החוקרים נחלקים אפוא באיזו מידה ניתן להתבסס עליו לשם שחזור המשפט הקלאסי.</w:t>
      </w:r>
      <w:bookmarkStart w:id="1" w:name="_Ref139357882"/>
      <w:r w:rsidR="000F45F4">
        <w:rPr>
          <w:rStyle w:val="a6"/>
          <w:rtl/>
        </w:rPr>
        <w:footnoteReference w:id="14"/>
      </w:r>
      <w:bookmarkEnd w:id="1"/>
      <w:r w:rsidR="000F45F4" w:rsidRPr="000F45F4">
        <w:rPr>
          <w:rFonts w:hint="cs"/>
          <w:rtl/>
        </w:rPr>
        <w:t xml:space="preserve"> </w:t>
      </w:r>
    </w:p>
    <w:p w14:paraId="7BDC05B9" w14:textId="25181BDD" w:rsidR="00A40B43" w:rsidRDefault="000F45F4" w:rsidP="00A40B43">
      <w:pPr>
        <w:rPr>
          <w:rtl/>
        </w:rPr>
      </w:pPr>
      <w:r w:rsidRPr="000F45F4">
        <w:rPr>
          <w:rFonts w:hint="cs"/>
          <w:rtl/>
        </w:rPr>
        <w:t>שאר חיבורי גאיוס</w:t>
      </w:r>
      <w:r w:rsidR="00E03561">
        <w:rPr>
          <w:rFonts w:hint="cs"/>
          <w:rtl/>
        </w:rPr>
        <w:t xml:space="preserve">, וביניהם </w:t>
      </w:r>
      <w:r w:rsidR="00AF16BF" w:rsidRPr="00CD7A7D">
        <w:rPr>
          <w:i/>
          <w:iCs/>
        </w:rPr>
        <w:t>Res cottidianae</w:t>
      </w:r>
      <w:r w:rsidR="00E03561">
        <w:rPr>
          <w:rFonts w:hint="cs"/>
          <w:rtl/>
        </w:rPr>
        <w:t>,</w:t>
      </w:r>
      <w:r w:rsidRPr="000F45F4">
        <w:rPr>
          <w:rFonts w:hint="cs"/>
          <w:rtl/>
        </w:rPr>
        <w:t xml:space="preserve"> מצוטטים ב</w:t>
      </w:r>
      <w:r w:rsidR="008D44F0" w:rsidRPr="008D44F0">
        <w:t>Justinian's Diges</w:t>
      </w:r>
      <w:r w:rsidR="00B82B1B">
        <w:rPr>
          <w:rFonts w:hint="cs"/>
          <w:rtl/>
        </w:rPr>
        <w:t xml:space="preserve"> (להלן </w:t>
      </w:r>
      <w:r w:rsidR="00B82B1B">
        <w:t>Dig.</w:t>
      </w:r>
      <w:r w:rsidR="00B82B1B">
        <w:rPr>
          <w:rFonts w:hint="cs"/>
          <w:rtl/>
          <w:lang w:val="el-GR"/>
        </w:rPr>
        <w:t>)</w:t>
      </w:r>
      <w:r w:rsidRPr="000F45F4">
        <w:rPr>
          <w:rFonts w:hint="cs"/>
          <w:rtl/>
        </w:rPr>
        <w:t>. הדיגסטה</w:t>
      </w:r>
      <w:r w:rsidR="00D73590">
        <w:rPr>
          <w:rFonts w:hint="cs"/>
          <w:rtl/>
        </w:rPr>
        <w:t xml:space="preserve"> נערכה</w:t>
      </w:r>
      <w:r w:rsidR="00026E85">
        <w:rPr>
          <w:rFonts w:hint="cs"/>
          <w:rtl/>
        </w:rPr>
        <w:t xml:space="preserve"> </w:t>
      </w:r>
      <w:r w:rsidR="00D73590">
        <w:rPr>
          <w:rFonts w:hint="cs"/>
          <w:rtl/>
        </w:rPr>
        <w:t>ע</w:t>
      </w:r>
      <w:r w:rsidR="00026E85">
        <w:rPr>
          <w:rFonts w:hint="cs"/>
          <w:rtl/>
        </w:rPr>
        <w:t>ל</w:t>
      </w:r>
      <w:r w:rsidR="00D73590">
        <w:rPr>
          <w:rFonts w:hint="cs"/>
          <w:rtl/>
        </w:rPr>
        <w:t xml:space="preserve"> ידי</w:t>
      </w:r>
      <w:r w:rsidR="00474883">
        <w:rPr>
          <w:rFonts w:hint="cs"/>
          <w:rtl/>
        </w:rPr>
        <w:t xml:space="preserve"> המשפטן</w:t>
      </w:r>
      <w:r w:rsidR="00D73590">
        <w:rPr>
          <w:rFonts w:hint="cs"/>
          <w:rtl/>
        </w:rPr>
        <w:t xml:space="preserve"> </w:t>
      </w:r>
      <w:r w:rsidR="00026E85" w:rsidRPr="00461E37">
        <w:t>Tribonian</w:t>
      </w:r>
      <w:r w:rsidR="00026E85">
        <w:rPr>
          <w:rFonts w:hint="cs"/>
          <w:rtl/>
        </w:rPr>
        <w:t xml:space="preserve"> </w:t>
      </w:r>
      <w:r w:rsidR="00D73590">
        <w:rPr>
          <w:rFonts w:hint="cs"/>
          <w:rtl/>
        </w:rPr>
        <w:t>בהוראת</w:t>
      </w:r>
      <w:r w:rsidRPr="000F45F4">
        <w:rPr>
          <w:rFonts w:hint="cs"/>
          <w:rtl/>
        </w:rPr>
        <w:t xml:space="preserve"> יוסטיניאנוס הראשון קיסר ביזנטיון, בשנות השלושים של המאה השישית</w:t>
      </w:r>
      <w:r w:rsidR="00D179C1">
        <w:rPr>
          <w:rFonts w:hint="cs"/>
          <w:rtl/>
        </w:rPr>
        <w:t xml:space="preserve"> לספירה</w:t>
      </w:r>
      <w:r w:rsidRPr="000F45F4">
        <w:rPr>
          <w:rFonts w:hint="cs"/>
          <w:rtl/>
        </w:rPr>
        <w:t xml:space="preserve">. </w:t>
      </w:r>
      <w:r w:rsidR="00584A72">
        <w:rPr>
          <w:rFonts w:hint="cs"/>
          <w:rtl/>
        </w:rPr>
        <w:t>מטרת הד</w:t>
      </w:r>
      <w:r w:rsidR="00310FE2">
        <w:rPr>
          <w:rFonts w:hint="cs"/>
          <w:rtl/>
        </w:rPr>
        <w:t>י</w:t>
      </w:r>
      <w:r w:rsidR="00584A72">
        <w:rPr>
          <w:rFonts w:hint="cs"/>
          <w:rtl/>
        </w:rPr>
        <w:t xml:space="preserve">גסטה </w:t>
      </w:r>
      <w:r w:rsidRPr="000F45F4">
        <w:rPr>
          <w:rFonts w:hint="cs"/>
          <w:rtl/>
        </w:rPr>
        <w:t xml:space="preserve">לאסוף ולסכם את כתבי המשפטנים הרומיים מן התקופה הקלאסית, ולשם כך </w:t>
      </w:r>
      <w:r w:rsidR="00310FE2">
        <w:rPr>
          <w:rFonts w:hint="cs"/>
          <w:rtl/>
        </w:rPr>
        <w:t>היא מצטטת</w:t>
      </w:r>
      <w:r w:rsidRPr="000F45F4">
        <w:rPr>
          <w:rFonts w:hint="cs"/>
          <w:rtl/>
        </w:rPr>
        <w:t xml:space="preserve"> בהרחבה מתוך מאות חיבורים משפטיים. רוב מוחלט של חיבורים אלו הגיעו לידינו דרך הדיגסטה בלבד, והיא המקור המרכזי שבידינו להיכרות עם המשפט הרומי הקלאסי.</w:t>
      </w:r>
      <w:r w:rsidR="00E03561">
        <w:rPr>
          <w:rStyle w:val="a6"/>
          <w:rtl/>
        </w:rPr>
        <w:footnoteReference w:id="15"/>
      </w:r>
      <w:r w:rsidRPr="000F45F4">
        <w:rPr>
          <w:rtl/>
        </w:rPr>
        <w:t xml:space="preserve"> </w:t>
      </w:r>
      <w:r w:rsidRPr="000F45F4">
        <w:rPr>
          <w:rFonts w:hint="cs"/>
          <w:rtl/>
        </w:rPr>
        <w:t>אלא שיצירת הדיגסטה כללה גם עיבוד של החומרים לשם עדכון התפיסות המשפטיות וההכרעות החוקיות. חוקרי המשפט הרומי שמבקשים לשחזר את המשפט בתקופה הקלאסית בוחנים באופן ביקורתי את הטקסט שבדיגסטה ומנסים לברר מה מתוכו נאמן למקור ומה הוא עיבוד יוסטיניאני.</w:t>
      </w:r>
      <w:r w:rsidR="00820DA3">
        <w:rPr>
          <w:rStyle w:val="a6"/>
          <w:rtl/>
        </w:rPr>
        <w:footnoteReference w:id="16"/>
      </w:r>
      <w:r w:rsidRPr="000F45F4">
        <w:rPr>
          <w:rFonts w:hint="cs"/>
          <w:rtl/>
        </w:rPr>
        <w:t xml:space="preserve"> </w:t>
      </w:r>
    </w:p>
    <w:p w14:paraId="62D2A73A" w14:textId="55506763" w:rsidR="00E07688" w:rsidRDefault="00E07688" w:rsidP="00617F74">
      <w:r>
        <w:rPr>
          <w:rFonts w:hint="cs"/>
          <w:rtl/>
        </w:rPr>
        <w:lastRenderedPageBreak/>
        <w:t>התוספתא וגאיוס אינם רחוקים זה מזה במונחים של זמן ומ</w:t>
      </w:r>
      <w:r w:rsidR="00C507E2">
        <w:rPr>
          <w:rFonts w:hint="cs"/>
          <w:rtl/>
        </w:rPr>
        <w:t>קום</w:t>
      </w:r>
      <w:r>
        <w:rPr>
          <w:rFonts w:hint="cs"/>
          <w:rtl/>
        </w:rPr>
        <w:t xml:space="preserve">. </w:t>
      </w:r>
      <w:r w:rsidR="00E20A55">
        <w:rPr>
          <w:rFonts w:hint="cs"/>
          <w:rtl/>
        </w:rPr>
        <w:t>חיבורו של גאיוס נכתב כנראה סביב שנות השבעים של המאה השניה.</w:t>
      </w:r>
      <w:r w:rsidR="00E20A55">
        <w:rPr>
          <w:rStyle w:val="a6"/>
          <w:rtl/>
        </w:rPr>
        <w:footnoteReference w:id="17"/>
      </w:r>
      <w:r w:rsidR="00490E19">
        <w:rPr>
          <w:rFonts w:hint="cs"/>
          <w:rtl/>
        </w:rPr>
        <w:t xml:space="preserve"> </w:t>
      </w:r>
      <w:r w:rsidR="002C4C25">
        <w:rPr>
          <w:rFonts w:hint="cs"/>
          <w:rtl/>
        </w:rPr>
        <w:t>מקום פעילותו של גאיוס אינו ברור, אך החוקרים מניחים שהוא ישב תקופה מסויימת בפרובינקיות המזרחיות, ואף בביירות שבסוריה הרומית.</w:t>
      </w:r>
      <w:r w:rsidR="009A071D">
        <w:rPr>
          <w:rStyle w:val="a6"/>
          <w:rtl/>
        </w:rPr>
        <w:footnoteReference w:id="18"/>
      </w:r>
      <w:r w:rsidR="002C4C25">
        <w:rPr>
          <w:rFonts w:hint="cs"/>
          <w:rtl/>
        </w:rPr>
        <w:t xml:space="preserve"> </w:t>
      </w:r>
      <w:r w:rsidR="009A071D">
        <w:rPr>
          <w:rFonts w:hint="cs"/>
          <w:rtl/>
        </w:rPr>
        <w:t>התוספתא נוצרה בגליל</w:t>
      </w:r>
      <w:r w:rsidR="008B0759">
        <w:rPr>
          <w:rFonts w:hint="cs"/>
          <w:rtl/>
        </w:rPr>
        <w:t xml:space="preserve"> </w:t>
      </w:r>
      <w:r w:rsidR="003E314B">
        <w:rPr>
          <w:rFonts w:hint="cs"/>
          <w:rtl/>
        </w:rPr>
        <w:t xml:space="preserve">במרחק לא רב מביירות. אף שהיא נערכה כאמור באמצע המאה השלישית, </w:t>
      </w:r>
      <w:r w:rsidR="00A15ED6">
        <w:rPr>
          <w:rFonts w:hint="cs"/>
          <w:rtl/>
        </w:rPr>
        <w:t>עיקר החומר</w:t>
      </w:r>
      <w:r w:rsidR="008E7786">
        <w:rPr>
          <w:rFonts w:hint="cs"/>
          <w:rtl/>
        </w:rPr>
        <w:t xml:space="preserve"> שבתוספתא (ובמשנה) מיוחס לחכמים בני דורו של גאיוס</w:t>
      </w:r>
      <w:r w:rsidR="00D932F4">
        <w:rPr>
          <w:rFonts w:hint="cs"/>
          <w:rtl/>
        </w:rPr>
        <w:t xml:space="preserve">. </w:t>
      </w:r>
      <w:r w:rsidR="00CB0912">
        <w:rPr>
          <w:rFonts w:hint="cs"/>
          <w:rtl/>
        </w:rPr>
        <w:t>בתוספתא שאביא להלן נזכר</w:t>
      </w:r>
      <w:r w:rsidR="00960883">
        <w:rPr>
          <w:rFonts w:hint="cs"/>
          <w:rtl/>
        </w:rPr>
        <w:t xml:space="preserve"> שמו</w:t>
      </w:r>
      <w:r w:rsidR="00CB0912">
        <w:rPr>
          <w:rFonts w:hint="cs"/>
          <w:rtl/>
        </w:rPr>
        <w:t xml:space="preserve"> </w:t>
      </w:r>
      <w:r w:rsidR="00960883">
        <w:rPr>
          <w:rFonts w:hint="cs"/>
          <w:rtl/>
        </w:rPr>
        <w:t xml:space="preserve">של </w:t>
      </w:r>
      <w:r w:rsidR="00CB0912">
        <w:rPr>
          <w:rFonts w:hint="cs"/>
          <w:rtl/>
        </w:rPr>
        <w:t>רבן שמעון בן גמליאל, שזמן פעילותו מקביל פחות או יותר לזמנו של גאיוס.</w:t>
      </w:r>
      <w:r w:rsidR="008D65A6">
        <w:rPr>
          <w:rFonts w:hint="cs"/>
          <w:rtl/>
        </w:rPr>
        <w:t xml:space="preserve"> אם כן, לא מן הנמנע שהתקיימה זיקה היסטורית כלשהי בין מחברי הטקסטים השונים. עם זאת</w:t>
      </w:r>
      <w:r w:rsidR="000C5149">
        <w:rPr>
          <w:rFonts w:hint="cs"/>
          <w:rtl/>
        </w:rPr>
        <w:t>, יש להדגיש כי החיבורים בכללם שונים מאד זה מזה, והדוגמה שתבוא להלן היא</w:t>
      </w:r>
      <w:r w:rsidR="001054D2">
        <w:rPr>
          <w:rFonts w:hint="cs"/>
          <w:rtl/>
        </w:rPr>
        <w:t xml:space="preserve"> </w:t>
      </w:r>
      <w:r w:rsidR="000C5149">
        <w:rPr>
          <w:rFonts w:hint="cs"/>
          <w:rtl/>
        </w:rPr>
        <w:t>החריגה</w:t>
      </w:r>
      <w:r w:rsidR="001054D2">
        <w:rPr>
          <w:rFonts w:hint="cs"/>
          <w:rtl/>
        </w:rPr>
        <w:t xml:space="preserve"> לעת עתה</w:t>
      </w:r>
      <w:r w:rsidR="000C5149">
        <w:rPr>
          <w:rFonts w:hint="cs"/>
          <w:rtl/>
        </w:rPr>
        <w:t>.</w:t>
      </w:r>
    </w:p>
    <w:p w14:paraId="6CF74519" w14:textId="5E53A70B" w:rsidR="00A40B43" w:rsidRDefault="00A40B43" w:rsidP="00A40B43">
      <w:pPr>
        <w:pStyle w:val="2"/>
        <w:rPr>
          <w:rtl/>
        </w:rPr>
      </w:pPr>
      <w:r>
        <w:rPr>
          <w:rFonts w:hint="cs"/>
          <w:rtl/>
        </w:rPr>
        <w:t>גאיוס</w:t>
      </w:r>
    </w:p>
    <w:p w14:paraId="27219649" w14:textId="4638E32C" w:rsidR="00454BAB" w:rsidRDefault="00454BAB" w:rsidP="0055255A">
      <w:pPr>
        <w:rPr>
          <w:rFonts w:hint="cs"/>
          <w:rtl/>
        </w:rPr>
      </w:pPr>
      <w:r>
        <w:rPr>
          <w:rFonts w:hint="cs"/>
          <w:rtl/>
        </w:rPr>
        <w:t xml:space="preserve">בספר השני של </w:t>
      </w:r>
      <w:r w:rsidRPr="00A40B43">
        <w:rPr>
          <w:i/>
          <w:iCs/>
        </w:rPr>
        <w:t>Res cottidianae</w:t>
      </w:r>
      <w:r>
        <w:rPr>
          <w:rFonts w:hint="cs"/>
          <w:i/>
          <w:iCs/>
          <w:rtl/>
        </w:rPr>
        <w:t xml:space="preserve"> </w:t>
      </w:r>
      <w:r>
        <w:rPr>
          <w:rFonts w:hint="cs"/>
          <w:rtl/>
        </w:rPr>
        <w:t xml:space="preserve">נושא גאיוס הרצאה על </w:t>
      </w:r>
      <w:r w:rsidR="00AA2D38">
        <w:rPr>
          <w:rFonts w:hint="cs"/>
          <w:rtl/>
        </w:rPr>
        <w:t>אודות ההבדל בין רכישת בעלות מכח ה</w:t>
      </w:r>
      <w:r w:rsidR="00AA2D38">
        <w:t>civil law</w:t>
      </w:r>
      <w:r w:rsidR="008839A5">
        <w:rPr>
          <w:rFonts w:hint="cs"/>
          <w:rtl/>
          <w:lang w:val="el-GR"/>
        </w:rPr>
        <w:t xml:space="preserve"> ובין רכישת בעלות על פי </w:t>
      </w:r>
      <w:r w:rsidR="008839A5" w:rsidRPr="00866F86">
        <w:t>law of nations</w:t>
      </w:r>
      <w:r w:rsidR="008839A5">
        <w:rPr>
          <w:rFonts w:hint="cs"/>
          <w:rtl/>
        </w:rPr>
        <w:t xml:space="preserve"> (</w:t>
      </w:r>
      <w:r w:rsidR="008839A5" w:rsidRPr="008839A5">
        <w:rPr>
          <w:i/>
          <w:iCs/>
        </w:rPr>
        <w:t>ius gentium</w:t>
      </w:r>
      <w:r w:rsidR="001D5167">
        <w:rPr>
          <w:rFonts w:hint="cs"/>
          <w:rtl/>
        </w:rPr>
        <w:t>)</w:t>
      </w:r>
      <w:r w:rsidR="0055255A">
        <w:rPr>
          <w:rFonts w:hint="cs"/>
          <w:rtl/>
        </w:rPr>
        <w:t xml:space="preserve">. ההרצאה נפתחת בהקדמה </w:t>
      </w:r>
      <w:r w:rsidR="004B3891">
        <w:t>(Dig. 41.1.1)</w:t>
      </w:r>
      <w:r>
        <w:rPr>
          <w:rFonts w:hint="cs"/>
          <w:rtl/>
        </w:rPr>
        <w:t>:</w:t>
      </w:r>
      <w:r w:rsidR="0029269D" w:rsidRPr="0029269D">
        <w:rPr>
          <w:rStyle w:val="fontstyle01"/>
          <w:rtl/>
        </w:rPr>
        <w:t xml:space="preserve"> </w:t>
      </w:r>
      <w:r w:rsidR="0029269D">
        <w:rPr>
          <w:rStyle w:val="a6"/>
          <w:rtl/>
        </w:rPr>
        <w:footnoteReference w:id="19"/>
      </w:r>
    </w:p>
    <w:p w14:paraId="4E8F30FB" w14:textId="77777777" w:rsidR="00454BAB" w:rsidRDefault="00454BAB" w:rsidP="00454BAB">
      <w:pPr>
        <w:bidi w:val="0"/>
        <w:ind w:left="720"/>
      </w:pPr>
      <w:r w:rsidRPr="00866F86">
        <w:t>Of some things we acquire ownership under the law of nations</w:t>
      </w:r>
      <w:r>
        <w:t xml:space="preserve"> (</w:t>
      </w:r>
      <w:r w:rsidRPr="00866F86">
        <w:rPr>
          <w:i/>
          <w:iCs/>
        </w:rPr>
        <w:t>iure gentium</w:t>
      </w:r>
      <w:r>
        <w:t>)</w:t>
      </w:r>
      <w:r w:rsidRPr="00866F86">
        <w:t xml:space="preserve"> which is observed, by natural reason</w:t>
      </w:r>
      <w:r>
        <w:t xml:space="preserve"> (</w:t>
      </w:r>
      <w:r w:rsidRPr="004B25BF">
        <w:rPr>
          <w:i/>
          <w:iCs/>
        </w:rPr>
        <w:t>ratione naturali</w:t>
      </w:r>
      <w:r>
        <w:t>)</w:t>
      </w:r>
      <w:r w:rsidRPr="00866F86">
        <w:t>, among all men generally, of others under the civil law</w:t>
      </w:r>
      <w:r>
        <w:t xml:space="preserve"> (</w:t>
      </w:r>
      <w:r w:rsidRPr="00AD25A1">
        <w:rPr>
          <w:i/>
          <w:iCs/>
        </w:rPr>
        <w:t>iure civili</w:t>
      </w:r>
      <w:r>
        <w:t>)</w:t>
      </w:r>
      <w:r w:rsidRPr="00866F86">
        <w:t xml:space="preserve"> which is peculiar to our city. And since the law of nations is the older, being the product of human nature itself, it is necessary to treat of it first</w:t>
      </w:r>
      <w:r>
        <w:t>..</w:t>
      </w:r>
      <w:r w:rsidRPr="00866F86">
        <w:rPr>
          <w:rtl/>
        </w:rPr>
        <w:t>.</w:t>
      </w:r>
    </w:p>
    <w:p w14:paraId="46AC8692" w14:textId="7BDBA553" w:rsidR="005661D8" w:rsidRDefault="0055255A" w:rsidP="00062C1F">
      <w:pPr>
        <w:rPr>
          <w:rFonts w:hint="cs"/>
          <w:rtl/>
        </w:rPr>
      </w:pPr>
      <w:r>
        <w:rPr>
          <w:rFonts w:hint="cs"/>
          <w:rtl/>
        </w:rPr>
        <w:t>לאחר מכן מונה גאיוס דרכים שונות של קניין</w:t>
      </w:r>
      <w:r w:rsidR="00D44BC3">
        <w:rPr>
          <w:rFonts w:hint="cs"/>
          <w:rtl/>
        </w:rPr>
        <w:t xml:space="preserve"> שמתאימות </w:t>
      </w:r>
      <w:r w:rsidR="00F84A61">
        <w:rPr>
          <w:rFonts w:hint="cs"/>
          <w:rtl/>
        </w:rPr>
        <w:t>לשני הסוגים</w:t>
      </w:r>
      <w:r w:rsidR="007C7E80">
        <w:rPr>
          <w:rFonts w:hint="cs"/>
          <w:rtl/>
        </w:rPr>
        <w:t xml:space="preserve"> (בעיקר לסוג השני).</w:t>
      </w:r>
      <w:r w:rsidR="006A1E6C">
        <w:rPr>
          <w:rFonts w:hint="cs"/>
          <w:rtl/>
        </w:rPr>
        <w:t xml:space="preserve"> </w:t>
      </w:r>
      <w:r w:rsidR="00900095">
        <w:rPr>
          <w:rFonts w:hint="cs"/>
          <w:rtl/>
        </w:rPr>
        <w:t xml:space="preserve">בדיון </w:t>
      </w:r>
      <w:r w:rsidR="00826FFA">
        <w:rPr>
          <w:rFonts w:hint="cs"/>
          <w:rtl/>
        </w:rPr>
        <w:t>להלן אתמקד בארבע צורות קניין שגאיוס מונה שם בסעיף</w:t>
      </w:r>
      <w:r w:rsidR="00062C1F">
        <w:t>7</w:t>
      </w:r>
      <w:r w:rsidR="00081FC3">
        <w:t>.7</w:t>
      </w:r>
      <w:r w:rsidR="00826FFA">
        <w:t>–</w:t>
      </w:r>
      <w:r w:rsidR="00062C1F">
        <w:t>13</w:t>
      </w:r>
      <w:r w:rsidR="00826FFA">
        <w:t xml:space="preserve"> </w:t>
      </w:r>
      <w:r w:rsidR="00062C1F">
        <w:rPr>
          <w:rFonts w:hint="cs"/>
          <w:rtl/>
        </w:rPr>
        <w:t>:</w:t>
      </w:r>
    </w:p>
    <w:p w14:paraId="6D84DA64" w14:textId="23F81E18" w:rsidR="00F50AA1" w:rsidRDefault="00062C1F" w:rsidP="000E115D">
      <w:pPr>
        <w:bidi w:val="0"/>
        <w:ind w:left="720"/>
      </w:pPr>
      <w:r>
        <w:t xml:space="preserve">7. </w:t>
      </w:r>
      <w:r w:rsidR="00F50AA1">
        <w:t>When someone makes something (</w:t>
      </w:r>
      <w:r w:rsidR="00F50AA1" w:rsidRPr="00062C1F">
        <w:rPr>
          <w:i/>
          <w:iCs/>
        </w:rPr>
        <w:t>speciem aliquam</w:t>
      </w:r>
      <w:r w:rsidR="00F50AA1">
        <w:t xml:space="preserve">) for himself out of another's materials, </w:t>
      </w:r>
      <w:r w:rsidR="00F50AA1" w:rsidRPr="00BB22AC">
        <w:rPr>
          <w:u w:val="single"/>
        </w:rPr>
        <w:t>Nerva and Proculus</w:t>
      </w:r>
      <w:r w:rsidR="00F50AA1">
        <w:t xml:space="preserve"> are of opinion that the maker owns that thing because what has just been made previously belonged to no one. </w:t>
      </w:r>
      <w:r w:rsidR="00F50AA1" w:rsidRPr="00BB22AC">
        <w:rPr>
          <w:u w:val="single"/>
        </w:rPr>
        <w:t>Sabinus and Cassius</w:t>
      </w:r>
      <w:r w:rsidR="00F50AA1">
        <w:t>, on the other hand, take the view that natural reason requires that the owner of the materials should be owner of what is made from them, since a thing cannot exist without that of which it is made (</w:t>
      </w:r>
      <w:r w:rsidR="00F50AA1" w:rsidRPr="00BB22AC">
        <w:rPr>
          <w:i/>
          <w:iCs/>
        </w:rPr>
        <w:t>quia sine materia nulla species effici possit</w:t>
      </w:r>
      <w:r w:rsidR="00F50AA1">
        <w:t>)</w:t>
      </w:r>
      <w:r w:rsidR="00F50AA1">
        <w:rPr>
          <w:rtl/>
        </w:rPr>
        <w:t xml:space="preserve">. </w:t>
      </w:r>
    </w:p>
    <w:p w14:paraId="4D917ED5" w14:textId="07D3AB1D" w:rsidR="009B0C4B" w:rsidRPr="00526706" w:rsidRDefault="009B0C4B" w:rsidP="009B0C4B">
      <w:pPr>
        <w:rPr>
          <w:rFonts w:hint="cs"/>
          <w:rtl/>
        </w:rPr>
      </w:pPr>
      <w:r>
        <w:rPr>
          <w:rFonts w:hint="cs"/>
          <w:rtl/>
        </w:rPr>
        <w:t xml:space="preserve">בספרות המשפטית המאוחרת מכונה צורת קניין זו </w:t>
      </w:r>
      <w:r w:rsidR="004A30B3">
        <w:rPr>
          <w:i/>
          <w:iCs/>
        </w:rPr>
        <w:t>specificatio</w:t>
      </w:r>
      <w:r w:rsidR="004A30B3">
        <w:rPr>
          <w:rFonts w:hint="cs"/>
          <w:rtl/>
        </w:rPr>
        <w:t xml:space="preserve">, כלומר, הפיכת </w:t>
      </w:r>
      <w:r w:rsidR="00B633A7">
        <w:rPr>
          <w:rFonts w:hint="cs"/>
          <w:rtl/>
        </w:rPr>
        <w:t>'</w:t>
      </w:r>
      <w:r w:rsidR="004A30B3">
        <w:rPr>
          <w:rFonts w:hint="cs"/>
          <w:rtl/>
        </w:rPr>
        <w:t>חומר</w:t>
      </w:r>
      <w:r w:rsidR="00B633A7">
        <w:rPr>
          <w:rFonts w:hint="cs"/>
          <w:rtl/>
        </w:rPr>
        <w:t>'</w:t>
      </w:r>
      <w:r w:rsidR="00031F9A">
        <w:rPr>
          <w:rFonts w:hint="cs"/>
          <w:rtl/>
        </w:rPr>
        <w:t xml:space="preserve"> (</w:t>
      </w:r>
      <w:r w:rsidR="0095310C" w:rsidRPr="00BB22AC">
        <w:rPr>
          <w:i/>
          <w:iCs/>
        </w:rPr>
        <w:t>materia</w:t>
      </w:r>
      <w:r w:rsidR="00031F9A">
        <w:rPr>
          <w:rFonts w:hint="cs"/>
          <w:rtl/>
        </w:rPr>
        <w:t>)</w:t>
      </w:r>
      <w:r w:rsidR="004A30B3">
        <w:rPr>
          <w:rFonts w:hint="cs"/>
          <w:rtl/>
        </w:rPr>
        <w:t xml:space="preserve"> ל</w:t>
      </w:r>
      <w:r w:rsidR="00DE5EF4">
        <w:rPr>
          <w:rFonts w:hint="cs"/>
          <w:rtl/>
        </w:rPr>
        <w:t>דבר מסויים</w:t>
      </w:r>
      <w:r w:rsidR="004A30B3">
        <w:rPr>
          <w:rFonts w:hint="cs"/>
          <w:rtl/>
        </w:rPr>
        <w:t xml:space="preserve"> (</w:t>
      </w:r>
      <w:r w:rsidR="00526706" w:rsidRPr="00BB22AC">
        <w:rPr>
          <w:i/>
          <w:iCs/>
        </w:rPr>
        <w:t>species</w:t>
      </w:r>
      <w:r w:rsidR="00526706">
        <w:rPr>
          <w:rFonts w:hint="cs"/>
          <w:rtl/>
        </w:rPr>
        <w:t>).</w:t>
      </w:r>
      <w:r w:rsidR="0049516A">
        <w:rPr>
          <w:rFonts w:hint="cs"/>
          <w:rtl/>
        </w:rPr>
        <w:t xml:space="preserve"> </w:t>
      </w:r>
      <w:r w:rsidR="002F58D7">
        <w:rPr>
          <w:rFonts w:hint="cs"/>
          <w:rtl/>
        </w:rPr>
        <w:t>גאיוס מוסיף דוגמ</w:t>
      </w:r>
      <w:r w:rsidR="0095310C">
        <w:rPr>
          <w:rFonts w:hint="cs"/>
          <w:rtl/>
        </w:rPr>
        <w:t>אות</w:t>
      </w:r>
      <w:r w:rsidR="002F58D7">
        <w:rPr>
          <w:rFonts w:hint="cs"/>
          <w:rtl/>
        </w:rPr>
        <w:t xml:space="preserve"> להבהרת העניין:</w:t>
      </w:r>
    </w:p>
    <w:p w14:paraId="7B1E19BC" w14:textId="1E9DC695" w:rsidR="00F50AA1" w:rsidRDefault="00F50AA1" w:rsidP="000E115D">
      <w:pPr>
        <w:bidi w:val="0"/>
        <w:ind w:left="720"/>
      </w:pPr>
      <w:r>
        <w:lastRenderedPageBreak/>
        <w:t>Let us say, by way of example, that I make some vase from your gold, silver or copper</w:t>
      </w:r>
      <w:r w:rsidR="0069509F">
        <w:t>,</w:t>
      </w:r>
      <w:r>
        <w:t xml:space="preserve"> or a ship, cupboard or benches from your timber, a garment from your wool, mead from your wine and honey, a plaster or eye-salve from your drugs, wine, oil, or flour from your grapes, olives, or ears of corn</w:t>
      </w:r>
      <w:r>
        <w:rPr>
          <w:rtl/>
        </w:rPr>
        <w:t xml:space="preserve">. </w:t>
      </w:r>
    </w:p>
    <w:p w14:paraId="4D8CC966" w14:textId="0BFEFC12" w:rsidR="002F58D7" w:rsidRDefault="002F58D7" w:rsidP="002F58D7">
      <w:pPr>
        <w:rPr>
          <w:rFonts w:hint="cs"/>
          <w:rtl/>
        </w:rPr>
      </w:pPr>
      <w:r>
        <w:rPr>
          <w:rFonts w:hint="cs"/>
          <w:rtl/>
        </w:rPr>
        <w:t xml:space="preserve">בכל המקרים הללו הופך החומר הגולמי למוצר </w:t>
      </w:r>
      <w:r w:rsidR="00460F81">
        <w:rPr>
          <w:rFonts w:hint="cs"/>
          <w:rtl/>
        </w:rPr>
        <w:t>מוגמר</w:t>
      </w:r>
      <w:r w:rsidR="00AE21EF">
        <w:rPr>
          <w:rFonts w:hint="cs"/>
          <w:rtl/>
        </w:rPr>
        <w:t>.</w:t>
      </w:r>
      <w:r w:rsidR="00F20FF4">
        <w:rPr>
          <w:rFonts w:hint="cs"/>
          <w:rtl/>
        </w:rPr>
        <w:t xml:space="preserve"> לפי דברי גאיוס, הפרוקליאנים והסאבינים </w:t>
      </w:r>
      <w:r w:rsidR="00F20FF4">
        <w:rPr>
          <w:rtl/>
        </w:rPr>
        <w:t>–</w:t>
      </w:r>
      <w:r w:rsidR="00F20FF4">
        <w:rPr>
          <w:rFonts w:hint="cs"/>
          <w:rtl/>
        </w:rPr>
        <w:t xml:space="preserve"> שתי האסכולות של המשפט הרומי הקלאסי </w:t>
      </w:r>
      <w:r w:rsidR="00F20FF4">
        <w:rPr>
          <w:rtl/>
        </w:rPr>
        <w:t>–</w:t>
      </w:r>
      <w:r w:rsidR="00F20FF4">
        <w:rPr>
          <w:rFonts w:hint="cs"/>
          <w:rtl/>
        </w:rPr>
        <w:t xml:space="preserve"> נחלקו </w:t>
      </w:r>
      <w:r w:rsidR="006A0F6C">
        <w:rPr>
          <w:rFonts w:hint="cs"/>
          <w:rtl/>
        </w:rPr>
        <w:t>בשאלת הבעלות במקרים אלו.</w:t>
      </w:r>
      <w:r w:rsidR="00AE21EF">
        <w:rPr>
          <w:rFonts w:hint="cs"/>
          <w:rtl/>
        </w:rPr>
        <w:t xml:space="preserve"> עם זאת, גאיוס מוסיף שיש גם שיטת ביניים שמחלקת בין מקרים שונים:</w:t>
      </w:r>
    </w:p>
    <w:p w14:paraId="4CCE3D87" w14:textId="743E46BE" w:rsidR="00F50AA1" w:rsidRDefault="00F50AA1" w:rsidP="000E115D">
      <w:pPr>
        <w:bidi w:val="0"/>
        <w:ind w:left="720"/>
      </w:pPr>
      <w:r>
        <w:t xml:space="preserve">There is, however, the </w:t>
      </w:r>
      <w:r w:rsidRPr="00BB22AC">
        <w:rPr>
          <w:u w:val="single"/>
        </w:rPr>
        <w:t>intermediate view</w:t>
      </w:r>
      <w:r w:rsidR="00735026" w:rsidRPr="00E50581">
        <w:t xml:space="preserve"> (</w:t>
      </w:r>
      <w:r w:rsidR="00735026" w:rsidRPr="00735026">
        <w:rPr>
          <w:i/>
          <w:iCs/>
        </w:rPr>
        <w:t>media sententia</w:t>
      </w:r>
      <w:r w:rsidR="00735026" w:rsidRPr="00E50581">
        <w:t>)</w:t>
      </w:r>
      <w:r>
        <w:t xml:space="preserve"> of those who correctly hold that if the thing (</w:t>
      </w:r>
      <w:r w:rsidRPr="00BB22AC">
        <w:rPr>
          <w:i/>
          <w:iCs/>
        </w:rPr>
        <w:t>species</w:t>
      </w:r>
      <w:r>
        <w:t>) can be returned to its original components (</w:t>
      </w:r>
      <w:r w:rsidRPr="00BB22AC">
        <w:rPr>
          <w:i/>
          <w:iCs/>
        </w:rPr>
        <w:t>materiam</w:t>
      </w:r>
      <w:r>
        <w:t>), the better view is that propounded by Sabinus and Cassius but that if it cannot be so reconstituted, Nerva and Proculus are sounder. Thus, a finished vase can be again reduced to a simple mass of gold, silver, or copper; but wine, oil, or flour cannot again become grapes, olives, or ears of corn; no more can mead be reconstituted as wine and honey or the plaster or salve as the original drugs</w:t>
      </w:r>
      <w:r w:rsidR="006643A8">
        <w:t>…</w:t>
      </w:r>
      <w:r w:rsidR="00825314">
        <w:rPr>
          <w:rStyle w:val="a6"/>
        </w:rPr>
        <w:footnoteReference w:id="20"/>
      </w:r>
    </w:p>
    <w:p w14:paraId="5629D282" w14:textId="520B3E65" w:rsidR="007E6B9C" w:rsidRDefault="007E6B9C" w:rsidP="007E6B9C">
      <w:pPr>
        <w:rPr>
          <w:rFonts w:hint="cs"/>
          <w:rtl/>
        </w:rPr>
      </w:pPr>
      <w:r>
        <w:rPr>
          <w:rFonts w:hint="cs"/>
          <w:rtl/>
        </w:rPr>
        <w:t>בסעיפים הבאים מתייחס גאיוס לדוגמאות דומות אחרות, כמו למשל מקרה שבו חומרים של שני אנשים עורבבו זה עם זה. לאחר מכן פונה גאיוס לדין אחר:</w:t>
      </w:r>
    </w:p>
    <w:p w14:paraId="685E521F" w14:textId="21FAE532" w:rsidR="00F50AA1" w:rsidRDefault="00BB22AC" w:rsidP="000E115D">
      <w:pPr>
        <w:bidi w:val="0"/>
        <w:ind w:left="720"/>
      </w:pPr>
      <w:r>
        <w:t xml:space="preserve">10. </w:t>
      </w:r>
      <w:r w:rsidR="00F50AA1">
        <w:t>When someone builds on his own site with another's materials, he is</w:t>
      </w:r>
      <w:r>
        <w:t xml:space="preserve"> </w:t>
      </w:r>
      <w:r w:rsidR="00F50AA1">
        <w:t>deemed to be owner of the building because all that is built on it becomes part of the soil (</w:t>
      </w:r>
      <w:r w:rsidR="00F50AA1" w:rsidRPr="00BB22AC">
        <w:rPr>
          <w:i/>
          <w:iCs/>
        </w:rPr>
        <w:t>omne quod inaedificatur solo cedit</w:t>
      </w:r>
      <w:r w:rsidR="00F50AA1">
        <w:t>)</w:t>
      </w:r>
      <w:r>
        <w:t xml:space="preserve">. </w:t>
      </w:r>
      <w:r w:rsidR="00F50AA1">
        <w:t>However, the owner of the materials does not thereby lose his ownership of them; but he meanwhile cannot bring a vindicatio for them or an action for their production (</w:t>
      </w:r>
      <w:r w:rsidR="00F50AA1" w:rsidRPr="00BB22AC">
        <w:rPr>
          <w:i/>
          <w:iCs/>
        </w:rPr>
        <w:t>ad exhibendum de ea agere</w:t>
      </w:r>
      <w:r w:rsidR="00F50AA1">
        <w:t>)</w:t>
      </w:r>
      <w:r>
        <w:t>.</w:t>
      </w:r>
      <w:r w:rsidR="00E63CF5">
        <w:t xml:space="preserve"> </w:t>
      </w:r>
      <w:r w:rsidR="00F50AA1">
        <w:t xml:space="preserve">by reason of </w:t>
      </w:r>
      <w:r w:rsidR="00F50AA1" w:rsidRPr="00E63CF5">
        <w:rPr>
          <w:u w:val="single"/>
        </w:rPr>
        <w:t>the Law of the Twelve Tables</w:t>
      </w:r>
      <w:r w:rsidR="00F50AA1">
        <w:t xml:space="preserve"> which provides that no one is required to give up materials of another built into his premises but that he must pay double their value (</w:t>
      </w:r>
      <w:r w:rsidR="00F50AA1" w:rsidRPr="00E63CF5">
        <w:rPr>
          <w:i/>
          <w:iCs/>
        </w:rPr>
        <w:t>ne quis tignum alienum aedibus suis iunctum eximere cogatur, sed duplum pro eo praestet</w:t>
      </w:r>
      <w:r w:rsidR="00F50AA1">
        <w:t>). The term used is "beam"</w:t>
      </w:r>
      <w:r w:rsidR="00557096">
        <w:t xml:space="preserve"> (</w:t>
      </w:r>
      <w:r w:rsidR="00557096" w:rsidRPr="00557096">
        <w:rPr>
          <w:i/>
          <w:iCs/>
        </w:rPr>
        <w:t>tignum</w:t>
      </w:r>
      <w:r w:rsidR="00557096">
        <w:t>)</w:t>
      </w:r>
      <w:r w:rsidR="00F50AA1">
        <w:t xml:space="preserve"> but, in fact, covers any building materials. Hence, if the house should collapse for some reason, the owner of the materials can have a vindicatio for them and have an action for their production</w:t>
      </w:r>
      <w:r w:rsidR="00F50AA1">
        <w:rPr>
          <w:rtl/>
        </w:rPr>
        <w:t xml:space="preserve">... </w:t>
      </w:r>
    </w:p>
    <w:p w14:paraId="15618C2D" w14:textId="76471F4C" w:rsidR="007E6B9C" w:rsidRDefault="00B10057" w:rsidP="007E6B9C">
      <w:pPr>
        <w:rPr>
          <w:rFonts w:hint="cs"/>
          <w:rtl/>
        </w:rPr>
      </w:pPr>
      <w:r>
        <w:rPr>
          <w:rFonts w:hint="cs"/>
          <w:rtl/>
        </w:rPr>
        <w:lastRenderedPageBreak/>
        <w:t xml:space="preserve">בסעיף זה נשען </w:t>
      </w:r>
      <w:r w:rsidR="007E6B9C">
        <w:rPr>
          <w:rFonts w:hint="cs"/>
          <w:rtl/>
        </w:rPr>
        <w:t>גאיוס על חוק שמקורו בשנים עשר הלוחות</w:t>
      </w:r>
      <w:r w:rsidR="0059394F">
        <w:rPr>
          <w:rFonts w:hint="cs"/>
          <w:rtl/>
        </w:rPr>
        <w:t xml:space="preserve"> (</w:t>
      </w:r>
      <w:r w:rsidR="00385EC2">
        <w:rPr>
          <w:rFonts w:hint="cs"/>
          <w:rtl/>
        </w:rPr>
        <w:t>מן המאה החמישית לפני הספירה</w:t>
      </w:r>
      <w:r w:rsidR="0059394F">
        <w:rPr>
          <w:rFonts w:hint="cs"/>
          <w:rtl/>
        </w:rPr>
        <w:t>)</w:t>
      </w:r>
      <w:r w:rsidR="00385EC2">
        <w:rPr>
          <w:rFonts w:hint="cs"/>
          <w:rtl/>
        </w:rPr>
        <w:t xml:space="preserve">. </w:t>
      </w:r>
      <w:r w:rsidR="002C1C9F">
        <w:rPr>
          <w:rFonts w:hint="cs"/>
          <w:rtl/>
        </w:rPr>
        <w:t xml:space="preserve">החוק המקורי אסר לעקור קורה מתוך בניין, ואילו גאיוס מרחיב את החוק ואומר שככלל אין </w:t>
      </w:r>
      <w:r w:rsidR="005168A1">
        <w:rPr>
          <w:rFonts w:hint="cs"/>
          <w:rtl/>
        </w:rPr>
        <w:t xml:space="preserve">לפרק בניין שנבנה תוך שימוש בחומרים של אחר. </w:t>
      </w:r>
      <w:r w:rsidR="00CC5C82">
        <w:rPr>
          <w:rFonts w:hint="cs"/>
          <w:rtl/>
        </w:rPr>
        <w:t xml:space="preserve">המצב ההפוך </w:t>
      </w:r>
      <w:r w:rsidR="00CC5C82">
        <w:rPr>
          <w:rtl/>
        </w:rPr>
        <w:t>–</w:t>
      </w:r>
      <w:r w:rsidR="00CC5C82">
        <w:rPr>
          <w:rFonts w:hint="cs"/>
          <w:rtl/>
        </w:rPr>
        <w:t xml:space="preserve"> בנייה בחומרים של הבעלים על קרקע של אחר </w:t>
      </w:r>
      <w:r w:rsidR="00CC5C82">
        <w:rPr>
          <w:rtl/>
        </w:rPr>
        <w:t>–</w:t>
      </w:r>
      <w:r w:rsidR="00CC5C82">
        <w:rPr>
          <w:rFonts w:hint="cs"/>
          <w:rtl/>
        </w:rPr>
        <w:t xml:space="preserve"> נידון בסעיף הבא:</w:t>
      </w:r>
    </w:p>
    <w:p w14:paraId="4C769543" w14:textId="338F8C2B" w:rsidR="00F50AA1" w:rsidRDefault="00557096" w:rsidP="000E115D">
      <w:pPr>
        <w:bidi w:val="0"/>
        <w:ind w:left="720"/>
      </w:pPr>
      <w:r>
        <w:t xml:space="preserve">12. </w:t>
      </w:r>
      <w:r w:rsidR="00F50AA1">
        <w:t xml:space="preserve">Conversely, if a person were to build with his own materials on someone else's site, he would make the building the property of the owner of the site, and if he knew that the site belonged to another, he would be treated as voluntarily parting with his materials so that even if the house should collapse, he would have no vindicatio for them. </w:t>
      </w:r>
    </w:p>
    <w:p w14:paraId="70D5C103" w14:textId="77777777" w:rsidR="00D93249" w:rsidRDefault="00B13783" w:rsidP="00B13783">
      <w:pPr>
        <w:rPr>
          <w:rtl/>
        </w:rPr>
      </w:pPr>
      <w:r>
        <w:rPr>
          <w:rFonts w:hint="cs"/>
          <w:rtl/>
        </w:rPr>
        <w:t xml:space="preserve">צורת הקניין הזאת זכתה מאוחר יותר לשם </w:t>
      </w:r>
      <w:r w:rsidRPr="000676C8">
        <w:rPr>
          <w:i/>
          <w:iCs/>
        </w:rPr>
        <w:t>inaedificatio</w:t>
      </w:r>
      <w:r w:rsidR="001A08A4">
        <w:rPr>
          <w:rFonts w:hint="cs"/>
          <w:rtl/>
        </w:rPr>
        <w:t>.</w:t>
      </w:r>
      <w:r w:rsidR="00321BE0">
        <w:rPr>
          <w:rFonts w:hint="cs"/>
          <w:rtl/>
        </w:rPr>
        <w:t xml:space="preserve"> גם פה הולך גאיוס אחרי הכלל שבעל הקרקע זוכה בחומרי הבניין, אך כאן נידונה גם שאלת הפיצוי לבעל החומרים</w:t>
      </w:r>
      <w:r w:rsidR="00D93249">
        <w:rPr>
          <w:rFonts w:hint="cs"/>
          <w:rtl/>
        </w:rPr>
        <w:t>:</w:t>
      </w:r>
    </w:p>
    <w:p w14:paraId="53392C2F" w14:textId="5360E5C8" w:rsidR="00D93249" w:rsidRDefault="00D93249" w:rsidP="00D93249">
      <w:pPr>
        <w:bidi w:val="0"/>
        <w:ind w:left="720"/>
      </w:pPr>
      <w:r>
        <w:t>Of course, if the owner of the site were to claim the building but was unwilling to pay the value of the materials or the workers' wages, he could be resisted with the defense of bad faith (</w:t>
      </w:r>
      <w:r w:rsidRPr="00557096">
        <w:rPr>
          <w:i/>
          <w:iCs/>
        </w:rPr>
        <w:t>poterit per exceptionem doli mali repelli</w:t>
      </w:r>
      <w:r>
        <w:t>), assuming the builder to have been unaware that the site belonged to someone else and to have genuinely built as though on his own land; but, if he knows the facts, his own fault will be imputed to him; for he rashly built on what he knew to be another's land.</w:t>
      </w:r>
    </w:p>
    <w:p w14:paraId="093EC35C" w14:textId="4489AD9A" w:rsidR="00B13783" w:rsidRPr="00B13783" w:rsidRDefault="00321BE0" w:rsidP="00B13783">
      <w:pPr>
        <w:rPr>
          <w:rFonts w:hint="cs"/>
          <w:rtl/>
        </w:rPr>
      </w:pPr>
      <w:r>
        <w:rPr>
          <w:rFonts w:hint="cs"/>
          <w:rtl/>
        </w:rPr>
        <w:t xml:space="preserve"> לבסוף מוסיף גאיוס דין דומה ל</w:t>
      </w:r>
      <w:r w:rsidR="00E27CCF">
        <w:rPr>
          <w:rFonts w:hint="cs"/>
          <w:rtl/>
        </w:rPr>
        <w:t>גבי נטיעה</w:t>
      </w:r>
      <w:r w:rsidR="003E34D1">
        <w:rPr>
          <w:rFonts w:hint="cs"/>
          <w:rtl/>
        </w:rPr>
        <w:t xml:space="preserve"> (</w:t>
      </w:r>
      <w:r w:rsidR="003E34D1">
        <w:rPr>
          <w:i/>
          <w:iCs/>
        </w:rPr>
        <w:t>implantatio</w:t>
      </w:r>
      <w:r w:rsidR="003E34D1">
        <w:rPr>
          <w:rFonts w:hint="cs"/>
          <w:rtl/>
        </w:rPr>
        <w:t>)</w:t>
      </w:r>
      <w:r w:rsidR="00E27CCF">
        <w:rPr>
          <w:rFonts w:hint="cs"/>
          <w:rtl/>
        </w:rPr>
        <w:t>:</w:t>
      </w:r>
      <w:r w:rsidR="003E34D1" w:rsidRPr="003E34D1">
        <w:rPr>
          <w:rStyle w:val="fontstyle01"/>
          <w:rtl/>
        </w:rPr>
        <w:t xml:space="preserve"> </w:t>
      </w:r>
      <w:r w:rsidR="003E34D1">
        <w:rPr>
          <w:rStyle w:val="a6"/>
          <w:rtl/>
        </w:rPr>
        <w:footnoteReference w:id="21"/>
      </w:r>
    </w:p>
    <w:p w14:paraId="3F07BEFB" w14:textId="0136C88B" w:rsidR="00F50AA1" w:rsidRDefault="000E115D" w:rsidP="000E115D">
      <w:pPr>
        <w:bidi w:val="0"/>
        <w:ind w:left="720"/>
        <w:rPr>
          <w:rFonts w:hint="cs"/>
        </w:rPr>
      </w:pPr>
      <w:r>
        <w:t xml:space="preserve">13. </w:t>
      </w:r>
      <w:r w:rsidR="00F50AA1">
        <w:t>If I plant someone else's cutting in my land, it will be mine; conversely, if I plant my own cutting in someone else's land, it will be his, provided, in each case, that</w:t>
      </w:r>
      <w:r>
        <w:t xml:space="preserve"> </w:t>
      </w:r>
      <w:r w:rsidR="00F50AA1">
        <w:t>it roots itself. For until it takes root, it remains the property of its former owner</w:t>
      </w:r>
      <w:r w:rsidR="00F50AA1">
        <w:rPr>
          <w:rtl/>
        </w:rPr>
        <w:t>…</w:t>
      </w:r>
    </w:p>
    <w:p w14:paraId="0E1AF4E0" w14:textId="06B97B86" w:rsidR="000E115D" w:rsidRDefault="0012660E" w:rsidP="000E115D">
      <w:pPr>
        <w:rPr>
          <w:rtl/>
        </w:rPr>
      </w:pPr>
      <w:r>
        <w:rPr>
          <w:rFonts w:hint="cs"/>
          <w:rtl/>
        </w:rPr>
        <w:t xml:space="preserve">אם כן, </w:t>
      </w:r>
      <w:r w:rsidR="000E115D">
        <w:rPr>
          <w:rFonts w:hint="cs"/>
          <w:rtl/>
        </w:rPr>
        <w:t xml:space="preserve">בפסקאות אלו מתאר גאיוס </w:t>
      </w:r>
      <w:r w:rsidR="004E7066">
        <w:rPr>
          <w:rFonts w:hint="cs"/>
          <w:rtl/>
        </w:rPr>
        <w:t>ארבע</w:t>
      </w:r>
      <w:r w:rsidR="000E115D">
        <w:rPr>
          <w:rFonts w:hint="cs"/>
          <w:rtl/>
        </w:rPr>
        <w:t xml:space="preserve"> צורות קניין שבתקופה מאוחרת יותר כונו </w:t>
      </w:r>
      <w:r w:rsidR="00F142D0">
        <w:rPr>
          <w:i/>
          <w:iCs/>
        </w:rPr>
        <w:t xml:space="preserve">specificatio, </w:t>
      </w:r>
      <w:r w:rsidR="00DD7A38" w:rsidRPr="000676C8">
        <w:rPr>
          <w:i/>
          <w:iCs/>
        </w:rPr>
        <w:t>tignum iunctum</w:t>
      </w:r>
      <w:r w:rsidR="00F142D0">
        <w:t>,</w:t>
      </w:r>
      <w:r w:rsidR="00F142D0">
        <w:rPr>
          <w:i/>
          <w:iCs/>
        </w:rPr>
        <w:t xml:space="preserve"> </w:t>
      </w:r>
      <w:r w:rsidR="00DD7A38" w:rsidRPr="000676C8">
        <w:rPr>
          <w:i/>
          <w:iCs/>
        </w:rPr>
        <w:t>inaedificatio</w:t>
      </w:r>
      <w:r w:rsidR="00F142D0">
        <w:rPr>
          <w:i/>
          <w:iCs/>
        </w:rPr>
        <w:t xml:space="preserve">, </w:t>
      </w:r>
      <w:r w:rsidR="00A06E5C">
        <w:rPr>
          <w:i/>
          <w:iCs/>
        </w:rPr>
        <w:t>im</w:t>
      </w:r>
      <w:r w:rsidR="00DD7A38">
        <w:rPr>
          <w:i/>
          <w:iCs/>
        </w:rPr>
        <w:t>plantatio</w:t>
      </w:r>
      <w:r w:rsidR="00DD7A38">
        <w:rPr>
          <w:rFonts w:hint="cs"/>
          <w:rtl/>
        </w:rPr>
        <w:t>.</w:t>
      </w:r>
      <w:r w:rsidR="00320844">
        <w:rPr>
          <w:rFonts w:hint="cs"/>
          <w:rtl/>
        </w:rPr>
        <w:t xml:space="preserve"> בכל המקרים הללו </w:t>
      </w:r>
      <w:r w:rsidR="00E166BC">
        <w:rPr>
          <w:rFonts w:hint="cs"/>
          <w:rtl/>
        </w:rPr>
        <w:t>הבעלים המקורי</w:t>
      </w:r>
      <w:r w:rsidR="00320844">
        <w:rPr>
          <w:rFonts w:hint="cs"/>
          <w:rtl/>
        </w:rPr>
        <w:t xml:space="preserve"> מאבד את </w:t>
      </w:r>
      <w:r w:rsidR="00E166BC">
        <w:rPr>
          <w:rFonts w:hint="cs"/>
          <w:rtl/>
        </w:rPr>
        <w:t>הבעלות</w:t>
      </w:r>
      <w:r w:rsidR="00320844">
        <w:rPr>
          <w:rFonts w:hint="cs"/>
          <w:rtl/>
        </w:rPr>
        <w:t xml:space="preserve"> על </w:t>
      </w:r>
      <w:r w:rsidR="00E166BC">
        <w:rPr>
          <w:rFonts w:hint="cs"/>
          <w:rtl/>
        </w:rPr>
        <w:t>החפץ ואדם אחר זוכה בו.</w:t>
      </w:r>
      <w:r w:rsidR="00282DE3">
        <w:rPr>
          <w:rFonts w:hint="cs"/>
          <w:rtl/>
        </w:rPr>
        <w:t xml:space="preserve"> </w:t>
      </w:r>
      <w:r w:rsidR="000E5AC5">
        <w:rPr>
          <w:rFonts w:hint="cs"/>
          <w:rtl/>
        </w:rPr>
        <w:t>ניתוח מפורט יותר של דיוני גאיוס יבוא להלן, לאחר הצגת התוספתא.</w:t>
      </w:r>
    </w:p>
    <w:p w14:paraId="1B5C3EB8" w14:textId="0D08743C" w:rsidR="000E5AC5" w:rsidRDefault="000E5AC5" w:rsidP="000E5AC5">
      <w:pPr>
        <w:pStyle w:val="2"/>
        <w:rPr>
          <w:rtl/>
        </w:rPr>
      </w:pPr>
      <w:r>
        <w:rPr>
          <w:rFonts w:hint="cs"/>
          <w:rtl/>
        </w:rPr>
        <w:t>התוספתא</w:t>
      </w:r>
    </w:p>
    <w:p w14:paraId="0B3E549A" w14:textId="4FF471D5" w:rsidR="00AE1C48" w:rsidRDefault="003E22DE" w:rsidP="003E22DE">
      <w:pPr>
        <w:rPr>
          <w:rFonts w:hint="cs"/>
          <w:b/>
          <w:bCs/>
          <w:rtl/>
        </w:rPr>
      </w:pPr>
      <w:r>
        <w:rPr>
          <w:rFonts w:hint="cs"/>
          <w:rtl/>
        </w:rPr>
        <w:lastRenderedPageBreak/>
        <w:t xml:space="preserve">המשנה בפרק התשיעי של מסכת בבא קמא עוסקת בדינו של </w:t>
      </w:r>
      <w:r w:rsidR="002B374F">
        <w:rPr>
          <w:rFonts w:hint="cs"/>
          <w:rtl/>
        </w:rPr>
        <w:t>חפץ גזול שחל בו שינוי. במשניות א–ב נידונים סוגים רבים של שינויים שיכולים לחול בחפץ, ו</w:t>
      </w:r>
      <w:r w:rsidR="00D50F7F">
        <w:rPr>
          <w:rFonts w:hint="cs"/>
          <w:rtl/>
        </w:rPr>
        <w:t>לגבי כל אחד מהם נאמר אם הגזלן מחזיר את החפץ עצמו</w:t>
      </w:r>
      <w:r w:rsidR="002232B7">
        <w:rPr>
          <w:rFonts w:hint="cs"/>
          <w:rtl/>
        </w:rPr>
        <w:t>,</w:t>
      </w:r>
      <w:r w:rsidR="00D50F7F">
        <w:rPr>
          <w:rFonts w:hint="cs"/>
          <w:rtl/>
        </w:rPr>
        <w:t xml:space="preserve"> או </w:t>
      </w:r>
      <w:r w:rsidR="004E7066">
        <w:rPr>
          <w:rFonts w:hint="cs"/>
          <w:rtl/>
        </w:rPr>
        <w:t>במקרה שלא,</w:t>
      </w:r>
      <w:r w:rsidR="00AE1C48">
        <w:rPr>
          <w:rFonts w:hint="cs"/>
          <w:rtl/>
        </w:rPr>
        <w:t xml:space="preserve"> איזה פיצוי </w:t>
      </w:r>
      <w:r w:rsidR="007C5950">
        <w:rPr>
          <w:rFonts w:hint="cs"/>
          <w:rtl/>
        </w:rPr>
        <w:t>הוא נותן לנגזל</w:t>
      </w:r>
      <w:r w:rsidR="00AE1C48">
        <w:rPr>
          <w:rFonts w:hint="cs"/>
          <w:rtl/>
        </w:rPr>
        <w:t>. כך למשל (</w:t>
      </w:r>
      <w:r w:rsidR="00AE1C48" w:rsidRPr="00B7615A">
        <w:t xml:space="preserve">Mishnah </w:t>
      </w:r>
      <w:r w:rsidR="0091686F" w:rsidRPr="0091686F">
        <w:t>B. Qam.</w:t>
      </w:r>
      <w:r w:rsidR="009877ED">
        <w:t xml:space="preserve"> 9:</w:t>
      </w:r>
      <w:r w:rsidR="00AE1C48" w:rsidRPr="00B7615A">
        <w:t>1–2</w:t>
      </w:r>
      <w:r w:rsidR="00AE1C48">
        <w:rPr>
          <w:rFonts w:hint="cs"/>
          <w:rtl/>
        </w:rPr>
        <w:t xml:space="preserve">): </w:t>
      </w:r>
    </w:p>
    <w:p w14:paraId="70B356CE" w14:textId="6FBFCB3F" w:rsidR="00090CDE" w:rsidRDefault="00AE1C48" w:rsidP="00090CDE">
      <w:pPr>
        <w:bidi w:val="0"/>
        <w:ind w:left="720"/>
      </w:pPr>
      <w:r w:rsidRPr="000F4DC4">
        <w:t xml:space="preserve">One who robs </w:t>
      </w:r>
      <w:r w:rsidRPr="00AE1C48">
        <w:t>pieces of wood and made them into utensils, wool and made it into clothing</w:t>
      </w:r>
      <w:r w:rsidRPr="000F4DC4">
        <w:t>— he pays according to the time of the robbery. If he robbed a pregnant cow and it gave birth</w:t>
      </w:r>
      <w:r>
        <w:t>… If he robbed an animal and it grew old</w:t>
      </w:r>
      <w:r>
        <w:rPr>
          <w:rFonts w:hint="cs"/>
          <w:rtl/>
        </w:rPr>
        <w:t xml:space="preserve"> </w:t>
      </w:r>
      <w:r>
        <w:rPr>
          <w:rtl/>
        </w:rPr>
        <w:t>;</w:t>
      </w:r>
      <w:r>
        <w:t xml:space="preserve">slaves and they grew old… </w:t>
      </w:r>
      <w:r w:rsidRPr="00AD0FF3">
        <w:t>A coin and it was invalidated</w:t>
      </w:r>
      <w:r>
        <w:t>…</w:t>
      </w:r>
      <w:r w:rsidRPr="00E62841">
        <w:rPr>
          <w:rStyle w:val="a6"/>
        </w:rPr>
        <w:footnoteReference w:id="22"/>
      </w:r>
    </w:p>
    <w:p w14:paraId="508D1102" w14:textId="23254CF9" w:rsidR="008249E4" w:rsidRDefault="00090CDE" w:rsidP="008249E4">
      <w:pPr>
        <w:rPr>
          <w:rFonts w:hint="cs"/>
          <w:rtl/>
        </w:rPr>
      </w:pPr>
      <w:r>
        <w:rPr>
          <w:rFonts w:hint="cs"/>
          <w:rtl/>
        </w:rPr>
        <w:t>פרק התוספתא המקביל להלכות אלו הוא פרק י. ההלכות הראשונות בפרק התוספתא (א–ד) מקבילות באופן כללי לדיני המשנה (א–ב) שעוסקים ב'שינוי'</w:t>
      </w:r>
      <w:r w:rsidR="008249E4">
        <w:rPr>
          <w:rFonts w:hint="cs"/>
          <w:rtl/>
        </w:rPr>
        <w:t>:</w:t>
      </w:r>
      <w:r w:rsidR="007E0B41" w:rsidRPr="007E0B41">
        <w:rPr>
          <w:rStyle w:val="fontstyle01"/>
          <w:b/>
          <w:bCs/>
        </w:rPr>
        <w:t xml:space="preserve"> </w:t>
      </w:r>
      <w:r w:rsidR="007E0B41" w:rsidRPr="00926ECD">
        <w:rPr>
          <w:rStyle w:val="a6"/>
        </w:rPr>
        <w:footnoteReference w:id="23"/>
      </w:r>
      <w:r>
        <w:rPr>
          <w:rFonts w:hint="cs"/>
          <w:rtl/>
        </w:rPr>
        <w:t xml:space="preserve"> </w:t>
      </w:r>
    </w:p>
    <w:p w14:paraId="746FA3C5" w14:textId="37C15FEC" w:rsidR="008249E4" w:rsidRDefault="008249E4" w:rsidP="008249E4">
      <w:pPr>
        <w:bidi w:val="0"/>
        <w:spacing w:line="360" w:lineRule="exact"/>
        <w:ind w:left="720"/>
      </w:pPr>
      <w:r>
        <w:t xml:space="preserve">[1–4] </w:t>
      </w:r>
      <w:r w:rsidRPr="000F4DC4">
        <w:t>One who robs</w:t>
      </w:r>
      <w:r>
        <w:t xml:space="preserve"> a cow… </w:t>
      </w:r>
      <w:r w:rsidRPr="000F4DC4">
        <w:t>If he robbed</w:t>
      </w:r>
      <w:r>
        <w:t xml:space="preserve"> </w:t>
      </w:r>
      <w:r w:rsidRPr="000F4DC4">
        <w:t>wool</w:t>
      </w:r>
      <w:r>
        <w:rPr>
          <w:rFonts w:hint="cs"/>
          <w:rtl/>
        </w:rPr>
        <w:t xml:space="preserve"> </w:t>
      </w:r>
      <w:r>
        <w:t>and bleached it… This is the principle: Any stolen thing which persists (</w:t>
      </w:r>
      <w:r>
        <w:rPr>
          <w:rFonts w:hint="cs"/>
          <w:rtl/>
          <w:lang w:val="el-GR"/>
        </w:rPr>
        <w:t>שהיא בעינה</w:t>
      </w:r>
      <w:r>
        <w:t>), and [the robber?]</w:t>
      </w:r>
      <w:r>
        <w:rPr>
          <w:rStyle w:val="a6"/>
        </w:rPr>
        <w:footnoteReference w:id="24"/>
      </w:r>
      <w:r>
        <w:t xml:space="preserve"> did not change it from its original condition (</w:t>
      </w:r>
      <w:r>
        <w:rPr>
          <w:rFonts w:hint="cs"/>
          <w:rtl/>
          <w:lang w:val="el-GR"/>
        </w:rPr>
        <w:t>מברייתה</w:t>
      </w:r>
      <w:r>
        <w:t xml:space="preserve">) – he </w:t>
      </w:r>
      <w:r w:rsidR="007C5950">
        <w:t>[</w:t>
      </w:r>
      <w:r>
        <w:t>the robber</w:t>
      </w:r>
      <w:r w:rsidR="007C5950">
        <w:t>]</w:t>
      </w:r>
      <w:r>
        <w:t xml:space="preserve"> may say to him </w:t>
      </w:r>
      <w:r w:rsidR="007C5950">
        <w:t>[</w:t>
      </w:r>
      <w:r>
        <w:t>the victim</w:t>
      </w:r>
      <w:r w:rsidR="007C5950">
        <w:t>]</w:t>
      </w:r>
      <w:r w:rsidRPr="0024282F">
        <w:t>: “</w:t>
      </w:r>
      <w:r>
        <w:t>h</w:t>
      </w:r>
      <w:r w:rsidRPr="0024282F">
        <w:t>ere, your property is before you.”</w:t>
      </w:r>
      <w:r>
        <w:t xml:space="preserve"> But if [he] changed it from its original condition – </w:t>
      </w:r>
      <w:r w:rsidRPr="005B25C3">
        <w:t>he pays according to the time of the robbery</w:t>
      </w:r>
      <w:r>
        <w:t>.</w:t>
      </w:r>
    </w:p>
    <w:p w14:paraId="5ECD9004" w14:textId="361777A6" w:rsidR="000E115D" w:rsidRDefault="007E0B41" w:rsidP="008249E4">
      <w:pPr>
        <w:rPr>
          <w:rFonts w:hint="cs"/>
          <w:rtl/>
        </w:rPr>
      </w:pPr>
      <w:r>
        <w:rPr>
          <w:rFonts w:hint="cs"/>
          <w:rtl/>
        </w:rPr>
        <w:t>לאחר מכן מביאה התוספתא שלש הלכות שאין להן מקבילה במשנה</w:t>
      </w:r>
      <w:r w:rsidR="00090CDE">
        <w:rPr>
          <w:rFonts w:hint="cs"/>
          <w:rtl/>
        </w:rPr>
        <w:t xml:space="preserve"> (ה–ז)</w:t>
      </w:r>
      <w:r>
        <w:rPr>
          <w:rFonts w:hint="cs"/>
          <w:rtl/>
        </w:rPr>
        <w:t>:</w:t>
      </w:r>
    </w:p>
    <w:p w14:paraId="2FF03192" w14:textId="78B42565" w:rsidR="00CB7382" w:rsidRDefault="00CB7382" w:rsidP="00CB7382">
      <w:pPr>
        <w:bidi w:val="0"/>
        <w:ind w:left="720"/>
      </w:pPr>
      <w:r>
        <w:t xml:space="preserve">[5] </w:t>
      </w:r>
      <w:r w:rsidRPr="000F4DC4">
        <w:t>One who robs</w:t>
      </w:r>
      <w:r w:rsidRPr="00431B53">
        <w:t xml:space="preserve"> </w:t>
      </w:r>
      <w:r w:rsidRPr="0012126B">
        <w:t>a beam (</w:t>
      </w:r>
      <w:r w:rsidRPr="0012126B">
        <w:rPr>
          <w:rFonts w:hint="cs"/>
          <w:rtl/>
          <w:lang w:val="el-GR"/>
        </w:rPr>
        <w:t>מריש</w:t>
      </w:r>
      <w:r w:rsidRPr="0012126B">
        <w:t>) and built it into a large house</w:t>
      </w:r>
      <w:r>
        <w:t xml:space="preserve"> </w:t>
      </w:r>
      <w:r>
        <w:rPr>
          <w:rFonts w:hint="cs"/>
          <w:rtl/>
          <w:lang w:val="el-GR"/>
        </w:rPr>
        <w:t xml:space="preserve"> </w:t>
      </w:r>
      <w:r>
        <w:rPr>
          <w:rStyle w:val="a6"/>
          <w:rtl/>
          <w:lang w:val="el-GR"/>
        </w:rPr>
        <w:footnoteReference w:id="25"/>
      </w:r>
      <w:r>
        <w:rPr>
          <w:rFonts w:hint="cs"/>
          <w:rtl/>
          <w:lang w:val="el-GR"/>
        </w:rPr>
        <w:t>(בירה)</w:t>
      </w:r>
      <w:r>
        <w:t xml:space="preserve">– </w:t>
      </w:r>
      <w:r w:rsidRPr="00431B53">
        <w:t>the</w:t>
      </w:r>
      <w:r>
        <w:t xml:space="preserve"> </w:t>
      </w:r>
      <w:r w:rsidRPr="00431B53">
        <w:t>school of Sha</w:t>
      </w:r>
      <w:r>
        <w:t>m</w:t>
      </w:r>
      <w:r w:rsidRPr="00431B53">
        <w:t>mai say</w:t>
      </w:r>
      <w:r>
        <w:t>s:</w:t>
      </w:r>
      <w:r w:rsidRPr="00431B53">
        <w:t xml:space="preserve"> </w:t>
      </w:r>
      <w:r>
        <w:t>t</w:t>
      </w:r>
      <w:r w:rsidRPr="00431B53">
        <w:t xml:space="preserve">he owner may demolish the house to recover </w:t>
      </w:r>
      <w:r>
        <w:t>the</w:t>
      </w:r>
      <w:r w:rsidRPr="00431B53">
        <w:t xml:space="preserve"> beam</w:t>
      </w:r>
      <w:r>
        <w:t xml:space="preserve">; but the school of Hillel says: </w:t>
      </w:r>
      <w:r w:rsidRPr="00411C4E">
        <w:t xml:space="preserve">he </w:t>
      </w:r>
      <w:r w:rsidRPr="009E2EF6">
        <w:t>calculates</w:t>
      </w:r>
      <w:r>
        <w:t xml:space="preserve"> a</w:t>
      </w:r>
      <w:r w:rsidRPr="00BD4F52">
        <w:t xml:space="preserve">ll that </w:t>
      </w:r>
      <w:r>
        <w:t xml:space="preserve">[the beam] </w:t>
      </w:r>
      <w:r w:rsidRPr="00BD4F52">
        <w:t>was worth</w:t>
      </w:r>
      <w:r>
        <w:t xml:space="preserve"> </w:t>
      </w:r>
      <w:r>
        <w:lastRenderedPageBreak/>
        <w:t>and give</w:t>
      </w:r>
      <w:r>
        <w:rPr>
          <w:rFonts w:asciiTheme="minorHAnsi" w:hAnsiTheme="minorHAnsi"/>
          <w:lang w:val="en-AU"/>
        </w:rPr>
        <w:t>s</w:t>
      </w:r>
      <w:r>
        <w:t xml:space="preserve"> it to the owner, </w:t>
      </w:r>
      <w:r w:rsidRPr="002A4B4C">
        <w:t>because of the enactment of the repenters</w:t>
      </w:r>
      <w:r>
        <w:t xml:space="preserve"> (</w:t>
      </w:r>
      <w:r>
        <w:rPr>
          <w:rFonts w:hint="cs"/>
          <w:rtl/>
          <w:lang w:val="el-GR"/>
        </w:rPr>
        <w:t>תקנת שבין</w:t>
      </w:r>
      <w:r>
        <w:t>).</w:t>
      </w:r>
      <w:r w:rsidR="001078CC">
        <w:rPr>
          <w:rStyle w:val="a6"/>
        </w:rPr>
        <w:footnoteReference w:id="26"/>
      </w:r>
    </w:p>
    <w:p w14:paraId="2E698AB3" w14:textId="0BF2ED56" w:rsidR="008109BC" w:rsidRDefault="00BC7887" w:rsidP="008109BC">
      <w:pPr>
        <w:rPr>
          <w:rFonts w:hint="cs"/>
          <w:rtl/>
        </w:rPr>
      </w:pPr>
      <w:r>
        <w:rPr>
          <w:rFonts w:hint="cs"/>
          <w:rtl/>
        </w:rPr>
        <w:t>הלכה זו קשורה בהלכות הקודמות הן</w:t>
      </w:r>
      <w:r w:rsidR="00D62684">
        <w:rPr>
          <w:rFonts w:hint="cs"/>
          <w:rtl/>
        </w:rPr>
        <w:t xml:space="preserve"> מצד התוכן והן מצד הסגנון.</w:t>
      </w:r>
      <w:r>
        <w:rPr>
          <w:rFonts w:hint="cs"/>
          <w:rtl/>
        </w:rPr>
        <w:t xml:space="preserve"> </w:t>
      </w:r>
      <w:r>
        <w:rPr>
          <w:rFonts w:hint="cs"/>
          <w:rtl/>
        </w:rPr>
        <w:t>קביעת ה</w:t>
      </w:r>
      <w:r w:rsidR="001A3A18">
        <w:rPr>
          <w:rFonts w:hint="cs"/>
          <w:rtl/>
        </w:rPr>
        <w:t>קורה הגזולה</w:t>
      </w:r>
      <w:r>
        <w:rPr>
          <w:rFonts w:hint="cs"/>
          <w:rtl/>
        </w:rPr>
        <w:t xml:space="preserve"> בבניין דומה לשינוי הגזלה בהלכות א–ד, וגם הניסוח בפתיחת ההלכה '(הגוזל) </w:t>
      </w:r>
      <w:r w:rsidRPr="000F4DC4">
        <w:t>One who robs</w:t>
      </w:r>
      <w:r>
        <w:rPr>
          <w:rFonts w:hint="cs"/>
          <w:rtl/>
          <w:lang w:val="el-GR"/>
        </w:rPr>
        <w:t>'</w:t>
      </w:r>
      <w:r>
        <w:rPr>
          <w:rFonts w:hint="cs"/>
          <w:rtl/>
        </w:rPr>
        <w:t xml:space="preserve"> זהה ל</w:t>
      </w:r>
      <w:r w:rsidR="00DF78E8">
        <w:rPr>
          <w:rFonts w:hint="cs"/>
          <w:rtl/>
        </w:rPr>
        <w:t>פתיחה</w:t>
      </w:r>
      <w:r>
        <w:rPr>
          <w:rFonts w:hint="cs"/>
          <w:rtl/>
        </w:rPr>
        <w:t xml:space="preserve"> של ההלכות הקודמות.</w:t>
      </w:r>
      <w:r w:rsidR="00D62684">
        <w:rPr>
          <w:rFonts w:hint="cs"/>
          <w:rtl/>
        </w:rPr>
        <w:t xml:space="preserve"> לפי הלכה זו, האסכולות הקדומות של התנאים נחלקו בדינ</w:t>
      </w:r>
      <w:r w:rsidR="00972C0C">
        <w:rPr>
          <w:rFonts w:hint="cs"/>
          <w:rtl/>
        </w:rPr>
        <w:t>ה של הקורה הגזולה. בהמשך מתייחסת התוספתא למקרה ההפוך:</w:t>
      </w:r>
    </w:p>
    <w:p w14:paraId="3A3321F7" w14:textId="77777777" w:rsidR="00CB7382" w:rsidRDefault="00CB7382" w:rsidP="0012126B">
      <w:pPr>
        <w:bidi w:val="0"/>
        <w:spacing w:line="360" w:lineRule="exact"/>
        <w:ind w:left="720"/>
      </w:pPr>
      <w:r>
        <w:t xml:space="preserve">[6] </w:t>
      </w:r>
      <w:r w:rsidRPr="009614E0">
        <w:t>If one enters a</w:t>
      </w:r>
      <w:r>
        <w:t>n</w:t>
      </w:r>
      <w:r w:rsidRPr="009614E0">
        <w:t xml:space="preserve"> </w:t>
      </w:r>
      <w:r>
        <w:t>empty land (</w:t>
      </w:r>
      <w:r>
        <w:rPr>
          <w:rFonts w:hint="cs"/>
          <w:rtl/>
          <w:lang w:val="el-GR"/>
        </w:rPr>
        <w:t>היורד לחורבתו</w:t>
      </w:r>
      <w:r>
        <w:t>)</w:t>
      </w:r>
      <w:r w:rsidRPr="009614E0">
        <w:t xml:space="preserve"> of his neighbor</w:t>
      </w:r>
      <w:r>
        <w:t xml:space="preserve"> </w:t>
      </w:r>
      <w:r w:rsidRPr="009614E0">
        <w:t xml:space="preserve">and </w:t>
      </w:r>
      <w:r>
        <w:t xml:space="preserve">erects it </w:t>
      </w:r>
      <w:r w:rsidRPr="009614E0">
        <w:t>without permission</w:t>
      </w:r>
      <w:r>
        <w:t xml:space="preserve"> (</w:t>
      </w:r>
      <w:r>
        <w:rPr>
          <w:rFonts w:hint="cs"/>
          <w:rtl/>
          <w:lang w:val="el-GR"/>
        </w:rPr>
        <w:t>שלא ברשות</w:t>
      </w:r>
      <w:r>
        <w:t>)</w:t>
      </w:r>
      <w:r w:rsidRPr="009614E0">
        <w:t>, and when he depart</w:t>
      </w:r>
      <w:r>
        <w:t>s</w:t>
      </w:r>
      <w:r w:rsidRPr="009614E0">
        <w:t>, he says:</w:t>
      </w:r>
      <w:r>
        <w:t xml:space="preserve"> "</w:t>
      </w:r>
      <w:r>
        <w:rPr>
          <w:rFonts w:ascii="Calibri" w:hAnsi="Calibri" w:cs="Calibri"/>
          <w:lang w:val="en-AU"/>
        </w:rPr>
        <w:t>g</w:t>
      </w:r>
      <w:r w:rsidRPr="009614E0">
        <w:t>ive me my</w:t>
      </w:r>
      <w:r>
        <w:t xml:space="preserve"> </w:t>
      </w:r>
      <w:r w:rsidRPr="009614E0">
        <w:t>wood and stone</w:t>
      </w:r>
      <w:r>
        <w:t>" –</w:t>
      </w:r>
      <w:r w:rsidRPr="009614E0">
        <w:t xml:space="preserve"> </w:t>
      </w:r>
      <w:r>
        <w:t>t</w:t>
      </w:r>
      <w:r w:rsidRPr="00A00118">
        <w:t xml:space="preserve">hey </w:t>
      </w:r>
      <w:r>
        <w:t>do</w:t>
      </w:r>
      <w:r w:rsidRPr="00A00118">
        <w:t xml:space="preserve"> not listen to him</w:t>
      </w:r>
      <w:r>
        <w:t>.</w:t>
      </w:r>
    </w:p>
    <w:p w14:paraId="56AADCD1" w14:textId="77777777" w:rsidR="00CB7382" w:rsidRDefault="00CB7382" w:rsidP="0012126B">
      <w:pPr>
        <w:bidi w:val="0"/>
        <w:spacing w:line="360" w:lineRule="exact"/>
        <w:ind w:left="720"/>
      </w:pPr>
      <w:r w:rsidRPr="00C95F55">
        <w:t>Rabban Simeon b. Gamaliel says:</w:t>
      </w:r>
      <w:r>
        <w:t xml:space="preserve"> </w:t>
      </w:r>
      <w:r w:rsidRPr="009614E0">
        <w:t>the school of Shammai</w:t>
      </w:r>
      <w:r>
        <w:t xml:space="preserve"> </w:t>
      </w:r>
      <w:r w:rsidRPr="00431B53">
        <w:t>say</w:t>
      </w:r>
      <w:r>
        <w:t>s:</w:t>
      </w:r>
      <w:r w:rsidRPr="009614E0">
        <w:t xml:space="preserve"> </w:t>
      </w:r>
      <w:r>
        <w:t>'</w:t>
      </w:r>
      <w:r w:rsidRPr="009614E0">
        <w:t>he had the right to it</w:t>
      </w:r>
      <w:r>
        <w:t>'</w:t>
      </w:r>
      <w:r w:rsidRPr="009614E0">
        <w:t xml:space="preserve"> (</w:t>
      </w:r>
      <w:r>
        <w:rPr>
          <w:rFonts w:hint="cs"/>
          <w:rtl/>
        </w:rPr>
        <w:t>הרשות בידו</w:t>
      </w:r>
      <w:r w:rsidRPr="009614E0">
        <w:t>)</w:t>
      </w:r>
      <w:r>
        <w:t>. But</w:t>
      </w:r>
      <w:r w:rsidRPr="009614E0">
        <w:t xml:space="preserve"> </w:t>
      </w:r>
      <w:r>
        <w:t>t</w:t>
      </w:r>
      <w:r w:rsidRPr="009614E0">
        <w:t xml:space="preserve">he school of Hillel </w:t>
      </w:r>
      <w:r>
        <w:t>says: "t</w:t>
      </w:r>
      <w:r w:rsidRPr="00A00118">
        <w:t xml:space="preserve">hey </w:t>
      </w:r>
      <w:r>
        <w:t xml:space="preserve">do </w:t>
      </w:r>
      <w:r w:rsidRPr="00A00118">
        <w:t>not listen to him</w:t>
      </w:r>
      <w:r>
        <w:t>"</w:t>
      </w:r>
      <w:r w:rsidRPr="009614E0">
        <w:t xml:space="preserve">. </w:t>
      </w:r>
    </w:p>
    <w:p w14:paraId="71065563" w14:textId="726E0228" w:rsidR="00972C0C" w:rsidRDefault="00972C0C" w:rsidP="00972C0C">
      <w:pPr>
        <w:spacing w:line="360" w:lineRule="exact"/>
        <w:rPr>
          <w:rFonts w:hint="cs"/>
          <w:rtl/>
        </w:rPr>
      </w:pPr>
      <w:r>
        <w:rPr>
          <w:rFonts w:hint="cs"/>
          <w:rtl/>
        </w:rPr>
        <w:t xml:space="preserve">במקרה זה </w:t>
      </w:r>
      <w:r w:rsidR="0052173F">
        <w:rPr>
          <w:rFonts w:hint="cs"/>
          <w:rtl/>
        </w:rPr>
        <w:t xml:space="preserve">אדם בנה בחומרים שלו בקרקע של אחר. לפי רבן שמעון בן גמליאל </w:t>
      </w:r>
      <w:r w:rsidR="00061C6B">
        <w:rPr>
          <w:rFonts w:hint="cs"/>
          <w:rtl/>
        </w:rPr>
        <w:t xml:space="preserve">גם במקרה זה נחלקו בית שמאי ובית הלל, ואילו לפי החלק האנונימי של התוספתא במקרה זה ברור שהבונה לא יכול לפרק את הבניין. </w:t>
      </w:r>
      <w:r w:rsidR="009D241E">
        <w:rPr>
          <w:rFonts w:hint="cs"/>
          <w:rtl/>
        </w:rPr>
        <w:t>לבסוף דנה התוספתא בפיצוי שמגיע לבונה:</w:t>
      </w:r>
    </w:p>
    <w:p w14:paraId="37CC7862" w14:textId="73E620D4" w:rsidR="00CB7382" w:rsidRDefault="00CB7382" w:rsidP="00CB7382">
      <w:pPr>
        <w:bidi w:val="0"/>
        <w:ind w:left="720"/>
      </w:pPr>
      <w:r>
        <w:t xml:space="preserve">[7] </w:t>
      </w:r>
      <w:r w:rsidRPr="009614E0">
        <w:t>If one enters a</w:t>
      </w:r>
      <w:r>
        <w:t>n</w:t>
      </w:r>
      <w:r w:rsidRPr="009614E0">
        <w:t xml:space="preserve"> </w:t>
      </w:r>
      <w:r>
        <w:t>empty land (</w:t>
      </w:r>
      <w:r>
        <w:rPr>
          <w:rFonts w:hint="cs"/>
          <w:rtl/>
          <w:lang w:val="el-GR"/>
        </w:rPr>
        <w:t>היורד לחורבתו</w:t>
      </w:r>
      <w:r>
        <w:t>)</w:t>
      </w:r>
      <w:r w:rsidRPr="009614E0">
        <w:t xml:space="preserve"> of his neighbor</w:t>
      </w:r>
      <w:r>
        <w:t xml:space="preserve"> </w:t>
      </w:r>
      <w:r w:rsidRPr="009614E0">
        <w:t xml:space="preserve">and </w:t>
      </w:r>
      <w:r>
        <w:t xml:space="preserve">erects it </w:t>
      </w:r>
      <w:r w:rsidRPr="009614E0">
        <w:t>without permission</w:t>
      </w:r>
      <w:r>
        <w:t xml:space="preserve"> (</w:t>
      </w:r>
      <w:r>
        <w:rPr>
          <w:rFonts w:hint="cs"/>
          <w:rtl/>
          <w:lang w:val="el-GR"/>
        </w:rPr>
        <w:t>שלא ברשות</w:t>
      </w:r>
      <w:r>
        <w:t xml:space="preserve">) – [what does he get for his expenses?] They evaluate [the building] so that he [the builder] </w:t>
      </w:r>
      <w:r w:rsidRPr="009614E0">
        <w:t>is at a disadvantage</w:t>
      </w:r>
      <w:r>
        <w:t xml:space="preserve"> (lit. his hand is lower – </w:t>
      </w:r>
      <w:r>
        <w:rPr>
          <w:rFonts w:hint="cs"/>
          <w:rtl/>
          <w:lang w:val="el-GR"/>
        </w:rPr>
        <w:t>ידו על התחתונה</w:t>
      </w:r>
      <w:r>
        <w:t>).</w:t>
      </w:r>
      <w:r>
        <w:rPr>
          <w:rFonts w:hint="cs"/>
          <w:rtl/>
        </w:rPr>
        <w:t xml:space="preserve">  </w:t>
      </w:r>
      <w:r>
        <w:t>But if he enters with permission (</w:t>
      </w:r>
      <w:r>
        <w:rPr>
          <w:rFonts w:hint="cs"/>
          <w:rtl/>
          <w:lang w:val="el-GR"/>
        </w:rPr>
        <w:t>ברשות</w:t>
      </w:r>
      <w:r>
        <w:t xml:space="preserve">) – they evaluate so that he </w:t>
      </w:r>
      <w:r w:rsidRPr="009614E0">
        <w:t>is at a</w:t>
      </w:r>
      <w:r>
        <w:t>n</w:t>
      </w:r>
      <w:r w:rsidRPr="009614E0">
        <w:t xml:space="preserve"> advantage</w:t>
      </w:r>
      <w:r>
        <w:t xml:space="preserve"> (lit. his hand is higher – </w:t>
      </w:r>
      <w:r>
        <w:rPr>
          <w:rFonts w:hint="cs"/>
          <w:rtl/>
          <w:lang w:val="el-GR"/>
        </w:rPr>
        <w:t>ידו על העליונה</w:t>
      </w:r>
      <w:r>
        <w:t>).</w:t>
      </w:r>
    </w:p>
    <w:p w14:paraId="41218D36" w14:textId="6C38F7C2" w:rsidR="00CB7382" w:rsidRDefault="0012126B" w:rsidP="00926ECD">
      <w:pPr>
        <w:bidi w:val="0"/>
        <w:spacing w:line="360" w:lineRule="exact"/>
        <w:ind w:left="720"/>
      </w:pPr>
      <w:r>
        <w:t xml:space="preserve">How is 'his hand higher'? If the </w:t>
      </w:r>
      <w:r w:rsidRPr="009614E0">
        <w:t>improvement</w:t>
      </w:r>
      <w:r>
        <w:t xml:space="preserve"> was greater than the outlay— he gives him the </w:t>
      </w:r>
      <w:r w:rsidRPr="009614E0">
        <w:t>improvement</w:t>
      </w:r>
      <w:r>
        <w:t xml:space="preserve">; if the outlay was greater than the </w:t>
      </w:r>
      <w:r w:rsidRPr="009614E0">
        <w:t>improvement</w:t>
      </w:r>
      <w:r>
        <w:t xml:space="preserve"> — he gives him the outlay.</w:t>
      </w:r>
    </w:p>
    <w:p w14:paraId="60D953D3" w14:textId="37038510" w:rsidR="00A548A4" w:rsidRDefault="000D1BDE" w:rsidP="00B1067D">
      <w:pPr>
        <w:rPr>
          <w:rFonts w:hint="cs"/>
          <w:rtl/>
          <w:lang w:val="el-GR"/>
        </w:rPr>
      </w:pPr>
      <w:r>
        <w:rPr>
          <w:rFonts w:hint="cs"/>
          <w:rtl/>
        </w:rPr>
        <w:t xml:space="preserve">קל לראות שהתוספתא מתאימה לדברי גאיוס הן מצד התוכן, הן מצד הניסוח, והן מצד הסדר. </w:t>
      </w:r>
      <w:r w:rsidR="00F30022">
        <w:rPr>
          <w:rFonts w:hint="cs"/>
          <w:rtl/>
        </w:rPr>
        <w:t>הדין הראשון שנידון בתוספתא מכונה בספרות ההלכה 'שינוי', והוא מקביל מבחינות</w:t>
      </w:r>
      <w:r w:rsidR="00642DB6">
        <w:rPr>
          <w:rFonts w:hint="cs"/>
          <w:rtl/>
        </w:rPr>
        <w:t xml:space="preserve"> </w:t>
      </w:r>
      <w:r w:rsidR="00F30022">
        <w:rPr>
          <w:rFonts w:hint="cs"/>
          <w:rtl/>
        </w:rPr>
        <w:t xml:space="preserve">רבות </w:t>
      </w:r>
      <w:r w:rsidR="00642DB6">
        <w:rPr>
          <w:rFonts w:hint="cs"/>
          <w:rtl/>
        </w:rPr>
        <w:t>ל</w:t>
      </w:r>
      <w:r w:rsidR="00F30022" w:rsidRPr="00F30022">
        <w:rPr>
          <w:i/>
          <w:iCs/>
        </w:rPr>
        <w:t>specificatio</w:t>
      </w:r>
      <w:r w:rsidR="00642DB6">
        <w:rPr>
          <w:i/>
          <w:iCs/>
        </w:rPr>
        <w:t xml:space="preserve"> </w:t>
      </w:r>
      <w:r w:rsidR="00642DB6">
        <w:rPr>
          <w:rFonts w:hint="cs"/>
          <w:i/>
          <w:iCs/>
          <w:rtl/>
          <w:lang w:val="el-GR"/>
        </w:rPr>
        <w:t xml:space="preserve"> </w:t>
      </w:r>
      <w:r w:rsidR="00642DB6" w:rsidRPr="00642DB6">
        <w:rPr>
          <w:rFonts w:hint="cs"/>
          <w:rtl/>
          <w:lang w:val="el-GR"/>
        </w:rPr>
        <w:t>הר</w:t>
      </w:r>
      <w:r w:rsidR="00642DB6">
        <w:rPr>
          <w:rFonts w:hint="cs"/>
          <w:rtl/>
          <w:lang w:val="el-GR"/>
        </w:rPr>
        <w:t>ומי.</w:t>
      </w:r>
      <w:r w:rsidR="006F4B6D">
        <w:rPr>
          <w:rStyle w:val="a6"/>
          <w:rtl/>
        </w:rPr>
        <w:footnoteReference w:id="27"/>
      </w:r>
      <w:r w:rsidR="00642DB6">
        <w:rPr>
          <w:rFonts w:hint="cs"/>
          <w:rtl/>
          <w:lang w:val="el-GR"/>
        </w:rPr>
        <w:t xml:space="preserve"> לאחר מכן דנה התוספתא בדין מריש הגזול שמזכיר מאד את דין </w:t>
      </w:r>
      <w:r w:rsidR="00642DB6" w:rsidRPr="00642DB6">
        <w:rPr>
          <w:i/>
          <w:iCs/>
        </w:rPr>
        <w:t xml:space="preserve">tignum </w:t>
      </w:r>
      <w:r w:rsidR="00642DB6" w:rsidRPr="00642DB6">
        <w:rPr>
          <w:i/>
          <w:iCs/>
        </w:rPr>
        <w:lastRenderedPageBreak/>
        <w:t>iunctum</w:t>
      </w:r>
      <w:r w:rsidR="00F30022" w:rsidRPr="00F30022">
        <w:rPr>
          <w:i/>
          <w:iCs/>
        </w:rPr>
        <w:t xml:space="preserve"> </w:t>
      </w:r>
      <w:r w:rsidR="00642DB6">
        <w:rPr>
          <w:rFonts w:hint="cs"/>
          <w:rtl/>
        </w:rPr>
        <w:t xml:space="preserve"> ואז בדין היורד לחורבתו של חברו ש</w:t>
      </w:r>
      <w:r w:rsidR="00D46368">
        <w:rPr>
          <w:rFonts w:hint="cs"/>
          <w:rtl/>
        </w:rPr>
        <w:t xml:space="preserve">מקביל לדין </w:t>
      </w:r>
      <w:r w:rsidR="00D46368" w:rsidRPr="00D46368">
        <w:rPr>
          <w:i/>
          <w:iCs/>
        </w:rPr>
        <w:t>inaedificatio</w:t>
      </w:r>
      <w:r w:rsidR="00D46368">
        <w:rPr>
          <w:rFonts w:hint="cs"/>
          <w:rtl/>
          <w:lang w:val="el-GR"/>
        </w:rPr>
        <w:t xml:space="preserve">. </w:t>
      </w:r>
      <w:r w:rsidR="000C0A7F">
        <w:rPr>
          <w:rFonts w:hint="cs"/>
          <w:rtl/>
          <w:lang w:val="el-GR"/>
        </w:rPr>
        <w:t>רמז המצוי בתלמוד</w:t>
      </w:r>
      <w:r w:rsidR="0037657C">
        <w:rPr>
          <w:rFonts w:hint="cs"/>
          <w:rtl/>
          <w:lang w:val="el-GR"/>
        </w:rPr>
        <w:t xml:space="preserve"> הירושלמי</w:t>
      </w:r>
      <w:r w:rsidR="000C0A7F">
        <w:rPr>
          <w:rFonts w:hint="cs"/>
          <w:rtl/>
          <w:lang w:val="el-GR"/>
        </w:rPr>
        <w:t xml:space="preserve"> מלמד על אפשרות שבגרסת התוספתא שעמדה לפניהם היתה גם הלכה </w:t>
      </w:r>
      <w:r w:rsidR="002B055F">
        <w:rPr>
          <w:rFonts w:hint="cs"/>
          <w:rtl/>
          <w:lang w:val="el-GR"/>
        </w:rPr>
        <w:t xml:space="preserve">לגבי </w:t>
      </w:r>
      <w:r w:rsidR="00A548A4">
        <w:rPr>
          <w:rFonts w:hint="cs"/>
          <w:rtl/>
          <w:lang w:val="el-GR"/>
        </w:rPr>
        <w:t>נטיעות</w:t>
      </w:r>
      <w:r w:rsidR="002B055F">
        <w:rPr>
          <w:rFonts w:hint="cs"/>
          <w:rtl/>
          <w:lang w:val="el-GR"/>
        </w:rPr>
        <w:t>, ש</w:t>
      </w:r>
      <w:r w:rsidR="000C0A7F">
        <w:rPr>
          <w:rFonts w:hint="cs"/>
          <w:rtl/>
          <w:lang w:val="el-GR"/>
        </w:rPr>
        <w:t xml:space="preserve">מקבילה לדין </w:t>
      </w:r>
      <w:r w:rsidR="008B058C">
        <w:rPr>
          <w:i/>
          <w:iCs/>
        </w:rPr>
        <w:t>im</w:t>
      </w:r>
      <w:r w:rsidR="002B055F" w:rsidRPr="002B055F">
        <w:rPr>
          <w:i/>
          <w:iCs/>
        </w:rPr>
        <w:t>plantatio</w:t>
      </w:r>
      <w:r w:rsidR="002B055F">
        <w:rPr>
          <w:rFonts w:hint="cs"/>
          <w:rtl/>
          <w:lang w:val="el-GR"/>
        </w:rPr>
        <w:t>.</w:t>
      </w:r>
      <w:bookmarkStart w:id="2" w:name="_Ref140411730"/>
      <w:r w:rsidR="002B055F">
        <w:rPr>
          <w:rStyle w:val="a6"/>
          <w:rtl/>
          <w:lang w:val="el-GR"/>
        </w:rPr>
        <w:footnoteReference w:id="28"/>
      </w:r>
      <w:bookmarkEnd w:id="2"/>
      <w:r w:rsidR="00B1067D">
        <w:rPr>
          <w:rFonts w:hint="cs"/>
          <w:rtl/>
          <w:lang w:val="el-GR"/>
        </w:rPr>
        <w:t xml:space="preserve"> </w:t>
      </w:r>
      <w:r w:rsidR="00E33F3C">
        <w:rPr>
          <w:rFonts w:hint="cs"/>
          <w:rtl/>
          <w:lang w:val="el-GR"/>
        </w:rPr>
        <w:t xml:space="preserve">בדין 'שינוי' נוקטת התוספתא דוגמאות שמצויות גם אצל גאיוס, </w:t>
      </w:r>
      <w:r w:rsidR="003F6163">
        <w:rPr>
          <w:rFonts w:hint="cs"/>
          <w:rtl/>
          <w:lang w:val="el-GR"/>
        </w:rPr>
        <w:t>ובדינים האחרים הניסוח דומה ממש. במיוחד מפליא שהתוספתא וגאיוס מביאים את הדינים הללו באותו הסדר.</w:t>
      </w:r>
    </w:p>
    <w:p w14:paraId="37D47449" w14:textId="58394BD2" w:rsidR="000442B7" w:rsidRDefault="000442B7" w:rsidP="00B1067D">
      <w:pPr>
        <w:rPr>
          <w:rFonts w:hint="cs"/>
          <w:rtl/>
          <w:lang w:val="el-GR"/>
        </w:rPr>
      </w:pPr>
      <w:r>
        <w:rPr>
          <w:rFonts w:hint="cs"/>
          <w:rtl/>
          <w:lang w:val="el-GR"/>
        </w:rPr>
        <w:t>לשם הנוחות אציג את ההשוואה בטבלה:</w:t>
      </w:r>
    </w:p>
    <w:tbl>
      <w:tblPr>
        <w:tblStyle w:val="aa"/>
        <w:bidiVisual/>
        <w:tblW w:w="0" w:type="auto"/>
        <w:tblLook w:val="04A0" w:firstRow="1" w:lastRow="0" w:firstColumn="1" w:lastColumn="0" w:noHBand="0" w:noVBand="1"/>
      </w:tblPr>
      <w:tblGrid>
        <w:gridCol w:w="2969"/>
        <w:gridCol w:w="2969"/>
        <w:gridCol w:w="2358"/>
      </w:tblGrid>
      <w:tr w:rsidR="00B31AC7" w14:paraId="14E57DDB" w14:textId="5FB70C54" w:rsidTr="00B31AC7">
        <w:tc>
          <w:tcPr>
            <w:tcW w:w="2969" w:type="dxa"/>
          </w:tcPr>
          <w:p w14:paraId="57EECC35" w14:textId="472F8441" w:rsidR="00B31AC7" w:rsidRPr="00945394" w:rsidRDefault="00B31AC7" w:rsidP="00896557">
            <w:pPr>
              <w:bidi w:val="0"/>
              <w:spacing w:line="360" w:lineRule="exact"/>
              <w:rPr>
                <w:i/>
                <w:iCs/>
              </w:rPr>
            </w:pPr>
            <w:r w:rsidRPr="00945394">
              <w:rPr>
                <w:rFonts w:hint="cs"/>
                <w:b/>
                <w:bCs/>
                <w:i/>
                <w:iCs/>
              </w:rPr>
              <w:t>R</w:t>
            </w:r>
            <w:r w:rsidRPr="00945394">
              <w:rPr>
                <w:b/>
                <w:bCs/>
                <w:i/>
                <w:iCs/>
              </w:rPr>
              <w:t>es Cottidianae</w:t>
            </w:r>
          </w:p>
        </w:tc>
        <w:tc>
          <w:tcPr>
            <w:tcW w:w="2969" w:type="dxa"/>
          </w:tcPr>
          <w:p w14:paraId="7F1CF4BA" w14:textId="4001EE40" w:rsidR="00B31AC7" w:rsidRPr="00D135FC" w:rsidRDefault="00B31AC7" w:rsidP="00896557">
            <w:pPr>
              <w:bidi w:val="0"/>
              <w:spacing w:line="360" w:lineRule="exact"/>
              <w:rPr>
                <w:b/>
                <w:bCs/>
              </w:rPr>
            </w:pPr>
            <w:r w:rsidRPr="00D135FC">
              <w:rPr>
                <w:b/>
                <w:bCs/>
              </w:rPr>
              <w:t xml:space="preserve">Tosefta </w:t>
            </w:r>
          </w:p>
        </w:tc>
        <w:tc>
          <w:tcPr>
            <w:tcW w:w="2358" w:type="dxa"/>
          </w:tcPr>
          <w:p w14:paraId="0C60CA43" w14:textId="77777777" w:rsidR="00B31AC7" w:rsidRPr="00D135FC" w:rsidRDefault="00B31AC7" w:rsidP="00896557">
            <w:pPr>
              <w:bidi w:val="0"/>
              <w:spacing w:line="360" w:lineRule="exact"/>
              <w:rPr>
                <w:b/>
                <w:bCs/>
              </w:rPr>
            </w:pPr>
          </w:p>
        </w:tc>
      </w:tr>
      <w:tr w:rsidR="00B31AC7" w14:paraId="66EEB1FA" w14:textId="0A608BC7" w:rsidTr="00B31AC7">
        <w:tc>
          <w:tcPr>
            <w:tcW w:w="2969" w:type="dxa"/>
          </w:tcPr>
          <w:p w14:paraId="575183F9" w14:textId="2114EAF2" w:rsidR="00B31AC7" w:rsidRPr="00F54D53" w:rsidRDefault="00B31AC7" w:rsidP="00B12F2E">
            <w:pPr>
              <w:bidi w:val="0"/>
              <w:spacing w:line="360" w:lineRule="exact"/>
            </w:pPr>
            <w:r w:rsidRPr="00F54D53">
              <w:t xml:space="preserve">7. Let us say, by way of example, that I make… a ship, cupboard or benches from your timber, a garment from your wool, ... </w:t>
            </w:r>
          </w:p>
          <w:p w14:paraId="2B9E02AC" w14:textId="5776D102" w:rsidR="00B31AC7" w:rsidRPr="00F54D53" w:rsidRDefault="00B31AC7" w:rsidP="00896557">
            <w:pPr>
              <w:bidi w:val="0"/>
              <w:spacing w:line="360" w:lineRule="exact"/>
            </w:pPr>
            <w:r w:rsidRPr="00F54D53">
              <w:t>There is, however, the intermediate view…</w:t>
            </w:r>
            <w:r w:rsidRPr="00F54D53">
              <w:rPr>
                <w:rStyle w:val="a6"/>
              </w:rPr>
              <w:footnoteReference w:id="29"/>
            </w:r>
          </w:p>
        </w:tc>
        <w:tc>
          <w:tcPr>
            <w:tcW w:w="2969" w:type="dxa"/>
          </w:tcPr>
          <w:p w14:paraId="259C6F2B" w14:textId="3A85F917" w:rsidR="00B31AC7" w:rsidRPr="006A43EB" w:rsidRDefault="00B31AC7" w:rsidP="00896557">
            <w:pPr>
              <w:bidi w:val="0"/>
              <w:spacing w:line="360" w:lineRule="exact"/>
            </w:pPr>
            <w:r>
              <w:t>{</w:t>
            </w:r>
            <w:r w:rsidRPr="002022DC">
              <w:rPr>
                <w:b/>
                <w:bCs/>
              </w:rPr>
              <w:t>Mishnah</w:t>
            </w:r>
            <w:r>
              <w:t xml:space="preserve">: </w:t>
            </w:r>
            <w:r w:rsidRPr="000F4DC4">
              <w:t xml:space="preserve">One who robs </w:t>
            </w:r>
            <w:r w:rsidRPr="002C7E28">
              <w:t>pieces of wood and made them into utensils, wool and made it into clothing…}</w:t>
            </w:r>
          </w:p>
          <w:p w14:paraId="08934CF0" w14:textId="77777777" w:rsidR="00B31AC7" w:rsidRDefault="00B31AC7" w:rsidP="001E4A0B">
            <w:pPr>
              <w:bidi w:val="0"/>
              <w:spacing w:line="360" w:lineRule="exact"/>
            </w:pPr>
          </w:p>
          <w:p w14:paraId="10855A87" w14:textId="4AB8DEE5" w:rsidR="00B31AC7" w:rsidRDefault="00B31AC7" w:rsidP="001E4A0B">
            <w:pPr>
              <w:bidi w:val="0"/>
              <w:spacing w:line="360" w:lineRule="exact"/>
            </w:pPr>
            <w:r w:rsidRPr="00D135FC">
              <w:rPr>
                <w:b/>
                <w:bCs/>
              </w:rPr>
              <w:t>Tosefta</w:t>
            </w:r>
            <w:r>
              <w:rPr>
                <w:b/>
                <w:bCs/>
              </w:rPr>
              <w:t>:</w:t>
            </w:r>
            <w:r>
              <w:t>[1–4] …This is the principle…</w:t>
            </w:r>
          </w:p>
        </w:tc>
        <w:tc>
          <w:tcPr>
            <w:tcW w:w="2358" w:type="dxa"/>
          </w:tcPr>
          <w:p w14:paraId="34DF1388" w14:textId="15E008F7" w:rsidR="00B31AC7" w:rsidRPr="00D64D73" w:rsidRDefault="00D64D73" w:rsidP="00896557">
            <w:pPr>
              <w:bidi w:val="0"/>
              <w:spacing w:line="360" w:lineRule="exact"/>
              <w:rPr>
                <w:i/>
                <w:iCs/>
              </w:rPr>
            </w:pPr>
            <w:r w:rsidRPr="001A5DD8">
              <w:rPr>
                <w:b/>
                <w:bCs/>
                <w:i/>
                <w:iCs/>
              </w:rPr>
              <w:t>Specificatio</w:t>
            </w:r>
            <w:r>
              <w:rPr>
                <w:i/>
                <w:iCs/>
              </w:rPr>
              <w:t xml:space="preserve"> </w:t>
            </w:r>
            <w:r w:rsidRPr="001A5DD8">
              <w:t>(</w:t>
            </w:r>
            <w:r w:rsidR="00B71C7B">
              <w:rPr>
                <w:i/>
                <w:iCs/>
              </w:rPr>
              <w:t>s</w:t>
            </w:r>
            <w:r>
              <w:rPr>
                <w:i/>
                <w:iCs/>
              </w:rPr>
              <w:t>hinuy</w:t>
            </w:r>
            <w:r w:rsidRPr="00B71C7B">
              <w:t>)</w:t>
            </w:r>
          </w:p>
        </w:tc>
      </w:tr>
      <w:tr w:rsidR="00B31AC7" w14:paraId="072DF51F" w14:textId="4E5AF38B" w:rsidTr="00B31AC7">
        <w:tc>
          <w:tcPr>
            <w:tcW w:w="2969" w:type="dxa"/>
          </w:tcPr>
          <w:p w14:paraId="50524597" w14:textId="4802112A" w:rsidR="00B31AC7" w:rsidRPr="00F54D53" w:rsidRDefault="00B31AC7" w:rsidP="00B528F4">
            <w:pPr>
              <w:bidi w:val="0"/>
              <w:spacing w:line="360" w:lineRule="exact"/>
            </w:pPr>
            <w:r w:rsidRPr="00F54D53">
              <w:t xml:space="preserve">10. … by reason of the Law of the Twelve Tables which provides that no one is required to give up materials of another built into his premises... </w:t>
            </w:r>
          </w:p>
        </w:tc>
        <w:tc>
          <w:tcPr>
            <w:tcW w:w="2969" w:type="dxa"/>
          </w:tcPr>
          <w:p w14:paraId="7F44A2FE" w14:textId="4674FE2C" w:rsidR="00B31AC7" w:rsidRDefault="00B31AC7" w:rsidP="00896557">
            <w:pPr>
              <w:bidi w:val="0"/>
              <w:spacing w:line="360" w:lineRule="exact"/>
            </w:pPr>
            <w:r>
              <w:t xml:space="preserve">[5] </w:t>
            </w:r>
            <w:r w:rsidRPr="000F4DC4">
              <w:t>One who robs</w:t>
            </w:r>
            <w:r w:rsidRPr="00F54D53">
              <w:t xml:space="preserve"> a beam and built it into a large house</w:t>
            </w:r>
            <w:r>
              <w:t>...</w:t>
            </w:r>
          </w:p>
        </w:tc>
        <w:tc>
          <w:tcPr>
            <w:tcW w:w="2358" w:type="dxa"/>
          </w:tcPr>
          <w:p w14:paraId="123DF1F7" w14:textId="4CB06588" w:rsidR="00B31AC7" w:rsidRPr="001A5DD8" w:rsidRDefault="001A5DD8" w:rsidP="00896557">
            <w:pPr>
              <w:bidi w:val="0"/>
              <w:spacing w:line="360" w:lineRule="exact"/>
            </w:pPr>
            <w:r w:rsidRPr="00284478">
              <w:rPr>
                <w:b/>
                <w:bCs/>
                <w:i/>
                <w:iCs/>
              </w:rPr>
              <w:t>Tignum Iunctum</w:t>
            </w:r>
            <w:r>
              <w:rPr>
                <w:i/>
                <w:iCs/>
              </w:rPr>
              <w:t xml:space="preserve"> </w:t>
            </w:r>
            <w:r w:rsidRPr="00284478">
              <w:t>(</w:t>
            </w:r>
            <w:r w:rsidR="00B71C7B">
              <w:rPr>
                <w:i/>
                <w:iCs/>
              </w:rPr>
              <w:t>marish hagazul</w:t>
            </w:r>
            <w:r w:rsidRPr="00284478">
              <w:t>)</w:t>
            </w:r>
          </w:p>
        </w:tc>
      </w:tr>
      <w:tr w:rsidR="00B31AC7" w14:paraId="00D6BAA7" w14:textId="42861D28" w:rsidTr="00B31AC7">
        <w:tc>
          <w:tcPr>
            <w:tcW w:w="2969" w:type="dxa"/>
          </w:tcPr>
          <w:p w14:paraId="79BE229D" w14:textId="77777777" w:rsidR="00B31AC7" w:rsidRDefault="00B31AC7" w:rsidP="00896557">
            <w:pPr>
              <w:bidi w:val="0"/>
              <w:spacing w:line="360" w:lineRule="exact"/>
            </w:pPr>
            <w:r w:rsidRPr="00A60572">
              <w:t>12. Conversely,</w:t>
            </w:r>
            <w:r>
              <w:t xml:space="preserve"> </w:t>
            </w:r>
            <w:r w:rsidRPr="00A60572">
              <w:t xml:space="preserve">if a person were to build with his own materials on someone else's site, </w:t>
            </w:r>
            <w:r>
              <w:t>…</w:t>
            </w:r>
          </w:p>
          <w:p w14:paraId="092149B5" w14:textId="73B0F39D" w:rsidR="00B31AC7" w:rsidRPr="00A60572" w:rsidRDefault="00B31AC7" w:rsidP="00891FC0">
            <w:pPr>
              <w:bidi w:val="0"/>
              <w:spacing w:line="360" w:lineRule="exact"/>
            </w:pPr>
            <w:r w:rsidRPr="00F54D53">
              <w:t>Of course, if the owner of the site were to claim the building but was unwilling to pay the value of the materials or the workers' wages…</w:t>
            </w:r>
            <w:r>
              <w:rPr>
                <w:rStyle w:val="a6"/>
              </w:rPr>
              <w:footnoteReference w:id="30"/>
            </w:r>
            <w:r w:rsidRPr="00A60572">
              <w:t xml:space="preserve"> </w:t>
            </w:r>
          </w:p>
        </w:tc>
        <w:tc>
          <w:tcPr>
            <w:tcW w:w="2969" w:type="dxa"/>
          </w:tcPr>
          <w:p w14:paraId="5D155502" w14:textId="2EC1D19C" w:rsidR="00B31AC7" w:rsidRDefault="00B31AC7" w:rsidP="00896557">
            <w:pPr>
              <w:bidi w:val="0"/>
              <w:spacing w:line="360" w:lineRule="exact"/>
            </w:pPr>
            <w:r>
              <w:t xml:space="preserve">[6] </w:t>
            </w:r>
            <w:r w:rsidRPr="009614E0">
              <w:t>If one enters a</w:t>
            </w:r>
            <w:r>
              <w:t>n</w:t>
            </w:r>
            <w:r w:rsidRPr="009614E0">
              <w:t xml:space="preserve"> </w:t>
            </w:r>
            <w:r>
              <w:t>empty land</w:t>
            </w:r>
            <w:r w:rsidRPr="009614E0">
              <w:t xml:space="preserve"> of his neighbor</w:t>
            </w:r>
            <w:r>
              <w:t xml:space="preserve"> </w:t>
            </w:r>
            <w:r w:rsidRPr="009614E0">
              <w:t xml:space="preserve">and </w:t>
            </w:r>
            <w:r>
              <w:t xml:space="preserve">erects it </w:t>
            </w:r>
            <w:r w:rsidRPr="009614E0">
              <w:t>without permission</w:t>
            </w:r>
            <w:r>
              <w:t>…</w:t>
            </w:r>
          </w:p>
          <w:p w14:paraId="451CE700" w14:textId="3C17F0D2" w:rsidR="00B31AC7" w:rsidRDefault="00B31AC7" w:rsidP="00FC2073">
            <w:pPr>
              <w:bidi w:val="0"/>
              <w:spacing w:line="360" w:lineRule="exact"/>
            </w:pPr>
            <w:r>
              <w:t xml:space="preserve">[7] … If the </w:t>
            </w:r>
            <w:r w:rsidRPr="009614E0">
              <w:t>improvement</w:t>
            </w:r>
            <w:r>
              <w:t xml:space="preserve"> was greater than the outlay— he gives him the </w:t>
            </w:r>
            <w:r w:rsidRPr="009614E0">
              <w:t>improvement</w:t>
            </w:r>
            <w:r>
              <w:t xml:space="preserve">; if the outlay was greater than the </w:t>
            </w:r>
            <w:r w:rsidRPr="009614E0">
              <w:lastRenderedPageBreak/>
              <w:t>improvement</w:t>
            </w:r>
            <w:r>
              <w:t xml:space="preserve"> — he gives him the outlay.</w:t>
            </w:r>
            <w:r>
              <w:rPr>
                <w:rStyle w:val="a6"/>
              </w:rPr>
              <w:footnoteReference w:id="31"/>
            </w:r>
          </w:p>
        </w:tc>
        <w:tc>
          <w:tcPr>
            <w:tcW w:w="2358" w:type="dxa"/>
          </w:tcPr>
          <w:p w14:paraId="2E19584E" w14:textId="7D84EC0F" w:rsidR="00B31AC7" w:rsidRPr="00284478" w:rsidRDefault="00284478" w:rsidP="00896557">
            <w:pPr>
              <w:bidi w:val="0"/>
              <w:spacing w:line="360" w:lineRule="exact"/>
              <w:rPr>
                <w:b/>
                <w:bCs/>
              </w:rPr>
            </w:pPr>
            <w:r w:rsidRPr="00284478">
              <w:rPr>
                <w:b/>
                <w:bCs/>
              </w:rPr>
              <w:lastRenderedPageBreak/>
              <w:t>Inaedificatio</w:t>
            </w:r>
            <w:r>
              <w:rPr>
                <w:b/>
                <w:bCs/>
              </w:rPr>
              <w:t xml:space="preserve"> </w:t>
            </w:r>
            <w:r w:rsidRPr="00284478">
              <w:t>(</w:t>
            </w:r>
            <w:r w:rsidR="000F6688" w:rsidRPr="00222E95">
              <w:rPr>
                <w:i/>
                <w:iCs/>
              </w:rPr>
              <w:t>hayored</w:t>
            </w:r>
            <w:r w:rsidRPr="00284478">
              <w:t>)</w:t>
            </w:r>
          </w:p>
        </w:tc>
      </w:tr>
    </w:tbl>
    <w:p w14:paraId="1921DD94" w14:textId="77777777" w:rsidR="000442B7" w:rsidRPr="000442B7" w:rsidRDefault="000442B7" w:rsidP="00B1067D">
      <w:pPr>
        <w:rPr>
          <w:rFonts w:hint="cs"/>
          <w:rtl/>
        </w:rPr>
      </w:pPr>
    </w:p>
    <w:p w14:paraId="7B8E360C" w14:textId="308E391B" w:rsidR="002B7CD8" w:rsidRDefault="002B7CD8" w:rsidP="002B7CD8">
      <w:pPr>
        <w:rPr>
          <w:rFonts w:hint="cs"/>
          <w:rtl/>
        </w:rPr>
      </w:pPr>
      <w:r>
        <w:rPr>
          <w:rFonts w:hint="cs"/>
          <w:rtl/>
        </w:rPr>
        <w:t xml:space="preserve">על הדמיון </w:t>
      </w:r>
      <w:r w:rsidR="00B66588">
        <w:rPr>
          <w:rFonts w:hint="cs"/>
          <w:rtl/>
        </w:rPr>
        <w:t xml:space="preserve">בין החיבורים </w:t>
      </w:r>
      <w:r>
        <w:rPr>
          <w:rFonts w:hint="cs"/>
          <w:rtl/>
        </w:rPr>
        <w:t>בתוכן הדינים עמדו חוקרים כבר לפני שנים רבות, ואדון בו עוד להלן.</w:t>
      </w:r>
      <w:r>
        <w:rPr>
          <w:rStyle w:val="a6"/>
          <w:rtl/>
        </w:rPr>
        <w:footnoteReference w:id="32"/>
      </w:r>
      <w:r>
        <w:rPr>
          <w:rFonts w:hint="cs"/>
          <w:rtl/>
        </w:rPr>
        <w:t xml:space="preserve"> בועז כהן</w:t>
      </w:r>
      <w:r w:rsidR="00C564FB">
        <w:rPr>
          <w:rFonts w:hint="cs"/>
          <w:rtl/>
        </w:rPr>
        <w:t xml:space="preserve"> הקדיש פרק</w:t>
      </w:r>
      <w:r>
        <w:rPr>
          <w:rFonts w:hint="cs"/>
          <w:rtl/>
        </w:rPr>
        <w:t xml:space="preserve"> בספרו הגדול </w:t>
      </w:r>
      <w:r>
        <w:t>Jewish and Roman Law</w:t>
      </w:r>
      <w:r>
        <w:rPr>
          <w:rFonts w:hint="cs"/>
          <w:rtl/>
        </w:rPr>
        <w:t xml:space="preserve"> </w:t>
      </w:r>
      <w:r w:rsidR="00544C3C">
        <w:rPr>
          <w:rFonts w:hint="cs"/>
          <w:rtl/>
        </w:rPr>
        <w:t>לתיאור ה</w:t>
      </w:r>
      <w:r w:rsidR="00E40834">
        <w:rPr>
          <w:rFonts w:hint="cs"/>
          <w:rtl/>
        </w:rPr>
        <w:t>דמיון בין</w:t>
      </w:r>
      <w:r>
        <w:rPr>
          <w:rFonts w:hint="cs"/>
          <w:rtl/>
        </w:rPr>
        <w:t xml:space="preserve"> </w:t>
      </w:r>
      <w:r>
        <w:t>specificatio</w:t>
      </w:r>
      <w:r>
        <w:rPr>
          <w:rFonts w:hint="cs"/>
          <w:rtl/>
        </w:rPr>
        <w:t xml:space="preserve"> ו'שינוי'</w:t>
      </w:r>
      <w:r w:rsidR="00544C3C">
        <w:rPr>
          <w:rFonts w:hint="cs"/>
          <w:rtl/>
        </w:rPr>
        <w:t>,</w:t>
      </w:r>
      <w:r>
        <w:rPr>
          <w:rFonts w:hint="cs"/>
          <w:rtl/>
        </w:rPr>
        <w:t xml:space="preserve"> </w:t>
      </w:r>
      <w:r w:rsidR="00143318">
        <w:rPr>
          <w:rFonts w:hint="cs"/>
          <w:rtl/>
        </w:rPr>
        <w:t>ל</w:t>
      </w:r>
      <w:r>
        <w:rPr>
          <w:rFonts w:hint="cs"/>
          <w:rtl/>
        </w:rPr>
        <w:t>עקרונות ו</w:t>
      </w:r>
      <w:r w:rsidR="00143318">
        <w:rPr>
          <w:rFonts w:hint="cs"/>
          <w:rtl/>
        </w:rPr>
        <w:t>ל</w:t>
      </w:r>
      <w:r>
        <w:rPr>
          <w:rFonts w:hint="cs"/>
          <w:rtl/>
        </w:rPr>
        <w:t>דוגמאות שנידונות בשתי מערכות החוק, בתקופות ובמקורות שונים. בתחילת הדיון הוא מ</w:t>
      </w:r>
      <w:r w:rsidR="004908CD">
        <w:rPr>
          <w:rFonts w:hint="cs"/>
          <w:rtl/>
        </w:rPr>
        <w:t>דגיש גם</w:t>
      </w:r>
      <w:r>
        <w:rPr>
          <w:rFonts w:hint="cs"/>
          <w:rtl/>
        </w:rPr>
        <w:t xml:space="preserve"> </w:t>
      </w:r>
      <w:r w:rsidR="004908CD">
        <w:rPr>
          <w:rFonts w:hint="cs"/>
          <w:rtl/>
        </w:rPr>
        <w:t>את</w:t>
      </w:r>
      <w:r>
        <w:rPr>
          <w:rFonts w:hint="cs"/>
          <w:rtl/>
        </w:rPr>
        <w:t xml:space="preserve"> הדמיון בסדר</w:t>
      </w:r>
      <w:r w:rsidR="004908CD">
        <w:rPr>
          <w:rFonts w:hint="cs"/>
          <w:rtl/>
        </w:rPr>
        <w:t xml:space="preserve"> הדינים</w:t>
      </w:r>
      <w:r w:rsidR="00143318">
        <w:rPr>
          <w:rFonts w:hint="cs"/>
          <w:rtl/>
        </w:rPr>
        <w:t xml:space="preserve"> בין התוספתא והדיגסטה</w:t>
      </w:r>
      <w:r>
        <w:rPr>
          <w:rFonts w:hint="cs"/>
          <w:rtl/>
        </w:rPr>
        <w:t xml:space="preserve"> ומסכם:</w:t>
      </w:r>
      <w:r>
        <w:rPr>
          <w:rStyle w:val="a6"/>
          <w:rtl/>
        </w:rPr>
        <w:footnoteReference w:id="33"/>
      </w:r>
    </w:p>
    <w:p w14:paraId="19BC518A" w14:textId="411F7CCC" w:rsidR="002B7CD8" w:rsidRDefault="002B7CD8" w:rsidP="002B7CD8">
      <w:pPr>
        <w:bidi w:val="0"/>
        <w:ind w:left="720"/>
      </w:pPr>
      <w:r w:rsidRPr="001363E4">
        <w:t>Note that the arrangement of the rules in the Tosefta corresponds more closely with the arrangement in the Digest</w:t>
      </w:r>
      <w:r w:rsidR="00AF10F4">
        <w:t xml:space="preserve">… </w:t>
      </w:r>
      <w:r w:rsidRPr="00CA7D11">
        <w:rPr>
          <w:u w:val="single"/>
        </w:rPr>
        <w:t>We are not suggesting that the Rabbis were familiar with the contents of the Digest, but they were certainly thinking along the same lines as the Roman jurisconsults</w:t>
      </w:r>
      <w:r w:rsidR="00973935">
        <w:rPr>
          <w:u w:val="single"/>
        </w:rPr>
        <w:t>.</w:t>
      </w:r>
    </w:p>
    <w:p w14:paraId="4DE51ECB" w14:textId="0BFA4213" w:rsidR="00C04D3C" w:rsidRDefault="002B7CD8" w:rsidP="00480119">
      <w:pPr>
        <w:rPr>
          <w:rtl/>
        </w:rPr>
      </w:pPr>
      <w:r>
        <w:rPr>
          <w:rFonts w:hint="cs"/>
          <w:rtl/>
        </w:rPr>
        <w:t>סיכום זה מתאים לשיטתו הכללית של כהן שמסתייג מהאפשרות לקבוע שיש השפעה של המערכת הרומית על היהודית. כחלק מגישה זו, כהן משווה את המערכות בעיקר במבט סינכרוני: הוא משווה בין הפרטים והכללים של שתי המערכות, אך מתעלם</w:t>
      </w:r>
      <w:r w:rsidR="00F34092">
        <w:rPr>
          <w:rFonts w:hint="cs"/>
          <w:rtl/>
        </w:rPr>
        <w:t xml:space="preserve"> בדרך כלל</w:t>
      </w:r>
      <w:r>
        <w:rPr>
          <w:rFonts w:hint="cs"/>
          <w:rtl/>
        </w:rPr>
        <w:t xml:space="preserve"> מ</w:t>
      </w:r>
      <w:r w:rsidR="00F34092">
        <w:rPr>
          <w:rFonts w:hint="cs"/>
          <w:rtl/>
        </w:rPr>
        <w:t>מגמות</w:t>
      </w:r>
      <w:r>
        <w:rPr>
          <w:rFonts w:hint="cs"/>
          <w:rtl/>
        </w:rPr>
        <w:t xml:space="preserve"> ההתפתחות של כל אחת מהן. לדעתי מחקר כזה </w:t>
      </w:r>
      <w:r>
        <w:rPr>
          <w:rtl/>
        </w:rPr>
        <w:t>–</w:t>
      </w:r>
      <w:r>
        <w:rPr>
          <w:rFonts w:hint="cs"/>
          <w:rtl/>
        </w:rPr>
        <w:t xml:space="preserve"> אף שיש בו בוודאי תועלת רבה </w:t>
      </w:r>
      <w:r>
        <w:rPr>
          <w:rtl/>
        </w:rPr>
        <w:t>–</w:t>
      </w:r>
      <w:r>
        <w:rPr>
          <w:rFonts w:hint="cs"/>
          <w:rtl/>
        </w:rPr>
        <w:t xml:space="preserve"> מטשטש את המשמעות </w:t>
      </w:r>
      <w:r w:rsidR="00F8502D">
        <w:rPr>
          <w:rFonts w:hint="cs"/>
          <w:rtl/>
        </w:rPr>
        <w:t>האמיתית</w:t>
      </w:r>
      <w:r>
        <w:rPr>
          <w:rFonts w:hint="cs"/>
          <w:rtl/>
        </w:rPr>
        <w:t xml:space="preserve"> של ההשוואה בין מערכות החוק</w:t>
      </w:r>
      <w:r w:rsidR="008D642A">
        <w:rPr>
          <w:rFonts w:hint="cs"/>
          <w:rtl/>
        </w:rPr>
        <w:t xml:space="preserve">, שתתגלה דווקא מתוך </w:t>
      </w:r>
      <w:r w:rsidR="00B04662">
        <w:rPr>
          <w:rFonts w:hint="cs"/>
          <w:rtl/>
        </w:rPr>
        <w:t>ניתוח דיאכרוני של התפתחות המקורות.</w:t>
      </w:r>
      <w:r w:rsidR="00AB2D2A">
        <w:rPr>
          <w:rFonts w:hint="cs"/>
          <w:rtl/>
        </w:rPr>
        <w:t xml:space="preserve"> לניתוח זה יוקדשו הסעיפים הבאים.</w:t>
      </w:r>
      <w:r w:rsidR="00480119">
        <w:rPr>
          <w:rFonts w:hint="cs"/>
          <w:rtl/>
        </w:rPr>
        <w:t xml:space="preserve"> </w:t>
      </w:r>
      <w:r w:rsidR="004C450D">
        <w:rPr>
          <w:rFonts w:hint="cs"/>
          <w:rtl/>
        </w:rPr>
        <w:t xml:space="preserve">עיון זה דורש צלילה </w:t>
      </w:r>
      <w:r w:rsidR="007F1A3E">
        <w:rPr>
          <w:rFonts w:hint="cs"/>
          <w:rtl/>
        </w:rPr>
        <w:t xml:space="preserve">עמוקה יותר לתוך ההיסטוריה הטקסטואלית של החיבורים, והקורא הבלתי מיומן עשוי להתקשות בו. </w:t>
      </w:r>
      <w:r w:rsidR="00D4679D">
        <w:rPr>
          <w:rFonts w:hint="cs"/>
          <w:rtl/>
        </w:rPr>
        <w:t xml:space="preserve">לפיכך </w:t>
      </w:r>
      <w:r w:rsidR="007F1A3E">
        <w:rPr>
          <w:rFonts w:hint="cs"/>
          <w:rtl/>
        </w:rPr>
        <w:t xml:space="preserve">השתדלתי להגביל את הדיון למינימום הנדרש כדי </w:t>
      </w:r>
      <w:r w:rsidR="009A31A3">
        <w:rPr>
          <w:rFonts w:hint="cs"/>
          <w:rtl/>
        </w:rPr>
        <w:t>להבהיר את טענותיי.</w:t>
      </w:r>
      <w:r w:rsidR="00C04D3C">
        <w:rPr>
          <w:rFonts w:hint="cs"/>
          <w:rtl/>
        </w:rPr>
        <w:t xml:space="preserve"> </w:t>
      </w:r>
    </w:p>
    <w:p w14:paraId="0FC4D487" w14:textId="0225EE22" w:rsidR="006B2B6D" w:rsidRDefault="006B2B6D" w:rsidP="00D813A5">
      <w:pPr>
        <w:pStyle w:val="2"/>
        <w:rPr>
          <w:rtl/>
        </w:rPr>
      </w:pPr>
      <w:r>
        <w:rPr>
          <w:rFonts w:hint="cs"/>
          <w:rtl/>
        </w:rPr>
        <w:t>התפתחות הדינים ב</w:t>
      </w:r>
      <w:r w:rsidRPr="00456C30">
        <w:t xml:space="preserve"> </w:t>
      </w:r>
      <w:r w:rsidRPr="00506F75">
        <w:t>Res cottidianae</w:t>
      </w:r>
    </w:p>
    <w:p w14:paraId="0D19EF86" w14:textId="24D822F0" w:rsidR="006B2B6D" w:rsidRDefault="006B2B6D" w:rsidP="007A0A9D">
      <w:pPr>
        <w:rPr>
          <w:rFonts w:hint="cs"/>
          <w:rtl/>
        </w:rPr>
      </w:pPr>
      <w:r>
        <w:rPr>
          <w:rFonts w:hint="cs"/>
          <w:rtl/>
        </w:rPr>
        <w:t>אתחיל את הדיון בדברי גאיוס, ש</w:t>
      </w:r>
      <w:r w:rsidR="00AE2DAB">
        <w:rPr>
          <w:rFonts w:hint="cs"/>
          <w:rtl/>
        </w:rPr>
        <w:t xml:space="preserve">תיאורם פשוט יחסית. </w:t>
      </w:r>
      <w:r w:rsidR="007A0A9D">
        <w:rPr>
          <w:rFonts w:hint="cs"/>
          <w:rtl/>
        </w:rPr>
        <w:t>לעיל הבאתי את פסקת הפתיחה להרצאתו של גאיוס</w:t>
      </w:r>
      <w:r>
        <w:rPr>
          <w:rFonts w:hint="cs"/>
          <w:rtl/>
        </w:rPr>
        <w:t xml:space="preserve"> </w:t>
      </w:r>
      <w:r w:rsidR="000556C4">
        <w:t>(Dig. 41.1.1)</w:t>
      </w:r>
      <w:r>
        <w:rPr>
          <w:rFonts w:hint="cs"/>
          <w:rtl/>
        </w:rPr>
        <w:t>):</w:t>
      </w:r>
    </w:p>
    <w:p w14:paraId="3706AF2A" w14:textId="70036C55" w:rsidR="006B2B6D" w:rsidRDefault="006B2B6D" w:rsidP="006B2B6D">
      <w:pPr>
        <w:bidi w:val="0"/>
        <w:ind w:left="720"/>
      </w:pPr>
      <w:r w:rsidRPr="00866F86">
        <w:t>Of some things we acquire ownership under the law of nations</w:t>
      </w:r>
      <w:r>
        <w:t xml:space="preserve"> (</w:t>
      </w:r>
      <w:r w:rsidRPr="00866F86">
        <w:rPr>
          <w:i/>
          <w:iCs/>
        </w:rPr>
        <w:t>iure gentium</w:t>
      </w:r>
      <w:r>
        <w:t>)</w:t>
      </w:r>
      <w:r w:rsidRPr="00866F86">
        <w:t xml:space="preserve"> which is observed, by natural reason</w:t>
      </w:r>
      <w:r>
        <w:t xml:space="preserve"> (</w:t>
      </w:r>
      <w:r w:rsidRPr="004B25BF">
        <w:rPr>
          <w:i/>
          <w:iCs/>
        </w:rPr>
        <w:t>ratione naturali</w:t>
      </w:r>
      <w:r>
        <w:t>)</w:t>
      </w:r>
      <w:r w:rsidRPr="00866F86">
        <w:t>, among all men generally, of others under the civil law</w:t>
      </w:r>
      <w:r>
        <w:t xml:space="preserve"> (</w:t>
      </w:r>
      <w:r w:rsidRPr="00AD25A1">
        <w:rPr>
          <w:i/>
          <w:iCs/>
        </w:rPr>
        <w:t>iure civili</w:t>
      </w:r>
      <w:r>
        <w:t>)</w:t>
      </w:r>
      <w:r w:rsidRPr="00866F86">
        <w:t xml:space="preserve"> which is peculiar to our city</w:t>
      </w:r>
      <w:r>
        <w:t>..</w:t>
      </w:r>
      <w:r w:rsidRPr="00866F86">
        <w:rPr>
          <w:rtl/>
        </w:rPr>
        <w:t>.</w:t>
      </w:r>
    </w:p>
    <w:p w14:paraId="52184659" w14:textId="1909CC17" w:rsidR="00100257" w:rsidRDefault="000556C4" w:rsidP="00AD438B">
      <w:pPr>
        <w:rPr>
          <w:rtl/>
        </w:rPr>
      </w:pPr>
      <w:r>
        <w:rPr>
          <w:rFonts w:hint="cs"/>
          <w:rtl/>
        </w:rPr>
        <w:t xml:space="preserve">לפי האמור בהקדמה, </w:t>
      </w:r>
      <w:r w:rsidR="00A53FF7">
        <w:rPr>
          <w:rFonts w:hint="cs"/>
          <w:rtl/>
        </w:rPr>
        <w:t xml:space="preserve">צורות הקניין בחוקי העמים אינן מבוססות על חוקיה של רומא, והן מושתתות על </w:t>
      </w:r>
      <w:r w:rsidR="00AD438B" w:rsidRPr="00866F86">
        <w:t>natural reason</w:t>
      </w:r>
      <w:r w:rsidR="00AD438B">
        <w:rPr>
          <w:rFonts w:hint="cs"/>
          <w:rtl/>
        </w:rPr>
        <w:t>. על רקע זה</w:t>
      </w:r>
      <w:r w:rsidR="006B2B6D">
        <w:rPr>
          <w:rFonts w:hint="cs"/>
          <w:rtl/>
        </w:rPr>
        <w:t xml:space="preserve"> בולט בזרותו דין הקורה המחוברת (</w:t>
      </w:r>
      <w:r w:rsidR="006B2B6D" w:rsidRPr="00714A86">
        <w:rPr>
          <w:i/>
          <w:iCs/>
        </w:rPr>
        <w:t>tignum iunctum</w:t>
      </w:r>
      <w:r w:rsidR="006B2B6D">
        <w:rPr>
          <w:rFonts w:hint="cs"/>
          <w:rtl/>
        </w:rPr>
        <w:t xml:space="preserve">). </w:t>
      </w:r>
      <w:r w:rsidR="006B2B6D">
        <w:rPr>
          <w:rFonts w:hint="cs"/>
          <w:rtl/>
        </w:rPr>
        <w:lastRenderedPageBreak/>
        <w:t>ראשית, גאיוס עצמו כותב (לעיל בסעיף 10) שדין זה איננו דין קנייני, והקורה הגנובה לא הופכת בשום שלב לרכושו של הגזלן. כלומר, אין מדובר כאן בקניין אלא במגבלה על אפשרות התביעה (</w:t>
      </w:r>
      <w:r w:rsidR="006B2B6D" w:rsidRPr="006114CD">
        <w:rPr>
          <w:i/>
          <w:iCs/>
        </w:rPr>
        <w:t>vindicatio</w:t>
      </w:r>
      <w:r w:rsidR="006B2B6D">
        <w:rPr>
          <w:rFonts w:hint="cs"/>
          <w:rtl/>
        </w:rPr>
        <w:t xml:space="preserve">). בנוסף, אין במגבלה זו שום דבר </w:t>
      </w:r>
      <w:r w:rsidR="00D813A5">
        <w:rPr>
          <w:rFonts w:hint="cs"/>
          <w:rtl/>
        </w:rPr>
        <w:t>"</w:t>
      </w:r>
      <w:r w:rsidR="006B2B6D">
        <w:rPr>
          <w:rFonts w:hint="cs"/>
          <w:rtl/>
        </w:rPr>
        <w:t>טבעי</w:t>
      </w:r>
      <w:r w:rsidR="00D813A5">
        <w:rPr>
          <w:rFonts w:hint="cs"/>
          <w:rtl/>
        </w:rPr>
        <w:t>"</w:t>
      </w:r>
      <w:r w:rsidR="006B2B6D">
        <w:rPr>
          <w:rFonts w:hint="cs"/>
          <w:rtl/>
        </w:rPr>
        <w:t>, שהרי היא מבוססת על חוק שנים עשר הלוחות. שנים עשר הלוחות</w:t>
      </w:r>
      <w:r w:rsidR="00E30BA8">
        <w:rPr>
          <w:rFonts w:hint="cs"/>
          <w:rtl/>
        </w:rPr>
        <w:t xml:space="preserve"> ה</w:t>
      </w:r>
      <w:r w:rsidR="00EA06E2">
        <w:rPr>
          <w:rFonts w:hint="cs"/>
          <w:rtl/>
        </w:rPr>
        <w:t xml:space="preserve">ם </w:t>
      </w:r>
      <w:r w:rsidR="00E30BA8">
        <w:rPr>
          <w:rFonts w:hint="cs"/>
          <w:rtl/>
        </w:rPr>
        <w:t>המקור הכתוב הקדום ביותר של המשפט הרומי, והחוקים הכתובים בהם</w:t>
      </w:r>
      <w:r w:rsidR="006B2B6D">
        <w:rPr>
          <w:rFonts w:hint="cs"/>
          <w:rtl/>
        </w:rPr>
        <w:t xml:space="preserve"> מיוחדים לעיר רומא.</w:t>
      </w:r>
      <w:r w:rsidR="00E30BA8">
        <w:rPr>
          <w:rFonts w:hint="cs"/>
          <w:rtl/>
        </w:rPr>
        <w:t xml:space="preserve"> לא ברור איך ניתן לומר שחוק שנים עשר הלוחות שייך ל</w:t>
      </w:r>
      <w:r w:rsidR="00E30BA8" w:rsidRPr="00E30BA8">
        <w:rPr>
          <w:i/>
          <w:iCs/>
        </w:rPr>
        <w:t>ius gentium</w:t>
      </w:r>
      <w:r w:rsidR="00E30BA8">
        <w:rPr>
          <w:rFonts w:hint="cs"/>
          <w:rtl/>
          <w:lang w:val="el-GR"/>
        </w:rPr>
        <w:t>.</w:t>
      </w:r>
      <w:r w:rsidR="006B2B6D">
        <w:rPr>
          <w:rFonts w:hint="cs"/>
          <w:rtl/>
        </w:rPr>
        <w:t xml:space="preserve"> </w:t>
      </w:r>
    </w:p>
    <w:p w14:paraId="167A9CAD" w14:textId="6BB65C12" w:rsidR="006B2B6D" w:rsidRPr="009E68D8" w:rsidRDefault="00100257" w:rsidP="00A61DD5">
      <w:pPr>
        <w:rPr>
          <w:rFonts w:hint="cs"/>
          <w:rtl/>
        </w:rPr>
      </w:pPr>
      <w:r>
        <w:rPr>
          <w:rFonts w:hint="cs"/>
          <w:rtl/>
        </w:rPr>
        <w:t>פתרון אפשרי לבעיות אלו הוא</w:t>
      </w:r>
      <w:r w:rsidR="00E30BA8">
        <w:rPr>
          <w:rFonts w:hint="cs"/>
          <w:rtl/>
        </w:rPr>
        <w:t xml:space="preserve"> </w:t>
      </w:r>
      <w:r w:rsidR="006B2B6D">
        <w:rPr>
          <w:rFonts w:hint="cs"/>
          <w:rtl/>
        </w:rPr>
        <w:t xml:space="preserve">שגאיוס (או עורך מאוחר של חיבורו) שילב את דין </w:t>
      </w:r>
      <w:r w:rsidR="006B2B6D" w:rsidRPr="00714A86">
        <w:rPr>
          <w:i/>
          <w:iCs/>
        </w:rPr>
        <w:t>tignum iunctum</w:t>
      </w:r>
      <w:r w:rsidR="006B2B6D">
        <w:rPr>
          <w:rFonts w:hint="cs"/>
          <w:rtl/>
        </w:rPr>
        <w:t xml:space="preserve"> בתוך ההרצאה,</w:t>
      </w:r>
      <w:r>
        <w:rPr>
          <w:rFonts w:hint="cs"/>
          <w:rtl/>
        </w:rPr>
        <w:t xml:space="preserve"> אף שאין הוא ממש מתאים לה.</w:t>
      </w:r>
      <w:r w:rsidR="00A61DD5">
        <w:rPr>
          <w:rFonts w:hint="cs"/>
          <w:rtl/>
        </w:rPr>
        <w:t xml:space="preserve"> הסיבה לחיבור הדין היא כנראה הדמיון הרב בין דין זה </w:t>
      </w:r>
      <w:r w:rsidR="00A61DD5">
        <w:rPr>
          <w:rtl/>
        </w:rPr>
        <w:t>–</w:t>
      </w:r>
      <w:r w:rsidR="00A61DD5">
        <w:rPr>
          <w:rFonts w:hint="cs"/>
          <w:rtl/>
        </w:rPr>
        <w:t xml:space="preserve"> כפי שמציג אותו גאיוס </w:t>
      </w:r>
      <w:r w:rsidR="00A61DD5">
        <w:rPr>
          <w:rtl/>
        </w:rPr>
        <w:t>–</w:t>
      </w:r>
      <w:r w:rsidR="00A61DD5">
        <w:rPr>
          <w:rFonts w:hint="cs"/>
          <w:rtl/>
        </w:rPr>
        <w:t xml:space="preserve"> ובין דין </w:t>
      </w:r>
      <w:r w:rsidR="006B2B6D" w:rsidRPr="006114CD">
        <w:rPr>
          <w:i/>
          <w:iCs/>
        </w:rPr>
        <w:t>inaedificatio</w:t>
      </w:r>
      <w:r w:rsidR="006B2B6D">
        <w:rPr>
          <w:rFonts w:hint="cs"/>
          <w:rtl/>
        </w:rPr>
        <w:t xml:space="preserve">. </w:t>
      </w:r>
      <w:r w:rsidR="00A61DD5">
        <w:rPr>
          <w:rFonts w:hint="cs"/>
          <w:rtl/>
        </w:rPr>
        <w:t xml:space="preserve">גאיוס מציג את שני הדינים הללו כתמונת מראה האחד של השני. </w:t>
      </w:r>
      <w:r w:rsidR="009E68D8" w:rsidRPr="006114CD">
        <w:rPr>
          <w:i/>
          <w:iCs/>
        </w:rPr>
        <w:t>Inaedificatio</w:t>
      </w:r>
      <w:r w:rsidR="009E68D8">
        <w:rPr>
          <w:rFonts w:hint="cs"/>
          <w:rtl/>
        </w:rPr>
        <w:t xml:space="preserve"> מתייחס למי שבונה חומרים שלו בקרקע של </w:t>
      </w:r>
      <w:r w:rsidR="00074C15">
        <w:rPr>
          <w:rFonts w:hint="cs"/>
          <w:rtl/>
        </w:rPr>
        <w:t xml:space="preserve">אדם </w:t>
      </w:r>
      <w:r w:rsidR="009E68D8">
        <w:rPr>
          <w:rFonts w:hint="cs"/>
          <w:rtl/>
        </w:rPr>
        <w:t>אחר, ו</w:t>
      </w:r>
      <w:r w:rsidR="009E68D8" w:rsidRPr="00714A86">
        <w:rPr>
          <w:i/>
          <w:iCs/>
        </w:rPr>
        <w:t>tignum iunctum</w:t>
      </w:r>
      <w:r w:rsidR="009E68D8">
        <w:rPr>
          <w:rFonts w:hint="cs"/>
          <w:rtl/>
        </w:rPr>
        <w:t xml:space="preserve"> מורחב כך שהוא כולל כל </w:t>
      </w:r>
      <w:r w:rsidR="00074C15">
        <w:rPr>
          <w:rFonts w:hint="cs"/>
          <w:rtl/>
        </w:rPr>
        <w:t>מי שבונה בקרקע שלו</w:t>
      </w:r>
      <w:r w:rsidR="009E68D8">
        <w:rPr>
          <w:rFonts w:hint="cs"/>
          <w:rtl/>
        </w:rPr>
        <w:t xml:space="preserve"> עם חומרים של </w:t>
      </w:r>
      <w:r w:rsidR="00074C15">
        <w:rPr>
          <w:rFonts w:hint="cs"/>
          <w:rtl/>
        </w:rPr>
        <w:t xml:space="preserve">אדם </w:t>
      </w:r>
      <w:r w:rsidR="009E68D8">
        <w:rPr>
          <w:rFonts w:hint="cs"/>
          <w:rtl/>
        </w:rPr>
        <w:t>אחר.</w:t>
      </w:r>
      <w:r w:rsidR="003F241A">
        <w:rPr>
          <w:rFonts w:hint="cs"/>
          <w:rtl/>
        </w:rPr>
        <w:t xml:space="preserve"> השילוב הטקסטואלי גורר אחריו שינוי קונספטואלי. בעוד חוק שנים עשר הלוחות מתייחס בעיקר לבעיית הפירוק של הבניין, גאיוס תופס אותו כחלק מן העיקרון ש</w:t>
      </w:r>
      <w:r w:rsidR="003F241A" w:rsidRPr="003F241A">
        <w:t xml:space="preserve"> </w:t>
      </w:r>
      <w:r w:rsidR="007B3CCD">
        <w:t>'</w:t>
      </w:r>
      <w:r w:rsidR="003F241A">
        <w:t>all that is built on it becomes part of the soil (</w:t>
      </w:r>
      <w:r w:rsidR="003F241A" w:rsidRPr="00BB22AC">
        <w:rPr>
          <w:i/>
          <w:iCs/>
        </w:rPr>
        <w:t>omne quod inaedificatur solo cedit</w:t>
      </w:r>
      <w:r w:rsidR="003F241A">
        <w:t>)</w:t>
      </w:r>
      <w:r w:rsidR="007B3CCD">
        <w:t>'</w:t>
      </w:r>
      <w:r w:rsidR="007B3CCD">
        <w:rPr>
          <w:rFonts w:hint="cs"/>
          <w:rtl/>
        </w:rPr>
        <w:t>.</w:t>
      </w:r>
      <w:r w:rsidR="006C192C">
        <w:rPr>
          <w:rFonts w:hint="cs"/>
          <w:rtl/>
        </w:rPr>
        <w:t xml:space="preserve"> כלומר, הבעיה איננה בפירוק הבניין, אלא בתפיסה הקניינית שרואה את המחובר לקרקע כחלק מן הקרקע.</w:t>
      </w:r>
      <w:r w:rsidR="007B3CCD">
        <w:rPr>
          <w:rFonts w:hint="cs"/>
          <w:rtl/>
        </w:rPr>
        <w:t xml:space="preserve"> </w:t>
      </w:r>
    </w:p>
    <w:p w14:paraId="57E6B1F3" w14:textId="4414BF04" w:rsidR="006B2B6D" w:rsidRDefault="006C192C" w:rsidP="00623976">
      <w:pPr>
        <w:rPr>
          <w:rFonts w:asciiTheme="minorHAnsi" w:hAnsiTheme="minorHAnsi"/>
          <w:rtl/>
        </w:rPr>
      </w:pPr>
      <w:r>
        <w:rPr>
          <w:rFonts w:hint="cs"/>
          <w:rtl/>
        </w:rPr>
        <w:t>סיוע לשחזור שהצעתי ניתן להביא ממקבילות בתוך ספרות החוק הרומי.</w:t>
      </w:r>
      <w:r w:rsidR="00683560">
        <w:rPr>
          <w:rFonts w:hint="cs"/>
          <w:rtl/>
        </w:rPr>
        <w:t xml:space="preserve"> </w:t>
      </w:r>
      <w:r w:rsidR="00E26553">
        <w:rPr>
          <w:rFonts w:hint="cs"/>
          <w:rtl/>
        </w:rPr>
        <w:t xml:space="preserve">מקורו של </w:t>
      </w:r>
      <w:r w:rsidR="006B2B6D">
        <w:rPr>
          <w:rFonts w:hint="cs"/>
          <w:rtl/>
        </w:rPr>
        <w:t xml:space="preserve">דין </w:t>
      </w:r>
      <w:r w:rsidR="006B2B6D" w:rsidRPr="00714A86">
        <w:rPr>
          <w:i/>
          <w:iCs/>
        </w:rPr>
        <w:t>tignum iunctum</w:t>
      </w:r>
      <w:r w:rsidR="006B2B6D">
        <w:rPr>
          <w:rFonts w:hint="cs"/>
          <w:rtl/>
        </w:rPr>
        <w:t xml:space="preserve"> בשנים עשר הלוחות</w:t>
      </w:r>
      <w:r w:rsidR="0020240A">
        <w:rPr>
          <w:rFonts w:hint="cs"/>
          <w:rtl/>
        </w:rPr>
        <w:t xml:space="preserve"> והוא מצוטט במקומות רבים בספרות הרומית</w:t>
      </w:r>
      <w:r w:rsidR="006B2B6D">
        <w:rPr>
          <w:rFonts w:hint="cs"/>
          <w:rtl/>
        </w:rPr>
        <w:t>.</w:t>
      </w:r>
      <w:r w:rsidR="006B2B6D">
        <w:rPr>
          <w:rStyle w:val="a6"/>
          <w:rFonts w:asciiTheme="minorHAnsi" w:hAnsiTheme="minorHAnsi"/>
          <w:rtl/>
        </w:rPr>
        <w:footnoteReference w:id="34"/>
      </w:r>
      <w:r w:rsidR="0020240A">
        <w:rPr>
          <w:rFonts w:hint="cs"/>
          <w:rtl/>
        </w:rPr>
        <w:t xml:space="preserve"> לפי הציטוטים הוא עסק באיסור לעקור את הקורה, ולא ב</w:t>
      </w:r>
      <w:r w:rsidR="00E26553">
        <w:rPr>
          <w:rFonts w:hint="cs"/>
          <w:rtl/>
        </w:rPr>
        <w:t>עניין</w:t>
      </w:r>
      <w:r w:rsidR="0020240A">
        <w:rPr>
          <w:rFonts w:hint="cs"/>
          <w:rtl/>
        </w:rPr>
        <w:t xml:space="preserve"> </w:t>
      </w:r>
      <w:r w:rsidR="00E26553">
        <w:rPr>
          <w:rFonts w:hint="cs"/>
          <w:rtl/>
        </w:rPr>
        <w:t>ה</w:t>
      </w:r>
      <w:r w:rsidR="0020240A">
        <w:rPr>
          <w:rFonts w:hint="cs"/>
          <w:rtl/>
        </w:rPr>
        <w:t>בעלות</w:t>
      </w:r>
      <w:r w:rsidR="00623976">
        <w:rPr>
          <w:rFonts w:hint="cs"/>
          <w:rtl/>
        </w:rPr>
        <w:t>.</w:t>
      </w:r>
      <w:r w:rsidR="006B2B6D">
        <w:rPr>
          <w:rStyle w:val="a6"/>
          <w:rFonts w:asciiTheme="minorHAnsi" w:hAnsiTheme="minorHAnsi"/>
          <w:rtl/>
        </w:rPr>
        <w:footnoteReference w:id="35"/>
      </w:r>
      <w:r w:rsidR="006B2B6D">
        <w:rPr>
          <w:rFonts w:asciiTheme="minorHAnsi" w:hAnsiTheme="minorHAnsi" w:hint="cs"/>
          <w:rtl/>
        </w:rPr>
        <w:t xml:space="preserve"> ציטוטים אלו מחזקים את דברי גאיוס שאין מדובר כאן בקניין, אלא באיסור קדום לעקור קורה מבניין.</w:t>
      </w:r>
    </w:p>
    <w:p w14:paraId="4845A0ED" w14:textId="2F0CB1EC" w:rsidR="006B2B6D" w:rsidRDefault="00DA0EC1" w:rsidP="006B2B6D">
      <w:pPr>
        <w:rPr>
          <w:rFonts w:asciiTheme="minorHAnsi" w:hAnsiTheme="minorHAnsi" w:hint="cs"/>
          <w:rtl/>
        </w:rPr>
      </w:pPr>
      <w:r>
        <w:rPr>
          <w:rFonts w:asciiTheme="minorHAnsi" w:hAnsiTheme="minorHAnsi" w:hint="cs"/>
          <w:rtl/>
        </w:rPr>
        <w:t>חשובה מכך היא המקבילה ל</w:t>
      </w:r>
      <w:r w:rsidR="00AD3170">
        <w:rPr>
          <w:rFonts w:asciiTheme="minorHAnsi" w:hAnsiTheme="minorHAnsi" w:hint="cs"/>
          <w:rtl/>
        </w:rPr>
        <w:t xml:space="preserve">הרצאה על הקניין </w:t>
      </w:r>
      <w:r>
        <w:rPr>
          <w:rFonts w:asciiTheme="minorHAnsi" w:hAnsiTheme="minorHAnsi" w:hint="cs"/>
          <w:rtl/>
        </w:rPr>
        <w:t>ש</w:t>
      </w:r>
      <w:r w:rsidR="00AD3170">
        <w:rPr>
          <w:rFonts w:asciiTheme="minorHAnsi" w:hAnsiTheme="minorHAnsi" w:hint="cs"/>
          <w:rtl/>
        </w:rPr>
        <w:t>מצויה</w:t>
      </w:r>
      <w:r w:rsidR="006B2B6D">
        <w:rPr>
          <w:rFonts w:asciiTheme="minorHAnsi" w:hAnsiTheme="minorHAnsi" w:hint="cs"/>
          <w:rtl/>
        </w:rPr>
        <w:t xml:space="preserve"> </w:t>
      </w:r>
      <w:r w:rsidR="00254B49">
        <w:rPr>
          <w:rFonts w:asciiTheme="minorHAnsi" w:hAnsiTheme="minorHAnsi" w:hint="cs"/>
          <w:rtl/>
        </w:rPr>
        <w:t>ב</w:t>
      </w:r>
      <w:r w:rsidR="006B2B6D">
        <w:rPr>
          <w:rFonts w:asciiTheme="minorHAnsi" w:hAnsiTheme="minorHAnsi" w:hint="cs"/>
          <w:rtl/>
        </w:rPr>
        <w:t>אינסטיטוציות</w:t>
      </w:r>
      <w:r w:rsidR="00254B49">
        <w:rPr>
          <w:rFonts w:asciiTheme="minorHAnsi" w:hAnsiTheme="minorHAnsi" w:hint="cs"/>
          <w:rtl/>
        </w:rPr>
        <w:t xml:space="preserve"> של גאיוס</w:t>
      </w:r>
      <w:r w:rsidR="006B2B6D">
        <w:rPr>
          <w:rFonts w:asciiTheme="minorHAnsi" w:hAnsiTheme="minorHAnsi" w:hint="cs"/>
          <w:rtl/>
        </w:rPr>
        <w:t xml:space="preserve">. </w:t>
      </w:r>
      <w:r w:rsidR="00C124EF">
        <w:rPr>
          <w:rFonts w:asciiTheme="minorHAnsi" w:hAnsiTheme="minorHAnsi" w:hint="cs"/>
          <w:rtl/>
        </w:rPr>
        <w:t>לחלקים רבים ב</w:t>
      </w:r>
      <w:r w:rsidR="00C124EF" w:rsidRPr="00C124EF">
        <w:rPr>
          <w:i/>
          <w:iCs/>
        </w:rPr>
        <w:t xml:space="preserve"> </w:t>
      </w:r>
      <w:r w:rsidR="00C124EF" w:rsidRPr="00F0130C">
        <w:rPr>
          <w:i/>
          <w:iCs/>
        </w:rPr>
        <w:t>Res cottidianae</w:t>
      </w:r>
      <w:r w:rsidR="00254B49">
        <w:rPr>
          <w:rFonts w:asciiTheme="minorHAnsi" w:hAnsiTheme="minorHAnsi" w:hint="cs"/>
          <w:rtl/>
        </w:rPr>
        <w:t xml:space="preserve"> </w:t>
      </w:r>
      <w:r w:rsidR="00C124EF">
        <w:rPr>
          <w:rFonts w:asciiTheme="minorHAnsi" w:hAnsiTheme="minorHAnsi" w:hint="cs"/>
          <w:rtl/>
        </w:rPr>
        <w:t xml:space="preserve">יש מקבילות </w:t>
      </w:r>
      <w:r w:rsidR="007C6AA1">
        <w:rPr>
          <w:rFonts w:asciiTheme="minorHAnsi" w:hAnsiTheme="minorHAnsi" w:hint="cs"/>
          <w:rtl/>
        </w:rPr>
        <w:t>קרובות מאד ב</w:t>
      </w:r>
      <w:r w:rsidR="006B2B6D">
        <w:rPr>
          <w:rFonts w:asciiTheme="minorHAnsi" w:hAnsiTheme="minorHAnsi" w:hint="cs"/>
          <w:rtl/>
        </w:rPr>
        <w:t>אינסטיטוציות</w:t>
      </w:r>
      <w:r w:rsidR="00A12090">
        <w:rPr>
          <w:rFonts w:asciiTheme="minorHAnsi" w:hAnsiTheme="minorHAnsi" w:hint="cs"/>
          <w:rtl/>
        </w:rPr>
        <w:t>, וכך גם להרצאה שבה אנו עוסקים.</w:t>
      </w:r>
      <w:r w:rsidR="006B2B6D">
        <w:rPr>
          <w:rFonts w:asciiTheme="minorHAnsi" w:hAnsiTheme="minorHAnsi" w:hint="cs"/>
          <w:rtl/>
        </w:rPr>
        <w:t xml:space="preserve"> </w:t>
      </w:r>
      <w:r w:rsidR="006B2B6D">
        <w:rPr>
          <w:rFonts w:asciiTheme="minorHAnsi" w:hAnsiTheme="minorHAnsi" w:hint="cs"/>
          <w:rtl/>
        </w:rPr>
        <w:lastRenderedPageBreak/>
        <w:t>חוק</w:t>
      </w:r>
      <w:r w:rsidR="003A104D">
        <w:rPr>
          <w:rFonts w:asciiTheme="minorHAnsi" w:hAnsiTheme="minorHAnsi" w:hint="cs"/>
          <w:rtl/>
        </w:rPr>
        <w:t>ר</w:t>
      </w:r>
      <w:r w:rsidR="006B2B6D">
        <w:rPr>
          <w:rFonts w:asciiTheme="minorHAnsi" w:hAnsiTheme="minorHAnsi" w:hint="cs"/>
          <w:rtl/>
        </w:rPr>
        <w:t>י המשפט הרומי חלוקים בשאלת היחס בין החיבורים</w:t>
      </w:r>
      <w:r w:rsidR="00A12090">
        <w:rPr>
          <w:rFonts w:asciiTheme="minorHAnsi" w:hAnsiTheme="minorHAnsi" w:hint="cs"/>
          <w:rtl/>
        </w:rPr>
        <w:t xml:space="preserve"> בכלל</w:t>
      </w:r>
      <w:r w:rsidR="00053B07">
        <w:rPr>
          <w:rFonts w:asciiTheme="minorHAnsi" w:hAnsiTheme="minorHAnsi" w:hint="cs"/>
          <w:rtl/>
        </w:rPr>
        <w:t>,</w:t>
      </w:r>
      <w:r w:rsidR="00A12090">
        <w:rPr>
          <w:rFonts w:asciiTheme="minorHAnsi" w:hAnsiTheme="minorHAnsi" w:hint="cs"/>
          <w:rtl/>
        </w:rPr>
        <w:t xml:space="preserve"> וביחס להרצאה זו בפרט</w:t>
      </w:r>
      <w:r w:rsidR="006B2B6D">
        <w:rPr>
          <w:rFonts w:asciiTheme="minorHAnsi" w:hAnsiTheme="minorHAnsi" w:hint="cs"/>
          <w:rtl/>
        </w:rPr>
        <w:t>.</w:t>
      </w:r>
      <w:r w:rsidR="006B2B6D">
        <w:rPr>
          <w:rStyle w:val="a6"/>
          <w:rFonts w:asciiTheme="minorHAnsi" w:hAnsiTheme="minorHAnsi"/>
          <w:rtl/>
        </w:rPr>
        <w:footnoteReference w:id="36"/>
      </w:r>
      <w:r w:rsidR="006B2B6D">
        <w:rPr>
          <w:rFonts w:asciiTheme="minorHAnsi" w:hAnsiTheme="minorHAnsi" w:hint="cs"/>
          <w:rtl/>
        </w:rPr>
        <w:t xml:space="preserve"> </w:t>
      </w:r>
      <w:r w:rsidR="00EA26FF">
        <w:rPr>
          <w:rFonts w:asciiTheme="minorHAnsi" w:hAnsiTheme="minorHAnsi" w:hint="cs"/>
          <w:rtl/>
        </w:rPr>
        <w:t>לענייננו חשוב</w:t>
      </w:r>
      <w:r w:rsidR="006B2B6D">
        <w:rPr>
          <w:rFonts w:asciiTheme="minorHAnsi" w:hAnsiTheme="minorHAnsi" w:hint="cs"/>
          <w:rtl/>
        </w:rPr>
        <w:t xml:space="preserve"> </w:t>
      </w:r>
      <w:r w:rsidR="00EA26FF">
        <w:rPr>
          <w:rFonts w:asciiTheme="minorHAnsi" w:hAnsiTheme="minorHAnsi" w:hint="cs"/>
          <w:rtl/>
        </w:rPr>
        <w:t>ש</w:t>
      </w:r>
      <w:r w:rsidR="006B2B6D">
        <w:rPr>
          <w:rFonts w:asciiTheme="minorHAnsi" w:hAnsiTheme="minorHAnsi" w:hint="cs"/>
          <w:rtl/>
        </w:rPr>
        <w:t>ב</w:t>
      </w:r>
      <w:r w:rsidR="00EA26FF">
        <w:rPr>
          <w:rFonts w:asciiTheme="minorHAnsi" w:hAnsiTheme="minorHAnsi" w:hint="cs"/>
          <w:rtl/>
        </w:rPr>
        <w:t>הרצאה שב</w:t>
      </w:r>
      <w:r w:rsidR="006B2B6D">
        <w:rPr>
          <w:rFonts w:asciiTheme="minorHAnsi" w:hAnsiTheme="minorHAnsi" w:hint="cs"/>
          <w:rtl/>
        </w:rPr>
        <w:t xml:space="preserve">אינסטיטוציות לא נזכר דין </w:t>
      </w:r>
      <w:r w:rsidR="006B2B6D" w:rsidRPr="00714A86">
        <w:rPr>
          <w:i/>
          <w:iCs/>
        </w:rPr>
        <w:t>tignum iunctum</w:t>
      </w:r>
      <w:r w:rsidR="006B2B6D">
        <w:rPr>
          <w:rFonts w:asciiTheme="minorHAnsi" w:hAnsiTheme="minorHAnsi" w:hint="cs"/>
          <w:rtl/>
        </w:rPr>
        <w:t>:</w:t>
      </w:r>
      <w:r w:rsidR="006B2B6D">
        <w:rPr>
          <w:rStyle w:val="a6"/>
          <w:rFonts w:asciiTheme="minorHAnsi" w:hAnsiTheme="minorHAnsi"/>
          <w:rtl/>
        </w:rPr>
        <w:footnoteReference w:id="37"/>
      </w:r>
    </w:p>
    <w:tbl>
      <w:tblPr>
        <w:tblStyle w:val="aa"/>
        <w:tblW w:w="9008" w:type="dxa"/>
        <w:tblLook w:val="04A0" w:firstRow="1" w:lastRow="0" w:firstColumn="1" w:lastColumn="0" w:noHBand="0" w:noVBand="1"/>
      </w:tblPr>
      <w:tblGrid>
        <w:gridCol w:w="4499"/>
        <w:gridCol w:w="4509"/>
      </w:tblGrid>
      <w:tr w:rsidR="006B2B6D" w:rsidRPr="00677C22" w14:paraId="54889BF8" w14:textId="77777777" w:rsidTr="00523BE4">
        <w:tc>
          <w:tcPr>
            <w:tcW w:w="4499" w:type="dxa"/>
          </w:tcPr>
          <w:p w14:paraId="323B8249" w14:textId="5919917A" w:rsidR="006B2B6D" w:rsidRPr="00677C22" w:rsidRDefault="006B2B6D" w:rsidP="00523BE4">
            <w:pPr>
              <w:bidi w:val="0"/>
              <w:spacing w:line="360" w:lineRule="exact"/>
              <w:rPr>
                <w:b/>
                <w:bCs/>
              </w:rPr>
            </w:pPr>
            <w:r w:rsidRPr="00677C22">
              <w:rPr>
                <w:b/>
                <w:bCs/>
              </w:rPr>
              <w:t>Gai. II. §65-79</w:t>
            </w:r>
          </w:p>
        </w:tc>
        <w:tc>
          <w:tcPr>
            <w:tcW w:w="4509" w:type="dxa"/>
          </w:tcPr>
          <w:p w14:paraId="3001EA5C" w14:textId="3897D8E5" w:rsidR="006B2B6D" w:rsidRPr="00677C22" w:rsidRDefault="008B6452" w:rsidP="00523BE4">
            <w:pPr>
              <w:bidi w:val="0"/>
              <w:spacing w:line="360" w:lineRule="exact"/>
              <w:rPr>
                <w:b/>
                <w:bCs/>
              </w:rPr>
            </w:pPr>
            <w:r>
              <w:rPr>
                <w:b/>
                <w:bCs/>
              </w:rPr>
              <w:t>Res cottidianae</w:t>
            </w:r>
          </w:p>
        </w:tc>
      </w:tr>
      <w:tr w:rsidR="006B2B6D" w:rsidRPr="00677C22" w14:paraId="7A58DDA3" w14:textId="77777777" w:rsidTr="00523BE4">
        <w:tc>
          <w:tcPr>
            <w:tcW w:w="4499" w:type="dxa"/>
          </w:tcPr>
          <w:p w14:paraId="17D45D0D" w14:textId="65B50767" w:rsidR="006B2B6D" w:rsidRPr="00677C22" w:rsidRDefault="006B2B6D" w:rsidP="00523BE4">
            <w:pPr>
              <w:bidi w:val="0"/>
              <w:spacing w:line="360" w:lineRule="exact"/>
              <w:rPr>
                <w:rtl/>
              </w:rPr>
            </w:pPr>
            <w:r>
              <w:t xml:space="preserve">65. </w:t>
            </w:r>
            <w:r w:rsidRPr="0078398A">
              <w:t>It appears, then, from what we have said, that alienation takes place sometimes under natural law, as where it is by delivery, and sometimes under civil law</w:t>
            </w:r>
            <w:r w:rsidR="00113EB4">
              <w:t xml:space="preserve"> </w:t>
            </w:r>
            <w:r>
              <w:t>…</w:t>
            </w:r>
          </w:p>
        </w:tc>
        <w:tc>
          <w:tcPr>
            <w:tcW w:w="4509" w:type="dxa"/>
          </w:tcPr>
          <w:p w14:paraId="49027B09" w14:textId="6CE9DE98" w:rsidR="006B2B6D" w:rsidRDefault="006B2B6D" w:rsidP="00523BE4">
            <w:pPr>
              <w:bidi w:val="0"/>
              <w:spacing w:line="360" w:lineRule="exact"/>
            </w:pPr>
            <w:r w:rsidRPr="00866F86">
              <w:t>Of some things we acquire ownership under the law of nations</w:t>
            </w:r>
            <w:r>
              <w:t xml:space="preserve"> (</w:t>
            </w:r>
            <w:r w:rsidRPr="00866F86">
              <w:rPr>
                <w:i/>
                <w:iCs/>
              </w:rPr>
              <w:t>iure gentium</w:t>
            </w:r>
            <w:r>
              <w:t>)..</w:t>
            </w:r>
            <w:r w:rsidRPr="00866F86">
              <w:rPr>
                <w:rtl/>
              </w:rPr>
              <w:t>.</w:t>
            </w:r>
          </w:p>
          <w:p w14:paraId="7F36F4C3" w14:textId="77777777" w:rsidR="006B2B6D" w:rsidRPr="00F820B7" w:rsidRDefault="006B2B6D" w:rsidP="00523BE4">
            <w:pPr>
              <w:spacing w:line="360" w:lineRule="exact"/>
              <w:rPr>
                <w:rFonts w:hint="cs"/>
                <w:rtl/>
              </w:rPr>
            </w:pPr>
          </w:p>
        </w:tc>
      </w:tr>
      <w:tr w:rsidR="006B2B6D" w:rsidRPr="00677C22" w14:paraId="6356F032" w14:textId="77777777" w:rsidTr="00523BE4">
        <w:tc>
          <w:tcPr>
            <w:tcW w:w="4499" w:type="dxa"/>
          </w:tcPr>
          <w:p w14:paraId="3E3BBFB5" w14:textId="77777777" w:rsidR="006B2B6D" w:rsidRPr="00677C22" w:rsidRDefault="006B2B6D" w:rsidP="00523BE4">
            <w:pPr>
              <w:bidi w:val="0"/>
              <w:spacing w:line="360" w:lineRule="exact"/>
              <w:rPr>
                <w:rFonts w:hint="cs"/>
                <w:rtl/>
              </w:rPr>
            </w:pPr>
          </w:p>
        </w:tc>
        <w:tc>
          <w:tcPr>
            <w:tcW w:w="4509" w:type="dxa"/>
          </w:tcPr>
          <w:p w14:paraId="15366896" w14:textId="5E62FCDC" w:rsidR="006B2B6D" w:rsidRPr="00677C22" w:rsidRDefault="006B2B6D" w:rsidP="00523BE4">
            <w:pPr>
              <w:bidi w:val="0"/>
              <w:spacing w:line="360" w:lineRule="exact"/>
            </w:pPr>
            <w:r>
              <w:t>7. When someone makes something (</w:t>
            </w:r>
            <w:r w:rsidRPr="00CA39F0">
              <w:rPr>
                <w:i/>
                <w:iCs/>
              </w:rPr>
              <w:t>speciem aliquam</w:t>
            </w:r>
            <w:r>
              <w:t>) for himself out of another's materials…</w:t>
            </w:r>
            <w:r w:rsidR="004F6A61">
              <w:rPr>
                <w:rStyle w:val="a6"/>
              </w:rPr>
              <w:footnoteReference w:id="38"/>
            </w:r>
          </w:p>
        </w:tc>
      </w:tr>
      <w:tr w:rsidR="006B2B6D" w:rsidRPr="00677C22" w14:paraId="147DA9D5" w14:textId="77777777" w:rsidTr="00523BE4">
        <w:tc>
          <w:tcPr>
            <w:tcW w:w="4499" w:type="dxa"/>
          </w:tcPr>
          <w:p w14:paraId="1949A6BA" w14:textId="77777777" w:rsidR="006B2B6D" w:rsidRPr="00677C22" w:rsidRDefault="006B2B6D" w:rsidP="00523BE4">
            <w:pPr>
              <w:bidi w:val="0"/>
              <w:spacing w:line="360" w:lineRule="exact"/>
            </w:pPr>
          </w:p>
        </w:tc>
        <w:tc>
          <w:tcPr>
            <w:tcW w:w="4509" w:type="dxa"/>
          </w:tcPr>
          <w:p w14:paraId="398DEB03" w14:textId="77777777" w:rsidR="006B2B6D" w:rsidRDefault="006B2B6D" w:rsidP="00523BE4">
            <w:pPr>
              <w:bidi w:val="0"/>
              <w:spacing w:line="360" w:lineRule="exact"/>
            </w:pPr>
            <w:r w:rsidRPr="00A60572">
              <w:t xml:space="preserve">10. When someone builds on his own site with another's materials, </w:t>
            </w:r>
            <w:r w:rsidRPr="009328A7">
              <w:t>he is</w:t>
            </w:r>
            <w:r w:rsidRPr="009328A7">
              <w:br/>
              <w:t xml:space="preserve">deemed to be owner of the building </w:t>
            </w:r>
            <w:r w:rsidRPr="00F94862">
              <w:rPr>
                <w:u w:val="single"/>
              </w:rPr>
              <w:t>because all that is built on it becomes part of the soil</w:t>
            </w:r>
            <w:r w:rsidRPr="00F94862">
              <w:rPr>
                <w:b/>
                <w:bCs/>
                <w:u w:val="single"/>
              </w:rPr>
              <w:t xml:space="preserve"> </w:t>
            </w:r>
            <w:r w:rsidRPr="00F94862">
              <w:rPr>
                <w:u w:val="single"/>
              </w:rPr>
              <w:t>(</w:t>
            </w:r>
            <w:r w:rsidRPr="00F94862">
              <w:rPr>
                <w:i/>
                <w:iCs/>
                <w:u w:val="single"/>
              </w:rPr>
              <w:t>omne quod inaedificatur solo cedit</w:t>
            </w:r>
            <w:r w:rsidRPr="00F94862">
              <w:rPr>
                <w:u w:val="single"/>
              </w:rPr>
              <w:t>)</w:t>
            </w:r>
            <w:r>
              <w:t>..</w:t>
            </w:r>
            <w:r w:rsidRPr="00522E80">
              <w:t>.</w:t>
            </w:r>
            <w:r>
              <w:rPr>
                <w:rStyle w:val="a6"/>
                <w:rtl/>
              </w:rPr>
              <w:footnoteReference w:id="39"/>
            </w:r>
            <w:r w:rsidRPr="00A60572">
              <w:t xml:space="preserve"> </w:t>
            </w:r>
          </w:p>
        </w:tc>
      </w:tr>
      <w:tr w:rsidR="006B2B6D" w:rsidRPr="00677C22" w14:paraId="6BC4C192" w14:textId="77777777" w:rsidTr="00523BE4">
        <w:tc>
          <w:tcPr>
            <w:tcW w:w="4499" w:type="dxa"/>
          </w:tcPr>
          <w:p w14:paraId="33E91EC1" w14:textId="77777777" w:rsidR="006B2B6D" w:rsidRPr="00677C22" w:rsidRDefault="006B2B6D" w:rsidP="00523BE4">
            <w:pPr>
              <w:bidi w:val="0"/>
              <w:spacing w:line="360" w:lineRule="exact"/>
            </w:pPr>
            <w:r>
              <w:t xml:space="preserve">73. </w:t>
            </w:r>
            <w:r w:rsidRPr="00F250E0">
              <w:t xml:space="preserve">Furthermore, what a man builds on my land becomes mine by natural law, although he built on his own account, because </w:t>
            </w:r>
            <w:r w:rsidRPr="00F94862">
              <w:rPr>
                <w:u w:val="single"/>
              </w:rPr>
              <w:t>a superstructure goes with the land (</w:t>
            </w:r>
            <w:r w:rsidRPr="00F94862">
              <w:rPr>
                <w:i/>
                <w:iCs/>
                <w:u w:val="single"/>
              </w:rPr>
              <w:t>superficies solo cedit</w:t>
            </w:r>
            <w:r w:rsidRPr="00F94862">
              <w:rPr>
                <w:u w:val="single"/>
              </w:rPr>
              <w:t>)</w:t>
            </w:r>
            <w:r w:rsidRPr="00F250E0">
              <w:t>.</w:t>
            </w:r>
          </w:p>
        </w:tc>
        <w:tc>
          <w:tcPr>
            <w:tcW w:w="4509" w:type="dxa"/>
          </w:tcPr>
          <w:p w14:paraId="114DABCE" w14:textId="3C51CC15" w:rsidR="006B2B6D" w:rsidRPr="00677C22" w:rsidRDefault="006B2B6D" w:rsidP="00523BE4">
            <w:pPr>
              <w:bidi w:val="0"/>
              <w:spacing w:line="360" w:lineRule="exact"/>
            </w:pPr>
            <w:r w:rsidRPr="00A60572">
              <w:t>12. Conversely,</w:t>
            </w:r>
            <w:r>
              <w:t xml:space="preserve"> </w:t>
            </w:r>
            <w:r w:rsidRPr="00A60572">
              <w:t>if a person were to build with his own materials on someone else's site, he would make</w:t>
            </w:r>
            <w:r>
              <w:t xml:space="preserve"> </w:t>
            </w:r>
            <w:r w:rsidRPr="00A60572">
              <w:t>the building the property of the owner of the site</w:t>
            </w:r>
            <w:r>
              <w:t>…</w:t>
            </w:r>
          </w:p>
        </w:tc>
      </w:tr>
      <w:tr w:rsidR="006B2B6D" w:rsidRPr="00677C22" w14:paraId="4C2E0E1C" w14:textId="77777777" w:rsidTr="00523BE4">
        <w:tc>
          <w:tcPr>
            <w:tcW w:w="4499" w:type="dxa"/>
          </w:tcPr>
          <w:p w14:paraId="7642DFAB" w14:textId="152BACF6" w:rsidR="006B2B6D" w:rsidRPr="00677C22" w:rsidRDefault="006B2B6D" w:rsidP="00523BE4">
            <w:pPr>
              <w:bidi w:val="0"/>
              <w:spacing w:line="360" w:lineRule="exact"/>
            </w:pPr>
            <w:r w:rsidRPr="00552F9B">
              <w:t>74. Much more is this the case with a slip which someone has planted in my land, provided it has taken root there</w:t>
            </w:r>
            <w:r w:rsidR="00A33058">
              <w:t xml:space="preserve">… </w:t>
            </w:r>
            <w:r w:rsidRPr="00552F9B">
              <w:t xml:space="preserve">76. But if I bring an action for the recovery of </w:t>
            </w:r>
            <w:r w:rsidRPr="00D6047A">
              <w:t xml:space="preserve">the </w:t>
            </w:r>
            <w:r w:rsidRPr="00D6047A">
              <w:lastRenderedPageBreak/>
              <w:t>fruits</w:t>
            </w:r>
            <w:r>
              <w:rPr>
                <w:rStyle w:val="a6"/>
                <w:i/>
                <w:iCs/>
              </w:rPr>
              <w:footnoteReference w:id="40"/>
            </w:r>
            <w:r w:rsidRPr="00552F9B">
              <w:t xml:space="preserve"> or the building against the other man, and refuse to pay him his expenses on the building, the young plants, or the seed, he will be able to defeat me with the </w:t>
            </w:r>
            <w:r w:rsidRPr="0044602E">
              <w:rPr>
                <w:i/>
                <w:iCs/>
              </w:rPr>
              <w:t>exceptio doli mali</w:t>
            </w:r>
            <w:r w:rsidRPr="00552F9B">
              <w:t>, at any rate if he was a bona fide possessor.</w:t>
            </w:r>
          </w:p>
        </w:tc>
        <w:tc>
          <w:tcPr>
            <w:tcW w:w="4509" w:type="dxa"/>
          </w:tcPr>
          <w:p w14:paraId="7E8B9708" w14:textId="4EDC9336" w:rsidR="006B2B6D" w:rsidRPr="00677C22" w:rsidRDefault="006B2B6D" w:rsidP="00523BE4">
            <w:pPr>
              <w:bidi w:val="0"/>
              <w:spacing w:line="360" w:lineRule="exact"/>
            </w:pPr>
            <w:r w:rsidRPr="003A0A23">
              <w:lastRenderedPageBreak/>
              <w:t>13.</w:t>
            </w:r>
            <w:r w:rsidRPr="00A60572">
              <w:rPr>
                <w:b/>
                <w:bCs/>
              </w:rPr>
              <w:t xml:space="preserve"> </w:t>
            </w:r>
            <w:r w:rsidRPr="00A60572">
              <w:t>If I plant someone else's cutting in my land, it will be mine</w:t>
            </w:r>
            <w:r>
              <w:t>…</w:t>
            </w:r>
          </w:p>
        </w:tc>
      </w:tr>
    </w:tbl>
    <w:p w14:paraId="1DE019EC" w14:textId="77777777" w:rsidR="006B2B6D" w:rsidRPr="00677C22" w:rsidRDefault="006B2B6D" w:rsidP="006B2B6D">
      <w:pPr>
        <w:rPr>
          <w:rFonts w:asciiTheme="minorHAnsi" w:hAnsiTheme="minorHAnsi" w:hint="cs"/>
          <w:rtl/>
        </w:rPr>
      </w:pPr>
    </w:p>
    <w:p w14:paraId="2D73CC0A" w14:textId="0A0C7AC7" w:rsidR="006B2B6D" w:rsidRDefault="006B2B6D" w:rsidP="004733E6">
      <w:pPr>
        <w:rPr>
          <w:rtl/>
        </w:rPr>
      </w:pPr>
      <w:r>
        <w:rPr>
          <w:rFonts w:hint="cs"/>
          <w:rtl/>
        </w:rPr>
        <w:t>ב</w:t>
      </w:r>
      <w:r w:rsidR="00447ADD">
        <w:rPr>
          <w:rFonts w:hint="cs"/>
          <w:rtl/>
        </w:rPr>
        <w:t>אינסטיטוציות</w:t>
      </w:r>
      <w:r>
        <w:rPr>
          <w:rFonts w:hint="cs"/>
          <w:rtl/>
        </w:rPr>
        <w:t xml:space="preserve"> מופיע דין </w:t>
      </w:r>
      <w:r w:rsidRPr="003A0C95">
        <w:rPr>
          <w:i/>
          <w:iCs/>
        </w:rPr>
        <w:t>inaedificatio</w:t>
      </w:r>
      <w:r>
        <w:rPr>
          <w:rFonts w:hint="cs"/>
          <w:rtl/>
        </w:rPr>
        <w:t xml:space="preserve"> בלבד, והנימוק </w:t>
      </w:r>
      <w:r w:rsidRPr="003A0C95">
        <w:rPr>
          <w:i/>
          <w:iCs/>
        </w:rPr>
        <w:t>superficies solo cedit</w:t>
      </w:r>
      <w:r>
        <w:rPr>
          <w:rFonts w:hint="cs"/>
          <w:rtl/>
        </w:rPr>
        <w:t xml:space="preserve"> מתייחס אליו. בדיגסטה נוסף דין </w:t>
      </w:r>
      <w:r w:rsidRPr="00714A86">
        <w:rPr>
          <w:i/>
          <w:iCs/>
        </w:rPr>
        <w:t>tignum iunctum</w:t>
      </w:r>
      <w:r>
        <w:rPr>
          <w:rFonts w:hint="cs"/>
          <w:rtl/>
        </w:rPr>
        <w:t xml:space="preserve">, והנימוק עבר להתייחס אליו, אף שאין הוא מתאים </w:t>
      </w:r>
      <w:r w:rsidR="00182284">
        <w:rPr>
          <w:rFonts w:hint="cs"/>
          <w:rtl/>
        </w:rPr>
        <w:t>לו</w:t>
      </w:r>
      <w:r>
        <w:rPr>
          <w:rFonts w:hint="cs"/>
          <w:rtl/>
        </w:rPr>
        <w:t>. נראה לי ברור שלכל הפחות במקרה זה הנוסח שבדיגסטה הוא עיבוד של הנוסח שבאינסטיטוציות.</w:t>
      </w:r>
    </w:p>
    <w:p w14:paraId="69DB27FD" w14:textId="1A9FCEDD" w:rsidR="00C04D3C" w:rsidRDefault="00C04D3C" w:rsidP="004D7A1F">
      <w:pPr>
        <w:pStyle w:val="2"/>
      </w:pPr>
      <w:r>
        <w:rPr>
          <w:rFonts w:hint="cs"/>
          <w:rtl/>
        </w:rPr>
        <w:t>ההתפתחות הטקסטואלית של התוספתא</w:t>
      </w:r>
    </w:p>
    <w:p w14:paraId="1799F160" w14:textId="202686FE" w:rsidR="00C04D3C" w:rsidRDefault="0014482A" w:rsidP="00353988">
      <w:pPr>
        <w:rPr>
          <w:rtl/>
        </w:rPr>
      </w:pPr>
      <w:r>
        <w:rPr>
          <w:rFonts w:hint="cs"/>
          <w:rtl/>
        </w:rPr>
        <w:t>תהליך דומה לזה ששחזרתי בדברי גאיוס אירע גם בתוספתא, אלא שאופייה של התוספתא מקשה יותר על הזיהוי שלו.</w:t>
      </w:r>
      <w:r w:rsidR="00353988">
        <w:rPr>
          <w:rFonts w:hint="cs"/>
          <w:rtl/>
        </w:rPr>
        <w:t xml:space="preserve"> </w:t>
      </w:r>
      <w:r w:rsidR="00117B89">
        <w:rPr>
          <w:rFonts w:hint="cs"/>
          <w:rtl/>
        </w:rPr>
        <w:t xml:space="preserve">להבהרת העניין אחזור </w:t>
      </w:r>
      <w:r w:rsidR="00353988">
        <w:rPr>
          <w:rFonts w:hint="cs"/>
          <w:rtl/>
        </w:rPr>
        <w:t xml:space="preserve">תחילה </w:t>
      </w:r>
      <w:r w:rsidR="00117B89">
        <w:rPr>
          <w:rFonts w:hint="cs"/>
          <w:rtl/>
        </w:rPr>
        <w:t xml:space="preserve">לסדר </w:t>
      </w:r>
      <w:r w:rsidR="00353988">
        <w:rPr>
          <w:rFonts w:hint="cs"/>
          <w:rtl/>
        </w:rPr>
        <w:t>ההלכות ב</w:t>
      </w:r>
      <w:r w:rsidR="00117B89">
        <w:rPr>
          <w:rFonts w:hint="cs"/>
          <w:rtl/>
        </w:rPr>
        <w:t>תוספתא</w:t>
      </w:r>
      <w:r w:rsidR="00C04D3C">
        <w:rPr>
          <w:rFonts w:hint="cs"/>
          <w:rtl/>
        </w:rPr>
        <w:t>. ההלכות הראשונות בתוספתא (א–ד) עוסקות ב</w:t>
      </w:r>
      <w:r w:rsidR="009A31A3">
        <w:rPr>
          <w:rFonts w:hint="cs"/>
          <w:rtl/>
        </w:rPr>
        <w:t xml:space="preserve">השבת </w:t>
      </w:r>
      <w:r w:rsidR="00C04D3C">
        <w:rPr>
          <w:rFonts w:hint="cs"/>
          <w:rtl/>
        </w:rPr>
        <w:t xml:space="preserve">גזלה שחל בה שינוי, וכלול בהן אף ניסוח </w:t>
      </w:r>
      <w:r w:rsidR="00ED0572">
        <w:rPr>
          <w:rFonts w:hint="cs"/>
          <w:rtl/>
        </w:rPr>
        <w:t>עקרוני</w:t>
      </w:r>
      <w:r w:rsidR="00C04D3C">
        <w:rPr>
          <w:rFonts w:hint="cs"/>
          <w:rtl/>
        </w:rPr>
        <w:t xml:space="preserve"> של דין 'שינוי'. הלכה ה</w:t>
      </w:r>
      <w:r w:rsidR="00117B89">
        <w:rPr>
          <w:rFonts w:hint="cs"/>
          <w:rtl/>
        </w:rPr>
        <w:t xml:space="preserve"> (הקורה הגזולה)</w:t>
      </w:r>
      <w:r w:rsidR="00C04D3C">
        <w:rPr>
          <w:rFonts w:hint="cs"/>
          <w:rtl/>
        </w:rPr>
        <w:t xml:space="preserve"> קשורה להלכות אלו הן מצד עניינה והן מצד ניסוחה</w:t>
      </w:r>
      <w:r w:rsidR="00A20674">
        <w:rPr>
          <w:rFonts w:hint="cs"/>
          <w:rtl/>
        </w:rPr>
        <w:t>, כפי שכתבתי לעיל</w:t>
      </w:r>
      <w:r w:rsidR="00C04D3C">
        <w:rPr>
          <w:rFonts w:hint="cs"/>
          <w:rtl/>
        </w:rPr>
        <w:t>. הלכות ו–ז אמנם מנוסחות ב</w:t>
      </w:r>
      <w:r w:rsidR="00A20674">
        <w:rPr>
          <w:rFonts w:hint="cs"/>
          <w:rtl/>
        </w:rPr>
        <w:t>צורה</w:t>
      </w:r>
      <w:r w:rsidR="00C04D3C">
        <w:rPr>
          <w:rFonts w:hint="cs"/>
          <w:rtl/>
        </w:rPr>
        <w:t xml:space="preserve"> שונה,</w:t>
      </w:r>
      <w:r w:rsidR="00256754">
        <w:rPr>
          <w:rFonts w:hint="cs"/>
          <w:rtl/>
        </w:rPr>
        <w:t xml:space="preserve"> כיוון שהן לא עוסקות בגזלן,</w:t>
      </w:r>
      <w:r w:rsidR="00C04D3C">
        <w:rPr>
          <w:rFonts w:hint="cs"/>
          <w:rtl/>
        </w:rPr>
        <w:t xml:space="preserve"> אך מצד </w:t>
      </w:r>
      <w:r w:rsidR="00256754">
        <w:rPr>
          <w:rFonts w:hint="cs"/>
          <w:rtl/>
        </w:rPr>
        <w:t>התוכן</w:t>
      </w:r>
      <w:r w:rsidR="00C04D3C">
        <w:rPr>
          <w:rFonts w:hint="cs"/>
          <w:rtl/>
        </w:rPr>
        <w:t xml:space="preserve"> הן קשור</w:t>
      </w:r>
      <w:r w:rsidR="00256754">
        <w:rPr>
          <w:rFonts w:hint="cs"/>
          <w:rtl/>
        </w:rPr>
        <w:t>ות</w:t>
      </w:r>
      <w:r w:rsidR="00C04D3C">
        <w:rPr>
          <w:rFonts w:hint="cs"/>
          <w:rtl/>
        </w:rPr>
        <w:t xml:space="preserve"> בהלכה ה. דין </w:t>
      </w:r>
      <w:r w:rsidR="007D26AF">
        <w:rPr>
          <w:rFonts w:hint="cs"/>
          <w:rtl/>
        </w:rPr>
        <w:t>האדם שבנה בקרקע של</w:t>
      </w:r>
      <w:r w:rsidR="00C04D3C">
        <w:rPr>
          <w:rFonts w:hint="cs"/>
          <w:rtl/>
        </w:rPr>
        <w:t xml:space="preserve"> חברו הוא במידה רבה תמונ</w:t>
      </w:r>
      <w:r w:rsidR="00C97C83">
        <w:rPr>
          <w:rFonts w:hint="cs"/>
          <w:rtl/>
        </w:rPr>
        <w:t>ת</w:t>
      </w:r>
      <w:r w:rsidR="00C04D3C">
        <w:rPr>
          <w:rFonts w:hint="cs"/>
          <w:rtl/>
        </w:rPr>
        <w:t xml:space="preserve"> מראה של דין ה</w:t>
      </w:r>
      <w:r w:rsidR="0098792A">
        <w:rPr>
          <w:rFonts w:hint="cs"/>
          <w:rtl/>
        </w:rPr>
        <w:t>קורה</w:t>
      </w:r>
      <w:r w:rsidR="00C04D3C">
        <w:rPr>
          <w:rFonts w:hint="cs"/>
          <w:rtl/>
        </w:rPr>
        <w:t>. בדין ה</w:t>
      </w:r>
      <w:r w:rsidR="004C2E56">
        <w:rPr>
          <w:rFonts w:hint="cs"/>
          <w:rtl/>
        </w:rPr>
        <w:t>קורה</w:t>
      </w:r>
      <w:r w:rsidR="00C04D3C">
        <w:rPr>
          <w:rFonts w:hint="cs"/>
          <w:rtl/>
        </w:rPr>
        <w:t xml:space="preserve"> בונה אדם </w:t>
      </w:r>
      <w:r w:rsidR="00587A1F">
        <w:rPr>
          <w:rFonts w:hint="cs"/>
          <w:rtl/>
        </w:rPr>
        <w:t>בית משלו תוך שימוש</w:t>
      </w:r>
      <w:r w:rsidR="00C04D3C">
        <w:rPr>
          <w:rFonts w:hint="cs"/>
          <w:rtl/>
        </w:rPr>
        <w:t xml:space="preserve"> </w:t>
      </w:r>
      <w:r w:rsidR="00587A1F">
        <w:rPr>
          <w:rFonts w:hint="cs"/>
          <w:rtl/>
        </w:rPr>
        <w:t>ב</w:t>
      </w:r>
      <w:r w:rsidR="00C04D3C">
        <w:rPr>
          <w:rFonts w:hint="cs"/>
          <w:rtl/>
        </w:rPr>
        <w:t>חומרים של אחר, ואילו בדין היורד בונה אדם את חומריו בקרקע של אחר. כלומר, ההלכות דנות בשני צדדים של אותה בעיה עצמה.</w:t>
      </w:r>
    </w:p>
    <w:p w14:paraId="07CDA8E6" w14:textId="2F57BD4F" w:rsidR="00C04D3C" w:rsidRDefault="00C04D3C" w:rsidP="006067C4">
      <w:pPr>
        <w:rPr>
          <w:rtl/>
        </w:rPr>
      </w:pPr>
      <w:r>
        <w:rPr>
          <w:rFonts w:hint="cs"/>
          <w:rtl/>
        </w:rPr>
        <w:t xml:space="preserve">אלא שהדמיון </w:t>
      </w:r>
      <w:r w:rsidR="00932ED6">
        <w:rPr>
          <w:rFonts w:hint="cs"/>
          <w:rtl/>
        </w:rPr>
        <w:t>לכאורה</w:t>
      </w:r>
      <w:r>
        <w:rPr>
          <w:rFonts w:hint="cs"/>
          <w:rtl/>
        </w:rPr>
        <w:t xml:space="preserve"> בין הלכ</w:t>
      </w:r>
      <w:r w:rsidR="00C97C83">
        <w:rPr>
          <w:rFonts w:hint="cs"/>
          <w:rtl/>
        </w:rPr>
        <w:t>ה</w:t>
      </w:r>
      <w:r>
        <w:rPr>
          <w:rFonts w:hint="cs"/>
          <w:rtl/>
        </w:rPr>
        <w:t xml:space="preserve"> </w:t>
      </w:r>
      <w:r w:rsidR="00C97C83">
        <w:rPr>
          <w:rFonts w:hint="cs"/>
          <w:rtl/>
        </w:rPr>
        <w:t>ה</w:t>
      </w:r>
      <w:r>
        <w:rPr>
          <w:rFonts w:hint="cs"/>
          <w:rtl/>
        </w:rPr>
        <w:t xml:space="preserve"> ובין </w:t>
      </w:r>
      <w:r w:rsidR="00C97C83">
        <w:rPr>
          <w:rFonts w:hint="cs"/>
          <w:rtl/>
        </w:rPr>
        <w:t>הלכות ו–ז</w:t>
      </w:r>
      <w:r>
        <w:rPr>
          <w:rFonts w:hint="cs"/>
          <w:rtl/>
        </w:rPr>
        <w:t xml:space="preserve"> חושף דווקא פער </w:t>
      </w:r>
      <w:r>
        <w:rPr>
          <w:rtl/>
        </w:rPr>
        <w:t>–</w:t>
      </w:r>
      <w:r>
        <w:rPr>
          <w:rFonts w:hint="cs"/>
          <w:rtl/>
        </w:rPr>
        <w:t xml:space="preserve"> ואולי אפילו סתירה </w:t>
      </w:r>
      <w:r>
        <w:rPr>
          <w:rtl/>
        </w:rPr>
        <w:t>–</w:t>
      </w:r>
      <w:r>
        <w:rPr>
          <w:rFonts w:hint="cs"/>
          <w:rtl/>
        </w:rPr>
        <w:t xml:space="preserve"> ביניה</w:t>
      </w:r>
      <w:r w:rsidR="00587A1F">
        <w:rPr>
          <w:rFonts w:hint="cs"/>
          <w:rtl/>
        </w:rPr>
        <w:t>ן</w:t>
      </w:r>
      <w:r>
        <w:rPr>
          <w:rFonts w:hint="cs"/>
          <w:rtl/>
        </w:rPr>
        <w:t xml:space="preserve">. מתוך </w:t>
      </w:r>
      <w:r w:rsidR="00C97C83">
        <w:rPr>
          <w:rFonts w:hint="cs"/>
          <w:rtl/>
        </w:rPr>
        <w:t>דין</w:t>
      </w:r>
      <w:r>
        <w:rPr>
          <w:rFonts w:hint="cs"/>
          <w:rtl/>
        </w:rPr>
        <w:t xml:space="preserve"> </w:t>
      </w:r>
      <w:r w:rsidR="00932ED6">
        <w:rPr>
          <w:rFonts w:hint="cs"/>
          <w:rtl/>
        </w:rPr>
        <w:t>הקורה</w:t>
      </w:r>
      <w:r w:rsidR="00C97C83">
        <w:rPr>
          <w:rFonts w:hint="cs"/>
          <w:rtl/>
        </w:rPr>
        <w:t xml:space="preserve"> הגזול</w:t>
      </w:r>
      <w:r w:rsidR="00932ED6">
        <w:rPr>
          <w:rFonts w:hint="cs"/>
          <w:rtl/>
        </w:rPr>
        <w:t>ה</w:t>
      </w:r>
      <w:r>
        <w:rPr>
          <w:rFonts w:hint="cs"/>
          <w:rtl/>
        </w:rPr>
        <w:t xml:space="preserve"> ברור ש</w:t>
      </w:r>
      <w:r w:rsidR="00932ED6">
        <w:rPr>
          <w:rFonts w:hint="cs"/>
          <w:rtl/>
        </w:rPr>
        <w:t>על פי הדין היבש יש</w:t>
      </w:r>
      <w:r>
        <w:rPr>
          <w:rFonts w:hint="cs"/>
          <w:rtl/>
        </w:rPr>
        <w:t xml:space="preserve"> לפרק את הבירה ולהשיב את המריש, כשיטת בית שמאי. אף על פי כן, קובעים בית הלל לתת את דמי המריש, מתוך מגמה של </w:t>
      </w:r>
      <w:r w:rsidR="00D958A3" w:rsidRPr="002A4B4C">
        <w:t>enactment of the repenters</w:t>
      </w:r>
      <w:r>
        <w:rPr>
          <w:rFonts w:hint="cs"/>
          <w:rtl/>
        </w:rPr>
        <w:t xml:space="preserve">. על פי אותו הגיון, בדין היורד מתאים </w:t>
      </w:r>
      <w:r w:rsidR="00D958A3">
        <w:rPr>
          <w:rFonts w:hint="cs"/>
          <w:rtl/>
        </w:rPr>
        <w:t xml:space="preserve">היה </w:t>
      </w:r>
      <w:r>
        <w:rPr>
          <w:rFonts w:hint="cs"/>
          <w:rtl/>
        </w:rPr>
        <w:t>לקבוע את הדין ההפוך. היורד לחורבתו של חברו הוא הגזלן, וכאשר הוא יוצא הוא ה'שב' שיש לדאוג לתקנתו. אם היורד מעוניין ליטול את חומרי הבניין שלו, הן הדין</w:t>
      </w:r>
      <w:r w:rsidR="00D958A3">
        <w:rPr>
          <w:rFonts w:hint="cs"/>
          <w:rtl/>
        </w:rPr>
        <w:t xml:space="preserve"> היבש</w:t>
      </w:r>
      <w:r>
        <w:rPr>
          <w:rFonts w:hint="cs"/>
          <w:rtl/>
        </w:rPr>
        <w:t xml:space="preserve"> והן </w:t>
      </w:r>
      <w:r w:rsidR="00A20674">
        <w:rPr>
          <w:rFonts w:hint="cs"/>
          <w:rtl/>
        </w:rPr>
        <w:t>'</w:t>
      </w:r>
      <w:r>
        <w:rPr>
          <w:rFonts w:hint="cs"/>
          <w:rtl/>
        </w:rPr>
        <w:t>תקנת שבים</w:t>
      </w:r>
      <w:r w:rsidR="00A20674">
        <w:rPr>
          <w:rFonts w:hint="cs"/>
          <w:rtl/>
        </w:rPr>
        <w:t>'</w:t>
      </w:r>
      <w:r>
        <w:rPr>
          <w:rFonts w:hint="cs"/>
          <w:rtl/>
        </w:rPr>
        <w:t xml:space="preserve"> מורים לאפשר לו ליטול אותם, ואף על פי כן קובעת התוספתא (ולשיטת רשב"ג קובעים כך בית הלל) שלא מאפשרים לו</w:t>
      </w:r>
      <w:r w:rsidR="00494418">
        <w:rPr>
          <w:rFonts w:hint="cs"/>
          <w:rtl/>
        </w:rPr>
        <w:t>!</w:t>
      </w:r>
      <w:r>
        <w:rPr>
          <w:rFonts w:hint="cs"/>
          <w:rtl/>
        </w:rPr>
        <w:t xml:space="preserve"> כדי להסביר את דין היורד יש להניח </w:t>
      </w:r>
      <w:r w:rsidR="000B7B76">
        <w:rPr>
          <w:rFonts w:hint="cs"/>
          <w:rtl/>
        </w:rPr>
        <w:t xml:space="preserve">שיש </w:t>
      </w:r>
      <w:r>
        <w:rPr>
          <w:rFonts w:hint="cs"/>
          <w:rtl/>
        </w:rPr>
        <w:t xml:space="preserve">סיבה משפטית </w:t>
      </w:r>
      <w:r w:rsidR="00757524">
        <w:rPr>
          <w:rFonts w:hint="cs"/>
          <w:rtl/>
        </w:rPr>
        <w:t xml:space="preserve">אחרת </w:t>
      </w:r>
      <w:r>
        <w:rPr>
          <w:rFonts w:hint="cs"/>
          <w:rtl/>
        </w:rPr>
        <w:t>שמונעת את פירוק הבניין</w:t>
      </w:r>
      <w:r w:rsidR="00037EBB">
        <w:rPr>
          <w:rFonts w:hint="cs"/>
          <w:rtl/>
        </w:rPr>
        <w:t>,</w:t>
      </w:r>
      <w:r>
        <w:rPr>
          <w:rFonts w:hint="cs"/>
          <w:rtl/>
        </w:rPr>
        <w:t xml:space="preserve"> אך אם יש סיבה שכזאת, הרי שהיא חלה גם במקרה של מריש הגזול. אם כך, גם בדין המריש אין לפרק את הבניין, בלי קשר לתקנת השבים. </w:t>
      </w:r>
    </w:p>
    <w:p w14:paraId="77D53BCB" w14:textId="249B1A9F" w:rsidR="00C04D3C" w:rsidRDefault="00C04D3C" w:rsidP="00C04D3C">
      <w:pPr>
        <w:rPr>
          <w:rtl/>
        </w:rPr>
      </w:pPr>
      <w:r>
        <w:rPr>
          <w:rFonts w:hint="cs"/>
          <w:rtl/>
        </w:rPr>
        <w:t xml:space="preserve">כלומר, אף שהשורה התחתונה בשתי ההלכות זהה, </w:t>
      </w:r>
      <w:r w:rsidR="006067C4">
        <w:rPr>
          <w:rFonts w:hint="cs"/>
          <w:rtl/>
        </w:rPr>
        <w:t>משתקף בכל אחת מהן הגיון בסיסי שסותר את האחרת</w:t>
      </w:r>
      <w:r>
        <w:rPr>
          <w:rFonts w:hint="cs"/>
          <w:rtl/>
        </w:rPr>
        <w:t>.</w:t>
      </w:r>
      <w:r w:rsidR="00F26300">
        <w:rPr>
          <w:rFonts w:hint="cs"/>
          <w:rtl/>
        </w:rPr>
        <w:t xml:space="preserve"> במילים אחרות, מסתבר שהלכה ה והלכות ו–ז הגיעו ממקורות שונים ומבוססות על </w:t>
      </w:r>
      <w:r w:rsidR="00F26300">
        <w:rPr>
          <w:rFonts w:hint="cs"/>
          <w:rtl/>
        </w:rPr>
        <w:lastRenderedPageBreak/>
        <w:t>עקרונות משפטיים שונים (ו</w:t>
      </w:r>
      <w:r w:rsidR="003A120E">
        <w:rPr>
          <w:rFonts w:hint="cs"/>
          <w:rtl/>
        </w:rPr>
        <w:t xml:space="preserve">במקצת </w:t>
      </w:r>
      <w:r w:rsidR="00F26300">
        <w:rPr>
          <w:rFonts w:hint="cs"/>
          <w:rtl/>
        </w:rPr>
        <w:t>סותרים).</w:t>
      </w:r>
      <w:r>
        <w:rPr>
          <w:rFonts w:hint="cs"/>
          <w:rtl/>
        </w:rPr>
        <w:t xml:space="preserve"> מסקנה זו עולה לא רק מתוך ניתוח פנימי של הרציונל ה</w:t>
      </w:r>
      <w:r w:rsidR="008E0694">
        <w:rPr>
          <w:rFonts w:hint="cs"/>
          <w:rtl/>
        </w:rPr>
        <w:t>משפט</w:t>
      </w:r>
      <w:r>
        <w:rPr>
          <w:rFonts w:hint="cs"/>
          <w:rtl/>
        </w:rPr>
        <w:t>י, אלא גם מתוך השוואה של ההלכות בתוספתא למקבילות במקורות</w:t>
      </w:r>
      <w:r w:rsidR="00ED225B">
        <w:rPr>
          <w:rFonts w:hint="cs"/>
          <w:rtl/>
        </w:rPr>
        <w:t xml:space="preserve"> רבניים</w:t>
      </w:r>
      <w:r>
        <w:rPr>
          <w:rFonts w:hint="cs"/>
          <w:rtl/>
        </w:rPr>
        <w:t xml:space="preserve"> אחרים. </w:t>
      </w:r>
    </w:p>
    <w:p w14:paraId="3205FEF5" w14:textId="79958D8A" w:rsidR="00CB2C6D" w:rsidRDefault="00C04D3C" w:rsidP="00CB2C6D">
      <w:pPr>
        <w:rPr>
          <w:rFonts w:asciiTheme="minorHAnsi" w:hAnsiTheme="minorHAnsi"/>
          <w:rtl/>
        </w:rPr>
      </w:pPr>
      <w:r>
        <w:rPr>
          <w:rFonts w:hint="cs"/>
          <w:rtl/>
        </w:rPr>
        <w:t>דין ה</w:t>
      </w:r>
      <w:r w:rsidR="003A120E">
        <w:rPr>
          <w:rFonts w:hint="cs"/>
          <w:rtl/>
        </w:rPr>
        <w:t>קורה הגזולה</w:t>
      </w:r>
      <w:r w:rsidR="008C52C5">
        <w:rPr>
          <w:rFonts w:hint="cs"/>
          <w:rtl/>
        </w:rPr>
        <w:t xml:space="preserve"> שבתוספתא לא מצוי במשנה המקבילה</w:t>
      </w:r>
      <w:r w:rsidR="00B94050">
        <w:rPr>
          <w:rFonts w:hint="cs"/>
          <w:rtl/>
        </w:rPr>
        <w:t xml:space="preserve"> לה</w:t>
      </w:r>
      <w:r w:rsidR="008C52C5">
        <w:rPr>
          <w:rFonts w:hint="cs"/>
          <w:rtl/>
        </w:rPr>
        <w:t>, אבל הוא</w:t>
      </w:r>
      <w:r>
        <w:rPr>
          <w:rFonts w:hint="cs"/>
          <w:rtl/>
        </w:rPr>
        <w:t xml:space="preserve"> מו</w:t>
      </w:r>
      <w:r w:rsidR="00CE6782">
        <w:rPr>
          <w:rFonts w:hint="cs"/>
          <w:rtl/>
        </w:rPr>
        <w:t>זכר</w:t>
      </w:r>
      <w:r>
        <w:rPr>
          <w:rFonts w:hint="cs"/>
          <w:rtl/>
        </w:rPr>
        <w:t xml:space="preserve"> פעמיים</w:t>
      </w:r>
      <w:r w:rsidR="008C52C5">
        <w:rPr>
          <w:rFonts w:hint="cs"/>
          <w:rtl/>
        </w:rPr>
        <w:t xml:space="preserve"> במשנה במקומות אחרים</w:t>
      </w:r>
      <w:r w:rsidR="005E2898">
        <w:rPr>
          <w:rFonts w:hint="cs"/>
          <w:rtl/>
        </w:rPr>
        <w:t>.</w:t>
      </w:r>
      <w:r>
        <w:rPr>
          <w:rFonts w:hint="cs"/>
          <w:rtl/>
        </w:rPr>
        <w:t xml:space="preserve"> </w:t>
      </w:r>
      <w:r w:rsidR="005B3F48">
        <w:rPr>
          <w:rFonts w:hint="cs"/>
          <w:rtl/>
        </w:rPr>
        <w:t>במשנה הוא מוצג כ</w:t>
      </w:r>
      <w:r w:rsidR="008B4DE1">
        <w:rPr>
          <w:rFonts w:hint="cs"/>
          <w:rtl/>
        </w:rPr>
        <w:t>'</w:t>
      </w:r>
      <w:r w:rsidR="005B3F48">
        <w:rPr>
          <w:rFonts w:hint="cs"/>
          <w:rtl/>
        </w:rPr>
        <w:t>עדות</w:t>
      </w:r>
      <w:r w:rsidR="008B4DE1">
        <w:rPr>
          <w:rFonts w:hint="cs"/>
          <w:rtl/>
        </w:rPr>
        <w:t>'</w:t>
      </w:r>
      <w:r w:rsidR="005B3F48">
        <w:rPr>
          <w:rFonts w:hint="cs"/>
          <w:rtl/>
        </w:rPr>
        <w:t xml:space="preserve"> של </w:t>
      </w:r>
      <w:r w:rsidR="005B3F48">
        <w:t>R. Yohanan b. Gudgada</w:t>
      </w:r>
      <w:r w:rsidR="005B3F48">
        <w:rPr>
          <w:rFonts w:hint="cs"/>
          <w:rtl/>
        </w:rPr>
        <w:t>, חכם שפעל בשלהי ימי הבית השני (לפני שנת 67 לספירה).</w:t>
      </w:r>
      <w:r w:rsidR="00A85046">
        <w:rPr>
          <w:rStyle w:val="a6"/>
          <w:rtl/>
        </w:rPr>
        <w:footnoteReference w:id="41"/>
      </w:r>
      <w:r w:rsidR="005B3F48">
        <w:rPr>
          <w:rFonts w:hint="cs"/>
          <w:rtl/>
        </w:rPr>
        <w:t xml:space="preserve"> </w:t>
      </w:r>
      <w:r w:rsidR="00ED205F">
        <w:rPr>
          <w:rFonts w:hint="cs"/>
          <w:rtl/>
        </w:rPr>
        <w:t xml:space="preserve">'עדות' היא ז'אנר מיוחד במשנה, שמשמש בדרך כלל למסירה של הלכות </w:t>
      </w:r>
      <w:r w:rsidR="00C4041D">
        <w:rPr>
          <w:rFonts w:hint="cs"/>
          <w:rtl/>
        </w:rPr>
        <w:t>עתיקות</w:t>
      </w:r>
      <w:r w:rsidR="00E1228D">
        <w:rPr>
          <w:rFonts w:hint="cs"/>
          <w:rtl/>
        </w:rPr>
        <w:t>, ונראה אפוא שדין הקורה הגזולה הוא דין עתיק.</w:t>
      </w:r>
      <w:r w:rsidR="00ED205F">
        <w:rPr>
          <w:rFonts w:hint="cs"/>
          <w:rtl/>
        </w:rPr>
        <w:t xml:space="preserve"> </w:t>
      </w:r>
      <w:r w:rsidR="00DA12C5">
        <w:rPr>
          <w:rFonts w:hint="cs"/>
          <w:rtl/>
        </w:rPr>
        <w:t xml:space="preserve">ההקשר במשניות אלו מחזק את ההנחה שדין </w:t>
      </w:r>
      <w:r w:rsidR="00150C21">
        <w:rPr>
          <w:rFonts w:hint="cs"/>
          <w:rtl/>
        </w:rPr>
        <w:t>עתיק זה</w:t>
      </w:r>
      <w:r w:rsidR="00DA12C5">
        <w:rPr>
          <w:rFonts w:hint="cs"/>
          <w:rtl/>
        </w:rPr>
        <w:t xml:space="preserve"> איננו קשור לקניין.</w:t>
      </w:r>
      <w:r w:rsidR="004F52B0">
        <w:rPr>
          <w:rFonts w:hint="cs"/>
          <w:rtl/>
        </w:rPr>
        <w:t xml:space="preserve"> במיוחד </w:t>
      </w:r>
      <w:r w:rsidR="00E8500F">
        <w:rPr>
          <w:rFonts w:hint="cs"/>
          <w:rtl/>
        </w:rPr>
        <w:t>חשובה</w:t>
      </w:r>
      <w:r w:rsidR="004F52B0">
        <w:rPr>
          <w:rFonts w:hint="cs"/>
          <w:rtl/>
        </w:rPr>
        <w:t xml:space="preserve"> </w:t>
      </w:r>
      <w:r w:rsidR="00E8500F">
        <w:rPr>
          <w:rFonts w:hint="cs"/>
          <w:rtl/>
        </w:rPr>
        <w:t>עדות נוספת של אותו חכם</w:t>
      </w:r>
      <w:r w:rsidR="004F52B0">
        <w:rPr>
          <w:rFonts w:hint="cs"/>
          <w:rtl/>
        </w:rPr>
        <w:t xml:space="preserve"> שמופיעה מיד לאחר דין הקורה הגזולה:</w:t>
      </w:r>
      <w:r w:rsidR="00A3479D">
        <w:rPr>
          <w:rFonts w:hint="cs"/>
          <w:rtl/>
        </w:rPr>
        <w:t xml:space="preserve"> </w:t>
      </w:r>
      <w:r w:rsidR="000D0373">
        <w:t>concerning a purgation offering— if [the animal] was stolen property, and this was not known publicly, [nevertheless] it effects atonement. [It does so] for the betterment of the altar</w:t>
      </w:r>
      <w:r w:rsidR="00A3479D">
        <w:t>".</w:t>
      </w:r>
      <w:r w:rsidR="00FA03D2">
        <w:rPr>
          <w:rFonts w:hint="cs"/>
          <w:rtl/>
        </w:rPr>
        <w:t xml:space="preserve"> </w:t>
      </w:r>
      <w:r w:rsidR="00A3479D">
        <w:rPr>
          <w:rStyle w:val="a6"/>
          <w:rtl/>
        </w:rPr>
        <w:footnoteReference w:id="42"/>
      </w:r>
      <w:r w:rsidR="00A3479D">
        <w:rPr>
          <w:rFonts w:hint="cs"/>
          <w:rtl/>
        </w:rPr>
        <w:t xml:space="preserve"> </w:t>
      </w:r>
      <w:r w:rsidR="00E84947">
        <w:rPr>
          <w:rFonts w:hint="cs"/>
          <w:rtl/>
          <w:lang w:val="el-GR"/>
        </w:rPr>
        <w:t>החוק</w:t>
      </w:r>
      <w:r w:rsidR="007018C9">
        <w:rPr>
          <w:rFonts w:hint="cs"/>
          <w:rtl/>
          <w:lang w:val="el-GR"/>
        </w:rPr>
        <w:t xml:space="preserve"> הזה</w:t>
      </w:r>
      <w:r w:rsidR="00A3479D">
        <w:rPr>
          <w:rFonts w:hint="cs"/>
          <w:rtl/>
          <w:lang w:val="el-GR"/>
        </w:rPr>
        <w:t xml:space="preserve"> מזכיר מאד את חוק הקורה הגזולה. בשני המקרים </w:t>
      </w:r>
      <w:r w:rsidR="00FB7BAF">
        <w:rPr>
          <w:rFonts w:hint="cs"/>
          <w:rtl/>
          <w:lang w:val="el-GR"/>
        </w:rPr>
        <w:t>מתייחסים</w:t>
      </w:r>
      <w:r w:rsidR="00BE7890">
        <w:rPr>
          <w:rFonts w:hint="cs"/>
          <w:rtl/>
          <w:lang w:val="el-GR"/>
        </w:rPr>
        <w:t xml:space="preserve"> באופן פיקטיבי לרכוש הגזול כאילו איננו גזול, במקרה הראשון </w:t>
      </w:r>
      <w:r w:rsidR="0098238A">
        <w:rPr>
          <w:rFonts w:hint="cs"/>
          <w:rtl/>
          <w:lang w:val="el-GR"/>
        </w:rPr>
        <w:t>זה נעשה בשביל רווחתו של הגזלן, במקרה השני עבור רווחתו של המזבח.</w:t>
      </w:r>
      <w:r>
        <w:rPr>
          <w:rStyle w:val="a6"/>
          <w:rFonts w:asciiTheme="minorHAnsi" w:hAnsiTheme="minorHAnsi"/>
          <w:rtl/>
        </w:rPr>
        <w:footnoteReference w:id="43"/>
      </w:r>
      <w:r>
        <w:rPr>
          <w:rFonts w:asciiTheme="minorHAnsi" w:hAnsiTheme="minorHAnsi" w:hint="cs"/>
          <w:rtl/>
        </w:rPr>
        <w:t xml:space="preserve"> </w:t>
      </w:r>
    </w:p>
    <w:p w14:paraId="0EC211B3" w14:textId="4AC6679B" w:rsidR="00C04D3C" w:rsidRDefault="00C04D3C" w:rsidP="00C04D3C">
      <w:pPr>
        <w:rPr>
          <w:rtl/>
        </w:rPr>
      </w:pPr>
      <w:r>
        <w:rPr>
          <w:rFonts w:hint="cs"/>
          <w:rtl/>
        </w:rPr>
        <w:t xml:space="preserve">לדין </w:t>
      </w:r>
      <w:r w:rsidR="00D94DA2">
        <w:rPr>
          <w:rFonts w:hint="cs"/>
          <w:rtl/>
        </w:rPr>
        <w:t>הבונה בקרקע של חברו</w:t>
      </w:r>
      <w:r>
        <w:rPr>
          <w:rFonts w:hint="cs"/>
          <w:rtl/>
        </w:rPr>
        <w:t xml:space="preserve"> יש מקבילה ב</w:t>
      </w:r>
      <w:r w:rsidR="007C1AB6">
        <w:rPr>
          <w:rFonts w:hint="cs"/>
          <w:rtl/>
        </w:rPr>
        <w:t>מקום אחר ב</w:t>
      </w:r>
      <w:r>
        <w:rPr>
          <w:rFonts w:hint="cs"/>
          <w:rtl/>
        </w:rPr>
        <w:t>תוספתא</w:t>
      </w:r>
      <w:r w:rsidR="007C1AB6">
        <w:rPr>
          <w:rFonts w:hint="cs"/>
          <w:rtl/>
        </w:rPr>
        <w:t>, במסכת</w:t>
      </w:r>
      <w:r>
        <w:rPr>
          <w:rFonts w:hint="cs"/>
          <w:rtl/>
        </w:rPr>
        <w:t xml:space="preserve"> כתובות פרק ח:</w:t>
      </w:r>
    </w:p>
    <w:tbl>
      <w:tblPr>
        <w:bidiVisual/>
        <w:tblW w:w="8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169"/>
        <w:gridCol w:w="4169"/>
      </w:tblGrid>
      <w:tr w:rsidR="00C04D3C" w:rsidRPr="00394E84" w14:paraId="27B2DBF3" w14:textId="77777777" w:rsidTr="00843DB9">
        <w:tc>
          <w:tcPr>
            <w:tcW w:w="4169" w:type="dxa"/>
            <w:tcMar>
              <w:top w:w="80" w:type="dxa"/>
              <w:left w:w="80" w:type="dxa"/>
              <w:bottom w:w="80" w:type="dxa"/>
              <w:right w:w="80" w:type="dxa"/>
            </w:tcMar>
            <w:hideMark/>
          </w:tcPr>
          <w:p w14:paraId="462DA5F1" w14:textId="1A9B2C58" w:rsidR="00C04D3C" w:rsidRPr="00394E84" w:rsidRDefault="008F69B7" w:rsidP="001B2CED">
            <w:pPr>
              <w:bidi w:val="0"/>
              <w:spacing w:line="360" w:lineRule="exact"/>
              <w:jc w:val="left"/>
              <w:rPr>
                <w:rFonts w:eastAsia="Times New Roman"/>
                <w:b/>
                <w:bCs/>
              </w:rPr>
            </w:pPr>
            <w:r>
              <w:rPr>
                <w:rFonts w:eastAsia="Times New Roman"/>
                <w:b/>
                <w:bCs/>
                <w:sz w:val="22"/>
                <w:szCs w:val="22"/>
              </w:rPr>
              <w:t>T</w:t>
            </w:r>
            <w:r w:rsidR="004C2AFA">
              <w:rPr>
                <w:rFonts w:eastAsia="Times New Roman"/>
                <w:b/>
                <w:bCs/>
                <w:sz w:val="22"/>
                <w:szCs w:val="22"/>
              </w:rPr>
              <w:t>.</w:t>
            </w:r>
            <w:r>
              <w:rPr>
                <w:rFonts w:eastAsia="Times New Roman"/>
                <w:b/>
                <w:bCs/>
                <w:sz w:val="22"/>
                <w:szCs w:val="22"/>
              </w:rPr>
              <w:t xml:space="preserve"> Ketub</w:t>
            </w:r>
            <w:r w:rsidR="004C2AFA">
              <w:rPr>
                <w:rFonts w:eastAsia="Times New Roman"/>
                <w:b/>
                <w:bCs/>
                <w:sz w:val="22"/>
                <w:szCs w:val="22"/>
              </w:rPr>
              <w:t>.</w:t>
            </w:r>
            <w:r>
              <w:rPr>
                <w:rFonts w:eastAsia="Times New Roman"/>
                <w:b/>
                <w:bCs/>
                <w:sz w:val="22"/>
                <w:szCs w:val="22"/>
              </w:rPr>
              <w:t xml:space="preserve"> </w:t>
            </w:r>
            <w:r w:rsidR="004C2AFA">
              <w:rPr>
                <w:rFonts w:eastAsia="Times New Roman"/>
                <w:b/>
                <w:bCs/>
                <w:sz w:val="22"/>
                <w:szCs w:val="22"/>
              </w:rPr>
              <w:t>8:</w:t>
            </w:r>
            <w:r w:rsidR="00F538FB">
              <w:rPr>
                <w:rFonts w:eastAsia="Times New Roman"/>
                <w:b/>
                <w:bCs/>
                <w:sz w:val="22"/>
                <w:szCs w:val="22"/>
              </w:rPr>
              <w:t>10–11</w:t>
            </w:r>
            <w:r w:rsidR="00C04D3C" w:rsidRPr="00394E84">
              <w:rPr>
                <w:rStyle w:val="a6"/>
                <w:rFonts w:eastAsia="Times New Roman"/>
                <w:b/>
                <w:bCs/>
                <w:sz w:val="22"/>
                <w:szCs w:val="22"/>
                <w:rtl/>
              </w:rPr>
              <w:footnoteReference w:id="44"/>
            </w:r>
          </w:p>
        </w:tc>
        <w:tc>
          <w:tcPr>
            <w:tcW w:w="4169" w:type="dxa"/>
          </w:tcPr>
          <w:p w14:paraId="6043E4F1" w14:textId="00308774" w:rsidR="00C04D3C" w:rsidRPr="00394E84" w:rsidRDefault="00C04D3C" w:rsidP="001B2CED">
            <w:pPr>
              <w:bidi w:val="0"/>
              <w:spacing w:line="360" w:lineRule="exact"/>
              <w:jc w:val="left"/>
              <w:rPr>
                <w:rFonts w:eastAsia="Times New Roman"/>
                <w:b/>
                <w:bCs/>
              </w:rPr>
            </w:pPr>
            <w:r w:rsidRPr="00394E84">
              <w:rPr>
                <w:rFonts w:eastAsia="Times New Roman"/>
                <w:b/>
                <w:bCs/>
                <w:sz w:val="22"/>
                <w:szCs w:val="22"/>
                <w:rtl/>
              </w:rPr>
              <w:t> </w:t>
            </w:r>
            <w:r w:rsidR="00EB2324">
              <w:rPr>
                <w:rFonts w:eastAsia="Times New Roman"/>
                <w:b/>
                <w:bCs/>
                <w:sz w:val="22"/>
                <w:szCs w:val="22"/>
              </w:rPr>
              <w:t>T</w:t>
            </w:r>
            <w:r w:rsidR="00D94DA2">
              <w:rPr>
                <w:rFonts w:eastAsia="Times New Roman"/>
                <w:b/>
                <w:bCs/>
                <w:sz w:val="22"/>
                <w:szCs w:val="22"/>
              </w:rPr>
              <w:t>.</w:t>
            </w:r>
            <w:r w:rsidR="00EB2324">
              <w:rPr>
                <w:rFonts w:eastAsia="Times New Roman"/>
                <w:b/>
                <w:bCs/>
                <w:sz w:val="22"/>
                <w:szCs w:val="22"/>
              </w:rPr>
              <w:t xml:space="preserve"> B</w:t>
            </w:r>
            <w:r w:rsidR="00D94DA2">
              <w:rPr>
                <w:rFonts w:eastAsia="Times New Roman"/>
                <w:b/>
                <w:bCs/>
                <w:sz w:val="22"/>
                <w:szCs w:val="22"/>
              </w:rPr>
              <w:t>.</w:t>
            </w:r>
            <w:r w:rsidR="00EB2324">
              <w:rPr>
                <w:rFonts w:eastAsia="Times New Roman"/>
                <w:b/>
                <w:bCs/>
                <w:sz w:val="22"/>
                <w:szCs w:val="22"/>
              </w:rPr>
              <w:t xml:space="preserve"> </w:t>
            </w:r>
            <w:r w:rsidR="00D94DA2">
              <w:rPr>
                <w:rFonts w:eastAsia="Times New Roman"/>
                <w:b/>
                <w:bCs/>
                <w:sz w:val="22"/>
                <w:szCs w:val="22"/>
              </w:rPr>
              <w:t>Q</w:t>
            </w:r>
            <w:r w:rsidR="00EB2324">
              <w:rPr>
                <w:rFonts w:eastAsia="Times New Roman"/>
                <w:b/>
                <w:bCs/>
                <w:sz w:val="22"/>
                <w:szCs w:val="22"/>
              </w:rPr>
              <w:t>am</w:t>
            </w:r>
            <w:r w:rsidR="004C2AFA">
              <w:rPr>
                <w:rFonts w:eastAsia="Times New Roman"/>
                <w:b/>
                <w:bCs/>
                <w:sz w:val="22"/>
                <w:szCs w:val="22"/>
              </w:rPr>
              <w:t>.</w:t>
            </w:r>
            <w:r w:rsidR="00EB2324">
              <w:rPr>
                <w:rFonts w:eastAsia="Times New Roman"/>
                <w:b/>
                <w:bCs/>
                <w:sz w:val="22"/>
                <w:szCs w:val="22"/>
              </w:rPr>
              <w:t xml:space="preserve"> </w:t>
            </w:r>
            <w:r w:rsidR="004C2AFA">
              <w:rPr>
                <w:rFonts w:eastAsia="Times New Roman"/>
                <w:b/>
                <w:bCs/>
                <w:sz w:val="22"/>
                <w:szCs w:val="22"/>
              </w:rPr>
              <w:t>10:</w:t>
            </w:r>
            <w:r w:rsidR="00EB2324">
              <w:rPr>
                <w:rFonts w:eastAsia="Times New Roman"/>
                <w:b/>
                <w:bCs/>
                <w:sz w:val="22"/>
                <w:szCs w:val="22"/>
              </w:rPr>
              <w:t>6</w:t>
            </w:r>
            <w:r w:rsidR="008F69B7">
              <w:rPr>
                <w:rFonts w:eastAsia="Times New Roman"/>
                <w:b/>
                <w:bCs/>
                <w:sz w:val="22"/>
                <w:szCs w:val="22"/>
              </w:rPr>
              <w:t xml:space="preserve">–7 </w:t>
            </w:r>
          </w:p>
        </w:tc>
      </w:tr>
      <w:tr w:rsidR="003505FA" w:rsidRPr="00394E84" w14:paraId="0D7F72E9" w14:textId="77777777" w:rsidTr="00843DB9">
        <w:tc>
          <w:tcPr>
            <w:tcW w:w="4169" w:type="dxa"/>
            <w:tcMar>
              <w:top w:w="80" w:type="dxa"/>
              <w:left w:w="80" w:type="dxa"/>
              <w:bottom w:w="80" w:type="dxa"/>
              <w:right w:w="80" w:type="dxa"/>
            </w:tcMar>
          </w:tcPr>
          <w:p w14:paraId="13ACD06C" w14:textId="77777777" w:rsidR="003505FA" w:rsidRPr="00394E84" w:rsidRDefault="003505FA" w:rsidP="001B2CED">
            <w:pPr>
              <w:spacing w:line="360" w:lineRule="exact"/>
              <w:jc w:val="left"/>
              <w:rPr>
                <w:rFonts w:eastAsia="Times New Roman" w:hint="cs"/>
                <w:rtl/>
              </w:rPr>
            </w:pPr>
          </w:p>
        </w:tc>
        <w:tc>
          <w:tcPr>
            <w:tcW w:w="4169" w:type="dxa"/>
          </w:tcPr>
          <w:p w14:paraId="307B83E3" w14:textId="1BF0F27F" w:rsidR="003505FA" w:rsidRPr="003C51B5" w:rsidRDefault="003505FA" w:rsidP="001B2CED">
            <w:pPr>
              <w:bidi w:val="0"/>
              <w:spacing w:line="360" w:lineRule="exact"/>
            </w:pPr>
            <w:r>
              <w:t xml:space="preserve">[5] </w:t>
            </w:r>
            <w:r w:rsidRPr="000F4DC4">
              <w:t>One who robs</w:t>
            </w:r>
            <w:r w:rsidRPr="00431B53">
              <w:t xml:space="preserve"> a be</w:t>
            </w:r>
            <w:r>
              <w:t>a</w:t>
            </w:r>
            <w:r w:rsidRPr="00431B53">
              <w:t xml:space="preserve">m and built it into </w:t>
            </w:r>
            <w:r>
              <w:t>a large house</w:t>
            </w:r>
            <w:r w:rsidR="003C51B5">
              <w:t>…</w:t>
            </w:r>
          </w:p>
        </w:tc>
      </w:tr>
      <w:tr w:rsidR="00EC3BEB" w:rsidRPr="00394E84" w14:paraId="67EBA798" w14:textId="77777777" w:rsidTr="00843DB9">
        <w:tc>
          <w:tcPr>
            <w:tcW w:w="4169" w:type="dxa"/>
            <w:tcMar>
              <w:top w:w="80" w:type="dxa"/>
              <w:left w:w="80" w:type="dxa"/>
              <w:bottom w:w="80" w:type="dxa"/>
              <w:right w:w="80" w:type="dxa"/>
            </w:tcMar>
          </w:tcPr>
          <w:p w14:paraId="64E69A08" w14:textId="349C356F" w:rsidR="00EC3BEB" w:rsidRDefault="00EC3BEB" w:rsidP="00EC3BEB">
            <w:pPr>
              <w:bidi w:val="0"/>
              <w:spacing w:line="360" w:lineRule="exact"/>
              <w:rPr>
                <w:rFonts w:eastAsia="Times New Roman"/>
                <w:sz w:val="22"/>
                <w:szCs w:val="22"/>
              </w:rPr>
            </w:pPr>
            <w:r>
              <w:rPr>
                <w:rFonts w:eastAsia="Times New Roman"/>
                <w:sz w:val="22"/>
                <w:szCs w:val="22"/>
              </w:rPr>
              <w:t xml:space="preserve">[9] </w:t>
            </w:r>
            <w:r w:rsidRPr="009614E0">
              <w:t>If one enters a</w:t>
            </w:r>
            <w:r>
              <w:t>n</w:t>
            </w:r>
            <w:r w:rsidRPr="009614E0">
              <w:t xml:space="preserve"> </w:t>
            </w:r>
            <w:r>
              <w:t>empty land</w:t>
            </w:r>
            <w:r w:rsidRPr="009614E0">
              <w:t xml:space="preserve"> of his neighbor</w:t>
            </w:r>
            <w:r w:rsidR="00FB4C66">
              <w:t>…</w:t>
            </w:r>
          </w:p>
        </w:tc>
        <w:tc>
          <w:tcPr>
            <w:tcW w:w="4169" w:type="dxa"/>
          </w:tcPr>
          <w:p w14:paraId="7DB01A3E" w14:textId="31B1939B" w:rsidR="00EC3BEB" w:rsidRDefault="00EC3BEB" w:rsidP="00EC3BEB">
            <w:pPr>
              <w:bidi w:val="0"/>
              <w:spacing w:line="360" w:lineRule="exact"/>
            </w:pPr>
            <w:r>
              <w:t xml:space="preserve">[6] </w:t>
            </w:r>
            <w:r w:rsidRPr="009614E0">
              <w:t>If one enters a</w:t>
            </w:r>
            <w:r>
              <w:t>n</w:t>
            </w:r>
            <w:r w:rsidRPr="009614E0">
              <w:t xml:space="preserve"> </w:t>
            </w:r>
            <w:r>
              <w:t xml:space="preserve">empty land </w:t>
            </w:r>
            <w:r w:rsidRPr="009614E0">
              <w:t>of his neighbor</w:t>
            </w:r>
            <w:r w:rsidR="00FB4C66">
              <w:t>…</w:t>
            </w:r>
          </w:p>
        </w:tc>
      </w:tr>
      <w:tr w:rsidR="00EC3BEB" w:rsidRPr="00394E84" w14:paraId="2FF12505" w14:textId="77777777" w:rsidTr="00843DB9">
        <w:tc>
          <w:tcPr>
            <w:tcW w:w="4169" w:type="dxa"/>
            <w:tcMar>
              <w:top w:w="80" w:type="dxa"/>
              <w:left w:w="80" w:type="dxa"/>
              <w:bottom w:w="80" w:type="dxa"/>
              <w:right w:w="80" w:type="dxa"/>
            </w:tcMar>
          </w:tcPr>
          <w:p w14:paraId="47CF94BF" w14:textId="4C95D70E" w:rsidR="00EC3BEB" w:rsidRPr="00EC3BEB" w:rsidRDefault="00EC3BEB" w:rsidP="00EC3BEB">
            <w:pPr>
              <w:bidi w:val="0"/>
              <w:spacing w:line="360" w:lineRule="exact"/>
              <w:jc w:val="left"/>
              <w:rPr>
                <w:rFonts w:eastAsia="Times New Roman"/>
                <w:rtl/>
              </w:rPr>
            </w:pPr>
            <w:r>
              <w:rPr>
                <w:rFonts w:eastAsia="Times New Roman"/>
                <w:sz w:val="22"/>
                <w:szCs w:val="22"/>
              </w:rPr>
              <w:lastRenderedPageBreak/>
              <w:t>[</w:t>
            </w:r>
            <w:r w:rsidRPr="00483F21">
              <w:rPr>
                <w:rFonts w:eastAsia="Times New Roman"/>
                <w:b/>
                <w:bCs/>
                <w:color w:val="808080" w:themeColor="background1" w:themeShade="80"/>
                <w:sz w:val="22"/>
                <w:szCs w:val="22"/>
              </w:rPr>
              <w:t>E, G</w:t>
            </w:r>
            <w:r w:rsidRPr="00483F21">
              <w:rPr>
                <w:rFonts w:eastAsia="Times New Roman"/>
                <w:color w:val="808080" w:themeColor="background1" w:themeShade="80"/>
                <w:sz w:val="22"/>
                <w:szCs w:val="22"/>
              </w:rPr>
              <w:t xml:space="preserve">: </w:t>
            </w:r>
            <w:r w:rsidRPr="00483F21">
              <w:rPr>
                <w:color w:val="808080" w:themeColor="background1" w:themeShade="80"/>
              </w:rPr>
              <w:t>Rabban Simeon b. Gamaliel says: the school of Shammai says: 'he had the right to it'. But the school of Hillel say: "they do not listen to him".</w:t>
            </w:r>
            <w:r w:rsidRPr="00483F21">
              <w:rPr>
                <w:rFonts w:eastAsia="Times New Roman"/>
                <w:color w:val="808080" w:themeColor="background1" w:themeShade="80"/>
                <w:sz w:val="22"/>
                <w:szCs w:val="22"/>
              </w:rPr>
              <w:t>]</w:t>
            </w:r>
            <w:bookmarkStart w:id="3" w:name="_Ref139314219"/>
            <w:r w:rsidRPr="00964867">
              <w:rPr>
                <w:rStyle w:val="a6"/>
                <w:rFonts w:eastAsia="Times New Roman"/>
                <w:color w:val="808080" w:themeColor="background1" w:themeShade="80"/>
                <w:sz w:val="22"/>
                <w:szCs w:val="22"/>
                <w:rtl/>
              </w:rPr>
              <w:footnoteReference w:id="45"/>
            </w:r>
            <w:bookmarkEnd w:id="3"/>
            <w:r w:rsidRPr="00394E84">
              <w:rPr>
                <w:rFonts w:eastAsia="Times New Roman"/>
                <w:sz w:val="22"/>
                <w:szCs w:val="22"/>
                <w:rtl/>
              </w:rPr>
              <w:t> </w:t>
            </w:r>
          </w:p>
        </w:tc>
        <w:tc>
          <w:tcPr>
            <w:tcW w:w="4169" w:type="dxa"/>
          </w:tcPr>
          <w:p w14:paraId="018A4120" w14:textId="199A3953" w:rsidR="00EC3BEB" w:rsidRPr="00C95F55" w:rsidRDefault="00EC3BEB" w:rsidP="00EC3BEB">
            <w:pPr>
              <w:bidi w:val="0"/>
              <w:spacing w:line="360" w:lineRule="exact"/>
            </w:pPr>
            <w:r w:rsidRPr="00C95F55">
              <w:t>Rabban Simeon b. Gamaliel says:</w:t>
            </w:r>
            <w:r>
              <w:t xml:space="preserve"> </w:t>
            </w:r>
            <w:r w:rsidRPr="009614E0">
              <w:t>the school of Shammai</w:t>
            </w:r>
            <w:r>
              <w:t xml:space="preserve"> </w:t>
            </w:r>
            <w:r w:rsidRPr="00431B53">
              <w:t>say</w:t>
            </w:r>
            <w:r>
              <w:t>s:</w:t>
            </w:r>
            <w:r w:rsidRPr="009614E0">
              <w:t xml:space="preserve"> </w:t>
            </w:r>
            <w:r>
              <w:t>'</w:t>
            </w:r>
            <w:r w:rsidRPr="009614E0">
              <w:t>he had the right to it</w:t>
            </w:r>
            <w:r>
              <w:t>'. But</w:t>
            </w:r>
            <w:r w:rsidRPr="009614E0">
              <w:t xml:space="preserve"> </w:t>
            </w:r>
            <w:r>
              <w:t>t</w:t>
            </w:r>
            <w:r w:rsidRPr="009614E0">
              <w:t xml:space="preserve">he school of Hillel </w:t>
            </w:r>
            <w:r>
              <w:t>says: "t</w:t>
            </w:r>
            <w:r w:rsidRPr="00A00118">
              <w:t xml:space="preserve">hey </w:t>
            </w:r>
            <w:r>
              <w:t xml:space="preserve">do </w:t>
            </w:r>
            <w:r w:rsidRPr="00A00118">
              <w:t>not listen to him</w:t>
            </w:r>
            <w:r>
              <w:t>"</w:t>
            </w:r>
            <w:r w:rsidRPr="009614E0">
              <w:t xml:space="preserve">. </w:t>
            </w:r>
          </w:p>
        </w:tc>
      </w:tr>
      <w:tr w:rsidR="003505FA" w:rsidRPr="00394E84" w14:paraId="55761CB4" w14:textId="77777777" w:rsidTr="00843DB9">
        <w:tc>
          <w:tcPr>
            <w:tcW w:w="4169" w:type="dxa"/>
            <w:tcMar>
              <w:top w:w="80" w:type="dxa"/>
              <w:left w:w="80" w:type="dxa"/>
              <w:bottom w:w="80" w:type="dxa"/>
              <w:right w:w="80" w:type="dxa"/>
            </w:tcMar>
            <w:hideMark/>
          </w:tcPr>
          <w:p w14:paraId="3A3D6971" w14:textId="50883060" w:rsidR="003505FA" w:rsidRPr="00394E84" w:rsidRDefault="003505FA" w:rsidP="003D0D64">
            <w:pPr>
              <w:bidi w:val="0"/>
              <w:spacing w:line="360" w:lineRule="exact"/>
              <w:rPr>
                <w:rFonts w:eastAsia="Times New Roman"/>
              </w:rPr>
            </w:pPr>
            <w:r>
              <w:rPr>
                <w:rFonts w:eastAsia="Times New Roman"/>
              </w:rPr>
              <w:t xml:space="preserve">[10] </w:t>
            </w:r>
            <w:r w:rsidRPr="009614E0">
              <w:t>If one enters a</w:t>
            </w:r>
            <w:r>
              <w:t>n</w:t>
            </w:r>
            <w:r w:rsidRPr="009614E0">
              <w:t xml:space="preserve"> </w:t>
            </w:r>
            <w:r>
              <w:t>empty land</w:t>
            </w:r>
            <w:r w:rsidRPr="009614E0">
              <w:t xml:space="preserve"> of his neighbor</w:t>
            </w:r>
            <w:r w:rsidR="00273D9E">
              <w:t>…</w:t>
            </w:r>
          </w:p>
        </w:tc>
        <w:tc>
          <w:tcPr>
            <w:tcW w:w="4169" w:type="dxa"/>
          </w:tcPr>
          <w:p w14:paraId="6D14E3DA" w14:textId="5ED3AA30" w:rsidR="003505FA" w:rsidRPr="00394E84" w:rsidRDefault="003505FA" w:rsidP="003D0D64">
            <w:pPr>
              <w:bidi w:val="0"/>
              <w:spacing w:line="360" w:lineRule="exact"/>
              <w:rPr>
                <w:rFonts w:eastAsia="Times New Roman"/>
              </w:rPr>
            </w:pPr>
            <w:r>
              <w:t xml:space="preserve">[7] </w:t>
            </w:r>
            <w:r w:rsidRPr="009614E0">
              <w:t>If one enters a</w:t>
            </w:r>
            <w:r>
              <w:t>n</w:t>
            </w:r>
            <w:r w:rsidRPr="009614E0">
              <w:t xml:space="preserve"> </w:t>
            </w:r>
            <w:r>
              <w:t>empty land</w:t>
            </w:r>
            <w:r w:rsidR="00007727">
              <w:t xml:space="preserve"> </w:t>
            </w:r>
            <w:r w:rsidRPr="009614E0">
              <w:t>of his neighbor</w:t>
            </w:r>
            <w:r w:rsidR="00273D9E">
              <w:t>…</w:t>
            </w:r>
          </w:p>
        </w:tc>
      </w:tr>
      <w:tr w:rsidR="003D0D64" w:rsidRPr="00394E84" w14:paraId="019EBD1F" w14:textId="77777777" w:rsidTr="00843DB9">
        <w:tc>
          <w:tcPr>
            <w:tcW w:w="4169" w:type="dxa"/>
            <w:tcMar>
              <w:top w:w="80" w:type="dxa"/>
              <w:left w:w="80" w:type="dxa"/>
              <w:bottom w:w="80" w:type="dxa"/>
              <w:right w:w="80" w:type="dxa"/>
            </w:tcMar>
          </w:tcPr>
          <w:p w14:paraId="7FB4CD2F" w14:textId="77777777" w:rsidR="003D0D64" w:rsidRDefault="003D0D64" w:rsidP="003D0D64">
            <w:pPr>
              <w:bidi w:val="0"/>
              <w:spacing w:line="360" w:lineRule="exact"/>
            </w:pPr>
            <w:r>
              <w:t xml:space="preserve">How is 'his hand is </w:t>
            </w:r>
            <w:r w:rsidRPr="00675133">
              <w:rPr>
                <w:u w:val="single"/>
              </w:rPr>
              <w:t>lower</w:t>
            </w:r>
            <w:r>
              <w:t>'?</w:t>
            </w:r>
            <w:r w:rsidRPr="00394E84">
              <w:rPr>
                <w:rStyle w:val="fontstyle01"/>
                <w:rFonts w:eastAsia="Times New Roman"/>
                <w:sz w:val="22"/>
                <w:szCs w:val="22"/>
                <w:rtl/>
              </w:rPr>
              <w:t xml:space="preserve"> </w:t>
            </w:r>
            <w:r w:rsidRPr="00394E84">
              <w:rPr>
                <w:rStyle w:val="a6"/>
                <w:rFonts w:eastAsia="Times New Roman"/>
                <w:sz w:val="22"/>
                <w:szCs w:val="22"/>
                <w:rtl/>
              </w:rPr>
              <w:footnoteReference w:id="46"/>
            </w:r>
          </w:p>
          <w:p w14:paraId="19717855" w14:textId="563082ED" w:rsidR="003D0D64" w:rsidRDefault="003D0D64" w:rsidP="003D0D64">
            <w:pPr>
              <w:bidi w:val="0"/>
              <w:spacing w:line="360" w:lineRule="exact"/>
              <w:rPr>
                <w:rFonts w:eastAsia="Times New Roman"/>
              </w:rPr>
            </w:pPr>
            <w:r>
              <w:t xml:space="preserve">If the </w:t>
            </w:r>
            <w:r w:rsidRPr="009614E0">
              <w:t>improvement</w:t>
            </w:r>
            <w:r>
              <w:t xml:space="preserve"> was greater than the outlay— he gives him the </w:t>
            </w:r>
            <w:r w:rsidRPr="00675133">
              <w:rPr>
                <w:u w:val="single"/>
              </w:rPr>
              <w:t>outlay</w:t>
            </w:r>
            <w:r>
              <w:t xml:space="preserve">; if the outlay was greater than the </w:t>
            </w:r>
            <w:r w:rsidRPr="009614E0">
              <w:t>improvement</w:t>
            </w:r>
            <w:r>
              <w:t xml:space="preserve"> — he gives him the </w:t>
            </w:r>
            <w:r w:rsidRPr="00525412">
              <w:rPr>
                <w:u w:val="single"/>
              </w:rPr>
              <w:t>improvement</w:t>
            </w:r>
            <w:r>
              <w:t>.</w:t>
            </w:r>
          </w:p>
        </w:tc>
        <w:tc>
          <w:tcPr>
            <w:tcW w:w="4169" w:type="dxa"/>
          </w:tcPr>
          <w:p w14:paraId="44CD50C7" w14:textId="77777777" w:rsidR="003D0D64" w:rsidRDefault="003D0D64" w:rsidP="003D0D64">
            <w:pPr>
              <w:bidi w:val="0"/>
              <w:spacing w:line="360" w:lineRule="exact"/>
            </w:pPr>
            <w:r>
              <w:t xml:space="preserve">How is 'his hand </w:t>
            </w:r>
            <w:r w:rsidRPr="00675133">
              <w:rPr>
                <w:u w:val="single"/>
              </w:rPr>
              <w:t>higher</w:t>
            </w:r>
            <w:r>
              <w:t>'?</w:t>
            </w:r>
          </w:p>
          <w:p w14:paraId="31220822" w14:textId="13A0C0A1" w:rsidR="003D0D64" w:rsidRDefault="003D0D64" w:rsidP="003D0D64">
            <w:pPr>
              <w:bidi w:val="0"/>
              <w:spacing w:line="360" w:lineRule="exact"/>
            </w:pPr>
            <w:r>
              <w:t xml:space="preserve">If the </w:t>
            </w:r>
            <w:r w:rsidRPr="009614E0">
              <w:t>improvement</w:t>
            </w:r>
            <w:r>
              <w:t xml:space="preserve"> was greater than the outlay— he gives him the </w:t>
            </w:r>
            <w:r w:rsidRPr="00525412">
              <w:rPr>
                <w:u w:val="single"/>
              </w:rPr>
              <w:t>improvement</w:t>
            </w:r>
            <w:r>
              <w:t xml:space="preserve">; if the outlay was greater than the </w:t>
            </w:r>
            <w:r w:rsidRPr="009614E0">
              <w:t>improvement</w:t>
            </w:r>
            <w:r>
              <w:t xml:space="preserve"> — he gives him the </w:t>
            </w:r>
            <w:r w:rsidRPr="00525412">
              <w:rPr>
                <w:u w:val="single"/>
              </w:rPr>
              <w:t>outlay</w:t>
            </w:r>
            <w:r>
              <w:t>.</w:t>
            </w:r>
          </w:p>
        </w:tc>
      </w:tr>
    </w:tbl>
    <w:p w14:paraId="2F37FEA2" w14:textId="77777777" w:rsidR="00C04D3C" w:rsidRPr="00394E84" w:rsidRDefault="00C04D3C" w:rsidP="00C04D3C">
      <w:pPr>
        <w:rPr>
          <w:rFonts w:hint="cs"/>
          <w:rtl/>
        </w:rPr>
      </w:pPr>
    </w:p>
    <w:p w14:paraId="12304D25" w14:textId="0E7F6965" w:rsidR="00C04D3C" w:rsidRDefault="004B6293" w:rsidP="007B567E">
      <w:pPr>
        <w:rPr>
          <w:rFonts w:asciiTheme="minorHAnsi" w:hAnsiTheme="minorHAnsi"/>
          <w:rtl/>
        </w:rPr>
      </w:pPr>
      <w:r>
        <w:rPr>
          <w:rFonts w:asciiTheme="minorHAnsi" w:hAnsiTheme="minorHAnsi" w:hint="cs"/>
          <w:rtl/>
        </w:rPr>
        <w:t xml:space="preserve">מקבילות זהות כאלו אינן נדירות בספרות חז"ל. </w:t>
      </w:r>
      <w:r w:rsidR="00BA0BC1">
        <w:rPr>
          <w:rFonts w:asciiTheme="minorHAnsi" w:hAnsiTheme="minorHAnsi" w:hint="cs"/>
          <w:rtl/>
        </w:rPr>
        <w:t>חוקרים מנסים לקבוע בדרך כלל אם אחת המקבילות העתיקה מן האחרת, או ששתיהן שאבו ממקור שלישי שאינו לפנינו.</w:t>
      </w:r>
      <w:r w:rsidR="00CB5CE9">
        <w:rPr>
          <w:rFonts w:asciiTheme="minorHAnsi" w:hAnsiTheme="minorHAnsi" w:hint="cs"/>
          <w:rtl/>
        </w:rPr>
        <w:t xml:space="preserve"> במקרה זה נחלקו </w:t>
      </w:r>
      <w:r w:rsidR="00AD0C3E">
        <w:rPr>
          <w:rFonts w:asciiTheme="minorHAnsi" w:hAnsiTheme="minorHAnsi" w:hint="cs"/>
          <w:rtl/>
        </w:rPr>
        <w:t>ה</w:t>
      </w:r>
      <w:r w:rsidR="00CB5CE9">
        <w:rPr>
          <w:rFonts w:asciiTheme="minorHAnsi" w:hAnsiTheme="minorHAnsi" w:hint="cs"/>
          <w:rtl/>
        </w:rPr>
        <w:t>חוקרים</w:t>
      </w:r>
      <w:r w:rsidR="001A485D">
        <w:rPr>
          <w:rFonts w:asciiTheme="minorHAnsi" w:hAnsiTheme="minorHAnsi" w:hint="cs"/>
          <w:rtl/>
        </w:rPr>
        <w:t>,</w:t>
      </w:r>
      <w:r w:rsidR="00451C0D" w:rsidRPr="00451C0D">
        <w:rPr>
          <w:rStyle w:val="fontstyle01"/>
          <w:rFonts w:asciiTheme="minorHAnsi" w:hAnsiTheme="minorHAnsi"/>
          <w:rtl/>
        </w:rPr>
        <w:t xml:space="preserve"> </w:t>
      </w:r>
      <w:r w:rsidR="00AD0C3E">
        <w:rPr>
          <w:rFonts w:asciiTheme="minorHAnsi" w:hAnsiTheme="minorHAnsi" w:hint="cs"/>
          <w:rtl/>
        </w:rPr>
        <w:t xml:space="preserve">אברהם </w:t>
      </w:r>
      <w:r w:rsidR="00C04D3C">
        <w:rPr>
          <w:rFonts w:asciiTheme="minorHAnsi" w:hAnsiTheme="minorHAnsi" w:hint="cs"/>
          <w:rtl/>
        </w:rPr>
        <w:t>גולדברג טען שתוספתא בבא קמא שאלה מן התוספתא כתובות, ו</w:t>
      </w:r>
      <w:r w:rsidR="006B2275">
        <w:rPr>
          <w:rFonts w:asciiTheme="minorHAnsi" w:hAnsiTheme="minorHAnsi" w:hint="cs"/>
          <w:rtl/>
        </w:rPr>
        <w:t xml:space="preserve">רוברט </w:t>
      </w:r>
      <w:r w:rsidR="00C04D3C">
        <w:rPr>
          <w:rFonts w:asciiTheme="minorHAnsi" w:hAnsiTheme="minorHAnsi" w:hint="cs"/>
          <w:rtl/>
        </w:rPr>
        <w:t>ברודי טען את ההפך.</w:t>
      </w:r>
      <w:r w:rsidR="006B2275">
        <w:rPr>
          <w:rStyle w:val="a6"/>
          <w:rFonts w:asciiTheme="minorHAnsi" w:hAnsiTheme="minorHAnsi"/>
          <w:rtl/>
        </w:rPr>
        <w:footnoteReference w:id="47"/>
      </w:r>
      <w:r w:rsidR="00C04D3C">
        <w:rPr>
          <w:rFonts w:asciiTheme="minorHAnsi" w:hAnsiTheme="minorHAnsi" w:hint="cs"/>
          <w:rtl/>
        </w:rPr>
        <w:t xml:space="preserve"> טיעוניו של גולדברג נראים לי משכנעים יותר. גולדברג הראה שהלכת ה</w:t>
      </w:r>
      <w:r w:rsidR="00053758">
        <w:rPr>
          <w:rFonts w:asciiTheme="minorHAnsi" w:hAnsiTheme="minorHAnsi" w:hint="cs"/>
          <w:rtl/>
        </w:rPr>
        <w:t>בונה בנחלת חברו</w:t>
      </w:r>
      <w:r w:rsidR="00C04D3C">
        <w:rPr>
          <w:rFonts w:asciiTheme="minorHAnsi" w:hAnsiTheme="minorHAnsi" w:hint="cs"/>
          <w:rtl/>
        </w:rPr>
        <w:t xml:space="preserve"> מתאימה לרצף ההלכות בתוספתא כתובות מבחינה סגנונית</w:t>
      </w:r>
      <w:r w:rsidR="00BE648E">
        <w:rPr>
          <w:rFonts w:asciiTheme="minorHAnsi" w:hAnsiTheme="minorHAnsi" w:hint="cs"/>
          <w:rtl/>
        </w:rPr>
        <w:t>. כמה הלכות בתוספתא שם פותחות במילה 'היורד' (</w:t>
      </w:r>
      <w:r w:rsidR="00CC17C2" w:rsidRPr="00353B74">
        <w:rPr>
          <w:rFonts w:asciiTheme="majorBidi" w:hAnsiTheme="majorBidi" w:cstheme="majorBidi"/>
        </w:rPr>
        <w:t>One who enters</w:t>
      </w:r>
      <w:r w:rsidR="00BE648E">
        <w:rPr>
          <w:rFonts w:asciiTheme="minorHAnsi" w:hAnsiTheme="minorHAnsi" w:hint="cs"/>
          <w:rtl/>
        </w:rPr>
        <w:t>)</w:t>
      </w:r>
      <w:r w:rsidR="00C04D3C">
        <w:rPr>
          <w:rFonts w:asciiTheme="minorHAnsi" w:hAnsiTheme="minorHAnsi" w:hint="cs"/>
          <w:rtl/>
        </w:rPr>
        <w:t xml:space="preserve"> </w:t>
      </w:r>
      <w:r w:rsidR="007B567E">
        <w:rPr>
          <w:rFonts w:asciiTheme="minorHAnsi" w:hAnsiTheme="minorHAnsi" w:hint="cs"/>
          <w:rtl/>
        </w:rPr>
        <w:t xml:space="preserve">וכך גם ההלכות שלנו. אך יותר מן הדמיון הסגנוני, חשוב להדגיש את ההקשר הקונספטואלי. </w:t>
      </w:r>
      <w:r w:rsidR="00C04D3C">
        <w:rPr>
          <w:rFonts w:asciiTheme="minorHAnsi" w:hAnsiTheme="minorHAnsi" w:hint="cs"/>
          <w:rtl/>
        </w:rPr>
        <w:t xml:space="preserve">רוב ההלכות בפרק </w:t>
      </w:r>
      <w:r w:rsidR="007B567E">
        <w:rPr>
          <w:rFonts w:asciiTheme="minorHAnsi" w:hAnsiTheme="minorHAnsi" w:hint="cs"/>
          <w:rtl/>
        </w:rPr>
        <w:t>זה</w:t>
      </w:r>
      <w:r w:rsidR="00C04D3C">
        <w:rPr>
          <w:rFonts w:asciiTheme="minorHAnsi" w:hAnsiTheme="minorHAnsi" w:hint="cs"/>
          <w:rtl/>
        </w:rPr>
        <w:t xml:space="preserve"> </w:t>
      </w:r>
      <w:r w:rsidR="007B567E">
        <w:rPr>
          <w:rFonts w:asciiTheme="minorHAnsi" w:hAnsiTheme="minorHAnsi" w:hint="cs"/>
          <w:rtl/>
        </w:rPr>
        <w:t>של ה</w:t>
      </w:r>
      <w:r w:rsidR="00C04D3C">
        <w:rPr>
          <w:rFonts w:asciiTheme="minorHAnsi" w:hAnsiTheme="minorHAnsi" w:hint="cs"/>
          <w:rtl/>
        </w:rPr>
        <w:t>תוספתא כתובות עוסקות באותה בעיה משפטית</w:t>
      </w:r>
      <w:r w:rsidR="007B567E">
        <w:rPr>
          <w:rFonts w:asciiTheme="minorHAnsi" w:hAnsiTheme="minorHAnsi" w:hint="cs"/>
          <w:rtl/>
        </w:rPr>
        <w:t>:</w:t>
      </w:r>
      <w:r w:rsidR="00C04D3C">
        <w:rPr>
          <w:rFonts w:asciiTheme="minorHAnsi" w:hAnsiTheme="minorHAnsi" w:hint="cs"/>
          <w:rtl/>
        </w:rPr>
        <w:t xml:space="preserve"> מה עושים כשממונו המיטלטל של אחד מחובר לקרקע ששייכת לאחר. בכל ההלכות הללו עולה עקרון משפטי אחד: הנכסים המחוברים שייכים לבעל הקרקע, והוא מפצה את בעל המטלטלים </w:t>
      </w:r>
      <w:r w:rsidR="00E511E6">
        <w:rPr>
          <w:rFonts w:asciiTheme="minorHAnsi" w:hAnsiTheme="minorHAnsi" w:hint="cs"/>
          <w:rtl/>
        </w:rPr>
        <w:t>בהתאם</w:t>
      </w:r>
      <w:r w:rsidR="00C04D3C">
        <w:rPr>
          <w:rFonts w:asciiTheme="minorHAnsi" w:hAnsiTheme="minorHAnsi" w:hint="cs"/>
          <w:rtl/>
        </w:rPr>
        <w:t xml:space="preserve"> </w:t>
      </w:r>
      <w:r w:rsidR="00BC2055">
        <w:rPr>
          <w:rFonts w:asciiTheme="minorHAnsi" w:hAnsiTheme="minorHAnsi" w:hint="cs"/>
          <w:rtl/>
        </w:rPr>
        <w:t>ל</w:t>
      </w:r>
      <w:r w:rsidR="00C04D3C">
        <w:rPr>
          <w:rFonts w:asciiTheme="minorHAnsi" w:hAnsiTheme="minorHAnsi" w:hint="cs"/>
          <w:rtl/>
        </w:rPr>
        <w:t>עניין.</w:t>
      </w:r>
      <w:r w:rsidR="00C04D3C">
        <w:rPr>
          <w:rStyle w:val="a6"/>
          <w:rFonts w:asciiTheme="minorHAnsi" w:hAnsiTheme="minorHAnsi"/>
          <w:rtl/>
        </w:rPr>
        <w:footnoteReference w:id="48"/>
      </w:r>
      <w:r w:rsidR="00C04D3C">
        <w:rPr>
          <w:rFonts w:asciiTheme="minorHAnsi" w:hAnsiTheme="minorHAnsi" w:hint="cs"/>
          <w:rtl/>
        </w:rPr>
        <w:t xml:space="preserve"> הלכות היורד</w:t>
      </w:r>
      <w:r w:rsidR="00035E7B">
        <w:rPr>
          <w:rFonts w:asciiTheme="minorHAnsi" w:hAnsiTheme="minorHAnsi" w:hint="cs"/>
          <w:rtl/>
        </w:rPr>
        <w:t xml:space="preserve"> לחורבתו של חברו</w:t>
      </w:r>
      <w:r w:rsidR="00C04D3C">
        <w:rPr>
          <w:rFonts w:asciiTheme="minorHAnsi" w:hAnsiTheme="minorHAnsi" w:hint="cs"/>
          <w:rtl/>
        </w:rPr>
        <w:t xml:space="preserve"> משתלבות היטב ברצף זה, ומסתבר שהן קשורות בו. לעומת זאת, הלכת המריש, שאינה שייכת לעניין זה, לא נזכרת בתוספתא כתובות.</w:t>
      </w:r>
    </w:p>
    <w:p w14:paraId="29800E42" w14:textId="77777777" w:rsidR="008C28BC" w:rsidRDefault="00C04D3C" w:rsidP="00C93220">
      <w:pPr>
        <w:rPr>
          <w:rFonts w:asciiTheme="minorHAnsi" w:hAnsiTheme="minorHAnsi"/>
          <w:rtl/>
        </w:rPr>
      </w:pPr>
      <w:r>
        <w:rPr>
          <w:rFonts w:asciiTheme="minorHAnsi" w:hAnsiTheme="minorHAnsi" w:hint="cs"/>
          <w:rtl/>
        </w:rPr>
        <w:lastRenderedPageBreak/>
        <w:t xml:space="preserve">אם כן, הלכת המריש מצויה במשנה בקשר עם תקנות שכוללות פיקציה הלכתית, ואילו דיני היורד מצויים בתוספתא בקשר עם דיני המחובר לקרקע. התוספתא בבא קמא מחברת את שתי ההלכות, שצמחו </w:t>
      </w:r>
      <w:r w:rsidR="00606EFC">
        <w:rPr>
          <w:rFonts w:asciiTheme="minorHAnsi" w:hAnsiTheme="minorHAnsi" w:hint="cs"/>
          <w:rtl/>
        </w:rPr>
        <w:t xml:space="preserve">על </w:t>
      </w:r>
      <w:r>
        <w:rPr>
          <w:rFonts w:asciiTheme="minorHAnsi" w:hAnsiTheme="minorHAnsi" w:hint="cs"/>
          <w:rtl/>
        </w:rPr>
        <w:t>רקע הלכתי שונה לגמרי</w:t>
      </w:r>
      <w:r w:rsidR="00606EFC">
        <w:rPr>
          <w:rFonts w:asciiTheme="minorHAnsi" w:hAnsiTheme="minorHAnsi" w:hint="cs"/>
          <w:rtl/>
        </w:rPr>
        <w:t xml:space="preserve"> זו מזו</w:t>
      </w:r>
      <w:r>
        <w:rPr>
          <w:rFonts w:asciiTheme="minorHAnsi" w:hAnsiTheme="minorHAnsi" w:hint="cs"/>
          <w:rtl/>
        </w:rPr>
        <w:t>, בעקבות צד שווה ביניהן.</w:t>
      </w:r>
      <w:r w:rsidR="00E91E6B">
        <w:rPr>
          <w:rFonts w:asciiTheme="minorHAnsi" w:hAnsiTheme="minorHAnsi" w:hint="cs"/>
          <w:rtl/>
        </w:rPr>
        <w:t xml:space="preserve"> </w:t>
      </w:r>
    </w:p>
    <w:p w14:paraId="348321B1" w14:textId="3CA5728A" w:rsidR="00E47053" w:rsidRDefault="00C04D3C" w:rsidP="00C93220">
      <w:pPr>
        <w:rPr>
          <w:rFonts w:asciiTheme="minorHAnsi" w:hAnsiTheme="minorHAnsi" w:hint="cs"/>
          <w:rtl/>
        </w:rPr>
      </w:pPr>
      <w:r>
        <w:rPr>
          <w:rFonts w:asciiTheme="minorHAnsi" w:hAnsiTheme="minorHAnsi" w:hint="cs"/>
          <w:rtl/>
        </w:rPr>
        <w:t>ייתכן ש</w:t>
      </w:r>
      <w:r w:rsidR="000C3788">
        <w:rPr>
          <w:rFonts w:asciiTheme="minorHAnsi" w:hAnsiTheme="minorHAnsi" w:hint="cs"/>
          <w:rtl/>
        </w:rPr>
        <w:t>נותר בתוספתא גם</w:t>
      </w:r>
      <w:r>
        <w:rPr>
          <w:rFonts w:asciiTheme="minorHAnsi" w:hAnsiTheme="minorHAnsi" w:hint="cs"/>
          <w:rtl/>
        </w:rPr>
        <w:t xml:space="preserve"> רמז לזהות העורך שחיבר את ההלכות</w:t>
      </w:r>
      <w:r w:rsidR="003B29B5">
        <w:rPr>
          <w:rFonts w:asciiTheme="minorHAnsi" w:hAnsiTheme="minorHAnsi" w:hint="cs"/>
          <w:rtl/>
        </w:rPr>
        <w:t xml:space="preserve">, הלא הוא רבן שמעון בן גמליאל (להלן </w:t>
      </w:r>
      <w:r w:rsidR="003B29B5" w:rsidRPr="003B29B5">
        <w:rPr>
          <w:rFonts w:asciiTheme="majorBidi" w:hAnsiTheme="majorBidi" w:cstheme="majorBidi"/>
        </w:rPr>
        <w:t>RSBG</w:t>
      </w:r>
      <w:r w:rsidR="003B29B5">
        <w:rPr>
          <w:rFonts w:asciiTheme="minorHAnsi" w:hAnsiTheme="minorHAnsi" w:hint="cs"/>
          <w:rtl/>
        </w:rPr>
        <w:t>)</w:t>
      </w:r>
      <w:r>
        <w:rPr>
          <w:rFonts w:asciiTheme="minorHAnsi" w:hAnsiTheme="minorHAnsi" w:hint="cs"/>
          <w:rtl/>
        </w:rPr>
        <w:t>.</w:t>
      </w:r>
      <w:r w:rsidR="003B29B5">
        <w:rPr>
          <w:rFonts w:asciiTheme="minorHAnsi" w:hAnsiTheme="minorHAnsi" w:hint="cs"/>
          <w:rtl/>
        </w:rPr>
        <w:t xml:space="preserve"> לפי שיטת רשב"ג,</w:t>
      </w:r>
      <w:r>
        <w:rPr>
          <w:rFonts w:asciiTheme="minorHAnsi" w:hAnsiTheme="minorHAnsi" w:hint="cs"/>
          <w:rtl/>
        </w:rPr>
        <w:t xml:space="preserve"> בית שמאי ובית הלל</w:t>
      </w:r>
      <w:r w:rsidR="003B29B5">
        <w:rPr>
          <w:rFonts w:asciiTheme="minorHAnsi" w:hAnsiTheme="minorHAnsi" w:hint="cs"/>
          <w:rtl/>
        </w:rPr>
        <w:t xml:space="preserve"> חלוקים בשאלה אם הבונה בנחלת חברו רשאי ליטול את חומרי הבנייה או לא</w:t>
      </w:r>
      <w:r>
        <w:rPr>
          <w:rFonts w:asciiTheme="minorHAnsi" w:hAnsiTheme="minorHAnsi" w:hint="cs"/>
          <w:rtl/>
        </w:rPr>
        <w:t xml:space="preserve">. </w:t>
      </w:r>
      <w:r w:rsidR="003B29B5">
        <w:rPr>
          <w:rFonts w:asciiTheme="minorHAnsi" w:hAnsiTheme="minorHAnsi" w:hint="cs"/>
          <w:rtl/>
        </w:rPr>
        <w:t>מצד אחד,</w:t>
      </w:r>
      <w:r>
        <w:rPr>
          <w:rFonts w:asciiTheme="minorHAnsi" w:hAnsiTheme="minorHAnsi" w:hint="cs"/>
          <w:rtl/>
        </w:rPr>
        <w:t xml:space="preserve"> </w:t>
      </w:r>
      <w:r w:rsidR="003B29B5">
        <w:rPr>
          <w:rFonts w:asciiTheme="minorHAnsi" w:hAnsiTheme="minorHAnsi" w:hint="cs"/>
          <w:rtl/>
        </w:rPr>
        <w:t>ייתכן</w:t>
      </w:r>
      <w:r>
        <w:rPr>
          <w:rFonts w:asciiTheme="minorHAnsi" w:hAnsiTheme="minorHAnsi" w:hint="cs"/>
          <w:rtl/>
        </w:rPr>
        <w:t xml:space="preserve"> שרשב"ג מתעד </w:t>
      </w:r>
      <w:r w:rsidR="003B29B5">
        <w:rPr>
          <w:rFonts w:asciiTheme="minorHAnsi" w:hAnsiTheme="minorHAnsi" w:hint="cs"/>
          <w:rtl/>
        </w:rPr>
        <w:t>ידע הלכתי שעבר אליו במסורת. על פי ידע זה,</w:t>
      </w:r>
      <w:r>
        <w:rPr>
          <w:rFonts w:asciiTheme="minorHAnsi" w:hAnsiTheme="minorHAnsi" w:hint="cs"/>
          <w:rtl/>
        </w:rPr>
        <w:t xml:space="preserve"> במקרה נחלקו בית שמאי ובית הלל הן בדין ה</w:t>
      </w:r>
      <w:r w:rsidR="003B29B5">
        <w:rPr>
          <w:rFonts w:asciiTheme="minorHAnsi" w:hAnsiTheme="minorHAnsi" w:hint="cs"/>
          <w:rtl/>
        </w:rPr>
        <w:t>קורה הגזולה</w:t>
      </w:r>
      <w:r>
        <w:rPr>
          <w:rFonts w:asciiTheme="minorHAnsi" w:hAnsiTheme="minorHAnsi" w:hint="cs"/>
          <w:rtl/>
        </w:rPr>
        <w:t xml:space="preserve"> והן בדין ה</w:t>
      </w:r>
      <w:r w:rsidR="003B29B5">
        <w:rPr>
          <w:rFonts w:asciiTheme="minorHAnsi" w:hAnsiTheme="minorHAnsi" w:hint="cs"/>
          <w:rtl/>
        </w:rPr>
        <w:t>בונה בנחלת חברו</w:t>
      </w:r>
      <w:r>
        <w:rPr>
          <w:rFonts w:asciiTheme="minorHAnsi" w:hAnsiTheme="minorHAnsi" w:hint="cs"/>
          <w:rtl/>
        </w:rPr>
        <w:t xml:space="preserve">. </w:t>
      </w:r>
      <w:r w:rsidR="003B29B5">
        <w:rPr>
          <w:rFonts w:asciiTheme="minorHAnsi" w:hAnsiTheme="minorHAnsi" w:hint="cs"/>
          <w:rtl/>
        </w:rPr>
        <w:t xml:space="preserve">אך </w:t>
      </w:r>
      <w:r>
        <w:rPr>
          <w:rFonts w:asciiTheme="minorHAnsi" w:hAnsiTheme="minorHAnsi" w:hint="cs"/>
          <w:rtl/>
        </w:rPr>
        <w:t>מסתבר</w:t>
      </w:r>
      <w:r w:rsidR="003B29B5">
        <w:rPr>
          <w:rFonts w:asciiTheme="minorHAnsi" w:hAnsiTheme="minorHAnsi" w:hint="cs"/>
          <w:rtl/>
        </w:rPr>
        <w:t xml:space="preserve"> הרבה</w:t>
      </w:r>
      <w:r>
        <w:rPr>
          <w:rFonts w:asciiTheme="minorHAnsi" w:hAnsiTheme="minorHAnsi" w:hint="cs"/>
          <w:rtl/>
        </w:rPr>
        <w:t xml:space="preserve"> יותר ש</w:t>
      </w:r>
      <w:r w:rsidR="00EB0C57">
        <w:rPr>
          <w:rFonts w:asciiTheme="minorHAnsi" w:hAnsiTheme="minorHAnsi" w:hint="cs"/>
          <w:rtl/>
        </w:rPr>
        <w:t xml:space="preserve">שיטת </w:t>
      </w:r>
      <w:r>
        <w:rPr>
          <w:rFonts w:asciiTheme="minorHAnsi" w:hAnsiTheme="minorHAnsi" w:hint="cs"/>
          <w:rtl/>
        </w:rPr>
        <w:t>רשב"ג</w:t>
      </w:r>
      <w:r w:rsidR="00EB0C57">
        <w:rPr>
          <w:rFonts w:asciiTheme="minorHAnsi" w:hAnsiTheme="minorHAnsi" w:hint="cs"/>
          <w:rtl/>
        </w:rPr>
        <w:t xml:space="preserve"> מבוססת על אנלוגיה. כלומר, רשב"ג הכיר את מחלוקת בית שמאי ובית הלל בעניין הקורה הגזולה, והעתיק אותה לדין הבונה בנחלת חברו</w:t>
      </w:r>
      <w:r w:rsidR="006B1A4D">
        <w:rPr>
          <w:rFonts w:asciiTheme="minorHAnsi" w:hAnsiTheme="minorHAnsi" w:hint="cs"/>
          <w:rtl/>
        </w:rPr>
        <w:t>, כיוון שלדעתו יש לשני החוקים הגיון משותף</w:t>
      </w:r>
      <w:r w:rsidR="00EB0C57">
        <w:rPr>
          <w:rFonts w:asciiTheme="minorHAnsi" w:hAnsiTheme="minorHAnsi" w:hint="cs"/>
          <w:rtl/>
        </w:rPr>
        <w:t>.</w:t>
      </w:r>
      <w:r>
        <w:rPr>
          <w:rFonts w:asciiTheme="minorHAnsi" w:hAnsiTheme="minorHAnsi" w:hint="cs"/>
          <w:rtl/>
        </w:rPr>
        <w:t xml:space="preserve"> אם</w:t>
      </w:r>
      <w:r w:rsidR="006B1A4D">
        <w:rPr>
          <w:rFonts w:asciiTheme="minorHAnsi" w:hAnsiTheme="minorHAnsi" w:hint="cs"/>
          <w:rtl/>
        </w:rPr>
        <w:t xml:space="preserve"> אמנם</w:t>
      </w:r>
      <w:r>
        <w:rPr>
          <w:rFonts w:asciiTheme="minorHAnsi" w:hAnsiTheme="minorHAnsi" w:hint="cs"/>
          <w:rtl/>
        </w:rPr>
        <w:t xml:space="preserve"> כן, מסתבר ש</w:t>
      </w:r>
      <w:r w:rsidR="006B1A4D">
        <w:rPr>
          <w:rFonts w:asciiTheme="minorHAnsi" w:hAnsiTheme="minorHAnsi" w:hint="cs"/>
          <w:rtl/>
        </w:rPr>
        <w:t>ה</w:t>
      </w:r>
      <w:r>
        <w:rPr>
          <w:rFonts w:asciiTheme="minorHAnsi" w:hAnsiTheme="minorHAnsi" w:hint="cs"/>
          <w:rtl/>
        </w:rPr>
        <w:t xml:space="preserve">חיבור </w:t>
      </w:r>
      <w:r w:rsidR="006B1A4D">
        <w:rPr>
          <w:rFonts w:asciiTheme="minorHAnsi" w:hAnsiTheme="minorHAnsi" w:hint="cs"/>
          <w:rtl/>
        </w:rPr>
        <w:t xml:space="preserve">בין שתי </w:t>
      </w:r>
      <w:r>
        <w:rPr>
          <w:rFonts w:asciiTheme="minorHAnsi" w:hAnsiTheme="minorHAnsi" w:hint="cs"/>
          <w:rtl/>
        </w:rPr>
        <w:t xml:space="preserve">ההלכות אירע בבית מדרשו של רשב"ג. </w:t>
      </w:r>
    </w:p>
    <w:p w14:paraId="620C3212" w14:textId="2E4C14A6" w:rsidR="00C04D3C" w:rsidRDefault="00C04D3C" w:rsidP="00C04D3C">
      <w:pPr>
        <w:rPr>
          <w:rFonts w:asciiTheme="minorHAnsi" w:hAnsiTheme="minorHAnsi"/>
          <w:rtl/>
        </w:rPr>
      </w:pPr>
      <w:r>
        <w:rPr>
          <w:rFonts w:asciiTheme="minorHAnsi" w:hAnsiTheme="minorHAnsi" w:hint="cs"/>
          <w:rtl/>
        </w:rPr>
        <w:t xml:space="preserve">בהקשר זה יש לציין את נוסח </w:t>
      </w:r>
      <w:r w:rsidR="009C4C3F" w:rsidRPr="009C4C3F">
        <w:rPr>
          <w:rFonts w:asciiTheme="majorBidi" w:hAnsiTheme="majorBidi" w:cstheme="majorBidi" w:hint="cs"/>
          <w:b/>
          <w:bCs/>
        </w:rPr>
        <w:t>V</w:t>
      </w:r>
      <w:r w:rsidR="009C4C3F">
        <w:rPr>
          <w:rFonts w:asciiTheme="majorBidi" w:hAnsiTheme="majorBidi" w:cstheme="majorBidi"/>
        </w:rPr>
        <w:t xml:space="preserve"> and </w:t>
      </w:r>
      <w:r w:rsidR="009C4C3F" w:rsidRPr="009C4C3F">
        <w:rPr>
          <w:rFonts w:asciiTheme="majorBidi" w:hAnsiTheme="majorBidi" w:cstheme="majorBidi"/>
          <w:b/>
          <w:bCs/>
        </w:rPr>
        <w:t>P</w:t>
      </w:r>
      <w:r>
        <w:rPr>
          <w:rFonts w:asciiTheme="minorHAnsi" w:hAnsiTheme="minorHAnsi" w:hint="cs"/>
          <w:rtl/>
        </w:rPr>
        <w:t xml:space="preserve"> שבו שיטת רשב"ג</w:t>
      </w:r>
      <w:r w:rsidR="000C3788">
        <w:rPr>
          <w:rFonts w:asciiTheme="minorHAnsi" w:hAnsiTheme="minorHAnsi" w:hint="cs"/>
          <w:rtl/>
        </w:rPr>
        <w:t xml:space="preserve"> </w:t>
      </w:r>
      <w:r w:rsidR="00B619EF">
        <w:rPr>
          <w:rFonts w:asciiTheme="minorHAnsi" w:hAnsiTheme="minorHAnsi" w:hint="cs"/>
          <w:rtl/>
        </w:rPr>
        <w:t xml:space="preserve">חסרה </w:t>
      </w:r>
      <w:r w:rsidR="000C3788">
        <w:rPr>
          <w:rFonts w:asciiTheme="minorHAnsi" w:hAnsiTheme="minorHAnsi" w:hint="cs"/>
          <w:rtl/>
        </w:rPr>
        <w:t>בתוספתא כתובות</w:t>
      </w:r>
      <w:r>
        <w:rPr>
          <w:rFonts w:asciiTheme="minorHAnsi" w:hAnsiTheme="minorHAnsi" w:hint="cs"/>
          <w:rtl/>
        </w:rPr>
        <w:t>. נוסח זה מתאים היטב לשחזור המשוער שהצעתי: כיוון שדין ה</w:t>
      </w:r>
      <w:r w:rsidR="00437877">
        <w:rPr>
          <w:rFonts w:asciiTheme="minorHAnsi" w:hAnsiTheme="minorHAnsi" w:hint="cs"/>
          <w:rtl/>
        </w:rPr>
        <w:t>קורה הגזולה</w:t>
      </w:r>
      <w:r>
        <w:rPr>
          <w:rFonts w:asciiTheme="minorHAnsi" w:hAnsiTheme="minorHAnsi" w:hint="cs"/>
          <w:rtl/>
        </w:rPr>
        <w:t xml:space="preserve"> לא מצוי בתוספתא כתובות, גם שיטת רשב"ג </w:t>
      </w:r>
      <w:r>
        <w:rPr>
          <w:rFonts w:asciiTheme="minorHAnsi" w:hAnsiTheme="minorHAnsi"/>
          <w:rtl/>
        </w:rPr>
        <w:t>–</w:t>
      </w:r>
      <w:r>
        <w:rPr>
          <w:rFonts w:asciiTheme="minorHAnsi" w:hAnsiTheme="minorHAnsi" w:hint="cs"/>
          <w:rtl/>
        </w:rPr>
        <w:t xml:space="preserve"> שמבוססת עליו </w:t>
      </w:r>
      <w:r>
        <w:rPr>
          <w:rFonts w:asciiTheme="minorHAnsi" w:hAnsiTheme="minorHAnsi"/>
          <w:rtl/>
        </w:rPr>
        <w:t>–</w:t>
      </w:r>
      <w:r>
        <w:rPr>
          <w:rFonts w:asciiTheme="minorHAnsi" w:hAnsiTheme="minorHAnsi" w:hint="cs"/>
          <w:rtl/>
        </w:rPr>
        <w:t xml:space="preserve"> לא מצויה שם. </w:t>
      </w:r>
      <w:r w:rsidR="00CD5D16">
        <w:rPr>
          <w:rFonts w:asciiTheme="minorHAnsi" w:hAnsiTheme="minorHAnsi" w:hint="cs"/>
          <w:rtl/>
        </w:rPr>
        <w:t xml:space="preserve">רשב"ג, עורך הקובץ בתוספתא בבא קמא, חיבר את דין הקורה הגזולה לדין הבונה בנחלת חברו, והוסיף שם את שיטתו ההלכתית. </w:t>
      </w:r>
      <w:r w:rsidR="00315A64">
        <w:rPr>
          <w:rFonts w:asciiTheme="minorHAnsi" w:hAnsiTheme="minorHAnsi" w:hint="cs"/>
          <w:rtl/>
        </w:rPr>
        <w:t xml:space="preserve">אם שחזור זה נכון, יש להסביר את </w:t>
      </w:r>
      <w:r>
        <w:rPr>
          <w:rFonts w:asciiTheme="minorHAnsi" w:hAnsiTheme="minorHAnsi" w:hint="cs"/>
          <w:rtl/>
        </w:rPr>
        <w:t xml:space="preserve">נוסח </w:t>
      </w:r>
      <w:r w:rsidR="009C4C3F" w:rsidRPr="006803D6">
        <w:rPr>
          <w:rFonts w:asciiTheme="majorBidi" w:hAnsiTheme="majorBidi" w:cstheme="majorBidi"/>
          <w:b/>
          <w:bCs/>
        </w:rPr>
        <w:t>E</w:t>
      </w:r>
      <w:r w:rsidR="006803D6">
        <w:rPr>
          <w:rFonts w:asciiTheme="majorBidi" w:hAnsiTheme="majorBidi" w:cstheme="majorBidi"/>
        </w:rPr>
        <w:t xml:space="preserve"> and </w:t>
      </w:r>
      <w:r w:rsidR="006803D6" w:rsidRPr="006803D6">
        <w:rPr>
          <w:rFonts w:asciiTheme="majorBidi" w:hAnsiTheme="majorBidi" w:cstheme="majorBidi"/>
          <w:b/>
          <w:bCs/>
        </w:rPr>
        <w:t>G</w:t>
      </w:r>
      <w:r>
        <w:rPr>
          <w:rFonts w:asciiTheme="minorHAnsi" w:hAnsiTheme="minorHAnsi" w:hint="cs"/>
          <w:rtl/>
        </w:rPr>
        <w:t xml:space="preserve"> </w:t>
      </w:r>
      <w:r w:rsidR="00315A64">
        <w:rPr>
          <w:rFonts w:asciiTheme="minorHAnsi" w:hAnsiTheme="minorHAnsi" w:hint="cs"/>
          <w:rtl/>
        </w:rPr>
        <w:t xml:space="preserve">במסכת כתובות </w:t>
      </w:r>
      <w:r>
        <w:rPr>
          <w:rFonts w:asciiTheme="minorHAnsi" w:hAnsiTheme="minorHAnsi" w:hint="cs"/>
          <w:rtl/>
        </w:rPr>
        <w:t>כהשלמה</w:t>
      </w:r>
      <w:r w:rsidR="00315A64">
        <w:rPr>
          <w:rFonts w:asciiTheme="minorHAnsi" w:hAnsiTheme="minorHAnsi" w:hint="cs"/>
          <w:rtl/>
        </w:rPr>
        <w:t xml:space="preserve"> מוטעית</w:t>
      </w:r>
      <w:r>
        <w:rPr>
          <w:rFonts w:asciiTheme="minorHAnsi" w:hAnsiTheme="minorHAnsi" w:hint="cs"/>
          <w:rtl/>
        </w:rPr>
        <w:t xml:space="preserve"> על פי המקבילה ב</w:t>
      </w:r>
      <w:r w:rsidR="00437877">
        <w:rPr>
          <w:rFonts w:asciiTheme="minorHAnsi" w:hAnsiTheme="minorHAnsi" w:hint="cs"/>
          <w:rtl/>
        </w:rPr>
        <w:t xml:space="preserve">מסכת </w:t>
      </w:r>
      <w:r>
        <w:rPr>
          <w:rFonts w:asciiTheme="minorHAnsi" w:hAnsiTheme="minorHAnsi" w:hint="cs"/>
          <w:rtl/>
        </w:rPr>
        <w:t xml:space="preserve">בבא קמא. </w:t>
      </w:r>
      <w:r w:rsidR="00543D09">
        <w:rPr>
          <w:rFonts w:asciiTheme="minorHAnsi" w:hAnsiTheme="minorHAnsi" w:hint="cs"/>
          <w:rtl/>
        </w:rPr>
        <w:t>אבל מצד שני</w:t>
      </w:r>
      <w:r>
        <w:rPr>
          <w:rFonts w:asciiTheme="minorHAnsi" w:hAnsiTheme="minorHAnsi" w:hint="cs"/>
          <w:rtl/>
        </w:rPr>
        <w:t xml:space="preserve">, אפשר שנוסח </w:t>
      </w:r>
      <w:r w:rsidR="006803D6" w:rsidRPr="006803D6">
        <w:rPr>
          <w:rFonts w:asciiTheme="majorBidi" w:hAnsiTheme="majorBidi" w:cstheme="majorBidi"/>
          <w:b/>
          <w:bCs/>
        </w:rPr>
        <w:t>EG</w:t>
      </w:r>
      <w:r>
        <w:rPr>
          <w:rFonts w:asciiTheme="minorHAnsi" w:hAnsiTheme="minorHAnsi" w:hint="cs"/>
          <w:rtl/>
        </w:rPr>
        <w:t xml:space="preserve"> הוא ה</w:t>
      </w:r>
      <w:r w:rsidR="00543D09">
        <w:rPr>
          <w:rFonts w:asciiTheme="minorHAnsi" w:hAnsiTheme="minorHAnsi" w:hint="cs"/>
          <w:rtl/>
        </w:rPr>
        <w:t>נוסח ה</w:t>
      </w:r>
      <w:r>
        <w:rPr>
          <w:rFonts w:asciiTheme="minorHAnsi" w:hAnsiTheme="minorHAnsi" w:hint="cs"/>
          <w:rtl/>
        </w:rPr>
        <w:t>מקורי, וב</w:t>
      </w:r>
      <w:r w:rsidR="006803D6" w:rsidRPr="006803D6">
        <w:rPr>
          <w:rFonts w:asciiTheme="majorBidi" w:hAnsiTheme="majorBidi" w:cstheme="majorBidi"/>
          <w:b/>
          <w:bCs/>
        </w:rPr>
        <w:t>VP</w:t>
      </w:r>
      <w:r>
        <w:rPr>
          <w:rFonts w:asciiTheme="minorHAnsi" w:hAnsiTheme="minorHAnsi" w:hint="cs"/>
          <w:rtl/>
        </w:rPr>
        <w:t xml:space="preserve"> חל דילוג מחמת הדומות (אין שומעין לו </w:t>
      </w:r>
      <w:r>
        <w:rPr>
          <w:rFonts w:asciiTheme="minorHAnsi" w:hAnsiTheme="minorHAnsi"/>
          <w:rtl/>
        </w:rPr>
        <w:t>–</w:t>
      </w:r>
      <w:r>
        <w:rPr>
          <w:rFonts w:asciiTheme="minorHAnsi" w:hAnsiTheme="minorHAnsi" w:hint="cs"/>
          <w:rtl/>
        </w:rPr>
        <w:t xml:space="preserve"> אין שומעין לו).</w:t>
      </w:r>
      <w:r w:rsidR="00543D09">
        <w:rPr>
          <w:rFonts w:asciiTheme="minorHAnsi" w:hAnsiTheme="minorHAnsi" w:hint="cs"/>
          <w:rtl/>
        </w:rPr>
        <w:t xml:space="preserve"> כלומר, ששיטת רשב"ג הופיעה במקור גם במסכת כתובות.</w:t>
      </w:r>
      <w:r>
        <w:rPr>
          <w:rFonts w:asciiTheme="minorHAnsi" w:hAnsiTheme="minorHAnsi" w:hint="cs"/>
          <w:rtl/>
        </w:rPr>
        <w:t xml:space="preserve"> לא ניתן לפסול את האפשרות הזאת, אך גם לאפשרות ש</w:t>
      </w:r>
      <w:r w:rsidR="00702DE9">
        <w:rPr>
          <w:rFonts w:asciiTheme="minorHAnsi" w:hAnsiTheme="minorHAnsi" w:hint="cs"/>
          <w:rtl/>
        </w:rPr>
        <w:t>היא לא הופיעה</w:t>
      </w:r>
      <w:r>
        <w:rPr>
          <w:rFonts w:asciiTheme="minorHAnsi" w:hAnsiTheme="minorHAnsi" w:hint="cs"/>
          <w:rtl/>
        </w:rPr>
        <w:t xml:space="preserve"> יש ראיות טובות.</w:t>
      </w:r>
      <w:r>
        <w:rPr>
          <w:rStyle w:val="a6"/>
          <w:rFonts w:asciiTheme="minorHAnsi" w:hAnsiTheme="minorHAnsi"/>
          <w:rtl/>
        </w:rPr>
        <w:footnoteReference w:id="49"/>
      </w:r>
      <w:r w:rsidR="00702DE9">
        <w:rPr>
          <w:rFonts w:asciiTheme="minorHAnsi" w:hAnsiTheme="minorHAnsi" w:hint="cs"/>
          <w:rtl/>
        </w:rPr>
        <w:t xml:space="preserve"> ההכרעה בעניין זה לא ברורה.</w:t>
      </w:r>
    </w:p>
    <w:p w14:paraId="6FB776DA" w14:textId="6BFF94B0" w:rsidR="004733E6" w:rsidRDefault="00C04D3C" w:rsidP="00B81A2D">
      <w:pPr>
        <w:rPr>
          <w:rFonts w:asciiTheme="minorHAnsi" w:hAnsiTheme="minorHAnsi"/>
          <w:rtl/>
        </w:rPr>
      </w:pPr>
      <w:r>
        <w:rPr>
          <w:rFonts w:asciiTheme="minorHAnsi" w:hAnsiTheme="minorHAnsi" w:hint="cs"/>
          <w:rtl/>
        </w:rPr>
        <w:t xml:space="preserve">איך שיהיה, מסתבר שעורך התוספתא בבא קמא (אולי מבית מדרשו של רשב"ג) חיבר את הלכת המריש ואת דין היורד. </w:t>
      </w:r>
      <w:r w:rsidR="004733E6">
        <w:rPr>
          <w:rFonts w:hint="cs"/>
          <w:rtl/>
        </w:rPr>
        <w:t>אם אמנם כן, מסתבר שאותו תהליך טקסטואלי עצמו אירע בתוספתא וב</w:t>
      </w:r>
      <w:r w:rsidR="00DA22DF" w:rsidRPr="00DA22DF">
        <w:t xml:space="preserve"> </w:t>
      </w:r>
      <w:r w:rsidR="00DA22DF" w:rsidRPr="00506F75">
        <w:t>Res cottidianae</w:t>
      </w:r>
      <w:r w:rsidR="004733E6">
        <w:rPr>
          <w:rFonts w:hint="cs"/>
          <w:rtl/>
        </w:rPr>
        <w:t xml:space="preserve">: בשני החיבורים דין </w:t>
      </w:r>
      <w:r w:rsidR="004733E6" w:rsidRPr="00714A86">
        <w:rPr>
          <w:i/>
          <w:iCs/>
        </w:rPr>
        <w:t>tignum iunctum</w:t>
      </w:r>
      <w:r w:rsidR="004733E6">
        <w:rPr>
          <w:rFonts w:hint="cs"/>
          <w:rtl/>
        </w:rPr>
        <w:t xml:space="preserve"> שולב באופן מלאכותי </w:t>
      </w:r>
      <w:r w:rsidR="00C93220">
        <w:rPr>
          <w:rFonts w:hint="cs"/>
          <w:rtl/>
        </w:rPr>
        <w:t xml:space="preserve">עם </w:t>
      </w:r>
      <w:r w:rsidR="004733E6">
        <w:rPr>
          <w:rFonts w:hint="cs"/>
          <w:rtl/>
        </w:rPr>
        <w:t xml:space="preserve">דין </w:t>
      </w:r>
      <w:r w:rsidR="004733E6" w:rsidRPr="003A0C95">
        <w:rPr>
          <w:i/>
          <w:iCs/>
        </w:rPr>
        <w:t>inaedificatio</w:t>
      </w:r>
      <w:r w:rsidR="004733E6">
        <w:rPr>
          <w:rFonts w:hint="cs"/>
          <w:rtl/>
        </w:rPr>
        <w:t xml:space="preserve">. מדובר בתהליך פרשני-תיאורטי שההשלכות המעשיות </w:t>
      </w:r>
      <w:r w:rsidR="00B81A2D">
        <w:rPr>
          <w:rFonts w:hint="cs"/>
          <w:rtl/>
        </w:rPr>
        <w:t>ש</w:t>
      </w:r>
      <w:r w:rsidR="004733E6">
        <w:rPr>
          <w:rFonts w:hint="cs"/>
          <w:rtl/>
        </w:rPr>
        <w:t xml:space="preserve">לו אינן ישירות. לשופט שיקבע אם מותר או אסור לפרק את הקורה מתוך הבניין, וכן לבעלי הדין שדנים על כך, לא חשוב </w:t>
      </w:r>
      <w:r w:rsidR="004733E6">
        <w:rPr>
          <w:rFonts w:hint="cs"/>
          <w:rtl/>
        </w:rPr>
        <w:lastRenderedPageBreak/>
        <w:t>אם זה נעשה מצד דיני קניין טבעי או מצד תקנה היסטורית של המשפט האזרחי. זהו ידע תיאורטי של משפטנים, המשפטנים הרומיים מכאן, וחכמי ההלכה היהודית מכאן.</w:t>
      </w:r>
      <w:r w:rsidR="00C73313">
        <w:rPr>
          <w:rStyle w:val="a6"/>
          <w:rFonts w:asciiTheme="minorHAnsi" w:hAnsiTheme="minorHAnsi"/>
          <w:rtl/>
        </w:rPr>
        <w:footnoteReference w:id="50"/>
      </w:r>
    </w:p>
    <w:p w14:paraId="62746F03" w14:textId="2063C596" w:rsidR="00C04D3C" w:rsidRDefault="00C04D3C" w:rsidP="004D7A1F">
      <w:pPr>
        <w:pStyle w:val="2"/>
        <w:rPr>
          <w:rtl/>
        </w:rPr>
      </w:pPr>
      <w:r>
        <w:rPr>
          <w:rFonts w:hint="cs"/>
          <w:rtl/>
        </w:rPr>
        <w:t>הקשר בין התוספתא ו</w:t>
      </w:r>
      <w:r w:rsidR="00DA22DF" w:rsidRPr="00DA22DF">
        <w:t xml:space="preserve"> </w:t>
      </w:r>
      <w:r w:rsidR="00DA22DF" w:rsidRPr="00506F75">
        <w:t>Res cottidianae</w:t>
      </w:r>
    </w:p>
    <w:p w14:paraId="5645D10F" w14:textId="490950D0" w:rsidR="00E53FA7" w:rsidRDefault="00840B63" w:rsidP="00D858DB">
      <w:pPr>
        <w:rPr>
          <w:rFonts w:hint="cs"/>
          <w:rtl/>
        </w:rPr>
      </w:pPr>
      <w:r>
        <w:rPr>
          <w:rFonts w:hint="cs"/>
          <w:rtl/>
        </w:rPr>
        <w:t>הדוגמה שהצגתי היא דוגמה מאלפת לטקסטים שדומים כל כך זה לזה, עד שקשה לקבוע כיצד הדמיון</w:t>
      </w:r>
      <w:r w:rsidR="001E7157">
        <w:rPr>
          <w:rFonts w:hint="cs"/>
          <w:rtl/>
        </w:rPr>
        <w:t xml:space="preserve"> ביניהם</w:t>
      </w:r>
      <w:r>
        <w:rPr>
          <w:rFonts w:hint="cs"/>
          <w:rtl/>
        </w:rPr>
        <w:t xml:space="preserve"> נוצר.</w:t>
      </w:r>
      <w:r w:rsidR="00FC590F">
        <w:rPr>
          <w:rFonts w:hint="cs"/>
          <w:rtl/>
        </w:rPr>
        <w:t xml:space="preserve"> </w:t>
      </w:r>
      <w:r w:rsidR="00FC590F">
        <w:t>Bernard Jackson</w:t>
      </w:r>
      <w:r w:rsidR="00C71F9B">
        <w:rPr>
          <w:rFonts w:hint="cs"/>
          <w:rtl/>
        </w:rPr>
        <w:t xml:space="preserve"> ניסח רמות שונות אפשריות של השפעה רומית על ההלכה, ובראשן החלוקה בין השפעה על ה</w:t>
      </w:r>
      <w:r w:rsidR="008D2F8D">
        <w:t>form</w:t>
      </w:r>
      <w:r w:rsidR="00C71F9B">
        <w:rPr>
          <w:rFonts w:hint="cs"/>
          <w:rtl/>
        </w:rPr>
        <w:t xml:space="preserve"> ובין השפעה על ה</w:t>
      </w:r>
      <w:r w:rsidR="008D2F8D">
        <w:t>content</w:t>
      </w:r>
      <w:r w:rsidR="00C71F9B">
        <w:rPr>
          <w:rFonts w:hint="cs"/>
          <w:rtl/>
        </w:rPr>
        <w:t>.</w:t>
      </w:r>
      <w:r w:rsidR="00FC590F">
        <w:rPr>
          <w:rStyle w:val="a6"/>
          <w:rtl/>
        </w:rPr>
        <w:footnoteReference w:id="51"/>
      </w:r>
      <w:r w:rsidR="00C71F9B">
        <w:rPr>
          <w:rFonts w:hint="cs"/>
          <w:rtl/>
        </w:rPr>
        <w:t xml:space="preserve"> </w:t>
      </w:r>
      <w:r w:rsidR="00D858DB">
        <w:rPr>
          <w:rFonts w:hint="cs"/>
          <w:rtl/>
        </w:rPr>
        <w:t xml:space="preserve">במקרה שלפנינו </w:t>
      </w:r>
      <w:r w:rsidR="00D455A9">
        <w:rPr>
          <w:rFonts w:hint="cs"/>
          <w:rtl/>
        </w:rPr>
        <w:t xml:space="preserve">הדמיון </w:t>
      </w:r>
      <w:r w:rsidR="00A03778">
        <w:rPr>
          <w:rFonts w:hint="cs"/>
          <w:rtl/>
        </w:rPr>
        <w:t>מתבטא</w:t>
      </w:r>
      <w:r w:rsidR="00D455A9">
        <w:rPr>
          <w:rFonts w:hint="cs"/>
          <w:rtl/>
        </w:rPr>
        <w:t xml:space="preserve"> בכמה רמות שונות, הן של תוכן והן של צורה. </w:t>
      </w:r>
      <w:r w:rsidR="00C04D3C">
        <w:rPr>
          <w:rFonts w:hint="cs"/>
          <w:rtl/>
        </w:rPr>
        <w:t xml:space="preserve">ראשית, </w:t>
      </w:r>
      <w:r w:rsidR="00C04D3C" w:rsidRPr="00A03778">
        <w:rPr>
          <w:rFonts w:hint="cs"/>
          <w:u w:val="single"/>
          <w:rtl/>
        </w:rPr>
        <w:t>החוקים עצמם</w:t>
      </w:r>
      <w:r w:rsidR="00C04D3C">
        <w:rPr>
          <w:rFonts w:hint="cs"/>
          <w:rtl/>
        </w:rPr>
        <w:t xml:space="preserve"> דומים בתוכנם, ואולי גם בעקרונות המשפטיים שלהם. בנוסף, החוקים </w:t>
      </w:r>
      <w:r w:rsidR="00C04D3C" w:rsidRPr="00A03778">
        <w:rPr>
          <w:rFonts w:hint="cs"/>
          <w:u w:val="single"/>
          <w:rtl/>
        </w:rPr>
        <w:t>מנוסחים</w:t>
      </w:r>
      <w:r w:rsidR="00C04D3C">
        <w:rPr>
          <w:rFonts w:hint="cs"/>
          <w:rtl/>
        </w:rPr>
        <w:t xml:space="preserve"> בצורה די קרובה, ומשתמשים באותן דוגמאות. החוקים נערכו בדיגסטה ובתוספתא באותו </w:t>
      </w:r>
      <w:r w:rsidR="00C04D3C" w:rsidRPr="00A03778">
        <w:rPr>
          <w:rFonts w:hint="cs"/>
          <w:u w:val="single"/>
          <w:rtl/>
        </w:rPr>
        <w:t>סדר</w:t>
      </w:r>
      <w:r w:rsidR="00C04D3C">
        <w:rPr>
          <w:rFonts w:hint="cs"/>
          <w:rtl/>
        </w:rPr>
        <w:t xml:space="preserve"> ממש, כך שהדמיון הוא גם באופן הסידור. ולבסוף </w:t>
      </w:r>
      <w:r w:rsidR="00C04D3C">
        <w:rPr>
          <w:rtl/>
        </w:rPr>
        <w:t>–</w:t>
      </w:r>
      <w:r w:rsidR="00C04D3C">
        <w:rPr>
          <w:rFonts w:hint="cs"/>
          <w:rtl/>
        </w:rPr>
        <w:t xml:space="preserve"> כפי שהראיתי כאן </w:t>
      </w:r>
      <w:r w:rsidR="00C04D3C">
        <w:rPr>
          <w:rtl/>
        </w:rPr>
        <w:t>–</w:t>
      </w:r>
      <w:r w:rsidR="00C04D3C">
        <w:rPr>
          <w:rFonts w:hint="cs"/>
          <w:rtl/>
        </w:rPr>
        <w:t xml:space="preserve"> יש דמיון גם ב</w:t>
      </w:r>
      <w:r w:rsidR="00C04D3C" w:rsidRPr="00E53FA7">
        <w:rPr>
          <w:rFonts w:hint="cs"/>
          <w:u w:val="single"/>
          <w:rtl/>
        </w:rPr>
        <w:t>התפתחות הטקסטואלית</w:t>
      </w:r>
      <w:r w:rsidR="00BA245C">
        <w:rPr>
          <w:rFonts w:hint="cs"/>
          <w:rtl/>
        </w:rPr>
        <w:t>,</w:t>
      </w:r>
      <w:r w:rsidR="00C04D3C">
        <w:rPr>
          <w:rFonts w:hint="cs"/>
          <w:rtl/>
        </w:rPr>
        <w:t xml:space="preserve"> עד</w:t>
      </w:r>
      <w:r w:rsidR="00BA245C">
        <w:rPr>
          <w:rFonts w:hint="cs"/>
          <w:rtl/>
        </w:rPr>
        <w:t xml:space="preserve"> כדי כך שיש דמיון גם</w:t>
      </w:r>
      <w:r w:rsidR="00C04D3C">
        <w:rPr>
          <w:rFonts w:hint="cs"/>
          <w:rtl/>
        </w:rPr>
        <w:t xml:space="preserve"> </w:t>
      </w:r>
      <w:r w:rsidR="00BA245C">
        <w:rPr>
          <w:rFonts w:hint="cs"/>
          <w:rtl/>
        </w:rPr>
        <w:t xml:space="preserve">בעניין </w:t>
      </w:r>
      <w:r w:rsidR="00C04D3C">
        <w:rPr>
          <w:rFonts w:hint="cs"/>
          <w:rtl/>
        </w:rPr>
        <w:t xml:space="preserve">רמת הקשר בין המקבילות (היחס בין תוספתא בבא קמא וכתובות דומה ליחס שבין שני החיבורים של גאיוס). הדמיון בהתפתחות הטקסטואלית משקף </w:t>
      </w:r>
      <w:r w:rsidR="00E53FA7">
        <w:rPr>
          <w:rFonts w:hint="cs"/>
          <w:rtl/>
        </w:rPr>
        <w:t>כנראה</w:t>
      </w:r>
      <w:r w:rsidR="00C04D3C">
        <w:rPr>
          <w:rFonts w:hint="cs"/>
          <w:rtl/>
        </w:rPr>
        <w:t xml:space="preserve"> דמיון גם בהתפתחות </w:t>
      </w:r>
      <w:r w:rsidR="00C04D3C" w:rsidRPr="00E53FA7">
        <w:rPr>
          <w:rFonts w:hint="cs"/>
          <w:u w:val="single"/>
          <w:rtl/>
        </w:rPr>
        <w:t>ה</w:t>
      </w:r>
      <w:r w:rsidR="00E53FA7" w:rsidRPr="00E53FA7">
        <w:rPr>
          <w:rFonts w:hint="cs"/>
          <w:u w:val="single"/>
          <w:rtl/>
        </w:rPr>
        <w:t>קונספטואלי</w:t>
      </w:r>
      <w:r w:rsidR="00C04D3C" w:rsidRPr="00E53FA7">
        <w:rPr>
          <w:rFonts w:hint="cs"/>
          <w:u w:val="single"/>
          <w:rtl/>
        </w:rPr>
        <w:t>ת</w:t>
      </w:r>
      <w:r w:rsidR="00E53FA7">
        <w:rPr>
          <w:rFonts w:hint="cs"/>
          <w:rtl/>
        </w:rPr>
        <w:t>.</w:t>
      </w:r>
      <w:r w:rsidR="00C04D3C">
        <w:rPr>
          <w:rFonts w:hint="cs"/>
          <w:rtl/>
        </w:rPr>
        <w:t xml:space="preserve"> כלומר, שתי המערכות פירשו מחדש את החוק הקדום של </w:t>
      </w:r>
      <w:r w:rsidR="00E53FA7" w:rsidRPr="00E53FA7">
        <w:rPr>
          <w:i/>
          <w:iCs/>
        </w:rPr>
        <w:t>tignum iunctum</w:t>
      </w:r>
      <w:r w:rsidR="00C04D3C">
        <w:rPr>
          <w:rFonts w:hint="cs"/>
          <w:rtl/>
        </w:rPr>
        <w:t xml:space="preserve"> ונתנו לו הגיון משפטי </w:t>
      </w:r>
      <w:r w:rsidR="00874383">
        <w:rPr>
          <w:rFonts w:hint="cs"/>
          <w:rtl/>
        </w:rPr>
        <w:t>חדש</w:t>
      </w:r>
      <w:r w:rsidR="00C04D3C">
        <w:rPr>
          <w:rFonts w:hint="cs"/>
          <w:rtl/>
        </w:rPr>
        <w:t xml:space="preserve">. </w:t>
      </w:r>
    </w:p>
    <w:p w14:paraId="6312AFD3" w14:textId="4E3D2D67" w:rsidR="000653D3" w:rsidRDefault="00C04D3C" w:rsidP="00A03778">
      <w:pPr>
        <w:rPr>
          <w:rtl/>
        </w:rPr>
      </w:pPr>
      <w:r>
        <w:rPr>
          <w:rFonts w:hint="cs"/>
          <w:rtl/>
        </w:rPr>
        <w:t>לכאורה ניתן היה לומר שאין התוספתא אלא תרגום ועיבוד של דברי גאיוס (או להפך)</w:t>
      </w:r>
      <w:r w:rsidR="002C43DB">
        <w:rPr>
          <w:rFonts w:hint="cs"/>
          <w:rtl/>
        </w:rPr>
        <w:t>. כלומר, שיש כאן שאילה טקסטואלית ישירה</w:t>
      </w:r>
      <w:r w:rsidR="005F3A41">
        <w:rPr>
          <w:rFonts w:hint="cs"/>
          <w:rtl/>
        </w:rPr>
        <w:t xml:space="preserve"> ולא תהליך מורכב או ממושך של השפעה.</w:t>
      </w:r>
      <w:r>
        <w:rPr>
          <w:rFonts w:hint="cs"/>
          <w:rtl/>
        </w:rPr>
        <w:t xml:space="preserve"> אך </w:t>
      </w:r>
      <w:r w:rsidR="00646F98">
        <w:rPr>
          <w:rFonts w:hint="cs"/>
          <w:rtl/>
        </w:rPr>
        <w:t xml:space="preserve">ניתוח המקבילות מלמד שאפשרות זו לא מסתברת. </w:t>
      </w:r>
      <w:r w:rsidR="00A94EA5">
        <w:rPr>
          <w:rFonts w:hint="cs"/>
          <w:rtl/>
        </w:rPr>
        <w:t xml:space="preserve">כפי שראינו, </w:t>
      </w:r>
      <w:r>
        <w:rPr>
          <w:rFonts w:hint="cs"/>
          <w:rtl/>
        </w:rPr>
        <w:t>דין ה</w:t>
      </w:r>
      <w:r w:rsidR="005F3A41">
        <w:rPr>
          <w:rFonts w:hint="cs"/>
          <w:rtl/>
        </w:rPr>
        <w:t>קורה</w:t>
      </w:r>
      <w:r>
        <w:rPr>
          <w:rFonts w:hint="cs"/>
          <w:rtl/>
        </w:rPr>
        <w:t xml:space="preserve"> ודין היורד</w:t>
      </w:r>
      <w:r w:rsidR="005F3A41">
        <w:rPr>
          <w:rFonts w:hint="cs"/>
          <w:rtl/>
        </w:rPr>
        <w:t xml:space="preserve"> לחורבתו של חברו</w:t>
      </w:r>
      <w:r>
        <w:rPr>
          <w:rFonts w:hint="cs"/>
          <w:rtl/>
        </w:rPr>
        <w:t xml:space="preserve"> </w:t>
      </w:r>
      <w:r w:rsidR="005F3A41">
        <w:rPr>
          <w:rFonts w:hint="cs"/>
          <w:rtl/>
        </w:rPr>
        <w:t>מצויים</w:t>
      </w:r>
      <w:r>
        <w:rPr>
          <w:rFonts w:hint="cs"/>
          <w:rtl/>
        </w:rPr>
        <w:t xml:space="preserve"> גם במקבילות</w:t>
      </w:r>
      <w:r w:rsidR="00A94EA5">
        <w:rPr>
          <w:rFonts w:hint="cs"/>
          <w:rtl/>
        </w:rPr>
        <w:t xml:space="preserve"> אחרות בספרות חז"ל</w:t>
      </w:r>
      <w:r>
        <w:rPr>
          <w:rFonts w:hint="cs"/>
          <w:rtl/>
        </w:rPr>
        <w:t>.</w:t>
      </w:r>
      <w:r w:rsidR="005F3A41">
        <w:rPr>
          <w:rFonts w:hint="cs"/>
          <w:rtl/>
        </w:rPr>
        <w:t xml:space="preserve"> ניתוח המקורות</w:t>
      </w:r>
      <w:r w:rsidR="00A94EA5">
        <w:rPr>
          <w:rFonts w:hint="cs"/>
          <w:rtl/>
        </w:rPr>
        <w:t xml:space="preserve"> הראה</w:t>
      </w:r>
      <w:r w:rsidR="005F3A41">
        <w:rPr>
          <w:rFonts w:hint="cs"/>
          <w:rtl/>
        </w:rPr>
        <w:t xml:space="preserve"> שהמקבילות לא תלויות </w:t>
      </w:r>
      <w:r w:rsidR="00A94EA5">
        <w:rPr>
          <w:rFonts w:hint="cs"/>
          <w:rtl/>
        </w:rPr>
        <w:t xml:space="preserve">באופן ישיר </w:t>
      </w:r>
      <w:r w:rsidR="00DE1894">
        <w:rPr>
          <w:rFonts w:hint="cs"/>
          <w:rtl/>
        </w:rPr>
        <w:t>בתוספתא בבא קמא</w:t>
      </w:r>
      <w:r w:rsidR="00A94EA5">
        <w:rPr>
          <w:rFonts w:hint="cs"/>
          <w:rtl/>
        </w:rPr>
        <w:t>, ואולי אפילו להפך</w:t>
      </w:r>
      <w:r w:rsidR="00DE1894">
        <w:rPr>
          <w:rFonts w:hint="cs"/>
          <w:rtl/>
        </w:rPr>
        <w:t>. כלומר, החוקים עצמם היו קיימים במערכת המשפט הרבנית עוד לפני שנוצר הטקסט שהבאתי מן התוספתא בבא קמא</w:t>
      </w:r>
      <w:r w:rsidR="00107466">
        <w:rPr>
          <w:rFonts w:hint="cs"/>
          <w:rtl/>
        </w:rPr>
        <w:t xml:space="preserve">, והתהליך הטקסטואלי שתיארתי התרחש בתוך </w:t>
      </w:r>
      <w:r w:rsidR="007D5FDC">
        <w:rPr>
          <w:rFonts w:hint="cs"/>
          <w:rtl/>
        </w:rPr>
        <w:t xml:space="preserve">מרחב </w:t>
      </w:r>
      <w:r w:rsidR="00107466">
        <w:rPr>
          <w:rFonts w:hint="cs"/>
          <w:rtl/>
        </w:rPr>
        <w:t>הספרות הרבנית עצמ</w:t>
      </w:r>
      <w:r w:rsidR="007D5FDC">
        <w:rPr>
          <w:rFonts w:hint="cs"/>
          <w:rtl/>
        </w:rPr>
        <w:t>ו</w:t>
      </w:r>
      <w:r w:rsidR="00107466">
        <w:rPr>
          <w:rFonts w:hint="cs"/>
          <w:rtl/>
        </w:rPr>
        <w:t>.</w:t>
      </w:r>
      <w:r w:rsidR="00CE67D5">
        <w:rPr>
          <w:rFonts w:hint="cs"/>
          <w:rtl/>
        </w:rPr>
        <w:t xml:space="preserve"> במילים אחרות,</w:t>
      </w:r>
      <w:r w:rsidR="00107466">
        <w:rPr>
          <w:rFonts w:hint="cs"/>
          <w:rtl/>
        </w:rPr>
        <w:t xml:space="preserve"> </w:t>
      </w:r>
      <w:r w:rsidR="000653D3" w:rsidRPr="00107466">
        <w:rPr>
          <w:rFonts w:hint="cs"/>
          <w:u w:val="single"/>
          <w:rtl/>
        </w:rPr>
        <w:t>התהליך הטקסטואלי</w:t>
      </w:r>
      <w:r w:rsidR="000653D3">
        <w:rPr>
          <w:rFonts w:hint="cs"/>
          <w:rtl/>
        </w:rPr>
        <w:t xml:space="preserve"> </w:t>
      </w:r>
      <w:r w:rsidR="00CE67D5">
        <w:rPr>
          <w:rFonts w:hint="cs"/>
          <w:rtl/>
        </w:rPr>
        <w:t xml:space="preserve">המשותף </w:t>
      </w:r>
      <w:r w:rsidR="000653D3">
        <w:rPr>
          <w:rFonts w:hint="cs"/>
          <w:rtl/>
        </w:rPr>
        <w:t xml:space="preserve">שאירע בתוספתא ואצל גאיוס שייך לשלב התפתחות שונה מזה של הדמיון </w:t>
      </w:r>
      <w:r w:rsidR="000653D3" w:rsidRPr="00107466">
        <w:rPr>
          <w:rFonts w:hint="cs"/>
          <w:u w:val="single"/>
          <w:rtl/>
        </w:rPr>
        <w:t>בתוכן</w:t>
      </w:r>
      <w:r w:rsidR="000653D3">
        <w:rPr>
          <w:rFonts w:hint="cs"/>
          <w:rtl/>
        </w:rPr>
        <w:t xml:space="preserve"> הדינים.</w:t>
      </w:r>
      <w:r>
        <w:rPr>
          <w:rFonts w:hint="cs"/>
          <w:rtl/>
        </w:rPr>
        <w:t xml:space="preserve"> </w:t>
      </w:r>
    </w:p>
    <w:p w14:paraId="40AC6766" w14:textId="6686838D" w:rsidR="002463CA" w:rsidRDefault="00C04D3C" w:rsidP="002463CA">
      <w:pPr>
        <w:rPr>
          <w:rtl/>
        </w:rPr>
      </w:pPr>
      <w:r>
        <w:rPr>
          <w:rFonts w:hint="cs"/>
          <w:rtl/>
        </w:rPr>
        <w:t xml:space="preserve">אם כן, האם החוקים </w:t>
      </w:r>
      <w:r w:rsidR="00327D32">
        <w:rPr>
          <w:rFonts w:hint="cs"/>
          <w:rtl/>
        </w:rPr>
        <w:t xml:space="preserve">הרבניים </w:t>
      </w:r>
      <w:r>
        <w:rPr>
          <w:rFonts w:hint="cs"/>
          <w:rtl/>
        </w:rPr>
        <w:t>נשאלו מן המערכת הרומית ב</w:t>
      </w:r>
      <w:r w:rsidR="00327D32">
        <w:rPr>
          <w:rFonts w:hint="cs"/>
          <w:rtl/>
        </w:rPr>
        <w:t>שלב קדום</w:t>
      </w:r>
      <w:r>
        <w:rPr>
          <w:rFonts w:hint="cs"/>
          <w:rtl/>
        </w:rPr>
        <w:t>, ובמקרה התרחשו התהליכים הטקסטואליים המקבילים בשתי המערכות</w:t>
      </w:r>
      <w:r w:rsidR="00327D32">
        <w:rPr>
          <w:rFonts w:hint="cs"/>
          <w:rtl/>
        </w:rPr>
        <w:t xml:space="preserve"> מאוחר יותר</w:t>
      </w:r>
      <w:r>
        <w:rPr>
          <w:rFonts w:hint="cs"/>
          <w:rtl/>
        </w:rPr>
        <w:t xml:space="preserve">? או שמא חוקים </w:t>
      </w:r>
      <w:r w:rsidR="00A130E3">
        <w:rPr>
          <w:rFonts w:hint="cs"/>
          <w:rtl/>
        </w:rPr>
        <w:t>דומים</w:t>
      </w:r>
      <w:r>
        <w:rPr>
          <w:rFonts w:hint="cs"/>
          <w:rtl/>
        </w:rPr>
        <w:t xml:space="preserve"> </w:t>
      </w:r>
      <w:r w:rsidR="00327D32">
        <w:rPr>
          <w:rFonts w:hint="cs"/>
          <w:rtl/>
        </w:rPr>
        <w:t xml:space="preserve">נוצרו </w:t>
      </w:r>
      <w:r>
        <w:rPr>
          <w:rFonts w:hint="cs"/>
          <w:rtl/>
        </w:rPr>
        <w:t>בשתי המערכות</w:t>
      </w:r>
      <w:r w:rsidR="00327D32">
        <w:rPr>
          <w:rFonts w:hint="cs"/>
          <w:rtl/>
        </w:rPr>
        <w:t xml:space="preserve"> באופן בלתי תלוי</w:t>
      </w:r>
      <w:r>
        <w:rPr>
          <w:rFonts w:hint="cs"/>
          <w:rtl/>
        </w:rPr>
        <w:t xml:space="preserve">, </w:t>
      </w:r>
      <w:r w:rsidR="00327D32">
        <w:rPr>
          <w:rFonts w:hint="cs"/>
          <w:rtl/>
        </w:rPr>
        <w:t>ורק</w:t>
      </w:r>
      <w:r>
        <w:rPr>
          <w:rFonts w:hint="cs"/>
          <w:rtl/>
        </w:rPr>
        <w:t xml:space="preserve"> התהליך הטקסטואלי </w:t>
      </w:r>
      <w:r w:rsidR="00327D32">
        <w:rPr>
          <w:rFonts w:hint="cs"/>
          <w:rtl/>
        </w:rPr>
        <w:t xml:space="preserve">בתוספתא </w:t>
      </w:r>
      <w:r>
        <w:rPr>
          <w:rFonts w:hint="cs"/>
          <w:rtl/>
        </w:rPr>
        <w:t xml:space="preserve">אירע בהשראת הספרות הרומית? </w:t>
      </w:r>
      <w:r w:rsidR="00327D32">
        <w:rPr>
          <w:rFonts w:hint="cs"/>
          <w:rtl/>
        </w:rPr>
        <w:t>ואולי</w:t>
      </w:r>
      <w:r>
        <w:rPr>
          <w:rFonts w:hint="cs"/>
          <w:rtl/>
        </w:rPr>
        <w:t xml:space="preserve"> ההשפעה הרומית חלה בכמה זמנים ובכמה אופנים? </w:t>
      </w:r>
      <w:r w:rsidR="00A130E3">
        <w:rPr>
          <w:rFonts w:hint="cs"/>
          <w:rtl/>
        </w:rPr>
        <w:t xml:space="preserve"> </w:t>
      </w:r>
    </w:p>
    <w:p w14:paraId="3A9E0214" w14:textId="6F55DC65" w:rsidR="00C04D3C" w:rsidRDefault="00C04D3C" w:rsidP="002463CA">
      <w:r>
        <w:rPr>
          <w:rFonts w:hint="cs"/>
          <w:rtl/>
        </w:rPr>
        <w:t>הכרעה ודאית בשאלות אלו אינה אפשרית. עם זאת, האפשרות ששני החיבורים ותוכנם התפתחו בשתי המערכות בלי שום תלות הדדית נראית לי לא סבירה. לגבי מקור החוקים: דין ה</w:t>
      </w:r>
      <w:r w:rsidR="002463CA">
        <w:rPr>
          <w:rFonts w:hint="cs"/>
          <w:rtl/>
        </w:rPr>
        <w:t>קורה</w:t>
      </w:r>
      <w:r>
        <w:rPr>
          <w:rFonts w:hint="cs"/>
          <w:rtl/>
        </w:rPr>
        <w:t xml:space="preserve"> מצוי הן בשכבה הקדומה ביותר של החוק הרומי (שנים-עשר הלוחות) והן ברובד הקדום ביותר של ספרות התנאים</w:t>
      </w:r>
      <w:r w:rsidR="002463CA">
        <w:rPr>
          <w:rFonts w:hint="cs"/>
          <w:rtl/>
        </w:rPr>
        <w:t xml:space="preserve"> (תקופת הבית השני)</w:t>
      </w:r>
      <w:r>
        <w:rPr>
          <w:rFonts w:hint="cs"/>
          <w:rtl/>
        </w:rPr>
        <w:t xml:space="preserve">. המקורות הרומיים מספרים שהמועצה שחוקקה את שנים עשר </w:t>
      </w:r>
      <w:r>
        <w:rPr>
          <w:rFonts w:hint="cs"/>
          <w:rtl/>
        </w:rPr>
        <w:lastRenderedPageBreak/>
        <w:t>הלוחות (</w:t>
      </w:r>
      <w:r w:rsidR="00646428">
        <w:t xml:space="preserve">the </w:t>
      </w:r>
      <w:r w:rsidR="00646428" w:rsidRPr="004722DC">
        <w:rPr>
          <w:i/>
          <w:iCs/>
        </w:rPr>
        <w:t>decemviri</w:t>
      </w:r>
      <w:r>
        <w:rPr>
          <w:rFonts w:hint="cs"/>
          <w:rtl/>
        </w:rPr>
        <w:t>) נסעה לשם כך לאתונה ולשאר ערי יוון כדי ללמוד את חוקיהן.</w:t>
      </w:r>
      <w:r w:rsidR="002A7397">
        <w:rPr>
          <w:rStyle w:val="a6"/>
          <w:rtl/>
        </w:rPr>
        <w:footnoteReference w:id="52"/>
      </w:r>
      <w:r>
        <w:rPr>
          <w:rFonts w:hint="cs"/>
          <w:rtl/>
        </w:rPr>
        <w:t xml:space="preserve"> אפשר אם כן שחוק המריש הוא חוק יווני, או חוק שרווח במזרח, ומצא את דרכו הן לחוק הרומי והן לספרות התנאים.</w:t>
      </w:r>
    </w:p>
    <w:p w14:paraId="5AC281B8" w14:textId="20B1B883" w:rsidR="00C04D3C" w:rsidRDefault="00C04D3C" w:rsidP="00C04D3C">
      <w:pPr>
        <w:rPr>
          <w:rFonts w:hint="cs"/>
          <w:rtl/>
        </w:rPr>
      </w:pPr>
      <w:r>
        <w:rPr>
          <w:rFonts w:hint="cs"/>
          <w:rtl/>
        </w:rPr>
        <w:t xml:space="preserve">הוא הדין לגבי דין </w:t>
      </w:r>
      <w:r w:rsidR="004722DC" w:rsidRPr="004722DC">
        <w:rPr>
          <w:i/>
          <w:iCs/>
        </w:rPr>
        <w:t>inaedificatio</w:t>
      </w:r>
      <w:r>
        <w:rPr>
          <w:rFonts w:hint="cs"/>
          <w:rtl/>
        </w:rPr>
        <w:t xml:space="preserve">. דין זה מתייחס למקרה שהיה כנראה מצוי הרבה, ויש לו הדים במערכות חוק נוספות. כך למשל בקודקס הרמופוליס, קובץ חוקים </w:t>
      </w:r>
      <w:r w:rsidR="00BA111F">
        <w:rPr>
          <w:rFonts w:hint="cs"/>
          <w:rtl/>
        </w:rPr>
        <w:t xml:space="preserve">דמוטי </w:t>
      </w:r>
      <w:r>
        <w:rPr>
          <w:rFonts w:hint="cs"/>
          <w:rtl/>
        </w:rPr>
        <w:t>מן המאה השלישית לפני הספירה.</w:t>
      </w:r>
      <w:r w:rsidR="000F6FF8">
        <w:rPr>
          <w:rStyle w:val="a6"/>
          <w:rtl/>
        </w:rPr>
        <w:footnoteReference w:id="53"/>
      </w:r>
      <w:r w:rsidRPr="00A55B18">
        <w:rPr>
          <w:rFonts w:hint="cs"/>
          <w:rtl/>
        </w:rPr>
        <w:t xml:space="preserve"> </w:t>
      </w:r>
      <w:r>
        <w:rPr>
          <w:rFonts w:hint="cs"/>
          <w:rtl/>
        </w:rPr>
        <w:t xml:space="preserve">החוקים עוסקים באדם שתובע את חברו על כך שבנה במגרש שלו ובהליך המשפטי שבו הנתבע נדרש להוכיח שהמגרש שלו, או מטיל על התובע להוכיח זאת. בעקבות ההוכחה ניתן המגרש לזוכה במשפט. החוקים ממשיכים: </w:t>
      </w:r>
    </w:p>
    <w:p w14:paraId="16FE8BD9" w14:textId="7F164F18" w:rsidR="00A5267E" w:rsidRDefault="00271997" w:rsidP="002777A4">
      <w:pPr>
        <w:bidi w:val="0"/>
        <w:ind w:left="720"/>
      </w:pPr>
      <w:r>
        <w:t>If the defeated party wishes to dismantle the house he himself built on the plot</w:t>
      </w:r>
      <w:r w:rsidR="00300CBD">
        <w:t>,</w:t>
      </w:r>
      <w:r>
        <w:t xml:space="preserve"> and carry away the construction, it is permitted to him to</w:t>
      </w:r>
      <w:r w:rsidR="00A5267E">
        <w:t xml:space="preserve"> </w:t>
      </w:r>
      <w:r>
        <w:t>purge himself, by carrying away the construction</w:t>
      </w:r>
      <w:r w:rsidR="00300CBD">
        <w:t>.</w:t>
      </w:r>
    </w:p>
    <w:p w14:paraId="52A00DCF" w14:textId="77777777" w:rsidR="000873A4" w:rsidRDefault="00EE76F2" w:rsidP="000873A4">
      <w:pPr>
        <w:rPr>
          <w:rtl/>
        </w:rPr>
      </w:pPr>
      <w:r>
        <w:rPr>
          <w:rFonts w:hint="cs"/>
          <w:rtl/>
        </w:rPr>
        <w:t>תוכן החוק</w:t>
      </w:r>
      <w:r w:rsidR="00C04D3C">
        <w:rPr>
          <w:rFonts w:hint="cs"/>
          <w:rtl/>
        </w:rPr>
        <w:t xml:space="preserve"> שונה מן החוק התנאי והרומי (או שמא מתאים לשיטת בית שמאי), אבל אנו רואים שסעיף חוקי שכזה מצוי במרחב הרבה לפני הכיבוש הרומי. ייתכן שהחקיקה הרומית השפיעה על </w:t>
      </w:r>
      <w:r w:rsidR="00C04D3C" w:rsidRPr="000B5EC3">
        <w:rPr>
          <w:rFonts w:hint="cs"/>
          <w:u w:val="single"/>
          <w:rtl/>
        </w:rPr>
        <w:t>תוכן</w:t>
      </w:r>
      <w:r w:rsidR="00C04D3C">
        <w:rPr>
          <w:rFonts w:hint="cs"/>
          <w:rtl/>
        </w:rPr>
        <w:t xml:space="preserve"> ההלכה התנאית </w:t>
      </w:r>
      <w:r w:rsidR="00C755FC">
        <w:rPr>
          <w:rFonts w:hint="cs"/>
          <w:rtl/>
        </w:rPr>
        <w:t>בעניין זה</w:t>
      </w:r>
      <w:r w:rsidR="000B5EC3">
        <w:rPr>
          <w:rFonts w:hint="cs"/>
          <w:rtl/>
        </w:rPr>
        <w:t xml:space="preserve"> </w:t>
      </w:r>
      <w:r w:rsidR="000B5EC3">
        <w:rPr>
          <w:rtl/>
        </w:rPr>
        <w:t>–</w:t>
      </w:r>
      <w:r w:rsidR="000B5EC3">
        <w:rPr>
          <w:rFonts w:hint="cs"/>
          <w:rtl/>
        </w:rPr>
        <w:t xml:space="preserve"> כלומר, על ההכרעה </w:t>
      </w:r>
      <w:r w:rsidR="00CA2AEE">
        <w:rPr>
          <w:rFonts w:hint="cs"/>
          <w:rtl/>
        </w:rPr>
        <w:t>שהבונה מפסיד את הבניין –</w:t>
      </w:r>
      <w:r w:rsidR="00C755FC">
        <w:rPr>
          <w:rFonts w:hint="cs"/>
          <w:rtl/>
        </w:rPr>
        <w:t xml:space="preserve"> </w:t>
      </w:r>
      <w:r w:rsidR="00C04D3C">
        <w:rPr>
          <w:rFonts w:hint="cs"/>
          <w:rtl/>
        </w:rPr>
        <w:t>אך אין כל הכרח בדבר.</w:t>
      </w:r>
      <w:r w:rsidR="00D450C5">
        <w:rPr>
          <w:rStyle w:val="a6"/>
          <w:rtl/>
        </w:rPr>
        <w:footnoteReference w:id="54"/>
      </w:r>
      <w:r w:rsidR="0048761E">
        <w:rPr>
          <w:rFonts w:hint="cs"/>
          <w:rtl/>
        </w:rPr>
        <w:t xml:space="preserve"> </w:t>
      </w:r>
    </w:p>
    <w:p w14:paraId="686D599B" w14:textId="0D78651D" w:rsidR="00CC4071" w:rsidRPr="005B1C4E" w:rsidRDefault="00F80D50" w:rsidP="000873A4">
      <w:r>
        <w:rPr>
          <w:rFonts w:hint="cs"/>
          <w:rtl/>
        </w:rPr>
        <w:t xml:space="preserve">הדמיון בין </w:t>
      </w:r>
      <w:r w:rsidR="001F526B">
        <w:rPr>
          <w:rFonts w:hint="cs"/>
          <w:rtl/>
        </w:rPr>
        <w:t xml:space="preserve">תוכן </w:t>
      </w:r>
      <w:r>
        <w:rPr>
          <w:rFonts w:hint="cs"/>
          <w:rtl/>
        </w:rPr>
        <w:t>החוקים</w:t>
      </w:r>
      <w:r w:rsidR="00CA2AEE">
        <w:rPr>
          <w:rFonts w:hint="cs"/>
          <w:rtl/>
        </w:rPr>
        <w:t xml:space="preserve"> הרומיים</w:t>
      </w:r>
      <w:r>
        <w:rPr>
          <w:rFonts w:hint="cs"/>
          <w:rtl/>
        </w:rPr>
        <w:t xml:space="preserve"> </w:t>
      </w:r>
      <w:r w:rsidR="001F526B">
        <w:rPr>
          <w:rFonts w:hint="cs"/>
          <w:rtl/>
        </w:rPr>
        <w:t xml:space="preserve">ובין תוכן החוקים היהודיים </w:t>
      </w:r>
      <w:r>
        <w:rPr>
          <w:rFonts w:hint="cs"/>
          <w:rtl/>
        </w:rPr>
        <w:t>לא מלמד</w:t>
      </w:r>
      <w:r w:rsidR="000873A4">
        <w:rPr>
          <w:rFonts w:hint="cs"/>
          <w:rtl/>
        </w:rPr>
        <w:t xml:space="preserve"> אפוא</w:t>
      </w:r>
      <w:r>
        <w:rPr>
          <w:rFonts w:hint="cs"/>
          <w:rtl/>
        </w:rPr>
        <w:t xml:space="preserve"> בהכרח על קשר היסטורי</w:t>
      </w:r>
      <w:r w:rsidR="001F526B">
        <w:rPr>
          <w:rFonts w:hint="cs"/>
          <w:rtl/>
        </w:rPr>
        <w:t xml:space="preserve"> ישיר</w:t>
      </w:r>
      <w:r>
        <w:rPr>
          <w:rFonts w:hint="cs"/>
          <w:rtl/>
        </w:rPr>
        <w:t xml:space="preserve"> ביניהם</w:t>
      </w:r>
      <w:r w:rsidR="005C09D6">
        <w:rPr>
          <w:rFonts w:hint="cs"/>
          <w:rtl/>
        </w:rPr>
        <w:t xml:space="preserve"> ובוודאי לא על השפעה. </w:t>
      </w:r>
      <w:r w:rsidR="005B1C4E">
        <w:rPr>
          <w:rFonts w:hint="cs"/>
          <w:rtl/>
        </w:rPr>
        <w:t>נוסף על כך, גאיוס עצמו מגדיר את כל החוקים הללו כחלק מן ה</w:t>
      </w:r>
      <w:r w:rsidR="005B1C4E">
        <w:t>ius gentium</w:t>
      </w:r>
      <w:r w:rsidR="005B1C4E">
        <w:rPr>
          <w:rFonts w:hint="cs"/>
          <w:rtl/>
        </w:rPr>
        <w:t>, כלומר, לדבריו מדובר בחוקים שנוהגים אצל כל חברה אנושית באשר היא.</w:t>
      </w:r>
      <w:r w:rsidR="005A0928">
        <w:rPr>
          <w:rStyle w:val="a6"/>
          <w:rtl/>
        </w:rPr>
        <w:footnoteReference w:id="55"/>
      </w:r>
      <w:r w:rsidR="00E0211B">
        <w:rPr>
          <w:rFonts w:hint="cs"/>
          <w:rtl/>
        </w:rPr>
        <w:t xml:space="preserve"> </w:t>
      </w:r>
      <w:r w:rsidR="00353B55">
        <w:rPr>
          <w:rFonts w:hint="cs"/>
          <w:rtl/>
        </w:rPr>
        <w:t>ייתכן שבכך גאיוס מעיד שהחוקים הללו נוהגים גם אצל עמים לא רומאים</w:t>
      </w:r>
      <w:r w:rsidR="00E0211B">
        <w:rPr>
          <w:rFonts w:hint="cs"/>
          <w:rtl/>
        </w:rPr>
        <w:t>.</w:t>
      </w:r>
    </w:p>
    <w:p w14:paraId="434C3D4A" w14:textId="77777777" w:rsidR="000D2E7B" w:rsidRDefault="00C04D3C" w:rsidP="00E0211B">
      <w:pPr>
        <w:rPr>
          <w:rFonts w:hint="cs"/>
          <w:rtl/>
        </w:rPr>
      </w:pPr>
      <w:r>
        <w:rPr>
          <w:rFonts w:hint="cs"/>
          <w:rtl/>
        </w:rPr>
        <w:t xml:space="preserve">לעומת זאת, אריגת החומר בתוספתא בבא קמא במקביל לחיבורו של גאיוס מפתיעה הרבה יותר, וברקע שלה סביר הרבה יותר להניח השפעה רומית. כוונתי לא רק לסדר הדיון, אלא בעיקר לתהליך </w:t>
      </w:r>
      <w:r w:rsidR="00F944B6">
        <w:rPr>
          <w:rFonts w:hint="cs"/>
          <w:rtl/>
        </w:rPr>
        <w:lastRenderedPageBreak/>
        <w:t>ה</w:t>
      </w:r>
      <w:r>
        <w:rPr>
          <w:rFonts w:hint="cs"/>
          <w:rtl/>
        </w:rPr>
        <w:t xml:space="preserve">טקסטואלי </w:t>
      </w:r>
      <w:r w:rsidR="005C09D6">
        <w:rPr>
          <w:rFonts w:hint="cs"/>
          <w:rtl/>
        </w:rPr>
        <w:t>ה</w:t>
      </w:r>
      <w:r>
        <w:rPr>
          <w:rFonts w:hint="cs"/>
          <w:rtl/>
        </w:rPr>
        <w:t xml:space="preserve">מקביל שבו </w:t>
      </w:r>
      <w:r w:rsidR="00F944B6">
        <w:rPr>
          <w:rFonts w:hint="cs"/>
          <w:rtl/>
        </w:rPr>
        <w:t>ה</w:t>
      </w:r>
      <w:r w:rsidR="005C09D6">
        <w:rPr>
          <w:rFonts w:hint="cs"/>
          <w:rtl/>
        </w:rPr>
        <w:t>חוקים</w:t>
      </w:r>
      <w:r>
        <w:rPr>
          <w:rFonts w:hint="cs"/>
          <w:rtl/>
        </w:rPr>
        <w:t xml:space="preserve"> מתפרש</w:t>
      </w:r>
      <w:r w:rsidR="005C09D6">
        <w:rPr>
          <w:rFonts w:hint="cs"/>
          <w:rtl/>
        </w:rPr>
        <w:t>ים</w:t>
      </w:r>
      <w:r>
        <w:rPr>
          <w:rFonts w:hint="cs"/>
          <w:rtl/>
        </w:rPr>
        <w:t xml:space="preserve"> מחדש. כיוון שמדובר בסידור תיאורטי-ספרותי של חומרים טקסטואליים, ההשפעה צריכה להיות השפעה טקסטואלית, כלומר, חשיפה של חכמים לעקרונות סידור וארגון תיאורטיים של ספרות החוק הרומית. אף שקשה להוכיח זאת, לא מן הנמנע שמקצת החכמים נחשפו לספרות חוק שכזאת (אולי דווקא בשפה היוונית). במיוחד נכון הדבר אם נקבל את הקשר של הקובץ בתוספתא לבית הנשיא רבן שמעון בן גמליאל. בית הנשיא היה מקושר לתרבות השלטת הרומית, והשפה היוונית בוודאי לא היתה זרה שם.</w:t>
      </w:r>
      <w:r w:rsidR="00853AEE">
        <w:rPr>
          <w:rStyle w:val="a6"/>
          <w:rtl/>
        </w:rPr>
        <w:footnoteReference w:id="56"/>
      </w:r>
      <w:r w:rsidR="00D6629D">
        <w:rPr>
          <w:rFonts w:hint="cs"/>
          <w:rtl/>
        </w:rPr>
        <w:t xml:space="preserve"> </w:t>
      </w:r>
      <w:r w:rsidR="00FD302C">
        <w:rPr>
          <w:rFonts w:hint="cs"/>
          <w:rtl/>
        </w:rPr>
        <w:t xml:space="preserve">כפי שכתבתי לעיל, גאיוס ורשב"ג אינם רחוקים זה מזה בזמן ובמקום, ומפגש אינטלקטואלי ביניהם </w:t>
      </w:r>
      <w:r w:rsidR="00637B0F">
        <w:rPr>
          <w:rFonts w:hint="cs"/>
          <w:rtl/>
        </w:rPr>
        <w:t>(אולי דרך מתווכים</w:t>
      </w:r>
      <w:r w:rsidR="007B1B0D">
        <w:rPr>
          <w:rFonts w:hint="cs"/>
          <w:rtl/>
        </w:rPr>
        <w:t xml:space="preserve"> אנושיים או ספרותיים</w:t>
      </w:r>
      <w:r w:rsidR="00637B0F">
        <w:rPr>
          <w:rFonts w:hint="cs"/>
          <w:rtl/>
        </w:rPr>
        <w:t xml:space="preserve"> שונים) אפשרי.</w:t>
      </w:r>
      <w:r w:rsidR="005D4614">
        <w:rPr>
          <w:rFonts w:hint="cs"/>
          <w:rtl/>
        </w:rPr>
        <w:t xml:space="preserve"> </w:t>
      </w:r>
    </w:p>
    <w:p w14:paraId="7C33ECE7" w14:textId="6FDD8228" w:rsidR="00E85669" w:rsidRDefault="005D4614" w:rsidP="00834828">
      <w:pPr>
        <w:rPr>
          <w:rFonts w:hint="cs"/>
          <w:rtl/>
          <w:lang w:val="el-GR"/>
        </w:rPr>
      </w:pPr>
      <w:r>
        <w:rPr>
          <w:rFonts w:hint="cs"/>
          <w:rtl/>
        </w:rPr>
        <w:t>מקורות אחרים מעידים על כך שרשב"ג הכיר במערכת החוק הזרה</w:t>
      </w:r>
      <w:r w:rsidR="00476EEA">
        <w:rPr>
          <w:rFonts w:hint="cs"/>
          <w:rtl/>
          <w:lang w:val="el-GR"/>
        </w:rPr>
        <w:t xml:space="preserve"> ונתן לה תוקף.</w:t>
      </w:r>
      <w:r w:rsidR="007F5B65">
        <w:rPr>
          <w:rFonts w:hint="cs"/>
          <w:rtl/>
          <w:lang w:val="el-GR"/>
        </w:rPr>
        <w:t xml:space="preserve"> המערכת הזרה מכונה במקורות אלו 'דיני האומות'</w:t>
      </w:r>
      <w:r w:rsidR="005F53FE">
        <w:rPr>
          <w:rFonts w:hint="cs"/>
          <w:rtl/>
          <w:lang w:val="el-GR"/>
        </w:rPr>
        <w:t xml:space="preserve"> (</w:t>
      </w:r>
      <w:r w:rsidR="005F53FE">
        <w:t>the law of the nations</w:t>
      </w:r>
      <w:r w:rsidR="005F53FE">
        <w:rPr>
          <w:rFonts w:hint="cs"/>
          <w:rtl/>
          <w:lang w:val="el-GR"/>
        </w:rPr>
        <w:t>)</w:t>
      </w:r>
      <w:r w:rsidR="007F5B65">
        <w:rPr>
          <w:rFonts w:hint="cs"/>
          <w:rtl/>
          <w:lang w:val="el-GR"/>
        </w:rPr>
        <w:t>, מונח שהוא הקבלה מילולית גמורה ל</w:t>
      </w:r>
      <w:r w:rsidR="007F5B65" w:rsidRPr="00AD7932">
        <w:rPr>
          <w:i/>
          <w:iCs/>
        </w:rPr>
        <w:t>ius gentium</w:t>
      </w:r>
      <w:r w:rsidR="007F5B65">
        <w:rPr>
          <w:rFonts w:hint="cs"/>
          <w:rtl/>
          <w:lang w:val="el-GR"/>
        </w:rPr>
        <w:t>.</w:t>
      </w:r>
      <w:r w:rsidR="00476EEA">
        <w:rPr>
          <w:rStyle w:val="a6"/>
          <w:rtl/>
          <w:lang w:val="el-GR"/>
        </w:rPr>
        <w:footnoteReference w:id="57"/>
      </w:r>
      <w:r>
        <w:rPr>
          <w:rFonts w:hint="cs"/>
          <w:rtl/>
        </w:rPr>
        <w:t xml:space="preserve"> </w:t>
      </w:r>
      <w:r w:rsidR="00D704E4">
        <w:rPr>
          <w:rFonts w:hint="cs"/>
          <w:rtl/>
        </w:rPr>
        <w:t>ייתכן אפוא ש</w:t>
      </w:r>
      <w:r w:rsidR="00675660">
        <w:rPr>
          <w:rFonts w:hint="cs"/>
          <w:rtl/>
        </w:rPr>
        <w:t>גם בנוגע לתפיסת ה</w:t>
      </w:r>
      <w:r w:rsidR="00675660" w:rsidRPr="00675660">
        <w:rPr>
          <w:i/>
          <w:iCs/>
        </w:rPr>
        <w:t>ius gentium</w:t>
      </w:r>
      <w:r w:rsidR="00675660">
        <w:rPr>
          <w:rFonts w:hint="cs"/>
          <w:rtl/>
          <w:lang w:val="el-GR"/>
        </w:rPr>
        <w:t xml:space="preserve"> עצמו היתה הלימה בין דברי גאיוס ובין רשב"ג</w:t>
      </w:r>
      <w:r w:rsidR="00D459D1">
        <w:rPr>
          <w:rFonts w:hint="cs"/>
          <w:rtl/>
          <w:lang w:val="el-GR"/>
        </w:rPr>
        <w:t>.</w:t>
      </w:r>
      <w:r w:rsidR="00834828">
        <w:rPr>
          <w:rFonts w:hint="cs"/>
          <w:rtl/>
          <w:lang w:val="el-GR"/>
        </w:rPr>
        <w:t xml:space="preserve"> </w:t>
      </w:r>
      <w:r w:rsidR="00E85669">
        <w:rPr>
          <w:rFonts w:hint="cs"/>
          <w:rtl/>
          <w:lang w:val="el-GR"/>
        </w:rPr>
        <w:t xml:space="preserve">אם </w:t>
      </w:r>
      <w:r w:rsidR="007D780E">
        <w:rPr>
          <w:rFonts w:hint="cs"/>
          <w:rtl/>
          <w:lang w:val="el-GR"/>
        </w:rPr>
        <w:t xml:space="preserve">היתה תפיסה </w:t>
      </w:r>
      <w:r w:rsidR="00BB33F0">
        <w:rPr>
          <w:rFonts w:hint="cs"/>
          <w:rtl/>
          <w:lang w:val="el-GR"/>
        </w:rPr>
        <w:t>רבני</w:t>
      </w:r>
      <w:r w:rsidR="007D780E">
        <w:rPr>
          <w:rFonts w:hint="cs"/>
          <w:rtl/>
          <w:lang w:val="el-GR"/>
        </w:rPr>
        <w:t>ת</w:t>
      </w:r>
      <w:r w:rsidR="0064140C">
        <w:rPr>
          <w:rFonts w:hint="cs"/>
          <w:rtl/>
          <w:lang w:val="el-GR"/>
        </w:rPr>
        <w:t xml:space="preserve"> </w:t>
      </w:r>
      <w:r w:rsidR="00BB33F0">
        <w:rPr>
          <w:rFonts w:hint="cs"/>
          <w:rtl/>
          <w:lang w:val="el-GR"/>
        </w:rPr>
        <w:t>מקבילה</w:t>
      </w:r>
      <w:r w:rsidR="00E85669">
        <w:rPr>
          <w:rFonts w:hint="cs"/>
          <w:rtl/>
          <w:lang w:val="el-GR"/>
        </w:rPr>
        <w:t xml:space="preserve"> </w:t>
      </w:r>
      <w:r w:rsidR="00BB33F0">
        <w:rPr>
          <w:rFonts w:hint="cs"/>
          <w:rtl/>
          <w:lang w:val="el-GR"/>
        </w:rPr>
        <w:t>ל</w:t>
      </w:r>
      <w:r w:rsidR="00E85669" w:rsidRPr="007C4A2A">
        <w:rPr>
          <w:i/>
          <w:iCs/>
        </w:rPr>
        <w:t>ius gentium</w:t>
      </w:r>
      <w:r w:rsidR="0064140C">
        <w:rPr>
          <w:rFonts w:hint="cs"/>
          <w:rtl/>
        </w:rPr>
        <w:t xml:space="preserve"> ייתכן שהיא תרמה לתהליך שתיארתי</w:t>
      </w:r>
      <w:r w:rsidR="00E85669">
        <w:rPr>
          <w:rFonts w:hint="cs"/>
          <w:rtl/>
        </w:rPr>
        <w:t xml:space="preserve">. </w:t>
      </w:r>
      <w:r w:rsidR="003D7D98">
        <w:rPr>
          <w:rFonts w:hint="cs"/>
          <w:rtl/>
        </w:rPr>
        <w:t xml:space="preserve">הרי, </w:t>
      </w:r>
      <w:r w:rsidR="00E85669">
        <w:rPr>
          <w:rFonts w:hint="cs"/>
          <w:rtl/>
        </w:rPr>
        <w:t xml:space="preserve">אם היינו מראים לגאיוס את ההשוואה בין חיבורו ובין התוספתא, סביר להניח שהוא לא היה מופתע. לדבריו החוקים שהוא מתאר מבוססים על הגיון טבעי ומשותפים לכלל בני האדם. </w:t>
      </w:r>
      <w:r w:rsidR="003D7D98">
        <w:rPr>
          <w:rFonts w:hint="cs"/>
          <w:rtl/>
        </w:rPr>
        <w:t xml:space="preserve">אם </w:t>
      </w:r>
      <w:r w:rsidR="00E85669">
        <w:rPr>
          <w:rFonts w:hint="cs"/>
          <w:rtl/>
        </w:rPr>
        <w:t xml:space="preserve">גם חכמים האמינו בעקרון הזה, </w:t>
      </w:r>
      <w:r w:rsidR="003D7D98">
        <w:rPr>
          <w:rFonts w:hint="cs"/>
          <w:rtl/>
        </w:rPr>
        <w:t xml:space="preserve">ייתכן שהם תפסו את </w:t>
      </w:r>
      <w:r w:rsidR="00A51EC5">
        <w:rPr>
          <w:rFonts w:hint="cs"/>
          <w:rtl/>
        </w:rPr>
        <w:t>עקרונות החוק</w:t>
      </w:r>
      <w:r w:rsidR="00BB33F0">
        <w:rPr>
          <w:rFonts w:hint="cs"/>
          <w:rtl/>
        </w:rPr>
        <w:t xml:space="preserve"> הללו</w:t>
      </w:r>
      <w:r w:rsidR="00A51EC5">
        <w:rPr>
          <w:rFonts w:hint="cs"/>
          <w:rtl/>
        </w:rPr>
        <w:t xml:space="preserve"> כשייכים גם אליהם, ושילבו אותם בתורתם</w:t>
      </w:r>
      <w:r w:rsidR="003B014F">
        <w:rPr>
          <w:rFonts w:hint="cs"/>
          <w:rtl/>
        </w:rPr>
        <w:t>.</w:t>
      </w:r>
      <w:r w:rsidR="00E85669">
        <w:rPr>
          <w:rFonts w:hint="cs"/>
          <w:rtl/>
        </w:rPr>
        <w:t xml:space="preserve"> בכל אופן, יש כאן דוגמה לכך שמה שגאיוס מכנה </w:t>
      </w:r>
      <w:r w:rsidR="00E85669" w:rsidRPr="007C4A2A">
        <w:rPr>
          <w:i/>
          <w:iCs/>
        </w:rPr>
        <w:t>ius gentium</w:t>
      </w:r>
      <w:r w:rsidR="00E85669">
        <w:rPr>
          <w:rFonts w:hint="cs"/>
          <w:rtl/>
          <w:lang w:val="el-GR"/>
        </w:rPr>
        <w:t xml:space="preserve"> היה באמת כזה, כלומר, משותף (לפחות על הנייר) גם למערכות חוק אחרות ברחבי האימפריה. </w:t>
      </w:r>
    </w:p>
    <w:p w14:paraId="37D5C8E0" w14:textId="2EDB391A" w:rsidR="0061701C" w:rsidRPr="00C93EA1" w:rsidRDefault="00AE1B5A" w:rsidP="004D7A1F">
      <w:pPr>
        <w:pStyle w:val="2"/>
        <w:rPr>
          <w:rtl/>
        </w:rPr>
      </w:pPr>
      <w:r>
        <w:rPr>
          <w:rFonts w:hint="cs"/>
          <w:rtl/>
        </w:rPr>
        <w:t>מגע אינטלקטואלי בין המשפטנים היהודיים והרומיים</w:t>
      </w:r>
    </w:p>
    <w:p w14:paraId="095DCB53" w14:textId="4FFAD921" w:rsidR="00363B64" w:rsidRDefault="00C93EA1" w:rsidP="000F45F4">
      <w:pPr>
        <w:rPr>
          <w:rtl/>
        </w:rPr>
      </w:pPr>
      <w:r>
        <w:rPr>
          <w:rFonts w:hint="cs"/>
          <w:rtl/>
        </w:rPr>
        <w:t xml:space="preserve">תהליך טקסטואלי וקונספטואלי דומה שחל במקביל בשני טקסטים </w:t>
      </w:r>
      <w:r w:rsidR="00CD56D1">
        <w:rPr>
          <w:rFonts w:hint="cs"/>
          <w:rtl/>
        </w:rPr>
        <w:t>ששייכים למסורות משפט שונות הוא תופעה ייחודית ומפתיעה.</w:t>
      </w:r>
      <w:r w:rsidR="00646734">
        <w:rPr>
          <w:rFonts w:hint="cs"/>
          <w:rtl/>
        </w:rPr>
        <w:t xml:space="preserve"> </w:t>
      </w:r>
      <w:r w:rsidR="00D6203E">
        <w:rPr>
          <w:rFonts w:hint="cs"/>
          <w:rtl/>
        </w:rPr>
        <w:t>בהקשר הנוכחי אין כמעט ספק שהוא קשור בעובדה שמסורת המשפט היהודית התעצבה תחת שלטון רומי.</w:t>
      </w:r>
      <w:r w:rsidR="00D72362">
        <w:rPr>
          <w:rFonts w:hint="cs"/>
          <w:rtl/>
        </w:rPr>
        <w:t xml:space="preserve"> </w:t>
      </w:r>
      <w:r w:rsidR="00887D35">
        <w:rPr>
          <w:rFonts w:hint="cs"/>
          <w:rtl/>
        </w:rPr>
        <w:t>במסגרת המחקרים הרבים שזיהו נקודות דמיון בין החוק הרומי והחוק היהודי לא מוכרת לי דוגמה מובהקת כל כך לתהליך טקסטואלי דומה.</w:t>
      </w:r>
      <w:r w:rsidR="00CD56D1">
        <w:rPr>
          <w:rFonts w:hint="cs"/>
          <w:rtl/>
        </w:rPr>
        <w:t xml:space="preserve"> </w:t>
      </w:r>
    </w:p>
    <w:p w14:paraId="300C8E3A" w14:textId="54651DE5" w:rsidR="0039754D" w:rsidRDefault="00AE1B5A" w:rsidP="000F45F4">
      <w:pPr>
        <w:rPr>
          <w:rtl/>
        </w:rPr>
      </w:pPr>
      <w:r>
        <w:rPr>
          <w:rFonts w:hint="cs"/>
          <w:rtl/>
          <w:lang w:val="el-GR"/>
        </w:rPr>
        <w:lastRenderedPageBreak/>
        <w:t xml:space="preserve">מחקרים אחרים כבר עמדו על היכרות אפשרית של חכמים עם ספרות חוק רומית. </w:t>
      </w:r>
      <w:r w:rsidR="0039754D">
        <w:rPr>
          <w:rFonts w:hint="cs"/>
          <w:rtl/>
          <w:lang w:val="el-GR"/>
        </w:rPr>
        <w:t xml:space="preserve">אורית מלכה ויקיר פז </w:t>
      </w:r>
      <w:r w:rsidR="00834828">
        <w:rPr>
          <w:rFonts w:hint="cs"/>
          <w:rtl/>
          <w:lang w:val="el-GR"/>
        </w:rPr>
        <w:t>הר</w:t>
      </w:r>
      <w:r w:rsidR="002C6A48">
        <w:rPr>
          <w:rFonts w:hint="cs"/>
          <w:rtl/>
          <w:lang w:val="el-GR"/>
        </w:rPr>
        <w:t>או</w:t>
      </w:r>
      <w:r w:rsidR="0039754D">
        <w:rPr>
          <w:rFonts w:hint="cs"/>
          <w:rtl/>
          <w:lang w:val="el-GR"/>
        </w:rPr>
        <w:t xml:space="preserve"> כמה דוגמאות שבהן המקורות היהודיים לקחו הלכות רומיות כמעט כצורתן ותרגמו אותן לעברית, תוך שאילה מושלמת של מושגים משפטיים רומיים.</w:t>
      </w:r>
      <w:r w:rsidR="0039754D">
        <w:rPr>
          <w:rStyle w:val="a6"/>
          <w:rtl/>
        </w:rPr>
        <w:footnoteReference w:id="58"/>
      </w:r>
      <w:r w:rsidR="0039754D">
        <w:rPr>
          <w:rFonts w:hint="cs"/>
          <w:rtl/>
        </w:rPr>
        <w:t xml:space="preserve"> </w:t>
      </w:r>
      <w:r w:rsidR="00A87130">
        <w:rPr>
          <w:rFonts w:hint="cs"/>
          <w:rtl/>
        </w:rPr>
        <w:t xml:space="preserve">מקרים אלו מוכיחים לכאורה היכרות של חכמים עם ספרות חוק רומית, אבל אין בהם עדות </w:t>
      </w:r>
      <w:r w:rsidR="00361C17">
        <w:rPr>
          <w:rFonts w:hint="cs"/>
          <w:rtl/>
        </w:rPr>
        <w:t>לתהליכי העיבוד הטקסטואליים והקונספטואליים שארעו בתוך ההלכה היהודית. כמו כן, המקרים לקוחים מתחו</w:t>
      </w:r>
      <w:r w:rsidR="002C6A48">
        <w:rPr>
          <w:rFonts w:hint="cs"/>
          <w:rtl/>
        </w:rPr>
        <w:t>ם</w:t>
      </w:r>
      <w:r w:rsidR="00361C17">
        <w:rPr>
          <w:rFonts w:hint="cs"/>
          <w:rtl/>
        </w:rPr>
        <w:t xml:space="preserve"> </w:t>
      </w:r>
      <w:r w:rsidR="00A64B52">
        <w:rPr>
          <w:rFonts w:hint="cs"/>
          <w:rtl/>
        </w:rPr>
        <w:t>המעמד האישי, שמטבעו נתון יותר להשפעה שלטונית.</w:t>
      </w:r>
      <w:r w:rsidR="00255D47">
        <w:rPr>
          <w:rFonts w:hint="cs"/>
          <w:rtl/>
        </w:rPr>
        <w:t xml:space="preserve"> הדוגמה שהבאתי לקוחה מתחומי החוק הפרטי, ויש בה תיעוד ברור של התפתחות משפטית מרובת שלבים.</w:t>
      </w:r>
    </w:p>
    <w:p w14:paraId="3A782921" w14:textId="6563BF73" w:rsidR="00363B64" w:rsidRDefault="00255D47" w:rsidP="0009733D">
      <w:pPr>
        <w:rPr>
          <w:rtl/>
          <w:lang w:val="el-GR"/>
        </w:rPr>
      </w:pPr>
      <w:r>
        <w:rPr>
          <w:rFonts w:hint="cs"/>
          <w:rtl/>
        </w:rPr>
        <w:t xml:space="preserve">התפתחות משפטית פנים יהודית </w:t>
      </w:r>
      <w:r w:rsidR="00772428">
        <w:rPr>
          <w:rFonts w:hint="cs"/>
          <w:rtl/>
        </w:rPr>
        <w:t>בעקבות</w:t>
      </w:r>
      <w:r>
        <w:rPr>
          <w:rFonts w:hint="cs"/>
          <w:rtl/>
        </w:rPr>
        <w:t xml:space="preserve"> השפעה רומית ה</w:t>
      </w:r>
      <w:r w:rsidR="00772428">
        <w:rPr>
          <w:rFonts w:hint="cs"/>
          <w:rtl/>
        </w:rPr>
        <w:t>ודגמה</w:t>
      </w:r>
      <w:r>
        <w:rPr>
          <w:rFonts w:hint="cs"/>
          <w:rtl/>
        </w:rPr>
        <w:t xml:space="preserve"> </w:t>
      </w:r>
      <w:r w:rsidR="00EE2BC5">
        <w:rPr>
          <w:rFonts w:hint="cs"/>
          <w:rtl/>
        </w:rPr>
        <w:t>בכמה ממחקריו של יאיר פורסטנברג</w:t>
      </w:r>
      <w:r w:rsidR="005E7C9B">
        <w:rPr>
          <w:rFonts w:hint="cs"/>
          <w:rtl/>
        </w:rPr>
        <w:t xml:space="preserve">. כך, במסגרת דיונו בדיני </w:t>
      </w:r>
      <w:r w:rsidR="00772428">
        <w:rPr>
          <w:rFonts w:hint="cs"/>
          <w:rtl/>
        </w:rPr>
        <w:t>שומרים</w:t>
      </w:r>
      <w:r w:rsidR="005E7C9B">
        <w:rPr>
          <w:rFonts w:hint="cs"/>
          <w:rtl/>
        </w:rPr>
        <w:t xml:space="preserve"> הראה פורסטנברג איך </w:t>
      </w:r>
      <w:r w:rsidR="00FE7FD1">
        <w:rPr>
          <w:rFonts w:hint="cs"/>
          <w:rtl/>
        </w:rPr>
        <w:t>ההלכות במשנה אורגנו מחדש בהתאם לקטגוריות רומיות.</w:t>
      </w:r>
      <w:r w:rsidR="00FE7FD1">
        <w:rPr>
          <w:rStyle w:val="a6"/>
          <w:rtl/>
        </w:rPr>
        <w:footnoteReference w:id="59"/>
      </w:r>
      <w:r w:rsidR="00825213">
        <w:rPr>
          <w:rFonts w:hint="cs"/>
          <w:rtl/>
        </w:rPr>
        <w:t xml:space="preserve"> ב</w:t>
      </w:r>
      <w:r w:rsidR="00691D67">
        <w:rPr>
          <w:rFonts w:hint="cs"/>
          <w:rtl/>
        </w:rPr>
        <w:t xml:space="preserve">מאמר אחר שעתיד להתפרסם דן </w:t>
      </w:r>
      <w:r w:rsidR="00143A58">
        <w:rPr>
          <w:rFonts w:hint="cs"/>
          <w:rtl/>
        </w:rPr>
        <w:t>פורסטנברג במושג</w:t>
      </w:r>
      <w:r w:rsidR="00825213">
        <w:rPr>
          <w:rFonts w:hint="cs"/>
          <w:rtl/>
        </w:rPr>
        <w:t xml:space="preserve"> ה</w:t>
      </w:r>
      <w:r w:rsidR="00825213">
        <w:t>possessio/usucapio</w:t>
      </w:r>
      <w:r w:rsidR="00825213">
        <w:rPr>
          <w:rFonts w:hint="cs"/>
          <w:rtl/>
          <w:lang w:val="el-GR"/>
        </w:rPr>
        <w:t xml:space="preserve"> (חזקה) במשפט העברי</w:t>
      </w:r>
      <w:r w:rsidR="00C022B1">
        <w:rPr>
          <w:rFonts w:hint="cs"/>
          <w:rtl/>
          <w:lang w:val="el-GR"/>
        </w:rPr>
        <w:t xml:space="preserve"> </w:t>
      </w:r>
      <w:r w:rsidR="00143A58">
        <w:rPr>
          <w:rFonts w:hint="cs"/>
          <w:rtl/>
          <w:lang w:val="el-GR"/>
        </w:rPr>
        <w:t>ו</w:t>
      </w:r>
      <w:r w:rsidR="00C022B1">
        <w:rPr>
          <w:rFonts w:hint="cs"/>
          <w:rtl/>
          <w:lang w:val="el-GR"/>
        </w:rPr>
        <w:t>הראה תהליכים טקסטואליים שונים ששינו את משמעות המונח</w:t>
      </w:r>
      <w:r w:rsidR="006C6A8F">
        <w:rPr>
          <w:rFonts w:hint="cs"/>
          <w:rtl/>
          <w:lang w:val="el-GR"/>
        </w:rPr>
        <w:t xml:space="preserve"> העברי</w:t>
      </w:r>
      <w:r w:rsidR="00C022B1">
        <w:rPr>
          <w:rFonts w:hint="cs"/>
          <w:rtl/>
          <w:lang w:val="el-GR"/>
        </w:rPr>
        <w:t xml:space="preserve"> בעקבות מגע עם </w:t>
      </w:r>
      <w:r w:rsidR="006B08A4">
        <w:rPr>
          <w:rFonts w:hint="cs"/>
          <w:rtl/>
          <w:lang w:val="el-GR"/>
        </w:rPr>
        <w:t>עקרונות המשפט הרומי.</w:t>
      </w:r>
      <w:r w:rsidR="006B08A4">
        <w:rPr>
          <w:rStyle w:val="a6"/>
          <w:rtl/>
          <w:lang w:val="el-GR"/>
        </w:rPr>
        <w:footnoteReference w:id="60"/>
      </w:r>
      <w:r w:rsidR="006C6A8F">
        <w:rPr>
          <w:rFonts w:hint="cs"/>
          <w:rtl/>
          <w:lang w:val="el-GR"/>
        </w:rPr>
        <w:t xml:space="preserve"> בתוך אותו דיון דן פורסטנברג בדמיון בין משנה קידושין פרק א ובין קובץ הקניינים של גאיוס (</w:t>
      </w:r>
      <w:r w:rsidR="00890161">
        <w:rPr>
          <w:rFonts w:hint="cs"/>
        </w:rPr>
        <w:t>G</w:t>
      </w:r>
      <w:r w:rsidR="00890161">
        <w:t>ai.I</w:t>
      </w:r>
      <w:r w:rsidR="00294247">
        <w:t>.</w:t>
      </w:r>
      <w:r w:rsidR="00890161">
        <w:t>108–123</w:t>
      </w:r>
      <w:r w:rsidR="00E738F9">
        <w:rPr>
          <w:rFonts w:hint="cs"/>
          <w:rtl/>
          <w:lang w:val="el-GR"/>
        </w:rPr>
        <w:t>). אף שהדמיון בין הטקסטים תואר מכבר, פורסטנברג עומד על כך שהמשנה בקידושין מעצבת מחדש את החומרים היהודיים המקוריים בעקבות חשי</w:t>
      </w:r>
      <w:r w:rsidR="00A90493">
        <w:rPr>
          <w:rFonts w:hint="cs"/>
          <w:rtl/>
          <w:lang w:val="el-GR"/>
        </w:rPr>
        <w:t>פה לספרות המשפט הרומית.</w:t>
      </w:r>
      <w:r w:rsidR="00A90493">
        <w:rPr>
          <w:rStyle w:val="a6"/>
          <w:rtl/>
          <w:lang w:val="el-GR"/>
        </w:rPr>
        <w:footnoteReference w:id="61"/>
      </w:r>
      <w:r w:rsidR="003131B3">
        <w:rPr>
          <w:rFonts w:hint="cs"/>
          <w:rtl/>
          <w:lang w:val="el-GR"/>
        </w:rPr>
        <w:t xml:space="preserve"> </w:t>
      </w:r>
      <w:r w:rsidR="009A77FC">
        <w:rPr>
          <w:rFonts w:hint="cs"/>
          <w:rtl/>
          <w:lang w:val="el-GR"/>
        </w:rPr>
        <w:t>אלא שבמחקרים אלו</w:t>
      </w:r>
      <w:r w:rsidR="00E81252">
        <w:rPr>
          <w:rFonts w:hint="cs"/>
          <w:rtl/>
          <w:lang w:val="el-GR"/>
        </w:rPr>
        <w:t xml:space="preserve"> לא תואר תהליך מקביל בתוך הספרות הרומית גופה</w:t>
      </w:r>
      <w:r w:rsidR="0092433D">
        <w:rPr>
          <w:rFonts w:hint="cs"/>
          <w:rtl/>
          <w:lang w:val="el-GR"/>
        </w:rPr>
        <w:t xml:space="preserve"> (א</w:t>
      </w:r>
      <w:r w:rsidR="00E13F53">
        <w:rPr>
          <w:rFonts w:hint="cs"/>
          <w:rtl/>
          <w:lang w:val="el-GR"/>
        </w:rPr>
        <w:t>ף ש</w:t>
      </w:r>
      <w:r w:rsidR="0092433D">
        <w:rPr>
          <w:rFonts w:hint="cs"/>
          <w:rtl/>
          <w:lang w:val="el-GR"/>
        </w:rPr>
        <w:t>לא מן הנמנע שהיה כזה). ייחודו של המקרה שהבאתי הוא שתהליך העיבוד והפרשנות התרחש כאילו במשותף אצל חכמי החוק הרומיים והיהודיים.</w:t>
      </w:r>
      <w:r w:rsidR="00C44D5C" w:rsidRPr="00C44D5C">
        <w:rPr>
          <w:rStyle w:val="fontstyle01"/>
          <w:rtl/>
        </w:rPr>
        <w:t xml:space="preserve"> </w:t>
      </w:r>
    </w:p>
    <w:p w14:paraId="4116E502" w14:textId="2DF9803A" w:rsidR="0061701C" w:rsidRDefault="00EF3FE2" w:rsidP="000F45F4">
      <w:pPr>
        <w:rPr>
          <w:rtl/>
        </w:rPr>
      </w:pPr>
      <w:r>
        <w:rPr>
          <w:rFonts w:hint="cs"/>
          <w:rtl/>
        </w:rPr>
        <w:t>הדוגמה שהבאתי מעלה מאד את הסבירות שהתקיים מגע אינטלקטואלי</w:t>
      </w:r>
      <w:r w:rsidR="00BC2C32">
        <w:rPr>
          <w:rFonts w:hint="cs"/>
          <w:rtl/>
        </w:rPr>
        <w:t xml:space="preserve"> (פיזי או ספרותי)</w:t>
      </w:r>
      <w:r>
        <w:rPr>
          <w:rFonts w:hint="cs"/>
          <w:rtl/>
        </w:rPr>
        <w:t xml:space="preserve"> בין מקצת חכמי המשפט היהודיים ובין בעלי תורת המשפט הרומיים.</w:t>
      </w:r>
      <w:r w:rsidR="00841326">
        <w:rPr>
          <w:rFonts w:hint="cs"/>
          <w:rtl/>
        </w:rPr>
        <w:t xml:space="preserve"> ניסוח המקורות ההלכתיים</w:t>
      </w:r>
      <w:r w:rsidR="0049637C">
        <w:rPr>
          <w:rFonts w:hint="cs"/>
          <w:rtl/>
        </w:rPr>
        <w:t xml:space="preserve"> קורה במקביל לניסוח המקורות הרומיים, וחכמים </w:t>
      </w:r>
      <w:r w:rsidR="0032105E">
        <w:rPr>
          <w:rFonts w:hint="cs"/>
          <w:rtl/>
        </w:rPr>
        <w:t>דנים בתוכן ההלכתי</w:t>
      </w:r>
      <w:r w:rsidR="004143AA">
        <w:rPr>
          <w:rFonts w:hint="cs"/>
          <w:rtl/>
        </w:rPr>
        <w:t xml:space="preserve"> בהשפעת למדנות משפטית רומית</w:t>
      </w:r>
      <w:r w:rsidR="0049637C">
        <w:rPr>
          <w:rFonts w:hint="cs"/>
          <w:rtl/>
        </w:rPr>
        <w:t>.</w:t>
      </w:r>
      <w:r w:rsidR="00C93EA1">
        <w:rPr>
          <w:rFonts w:hint="cs"/>
          <w:rtl/>
        </w:rPr>
        <w:t xml:space="preserve"> </w:t>
      </w:r>
      <w:r w:rsidR="00624926">
        <w:rPr>
          <w:rFonts w:hint="cs"/>
          <w:rtl/>
        </w:rPr>
        <w:t xml:space="preserve">דוגמאות נוספות אם תימצאנה יכולות לחזק </w:t>
      </w:r>
      <w:r w:rsidR="00C5454C">
        <w:rPr>
          <w:rFonts w:hint="cs"/>
          <w:rtl/>
        </w:rPr>
        <w:t>את הסברה הזאת</w:t>
      </w:r>
      <w:r w:rsidR="00A453AD">
        <w:rPr>
          <w:rFonts w:hint="cs"/>
          <w:rtl/>
        </w:rPr>
        <w:t>, ולהוביל לפיתוח של מודל נוסף</w:t>
      </w:r>
      <w:r w:rsidR="00633887">
        <w:rPr>
          <w:rFonts w:hint="cs"/>
          <w:rtl/>
        </w:rPr>
        <w:t xml:space="preserve"> לתיאור היחסים בין החוק הרומי והחוק המקומי. על פי מודל זה יצירת החוק המקומי משתלבת לפעמים בתוך פרוייקט היצירה של החוק הרומי ומתנהלת במקביל לו.</w:t>
      </w:r>
    </w:p>
    <w:p w14:paraId="6E321DF6" w14:textId="5DDF1423" w:rsidR="00C93CE0" w:rsidRDefault="00C93CE0" w:rsidP="00C93CE0">
      <w:pPr>
        <w:pStyle w:val="2"/>
        <w:rPr>
          <w:rtl/>
        </w:rPr>
      </w:pPr>
      <w:r>
        <w:rPr>
          <w:rFonts w:hint="cs"/>
          <w:rtl/>
        </w:rPr>
        <w:t>סיום</w:t>
      </w:r>
    </w:p>
    <w:p w14:paraId="1249AFBD" w14:textId="1DA139DD" w:rsidR="00CD717A" w:rsidRDefault="0074773F" w:rsidP="000F45F4">
      <w:pPr>
        <w:rPr>
          <w:rtl/>
          <w:lang w:val="el-GR"/>
        </w:rPr>
      </w:pPr>
      <w:r>
        <w:rPr>
          <w:rFonts w:hint="cs"/>
          <w:rtl/>
        </w:rPr>
        <w:t>זווית זו של קשר בין החוק הרומי והחוק המקומי כמעט ולא מתוארת במחקר</w:t>
      </w:r>
      <w:r w:rsidR="0084309A">
        <w:rPr>
          <w:rFonts w:hint="cs"/>
          <w:rtl/>
        </w:rPr>
        <w:t xml:space="preserve">. ראשית, </w:t>
      </w:r>
      <w:r w:rsidR="002D1348">
        <w:rPr>
          <w:rFonts w:hint="cs"/>
          <w:rtl/>
        </w:rPr>
        <w:t>ההשפעה כאן היא אינטלקטואלית, ולא כל כך מעשית.</w:t>
      </w:r>
      <w:r w:rsidR="00905501">
        <w:rPr>
          <w:rFonts w:hint="cs"/>
          <w:rtl/>
        </w:rPr>
        <w:t xml:space="preserve"> קשה לשחזר השפעות מסוג זה על סמך החומרים שבידינו מן הפרובינקיות האחרות. בנוסף, קשה להגדיר את ההשפעה כאן </w:t>
      </w:r>
      <w:r w:rsidR="008A2F15">
        <w:rPr>
          <w:rFonts w:hint="cs"/>
          <w:rtl/>
          <w:lang w:val="el-GR"/>
        </w:rPr>
        <w:t>כהשפעה 'מלמעלה למטה'</w:t>
      </w:r>
      <w:r w:rsidR="00D95337">
        <w:rPr>
          <w:rFonts w:hint="cs"/>
          <w:rtl/>
          <w:lang w:val="el-GR"/>
        </w:rPr>
        <w:t>.</w:t>
      </w:r>
      <w:r w:rsidR="008A2F15">
        <w:rPr>
          <w:rFonts w:hint="cs"/>
          <w:rtl/>
          <w:lang w:val="el-GR"/>
        </w:rPr>
        <w:t xml:space="preserve"> לא נראה ש</w:t>
      </w:r>
      <w:r w:rsidR="00C11BB7">
        <w:rPr>
          <w:rFonts w:hint="cs"/>
          <w:rtl/>
          <w:lang w:val="el-GR"/>
        </w:rPr>
        <w:t xml:space="preserve">גאיוס או </w:t>
      </w:r>
      <w:r w:rsidR="008A2F15">
        <w:rPr>
          <w:rFonts w:hint="cs"/>
          <w:rtl/>
          <w:lang w:val="el-GR"/>
        </w:rPr>
        <w:t xml:space="preserve">משפטן רומי </w:t>
      </w:r>
      <w:r w:rsidR="00C11BB7">
        <w:rPr>
          <w:rFonts w:hint="cs"/>
          <w:rtl/>
          <w:lang w:val="el-GR"/>
        </w:rPr>
        <w:t>אחר</w:t>
      </w:r>
      <w:r w:rsidR="008A2F15">
        <w:rPr>
          <w:rFonts w:hint="cs"/>
          <w:rtl/>
          <w:lang w:val="el-GR"/>
        </w:rPr>
        <w:t xml:space="preserve"> לחץ על </w:t>
      </w:r>
      <w:r w:rsidR="00C11BB7">
        <w:rPr>
          <w:rFonts w:hint="cs"/>
          <w:rtl/>
          <w:lang w:val="el-GR"/>
        </w:rPr>
        <w:t xml:space="preserve">חכמי המשפט היהודיים לקבל את הפרשנות </w:t>
      </w:r>
      <w:r w:rsidR="00C11BB7">
        <w:rPr>
          <w:rFonts w:hint="cs"/>
          <w:rtl/>
          <w:lang w:val="el-GR"/>
        </w:rPr>
        <w:lastRenderedPageBreak/>
        <w:t>החדשה שלו לחוק.</w:t>
      </w:r>
      <w:r w:rsidR="00D95337">
        <w:rPr>
          <w:rFonts w:hint="cs"/>
          <w:rtl/>
          <w:lang w:val="el-GR"/>
        </w:rPr>
        <w:t xml:space="preserve"> מצד שני, ברור ש</w:t>
      </w:r>
      <w:r w:rsidR="004B2D9B">
        <w:rPr>
          <w:rFonts w:hint="cs"/>
          <w:rtl/>
          <w:lang w:val="el-GR"/>
        </w:rPr>
        <w:t>אין כאן גם השפעה 'מלמטה למעלה'</w:t>
      </w:r>
      <w:r w:rsidR="00F64BD3">
        <w:rPr>
          <w:rFonts w:hint="cs"/>
          <w:rtl/>
          <w:lang w:val="el-GR"/>
        </w:rPr>
        <w:t xml:space="preserve"> או מן הרחוב. מדובר כאן במפגש אינטלקטואלי בין חכמי משפט שכאילו דנים יחד בשאלות המשפטיות</w:t>
      </w:r>
      <w:r w:rsidR="00704648">
        <w:rPr>
          <w:rFonts w:hint="cs"/>
          <w:rtl/>
          <w:lang w:val="el-GR"/>
        </w:rPr>
        <w:t>, כלומר, במעין 'השפעה א</w:t>
      </w:r>
      <w:r w:rsidR="00684C09">
        <w:rPr>
          <w:rFonts w:hint="cs"/>
          <w:rtl/>
          <w:lang w:val="el-GR"/>
        </w:rPr>
        <w:t>ופקית</w:t>
      </w:r>
      <w:r w:rsidR="00704648">
        <w:rPr>
          <w:rFonts w:hint="cs"/>
          <w:rtl/>
          <w:lang w:val="el-GR"/>
        </w:rPr>
        <w:t>'</w:t>
      </w:r>
      <w:r w:rsidR="00F64BD3">
        <w:rPr>
          <w:rFonts w:hint="cs"/>
          <w:rtl/>
          <w:lang w:val="el-GR"/>
        </w:rPr>
        <w:t>.</w:t>
      </w:r>
      <w:r w:rsidR="00877EAC">
        <w:rPr>
          <w:rFonts w:hint="cs"/>
          <w:rtl/>
          <w:lang w:val="el-GR"/>
        </w:rPr>
        <w:t xml:space="preserve"> </w:t>
      </w:r>
      <w:r w:rsidR="00653614">
        <w:rPr>
          <w:rFonts w:hint="cs"/>
          <w:rtl/>
          <w:lang w:val="el-GR"/>
        </w:rPr>
        <w:t xml:space="preserve">זאת ועוד, המפגש המדובר מייצג את האליטות </w:t>
      </w:r>
      <w:r w:rsidR="00653614">
        <w:rPr>
          <w:rtl/>
          <w:lang w:val="el-GR"/>
        </w:rPr>
        <w:t>–</w:t>
      </w:r>
      <w:r w:rsidR="00653614">
        <w:rPr>
          <w:rFonts w:hint="cs"/>
          <w:rtl/>
          <w:lang w:val="el-GR"/>
        </w:rPr>
        <w:t xml:space="preserve"> הרומית והמקומית </w:t>
      </w:r>
      <w:r w:rsidR="00653614">
        <w:rPr>
          <w:rtl/>
          <w:lang w:val="el-GR"/>
        </w:rPr>
        <w:t>–</w:t>
      </w:r>
      <w:r w:rsidR="00653614">
        <w:rPr>
          <w:rFonts w:hint="cs"/>
          <w:rtl/>
          <w:lang w:val="el-GR"/>
        </w:rPr>
        <w:t xml:space="preserve"> ולא את </w:t>
      </w:r>
      <w:r w:rsidR="009A2F06">
        <w:rPr>
          <w:rFonts w:hint="cs"/>
          <w:rtl/>
          <w:lang w:val="el-GR"/>
        </w:rPr>
        <w:t>האזרח הפשוט, צרכן המשפט</w:t>
      </w:r>
      <w:r w:rsidR="00996065">
        <w:rPr>
          <w:rFonts w:hint="cs"/>
          <w:rtl/>
          <w:lang w:val="el-GR"/>
        </w:rPr>
        <w:t>, כמו שקורה בפפירוסים.</w:t>
      </w:r>
    </w:p>
    <w:p w14:paraId="36D975F3" w14:textId="66098D8F" w:rsidR="00996065" w:rsidRPr="00042B8C" w:rsidRDefault="00996065" w:rsidP="000F45F4">
      <w:r>
        <w:rPr>
          <w:rFonts w:hint="cs"/>
          <w:rtl/>
          <w:lang w:val="el-GR"/>
        </w:rPr>
        <w:t>בעניין זה חשובה במיוחד העובדה שה</w:t>
      </w:r>
      <w:r w:rsidR="004347B1">
        <w:rPr>
          <w:rFonts w:hint="cs"/>
          <w:rtl/>
          <w:lang w:val="el-GR"/>
        </w:rPr>
        <w:t>דוגמה שייכת ל</w:t>
      </w:r>
      <w:r w:rsidR="004347B1">
        <w:t>property law</w:t>
      </w:r>
      <w:r w:rsidR="00B47A8F">
        <w:t>s</w:t>
      </w:r>
      <w:r w:rsidR="003E6032">
        <w:rPr>
          <w:rFonts w:hint="cs"/>
          <w:rtl/>
          <w:lang w:val="el-GR"/>
        </w:rPr>
        <w:t>.</w:t>
      </w:r>
      <w:r w:rsidR="00EA1549">
        <w:rPr>
          <w:rFonts w:hint="cs"/>
          <w:rtl/>
          <w:lang w:val="el-GR"/>
        </w:rPr>
        <w:t xml:space="preserve"> רוב המקבילות שבהן דנו החוקרים</w:t>
      </w:r>
      <w:r w:rsidR="0070357E">
        <w:rPr>
          <w:rFonts w:hint="cs"/>
          <w:rtl/>
          <w:lang w:val="el-GR"/>
        </w:rPr>
        <w:t xml:space="preserve"> בין החוק הרומי וההלכה היהודית שייכים לתחומי המעמד האישי (אזרחות,</w:t>
      </w:r>
      <w:r w:rsidR="004730B9">
        <w:rPr>
          <w:rFonts w:hint="cs"/>
          <w:rtl/>
          <w:lang w:val="el-GR"/>
        </w:rPr>
        <w:t xml:space="preserve"> ומתוך כך גם קשרי נישואים, משפחה ועבדות) וכן </w:t>
      </w:r>
      <w:r w:rsidR="00481E38">
        <w:rPr>
          <w:rFonts w:hint="cs"/>
          <w:rtl/>
          <w:lang w:val="el-GR"/>
        </w:rPr>
        <w:t>ל</w:t>
      </w:r>
      <w:r w:rsidR="004730B9">
        <w:rPr>
          <w:rFonts w:hint="cs"/>
          <w:rtl/>
          <w:lang w:val="el-GR"/>
        </w:rPr>
        <w:t xml:space="preserve">דיני </w:t>
      </w:r>
      <w:r w:rsidR="001E3F70">
        <w:rPr>
          <w:rFonts w:hint="cs"/>
          <w:rtl/>
          <w:lang w:val="el-GR"/>
        </w:rPr>
        <w:t xml:space="preserve">מסחר וכיוצא בזה. בעניינים אלו המגע הריאלי בין היהודים ובין מערכות השלטון הרומי הכרחי, ומתוך כך גם צפויה התייחסות והשפעה. לעומת זאת, התחום </w:t>
      </w:r>
      <w:r w:rsidR="005F037E">
        <w:rPr>
          <w:rFonts w:hint="cs"/>
          <w:rtl/>
          <w:lang w:val="el-GR"/>
        </w:rPr>
        <w:t xml:space="preserve">של הקניין התיאורטי הוא לכאורה שאלה פנימית </w:t>
      </w:r>
      <w:r w:rsidR="00581303">
        <w:rPr>
          <w:rFonts w:hint="cs"/>
          <w:rtl/>
          <w:lang w:val="el-GR"/>
        </w:rPr>
        <w:t xml:space="preserve">של כל אחת מן המערכות </w:t>
      </w:r>
      <w:r w:rsidR="002A3AFF">
        <w:rPr>
          <w:rFonts w:hint="cs"/>
          <w:rtl/>
          <w:lang w:val="el-GR"/>
        </w:rPr>
        <w:t>ו</w:t>
      </w:r>
      <w:r w:rsidR="00581303">
        <w:rPr>
          <w:rFonts w:hint="cs"/>
          <w:rtl/>
          <w:lang w:val="el-GR"/>
        </w:rPr>
        <w:t xml:space="preserve">לא צפוי </w:t>
      </w:r>
      <w:r w:rsidR="002A3AFF">
        <w:rPr>
          <w:rFonts w:hint="cs"/>
          <w:rtl/>
          <w:lang w:val="el-GR"/>
        </w:rPr>
        <w:t>שיהיה בו</w:t>
      </w:r>
      <w:r w:rsidR="00581303">
        <w:rPr>
          <w:rFonts w:hint="cs"/>
          <w:rtl/>
          <w:lang w:val="el-GR"/>
        </w:rPr>
        <w:t xml:space="preserve"> מגע ביניהן.</w:t>
      </w:r>
      <w:r w:rsidR="005B1B1D">
        <w:rPr>
          <w:rStyle w:val="a6"/>
          <w:rtl/>
          <w:lang w:val="el-GR"/>
        </w:rPr>
        <w:footnoteReference w:id="62"/>
      </w:r>
      <w:r w:rsidR="00581303">
        <w:rPr>
          <w:rFonts w:hint="cs"/>
          <w:rtl/>
          <w:lang w:val="el-GR"/>
        </w:rPr>
        <w:t xml:space="preserve"> אך מדוגמה זו ניתן ללמוד על השפעה</w:t>
      </w:r>
      <w:r w:rsidR="00806194">
        <w:rPr>
          <w:rFonts w:hint="cs"/>
          <w:rtl/>
          <w:lang w:val="el-GR"/>
        </w:rPr>
        <w:t xml:space="preserve"> מפתיעה</w:t>
      </w:r>
      <w:r w:rsidR="00581303">
        <w:rPr>
          <w:rFonts w:hint="cs"/>
          <w:rtl/>
          <w:lang w:val="el-GR"/>
        </w:rPr>
        <w:t xml:space="preserve"> גם ברמות הללו.</w:t>
      </w:r>
      <w:r w:rsidR="001B6932">
        <w:rPr>
          <w:rFonts w:hint="cs"/>
          <w:rtl/>
          <w:lang w:val="el-GR"/>
        </w:rPr>
        <w:t xml:space="preserve"> </w:t>
      </w:r>
      <w:r w:rsidR="000426FE">
        <w:rPr>
          <w:rFonts w:hint="cs"/>
          <w:rtl/>
          <w:lang w:val="el-GR"/>
        </w:rPr>
        <w:t xml:space="preserve">לעיל הצעתי </w:t>
      </w:r>
      <w:r w:rsidR="00042B8C">
        <w:rPr>
          <w:rFonts w:hint="cs"/>
          <w:rtl/>
          <w:lang w:val="el-GR"/>
        </w:rPr>
        <w:t xml:space="preserve">את האפשרות שההשפעה קשורה לשותפות תיאורטית במושג </w:t>
      </w:r>
      <w:r w:rsidR="00042B8C" w:rsidRPr="00042B8C">
        <w:rPr>
          <w:i/>
          <w:iCs/>
        </w:rPr>
        <w:t>ius gentium</w:t>
      </w:r>
      <w:r w:rsidR="00042B8C">
        <w:rPr>
          <w:rFonts w:hint="cs"/>
          <w:rtl/>
        </w:rPr>
        <w:t>.</w:t>
      </w:r>
    </w:p>
    <w:p w14:paraId="712D1C24" w14:textId="5B89E5B9" w:rsidR="00392E33" w:rsidRPr="005D3DB4" w:rsidRDefault="00AD5F75" w:rsidP="005D3DB4">
      <w:pPr>
        <w:rPr>
          <w:rFonts w:hint="cs"/>
          <w:rtl/>
          <w:lang w:val="el-GR"/>
        </w:rPr>
      </w:pPr>
      <w:r>
        <w:rPr>
          <w:rFonts w:hint="cs"/>
          <w:rtl/>
          <w:lang w:val="el-GR"/>
        </w:rPr>
        <w:t>כל עוד מדובר בדוגמה בודדת קשה להסיק ממנה מסקנות כוללות.</w:t>
      </w:r>
      <w:r w:rsidR="009E1ACE">
        <w:rPr>
          <w:rFonts w:hint="cs"/>
          <w:rtl/>
          <w:lang w:val="el-GR"/>
        </w:rPr>
        <w:t xml:space="preserve"> מכל מקום, יש בדוגמה זו כדי להפנות את תשומת הלב המחקרית לכיוונים אלו, שיכולים להעשיר את </w:t>
      </w:r>
      <w:r w:rsidR="003233A3">
        <w:rPr>
          <w:rFonts w:hint="cs"/>
          <w:rtl/>
          <w:lang w:val="el-GR"/>
        </w:rPr>
        <w:t>מחקר</w:t>
      </w:r>
      <w:r w:rsidR="009E1ACE">
        <w:rPr>
          <w:rFonts w:hint="cs"/>
          <w:rtl/>
          <w:lang w:val="el-GR"/>
        </w:rPr>
        <w:t xml:space="preserve"> היחסים בין השלטון הרומי ותושבי הפרובינקיות.</w:t>
      </w:r>
      <w:r w:rsidR="0074773F">
        <w:rPr>
          <w:rFonts w:hint="cs"/>
          <w:rtl/>
          <w:lang w:val="el-GR"/>
        </w:rPr>
        <w:t xml:space="preserve"> </w:t>
      </w:r>
      <w:r w:rsidR="003C0E80">
        <w:rPr>
          <w:rFonts w:hint="cs"/>
          <w:rtl/>
        </w:rPr>
        <w:t>מעבר לתרומה של הדוגמה להבנת התפתחות החוק היהודי</w:t>
      </w:r>
      <w:r w:rsidR="0066130C">
        <w:rPr>
          <w:rFonts w:hint="cs"/>
          <w:rtl/>
        </w:rPr>
        <w:t xml:space="preserve"> באימפריה הרומית</w:t>
      </w:r>
      <w:r w:rsidR="003C0E80">
        <w:rPr>
          <w:rFonts w:hint="cs"/>
          <w:rtl/>
        </w:rPr>
        <w:t>, יש בה גם ל</w:t>
      </w:r>
      <w:r w:rsidR="002B4B9A">
        <w:rPr>
          <w:rFonts w:hint="cs"/>
          <w:rtl/>
        </w:rPr>
        <w:t>קח</w:t>
      </w:r>
      <w:r w:rsidR="003C0E80">
        <w:rPr>
          <w:rFonts w:hint="cs"/>
          <w:rtl/>
        </w:rPr>
        <w:t xml:space="preserve"> מתודולוגי. כפי שרואים פעם אחר פעם, השוואה של הספרות היהודית והספרות הרומית ללא עבודה פילולוגית מפספסת את העיקר. המחקר ההשוואתי מוכרח להתבסס ככל שניתן על </w:t>
      </w:r>
      <w:r w:rsidR="00D4071D">
        <w:rPr>
          <w:rFonts w:hint="cs"/>
          <w:rtl/>
        </w:rPr>
        <w:t>ביקורת המקורות</w:t>
      </w:r>
      <w:r w:rsidR="003C0E80">
        <w:rPr>
          <w:rFonts w:hint="cs"/>
          <w:rtl/>
        </w:rPr>
        <w:t xml:space="preserve"> ולשחזר את החוק גם ברמה הדיאכרונית. שחזור דיאכרוני של התפתחות החוק מאפשר השוואה של מגמות התפתחות, ולא רק של נתונים</w:t>
      </w:r>
      <w:r w:rsidR="007A3F6B">
        <w:rPr>
          <w:rFonts w:hint="cs"/>
          <w:rtl/>
        </w:rPr>
        <w:t xml:space="preserve"> קפואים</w:t>
      </w:r>
      <w:r w:rsidR="003C0E80">
        <w:rPr>
          <w:rFonts w:hint="cs"/>
          <w:rtl/>
        </w:rPr>
        <w:t xml:space="preserve">. </w:t>
      </w:r>
      <w:r w:rsidR="0066130C">
        <w:rPr>
          <w:rFonts w:hint="cs"/>
          <w:rtl/>
        </w:rPr>
        <w:t>באופן זה ה</w:t>
      </w:r>
      <w:r w:rsidR="000043D5">
        <w:rPr>
          <w:rFonts w:hint="cs"/>
          <w:rtl/>
        </w:rPr>
        <w:t>תמונה ה</w:t>
      </w:r>
      <w:r w:rsidR="007A3F6B">
        <w:rPr>
          <w:rFonts w:hint="cs"/>
          <w:rtl/>
        </w:rPr>
        <w:t>סטטית</w:t>
      </w:r>
      <w:r w:rsidR="000043D5">
        <w:rPr>
          <w:rFonts w:hint="cs"/>
          <w:rtl/>
        </w:rPr>
        <w:t xml:space="preserve"> של החוקים מונפשת והופכת למעין סרט, </w:t>
      </w:r>
      <w:r w:rsidR="00393681">
        <w:rPr>
          <w:rFonts w:hint="cs"/>
          <w:rtl/>
        </w:rPr>
        <w:t>וכך מעניקה משמעות חדשה לנתונים כולם.</w:t>
      </w:r>
    </w:p>
    <w:sectPr w:rsidR="00392E33" w:rsidRPr="005D3DB4" w:rsidSect="00597D4D">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5E19E" w14:textId="77777777" w:rsidR="00882D3A" w:rsidRDefault="00882D3A" w:rsidP="00D264C0">
      <w:pPr>
        <w:spacing w:after="0" w:line="240" w:lineRule="auto"/>
      </w:pPr>
      <w:r>
        <w:separator/>
      </w:r>
    </w:p>
  </w:endnote>
  <w:endnote w:type="continuationSeparator" w:id="0">
    <w:p w14:paraId="6BFA600C" w14:textId="77777777" w:rsidR="00882D3A" w:rsidRDefault="00882D3A" w:rsidP="00D26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111158132"/>
      <w:docPartObj>
        <w:docPartGallery w:val="Page Numbers (Bottom of Page)"/>
        <w:docPartUnique/>
      </w:docPartObj>
    </w:sdtPr>
    <w:sdtContent>
      <w:p w14:paraId="5C2C4185" w14:textId="38D783E1" w:rsidR="006E3DB3" w:rsidRDefault="006E3DB3">
        <w:pPr>
          <w:pStyle w:val="af"/>
          <w:jc w:val="right"/>
        </w:pPr>
        <w:r>
          <w:fldChar w:fldCharType="begin"/>
        </w:r>
        <w:r>
          <w:instrText>PAGE   \* MERGEFORMAT</w:instrText>
        </w:r>
        <w:r>
          <w:fldChar w:fldCharType="separate"/>
        </w:r>
        <w:r>
          <w:rPr>
            <w:rtl/>
            <w:lang w:val="he-IL"/>
          </w:rPr>
          <w:t>2</w:t>
        </w:r>
        <w:r>
          <w:fldChar w:fldCharType="end"/>
        </w:r>
      </w:p>
    </w:sdtContent>
  </w:sdt>
  <w:p w14:paraId="240F0955" w14:textId="77777777" w:rsidR="006E3DB3" w:rsidRDefault="006E3DB3">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C2DF9" w14:textId="77777777" w:rsidR="00882D3A" w:rsidRDefault="00882D3A" w:rsidP="00D264C0">
      <w:pPr>
        <w:spacing w:after="0" w:line="240" w:lineRule="auto"/>
      </w:pPr>
      <w:r>
        <w:separator/>
      </w:r>
    </w:p>
  </w:footnote>
  <w:footnote w:type="continuationSeparator" w:id="0">
    <w:p w14:paraId="058CAA25" w14:textId="77777777" w:rsidR="00882D3A" w:rsidRDefault="00882D3A" w:rsidP="00D264C0">
      <w:pPr>
        <w:spacing w:after="0" w:line="240" w:lineRule="auto"/>
      </w:pPr>
      <w:r>
        <w:continuationSeparator/>
      </w:r>
    </w:p>
  </w:footnote>
  <w:footnote w:id="1">
    <w:p w14:paraId="33EEC91F" w14:textId="06B9A7D5" w:rsidR="008505C7" w:rsidRPr="008F6020" w:rsidRDefault="008505C7">
      <w:pPr>
        <w:pStyle w:val="a4"/>
        <w:rPr>
          <w:rFonts w:hint="cs"/>
          <w:rtl/>
        </w:rPr>
      </w:pPr>
      <w:r>
        <w:rPr>
          <w:rStyle w:val="a6"/>
        </w:rPr>
        <w:footnoteRef/>
      </w:r>
      <w:r>
        <w:rPr>
          <w:rtl/>
        </w:rPr>
        <w:t xml:space="preserve"> </w:t>
      </w:r>
      <w:r>
        <w:rPr>
          <w:rFonts w:hint="cs"/>
          <w:rtl/>
        </w:rPr>
        <w:t xml:space="preserve">מבואות </w:t>
      </w:r>
      <w:r w:rsidR="00EE4377">
        <w:rPr>
          <w:rFonts w:hint="cs"/>
          <w:rtl/>
        </w:rPr>
        <w:t xml:space="preserve">היסטוריים וספרותיים </w:t>
      </w:r>
      <w:r>
        <w:rPr>
          <w:rFonts w:hint="cs"/>
          <w:rtl/>
        </w:rPr>
        <w:t>לחיבורים אלו</w:t>
      </w:r>
      <w:r w:rsidR="00CE2635">
        <w:rPr>
          <w:rFonts w:hint="cs"/>
          <w:rtl/>
        </w:rPr>
        <w:t>, ראו</w:t>
      </w:r>
      <w:r>
        <w:rPr>
          <w:rFonts w:hint="cs"/>
          <w:rtl/>
        </w:rPr>
        <w:t>:</w:t>
      </w:r>
      <w:r w:rsidR="00032195">
        <w:rPr>
          <w:rFonts w:hint="cs"/>
          <w:rtl/>
        </w:rPr>
        <w:t xml:space="preserve"> </w:t>
      </w:r>
      <w:r w:rsidR="001374DD">
        <w:t xml:space="preserve">S. </w:t>
      </w:r>
      <w:r w:rsidR="00032195" w:rsidRPr="00032195">
        <w:t>Safrai</w:t>
      </w:r>
      <w:r w:rsidR="001374DD">
        <w:t xml:space="preserve"> (ed.)</w:t>
      </w:r>
      <w:r w:rsidR="007F3D28">
        <w:t>,</w:t>
      </w:r>
      <w:r w:rsidR="00032195" w:rsidRPr="00032195">
        <w:t xml:space="preserve"> </w:t>
      </w:r>
      <w:r w:rsidR="00032195" w:rsidRPr="007F3D28">
        <w:rPr>
          <w:i/>
          <w:iCs/>
        </w:rPr>
        <w:t>The literature of the Sages, vol</w:t>
      </w:r>
      <w:r w:rsidR="007F3D28">
        <w:rPr>
          <w:i/>
          <w:iCs/>
        </w:rPr>
        <w:t>.</w:t>
      </w:r>
      <w:r w:rsidR="00032195" w:rsidRPr="007F3D28">
        <w:rPr>
          <w:i/>
          <w:iCs/>
        </w:rPr>
        <w:t xml:space="preserve"> 1</w:t>
      </w:r>
      <w:r w:rsidR="00EA000E">
        <w:t xml:space="preserve"> </w:t>
      </w:r>
      <w:r w:rsidR="00032195" w:rsidRPr="00032195">
        <w:t>(Compendia Rerum Iudaicarum ad Novum Testamentum 2/3a)</w:t>
      </w:r>
      <w:r w:rsidR="00EA000E">
        <w:t xml:space="preserve"> (</w:t>
      </w:r>
      <w:r w:rsidR="00FB541B" w:rsidRPr="00FB541B">
        <w:t>Assen</w:t>
      </w:r>
      <w:r w:rsidR="00FB541B">
        <w:t>, 1987)</w:t>
      </w:r>
      <w:r w:rsidR="00744917">
        <w:t xml:space="preserve">; </w:t>
      </w:r>
      <w:r w:rsidR="009341D8" w:rsidRPr="00371720">
        <w:t xml:space="preserve">H. L. Strack </w:t>
      </w:r>
      <w:r w:rsidR="009341D8">
        <w:t xml:space="preserve">and </w:t>
      </w:r>
      <w:r w:rsidR="009341D8" w:rsidRPr="007B7EDE">
        <w:t>Günter</w:t>
      </w:r>
      <w:r w:rsidR="009341D8" w:rsidRPr="000B4551">
        <w:t xml:space="preserve"> Stemberger</w:t>
      </w:r>
      <w:r w:rsidR="009341D8">
        <w:t xml:space="preserve">, </w:t>
      </w:r>
      <w:r w:rsidR="009341D8" w:rsidRPr="000C5156">
        <w:rPr>
          <w:i/>
          <w:iCs/>
        </w:rPr>
        <w:t>Introduction to the Talmud and Midrash</w:t>
      </w:r>
      <w:r w:rsidR="009341D8">
        <w:t>, Translated and edited by Markus Bockmuehl (</w:t>
      </w:r>
      <w:r w:rsidR="009341D8" w:rsidRPr="00FA3594">
        <w:t>Minneapolis</w:t>
      </w:r>
      <w:r w:rsidR="009341D8">
        <w:t>, 1996)</w:t>
      </w:r>
      <w:r w:rsidR="00EE4377">
        <w:rPr>
          <w:rFonts w:hint="cs"/>
          <w:rtl/>
        </w:rPr>
        <w:t>.</w:t>
      </w:r>
    </w:p>
  </w:footnote>
  <w:footnote w:id="2">
    <w:p w14:paraId="206B6AB0" w14:textId="50027C7B" w:rsidR="006160FE" w:rsidRPr="00A05077" w:rsidRDefault="006160FE" w:rsidP="007B555E">
      <w:pPr>
        <w:pStyle w:val="a4"/>
        <w:rPr>
          <w:rtl/>
        </w:rPr>
      </w:pPr>
      <w:r>
        <w:rPr>
          <w:rStyle w:val="a6"/>
        </w:rPr>
        <w:footnoteRef/>
      </w:r>
      <w:r>
        <w:rPr>
          <w:rtl/>
        </w:rPr>
        <w:t xml:space="preserve"> </w:t>
      </w:r>
      <w:r>
        <w:rPr>
          <w:rFonts w:hint="cs"/>
          <w:rtl/>
        </w:rPr>
        <w:t xml:space="preserve">תיאור היסטורי של חקר יחסי המשפט הרומי והיהודי ראו: </w:t>
      </w:r>
      <w:r w:rsidR="009341D8" w:rsidRPr="009341D8">
        <w:t>B</w:t>
      </w:r>
      <w:r w:rsidR="002921ED">
        <w:t>oaz</w:t>
      </w:r>
      <w:r w:rsidR="009341D8">
        <w:t xml:space="preserve"> </w:t>
      </w:r>
      <w:r w:rsidR="009341D8" w:rsidRPr="009341D8">
        <w:t>Cohen</w:t>
      </w:r>
      <w:r w:rsidR="00176037">
        <w:t>,</w:t>
      </w:r>
      <w:r w:rsidR="009341D8" w:rsidRPr="009341D8">
        <w:t xml:space="preserve"> </w:t>
      </w:r>
      <w:r w:rsidR="009341D8" w:rsidRPr="00176037">
        <w:rPr>
          <w:i/>
          <w:iCs/>
        </w:rPr>
        <w:t>Jewish and Roman law: A comparative survey</w:t>
      </w:r>
      <w:r w:rsidR="009341D8" w:rsidRPr="009341D8">
        <w:t xml:space="preserve"> </w:t>
      </w:r>
      <w:r w:rsidR="00703BBE">
        <w:t>(</w:t>
      </w:r>
      <w:r w:rsidR="009341D8" w:rsidRPr="009341D8">
        <w:t>New York</w:t>
      </w:r>
      <w:r w:rsidR="00703BBE">
        <w:t>, 1966),</w:t>
      </w:r>
      <w:r w:rsidR="00BB621A">
        <w:t xml:space="preserve"> </w:t>
      </w:r>
      <w:r w:rsidR="00232F20">
        <w:t>1</w:t>
      </w:r>
      <w:r w:rsidR="00B43256">
        <w:t>–14</w:t>
      </w:r>
      <w:r w:rsidR="008F2964">
        <w:t xml:space="preserve">; </w:t>
      </w:r>
      <w:r w:rsidR="002921ED" w:rsidRPr="002921ED">
        <w:t>Jay M.</w:t>
      </w:r>
      <w:r w:rsidR="002921ED">
        <w:t xml:space="preserve"> </w:t>
      </w:r>
      <w:r w:rsidR="002921ED" w:rsidRPr="002921ED">
        <w:t xml:space="preserve">Harris, </w:t>
      </w:r>
      <w:r w:rsidR="004F5DEF">
        <w:t>'</w:t>
      </w:r>
      <w:r w:rsidR="002921ED" w:rsidRPr="002921ED">
        <w:t>Fitting In or Sticking Out: Constructs of the Relationship of Jewish and Roman law in the Nineteenth Century</w:t>
      </w:r>
      <w:r w:rsidR="004F5DEF">
        <w:t>', in</w:t>
      </w:r>
      <w:r w:rsidR="00CF1956">
        <w:t xml:space="preserve"> </w:t>
      </w:r>
      <w:r w:rsidR="00CF1956" w:rsidRPr="00CF1956">
        <w:t xml:space="preserve">Hayim Lapin </w:t>
      </w:r>
      <w:r w:rsidR="00CF1956">
        <w:t>&amp;</w:t>
      </w:r>
      <w:r w:rsidR="00CF1956" w:rsidRPr="00CF1956">
        <w:t xml:space="preserve"> Dale Martin</w:t>
      </w:r>
      <w:r w:rsidR="00CF1956">
        <w:t xml:space="preserve"> (eds.)</w:t>
      </w:r>
      <w:r w:rsidR="00AF294B">
        <w:t>,</w:t>
      </w:r>
      <w:r w:rsidR="00694739">
        <w:t xml:space="preserve"> </w:t>
      </w:r>
      <w:r w:rsidR="002921ED" w:rsidRPr="00AF294B">
        <w:rPr>
          <w:i/>
          <w:iCs/>
        </w:rPr>
        <w:t>Jews, Antiquity and the Nineteenth Century Imagination</w:t>
      </w:r>
      <w:r w:rsidR="002921ED" w:rsidRPr="002921ED">
        <w:t xml:space="preserve"> </w:t>
      </w:r>
      <w:r w:rsidR="00287A30">
        <w:t>(</w:t>
      </w:r>
      <w:r w:rsidR="002921ED" w:rsidRPr="002921ED">
        <w:t>Bethesda/Md</w:t>
      </w:r>
      <w:r w:rsidR="00287A30">
        <w:t xml:space="preserve">, </w:t>
      </w:r>
      <w:r w:rsidR="002921ED" w:rsidRPr="002921ED">
        <w:t>2003</w:t>
      </w:r>
      <w:r w:rsidR="00287A30">
        <w:t>)</w:t>
      </w:r>
      <w:r w:rsidR="00675D41" w:rsidRPr="002921ED">
        <w:rPr>
          <w:rtl/>
        </w:rPr>
        <w:t xml:space="preserve"> </w:t>
      </w:r>
      <w:r w:rsidR="002921ED" w:rsidRPr="002921ED">
        <w:rPr>
          <w:rtl/>
        </w:rPr>
        <w:t>‏</w:t>
      </w:r>
      <w:r w:rsidR="00E27305">
        <w:rPr>
          <w:rFonts w:hint="cs"/>
          <w:rtl/>
          <w:lang w:val="el-GR"/>
        </w:rPr>
        <w:t>.</w:t>
      </w:r>
      <w:r w:rsidR="00CE2635">
        <w:rPr>
          <w:rFonts w:hint="cs"/>
          <w:rtl/>
          <w:lang w:val="el-GR"/>
        </w:rPr>
        <w:t xml:space="preserve"> </w:t>
      </w:r>
      <w:r w:rsidR="004B161C">
        <w:rPr>
          <w:rFonts w:hint="cs"/>
          <w:rtl/>
        </w:rPr>
        <w:t xml:space="preserve">בדור שאחרי כהן יש להזכיר בעיקר את המחקרים הרבים של </w:t>
      </w:r>
      <w:r w:rsidR="004B161C">
        <w:rPr>
          <w:rFonts w:hint="cs"/>
        </w:rPr>
        <w:t>D</w:t>
      </w:r>
      <w:r w:rsidR="004B161C">
        <w:t>avid Daube</w:t>
      </w:r>
      <w:r w:rsidR="00366678">
        <w:t>, Reuven Yaron</w:t>
      </w:r>
      <w:r w:rsidR="004B161C">
        <w:t xml:space="preserve"> and Bernard Jackson</w:t>
      </w:r>
      <w:r w:rsidR="004B161C">
        <w:rPr>
          <w:rFonts w:hint="cs"/>
          <w:rtl/>
          <w:lang w:val="el-GR"/>
        </w:rPr>
        <w:t xml:space="preserve">. בעשורים האחרונים יש פריחה חדשה בתחום. </w:t>
      </w:r>
      <w:r w:rsidR="00A05077">
        <w:rPr>
          <w:rFonts w:hint="cs"/>
          <w:rtl/>
        </w:rPr>
        <w:t xml:space="preserve">יחד עם זאת, בדור האחרון הושמעו גם ביקורות חריפות שטענו </w:t>
      </w:r>
      <w:r w:rsidR="0056780E">
        <w:rPr>
          <w:rFonts w:hint="cs"/>
          <w:rtl/>
        </w:rPr>
        <w:t>שההשפעה הרומית על ההלכה היהודית זניחה או לא קיימת.</w:t>
      </w:r>
      <w:r w:rsidR="00BA7D28">
        <w:rPr>
          <w:rFonts w:hint="cs"/>
          <w:rtl/>
        </w:rPr>
        <w:t xml:space="preserve"> ראו למשל: </w:t>
      </w:r>
      <w:r w:rsidR="003A5204" w:rsidRPr="003A5204">
        <w:t xml:space="preserve">I. Rosen-Zvi, </w:t>
      </w:r>
      <w:r w:rsidR="003A5204">
        <w:t>'</w:t>
      </w:r>
      <w:r w:rsidR="003A5204" w:rsidRPr="003A5204">
        <w:t>Is the Mishnah a Roman Composition?</w:t>
      </w:r>
      <w:r w:rsidR="003A5204">
        <w:t>'</w:t>
      </w:r>
      <w:r w:rsidR="003A5204" w:rsidRPr="003A5204">
        <w:t>, in C. Hayes</w:t>
      </w:r>
      <w:r w:rsidR="00CA2F44">
        <w:t xml:space="preserve"> et al.</w:t>
      </w:r>
      <w:r w:rsidR="003A5204" w:rsidRPr="003A5204">
        <w:t xml:space="preserve"> (ed</w:t>
      </w:r>
      <w:r w:rsidR="00CA2F44">
        <w:t>s</w:t>
      </w:r>
      <w:r w:rsidR="003A5204" w:rsidRPr="003A5204">
        <w:t xml:space="preserve">.), </w:t>
      </w:r>
      <w:r w:rsidR="003A5204" w:rsidRPr="00CA2F44">
        <w:rPr>
          <w:i/>
          <w:iCs/>
        </w:rPr>
        <w:t>The Faces of Torah: Studies in the Texts and Contexts of Ancient Judaism in Honor of Steven Fraade</w:t>
      </w:r>
      <w:r w:rsidR="00FF6F50">
        <w:t xml:space="preserve"> (</w:t>
      </w:r>
      <w:r w:rsidR="003A5204" w:rsidRPr="003A5204">
        <w:t>Göttingen,</w:t>
      </w:r>
      <w:r w:rsidR="00FF6F50">
        <w:t xml:space="preserve"> </w:t>
      </w:r>
      <w:r w:rsidR="003A5204" w:rsidRPr="003A5204">
        <w:t>2017</w:t>
      </w:r>
      <w:r w:rsidR="00FF6F50">
        <w:t>)</w:t>
      </w:r>
      <w:r w:rsidR="00BA7D28">
        <w:rPr>
          <w:rFonts w:hint="cs"/>
          <w:rtl/>
        </w:rPr>
        <w:t>.</w:t>
      </w:r>
      <w:r w:rsidR="00D02A0E">
        <w:rPr>
          <w:rFonts w:hint="cs"/>
          <w:rtl/>
        </w:rPr>
        <w:t xml:space="preserve"> בעקבות ביקורות אלו נדרשו החוקרים ל</w:t>
      </w:r>
      <w:r w:rsidR="00BB0DFB">
        <w:rPr>
          <w:rFonts w:hint="cs"/>
          <w:rtl/>
        </w:rPr>
        <w:t xml:space="preserve">פתח </w:t>
      </w:r>
      <w:r w:rsidR="00D02A0E">
        <w:rPr>
          <w:rFonts w:hint="cs"/>
          <w:rtl/>
        </w:rPr>
        <w:t xml:space="preserve">מתודות </w:t>
      </w:r>
      <w:r w:rsidR="00BB0DFB">
        <w:rPr>
          <w:rFonts w:hint="cs"/>
          <w:rtl/>
        </w:rPr>
        <w:t xml:space="preserve">חדשות כדי לזהות את מוקדי ההשפעה הרומית. </w:t>
      </w:r>
      <w:r w:rsidR="0056780E">
        <w:rPr>
          <w:rFonts w:hint="cs"/>
          <w:rtl/>
        </w:rPr>
        <w:t xml:space="preserve">המקורות העיקריים </w:t>
      </w:r>
      <w:r w:rsidR="000A1A52">
        <w:rPr>
          <w:rFonts w:hint="cs"/>
          <w:rtl/>
        </w:rPr>
        <w:t xml:space="preserve">לפולמוס זה בדור האחרון </w:t>
      </w:r>
      <w:r w:rsidR="0056780E">
        <w:rPr>
          <w:rFonts w:hint="cs"/>
          <w:rtl/>
        </w:rPr>
        <w:t xml:space="preserve">נאספו אצל </w:t>
      </w:r>
      <w:r w:rsidR="009C0BC7">
        <w:t xml:space="preserve">Orit </w:t>
      </w:r>
      <w:r w:rsidR="0056780E">
        <w:t>Malka</w:t>
      </w:r>
      <w:r w:rsidR="009C0BC7">
        <w:t xml:space="preserve"> </w:t>
      </w:r>
      <w:r w:rsidR="007B555E">
        <w:t>&amp; Yakir Paz, '</w:t>
      </w:r>
      <w:r w:rsidR="007B555E" w:rsidRPr="007B555E">
        <w:rPr>
          <w:i/>
          <w:iCs/>
        </w:rPr>
        <w:t>In Civitate</w:t>
      </w:r>
      <w:r w:rsidR="007B555E">
        <w:rPr>
          <w:i/>
          <w:iCs/>
        </w:rPr>
        <w:t>:</w:t>
      </w:r>
      <w:r w:rsidR="007B555E">
        <w:t xml:space="preserve"> Captivity and Inheritance in Tannaitic Halakha in Light of Roman Law'</w:t>
      </w:r>
      <w:r w:rsidR="00AD291F">
        <w:t xml:space="preserve"> </w:t>
      </w:r>
      <w:r w:rsidR="007B555E" w:rsidRPr="007B555E">
        <w:t>(</w:t>
      </w:r>
      <w:r w:rsidR="00AD291F" w:rsidRPr="007B555E">
        <w:t>forth</w:t>
      </w:r>
      <w:r w:rsidR="00D02A0E" w:rsidRPr="007B555E">
        <w:t>coming</w:t>
      </w:r>
      <w:r w:rsidR="007B555E" w:rsidRPr="007B555E">
        <w:t>)</w:t>
      </w:r>
      <w:r w:rsidR="00D02A0E">
        <w:rPr>
          <w:rFonts w:hint="cs"/>
          <w:rtl/>
        </w:rPr>
        <w:t>.</w:t>
      </w:r>
      <w:r w:rsidR="000A4EB0">
        <w:rPr>
          <w:rFonts w:hint="cs"/>
          <w:rtl/>
        </w:rPr>
        <w:t xml:space="preserve"> ראו גם: </w:t>
      </w:r>
      <w:r w:rsidR="007B555E">
        <w:t xml:space="preserve">K. </w:t>
      </w:r>
      <w:r w:rsidR="007B555E" w:rsidRPr="007B555E">
        <w:t>Berthelot</w:t>
      </w:r>
      <w:r w:rsidR="007B555E">
        <w:t xml:space="preserve">, </w:t>
      </w:r>
      <w:r w:rsidR="007B555E" w:rsidRPr="007B555E">
        <w:rPr>
          <w:i/>
          <w:iCs/>
        </w:rPr>
        <w:t>Jews and Their Roman Rivals: Pagan Rome's Challenge to Israel</w:t>
      </w:r>
      <w:r w:rsidR="007B555E">
        <w:t xml:space="preserve"> (</w:t>
      </w:r>
      <w:r w:rsidR="007B555E" w:rsidRPr="007B555E">
        <w:t>Princeton</w:t>
      </w:r>
      <w:r w:rsidR="005955CE">
        <w:t>, 2021)</w:t>
      </w:r>
      <w:r w:rsidR="00753795">
        <w:t xml:space="preserve">, </w:t>
      </w:r>
      <w:r w:rsidR="004E10EC">
        <w:t xml:space="preserve">276–85; </w:t>
      </w:r>
      <w:r w:rsidR="000060FC" w:rsidRPr="000060FC">
        <w:t>Catherine Hezser,</w:t>
      </w:r>
      <w:r w:rsidR="000060FC">
        <w:t xml:space="preserve"> '</w:t>
      </w:r>
      <w:r w:rsidR="000060FC" w:rsidRPr="000060FC">
        <w:t>The Mishnah and Roman Law: A Rabbinic Compilation of ius civile for the Jewish civitas of the Land of Israel under Roman Law</w:t>
      </w:r>
      <w:r w:rsidR="000060FC">
        <w:t xml:space="preserve">', </w:t>
      </w:r>
      <w:r w:rsidR="00FC2C4D">
        <w:t>i</w:t>
      </w:r>
      <w:r w:rsidR="00FC2C4D" w:rsidRPr="00FC2C4D">
        <w:t>n Shaye J.D</w:t>
      </w:r>
      <w:r w:rsidR="00897527">
        <w:t xml:space="preserve">. </w:t>
      </w:r>
      <w:r w:rsidR="00FC2C4D" w:rsidRPr="00FC2C4D">
        <w:t xml:space="preserve">Cohen (ed.), </w:t>
      </w:r>
      <w:r w:rsidR="00FC2C4D" w:rsidRPr="00897527">
        <w:rPr>
          <w:i/>
          <w:iCs/>
        </w:rPr>
        <w:t>What is the Mishnah? The State of the Question</w:t>
      </w:r>
      <w:r w:rsidR="00897527">
        <w:t xml:space="preserve"> (</w:t>
      </w:r>
      <w:r w:rsidR="00FC2C4D" w:rsidRPr="00FC2C4D">
        <w:t>Cambridge MA</w:t>
      </w:r>
      <w:r w:rsidR="00897527">
        <w:t>, 2023)</w:t>
      </w:r>
      <w:r w:rsidR="0025187B">
        <w:t>;</w:t>
      </w:r>
      <w:r w:rsidR="004E0D2A">
        <w:t xml:space="preserve"> </w:t>
      </w:r>
      <w:r w:rsidR="00BF48B7" w:rsidRPr="00BF48B7">
        <w:t>Y</w:t>
      </w:r>
      <w:r w:rsidR="006200AF">
        <w:t>air</w:t>
      </w:r>
      <w:r w:rsidR="00BF48B7">
        <w:t xml:space="preserve"> </w:t>
      </w:r>
      <w:r w:rsidR="00BF48B7" w:rsidRPr="00BF48B7">
        <w:t xml:space="preserve">Furstenberg, </w:t>
      </w:r>
      <w:r w:rsidR="00BF48B7">
        <w:t>'</w:t>
      </w:r>
      <w:r w:rsidR="00BF48B7" w:rsidRPr="00BF48B7">
        <w:t>The Rabbinic Movement from Pharisees to Provincial Jurists</w:t>
      </w:r>
      <w:r w:rsidR="00BF48B7">
        <w:t>'</w:t>
      </w:r>
      <w:r w:rsidR="00BF48B7" w:rsidRPr="00BF48B7">
        <w:t>,</w:t>
      </w:r>
      <w:r w:rsidR="00BF48B7" w:rsidRPr="00BF48B7">
        <w:rPr>
          <w:i/>
          <w:iCs/>
        </w:rPr>
        <w:t xml:space="preserve"> Journal for the Study of Judaism</w:t>
      </w:r>
      <w:r w:rsidR="006C7AE3">
        <w:t>, 54</w:t>
      </w:r>
      <w:r w:rsidR="00BF48B7" w:rsidRPr="00BF48B7">
        <w:t xml:space="preserve"> (published online ahead of print 2023)</w:t>
      </w:r>
      <w:r w:rsidR="00E5370E">
        <w:rPr>
          <w:rFonts w:hint="cs"/>
          <w:rtl/>
        </w:rPr>
        <w:t xml:space="preserve">. </w:t>
      </w:r>
      <w:r w:rsidR="00DB0DEB">
        <w:rPr>
          <w:rFonts w:hint="cs"/>
          <w:rtl/>
        </w:rPr>
        <w:t xml:space="preserve">אוספים נרחבים של הקבלות בין החוק הרומי והספרות הרבנית ראו: </w:t>
      </w:r>
      <w:r w:rsidR="00380F6A" w:rsidRPr="009341D8">
        <w:t>Cohen</w:t>
      </w:r>
      <w:r w:rsidR="00380F6A">
        <w:t>,</w:t>
      </w:r>
      <w:r w:rsidR="00380F6A" w:rsidRPr="009341D8">
        <w:t xml:space="preserve"> </w:t>
      </w:r>
      <w:r w:rsidR="00380F6A" w:rsidRPr="00176037">
        <w:rPr>
          <w:i/>
          <w:iCs/>
        </w:rPr>
        <w:t>Jewish and Roman law</w:t>
      </w:r>
      <w:r w:rsidR="00DB0DEB">
        <w:t xml:space="preserve">; </w:t>
      </w:r>
      <w:r w:rsidR="004A3907" w:rsidRPr="004A3907">
        <w:t xml:space="preserve">B. S. Jackson, </w:t>
      </w:r>
      <w:r w:rsidR="00124FCE">
        <w:t>'</w:t>
      </w:r>
      <w:r w:rsidR="004A3907" w:rsidRPr="004A3907">
        <w:t>On the Problem of Roman Influence on the Halakah and Normative Self-Definition in Judaism</w:t>
      </w:r>
      <w:r w:rsidR="00124FCE">
        <w:t>'</w:t>
      </w:r>
      <w:r w:rsidR="004A3907" w:rsidRPr="004A3907">
        <w:t>, in E. P. Sanders</w:t>
      </w:r>
      <w:r w:rsidR="005E16E4" w:rsidRPr="005E16E4">
        <w:t xml:space="preserve"> </w:t>
      </w:r>
      <w:r w:rsidR="009360BE">
        <w:t>et al.</w:t>
      </w:r>
      <w:r w:rsidR="004A3907" w:rsidRPr="004A3907">
        <w:t xml:space="preserve"> (eds.), </w:t>
      </w:r>
      <w:r w:rsidR="004A3907" w:rsidRPr="00124FCE">
        <w:rPr>
          <w:i/>
          <w:iCs/>
        </w:rPr>
        <w:t>Jewish and Christian Self-Definition</w:t>
      </w:r>
      <w:r w:rsidR="006772F1">
        <w:rPr>
          <w:i/>
          <w:iCs/>
        </w:rPr>
        <w:t xml:space="preserve"> </w:t>
      </w:r>
      <w:r w:rsidR="006772F1" w:rsidRPr="007F12EC">
        <w:rPr>
          <w:i/>
          <w:iCs/>
        </w:rPr>
        <w:t>II</w:t>
      </w:r>
      <w:r w:rsidR="007F12EC" w:rsidRPr="007F12EC">
        <w:rPr>
          <w:i/>
          <w:iCs/>
        </w:rPr>
        <w:t>, Aspects of Judaism in the Greco Roman Period</w:t>
      </w:r>
      <w:r w:rsidR="00F4292E">
        <w:t xml:space="preserve"> </w:t>
      </w:r>
      <w:r w:rsidR="00124FCE">
        <w:t>(</w:t>
      </w:r>
      <w:r w:rsidR="00CF2596">
        <w:t>Philadelphia</w:t>
      </w:r>
      <w:r w:rsidR="00124FCE">
        <w:t>,</w:t>
      </w:r>
      <w:r w:rsidR="004A3907" w:rsidRPr="004A3907">
        <w:t xml:space="preserve"> 198</w:t>
      </w:r>
      <w:r w:rsidR="00820ADC">
        <w:t>1</w:t>
      </w:r>
      <w:r w:rsidR="00124FCE">
        <w:t>)</w:t>
      </w:r>
      <w:r w:rsidR="00DB0DEB">
        <w:rPr>
          <w:rFonts w:hint="cs"/>
          <w:rtl/>
        </w:rPr>
        <w:t xml:space="preserve">. </w:t>
      </w:r>
      <w:r w:rsidR="004306D2">
        <w:rPr>
          <w:rFonts w:hint="cs"/>
          <w:rtl/>
        </w:rPr>
        <w:t xml:space="preserve">פורסטנברג בנה מסד נתונים שמרכז את ההשוואות בין החוק הרומי וההלכה התנאית </w:t>
      </w:r>
      <w:r w:rsidR="004306D2">
        <w:t>(ISF grant, 1026/18)</w:t>
      </w:r>
      <w:r w:rsidR="004306D2">
        <w:rPr>
          <w:rFonts w:hint="cs"/>
          <w:rtl/>
        </w:rPr>
        <w:t>. מסד הנתונים מצוי במצב מתקדם והוא צפוי לעמוד בקרוב לרשות ציבור החוקרים.</w:t>
      </w:r>
    </w:p>
  </w:footnote>
  <w:footnote w:id="3">
    <w:p w14:paraId="6016D9C7" w14:textId="1FECB310" w:rsidR="00225D6A" w:rsidRDefault="00225D6A">
      <w:pPr>
        <w:pStyle w:val="a4"/>
        <w:rPr>
          <w:rtl/>
        </w:rPr>
      </w:pPr>
      <w:r>
        <w:rPr>
          <w:rStyle w:val="a6"/>
        </w:rPr>
        <w:footnoteRef/>
      </w:r>
      <w:r>
        <w:rPr>
          <w:rtl/>
        </w:rPr>
        <w:t xml:space="preserve"> </w:t>
      </w:r>
      <w:r w:rsidR="00172BD3">
        <w:rPr>
          <w:rFonts w:hint="cs"/>
          <w:rtl/>
        </w:rPr>
        <w:t>לשם הדגמה ראו את שני הקבצים העשירים שמתייחסים לחוק הרומי ולהלכה:</w:t>
      </w:r>
      <w:r w:rsidR="00FA35B5">
        <w:rPr>
          <w:rFonts w:hint="cs"/>
          <w:rtl/>
        </w:rPr>
        <w:t xml:space="preserve"> </w:t>
      </w:r>
      <w:r w:rsidR="00656D3D" w:rsidRPr="00656D3D">
        <w:t xml:space="preserve">Catherine Hezser (ed.), </w:t>
      </w:r>
      <w:r w:rsidR="00656D3D" w:rsidRPr="00656D3D">
        <w:rPr>
          <w:i/>
          <w:iCs/>
        </w:rPr>
        <w:t>Rabbinic Law in its Roman and Near Eastern Context</w:t>
      </w:r>
      <w:r w:rsidR="00656D3D" w:rsidRPr="00656D3D">
        <w:t xml:space="preserve"> (Tübingen, 2003)</w:t>
      </w:r>
      <w:r w:rsidR="00D84B9E">
        <w:t xml:space="preserve">; </w:t>
      </w:r>
      <w:r w:rsidR="00ED3A94">
        <w:t xml:space="preserve">K. </w:t>
      </w:r>
      <w:r w:rsidR="00ED3A94" w:rsidRPr="00F305FB">
        <w:t>Berthelot</w:t>
      </w:r>
      <w:r w:rsidR="00ED3A94">
        <w:t xml:space="preserve"> et al.</w:t>
      </w:r>
      <w:r w:rsidR="00ED3A94" w:rsidRPr="00F305FB">
        <w:t xml:space="preserve"> (Eds.), </w:t>
      </w:r>
      <w:r w:rsidR="00ED3A94" w:rsidRPr="00F305FB">
        <w:rPr>
          <w:i/>
          <w:iCs/>
        </w:rPr>
        <w:t>Legal engagement: The reception of Roman law and tribunals by Jews and other inhabitants of the Empire</w:t>
      </w:r>
      <w:r w:rsidR="00C9269B">
        <w:t xml:space="preserve"> (</w:t>
      </w:r>
      <w:r w:rsidR="00ED3A94" w:rsidRPr="00F305FB">
        <w:t>Rome</w:t>
      </w:r>
      <w:r w:rsidR="00C9269B">
        <w:t>, 2021)</w:t>
      </w:r>
      <w:r w:rsidR="00D84B9E">
        <w:rPr>
          <w:rFonts w:hint="cs"/>
          <w:rtl/>
        </w:rPr>
        <w:t xml:space="preserve"> ובמיוחד בהקדמות לקבצים אלו. </w:t>
      </w:r>
    </w:p>
  </w:footnote>
  <w:footnote w:id="4">
    <w:p w14:paraId="34ED2CB2" w14:textId="690275C4" w:rsidR="00454C68" w:rsidRDefault="00454C68">
      <w:pPr>
        <w:pStyle w:val="a4"/>
        <w:rPr>
          <w:rFonts w:hint="cs"/>
          <w:rtl/>
        </w:rPr>
      </w:pPr>
      <w:r>
        <w:rPr>
          <w:rStyle w:val="a6"/>
        </w:rPr>
        <w:footnoteRef/>
      </w:r>
      <w:r>
        <w:rPr>
          <w:rtl/>
        </w:rPr>
        <w:t xml:space="preserve"> </w:t>
      </w:r>
      <w:r w:rsidR="00792992">
        <w:rPr>
          <w:rFonts w:hint="cs"/>
          <w:rtl/>
        </w:rPr>
        <w:t>הספרות על כך רחבה מאד. כמה מקורות עדכניים יחסית שמתייחסים גם להיסטוריה של המחקר ראו:</w:t>
      </w:r>
      <w:r w:rsidR="00DD2BFF">
        <w:rPr>
          <w:rFonts w:hint="cs"/>
          <w:rtl/>
        </w:rPr>
        <w:t xml:space="preserve"> </w:t>
      </w:r>
      <w:r w:rsidR="00C64193" w:rsidRPr="00C64193">
        <w:t xml:space="preserve">Caroline Humfress, ‘Thinking Through Legal Pluralism: “Forum Shopping” in the Later Roman Empire’, in Jeroen Duindam et al. (eds.), </w:t>
      </w:r>
      <w:r w:rsidR="00C64193" w:rsidRPr="00DF6ABB">
        <w:rPr>
          <w:i/>
          <w:iCs/>
        </w:rPr>
        <w:t>Law and Empire: Ideas, Practices, Actors</w:t>
      </w:r>
      <w:r w:rsidR="00C64193" w:rsidRPr="00C64193">
        <w:t xml:space="preserve"> (Leiden, 2013)</w:t>
      </w:r>
      <w:r w:rsidR="00D233C1">
        <w:t>;</w:t>
      </w:r>
      <w:r w:rsidR="00E721EE">
        <w:t xml:space="preserve"> </w:t>
      </w:r>
      <w:r w:rsidR="00DF6ABB" w:rsidRPr="00DF6ABB">
        <w:t xml:space="preserve">José Luis Alonso, ‘The Status of Peregrine Law in Egypt: “Customary Law” and Legal Pluralism in the Roman Empire’, </w:t>
      </w:r>
      <w:r w:rsidR="00DF6ABB" w:rsidRPr="00DF6ABB">
        <w:rPr>
          <w:i/>
          <w:iCs/>
        </w:rPr>
        <w:t>Journal of Juristic Papyrology</w:t>
      </w:r>
      <w:r w:rsidR="00DF6ABB" w:rsidRPr="00DF6ABB">
        <w:t>, xliii</w:t>
      </w:r>
      <w:r w:rsidR="008B60AD">
        <w:t xml:space="preserve"> (2013)</w:t>
      </w:r>
      <w:r w:rsidR="00E721EE">
        <w:t>;</w:t>
      </w:r>
      <w:r w:rsidR="000C02B2" w:rsidRPr="000C02B2">
        <w:t xml:space="preserve"> </w:t>
      </w:r>
      <w:r w:rsidR="009F64BA">
        <w:t xml:space="preserve">Clifford </w:t>
      </w:r>
      <w:r w:rsidR="000C02B2" w:rsidRPr="000C02B2">
        <w:t>Ando</w:t>
      </w:r>
      <w:r w:rsidR="00155565">
        <w:t>,</w:t>
      </w:r>
      <w:r w:rsidR="000C02B2" w:rsidRPr="000C02B2">
        <w:t xml:space="preserve"> </w:t>
      </w:r>
      <w:r w:rsidR="009F64BA">
        <w:t>'</w:t>
      </w:r>
      <w:r w:rsidR="000C02B2" w:rsidRPr="000C02B2">
        <w:t>Legal pluralism in practice</w:t>
      </w:r>
      <w:r w:rsidR="009F64BA" w:rsidRPr="009F64BA">
        <w:t>’, in Paul J. du Plessis</w:t>
      </w:r>
      <w:r w:rsidR="00155565">
        <w:t xml:space="preserve"> et al.</w:t>
      </w:r>
      <w:r w:rsidR="009F64BA" w:rsidRPr="009F64BA">
        <w:t xml:space="preserve"> (eds.), </w:t>
      </w:r>
      <w:r w:rsidR="009F64BA" w:rsidRPr="00155565">
        <w:rPr>
          <w:i/>
          <w:iCs/>
        </w:rPr>
        <w:t>The Oxford Handbook of Roman Law and Society</w:t>
      </w:r>
      <w:r w:rsidR="009F64BA" w:rsidRPr="009F64BA">
        <w:t xml:space="preserve"> (Oxford, 2016)</w:t>
      </w:r>
      <w:r w:rsidR="00DD2BFF">
        <w:t xml:space="preserve">; </w:t>
      </w:r>
      <w:r w:rsidR="00CA308B">
        <w:t xml:space="preserve">Kimberley </w:t>
      </w:r>
      <w:r w:rsidR="00F87B1A" w:rsidRPr="00F87B1A">
        <w:t>Czajkowski,</w:t>
      </w:r>
      <w:r w:rsidR="00CA308B">
        <w:t xml:space="preserve"> '</w:t>
      </w:r>
      <w:r w:rsidR="00F87B1A" w:rsidRPr="00F87B1A">
        <w:t>The limits of legal pluralism in the Roman Empire</w:t>
      </w:r>
      <w:r w:rsidR="00CA308B">
        <w:t>',</w:t>
      </w:r>
      <w:r w:rsidR="00F87B1A" w:rsidRPr="00F87B1A">
        <w:t xml:space="preserve"> </w:t>
      </w:r>
      <w:r w:rsidR="00F87B1A" w:rsidRPr="00CA308B">
        <w:rPr>
          <w:i/>
          <w:iCs/>
        </w:rPr>
        <w:t>The Journal of Legal History</w:t>
      </w:r>
      <w:r w:rsidR="00F87B1A" w:rsidRPr="00F87B1A">
        <w:t>, 40</w:t>
      </w:r>
      <w:r w:rsidR="001677EC">
        <w:t xml:space="preserve"> (2019)</w:t>
      </w:r>
      <w:r w:rsidR="00F87B1A" w:rsidRPr="00F87B1A">
        <w:rPr>
          <w:rtl/>
        </w:rPr>
        <w:t>‏</w:t>
      </w:r>
      <w:r w:rsidR="00D233C1">
        <w:t>.</w:t>
      </w:r>
    </w:p>
  </w:footnote>
  <w:footnote w:id="5">
    <w:p w14:paraId="2F4F4218" w14:textId="777676CB" w:rsidR="00F421BF" w:rsidRDefault="00F421BF" w:rsidP="0037359E">
      <w:pPr>
        <w:pStyle w:val="a4"/>
        <w:bidi w:val="0"/>
        <w:rPr>
          <w:rtl/>
        </w:rPr>
      </w:pPr>
      <w:r>
        <w:rPr>
          <w:rStyle w:val="a6"/>
        </w:rPr>
        <w:footnoteRef/>
      </w:r>
      <w:r>
        <w:rPr>
          <w:rtl/>
        </w:rPr>
        <w:t xml:space="preserve"> </w:t>
      </w:r>
      <w:r w:rsidR="0063219B">
        <w:rPr>
          <w:rFonts w:hint="cs"/>
          <w:rtl/>
        </w:rPr>
        <w:t>חקר החוק המקומי בפרובינקיות הרומיות</w:t>
      </w:r>
      <w:r w:rsidR="00E12ED6">
        <w:rPr>
          <w:rFonts w:hint="cs"/>
          <w:rtl/>
        </w:rPr>
        <w:t xml:space="preserve"> זכה לפריחה אדירה בעשורים האחרונים, בעיקר סביב הפפירוסים ממצריים</w:t>
      </w:r>
      <w:r w:rsidR="0015115A">
        <w:rPr>
          <w:rFonts w:hint="cs"/>
          <w:rtl/>
        </w:rPr>
        <w:t xml:space="preserve"> ומערביא</w:t>
      </w:r>
      <w:r w:rsidR="00E12ED6">
        <w:rPr>
          <w:rFonts w:hint="cs"/>
          <w:rtl/>
        </w:rPr>
        <w:t xml:space="preserve">. לכמה מקורות עיקריים שיש בהם גם סקירת ספרות ומבט </w:t>
      </w:r>
      <w:r w:rsidR="002600E0">
        <w:rPr>
          <w:rFonts w:hint="cs"/>
          <w:rtl/>
        </w:rPr>
        <w:t xml:space="preserve">רפלקטיבי על תולדות המחקר ראו: </w:t>
      </w:r>
      <w:r w:rsidR="00867081" w:rsidRPr="00867081">
        <w:t xml:space="preserve">Caroline Humfress, ‘Law and Custom under Rome’, in Alice Rio (ed.), </w:t>
      </w:r>
      <w:r w:rsidR="00867081" w:rsidRPr="00867081">
        <w:rPr>
          <w:i/>
          <w:iCs/>
        </w:rPr>
        <w:t>Law, Custom, and Justice in Late Antiquity and the Early Middle Ages: Proceedings of the 2008 Byzantine Colloquium</w:t>
      </w:r>
      <w:r w:rsidR="00867081" w:rsidRPr="00867081">
        <w:t xml:space="preserve"> (London, 2011)</w:t>
      </w:r>
      <w:r w:rsidR="00B57B27">
        <w:t xml:space="preserve">; </w:t>
      </w:r>
      <w:r w:rsidR="00D6009F">
        <w:t>A</w:t>
      </w:r>
      <w:r w:rsidR="00CB640A">
        <w:t>nna</w:t>
      </w:r>
      <w:r w:rsidR="00D6009F">
        <w:t xml:space="preserve"> Dolganov, </w:t>
      </w:r>
      <w:r w:rsidR="00D6009F" w:rsidRPr="00D6009F">
        <w:rPr>
          <w:i/>
          <w:iCs/>
        </w:rPr>
        <w:t>Empire of Law: Legal Culture and Imperial Rule in the Roman Province of Egypt</w:t>
      </w:r>
      <w:r w:rsidR="0037359E" w:rsidRPr="0037359E">
        <w:t>,</w:t>
      </w:r>
      <w:r w:rsidR="0037359E">
        <w:t xml:space="preserve"> </w:t>
      </w:r>
      <w:r w:rsidR="00D6009F">
        <w:t xml:space="preserve">Dissertation </w:t>
      </w:r>
      <w:r w:rsidR="0037359E">
        <w:t>(</w:t>
      </w:r>
      <w:r w:rsidR="00D6009F">
        <w:t>Princeton University</w:t>
      </w:r>
      <w:r w:rsidR="0037359E">
        <w:t>, 2018),</w:t>
      </w:r>
      <w:r w:rsidR="002600E0">
        <w:t xml:space="preserve"> </w:t>
      </w:r>
      <w:r w:rsidR="009B311B">
        <w:t xml:space="preserve">219–30; </w:t>
      </w:r>
      <w:r w:rsidR="00BA5FAD">
        <w:t xml:space="preserve">Yair </w:t>
      </w:r>
      <w:r w:rsidR="00BA5FAD" w:rsidRPr="00BA5FAD">
        <w:t xml:space="preserve">Furstenberg, </w:t>
      </w:r>
      <w:r w:rsidR="00BA5FAD">
        <w:t>'</w:t>
      </w:r>
      <w:r w:rsidR="00BA5FAD" w:rsidRPr="00BA5FAD">
        <w:t>Imperialism and the creation of local law: The case of rabbinic law</w:t>
      </w:r>
      <w:r w:rsidR="00BA5FAD">
        <w:t>',</w:t>
      </w:r>
      <w:r w:rsidR="00BA5FAD" w:rsidRPr="00BA5FAD">
        <w:t xml:space="preserve"> In Berthelot</w:t>
      </w:r>
      <w:r w:rsidR="00BA5FAD">
        <w:t xml:space="preserve"> et al.</w:t>
      </w:r>
      <w:r w:rsidR="00BA5FAD" w:rsidRPr="00BA5FAD">
        <w:t xml:space="preserve">, </w:t>
      </w:r>
      <w:r w:rsidR="00BA5FAD" w:rsidRPr="00BA5FAD">
        <w:rPr>
          <w:i/>
          <w:iCs/>
        </w:rPr>
        <w:t>Legal engagement</w:t>
      </w:r>
      <w:r w:rsidR="002A5C3E">
        <w:rPr>
          <w:i/>
          <w:iCs/>
        </w:rPr>
        <w:t>.</w:t>
      </w:r>
      <w:r w:rsidR="005B0DDF">
        <w:rPr>
          <w:rFonts w:hint="cs"/>
          <w:rtl/>
        </w:rPr>
        <w:t xml:space="preserve"> </w:t>
      </w:r>
      <w:r w:rsidR="0015115A">
        <w:rPr>
          <w:rFonts w:hint="cs"/>
          <w:rtl/>
        </w:rPr>
        <w:t>לפרובינקיות אחרות ראו למשל</w:t>
      </w:r>
      <w:r w:rsidR="00DB557A">
        <w:rPr>
          <w:rFonts w:hint="cs"/>
          <w:rtl/>
        </w:rPr>
        <w:t xml:space="preserve"> </w:t>
      </w:r>
      <w:r w:rsidR="0027523F" w:rsidRPr="0027523F">
        <w:t>Kimberley Czajkowski</w:t>
      </w:r>
      <w:r w:rsidR="0027523F">
        <w:t xml:space="preserve"> &amp; </w:t>
      </w:r>
      <w:r w:rsidR="0027523F" w:rsidRPr="0027523F">
        <w:t xml:space="preserve">Benedikt Eckhardt, </w:t>
      </w:r>
      <w:r w:rsidR="005F5F5A">
        <w:t>'</w:t>
      </w:r>
      <w:r w:rsidR="0027523F" w:rsidRPr="0027523F">
        <w:t>Law, Status And Agency in the Roman Provinces</w:t>
      </w:r>
      <w:r w:rsidR="005F5F5A">
        <w:t>'</w:t>
      </w:r>
      <w:r w:rsidR="0027523F" w:rsidRPr="0027523F">
        <w:t xml:space="preserve">, </w:t>
      </w:r>
      <w:r w:rsidR="0027523F" w:rsidRPr="005F5F5A">
        <w:rPr>
          <w:i/>
          <w:iCs/>
        </w:rPr>
        <w:t>Past &amp; Present</w:t>
      </w:r>
      <w:r w:rsidR="0027523F" w:rsidRPr="0027523F">
        <w:t>, 241</w:t>
      </w:r>
      <w:r w:rsidR="005F5F5A">
        <w:t xml:space="preserve"> (2018),</w:t>
      </w:r>
      <w:r w:rsidR="0027523F" w:rsidRPr="0027523F">
        <w:rPr>
          <w:rFonts w:hint="cs"/>
          <w:rtl/>
        </w:rPr>
        <w:t xml:space="preserve"> </w:t>
      </w:r>
      <w:r w:rsidR="00DB557A">
        <w:rPr>
          <w:rFonts w:hint="cs"/>
          <w:rtl/>
        </w:rPr>
        <w:t xml:space="preserve">וכן </w:t>
      </w:r>
      <w:r w:rsidR="0015115A">
        <w:rPr>
          <w:rFonts w:hint="cs"/>
          <w:rtl/>
        </w:rPr>
        <w:t xml:space="preserve">המחקרים הרבים של </w:t>
      </w:r>
      <w:r w:rsidR="00930337">
        <w:t>Georgy Kantor</w:t>
      </w:r>
      <w:r w:rsidR="00DB557A">
        <w:rPr>
          <w:rFonts w:hint="cs"/>
          <w:rtl/>
        </w:rPr>
        <w:t>.</w:t>
      </w:r>
    </w:p>
  </w:footnote>
  <w:footnote w:id="6">
    <w:p w14:paraId="57876568" w14:textId="7290C596" w:rsidR="00815D81" w:rsidRPr="003140BD" w:rsidRDefault="00815D81" w:rsidP="00522DE0">
      <w:pPr>
        <w:pStyle w:val="a4"/>
        <w:rPr>
          <w:rFonts w:hint="cs"/>
          <w:rtl/>
          <w:lang w:val="el-GR"/>
        </w:rPr>
      </w:pPr>
      <w:r>
        <w:rPr>
          <w:rStyle w:val="a6"/>
        </w:rPr>
        <w:footnoteRef/>
      </w:r>
      <w:r>
        <w:rPr>
          <w:rtl/>
        </w:rPr>
        <w:t xml:space="preserve"> </w:t>
      </w:r>
      <w:r w:rsidR="00DE69AC">
        <w:rPr>
          <w:rFonts w:hint="cs"/>
          <w:rtl/>
        </w:rPr>
        <w:t xml:space="preserve">סיכום </w:t>
      </w:r>
      <w:r w:rsidR="00696E54">
        <w:rPr>
          <w:rFonts w:hint="cs"/>
          <w:rtl/>
        </w:rPr>
        <w:t>של הטענות כנגד המחקר הקלאסי ראו למשל:</w:t>
      </w:r>
      <w:r w:rsidR="00A622B8">
        <w:rPr>
          <w:rFonts w:hint="cs"/>
          <w:rtl/>
        </w:rPr>
        <w:t xml:space="preserve"> </w:t>
      </w:r>
      <w:r w:rsidR="00215CAE">
        <w:rPr>
          <w:rFonts w:hint="cs"/>
        </w:rPr>
        <w:t>K</w:t>
      </w:r>
      <w:r w:rsidR="00215CAE">
        <w:t xml:space="preserve">. </w:t>
      </w:r>
      <w:r w:rsidR="00215CAE" w:rsidRPr="00215CAE">
        <w:t>Czajkowski</w:t>
      </w:r>
      <w:r w:rsidR="00215CAE">
        <w:t xml:space="preserve">, </w:t>
      </w:r>
      <w:r w:rsidR="00522DE0" w:rsidRPr="00522DE0">
        <w:rPr>
          <w:i/>
          <w:iCs/>
        </w:rPr>
        <w:t>Localized Law</w:t>
      </w:r>
      <w:r w:rsidR="00522DE0" w:rsidRPr="00522DE0">
        <w:rPr>
          <w:i/>
          <w:iCs/>
        </w:rPr>
        <w:t>:</w:t>
      </w:r>
      <w:r w:rsidR="00522DE0" w:rsidRPr="00522DE0">
        <w:rPr>
          <w:i/>
          <w:iCs/>
        </w:rPr>
        <w:t xml:space="preserve"> The Babatha and Salome Komaise Archives</w:t>
      </w:r>
      <w:r w:rsidR="00522DE0">
        <w:t xml:space="preserve"> (</w:t>
      </w:r>
      <w:r w:rsidR="00522DE0">
        <w:t>Oxford</w:t>
      </w:r>
      <w:r w:rsidR="00522DE0">
        <w:t xml:space="preserve">, 2016), </w:t>
      </w:r>
      <w:r w:rsidR="00891304">
        <w:t>9–2</w:t>
      </w:r>
      <w:r w:rsidR="00A51143">
        <w:t>4</w:t>
      </w:r>
      <w:r w:rsidR="00D87D3B">
        <w:t xml:space="preserve">; </w:t>
      </w:r>
      <w:r>
        <w:t>Dolganov</w:t>
      </w:r>
      <w:r w:rsidR="002A5C3E">
        <w:t xml:space="preserve">, </w:t>
      </w:r>
      <w:r w:rsidR="002A5C3E" w:rsidRPr="00D6009F">
        <w:rPr>
          <w:i/>
          <w:iCs/>
        </w:rPr>
        <w:t>Empire of Law</w:t>
      </w:r>
      <w:r w:rsidR="002A5C3E">
        <w:t>,</w:t>
      </w:r>
      <w:r>
        <w:t xml:space="preserve"> 219–30 </w:t>
      </w:r>
      <w:r>
        <w:rPr>
          <w:rFonts w:hint="cs"/>
          <w:rtl/>
          <w:lang w:val="el-GR"/>
        </w:rPr>
        <w:t>.</w:t>
      </w:r>
      <w:r w:rsidR="00DE69AC">
        <w:rPr>
          <w:rFonts w:hint="cs"/>
          <w:rtl/>
          <w:lang w:val="el-GR"/>
        </w:rPr>
        <w:t>.</w:t>
      </w:r>
    </w:p>
  </w:footnote>
  <w:footnote w:id="7">
    <w:p w14:paraId="1DBF1476" w14:textId="1A5C8A2A" w:rsidR="00B655CE" w:rsidRDefault="00B655CE">
      <w:pPr>
        <w:pStyle w:val="a4"/>
        <w:rPr>
          <w:rFonts w:hint="cs"/>
          <w:rtl/>
        </w:rPr>
      </w:pPr>
      <w:r>
        <w:rPr>
          <w:rStyle w:val="a6"/>
        </w:rPr>
        <w:footnoteRef/>
      </w:r>
      <w:r>
        <w:rPr>
          <w:rtl/>
        </w:rPr>
        <w:t xml:space="preserve"> </w:t>
      </w:r>
      <w:r>
        <w:rPr>
          <w:rFonts w:hint="cs"/>
          <w:rtl/>
        </w:rPr>
        <w:t xml:space="preserve">ראו למשל: </w:t>
      </w:r>
      <w:r w:rsidRPr="00867081">
        <w:t>Caroline Humfress, ‘Law and Custom</w:t>
      </w:r>
      <w:r>
        <w:t>'</w:t>
      </w:r>
      <w:r>
        <w:rPr>
          <w:rFonts w:hint="cs"/>
          <w:rtl/>
        </w:rPr>
        <w:t>.</w:t>
      </w:r>
    </w:p>
  </w:footnote>
  <w:footnote w:id="8">
    <w:p w14:paraId="1CCD53B4" w14:textId="57E4D012" w:rsidR="00E279CC" w:rsidRPr="00727D33" w:rsidRDefault="00E279CC">
      <w:pPr>
        <w:pStyle w:val="a4"/>
        <w:rPr>
          <w:rtl/>
        </w:rPr>
      </w:pPr>
      <w:r>
        <w:rPr>
          <w:rStyle w:val="a6"/>
        </w:rPr>
        <w:footnoteRef/>
      </w:r>
      <w:r>
        <w:rPr>
          <w:rtl/>
        </w:rPr>
        <w:t xml:space="preserve"> </w:t>
      </w:r>
      <w:r>
        <w:rPr>
          <w:rFonts w:hint="cs"/>
          <w:rtl/>
        </w:rPr>
        <w:t>על דמיון אפשרי בין החכמים ובין היוריסטים הרומיים כתבו רבים. ראו למשל:</w:t>
      </w:r>
      <w:r w:rsidR="00D81615">
        <w:rPr>
          <w:rFonts w:hint="cs"/>
          <w:rtl/>
        </w:rPr>
        <w:t xml:space="preserve"> </w:t>
      </w:r>
      <w:r w:rsidR="002326D7">
        <w:t xml:space="preserve">Martin </w:t>
      </w:r>
      <w:r w:rsidR="00B52292" w:rsidRPr="00B52292">
        <w:t xml:space="preserve">Goodman, </w:t>
      </w:r>
      <w:r w:rsidR="00B52292" w:rsidRPr="002326D7">
        <w:rPr>
          <w:i/>
          <w:iCs/>
        </w:rPr>
        <w:t>State and society in Roman Galilee, AD 132-212</w:t>
      </w:r>
      <w:r w:rsidR="00B52292" w:rsidRPr="00B52292">
        <w:t xml:space="preserve"> </w:t>
      </w:r>
      <w:r w:rsidR="00AE5FFE">
        <w:t>(Totowa NJ, 1983)</w:t>
      </w:r>
      <w:r w:rsidR="00194CF3">
        <w:t xml:space="preserve">, </w:t>
      </w:r>
      <w:r w:rsidR="00AE54D0">
        <w:t xml:space="preserve">127, 160; </w:t>
      </w:r>
      <w:r w:rsidR="009661AA">
        <w:t xml:space="preserve">C. </w:t>
      </w:r>
      <w:r w:rsidR="009661AA" w:rsidRPr="009661AA">
        <w:t xml:space="preserve">Hezser, </w:t>
      </w:r>
      <w:r w:rsidR="009661AA">
        <w:t>'</w:t>
      </w:r>
      <w:r w:rsidR="009661AA" w:rsidRPr="009661AA">
        <w:t>Roman Law and Rabbinic Legal Composition</w:t>
      </w:r>
      <w:r w:rsidR="009661AA">
        <w:t>',</w:t>
      </w:r>
      <w:r w:rsidR="009661AA" w:rsidRPr="009661AA">
        <w:t xml:space="preserve"> In C. Fonrobert &amp; M. Jaffee (Eds.), </w:t>
      </w:r>
      <w:r w:rsidR="009661AA" w:rsidRPr="009661AA">
        <w:rPr>
          <w:i/>
          <w:iCs/>
        </w:rPr>
        <w:t>The Cambridge Companion to the Talmud and Rabbinic Literature</w:t>
      </w:r>
      <w:r w:rsidR="009661AA" w:rsidRPr="009661AA">
        <w:t xml:space="preserve"> </w:t>
      </w:r>
      <w:r w:rsidR="009661AA">
        <w:t>(</w:t>
      </w:r>
      <w:r w:rsidR="009661AA" w:rsidRPr="009661AA">
        <w:t>Cambridge</w:t>
      </w:r>
      <w:r w:rsidR="009661AA">
        <w:t>, 2007)</w:t>
      </w:r>
      <w:r w:rsidR="007507EC">
        <w:t xml:space="preserve">; </w:t>
      </w:r>
      <w:r w:rsidR="009661AA">
        <w:t>A</w:t>
      </w:r>
      <w:r w:rsidR="00236A47">
        <w:t>mram</w:t>
      </w:r>
      <w:r w:rsidR="009661AA">
        <w:t xml:space="preserve"> </w:t>
      </w:r>
      <w:r w:rsidR="009661AA" w:rsidRPr="009661AA">
        <w:t xml:space="preserve">Tropper, </w:t>
      </w:r>
      <w:r w:rsidR="009661AA" w:rsidRPr="009661AA">
        <w:rPr>
          <w:i/>
          <w:iCs/>
        </w:rPr>
        <w:t>Wisdom, politics, and historiography: Tractate Avot in the context of the Graeco-Roman Near East</w:t>
      </w:r>
      <w:r w:rsidR="00C675C5">
        <w:t xml:space="preserve"> (</w:t>
      </w:r>
      <w:r w:rsidR="009661AA" w:rsidRPr="009661AA">
        <w:t>Oxford</w:t>
      </w:r>
      <w:r w:rsidR="00C675C5">
        <w:t>, 2004),</w:t>
      </w:r>
      <w:r w:rsidR="009A42E0">
        <w:t xml:space="preserve"> 189–201; </w:t>
      </w:r>
      <w:r w:rsidR="00041895" w:rsidRPr="003F412A">
        <w:t>N. S.</w:t>
      </w:r>
      <w:r w:rsidR="00041895">
        <w:t xml:space="preserve"> </w:t>
      </w:r>
      <w:r w:rsidR="003F412A" w:rsidRPr="003F412A">
        <w:t>Cohn,</w:t>
      </w:r>
      <w:r w:rsidR="00041895">
        <w:t xml:space="preserve"> '</w:t>
      </w:r>
      <w:r w:rsidR="003F412A" w:rsidRPr="003F412A">
        <w:t>Rabbis as Jurists: On the Representation of Past and Present Legal Institutions in the Mishnah</w:t>
      </w:r>
      <w:r w:rsidR="00041895">
        <w:t>',</w:t>
      </w:r>
      <w:r w:rsidR="003F412A" w:rsidRPr="003F412A">
        <w:t xml:space="preserve"> </w:t>
      </w:r>
      <w:r w:rsidR="003F412A" w:rsidRPr="00041895">
        <w:rPr>
          <w:i/>
          <w:iCs/>
        </w:rPr>
        <w:t>Journal of Jewish studies</w:t>
      </w:r>
      <w:r w:rsidR="003F412A" w:rsidRPr="003F412A">
        <w:t>, 60</w:t>
      </w:r>
      <w:r w:rsidR="00041895">
        <w:t xml:space="preserve"> (2009)</w:t>
      </w:r>
      <w:r w:rsidR="00D36D92">
        <w:t>;</w:t>
      </w:r>
      <w:r w:rsidR="000D138B">
        <w:t xml:space="preserve"> </w:t>
      </w:r>
      <w:r w:rsidR="000C38F4" w:rsidRPr="00BF48B7">
        <w:t xml:space="preserve">Furstenberg, </w:t>
      </w:r>
      <w:r w:rsidR="00C423FC">
        <w:t>'</w:t>
      </w:r>
      <w:r w:rsidR="000C38F4" w:rsidRPr="00BF48B7">
        <w:t>The Rabbinic Movement</w:t>
      </w:r>
      <w:r w:rsidR="00C423FC">
        <w:t>'</w:t>
      </w:r>
      <w:r w:rsidR="00271DE2">
        <w:rPr>
          <w:rFonts w:hint="cs"/>
          <w:rtl/>
          <w:lang w:val="el-GR"/>
        </w:rPr>
        <w:t>. ראו גם המקורות שבהערה הבאה.</w:t>
      </w:r>
      <w:r w:rsidR="009A42E0">
        <w:t xml:space="preserve"> </w:t>
      </w:r>
    </w:p>
  </w:footnote>
  <w:footnote w:id="9">
    <w:p w14:paraId="0C5A7A93" w14:textId="1C43F82F" w:rsidR="009D03F6" w:rsidRPr="00592868" w:rsidRDefault="009D03F6" w:rsidP="00C77514">
      <w:pPr>
        <w:pStyle w:val="a4"/>
        <w:bidi w:val="0"/>
      </w:pPr>
      <w:r>
        <w:rPr>
          <w:rStyle w:val="a6"/>
        </w:rPr>
        <w:footnoteRef/>
      </w:r>
      <w:r>
        <w:t>"…</w:t>
      </w:r>
      <w:r w:rsidRPr="00FF555F">
        <w:t>no other legal tradition of the ancient Mediterranean—save in complex respects Jewish law in the Roman period—develops any remotely similar practices that we might denominate a theory of autonomous law, or traditions of statutory interpretation, or rules of precedent, or institutions of legal education and practices of jurisprudence</w:t>
      </w:r>
      <w:r>
        <w:t>"</w:t>
      </w:r>
      <w:r w:rsidR="00C77514">
        <w:rPr>
          <w:rFonts w:hint="cs"/>
          <w:rtl/>
        </w:rPr>
        <w:t xml:space="preserve">) </w:t>
      </w:r>
      <w:r w:rsidR="006D15E4">
        <w:t xml:space="preserve">Clifford </w:t>
      </w:r>
      <w:r w:rsidR="006D15E4" w:rsidRPr="006D15E4">
        <w:t>Ando,</w:t>
      </w:r>
      <w:r w:rsidR="0008171C">
        <w:t xml:space="preserve"> </w:t>
      </w:r>
      <w:r w:rsidR="006D15E4">
        <w:t>'</w:t>
      </w:r>
      <w:r w:rsidR="006D15E4" w:rsidRPr="006D15E4">
        <w:t>roman law</w:t>
      </w:r>
      <w:r w:rsidR="006D15E4">
        <w:t xml:space="preserve">', </w:t>
      </w:r>
      <w:r w:rsidR="00F72C4F" w:rsidRPr="00F72C4F">
        <w:t xml:space="preserve">in Markus D. Dubber and Christopher Tomlins (eds.), </w:t>
      </w:r>
      <w:r w:rsidR="00F72C4F" w:rsidRPr="0008171C">
        <w:rPr>
          <w:i/>
          <w:iCs/>
        </w:rPr>
        <w:t>The Oxford Handbook of Legal History</w:t>
      </w:r>
      <w:r w:rsidR="00F72C4F" w:rsidRPr="00F72C4F">
        <w:t xml:space="preserve"> (Oxford, 2018)</w:t>
      </w:r>
      <w:r w:rsidR="00F72C4F">
        <w:t>,</w:t>
      </w:r>
      <w:r>
        <w:t xml:space="preserve"> 668</w:t>
      </w:r>
      <w:r w:rsidR="00F72C4F">
        <w:t>.</w:t>
      </w:r>
      <w:r w:rsidR="00FC2353">
        <w:rPr>
          <w:rFonts w:hint="cs"/>
          <w:rtl/>
        </w:rPr>
        <w:t xml:space="preserve"> ראו גם</w:t>
      </w:r>
      <w:r w:rsidR="00CA010A">
        <w:rPr>
          <w:rFonts w:hint="cs"/>
          <w:rtl/>
        </w:rPr>
        <w:t>:</w:t>
      </w:r>
      <w:r w:rsidR="00FC2353">
        <w:rPr>
          <w:rFonts w:hint="cs"/>
          <w:rtl/>
        </w:rPr>
        <w:t xml:space="preserve"> </w:t>
      </w:r>
      <w:r w:rsidR="00CA010A">
        <w:t xml:space="preserve">A. </w:t>
      </w:r>
      <w:r w:rsidR="00CA010A" w:rsidRPr="00CA010A">
        <w:t>Watson &amp; K</w:t>
      </w:r>
      <w:r w:rsidR="00844551">
        <w:t>. Abou El Fadl</w:t>
      </w:r>
      <w:r w:rsidR="00CA010A" w:rsidRPr="00CA010A">
        <w:t>,</w:t>
      </w:r>
      <w:r w:rsidR="005809A5">
        <w:t xml:space="preserve"> </w:t>
      </w:r>
      <w:r w:rsidR="00CA010A">
        <w:t>'</w:t>
      </w:r>
      <w:r w:rsidR="00CA010A" w:rsidRPr="00CA010A">
        <w:t>Fox hunting, pheasant shooting, and comparative law</w:t>
      </w:r>
      <w:r w:rsidR="00CA010A">
        <w:t>',</w:t>
      </w:r>
      <w:r w:rsidR="00CA010A" w:rsidRPr="00CA010A">
        <w:t xml:space="preserve"> </w:t>
      </w:r>
      <w:r w:rsidR="00CA010A" w:rsidRPr="00CA010A">
        <w:rPr>
          <w:i/>
          <w:iCs/>
        </w:rPr>
        <w:t>The American Journal of Comparative Law</w:t>
      </w:r>
      <w:r w:rsidR="00CA010A" w:rsidRPr="00CA010A">
        <w:t>, 48</w:t>
      </w:r>
      <w:r w:rsidR="00CA010A">
        <w:t xml:space="preserve"> (2000)</w:t>
      </w:r>
      <w:r w:rsidR="00CA010A" w:rsidRPr="00CA010A">
        <w:t>.</w:t>
      </w:r>
      <w:r w:rsidR="00FC2353">
        <w:rPr>
          <w:rFonts w:hint="cs"/>
          <w:rtl/>
        </w:rPr>
        <w:t xml:space="preserve"> </w:t>
      </w:r>
      <w:r w:rsidR="009D5EA0">
        <w:rPr>
          <w:rFonts w:hint="cs"/>
          <w:rtl/>
        </w:rPr>
        <w:t xml:space="preserve">יש גם דמיון מסויים בסגנון הספרותי בין החיבורים היהודיים ובין החיבורים הרומים, לצד הבדלים ניכרים. </w:t>
      </w:r>
      <w:r w:rsidR="002608EA">
        <w:rPr>
          <w:rFonts w:hint="cs"/>
          <w:rtl/>
        </w:rPr>
        <w:t>חוקרים נחלקו בנוגע להערכת הדמיון בינ</w:t>
      </w:r>
      <w:r w:rsidR="004E6A67">
        <w:rPr>
          <w:rFonts w:hint="cs"/>
          <w:rtl/>
        </w:rPr>
        <w:t>י</w:t>
      </w:r>
      <w:r w:rsidR="002608EA">
        <w:rPr>
          <w:rFonts w:hint="cs"/>
          <w:rtl/>
        </w:rPr>
        <w:t>הם. ראו:</w:t>
      </w:r>
      <w:r w:rsidR="00A56382">
        <w:rPr>
          <w:rFonts w:hint="cs"/>
          <w:rtl/>
        </w:rPr>
        <w:t xml:space="preserve"> </w:t>
      </w:r>
      <w:r w:rsidR="0008171C">
        <w:t xml:space="preserve"> </w:t>
      </w:r>
      <w:r w:rsidR="008357B3" w:rsidRPr="008357B3">
        <w:t xml:space="preserve">Catherine Hezser, 'The Codification of Legal Knowledge in Late Antiquity: The Talmud Yerushalmi and Roman Law Codes' In Schäfer, Peter (ed.), </w:t>
      </w:r>
      <w:r w:rsidR="008357B3" w:rsidRPr="008357B3">
        <w:rPr>
          <w:i/>
          <w:iCs/>
        </w:rPr>
        <w:t>The Talmud Yerushalmi and Graeco-Roman Culture</w:t>
      </w:r>
      <w:r w:rsidR="008357B3">
        <w:t>,</w:t>
      </w:r>
      <w:r w:rsidR="008357B3" w:rsidRPr="008357B3">
        <w:t xml:space="preserve"> Vol.1 </w:t>
      </w:r>
      <w:r w:rsidR="000675A6" w:rsidRPr="00656D3D">
        <w:t xml:space="preserve">(Tübingen, </w:t>
      </w:r>
      <w:r w:rsidR="000675A6">
        <w:t>1998</w:t>
      </w:r>
      <w:r w:rsidR="000675A6" w:rsidRPr="00656D3D">
        <w:t>)</w:t>
      </w:r>
      <w:r w:rsidR="00FA1F01" w:rsidRPr="00FA1F01">
        <w:rPr>
          <w:rtl/>
        </w:rPr>
        <w:t>‏</w:t>
      </w:r>
      <w:r w:rsidR="00EB135E">
        <w:t xml:space="preserve">; </w:t>
      </w:r>
      <w:r w:rsidR="00D506B7" w:rsidRPr="00D506B7">
        <w:t>Hillel Newman</w:t>
      </w:r>
      <w:r w:rsidR="00D506B7">
        <w:t>, '</w:t>
      </w:r>
      <w:r w:rsidR="00D506B7" w:rsidRPr="00D506B7">
        <w:t>Early Halakhic Literature</w:t>
      </w:r>
      <w:r w:rsidR="00D506B7">
        <w:t>',</w:t>
      </w:r>
      <w:r w:rsidR="00D506B7" w:rsidRPr="00D506B7">
        <w:t xml:space="preserve"> In Robert Bonfil</w:t>
      </w:r>
      <w:r w:rsidR="00D506B7">
        <w:t xml:space="preserve"> et al.</w:t>
      </w:r>
      <w:r w:rsidR="00D506B7" w:rsidRPr="00D506B7">
        <w:t xml:space="preserve"> (eds.)</w:t>
      </w:r>
      <w:r w:rsidR="00D506B7">
        <w:t>,</w:t>
      </w:r>
      <w:r w:rsidR="00D506B7" w:rsidRPr="00D506B7">
        <w:t xml:space="preserve"> </w:t>
      </w:r>
      <w:r w:rsidR="00D506B7" w:rsidRPr="00D506B7">
        <w:rPr>
          <w:i/>
          <w:iCs/>
        </w:rPr>
        <w:t>Jews in Byzantium: Dialectics of Minority and Majority Culture</w:t>
      </w:r>
      <w:r w:rsidR="00236469">
        <w:t xml:space="preserve"> (</w:t>
      </w:r>
      <w:r w:rsidR="00976B86">
        <w:t xml:space="preserve">Leiden, </w:t>
      </w:r>
      <w:r w:rsidR="00236469">
        <w:t>2011</w:t>
      </w:r>
      <w:r w:rsidR="00976B86">
        <w:t xml:space="preserve">), </w:t>
      </w:r>
      <w:r w:rsidR="00C55D4F">
        <w:t>631</w:t>
      </w:r>
      <w:r w:rsidR="004E6A67">
        <w:t xml:space="preserve">; </w:t>
      </w:r>
      <w:r w:rsidR="00976B86" w:rsidRPr="00976B86">
        <w:t>Y.</w:t>
      </w:r>
      <w:r w:rsidR="00976B86">
        <w:t xml:space="preserve"> </w:t>
      </w:r>
      <w:r w:rsidR="00976B86" w:rsidRPr="00976B86">
        <w:t xml:space="preserve">Elman, </w:t>
      </w:r>
      <w:r w:rsidR="00976B86">
        <w:t>'</w:t>
      </w:r>
      <w:r w:rsidR="00976B86" w:rsidRPr="00976B86">
        <w:t>Order, Sequence, and Selection: The Mishnah’s Anthological Choices</w:t>
      </w:r>
      <w:r w:rsidR="00976B86">
        <w:t>',</w:t>
      </w:r>
      <w:r w:rsidR="00976B86" w:rsidRPr="00976B86">
        <w:t xml:space="preserve"> </w:t>
      </w:r>
      <w:r w:rsidR="00C50F19">
        <w:t xml:space="preserve">in </w:t>
      </w:r>
      <w:r w:rsidR="00CC61A2" w:rsidRPr="00CC61A2">
        <w:t>D.</w:t>
      </w:r>
      <w:r w:rsidR="00CC61A2">
        <w:t xml:space="preserve"> </w:t>
      </w:r>
      <w:r w:rsidR="00CC61A2" w:rsidRPr="00CC61A2">
        <w:t>Stern (Ed.)</w:t>
      </w:r>
      <w:r w:rsidR="00CC61A2">
        <w:t>,</w:t>
      </w:r>
      <w:r w:rsidR="00CC61A2" w:rsidRPr="00CC61A2">
        <w:t xml:space="preserve"> </w:t>
      </w:r>
      <w:r w:rsidR="00CC61A2" w:rsidRPr="00CC61A2">
        <w:rPr>
          <w:i/>
          <w:iCs/>
        </w:rPr>
        <w:t>The anthology in Jewish literatur</w:t>
      </w:r>
      <w:r w:rsidR="00CC61A2">
        <w:t>, (</w:t>
      </w:r>
      <w:r w:rsidR="00CC61A2" w:rsidRPr="00CC61A2">
        <w:t>Oxford</w:t>
      </w:r>
      <w:r w:rsidR="00CC61A2">
        <w:t>, 2004)</w:t>
      </w:r>
      <w:r w:rsidR="00976B86" w:rsidRPr="00976B86">
        <w:rPr>
          <w:rtl/>
        </w:rPr>
        <w:t>‏</w:t>
      </w:r>
      <w:r w:rsidR="000075F7">
        <w:t xml:space="preserve">; </w:t>
      </w:r>
      <w:r w:rsidR="00A616C9">
        <w:t xml:space="preserve">Moshe </w:t>
      </w:r>
      <w:r w:rsidR="00A616C9" w:rsidRPr="00A616C9">
        <w:t>Simon-Shoshan</w:t>
      </w:r>
      <w:r w:rsidR="00A616C9">
        <w:t>,</w:t>
      </w:r>
      <w:r w:rsidR="00A616C9" w:rsidRPr="00A616C9">
        <w:t xml:space="preserve"> </w:t>
      </w:r>
      <w:r w:rsidR="00A616C9" w:rsidRPr="00A616C9">
        <w:rPr>
          <w:i/>
          <w:iCs/>
        </w:rPr>
        <w:t>Stories of the Law: Narrative Discourse and the Construction of Authority in the Mishnah</w:t>
      </w:r>
      <w:r w:rsidR="00A616C9">
        <w:t xml:space="preserve"> (Oxford, 2012),</w:t>
      </w:r>
      <w:r w:rsidR="00C55D4F">
        <w:t xml:space="preserve"> 80–2</w:t>
      </w:r>
      <w:r w:rsidR="00F33B09">
        <w:t xml:space="preserve">; </w:t>
      </w:r>
      <w:r w:rsidR="00E26EC0" w:rsidRPr="00E26EC0">
        <w:t>J.</w:t>
      </w:r>
      <w:r w:rsidR="00E26EC0">
        <w:t xml:space="preserve"> </w:t>
      </w:r>
      <w:r w:rsidR="00E26EC0" w:rsidRPr="00E26EC0">
        <w:t xml:space="preserve">Neusner, </w:t>
      </w:r>
      <w:r w:rsidR="00E26EC0">
        <w:t>'</w:t>
      </w:r>
      <w:r w:rsidR="00E26EC0" w:rsidRPr="00E26EC0">
        <w:t>The Mishnah in Roman and Christian Contexts</w:t>
      </w:r>
      <w:r w:rsidR="00E26EC0">
        <w:t>'</w:t>
      </w:r>
      <w:r w:rsidR="00E26EC0" w:rsidRPr="00E26EC0">
        <w:t xml:space="preserve"> In</w:t>
      </w:r>
      <w:r w:rsidR="00A66A6B">
        <w:t xml:space="preserve"> </w:t>
      </w:r>
      <w:r w:rsidR="004817D5">
        <w:t xml:space="preserve">A. </w:t>
      </w:r>
      <w:r w:rsidR="00A66A6B" w:rsidRPr="00A66A6B">
        <w:t xml:space="preserve">Avery-Peck &amp; </w:t>
      </w:r>
      <w:r w:rsidR="004817D5" w:rsidRPr="00A66A6B">
        <w:t>J.</w:t>
      </w:r>
      <w:r w:rsidR="004817D5">
        <w:t xml:space="preserve"> </w:t>
      </w:r>
      <w:r w:rsidR="00A66A6B" w:rsidRPr="00A66A6B">
        <w:t>Neusner (Eds.)</w:t>
      </w:r>
      <w:r w:rsidR="004817D5">
        <w:t>,</w:t>
      </w:r>
      <w:r w:rsidR="00E26EC0" w:rsidRPr="00E26EC0">
        <w:t xml:space="preserve"> </w:t>
      </w:r>
      <w:r w:rsidR="00E26EC0" w:rsidRPr="00E26EC0">
        <w:rPr>
          <w:i/>
          <w:iCs/>
        </w:rPr>
        <w:t>The Mishnah in Contemporary Perspective</w:t>
      </w:r>
      <w:r w:rsidR="00E26EC0">
        <w:t xml:space="preserve"> (Leiden 2002)</w:t>
      </w:r>
      <w:r w:rsidR="002E33BB">
        <w:rPr>
          <w:rFonts w:hint="cs"/>
          <w:rtl/>
          <w:lang w:val="el-GR"/>
        </w:rPr>
        <w:t>.</w:t>
      </w:r>
    </w:p>
  </w:footnote>
  <w:footnote w:id="10">
    <w:p w14:paraId="54B5059F" w14:textId="6B86A5F8" w:rsidR="00DD1C6B" w:rsidRDefault="00DD1C6B" w:rsidP="00EC00B4">
      <w:pPr>
        <w:pStyle w:val="a4"/>
        <w:rPr>
          <w:rtl/>
        </w:rPr>
      </w:pPr>
      <w:r>
        <w:rPr>
          <w:rStyle w:val="a6"/>
        </w:rPr>
        <w:footnoteRef/>
      </w:r>
      <w:r w:rsidR="00EC00B4">
        <w:rPr>
          <w:rFonts w:hint="cs"/>
          <w:rtl/>
        </w:rPr>
        <w:t xml:space="preserve"> למושגים אלו ראו:</w:t>
      </w:r>
      <w:r>
        <w:rPr>
          <w:rtl/>
        </w:rPr>
        <w:t xml:space="preserve"> </w:t>
      </w:r>
      <w:r w:rsidR="00346D63" w:rsidRPr="00346D63">
        <w:t xml:space="preserve">Jackson, </w:t>
      </w:r>
      <w:r w:rsidR="00592868">
        <w:t>'</w:t>
      </w:r>
      <w:r w:rsidR="00346D63" w:rsidRPr="00346D63">
        <w:t>On the Problem of Roman Influence on the Halakah</w:t>
      </w:r>
      <w:r w:rsidR="00592868">
        <w:t>'</w:t>
      </w:r>
      <w:r w:rsidR="005F01CE">
        <w:t>;</w:t>
      </w:r>
      <w:r w:rsidR="00D31645" w:rsidRPr="00D31645">
        <w:t xml:space="preserve"> Bernard S. Jackson, 'History, Dogmatics, and Halakhah', in B. S. Jackson (ed.), Jewish Law in Legal History and the Modern World (Leiden, 1980)</w:t>
      </w:r>
      <w:r>
        <w:rPr>
          <w:rFonts w:hint="cs"/>
          <w:rtl/>
        </w:rPr>
        <w:t>.</w:t>
      </w:r>
    </w:p>
  </w:footnote>
  <w:footnote w:id="11">
    <w:p w14:paraId="0A2DBE2B" w14:textId="279A0BF0" w:rsidR="006255B7" w:rsidRDefault="006255B7">
      <w:pPr>
        <w:pStyle w:val="a4"/>
        <w:rPr>
          <w:rtl/>
        </w:rPr>
      </w:pPr>
      <w:r>
        <w:rPr>
          <w:rStyle w:val="a6"/>
        </w:rPr>
        <w:footnoteRef/>
      </w:r>
      <w:r>
        <w:rPr>
          <w:rtl/>
        </w:rPr>
        <w:t xml:space="preserve"> </w:t>
      </w:r>
      <w:r>
        <w:rPr>
          <w:rFonts w:hint="cs"/>
          <w:rtl/>
        </w:rPr>
        <w:t>המשנה</w:t>
      </w:r>
      <w:r w:rsidR="00B15F47">
        <w:rPr>
          <w:rFonts w:hint="cs"/>
          <w:rtl/>
        </w:rPr>
        <w:t xml:space="preserve"> (להלן לפעמים </w:t>
      </w:r>
      <w:r w:rsidR="00B15F47" w:rsidRPr="005768B0">
        <w:rPr>
          <w:b/>
          <w:bCs/>
        </w:rPr>
        <w:t>m.</w:t>
      </w:r>
      <w:r w:rsidR="00B15F47">
        <w:rPr>
          <w:rFonts w:hint="cs"/>
          <w:rtl/>
        </w:rPr>
        <w:t>)</w:t>
      </w:r>
      <w:r>
        <w:rPr>
          <w:rFonts w:hint="cs"/>
          <w:rtl/>
        </w:rPr>
        <w:t xml:space="preserve"> מחולקת לשישה 'סדרים' שכל אחד מהם מחולק לכמה מסכתות</w:t>
      </w:r>
      <w:r w:rsidR="00CB0F95">
        <w:rPr>
          <w:rFonts w:hint="cs"/>
          <w:rtl/>
        </w:rPr>
        <w:t>. המסכתות מחולקות לפרקים והפרקים להלכות ('משניות'). חלוקת התוספתא</w:t>
      </w:r>
      <w:r w:rsidR="00B15F47">
        <w:rPr>
          <w:rFonts w:hint="cs"/>
          <w:rtl/>
        </w:rPr>
        <w:t xml:space="preserve"> (להלן לפעמים </w:t>
      </w:r>
      <w:r w:rsidR="00B15F47" w:rsidRPr="005768B0">
        <w:rPr>
          <w:b/>
          <w:bCs/>
        </w:rPr>
        <w:t>t.</w:t>
      </w:r>
      <w:r w:rsidR="00B15F47">
        <w:rPr>
          <w:rFonts w:hint="cs"/>
          <w:rtl/>
          <w:lang w:val="el-GR"/>
        </w:rPr>
        <w:t>)</w:t>
      </w:r>
      <w:r w:rsidR="00CB0F95">
        <w:rPr>
          <w:rFonts w:hint="cs"/>
          <w:rtl/>
        </w:rPr>
        <w:t xml:space="preserve"> לסדרים ומסכתות זהה לזו של המשנה, ואילו חלוקת הפרקים דומה אך לא זהה.</w:t>
      </w:r>
      <w:r w:rsidR="006907DE">
        <w:rPr>
          <w:rFonts w:hint="cs"/>
          <w:rtl/>
        </w:rPr>
        <w:t xml:space="preserve"> סדר ההלכות בתוספתא עוקב בדרך כלל אחרי סדר ההלכות במשנה, אבל לפעמים אין התאמה מלאה בין החיבורים.</w:t>
      </w:r>
      <w:r w:rsidR="00CB0F95">
        <w:rPr>
          <w:rFonts w:hint="cs"/>
          <w:rtl/>
        </w:rPr>
        <w:t xml:space="preserve"> </w:t>
      </w:r>
      <w:r w:rsidR="00013A56">
        <w:rPr>
          <w:rFonts w:hint="cs"/>
          <w:rtl/>
        </w:rPr>
        <w:t>בנוסף</w:t>
      </w:r>
      <w:r w:rsidR="001F7A6A">
        <w:rPr>
          <w:rFonts w:hint="cs"/>
          <w:rtl/>
        </w:rPr>
        <w:t xml:space="preserve"> למשנה ולתוספתא מצויים גם שני תלמודים, אחד בבלי</w:t>
      </w:r>
      <w:r w:rsidR="008B55F5">
        <w:rPr>
          <w:rFonts w:hint="cs"/>
          <w:rtl/>
        </w:rPr>
        <w:t xml:space="preserve"> (</w:t>
      </w:r>
      <w:r w:rsidR="00D84E5E">
        <w:rPr>
          <w:rFonts w:hint="cs"/>
          <w:rtl/>
        </w:rPr>
        <w:t xml:space="preserve">להלן </w:t>
      </w:r>
      <w:r w:rsidR="00D84E5E" w:rsidRPr="005768B0">
        <w:rPr>
          <w:rFonts w:hint="cs"/>
          <w:b/>
          <w:bCs/>
        </w:rPr>
        <w:t>BT</w:t>
      </w:r>
      <w:r w:rsidR="00D84E5E">
        <w:rPr>
          <w:rFonts w:hint="cs"/>
          <w:rtl/>
        </w:rPr>
        <w:t>)</w:t>
      </w:r>
      <w:r w:rsidR="001F7A6A">
        <w:rPr>
          <w:rFonts w:hint="cs"/>
          <w:rtl/>
        </w:rPr>
        <w:t xml:space="preserve"> ואחד </w:t>
      </w:r>
      <w:r w:rsidR="00D84E5E">
        <w:t>Palestinian</w:t>
      </w:r>
      <w:r w:rsidR="001F7A6A">
        <w:rPr>
          <w:rFonts w:hint="cs"/>
          <w:rtl/>
        </w:rPr>
        <w:t xml:space="preserve"> (מכונה</w:t>
      </w:r>
      <w:r w:rsidR="00337E02">
        <w:rPr>
          <w:rFonts w:hint="cs"/>
          <w:rtl/>
        </w:rPr>
        <w:t xml:space="preserve"> לפעמים</w:t>
      </w:r>
      <w:r w:rsidR="001F7A6A">
        <w:rPr>
          <w:rFonts w:hint="cs"/>
          <w:rtl/>
        </w:rPr>
        <w:t xml:space="preserve"> </w:t>
      </w:r>
      <w:r w:rsidR="008B55F5">
        <w:t>Jerusalem Talmud</w:t>
      </w:r>
      <w:r w:rsidR="008B55F5">
        <w:rPr>
          <w:rFonts w:hint="cs"/>
          <w:rtl/>
          <w:lang w:val="el-GR"/>
        </w:rPr>
        <w:t xml:space="preserve">, להלן </w:t>
      </w:r>
      <w:r w:rsidR="008B55F5" w:rsidRPr="005768B0">
        <w:rPr>
          <w:rFonts w:hint="cs"/>
          <w:b/>
          <w:bCs/>
          <w:lang w:val="el-GR"/>
        </w:rPr>
        <w:t>PT</w:t>
      </w:r>
      <w:r w:rsidR="001F7A6A">
        <w:rPr>
          <w:rFonts w:hint="cs"/>
          <w:rtl/>
        </w:rPr>
        <w:t>).</w:t>
      </w:r>
      <w:r w:rsidR="00A71E92">
        <w:rPr>
          <w:rFonts w:hint="cs"/>
          <w:rtl/>
        </w:rPr>
        <w:t xml:space="preserve"> התלמודים מסודרים גם כן על סדר המשנה, אבל הם אינם מלאים (בכל אחד מהם יש ארבעה </w:t>
      </w:r>
      <w:r w:rsidR="00337E02">
        <w:rPr>
          <w:rFonts w:hint="cs"/>
          <w:rtl/>
        </w:rPr>
        <w:t>'</w:t>
      </w:r>
      <w:r w:rsidR="00A71E92">
        <w:rPr>
          <w:rFonts w:hint="cs"/>
          <w:rtl/>
        </w:rPr>
        <w:t>סדרים</w:t>
      </w:r>
      <w:r w:rsidR="00337E02">
        <w:rPr>
          <w:rFonts w:hint="cs"/>
          <w:rtl/>
        </w:rPr>
        <w:t>'</w:t>
      </w:r>
      <w:r w:rsidR="00A71E92">
        <w:rPr>
          <w:rFonts w:hint="cs"/>
          <w:rtl/>
        </w:rPr>
        <w:t xml:space="preserve"> מתוך שישה</w:t>
      </w:r>
      <w:r w:rsidR="00337E02">
        <w:rPr>
          <w:rFonts w:hint="cs"/>
          <w:rtl/>
        </w:rPr>
        <w:t xml:space="preserve"> שבמשנה</w:t>
      </w:r>
      <w:r w:rsidR="00A71E92">
        <w:rPr>
          <w:rFonts w:hint="cs"/>
          <w:rtl/>
        </w:rPr>
        <w:t>). אלו חיבורים שמכנסים את דבריהם של חכמים מאוחרים למשנה ולתוספתא (המאות השלישית</w:t>
      </w:r>
      <w:r w:rsidR="00B36CEE">
        <w:rPr>
          <w:rFonts w:hint="cs"/>
          <w:rtl/>
        </w:rPr>
        <w:t xml:space="preserve"> עד החמישית בערך). בתוך התלמודים יש הרבה ציטוטים מן המשנה והתוספתא, וגם חומר </w:t>
      </w:r>
      <w:r w:rsidR="009015AF">
        <w:rPr>
          <w:rFonts w:hint="cs"/>
          <w:rtl/>
        </w:rPr>
        <w:t xml:space="preserve">נוסף ששייך לתקופת המשנה, אך מסיבות </w:t>
      </w:r>
      <w:r w:rsidR="003646CA">
        <w:rPr>
          <w:rFonts w:hint="cs"/>
          <w:rtl/>
        </w:rPr>
        <w:t>שונות</w:t>
      </w:r>
      <w:r w:rsidR="009015AF">
        <w:rPr>
          <w:rFonts w:hint="cs"/>
          <w:rtl/>
        </w:rPr>
        <w:t xml:space="preserve"> לא נכנס אליה. את החומר הזה מכנים 'ברייתות' (מילולית: חיצוניות), כלומר, חומר ששייך לתורת התנאים (מחברי המשנה) אבל חיצוני למשנה.</w:t>
      </w:r>
      <w:r w:rsidR="000A0A69">
        <w:rPr>
          <w:rFonts w:hint="cs"/>
          <w:rtl/>
        </w:rPr>
        <w:t xml:space="preserve"> בדיון להלן אביא לפעמים מקבילות או תוספות על פי התלמודים (בעיקר בהערות השוליים).</w:t>
      </w:r>
    </w:p>
  </w:footnote>
  <w:footnote w:id="12">
    <w:p w14:paraId="736C5E3C" w14:textId="781242A3" w:rsidR="00506653" w:rsidRDefault="00506653" w:rsidP="00302B54">
      <w:pPr>
        <w:pStyle w:val="a4"/>
      </w:pPr>
      <w:r>
        <w:rPr>
          <w:rStyle w:val="a6"/>
        </w:rPr>
        <w:footnoteRef/>
      </w:r>
      <w:r>
        <w:rPr>
          <w:rtl/>
        </w:rPr>
        <w:t xml:space="preserve"> </w:t>
      </w:r>
      <w:r w:rsidR="00302B54">
        <w:rPr>
          <w:rFonts w:hint="cs"/>
          <w:rtl/>
        </w:rPr>
        <w:t xml:space="preserve">לעתים באים בתוספתא גם חומרים שמקבילים לגמרי לחומרים שבמשנה. חומרים אלו מעלים את האפשרות שהתוספתא משמרת לפעמים עריכות אלטרנטיביות </w:t>
      </w:r>
      <w:r w:rsidR="00302B54">
        <w:rPr>
          <w:rtl/>
        </w:rPr>
        <w:t>–</w:t>
      </w:r>
      <w:r w:rsidR="00302B54">
        <w:rPr>
          <w:rFonts w:hint="cs"/>
          <w:rtl/>
        </w:rPr>
        <w:t xml:space="preserve"> ואולי קדומות יותר </w:t>
      </w:r>
      <w:r w:rsidR="00302B54">
        <w:rPr>
          <w:rtl/>
        </w:rPr>
        <w:t>–</w:t>
      </w:r>
      <w:r w:rsidR="00302B54">
        <w:rPr>
          <w:rFonts w:hint="cs"/>
          <w:rtl/>
        </w:rPr>
        <w:t xml:space="preserve"> של החומרים שבמשנה.</w:t>
      </w:r>
      <w:r>
        <w:t xml:space="preserve">See: </w:t>
      </w:r>
      <w:r w:rsidRPr="002C4B74">
        <w:t>S</w:t>
      </w:r>
      <w:r>
        <w:t>hamma</w:t>
      </w:r>
      <w:r w:rsidRPr="002C4B74">
        <w:t xml:space="preserve"> Friedman, 'The Primacy of Tosefta to Mishnah in Synoptic Parallels', in</w:t>
      </w:r>
      <w:r>
        <w:t xml:space="preserve"> </w:t>
      </w:r>
      <w:r w:rsidRPr="002C4B74">
        <w:t>H. Fox and T. Meacham</w:t>
      </w:r>
      <w:r>
        <w:t xml:space="preserve"> (eds.),</w:t>
      </w:r>
      <w:r w:rsidRPr="002C4B74">
        <w:t xml:space="preserve"> </w:t>
      </w:r>
      <w:r w:rsidRPr="0031617D">
        <w:rPr>
          <w:i/>
          <w:iCs/>
        </w:rPr>
        <w:t>Introducing Tosefta</w:t>
      </w:r>
      <w:r>
        <w:t xml:space="preserve"> (</w:t>
      </w:r>
      <w:r w:rsidRPr="002C4B74">
        <w:t>New York</w:t>
      </w:r>
      <w:r>
        <w:t>,</w:t>
      </w:r>
      <w:r w:rsidRPr="002C4B74">
        <w:t xml:space="preserve"> 1999</w:t>
      </w:r>
      <w:r>
        <w:t>).</w:t>
      </w:r>
    </w:p>
  </w:footnote>
  <w:footnote w:id="13">
    <w:p w14:paraId="30C0B8BC" w14:textId="2763BEFB" w:rsidR="000F45F4" w:rsidRPr="00276884" w:rsidRDefault="000F45F4" w:rsidP="00D37EC1">
      <w:pPr>
        <w:pStyle w:val="a4"/>
        <w:rPr>
          <w:rtl/>
          <w:lang w:val="el-GR"/>
        </w:rPr>
      </w:pPr>
      <w:r w:rsidRPr="00C55F08">
        <w:rPr>
          <w:rStyle w:val="a6"/>
        </w:rPr>
        <w:footnoteRef/>
      </w:r>
      <w:r w:rsidRPr="00D37EC1">
        <w:rPr>
          <w:rtl/>
        </w:rPr>
        <w:t xml:space="preserve"> על גאיוס וחיבוריו ראו:</w:t>
      </w:r>
      <w:r w:rsidR="00606D9C">
        <w:rPr>
          <w:rFonts w:hint="cs"/>
          <w:rtl/>
        </w:rPr>
        <w:t xml:space="preserve"> </w:t>
      </w:r>
      <w:r w:rsidR="00A365C1">
        <w:t>A. M.</w:t>
      </w:r>
      <w:r w:rsidR="00BB62CF" w:rsidRPr="00BB62CF">
        <w:t xml:space="preserve"> Honoré, </w:t>
      </w:r>
      <w:r w:rsidR="00BB62CF" w:rsidRPr="00BB62CF">
        <w:rPr>
          <w:i/>
          <w:iCs/>
        </w:rPr>
        <w:t>Gaius</w:t>
      </w:r>
      <w:r w:rsidR="00BB62CF" w:rsidRPr="00BB62CF">
        <w:t xml:space="preserve"> </w:t>
      </w:r>
      <w:r w:rsidR="00A365C1">
        <w:t>(</w:t>
      </w:r>
      <w:r w:rsidR="00BB62CF" w:rsidRPr="00BB62CF">
        <w:t>Oxford, 1962</w:t>
      </w:r>
      <w:r w:rsidR="00A365C1">
        <w:t>)</w:t>
      </w:r>
      <w:r w:rsidR="00BB62CF" w:rsidRPr="00BB62CF">
        <w:rPr>
          <w:rtl/>
        </w:rPr>
        <w:t>.</w:t>
      </w:r>
      <w:r w:rsidRPr="00D37EC1">
        <w:rPr>
          <w:rtl/>
        </w:rPr>
        <w:t xml:space="preserve"> הונורה מדגיש את החידתיות הרבה שאופפת את דמותו של גאיוס.</w:t>
      </w:r>
      <w:r w:rsidRPr="00D37EC1">
        <w:rPr>
          <w:rFonts w:hint="cs"/>
          <w:rtl/>
        </w:rPr>
        <w:t xml:space="preserve"> </w:t>
      </w:r>
      <w:r w:rsidR="00276884">
        <w:rPr>
          <w:rFonts w:hint="cs"/>
          <w:rtl/>
        </w:rPr>
        <w:t>על חיבוריו של גאיוס ראו</w:t>
      </w:r>
      <w:r w:rsidR="00052A25">
        <w:rPr>
          <w:rFonts w:hint="cs"/>
          <w:rtl/>
        </w:rPr>
        <w:t xml:space="preserve"> גם</w:t>
      </w:r>
      <w:r w:rsidR="004C69BE">
        <w:rPr>
          <w:rFonts w:hint="cs"/>
          <w:rtl/>
        </w:rPr>
        <w:t xml:space="preserve">: </w:t>
      </w:r>
      <w:r w:rsidR="00707ABD" w:rsidRPr="00707ABD">
        <w:t>U.</w:t>
      </w:r>
      <w:r w:rsidR="00707ABD">
        <w:t xml:space="preserve"> </w:t>
      </w:r>
      <w:r w:rsidR="00707ABD" w:rsidRPr="00707ABD">
        <w:t xml:space="preserve">Babusiaux &amp; </w:t>
      </w:r>
      <w:r w:rsidR="00707ABD">
        <w:t xml:space="preserve">D. </w:t>
      </w:r>
      <w:r w:rsidR="00707ABD" w:rsidRPr="00707ABD">
        <w:t>Mantovani (Eds.)</w:t>
      </w:r>
      <w:r w:rsidR="00707ABD">
        <w:t>,</w:t>
      </w:r>
      <w:r w:rsidR="00707ABD" w:rsidRPr="00707ABD">
        <w:t xml:space="preserve"> </w:t>
      </w:r>
      <w:r w:rsidR="00707ABD" w:rsidRPr="00707ABD">
        <w:rPr>
          <w:i/>
          <w:iCs/>
        </w:rPr>
        <w:t>Le Istituzioni di Gaio: avventure di un bestseller: trasmissione, uso e trasformazione del testo</w:t>
      </w:r>
      <w:r w:rsidR="00707ABD">
        <w:t xml:space="preserve"> (Pavia, 2020)</w:t>
      </w:r>
      <w:r w:rsidR="00707ABD" w:rsidRPr="00707ABD">
        <w:rPr>
          <w:rtl/>
        </w:rPr>
        <w:t>‏</w:t>
      </w:r>
      <w:r w:rsidR="00276884">
        <w:rPr>
          <w:rFonts w:hint="cs"/>
          <w:rtl/>
          <w:lang w:val="el-GR"/>
        </w:rPr>
        <w:t>.</w:t>
      </w:r>
    </w:p>
  </w:footnote>
  <w:footnote w:id="14">
    <w:p w14:paraId="215ED4A5" w14:textId="426924C6" w:rsidR="000F45F4" w:rsidRPr="00D37EC1" w:rsidRDefault="000F45F4" w:rsidP="00D37EC1">
      <w:pPr>
        <w:pStyle w:val="a4"/>
        <w:rPr>
          <w:rtl/>
        </w:rPr>
      </w:pPr>
      <w:r w:rsidRPr="008C23D3">
        <w:rPr>
          <w:rStyle w:val="a6"/>
        </w:rPr>
        <w:footnoteRef/>
      </w:r>
      <w:r w:rsidRPr="00D37EC1">
        <w:rPr>
          <w:rtl/>
        </w:rPr>
        <w:t xml:space="preserve"> המחקר בנושא זה רחב למדי. בנוסף על הנזכר </w:t>
      </w:r>
      <w:r w:rsidRPr="00D37EC1">
        <w:rPr>
          <w:rFonts w:hint="cs"/>
          <w:rtl/>
        </w:rPr>
        <w:t>לעיל</w:t>
      </w:r>
      <w:r w:rsidRPr="00D37EC1">
        <w:rPr>
          <w:rtl/>
        </w:rPr>
        <w:t xml:space="preserve">, טוב להתחיל מהמחקר של: </w:t>
      </w:r>
      <w:r w:rsidR="00976D08" w:rsidRPr="00976D08">
        <w:t xml:space="preserve">H. W. L. Nelson, </w:t>
      </w:r>
      <w:r w:rsidR="00976D08" w:rsidRPr="00976D08">
        <w:rPr>
          <w:i/>
          <w:iCs/>
        </w:rPr>
        <w:t>Überlieferung, Aufbau und Stil von Gai Institutiones</w:t>
      </w:r>
      <w:r w:rsidR="00976D08">
        <w:rPr>
          <w:i/>
          <w:iCs/>
        </w:rPr>
        <w:t xml:space="preserve"> </w:t>
      </w:r>
      <w:r w:rsidR="00976D08">
        <w:t>(Leiden, 1981)</w:t>
      </w:r>
      <w:r w:rsidR="00D0653D" w:rsidRPr="00D37EC1">
        <w:rPr>
          <w:rFonts w:hint="cs"/>
          <w:rtl/>
        </w:rPr>
        <w:t xml:space="preserve"> </w:t>
      </w:r>
      <w:r w:rsidR="00D0653D">
        <w:rPr>
          <w:rFonts w:hint="cs"/>
          <w:rtl/>
        </w:rPr>
        <w:t>ו</w:t>
      </w:r>
      <w:r w:rsidRPr="00D37EC1">
        <w:rPr>
          <w:rtl/>
        </w:rPr>
        <w:t>הביקורת של:</w:t>
      </w:r>
      <w:r w:rsidR="000E1595">
        <w:rPr>
          <w:rFonts w:hint="cs"/>
          <w:rtl/>
        </w:rPr>
        <w:t xml:space="preserve"> </w:t>
      </w:r>
      <w:r w:rsidR="003816C0" w:rsidRPr="003816C0">
        <w:t>Detlef</w:t>
      </w:r>
      <w:r w:rsidR="003816C0">
        <w:t xml:space="preserve"> </w:t>
      </w:r>
      <w:r w:rsidR="003D7720" w:rsidRPr="003D7720">
        <w:t>Liebs,</w:t>
      </w:r>
      <w:r w:rsidR="003816C0">
        <w:t xml:space="preserve"> '</w:t>
      </w:r>
      <w:r w:rsidR="003D7720" w:rsidRPr="003D7720">
        <w:t>[Review of Überlieferung, Aufbau und Stil von Gai Institutiones, by H. L. W. Nelson]</w:t>
      </w:r>
      <w:r w:rsidR="003816C0">
        <w:t>',</w:t>
      </w:r>
      <w:r w:rsidR="003D7720" w:rsidRPr="003D7720">
        <w:t xml:space="preserve"> </w:t>
      </w:r>
      <w:r w:rsidR="003D7720" w:rsidRPr="008C23D3">
        <w:rPr>
          <w:i/>
          <w:iCs/>
        </w:rPr>
        <w:t>Gnomon</w:t>
      </w:r>
      <w:r w:rsidR="003D7720" w:rsidRPr="003D7720">
        <w:t>, 55</w:t>
      </w:r>
      <w:r w:rsidR="008C23D3">
        <w:t xml:space="preserve"> </w:t>
      </w:r>
      <w:r w:rsidR="003D7720" w:rsidRPr="003D7720">
        <w:t>(</w:t>
      </w:r>
      <w:r w:rsidR="008C23D3">
        <w:t>1983</w:t>
      </w:r>
      <w:r w:rsidR="003D7720" w:rsidRPr="003D7720">
        <w:t>)</w:t>
      </w:r>
      <w:r w:rsidRPr="00D37EC1">
        <w:rPr>
          <w:rtl/>
        </w:rPr>
        <w:t>.</w:t>
      </w:r>
    </w:p>
  </w:footnote>
  <w:footnote w:id="15">
    <w:p w14:paraId="04E47D39" w14:textId="56C7AB67" w:rsidR="00E03561" w:rsidRDefault="00E03561" w:rsidP="00D37EC1">
      <w:pPr>
        <w:pStyle w:val="a4"/>
        <w:rPr>
          <w:rtl/>
        </w:rPr>
      </w:pPr>
      <w:r w:rsidRPr="008C23D3">
        <w:rPr>
          <w:rStyle w:val="a6"/>
        </w:rPr>
        <w:footnoteRef/>
      </w:r>
      <w:r w:rsidRPr="00D37EC1">
        <w:rPr>
          <w:rtl/>
        </w:rPr>
        <w:t xml:space="preserve"> </w:t>
      </w:r>
      <w:r w:rsidR="00DE7D16" w:rsidRPr="000F45F4">
        <w:rPr>
          <w:rtl/>
        </w:rPr>
        <w:t>בסוף המאה ה19 הוציא לאור אוטו לנל שני כרכים גדולים שבהם ביקש לשחזר את החיבורים הללו מתוך הציטוטים שבדיגסטה.</w:t>
      </w:r>
      <w:r w:rsidR="00DE7D16">
        <w:rPr>
          <w:rFonts w:hint="cs"/>
          <w:rtl/>
        </w:rPr>
        <w:t xml:space="preserve"> </w:t>
      </w:r>
      <w:r w:rsidRPr="00D37EC1">
        <w:rPr>
          <w:rtl/>
        </w:rPr>
        <w:t xml:space="preserve">ראו: </w:t>
      </w:r>
      <w:r w:rsidR="005853AD" w:rsidRPr="005853AD">
        <w:t xml:space="preserve">O. Lenel, </w:t>
      </w:r>
      <w:r w:rsidR="005853AD" w:rsidRPr="005853AD">
        <w:rPr>
          <w:i/>
          <w:iCs/>
        </w:rPr>
        <w:t>Palingenesia Iuris Civilis: Iuris Consultorum Reliquiae quae Iustiniani Digestis continentur, ceteraque iuris prudentiae civilis fragmenta minora secundum auctores et libros I—II</w:t>
      </w:r>
      <w:r w:rsidR="00B4334D">
        <w:rPr>
          <w:i/>
          <w:iCs/>
        </w:rPr>
        <w:t xml:space="preserve"> </w:t>
      </w:r>
      <w:r w:rsidR="00B4334D" w:rsidRPr="00B4334D">
        <w:t>(</w:t>
      </w:r>
      <w:r w:rsidR="00194624" w:rsidRPr="00194624">
        <w:t>Leipzig</w:t>
      </w:r>
      <w:r w:rsidR="005E455B">
        <w:t>, 1889)</w:t>
      </w:r>
      <w:r w:rsidRPr="00D37EC1">
        <w:rPr>
          <w:rtl/>
        </w:rPr>
        <w:t>.</w:t>
      </w:r>
      <w:r w:rsidRPr="00D37EC1">
        <w:rPr>
          <w:rFonts w:hint="cs"/>
          <w:rtl/>
        </w:rPr>
        <w:t xml:space="preserve"> </w:t>
      </w:r>
      <w:r w:rsidR="0088086E">
        <w:rPr>
          <w:rFonts w:hint="cs"/>
          <w:rtl/>
        </w:rPr>
        <w:t>הציטוטים שלהלן</w:t>
      </w:r>
      <w:r w:rsidRPr="00D37EC1">
        <w:rPr>
          <w:rFonts w:hint="cs"/>
          <w:rtl/>
        </w:rPr>
        <w:t xml:space="preserve"> </w:t>
      </w:r>
      <w:r w:rsidR="00EB2F67">
        <w:rPr>
          <w:rFonts w:hint="cs"/>
          <w:rtl/>
        </w:rPr>
        <w:t>מובא</w:t>
      </w:r>
      <w:r w:rsidR="0088086E">
        <w:rPr>
          <w:rFonts w:hint="cs"/>
          <w:rtl/>
        </w:rPr>
        <w:t>ים</w:t>
      </w:r>
      <w:r w:rsidR="00EB2F67">
        <w:rPr>
          <w:rFonts w:hint="cs"/>
          <w:rtl/>
        </w:rPr>
        <w:t xml:space="preserve"> שם בכרך א</w:t>
      </w:r>
      <w:r w:rsidRPr="00D37EC1">
        <w:rPr>
          <w:rtl/>
        </w:rPr>
        <w:t>, עמ' 251–261.</w:t>
      </w:r>
    </w:p>
  </w:footnote>
  <w:footnote w:id="16">
    <w:p w14:paraId="2A641650" w14:textId="70D86B5E" w:rsidR="00820DA3" w:rsidRPr="00816E99" w:rsidRDefault="00820DA3">
      <w:pPr>
        <w:pStyle w:val="a4"/>
        <w:rPr>
          <w:rtl/>
        </w:rPr>
      </w:pPr>
      <w:r>
        <w:rPr>
          <w:rStyle w:val="a6"/>
        </w:rPr>
        <w:footnoteRef/>
      </w:r>
      <w:r>
        <w:rPr>
          <w:rtl/>
        </w:rPr>
        <w:t xml:space="preserve"> </w:t>
      </w:r>
      <w:r w:rsidR="00816E99">
        <w:rPr>
          <w:rFonts w:hint="cs"/>
          <w:rtl/>
        </w:rPr>
        <w:t xml:space="preserve">עניינים אלו נידונים כמעט בכל מחקר שעוסק בחוק הרומי. לכמה מקורות כלליים ראו: </w:t>
      </w:r>
      <w:r w:rsidR="00BF7C9D" w:rsidRPr="00E12E43">
        <w:t>Tony Honoré</w:t>
      </w:r>
      <w:r w:rsidR="00BF7C9D">
        <w:t>,</w:t>
      </w:r>
      <w:r w:rsidR="00BF7C9D" w:rsidRPr="00E12E43">
        <w:t xml:space="preserve"> </w:t>
      </w:r>
      <w:r w:rsidR="00BF7C9D" w:rsidRPr="00E12E43">
        <w:rPr>
          <w:i/>
          <w:iCs/>
        </w:rPr>
        <w:t>Justinian's Digest: Character and Compilation</w:t>
      </w:r>
      <w:r w:rsidR="00BF7C9D" w:rsidRPr="00E12E43">
        <w:t xml:space="preserve"> (Oxford, 2010</w:t>
      </w:r>
      <w:r w:rsidR="00BF7C9D">
        <w:t>)</w:t>
      </w:r>
      <w:r w:rsidR="005236F0">
        <w:rPr>
          <w:rFonts w:hint="cs"/>
          <w:rtl/>
        </w:rPr>
        <w:t>.</w:t>
      </w:r>
    </w:p>
  </w:footnote>
  <w:footnote w:id="17">
    <w:p w14:paraId="7875E41B" w14:textId="7FE9D823" w:rsidR="00E20A55" w:rsidRPr="00490E19" w:rsidRDefault="00E20A55">
      <w:pPr>
        <w:pStyle w:val="a4"/>
        <w:rPr>
          <w:rFonts w:hint="cs"/>
          <w:rtl/>
          <w:lang w:val="el-GR"/>
        </w:rPr>
      </w:pPr>
      <w:r>
        <w:rPr>
          <w:rStyle w:val="a6"/>
        </w:rPr>
        <w:footnoteRef/>
      </w:r>
      <w:r>
        <w:rPr>
          <w:rtl/>
        </w:rPr>
        <w:t xml:space="preserve"> </w:t>
      </w:r>
      <w:r>
        <w:rPr>
          <w:rFonts w:hint="cs"/>
          <w:rtl/>
        </w:rPr>
        <w:t xml:space="preserve">ראו: </w:t>
      </w:r>
      <w:r w:rsidR="008D632D" w:rsidRPr="00BB62CF">
        <w:t xml:space="preserve">Honoré, </w:t>
      </w:r>
      <w:r w:rsidR="008D632D" w:rsidRPr="00BB62CF">
        <w:rPr>
          <w:i/>
          <w:iCs/>
        </w:rPr>
        <w:t>Gaius</w:t>
      </w:r>
      <w:r w:rsidR="008D632D">
        <w:rPr>
          <w:rFonts w:cs="Times New Roman"/>
        </w:rPr>
        <w:t>,</w:t>
      </w:r>
      <w:r w:rsidR="006D25FE">
        <w:rPr>
          <w:rFonts w:cs="Times New Roman"/>
        </w:rPr>
        <w:t xml:space="preserve"> </w:t>
      </w:r>
      <w:r w:rsidR="00490E19">
        <w:rPr>
          <w:rFonts w:cs="Times New Roman"/>
        </w:rPr>
        <w:t>68</w:t>
      </w:r>
      <w:r w:rsidR="00490E19">
        <w:rPr>
          <w:rFonts w:cs="Times New Roman" w:hint="cs"/>
          <w:rtl/>
          <w:lang w:val="el-GR"/>
        </w:rPr>
        <w:t>.</w:t>
      </w:r>
    </w:p>
  </w:footnote>
  <w:footnote w:id="18">
    <w:p w14:paraId="63DC1D69" w14:textId="243D3E7F" w:rsidR="009A071D" w:rsidRDefault="009A071D">
      <w:pPr>
        <w:pStyle w:val="a4"/>
        <w:rPr>
          <w:rFonts w:hint="cs"/>
          <w:rtl/>
        </w:rPr>
      </w:pPr>
      <w:r>
        <w:rPr>
          <w:rStyle w:val="a6"/>
        </w:rPr>
        <w:footnoteRef/>
      </w:r>
      <w:r>
        <w:rPr>
          <w:rtl/>
        </w:rPr>
        <w:t xml:space="preserve"> </w:t>
      </w:r>
      <w:r>
        <w:rPr>
          <w:rFonts w:hint="cs"/>
          <w:rtl/>
        </w:rPr>
        <w:t xml:space="preserve">לדיון מפורט ראו: </w:t>
      </w:r>
      <w:r w:rsidR="008D632D" w:rsidRPr="00BB62CF">
        <w:t xml:space="preserve">Honoré, </w:t>
      </w:r>
      <w:r w:rsidR="008D632D" w:rsidRPr="00BB62CF">
        <w:rPr>
          <w:i/>
          <w:iCs/>
        </w:rPr>
        <w:t>Gaius</w:t>
      </w:r>
      <w:r w:rsidR="008D632D">
        <w:rPr>
          <w:rFonts w:cs="Times New Roman"/>
        </w:rPr>
        <w:t>,</w:t>
      </w:r>
      <w:r>
        <w:rPr>
          <w:rFonts w:cs="Times New Roman"/>
        </w:rPr>
        <w:t xml:space="preserve"> 70–96</w:t>
      </w:r>
      <w:r>
        <w:rPr>
          <w:rFonts w:hint="cs"/>
          <w:rtl/>
        </w:rPr>
        <w:t>.</w:t>
      </w:r>
    </w:p>
  </w:footnote>
  <w:footnote w:id="19">
    <w:p w14:paraId="51486F22" w14:textId="0123078F" w:rsidR="0029269D" w:rsidRDefault="0029269D" w:rsidP="0029269D">
      <w:pPr>
        <w:pStyle w:val="a4"/>
        <w:rPr>
          <w:rFonts w:hint="cs"/>
          <w:rtl/>
        </w:rPr>
      </w:pPr>
      <w:r>
        <w:rPr>
          <w:rStyle w:val="a6"/>
        </w:rPr>
        <w:footnoteRef/>
      </w:r>
      <w:r>
        <w:rPr>
          <w:rtl/>
        </w:rPr>
        <w:t xml:space="preserve"> </w:t>
      </w:r>
      <w:r>
        <w:rPr>
          <w:rFonts w:hint="cs"/>
          <w:rtl/>
        </w:rPr>
        <w:t xml:space="preserve">התרגום של הדיגסטה לאנגלית על פי </w:t>
      </w:r>
      <w:r w:rsidR="00072705" w:rsidRPr="00072705">
        <w:t xml:space="preserve">Alan Watson (trans.), </w:t>
      </w:r>
      <w:r w:rsidR="00072705" w:rsidRPr="003F3B42">
        <w:rPr>
          <w:i/>
          <w:iCs/>
        </w:rPr>
        <w:t>The Digest of Justinian</w:t>
      </w:r>
      <w:r w:rsidR="00072705" w:rsidRPr="00072705">
        <w:t>, vol. 4, (Philadelphia, 1998)</w:t>
      </w:r>
      <w:r w:rsidR="00072705">
        <w:t>,</w:t>
      </w:r>
      <w:r>
        <w:t xml:space="preserve"> 1–4</w:t>
      </w:r>
      <w:r>
        <w:rPr>
          <w:rFonts w:hint="cs"/>
          <w:rtl/>
        </w:rPr>
        <w:t xml:space="preserve">. </w:t>
      </w:r>
    </w:p>
  </w:footnote>
  <w:footnote w:id="20">
    <w:p w14:paraId="37F99FB7" w14:textId="74C880B4" w:rsidR="00825314" w:rsidRPr="002D05FA" w:rsidRDefault="00825314">
      <w:pPr>
        <w:pStyle w:val="a4"/>
        <w:rPr>
          <w:rFonts w:hint="cs"/>
          <w:rtl/>
        </w:rPr>
      </w:pPr>
      <w:r>
        <w:rPr>
          <w:rStyle w:val="a6"/>
        </w:rPr>
        <w:footnoteRef/>
      </w:r>
      <w:r>
        <w:rPr>
          <w:rtl/>
        </w:rPr>
        <w:t xml:space="preserve"> </w:t>
      </w:r>
      <w:r>
        <w:rPr>
          <w:rFonts w:hint="cs"/>
          <w:rtl/>
        </w:rPr>
        <w:t xml:space="preserve">לניתוח היסטורי של הדיון הזה ראו: </w:t>
      </w:r>
      <w:r w:rsidR="002D05FA">
        <w:t xml:space="preserve">A. </w:t>
      </w:r>
      <w:r w:rsidR="002D05FA" w:rsidRPr="002D05FA">
        <w:t>Plisecka,</w:t>
      </w:r>
      <w:r w:rsidR="002D05FA">
        <w:t xml:space="preserve"> '</w:t>
      </w:r>
      <w:r w:rsidR="002D05FA" w:rsidRPr="002D05FA">
        <w:t>Accessio and specificatio reconsidered</w:t>
      </w:r>
      <w:r w:rsidR="002D05FA">
        <w:t>'</w:t>
      </w:r>
      <w:r w:rsidR="002D05FA" w:rsidRPr="002D05FA">
        <w:t xml:space="preserve">, </w:t>
      </w:r>
      <w:r w:rsidR="002D05FA" w:rsidRPr="00806F24">
        <w:rPr>
          <w:i/>
          <w:iCs/>
        </w:rPr>
        <w:t>Legal History Review</w:t>
      </w:r>
      <w:r w:rsidR="002D05FA" w:rsidRPr="002D05FA">
        <w:t>, 74</w:t>
      </w:r>
      <w:r w:rsidR="00806F24">
        <w:t xml:space="preserve"> (2006)</w:t>
      </w:r>
    </w:p>
  </w:footnote>
  <w:footnote w:id="21">
    <w:p w14:paraId="3F48B640" w14:textId="77777777" w:rsidR="003E34D1" w:rsidRPr="003C34F3" w:rsidRDefault="003E34D1" w:rsidP="003E34D1">
      <w:pPr>
        <w:pStyle w:val="a4"/>
        <w:rPr>
          <w:rtl/>
          <w:lang w:val="el-GR"/>
        </w:rPr>
      </w:pPr>
      <w:r>
        <w:rPr>
          <w:rStyle w:val="a6"/>
        </w:rPr>
        <w:footnoteRef/>
      </w:r>
      <w:r>
        <w:rPr>
          <w:rtl/>
        </w:rPr>
        <w:t xml:space="preserve"> </w:t>
      </w:r>
      <w:r>
        <w:rPr>
          <w:rFonts w:hint="cs"/>
          <w:rtl/>
        </w:rPr>
        <w:t>יש שחילקו גם בין קניין בעקבות זריעה (</w:t>
      </w:r>
      <w:r w:rsidRPr="00E15EB7">
        <w:rPr>
          <w:i/>
          <w:iCs/>
        </w:rPr>
        <w:t>satio</w:t>
      </w:r>
      <w:r>
        <w:rPr>
          <w:rFonts w:hint="cs"/>
          <w:rtl/>
          <w:lang w:val="el-GR"/>
        </w:rPr>
        <w:t>) ובין קניין בעקבות נטיעה (</w:t>
      </w:r>
      <w:r w:rsidRPr="00E15EB7">
        <w:rPr>
          <w:i/>
          <w:iCs/>
        </w:rPr>
        <w:t>implantatio</w:t>
      </w:r>
      <w:r>
        <w:rPr>
          <w:rFonts w:hint="cs"/>
          <w:rtl/>
          <w:lang w:val="el-GR"/>
        </w:rPr>
        <w:t xml:space="preserve">). ראו: </w:t>
      </w:r>
      <w:r w:rsidRPr="00303B25">
        <w:t>David Daube,</w:t>
      </w:r>
      <w:r>
        <w:t xml:space="preserve"> '</w:t>
      </w:r>
      <w:r w:rsidRPr="00303B25">
        <w:t>Implantatio and Satio</w:t>
      </w:r>
      <w:r>
        <w:t>'</w:t>
      </w:r>
      <w:r w:rsidRPr="00303B25">
        <w:t xml:space="preserve">, </w:t>
      </w:r>
      <w:r w:rsidRPr="00431BF5">
        <w:rPr>
          <w:i/>
          <w:iCs/>
        </w:rPr>
        <w:t>Acta Juridica</w:t>
      </w:r>
      <w:r>
        <w:t>,</w:t>
      </w:r>
      <w:r w:rsidRPr="00303B25">
        <w:t xml:space="preserve"> </w:t>
      </w:r>
      <w:r>
        <w:t xml:space="preserve">1 (1958) </w:t>
      </w:r>
      <w:r>
        <w:rPr>
          <w:rFonts w:hint="cs"/>
          <w:rtl/>
          <w:lang w:val="el-GR"/>
        </w:rPr>
        <w:t>.</w:t>
      </w:r>
    </w:p>
  </w:footnote>
  <w:footnote w:id="22">
    <w:p w14:paraId="6E677887" w14:textId="7E279FD5" w:rsidR="00AE1C48" w:rsidRDefault="00AE1C48" w:rsidP="007E0B41">
      <w:pPr>
        <w:pStyle w:val="a4"/>
        <w:rPr>
          <w:rtl/>
        </w:rPr>
      </w:pPr>
      <w:r>
        <w:rPr>
          <w:rStyle w:val="a6"/>
        </w:rPr>
        <w:footnoteRef/>
      </w:r>
      <w:r>
        <w:rPr>
          <w:rtl/>
        </w:rPr>
        <w:t xml:space="preserve"> </w:t>
      </w:r>
      <w:r>
        <w:rPr>
          <w:rFonts w:hint="cs"/>
          <w:rtl/>
        </w:rPr>
        <w:t xml:space="preserve">המשנה מובאת לפי התרגום של </w:t>
      </w:r>
      <w:r w:rsidR="00476739">
        <w:t>Hayim Lapin</w:t>
      </w:r>
      <w:r w:rsidR="00223E3F">
        <w:t xml:space="preserve"> in</w:t>
      </w:r>
      <w:r w:rsidR="00506383">
        <w:t>:</w:t>
      </w:r>
      <w:r w:rsidR="00223E3F">
        <w:t xml:space="preserve"> </w:t>
      </w:r>
      <w:r w:rsidR="00506383" w:rsidRPr="00506383">
        <w:t>Shaye J.D. Cohen</w:t>
      </w:r>
      <w:r w:rsidR="00506383">
        <w:t xml:space="preserve"> et al.</w:t>
      </w:r>
      <w:r w:rsidR="00506383" w:rsidRPr="00506383">
        <w:t xml:space="preserve"> (Eds.)</w:t>
      </w:r>
      <w:r w:rsidR="005434C6">
        <w:t>,</w:t>
      </w:r>
      <w:r w:rsidR="00506383" w:rsidRPr="005434C6">
        <w:rPr>
          <w:i/>
          <w:iCs/>
        </w:rPr>
        <w:t xml:space="preserve"> The Oxford Annotated Mishnah</w:t>
      </w:r>
      <w:r w:rsidR="005434C6">
        <w:t>,</w:t>
      </w:r>
      <w:r w:rsidR="00506383" w:rsidRPr="00506383">
        <w:t xml:space="preserve"> </w:t>
      </w:r>
      <w:r w:rsidR="005434C6">
        <w:t>(</w:t>
      </w:r>
      <w:r w:rsidR="00506383" w:rsidRPr="00506383">
        <w:t>Oxford</w:t>
      </w:r>
      <w:r w:rsidR="005434C6">
        <w:t xml:space="preserve">, 2022), </w:t>
      </w:r>
      <w:r w:rsidR="0040295B">
        <w:t>370–1</w:t>
      </w:r>
      <w:r w:rsidR="000250E3">
        <w:rPr>
          <w:rFonts w:hint="cs"/>
          <w:rtl/>
          <w:lang w:val="el-GR"/>
        </w:rPr>
        <w:t>,</w:t>
      </w:r>
      <w:r>
        <w:rPr>
          <w:rFonts w:hint="cs"/>
          <w:rtl/>
          <w:lang w:val="el-GR"/>
        </w:rPr>
        <w:t xml:space="preserve"> בשינויים קלים.</w:t>
      </w:r>
      <w:r>
        <w:rPr>
          <w:rFonts w:hint="cs"/>
          <w:rtl/>
        </w:rPr>
        <w:t xml:space="preserve"> </w:t>
      </w:r>
    </w:p>
  </w:footnote>
  <w:footnote w:id="23">
    <w:p w14:paraId="1A05D488" w14:textId="72A97EB2" w:rsidR="007E0B41" w:rsidRDefault="007E0B41" w:rsidP="0012126B">
      <w:pPr>
        <w:pStyle w:val="a4"/>
        <w:rPr>
          <w:rtl/>
        </w:rPr>
      </w:pPr>
      <w:r>
        <w:rPr>
          <w:rStyle w:val="a6"/>
        </w:rPr>
        <w:footnoteRef/>
      </w:r>
      <w:r>
        <w:rPr>
          <w:rtl/>
        </w:rPr>
        <w:t xml:space="preserve"> </w:t>
      </w:r>
      <w:r>
        <w:rPr>
          <w:rFonts w:hint="cs"/>
          <w:rtl/>
        </w:rPr>
        <w:t>את התוספתא תרגמתי בעצמי על פי הטקסט ב</w:t>
      </w:r>
      <w:r w:rsidR="004E680D" w:rsidRPr="004E680D">
        <w:t xml:space="preserve"> S</w:t>
      </w:r>
      <w:r w:rsidR="006148B2">
        <w:t>aul</w:t>
      </w:r>
      <w:r w:rsidR="004E680D" w:rsidRPr="004E680D">
        <w:t xml:space="preserve"> Lieberman (ed.), </w:t>
      </w:r>
      <w:r w:rsidR="004E680D" w:rsidRPr="006148B2">
        <w:rPr>
          <w:i/>
          <w:iCs/>
        </w:rPr>
        <w:t>The Tosefta according to Codex Vienna, The Order of Nezikin</w:t>
      </w:r>
      <w:r w:rsidR="004E680D" w:rsidRPr="004E680D">
        <w:t xml:space="preserve"> (New York, 1988)</w:t>
      </w:r>
      <w:r w:rsidR="004E680D">
        <w:t>,</w:t>
      </w:r>
      <w:r w:rsidR="00D80AEC">
        <w:t xml:space="preserve"> 50–</w:t>
      </w:r>
      <w:r w:rsidR="006148B2">
        <w:t>1</w:t>
      </w:r>
      <w:r>
        <w:rPr>
          <w:rFonts w:hint="cs"/>
          <w:rtl/>
        </w:rPr>
        <w:t>.</w:t>
      </w:r>
      <w:r w:rsidR="00D80AEC">
        <w:rPr>
          <w:rFonts w:hint="cs"/>
          <w:rtl/>
        </w:rPr>
        <w:t xml:space="preserve"> חילופי נוסח מלאים מצויים שם.</w:t>
      </w:r>
      <w:r>
        <w:rPr>
          <w:rFonts w:hint="cs"/>
          <w:rtl/>
        </w:rPr>
        <w:t xml:space="preserve"> אני מודה לידידי </w:t>
      </w:r>
      <w:r w:rsidR="00810C3F" w:rsidRPr="00810C3F">
        <w:t>Jonathan Howard</w:t>
      </w:r>
      <w:r>
        <w:rPr>
          <w:rFonts w:hint="cs"/>
          <w:rtl/>
        </w:rPr>
        <w:t xml:space="preserve"> שסייע לי במלאכת התרגום. </w:t>
      </w:r>
      <w:r w:rsidR="00A100B8">
        <w:rPr>
          <w:rFonts w:hint="cs"/>
          <w:rtl/>
        </w:rPr>
        <w:t xml:space="preserve">פירוש מפורט של ההלכות ראו: </w:t>
      </w:r>
      <w:r w:rsidR="00296CE5">
        <w:t>S</w:t>
      </w:r>
      <w:r w:rsidR="006148B2">
        <w:t>aul</w:t>
      </w:r>
      <w:r w:rsidR="00296CE5">
        <w:t xml:space="preserve"> </w:t>
      </w:r>
      <w:r w:rsidR="00A100B8">
        <w:rPr>
          <w:rFonts w:hint="cs"/>
        </w:rPr>
        <w:t>L</w:t>
      </w:r>
      <w:r w:rsidR="006F101F">
        <w:t>ieberman</w:t>
      </w:r>
      <w:r w:rsidR="00296CE5">
        <w:t xml:space="preserve">, </w:t>
      </w:r>
      <w:r w:rsidR="00296CE5" w:rsidRPr="00296CE5">
        <w:rPr>
          <w:i/>
          <w:iCs/>
        </w:rPr>
        <w:t>Tosefta Ki-fshutah a comprehensive commentary on the Tosefta</w:t>
      </w:r>
      <w:r w:rsidR="009D7078" w:rsidRPr="009D7078">
        <w:t xml:space="preserve"> </w:t>
      </w:r>
      <w:r w:rsidR="009D7078" w:rsidRPr="004E680D">
        <w:t>(New York, 1988)</w:t>
      </w:r>
      <w:r w:rsidR="009D7078">
        <w:t>,</w:t>
      </w:r>
      <w:r w:rsidR="00A00D73">
        <w:t xml:space="preserve"> 112–16</w:t>
      </w:r>
      <w:r w:rsidR="009D7078">
        <w:t xml:space="preserve"> [in Hebrew]</w:t>
      </w:r>
      <w:r w:rsidR="00A00D73">
        <w:rPr>
          <w:rFonts w:hint="cs"/>
          <w:rtl/>
          <w:lang w:val="el-GR"/>
        </w:rPr>
        <w:t>.</w:t>
      </w:r>
      <w:r w:rsidR="00A00D73">
        <w:t xml:space="preserve"> </w:t>
      </w:r>
    </w:p>
  </w:footnote>
  <w:footnote w:id="24">
    <w:p w14:paraId="63512E11" w14:textId="77777777" w:rsidR="008249E4" w:rsidRDefault="008249E4" w:rsidP="008249E4">
      <w:pPr>
        <w:pStyle w:val="a4"/>
        <w:rPr>
          <w:rtl/>
        </w:rPr>
      </w:pPr>
      <w:r>
        <w:rPr>
          <w:rStyle w:val="a6"/>
        </w:rPr>
        <w:footnoteRef/>
      </w:r>
      <w:r>
        <w:rPr>
          <w:rtl/>
        </w:rPr>
        <w:t xml:space="preserve"> </w:t>
      </w:r>
      <w:r>
        <w:rPr>
          <w:rFonts w:hint="cs"/>
          <w:rtl/>
        </w:rPr>
        <w:t xml:space="preserve">הפועל העברי 'שינה' מופיעה בגוף שלישי יחיד עבר, ולכאורה מתייחס לפעולה של הגזלן. אבל מצוי גם שימוש נדיר של צורה זו לתיאור פועל סתמי, ואז יש לתרגם 'ולא השתנתה מברייתה'. ההבדל בין התרגומים הוא אם הדין חל דווקא במקרה שהגזלן שינה, או גם במקרה שהגזילה נשתנתה מסיבות אחרות. </w:t>
      </w:r>
    </w:p>
  </w:footnote>
  <w:footnote w:id="25">
    <w:p w14:paraId="2481FC0B" w14:textId="2C5BFAFD" w:rsidR="00CB7382" w:rsidRPr="00F370B3" w:rsidRDefault="00CB7382" w:rsidP="00F370B3">
      <w:pPr>
        <w:pStyle w:val="a4"/>
        <w:rPr>
          <w:rFonts w:hint="cs"/>
          <w:highlight w:val="yellow"/>
          <w:rtl/>
        </w:rPr>
      </w:pPr>
      <w:r>
        <w:rPr>
          <w:rStyle w:val="a6"/>
        </w:rPr>
        <w:footnoteRef/>
      </w:r>
      <w:r>
        <w:rPr>
          <w:rtl/>
        </w:rPr>
        <w:t xml:space="preserve"> </w:t>
      </w:r>
      <w:r w:rsidR="0012126B" w:rsidRPr="0012126B">
        <w:rPr>
          <w:rFonts w:hint="cs"/>
          <w:rtl/>
        </w:rPr>
        <w:t>החוק משתמש</w:t>
      </w:r>
      <w:r w:rsidR="0012126B">
        <w:rPr>
          <w:rFonts w:hint="cs"/>
          <w:rtl/>
        </w:rPr>
        <w:t xml:space="preserve"> בשתי מילים די נדירות בעברית 'מריש' (</w:t>
      </w:r>
      <w:r w:rsidR="0012126B">
        <w:t>a beam</w:t>
      </w:r>
      <w:r w:rsidR="0012126B">
        <w:rPr>
          <w:rFonts w:hint="cs"/>
          <w:rtl/>
        </w:rPr>
        <w:t>) ו'בירה'</w:t>
      </w:r>
      <w:r w:rsidR="00381CFE">
        <w:rPr>
          <w:rFonts w:hint="cs"/>
          <w:rtl/>
        </w:rPr>
        <w:t>. פנחס מנדל דן בזיהויה של ה'בירה' בלשון חכמים וזיהה אותה עם ה</w:t>
      </w:r>
      <w:r w:rsidR="00855AEA" w:rsidRPr="00855AEA">
        <w:t xml:space="preserve"> βᾶρις</w:t>
      </w:r>
      <w:r w:rsidR="00855AEA" w:rsidRPr="00855AEA">
        <w:rPr>
          <w:rFonts w:hint="cs"/>
          <w:rtl/>
        </w:rPr>
        <w:t>היווני</w:t>
      </w:r>
      <w:r w:rsidR="00855AEA" w:rsidRPr="0082087B">
        <w:rPr>
          <w:rFonts w:hint="cs"/>
          <w:rtl/>
        </w:rPr>
        <w:t xml:space="preserve"> או ה</w:t>
      </w:r>
      <w:r w:rsidR="00855AEA" w:rsidRPr="0082087B">
        <w:t>Insula</w:t>
      </w:r>
      <w:r w:rsidR="000D3BE9" w:rsidRPr="0082087B">
        <w:rPr>
          <w:rFonts w:hint="cs"/>
          <w:rtl/>
          <w:lang w:val="el-GR"/>
        </w:rPr>
        <w:t xml:space="preserve"> הרומית</w:t>
      </w:r>
      <w:r w:rsidR="0082087B">
        <w:rPr>
          <w:rFonts w:hint="cs"/>
          <w:rtl/>
          <w:lang w:val="el-GR"/>
        </w:rPr>
        <w:t>, כלומר מבנה גדול ששימש בדרך כלל בניין דירות לכמה משפחות.</w:t>
      </w:r>
      <w:r w:rsidR="005259B7" w:rsidRPr="00F370B3">
        <w:rPr>
          <w:rFonts w:hint="cs"/>
          <w:rtl/>
        </w:rPr>
        <w:t xml:space="preserve"> ראו: </w:t>
      </w:r>
      <w:r w:rsidR="009D7078" w:rsidRPr="009D7078">
        <w:t>Pinchas Mandel</w:t>
      </w:r>
      <w:r w:rsidR="009D7078">
        <w:t>,</w:t>
      </w:r>
      <w:r w:rsidR="009D7078" w:rsidRPr="009D7078">
        <w:t xml:space="preserve"> </w:t>
      </w:r>
      <w:r w:rsidR="009D7078">
        <w:t>''</w:t>
      </w:r>
      <w:r w:rsidR="009D7078" w:rsidRPr="009D7078">
        <w:t>Birah</w:t>
      </w:r>
      <w:r w:rsidR="009D7078">
        <w:t>'</w:t>
      </w:r>
      <w:r w:rsidR="009D7078" w:rsidRPr="009D7078">
        <w:t xml:space="preserve"> as an Architectural Term in Rabbinic Literature</w:t>
      </w:r>
      <w:r w:rsidR="009D7078">
        <w:t>'</w:t>
      </w:r>
      <w:r w:rsidR="009D7078" w:rsidRPr="009D7078">
        <w:t xml:space="preserve">, </w:t>
      </w:r>
      <w:r w:rsidR="009D7078" w:rsidRPr="009D7078">
        <w:rPr>
          <w:i/>
          <w:iCs/>
        </w:rPr>
        <w:t>Tarbiz</w:t>
      </w:r>
      <w:r w:rsidR="009D7078" w:rsidRPr="009D7078">
        <w:t>, 61</w:t>
      </w:r>
      <w:r w:rsidR="009D7078">
        <w:t xml:space="preserve"> (1992)</w:t>
      </w:r>
      <w:r w:rsidR="00CF65C9">
        <w:t xml:space="preserve"> [in Hebrew]</w:t>
      </w:r>
      <w:r w:rsidR="00F370B3" w:rsidRPr="00F370B3">
        <w:rPr>
          <w:rFonts w:hint="cs"/>
          <w:rtl/>
        </w:rPr>
        <w:t>. ייתכן שמילים נדירות אלו קשורות בניסוחו הקדום של החוק או בתרגומו ממקור זר.</w:t>
      </w:r>
    </w:p>
  </w:footnote>
  <w:footnote w:id="26">
    <w:p w14:paraId="320B9A57" w14:textId="27D96419" w:rsidR="001078CC" w:rsidRDefault="001078CC">
      <w:pPr>
        <w:pStyle w:val="a4"/>
        <w:rPr>
          <w:rFonts w:hint="cs"/>
          <w:rtl/>
        </w:rPr>
      </w:pPr>
      <w:r>
        <w:rPr>
          <w:rStyle w:val="a6"/>
        </w:rPr>
        <w:footnoteRef/>
      </w:r>
      <w:r>
        <w:rPr>
          <w:rtl/>
        </w:rPr>
        <w:t xml:space="preserve"> </w:t>
      </w:r>
      <w:r w:rsidR="00B36A1A">
        <w:rPr>
          <w:rFonts w:hint="cs"/>
          <w:rtl/>
        </w:rPr>
        <w:t>המשמעות המדוייקת של 'תקנת שבים' (</w:t>
      </w:r>
      <w:r w:rsidR="00B36A1A" w:rsidRPr="002A4B4C">
        <w:t>enactment of the repenters</w:t>
      </w:r>
      <w:r w:rsidR="00B36A1A">
        <w:rPr>
          <w:rFonts w:hint="cs"/>
          <w:rtl/>
          <w:lang w:val="el-GR"/>
        </w:rPr>
        <w:t xml:space="preserve">) </w:t>
      </w:r>
      <w:r w:rsidR="00D958A3">
        <w:rPr>
          <w:rFonts w:hint="cs"/>
          <w:rtl/>
          <w:lang w:val="el-GR"/>
        </w:rPr>
        <w:t>אינה למגרי ברורה</w:t>
      </w:r>
      <w:r w:rsidR="00B36A1A">
        <w:rPr>
          <w:rFonts w:hint="cs"/>
          <w:rtl/>
          <w:lang w:val="el-GR"/>
        </w:rPr>
        <w:t>. בכל אופן, ברור שמטרת החוק של בית הלל לעודד את הגזלנים ל</w:t>
      </w:r>
      <w:r w:rsidR="007004EA">
        <w:rPr>
          <w:rFonts w:hint="cs"/>
          <w:rtl/>
          <w:lang w:val="el-GR"/>
        </w:rPr>
        <w:t>תקן את מעשיהם</w:t>
      </w:r>
      <w:r w:rsidR="0017340D">
        <w:rPr>
          <w:rFonts w:hint="cs"/>
          <w:rtl/>
          <w:lang w:val="el-GR"/>
        </w:rPr>
        <w:t>, אולי מסיבה חברתית (שקרבנות הגזילה יקבלו פיצוי) ואולי מסיבה דתית (דאגה לגזלנים שיוכלו לחזור בקלות בתשובה).</w:t>
      </w:r>
    </w:p>
  </w:footnote>
  <w:footnote w:id="27">
    <w:p w14:paraId="220F4C8D" w14:textId="0A6E5354" w:rsidR="006F4B6D" w:rsidRDefault="006F4B6D" w:rsidP="006F4B6D">
      <w:pPr>
        <w:pStyle w:val="a4"/>
        <w:rPr>
          <w:rtl/>
        </w:rPr>
      </w:pPr>
      <w:r>
        <w:rPr>
          <w:rStyle w:val="a6"/>
        </w:rPr>
        <w:footnoteRef/>
      </w:r>
      <w:r>
        <w:rPr>
          <w:rtl/>
        </w:rPr>
        <w:t xml:space="preserve"> </w:t>
      </w:r>
      <w:r>
        <w:rPr>
          <w:rFonts w:hint="cs"/>
          <w:rtl/>
        </w:rPr>
        <w:t>שני בתי המדרש הרומיים, בית פרוקולוס ובית סאבינוס, מושווים פעמים רבות לבני זמנם היהודיים, בית הלל ובית שמאי. ראו למשל:</w:t>
      </w:r>
      <w:r w:rsidR="00DE5334">
        <w:rPr>
          <w:rFonts w:hint="cs"/>
          <w:b/>
          <w:bCs/>
          <w:rtl/>
        </w:rPr>
        <w:t xml:space="preserve"> </w:t>
      </w:r>
      <w:r w:rsidR="00CF65C9" w:rsidRPr="00CF65C9">
        <w:t xml:space="preserve">E.S. Rosenthal, </w:t>
      </w:r>
      <w:r w:rsidR="00CF65C9" w:rsidRPr="00CF65C9">
        <w:rPr>
          <w:i/>
          <w:iCs/>
        </w:rPr>
        <w:t>Studies In Talmudic Literature</w:t>
      </w:r>
      <w:r w:rsidR="00CF65C9" w:rsidRPr="00CF65C9">
        <w:t xml:space="preserve"> (Jerusalem, 2021)</w:t>
      </w:r>
      <w:r w:rsidR="00BD0082">
        <w:t>,</w:t>
      </w:r>
      <w:r w:rsidR="00B83A14">
        <w:t xml:space="preserve"> 739–56</w:t>
      </w:r>
      <w:r w:rsidR="00BD0082">
        <w:t xml:space="preserve"> [in Hebrew]</w:t>
      </w:r>
      <w:r>
        <w:rPr>
          <w:rFonts w:hint="cs"/>
          <w:rtl/>
        </w:rPr>
        <w:t xml:space="preserve">. מעניין הוא שלפעמים בית המדרש היהודי והרומי נחלקים באותה מחלוקת עצמה. במקרה זה גאיוס מעיד על מחלוקת בין שני </w:t>
      </w:r>
      <w:r w:rsidR="0024522D">
        <w:rPr>
          <w:rFonts w:hint="cs"/>
          <w:rtl/>
        </w:rPr>
        <w:t xml:space="preserve">האסכולות לגבי </w:t>
      </w:r>
      <w:r w:rsidR="0024522D">
        <w:rPr>
          <w:i/>
          <w:iCs/>
        </w:rPr>
        <w:t>specificatio</w:t>
      </w:r>
      <w:r w:rsidR="0024522D">
        <w:rPr>
          <w:rFonts w:hint="cs"/>
          <w:rtl/>
        </w:rPr>
        <w:t>.</w:t>
      </w:r>
      <w:r>
        <w:rPr>
          <w:rFonts w:hint="cs"/>
          <w:rtl/>
        </w:rPr>
        <w:t xml:space="preserve"> לא השתמרה לנו במקורות התנאיים מחלוקת מפורשת של ב"ש וב"ה שמקבילה למחלוקת הרומית, אך על פי ה</w:t>
      </w:r>
      <w:r w:rsidR="0024522D">
        <w:rPr>
          <w:rFonts w:hint="cs"/>
          <w:rtl/>
        </w:rPr>
        <w:t>תלמוד ה</w:t>
      </w:r>
      <w:r>
        <w:rPr>
          <w:rFonts w:hint="cs"/>
          <w:rtl/>
        </w:rPr>
        <w:t xml:space="preserve">בבלי הם אמנם נחלקו בה (ראו: בבלי בבא קמא, סה ע"ב, צג ע"ב; </w:t>
      </w:r>
      <w:r w:rsidR="0024522D" w:rsidRPr="00386078">
        <w:t>Cohen</w:t>
      </w:r>
      <w:r w:rsidR="00853ABD">
        <w:t xml:space="preserve">, </w:t>
      </w:r>
      <w:r w:rsidR="00853ABD" w:rsidRPr="00853ABD">
        <w:rPr>
          <w:i/>
          <w:iCs/>
        </w:rPr>
        <w:t>Jewish and Roman Law</w:t>
      </w:r>
      <w:r w:rsidR="00853ABD">
        <w:t>,</w:t>
      </w:r>
      <w:r w:rsidR="0024522D" w:rsidRPr="00386078">
        <w:t xml:space="preserve"> </w:t>
      </w:r>
      <w:r w:rsidR="00386078" w:rsidRPr="00386078">
        <w:t>502–3</w:t>
      </w:r>
      <w:r>
        <w:rPr>
          <w:rFonts w:hint="cs"/>
          <w:rtl/>
        </w:rPr>
        <w:t>).</w:t>
      </w:r>
    </w:p>
  </w:footnote>
  <w:footnote w:id="28">
    <w:p w14:paraId="71C785FA" w14:textId="257CB3D0" w:rsidR="002B055F" w:rsidRDefault="002B055F">
      <w:pPr>
        <w:pStyle w:val="a4"/>
        <w:rPr>
          <w:rFonts w:hint="cs"/>
          <w:rtl/>
        </w:rPr>
      </w:pPr>
      <w:r>
        <w:rPr>
          <w:rStyle w:val="a6"/>
        </w:rPr>
        <w:footnoteRef/>
      </w:r>
      <w:r>
        <w:rPr>
          <w:rtl/>
        </w:rPr>
        <w:t xml:space="preserve"> </w:t>
      </w:r>
      <w:r w:rsidR="00F12FDD">
        <w:rPr>
          <w:rFonts w:hint="cs"/>
        </w:rPr>
        <w:t>P</w:t>
      </w:r>
      <w:r w:rsidR="00F12FDD">
        <w:t>T. B. Qam. 6</w:t>
      </w:r>
      <w:r w:rsidR="00397DE7">
        <w:t>d</w:t>
      </w:r>
      <w:r w:rsidRPr="006A43EB">
        <w:rPr>
          <w:rFonts w:hint="cs"/>
          <w:rtl/>
        </w:rPr>
        <w:t xml:space="preserve"> </w:t>
      </w:r>
      <w:r>
        <w:rPr>
          <w:rFonts w:hint="cs"/>
          <w:rtl/>
        </w:rPr>
        <w:t>שואל על הברייתא שאלה</w:t>
      </w:r>
      <w:r w:rsidRPr="006A43EB">
        <w:rPr>
          <w:rFonts w:hint="cs"/>
          <w:rtl/>
        </w:rPr>
        <w:t>: '</w:t>
      </w:r>
      <w:r w:rsidRPr="006A43EB">
        <w:rPr>
          <w:rtl/>
        </w:rPr>
        <w:t>אלא בנה במקום שאין ראוי לבנות</w:t>
      </w:r>
      <w:r w:rsidRPr="006A43EB">
        <w:rPr>
          <w:rFonts w:hint="cs"/>
          <w:rtl/>
        </w:rPr>
        <w:t>,</w:t>
      </w:r>
      <w:r w:rsidRPr="006A43EB">
        <w:rPr>
          <w:rtl/>
        </w:rPr>
        <w:t xml:space="preserve"> </w:t>
      </w:r>
      <w:r w:rsidRPr="006A43EB">
        <w:rPr>
          <w:u w:val="single"/>
          <w:rtl/>
        </w:rPr>
        <w:t>ונטע במקום שאינו ראוי ליטע</w:t>
      </w:r>
      <w:r w:rsidRPr="006A43EB">
        <w:rPr>
          <w:rFonts w:hint="cs"/>
          <w:rtl/>
        </w:rPr>
        <w:t>?'.</w:t>
      </w:r>
      <w:r w:rsidR="00A548A4">
        <w:rPr>
          <w:rFonts w:hint="cs"/>
          <w:rtl/>
        </w:rPr>
        <w:t xml:space="preserve"> מנוסח השאלה נראה שהברייתא שלו התייחסה גם לדין הנטיעות.</w:t>
      </w:r>
      <w:r w:rsidRPr="006A43EB">
        <w:rPr>
          <w:rFonts w:hint="cs"/>
          <w:rtl/>
        </w:rPr>
        <w:t xml:space="preserve"> ראו גם </w:t>
      </w:r>
      <w:r w:rsidR="00C41A03">
        <w:t>BT. B. Me</w:t>
      </w:r>
      <w:r w:rsidR="00807CC3">
        <w:t>s</w:t>
      </w:r>
      <w:r w:rsidR="00807CC3">
        <w:rPr>
          <w:rFonts w:cs="Times New Roman"/>
        </w:rPr>
        <w:t>̣</w:t>
      </w:r>
      <w:r w:rsidR="00807CC3">
        <w:t>i</w:t>
      </w:r>
      <w:r w:rsidR="00807CC3">
        <w:rPr>
          <w:rFonts w:cs="Times New Roman"/>
        </w:rPr>
        <w:t>ʿ</w:t>
      </w:r>
      <w:r w:rsidR="00807CC3">
        <w:t>a</w:t>
      </w:r>
      <w:r w:rsidR="00484D9D">
        <w:t xml:space="preserve">. 101a; </w:t>
      </w:r>
      <w:r w:rsidR="00484D9D" w:rsidRPr="00022499">
        <w:rPr>
          <w:i/>
          <w:iCs/>
        </w:rPr>
        <w:t xml:space="preserve">Migdal </w:t>
      </w:r>
      <w:r w:rsidR="00022499" w:rsidRPr="00022499">
        <w:rPr>
          <w:rFonts w:cs="Times New Roman"/>
          <w:i/>
          <w:iCs/>
        </w:rPr>
        <w:t>ʿ</w:t>
      </w:r>
      <w:r w:rsidR="00484D9D" w:rsidRPr="00022499">
        <w:rPr>
          <w:i/>
          <w:iCs/>
        </w:rPr>
        <w:t>Oz</w:t>
      </w:r>
      <w:r w:rsidR="00484D9D">
        <w:t xml:space="preserve"> </w:t>
      </w:r>
      <w:r w:rsidR="00BF68AE">
        <w:t>commenta</w:t>
      </w:r>
      <w:r w:rsidR="00B81A85">
        <w:t xml:space="preserve">ry </w:t>
      </w:r>
      <w:r w:rsidR="00484D9D">
        <w:t>on Maimo</w:t>
      </w:r>
      <w:r w:rsidR="00022499">
        <w:t>nides</w:t>
      </w:r>
      <w:r w:rsidR="009E394C">
        <w:t xml:space="preserve">' </w:t>
      </w:r>
      <w:r w:rsidR="009E394C" w:rsidRPr="009E394C">
        <w:rPr>
          <w:i/>
          <w:iCs/>
        </w:rPr>
        <w:t>Mishneh Torah</w:t>
      </w:r>
      <w:r w:rsidR="009E394C" w:rsidRPr="009E394C">
        <w:t>,</w:t>
      </w:r>
      <w:r w:rsidR="009E394C">
        <w:t xml:space="preserve"> </w:t>
      </w:r>
      <w:r w:rsidR="00033A77">
        <w:t xml:space="preserve">laws of </w:t>
      </w:r>
      <w:r w:rsidR="00364733" w:rsidRPr="00BF68AE">
        <w:rPr>
          <w:i/>
          <w:iCs/>
        </w:rPr>
        <w:t>skhirut</w:t>
      </w:r>
      <w:r w:rsidR="00BF68AE">
        <w:t>, 10:4</w:t>
      </w:r>
      <w:r w:rsidR="00A548A4">
        <w:rPr>
          <w:rFonts w:hint="cs"/>
          <w:rtl/>
        </w:rPr>
        <w:t>.</w:t>
      </w:r>
    </w:p>
  </w:footnote>
  <w:footnote w:id="29">
    <w:p w14:paraId="60C67FCC" w14:textId="40854F47" w:rsidR="00B31AC7" w:rsidRDefault="00B31AC7">
      <w:pPr>
        <w:pStyle w:val="a4"/>
        <w:rPr>
          <w:rtl/>
        </w:rPr>
      </w:pPr>
      <w:r>
        <w:rPr>
          <w:rStyle w:val="a6"/>
        </w:rPr>
        <w:footnoteRef/>
      </w:r>
      <w:r>
        <w:rPr>
          <w:rtl/>
        </w:rPr>
        <w:t xml:space="preserve"> </w:t>
      </w:r>
      <w:r>
        <w:rPr>
          <w:rFonts w:hint="cs"/>
          <w:rtl/>
        </w:rPr>
        <w:t xml:space="preserve">בספרות האמוראים מצוי ניסוח דומה לניסוח הרומי. ראו: </w:t>
      </w:r>
      <w:r w:rsidRPr="00386078">
        <w:t>Cohen</w:t>
      </w:r>
      <w:r>
        <w:t xml:space="preserve">, </w:t>
      </w:r>
      <w:r w:rsidRPr="00853ABD">
        <w:rPr>
          <w:i/>
          <w:iCs/>
        </w:rPr>
        <w:t>Jewish and Roman Law</w:t>
      </w:r>
      <w:r>
        <w:t xml:space="preserve">, 498–9 </w:t>
      </w:r>
      <w:r>
        <w:rPr>
          <w:rFonts w:hint="cs"/>
          <w:rtl/>
        </w:rPr>
        <w:t>.</w:t>
      </w:r>
    </w:p>
  </w:footnote>
  <w:footnote w:id="30">
    <w:p w14:paraId="18B3FE64" w14:textId="4A7B566E" w:rsidR="00B31AC7" w:rsidRDefault="00B31AC7">
      <w:pPr>
        <w:pStyle w:val="a4"/>
        <w:rPr>
          <w:rtl/>
        </w:rPr>
      </w:pPr>
      <w:r>
        <w:rPr>
          <w:rStyle w:val="a6"/>
        </w:rPr>
        <w:footnoteRef/>
      </w:r>
      <w:r>
        <w:rPr>
          <w:rtl/>
        </w:rPr>
        <w:t xml:space="preserve"> </w:t>
      </w:r>
      <w:r>
        <w:rPr>
          <w:rFonts w:hint="cs"/>
          <w:rtl/>
        </w:rPr>
        <w:t>ייתכן שיש קשר בין החלוקה שבתוספתא בין 'היורד ברשות' ובין היורד 'שלא ברשות', לבין החלוקה של גאיוס אם הבונה ידע או לא ידע שהבניין שייך לאחר. אלא שההגדרות אינן בהירות לא אצל גאיוס ולא בתוספתא, ולא אוכל להתייחס לכך במסגרת זו.</w:t>
      </w:r>
    </w:p>
  </w:footnote>
  <w:footnote w:id="31">
    <w:p w14:paraId="1B3D3EA0" w14:textId="297E6EB3" w:rsidR="00B31AC7" w:rsidRDefault="00B31AC7">
      <w:pPr>
        <w:pStyle w:val="a4"/>
        <w:rPr>
          <w:rtl/>
        </w:rPr>
      </w:pPr>
      <w:r>
        <w:rPr>
          <w:rStyle w:val="a6"/>
        </w:rPr>
        <w:footnoteRef/>
      </w:r>
      <w:r>
        <w:rPr>
          <w:rtl/>
        </w:rPr>
        <w:t xml:space="preserve"> </w:t>
      </w:r>
      <w:r>
        <w:rPr>
          <w:rFonts w:hint="cs"/>
          <w:rtl/>
        </w:rPr>
        <w:t xml:space="preserve">ייתכן שבנוסח המקורי של התוספתא היתה מקבילה גם לדין הבא של גאיוס. ראו לעיל ליד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Ref140411730 \h</w:instrText>
      </w:r>
      <w:r>
        <w:rPr>
          <w:rtl/>
        </w:rPr>
        <w:instrText xml:space="preserve"> </w:instrText>
      </w:r>
      <w:r>
        <w:rPr>
          <w:rtl/>
        </w:rPr>
      </w:r>
      <w:r>
        <w:rPr>
          <w:rtl/>
        </w:rPr>
        <w:fldChar w:fldCharType="separate"/>
      </w:r>
      <w:r>
        <w:rPr>
          <w:rtl/>
        </w:rPr>
        <w:t>29</w:t>
      </w:r>
      <w:r>
        <w:rPr>
          <w:rtl/>
        </w:rPr>
        <w:fldChar w:fldCharType="end"/>
      </w:r>
      <w:r>
        <w:rPr>
          <w:rFonts w:hint="cs"/>
          <w:rtl/>
        </w:rPr>
        <w:t>.</w:t>
      </w:r>
    </w:p>
  </w:footnote>
  <w:footnote w:id="32">
    <w:p w14:paraId="17054054" w14:textId="55A7B8BD" w:rsidR="002B7CD8" w:rsidRPr="005B46EF" w:rsidRDefault="002B7CD8" w:rsidP="002B7CD8">
      <w:pPr>
        <w:pStyle w:val="a4"/>
        <w:rPr>
          <w:rFonts w:hint="cs"/>
          <w:rtl/>
        </w:rPr>
      </w:pPr>
      <w:r>
        <w:rPr>
          <w:rStyle w:val="a6"/>
        </w:rPr>
        <w:footnoteRef/>
      </w:r>
      <w:r>
        <w:rPr>
          <w:rtl/>
        </w:rPr>
        <w:t xml:space="preserve"> </w:t>
      </w:r>
      <w:r>
        <w:rPr>
          <w:rFonts w:hint="cs"/>
          <w:rtl/>
        </w:rPr>
        <w:t xml:space="preserve">במיוחד בולט הדמיון בין חוק </w:t>
      </w:r>
      <w:r w:rsidRPr="00B1067D">
        <w:rPr>
          <w:i/>
          <w:iCs/>
        </w:rPr>
        <w:t>tignum iunctum</w:t>
      </w:r>
      <w:r>
        <w:rPr>
          <w:rFonts w:hint="cs"/>
          <w:rtl/>
          <w:lang w:val="el-GR"/>
        </w:rPr>
        <w:t xml:space="preserve"> שבשנים עשר הלוחות ובין דין 'מריש הגזול' בתוספתא. אינני יודע מי הראשון שעמד על הדמיון, אך כבר בשנת 1887 הוא נזכר במאמר בעיתון. ראו: </w:t>
      </w:r>
      <w:r w:rsidR="0001491D" w:rsidRPr="0001491D">
        <w:t xml:space="preserve">Y. Rosenthal, 'Maʿamarey Madaʿa: Teshuva MeʿAhava, </w:t>
      </w:r>
      <w:r w:rsidR="0001491D" w:rsidRPr="007C1391">
        <w:rPr>
          <w:i/>
          <w:iCs/>
        </w:rPr>
        <w:t>HaMelitz</w:t>
      </w:r>
      <w:r w:rsidR="0001491D" w:rsidRPr="0001491D">
        <w:t>, April 6</w:t>
      </w:r>
      <w:r w:rsidR="0001491D" w:rsidRPr="007C1391">
        <w:rPr>
          <w:vertAlign w:val="superscript"/>
        </w:rPr>
        <w:t>th</w:t>
      </w:r>
      <w:r w:rsidR="000A3959">
        <w:t>, 1887,</w:t>
      </w:r>
      <w:r w:rsidR="0001491D" w:rsidRPr="0001491D">
        <w:t xml:space="preserve"> 748–50</w:t>
      </w:r>
      <w:r w:rsidR="0001491D">
        <w:t xml:space="preserve"> [in Hebrew]</w:t>
      </w:r>
      <w:r>
        <w:rPr>
          <w:rFonts w:hint="cs"/>
          <w:rtl/>
          <w:lang w:val="el-GR"/>
        </w:rPr>
        <w:t>.</w:t>
      </w:r>
      <w:r>
        <w:rPr>
          <w:rFonts w:hint="cs"/>
          <w:rtl/>
        </w:rPr>
        <w:t xml:space="preserve"> מאז נזכר הדמיון אצל כותבים רבים.</w:t>
      </w:r>
    </w:p>
  </w:footnote>
  <w:footnote w:id="33">
    <w:p w14:paraId="3F819694" w14:textId="03EA93A7" w:rsidR="002B7CD8" w:rsidRDefault="002B7CD8" w:rsidP="002B7CD8">
      <w:pPr>
        <w:pStyle w:val="a4"/>
        <w:rPr>
          <w:rFonts w:hint="cs"/>
          <w:rtl/>
        </w:rPr>
      </w:pPr>
      <w:r>
        <w:rPr>
          <w:rStyle w:val="a6"/>
        </w:rPr>
        <w:footnoteRef/>
      </w:r>
      <w:r>
        <w:rPr>
          <w:rtl/>
        </w:rPr>
        <w:t xml:space="preserve"> </w:t>
      </w:r>
      <w:r w:rsidR="003F709A" w:rsidRPr="00386078">
        <w:t>Cohen</w:t>
      </w:r>
      <w:r w:rsidR="003F709A">
        <w:t xml:space="preserve">, </w:t>
      </w:r>
      <w:r w:rsidR="003F709A" w:rsidRPr="00853ABD">
        <w:rPr>
          <w:i/>
          <w:iCs/>
        </w:rPr>
        <w:t>Jewish and Roman Law</w:t>
      </w:r>
      <w:r w:rsidR="003F709A">
        <w:t>,</w:t>
      </w:r>
      <w:r>
        <w:t xml:space="preserve"> 485–6 </w:t>
      </w:r>
      <w:r>
        <w:rPr>
          <w:rFonts w:hint="cs"/>
          <w:rtl/>
        </w:rPr>
        <w:t>.</w:t>
      </w:r>
    </w:p>
  </w:footnote>
  <w:footnote w:id="34">
    <w:p w14:paraId="4E6767C2" w14:textId="37A37B3B" w:rsidR="006B2B6D" w:rsidRPr="0020240A" w:rsidRDefault="006B2B6D" w:rsidP="006B2B6D">
      <w:pPr>
        <w:pStyle w:val="a4"/>
      </w:pPr>
      <w:r>
        <w:rPr>
          <w:rStyle w:val="a6"/>
        </w:rPr>
        <w:footnoteRef/>
      </w:r>
      <w:r>
        <w:rPr>
          <w:rtl/>
        </w:rPr>
        <w:t xml:space="preserve"> </w:t>
      </w:r>
      <w:r>
        <w:rPr>
          <w:rFonts w:hint="cs"/>
          <w:rtl/>
        </w:rPr>
        <w:t>במהדורות המקובלות ממוקם דין המריש בלוח 6 חוקים 7</w:t>
      </w:r>
      <w:r>
        <w:rPr>
          <w:rFonts w:hint="eastAsia"/>
          <w:rtl/>
        </w:rPr>
        <w:t>–</w:t>
      </w:r>
      <w:r>
        <w:rPr>
          <w:rFonts w:hint="cs"/>
          <w:rtl/>
        </w:rPr>
        <w:t>9.</w:t>
      </w:r>
      <w:r w:rsidR="0020240A">
        <w:rPr>
          <w:rFonts w:hint="cs"/>
          <w:rtl/>
        </w:rPr>
        <w:t xml:space="preserve"> </w:t>
      </w:r>
      <w:r w:rsidR="00B54564">
        <w:rPr>
          <w:rFonts w:hint="cs"/>
          <w:rtl/>
        </w:rPr>
        <w:t xml:space="preserve">לטקסטים ולתרגומים </w:t>
      </w:r>
      <w:r w:rsidR="0020240A">
        <w:rPr>
          <w:rFonts w:hint="cs"/>
          <w:rtl/>
        </w:rPr>
        <w:t>ראו:</w:t>
      </w:r>
      <w:r w:rsidR="00AE45EA">
        <w:rPr>
          <w:rFonts w:hint="cs"/>
          <w:rtl/>
        </w:rPr>
        <w:t xml:space="preserve"> </w:t>
      </w:r>
      <w:r w:rsidR="00F06CA0">
        <w:t xml:space="preserve">E. H. Warmington (ed.), </w:t>
      </w:r>
      <w:r w:rsidR="00F06CA0" w:rsidRPr="005B0A50">
        <w:rPr>
          <w:i/>
          <w:iCs/>
        </w:rPr>
        <w:t>Remains of Old Latin</w:t>
      </w:r>
      <w:r w:rsidR="00F06CA0">
        <w:t>, vol. III (Cambridge, 1938),</w:t>
      </w:r>
      <w:r w:rsidR="0020240A">
        <w:t xml:space="preserve"> 465</w:t>
      </w:r>
      <w:r w:rsidR="0020240A">
        <w:rPr>
          <w:rFonts w:hint="cs"/>
          <w:rtl/>
        </w:rPr>
        <w:t xml:space="preserve">. </w:t>
      </w:r>
      <w:r w:rsidR="004210F2">
        <w:rPr>
          <w:rFonts w:hint="cs"/>
          <w:rtl/>
        </w:rPr>
        <w:t xml:space="preserve">הציטוט המלא ביותר מצוי </w:t>
      </w:r>
      <w:r w:rsidR="0038520B">
        <w:rPr>
          <w:rFonts w:hint="cs"/>
          <w:rtl/>
        </w:rPr>
        <w:t xml:space="preserve">אצל </w:t>
      </w:r>
      <w:r w:rsidR="0038520B">
        <w:t xml:space="preserve">the Roman grammarian </w:t>
      </w:r>
      <w:r w:rsidR="0038520B" w:rsidRPr="0038520B">
        <w:t>Sextus Pompeius Festus</w:t>
      </w:r>
      <w:r w:rsidR="00B54564">
        <w:t xml:space="preserve">: </w:t>
      </w:r>
      <w:r w:rsidR="00B54564" w:rsidRPr="004D6CEB">
        <w:rPr>
          <w:i/>
          <w:iCs/>
        </w:rPr>
        <w:t xml:space="preserve">Tignum non solum in aedificiis, quo utuntur, appellatur, sed etiam in vineis, ut est in XII: "Tignum iunctum aedibus vineave </w:t>
      </w:r>
      <w:r w:rsidR="00B54564" w:rsidRPr="004D6CEB">
        <w:rPr>
          <w:i/>
          <w:iCs/>
          <w:u w:val="single"/>
        </w:rPr>
        <w:t>et concapit</w:t>
      </w:r>
      <w:r w:rsidR="00B54564" w:rsidRPr="004D6CEB">
        <w:rPr>
          <w:i/>
          <w:iCs/>
        </w:rPr>
        <w:t xml:space="preserve"> ne solvito</w:t>
      </w:r>
      <w:r w:rsidR="00B54564">
        <w:rPr>
          <w:i/>
          <w:iCs/>
        </w:rPr>
        <w:t>"</w:t>
      </w:r>
      <w:r w:rsidR="00F72661">
        <w:rPr>
          <w:i/>
          <w:iCs/>
        </w:rPr>
        <w:t xml:space="preserve"> </w:t>
      </w:r>
      <w:r w:rsidR="00F72661" w:rsidRPr="00F72661">
        <w:t>(Tignum is a term used not only of the material which men employ in buildings, but also that in vineyards, as for example, in the Twelve tables: "Person shall not dislodge from framework beam fixed in buildings or vineyard".)</w:t>
      </w:r>
      <w:r w:rsidR="005F7D14">
        <w:rPr>
          <w:rFonts w:hint="cs"/>
          <w:rtl/>
          <w:lang w:val="el-GR"/>
        </w:rPr>
        <w:t>.</w:t>
      </w:r>
      <w:r w:rsidR="005F7D14" w:rsidRPr="005F7D14">
        <w:rPr>
          <w:rFonts w:hint="cs"/>
          <w:rtl/>
        </w:rPr>
        <w:t xml:space="preserve"> </w:t>
      </w:r>
      <w:r w:rsidR="005F7D14">
        <w:rPr>
          <w:rFonts w:hint="cs"/>
          <w:rtl/>
        </w:rPr>
        <w:t xml:space="preserve">המילה </w:t>
      </w:r>
      <w:r w:rsidR="005F7D14" w:rsidRPr="00141615">
        <w:rPr>
          <w:i/>
          <w:iCs/>
        </w:rPr>
        <w:t>concapit</w:t>
      </w:r>
      <w:r w:rsidR="005F7D14">
        <w:rPr>
          <w:rFonts w:hint="cs"/>
          <w:rtl/>
        </w:rPr>
        <w:t xml:space="preserve"> יחידאית ולא מובנת והוצעו לה הגהות רבות. ראו: </w:t>
      </w:r>
      <w:r w:rsidR="00442D60" w:rsidRPr="00442D60">
        <w:t xml:space="preserve">Alan Watson, 'Tignum Iunctum: The XII Tables and a Lost Word', </w:t>
      </w:r>
      <w:r w:rsidR="00442D60" w:rsidRPr="00442D60">
        <w:rPr>
          <w:i/>
          <w:iCs/>
        </w:rPr>
        <w:t>Revue Internationale des Droits de l'Antiquite</w:t>
      </w:r>
      <w:r w:rsidR="00442D60" w:rsidRPr="00442D60">
        <w:t>, Ser. 3, 21 (1974)</w:t>
      </w:r>
      <w:r w:rsidR="005F7D14">
        <w:rPr>
          <w:rFonts w:hint="cs"/>
          <w:rtl/>
        </w:rPr>
        <w:t>.</w:t>
      </w:r>
      <w:r w:rsidR="00B54564">
        <w:t xml:space="preserve"> </w:t>
      </w:r>
    </w:p>
  </w:footnote>
  <w:footnote w:id="35">
    <w:p w14:paraId="5526BA02" w14:textId="2443DBCF" w:rsidR="006B2B6D" w:rsidRPr="00D503B6" w:rsidRDefault="006B2B6D" w:rsidP="006B2B6D">
      <w:pPr>
        <w:pStyle w:val="a4"/>
        <w:rPr>
          <w:rFonts w:hint="cs"/>
          <w:rtl/>
        </w:rPr>
      </w:pPr>
      <w:r>
        <w:rPr>
          <w:rStyle w:val="a6"/>
        </w:rPr>
        <w:footnoteRef/>
      </w:r>
      <w:r>
        <w:rPr>
          <w:rtl/>
        </w:rPr>
        <w:t xml:space="preserve"> </w:t>
      </w:r>
      <w:r w:rsidR="00DE2938">
        <w:rPr>
          <w:rFonts w:hint="cs"/>
          <w:rtl/>
        </w:rPr>
        <w:t xml:space="preserve">אצל המשפטנים הקלאסיים נוספה החובה לשלם לבעלים כפל. ראו דברי גאיוס (לעיל), </w:t>
      </w:r>
      <w:r w:rsidR="005549FC">
        <w:t>Paul (Dig.</w:t>
      </w:r>
      <w:r w:rsidR="0010200B">
        <w:t>6.1.23.6; 10.4.6)</w:t>
      </w:r>
      <w:r w:rsidR="00CF2678">
        <w:t xml:space="preserve"> and Ulpian (Dig.47.3.1)</w:t>
      </w:r>
      <w:r>
        <w:rPr>
          <w:rFonts w:hint="cs"/>
          <w:rtl/>
        </w:rPr>
        <w:t xml:space="preserve">. כיוון שכל המקורות מצויים בדיגסטה בלבד, היו שהציעו שתשלום הכפל הוא תוספת יוסטיניאנית ולא היה חלק מן המשפט הקלאסי. דיון נרחב על דין </w:t>
      </w:r>
      <w:r w:rsidRPr="007B05DF">
        <w:rPr>
          <w:i/>
          <w:iCs/>
        </w:rPr>
        <w:t>tignum iunctum</w:t>
      </w:r>
      <w:r>
        <w:rPr>
          <w:rFonts w:hint="cs"/>
          <w:rtl/>
        </w:rPr>
        <w:t xml:space="preserve"> </w:t>
      </w:r>
      <w:r w:rsidRPr="00D503B6">
        <w:rPr>
          <w:rFonts w:hint="cs"/>
          <w:rtl/>
        </w:rPr>
        <w:t>והמחקר אודותיו ראו</w:t>
      </w:r>
      <w:r>
        <w:rPr>
          <w:rFonts w:hint="cs"/>
          <w:rtl/>
        </w:rPr>
        <w:t xml:space="preserve">: </w:t>
      </w:r>
      <w:r w:rsidR="00F55186" w:rsidRPr="00F55186">
        <w:t>H. H.</w:t>
      </w:r>
      <w:r w:rsidR="00F55186">
        <w:t xml:space="preserve"> </w:t>
      </w:r>
      <w:r w:rsidR="00F55186" w:rsidRPr="00F55186">
        <w:t>Jakobs</w:t>
      </w:r>
      <w:r w:rsidR="00F55186">
        <w:t>,</w:t>
      </w:r>
      <w:r w:rsidR="00F55186" w:rsidRPr="00F55186">
        <w:t xml:space="preserve"> </w:t>
      </w:r>
      <w:r w:rsidR="00F55186">
        <w:t>'</w:t>
      </w:r>
      <w:r w:rsidR="00F55186" w:rsidRPr="00F55186">
        <w:t>Tignum iunctum und Pandektenkritik</w:t>
      </w:r>
      <w:r w:rsidR="00F55186">
        <w:t>',</w:t>
      </w:r>
      <w:r w:rsidR="00F55186" w:rsidRPr="00F55186">
        <w:t xml:space="preserve"> </w:t>
      </w:r>
      <w:r w:rsidR="00F55186" w:rsidRPr="00F55186">
        <w:rPr>
          <w:i/>
          <w:iCs/>
        </w:rPr>
        <w:t>Zeitschrift der Savigny-Stiftung für Rechtsgeschichte. Romanistische Abteilung</w:t>
      </w:r>
      <w:r w:rsidR="00F55186" w:rsidRPr="00F55186">
        <w:t>, 124</w:t>
      </w:r>
      <w:r w:rsidR="00F55186">
        <w:t xml:space="preserve"> </w:t>
      </w:r>
      <w:r w:rsidR="00F55186" w:rsidRPr="00F55186">
        <w:t>(</w:t>
      </w:r>
      <w:r w:rsidR="00F55186">
        <w:t>2007</w:t>
      </w:r>
      <w:r w:rsidR="00F55186" w:rsidRPr="00F55186">
        <w:t>)</w:t>
      </w:r>
      <w:r w:rsidR="00F55186" w:rsidRPr="00F55186">
        <w:rPr>
          <w:rtl/>
        </w:rPr>
        <w:t>‏</w:t>
      </w:r>
      <w:r>
        <w:rPr>
          <w:rFonts w:hint="cs"/>
          <w:rtl/>
        </w:rPr>
        <w:t>.</w:t>
      </w:r>
    </w:p>
  </w:footnote>
  <w:footnote w:id="36">
    <w:p w14:paraId="49BAB0C6" w14:textId="5F3538AD" w:rsidR="006B2B6D" w:rsidRDefault="006B2B6D" w:rsidP="006B2B6D">
      <w:pPr>
        <w:pStyle w:val="a4"/>
        <w:rPr>
          <w:rtl/>
        </w:rPr>
      </w:pPr>
      <w:r>
        <w:rPr>
          <w:rStyle w:val="a6"/>
        </w:rPr>
        <w:footnoteRef/>
      </w:r>
      <w:r>
        <w:rPr>
          <w:rtl/>
        </w:rPr>
        <w:t xml:space="preserve"> </w:t>
      </w:r>
      <w:r>
        <w:rPr>
          <w:rFonts w:hint="cs"/>
          <w:rtl/>
        </w:rPr>
        <w:t xml:space="preserve">ראו המקורות שהבאתי לעיל הערות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Ref139357880 \h</w:instrText>
      </w:r>
      <w:r>
        <w:rPr>
          <w:rtl/>
        </w:rPr>
        <w:instrText xml:space="preserve"> </w:instrText>
      </w:r>
      <w:r>
        <w:rPr>
          <w:rtl/>
        </w:rPr>
      </w:r>
      <w:r>
        <w:rPr>
          <w:rtl/>
        </w:rPr>
        <w:fldChar w:fldCharType="separate"/>
      </w:r>
      <w:r w:rsidR="00DD0FB8">
        <w:rPr>
          <w:rtl/>
        </w:rPr>
        <w:t>13</w:t>
      </w:r>
      <w:r>
        <w:rPr>
          <w:rtl/>
        </w:rPr>
        <w:fldChar w:fldCharType="end"/>
      </w:r>
      <w:r>
        <w:rPr>
          <w:rFonts w:hint="cs"/>
          <w:rtl/>
        </w:rPr>
        <w:t>–</w:t>
      </w:r>
      <w:r>
        <w:rPr>
          <w:rtl/>
        </w:rPr>
        <w:fldChar w:fldCharType="begin"/>
      </w:r>
      <w:r>
        <w:rPr>
          <w:rtl/>
        </w:rPr>
        <w:instrText xml:space="preserve"> </w:instrText>
      </w:r>
      <w:r>
        <w:instrText>NOTEREF</w:instrText>
      </w:r>
      <w:r>
        <w:rPr>
          <w:rtl/>
        </w:rPr>
        <w:instrText xml:space="preserve"> _</w:instrText>
      </w:r>
      <w:r>
        <w:instrText>Ref139357882 \h</w:instrText>
      </w:r>
      <w:r>
        <w:rPr>
          <w:rtl/>
        </w:rPr>
        <w:instrText xml:space="preserve"> </w:instrText>
      </w:r>
      <w:r>
        <w:rPr>
          <w:rtl/>
        </w:rPr>
      </w:r>
      <w:r>
        <w:rPr>
          <w:rtl/>
        </w:rPr>
        <w:fldChar w:fldCharType="separate"/>
      </w:r>
      <w:r w:rsidR="00566757">
        <w:rPr>
          <w:rtl/>
        </w:rPr>
        <w:t>14</w:t>
      </w:r>
      <w:r>
        <w:rPr>
          <w:rtl/>
        </w:rPr>
        <w:fldChar w:fldCharType="end"/>
      </w:r>
      <w:r w:rsidR="00C832A5">
        <w:rPr>
          <w:rFonts w:hint="cs"/>
          <w:rtl/>
        </w:rPr>
        <w:t xml:space="preserve"> ובעיקר המאמרים של </w:t>
      </w:r>
      <w:r w:rsidR="00C832A5" w:rsidRPr="00C9326C">
        <w:t>Platschek</w:t>
      </w:r>
      <w:r w:rsidR="00C832A5">
        <w:t xml:space="preserve"> and </w:t>
      </w:r>
      <w:r w:rsidR="00C832A5" w:rsidRPr="00DD0FB8">
        <w:t>Battaglia</w:t>
      </w:r>
      <w:r w:rsidR="00C23D22">
        <w:rPr>
          <w:rFonts w:hint="cs"/>
          <w:rtl/>
        </w:rPr>
        <w:t xml:space="preserve"> אצל </w:t>
      </w:r>
      <w:r w:rsidR="00C23D22" w:rsidRPr="00DD0FB8">
        <w:t>Babusiaux &amp; Mantovani</w:t>
      </w:r>
      <w:r w:rsidR="00C23D22">
        <w:t>,</w:t>
      </w:r>
      <w:r w:rsidR="00C23D22" w:rsidRPr="00DD0FB8">
        <w:t xml:space="preserve"> </w:t>
      </w:r>
      <w:r w:rsidR="00C23D22" w:rsidRPr="00707ABD">
        <w:rPr>
          <w:i/>
          <w:iCs/>
        </w:rPr>
        <w:t>Le Istituzioni di Gaio</w:t>
      </w:r>
      <w:r>
        <w:rPr>
          <w:rFonts w:hint="cs"/>
          <w:rtl/>
        </w:rPr>
        <w:t>. חוקרים הציעו שאחד החיבורים הוא עיבוד של האחר (בדרך כלל שה</w:t>
      </w:r>
      <w:r w:rsidRPr="00526120">
        <w:t xml:space="preserve"> </w:t>
      </w:r>
      <w:r w:rsidRPr="003C09D6">
        <w:rPr>
          <w:i/>
          <w:iCs/>
        </w:rPr>
        <w:t>Res cottidianae</w:t>
      </w:r>
      <w:r>
        <w:rPr>
          <w:rFonts w:hint="cs"/>
          <w:rtl/>
        </w:rPr>
        <w:t xml:space="preserve"> הוא עיבוד של האינסטיטוציות), ששניהם עיבודים של אותן טיוטות, שנעשו בידי גאיוס עצמו או בידי תלמידיו, או שאחד החיבורים, או שניהם, מיוחסים רק בטעות לגאיוס. גם בנוגע לאינסטיטוציות עצמו טענו החוקרים שאפשר שגאיוס פרסם כמה גרסאות של החיבור, או שהחיבור עובד במהלך השנים</w:t>
      </w:r>
      <w:r w:rsidR="00DD0FB8" w:rsidRPr="00DD0FB8">
        <w:rPr>
          <w:rtl/>
        </w:rPr>
        <w:t>.</w:t>
      </w:r>
      <w:r>
        <w:rPr>
          <w:rFonts w:hint="cs"/>
          <w:rtl/>
        </w:rPr>
        <w:t xml:space="preserve"> יש להזכיר </w:t>
      </w:r>
      <w:r w:rsidR="00053661">
        <w:rPr>
          <w:rFonts w:hint="cs"/>
          <w:rtl/>
        </w:rPr>
        <w:t>בהקשר זה גם את</w:t>
      </w:r>
      <w:r>
        <w:rPr>
          <w:rFonts w:hint="cs"/>
          <w:rtl/>
        </w:rPr>
        <w:t xml:space="preserve"> האינסטיטוציות של יוסטיניאנוס</w:t>
      </w:r>
      <w:r w:rsidR="00D93115">
        <w:rPr>
          <w:rFonts w:hint="cs"/>
          <w:rtl/>
        </w:rPr>
        <w:t xml:space="preserve"> (להלן </w:t>
      </w:r>
      <w:r w:rsidR="00D93115">
        <w:t>Ins.</w:t>
      </w:r>
      <w:r w:rsidR="00D93115">
        <w:rPr>
          <w:rFonts w:hint="cs"/>
          <w:rtl/>
          <w:lang w:val="el-GR"/>
        </w:rPr>
        <w:t>)</w:t>
      </w:r>
      <w:r>
        <w:rPr>
          <w:rFonts w:hint="cs"/>
          <w:rtl/>
        </w:rPr>
        <w:t>. מלבד הדיגסטה פרסם יוסטיניאנוס גם ספר לימוד בסיסי למשפט רומי, שמבוסס בעיקרו על האינסטיטוציות של גאיוס. עם זאת, תוכן החיבור מעודכן לזמנו של יוסטיניאנוס והוא כולל עוד חומרים אחרים וכן עיבודים ושינויים. במקרה שלפנינו החומר באינסטיטוציות של יוסטיניאנוס דומה לחומר שב</w:t>
      </w:r>
      <w:r w:rsidRPr="00592A9C">
        <w:rPr>
          <w:i/>
          <w:iCs/>
        </w:rPr>
        <w:t>Res cottidianae</w:t>
      </w:r>
      <w:r>
        <w:rPr>
          <w:rFonts w:hint="cs"/>
          <w:rtl/>
        </w:rPr>
        <w:t xml:space="preserve"> הרבה יותר מאשר לחומר שבאינסטיטוציות של גאיוס. </w:t>
      </w:r>
    </w:p>
  </w:footnote>
  <w:footnote w:id="37">
    <w:p w14:paraId="1A1C71CD" w14:textId="1A821CE3" w:rsidR="006B2B6D" w:rsidRDefault="006B2B6D" w:rsidP="006B2B6D">
      <w:pPr>
        <w:pStyle w:val="a4"/>
        <w:rPr>
          <w:rtl/>
        </w:rPr>
      </w:pPr>
      <w:r>
        <w:rPr>
          <w:rStyle w:val="a6"/>
        </w:rPr>
        <w:footnoteRef/>
      </w:r>
      <w:r>
        <w:rPr>
          <w:rtl/>
        </w:rPr>
        <w:t xml:space="preserve"> </w:t>
      </w:r>
      <w:r>
        <w:rPr>
          <w:rFonts w:hint="cs"/>
          <w:rtl/>
        </w:rPr>
        <w:t xml:space="preserve">התרגום על פי </w:t>
      </w:r>
      <w:r w:rsidR="00184A72">
        <w:t xml:space="preserve">F. </w:t>
      </w:r>
      <w:r w:rsidR="00184A72" w:rsidRPr="0028208E">
        <w:t>De Zulueta</w:t>
      </w:r>
      <w:r w:rsidR="00184A72">
        <w:t xml:space="preserve"> (trans.),</w:t>
      </w:r>
      <w:r w:rsidR="00184A72" w:rsidRPr="0028208E">
        <w:t xml:space="preserve"> </w:t>
      </w:r>
      <w:r w:rsidR="00184A72" w:rsidRPr="00924893">
        <w:rPr>
          <w:i/>
          <w:iCs/>
        </w:rPr>
        <w:t>The Institutes of Gaius</w:t>
      </w:r>
      <w:r w:rsidR="00184A72" w:rsidRPr="0028208E">
        <w:t xml:space="preserve">, I </w:t>
      </w:r>
      <w:r w:rsidR="00184A72">
        <w:t>(Oxford, 1958),</w:t>
      </w:r>
      <w:r>
        <w:t xml:space="preserve"> 83–85</w:t>
      </w:r>
      <w:r w:rsidR="004231C5">
        <w:t>,</w:t>
      </w:r>
      <w:r>
        <w:rPr>
          <w:rFonts w:hint="cs"/>
          <w:rtl/>
        </w:rPr>
        <w:t xml:space="preserve"> בשינויים קלים.</w:t>
      </w:r>
    </w:p>
  </w:footnote>
  <w:footnote w:id="38">
    <w:p w14:paraId="168B7D89" w14:textId="5E58C8E7" w:rsidR="004F6A61" w:rsidRDefault="004F6A61">
      <w:pPr>
        <w:pStyle w:val="a4"/>
        <w:rPr>
          <w:rFonts w:hint="cs"/>
          <w:rtl/>
        </w:rPr>
      </w:pPr>
      <w:r>
        <w:rPr>
          <w:rStyle w:val="a6"/>
        </w:rPr>
        <w:footnoteRef/>
      </w:r>
      <w:r>
        <w:rPr>
          <w:rtl/>
        </w:rPr>
        <w:t xml:space="preserve"> </w:t>
      </w:r>
      <w:r>
        <w:rPr>
          <w:rFonts w:hint="cs"/>
          <w:rtl/>
        </w:rPr>
        <w:t>דין זה מובא באינסטיטוציות של גאיוס להלן בהמשך הדיון.</w:t>
      </w:r>
    </w:p>
  </w:footnote>
  <w:footnote w:id="39">
    <w:p w14:paraId="50467F18" w14:textId="2FAC7E11" w:rsidR="006B2B6D" w:rsidRPr="00464E5B" w:rsidRDefault="006B2B6D" w:rsidP="006B2B6D">
      <w:pPr>
        <w:pStyle w:val="a4"/>
        <w:rPr>
          <w:rtl/>
          <w:lang w:val="el-GR"/>
        </w:rPr>
      </w:pPr>
      <w:r>
        <w:rPr>
          <w:rStyle w:val="a6"/>
        </w:rPr>
        <w:footnoteRef/>
      </w:r>
      <w:r>
        <w:rPr>
          <w:rtl/>
        </w:rPr>
        <w:t xml:space="preserve"> </w:t>
      </w:r>
      <w:r>
        <w:rPr>
          <w:rFonts w:hint="cs"/>
          <w:rtl/>
        </w:rPr>
        <w:t>יוסטיניאנוס מוסיף שמטרת החוק של שנים עשר הלוחות הוא למנוע פירוק של בניינים.</w:t>
      </w:r>
      <w:r w:rsidR="00C26A85">
        <w:rPr>
          <w:rFonts w:hint="cs"/>
          <w:rtl/>
        </w:rPr>
        <w:t xml:space="preserve"> ראו:</w:t>
      </w:r>
      <w:r w:rsidR="00364F1C">
        <w:t>Ins.2.1.29</w:t>
      </w:r>
      <w:r w:rsidR="00C26A85">
        <w:rPr>
          <w:rFonts w:hint="cs"/>
          <w:rtl/>
        </w:rPr>
        <w:t xml:space="preserve">. נימוק דומה מצוי גם </w:t>
      </w:r>
      <w:r w:rsidR="00CF6327">
        <w:rPr>
          <w:rFonts w:hint="cs"/>
          <w:rtl/>
        </w:rPr>
        <w:t>בתלמודים, אבל הוא מתייחס דווקא לדין המקביל ל</w:t>
      </w:r>
      <w:r w:rsidR="00CF6327" w:rsidRPr="00464E5B">
        <w:rPr>
          <w:i/>
          <w:iCs/>
        </w:rPr>
        <w:t>inaedi</w:t>
      </w:r>
      <w:r w:rsidR="00464E5B" w:rsidRPr="00464E5B">
        <w:rPr>
          <w:i/>
          <w:iCs/>
        </w:rPr>
        <w:t>ficatio</w:t>
      </w:r>
      <w:r w:rsidR="00464E5B">
        <w:rPr>
          <w:rFonts w:hint="cs"/>
          <w:rtl/>
          <w:lang w:val="el-GR"/>
        </w:rPr>
        <w:t>.</w:t>
      </w:r>
    </w:p>
  </w:footnote>
  <w:footnote w:id="40">
    <w:p w14:paraId="3B868958" w14:textId="5773DAD3" w:rsidR="006B2B6D" w:rsidRPr="00F36AA9" w:rsidRDefault="006B2B6D" w:rsidP="006B2B6D">
      <w:pPr>
        <w:pStyle w:val="a4"/>
        <w:rPr>
          <w:rtl/>
        </w:rPr>
      </w:pPr>
      <w:r>
        <w:rPr>
          <w:rStyle w:val="a6"/>
        </w:rPr>
        <w:footnoteRef/>
      </w:r>
      <w:r>
        <w:rPr>
          <w:rtl/>
        </w:rPr>
        <w:t xml:space="preserve"> </w:t>
      </w:r>
      <w:r>
        <w:rPr>
          <w:rFonts w:hint="cs"/>
          <w:rtl/>
          <w:lang w:val="el-GR"/>
        </w:rPr>
        <w:t xml:space="preserve">כך בכתב היד </w:t>
      </w:r>
      <w:r w:rsidRPr="007A1708">
        <w:rPr>
          <w:i/>
          <w:iCs/>
        </w:rPr>
        <w:t>fructum</w:t>
      </w:r>
      <w:r>
        <w:t xml:space="preserve"> (fruits)</w:t>
      </w:r>
      <w:r>
        <w:rPr>
          <w:rFonts w:hint="cs"/>
          <w:rtl/>
          <w:lang w:val="el-GR"/>
        </w:rPr>
        <w:t xml:space="preserve">. אבל רוב המהדירים </w:t>
      </w:r>
      <w:r>
        <w:rPr>
          <w:rtl/>
          <w:lang w:val="el-GR"/>
        </w:rPr>
        <w:t>–</w:t>
      </w:r>
      <w:r>
        <w:rPr>
          <w:rFonts w:hint="cs"/>
          <w:rtl/>
          <w:lang w:val="el-GR"/>
        </w:rPr>
        <w:t xml:space="preserve"> בעקבות </w:t>
      </w:r>
      <w:r w:rsidRPr="00DA0AD1">
        <w:rPr>
          <w:lang w:val="el-GR"/>
        </w:rPr>
        <w:t>Husehke</w:t>
      </w:r>
      <w:r>
        <w:rPr>
          <w:rFonts w:hint="cs"/>
          <w:rtl/>
          <w:lang w:val="el-GR"/>
        </w:rPr>
        <w:t xml:space="preserve"> העדיפו לתקן ל</w:t>
      </w:r>
      <w:r w:rsidRPr="007A1708">
        <w:rPr>
          <w:i/>
          <w:iCs/>
        </w:rPr>
        <w:t>fundum</w:t>
      </w:r>
      <w:r>
        <w:t xml:space="preserve"> (land)</w:t>
      </w:r>
      <w:r>
        <w:rPr>
          <w:rFonts w:hint="cs"/>
          <w:rtl/>
        </w:rPr>
        <w:t xml:space="preserve">. לדעתי יש להעדיף את גרסת כתב היד. ראו: </w:t>
      </w:r>
      <w:r w:rsidR="00E555CD" w:rsidRPr="00E555CD">
        <w:t>J. E. G</w:t>
      </w:r>
      <w:r w:rsidR="00E555CD">
        <w:t>oudsmit</w:t>
      </w:r>
      <w:r w:rsidR="00E555CD">
        <w:rPr>
          <w:lang w:val="el-GR"/>
        </w:rPr>
        <w:t>,</w:t>
      </w:r>
      <w:r w:rsidR="00E555CD" w:rsidRPr="00E555CD">
        <w:rPr>
          <w:lang w:val="el-GR"/>
        </w:rPr>
        <w:t xml:space="preserve"> </w:t>
      </w:r>
      <w:r w:rsidR="00F16677" w:rsidRPr="00337498">
        <w:rPr>
          <w:i/>
          <w:iCs/>
          <w:lang w:val="el-GR"/>
        </w:rPr>
        <w:t>Studemund's Vergleichung Der Veroneser Handschrift</w:t>
      </w:r>
      <w:r w:rsidR="00337498">
        <w:rPr>
          <w:lang w:val="el-GR"/>
        </w:rPr>
        <w:t>,</w:t>
      </w:r>
      <w:r w:rsidR="001522D8">
        <w:rPr>
          <w:lang w:val="el-GR"/>
        </w:rPr>
        <w:t xml:space="preserve"> (</w:t>
      </w:r>
      <w:r w:rsidR="001522D8" w:rsidRPr="001522D8">
        <w:rPr>
          <w:lang w:val="el-GR"/>
        </w:rPr>
        <w:t>Utrecht</w:t>
      </w:r>
      <w:r w:rsidR="001522D8">
        <w:rPr>
          <w:lang w:val="el-GR"/>
        </w:rPr>
        <w:t>,</w:t>
      </w:r>
      <w:r>
        <w:t xml:space="preserve"> 1875</w:t>
      </w:r>
      <w:r w:rsidR="001522D8">
        <w:t>),</w:t>
      </w:r>
      <w:r>
        <w:t xml:space="preserve"> 31</w:t>
      </w:r>
      <w:r>
        <w:rPr>
          <w:rFonts w:hint="cs"/>
          <w:rtl/>
        </w:rPr>
        <w:t>.</w:t>
      </w:r>
    </w:p>
  </w:footnote>
  <w:footnote w:id="41">
    <w:p w14:paraId="71E1C47B" w14:textId="08E0FC72" w:rsidR="00A85046" w:rsidRDefault="00A85046">
      <w:pPr>
        <w:pStyle w:val="a4"/>
        <w:rPr>
          <w:rtl/>
        </w:rPr>
      </w:pPr>
      <w:r>
        <w:rPr>
          <w:rStyle w:val="a6"/>
        </w:rPr>
        <w:footnoteRef/>
      </w:r>
      <w:r>
        <w:rPr>
          <w:rtl/>
        </w:rPr>
        <w:t xml:space="preserve"> </w:t>
      </w:r>
      <w:r w:rsidR="004824FD">
        <w:t xml:space="preserve">m. </w:t>
      </w:r>
      <w:r w:rsidR="004824FD">
        <w:rPr>
          <w:rFonts w:cs="Times New Roman"/>
        </w:rPr>
        <w:t>ʿ</w:t>
      </w:r>
      <w:r w:rsidR="004824FD">
        <w:t>Ed. 7:9</w:t>
      </w:r>
      <w:r w:rsidR="00C64005">
        <w:t xml:space="preserve"> and</w:t>
      </w:r>
      <w:r w:rsidR="004824FD">
        <w:t xml:space="preserve"> m. Git</w:t>
      </w:r>
      <w:r w:rsidR="004824FD">
        <w:rPr>
          <w:rFonts w:cs="Times New Roman"/>
        </w:rPr>
        <w:t>̣</w:t>
      </w:r>
      <w:r w:rsidR="004824FD">
        <w:t>. 5:5</w:t>
      </w:r>
      <w:r w:rsidR="00C64005">
        <w:rPr>
          <w:rFonts w:hint="cs"/>
          <w:rtl/>
        </w:rPr>
        <w:t xml:space="preserve">. שתי המקבילות זהות כמעט לחלוטין זו לזו. </w:t>
      </w:r>
      <w:r>
        <w:rPr>
          <w:rFonts w:hint="cs"/>
          <w:rtl/>
        </w:rPr>
        <w:t xml:space="preserve">במשנה </w:t>
      </w:r>
      <w:r w:rsidR="007D5E0C">
        <w:rPr>
          <w:rFonts w:hint="cs"/>
          <w:rtl/>
        </w:rPr>
        <w:t>נאמר ש</w:t>
      </w:r>
      <w:r w:rsidR="00E8500F">
        <w:rPr>
          <w:rFonts w:hint="cs"/>
          <w:rtl/>
        </w:rPr>
        <w:t>לא עוקרים את המריש ולא נזכר שבית שמאי חולקים על כך</w:t>
      </w:r>
      <w:r w:rsidR="002D7AEA">
        <w:rPr>
          <w:rFonts w:hint="cs"/>
          <w:rtl/>
        </w:rPr>
        <w:t>. כמו כן, ב</w:t>
      </w:r>
      <w:r w:rsidR="00F76AC7">
        <w:rPr>
          <w:rFonts w:hint="cs"/>
          <w:rtl/>
        </w:rPr>
        <w:t xml:space="preserve">רוב מוחלט של עדי הנוסח למשנה חסר הנימוק 'מפני תקנת השבים', וכנראה שהחסרון מקורי. ראו: </w:t>
      </w:r>
      <w:r w:rsidR="001522D8">
        <w:t xml:space="preserve">I. </w:t>
      </w:r>
      <w:r w:rsidR="001522D8" w:rsidRPr="001522D8">
        <w:t xml:space="preserve">Brand, </w:t>
      </w:r>
      <w:r w:rsidR="001522D8">
        <w:t>'</w:t>
      </w:r>
      <w:r w:rsidR="001522D8" w:rsidRPr="001522D8">
        <w:t>Takkanat Hashavim (Regulation for Penitents)</w:t>
      </w:r>
      <w:r w:rsidR="001522D8">
        <w:t>',</w:t>
      </w:r>
      <w:r w:rsidR="001522D8" w:rsidRPr="001522D8">
        <w:t xml:space="preserve"> </w:t>
      </w:r>
      <w:r w:rsidR="001522D8" w:rsidRPr="001522D8">
        <w:rPr>
          <w:i/>
          <w:iCs/>
        </w:rPr>
        <w:t>Dine Israel: 20-21 Studies in Jewish Law In Honor of Professor Aaron Kirschenbaum</w:t>
      </w:r>
      <w:r w:rsidR="001522D8">
        <w:t xml:space="preserve"> (2001), </w:t>
      </w:r>
      <w:r w:rsidR="00F76AC7">
        <w:t>439</w:t>
      </w:r>
      <w:r w:rsidR="001522D8">
        <w:t xml:space="preserve"> [in Hebrew]</w:t>
      </w:r>
      <w:r w:rsidR="004824FD">
        <w:rPr>
          <w:rFonts w:hint="cs"/>
          <w:rtl/>
        </w:rPr>
        <w:t>.</w:t>
      </w:r>
    </w:p>
  </w:footnote>
  <w:footnote w:id="42">
    <w:p w14:paraId="42088A29" w14:textId="048EE421" w:rsidR="00A3479D" w:rsidRPr="00542F2C" w:rsidRDefault="00A3479D" w:rsidP="00A3479D">
      <w:pPr>
        <w:pStyle w:val="a4"/>
        <w:rPr>
          <w:rFonts w:hint="cs"/>
          <w:rtl/>
          <w:lang w:val="el-GR"/>
        </w:rPr>
      </w:pPr>
      <w:r>
        <w:rPr>
          <w:rStyle w:val="a6"/>
        </w:rPr>
        <w:footnoteRef/>
      </w:r>
      <w:r>
        <w:rPr>
          <w:rtl/>
        </w:rPr>
        <w:t xml:space="preserve"> </w:t>
      </w:r>
      <w:r>
        <w:rPr>
          <w:rFonts w:hint="cs"/>
          <w:rtl/>
        </w:rPr>
        <w:t xml:space="preserve">התרגום על פי: </w:t>
      </w:r>
      <w:r w:rsidR="002855D8" w:rsidRPr="00506383">
        <w:t>Cohen</w:t>
      </w:r>
      <w:r w:rsidR="002855D8">
        <w:t xml:space="preserve"> et al.,</w:t>
      </w:r>
      <w:r w:rsidR="002855D8" w:rsidRPr="005434C6">
        <w:rPr>
          <w:i/>
          <w:iCs/>
        </w:rPr>
        <w:t xml:space="preserve"> The Oxford Annotated Mishnah</w:t>
      </w:r>
      <w:r w:rsidR="002855D8" w:rsidRPr="002855D8">
        <w:t>,</w:t>
      </w:r>
      <w:r>
        <w:t xml:space="preserve"> 672–3</w:t>
      </w:r>
      <w:r>
        <w:rPr>
          <w:rFonts w:hint="cs"/>
          <w:rtl/>
          <w:lang w:val="el-GR"/>
        </w:rPr>
        <w:t xml:space="preserve"> בשינויים קלים.</w:t>
      </w:r>
    </w:p>
  </w:footnote>
  <w:footnote w:id="43">
    <w:p w14:paraId="1D575CD1" w14:textId="4CA8236D" w:rsidR="00C04D3C" w:rsidRDefault="00C04D3C" w:rsidP="00C04D3C">
      <w:pPr>
        <w:pStyle w:val="a4"/>
        <w:rPr>
          <w:rFonts w:hint="cs"/>
          <w:rtl/>
        </w:rPr>
      </w:pPr>
      <w:r>
        <w:rPr>
          <w:rStyle w:val="a6"/>
        </w:rPr>
        <w:footnoteRef/>
      </w:r>
      <w:r>
        <w:rPr>
          <w:rtl/>
        </w:rPr>
        <w:t xml:space="preserve"> </w:t>
      </w:r>
      <w:r w:rsidR="002312AA">
        <w:rPr>
          <w:rFonts w:asciiTheme="minorHAnsi" w:hAnsiTheme="minorHAnsi" w:hint="cs"/>
          <w:rtl/>
        </w:rPr>
        <w:t>במסכת גיטין העדויות של יוחנן בן גודגדא משולבות בתוך קובץ גדול שעוסק ב'תיקון העולם'</w:t>
      </w:r>
      <w:r w:rsidR="00CB2C6D">
        <w:rPr>
          <w:rFonts w:asciiTheme="minorHAnsi" w:hAnsiTheme="minorHAnsi" w:hint="cs"/>
          <w:rtl/>
        </w:rPr>
        <w:t>, כלומר, הלכות שנקבעו כדי לפתור בעיות חברתיות</w:t>
      </w:r>
      <w:r w:rsidR="002312AA">
        <w:rPr>
          <w:rFonts w:asciiTheme="minorHAnsi" w:hAnsiTheme="minorHAnsi" w:hint="cs"/>
          <w:rtl/>
        </w:rPr>
        <w:t>. נראה שעורך מסכת גיטין ראה את הדינים הללו כתקנות שעוקפות את הדין, ולא כסברות משפטיות.</w:t>
      </w:r>
      <w:r w:rsidR="002312AA">
        <w:rPr>
          <w:rFonts w:hint="cs"/>
          <w:rtl/>
        </w:rPr>
        <w:t xml:space="preserve"> </w:t>
      </w:r>
      <w:r>
        <w:rPr>
          <w:rFonts w:hint="cs"/>
          <w:rtl/>
        </w:rPr>
        <w:t>על הקובץ במשנה ראו:</w:t>
      </w:r>
      <w:r w:rsidR="005955E5">
        <w:rPr>
          <w:rFonts w:hint="cs"/>
          <w:rtl/>
        </w:rPr>
        <w:t xml:space="preserve"> </w:t>
      </w:r>
      <w:r w:rsidR="00E46EFF" w:rsidRPr="00E46EFF">
        <w:t xml:space="preserve">M.I. Kahana, </w:t>
      </w:r>
      <w:r w:rsidR="00E46EFF" w:rsidRPr="00E46EFF">
        <w:rPr>
          <w:i/>
          <w:iCs/>
        </w:rPr>
        <w:t>Tiqqun Olam (Repairing the World): Babylonian Talmud Tractate Gittin chapter 4</w:t>
      </w:r>
      <w:r w:rsidR="00E46EFF" w:rsidRPr="00E46EFF">
        <w:t xml:space="preserve"> </w:t>
      </w:r>
      <w:r w:rsidR="00E46EFF">
        <w:t>(</w:t>
      </w:r>
      <w:r w:rsidR="00E46EFF" w:rsidRPr="00E46EFF">
        <w:t>Jerusalem</w:t>
      </w:r>
      <w:r w:rsidR="00E46EFF">
        <w:t>,</w:t>
      </w:r>
      <w:r w:rsidR="00E46EFF" w:rsidRPr="00E46EFF">
        <w:t xml:space="preserve"> 2020</w:t>
      </w:r>
      <w:r w:rsidR="00E46EFF">
        <w:t>),</w:t>
      </w:r>
      <w:r w:rsidR="00E46EFF" w:rsidRPr="00E46EFF">
        <w:t xml:space="preserve"> </w:t>
      </w:r>
      <w:r w:rsidR="005955E5">
        <w:t>21–40</w:t>
      </w:r>
      <w:r w:rsidR="00E46EFF">
        <w:t xml:space="preserve"> </w:t>
      </w:r>
      <w:r w:rsidR="00E46EFF" w:rsidRPr="00E46EFF">
        <w:t>[</w:t>
      </w:r>
      <w:r w:rsidR="00E46EFF">
        <w:t xml:space="preserve">in </w:t>
      </w:r>
      <w:r w:rsidR="00E46EFF" w:rsidRPr="00E46EFF">
        <w:t>Hebrew]</w:t>
      </w:r>
      <w:r>
        <w:rPr>
          <w:rFonts w:hint="cs"/>
          <w:rtl/>
        </w:rPr>
        <w:t>.</w:t>
      </w:r>
      <w:r w:rsidR="002312AA">
        <w:rPr>
          <w:rFonts w:hint="cs"/>
          <w:rtl/>
        </w:rPr>
        <w:t xml:space="preserve"> </w:t>
      </w:r>
    </w:p>
  </w:footnote>
  <w:footnote w:id="44">
    <w:p w14:paraId="3B906CFB" w14:textId="6962666A" w:rsidR="00C04D3C" w:rsidRDefault="00C04D3C" w:rsidP="00844A95">
      <w:pPr>
        <w:pStyle w:val="a4"/>
        <w:rPr>
          <w:rFonts w:hint="cs"/>
          <w:rtl/>
        </w:rPr>
      </w:pPr>
      <w:r>
        <w:rPr>
          <w:rStyle w:val="a6"/>
        </w:rPr>
        <w:footnoteRef/>
      </w:r>
      <w:r w:rsidR="00844A95">
        <w:rPr>
          <w:rFonts w:hint="cs"/>
          <w:rtl/>
        </w:rPr>
        <w:t xml:space="preserve"> לתוספתא כאן ארבעה עדי נוסח ויש ביניהם חילופים גדולים.</w:t>
      </w:r>
      <w:r>
        <w:rPr>
          <w:rtl/>
        </w:rPr>
        <w:t xml:space="preserve"> </w:t>
      </w:r>
      <w:r w:rsidR="00EF3259">
        <w:rPr>
          <w:rFonts w:hint="cs"/>
          <w:rtl/>
        </w:rPr>
        <w:t xml:space="preserve">את </w:t>
      </w:r>
      <w:r>
        <w:rPr>
          <w:rFonts w:hint="cs"/>
          <w:rtl/>
        </w:rPr>
        <w:t xml:space="preserve">נוסח הפנים </w:t>
      </w:r>
      <w:r w:rsidR="00EF3259">
        <w:rPr>
          <w:rFonts w:hint="cs"/>
          <w:rtl/>
        </w:rPr>
        <w:t xml:space="preserve">הבאתי </w:t>
      </w:r>
      <w:r>
        <w:rPr>
          <w:rFonts w:hint="cs"/>
          <w:rtl/>
        </w:rPr>
        <w:t>על פי</w:t>
      </w:r>
      <w:r w:rsidR="00EF3259">
        <w:rPr>
          <w:rFonts w:hint="cs"/>
          <w:rtl/>
        </w:rPr>
        <w:t xml:space="preserve"> </w:t>
      </w:r>
      <w:r>
        <w:rPr>
          <w:rFonts w:hint="cs"/>
          <w:rtl/>
        </w:rPr>
        <w:t xml:space="preserve"> </w:t>
      </w:r>
      <w:r w:rsidR="00602295" w:rsidRPr="00602295">
        <w:t>MS Vienn</w:t>
      </w:r>
      <w:r w:rsidR="001D3BF1">
        <w:t>a</w:t>
      </w:r>
      <w:r w:rsidR="008C3D26">
        <w:t xml:space="preserve"> </w:t>
      </w:r>
      <w:r w:rsidR="005B6326">
        <w:t>–</w:t>
      </w:r>
      <w:r w:rsidR="008C3D26">
        <w:t xml:space="preserve"> Aus</w:t>
      </w:r>
      <w:r w:rsidR="005B6326">
        <w:t>trian National Library, Cod. Hebr. 20</w:t>
      </w:r>
      <w:r w:rsidR="001D3BF1">
        <w:t xml:space="preserve"> (</w:t>
      </w:r>
      <w:r w:rsidR="001D3BF1" w:rsidRPr="00FF7461">
        <w:rPr>
          <w:b/>
          <w:bCs/>
        </w:rPr>
        <w:t>V</w:t>
      </w:r>
      <w:r w:rsidR="001D3BF1">
        <w:t>)</w:t>
      </w:r>
      <w:r w:rsidR="0082100A">
        <w:rPr>
          <w:rFonts w:hint="cs"/>
          <w:rtl/>
          <w:lang w:val="el-GR"/>
        </w:rPr>
        <w:t xml:space="preserve"> חילופי נוסח הובאו לפי</w:t>
      </w:r>
      <w:r w:rsidR="0082100A" w:rsidRPr="0082100A">
        <w:t xml:space="preserve"> </w:t>
      </w:r>
      <w:r w:rsidR="0082100A" w:rsidRPr="00E95A96">
        <w:t>MS Erfurt</w:t>
      </w:r>
      <w:r w:rsidR="00D963B5">
        <w:t xml:space="preserve"> </w:t>
      </w:r>
      <w:r w:rsidR="00AD4BF9">
        <w:t>–</w:t>
      </w:r>
      <w:r w:rsidR="00D963B5">
        <w:t xml:space="preserve"> now</w:t>
      </w:r>
      <w:r w:rsidR="00AD4BF9">
        <w:t xml:space="preserve"> housed in Berlin </w:t>
      </w:r>
      <w:r w:rsidR="006F3373">
        <w:t xml:space="preserve">State Library, MS Or. Fol. 1220 </w:t>
      </w:r>
      <w:r w:rsidR="00E95A96">
        <w:t>(</w:t>
      </w:r>
      <w:r w:rsidR="00E95A96" w:rsidRPr="00FF7461">
        <w:rPr>
          <w:b/>
          <w:bCs/>
        </w:rPr>
        <w:t>E</w:t>
      </w:r>
      <w:r w:rsidR="00E95A96">
        <w:t xml:space="preserve">); </w:t>
      </w:r>
      <w:r w:rsidR="00E95A96" w:rsidRPr="00E95A96">
        <w:rPr>
          <w:i/>
          <w:iCs/>
        </w:rPr>
        <w:t>editio princeps</w:t>
      </w:r>
      <w:r w:rsidR="00523888">
        <w:rPr>
          <w:i/>
          <w:iCs/>
        </w:rPr>
        <w:t>,</w:t>
      </w:r>
      <w:r w:rsidR="00523888">
        <w:t xml:space="preserve"> Venice 1521</w:t>
      </w:r>
      <w:r w:rsidR="0065267D">
        <w:rPr>
          <w:i/>
          <w:iCs/>
        </w:rPr>
        <w:t xml:space="preserve"> </w:t>
      </w:r>
      <w:r w:rsidR="0065267D" w:rsidRPr="0065267D">
        <w:t>(</w:t>
      </w:r>
      <w:r w:rsidR="00FF7461" w:rsidRPr="00FF7461">
        <w:rPr>
          <w:b/>
          <w:bCs/>
        </w:rPr>
        <w:t>P</w:t>
      </w:r>
      <w:r w:rsidR="0065267D" w:rsidRPr="0065267D">
        <w:t>)</w:t>
      </w:r>
      <w:r w:rsidR="0067790A">
        <w:t xml:space="preserve">; </w:t>
      </w:r>
      <w:r w:rsidR="008B6C75">
        <w:t>a Spanish</w:t>
      </w:r>
      <w:r w:rsidR="0067790A" w:rsidRPr="0067790A">
        <w:t xml:space="preserve"> fragment</w:t>
      </w:r>
      <w:r w:rsidR="00962E22">
        <w:t xml:space="preserve"> of the Cairo Genizah –</w:t>
      </w:r>
      <w:r w:rsidR="0067790A">
        <w:t xml:space="preserve"> Cambrige University Library,</w:t>
      </w:r>
      <w:r w:rsidR="0067790A" w:rsidRPr="0067790A">
        <w:t xml:space="preserve"> T-S E2.141</w:t>
      </w:r>
      <w:r w:rsidR="00844A95">
        <w:t xml:space="preserve"> (</w:t>
      </w:r>
      <w:r w:rsidR="00844A95" w:rsidRPr="00FF7461">
        <w:rPr>
          <w:b/>
          <w:bCs/>
        </w:rPr>
        <w:t>G</w:t>
      </w:r>
      <w:r w:rsidR="00844A95">
        <w:t>)</w:t>
      </w:r>
      <w:r w:rsidR="0067790A">
        <w:t>.</w:t>
      </w:r>
      <w:r w:rsidR="00DA6497">
        <w:rPr>
          <w:rFonts w:hint="cs"/>
          <w:rtl/>
        </w:rPr>
        <w:t>. כדי שלא להעמיס על הקוראים, הבאתי רק את חילופי הנוסח שאני מתייחס אליהם בדיון להלן.</w:t>
      </w:r>
      <w:r w:rsidR="0007606C">
        <w:rPr>
          <w:rFonts w:hint="cs"/>
          <w:rtl/>
        </w:rPr>
        <w:t xml:space="preserve"> </w:t>
      </w:r>
      <w:r w:rsidR="00BF3F37">
        <w:rPr>
          <w:rFonts w:hint="cs"/>
          <w:rtl/>
        </w:rPr>
        <w:t xml:space="preserve">תיאור מלא של החילופים ראו: </w:t>
      </w:r>
      <w:r w:rsidR="00D126C1">
        <w:t xml:space="preserve">S. Lieberman (ed.), </w:t>
      </w:r>
      <w:r w:rsidR="00D126C1" w:rsidRPr="00D126C1">
        <w:rPr>
          <w:i/>
          <w:iCs/>
        </w:rPr>
        <w:t>The Tosefta according to Codex Vienna, The Order of Nashim</w:t>
      </w:r>
      <w:r w:rsidR="00D126C1">
        <w:t xml:space="preserve"> (</w:t>
      </w:r>
      <w:r w:rsidR="00D126C1" w:rsidRPr="00D126C1">
        <w:t>New York</w:t>
      </w:r>
      <w:r w:rsidR="00D126C1">
        <w:t>,</w:t>
      </w:r>
      <w:r w:rsidR="00D126C1" w:rsidRPr="00D126C1">
        <w:t xml:space="preserve"> 1967</w:t>
      </w:r>
      <w:r w:rsidR="00D126C1">
        <w:t>),</w:t>
      </w:r>
      <w:r w:rsidR="00D1260A">
        <w:t xml:space="preserve"> </w:t>
      </w:r>
      <w:r w:rsidR="00DF41BD">
        <w:t xml:space="preserve">85–6; </w:t>
      </w:r>
      <w:r w:rsidR="00D126C1">
        <w:t xml:space="preserve">R. </w:t>
      </w:r>
      <w:r w:rsidR="00D126C1" w:rsidRPr="00D126C1">
        <w:t>Brody</w:t>
      </w:r>
      <w:r w:rsidR="00D126C1">
        <w:t>,</w:t>
      </w:r>
      <w:r w:rsidR="00D126C1" w:rsidRPr="00D126C1">
        <w:t xml:space="preserve"> </w:t>
      </w:r>
      <w:r w:rsidR="00D126C1" w:rsidRPr="00D126C1">
        <w:rPr>
          <w:i/>
          <w:iCs/>
        </w:rPr>
        <w:t>Mishnah and Tosefta Ketubbot: Text, Exegesis and Redaction</w:t>
      </w:r>
      <w:r w:rsidR="00D126C1" w:rsidRPr="00D126C1">
        <w:t xml:space="preserve"> </w:t>
      </w:r>
      <w:r w:rsidR="00D126C1">
        <w:t>(</w:t>
      </w:r>
      <w:r w:rsidR="00D126C1" w:rsidRPr="00D126C1">
        <w:t>Jerusalem</w:t>
      </w:r>
      <w:r w:rsidR="00D126C1">
        <w:t xml:space="preserve">, 2015), </w:t>
      </w:r>
      <w:r w:rsidR="006F5A7E">
        <w:t>223–4</w:t>
      </w:r>
      <w:r w:rsidR="00D126C1">
        <w:t xml:space="preserve"> [in Hebrew]</w:t>
      </w:r>
      <w:r w:rsidR="000176FA">
        <w:t>.</w:t>
      </w:r>
      <w:r w:rsidR="006F5A7E">
        <w:t xml:space="preserve"> </w:t>
      </w:r>
      <w:r w:rsidR="00DF41BD">
        <w:t xml:space="preserve"> </w:t>
      </w:r>
      <w:r w:rsidR="00BF3F37">
        <w:t xml:space="preserve"> </w:t>
      </w:r>
    </w:p>
  </w:footnote>
  <w:footnote w:id="45">
    <w:p w14:paraId="76FF3FA0" w14:textId="38E17748" w:rsidR="00EC3BEB" w:rsidRDefault="00EC3BEB" w:rsidP="00EC3BEB">
      <w:pPr>
        <w:pStyle w:val="a4"/>
        <w:bidi w:val="0"/>
      </w:pPr>
      <w:r>
        <w:rPr>
          <w:rStyle w:val="a6"/>
        </w:rPr>
        <w:footnoteRef/>
      </w:r>
      <w:r>
        <w:rPr>
          <w:rtl/>
        </w:rPr>
        <w:t xml:space="preserve"> </w:t>
      </w:r>
      <w:r>
        <w:t xml:space="preserve">This sentence absents in </w:t>
      </w:r>
      <w:r w:rsidRPr="007F3CCA">
        <w:rPr>
          <w:b/>
          <w:bCs/>
        </w:rPr>
        <w:t>VP</w:t>
      </w:r>
      <w:r>
        <w:t>. See below.</w:t>
      </w:r>
    </w:p>
  </w:footnote>
  <w:footnote w:id="46">
    <w:p w14:paraId="1E1BABDF" w14:textId="77777777" w:rsidR="003D0D64" w:rsidRDefault="003D0D64" w:rsidP="00BD5A31">
      <w:pPr>
        <w:pStyle w:val="a4"/>
      </w:pPr>
      <w:r>
        <w:rPr>
          <w:rStyle w:val="a6"/>
        </w:rPr>
        <w:footnoteRef/>
      </w:r>
      <w:r>
        <w:rPr>
          <w:rtl/>
        </w:rPr>
        <w:t xml:space="preserve"> </w:t>
      </w:r>
      <w:r>
        <w:rPr>
          <w:rFonts w:hint="cs"/>
          <w:rtl/>
        </w:rPr>
        <w:t>מכאן ועד סוף הציטוט הנוסח ב</w:t>
      </w:r>
      <w:r w:rsidRPr="007F3CCA">
        <w:rPr>
          <w:rFonts w:hint="cs"/>
          <w:b/>
          <w:bCs/>
        </w:rPr>
        <w:t>EG</w:t>
      </w:r>
      <w:r>
        <w:rPr>
          <w:rFonts w:hint="cs"/>
          <w:rtl/>
        </w:rPr>
        <w:t xml:space="preserve"> דומה למקבילה במסכת בבא קמא. </w:t>
      </w:r>
    </w:p>
  </w:footnote>
  <w:footnote w:id="47">
    <w:p w14:paraId="45BFA100" w14:textId="5A5A9DB5" w:rsidR="006B2275" w:rsidRDefault="006B2275" w:rsidP="006B2275">
      <w:pPr>
        <w:pStyle w:val="a4"/>
        <w:rPr>
          <w:rtl/>
        </w:rPr>
      </w:pPr>
      <w:r>
        <w:rPr>
          <w:rStyle w:val="a6"/>
        </w:rPr>
        <w:footnoteRef/>
      </w:r>
      <w:r>
        <w:rPr>
          <w:rtl/>
        </w:rPr>
        <w:t xml:space="preserve"> </w:t>
      </w:r>
      <w:r w:rsidR="00D53856">
        <w:rPr>
          <w:rFonts w:hint="cs"/>
          <w:rtl/>
        </w:rPr>
        <w:t xml:space="preserve">ראו: </w:t>
      </w:r>
      <w:r w:rsidR="000176FA" w:rsidRPr="000176FA">
        <w:t xml:space="preserve">A. Goldberg, </w:t>
      </w:r>
      <w:r w:rsidR="000176FA" w:rsidRPr="000176FA">
        <w:rPr>
          <w:i/>
          <w:iCs/>
        </w:rPr>
        <w:t>Tosefta Bava Kamma: A Structural and Analytic Commentary</w:t>
      </w:r>
      <w:r w:rsidR="000176FA" w:rsidRPr="000176FA">
        <w:t xml:space="preserve"> </w:t>
      </w:r>
      <w:r w:rsidR="000176FA">
        <w:t>(</w:t>
      </w:r>
      <w:r w:rsidR="000176FA" w:rsidRPr="000176FA">
        <w:t>Jerusalem</w:t>
      </w:r>
      <w:r w:rsidR="000176FA">
        <w:t>,</w:t>
      </w:r>
      <w:r w:rsidR="000176FA" w:rsidRPr="000176FA">
        <w:t xml:space="preserve"> 2001</w:t>
      </w:r>
      <w:r w:rsidR="000176FA">
        <w:t>)</w:t>
      </w:r>
      <w:r w:rsidR="00673A06">
        <w:t>, 191</w:t>
      </w:r>
      <w:r w:rsidR="000176FA" w:rsidRPr="000176FA">
        <w:t xml:space="preserve"> [</w:t>
      </w:r>
      <w:r w:rsidR="00673A06">
        <w:t xml:space="preserve">in </w:t>
      </w:r>
      <w:r w:rsidR="000176FA" w:rsidRPr="000176FA">
        <w:t>Hebrew]</w:t>
      </w:r>
      <w:r w:rsidR="00D53856">
        <w:t xml:space="preserve">; </w:t>
      </w:r>
      <w:r w:rsidR="000176FA" w:rsidRPr="00D126C1">
        <w:t>Brody</w:t>
      </w:r>
      <w:r w:rsidR="000176FA">
        <w:t>,</w:t>
      </w:r>
      <w:r w:rsidR="000176FA" w:rsidRPr="00D126C1">
        <w:t xml:space="preserve"> </w:t>
      </w:r>
      <w:r w:rsidR="000176FA" w:rsidRPr="00D126C1">
        <w:rPr>
          <w:i/>
          <w:iCs/>
        </w:rPr>
        <w:t>Mishnah and Tosefta</w:t>
      </w:r>
      <w:r w:rsidR="000176FA">
        <w:t>,</w:t>
      </w:r>
      <w:r w:rsidR="00D53856">
        <w:t xml:space="preserve"> 211</w:t>
      </w:r>
      <w:r w:rsidR="00D53856">
        <w:rPr>
          <w:rFonts w:hint="cs"/>
          <w:rtl/>
        </w:rPr>
        <w:t xml:space="preserve">. </w:t>
      </w:r>
    </w:p>
  </w:footnote>
  <w:footnote w:id="48">
    <w:p w14:paraId="1297DF80" w14:textId="3036127B" w:rsidR="00C04D3C" w:rsidRDefault="00C04D3C" w:rsidP="00C04D3C">
      <w:pPr>
        <w:pStyle w:val="a4"/>
        <w:rPr>
          <w:rFonts w:hint="cs"/>
          <w:rtl/>
        </w:rPr>
      </w:pPr>
      <w:r>
        <w:rPr>
          <w:rStyle w:val="a6"/>
        </w:rPr>
        <w:footnoteRef/>
      </w:r>
      <w:r>
        <w:rPr>
          <w:rtl/>
        </w:rPr>
        <w:t xml:space="preserve"> </w:t>
      </w:r>
      <w:r>
        <w:rPr>
          <w:rFonts w:hint="cs"/>
          <w:rtl/>
        </w:rPr>
        <w:t>הלכה ג עוסקת באשה שמתגרשת</w:t>
      </w:r>
      <w:r w:rsidR="00843027">
        <w:rPr>
          <w:rFonts w:hint="cs"/>
          <w:rtl/>
        </w:rPr>
        <w:t xml:space="preserve">. במקרה זה הקרקעות שהיו שייכות לה לפני הנישואים חוזרות לרשותה, אבל </w:t>
      </w:r>
      <w:r>
        <w:rPr>
          <w:rFonts w:hint="cs"/>
          <w:rtl/>
        </w:rPr>
        <w:t xml:space="preserve">הפירות התלושים מן הקרקע שייכים לבעלה. </w:t>
      </w:r>
      <w:r w:rsidR="00843027">
        <w:rPr>
          <w:rFonts w:hint="cs"/>
          <w:rtl/>
        </w:rPr>
        <w:t xml:space="preserve">התוספתא דנה בשאלה </w:t>
      </w:r>
      <w:r>
        <w:rPr>
          <w:rFonts w:hint="cs"/>
          <w:rtl/>
        </w:rPr>
        <w:t xml:space="preserve">מה דין הפירות </w:t>
      </w:r>
      <w:r w:rsidR="00843027">
        <w:rPr>
          <w:rFonts w:hint="cs"/>
          <w:rtl/>
        </w:rPr>
        <w:t xml:space="preserve">שעדיין </w:t>
      </w:r>
      <w:r>
        <w:rPr>
          <w:rFonts w:hint="cs"/>
          <w:rtl/>
        </w:rPr>
        <w:t>מחוברים</w:t>
      </w:r>
      <w:r w:rsidR="00843027">
        <w:rPr>
          <w:rFonts w:hint="cs"/>
          <w:rtl/>
        </w:rPr>
        <w:t xml:space="preserve"> לקרקע</w:t>
      </w:r>
      <w:r>
        <w:rPr>
          <w:rFonts w:hint="cs"/>
          <w:rtl/>
        </w:rPr>
        <w:t>. בהמשך אותה הלכה נידונים נכסי</w:t>
      </w:r>
      <w:r w:rsidR="00007305">
        <w:rPr>
          <w:rFonts w:hint="cs"/>
          <w:rtl/>
        </w:rPr>
        <w:t>ם שבעליהם</w:t>
      </w:r>
      <w:r>
        <w:rPr>
          <w:rFonts w:hint="cs"/>
          <w:rtl/>
        </w:rPr>
        <w:t xml:space="preserve"> </w:t>
      </w:r>
      <w:r w:rsidR="00007305">
        <w:rPr>
          <w:rFonts w:hint="cs"/>
          <w:rtl/>
        </w:rPr>
        <w:t>נפלו בשבי.</w:t>
      </w:r>
      <w:r>
        <w:rPr>
          <w:rFonts w:hint="cs"/>
          <w:rtl/>
        </w:rPr>
        <w:t xml:space="preserve"> </w:t>
      </w:r>
      <w:r w:rsidR="00007305">
        <w:rPr>
          <w:rFonts w:hint="cs"/>
          <w:rtl/>
        </w:rPr>
        <w:t xml:space="preserve">בזמן השבי הנכסים </w:t>
      </w:r>
      <w:r>
        <w:rPr>
          <w:rFonts w:hint="cs"/>
          <w:rtl/>
        </w:rPr>
        <w:t xml:space="preserve">נוהלו על ידי </w:t>
      </w:r>
      <w:r w:rsidR="00007305">
        <w:rPr>
          <w:rFonts w:hint="cs"/>
          <w:rtl/>
        </w:rPr>
        <w:t xml:space="preserve">אדם </w:t>
      </w:r>
      <w:r>
        <w:rPr>
          <w:rFonts w:hint="cs"/>
          <w:rtl/>
        </w:rPr>
        <w:t>אחר</w:t>
      </w:r>
      <w:r w:rsidR="00007305">
        <w:rPr>
          <w:rFonts w:hint="cs"/>
          <w:rtl/>
        </w:rPr>
        <w:t xml:space="preserve"> שהיה זכאי לאכול את פירותיהם. כאשר השבוי חוזר הנכסים חוזרים לרשותו. התוספתא דנה במעמד הפירות המחוברים בעת החזרה</w:t>
      </w:r>
      <w:r>
        <w:rPr>
          <w:rFonts w:hint="cs"/>
          <w:rtl/>
        </w:rPr>
        <w:t>.</w:t>
      </w:r>
      <w:r w:rsidR="00007305">
        <w:rPr>
          <w:rFonts w:hint="cs"/>
          <w:rtl/>
        </w:rPr>
        <w:t xml:space="preserve"> להלכות אלו מקבילה מובהקת בחוק הרומי. ראו: </w:t>
      </w:r>
      <w:r w:rsidR="003C3A84" w:rsidRPr="003C3A84">
        <w:t xml:space="preserve">O. Malka </w:t>
      </w:r>
      <w:r w:rsidR="00E972BF">
        <w:t>&amp;</w:t>
      </w:r>
      <w:r w:rsidR="003C3A84" w:rsidRPr="003C3A84">
        <w:t xml:space="preserve"> Y. Paz, </w:t>
      </w:r>
      <w:r w:rsidR="00E972BF">
        <w:t>'</w:t>
      </w:r>
      <w:r w:rsidR="003C3A84" w:rsidRPr="003C3A84">
        <w:t>Ab hostibus captus et a latronibus captus: The Impact of the Roman Model of Citizenship on Rabbinic Law</w:t>
      </w:r>
      <w:r w:rsidR="00E972BF">
        <w:t>'</w:t>
      </w:r>
      <w:r w:rsidR="003C3A84" w:rsidRPr="003C3A84">
        <w:t xml:space="preserve">, </w:t>
      </w:r>
      <w:r w:rsidR="003C3A84" w:rsidRPr="00E972BF">
        <w:rPr>
          <w:i/>
          <w:iCs/>
        </w:rPr>
        <w:t>Jewish Quarterly Review</w:t>
      </w:r>
      <w:r w:rsidR="005E6241">
        <w:t>, (109)</w:t>
      </w:r>
      <w:r w:rsidR="003C3A84" w:rsidRPr="003C3A84">
        <w:t xml:space="preserve"> 2019</w:t>
      </w:r>
      <w:r w:rsidR="00497E97">
        <w:rPr>
          <w:rFonts w:hint="cs"/>
          <w:rtl/>
        </w:rPr>
        <w:t>.</w:t>
      </w:r>
      <w:r>
        <w:rPr>
          <w:rFonts w:hint="cs"/>
          <w:rtl/>
        </w:rPr>
        <w:t xml:space="preserve"> הלכות ו–ז עוסקות בבעיה סבוכה של ירושה, שבה </w:t>
      </w:r>
      <w:r w:rsidR="00A66664">
        <w:rPr>
          <w:rFonts w:hint="cs"/>
          <w:rtl/>
        </w:rPr>
        <w:t>פלוני ירש קרקע שמחוברים לה נכסים של אדם אחר.</w:t>
      </w:r>
      <w:r>
        <w:rPr>
          <w:rFonts w:hint="cs"/>
          <w:rtl/>
        </w:rPr>
        <w:t xml:space="preserve"> המשך הלכה ז עוסקת באריס ש</w:t>
      </w:r>
      <w:r w:rsidR="00961097">
        <w:rPr>
          <w:rFonts w:hint="cs"/>
          <w:rtl/>
        </w:rPr>
        <w:t>מתפטר</w:t>
      </w:r>
      <w:r>
        <w:rPr>
          <w:rFonts w:hint="cs"/>
          <w:rtl/>
        </w:rPr>
        <w:t xml:space="preserve"> מאריסותו אבל חלק מן המחובר לקרקע שייך</w:t>
      </w:r>
      <w:r w:rsidR="00BC2055">
        <w:rPr>
          <w:rFonts w:hint="cs"/>
          <w:rtl/>
        </w:rPr>
        <w:t xml:space="preserve"> עדיין</w:t>
      </w:r>
      <w:r>
        <w:rPr>
          <w:rFonts w:hint="cs"/>
          <w:rtl/>
        </w:rPr>
        <w:t xml:space="preserve"> לו. לדעתי אותו נושא משותף גם לשאר ההלכות</w:t>
      </w:r>
      <w:r w:rsidR="00961097">
        <w:rPr>
          <w:rFonts w:hint="cs"/>
          <w:rtl/>
        </w:rPr>
        <w:t xml:space="preserve"> בפרק</w:t>
      </w:r>
      <w:r>
        <w:rPr>
          <w:rFonts w:hint="cs"/>
          <w:rtl/>
        </w:rPr>
        <w:t xml:space="preserve">. </w:t>
      </w:r>
      <w:r w:rsidR="00961097">
        <w:rPr>
          <w:rFonts w:hint="cs"/>
          <w:rtl/>
        </w:rPr>
        <w:t>לניתוח הפרק</w:t>
      </w:r>
      <w:r>
        <w:rPr>
          <w:rFonts w:hint="cs"/>
          <w:rtl/>
        </w:rPr>
        <w:t xml:space="preserve"> ראו:</w:t>
      </w:r>
      <w:r w:rsidR="00FF1B84">
        <w:rPr>
          <w:rFonts w:hint="cs"/>
          <w:b/>
          <w:bCs/>
          <w:rtl/>
        </w:rPr>
        <w:t xml:space="preserve"> </w:t>
      </w:r>
      <w:r w:rsidR="005E6241" w:rsidRPr="00D126C1">
        <w:t>Brody</w:t>
      </w:r>
      <w:r w:rsidR="005E6241">
        <w:t>,</w:t>
      </w:r>
      <w:r w:rsidR="005E6241" w:rsidRPr="00D126C1">
        <w:t xml:space="preserve"> </w:t>
      </w:r>
      <w:r w:rsidR="005E6241" w:rsidRPr="00D126C1">
        <w:rPr>
          <w:i/>
          <w:iCs/>
        </w:rPr>
        <w:t>Mishnah and Tosefta</w:t>
      </w:r>
      <w:r w:rsidR="005E6241">
        <w:t>,</w:t>
      </w:r>
      <w:r w:rsidR="00FF1B84">
        <w:t xml:space="preserve"> 2</w:t>
      </w:r>
      <w:r w:rsidR="00F00560">
        <w:t>09–</w:t>
      </w:r>
      <w:r w:rsidR="00FF1B84">
        <w:t>11</w:t>
      </w:r>
      <w:r w:rsidR="00FF1B84">
        <w:rPr>
          <w:rFonts w:hint="cs"/>
          <w:rtl/>
          <w:lang w:val="el-GR"/>
        </w:rPr>
        <w:t>.</w:t>
      </w:r>
      <w:r w:rsidRPr="00FF26D9">
        <w:rPr>
          <w:rFonts w:hint="cs"/>
          <w:rtl/>
        </w:rPr>
        <w:t xml:space="preserve"> דין הפיצויים שניתנים ליורד</w:t>
      </w:r>
      <w:r w:rsidR="00C93D70" w:rsidRPr="00FF26D9">
        <w:rPr>
          <w:rFonts w:hint="cs"/>
          <w:rtl/>
        </w:rPr>
        <w:t xml:space="preserve"> לחורבתו של חברו</w:t>
      </w:r>
      <w:r w:rsidRPr="00FF26D9">
        <w:rPr>
          <w:rFonts w:hint="cs"/>
          <w:rtl/>
        </w:rPr>
        <w:t xml:space="preserve"> מזכיר באופנים שונים את דין המטפל בנחלת אדם שנעדר (</w:t>
      </w:r>
      <w:r w:rsidRPr="005C513C">
        <w:rPr>
          <w:i/>
          <w:iCs/>
        </w:rPr>
        <w:t>negotium gestio</w:t>
      </w:r>
      <w:r w:rsidRPr="00FF26D9">
        <w:rPr>
          <w:rFonts w:hint="cs"/>
          <w:rtl/>
        </w:rPr>
        <w:t xml:space="preserve">) אצל הרומים. ראו על המקבילה: </w:t>
      </w:r>
      <w:r w:rsidR="00C93D70" w:rsidRPr="00FF26D9">
        <w:t>Cohen</w:t>
      </w:r>
      <w:r w:rsidR="005E6241">
        <w:t xml:space="preserve">, </w:t>
      </w:r>
      <w:r w:rsidR="005E6241" w:rsidRPr="005E6241">
        <w:rPr>
          <w:i/>
          <w:iCs/>
        </w:rPr>
        <w:t>Jewish and Roman Law</w:t>
      </w:r>
      <w:r w:rsidR="005E6241">
        <w:t>,</w:t>
      </w:r>
      <w:r w:rsidR="00C93D70" w:rsidRPr="00FF26D9">
        <w:t xml:space="preserve"> </w:t>
      </w:r>
      <w:r w:rsidR="00FF26D9" w:rsidRPr="00FF26D9">
        <w:t>489–90</w:t>
      </w:r>
      <w:r w:rsidRPr="00FF26D9">
        <w:rPr>
          <w:rFonts w:hint="cs"/>
          <w:rtl/>
        </w:rPr>
        <w:t xml:space="preserve">. </w:t>
      </w:r>
    </w:p>
  </w:footnote>
  <w:footnote w:id="49">
    <w:p w14:paraId="6765FED3" w14:textId="03DA3F9C" w:rsidR="00C04D3C" w:rsidRDefault="00C04D3C" w:rsidP="00C04D3C">
      <w:pPr>
        <w:pStyle w:val="a4"/>
        <w:rPr>
          <w:rtl/>
        </w:rPr>
      </w:pPr>
      <w:r>
        <w:rPr>
          <w:rStyle w:val="a6"/>
        </w:rPr>
        <w:footnoteRef/>
      </w:r>
      <w:r>
        <w:rPr>
          <w:rtl/>
        </w:rPr>
        <w:t xml:space="preserve"> </w:t>
      </w:r>
      <w:r>
        <w:rPr>
          <w:rFonts w:hint="cs"/>
          <w:rtl/>
        </w:rPr>
        <w:t>ראשית, גם ב</w:t>
      </w:r>
      <w:r w:rsidR="00EE7EDA">
        <w:rPr>
          <w:rFonts w:hint="cs"/>
        </w:rPr>
        <w:t>PT</w:t>
      </w:r>
      <w:r>
        <w:rPr>
          <w:rFonts w:hint="cs"/>
          <w:rtl/>
        </w:rPr>
        <w:t xml:space="preserve"> באה ברייתא שחסרה בה שיטת רשב"ג. ראו: </w:t>
      </w:r>
      <w:r w:rsidR="00EE7EDA">
        <w:rPr>
          <w:rFonts w:hint="cs"/>
        </w:rPr>
        <w:t>PT</w:t>
      </w:r>
      <w:r w:rsidR="00EE7EDA">
        <w:t>. B. Qam.</w:t>
      </w:r>
      <w:r w:rsidR="0044300B">
        <w:t xml:space="preserve"> 6d; PT. Git</w:t>
      </w:r>
      <w:r w:rsidR="0044300B">
        <w:rPr>
          <w:rFonts w:cs="Times New Roman"/>
        </w:rPr>
        <w:t>̣</w:t>
      </w:r>
      <w:r w:rsidR="0044300B">
        <w:t>.</w:t>
      </w:r>
      <w:r w:rsidR="00EC5008">
        <w:t xml:space="preserve"> 47a–b</w:t>
      </w:r>
      <w:r>
        <w:rPr>
          <w:rFonts w:hint="cs"/>
          <w:rtl/>
        </w:rPr>
        <w:t xml:space="preserve">. </w:t>
      </w:r>
      <w:r w:rsidR="006F3520">
        <w:rPr>
          <w:rFonts w:hint="cs"/>
          <w:rtl/>
        </w:rPr>
        <w:t>המצב ב</w:t>
      </w:r>
      <w:r w:rsidR="006F3520">
        <w:rPr>
          <w:rFonts w:hint="cs"/>
        </w:rPr>
        <w:t>BT</w:t>
      </w:r>
      <w:r w:rsidR="006F3520">
        <w:rPr>
          <w:rFonts w:hint="cs"/>
          <w:rtl/>
        </w:rPr>
        <w:t xml:space="preserve"> מורכב יותר, אך לפחות ברובד המאוחר שלו הוא </w:t>
      </w:r>
      <w:r w:rsidR="005B5867">
        <w:rPr>
          <w:rFonts w:hint="cs"/>
          <w:rtl/>
        </w:rPr>
        <w:t xml:space="preserve">מכיר את שיטת רשב"ג. ראו: </w:t>
      </w:r>
      <w:r w:rsidR="005B5867">
        <w:rPr>
          <w:rFonts w:hint="cs"/>
        </w:rPr>
        <w:t>BT</w:t>
      </w:r>
      <w:r w:rsidR="005B5867">
        <w:t>.</w:t>
      </w:r>
      <w:r w:rsidR="00344D5E">
        <w:t xml:space="preserve"> B. Mes</w:t>
      </w:r>
      <w:r w:rsidR="00344D5E">
        <w:rPr>
          <w:rFonts w:cs="Times New Roman"/>
        </w:rPr>
        <w:t>̣</w:t>
      </w:r>
      <w:r w:rsidR="00344D5E">
        <w:t>i</w:t>
      </w:r>
      <w:r w:rsidR="00344D5E">
        <w:rPr>
          <w:rFonts w:cs="Times New Roman"/>
        </w:rPr>
        <w:t>ʿ</w:t>
      </w:r>
      <w:r w:rsidR="00344D5E">
        <w:t>a. 101a</w:t>
      </w:r>
      <w:r>
        <w:rPr>
          <w:rFonts w:hint="cs"/>
          <w:rtl/>
        </w:rPr>
        <w:t>. מכיוון אחר, בהמשך ה</w:t>
      </w:r>
      <w:r w:rsidR="00834F20">
        <w:rPr>
          <w:rFonts w:hint="cs"/>
          <w:rtl/>
        </w:rPr>
        <w:t>תוספתא כתובות</w:t>
      </w:r>
      <w:r>
        <w:rPr>
          <w:rFonts w:hint="cs"/>
          <w:rtl/>
        </w:rPr>
        <w:t xml:space="preserve"> קרוב נוסח </w:t>
      </w:r>
      <w:r w:rsidR="007E1548" w:rsidRPr="007E1548">
        <w:rPr>
          <w:rFonts w:hint="cs"/>
          <w:b/>
          <w:bCs/>
        </w:rPr>
        <w:t>EG</w:t>
      </w:r>
      <w:r>
        <w:rPr>
          <w:rFonts w:hint="cs"/>
          <w:rtl/>
        </w:rPr>
        <w:t xml:space="preserve"> לנוסח המקבילה בבבא קמא (ראו בחילופי הנוסח שהבאתי לעיל) ואילו </w:t>
      </w:r>
      <w:r w:rsidR="007E1548" w:rsidRPr="007E1548">
        <w:rPr>
          <w:rFonts w:hint="cs"/>
          <w:b/>
          <w:bCs/>
        </w:rPr>
        <w:t>VP</w:t>
      </w:r>
      <w:r>
        <w:rPr>
          <w:rFonts w:hint="cs"/>
          <w:rtl/>
        </w:rPr>
        <w:t xml:space="preserve"> שונים ממנו. יש מקום לטעון ש</w:t>
      </w:r>
      <w:r w:rsidR="007E1548" w:rsidRPr="007E1548">
        <w:rPr>
          <w:rFonts w:hint="cs"/>
          <w:b/>
          <w:bCs/>
        </w:rPr>
        <w:t>VP</w:t>
      </w:r>
      <w:r>
        <w:rPr>
          <w:rFonts w:hint="cs"/>
          <w:rtl/>
        </w:rPr>
        <w:t xml:space="preserve"> משמרים את ההבדלים המקוריים בין </w:t>
      </w:r>
      <w:r w:rsidR="007E1548">
        <w:rPr>
          <w:rFonts w:hint="cs"/>
          <w:rtl/>
        </w:rPr>
        <w:t>שתי המסכתות</w:t>
      </w:r>
      <w:r>
        <w:rPr>
          <w:rFonts w:hint="cs"/>
          <w:rtl/>
        </w:rPr>
        <w:t xml:space="preserve">, ואילו </w:t>
      </w:r>
      <w:r w:rsidR="007E1548" w:rsidRPr="007E1548">
        <w:rPr>
          <w:rFonts w:hint="cs"/>
          <w:b/>
          <w:bCs/>
        </w:rPr>
        <w:t>EG</w:t>
      </w:r>
      <w:r>
        <w:rPr>
          <w:rFonts w:hint="cs"/>
          <w:rtl/>
        </w:rPr>
        <w:t xml:space="preserve"> </w:t>
      </w:r>
      <w:r w:rsidR="007E1548">
        <w:rPr>
          <w:rFonts w:hint="cs"/>
          <w:rtl/>
        </w:rPr>
        <w:t>שינו את הנוסח המקורי</w:t>
      </w:r>
      <w:r>
        <w:rPr>
          <w:rFonts w:hint="cs"/>
          <w:rtl/>
        </w:rPr>
        <w:t xml:space="preserve"> </w:t>
      </w:r>
      <w:r w:rsidR="00834F20">
        <w:rPr>
          <w:rFonts w:hint="cs"/>
          <w:rtl/>
        </w:rPr>
        <w:t>כדי להתאים את שתי המקבילות זו לזו</w:t>
      </w:r>
      <w:r>
        <w:rPr>
          <w:rFonts w:hint="cs"/>
          <w:rtl/>
        </w:rPr>
        <w:t>.</w:t>
      </w:r>
    </w:p>
  </w:footnote>
  <w:footnote w:id="50">
    <w:p w14:paraId="367CD4DA" w14:textId="54B760EE" w:rsidR="00C73313" w:rsidRDefault="00C73313" w:rsidP="00C73313">
      <w:pPr>
        <w:pStyle w:val="a4"/>
        <w:bidi w:val="0"/>
      </w:pPr>
      <w:r>
        <w:rPr>
          <w:rStyle w:val="a6"/>
        </w:rPr>
        <w:footnoteRef/>
      </w:r>
      <w:r w:rsidR="005809A5" w:rsidRPr="005809A5">
        <w:t xml:space="preserve">Watson &amp; </w:t>
      </w:r>
      <w:r w:rsidR="00844551">
        <w:t>Abou El Fadl</w:t>
      </w:r>
      <w:r w:rsidR="005809A5" w:rsidRPr="005809A5">
        <w:t xml:space="preserve">, </w:t>
      </w:r>
      <w:r w:rsidR="00C242D5">
        <w:t>'</w:t>
      </w:r>
      <w:r w:rsidR="005809A5" w:rsidRPr="005809A5">
        <w:t>Fox hunting</w:t>
      </w:r>
      <w:r w:rsidR="00C242D5">
        <w:t>',</w:t>
      </w:r>
      <w:r>
        <w:t xml:space="preserve"> 36</w:t>
      </w:r>
      <w:r>
        <w:rPr>
          <w:rFonts w:hint="cs"/>
          <w:rtl/>
        </w:rPr>
        <w:t>:</w:t>
      </w:r>
      <w:r w:rsidRPr="00BA0A92">
        <w:t xml:space="preserve"> </w:t>
      </w:r>
      <w:r w:rsidR="00356358">
        <w:t>'</w:t>
      </w:r>
      <w:r>
        <w:t>They {</w:t>
      </w:r>
      <w:r w:rsidRPr="00730866">
        <w:t>The Roman jurists, ancient rabbis and Muslim juris</w:t>
      </w:r>
      <w:r>
        <w:t>ts} have little interest in what actually happens in court: their texts do not smell of the courtroom even when they invent new devices… They write for those interested in the same issues as themselves</w:t>
      </w:r>
      <w:r w:rsidR="00356358">
        <w:t>'</w:t>
      </w:r>
      <w:r w:rsidR="001E7157">
        <w:t>.</w:t>
      </w:r>
    </w:p>
  </w:footnote>
  <w:footnote w:id="51">
    <w:p w14:paraId="72AC26AD" w14:textId="06FD4381" w:rsidR="00FC590F" w:rsidRDefault="00FC590F" w:rsidP="00FC590F">
      <w:pPr>
        <w:pStyle w:val="a4"/>
        <w:bidi w:val="0"/>
      </w:pPr>
      <w:r>
        <w:rPr>
          <w:rStyle w:val="a6"/>
        </w:rPr>
        <w:footnoteRef/>
      </w:r>
      <w:r>
        <w:rPr>
          <w:rtl/>
        </w:rPr>
        <w:t xml:space="preserve"> </w:t>
      </w:r>
      <w:r w:rsidR="00653809" w:rsidRPr="00346D63">
        <w:t xml:space="preserve">Jackson, </w:t>
      </w:r>
      <w:r w:rsidR="00C242D5">
        <w:t>'</w:t>
      </w:r>
      <w:r w:rsidR="00653809" w:rsidRPr="00346D63">
        <w:t>On the Problem of Roman Influence on the Halakah</w:t>
      </w:r>
      <w:r w:rsidR="00C242D5">
        <w:t>'</w:t>
      </w:r>
      <w:r w:rsidR="00CD7D74">
        <w:t>;</w:t>
      </w:r>
      <w:r w:rsidR="0026726B" w:rsidRPr="0026726B">
        <w:t xml:space="preserve"> Jackson, </w:t>
      </w:r>
      <w:r w:rsidR="00C242D5">
        <w:t>'</w:t>
      </w:r>
      <w:r w:rsidR="0026726B" w:rsidRPr="0026726B">
        <w:t>History, Dogmatics, and Halakhah</w:t>
      </w:r>
      <w:r w:rsidR="00C242D5">
        <w:t>'.</w:t>
      </w:r>
    </w:p>
  </w:footnote>
  <w:footnote w:id="52">
    <w:p w14:paraId="4BF4F771" w14:textId="4D94DC50" w:rsidR="002A7397" w:rsidRPr="00E9145E" w:rsidRDefault="002A7397">
      <w:pPr>
        <w:pStyle w:val="a4"/>
        <w:rPr>
          <w:rFonts w:hint="cs"/>
          <w:rtl/>
        </w:rPr>
      </w:pPr>
      <w:r>
        <w:rPr>
          <w:rStyle w:val="a6"/>
        </w:rPr>
        <w:footnoteRef/>
      </w:r>
      <w:r>
        <w:rPr>
          <w:rtl/>
        </w:rPr>
        <w:t xml:space="preserve"> </w:t>
      </w:r>
      <w:r w:rsidR="00E9145E">
        <w:rPr>
          <w:rFonts w:hint="cs"/>
          <w:rtl/>
        </w:rPr>
        <w:t xml:space="preserve">התיאור מתבסס בעיקר על דברי </w:t>
      </w:r>
      <w:r w:rsidR="00E9145E">
        <w:t xml:space="preserve">Livy and </w:t>
      </w:r>
      <w:r w:rsidR="000C2E31" w:rsidRPr="000C2E31">
        <w:t>Dionysius Halicarnassus</w:t>
      </w:r>
      <w:r w:rsidR="000C2E31">
        <w:rPr>
          <w:rFonts w:hint="cs"/>
          <w:rtl/>
        </w:rPr>
        <w:t>, החוקרים המודרנים הטילו בו ספק. ראו:</w:t>
      </w:r>
      <w:r w:rsidR="00BF3396">
        <w:rPr>
          <w:rFonts w:hint="cs"/>
          <w:rtl/>
        </w:rPr>
        <w:t xml:space="preserve"> </w:t>
      </w:r>
      <w:r w:rsidR="00BF3396" w:rsidRPr="00BF3396">
        <w:t>Michael Steinberg</w:t>
      </w:r>
      <w:r w:rsidR="00BF3396">
        <w:t>, '</w:t>
      </w:r>
      <w:r w:rsidR="00BF3396" w:rsidRPr="00BF3396">
        <w:t>The Twelve Tables and Their Origins: An Eighteenth-Century Debate</w:t>
      </w:r>
      <w:r w:rsidR="00BF3396">
        <w:t xml:space="preserve">', </w:t>
      </w:r>
      <w:r w:rsidR="00AF0D15" w:rsidRPr="00AF0D15">
        <w:rPr>
          <w:i/>
          <w:iCs/>
        </w:rPr>
        <w:t>Journal of the History of Ideas</w:t>
      </w:r>
      <w:r w:rsidR="00883CC3" w:rsidRPr="00883CC3">
        <w:t>,</w:t>
      </w:r>
      <w:r w:rsidR="00883CC3">
        <w:t xml:space="preserve"> 43 (1982)</w:t>
      </w:r>
    </w:p>
  </w:footnote>
  <w:footnote w:id="53">
    <w:p w14:paraId="11578658" w14:textId="0DABA6A9" w:rsidR="000F6FF8" w:rsidRDefault="000F6FF8">
      <w:pPr>
        <w:pStyle w:val="a4"/>
        <w:rPr>
          <w:rFonts w:hint="cs"/>
          <w:rtl/>
        </w:rPr>
      </w:pPr>
      <w:r>
        <w:rPr>
          <w:rStyle w:val="a6"/>
        </w:rPr>
        <w:footnoteRef/>
      </w:r>
      <w:r>
        <w:rPr>
          <w:rtl/>
        </w:rPr>
        <w:t xml:space="preserve"> </w:t>
      </w:r>
      <w:r w:rsidR="003A651B">
        <w:rPr>
          <w:rFonts w:hint="cs"/>
          <w:rtl/>
        </w:rPr>
        <w:t xml:space="preserve">לטקסט ולתרגום ראו: </w:t>
      </w:r>
      <w:r w:rsidR="006F59A3" w:rsidRPr="006F59A3">
        <w:t>K</w:t>
      </w:r>
      <w:r w:rsidR="00D7022B">
        <w:t>.</w:t>
      </w:r>
      <w:r w:rsidR="006F59A3" w:rsidRPr="006F59A3">
        <w:t xml:space="preserve"> Donker van Heel</w:t>
      </w:r>
      <w:r w:rsidR="008C170A">
        <w:t xml:space="preserve"> (ed.)</w:t>
      </w:r>
      <w:r w:rsidR="006F59A3" w:rsidRPr="006F59A3">
        <w:t xml:space="preserve">, </w:t>
      </w:r>
      <w:r w:rsidR="006F59A3" w:rsidRPr="006F59A3">
        <w:rPr>
          <w:i/>
          <w:iCs/>
        </w:rPr>
        <w:t>The Legal Manual of Hermopolis [P.Mattha]</w:t>
      </w:r>
      <w:r w:rsidR="006F59A3">
        <w:rPr>
          <w:i/>
          <w:iCs/>
        </w:rPr>
        <w:t>:</w:t>
      </w:r>
      <w:r w:rsidR="006F59A3" w:rsidRPr="006F59A3">
        <w:rPr>
          <w:i/>
          <w:iCs/>
        </w:rPr>
        <w:t xml:space="preserve"> Text and Translation</w:t>
      </w:r>
      <w:r w:rsidR="006F59A3" w:rsidRPr="006F59A3">
        <w:t xml:space="preserve"> </w:t>
      </w:r>
      <w:r w:rsidR="006F59A3">
        <w:t>(</w:t>
      </w:r>
      <w:r w:rsidR="006F59A3" w:rsidRPr="006F59A3">
        <w:t>Leiden</w:t>
      </w:r>
      <w:r w:rsidR="006F59A3">
        <w:t>,</w:t>
      </w:r>
      <w:r w:rsidR="006F59A3" w:rsidRPr="006F59A3">
        <w:t xml:space="preserve"> 1990</w:t>
      </w:r>
      <w:r w:rsidR="006F59A3">
        <w:t>),</w:t>
      </w:r>
      <w:r w:rsidR="009C7861">
        <w:t xml:space="preserve"> 66–68</w:t>
      </w:r>
      <w:r w:rsidR="006F59A3">
        <w:t xml:space="preserve"> (</w:t>
      </w:r>
      <w:r w:rsidR="005416F8">
        <w:t>Col. VI lines 3–11</w:t>
      </w:r>
      <w:r w:rsidR="006F59A3">
        <w:t>)</w:t>
      </w:r>
      <w:r w:rsidR="00DF39AB">
        <w:rPr>
          <w:rFonts w:hint="cs"/>
          <w:rtl/>
        </w:rPr>
        <w:t>.</w:t>
      </w:r>
      <w:r w:rsidR="00DA5CE6">
        <w:rPr>
          <w:rFonts w:hint="cs"/>
          <w:rtl/>
        </w:rPr>
        <w:t xml:space="preserve"> התרגום שם הוא של </w:t>
      </w:r>
      <w:r w:rsidR="003459E3" w:rsidRPr="003459E3">
        <w:t>John R. Rea</w:t>
      </w:r>
      <w:r w:rsidR="003459E3">
        <w:rPr>
          <w:rFonts w:hint="cs"/>
          <w:rtl/>
        </w:rPr>
        <w:t>.</w:t>
      </w:r>
      <w:r w:rsidR="00DF39AB">
        <w:rPr>
          <w:rFonts w:hint="cs"/>
          <w:rtl/>
        </w:rPr>
        <w:t xml:space="preserve"> יש </w:t>
      </w:r>
      <w:r w:rsidR="00700F1D">
        <w:rPr>
          <w:rFonts w:hint="cs"/>
          <w:rtl/>
        </w:rPr>
        <w:t>קשיי</w:t>
      </w:r>
      <w:r w:rsidR="00DF39AB">
        <w:rPr>
          <w:rFonts w:hint="cs"/>
          <w:rtl/>
        </w:rPr>
        <w:t xml:space="preserve"> תרגום שנזכר</w:t>
      </w:r>
      <w:r w:rsidR="00700F1D">
        <w:rPr>
          <w:rFonts w:hint="cs"/>
          <w:rtl/>
        </w:rPr>
        <w:t>ים</w:t>
      </w:r>
      <w:r w:rsidR="00DF39AB">
        <w:rPr>
          <w:rFonts w:hint="cs"/>
          <w:rtl/>
        </w:rPr>
        <w:t xml:space="preserve"> שם בהערות ובהפניות.</w:t>
      </w:r>
    </w:p>
  </w:footnote>
  <w:footnote w:id="54">
    <w:p w14:paraId="4244D1D0" w14:textId="5FAE35D7" w:rsidR="00D450C5" w:rsidRDefault="00D450C5">
      <w:pPr>
        <w:pStyle w:val="a4"/>
        <w:rPr>
          <w:rFonts w:hint="cs"/>
          <w:rtl/>
        </w:rPr>
      </w:pPr>
      <w:r>
        <w:rPr>
          <w:rStyle w:val="a6"/>
        </w:rPr>
        <w:footnoteRef/>
      </w:r>
      <w:r>
        <w:rPr>
          <w:rtl/>
        </w:rPr>
        <w:t xml:space="preserve"> </w:t>
      </w:r>
      <w:r>
        <w:rPr>
          <w:rFonts w:hint="cs"/>
          <w:rtl/>
        </w:rPr>
        <w:t xml:space="preserve">זאת ועוד, גם אם היתה השפעה רומית על דין זה בתוספתא, נראה שהמקור שלה לא היה הטקסט של גאיוס. מצויים ניסוחים רומיים של הדין שיותר קרובים לניסוח בתוספתא מאשר הניסוח של גאיוס. </w:t>
      </w:r>
      <w:r w:rsidR="00FA4E61">
        <w:rPr>
          <w:rFonts w:hint="cs"/>
          <w:rtl/>
        </w:rPr>
        <w:t xml:space="preserve">ראו: </w:t>
      </w:r>
      <w:r w:rsidR="00A91EA3" w:rsidRPr="00A91EA3">
        <w:t>Dig.6.1.38.pr</w:t>
      </w:r>
      <w:r w:rsidR="00FA4E61">
        <w:t xml:space="preserve">; </w:t>
      </w:r>
      <w:r w:rsidR="00FA4E61">
        <w:rPr>
          <w:rFonts w:hint="cs"/>
        </w:rPr>
        <w:t>D</w:t>
      </w:r>
      <w:r w:rsidR="00FA4E61">
        <w:t xml:space="preserve">ig.6.1.27.5; Dig.6.1.48 </w:t>
      </w:r>
      <w:r w:rsidR="00FA4E61">
        <w:rPr>
          <w:rFonts w:hint="cs"/>
          <w:rtl/>
          <w:lang w:val="el-GR"/>
        </w:rPr>
        <w:t xml:space="preserve"> ועוד.</w:t>
      </w:r>
    </w:p>
  </w:footnote>
  <w:footnote w:id="55">
    <w:p w14:paraId="09A28F19" w14:textId="6138552E" w:rsidR="005A0928" w:rsidRPr="005A0928" w:rsidRDefault="005A0928">
      <w:pPr>
        <w:pStyle w:val="a4"/>
        <w:rPr>
          <w:rFonts w:hint="cs"/>
          <w:rtl/>
          <w:lang w:val="el-GR"/>
        </w:rPr>
      </w:pPr>
      <w:r>
        <w:rPr>
          <w:rStyle w:val="a6"/>
        </w:rPr>
        <w:footnoteRef/>
      </w:r>
      <w:r>
        <w:rPr>
          <w:rtl/>
        </w:rPr>
        <w:t xml:space="preserve"> </w:t>
      </w:r>
      <w:r>
        <w:rPr>
          <w:rFonts w:hint="cs"/>
          <w:rtl/>
        </w:rPr>
        <w:t xml:space="preserve">למושג </w:t>
      </w:r>
      <w:r w:rsidRPr="005A0928">
        <w:rPr>
          <w:i/>
          <w:iCs/>
        </w:rPr>
        <w:t>ius gentium</w:t>
      </w:r>
      <w:r>
        <w:rPr>
          <w:rFonts w:hint="cs"/>
          <w:rtl/>
          <w:lang w:val="el-GR"/>
        </w:rPr>
        <w:t xml:space="preserve"> יש כמה משמעויות שונות זו מזו כבר אצל המשפטנים הרומים הקלאסיים, ובהמשך ההיסטוריה הוא שינה כמה פעמים את משמעותו. ראו: </w:t>
      </w:r>
      <w:r w:rsidR="00FA032B" w:rsidRPr="00FA032B">
        <w:rPr>
          <w:lang w:val="el-GR"/>
        </w:rPr>
        <w:t>D.</w:t>
      </w:r>
      <w:r w:rsidR="00FA032B">
        <w:rPr>
          <w:lang w:val="el-GR"/>
        </w:rPr>
        <w:t xml:space="preserve"> </w:t>
      </w:r>
      <w:r w:rsidR="00FA032B" w:rsidRPr="00FA032B">
        <w:rPr>
          <w:lang w:val="el-GR"/>
        </w:rPr>
        <w:t>Fedele</w:t>
      </w:r>
      <w:r w:rsidR="00FA032B">
        <w:rPr>
          <w:lang w:val="el-GR"/>
        </w:rPr>
        <w:t>, '</w:t>
      </w:r>
      <w:r w:rsidR="00FA032B" w:rsidRPr="00FA032B">
        <w:rPr>
          <w:i/>
          <w:iCs/>
        </w:rPr>
        <w:t>Ius gentium</w:t>
      </w:r>
      <w:r w:rsidR="00FA032B" w:rsidRPr="00FA032B">
        <w:t>: The Metamorphoses of a Legal Concept</w:t>
      </w:r>
      <w:r w:rsidR="00FA032B">
        <w:t xml:space="preserve"> </w:t>
      </w:r>
      <w:r w:rsidR="00FA032B" w:rsidRPr="00FA032B">
        <w:t>(Ancient Rome to Early Modern Europe)</w:t>
      </w:r>
      <w:r w:rsidR="00FA032B">
        <w:t>',</w:t>
      </w:r>
      <w:r w:rsidR="00FA032B" w:rsidRPr="00FA032B">
        <w:t xml:space="preserve"> </w:t>
      </w:r>
      <w:r w:rsidR="00FA032B" w:rsidRPr="00FA032B">
        <w:rPr>
          <w:lang w:val="el-GR"/>
        </w:rPr>
        <w:t>In</w:t>
      </w:r>
      <w:r w:rsidR="00EE7871">
        <w:rPr>
          <w:lang w:val="el-GR"/>
        </w:rPr>
        <w:t xml:space="preserve"> </w:t>
      </w:r>
      <w:r w:rsidR="00EE7871" w:rsidRPr="00EE7871">
        <w:rPr>
          <w:lang w:val="el-GR"/>
        </w:rPr>
        <w:t>Edward Canavagh</w:t>
      </w:r>
      <w:r w:rsidR="00EE7871">
        <w:rPr>
          <w:lang w:val="el-GR"/>
        </w:rPr>
        <w:t xml:space="preserve"> </w:t>
      </w:r>
      <w:r w:rsidR="00EE7871">
        <w:t>(ed.),</w:t>
      </w:r>
      <w:r w:rsidR="00FA032B" w:rsidRPr="00FA032B">
        <w:rPr>
          <w:lang w:val="el-GR"/>
        </w:rPr>
        <w:t xml:space="preserve"> </w:t>
      </w:r>
      <w:r w:rsidR="00FA032B" w:rsidRPr="00EE7871">
        <w:rPr>
          <w:i/>
          <w:iCs/>
          <w:lang w:val="el-GR"/>
        </w:rPr>
        <w:t>Empire and Legal Thought</w:t>
      </w:r>
      <w:r w:rsidR="00DA3EF3">
        <w:rPr>
          <w:i/>
          <w:iCs/>
        </w:rPr>
        <w:t>:</w:t>
      </w:r>
      <w:r w:rsidR="00FF1734">
        <w:rPr>
          <w:lang w:val="el-GR"/>
        </w:rPr>
        <w:t xml:space="preserve"> </w:t>
      </w:r>
      <w:r w:rsidR="00FF1734" w:rsidRPr="00FF1734">
        <w:rPr>
          <w:i/>
          <w:iCs/>
          <w:lang w:val="el-GR"/>
        </w:rPr>
        <w:t>Ideas and Institutions from Antiquity to Modernity</w:t>
      </w:r>
      <w:r w:rsidR="00FA032B" w:rsidRPr="00FA032B">
        <w:rPr>
          <w:lang w:val="el-GR"/>
        </w:rPr>
        <w:t xml:space="preserve"> (</w:t>
      </w:r>
      <w:r w:rsidR="00E6541B" w:rsidRPr="00E6541B">
        <w:rPr>
          <w:lang w:val="el-GR"/>
        </w:rPr>
        <w:t>Leiden</w:t>
      </w:r>
      <w:r w:rsidR="00E6541B">
        <w:rPr>
          <w:lang w:val="el-GR"/>
        </w:rPr>
        <w:t xml:space="preserve"> &amp; </w:t>
      </w:r>
      <w:r w:rsidR="00E6541B" w:rsidRPr="00E6541B">
        <w:rPr>
          <w:lang w:val="el-GR"/>
        </w:rPr>
        <w:t>Boston, 2020</w:t>
      </w:r>
      <w:r w:rsidR="00E6541B">
        <w:rPr>
          <w:lang w:val="el-GR"/>
        </w:rPr>
        <w:t>)</w:t>
      </w:r>
      <w:r w:rsidR="00FA032B" w:rsidRPr="00FA032B">
        <w:rPr>
          <w:rtl/>
          <w:lang w:val="el-GR"/>
        </w:rPr>
        <w:t>‏</w:t>
      </w:r>
      <w:r>
        <w:rPr>
          <w:rFonts w:hint="cs"/>
          <w:rtl/>
          <w:lang w:val="el-GR"/>
        </w:rPr>
        <w:t>. בכל אופן, במקרה זה גאיוס עצמו מסביר למה הוא מתכוון.</w:t>
      </w:r>
    </w:p>
  </w:footnote>
  <w:footnote w:id="56">
    <w:p w14:paraId="4346A132" w14:textId="7DF24812" w:rsidR="00853AEE" w:rsidRPr="00853AEE" w:rsidRDefault="00853AEE">
      <w:pPr>
        <w:pStyle w:val="a4"/>
        <w:rPr>
          <w:rtl/>
        </w:rPr>
      </w:pPr>
      <w:r>
        <w:rPr>
          <w:rStyle w:val="a6"/>
        </w:rPr>
        <w:footnoteRef/>
      </w:r>
      <w:r>
        <w:rPr>
          <w:rtl/>
        </w:rPr>
        <w:t xml:space="preserve"> </w:t>
      </w:r>
      <w:r>
        <w:rPr>
          <w:rFonts w:hint="cs"/>
          <w:rtl/>
        </w:rPr>
        <w:t xml:space="preserve">על תולדות הנשיאות ויחסה לשלטון הרומי ראו: </w:t>
      </w:r>
      <w:r w:rsidR="00BF3F6B" w:rsidRPr="00BF3F6B">
        <w:t xml:space="preserve">David Goodblatt, </w:t>
      </w:r>
      <w:r w:rsidR="00BF3F6B" w:rsidRPr="00BF3F6B">
        <w:rPr>
          <w:i/>
          <w:iCs/>
        </w:rPr>
        <w:t>The monarchic principle: studies in Jewish self-government in antiquity</w:t>
      </w:r>
      <w:r w:rsidR="00EC4437">
        <w:t xml:space="preserve"> </w:t>
      </w:r>
      <w:r w:rsidR="00996969" w:rsidRPr="00656D3D">
        <w:t>(Tübingen,</w:t>
      </w:r>
      <w:r w:rsidR="00BF3F6B" w:rsidRPr="00BF3F6B">
        <w:t>1994</w:t>
      </w:r>
      <w:r w:rsidR="00996969">
        <w:t>),</w:t>
      </w:r>
      <w:r>
        <w:t xml:space="preserve"> </w:t>
      </w:r>
      <w:r w:rsidR="00A50FC8">
        <w:t>131–231</w:t>
      </w:r>
      <w:r w:rsidR="00A50FC8">
        <w:rPr>
          <w:rFonts w:hint="cs"/>
          <w:rtl/>
        </w:rPr>
        <w:t>.</w:t>
      </w:r>
    </w:p>
  </w:footnote>
  <w:footnote w:id="57">
    <w:p w14:paraId="5FA6447B" w14:textId="24A991A6" w:rsidR="00476EEA" w:rsidRPr="004423AC" w:rsidRDefault="00476EEA" w:rsidP="00C0012E">
      <w:pPr>
        <w:pStyle w:val="a4"/>
        <w:rPr>
          <w:rtl/>
          <w:lang w:val="el-GR"/>
        </w:rPr>
      </w:pPr>
      <w:r>
        <w:rPr>
          <w:rStyle w:val="a6"/>
        </w:rPr>
        <w:footnoteRef/>
      </w:r>
      <w:r>
        <w:rPr>
          <w:rtl/>
        </w:rPr>
        <w:t xml:space="preserve"> </w:t>
      </w:r>
      <w:r>
        <w:rPr>
          <w:rFonts w:hint="cs"/>
          <w:rtl/>
        </w:rPr>
        <w:t>המקורות</w:t>
      </w:r>
      <w:r w:rsidR="00BE17AD">
        <w:rPr>
          <w:rFonts w:hint="cs"/>
          <w:rtl/>
        </w:rPr>
        <w:t xml:space="preserve"> על רשב"ג</w:t>
      </w:r>
      <w:r>
        <w:rPr>
          <w:rFonts w:hint="cs"/>
          <w:rtl/>
        </w:rPr>
        <w:t xml:space="preserve"> נאספו אצל: </w:t>
      </w:r>
      <w:r>
        <w:t>Y. Furstenberg</w:t>
      </w:r>
      <w:r w:rsidR="00FE04FE">
        <w:t>, 'From Competition to Integration: The Laws of the Nations in Rabbinic Literature</w:t>
      </w:r>
      <w:r w:rsidR="00DD0CC0">
        <w:t xml:space="preserve"> </w:t>
      </w:r>
      <w:r w:rsidR="00FE04FE">
        <w:t>within its Roman Context</w:t>
      </w:r>
      <w:r w:rsidR="00DD0CC0">
        <w:t>'</w:t>
      </w:r>
      <w:r w:rsidR="00FE04FE">
        <w:t xml:space="preserve">, </w:t>
      </w:r>
      <w:r w:rsidR="00FE04FE" w:rsidRPr="00DD0CC0">
        <w:rPr>
          <w:i/>
          <w:iCs/>
        </w:rPr>
        <w:t>Dine Israel</w:t>
      </w:r>
      <w:r w:rsidR="00DD0CC0">
        <w:t>,</w:t>
      </w:r>
      <w:r w:rsidR="00FE04FE">
        <w:t xml:space="preserve"> 32</w:t>
      </w:r>
      <w:r w:rsidR="00DD0CC0">
        <w:t xml:space="preserve"> (2018)</w:t>
      </w:r>
      <w:r w:rsidR="00FE04FE">
        <w:t xml:space="preserve"> [</w:t>
      </w:r>
      <w:r w:rsidR="00DD0CC0">
        <w:t xml:space="preserve">in </w:t>
      </w:r>
      <w:r w:rsidR="00FE04FE">
        <w:t>Hebrew]</w:t>
      </w:r>
      <w:r w:rsidR="00412AC2">
        <w:rPr>
          <w:rFonts w:hint="cs"/>
          <w:rtl/>
        </w:rPr>
        <w:t>.</w:t>
      </w:r>
      <w:r w:rsidR="007D780E">
        <w:rPr>
          <w:rFonts w:hint="cs"/>
          <w:rtl/>
        </w:rPr>
        <w:t xml:space="preserve"> פורסטנברג דן במקו</w:t>
      </w:r>
      <w:r w:rsidR="00361C07">
        <w:rPr>
          <w:rFonts w:hint="cs"/>
          <w:rtl/>
        </w:rPr>
        <w:t>ר</w:t>
      </w:r>
      <w:r w:rsidR="007D780E">
        <w:rPr>
          <w:rFonts w:hint="cs"/>
          <w:rtl/>
        </w:rPr>
        <w:t xml:space="preserve">ות </w:t>
      </w:r>
      <w:r w:rsidR="002E4981">
        <w:rPr>
          <w:rFonts w:hint="cs"/>
          <w:rtl/>
        </w:rPr>
        <w:t xml:space="preserve">רבניים רבים </w:t>
      </w:r>
      <w:r w:rsidR="00361C07">
        <w:rPr>
          <w:rFonts w:hint="cs"/>
          <w:rtl/>
        </w:rPr>
        <w:t>שעוסקים</w:t>
      </w:r>
      <w:r w:rsidR="002E4981">
        <w:rPr>
          <w:rFonts w:hint="cs"/>
          <w:rtl/>
        </w:rPr>
        <w:t xml:space="preserve"> </w:t>
      </w:r>
      <w:r w:rsidR="00361C07">
        <w:rPr>
          <w:rFonts w:hint="cs"/>
          <w:rtl/>
        </w:rPr>
        <w:t>ב</w:t>
      </w:r>
      <w:r w:rsidR="002E4981">
        <w:rPr>
          <w:rFonts w:hint="cs"/>
          <w:rtl/>
        </w:rPr>
        <w:t>שיפוט הנכרי, אבל המונח המדוייק '</w:t>
      </w:r>
      <w:r w:rsidR="002E4981" w:rsidRPr="002E4981">
        <w:t xml:space="preserve"> </w:t>
      </w:r>
      <w:r w:rsidR="002E4981">
        <w:t>The Laws of the Nations</w:t>
      </w:r>
      <w:r w:rsidR="002E4981">
        <w:rPr>
          <w:rFonts w:hint="cs"/>
          <w:rtl/>
        </w:rPr>
        <w:t>' נדיר יחסית.</w:t>
      </w:r>
      <w:r w:rsidR="0064140C">
        <w:rPr>
          <w:rFonts w:hint="cs"/>
          <w:rtl/>
        </w:rPr>
        <w:t xml:space="preserve"> אפשר שיש לפרש את הביטוי במקורות אלו בדומה לדרך שבה פירש אותו גאיוס.</w:t>
      </w:r>
      <w:r w:rsidR="004423AC">
        <w:rPr>
          <w:rFonts w:hint="cs"/>
          <w:rtl/>
        </w:rPr>
        <w:t xml:space="preserve"> יש חוקרים שמצאו מקבילות יהודיות ל</w:t>
      </w:r>
      <w:r w:rsidR="004423AC" w:rsidRPr="004423AC">
        <w:rPr>
          <w:i/>
          <w:iCs/>
        </w:rPr>
        <w:t>ius gentium</w:t>
      </w:r>
      <w:r w:rsidR="004423AC">
        <w:rPr>
          <w:rFonts w:hint="cs"/>
          <w:rtl/>
          <w:lang w:val="el-GR"/>
        </w:rPr>
        <w:t xml:space="preserve"> במקורות אחרים, ראו למשל: </w:t>
      </w:r>
      <w:r w:rsidR="004423AC">
        <w:t xml:space="preserve">Hyman </w:t>
      </w:r>
      <w:r w:rsidR="004423AC" w:rsidRPr="00EF737E">
        <w:t>Klein,</w:t>
      </w:r>
      <w:r w:rsidR="004423AC">
        <w:t xml:space="preserve"> '</w:t>
      </w:r>
      <w:r w:rsidR="004423AC" w:rsidRPr="00EF737E">
        <w:t>The Sale of ‘Res Mobiles’ between Gentile and Jew in the Talmud</w:t>
      </w:r>
      <w:r w:rsidR="004423AC">
        <w:t>',</w:t>
      </w:r>
      <w:r w:rsidR="004423AC" w:rsidRPr="00EF737E">
        <w:t xml:space="preserve"> </w:t>
      </w:r>
      <w:r w:rsidR="004423AC" w:rsidRPr="00EF737E">
        <w:rPr>
          <w:i/>
          <w:iCs/>
        </w:rPr>
        <w:t>Jewish Quarterly Review</w:t>
      </w:r>
      <w:r w:rsidR="004423AC" w:rsidRPr="00EF737E">
        <w:t xml:space="preserve">, </w:t>
      </w:r>
      <w:r w:rsidR="004423AC">
        <w:t>28</w:t>
      </w:r>
      <w:r w:rsidR="004423AC" w:rsidRPr="00EF737E">
        <w:t xml:space="preserve"> </w:t>
      </w:r>
      <w:r w:rsidR="004423AC">
        <w:t>(</w:t>
      </w:r>
      <w:r w:rsidR="004423AC" w:rsidRPr="00EF737E">
        <w:t>1938</w:t>
      </w:r>
      <w:r w:rsidR="004423AC">
        <w:t xml:space="preserve">); Cohen, </w:t>
      </w:r>
      <w:r w:rsidR="004423AC" w:rsidRPr="00EF737E">
        <w:rPr>
          <w:i/>
          <w:iCs/>
        </w:rPr>
        <w:t>Jewish and Roman Law</w:t>
      </w:r>
      <w:r w:rsidR="004423AC">
        <w:t xml:space="preserve">, 24–28; D. </w:t>
      </w:r>
      <w:r w:rsidR="004423AC" w:rsidRPr="00112313">
        <w:t>Novak</w:t>
      </w:r>
      <w:r w:rsidR="004423AC">
        <w:t>,</w:t>
      </w:r>
      <w:r w:rsidR="004423AC" w:rsidRPr="00112313">
        <w:t xml:space="preserve"> 'Natural Law and Judaism',</w:t>
      </w:r>
      <w:r w:rsidR="004423AC">
        <w:t xml:space="preserve"> in A. M. Emon et al.,</w:t>
      </w:r>
      <w:r w:rsidR="004423AC" w:rsidRPr="00112313">
        <w:t xml:space="preserve"> </w:t>
      </w:r>
      <w:r w:rsidR="004423AC" w:rsidRPr="00A34A90">
        <w:rPr>
          <w:i/>
          <w:iCs/>
        </w:rPr>
        <w:t>Natural Law: A Jewish, Christian, and Islamic Trialogue</w:t>
      </w:r>
      <w:r w:rsidR="004423AC" w:rsidRPr="00112313">
        <w:t xml:space="preserve"> (Oxford, 2014</w:t>
      </w:r>
      <w:r w:rsidR="004423AC">
        <w:t>)</w:t>
      </w:r>
      <w:r w:rsidR="004423AC" w:rsidRPr="00112313">
        <w:t>;</w:t>
      </w:r>
      <w:r w:rsidR="004423AC">
        <w:t xml:space="preserve"> Suzanne Last Stone, 'Sinaitic and Noahide Law: Legal Pluralism in Jewish Law', </w:t>
      </w:r>
      <w:r w:rsidR="004423AC" w:rsidRPr="003E61B5">
        <w:rPr>
          <w:i/>
          <w:iCs/>
        </w:rPr>
        <w:t>Cardozo Law Review</w:t>
      </w:r>
      <w:r w:rsidR="004423AC" w:rsidRPr="003E61B5">
        <w:t>,</w:t>
      </w:r>
      <w:r w:rsidR="004423AC">
        <w:t xml:space="preserve"> 12 (1991)</w:t>
      </w:r>
      <w:r w:rsidR="000A61F2">
        <w:t xml:space="preserve">; </w:t>
      </w:r>
      <w:r w:rsidR="000A61F2" w:rsidRPr="000A61F2">
        <w:t>Christine Hayes</w:t>
      </w:r>
      <w:r w:rsidR="000A61F2">
        <w:t xml:space="preserve">, </w:t>
      </w:r>
      <w:r w:rsidR="00047350">
        <w:t>'</w:t>
      </w:r>
      <w:r w:rsidR="00047350" w:rsidRPr="00047350">
        <w:t>Were the Noahide Commandments Formulated at Yavne? Tosefta Avoda Zara 8:4-9 in Cultural and Historical Context</w:t>
      </w:r>
      <w:r w:rsidR="00047350">
        <w:t>', in</w:t>
      </w:r>
      <w:r w:rsidR="00C0012E">
        <w:t xml:space="preserve"> </w:t>
      </w:r>
      <w:r w:rsidR="00C0012E">
        <w:t>Joshua J. Schwartz and Peter J Tomson</w:t>
      </w:r>
      <w:r w:rsidR="00517904">
        <w:t xml:space="preserve"> (eds.)</w:t>
      </w:r>
      <w:r w:rsidR="004765F6">
        <w:t xml:space="preserve">, </w:t>
      </w:r>
      <w:r w:rsidR="004765F6" w:rsidRPr="004765F6">
        <w:rPr>
          <w:i/>
          <w:iCs/>
        </w:rPr>
        <w:t>Jews and Christians in the First and Second Centuries: The Interbellum 70‒132 CE</w:t>
      </w:r>
      <w:r w:rsidR="0030073A">
        <w:t xml:space="preserve"> (Leiden</w:t>
      </w:r>
      <w:r w:rsidR="00C26B25">
        <w:t xml:space="preserve"> &amp; Boston</w:t>
      </w:r>
      <w:r w:rsidR="0030073A">
        <w:t>, 201</w:t>
      </w:r>
      <w:r w:rsidR="00C26B25">
        <w:t>8</w:t>
      </w:r>
      <w:r w:rsidR="0030073A">
        <w:t>)</w:t>
      </w:r>
      <w:r w:rsidR="004423AC">
        <w:rPr>
          <w:rFonts w:hint="cs"/>
          <w:rtl/>
        </w:rPr>
        <w:t xml:space="preserve">. אך יש לשים לב שהגדרת </w:t>
      </w:r>
      <w:r w:rsidR="004423AC" w:rsidRPr="004423AC">
        <w:rPr>
          <w:i/>
          <w:iCs/>
        </w:rPr>
        <w:t>ius gentium</w:t>
      </w:r>
      <w:r w:rsidR="004423AC">
        <w:t xml:space="preserve"> </w:t>
      </w:r>
      <w:r w:rsidR="004423AC">
        <w:rPr>
          <w:rFonts w:hint="cs"/>
          <w:rtl/>
          <w:lang w:val="el-GR"/>
        </w:rPr>
        <w:t xml:space="preserve"> אינה זהה בכל המקורות הללו.</w:t>
      </w:r>
    </w:p>
  </w:footnote>
  <w:footnote w:id="58">
    <w:p w14:paraId="12255F5E" w14:textId="490F6032" w:rsidR="0039754D" w:rsidRPr="00071CA4" w:rsidRDefault="0039754D" w:rsidP="0039754D">
      <w:pPr>
        <w:pStyle w:val="a4"/>
        <w:rPr>
          <w:rtl/>
        </w:rPr>
      </w:pPr>
      <w:r>
        <w:rPr>
          <w:rStyle w:val="a6"/>
        </w:rPr>
        <w:footnoteRef/>
      </w:r>
      <w:r>
        <w:rPr>
          <w:rFonts w:hint="cs"/>
          <w:rtl/>
        </w:rPr>
        <w:t>. ראו</w:t>
      </w:r>
      <w:r w:rsidR="00C54353">
        <w:rPr>
          <w:rFonts w:hint="cs"/>
          <w:rtl/>
        </w:rPr>
        <w:t xml:space="preserve"> בעיקר</w:t>
      </w:r>
      <w:r>
        <w:rPr>
          <w:rFonts w:hint="cs"/>
          <w:rtl/>
        </w:rPr>
        <w:t xml:space="preserve">: </w:t>
      </w:r>
      <w:r w:rsidR="00D80F11" w:rsidRPr="00D80F11">
        <w:t>Malka &amp; Paz, 'In Civitate</w:t>
      </w:r>
      <w:r w:rsidR="00D80F11">
        <w:t>'</w:t>
      </w:r>
      <w:r>
        <w:t xml:space="preserve">; </w:t>
      </w:r>
      <w:r w:rsidR="00C54353" w:rsidRPr="00C54353">
        <w:t>Malka &amp; Y. Paz, 'Ab hostibus captus</w:t>
      </w:r>
      <w:r w:rsidR="00C54353">
        <w:t>'</w:t>
      </w:r>
      <w:r>
        <w:rPr>
          <w:rFonts w:hint="cs"/>
          <w:rtl/>
        </w:rPr>
        <w:t xml:space="preserve">. </w:t>
      </w:r>
    </w:p>
  </w:footnote>
  <w:footnote w:id="59">
    <w:p w14:paraId="6233CCA2" w14:textId="004EEAC2" w:rsidR="00FE7FD1" w:rsidRDefault="00FE7FD1" w:rsidP="00B22796">
      <w:pPr>
        <w:pStyle w:val="a4"/>
        <w:bidi w:val="0"/>
        <w:rPr>
          <w:rtl/>
        </w:rPr>
      </w:pPr>
      <w:r>
        <w:rPr>
          <w:rStyle w:val="a6"/>
        </w:rPr>
        <w:footnoteRef/>
      </w:r>
      <w:r w:rsidR="00B22796">
        <w:t xml:space="preserve"> See:</w:t>
      </w:r>
      <w:r>
        <w:rPr>
          <w:rFonts w:hint="cs"/>
          <w:rtl/>
        </w:rPr>
        <w:t xml:space="preserve"> </w:t>
      </w:r>
      <w:r w:rsidR="00C54353">
        <w:t xml:space="preserve">Y. </w:t>
      </w:r>
      <w:r w:rsidR="00C54353" w:rsidRPr="00C54353">
        <w:t xml:space="preserve">Furstenberg, </w:t>
      </w:r>
      <w:r w:rsidR="00C54353">
        <w:t>'</w:t>
      </w:r>
      <w:r w:rsidR="00C54353" w:rsidRPr="00C54353">
        <w:t>From the Literature of Early Halakhah to Roman Law: The Development of Tractate Bava Mesi’a</w:t>
      </w:r>
      <w:r w:rsidR="00C54353">
        <w:t>'</w:t>
      </w:r>
      <w:r w:rsidR="005A50A7">
        <w:t>,</w:t>
      </w:r>
      <w:r w:rsidR="00C54353" w:rsidRPr="00C54353">
        <w:t xml:space="preserve"> </w:t>
      </w:r>
      <w:r w:rsidR="00C54353" w:rsidRPr="005A50A7">
        <w:rPr>
          <w:i/>
          <w:iCs/>
        </w:rPr>
        <w:t>Te'uda</w:t>
      </w:r>
      <w:r w:rsidR="00B22796" w:rsidRPr="00B22796">
        <w:t>,</w:t>
      </w:r>
      <w:r w:rsidR="00C54353" w:rsidRPr="00B22796">
        <w:t xml:space="preserve"> 31</w:t>
      </w:r>
      <w:r w:rsidR="005A50A7">
        <w:t xml:space="preserve"> (2020)</w:t>
      </w:r>
      <w:r w:rsidR="00C54353" w:rsidRPr="00C54353">
        <w:t xml:space="preserve"> [</w:t>
      </w:r>
      <w:r w:rsidR="005A50A7">
        <w:t xml:space="preserve">in </w:t>
      </w:r>
      <w:r w:rsidR="00C54353" w:rsidRPr="00C54353">
        <w:t>Hebrew]</w:t>
      </w:r>
      <w:r>
        <w:t>;</w:t>
      </w:r>
      <w:r w:rsidR="00787ED6" w:rsidRPr="00787ED6">
        <w:t xml:space="preserve"> Y</w:t>
      </w:r>
      <w:r w:rsidR="00787ED6">
        <w:t>.</w:t>
      </w:r>
      <w:r w:rsidR="00787ED6" w:rsidRPr="00787ED6">
        <w:t xml:space="preserve"> Furstenberg, 'Imperialism and the creation of local law</w:t>
      </w:r>
      <w:r w:rsidR="00787ED6">
        <w:t>',</w:t>
      </w:r>
      <w:r>
        <w:t xml:space="preserve"> 287–8</w:t>
      </w:r>
      <w:r>
        <w:rPr>
          <w:rFonts w:hint="cs"/>
          <w:rtl/>
        </w:rPr>
        <w:t>.</w:t>
      </w:r>
    </w:p>
  </w:footnote>
  <w:footnote w:id="60">
    <w:p w14:paraId="60CA12E9" w14:textId="0C87E500" w:rsidR="006B08A4" w:rsidRDefault="006B08A4">
      <w:pPr>
        <w:pStyle w:val="a4"/>
        <w:rPr>
          <w:rtl/>
        </w:rPr>
      </w:pPr>
      <w:r>
        <w:rPr>
          <w:rStyle w:val="a6"/>
        </w:rPr>
        <w:footnoteRef/>
      </w:r>
      <w:r>
        <w:rPr>
          <w:rtl/>
        </w:rPr>
        <w:t xml:space="preserve"> </w:t>
      </w:r>
      <w:r w:rsidR="00143A58">
        <w:rPr>
          <w:rFonts w:hint="cs"/>
          <w:rtl/>
        </w:rPr>
        <w:t>אני מודה לפרופ' פורסטנברג על הרשות לקרוא את מאמרו לפני הפרסום</w:t>
      </w:r>
      <w:r w:rsidR="004122C1">
        <w:rPr>
          <w:rFonts w:hint="cs"/>
          <w:rtl/>
        </w:rPr>
        <w:t>.</w:t>
      </w:r>
    </w:p>
  </w:footnote>
  <w:footnote w:id="61">
    <w:p w14:paraId="711649C0" w14:textId="7238C467" w:rsidR="00A90493" w:rsidRDefault="00A90493">
      <w:pPr>
        <w:pStyle w:val="a4"/>
      </w:pPr>
      <w:r>
        <w:rPr>
          <w:rStyle w:val="a6"/>
        </w:rPr>
        <w:footnoteRef/>
      </w:r>
      <w:r>
        <w:rPr>
          <w:rtl/>
        </w:rPr>
        <w:t xml:space="preserve"> </w:t>
      </w:r>
      <w:r>
        <w:rPr>
          <w:rFonts w:hint="cs"/>
          <w:rtl/>
        </w:rPr>
        <w:t xml:space="preserve">ראו גם: </w:t>
      </w:r>
      <w:r w:rsidR="00AC6225" w:rsidRPr="003A5204">
        <w:t xml:space="preserve">Rosen-Zvi, </w:t>
      </w:r>
      <w:r w:rsidR="00AC6225">
        <w:t>'</w:t>
      </w:r>
      <w:r w:rsidR="00AC6225" w:rsidRPr="003A5204">
        <w:t>Is the Mishnah a Roman Composition?</w:t>
      </w:r>
      <w:r w:rsidR="00AC6225">
        <w:t>'</w:t>
      </w:r>
      <w:r w:rsidR="003807B4">
        <w:t>,</w:t>
      </w:r>
      <w:r>
        <w:t xml:space="preserve"> 2</w:t>
      </w:r>
      <w:r w:rsidR="003807B4">
        <w:t>,</w:t>
      </w:r>
      <w:r>
        <w:t xml:space="preserve"> n. 6</w:t>
      </w:r>
      <w:r>
        <w:rPr>
          <w:rFonts w:hint="cs"/>
          <w:rtl/>
        </w:rPr>
        <w:t>. למקורות קודמים שדנו בנושא זה ראו ההערות של פורסטנברג שם.</w:t>
      </w:r>
    </w:p>
  </w:footnote>
  <w:footnote w:id="62">
    <w:p w14:paraId="5A27038E" w14:textId="77777777" w:rsidR="005B1B1D" w:rsidRPr="00A510C2" w:rsidRDefault="005B1B1D" w:rsidP="005B1B1D">
      <w:pPr>
        <w:pStyle w:val="a4"/>
        <w:bidi w:val="0"/>
      </w:pPr>
      <w:r>
        <w:rPr>
          <w:rStyle w:val="a6"/>
        </w:rPr>
        <w:footnoteRef/>
      </w:r>
      <w:r>
        <w:rPr>
          <w:rFonts w:hint="cs"/>
          <w:rtl/>
        </w:rPr>
        <w:t xml:space="preserve"> </w:t>
      </w:r>
      <w:r>
        <w:t xml:space="preserve">See: </w:t>
      </w:r>
      <w:r w:rsidRPr="009F7FF8">
        <w:t>Humfress, ‘Thinking Through Legal Pluralism</w:t>
      </w:r>
      <w:r>
        <w:t>', 228</w:t>
      </w:r>
      <w:r>
        <w:rPr>
          <w:rFonts w:hint="cs"/>
          <w:rt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52AA9"/>
    <w:multiLevelType w:val="hybridMultilevel"/>
    <w:tmpl w:val="E6D8AAF0"/>
    <w:lvl w:ilvl="0" w:tplc="2B0028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A027F"/>
    <w:multiLevelType w:val="hybridMultilevel"/>
    <w:tmpl w:val="CD864950"/>
    <w:lvl w:ilvl="0" w:tplc="7500E5A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C02B3"/>
    <w:multiLevelType w:val="hybridMultilevel"/>
    <w:tmpl w:val="925EA87C"/>
    <w:lvl w:ilvl="0" w:tplc="C29EC2BE">
      <w:start w:val="1"/>
      <w:numFmt w:val="upperRoman"/>
      <w:lvlText w:val="%1."/>
      <w:lvlJc w:val="left"/>
      <w:pPr>
        <w:ind w:left="1440" w:hanging="720"/>
      </w:pPr>
      <w:rPr>
        <w:rFonts w:asciiTheme="majorBidi" w:hAnsiTheme="majorBidi" w:cstheme="maj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6C02E8"/>
    <w:multiLevelType w:val="hybridMultilevel"/>
    <w:tmpl w:val="BBD461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602756"/>
    <w:multiLevelType w:val="hybridMultilevel"/>
    <w:tmpl w:val="436E58EC"/>
    <w:lvl w:ilvl="0" w:tplc="DDF800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256FC2"/>
    <w:multiLevelType w:val="hybridMultilevel"/>
    <w:tmpl w:val="DBDABF8C"/>
    <w:lvl w:ilvl="0" w:tplc="FD381336">
      <w:start w:val="1"/>
      <w:numFmt w:val="decimal"/>
      <w:pStyle w:val="3"/>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137F34"/>
    <w:multiLevelType w:val="hybridMultilevel"/>
    <w:tmpl w:val="86C839FA"/>
    <w:lvl w:ilvl="0" w:tplc="B43AC8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18787D"/>
    <w:multiLevelType w:val="hybridMultilevel"/>
    <w:tmpl w:val="FACAA51C"/>
    <w:lvl w:ilvl="0" w:tplc="EA1A8A2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BE388D"/>
    <w:multiLevelType w:val="hybridMultilevel"/>
    <w:tmpl w:val="D2D8255A"/>
    <w:lvl w:ilvl="0" w:tplc="76F29FD2">
      <w:start w:val="2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9C7F0C"/>
    <w:multiLevelType w:val="hybridMultilevel"/>
    <w:tmpl w:val="687021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09326A"/>
    <w:multiLevelType w:val="hybridMultilevel"/>
    <w:tmpl w:val="BBD461B2"/>
    <w:lvl w:ilvl="0" w:tplc="6592FB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A326F6"/>
    <w:multiLevelType w:val="hybridMultilevel"/>
    <w:tmpl w:val="032AAACC"/>
    <w:lvl w:ilvl="0" w:tplc="51EACD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1E74FA"/>
    <w:multiLevelType w:val="hybridMultilevel"/>
    <w:tmpl w:val="6A048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6E5F55"/>
    <w:multiLevelType w:val="hybridMultilevel"/>
    <w:tmpl w:val="BB64A230"/>
    <w:lvl w:ilvl="0" w:tplc="B246A640">
      <w:start w:val="1"/>
      <w:numFmt w:val="hebrew1"/>
      <w:pStyle w:val="2"/>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E3145B"/>
    <w:multiLevelType w:val="hybridMultilevel"/>
    <w:tmpl w:val="5B80DB9C"/>
    <w:lvl w:ilvl="0" w:tplc="B0147C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CC72E7"/>
    <w:multiLevelType w:val="hybridMultilevel"/>
    <w:tmpl w:val="80187CA8"/>
    <w:lvl w:ilvl="0" w:tplc="476426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347AE5"/>
    <w:multiLevelType w:val="hybridMultilevel"/>
    <w:tmpl w:val="3E3E6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47442F"/>
    <w:multiLevelType w:val="hybridMultilevel"/>
    <w:tmpl w:val="E8FEFA12"/>
    <w:lvl w:ilvl="0" w:tplc="DB4ED2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036FB2"/>
    <w:multiLevelType w:val="hybridMultilevel"/>
    <w:tmpl w:val="4176D4BE"/>
    <w:lvl w:ilvl="0" w:tplc="72640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0C3E77"/>
    <w:multiLevelType w:val="hybridMultilevel"/>
    <w:tmpl w:val="2D86B5A8"/>
    <w:lvl w:ilvl="0" w:tplc="103C345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6934A22"/>
    <w:multiLevelType w:val="hybridMultilevel"/>
    <w:tmpl w:val="0186BD94"/>
    <w:lvl w:ilvl="0" w:tplc="303A74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5C2189"/>
    <w:multiLevelType w:val="hybridMultilevel"/>
    <w:tmpl w:val="07409F68"/>
    <w:lvl w:ilvl="0" w:tplc="E9F299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8473AA"/>
    <w:multiLevelType w:val="hybridMultilevel"/>
    <w:tmpl w:val="F80A1BB0"/>
    <w:lvl w:ilvl="0" w:tplc="4F4A4A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7469F4"/>
    <w:multiLevelType w:val="hybridMultilevel"/>
    <w:tmpl w:val="01F45E40"/>
    <w:lvl w:ilvl="0" w:tplc="F28A3F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1972288">
    <w:abstractNumId w:val="13"/>
  </w:num>
  <w:num w:numId="2" w16cid:durableId="354697147">
    <w:abstractNumId w:val="10"/>
  </w:num>
  <w:num w:numId="3" w16cid:durableId="749042343">
    <w:abstractNumId w:val="5"/>
  </w:num>
  <w:num w:numId="4" w16cid:durableId="584346147">
    <w:abstractNumId w:val="18"/>
  </w:num>
  <w:num w:numId="5" w16cid:durableId="82072411">
    <w:abstractNumId w:val="23"/>
  </w:num>
  <w:num w:numId="6" w16cid:durableId="71978240">
    <w:abstractNumId w:val="20"/>
  </w:num>
  <w:num w:numId="7" w16cid:durableId="1195848997">
    <w:abstractNumId w:val="6"/>
  </w:num>
  <w:num w:numId="8" w16cid:durableId="288435317">
    <w:abstractNumId w:val="0"/>
  </w:num>
  <w:num w:numId="9" w16cid:durableId="1121847592">
    <w:abstractNumId w:val="21"/>
  </w:num>
  <w:num w:numId="10" w16cid:durableId="1654406798">
    <w:abstractNumId w:val="14"/>
  </w:num>
  <w:num w:numId="11" w16cid:durableId="26101216">
    <w:abstractNumId w:val="15"/>
  </w:num>
  <w:num w:numId="12" w16cid:durableId="1888370347">
    <w:abstractNumId w:val="2"/>
  </w:num>
  <w:num w:numId="13" w16cid:durableId="1736199855">
    <w:abstractNumId w:val="19"/>
  </w:num>
  <w:num w:numId="14" w16cid:durableId="1184788321">
    <w:abstractNumId w:val="22"/>
  </w:num>
  <w:num w:numId="15" w16cid:durableId="938680769">
    <w:abstractNumId w:val="3"/>
  </w:num>
  <w:num w:numId="16" w16cid:durableId="981351659">
    <w:abstractNumId w:val="8"/>
  </w:num>
  <w:num w:numId="17" w16cid:durableId="148835975">
    <w:abstractNumId w:val="5"/>
    <w:lvlOverride w:ilvl="0">
      <w:startOverride w:val="1"/>
    </w:lvlOverride>
  </w:num>
  <w:num w:numId="18" w16cid:durableId="1351683206">
    <w:abstractNumId w:val="11"/>
  </w:num>
  <w:num w:numId="19" w16cid:durableId="1786390195">
    <w:abstractNumId w:val="17"/>
  </w:num>
  <w:num w:numId="20" w16cid:durableId="1413887918">
    <w:abstractNumId w:val="1"/>
  </w:num>
  <w:num w:numId="21" w16cid:durableId="229461749">
    <w:abstractNumId w:val="7"/>
  </w:num>
  <w:num w:numId="22" w16cid:durableId="1732271904">
    <w:abstractNumId w:val="16"/>
  </w:num>
  <w:num w:numId="23" w16cid:durableId="1879852070">
    <w:abstractNumId w:val="12"/>
  </w:num>
  <w:num w:numId="24" w16cid:durableId="110244293">
    <w:abstractNumId w:val="13"/>
  </w:num>
  <w:num w:numId="25" w16cid:durableId="68040283">
    <w:abstractNumId w:val="4"/>
  </w:num>
  <w:num w:numId="26" w16cid:durableId="7515889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AwNzU0NTCzMLK0NDFQ0lEKTi0uzszPAykwNKgFAGDbumMtAAAA"/>
  </w:docVars>
  <w:rsids>
    <w:rsidRoot w:val="0086417E"/>
    <w:rsid w:val="00002298"/>
    <w:rsid w:val="0000256B"/>
    <w:rsid w:val="00003824"/>
    <w:rsid w:val="000043B2"/>
    <w:rsid w:val="000043D5"/>
    <w:rsid w:val="00004FB4"/>
    <w:rsid w:val="000060FC"/>
    <w:rsid w:val="0000685D"/>
    <w:rsid w:val="00006CB0"/>
    <w:rsid w:val="00007133"/>
    <w:rsid w:val="00007305"/>
    <w:rsid w:val="000075F7"/>
    <w:rsid w:val="00007727"/>
    <w:rsid w:val="00010668"/>
    <w:rsid w:val="0001313B"/>
    <w:rsid w:val="0001377A"/>
    <w:rsid w:val="00013A56"/>
    <w:rsid w:val="00013A9B"/>
    <w:rsid w:val="0001491D"/>
    <w:rsid w:val="00014C14"/>
    <w:rsid w:val="00014F82"/>
    <w:rsid w:val="00015845"/>
    <w:rsid w:val="000158AA"/>
    <w:rsid w:val="000163B9"/>
    <w:rsid w:val="000176FA"/>
    <w:rsid w:val="000178A5"/>
    <w:rsid w:val="000206F6"/>
    <w:rsid w:val="00022499"/>
    <w:rsid w:val="00022FAD"/>
    <w:rsid w:val="00023F8B"/>
    <w:rsid w:val="000250E3"/>
    <w:rsid w:val="00025275"/>
    <w:rsid w:val="00025309"/>
    <w:rsid w:val="00025B7B"/>
    <w:rsid w:val="00026E85"/>
    <w:rsid w:val="00030E06"/>
    <w:rsid w:val="00031499"/>
    <w:rsid w:val="00031F9A"/>
    <w:rsid w:val="0003214C"/>
    <w:rsid w:val="00032195"/>
    <w:rsid w:val="000327EF"/>
    <w:rsid w:val="00033470"/>
    <w:rsid w:val="00033A77"/>
    <w:rsid w:val="00034636"/>
    <w:rsid w:val="00035A51"/>
    <w:rsid w:val="00035AD1"/>
    <w:rsid w:val="00035E7B"/>
    <w:rsid w:val="0003658D"/>
    <w:rsid w:val="000366B3"/>
    <w:rsid w:val="00037EBB"/>
    <w:rsid w:val="00041895"/>
    <w:rsid w:val="00041A4F"/>
    <w:rsid w:val="000426FE"/>
    <w:rsid w:val="00042B8C"/>
    <w:rsid w:val="000434BA"/>
    <w:rsid w:val="00043769"/>
    <w:rsid w:val="0004391A"/>
    <w:rsid w:val="00043EDB"/>
    <w:rsid w:val="00044009"/>
    <w:rsid w:val="000442B7"/>
    <w:rsid w:val="00046049"/>
    <w:rsid w:val="00046A9A"/>
    <w:rsid w:val="00046E55"/>
    <w:rsid w:val="00047350"/>
    <w:rsid w:val="00050E80"/>
    <w:rsid w:val="00052585"/>
    <w:rsid w:val="00052A25"/>
    <w:rsid w:val="00052CE2"/>
    <w:rsid w:val="00053661"/>
    <w:rsid w:val="00053758"/>
    <w:rsid w:val="00053B07"/>
    <w:rsid w:val="00053CEE"/>
    <w:rsid w:val="00054418"/>
    <w:rsid w:val="00054552"/>
    <w:rsid w:val="00054E69"/>
    <w:rsid w:val="000556C4"/>
    <w:rsid w:val="00055806"/>
    <w:rsid w:val="00055F86"/>
    <w:rsid w:val="00056D05"/>
    <w:rsid w:val="00057685"/>
    <w:rsid w:val="00057A6D"/>
    <w:rsid w:val="00057D8F"/>
    <w:rsid w:val="0006017E"/>
    <w:rsid w:val="00060388"/>
    <w:rsid w:val="000603F6"/>
    <w:rsid w:val="00061046"/>
    <w:rsid w:val="00061587"/>
    <w:rsid w:val="00061B21"/>
    <w:rsid w:val="00061C6B"/>
    <w:rsid w:val="00062383"/>
    <w:rsid w:val="00062C1F"/>
    <w:rsid w:val="00062CD2"/>
    <w:rsid w:val="00063518"/>
    <w:rsid w:val="000653D3"/>
    <w:rsid w:val="000675A6"/>
    <w:rsid w:val="000676C8"/>
    <w:rsid w:val="000678C8"/>
    <w:rsid w:val="00067A85"/>
    <w:rsid w:val="00067C3F"/>
    <w:rsid w:val="00070562"/>
    <w:rsid w:val="00071CA4"/>
    <w:rsid w:val="00072078"/>
    <w:rsid w:val="00072705"/>
    <w:rsid w:val="0007321B"/>
    <w:rsid w:val="0007365E"/>
    <w:rsid w:val="00073B4F"/>
    <w:rsid w:val="00074C15"/>
    <w:rsid w:val="00075ACB"/>
    <w:rsid w:val="00075D5B"/>
    <w:rsid w:val="0007606C"/>
    <w:rsid w:val="00076620"/>
    <w:rsid w:val="0008171C"/>
    <w:rsid w:val="00081FC3"/>
    <w:rsid w:val="00082DF4"/>
    <w:rsid w:val="00084ECC"/>
    <w:rsid w:val="000851DC"/>
    <w:rsid w:val="00085A6E"/>
    <w:rsid w:val="00085FD1"/>
    <w:rsid w:val="000873A4"/>
    <w:rsid w:val="0008793E"/>
    <w:rsid w:val="00090426"/>
    <w:rsid w:val="000906CB"/>
    <w:rsid w:val="00090AAB"/>
    <w:rsid w:val="00090CDE"/>
    <w:rsid w:val="00091933"/>
    <w:rsid w:val="00092B55"/>
    <w:rsid w:val="00093857"/>
    <w:rsid w:val="000943EC"/>
    <w:rsid w:val="0009499E"/>
    <w:rsid w:val="00094ECE"/>
    <w:rsid w:val="00096A4A"/>
    <w:rsid w:val="0009733D"/>
    <w:rsid w:val="000A04D1"/>
    <w:rsid w:val="000A0A69"/>
    <w:rsid w:val="000A0AC1"/>
    <w:rsid w:val="000A140B"/>
    <w:rsid w:val="000A1814"/>
    <w:rsid w:val="000A1A52"/>
    <w:rsid w:val="000A2A11"/>
    <w:rsid w:val="000A3879"/>
    <w:rsid w:val="000A3959"/>
    <w:rsid w:val="000A39D6"/>
    <w:rsid w:val="000A4EB0"/>
    <w:rsid w:val="000A6020"/>
    <w:rsid w:val="000A61F2"/>
    <w:rsid w:val="000A6404"/>
    <w:rsid w:val="000A71C8"/>
    <w:rsid w:val="000B0426"/>
    <w:rsid w:val="000B1AA9"/>
    <w:rsid w:val="000B1FE8"/>
    <w:rsid w:val="000B3FE5"/>
    <w:rsid w:val="000B3FF9"/>
    <w:rsid w:val="000B4551"/>
    <w:rsid w:val="000B47D0"/>
    <w:rsid w:val="000B49C7"/>
    <w:rsid w:val="000B4EE0"/>
    <w:rsid w:val="000B5CCC"/>
    <w:rsid w:val="000B5EC3"/>
    <w:rsid w:val="000B6FA2"/>
    <w:rsid w:val="000B7B76"/>
    <w:rsid w:val="000C02B2"/>
    <w:rsid w:val="000C07C4"/>
    <w:rsid w:val="000C09D8"/>
    <w:rsid w:val="000C0A7F"/>
    <w:rsid w:val="000C0ABA"/>
    <w:rsid w:val="000C0B58"/>
    <w:rsid w:val="000C1A50"/>
    <w:rsid w:val="000C1CF4"/>
    <w:rsid w:val="000C2967"/>
    <w:rsid w:val="000C2E31"/>
    <w:rsid w:val="000C3449"/>
    <w:rsid w:val="000C3788"/>
    <w:rsid w:val="000C38F4"/>
    <w:rsid w:val="000C5149"/>
    <w:rsid w:val="000C5156"/>
    <w:rsid w:val="000D0373"/>
    <w:rsid w:val="000D138B"/>
    <w:rsid w:val="000D1892"/>
    <w:rsid w:val="000D1BDE"/>
    <w:rsid w:val="000D258B"/>
    <w:rsid w:val="000D25F4"/>
    <w:rsid w:val="000D2E7B"/>
    <w:rsid w:val="000D3A7B"/>
    <w:rsid w:val="000D3BE9"/>
    <w:rsid w:val="000D4168"/>
    <w:rsid w:val="000D47AF"/>
    <w:rsid w:val="000D59E3"/>
    <w:rsid w:val="000D5FB3"/>
    <w:rsid w:val="000D714C"/>
    <w:rsid w:val="000E0F52"/>
    <w:rsid w:val="000E115D"/>
    <w:rsid w:val="000E1595"/>
    <w:rsid w:val="000E1818"/>
    <w:rsid w:val="000E1FD5"/>
    <w:rsid w:val="000E27E6"/>
    <w:rsid w:val="000E2942"/>
    <w:rsid w:val="000E34B9"/>
    <w:rsid w:val="000E35F7"/>
    <w:rsid w:val="000E37B4"/>
    <w:rsid w:val="000E4653"/>
    <w:rsid w:val="000E4983"/>
    <w:rsid w:val="000E5AC5"/>
    <w:rsid w:val="000E61B5"/>
    <w:rsid w:val="000E6F11"/>
    <w:rsid w:val="000E70EA"/>
    <w:rsid w:val="000E71F5"/>
    <w:rsid w:val="000F05D5"/>
    <w:rsid w:val="000F2172"/>
    <w:rsid w:val="000F2494"/>
    <w:rsid w:val="000F2DD7"/>
    <w:rsid w:val="000F3FB0"/>
    <w:rsid w:val="000F45F4"/>
    <w:rsid w:val="000F4DC4"/>
    <w:rsid w:val="000F54A1"/>
    <w:rsid w:val="000F5E15"/>
    <w:rsid w:val="000F6688"/>
    <w:rsid w:val="000F6FF8"/>
    <w:rsid w:val="00100257"/>
    <w:rsid w:val="001004C7"/>
    <w:rsid w:val="00101E5E"/>
    <w:rsid w:val="0010200B"/>
    <w:rsid w:val="001029EC"/>
    <w:rsid w:val="00102A35"/>
    <w:rsid w:val="00102BF1"/>
    <w:rsid w:val="00104502"/>
    <w:rsid w:val="001054D2"/>
    <w:rsid w:val="0010623F"/>
    <w:rsid w:val="001062A8"/>
    <w:rsid w:val="00107466"/>
    <w:rsid w:val="0010773F"/>
    <w:rsid w:val="001078CC"/>
    <w:rsid w:val="00112313"/>
    <w:rsid w:val="00112D55"/>
    <w:rsid w:val="00113950"/>
    <w:rsid w:val="00113EB4"/>
    <w:rsid w:val="00114491"/>
    <w:rsid w:val="001147D1"/>
    <w:rsid w:val="0011598D"/>
    <w:rsid w:val="00116A28"/>
    <w:rsid w:val="00116BBA"/>
    <w:rsid w:val="00116CDF"/>
    <w:rsid w:val="00116F73"/>
    <w:rsid w:val="00117031"/>
    <w:rsid w:val="00117117"/>
    <w:rsid w:val="00117A9A"/>
    <w:rsid w:val="00117B89"/>
    <w:rsid w:val="00117F24"/>
    <w:rsid w:val="001204A3"/>
    <w:rsid w:val="0012126B"/>
    <w:rsid w:val="00123498"/>
    <w:rsid w:val="00124FCE"/>
    <w:rsid w:val="0012536D"/>
    <w:rsid w:val="0012576F"/>
    <w:rsid w:val="00125E84"/>
    <w:rsid w:val="0012660E"/>
    <w:rsid w:val="00130508"/>
    <w:rsid w:val="0013241E"/>
    <w:rsid w:val="001344FE"/>
    <w:rsid w:val="00134698"/>
    <w:rsid w:val="00134AC1"/>
    <w:rsid w:val="00134C11"/>
    <w:rsid w:val="00135231"/>
    <w:rsid w:val="001353CE"/>
    <w:rsid w:val="001363E4"/>
    <w:rsid w:val="001374DD"/>
    <w:rsid w:val="00137768"/>
    <w:rsid w:val="00137834"/>
    <w:rsid w:val="00137BA9"/>
    <w:rsid w:val="00137DF2"/>
    <w:rsid w:val="00137FE5"/>
    <w:rsid w:val="00140086"/>
    <w:rsid w:val="00140C87"/>
    <w:rsid w:val="00141615"/>
    <w:rsid w:val="00141C55"/>
    <w:rsid w:val="001421BF"/>
    <w:rsid w:val="00142AFB"/>
    <w:rsid w:val="00142CA6"/>
    <w:rsid w:val="001432F2"/>
    <w:rsid w:val="00143318"/>
    <w:rsid w:val="00143A58"/>
    <w:rsid w:val="001445B1"/>
    <w:rsid w:val="001446D6"/>
    <w:rsid w:val="0014482A"/>
    <w:rsid w:val="00145E62"/>
    <w:rsid w:val="00145E82"/>
    <w:rsid w:val="00146E94"/>
    <w:rsid w:val="00147A6A"/>
    <w:rsid w:val="00150C21"/>
    <w:rsid w:val="0015115A"/>
    <w:rsid w:val="0015193D"/>
    <w:rsid w:val="00151F42"/>
    <w:rsid w:val="001520E6"/>
    <w:rsid w:val="001522D8"/>
    <w:rsid w:val="0015238A"/>
    <w:rsid w:val="00154F48"/>
    <w:rsid w:val="001551DB"/>
    <w:rsid w:val="00155565"/>
    <w:rsid w:val="00155832"/>
    <w:rsid w:val="0015626A"/>
    <w:rsid w:val="00156E17"/>
    <w:rsid w:val="00157CAD"/>
    <w:rsid w:val="00157D03"/>
    <w:rsid w:val="00157D2D"/>
    <w:rsid w:val="00157EFA"/>
    <w:rsid w:val="00161268"/>
    <w:rsid w:val="001615A5"/>
    <w:rsid w:val="001615BD"/>
    <w:rsid w:val="00162168"/>
    <w:rsid w:val="001638B3"/>
    <w:rsid w:val="0016470B"/>
    <w:rsid w:val="00164996"/>
    <w:rsid w:val="001655A1"/>
    <w:rsid w:val="001658DE"/>
    <w:rsid w:val="00166810"/>
    <w:rsid w:val="001677EC"/>
    <w:rsid w:val="001707C7"/>
    <w:rsid w:val="00170FC1"/>
    <w:rsid w:val="001725E8"/>
    <w:rsid w:val="00172BD3"/>
    <w:rsid w:val="0017340D"/>
    <w:rsid w:val="00173C8F"/>
    <w:rsid w:val="00173F9B"/>
    <w:rsid w:val="00174819"/>
    <w:rsid w:val="001752B5"/>
    <w:rsid w:val="00175BE8"/>
    <w:rsid w:val="00175D65"/>
    <w:rsid w:val="00176037"/>
    <w:rsid w:val="00177EB4"/>
    <w:rsid w:val="0018085F"/>
    <w:rsid w:val="00182284"/>
    <w:rsid w:val="00183872"/>
    <w:rsid w:val="00183B38"/>
    <w:rsid w:val="0018482B"/>
    <w:rsid w:val="00184A72"/>
    <w:rsid w:val="00187159"/>
    <w:rsid w:val="00187434"/>
    <w:rsid w:val="001875C2"/>
    <w:rsid w:val="001879B1"/>
    <w:rsid w:val="001900A4"/>
    <w:rsid w:val="001913BF"/>
    <w:rsid w:val="001917D2"/>
    <w:rsid w:val="0019234C"/>
    <w:rsid w:val="0019239C"/>
    <w:rsid w:val="00192BA3"/>
    <w:rsid w:val="00194624"/>
    <w:rsid w:val="00194CF3"/>
    <w:rsid w:val="00195BCC"/>
    <w:rsid w:val="001976C0"/>
    <w:rsid w:val="001A0519"/>
    <w:rsid w:val="001A08A4"/>
    <w:rsid w:val="001A0902"/>
    <w:rsid w:val="001A0CED"/>
    <w:rsid w:val="001A0F3F"/>
    <w:rsid w:val="001A1F87"/>
    <w:rsid w:val="001A29A3"/>
    <w:rsid w:val="001A3A18"/>
    <w:rsid w:val="001A3EF0"/>
    <w:rsid w:val="001A485D"/>
    <w:rsid w:val="001A4C81"/>
    <w:rsid w:val="001A50BE"/>
    <w:rsid w:val="001A5DD8"/>
    <w:rsid w:val="001A7C9B"/>
    <w:rsid w:val="001B07D4"/>
    <w:rsid w:val="001B157C"/>
    <w:rsid w:val="001B2825"/>
    <w:rsid w:val="001B2CED"/>
    <w:rsid w:val="001B479F"/>
    <w:rsid w:val="001B4C61"/>
    <w:rsid w:val="001B6932"/>
    <w:rsid w:val="001B720D"/>
    <w:rsid w:val="001B7BD0"/>
    <w:rsid w:val="001B7F7D"/>
    <w:rsid w:val="001C12E2"/>
    <w:rsid w:val="001C165F"/>
    <w:rsid w:val="001C1805"/>
    <w:rsid w:val="001C184B"/>
    <w:rsid w:val="001C275F"/>
    <w:rsid w:val="001C2CA8"/>
    <w:rsid w:val="001C4835"/>
    <w:rsid w:val="001C4C9B"/>
    <w:rsid w:val="001C6395"/>
    <w:rsid w:val="001C673C"/>
    <w:rsid w:val="001C767E"/>
    <w:rsid w:val="001D00A7"/>
    <w:rsid w:val="001D0769"/>
    <w:rsid w:val="001D08CE"/>
    <w:rsid w:val="001D24AF"/>
    <w:rsid w:val="001D30F8"/>
    <w:rsid w:val="001D3A45"/>
    <w:rsid w:val="001D3BF1"/>
    <w:rsid w:val="001D4D58"/>
    <w:rsid w:val="001D5167"/>
    <w:rsid w:val="001D520A"/>
    <w:rsid w:val="001D5F21"/>
    <w:rsid w:val="001D6622"/>
    <w:rsid w:val="001D6F07"/>
    <w:rsid w:val="001D71EE"/>
    <w:rsid w:val="001D7BA5"/>
    <w:rsid w:val="001E0898"/>
    <w:rsid w:val="001E0A19"/>
    <w:rsid w:val="001E247C"/>
    <w:rsid w:val="001E321A"/>
    <w:rsid w:val="001E3275"/>
    <w:rsid w:val="001E3F70"/>
    <w:rsid w:val="001E409E"/>
    <w:rsid w:val="001E41AC"/>
    <w:rsid w:val="001E4A0B"/>
    <w:rsid w:val="001E5648"/>
    <w:rsid w:val="001E697F"/>
    <w:rsid w:val="001E7157"/>
    <w:rsid w:val="001F0AD8"/>
    <w:rsid w:val="001F1B6E"/>
    <w:rsid w:val="001F3291"/>
    <w:rsid w:val="001F3711"/>
    <w:rsid w:val="001F4AE9"/>
    <w:rsid w:val="001F4C88"/>
    <w:rsid w:val="001F526B"/>
    <w:rsid w:val="001F7A6A"/>
    <w:rsid w:val="002022DC"/>
    <w:rsid w:val="0020240A"/>
    <w:rsid w:val="00202829"/>
    <w:rsid w:val="002041AF"/>
    <w:rsid w:val="00204A06"/>
    <w:rsid w:val="00207537"/>
    <w:rsid w:val="00210924"/>
    <w:rsid w:val="00210DE1"/>
    <w:rsid w:val="002110C0"/>
    <w:rsid w:val="002113C6"/>
    <w:rsid w:val="002127E9"/>
    <w:rsid w:val="0021299B"/>
    <w:rsid w:val="002133FF"/>
    <w:rsid w:val="00213418"/>
    <w:rsid w:val="002147FE"/>
    <w:rsid w:val="00215CAE"/>
    <w:rsid w:val="002167C3"/>
    <w:rsid w:val="00221F41"/>
    <w:rsid w:val="00222E95"/>
    <w:rsid w:val="00223074"/>
    <w:rsid w:val="002232B7"/>
    <w:rsid w:val="00223E3F"/>
    <w:rsid w:val="00225D6A"/>
    <w:rsid w:val="00225F8A"/>
    <w:rsid w:val="00226239"/>
    <w:rsid w:val="002276BF"/>
    <w:rsid w:val="00227734"/>
    <w:rsid w:val="00230B8B"/>
    <w:rsid w:val="00230BB2"/>
    <w:rsid w:val="00230CF6"/>
    <w:rsid w:val="00230EFE"/>
    <w:rsid w:val="002312AA"/>
    <w:rsid w:val="0023227B"/>
    <w:rsid w:val="002326D7"/>
    <w:rsid w:val="00232E2B"/>
    <w:rsid w:val="00232F20"/>
    <w:rsid w:val="00233407"/>
    <w:rsid w:val="00233690"/>
    <w:rsid w:val="00233BCD"/>
    <w:rsid w:val="002342E4"/>
    <w:rsid w:val="0023548B"/>
    <w:rsid w:val="00235D00"/>
    <w:rsid w:val="00236469"/>
    <w:rsid w:val="00236A47"/>
    <w:rsid w:val="00236AD8"/>
    <w:rsid w:val="00240583"/>
    <w:rsid w:val="00240C39"/>
    <w:rsid w:val="00241440"/>
    <w:rsid w:val="00241E92"/>
    <w:rsid w:val="0024282F"/>
    <w:rsid w:val="00242987"/>
    <w:rsid w:val="00243083"/>
    <w:rsid w:val="0024422A"/>
    <w:rsid w:val="0024522D"/>
    <w:rsid w:val="0024610E"/>
    <w:rsid w:val="002461DE"/>
    <w:rsid w:val="002462B5"/>
    <w:rsid w:val="002463CA"/>
    <w:rsid w:val="00247130"/>
    <w:rsid w:val="002474F2"/>
    <w:rsid w:val="002510DD"/>
    <w:rsid w:val="0025187B"/>
    <w:rsid w:val="00251BCF"/>
    <w:rsid w:val="00252CE6"/>
    <w:rsid w:val="002536EE"/>
    <w:rsid w:val="00254B49"/>
    <w:rsid w:val="00254C1E"/>
    <w:rsid w:val="00255D47"/>
    <w:rsid w:val="00256754"/>
    <w:rsid w:val="00256C1F"/>
    <w:rsid w:val="00256E88"/>
    <w:rsid w:val="00256ECB"/>
    <w:rsid w:val="00256ED2"/>
    <w:rsid w:val="0025713F"/>
    <w:rsid w:val="002571AF"/>
    <w:rsid w:val="0025767B"/>
    <w:rsid w:val="002600E0"/>
    <w:rsid w:val="002608EA"/>
    <w:rsid w:val="002622D2"/>
    <w:rsid w:val="002667CD"/>
    <w:rsid w:val="0026726B"/>
    <w:rsid w:val="00270D0F"/>
    <w:rsid w:val="0027120F"/>
    <w:rsid w:val="00271997"/>
    <w:rsid w:val="00271B19"/>
    <w:rsid w:val="00271DE2"/>
    <w:rsid w:val="002731BB"/>
    <w:rsid w:val="002737EB"/>
    <w:rsid w:val="00273D9E"/>
    <w:rsid w:val="002742E9"/>
    <w:rsid w:val="0027523F"/>
    <w:rsid w:val="00276884"/>
    <w:rsid w:val="002777A4"/>
    <w:rsid w:val="00280904"/>
    <w:rsid w:val="002814BF"/>
    <w:rsid w:val="0028208E"/>
    <w:rsid w:val="00282268"/>
    <w:rsid w:val="00282801"/>
    <w:rsid w:val="00282DDF"/>
    <w:rsid w:val="00282DE3"/>
    <w:rsid w:val="00282E5B"/>
    <w:rsid w:val="00284478"/>
    <w:rsid w:val="002855D8"/>
    <w:rsid w:val="00285CA9"/>
    <w:rsid w:val="00287A30"/>
    <w:rsid w:val="00290F66"/>
    <w:rsid w:val="002916EB"/>
    <w:rsid w:val="00291970"/>
    <w:rsid w:val="00291E5F"/>
    <w:rsid w:val="002921ED"/>
    <w:rsid w:val="0029269D"/>
    <w:rsid w:val="00294247"/>
    <w:rsid w:val="00294F92"/>
    <w:rsid w:val="00295204"/>
    <w:rsid w:val="00295455"/>
    <w:rsid w:val="00296CE5"/>
    <w:rsid w:val="00296DC0"/>
    <w:rsid w:val="00297BC7"/>
    <w:rsid w:val="002A0577"/>
    <w:rsid w:val="002A2D68"/>
    <w:rsid w:val="002A3AFF"/>
    <w:rsid w:val="002A3C15"/>
    <w:rsid w:val="002A4B4C"/>
    <w:rsid w:val="002A5C3E"/>
    <w:rsid w:val="002A5CBE"/>
    <w:rsid w:val="002A6807"/>
    <w:rsid w:val="002A6D35"/>
    <w:rsid w:val="002A7397"/>
    <w:rsid w:val="002A7A0B"/>
    <w:rsid w:val="002A7B1D"/>
    <w:rsid w:val="002A7DE4"/>
    <w:rsid w:val="002B055F"/>
    <w:rsid w:val="002B1D10"/>
    <w:rsid w:val="002B1EEF"/>
    <w:rsid w:val="002B2501"/>
    <w:rsid w:val="002B374F"/>
    <w:rsid w:val="002B43FD"/>
    <w:rsid w:val="002B4B9A"/>
    <w:rsid w:val="002B57C1"/>
    <w:rsid w:val="002B5E28"/>
    <w:rsid w:val="002B7019"/>
    <w:rsid w:val="002B74FD"/>
    <w:rsid w:val="002B7652"/>
    <w:rsid w:val="002B7CD8"/>
    <w:rsid w:val="002C0782"/>
    <w:rsid w:val="002C11F7"/>
    <w:rsid w:val="002C1865"/>
    <w:rsid w:val="002C1C9F"/>
    <w:rsid w:val="002C2D61"/>
    <w:rsid w:val="002C3CE7"/>
    <w:rsid w:val="002C43DB"/>
    <w:rsid w:val="002C487E"/>
    <w:rsid w:val="002C4B74"/>
    <w:rsid w:val="002C4C25"/>
    <w:rsid w:val="002C5382"/>
    <w:rsid w:val="002C554F"/>
    <w:rsid w:val="002C574C"/>
    <w:rsid w:val="002C5825"/>
    <w:rsid w:val="002C6A48"/>
    <w:rsid w:val="002C6D5D"/>
    <w:rsid w:val="002C7AD0"/>
    <w:rsid w:val="002C7CE2"/>
    <w:rsid w:val="002C7E28"/>
    <w:rsid w:val="002D05FA"/>
    <w:rsid w:val="002D1348"/>
    <w:rsid w:val="002D1431"/>
    <w:rsid w:val="002D1851"/>
    <w:rsid w:val="002D1DB6"/>
    <w:rsid w:val="002D2E42"/>
    <w:rsid w:val="002D32E2"/>
    <w:rsid w:val="002D5DC9"/>
    <w:rsid w:val="002D5F0B"/>
    <w:rsid w:val="002D7AEA"/>
    <w:rsid w:val="002E0B96"/>
    <w:rsid w:val="002E1521"/>
    <w:rsid w:val="002E167A"/>
    <w:rsid w:val="002E211D"/>
    <w:rsid w:val="002E23B3"/>
    <w:rsid w:val="002E2AB4"/>
    <w:rsid w:val="002E33BB"/>
    <w:rsid w:val="002E3426"/>
    <w:rsid w:val="002E3D8B"/>
    <w:rsid w:val="002E4049"/>
    <w:rsid w:val="002E47FF"/>
    <w:rsid w:val="002E4981"/>
    <w:rsid w:val="002E4C92"/>
    <w:rsid w:val="002E5B5D"/>
    <w:rsid w:val="002E74BA"/>
    <w:rsid w:val="002F165F"/>
    <w:rsid w:val="002F1F01"/>
    <w:rsid w:val="002F2671"/>
    <w:rsid w:val="002F2BFA"/>
    <w:rsid w:val="002F318A"/>
    <w:rsid w:val="002F367F"/>
    <w:rsid w:val="002F4E62"/>
    <w:rsid w:val="002F58D7"/>
    <w:rsid w:val="002F5D33"/>
    <w:rsid w:val="002F64E0"/>
    <w:rsid w:val="002F7A42"/>
    <w:rsid w:val="0030073A"/>
    <w:rsid w:val="00300ABF"/>
    <w:rsid w:val="00300CBD"/>
    <w:rsid w:val="00302B54"/>
    <w:rsid w:val="00303B25"/>
    <w:rsid w:val="00303B63"/>
    <w:rsid w:val="00304D9A"/>
    <w:rsid w:val="00305379"/>
    <w:rsid w:val="00305906"/>
    <w:rsid w:val="003066C1"/>
    <w:rsid w:val="0030791C"/>
    <w:rsid w:val="003107C0"/>
    <w:rsid w:val="00310F05"/>
    <w:rsid w:val="00310FE2"/>
    <w:rsid w:val="00311500"/>
    <w:rsid w:val="003131B3"/>
    <w:rsid w:val="0031367B"/>
    <w:rsid w:val="003140BD"/>
    <w:rsid w:val="0031436C"/>
    <w:rsid w:val="00315A61"/>
    <w:rsid w:val="00315A64"/>
    <w:rsid w:val="0031617D"/>
    <w:rsid w:val="00317466"/>
    <w:rsid w:val="00320844"/>
    <w:rsid w:val="00320923"/>
    <w:rsid w:val="0032105E"/>
    <w:rsid w:val="00321100"/>
    <w:rsid w:val="00321BE0"/>
    <w:rsid w:val="00322525"/>
    <w:rsid w:val="00323371"/>
    <w:rsid w:val="003233A3"/>
    <w:rsid w:val="0032441C"/>
    <w:rsid w:val="0032455E"/>
    <w:rsid w:val="003247A0"/>
    <w:rsid w:val="00326676"/>
    <w:rsid w:val="00326B0E"/>
    <w:rsid w:val="00326C2C"/>
    <w:rsid w:val="00327D32"/>
    <w:rsid w:val="00327DDF"/>
    <w:rsid w:val="003300F0"/>
    <w:rsid w:val="00330E9C"/>
    <w:rsid w:val="00331D44"/>
    <w:rsid w:val="00333215"/>
    <w:rsid w:val="00334377"/>
    <w:rsid w:val="003347D9"/>
    <w:rsid w:val="00335445"/>
    <w:rsid w:val="00335F76"/>
    <w:rsid w:val="00337498"/>
    <w:rsid w:val="00337E02"/>
    <w:rsid w:val="00340638"/>
    <w:rsid w:val="00340814"/>
    <w:rsid w:val="00340E8F"/>
    <w:rsid w:val="003414E9"/>
    <w:rsid w:val="00342F83"/>
    <w:rsid w:val="00343A2F"/>
    <w:rsid w:val="003447A4"/>
    <w:rsid w:val="00344D5E"/>
    <w:rsid w:val="0034501E"/>
    <w:rsid w:val="003459E3"/>
    <w:rsid w:val="003460CD"/>
    <w:rsid w:val="00346D63"/>
    <w:rsid w:val="003474EE"/>
    <w:rsid w:val="003505FA"/>
    <w:rsid w:val="0035137A"/>
    <w:rsid w:val="003514DC"/>
    <w:rsid w:val="0035198A"/>
    <w:rsid w:val="00352018"/>
    <w:rsid w:val="00352223"/>
    <w:rsid w:val="0035265E"/>
    <w:rsid w:val="00352895"/>
    <w:rsid w:val="00353988"/>
    <w:rsid w:val="00353B55"/>
    <w:rsid w:val="00353B74"/>
    <w:rsid w:val="00355F34"/>
    <w:rsid w:val="00356358"/>
    <w:rsid w:val="003565EC"/>
    <w:rsid w:val="00356746"/>
    <w:rsid w:val="00357823"/>
    <w:rsid w:val="00357ACE"/>
    <w:rsid w:val="00357DA9"/>
    <w:rsid w:val="0036150E"/>
    <w:rsid w:val="00361593"/>
    <w:rsid w:val="00361C07"/>
    <w:rsid w:val="00361C17"/>
    <w:rsid w:val="0036351A"/>
    <w:rsid w:val="00363B64"/>
    <w:rsid w:val="003646CA"/>
    <w:rsid w:val="00364733"/>
    <w:rsid w:val="00364F1C"/>
    <w:rsid w:val="00365254"/>
    <w:rsid w:val="0036548D"/>
    <w:rsid w:val="0036561C"/>
    <w:rsid w:val="003665AD"/>
    <w:rsid w:val="00366678"/>
    <w:rsid w:val="00366849"/>
    <w:rsid w:val="00366C7B"/>
    <w:rsid w:val="00367245"/>
    <w:rsid w:val="00371720"/>
    <w:rsid w:val="00371ADA"/>
    <w:rsid w:val="00372BE6"/>
    <w:rsid w:val="0037359E"/>
    <w:rsid w:val="00374212"/>
    <w:rsid w:val="003743EA"/>
    <w:rsid w:val="00374859"/>
    <w:rsid w:val="00375298"/>
    <w:rsid w:val="003752F2"/>
    <w:rsid w:val="003757C0"/>
    <w:rsid w:val="003758C0"/>
    <w:rsid w:val="0037657C"/>
    <w:rsid w:val="0037787D"/>
    <w:rsid w:val="0037789D"/>
    <w:rsid w:val="0037793E"/>
    <w:rsid w:val="00377C5A"/>
    <w:rsid w:val="0038054D"/>
    <w:rsid w:val="003807B4"/>
    <w:rsid w:val="00380F6A"/>
    <w:rsid w:val="0038135B"/>
    <w:rsid w:val="00381495"/>
    <w:rsid w:val="003814AC"/>
    <w:rsid w:val="003816C0"/>
    <w:rsid w:val="00381CFE"/>
    <w:rsid w:val="00382C68"/>
    <w:rsid w:val="003836B5"/>
    <w:rsid w:val="00383DAE"/>
    <w:rsid w:val="003845EF"/>
    <w:rsid w:val="003847BF"/>
    <w:rsid w:val="00384D42"/>
    <w:rsid w:val="0038520B"/>
    <w:rsid w:val="00385B18"/>
    <w:rsid w:val="00385BE4"/>
    <w:rsid w:val="00385C60"/>
    <w:rsid w:val="00385EC2"/>
    <w:rsid w:val="00386078"/>
    <w:rsid w:val="00387A6F"/>
    <w:rsid w:val="0039088A"/>
    <w:rsid w:val="00390E89"/>
    <w:rsid w:val="0039249D"/>
    <w:rsid w:val="003929A4"/>
    <w:rsid w:val="00392E33"/>
    <w:rsid w:val="00393681"/>
    <w:rsid w:val="00393866"/>
    <w:rsid w:val="00394A18"/>
    <w:rsid w:val="00396785"/>
    <w:rsid w:val="0039754D"/>
    <w:rsid w:val="00397DE7"/>
    <w:rsid w:val="003A0281"/>
    <w:rsid w:val="003A047C"/>
    <w:rsid w:val="003A0A23"/>
    <w:rsid w:val="003A0C95"/>
    <w:rsid w:val="003A104D"/>
    <w:rsid w:val="003A120E"/>
    <w:rsid w:val="003A1266"/>
    <w:rsid w:val="003A1FF1"/>
    <w:rsid w:val="003A3609"/>
    <w:rsid w:val="003A362E"/>
    <w:rsid w:val="003A3C69"/>
    <w:rsid w:val="003A3ED1"/>
    <w:rsid w:val="003A5204"/>
    <w:rsid w:val="003A651B"/>
    <w:rsid w:val="003A6A62"/>
    <w:rsid w:val="003A72BC"/>
    <w:rsid w:val="003A7C10"/>
    <w:rsid w:val="003B014F"/>
    <w:rsid w:val="003B10C1"/>
    <w:rsid w:val="003B27C7"/>
    <w:rsid w:val="003B29B5"/>
    <w:rsid w:val="003B32AC"/>
    <w:rsid w:val="003B481C"/>
    <w:rsid w:val="003B533B"/>
    <w:rsid w:val="003B58BE"/>
    <w:rsid w:val="003B632F"/>
    <w:rsid w:val="003B6743"/>
    <w:rsid w:val="003B7221"/>
    <w:rsid w:val="003B7E40"/>
    <w:rsid w:val="003C06EC"/>
    <w:rsid w:val="003C09D6"/>
    <w:rsid w:val="003C0DA3"/>
    <w:rsid w:val="003C0E80"/>
    <w:rsid w:val="003C144F"/>
    <w:rsid w:val="003C16E0"/>
    <w:rsid w:val="003C1B0C"/>
    <w:rsid w:val="003C2D70"/>
    <w:rsid w:val="003C30CF"/>
    <w:rsid w:val="003C34F3"/>
    <w:rsid w:val="003C3A84"/>
    <w:rsid w:val="003C3DE8"/>
    <w:rsid w:val="003C41D6"/>
    <w:rsid w:val="003C4D62"/>
    <w:rsid w:val="003C51B5"/>
    <w:rsid w:val="003C5214"/>
    <w:rsid w:val="003C53B3"/>
    <w:rsid w:val="003C543D"/>
    <w:rsid w:val="003C5DC1"/>
    <w:rsid w:val="003D02EF"/>
    <w:rsid w:val="003D0D64"/>
    <w:rsid w:val="003D21A1"/>
    <w:rsid w:val="003D2412"/>
    <w:rsid w:val="003D24AC"/>
    <w:rsid w:val="003D2EDF"/>
    <w:rsid w:val="003D4264"/>
    <w:rsid w:val="003D4A9F"/>
    <w:rsid w:val="003D4FC0"/>
    <w:rsid w:val="003D5988"/>
    <w:rsid w:val="003D67AB"/>
    <w:rsid w:val="003D7720"/>
    <w:rsid w:val="003D7B40"/>
    <w:rsid w:val="003D7D98"/>
    <w:rsid w:val="003D7F79"/>
    <w:rsid w:val="003E16DA"/>
    <w:rsid w:val="003E1D09"/>
    <w:rsid w:val="003E22DE"/>
    <w:rsid w:val="003E2C81"/>
    <w:rsid w:val="003E2F8E"/>
    <w:rsid w:val="003E3007"/>
    <w:rsid w:val="003E314B"/>
    <w:rsid w:val="003E34D1"/>
    <w:rsid w:val="003E41A9"/>
    <w:rsid w:val="003E4372"/>
    <w:rsid w:val="003E5352"/>
    <w:rsid w:val="003E5940"/>
    <w:rsid w:val="003E5F7F"/>
    <w:rsid w:val="003E6032"/>
    <w:rsid w:val="003E61B5"/>
    <w:rsid w:val="003E786A"/>
    <w:rsid w:val="003F198B"/>
    <w:rsid w:val="003F1A31"/>
    <w:rsid w:val="003F2029"/>
    <w:rsid w:val="003F241A"/>
    <w:rsid w:val="003F255D"/>
    <w:rsid w:val="003F348D"/>
    <w:rsid w:val="003F3915"/>
    <w:rsid w:val="003F3B42"/>
    <w:rsid w:val="003F412A"/>
    <w:rsid w:val="003F6163"/>
    <w:rsid w:val="003F62C1"/>
    <w:rsid w:val="003F642D"/>
    <w:rsid w:val="003F709A"/>
    <w:rsid w:val="003F773F"/>
    <w:rsid w:val="003F7756"/>
    <w:rsid w:val="00400AD6"/>
    <w:rsid w:val="004012B9"/>
    <w:rsid w:val="004017F4"/>
    <w:rsid w:val="0040295B"/>
    <w:rsid w:val="00403523"/>
    <w:rsid w:val="00403AC0"/>
    <w:rsid w:val="00404874"/>
    <w:rsid w:val="00404AD8"/>
    <w:rsid w:val="0040620C"/>
    <w:rsid w:val="00411B2F"/>
    <w:rsid w:val="00411C4E"/>
    <w:rsid w:val="004122C1"/>
    <w:rsid w:val="004125DC"/>
    <w:rsid w:val="00412AC2"/>
    <w:rsid w:val="004133A4"/>
    <w:rsid w:val="004143AA"/>
    <w:rsid w:val="00415F85"/>
    <w:rsid w:val="00417D1F"/>
    <w:rsid w:val="00420930"/>
    <w:rsid w:val="00420DAA"/>
    <w:rsid w:val="004210F2"/>
    <w:rsid w:val="004231C5"/>
    <w:rsid w:val="0042396E"/>
    <w:rsid w:val="00424388"/>
    <w:rsid w:val="004249F6"/>
    <w:rsid w:val="00425F39"/>
    <w:rsid w:val="004260AB"/>
    <w:rsid w:val="00426332"/>
    <w:rsid w:val="004273B1"/>
    <w:rsid w:val="00427403"/>
    <w:rsid w:val="004275D3"/>
    <w:rsid w:val="00427865"/>
    <w:rsid w:val="0043004C"/>
    <w:rsid w:val="004306D2"/>
    <w:rsid w:val="00430A49"/>
    <w:rsid w:val="00431B53"/>
    <w:rsid w:val="00431BF5"/>
    <w:rsid w:val="004322FF"/>
    <w:rsid w:val="0043271E"/>
    <w:rsid w:val="004347B1"/>
    <w:rsid w:val="004347CF"/>
    <w:rsid w:val="00435CE8"/>
    <w:rsid w:val="00437070"/>
    <w:rsid w:val="00437877"/>
    <w:rsid w:val="004378B6"/>
    <w:rsid w:val="00440175"/>
    <w:rsid w:val="00440BA8"/>
    <w:rsid w:val="004423AC"/>
    <w:rsid w:val="004423D6"/>
    <w:rsid w:val="00442D60"/>
    <w:rsid w:val="0044300B"/>
    <w:rsid w:val="00443608"/>
    <w:rsid w:val="00443BB5"/>
    <w:rsid w:val="00443D95"/>
    <w:rsid w:val="00443E73"/>
    <w:rsid w:val="00444093"/>
    <w:rsid w:val="004442AE"/>
    <w:rsid w:val="00444874"/>
    <w:rsid w:val="00445597"/>
    <w:rsid w:val="00445C07"/>
    <w:rsid w:val="0044602E"/>
    <w:rsid w:val="0044761C"/>
    <w:rsid w:val="00447ADD"/>
    <w:rsid w:val="0045021E"/>
    <w:rsid w:val="004514D9"/>
    <w:rsid w:val="00451C0D"/>
    <w:rsid w:val="00451D93"/>
    <w:rsid w:val="004520F0"/>
    <w:rsid w:val="00452FE3"/>
    <w:rsid w:val="004547D7"/>
    <w:rsid w:val="00454BAB"/>
    <w:rsid w:val="00454C68"/>
    <w:rsid w:val="0045542D"/>
    <w:rsid w:val="00455E7D"/>
    <w:rsid w:val="00456109"/>
    <w:rsid w:val="004562D6"/>
    <w:rsid w:val="00456C30"/>
    <w:rsid w:val="0045712A"/>
    <w:rsid w:val="00460F81"/>
    <w:rsid w:val="00461125"/>
    <w:rsid w:val="00461507"/>
    <w:rsid w:val="004615F4"/>
    <w:rsid w:val="0046167E"/>
    <w:rsid w:val="00461E37"/>
    <w:rsid w:val="00463B2B"/>
    <w:rsid w:val="00464566"/>
    <w:rsid w:val="004646FC"/>
    <w:rsid w:val="00464D50"/>
    <w:rsid w:val="00464E5B"/>
    <w:rsid w:val="00465824"/>
    <w:rsid w:val="0046636E"/>
    <w:rsid w:val="00467DF8"/>
    <w:rsid w:val="0047214F"/>
    <w:rsid w:val="004722DC"/>
    <w:rsid w:val="004723E6"/>
    <w:rsid w:val="004730B9"/>
    <w:rsid w:val="004733E6"/>
    <w:rsid w:val="00474883"/>
    <w:rsid w:val="00474C1E"/>
    <w:rsid w:val="00474DEE"/>
    <w:rsid w:val="004765F6"/>
    <w:rsid w:val="00476739"/>
    <w:rsid w:val="00476EEA"/>
    <w:rsid w:val="00480119"/>
    <w:rsid w:val="004817D5"/>
    <w:rsid w:val="00481A2C"/>
    <w:rsid w:val="00481E38"/>
    <w:rsid w:val="00481F35"/>
    <w:rsid w:val="004824FD"/>
    <w:rsid w:val="00483F21"/>
    <w:rsid w:val="00484D9D"/>
    <w:rsid w:val="004855DB"/>
    <w:rsid w:val="004859A8"/>
    <w:rsid w:val="00485FC7"/>
    <w:rsid w:val="00486414"/>
    <w:rsid w:val="00486A75"/>
    <w:rsid w:val="00486F81"/>
    <w:rsid w:val="00487340"/>
    <w:rsid w:val="0048761E"/>
    <w:rsid w:val="00487A62"/>
    <w:rsid w:val="004908CD"/>
    <w:rsid w:val="00490E19"/>
    <w:rsid w:val="0049123A"/>
    <w:rsid w:val="0049161A"/>
    <w:rsid w:val="00492E53"/>
    <w:rsid w:val="0049373A"/>
    <w:rsid w:val="00493D60"/>
    <w:rsid w:val="004942CA"/>
    <w:rsid w:val="00494418"/>
    <w:rsid w:val="00494C8B"/>
    <w:rsid w:val="0049516A"/>
    <w:rsid w:val="0049565A"/>
    <w:rsid w:val="0049635F"/>
    <w:rsid w:val="0049637C"/>
    <w:rsid w:val="00496C32"/>
    <w:rsid w:val="00496C33"/>
    <w:rsid w:val="0049711E"/>
    <w:rsid w:val="004979B5"/>
    <w:rsid w:val="00497E97"/>
    <w:rsid w:val="004A08AF"/>
    <w:rsid w:val="004A0ABA"/>
    <w:rsid w:val="004A30B3"/>
    <w:rsid w:val="004A3907"/>
    <w:rsid w:val="004A6DFC"/>
    <w:rsid w:val="004A7B61"/>
    <w:rsid w:val="004B0270"/>
    <w:rsid w:val="004B04A4"/>
    <w:rsid w:val="004B0628"/>
    <w:rsid w:val="004B1556"/>
    <w:rsid w:val="004B15A2"/>
    <w:rsid w:val="004B161C"/>
    <w:rsid w:val="004B1F91"/>
    <w:rsid w:val="004B25BF"/>
    <w:rsid w:val="004B2D9B"/>
    <w:rsid w:val="004B3204"/>
    <w:rsid w:val="004B3891"/>
    <w:rsid w:val="004B4005"/>
    <w:rsid w:val="004B42D1"/>
    <w:rsid w:val="004B43FF"/>
    <w:rsid w:val="004B4684"/>
    <w:rsid w:val="004B5251"/>
    <w:rsid w:val="004B5398"/>
    <w:rsid w:val="004B5A5B"/>
    <w:rsid w:val="004B6293"/>
    <w:rsid w:val="004B65F6"/>
    <w:rsid w:val="004B6790"/>
    <w:rsid w:val="004B688A"/>
    <w:rsid w:val="004B6CD9"/>
    <w:rsid w:val="004B7225"/>
    <w:rsid w:val="004B7317"/>
    <w:rsid w:val="004C01BF"/>
    <w:rsid w:val="004C1D04"/>
    <w:rsid w:val="004C2AFA"/>
    <w:rsid w:val="004C2E56"/>
    <w:rsid w:val="004C32AF"/>
    <w:rsid w:val="004C32D8"/>
    <w:rsid w:val="004C3F3B"/>
    <w:rsid w:val="004C450D"/>
    <w:rsid w:val="004C5760"/>
    <w:rsid w:val="004C62EC"/>
    <w:rsid w:val="004C69BE"/>
    <w:rsid w:val="004C6C15"/>
    <w:rsid w:val="004D08A0"/>
    <w:rsid w:val="004D55F1"/>
    <w:rsid w:val="004D5B79"/>
    <w:rsid w:val="004D6CEB"/>
    <w:rsid w:val="004D7616"/>
    <w:rsid w:val="004D7A1F"/>
    <w:rsid w:val="004E0BDC"/>
    <w:rsid w:val="004E0D2A"/>
    <w:rsid w:val="004E10EC"/>
    <w:rsid w:val="004E20B4"/>
    <w:rsid w:val="004E34D8"/>
    <w:rsid w:val="004E356B"/>
    <w:rsid w:val="004E408E"/>
    <w:rsid w:val="004E4FD0"/>
    <w:rsid w:val="004E597F"/>
    <w:rsid w:val="004E64AC"/>
    <w:rsid w:val="004E66BF"/>
    <w:rsid w:val="004E680D"/>
    <w:rsid w:val="004E6A67"/>
    <w:rsid w:val="004E6ED0"/>
    <w:rsid w:val="004E7066"/>
    <w:rsid w:val="004E71AE"/>
    <w:rsid w:val="004F03AD"/>
    <w:rsid w:val="004F18CD"/>
    <w:rsid w:val="004F1BDE"/>
    <w:rsid w:val="004F2C22"/>
    <w:rsid w:val="004F3C4F"/>
    <w:rsid w:val="004F3DF6"/>
    <w:rsid w:val="004F4B47"/>
    <w:rsid w:val="004F4D94"/>
    <w:rsid w:val="004F52B0"/>
    <w:rsid w:val="004F5DEF"/>
    <w:rsid w:val="004F65E0"/>
    <w:rsid w:val="004F6A61"/>
    <w:rsid w:val="004F7354"/>
    <w:rsid w:val="004F7C3F"/>
    <w:rsid w:val="005007A5"/>
    <w:rsid w:val="00500E45"/>
    <w:rsid w:val="0050297E"/>
    <w:rsid w:val="00504233"/>
    <w:rsid w:val="0050507E"/>
    <w:rsid w:val="00505CEE"/>
    <w:rsid w:val="00505D16"/>
    <w:rsid w:val="00506383"/>
    <w:rsid w:val="0050649C"/>
    <w:rsid w:val="00506653"/>
    <w:rsid w:val="00506E2C"/>
    <w:rsid w:val="00506F17"/>
    <w:rsid w:val="00511424"/>
    <w:rsid w:val="0051144B"/>
    <w:rsid w:val="005130F9"/>
    <w:rsid w:val="0051354F"/>
    <w:rsid w:val="005135A5"/>
    <w:rsid w:val="00513E97"/>
    <w:rsid w:val="00514296"/>
    <w:rsid w:val="00514F3D"/>
    <w:rsid w:val="005160C3"/>
    <w:rsid w:val="005168A1"/>
    <w:rsid w:val="005171C8"/>
    <w:rsid w:val="00517904"/>
    <w:rsid w:val="005205CA"/>
    <w:rsid w:val="00520645"/>
    <w:rsid w:val="00520854"/>
    <w:rsid w:val="0052150C"/>
    <w:rsid w:val="0052173F"/>
    <w:rsid w:val="005219A6"/>
    <w:rsid w:val="00521C38"/>
    <w:rsid w:val="00521E22"/>
    <w:rsid w:val="00522175"/>
    <w:rsid w:val="00522760"/>
    <w:rsid w:val="00522B81"/>
    <w:rsid w:val="00522DE0"/>
    <w:rsid w:val="00522E80"/>
    <w:rsid w:val="005236F0"/>
    <w:rsid w:val="00523779"/>
    <w:rsid w:val="00523846"/>
    <w:rsid w:val="00523888"/>
    <w:rsid w:val="00525412"/>
    <w:rsid w:val="00525623"/>
    <w:rsid w:val="00525992"/>
    <w:rsid w:val="005259B7"/>
    <w:rsid w:val="00525B84"/>
    <w:rsid w:val="00526706"/>
    <w:rsid w:val="00526A22"/>
    <w:rsid w:val="00530A07"/>
    <w:rsid w:val="005313D0"/>
    <w:rsid w:val="005317A8"/>
    <w:rsid w:val="00531A29"/>
    <w:rsid w:val="00532AE9"/>
    <w:rsid w:val="0053519C"/>
    <w:rsid w:val="005358A3"/>
    <w:rsid w:val="00536284"/>
    <w:rsid w:val="005372FD"/>
    <w:rsid w:val="00537A23"/>
    <w:rsid w:val="00537C5F"/>
    <w:rsid w:val="00540896"/>
    <w:rsid w:val="005416F8"/>
    <w:rsid w:val="00542E20"/>
    <w:rsid w:val="00542F2C"/>
    <w:rsid w:val="0054339D"/>
    <w:rsid w:val="005434C6"/>
    <w:rsid w:val="00543D09"/>
    <w:rsid w:val="00544826"/>
    <w:rsid w:val="00544C3C"/>
    <w:rsid w:val="00545165"/>
    <w:rsid w:val="00545A81"/>
    <w:rsid w:val="005467B6"/>
    <w:rsid w:val="00546EF4"/>
    <w:rsid w:val="00551D07"/>
    <w:rsid w:val="0055255A"/>
    <w:rsid w:val="00552C58"/>
    <w:rsid w:val="00552F9B"/>
    <w:rsid w:val="005532F9"/>
    <w:rsid w:val="00553483"/>
    <w:rsid w:val="005539F8"/>
    <w:rsid w:val="00554867"/>
    <w:rsid w:val="005549FC"/>
    <w:rsid w:val="00554D8D"/>
    <w:rsid w:val="00554F59"/>
    <w:rsid w:val="00557096"/>
    <w:rsid w:val="00557166"/>
    <w:rsid w:val="0055798F"/>
    <w:rsid w:val="00557EE0"/>
    <w:rsid w:val="00560056"/>
    <w:rsid w:val="00560730"/>
    <w:rsid w:val="005612BE"/>
    <w:rsid w:val="005628A2"/>
    <w:rsid w:val="005628EE"/>
    <w:rsid w:val="00562F3E"/>
    <w:rsid w:val="005645AF"/>
    <w:rsid w:val="00565139"/>
    <w:rsid w:val="00565215"/>
    <w:rsid w:val="005653FB"/>
    <w:rsid w:val="005661D8"/>
    <w:rsid w:val="00566757"/>
    <w:rsid w:val="00566CF1"/>
    <w:rsid w:val="005676B9"/>
    <w:rsid w:val="0056780E"/>
    <w:rsid w:val="00567D62"/>
    <w:rsid w:val="00567DEC"/>
    <w:rsid w:val="0057126A"/>
    <w:rsid w:val="0057197E"/>
    <w:rsid w:val="00573676"/>
    <w:rsid w:val="00573CC5"/>
    <w:rsid w:val="00573D23"/>
    <w:rsid w:val="005747FA"/>
    <w:rsid w:val="00575857"/>
    <w:rsid w:val="00575D22"/>
    <w:rsid w:val="00575FFE"/>
    <w:rsid w:val="005768B0"/>
    <w:rsid w:val="0058086B"/>
    <w:rsid w:val="005809A5"/>
    <w:rsid w:val="00581303"/>
    <w:rsid w:val="00581646"/>
    <w:rsid w:val="00581AE5"/>
    <w:rsid w:val="00584A72"/>
    <w:rsid w:val="0058536F"/>
    <w:rsid w:val="005853AD"/>
    <w:rsid w:val="005855D9"/>
    <w:rsid w:val="00587A1F"/>
    <w:rsid w:val="00587B0B"/>
    <w:rsid w:val="00590196"/>
    <w:rsid w:val="0059044E"/>
    <w:rsid w:val="00591069"/>
    <w:rsid w:val="00591A21"/>
    <w:rsid w:val="00592080"/>
    <w:rsid w:val="0059226C"/>
    <w:rsid w:val="0059263B"/>
    <w:rsid w:val="005926AC"/>
    <w:rsid w:val="00592868"/>
    <w:rsid w:val="00592A9C"/>
    <w:rsid w:val="00593212"/>
    <w:rsid w:val="0059383D"/>
    <w:rsid w:val="0059394F"/>
    <w:rsid w:val="005955CE"/>
    <w:rsid w:val="005955E5"/>
    <w:rsid w:val="00595C3E"/>
    <w:rsid w:val="00597D4D"/>
    <w:rsid w:val="005A0928"/>
    <w:rsid w:val="005A14A9"/>
    <w:rsid w:val="005A1637"/>
    <w:rsid w:val="005A2831"/>
    <w:rsid w:val="005A2B35"/>
    <w:rsid w:val="005A30FC"/>
    <w:rsid w:val="005A4EB1"/>
    <w:rsid w:val="005A5076"/>
    <w:rsid w:val="005A50A7"/>
    <w:rsid w:val="005A5230"/>
    <w:rsid w:val="005A59DA"/>
    <w:rsid w:val="005A67B6"/>
    <w:rsid w:val="005A78D1"/>
    <w:rsid w:val="005B0544"/>
    <w:rsid w:val="005B06A0"/>
    <w:rsid w:val="005B0A50"/>
    <w:rsid w:val="005B0DDF"/>
    <w:rsid w:val="005B15DC"/>
    <w:rsid w:val="005B1B1D"/>
    <w:rsid w:val="005B1C4E"/>
    <w:rsid w:val="005B25C3"/>
    <w:rsid w:val="005B272F"/>
    <w:rsid w:val="005B3056"/>
    <w:rsid w:val="005B3957"/>
    <w:rsid w:val="005B3B06"/>
    <w:rsid w:val="005B3DB9"/>
    <w:rsid w:val="005B3DBB"/>
    <w:rsid w:val="005B3F48"/>
    <w:rsid w:val="005B3FF5"/>
    <w:rsid w:val="005B46EF"/>
    <w:rsid w:val="005B5867"/>
    <w:rsid w:val="005B6326"/>
    <w:rsid w:val="005B68A4"/>
    <w:rsid w:val="005C0146"/>
    <w:rsid w:val="005C09D6"/>
    <w:rsid w:val="005C1566"/>
    <w:rsid w:val="005C21BD"/>
    <w:rsid w:val="005C2843"/>
    <w:rsid w:val="005C2926"/>
    <w:rsid w:val="005C29C5"/>
    <w:rsid w:val="005C2ED5"/>
    <w:rsid w:val="005C3C60"/>
    <w:rsid w:val="005C3FAA"/>
    <w:rsid w:val="005C513C"/>
    <w:rsid w:val="005C51EF"/>
    <w:rsid w:val="005C5C02"/>
    <w:rsid w:val="005C68D1"/>
    <w:rsid w:val="005C7168"/>
    <w:rsid w:val="005D0D27"/>
    <w:rsid w:val="005D17D9"/>
    <w:rsid w:val="005D291F"/>
    <w:rsid w:val="005D2DB3"/>
    <w:rsid w:val="005D3525"/>
    <w:rsid w:val="005D3877"/>
    <w:rsid w:val="005D3DB4"/>
    <w:rsid w:val="005D45D9"/>
    <w:rsid w:val="005D4614"/>
    <w:rsid w:val="005D48F7"/>
    <w:rsid w:val="005D7CA4"/>
    <w:rsid w:val="005E124B"/>
    <w:rsid w:val="005E16E4"/>
    <w:rsid w:val="005E182F"/>
    <w:rsid w:val="005E1CDB"/>
    <w:rsid w:val="005E21B0"/>
    <w:rsid w:val="005E2898"/>
    <w:rsid w:val="005E4521"/>
    <w:rsid w:val="005E455B"/>
    <w:rsid w:val="005E6241"/>
    <w:rsid w:val="005E6DF0"/>
    <w:rsid w:val="005E6FF6"/>
    <w:rsid w:val="005E7C9B"/>
    <w:rsid w:val="005F01CE"/>
    <w:rsid w:val="005F037E"/>
    <w:rsid w:val="005F26B3"/>
    <w:rsid w:val="005F29DB"/>
    <w:rsid w:val="005F34EB"/>
    <w:rsid w:val="005F3A41"/>
    <w:rsid w:val="005F488C"/>
    <w:rsid w:val="005F53FE"/>
    <w:rsid w:val="005F5F5A"/>
    <w:rsid w:val="005F7D14"/>
    <w:rsid w:val="005F7F96"/>
    <w:rsid w:val="00600DC5"/>
    <w:rsid w:val="006016F6"/>
    <w:rsid w:val="0060193A"/>
    <w:rsid w:val="00602295"/>
    <w:rsid w:val="0060262F"/>
    <w:rsid w:val="006027E7"/>
    <w:rsid w:val="00603C4A"/>
    <w:rsid w:val="0060490B"/>
    <w:rsid w:val="0060499A"/>
    <w:rsid w:val="006050C6"/>
    <w:rsid w:val="00605AF8"/>
    <w:rsid w:val="006067C4"/>
    <w:rsid w:val="00606959"/>
    <w:rsid w:val="00606D9C"/>
    <w:rsid w:val="00606E91"/>
    <w:rsid w:val="00606EFC"/>
    <w:rsid w:val="00610B97"/>
    <w:rsid w:val="006114CD"/>
    <w:rsid w:val="00611607"/>
    <w:rsid w:val="006119B6"/>
    <w:rsid w:val="00614065"/>
    <w:rsid w:val="006148B2"/>
    <w:rsid w:val="006149B6"/>
    <w:rsid w:val="00614E11"/>
    <w:rsid w:val="00614FA5"/>
    <w:rsid w:val="00615906"/>
    <w:rsid w:val="00615B5A"/>
    <w:rsid w:val="006160FE"/>
    <w:rsid w:val="0061701C"/>
    <w:rsid w:val="00617F74"/>
    <w:rsid w:val="0062000D"/>
    <w:rsid w:val="006200AF"/>
    <w:rsid w:val="006201BF"/>
    <w:rsid w:val="006205C1"/>
    <w:rsid w:val="00621249"/>
    <w:rsid w:val="006214A5"/>
    <w:rsid w:val="00621B8D"/>
    <w:rsid w:val="00623578"/>
    <w:rsid w:val="00623976"/>
    <w:rsid w:val="00624367"/>
    <w:rsid w:val="00624926"/>
    <w:rsid w:val="006255B7"/>
    <w:rsid w:val="00625DF5"/>
    <w:rsid w:val="006260E7"/>
    <w:rsid w:val="00627399"/>
    <w:rsid w:val="006273D9"/>
    <w:rsid w:val="0063219B"/>
    <w:rsid w:val="0063249E"/>
    <w:rsid w:val="00633887"/>
    <w:rsid w:val="00633F4B"/>
    <w:rsid w:val="00634715"/>
    <w:rsid w:val="00635C6E"/>
    <w:rsid w:val="00636F48"/>
    <w:rsid w:val="00637728"/>
    <w:rsid w:val="00637772"/>
    <w:rsid w:val="006378C8"/>
    <w:rsid w:val="00637B0F"/>
    <w:rsid w:val="0064010C"/>
    <w:rsid w:val="00640951"/>
    <w:rsid w:val="006409F0"/>
    <w:rsid w:val="0064108D"/>
    <w:rsid w:val="0064140C"/>
    <w:rsid w:val="00642DB6"/>
    <w:rsid w:val="00643CC5"/>
    <w:rsid w:val="00644D1D"/>
    <w:rsid w:val="00645DDE"/>
    <w:rsid w:val="00646428"/>
    <w:rsid w:val="00646734"/>
    <w:rsid w:val="00646E3E"/>
    <w:rsid w:val="00646F98"/>
    <w:rsid w:val="006470FB"/>
    <w:rsid w:val="006516A7"/>
    <w:rsid w:val="0065267D"/>
    <w:rsid w:val="006527AE"/>
    <w:rsid w:val="00652E68"/>
    <w:rsid w:val="00653614"/>
    <w:rsid w:val="00653809"/>
    <w:rsid w:val="006540D6"/>
    <w:rsid w:val="006544CC"/>
    <w:rsid w:val="0065519D"/>
    <w:rsid w:val="0065536F"/>
    <w:rsid w:val="0065541E"/>
    <w:rsid w:val="006556B6"/>
    <w:rsid w:val="006569A4"/>
    <w:rsid w:val="00656D3D"/>
    <w:rsid w:val="0066130C"/>
    <w:rsid w:val="006622AC"/>
    <w:rsid w:val="006643A8"/>
    <w:rsid w:val="00664F70"/>
    <w:rsid w:val="006652FC"/>
    <w:rsid w:val="00667AEA"/>
    <w:rsid w:val="00670A74"/>
    <w:rsid w:val="006716EC"/>
    <w:rsid w:val="00672A4B"/>
    <w:rsid w:val="00672AD9"/>
    <w:rsid w:val="00672EEC"/>
    <w:rsid w:val="0067324F"/>
    <w:rsid w:val="00673643"/>
    <w:rsid w:val="00673A06"/>
    <w:rsid w:val="00673DE7"/>
    <w:rsid w:val="00674379"/>
    <w:rsid w:val="0067499B"/>
    <w:rsid w:val="00674A7C"/>
    <w:rsid w:val="00675133"/>
    <w:rsid w:val="00675660"/>
    <w:rsid w:val="00675D41"/>
    <w:rsid w:val="006765EC"/>
    <w:rsid w:val="006772F1"/>
    <w:rsid w:val="00677579"/>
    <w:rsid w:val="0067790A"/>
    <w:rsid w:val="00677EB0"/>
    <w:rsid w:val="006803D6"/>
    <w:rsid w:val="006816D9"/>
    <w:rsid w:val="006817D3"/>
    <w:rsid w:val="00682586"/>
    <w:rsid w:val="00682CD5"/>
    <w:rsid w:val="0068331F"/>
    <w:rsid w:val="00683560"/>
    <w:rsid w:val="0068358E"/>
    <w:rsid w:val="00683FE8"/>
    <w:rsid w:val="00684C09"/>
    <w:rsid w:val="006853AF"/>
    <w:rsid w:val="006853E9"/>
    <w:rsid w:val="00686DCC"/>
    <w:rsid w:val="0068701F"/>
    <w:rsid w:val="006875A8"/>
    <w:rsid w:val="00687633"/>
    <w:rsid w:val="006907DE"/>
    <w:rsid w:val="00691D67"/>
    <w:rsid w:val="00691F52"/>
    <w:rsid w:val="00693238"/>
    <w:rsid w:val="00694739"/>
    <w:rsid w:val="00694F31"/>
    <w:rsid w:val="0069509F"/>
    <w:rsid w:val="00695D9D"/>
    <w:rsid w:val="00696205"/>
    <w:rsid w:val="00696E54"/>
    <w:rsid w:val="006A0F6C"/>
    <w:rsid w:val="006A1E6C"/>
    <w:rsid w:val="006A287B"/>
    <w:rsid w:val="006A2B43"/>
    <w:rsid w:val="006A3E70"/>
    <w:rsid w:val="006A4DC6"/>
    <w:rsid w:val="006A63BF"/>
    <w:rsid w:val="006A65B5"/>
    <w:rsid w:val="006A6B85"/>
    <w:rsid w:val="006A6F05"/>
    <w:rsid w:val="006B08A4"/>
    <w:rsid w:val="006B1A4D"/>
    <w:rsid w:val="006B2275"/>
    <w:rsid w:val="006B22AD"/>
    <w:rsid w:val="006B2B6D"/>
    <w:rsid w:val="006B2CCC"/>
    <w:rsid w:val="006B2F11"/>
    <w:rsid w:val="006B4C26"/>
    <w:rsid w:val="006B5020"/>
    <w:rsid w:val="006B686D"/>
    <w:rsid w:val="006C006F"/>
    <w:rsid w:val="006C054A"/>
    <w:rsid w:val="006C140E"/>
    <w:rsid w:val="006C192C"/>
    <w:rsid w:val="006C21EE"/>
    <w:rsid w:val="006C3A2C"/>
    <w:rsid w:val="006C4CD0"/>
    <w:rsid w:val="006C4E32"/>
    <w:rsid w:val="006C5928"/>
    <w:rsid w:val="006C603E"/>
    <w:rsid w:val="006C60FA"/>
    <w:rsid w:val="006C6A8F"/>
    <w:rsid w:val="006C71F9"/>
    <w:rsid w:val="006C74F1"/>
    <w:rsid w:val="006C7AE3"/>
    <w:rsid w:val="006D1327"/>
    <w:rsid w:val="006D15E4"/>
    <w:rsid w:val="006D1A95"/>
    <w:rsid w:val="006D1FCC"/>
    <w:rsid w:val="006D25FE"/>
    <w:rsid w:val="006D2890"/>
    <w:rsid w:val="006D28F3"/>
    <w:rsid w:val="006D3584"/>
    <w:rsid w:val="006D3C0B"/>
    <w:rsid w:val="006D3ED1"/>
    <w:rsid w:val="006D5116"/>
    <w:rsid w:val="006D70B6"/>
    <w:rsid w:val="006D7652"/>
    <w:rsid w:val="006E15BE"/>
    <w:rsid w:val="006E332B"/>
    <w:rsid w:val="006E3DB3"/>
    <w:rsid w:val="006E6198"/>
    <w:rsid w:val="006E716A"/>
    <w:rsid w:val="006E7796"/>
    <w:rsid w:val="006E7CB7"/>
    <w:rsid w:val="006F0401"/>
    <w:rsid w:val="006F101F"/>
    <w:rsid w:val="006F186A"/>
    <w:rsid w:val="006F2C16"/>
    <w:rsid w:val="006F2C65"/>
    <w:rsid w:val="006F3373"/>
    <w:rsid w:val="006F3520"/>
    <w:rsid w:val="006F4B6D"/>
    <w:rsid w:val="006F5516"/>
    <w:rsid w:val="006F58C7"/>
    <w:rsid w:val="006F59A3"/>
    <w:rsid w:val="006F5A7E"/>
    <w:rsid w:val="006F5B74"/>
    <w:rsid w:val="006F794A"/>
    <w:rsid w:val="007004EA"/>
    <w:rsid w:val="00700F1D"/>
    <w:rsid w:val="00701513"/>
    <w:rsid w:val="007018C9"/>
    <w:rsid w:val="00701FF8"/>
    <w:rsid w:val="00702DE9"/>
    <w:rsid w:val="0070304E"/>
    <w:rsid w:val="0070357E"/>
    <w:rsid w:val="00703BBE"/>
    <w:rsid w:val="00704648"/>
    <w:rsid w:val="00704B5C"/>
    <w:rsid w:val="00704D37"/>
    <w:rsid w:val="00707ABD"/>
    <w:rsid w:val="007109D1"/>
    <w:rsid w:val="00710AFC"/>
    <w:rsid w:val="00711CA5"/>
    <w:rsid w:val="00712BAD"/>
    <w:rsid w:val="00712E7A"/>
    <w:rsid w:val="00714A86"/>
    <w:rsid w:val="00715328"/>
    <w:rsid w:val="007153E4"/>
    <w:rsid w:val="00716A19"/>
    <w:rsid w:val="00717BCA"/>
    <w:rsid w:val="00720138"/>
    <w:rsid w:val="00720928"/>
    <w:rsid w:val="00721D14"/>
    <w:rsid w:val="00721D37"/>
    <w:rsid w:val="00722E5F"/>
    <w:rsid w:val="00723E0D"/>
    <w:rsid w:val="00723F27"/>
    <w:rsid w:val="0072497B"/>
    <w:rsid w:val="00727D33"/>
    <w:rsid w:val="00730866"/>
    <w:rsid w:val="00730EB3"/>
    <w:rsid w:val="007315D8"/>
    <w:rsid w:val="0073368A"/>
    <w:rsid w:val="00734964"/>
    <w:rsid w:val="00734E80"/>
    <w:rsid w:val="00735026"/>
    <w:rsid w:val="00735A99"/>
    <w:rsid w:val="007361A6"/>
    <w:rsid w:val="00736703"/>
    <w:rsid w:val="00741301"/>
    <w:rsid w:val="007424B3"/>
    <w:rsid w:val="00743016"/>
    <w:rsid w:val="0074424C"/>
    <w:rsid w:val="00744310"/>
    <w:rsid w:val="0074490A"/>
    <w:rsid w:val="00744917"/>
    <w:rsid w:val="00744BE9"/>
    <w:rsid w:val="0074511A"/>
    <w:rsid w:val="00745CA8"/>
    <w:rsid w:val="00745CC2"/>
    <w:rsid w:val="00746473"/>
    <w:rsid w:val="0074773F"/>
    <w:rsid w:val="00747892"/>
    <w:rsid w:val="007507EC"/>
    <w:rsid w:val="00753795"/>
    <w:rsid w:val="00753EDB"/>
    <w:rsid w:val="00754756"/>
    <w:rsid w:val="00755941"/>
    <w:rsid w:val="00756FAD"/>
    <w:rsid w:val="00757524"/>
    <w:rsid w:val="00757F00"/>
    <w:rsid w:val="00760304"/>
    <w:rsid w:val="0076059A"/>
    <w:rsid w:val="007608A6"/>
    <w:rsid w:val="00761799"/>
    <w:rsid w:val="00761AFD"/>
    <w:rsid w:val="0076208E"/>
    <w:rsid w:val="0076274D"/>
    <w:rsid w:val="00762BFA"/>
    <w:rsid w:val="0076382B"/>
    <w:rsid w:val="00763C52"/>
    <w:rsid w:val="00766A23"/>
    <w:rsid w:val="00772428"/>
    <w:rsid w:val="0077257E"/>
    <w:rsid w:val="0077306F"/>
    <w:rsid w:val="00774776"/>
    <w:rsid w:val="00775F7A"/>
    <w:rsid w:val="00780873"/>
    <w:rsid w:val="00780BF5"/>
    <w:rsid w:val="0078109D"/>
    <w:rsid w:val="00783134"/>
    <w:rsid w:val="007836F8"/>
    <w:rsid w:val="0078398A"/>
    <w:rsid w:val="007845F7"/>
    <w:rsid w:val="007853BF"/>
    <w:rsid w:val="00786869"/>
    <w:rsid w:val="00786E1C"/>
    <w:rsid w:val="00787D41"/>
    <w:rsid w:val="00787E66"/>
    <w:rsid w:val="00787ED6"/>
    <w:rsid w:val="00790122"/>
    <w:rsid w:val="00790CC0"/>
    <w:rsid w:val="00791384"/>
    <w:rsid w:val="007921AE"/>
    <w:rsid w:val="00792992"/>
    <w:rsid w:val="00792DD1"/>
    <w:rsid w:val="007946DC"/>
    <w:rsid w:val="0079596D"/>
    <w:rsid w:val="00795A44"/>
    <w:rsid w:val="00796946"/>
    <w:rsid w:val="007A0A06"/>
    <w:rsid w:val="007A0A9D"/>
    <w:rsid w:val="007A0C4B"/>
    <w:rsid w:val="007A10C7"/>
    <w:rsid w:val="007A1708"/>
    <w:rsid w:val="007A3F6B"/>
    <w:rsid w:val="007A4B9B"/>
    <w:rsid w:val="007A4F47"/>
    <w:rsid w:val="007A5845"/>
    <w:rsid w:val="007A5DAC"/>
    <w:rsid w:val="007A61D2"/>
    <w:rsid w:val="007A6589"/>
    <w:rsid w:val="007A671F"/>
    <w:rsid w:val="007A7FBB"/>
    <w:rsid w:val="007A7FC5"/>
    <w:rsid w:val="007B02B2"/>
    <w:rsid w:val="007B05DF"/>
    <w:rsid w:val="007B18D9"/>
    <w:rsid w:val="007B1B0D"/>
    <w:rsid w:val="007B2268"/>
    <w:rsid w:val="007B3CCD"/>
    <w:rsid w:val="007B555E"/>
    <w:rsid w:val="007B567E"/>
    <w:rsid w:val="007B6EFB"/>
    <w:rsid w:val="007B7EA9"/>
    <w:rsid w:val="007B7EDE"/>
    <w:rsid w:val="007C10D6"/>
    <w:rsid w:val="007C1391"/>
    <w:rsid w:val="007C1AB6"/>
    <w:rsid w:val="007C1E7A"/>
    <w:rsid w:val="007C3FAB"/>
    <w:rsid w:val="007C4A2A"/>
    <w:rsid w:val="007C58BF"/>
    <w:rsid w:val="007C5950"/>
    <w:rsid w:val="007C5DFF"/>
    <w:rsid w:val="007C64E7"/>
    <w:rsid w:val="007C6AA1"/>
    <w:rsid w:val="007C7431"/>
    <w:rsid w:val="007C7E01"/>
    <w:rsid w:val="007C7E80"/>
    <w:rsid w:val="007D216D"/>
    <w:rsid w:val="007D26AF"/>
    <w:rsid w:val="007D369A"/>
    <w:rsid w:val="007D3FCC"/>
    <w:rsid w:val="007D466F"/>
    <w:rsid w:val="007D50F8"/>
    <w:rsid w:val="007D5E0C"/>
    <w:rsid w:val="007D5FDC"/>
    <w:rsid w:val="007D6CA7"/>
    <w:rsid w:val="007D780E"/>
    <w:rsid w:val="007D7857"/>
    <w:rsid w:val="007E0736"/>
    <w:rsid w:val="007E0B41"/>
    <w:rsid w:val="007E0EEA"/>
    <w:rsid w:val="007E1548"/>
    <w:rsid w:val="007E17B2"/>
    <w:rsid w:val="007E183F"/>
    <w:rsid w:val="007E25B2"/>
    <w:rsid w:val="007E306C"/>
    <w:rsid w:val="007E3CFE"/>
    <w:rsid w:val="007E45A7"/>
    <w:rsid w:val="007E46F1"/>
    <w:rsid w:val="007E5741"/>
    <w:rsid w:val="007E6173"/>
    <w:rsid w:val="007E6B9C"/>
    <w:rsid w:val="007E70EC"/>
    <w:rsid w:val="007F0507"/>
    <w:rsid w:val="007F12EC"/>
    <w:rsid w:val="007F1671"/>
    <w:rsid w:val="007F1917"/>
    <w:rsid w:val="007F1A3E"/>
    <w:rsid w:val="007F1D94"/>
    <w:rsid w:val="007F3CCA"/>
    <w:rsid w:val="007F3D28"/>
    <w:rsid w:val="007F509B"/>
    <w:rsid w:val="007F5230"/>
    <w:rsid w:val="007F5410"/>
    <w:rsid w:val="007F5B65"/>
    <w:rsid w:val="007F6DAA"/>
    <w:rsid w:val="007F74C7"/>
    <w:rsid w:val="007F79C7"/>
    <w:rsid w:val="0080037D"/>
    <w:rsid w:val="00800B6C"/>
    <w:rsid w:val="0080394F"/>
    <w:rsid w:val="008041A4"/>
    <w:rsid w:val="00806194"/>
    <w:rsid w:val="00806F24"/>
    <w:rsid w:val="008077B5"/>
    <w:rsid w:val="00807CC3"/>
    <w:rsid w:val="00810151"/>
    <w:rsid w:val="008109BC"/>
    <w:rsid w:val="00810C3F"/>
    <w:rsid w:val="00811A9C"/>
    <w:rsid w:val="00811F0A"/>
    <w:rsid w:val="008123B8"/>
    <w:rsid w:val="008126AE"/>
    <w:rsid w:val="0081327E"/>
    <w:rsid w:val="00813BE8"/>
    <w:rsid w:val="008144DB"/>
    <w:rsid w:val="008153D7"/>
    <w:rsid w:val="00815C04"/>
    <w:rsid w:val="00815D81"/>
    <w:rsid w:val="008168C2"/>
    <w:rsid w:val="00816E99"/>
    <w:rsid w:val="00816EB8"/>
    <w:rsid w:val="0081701C"/>
    <w:rsid w:val="0081753F"/>
    <w:rsid w:val="00817913"/>
    <w:rsid w:val="008179EE"/>
    <w:rsid w:val="00817A2C"/>
    <w:rsid w:val="00817AE3"/>
    <w:rsid w:val="008200A6"/>
    <w:rsid w:val="008202DB"/>
    <w:rsid w:val="0082087B"/>
    <w:rsid w:val="00820ADC"/>
    <w:rsid w:val="00820DA3"/>
    <w:rsid w:val="0082100A"/>
    <w:rsid w:val="00822159"/>
    <w:rsid w:val="008229BF"/>
    <w:rsid w:val="00822A26"/>
    <w:rsid w:val="00823B9A"/>
    <w:rsid w:val="008249E4"/>
    <w:rsid w:val="00824C46"/>
    <w:rsid w:val="00825213"/>
    <w:rsid w:val="00825314"/>
    <w:rsid w:val="00826117"/>
    <w:rsid w:val="00826FFA"/>
    <w:rsid w:val="00827253"/>
    <w:rsid w:val="00827D87"/>
    <w:rsid w:val="00832113"/>
    <w:rsid w:val="00832DD0"/>
    <w:rsid w:val="00834828"/>
    <w:rsid w:val="00834F20"/>
    <w:rsid w:val="008354AF"/>
    <w:rsid w:val="008355A2"/>
    <w:rsid w:val="008357B3"/>
    <w:rsid w:val="008360FD"/>
    <w:rsid w:val="0083778A"/>
    <w:rsid w:val="0083779E"/>
    <w:rsid w:val="00837A76"/>
    <w:rsid w:val="00840748"/>
    <w:rsid w:val="00840B63"/>
    <w:rsid w:val="00841326"/>
    <w:rsid w:val="008413AE"/>
    <w:rsid w:val="00842067"/>
    <w:rsid w:val="008426F1"/>
    <w:rsid w:val="008428EC"/>
    <w:rsid w:val="00843027"/>
    <w:rsid w:val="0084309A"/>
    <w:rsid w:val="00843158"/>
    <w:rsid w:val="0084338C"/>
    <w:rsid w:val="0084348A"/>
    <w:rsid w:val="00843A4B"/>
    <w:rsid w:val="00843C8E"/>
    <w:rsid w:val="00843DB9"/>
    <w:rsid w:val="00844551"/>
    <w:rsid w:val="00844581"/>
    <w:rsid w:val="00844A95"/>
    <w:rsid w:val="00845345"/>
    <w:rsid w:val="00846087"/>
    <w:rsid w:val="0084710A"/>
    <w:rsid w:val="00847F44"/>
    <w:rsid w:val="008505C7"/>
    <w:rsid w:val="00850CE6"/>
    <w:rsid w:val="00852B08"/>
    <w:rsid w:val="00853ABD"/>
    <w:rsid w:val="00853AEE"/>
    <w:rsid w:val="00854123"/>
    <w:rsid w:val="0085436C"/>
    <w:rsid w:val="00855AEA"/>
    <w:rsid w:val="00857075"/>
    <w:rsid w:val="0085765D"/>
    <w:rsid w:val="00857E90"/>
    <w:rsid w:val="00857F7B"/>
    <w:rsid w:val="00860A0F"/>
    <w:rsid w:val="00860F0E"/>
    <w:rsid w:val="008627F6"/>
    <w:rsid w:val="008634A1"/>
    <w:rsid w:val="00863F3D"/>
    <w:rsid w:val="0086417E"/>
    <w:rsid w:val="00866104"/>
    <w:rsid w:val="00866B14"/>
    <w:rsid w:val="00866F86"/>
    <w:rsid w:val="00867081"/>
    <w:rsid w:val="00867537"/>
    <w:rsid w:val="00870327"/>
    <w:rsid w:val="00870B4B"/>
    <w:rsid w:val="00870F51"/>
    <w:rsid w:val="00871207"/>
    <w:rsid w:val="00871735"/>
    <w:rsid w:val="00871B72"/>
    <w:rsid w:val="00872564"/>
    <w:rsid w:val="0087265A"/>
    <w:rsid w:val="00873AA2"/>
    <w:rsid w:val="00874383"/>
    <w:rsid w:val="00874943"/>
    <w:rsid w:val="00875EDE"/>
    <w:rsid w:val="008772A5"/>
    <w:rsid w:val="00877A0B"/>
    <w:rsid w:val="00877EAC"/>
    <w:rsid w:val="0088086E"/>
    <w:rsid w:val="00881818"/>
    <w:rsid w:val="00881933"/>
    <w:rsid w:val="00881EF5"/>
    <w:rsid w:val="00882D3A"/>
    <w:rsid w:val="00882D5D"/>
    <w:rsid w:val="008834F6"/>
    <w:rsid w:val="008839A5"/>
    <w:rsid w:val="008839EB"/>
    <w:rsid w:val="00883CC3"/>
    <w:rsid w:val="00884E26"/>
    <w:rsid w:val="00885AB6"/>
    <w:rsid w:val="008872A9"/>
    <w:rsid w:val="00887D35"/>
    <w:rsid w:val="00890161"/>
    <w:rsid w:val="00890529"/>
    <w:rsid w:val="008905D3"/>
    <w:rsid w:val="00890F0D"/>
    <w:rsid w:val="008910B3"/>
    <w:rsid w:val="0089116C"/>
    <w:rsid w:val="00891304"/>
    <w:rsid w:val="00891FC0"/>
    <w:rsid w:val="00892CFD"/>
    <w:rsid w:val="00893631"/>
    <w:rsid w:val="008936CE"/>
    <w:rsid w:val="008944F3"/>
    <w:rsid w:val="00894B41"/>
    <w:rsid w:val="00894BD4"/>
    <w:rsid w:val="008950F0"/>
    <w:rsid w:val="00896A9A"/>
    <w:rsid w:val="00896DA9"/>
    <w:rsid w:val="00897527"/>
    <w:rsid w:val="00897BAE"/>
    <w:rsid w:val="008A2F15"/>
    <w:rsid w:val="008A3011"/>
    <w:rsid w:val="008A35CF"/>
    <w:rsid w:val="008A4382"/>
    <w:rsid w:val="008A5CF1"/>
    <w:rsid w:val="008B058C"/>
    <w:rsid w:val="008B0759"/>
    <w:rsid w:val="008B0EEA"/>
    <w:rsid w:val="008B0F17"/>
    <w:rsid w:val="008B1885"/>
    <w:rsid w:val="008B4DE1"/>
    <w:rsid w:val="008B5399"/>
    <w:rsid w:val="008B55F5"/>
    <w:rsid w:val="008B60AD"/>
    <w:rsid w:val="008B6452"/>
    <w:rsid w:val="008B6596"/>
    <w:rsid w:val="008B690D"/>
    <w:rsid w:val="008B6C35"/>
    <w:rsid w:val="008B6C75"/>
    <w:rsid w:val="008B6DD7"/>
    <w:rsid w:val="008B76FB"/>
    <w:rsid w:val="008C023D"/>
    <w:rsid w:val="008C0987"/>
    <w:rsid w:val="008C170A"/>
    <w:rsid w:val="008C23D3"/>
    <w:rsid w:val="008C28BC"/>
    <w:rsid w:val="008C3D26"/>
    <w:rsid w:val="008C48C6"/>
    <w:rsid w:val="008C52C5"/>
    <w:rsid w:val="008C5872"/>
    <w:rsid w:val="008C5E0B"/>
    <w:rsid w:val="008C633C"/>
    <w:rsid w:val="008C756C"/>
    <w:rsid w:val="008D127B"/>
    <w:rsid w:val="008D1808"/>
    <w:rsid w:val="008D25D5"/>
    <w:rsid w:val="008D2F8D"/>
    <w:rsid w:val="008D3672"/>
    <w:rsid w:val="008D38E0"/>
    <w:rsid w:val="008D44F0"/>
    <w:rsid w:val="008D5747"/>
    <w:rsid w:val="008D58CD"/>
    <w:rsid w:val="008D592F"/>
    <w:rsid w:val="008D632D"/>
    <w:rsid w:val="008D642A"/>
    <w:rsid w:val="008D65A6"/>
    <w:rsid w:val="008E0694"/>
    <w:rsid w:val="008E0BF4"/>
    <w:rsid w:val="008E18E8"/>
    <w:rsid w:val="008E32C1"/>
    <w:rsid w:val="008E3AB7"/>
    <w:rsid w:val="008E3C16"/>
    <w:rsid w:val="008E40DE"/>
    <w:rsid w:val="008E472A"/>
    <w:rsid w:val="008E4F9D"/>
    <w:rsid w:val="008E7786"/>
    <w:rsid w:val="008E7970"/>
    <w:rsid w:val="008E7BE1"/>
    <w:rsid w:val="008E7C5B"/>
    <w:rsid w:val="008F14BE"/>
    <w:rsid w:val="008F1E81"/>
    <w:rsid w:val="008F2964"/>
    <w:rsid w:val="008F4402"/>
    <w:rsid w:val="008F471F"/>
    <w:rsid w:val="008F48ED"/>
    <w:rsid w:val="008F6020"/>
    <w:rsid w:val="008F634F"/>
    <w:rsid w:val="008F68DC"/>
    <w:rsid w:val="008F69B7"/>
    <w:rsid w:val="008F7176"/>
    <w:rsid w:val="008F7807"/>
    <w:rsid w:val="008F7DD8"/>
    <w:rsid w:val="008F7F60"/>
    <w:rsid w:val="00900095"/>
    <w:rsid w:val="0090056A"/>
    <w:rsid w:val="00900BB8"/>
    <w:rsid w:val="00900E95"/>
    <w:rsid w:val="0090118F"/>
    <w:rsid w:val="00901546"/>
    <w:rsid w:val="009015AF"/>
    <w:rsid w:val="009016F2"/>
    <w:rsid w:val="00901AA5"/>
    <w:rsid w:val="00901BE4"/>
    <w:rsid w:val="00902A70"/>
    <w:rsid w:val="009030C4"/>
    <w:rsid w:val="009033F6"/>
    <w:rsid w:val="00903578"/>
    <w:rsid w:val="009051CB"/>
    <w:rsid w:val="00905501"/>
    <w:rsid w:val="00906CD2"/>
    <w:rsid w:val="009077CD"/>
    <w:rsid w:val="00910AF4"/>
    <w:rsid w:val="00910ECC"/>
    <w:rsid w:val="00912784"/>
    <w:rsid w:val="009129A6"/>
    <w:rsid w:val="0091333F"/>
    <w:rsid w:val="00913CF2"/>
    <w:rsid w:val="00914161"/>
    <w:rsid w:val="00914378"/>
    <w:rsid w:val="00914B56"/>
    <w:rsid w:val="00914D96"/>
    <w:rsid w:val="00914FEC"/>
    <w:rsid w:val="00916765"/>
    <w:rsid w:val="0091686F"/>
    <w:rsid w:val="0091765E"/>
    <w:rsid w:val="00917A8B"/>
    <w:rsid w:val="00917B57"/>
    <w:rsid w:val="0092097B"/>
    <w:rsid w:val="00920D3F"/>
    <w:rsid w:val="009221B2"/>
    <w:rsid w:val="00923197"/>
    <w:rsid w:val="0092387B"/>
    <w:rsid w:val="00923900"/>
    <w:rsid w:val="00923DFE"/>
    <w:rsid w:val="0092433D"/>
    <w:rsid w:val="00924893"/>
    <w:rsid w:val="00924FB0"/>
    <w:rsid w:val="00925696"/>
    <w:rsid w:val="00925C1D"/>
    <w:rsid w:val="00925D14"/>
    <w:rsid w:val="00926ECD"/>
    <w:rsid w:val="009300E0"/>
    <w:rsid w:val="00930337"/>
    <w:rsid w:val="00931752"/>
    <w:rsid w:val="00931984"/>
    <w:rsid w:val="009327D1"/>
    <w:rsid w:val="009328A7"/>
    <w:rsid w:val="00932ED6"/>
    <w:rsid w:val="009341D8"/>
    <w:rsid w:val="0093458E"/>
    <w:rsid w:val="00934F07"/>
    <w:rsid w:val="00935CBC"/>
    <w:rsid w:val="00935EF3"/>
    <w:rsid w:val="009360BE"/>
    <w:rsid w:val="00936932"/>
    <w:rsid w:val="0094023F"/>
    <w:rsid w:val="009419A5"/>
    <w:rsid w:val="009421C2"/>
    <w:rsid w:val="009435D6"/>
    <w:rsid w:val="009436DF"/>
    <w:rsid w:val="009437DF"/>
    <w:rsid w:val="00944305"/>
    <w:rsid w:val="0094459C"/>
    <w:rsid w:val="00945394"/>
    <w:rsid w:val="009453D4"/>
    <w:rsid w:val="00945441"/>
    <w:rsid w:val="00945A8A"/>
    <w:rsid w:val="009467B8"/>
    <w:rsid w:val="0094795B"/>
    <w:rsid w:val="00950BBB"/>
    <w:rsid w:val="0095136C"/>
    <w:rsid w:val="0095310C"/>
    <w:rsid w:val="00953323"/>
    <w:rsid w:val="00953742"/>
    <w:rsid w:val="00953A6B"/>
    <w:rsid w:val="00953FF5"/>
    <w:rsid w:val="00954A78"/>
    <w:rsid w:val="00955EFB"/>
    <w:rsid w:val="009574D6"/>
    <w:rsid w:val="00957BBC"/>
    <w:rsid w:val="00960883"/>
    <w:rsid w:val="0096097C"/>
    <w:rsid w:val="00960E1D"/>
    <w:rsid w:val="00961097"/>
    <w:rsid w:val="00961293"/>
    <w:rsid w:val="009614E0"/>
    <w:rsid w:val="0096255B"/>
    <w:rsid w:val="00962E22"/>
    <w:rsid w:val="0096302E"/>
    <w:rsid w:val="009633F2"/>
    <w:rsid w:val="009633F6"/>
    <w:rsid w:val="00963560"/>
    <w:rsid w:val="009635B2"/>
    <w:rsid w:val="00963B4F"/>
    <w:rsid w:val="0096422D"/>
    <w:rsid w:val="00964F44"/>
    <w:rsid w:val="009661AA"/>
    <w:rsid w:val="00966FEB"/>
    <w:rsid w:val="009671F1"/>
    <w:rsid w:val="00970305"/>
    <w:rsid w:val="00972344"/>
    <w:rsid w:val="009728E3"/>
    <w:rsid w:val="00972C0C"/>
    <w:rsid w:val="00973935"/>
    <w:rsid w:val="009739F8"/>
    <w:rsid w:val="00974D15"/>
    <w:rsid w:val="009762B9"/>
    <w:rsid w:val="009769BB"/>
    <w:rsid w:val="00976B86"/>
    <w:rsid w:val="00976D08"/>
    <w:rsid w:val="0098030A"/>
    <w:rsid w:val="00980D55"/>
    <w:rsid w:val="0098104B"/>
    <w:rsid w:val="00981241"/>
    <w:rsid w:val="0098238A"/>
    <w:rsid w:val="009824E3"/>
    <w:rsid w:val="00982735"/>
    <w:rsid w:val="00982920"/>
    <w:rsid w:val="00983A4E"/>
    <w:rsid w:val="00984593"/>
    <w:rsid w:val="009849DF"/>
    <w:rsid w:val="009853C3"/>
    <w:rsid w:val="00985785"/>
    <w:rsid w:val="009857F4"/>
    <w:rsid w:val="00986CC2"/>
    <w:rsid w:val="009877ED"/>
    <w:rsid w:val="0098792A"/>
    <w:rsid w:val="00987E11"/>
    <w:rsid w:val="0099129B"/>
    <w:rsid w:val="009916AF"/>
    <w:rsid w:val="009918E4"/>
    <w:rsid w:val="00992094"/>
    <w:rsid w:val="0099375C"/>
    <w:rsid w:val="009943B8"/>
    <w:rsid w:val="0099459C"/>
    <w:rsid w:val="00996065"/>
    <w:rsid w:val="00996969"/>
    <w:rsid w:val="009977CB"/>
    <w:rsid w:val="009A0204"/>
    <w:rsid w:val="009A040D"/>
    <w:rsid w:val="009A071D"/>
    <w:rsid w:val="009A0B0A"/>
    <w:rsid w:val="009A1CB9"/>
    <w:rsid w:val="009A1FEF"/>
    <w:rsid w:val="009A2A31"/>
    <w:rsid w:val="009A2B6A"/>
    <w:rsid w:val="009A2F06"/>
    <w:rsid w:val="009A31A3"/>
    <w:rsid w:val="009A37A1"/>
    <w:rsid w:val="009A3A40"/>
    <w:rsid w:val="009A41BD"/>
    <w:rsid w:val="009A4232"/>
    <w:rsid w:val="009A42E0"/>
    <w:rsid w:val="009A4853"/>
    <w:rsid w:val="009A51E8"/>
    <w:rsid w:val="009A5656"/>
    <w:rsid w:val="009A5E77"/>
    <w:rsid w:val="009A644F"/>
    <w:rsid w:val="009A77FC"/>
    <w:rsid w:val="009B08CF"/>
    <w:rsid w:val="009B0AA4"/>
    <w:rsid w:val="009B0C4B"/>
    <w:rsid w:val="009B26BF"/>
    <w:rsid w:val="009B2F68"/>
    <w:rsid w:val="009B311B"/>
    <w:rsid w:val="009B400E"/>
    <w:rsid w:val="009B45C5"/>
    <w:rsid w:val="009B631F"/>
    <w:rsid w:val="009B739C"/>
    <w:rsid w:val="009B7A5C"/>
    <w:rsid w:val="009C02C7"/>
    <w:rsid w:val="009C0BC7"/>
    <w:rsid w:val="009C10C6"/>
    <w:rsid w:val="009C2B41"/>
    <w:rsid w:val="009C2DC6"/>
    <w:rsid w:val="009C4C3F"/>
    <w:rsid w:val="009C6B53"/>
    <w:rsid w:val="009C7861"/>
    <w:rsid w:val="009C7D1D"/>
    <w:rsid w:val="009D0051"/>
    <w:rsid w:val="009D03F6"/>
    <w:rsid w:val="009D0837"/>
    <w:rsid w:val="009D0AF3"/>
    <w:rsid w:val="009D128A"/>
    <w:rsid w:val="009D145A"/>
    <w:rsid w:val="009D241E"/>
    <w:rsid w:val="009D2441"/>
    <w:rsid w:val="009D2EBD"/>
    <w:rsid w:val="009D3076"/>
    <w:rsid w:val="009D34D4"/>
    <w:rsid w:val="009D3C68"/>
    <w:rsid w:val="009D4502"/>
    <w:rsid w:val="009D4AE6"/>
    <w:rsid w:val="009D4FEE"/>
    <w:rsid w:val="009D5EA0"/>
    <w:rsid w:val="009D6D41"/>
    <w:rsid w:val="009D7078"/>
    <w:rsid w:val="009D76C6"/>
    <w:rsid w:val="009D7EB4"/>
    <w:rsid w:val="009D7F7B"/>
    <w:rsid w:val="009E0209"/>
    <w:rsid w:val="009E1ACE"/>
    <w:rsid w:val="009E2DAD"/>
    <w:rsid w:val="009E394C"/>
    <w:rsid w:val="009E4BD8"/>
    <w:rsid w:val="009E5388"/>
    <w:rsid w:val="009E5828"/>
    <w:rsid w:val="009E5F0C"/>
    <w:rsid w:val="009E6350"/>
    <w:rsid w:val="009E68D8"/>
    <w:rsid w:val="009F049C"/>
    <w:rsid w:val="009F094F"/>
    <w:rsid w:val="009F21FB"/>
    <w:rsid w:val="009F22F4"/>
    <w:rsid w:val="009F2BF7"/>
    <w:rsid w:val="009F3205"/>
    <w:rsid w:val="009F33F4"/>
    <w:rsid w:val="009F3DD9"/>
    <w:rsid w:val="009F64BA"/>
    <w:rsid w:val="009F6851"/>
    <w:rsid w:val="009F6B96"/>
    <w:rsid w:val="009F7FF8"/>
    <w:rsid w:val="00A00118"/>
    <w:rsid w:val="00A00AC3"/>
    <w:rsid w:val="00A00D73"/>
    <w:rsid w:val="00A02011"/>
    <w:rsid w:val="00A02454"/>
    <w:rsid w:val="00A0266F"/>
    <w:rsid w:val="00A0301B"/>
    <w:rsid w:val="00A036F6"/>
    <w:rsid w:val="00A03778"/>
    <w:rsid w:val="00A0395C"/>
    <w:rsid w:val="00A03B98"/>
    <w:rsid w:val="00A03DCD"/>
    <w:rsid w:val="00A045C4"/>
    <w:rsid w:val="00A04ED9"/>
    <w:rsid w:val="00A05077"/>
    <w:rsid w:val="00A05D17"/>
    <w:rsid w:val="00A06E5C"/>
    <w:rsid w:val="00A073F3"/>
    <w:rsid w:val="00A100B8"/>
    <w:rsid w:val="00A12090"/>
    <w:rsid w:val="00A130E3"/>
    <w:rsid w:val="00A145BC"/>
    <w:rsid w:val="00A14713"/>
    <w:rsid w:val="00A159AC"/>
    <w:rsid w:val="00A15ED6"/>
    <w:rsid w:val="00A167AE"/>
    <w:rsid w:val="00A20674"/>
    <w:rsid w:val="00A20843"/>
    <w:rsid w:val="00A209C0"/>
    <w:rsid w:val="00A21C1A"/>
    <w:rsid w:val="00A24982"/>
    <w:rsid w:val="00A25749"/>
    <w:rsid w:val="00A25ABB"/>
    <w:rsid w:val="00A260BA"/>
    <w:rsid w:val="00A26779"/>
    <w:rsid w:val="00A27EDA"/>
    <w:rsid w:val="00A301D4"/>
    <w:rsid w:val="00A30321"/>
    <w:rsid w:val="00A306D1"/>
    <w:rsid w:val="00A3128F"/>
    <w:rsid w:val="00A31529"/>
    <w:rsid w:val="00A33058"/>
    <w:rsid w:val="00A33CA7"/>
    <w:rsid w:val="00A3440E"/>
    <w:rsid w:val="00A3479D"/>
    <w:rsid w:val="00A34A90"/>
    <w:rsid w:val="00A35446"/>
    <w:rsid w:val="00A35580"/>
    <w:rsid w:val="00A35781"/>
    <w:rsid w:val="00A365C1"/>
    <w:rsid w:val="00A37586"/>
    <w:rsid w:val="00A37EC2"/>
    <w:rsid w:val="00A40478"/>
    <w:rsid w:val="00A40B43"/>
    <w:rsid w:val="00A423D5"/>
    <w:rsid w:val="00A4267C"/>
    <w:rsid w:val="00A4278D"/>
    <w:rsid w:val="00A433AF"/>
    <w:rsid w:val="00A43F99"/>
    <w:rsid w:val="00A44043"/>
    <w:rsid w:val="00A44323"/>
    <w:rsid w:val="00A453AD"/>
    <w:rsid w:val="00A47084"/>
    <w:rsid w:val="00A502F1"/>
    <w:rsid w:val="00A50FC8"/>
    <w:rsid w:val="00A510C2"/>
    <w:rsid w:val="00A51143"/>
    <w:rsid w:val="00A51EC5"/>
    <w:rsid w:val="00A5267E"/>
    <w:rsid w:val="00A53294"/>
    <w:rsid w:val="00A53327"/>
    <w:rsid w:val="00A53791"/>
    <w:rsid w:val="00A53A0C"/>
    <w:rsid w:val="00A53A8B"/>
    <w:rsid w:val="00A53FF7"/>
    <w:rsid w:val="00A540F6"/>
    <w:rsid w:val="00A548A4"/>
    <w:rsid w:val="00A54F93"/>
    <w:rsid w:val="00A56037"/>
    <w:rsid w:val="00A56382"/>
    <w:rsid w:val="00A56430"/>
    <w:rsid w:val="00A6027F"/>
    <w:rsid w:val="00A60AC6"/>
    <w:rsid w:val="00A60E8E"/>
    <w:rsid w:val="00A61063"/>
    <w:rsid w:val="00A616C9"/>
    <w:rsid w:val="00A61DD5"/>
    <w:rsid w:val="00A622B8"/>
    <w:rsid w:val="00A6357F"/>
    <w:rsid w:val="00A63EDA"/>
    <w:rsid w:val="00A64B52"/>
    <w:rsid w:val="00A65386"/>
    <w:rsid w:val="00A6565B"/>
    <w:rsid w:val="00A65740"/>
    <w:rsid w:val="00A66664"/>
    <w:rsid w:val="00A66A6B"/>
    <w:rsid w:val="00A67B2B"/>
    <w:rsid w:val="00A71E92"/>
    <w:rsid w:val="00A72669"/>
    <w:rsid w:val="00A753C3"/>
    <w:rsid w:val="00A767A3"/>
    <w:rsid w:val="00A80690"/>
    <w:rsid w:val="00A8094A"/>
    <w:rsid w:val="00A813AD"/>
    <w:rsid w:val="00A813B2"/>
    <w:rsid w:val="00A824F7"/>
    <w:rsid w:val="00A8368A"/>
    <w:rsid w:val="00A84075"/>
    <w:rsid w:val="00A8429C"/>
    <w:rsid w:val="00A844AC"/>
    <w:rsid w:val="00A84AE9"/>
    <w:rsid w:val="00A84C05"/>
    <w:rsid w:val="00A84CB1"/>
    <w:rsid w:val="00A84CCC"/>
    <w:rsid w:val="00A84D55"/>
    <w:rsid w:val="00A85046"/>
    <w:rsid w:val="00A85714"/>
    <w:rsid w:val="00A87130"/>
    <w:rsid w:val="00A90493"/>
    <w:rsid w:val="00A91EA3"/>
    <w:rsid w:val="00A92822"/>
    <w:rsid w:val="00A935F8"/>
    <w:rsid w:val="00A948E0"/>
    <w:rsid w:val="00A94EA5"/>
    <w:rsid w:val="00A9743C"/>
    <w:rsid w:val="00A97EDE"/>
    <w:rsid w:val="00AA0839"/>
    <w:rsid w:val="00AA0C57"/>
    <w:rsid w:val="00AA0EC4"/>
    <w:rsid w:val="00AA139A"/>
    <w:rsid w:val="00AA2D38"/>
    <w:rsid w:val="00AA384D"/>
    <w:rsid w:val="00AA3CFA"/>
    <w:rsid w:val="00AA4E24"/>
    <w:rsid w:val="00AA56B8"/>
    <w:rsid w:val="00AA5F46"/>
    <w:rsid w:val="00AA70DE"/>
    <w:rsid w:val="00AA7E6C"/>
    <w:rsid w:val="00AB058D"/>
    <w:rsid w:val="00AB2174"/>
    <w:rsid w:val="00AB2B74"/>
    <w:rsid w:val="00AB2BBB"/>
    <w:rsid w:val="00AB2D2A"/>
    <w:rsid w:val="00AB3296"/>
    <w:rsid w:val="00AB53BE"/>
    <w:rsid w:val="00AB5868"/>
    <w:rsid w:val="00AB68C8"/>
    <w:rsid w:val="00AB71C1"/>
    <w:rsid w:val="00AB73A9"/>
    <w:rsid w:val="00AC1B93"/>
    <w:rsid w:val="00AC2ECF"/>
    <w:rsid w:val="00AC5128"/>
    <w:rsid w:val="00AC5507"/>
    <w:rsid w:val="00AC578C"/>
    <w:rsid w:val="00AC5961"/>
    <w:rsid w:val="00AC6225"/>
    <w:rsid w:val="00AC6464"/>
    <w:rsid w:val="00AC708C"/>
    <w:rsid w:val="00AC7DFB"/>
    <w:rsid w:val="00AD0444"/>
    <w:rsid w:val="00AD0700"/>
    <w:rsid w:val="00AD0C3E"/>
    <w:rsid w:val="00AD0FF3"/>
    <w:rsid w:val="00AD25A1"/>
    <w:rsid w:val="00AD291F"/>
    <w:rsid w:val="00AD2BDB"/>
    <w:rsid w:val="00AD3170"/>
    <w:rsid w:val="00AD3D53"/>
    <w:rsid w:val="00AD438B"/>
    <w:rsid w:val="00AD4BF9"/>
    <w:rsid w:val="00AD4CCD"/>
    <w:rsid w:val="00AD500A"/>
    <w:rsid w:val="00AD5F75"/>
    <w:rsid w:val="00AD7932"/>
    <w:rsid w:val="00AD7C64"/>
    <w:rsid w:val="00AE0366"/>
    <w:rsid w:val="00AE1019"/>
    <w:rsid w:val="00AE1B5A"/>
    <w:rsid w:val="00AE1C48"/>
    <w:rsid w:val="00AE1D35"/>
    <w:rsid w:val="00AE1F5F"/>
    <w:rsid w:val="00AE21EF"/>
    <w:rsid w:val="00AE25BA"/>
    <w:rsid w:val="00AE2DAB"/>
    <w:rsid w:val="00AE2DE0"/>
    <w:rsid w:val="00AE3558"/>
    <w:rsid w:val="00AE3D04"/>
    <w:rsid w:val="00AE45EA"/>
    <w:rsid w:val="00AE4E12"/>
    <w:rsid w:val="00AE54D0"/>
    <w:rsid w:val="00AE5FFE"/>
    <w:rsid w:val="00AE669F"/>
    <w:rsid w:val="00AE68B5"/>
    <w:rsid w:val="00AE692B"/>
    <w:rsid w:val="00AE788C"/>
    <w:rsid w:val="00AF0B8F"/>
    <w:rsid w:val="00AF0D15"/>
    <w:rsid w:val="00AF10F4"/>
    <w:rsid w:val="00AF16BF"/>
    <w:rsid w:val="00AF294B"/>
    <w:rsid w:val="00AF3AA6"/>
    <w:rsid w:val="00AF551E"/>
    <w:rsid w:val="00AF6E8F"/>
    <w:rsid w:val="00B01D1D"/>
    <w:rsid w:val="00B035A0"/>
    <w:rsid w:val="00B04662"/>
    <w:rsid w:val="00B04B45"/>
    <w:rsid w:val="00B05B35"/>
    <w:rsid w:val="00B065A8"/>
    <w:rsid w:val="00B10057"/>
    <w:rsid w:val="00B1067D"/>
    <w:rsid w:val="00B1238D"/>
    <w:rsid w:val="00B125E0"/>
    <w:rsid w:val="00B12F2E"/>
    <w:rsid w:val="00B13783"/>
    <w:rsid w:val="00B13AD1"/>
    <w:rsid w:val="00B13C5B"/>
    <w:rsid w:val="00B15F47"/>
    <w:rsid w:val="00B16837"/>
    <w:rsid w:val="00B17058"/>
    <w:rsid w:val="00B17694"/>
    <w:rsid w:val="00B17DBF"/>
    <w:rsid w:val="00B17E64"/>
    <w:rsid w:val="00B20C02"/>
    <w:rsid w:val="00B215AF"/>
    <w:rsid w:val="00B21810"/>
    <w:rsid w:val="00B21AFC"/>
    <w:rsid w:val="00B21D91"/>
    <w:rsid w:val="00B22796"/>
    <w:rsid w:val="00B22EED"/>
    <w:rsid w:val="00B24D3D"/>
    <w:rsid w:val="00B2520A"/>
    <w:rsid w:val="00B25DA7"/>
    <w:rsid w:val="00B262D2"/>
    <w:rsid w:val="00B27192"/>
    <w:rsid w:val="00B27296"/>
    <w:rsid w:val="00B2763B"/>
    <w:rsid w:val="00B276F6"/>
    <w:rsid w:val="00B31AC7"/>
    <w:rsid w:val="00B31E97"/>
    <w:rsid w:val="00B3265B"/>
    <w:rsid w:val="00B350A1"/>
    <w:rsid w:val="00B35755"/>
    <w:rsid w:val="00B3686F"/>
    <w:rsid w:val="00B36A1A"/>
    <w:rsid w:val="00B36CEE"/>
    <w:rsid w:val="00B36FCE"/>
    <w:rsid w:val="00B408D8"/>
    <w:rsid w:val="00B412C6"/>
    <w:rsid w:val="00B42570"/>
    <w:rsid w:val="00B42E42"/>
    <w:rsid w:val="00B43256"/>
    <w:rsid w:val="00B4334D"/>
    <w:rsid w:val="00B4525C"/>
    <w:rsid w:val="00B453CB"/>
    <w:rsid w:val="00B4576D"/>
    <w:rsid w:val="00B47A8F"/>
    <w:rsid w:val="00B50E06"/>
    <w:rsid w:val="00B5142F"/>
    <w:rsid w:val="00B5198B"/>
    <w:rsid w:val="00B52292"/>
    <w:rsid w:val="00B5249C"/>
    <w:rsid w:val="00B528F4"/>
    <w:rsid w:val="00B54564"/>
    <w:rsid w:val="00B54A5A"/>
    <w:rsid w:val="00B55AFD"/>
    <w:rsid w:val="00B5600F"/>
    <w:rsid w:val="00B569F1"/>
    <w:rsid w:val="00B57B27"/>
    <w:rsid w:val="00B603DF"/>
    <w:rsid w:val="00B604EE"/>
    <w:rsid w:val="00B607E2"/>
    <w:rsid w:val="00B619EF"/>
    <w:rsid w:val="00B61FCE"/>
    <w:rsid w:val="00B6225E"/>
    <w:rsid w:val="00B62E57"/>
    <w:rsid w:val="00B633A7"/>
    <w:rsid w:val="00B6449B"/>
    <w:rsid w:val="00B64CE4"/>
    <w:rsid w:val="00B655CE"/>
    <w:rsid w:val="00B66588"/>
    <w:rsid w:val="00B676B7"/>
    <w:rsid w:val="00B67905"/>
    <w:rsid w:val="00B719A8"/>
    <w:rsid w:val="00B71C7B"/>
    <w:rsid w:val="00B7227B"/>
    <w:rsid w:val="00B72CE7"/>
    <w:rsid w:val="00B735F5"/>
    <w:rsid w:val="00B744A3"/>
    <w:rsid w:val="00B7482A"/>
    <w:rsid w:val="00B7615A"/>
    <w:rsid w:val="00B767A3"/>
    <w:rsid w:val="00B77F07"/>
    <w:rsid w:val="00B80B39"/>
    <w:rsid w:val="00B813B7"/>
    <w:rsid w:val="00B81A2D"/>
    <w:rsid w:val="00B81A85"/>
    <w:rsid w:val="00B81DB5"/>
    <w:rsid w:val="00B82B1B"/>
    <w:rsid w:val="00B83A14"/>
    <w:rsid w:val="00B846C1"/>
    <w:rsid w:val="00B84C57"/>
    <w:rsid w:val="00B84C5C"/>
    <w:rsid w:val="00B84E30"/>
    <w:rsid w:val="00B859FE"/>
    <w:rsid w:val="00B85D13"/>
    <w:rsid w:val="00B860EF"/>
    <w:rsid w:val="00B8645B"/>
    <w:rsid w:val="00B868CB"/>
    <w:rsid w:val="00B86BF9"/>
    <w:rsid w:val="00B86E67"/>
    <w:rsid w:val="00B90770"/>
    <w:rsid w:val="00B9089C"/>
    <w:rsid w:val="00B93137"/>
    <w:rsid w:val="00B936BE"/>
    <w:rsid w:val="00B93A90"/>
    <w:rsid w:val="00B94050"/>
    <w:rsid w:val="00B94423"/>
    <w:rsid w:val="00B94CB9"/>
    <w:rsid w:val="00B9517F"/>
    <w:rsid w:val="00B95644"/>
    <w:rsid w:val="00B96C3C"/>
    <w:rsid w:val="00BA0A92"/>
    <w:rsid w:val="00BA0BC1"/>
    <w:rsid w:val="00BA111F"/>
    <w:rsid w:val="00BA15B3"/>
    <w:rsid w:val="00BA245C"/>
    <w:rsid w:val="00BA368A"/>
    <w:rsid w:val="00BA5065"/>
    <w:rsid w:val="00BA5E9F"/>
    <w:rsid w:val="00BA5FAD"/>
    <w:rsid w:val="00BA5FE0"/>
    <w:rsid w:val="00BA61DF"/>
    <w:rsid w:val="00BA64B4"/>
    <w:rsid w:val="00BA7907"/>
    <w:rsid w:val="00BA7D28"/>
    <w:rsid w:val="00BB0DFB"/>
    <w:rsid w:val="00BB22AC"/>
    <w:rsid w:val="00BB2AFB"/>
    <w:rsid w:val="00BB33F0"/>
    <w:rsid w:val="00BB48A3"/>
    <w:rsid w:val="00BB513C"/>
    <w:rsid w:val="00BB5873"/>
    <w:rsid w:val="00BB621A"/>
    <w:rsid w:val="00BB62CF"/>
    <w:rsid w:val="00BB6DAE"/>
    <w:rsid w:val="00BB6F7E"/>
    <w:rsid w:val="00BB7089"/>
    <w:rsid w:val="00BB7955"/>
    <w:rsid w:val="00BC0B53"/>
    <w:rsid w:val="00BC2055"/>
    <w:rsid w:val="00BC28C4"/>
    <w:rsid w:val="00BC2C32"/>
    <w:rsid w:val="00BC32D5"/>
    <w:rsid w:val="00BC4086"/>
    <w:rsid w:val="00BC4E07"/>
    <w:rsid w:val="00BC6E65"/>
    <w:rsid w:val="00BC77FC"/>
    <w:rsid w:val="00BC7804"/>
    <w:rsid w:val="00BC7887"/>
    <w:rsid w:val="00BD0082"/>
    <w:rsid w:val="00BD05F6"/>
    <w:rsid w:val="00BD0E7F"/>
    <w:rsid w:val="00BD13FF"/>
    <w:rsid w:val="00BD25F7"/>
    <w:rsid w:val="00BD442D"/>
    <w:rsid w:val="00BD4F52"/>
    <w:rsid w:val="00BD5A31"/>
    <w:rsid w:val="00BD5C8E"/>
    <w:rsid w:val="00BD6B22"/>
    <w:rsid w:val="00BE0616"/>
    <w:rsid w:val="00BE17AD"/>
    <w:rsid w:val="00BE1E52"/>
    <w:rsid w:val="00BE34C6"/>
    <w:rsid w:val="00BE588E"/>
    <w:rsid w:val="00BE648E"/>
    <w:rsid w:val="00BE6771"/>
    <w:rsid w:val="00BE6A9F"/>
    <w:rsid w:val="00BE6EFA"/>
    <w:rsid w:val="00BE7890"/>
    <w:rsid w:val="00BE7A34"/>
    <w:rsid w:val="00BF01EA"/>
    <w:rsid w:val="00BF0468"/>
    <w:rsid w:val="00BF094E"/>
    <w:rsid w:val="00BF102F"/>
    <w:rsid w:val="00BF1093"/>
    <w:rsid w:val="00BF10FA"/>
    <w:rsid w:val="00BF2C6D"/>
    <w:rsid w:val="00BF3396"/>
    <w:rsid w:val="00BF3B54"/>
    <w:rsid w:val="00BF3F37"/>
    <w:rsid w:val="00BF3F6B"/>
    <w:rsid w:val="00BF48B7"/>
    <w:rsid w:val="00BF4A1F"/>
    <w:rsid w:val="00BF5B86"/>
    <w:rsid w:val="00BF68AE"/>
    <w:rsid w:val="00BF69FC"/>
    <w:rsid w:val="00BF7BA2"/>
    <w:rsid w:val="00BF7C9D"/>
    <w:rsid w:val="00C0012E"/>
    <w:rsid w:val="00C0015E"/>
    <w:rsid w:val="00C00485"/>
    <w:rsid w:val="00C0081A"/>
    <w:rsid w:val="00C01809"/>
    <w:rsid w:val="00C02069"/>
    <w:rsid w:val="00C02271"/>
    <w:rsid w:val="00C022B1"/>
    <w:rsid w:val="00C03C11"/>
    <w:rsid w:val="00C03D9B"/>
    <w:rsid w:val="00C04687"/>
    <w:rsid w:val="00C04B79"/>
    <w:rsid w:val="00C04D3C"/>
    <w:rsid w:val="00C07F0F"/>
    <w:rsid w:val="00C10D3F"/>
    <w:rsid w:val="00C11BB7"/>
    <w:rsid w:val="00C11DF1"/>
    <w:rsid w:val="00C12119"/>
    <w:rsid w:val="00C124EF"/>
    <w:rsid w:val="00C13CEB"/>
    <w:rsid w:val="00C16C4A"/>
    <w:rsid w:val="00C17582"/>
    <w:rsid w:val="00C17D1E"/>
    <w:rsid w:val="00C21355"/>
    <w:rsid w:val="00C22BD0"/>
    <w:rsid w:val="00C22E85"/>
    <w:rsid w:val="00C23006"/>
    <w:rsid w:val="00C23685"/>
    <w:rsid w:val="00C23C47"/>
    <w:rsid w:val="00C23D22"/>
    <w:rsid w:val="00C242D5"/>
    <w:rsid w:val="00C25846"/>
    <w:rsid w:val="00C261AC"/>
    <w:rsid w:val="00C2646F"/>
    <w:rsid w:val="00C26A85"/>
    <w:rsid w:val="00C26B25"/>
    <w:rsid w:val="00C270AA"/>
    <w:rsid w:val="00C273C7"/>
    <w:rsid w:val="00C27978"/>
    <w:rsid w:val="00C31267"/>
    <w:rsid w:val="00C31994"/>
    <w:rsid w:val="00C31A6B"/>
    <w:rsid w:val="00C32FA2"/>
    <w:rsid w:val="00C35552"/>
    <w:rsid w:val="00C3599C"/>
    <w:rsid w:val="00C35C5F"/>
    <w:rsid w:val="00C36360"/>
    <w:rsid w:val="00C3753A"/>
    <w:rsid w:val="00C401F7"/>
    <w:rsid w:val="00C4041D"/>
    <w:rsid w:val="00C405CD"/>
    <w:rsid w:val="00C40B64"/>
    <w:rsid w:val="00C41A03"/>
    <w:rsid w:val="00C423FC"/>
    <w:rsid w:val="00C429E0"/>
    <w:rsid w:val="00C42D3D"/>
    <w:rsid w:val="00C430A2"/>
    <w:rsid w:val="00C435C9"/>
    <w:rsid w:val="00C43CFA"/>
    <w:rsid w:val="00C44D5C"/>
    <w:rsid w:val="00C44E8C"/>
    <w:rsid w:val="00C45D89"/>
    <w:rsid w:val="00C460B7"/>
    <w:rsid w:val="00C46AB7"/>
    <w:rsid w:val="00C47455"/>
    <w:rsid w:val="00C47483"/>
    <w:rsid w:val="00C47724"/>
    <w:rsid w:val="00C5061F"/>
    <w:rsid w:val="00C507E2"/>
    <w:rsid w:val="00C50F19"/>
    <w:rsid w:val="00C518E3"/>
    <w:rsid w:val="00C52DAF"/>
    <w:rsid w:val="00C52E37"/>
    <w:rsid w:val="00C54353"/>
    <w:rsid w:val="00C5454C"/>
    <w:rsid w:val="00C545AB"/>
    <w:rsid w:val="00C54B89"/>
    <w:rsid w:val="00C55D4F"/>
    <w:rsid w:val="00C55F08"/>
    <w:rsid w:val="00C564FB"/>
    <w:rsid w:val="00C566F5"/>
    <w:rsid w:val="00C60260"/>
    <w:rsid w:val="00C605FE"/>
    <w:rsid w:val="00C6166C"/>
    <w:rsid w:val="00C61B26"/>
    <w:rsid w:val="00C61BA0"/>
    <w:rsid w:val="00C61E84"/>
    <w:rsid w:val="00C63FD2"/>
    <w:rsid w:val="00C64005"/>
    <w:rsid w:val="00C64193"/>
    <w:rsid w:val="00C64551"/>
    <w:rsid w:val="00C66EF9"/>
    <w:rsid w:val="00C66F89"/>
    <w:rsid w:val="00C675C5"/>
    <w:rsid w:val="00C71C70"/>
    <w:rsid w:val="00C71F9B"/>
    <w:rsid w:val="00C727F8"/>
    <w:rsid w:val="00C73313"/>
    <w:rsid w:val="00C744F2"/>
    <w:rsid w:val="00C75047"/>
    <w:rsid w:val="00C755FC"/>
    <w:rsid w:val="00C75C2A"/>
    <w:rsid w:val="00C7693F"/>
    <w:rsid w:val="00C77514"/>
    <w:rsid w:val="00C80DAD"/>
    <w:rsid w:val="00C80DB8"/>
    <w:rsid w:val="00C81FC0"/>
    <w:rsid w:val="00C82F47"/>
    <w:rsid w:val="00C832A5"/>
    <w:rsid w:val="00C84F3F"/>
    <w:rsid w:val="00C8580F"/>
    <w:rsid w:val="00C863DB"/>
    <w:rsid w:val="00C86A63"/>
    <w:rsid w:val="00C86F21"/>
    <w:rsid w:val="00C87304"/>
    <w:rsid w:val="00C911D7"/>
    <w:rsid w:val="00C91C45"/>
    <w:rsid w:val="00C9269B"/>
    <w:rsid w:val="00C92765"/>
    <w:rsid w:val="00C93220"/>
    <w:rsid w:val="00C9326C"/>
    <w:rsid w:val="00C93BF1"/>
    <w:rsid w:val="00C93CE0"/>
    <w:rsid w:val="00C93D70"/>
    <w:rsid w:val="00C93EA1"/>
    <w:rsid w:val="00C94F30"/>
    <w:rsid w:val="00C95F55"/>
    <w:rsid w:val="00C96AE6"/>
    <w:rsid w:val="00C96D47"/>
    <w:rsid w:val="00C976DE"/>
    <w:rsid w:val="00C97C83"/>
    <w:rsid w:val="00CA010A"/>
    <w:rsid w:val="00CA14D7"/>
    <w:rsid w:val="00CA2AEE"/>
    <w:rsid w:val="00CA2B05"/>
    <w:rsid w:val="00CA2E09"/>
    <w:rsid w:val="00CA2F44"/>
    <w:rsid w:val="00CA308B"/>
    <w:rsid w:val="00CA39F0"/>
    <w:rsid w:val="00CA5CEA"/>
    <w:rsid w:val="00CA71AC"/>
    <w:rsid w:val="00CA71B8"/>
    <w:rsid w:val="00CA79AD"/>
    <w:rsid w:val="00CA7D11"/>
    <w:rsid w:val="00CA7F7D"/>
    <w:rsid w:val="00CB0338"/>
    <w:rsid w:val="00CB0912"/>
    <w:rsid w:val="00CB0F95"/>
    <w:rsid w:val="00CB1374"/>
    <w:rsid w:val="00CB248F"/>
    <w:rsid w:val="00CB2C6D"/>
    <w:rsid w:val="00CB435E"/>
    <w:rsid w:val="00CB5CE9"/>
    <w:rsid w:val="00CB640A"/>
    <w:rsid w:val="00CB6C2C"/>
    <w:rsid w:val="00CB7382"/>
    <w:rsid w:val="00CC00E8"/>
    <w:rsid w:val="00CC03DF"/>
    <w:rsid w:val="00CC09E1"/>
    <w:rsid w:val="00CC0B2A"/>
    <w:rsid w:val="00CC17C2"/>
    <w:rsid w:val="00CC4071"/>
    <w:rsid w:val="00CC580D"/>
    <w:rsid w:val="00CC5C82"/>
    <w:rsid w:val="00CC61A2"/>
    <w:rsid w:val="00CC6A22"/>
    <w:rsid w:val="00CC79FF"/>
    <w:rsid w:val="00CC7AA8"/>
    <w:rsid w:val="00CC7BB1"/>
    <w:rsid w:val="00CD1582"/>
    <w:rsid w:val="00CD2803"/>
    <w:rsid w:val="00CD2C32"/>
    <w:rsid w:val="00CD40C2"/>
    <w:rsid w:val="00CD4CDA"/>
    <w:rsid w:val="00CD4D1D"/>
    <w:rsid w:val="00CD56D1"/>
    <w:rsid w:val="00CD5D16"/>
    <w:rsid w:val="00CD647D"/>
    <w:rsid w:val="00CD717A"/>
    <w:rsid w:val="00CD7A7D"/>
    <w:rsid w:val="00CD7AE5"/>
    <w:rsid w:val="00CD7D74"/>
    <w:rsid w:val="00CE2635"/>
    <w:rsid w:val="00CE28F6"/>
    <w:rsid w:val="00CE2AA5"/>
    <w:rsid w:val="00CE2E57"/>
    <w:rsid w:val="00CE2F0C"/>
    <w:rsid w:val="00CE2F67"/>
    <w:rsid w:val="00CE2FE4"/>
    <w:rsid w:val="00CE46EA"/>
    <w:rsid w:val="00CE4998"/>
    <w:rsid w:val="00CE64D7"/>
    <w:rsid w:val="00CE66F7"/>
    <w:rsid w:val="00CE6782"/>
    <w:rsid w:val="00CE67D5"/>
    <w:rsid w:val="00CE782D"/>
    <w:rsid w:val="00CE79E3"/>
    <w:rsid w:val="00CF1956"/>
    <w:rsid w:val="00CF2596"/>
    <w:rsid w:val="00CF2678"/>
    <w:rsid w:val="00CF353B"/>
    <w:rsid w:val="00CF370A"/>
    <w:rsid w:val="00CF466F"/>
    <w:rsid w:val="00CF57C3"/>
    <w:rsid w:val="00CF6327"/>
    <w:rsid w:val="00CF65C9"/>
    <w:rsid w:val="00CF7B51"/>
    <w:rsid w:val="00D003C4"/>
    <w:rsid w:val="00D009F7"/>
    <w:rsid w:val="00D012BD"/>
    <w:rsid w:val="00D0172D"/>
    <w:rsid w:val="00D02A0E"/>
    <w:rsid w:val="00D02C36"/>
    <w:rsid w:val="00D03662"/>
    <w:rsid w:val="00D03FC3"/>
    <w:rsid w:val="00D05319"/>
    <w:rsid w:val="00D05DE2"/>
    <w:rsid w:val="00D0653D"/>
    <w:rsid w:val="00D065B3"/>
    <w:rsid w:val="00D0693A"/>
    <w:rsid w:val="00D078CF"/>
    <w:rsid w:val="00D10B69"/>
    <w:rsid w:val="00D1260A"/>
    <w:rsid w:val="00D126C1"/>
    <w:rsid w:val="00D135FC"/>
    <w:rsid w:val="00D13C86"/>
    <w:rsid w:val="00D15001"/>
    <w:rsid w:val="00D1526F"/>
    <w:rsid w:val="00D1542F"/>
    <w:rsid w:val="00D16DA0"/>
    <w:rsid w:val="00D179C1"/>
    <w:rsid w:val="00D17CBE"/>
    <w:rsid w:val="00D20C7F"/>
    <w:rsid w:val="00D20D19"/>
    <w:rsid w:val="00D20D66"/>
    <w:rsid w:val="00D223DB"/>
    <w:rsid w:val="00D233C1"/>
    <w:rsid w:val="00D23B47"/>
    <w:rsid w:val="00D254FE"/>
    <w:rsid w:val="00D25911"/>
    <w:rsid w:val="00D264C0"/>
    <w:rsid w:val="00D26BDC"/>
    <w:rsid w:val="00D27132"/>
    <w:rsid w:val="00D31645"/>
    <w:rsid w:val="00D31A62"/>
    <w:rsid w:val="00D31C43"/>
    <w:rsid w:val="00D3448A"/>
    <w:rsid w:val="00D352C1"/>
    <w:rsid w:val="00D36C0A"/>
    <w:rsid w:val="00D36D92"/>
    <w:rsid w:val="00D37E3E"/>
    <w:rsid w:val="00D37EC1"/>
    <w:rsid w:val="00D4071D"/>
    <w:rsid w:val="00D408F8"/>
    <w:rsid w:val="00D417E5"/>
    <w:rsid w:val="00D420C9"/>
    <w:rsid w:val="00D428C6"/>
    <w:rsid w:val="00D42DF1"/>
    <w:rsid w:val="00D4353B"/>
    <w:rsid w:val="00D43ED4"/>
    <w:rsid w:val="00D44BB9"/>
    <w:rsid w:val="00D44BC3"/>
    <w:rsid w:val="00D44E76"/>
    <w:rsid w:val="00D450C5"/>
    <w:rsid w:val="00D453AD"/>
    <w:rsid w:val="00D455A9"/>
    <w:rsid w:val="00D459D1"/>
    <w:rsid w:val="00D45C5B"/>
    <w:rsid w:val="00D46368"/>
    <w:rsid w:val="00D46613"/>
    <w:rsid w:val="00D4679D"/>
    <w:rsid w:val="00D474CC"/>
    <w:rsid w:val="00D5019D"/>
    <w:rsid w:val="00D503B6"/>
    <w:rsid w:val="00D506B7"/>
    <w:rsid w:val="00D50BE8"/>
    <w:rsid w:val="00D50F7F"/>
    <w:rsid w:val="00D51B0C"/>
    <w:rsid w:val="00D51BD0"/>
    <w:rsid w:val="00D51D4F"/>
    <w:rsid w:val="00D53856"/>
    <w:rsid w:val="00D54ACD"/>
    <w:rsid w:val="00D5646F"/>
    <w:rsid w:val="00D5775F"/>
    <w:rsid w:val="00D6009F"/>
    <w:rsid w:val="00D601B3"/>
    <w:rsid w:val="00D6047A"/>
    <w:rsid w:val="00D605A7"/>
    <w:rsid w:val="00D60778"/>
    <w:rsid w:val="00D6203E"/>
    <w:rsid w:val="00D62684"/>
    <w:rsid w:val="00D62C6B"/>
    <w:rsid w:val="00D63F2E"/>
    <w:rsid w:val="00D64D73"/>
    <w:rsid w:val="00D6629D"/>
    <w:rsid w:val="00D665B0"/>
    <w:rsid w:val="00D66D8A"/>
    <w:rsid w:val="00D672E2"/>
    <w:rsid w:val="00D674C7"/>
    <w:rsid w:val="00D7022B"/>
    <w:rsid w:val="00D704AD"/>
    <w:rsid w:val="00D704E4"/>
    <w:rsid w:val="00D70831"/>
    <w:rsid w:val="00D721AB"/>
    <w:rsid w:val="00D72312"/>
    <w:rsid w:val="00D72362"/>
    <w:rsid w:val="00D72C2B"/>
    <w:rsid w:val="00D72CE8"/>
    <w:rsid w:val="00D72F8B"/>
    <w:rsid w:val="00D7338D"/>
    <w:rsid w:val="00D73590"/>
    <w:rsid w:val="00D739A6"/>
    <w:rsid w:val="00D741E6"/>
    <w:rsid w:val="00D74450"/>
    <w:rsid w:val="00D74B3B"/>
    <w:rsid w:val="00D752AE"/>
    <w:rsid w:val="00D76203"/>
    <w:rsid w:val="00D7624C"/>
    <w:rsid w:val="00D77779"/>
    <w:rsid w:val="00D77941"/>
    <w:rsid w:val="00D779A0"/>
    <w:rsid w:val="00D80AEC"/>
    <w:rsid w:val="00D80F11"/>
    <w:rsid w:val="00D813A5"/>
    <w:rsid w:val="00D81615"/>
    <w:rsid w:val="00D822F2"/>
    <w:rsid w:val="00D82B77"/>
    <w:rsid w:val="00D84338"/>
    <w:rsid w:val="00D8441A"/>
    <w:rsid w:val="00D84B9E"/>
    <w:rsid w:val="00D84E5E"/>
    <w:rsid w:val="00D858DB"/>
    <w:rsid w:val="00D8613F"/>
    <w:rsid w:val="00D86C1A"/>
    <w:rsid w:val="00D87D3B"/>
    <w:rsid w:val="00D900EA"/>
    <w:rsid w:val="00D9274C"/>
    <w:rsid w:val="00D93115"/>
    <w:rsid w:val="00D9323F"/>
    <w:rsid w:val="00D93249"/>
    <w:rsid w:val="00D932F4"/>
    <w:rsid w:val="00D94747"/>
    <w:rsid w:val="00D94DA2"/>
    <w:rsid w:val="00D94E25"/>
    <w:rsid w:val="00D95337"/>
    <w:rsid w:val="00D95899"/>
    <w:rsid w:val="00D958A3"/>
    <w:rsid w:val="00D958BC"/>
    <w:rsid w:val="00D9626E"/>
    <w:rsid w:val="00D963B5"/>
    <w:rsid w:val="00D97A1D"/>
    <w:rsid w:val="00DA0AD1"/>
    <w:rsid w:val="00DA0EC1"/>
    <w:rsid w:val="00DA12C5"/>
    <w:rsid w:val="00DA22DF"/>
    <w:rsid w:val="00DA2898"/>
    <w:rsid w:val="00DA336E"/>
    <w:rsid w:val="00DA3D25"/>
    <w:rsid w:val="00DA3EF3"/>
    <w:rsid w:val="00DA45AF"/>
    <w:rsid w:val="00DA4E38"/>
    <w:rsid w:val="00DA52A5"/>
    <w:rsid w:val="00DA5377"/>
    <w:rsid w:val="00DA5CE6"/>
    <w:rsid w:val="00DA6497"/>
    <w:rsid w:val="00DA6D04"/>
    <w:rsid w:val="00DA6F19"/>
    <w:rsid w:val="00DA793A"/>
    <w:rsid w:val="00DB0DEB"/>
    <w:rsid w:val="00DB1262"/>
    <w:rsid w:val="00DB2E76"/>
    <w:rsid w:val="00DB3B35"/>
    <w:rsid w:val="00DB3EB9"/>
    <w:rsid w:val="00DB4C01"/>
    <w:rsid w:val="00DB557A"/>
    <w:rsid w:val="00DB56F1"/>
    <w:rsid w:val="00DB5A5F"/>
    <w:rsid w:val="00DB7DCB"/>
    <w:rsid w:val="00DC0533"/>
    <w:rsid w:val="00DC06DF"/>
    <w:rsid w:val="00DC20F2"/>
    <w:rsid w:val="00DC419E"/>
    <w:rsid w:val="00DC4560"/>
    <w:rsid w:val="00DD0CC0"/>
    <w:rsid w:val="00DD0FB8"/>
    <w:rsid w:val="00DD1C6B"/>
    <w:rsid w:val="00DD20D5"/>
    <w:rsid w:val="00DD2BFF"/>
    <w:rsid w:val="00DD32C0"/>
    <w:rsid w:val="00DD36D0"/>
    <w:rsid w:val="00DD48AE"/>
    <w:rsid w:val="00DD5762"/>
    <w:rsid w:val="00DD5DBF"/>
    <w:rsid w:val="00DD6091"/>
    <w:rsid w:val="00DD6CB7"/>
    <w:rsid w:val="00DD7A38"/>
    <w:rsid w:val="00DD7F70"/>
    <w:rsid w:val="00DE03D7"/>
    <w:rsid w:val="00DE1894"/>
    <w:rsid w:val="00DE24F7"/>
    <w:rsid w:val="00DE2938"/>
    <w:rsid w:val="00DE314E"/>
    <w:rsid w:val="00DE475E"/>
    <w:rsid w:val="00DE5334"/>
    <w:rsid w:val="00DE556A"/>
    <w:rsid w:val="00DE5EF4"/>
    <w:rsid w:val="00DE644C"/>
    <w:rsid w:val="00DE651C"/>
    <w:rsid w:val="00DE69AC"/>
    <w:rsid w:val="00DE6CD2"/>
    <w:rsid w:val="00DE7D16"/>
    <w:rsid w:val="00DF0612"/>
    <w:rsid w:val="00DF0827"/>
    <w:rsid w:val="00DF09FB"/>
    <w:rsid w:val="00DF39AB"/>
    <w:rsid w:val="00DF41BD"/>
    <w:rsid w:val="00DF5B0C"/>
    <w:rsid w:val="00DF5F8F"/>
    <w:rsid w:val="00DF6AA3"/>
    <w:rsid w:val="00DF6ABB"/>
    <w:rsid w:val="00DF6D3B"/>
    <w:rsid w:val="00DF78E8"/>
    <w:rsid w:val="00DF7D08"/>
    <w:rsid w:val="00E0211B"/>
    <w:rsid w:val="00E02E6B"/>
    <w:rsid w:val="00E03561"/>
    <w:rsid w:val="00E037FE"/>
    <w:rsid w:val="00E06EFE"/>
    <w:rsid w:val="00E07688"/>
    <w:rsid w:val="00E07856"/>
    <w:rsid w:val="00E07E7C"/>
    <w:rsid w:val="00E07EBB"/>
    <w:rsid w:val="00E10258"/>
    <w:rsid w:val="00E105B3"/>
    <w:rsid w:val="00E106AA"/>
    <w:rsid w:val="00E10FA3"/>
    <w:rsid w:val="00E114CB"/>
    <w:rsid w:val="00E11B13"/>
    <w:rsid w:val="00E1228D"/>
    <w:rsid w:val="00E12B45"/>
    <w:rsid w:val="00E12D25"/>
    <w:rsid w:val="00E12E43"/>
    <w:rsid w:val="00E12ED6"/>
    <w:rsid w:val="00E13681"/>
    <w:rsid w:val="00E138F8"/>
    <w:rsid w:val="00E139BA"/>
    <w:rsid w:val="00E13F53"/>
    <w:rsid w:val="00E15EB7"/>
    <w:rsid w:val="00E166BC"/>
    <w:rsid w:val="00E1690B"/>
    <w:rsid w:val="00E16C2E"/>
    <w:rsid w:val="00E17D14"/>
    <w:rsid w:val="00E201C0"/>
    <w:rsid w:val="00E20A55"/>
    <w:rsid w:val="00E24D6A"/>
    <w:rsid w:val="00E25974"/>
    <w:rsid w:val="00E25B85"/>
    <w:rsid w:val="00E260F3"/>
    <w:rsid w:val="00E26553"/>
    <w:rsid w:val="00E26638"/>
    <w:rsid w:val="00E26EC0"/>
    <w:rsid w:val="00E27305"/>
    <w:rsid w:val="00E279CC"/>
    <w:rsid w:val="00E27CCF"/>
    <w:rsid w:val="00E30510"/>
    <w:rsid w:val="00E30785"/>
    <w:rsid w:val="00E30BA8"/>
    <w:rsid w:val="00E30D3C"/>
    <w:rsid w:val="00E30E77"/>
    <w:rsid w:val="00E314A8"/>
    <w:rsid w:val="00E32034"/>
    <w:rsid w:val="00E33F3C"/>
    <w:rsid w:val="00E346F6"/>
    <w:rsid w:val="00E34EC9"/>
    <w:rsid w:val="00E364EA"/>
    <w:rsid w:val="00E37256"/>
    <w:rsid w:val="00E40392"/>
    <w:rsid w:val="00E40834"/>
    <w:rsid w:val="00E40A31"/>
    <w:rsid w:val="00E41499"/>
    <w:rsid w:val="00E418FD"/>
    <w:rsid w:val="00E44285"/>
    <w:rsid w:val="00E46665"/>
    <w:rsid w:val="00E46EFF"/>
    <w:rsid w:val="00E47053"/>
    <w:rsid w:val="00E50581"/>
    <w:rsid w:val="00E50A3D"/>
    <w:rsid w:val="00E50C83"/>
    <w:rsid w:val="00E50F45"/>
    <w:rsid w:val="00E510A5"/>
    <w:rsid w:val="00E511E6"/>
    <w:rsid w:val="00E53119"/>
    <w:rsid w:val="00E5370E"/>
    <w:rsid w:val="00E53D08"/>
    <w:rsid w:val="00E53FA7"/>
    <w:rsid w:val="00E54110"/>
    <w:rsid w:val="00E555CD"/>
    <w:rsid w:val="00E55699"/>
    <w:rsid w:val="00E57DF2"/>
    <w:rsid w:val="00E61A1F"/>
    <w:rsid w:val="00E61F49"/>
    <w:rsid w:val="00E620AE"/>
    <w:rsid w:val="00E62841"/>
    <w:rsid w:val="00E62AE3"/>
    <w:rsid w:val="00E63CF5"/>
    <w:rsid w:val="00E63F04"/>
    <w:rsid w:val="00E6541B"/>
    <w:rsid w:val="00E656AE"/>
    <w:rsid w:val="00E6793B"/>
    <w:rsid w:val="00E67B8E"/>
    <w:rsid w:val="00E70692"/>
    <w:rsid w:val="00E706D1"/>
    <w:rsid w:val="00E7075C"/>
    <w:rsid w:val="00E721EE"/>
    <w:rsid w:val="00E738F9"/>
    <w:rsid w:val="00E739BB"/>
    <w:rsid w:val="00E73B31"/>
    <w:rsid w:val="00E7418A"/>
    <w:rsid w:val="00E74CB5"/>
    <w:rsid w:val="00E75647"/>
    <w:rsid w:val="00E75AC1"/>
    <w:rsid w:val="00E7707A"/>
    <w:rsid w:val="00E77948"/>
    <w:rsid w:val="00E80C6B"/>
    <w:rsid w:val="00E81252"/>
    <w:rsid w:val="00E815D9"/>
    <w:rsid w:val="00E816D7"/>
    <w:rsid w:val="00E81CA2"/>
    <w:rsid w:val="00E82BD5"/>
    <w:rsid w:val="00E82C25"/>
    <w:rsid w:val="00E831C4"/>
    <w:rsid w:val="00E837DE"/>
    <w:rsid w:val="00E839CD"/>
    <w:rsid w:val="00E84947"/>
    <w:rsid w:val="00E8500F"/>
    <w:rsid w:val="00E853B9"/>
    <w:rsid w:val="00E85669"/>
    <w:rsid w:val="00E8591F"/>
    <w:rsid w:val="00E85DE0"/>
    <w:rsid w:val="00E86157"/>
    <w:rsid w:val="00E90C13"/>
    <w:rsid w:val="00E9145E"/>
    <w:rsid w:val="00E91E6B"/>
    <w:rsid w:val="00E92867"/>
    <w:rsid w:val="00E92A73"/>
    <w:rsid w:val="00E937F4"/>
    <w:rsid w:val="00E93D0D"/>
    <w:rsid w:val="00E946EB"/>
    <w:rsid w:val="00E95A96"/>
    <w:rsid w:val="00E968AA"/>
    <w:rsid w:val="00E968C8"/>
    <w:rsid w:val="00E972BF"/>
    <w:rsid w:val="00EA000E"/>
    <w:rsid w:val="00EA06E2"/>
    <w:rsid w:val="00EA06F1"/>
    <w:rsid w:val="00EA0763"/>
    <w:rsid w:val="00EA07C0"/>
    <w:rsid w:val="00EA0B87"/>
    <w:rsid w:val="00EA0E77"/>
    <w:rsid w:val="00EA1549"/>
    <w:rsid w:val="00EA1ABE"/>
    <w:rsid w:val="00EA1CF8"/>
    <w:rsid w:val="00EA26FF"/>
    <w:rsid w:val="00EA3121"/>
    <w:rsid w:val="00EA5292"/>
    <w:rsid w:val="00EA55C1"/>
    <w:rsid w:val="00EA63B9"/>
    <w:rsid w:val="00EA676C"/>
    <w:rsid w:val="00EA71D3"/>
    <w:rsid w:val="00EB020D"/>
    <w:rsid w:val="00EB09CE"/>
    <w:rsid w:val="00EB0C57"/>
    <w:rsid w:val="00EB119C"/>
    <w:rsid w:val="00EB135E"/>
    <w:rsid w:val="00EB1C20"/>
    <w:rsid w:val="00EB2324"/>
    <w:rsid w:val="00EB2862"/>
    <w:rsid w:val="00EB2F67"/>
    <w:rsid w:val="00EB42B3"/>
    <w:rsid w:val="00EB4881"/>
    <w:rsid w:val="00EC00B4"/>
    <w:rsid w:val="00EC082D"/>
    <w:rsid w:val="00EC1027"/>
    <w:rsid w:val="00EC1D81"/>
    <w:rsid w:val="00EC3BEB"/>
    <w:rsid w:val="00EC3D53"/>
    <w:rsid w:val="00EC41D9"/>
    <w:rsid w:val="00EC4437"/>
    <w:rsid w:val="00EC5008"/>
    <w:rsid w:val="00EC5142"/>
    <w:rsid w:val="00EC5666"/>
    <w:rsid w:val="00EC7314"/>
    <w:rsid w:val="00EC7685"/>
    <w:rsid w:val="00EC7EA6"/>
    <w:rsid w:val="00ED0572"/>
    <w:rsid w:val="00ED205F"/>
    <w:rsid w:val="00ED225B"/>
    <w:rsid w:val="00ED33BE"/>
    <w:rsid w:val="00ED3A94"/>
    <w:rsid w:val="00ED6869"/>
    <w:rsid w:val="00ED6BC5"/>
    <w:rsid w:val="00ED6C95"/>
    <w:rsid w:val="00ED6FAE"/>
    <w:rsid w:val="00EE0F9B"/>
    <w:rsid w:val="00EE2BC5"/>
    <w:rsid w:val="00EE2DF7"/>
    <w:rsid w:val="00EE2E00"/>
    <w:rsid w:val="00EE31E3"/>
    <w:rsid w:val="00EE362F"/>
    <w:rsid w:val="00EE3C57"/>
    <w:rsid w:val="00EE3F2F"/>
    <w:rsid w:val="00EE4377"/>
    <w:rsid w:val="00EE5413"/>
    <w:rsid w:val="00EE59AE"/>
    <w:rsid w:val="00EE76F2"/>
    <w:rsid w:val="00EE7871"/>
    <w:rsid w:val="00EE7EDA"/>
    <w:rsid w:val="00EF112F"/>
    <w:rsid w:val="00EF1FE0"/>
    <w:rsid w:val="00EF2A4C"/>
    <w:rsid w:val="00EF3259"/>
    <w:rsid w:val="00EF3D17"/>
    <w:rsid w:val="00EF3FE2"/>
    <w:rsid w:val="00EF42F8"/>
    <w:rsid w:val="00EF737E"/>
    <w:rsid w:val="00F00560"/>
    <w:rsid w:val="00F00FE7"/>
    <w:rsid w:val="00F0130C"/>
    <w:rsid w:val="00F020FC"/>
    <w:rsid w:val="00F02CC0"/>
    <w:rsid w:val="00F04354"/>
    <w:rsid w:val="00F045DD"/>
    <w:rsid w:val="00F052A7"/>
    <w:rsid w:val="00F05CE8"/>
    <w:rsid w:val="00F05F62"/>
    <w:rsid w:val="00F06071"/>
    <w:rsid w:val="00F06923"/>
    <w:rsid w:val="00F06CA0"/>
    <w:rsid w:val="00F10C4E"/>
    <w:rsid w:val="00F11079"/>
    <w:rsid w:val="00F11DFD"/>
    <w:rsid w:val="00F12FDD"/>
    <w:rsid w:val="00F1413B"/>
    <w:rsid w:val="00F142D0"/>
    <w:rsid w:val="00F148E8"/>
    <w:rsid w:val="00F14A7B"/>
    <w:rsid w:val="00F150E4"/>
    <w:rsid w:val="00F16237"/>
    <w:rsid w:val="00F16677"/>
    <w:rsid w:val="00F17C4E"/>
    <w:rsid w:val="00F17EA4"/>
    <w:rsid w:val="00F207D8"/>
    <w:rsid w:val="00F20FF4"/>
    <w:rsid w:val="00F22D1F"/>
    <w:rsid w:val="00F23B89"/>
    <w:rsid w:val="00F250E0"/>
    <w:rsid w:val="00F26300"/>
    <w:rsid w:val="00F26F8B"/>
    <w:rsid w:val="00F30022"/>
    <w:rsid w:val="00F302DC"/>
    <w:rsid w:val="00F30455"/>
    <w:rsid w:val="00F305FB"/>
    <w:rsid w:val="00F30BF6"/>
    <w:rsid w:val="00F3128D"/>
    <w:rsid w:val="00F3142C"/>
    <w:rsid w:val="00F324C2"/>
    <w:rsid w:val="00F339BC"/>
    <w:rsid w:val="00F33B09"/>
    <w:rsid w:val="00F34003"/>
    <w:rsid w:val="00F34092"/>
    <w:rsid w:val="00F35F2F"/>
    <w:rsid w:val="00F364B5"/>
    <w:rsid w:val="00F36AA9"/>
    <w:rsid w:val="00F370B3"/>
    <w:rsid w:val="00F377CD"/>
    <w:rsid w:val="00F37FC7"/>
    <w:rsid w:val="00F421BF"/>
    <w:rsid w:val="00F4292E"/>
    <w:rsid w:val="00F4310D"/>
    <w:rsid w:val="00F43470"/>
    <w:rsid w:val="00F45631"/>
    <w:rsid w:val="00F45D1C"/>
    <w:rsid w:val="00F467D0"/>
    <w:rsid w:val="00F50AA1"/>
    <w:rsid w:val="00F538FB"/>
    <w:rsid w:val="00F53950"/>
    <w:rsid w:val="00F53D69"/>
    <w:rsid w:val="00F53FD7"/>
    <w:rsid w:val="00F548A7"/>
    <w:rsid w:val="00F54CD5"/>
    <w:rsid w:val="00F54D53"/>
    <w:rsid w:val="00F55186"/>
    <w:rsid w:val="00F56F78"/>
    <w:rsid w:val="00F57293"/>
    <w:rsid w:val="00F60099"/>
    <w:rsid w:val="00F605C7"/>
    <w:rsid w:val="00F62EFE"/>
    <w:rsid w:val="00F6482D"/>
    <w:rsid w:val="00F64BD3"/>
    <w:rsid w:val="00F64C13"/>
    <w:rsid w:val="00F66B92"/>
    <w:rsid w:val="00F67538"/>
    <w:rsid w:val="00F70CB7"/>
    <w:rsid w:val="00F70E5A"/>
    <w:rsid w:val="00F72661"/>
    <w:rsid w:val="00F72C4F"/>
    <w:rsid w:val="00F731FC"/>
    <w:rsid w:val="00F73351"/>
    <w:rsid w:val="00F74711"/>
    <w:rsid w:val="00F74766"/>
    <w:rsid w:val="00F749E7"/>
    <w:rsid w:val="00F76206"/>
    <w:rsid w:val="00F7639F"/>
    <w:rsid w:val="00F76AC7"/>
    <w:rsid w:val="00F774D7"/>
    <w:rsid w:val="00F77DBB"/>
    <w:rsid w:val="00F77FB8"/>
    <w:rsid w:val="00F80045"/>
    <w:rsid w:val="00F80D50"/>
    <w:rsid w:val="00F820B7"/>
    <w:rsid w:val="00F83EBD"/>
    <w:rsid w:val="00F83FC8"/>
    <w:rsid w:val="00F84A61"/>
    <w:rsid w:val="00F8502D"/>
    <w:rsid w:val="00F87322"/>
    <w:rsid w:val="00F87B1A"/>
    <w:rsid w:val="00F90B6B"/>
    <w:rsid w:val="00F90E68"/>
    <w:rsid w:val="00F926E7"/>
    <w:rsid w:val="00F93E85"/>
    <w:rsid w:val="00F94054"/>
    <w:rsid w:val="00F944B6"/>
    <w:rsid w:val="00F94862"/>
    <w:rsid w:val="00F94ECD"/>
    <w:rsid w:val="00F95BE6"/>
    <w:rsid w:val="00F97527"/>
    <w:rsid w:val="00FA032B"/>
    <w:rsid w:val="00FA03D2"/>
    <w:rsid w:val="00FA0B15"/>
    <w:rsid w:val="00FA133B"/>
    <w:rsid w:val="00FA1F01"/>
    <w:rsid w:val="00FA2CE3"/>
    <w:rsid w:val="00FA3594"/>
    <w:rsid w:val="00FA35B5"/>
    <w:rsid w:val="00FA4D4C"/>
    <w:rsid w:val="00FA4E61"/>
    <w:rsid w:val="00FA51F2"/>
    <w:rsid w:val="00FA5A73"/>
    <w:rsid w:val="00FA5BD3"/>
    <w:rsid w:val="00FA5DA9"/>
    <w:rsid w:val="00FA7246"/>
    <w:rsid w:val="00FA75B5"/>
    <w:rsid w:val="00FA79B1"/>
    <w:rsid w:val="00FB0522"/>
    <w:rsid w:val="00FB1A63"/>
    <w:rsid w:val="00FB1F19"/>
    <w:rsid w:val="00FB2915"/>
    <w:rsid w:val="00FB39F9"/>
    <w:rsid w:val="00FB3D53"/>
    <w:rsid w:val="00FB4C66"/>
    <w:rsid w:val="00FB4D0B"/>
    <w:rsid w:val="00FB541B"/>
    <w:rsid w:val="00FB5DDE"/>
    <w:rsid w:val="00FB5EE6"/>
    <w:rsid w:val="00FB6792"/>
    <w:rsid w:val="00FB6FC3"/>
    <w:rsid w:val="00FB7BAF"/>
    <w:rsid w:val="00FB7EBC"/>
    <w:rsid w:val="00FC08D4"/>
    <w:rsid w:val="00FC1002"/>
    <w:rsid w:val="00FC1209"/>
    <w:rsid w:val="00FC2073"/>
    <w:rsid w:val="00FC2353"/>
    <w:rsid w:val="00FC2C4D"/>
    <w:rsid w:val="00FC3279"/>
    <w:rsid w:val="00FC32B6"/>
    <w:rsid w:val="00FC3460"/>
    <w:rsid w:val="00FC4295"/>
    <w:rsid w:val="00FC590F"/>
    <w:rsid w:val="00FC65A2"/>
    <w:rsid w:val="00FC7D9B"/>
    <w:rsid w:val="00FD045B"/>
    <w:rsid w:val="00FD0716"/>
    <w:rsid w:val="00FD2324"/>
    <w:rsid w:val="00FD2415"/>
    <w:rsid w:val="00FD302C"/>
    <w:rsid w:val="00FD39B2"/>
    <w:rsid w:val="00FD3D8C"/>
    <w:rsid w:val="00FD3F6F"/>
    <w:rsid w:val="00FD43D6"/>
    <w:rsid w:val="00FD4B53"/>
    <w:rsid w:val="00FD4D09"/>
    <w:rsid w:val="00FD6537"/>
    <w:rsid w:val="00FD684F"/>
    <w:rsid w:val="00FD6920"/>
    <w:rsid w:val="00FD7EF9"/>
    <w:rsid w:val="00FD7F81"/>
    <w:rsid w:val="00FE04FE"/>
    <w:rsid w:val="00FE25EF"/>
    <w:rsid w:val="00FE351F"/>
    <w:rsid w:val="00FE38CB"/>
    <w:rsid w:val="00FE50FE"/>
    <w:rsid w:val="00FE56E9"/>
    <w:rsid w:val="00FE65A5"/>
    <w:rsid w:val="00FE6711"/>
    <w:rsid w:val="00FE6A2C"/>
    <w:rsid w:val="00FE6BC2"/>
    <w:rsid w:val="00FE7983"/>
    <w:rsid w:val="00FE7DBC"/>
    <w:rsid w:val="00FE7FD1"/>
    <w:rsid w:val="00FF02FC"/>
    <w:rsid w:val="00FF0408"/>
    <w:rsid w:val="00FF1734"/>
    <w:rsid w:val="00FF1B84"/>
    <w:rsid w:val="00FF1DBF"/>
    <w:rsid w:val="00FF26D9"/>
    <w:rsid w:val="00FF3425"/>
    <w:rsid w:val="00FF39A2"/>
    <w:rsid w:val="00FF3D14"/>
    <w:rsid w:val="00FF416C"/>
    <w:rsid w:val="00FF5072"/>
    <w:rsid w:val="00FF5231"/>
    <w:rsid w:val="00FF555F"/>
    <w:rsid w:val="00FF5B0C"/>
    <w:rsid w:val="00FF62D9"/>
    <w:rsid w:val="00FF6F50"/>
    <w:rsid w:val="00FF74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0E813"/>
  <w15:chartTrackingRefBased/>
  <w15:docId w15:val="{8AA9390A-8BB1-46A0-A5AA-B5E15C044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bidi/>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0373"/>
    <w:rPr>
      <w:rFonts w:ascii="Times New Roman" w:hAnsi="Times New Roman" w:cs="David"/>
      <w:sz w:val="24"/>
      <w:szCs w:val="24"/>
    </w:rPr>
  </w:style>
  <w:style w:type="paragraph" w:styleId="1">
    <w:name w:val="heading 1"/>
    <w:basedOn w:val="a"/>
    <w:next w:val="a"/>
    <w:link w:val="10"/>
    <w:uiPriority w:val="9"/>
    <w:qFormat/>
    <w:rsid w:val="001C67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0"/>
    <w:next w:val="a"/>
    <w:link w:val="20"/>
    <w:uiPriority w:val="9"/>
    <w:unhideWhenUsed/>
    <w:qFormat/>
    <w:rsid w:val="00D264C0"/>
    <w:pPr>
      <w:numPr>
        <w:numId w:val="1"/>
      </w:numPr>
      <w:outlineLvl w:val="1"/>
    </w:pPr>
    <w:rPr>
      <w:b/>
      <w:bCs/>
    </w:rPr>
  </w:style>
  <w:style w:type="paragraph" w:styleId="3">
    <w:name w:val="heading 3"/>
    <w:basedOn w:val="a0"/>
    <w:next w:val="a"/>
    <w:link w:val="30"/>
    <w:uiPriority w:val="9"/>
    <w:unhideWhenUsed/>
    <w:qFormat/>
    <w:rsid w:val="00D264C0"/>
    <w:pPr>
      <w:numPr>
        <w:numId w:val="3"/>
      </w:numPr>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כותרת 2 תו"/>
    <w:basedOn w:val="a1"/>
    <w:link w:val="2"/>
    <w:uiPriority w:val="9"/>
    <w:rsid w:val="00D264C0"/>
    <w:rPr>
      <w:rFonts w:ascii="Times New Roman" w:hAnsi="Times New Roman" w:cs="David"/>
      <w:b/>
      <w:bCs/>
      <w:sz w:val="24"/>
      <w:szCs w:val="24"/>
    </w:rPr>
  </w:style>
  <w:style w:type="character" w:customStyle="1" w:styleId="30">
    <w:name w:val="כותרת 3 תו"/>
    <w:basedOn w:val="a1"/>
    <w:link w:val="3"/>
    <w:uiPriority w:val="9"/>
    <w:rsid w:val="00D264C0"/>
    <w:rPr>
      <w:rFonts w:ascii="Times New Roman" w:hAnsi="Times New Roman" w:cs="David"/>
      <w:b/>
      <w:bCs/>
      <w:sz w:val="24"/>
      <w:szCs w:val="24"/>
    </w:rPr>
  </w:style>
  <w:style w:type="character" w:customStyle="1" w:styleId="fontstyle01">
    <w:name w:val="fontstyle01"/>
    <w:basedOn w:val="a1"/>
    <w:rsid w:val="00D264C0"/>
    <w:rPr>
      <w:rFonts w:ascii="TimesNewRomanPSMT" w:hAnsi="TimesNewRomanPSMT" w:hint="default"/>
      <w:b w:val="0"/>
      <w:bCs w:val="0"/>
      <w:i w:val="0"/>
      <w:iCs w:val="0"/>
      <w:color w:val="000000"/>
      <w:sz w:val="14"/>
      <w:szCs w:val="14"/>
    </w:rPr>
  </w:style>
  <w:style w:type="paragraph" w:styleId="a4">
    <w:name w:val="footnote text"/>
    <w:basedOn w:val="a"/>
    <w:link w:val="a5"/>
    <w:uiPriority w:val="99"/>
    <w:unhideWhenUsed/>
    <w:rsid w:val="00D37EC1"/>
    <w:pPr>
      <w:spacing w:after="0"/>
    </w:pPr>
    <w:rPr>
      <w:sz w:val="20"/>
      <w:szCs w:val="20"/>
    </w:rPr>
  </w:style>
  <w:style w:type="character" w:customStyle="1" w:styleId="a5">
    <w:name w:val="טקסט הערת שוליים תו"/>
    <w:basedOn w:val="a1"/>
    <w:link w:val="a4"/>
    <w:uiPriority w:val="99"/>
    <w:rsid w:val="00D37EC1"/>
    <w:rPr>
      <w:rFonts w:ascii="Times New Roman" w:hAnsi="Times New Roman" w:cs="David"/>
      <w:sz w:val="20"/>
      <w:szCs w:val="20"/>
    </w:rPr>
  </w:style>
  <w:style w:type="character" w:styleId="a6">
    <w:name w:val="footnote reference"/>
    <w:basedOn w:val="a1"/>
    <w:uiPriority w:val="99"/>
    <w:unhideWhenUsed/>
    <w:rsid w:val="00D264C0"/>
    <w:rPr>
      <w:vertAlign w:val="superscript"/>
    </w:rPr>
  </w:style>
  <w:style w:type="paragraph" w:styleId="a0">
    <w:name w:val="List Paragraph"/>
    <w:basedOn w:val="a"/>
    <w:uiPriority w:val="34"/>
    <w:qFormat/>
    <w:rsid w:val="00D264C0"/>
    <w:pPr>
      <w:ind w:left="720"/>
      <w:contextualSpacing/>
    </w:pPr>
  </w:style>
  <w:style w:type="character" w:styleId="a7">
    <w:name w:val="annotation reference"/>
    <w:rsid w:val="00D264C0"/>
    <w:rPr>
      <w:sz w:val="16"/>
      <w:szCs w:val="16"/>
    </w:rPr>
  </w:style>
  <w:style w:type="paragraph" w:styleId="a8">
    <w:name w:val="annotation text"/>
    <w:basedOn w:val="a"/>
    <w:link w:val="a9"/>
    <w:unhideWhenUsed/>
    <w:rsid w:val="00D264C0"/>
    <w:pPr>
      <w:spacing w:line="240" w:lineRule="auto"/>
    </w:pPr>
    <w:rPr>
      <w:sz w:val="20"/>
      <w:szCs w:val="20"/>
    </w:rPr>
  </w:style>
  <w:style w:type="character" w:customStyle="1" w:styleId="a9">
    <w:name w:val="טקסט הערה תו"/>
    <w:basedOn w:val="a1"/>
    <w:link w:val="a8"/>
    <w:rsid w:val="00D264C0"/>
    <w:rPr>
      <w:rFonts w:ascii="Times New Roman" w:hAnsi="Times New Roman" w:cs="David"/>
      <w:sz w:val="20"/>
      <w:szCs w:val="20"/>
    </w:rPr>
  </w:style>
  <w:style w:type="table" w:styleId="aa">
    <w:name w:val="Table Grid"/>
    <w:basedOn w:val="a2"/>
    <w:uiPriority w:val="39"/>
    <w:rsid w:val="00D264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annotation subject"/>
    <w:basedOn w:val="a8"/>
    <w:next w:val="a8"/>
    <w:link w:val="ac"/>
    <w:uiPriority w:val="99"/>
    <w:semiHidden/>
    <w:unhideWhenUsed/>
    <w:rsid w:val="00D264C0"/>
    <w:rPr>
      <w:b/>
      <w:bCs/>
    </w:rPr>
  </w:style>
  <w:style w:type="character" w:customStyle="1" w:styleId="ac">
    <w:name w:val="נושא הערה תו"/>
    <w:basedOn w:val="a9"/>
    <w:link w:val="ab"/>
    <w:uiPriority w:val="99"/>
    <w:semiHidden/>
    <w:rsid w:val="00D264C0"/>
    <w:rPr>
      <w:rFonts w:ascii="Times New Roman" w:hAnsi="Times New Roman" w:cs="David"/>
      <w:b/>
      <w:bCs/>
      <w:sz w:val="20"/>
      <w:szCs w:val="20"/>
    </w:rPr>
  </w:style>
  <w:style w:type="paragraph" w:styleId="ad">
    <w:name w:val="header"/>
    <w:basedOn w:val="a"/>
    <w:link w:val="ae"/>
    <w:uiPriority w:val="99"/>
    <w:unhideWhenUsed/>
    <w:rsid w:val="00D264C0"/>
    <w:pPr>
      <w:tabs>
        <w:tab w:val="center" w:pos="4153"/>
        <w:tab w:val="right" w:pos="8306"/>
      </w:tabs>
      <w:spacing w:after="0" w:line="240" w:lineRule="auto"/>
    </w:pPr>
  </w:style>
  <w:style w:type="character" w:customStyle="1" w:styleId="ae">
    <w:name w:val="כותרת עליונה תו"/>
    <w:basedOn w:val="a1"/>
    <w:link w:val="ad"/>
    <w:uiPriority w:val="99"/>
    <w:rsid w:val="00D264C0"/>
    <w:rPr>
      <w:rFonts w:ascii="Times New Roman" w:hAnsi="Times New Roman" w:cs="David"/>
      <w:sz w:val="24"/>
      <w:szCs w:val="24"/>
    </w:rPr>
  </w:style>
  <w:style w:type="paragraph" w:styleId="af">
    <w:name w:val="footer"/>
    <w:basedOn w:val="a"/>
    <w:link w:val="af0"/>
    <w:uiPriority w:val="99"/>
    <w:unhideWhenUsed/>
    <w:rsid w:val="00D264C0"/>
    <w:pPr>
      <w:tabs>
        <w:tab w:val="center" w:pos="4153"/>
        <w:tab w:val="right" w:pos="8306"/>
      </w:tabs>
      <w:spacing w:after="0" w:line="240" w:lineRule="auto"/>
    </w:pPr>
  </w:style>
  <w:style w:type="character" w:customStyle="1" w:styleId="af0">
    <w:name w:val="כותרת תחתונה תו"/>
    <w:basedOn w:val="a1"/>
    <w:link w:val="af"/>
    <w:uiPriority w:val="99"/>
    <w:rsid w:val="00D264C0"/>
    <w:rPr>
      <w:rFonts w:ascii="Times New Roman" w:hAnsi="Times New Roman" w:cs="David"/>
      <w:sz w:val="24"/>
      <w:szCs w:val="24"/>
    </w:rPr>
  </w:style>
  <w:style w:type="character" w:styleId="Hyperlink">
    <w:name w:val="Hyperlink"/>
    <w:basedOn w:val="a1"/>
    <w:uiPriority w:val="99"/>
    <w:unhideWhenUsed/>
    <w:rsid w:val="007E3CFE"/>
    <w:rPr>
      <w:color w:val="0563C1" w:themeColor="hyperlink"/>
      <w:u w:val="single"/>
    </w:rPr>
  </w:style>
  <w:style w:type="character" w:styleId="af1">
    <w:name w:val="Unresolved Mention"/>
    <w:basedOn w:val="a1"/>
    <w:uiPriority w:val="99"/>
    <w:semiHidden/>
    <w:unhideWhenUsed/>
    <w:rsid w:val="007E3CFE"/>
    <w:rPr>
      <w:color w:val="605E5C"/>
      <w:shd w:val="clear" w:color="auto" w:fill="E1DFDD"/>
    </w:rPr>
  </w:style>
  <w:style w:type="character" w:styleId="af2">
    <w:name w:val="line number"/>
    <w:basedOn w:val="a1"/>
    <w:uiPriority w:val="99"/>
    <w:semiHidden/>
    <w:unhideWhenUsed/>
    <w:rsid w:val="002167C3"/>
  </w:style>
  <w:style w:type="character" w:styleId="af3">
    <w:name w:val="Placeholder Text"/>
    <w:basedOn w:val="a1"/>
    <w:uiPriority w:val="99"/>
    <w:semiHidden/>
    <w:rsid w:val="00BA5FE0"/>
    <w:rPr>
      <w:color w:val="808080"/>
    </w:rPr>
  </w:style>
  <w:style w:type="paragraph" w:styleId="af4">
    <w:name w:val="Revision"/>
    <w:hidden/>
    <w:uiPriority w:val="99"/>
    <w:semiHidden/>
    <w:rsid w:val="004D5B79"/>
    <w:pPr>
      <w:spacing w:after="0" w:line="240" w:lineRule="auto"/>
    </w:pPr>
    <w:rPr>
      <w:rFonts w:ascii="Times New Roman" w:hAnsi="Times New Roman" w:cs="David"/>
      <w:sz w:val="24"/>
      <w:szCs w:val="24"/>
    </w:rPr>
  </w:style>
  <w:style w:type="character" w:customStyle="1" w:styleId="10">
    <w:name w:val="כותרת 1 תו"/>
    <w:basedOn w:val="a1"/>
    <w:link w:val="1"/>
    <w:uiPriority w:val="9"/>
    <w:rsid w:val="001C673C"/>
    <w:rPr>
      <w:rFonts w:asciiTheme="majorHAnsi" w:eastAsiaTheme="majorEastAsia" w:hAnsiTheme="majorHAnsi" w:cstheme="majorBidi"/>
      <w:color w:val="2F5496" w:themeColor="accent1" w:themeShade="BF"/>
      <w:sz w:val="32"/>
      <w:szCs w:val="32"/>
    </w:rPr>
  </w:style>
  <w:style w:type="character" w:customStyle="1" w:styleId="fn">
    <w:name w:val="fn"/>
    <w:basedOn w:val="a1"/>
    <w:rsid w:val="00CD2803"/>
  </w:style>
  <w:style w:type="character" w:customStyle="1" w:styleId="11">
    <w:name w:val="כותרת משנה1"/>
    <w:basedOn w:val="a1"/>
    <w:rsid w:val="00CD2803"/>
  </w:style>
  <w:style w:type="paragraph" w:styleId="af5">
    <w:name w:val="endnote text"/>
    <w:basedOn w:val="a"/>
    <w:link w:val="af6"/>
    <w:uiPriority w:val="99"/>
    <w:semiHidden/>
    <w:unhideWhenUsed/>
    <w:rsid w:val="00575857"/>
    <w:pPr>
      <w:spacing w:after="0" w:line="240" w:lineRule="auto"/>
    </w:pPr>
    <w:rPr>
      <w:sz w:val="20"/>
      <w:szCs w:val="20"/>
    </w:rPr>
  </w:style>
  <w:style w:type="character" w:customStyle="1" w:styleId="af6">
    <w:name w:val="טקסט הערת סיום תו"/>
    <w:basedOn w:val="a1"/>
    <w:link w:val="af5"/>
    <w:uiPriority w:val="99"/>
    <w:semiHidden/>
    <w:rsid w:val="00575857"/>
    <w:rPr>
      <w:rFonts w:ascii="Times New Roman" w:hAnsi="Times New Roman" w:cs="David"/>
      <w:sz w:val="20"/>
      <w:szCs w:val="20"/>
    </w:rPr>
  </w:style>
  <w:style w:type="character" w:styleId="af7">
    <w:name w:val="endnote reference"/>
    <w:basedOn w:val="a1"/>
    <w:uiPriority w:val="99"/>
    <w:semiHidden/>
    <w:unhideWhenUsed/>
    <w:rsid w:val="005758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842553">
      <w:bodyDiv w:val="1"/>
      <w:marLeft w:val="0"/>
      <w:marRight w:val="0"/>
      <w:marTop w:val="0"/>
      <w:marBottom w:val="0"/>
      <w:divBdr>
        <w:top w:val="none" w:sz="0" w:space="0" w:color="auto"/>
        <w:left w:val="none" w:sz="0" w:space="0" w:color="auto"/>
        <w:bottom w:val="none" w:sz="0" w:space="0" w:color="auto"/>
        <w:right w:val="none" w:sz="0" w:space="0" w:color="auto"/>
      </w:divBdr>
    </w:div>
    <w:div w:id="519204837">
      <w:bodyDiv w:val="1"/>
      <w:marLeft w:val="0"/>
      <w:marRight w:val="0"/>
      <w:marTop w:val="0"/>
      <w:marBottom w:val="0"/>
      <w:divBdr>
        <w:top w:val="none" w:sz="0" w:space="0" w:color="auto"/>
        <w:left w:val="none" w:sz="0" w:space="0" w:color="auto"/>
        <w:bottom w:val="none" w:sz="0" w:space="0" w:color="auto"/>
        <w:right w:val="none" w:sz="0" w:space="0" w:color="auto"/>
      </w:divBdr>
      <w:divsChild>
        <w:div w:id="1297569187">
          <w:marLeft w:val="0"/>
          <w:marRight w:val="0"/>
          <w:marTop w:val="0"/>
          <w:marBottom w:val="0"/>
          <w:divBdr>
            <w:top w:val="none" w:sz="0" w:space="0" w:color="auto"/>
            <w:left w:val="none" w:sz="0" w:space="0" w:color="auto"/>
            <w:bottom w:val="none" w:sz="0" w:space="0" w:color="auto"/>
            <w:right w:val="none" w:sz="0" w:space="0" w:color="auto"/>
          </w:divBdr>
        </w:div>
      </w:divsChild>
    </w:div>
    <w:div w:id="762527466">
      <w:bodyDiv w:val="1"/>
      <w:marLeft w:val="0"/>
      <w:marRight w:val="0"/>
      <w:marTop w:val="0"/>
      <w:marBottom w:val="0"/>
      <w:divBdr>
        <w:top w:val="none" w:sz="0" w:space="0" w:color="auto"/>
        <w:left w:val="none" w:sz="0" w:space="0" w:color="auto"/>
        <w:bottom w:val="none" w:sz="0" w:space="0" w:color="auto"/>
        <w:right w:val="none" w:sz="0" w:space="0" w:color="auto"/>
      </w:divBdr>
    </w:div>
    <w:div w:id="775058394">
      <w:bodyDiv w:val="1"/>
      <w:marLeft w:val="0"/>
      <w:marRight w:val="0"/>
      <w:marTop w:val="0"/>
      <w:marBottom w:val="0"/>
      <w:divBdr>
        <w:top w:val="none" w:sz="0" w:space="0" w:color="auto"/>
        <w:left w:val="none" w:sz="0" w:space="0" w:color="auto"/>
        <w:bottom w:val="none" w:sz="0" w:space="0" w:color="auto"/>
        <w:right w:val="none" w:sz="0" w:space="0" w:color="auto"/>
      </w:divBdr>
    </w:div>
    <w:div w:id="973026423">
      <w:bodyDiv w:val="1"/>
      <w:marLeft w:val="0"/>
      <w:marRight w:val="0"/>
      <w:marTop w:val="0"/>
      <w:marBottom w:val="0"/>
      <w:divBdr>
        <w:top w:val="none" w:sz="0" w:space="0" w:color="auto"/>
        <w:left w:val="none" w:sz="0" w:space="0" w:color="auto"/>
        <w:bottom w:val="none" w:sz="0" w:space="0" w:color="auto"/>
        <w:right w:val="none" w:sz="0" w:space="0" w:color="auto"/>
      </w:divBdr>
    </w:div>
    <w:div w:id="1038122519">
      <w:bodyDiv w:val="1"/>
      <w:marLeft w:val="0"/>
      <w:marRight w:val="0"/>
      <w:marTop w:val="0"/>
      <w:marBottom w:val="0"/>
      <w:divBdr>
        <w:top w:val="none" w:sz="0" w:space="0" w:color="auto"/>
        <w:left w:val="none" w:sz="0" w:space="0" w:color="auto"/>
        <w:bottom w:val="none" w:sz="0" w:space="0" w:color="auto"/>
        <w:right w:val="none" w:sz="0" w:space="0" w:color="auto"/>
      </w:divBdr>
    </w:div>
    <w:div w:id="1141314746">
      <w:bodyDiv w:val="1"/>
      <w:marLeft w:val="0"/>
      <w:marRight w:val="0"/>
      <w:marTop w:val="0"/>
      <w:marBottom w:val="0"/>
      <w:divBdr>
        <w:top w:val="none" w:sz="0" w:space="0" w:color="auto"/>
        <w:left w:val="none" w:sz="0" w:space="0" w:color="auto"/>
        <w:bottom w:val="none" w:sz="0" w:space="0" w:color="auto"/>
        <w:right w:val="none" w:sz="0" w:space="0" w:color="auto"/>
      </w:divBdr>
    </w:div>
    <w:div w:id="1252817229">
      <w:bodyDiv w:val="1"/>
      <w:marLeft w:val="0"/>
      <w:marRight w:val="0"/>
      <w:marTop w:val="0"/>
      <w:marBottom w:val="0"/>
      <w:divBdr>
        <w:top w:val="none" w:sz="0" w:space="0" w:color="auto"/>
        <w:left w:val="none" w:sz="0" w:space="0" w:color="auto"/>
        <w:bottom w:val="none" w:sz="0" w:space="0" w:color="auto"/>
        <w:right w:val="none" w:sz="0" w:space="0" w:color="auto"/>
      </w:divBdr>
    </w:div>
    <w:div w:id="1465545118">
      <w:bodyDiv w:val="1"/>
      <w:marLeft w:val="0"/>
      <w:marRight w:val="0"/>
      <w:marTop w:val="0"/>
      <w:marBottom w:val="0"/>
      <w:divBdr>
        <w:top w:val="none" w:sz="0" w:space="0" w:color="auto"/>
        <w:left w:val="none" w:sz="0" w:space="0" w:color="auto"/>
        <w:bottom w:val="none" w:sz="0" w:space="0" w:color="auto"/>
        <w:right w:val="none" w:sz="0" w:space="0" w:color="auto"/>
      </w:divBdr>
      <w:divsChild>
        <w:div w:id="15728077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yashiv\Documents\&#8235;&#1514;&#1489;&#1504;&#1497;&#1493;&#1514;%20&#1502;&#1493;&#1514;&#1488;&#1502;&#1493;&#1514;%20&#1488;&#1497;&#1513;&#1497;&#1514;%20&#1513;&#1500;%20Office&#8236;\&#1492;&#1497;&#1508;&#1493;&#1498;%20&#1513;&#1489;&#1493;&#1506;&#1492;%20&#1490;&#1512;&#1505;&#1492;%203.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D6BFB-FF09-4181-83E0-9C0FEB65E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היפוך שבועה גרסה 3.dotm</Template>
  <TotalTime>18433</TotalTime>
  <Pages>24</Pages>
  <Words>7003</Words>
  <Characters>33128</Characters>
  <Application>Microsoft Office Word</Application>
  <DocSecurity>0</DocSecurity>
  <Lines>637</Lines>
  <Paragraphs>163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39968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elyashiv</dc:creator>
  <cp:keywords/>
  <dc:description/>
  <cp:lastModifiedBy>Elyashiv Cherlow</cp:lastModifiedBy>
  <cp:revision>2070</cp:revision>
  <dcterms:created xsi:type="dcterms:W3CDTF">2023-07-02T06:24:00Z</dcterms:created>
  <dcterms:modified xsi:type="dcterms:W3CDTF">2023-08-14T10:09:00Z</dcterms:modified>
</cp:coreProperties>
</file>