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769"/>
      </w:tblGrid>
      <w:tr w:rsidR="00FE2B85" w:rsidRPr="003869D7" w14:paraId="18AB5AC9" w14:textId="77777777" w:rsidTr="00126AD4">
        <w:trPr>
          <w:trHeight w:val="567"/>
        </w:trPr>
        <w:tc>
          <w:tcPr>
            <w:tcW w:w="4253" w:type="dxa"/>
            <w:vAlign w:val="center"/>
          </w:tcPr>
          <w:p w14:paraId="141CAB66" w14:textId="75AD7B12" w:rsidR="00981DF6" w:rsidRPr="00981DF6" w:rsidRDefault="00981DF6" w:rsidP="00D30802">
            <w:pPr>
              <w:pStyle w:val="Title"/>
              <w:spacing w:before="0" w:after="0"/>
              <w:jc w:val="left"/>
              <w:rPr>
                <w:b w:val="0"/>
                <w:sz w:val="20"/>
                <w:szCs w:val="20"/>
                <w:lang w:val="en-US"/>
              </w:rPr>
            </w:pPr>
            <w:r w:rsidRPr="00662DAD">
              <w:rPr>
                <w:sz w:val="20"/>
                <w:szCs w:val="20"/>
                <w:lang w:val="en-US"/>
              </w:rPr>
              <w:t xml:space="preserve">In-Person: </w:t>
            </w:r>
            <w:r w:rsidR="00FE2B85" w:rsidRPr="00981DF6">
              <w:rPr>
                <w:b w:val="0"/>
                <w:sz w:val="20"/>
                <w:szCs w:val="20"/>
                <w:lang w:val="en-US"/>
              </w:rPr>
              <w:t xml:space="preserve">Oral </w:t>
            </w:r>
            <w:sdt>
              <w:sdtPr>
                <w:rPr>
                  <w:b w:val="0"/>
                  <w:sz w:val="20"/>
                  <w:szCs w:val="20"/>
                </w:rPr>
                <w:id w:val="1942945506"/>
                <w14:checkbox>
                  <w14:checked w14:val="1"/>
                  <w14:checkedState w14:val="2612" w14:font="MS Gothic"/>
                  <w14:uncheckedState w14:val="2610" w14:font="MS Gothic"/>
                </w14:checkbox>
              </w:sdtPr>
              <w:sdtContent>
                <w:r w:rsidR="00241ACE">
                  <w:rPr>
                    <w:rFonts w:ascii="MS Gothic" w:eastAsia="MS Gothic" w:hAnsi="MS Gothic" w:hint="eastAsia"/>
                    <w:b w:val="0"/>
                    <w:sz w:val="20"/>
                    <w:szCs w:val="20"/>
                  </w:rPr>
                  <w:t>☒</w:t>
                </w:r>
              </w:sdtContent>
            </w:sdt>
            <w:r w:rsidR="00FE2B85" w:rsidRPr="00981DF6">
              <w:rPr>
                <w:b w:val="0"/>
                <w:sz w:val="20"/>
                <w:szCs w:val="20"/>
                <w:lang w:val="en-US"/>
              </w:rPr>
              <w:t xml:space="preserve">/ Poster </w:t>
            </w:r>
            <w:sdt>
              <w:sdtPr>
                <w:rPr>
                  <w:b w:val="0"/>
                  <w:sz w:val="20"/>
                  <w:szCs w:val="20"/>
                </w:rPr>
                <w:id w:val="-668784892"/>
                <w14:checkbox>
                  <w14:checked w14:val="0"/>
                  <w14:checkedState w14:val="2612" w14:font="MS Gothic"/>
                  <w14:uncheckedState w14:val="2610" w14:font="MS Gothic"/>
                </w14:checkbox>
              </w:sdtPr>
              <w:sdtContent>
                <w:r w:rsidR="00D30802">
                  <w:rPr>
                    <w:rFonts w:ascii="MS Gothic" w:eastAsia="MS Gothic" w:hAnsi="MS Gothic" w:hint="eastAsia"/>
                    <w:b w:val="0"/>
                    <w:sz w:val="20"/>
                    <w:szCs w:val="20"/>
                    <w:lang w:val="en-US"/>
                  </w:rPr>
                  <w:t>☐</w:t>
                </w:r>
              </w:sdtContent>
            </w:sdt>
            <w:r w:rsidR="00FE2B85" w:rsidRPr="00981DF6">
              <w:rPr>
                <w:b w:val="0"/>
                <w:sz w:val="20"/>
                <w:szCs w:val="20"/>
                <w:lang w:val="en-US"/>
              </w:rPr>
              <w:t xml:space="preserve">/ The same </w:t>
            </w:r>
            <w:sdt>
              <w:sdtPr>
                <w:rPr>
                  <w:b w:val="0"/>
                  <w:sz w:val="20"/>
                  <w:szCs w:val="20"/>
                </w:rPr>
                <w:id w:val="395940964"/>
                <w14:checkbox>
                  <w14:checked w14:val="0"/>
                  <w14:checkedState w14:val="2612" w14:font="MS Gothic"/>
                  <w14:uncheckedState w14:val="2610" w14:font="MS Gothic"/>
                </w14:checkbox>
              </w:sdtPr>
              <w:sdtContent>
                <w:r w:rsidR="00D30802">
                  <w:rPr>
                    <w:rFonts w:ascii="MS Gothic" w:eastAsia="MS Gothic" w:hAnsi="MS Gothic" w:hint="eastAsia"/>
                    <w:b w:val="0"/>
                    <w:sz w:val="20"/>
                    <w:szCs w:val="20"/>
                    <w:lang w:val="en-US"/>
                  </w:rPr>
                  <w:t>☐</w:t>
                </w:r>
              </w:sdtContent>
            </w:sdt>
          </w:p>
          <w:p w14:paraId="2AE820ED" w14:textId="77777777" w:rsidR="00FE2B85" w:rsidRPr="00981DF6" w:rsidRDefault="00981DF6" w:rsidP="00D30802">
            <w:pPr>
              <w:pStyle w:val="Title"/>
              <w:spacing w:before="0" w:after="0"/>
              <w:jc w:val="left"/>
              <w:rPr>
                <w:b w:val="0"/>
                <w:sz w:val="20"/>
                <w:szCs w:val="20"/>
                <w:lang w:val="en-US"/>
              </w:rPr>
            </w:pPr>
            <w:r w:rsidRPr="00662DAD">
              <w:rPr>
                <w:sz w:val="20"/>
                <w:szCs w:val="20"/>
                <w:lang w:val="en-US"/>
              </w:rPr>
              <w:t>Virtual:</w:t>
            </w:r>
            <w:r w:rsidRPr="00981DF6">
              <w:rPr>
                <w:b w:val="0"/>
                <w:sz w:val="20"/>
                <w:szCs w:val="20"/>
                <w:lang w:val="en-US"/>
              </w:rPr>
              <w:t xml:space="preserve"> Pre-recorded video or Zoom</w:t>
            </w:r>
            <w:r w:rsidR="00D30802">
              <w:rPr>
                <w:b w:val="0"/>
                <w:sz w:val="20"/>
                <w:szCs w:val="20"/>
                <w:lang w:val="en-US"/>
              </w:rPr>
              <w:t xml:space="preserve"> </w:t>
            </w:r>
            <w:sdt>
              <w:sdtPr>
                <w:rPr>
                  <w:b w:val="0"/>
                  <w:sz w:val="20"/>
                  <w:szCs w:val="20"/>
                </w:rPr>
                <w:id w:val="787940847"/>
                <w14:checkbox>
                  <w14:checked w14:val="0"/>
                  <w14:checkedState w14:val="2612" w14:font="MS Gothic"/>
                  <w14:uncheckedState w14:val="2610" w14:font="MS Gothic"/>
                </w14:checkbox>
              </w:sdtPr>
              <w:sdtContent>
                <w:r w:rsidR="00D30802">
                  <w:rPr>
                    <w:rFonts w:ascii="MS Gothic" w:eastAsia="MS Gothic" w:hAnsi="MS Gothic" w:hint="eastAsia"/>
                    <w:b w:val="0"/>
                    <w:sz w:val="20"/>
                    <w:szCs w:val="20"/>
                    <w:lang w:val="en-US"/>
                  </w:rPr>
                  <w:t>☐</w:t>
                </w:r>
              </w:sdtContent>
            </w:sdt>
            <w:r w:rsidR="00FE2B85" w:rsidRPr="00981DF6">
              <w:rPr>
                <w:b w:val="0"/>
                <w:sz w:val="20"/>
                <w:szCs w:val="20"/>
                <w:lang w:val="en-US"/>
              </w:rPr>
              <w:br/>
            </w:r>
            <w:r w:rsidR="00EF66BB" w:rsidRPr="00981DF6">
              <w:rPr>
                <w:b w:val="0"/>
                <w:i/>
                <w:sz w:val="20"/>
                <w:szCs w:val="20"/>
                <w:lang w:val="en-US"/>
              </w:rPr>
              <w:t>&lt;p</w:t>
            </w:r>
            <w:r w:rsidR="00ED03D4" w:rsidRPr="00981DF6">
              <w:rPr>
                <w:b w:val="0"/>
                <w:i/>
                <w:sz w:val="20"/>
                <w:szCs w:val="20"/>
                <w:lang w:val="en-US"/>
              </w:rPr>
              <w:t>l</w:t>
            </w:r>
            <w:r w:rsidR="00FE2B85" w:rsidRPr="00981DF6">
              <w:rPr>
                <w:b w:val="0"/>
                <w:i/>
                <w:sz w:val="20"/>
                <w:szCs w:val="20"/>
                <w:lang w:val="en-US"/>
              </w:rPr>
              <w:t>ease select the type of your presentation&gt;</w:t>
            </w:r>
          </w:p>
        </w:tc>
        <w:tc>
          <w:tcPr>
            <w:tcW w:w="4769" w:type="dxa"/>
          </w:tcPr>
          <w:p w14:paraId="2643F8C5" w14:textId="3767141A" w:rsidR="00FE2B85" w:rsidRPr="00981DF6" w:rsidRDefault="00FE2B85" w:rsidP="00662DAD">
            <w:pPr>
              <w:pStyle w:val="Title"/>
              <w:spacing w:after="0"/>
              <w:rPr>
                <w:b w:val="0"/>
                <w:sz w:val="20"/>
                <w:szCs w:val="20"/>
                <w:lang w:val="en-US"/>
              </w:rPr>
            </w:pPr>
            <w:r w:rsidRPr="00981DF6">
              <w:rPr>
                <w:b w:val="0"/>
                <w:sz w:val="20"/>
                <w:szCs w:val="20"/>
                <w:lang w:val="en-US"/>
              </w:rPr>
              <w:t xml:space="preserve">Topic: </w:t>
            </w:r>
            <w:r w:rsidR="006A7CAB" w:rsidRPr="00981DF6">
              <w:rPr>
                <w:b w:val="0"/>
                <w:i/>
                <w:sz w:val="20"/>
                <w:szCs w:val="20"/>
                <w:lang w:val="en-US"/>
              </w:rPr>
              <w:t>&lt;</w:t>
            </w:r>
            <w:r w:rsidR="00252C84" w:rsidRPr="005E136C">
              <w:rPr>
                <w:b w:val="0"/>
                <w:i/>
                <w:sz w:val="20"/>
                <w:szCs w:val="20"/>
                <w:lang w:val="en-US"/>
              </w:rPr>
              <w:t>Microelectronics reliability and qualification</w:t>
            </w:r>
            <w:r w:rsidRPr="00981DF6">
              <w:rPr>
                <w:b w:val="0"/>
                <w:i/>
                <w:sz w:val="20"/>
                <w:szCs w:val="20"/>
                <w:lang w:val="en-US"/>
              </w:rPr>
              <w:t>&gt;</w:t>
            </w:r>
          </w:p>
        </w:tc>
      </w:tr>
    </w:tbl>
    <w:p w14:paraId="00C693DC" w14:textId="77777777" w:rsidR="00570A42" w:rsidRPr="00840020" w:rsidRDefault="00570A42" w:rsidP="00840020">
      <w:pPr>
        <w:pStyle w:val="Title"/>
        <w:spacing w:after="0"/>
        <w:ind w:firstLine="0"/>
        <w:jc w:val="left"/>
        <w:rPr>
          <w:b w:val="0"/>
        </w:rPr>
      </w:pPr>
    </w:p>
    <w:p w14:paraId="5D23134C" w14:textId="7AFB9FA6" w:rsidR="00570A42" w:rsidRDefault="00252C84">
      <w:pPr>
        <w:pStyle w:val="Title"/>
        <w:spacing w:after="0"/>
        <w:ind w:firstLine="0"/>
        <w:rPr>
          <w:lang w:bidi="he-IL"/>
        </w:rPr>
      </w:pPr>
      <w:r>
        <w:rPr>
          <w:lang w:bidi="he-IL"/>
        </w:rPr>
        <w:t xml:space="preserve">The Effect of </w:t>
      </w:r>
      <w:r w:rsidR="00295525">
        <w:rPr>
          <w:lang w:bidi="he-IL"/>
        </w:rPr>
        <w:t xml:space="preserve">Asymmetric </w:t>
      </w:r>
      <w:r>
        <w:rPr>
          <w:lang w:bidi="he-IL"/>
        </w:rPr>
        <w:t>Transistor Aging on GPGPUs</w:t>
      </w:r>
    </w:p>
    <w:p w14:paraId="25A8232D" w14:textId="77777777" w:rsidR="00570A42" w:rsidRDefault="00570A42">
      <w:pPr>
        <w:pBdr>
          <w:top w:val="nil"/>
          <w:left w:val="nil"/>
          <w:bottom w:val="nil"/>
          <w:right w:val="nil"/>
          <w:between w:val="nil"/>
        </w:pBdr>
        <w:jc w:val="center"/>
        <w:rPr>
          <w:color w:val="000000"/>
          <w:sz w:val="22"/>
          <w:szCs w:val="22"/>
        </w:rPr>
      </w:pPr>
    </w:p>
    <w:p w14:paraId="1C00B2C9" w14:textId="297FA387" w:rsidR="00252C84" w:rsidRDefault="00252C84" w:rsidP="00252C84">
      <w:pPr>
        <w:pBdr>
          <w:top w:val="nil"/>
          <w:left w:val="nil"/>
          <w:bottom w:val="nil"/>
          <w:right w:val="nil"/>
          <w:between w:val="nil"/>
        </w:pBdr>
        <w:jc w:val="center"/>
        <w:rPr>
          <w:color w:val="000000"/>
        </w:rPr>
      </w:pPr>
      <w:r>
        <w:rPr>
          <w:b/>
          <w:color w:val="000000"/>
          <w:sz w:val="22"/>
          <w:szCs w:val="22"/>
          <w:u w:val="single"/>
        </w:rPr>
        <w:t>F. Gabbay</w:t>
      </w:r>
      <w:r>
        <w:rPr>
          <w:b/>
          <w:color w:val="000000"/>
          <w:sz w:val="22"/>
          <w:szCs w:val="22"/>
        </w:rPr>
        <w:t xml:space="preserve"> </w:t>
      </w:r>
      <w:r>
        <w:rPr>
          <w:b/>
          <w:color w:val="000000"/>
          <w:sz w:val="22"/>
          <w:szCs w:val="22"/>
          <w:vertAlign w:val="superscript"/>
        </w:rPr>
        <w:t>1</w:t>
      </w:r>
      <w:r>
        <w:rPr>
          <w:b/>
          <w:color w:val="000000"/>
          <w:sz w:val="22"/>
          <w:szCs w:val="22"/>
        </w:rPr>
        <w:t>, F. Ramadan</w:t>
      </w:r>
      <w:r>
        <w:rPr>
          <w:b/>
          <w:color w:val="000000"/>
          <w:sz w:val="22"/>
          <w:szCs w:val="22"/>
          <w:vertAlign w:val="superscript"/>
        </w:rPr>
        <w:t>2</w:t>
      </w:r>
      <w:r w:rsidR="008B6835">
        <w:rPr>
          <w:b/>
          <w:color w:val="000000"/>
          <w:sz w:val="22"/>
          <w:szCs w:val="22"/>
          <w:lang w:bidi="he-IL"/>
        </w:rPr>
        <w:t xml:space="preserve">, </w:t>
      </w:r>
      <w:r>
        <w:rPr>
          <w:b/>
          <w:color w:val="000000"/>
          <w:sz w:val="22"/>
          <w:szCs w:val="22"/>
        </w:rPr>
        <w:t xml:space="preserve">M. </w:t>
      </w:r>
      <w:proofErr w:type="spellStart"/>
      <w:r>
        <w:rPr>
          <w:b/>
          <w:color w:val="000000"/>
          <w:sz w:val="22"/>
          <w:szCs w:val="22"/>
        </w:rPr>
        <w:t>Ganaiem</w:t>
      </w:r>
      <w:proofErr w:type="spellEnd"/>
      <w:r>
        <w:rPr>
          <w:b/>
          <w:color w:val="000000"/>
          <w:sz w:val="22"/>
          <w:szCs w:val="22"/>
        </w:rPr>
        <w:t xml:space="preserve"> </w:t>
      </w:r>
      <w:r>
        <w:rPr>
          <w:b/>
          <w:color w:val="000000"/>
          <w:sz w:val="22"/>
          <w:szCs w:val="22"/>
          <w:vertAlign w:val="superscript"/>
        </w:rPr>
        <w:t>2</w:t>
      </w:r>
      <w:r w:rsidR="008B6835">
        <w:rPr>
          <w:b/>
          <w:color w:val="000000"/>
          <w:sz w:val="22"/>
          <w:szCs w:val="22"/>
        </w:rPr>
        <w:t xml:space="preserve">, </w:t>
      </w:r>
      <w:proofErr w:type="spellStart"/>
      <w:r w:rsidR="008B6835" w:rsidRPr="008B6835">
        <w:rPr>
          <w:b/>
          <w:color w:val="000000"/>
          <w:sz w:val="22"/>
          <w:szCs w:val="22"/>
        </w:rPr>
        <w:t>Ofrie</w:t>
      </w:r>
      <w:proofErr w:type="spellEnd"/>
      <w:r w:rsidR="008B6835" w:rsidRPr="008B6835">
        <w:rPr>
          <w:b/>
          <w:color w:val="000000"/>
          <w:sz w:val="22"/>
          <w:szCs w:val="22"/>
        </w:rPr>
        <w:t xml:space="preserve"> Rosenthal</w:t>
      </w:r>
      <w:r w:rsidR="008B6835">
        <w:rPr>
          <w:b/>
          <w:color w:val="000000"/>
          <w:sz w:val="22"/>
          <w:szCs w:val="22"/>
          <w:vertAlign w:val="superscript"/>
        </w:rPr>
        <w:t>2</w:t>
      </w:r>
      <w:r w:rsidR="008B6835" w:rsidRPr="008B6835">
        <w:rPr>
          <w:b/>
          <w:color w:val="000000"/>
          <w:sz w:val="22"/>
          <w:szCs w:val="22"/>
        </w:rPr>
        <w:t xml:space="preserve"> and </w:t>
      </w:r>
      <w:proofErr w:type="spellStart"/>
      <w:r w:rsidR="008B6835" w:rsidRPr="008B6835">
        <w:rPr>
          <w:b/>
          <w:color w:val="000000"/>
          <w:sz w:val="22"/>
          <w:szCs w:val="22"/>
        </w:rPr>
        <w:t>Lior</w:t>
      </w:r>
      <w:proofErr w:type="spellEnd"/>
      <w:r w:rsidR="008B6835" w:rsidRPr="008B6835">
        <w:rPr>
          <w:b/>
          <w:color w:val="000000"/>
          <w:sz w:val="22"/>
          <w:szCs w:val="22"/>
        </w:rPr>
        <w:t xml:space="preserve"> Bashari</w:t>
      </w:r>
      <w:r w:rsidR="008B6835">
        <w:rPr>
          <w:b/>
          <w:color w:val="000000"/>
          <w:sz w:val="22"/>
          <w:szCs w:val="22"/>
          <w:vertAlign w:val="superscript"/>
        </w:rPr>
        <w:t>2</w:t>
      </w:r>
      <w:r>
        <w:rPr>
          <w:color w:val="000000"/>
          <w:sz w:val="22"/>
          <w:szCs w:val="22"/>
        </w:rPr>
        <w:br/>
      </w:r>
      <w:r>
        <w:rPr>
          <w:color w:val="000000"/>
          <w:vertAlign w:val="superscript"/>
        </w:rPr>
        <w:t>1</w:t>
      </w:r>
      <w:r>
        <w:rPr>
          <w:color w:val="000000"/>
        </w:rPr>
        <w:t xml:space="preserve"> Engineering Faculty, Ruppin Academic Center, </w:t>
      </w:r>
      <w:r w:rsidRPr="00E62FD0">
        <w:rPr>
          <w:color w:val="000000"/>
        </w:rPr>
        <w:t>4025000</w:t>
      </w:r>
      <w:r>
        <w:rPr>
          <w:color w:val="000000"/>
        </w:rPr>
        <w:t xml:space="preserve">, </w:t>
      </w:r>
      <w:proofErr w:type="spellStart"/>
      <w:r>
        <w:rPr>
          <w:color w:val="000000"/>
        </w:rPr>
        <w:t>Emek</w:t>
      </w:r>
      <w:proofErr w:type="spellEnd"/>
      <w:r>
        <w:rPr>
          <w:color w:val="000000"/>
        </w:rPr>
        <w:t xml:space="preserve"> </w:t>
      </w:r>
      <w:proofErr w:type="spellStart"/>
      <w:r>
        <w:rPr>
          <w:color w:val="000000"/>
        </w:rPr>
        <w:t>Hefer</w:t>
      </w:r>
      <w:proofErr w:type="spellEnd"/>
      <w:r>
        <w:rPr>
          <w:color w:val="000000"/>
        </w:rPr>
        <w:t>, Israel</w:t>
      </w:r>
    </w:p>
    <w:p w14:paraId="61D791C6" w14:textId="15F72A78" w:rsidR="00252C84" w:rsidRDefault="00252C84" w:rsidP="00252C84">
      <w:pPr>
        <w:pBdr>
          <w:top w:val="nil"/>
          <w:left w:val="nil"/>
          <w:bottom w:val="nil"/>
          <w:right w:val="nil"/>
          <w:between w:val="nil"/>
        </w:pBdr>
        <w:jc w:val="center"/>
        <w:rPr>
          <w:color w:val="000000"/>
          <w:u w:val="single"/>
        </w:rPr>
      </w:pPr>
      <w:r>
        <w:rPr>
          <w:color w:val="000000"/>
          <w:vertAlign w:val="superscript"/>
        </w:rPr>
        <w:t xml:space="preserve">2 </w:t>
      </w:r>
      <w:r>
        <w:rPr>
          <w:color w:val="000000"/>
        </w:rPr>
        <w:t>Electrical and Computer Engineering Faculty, Technion – Israel Institute of Technology, Technion City, 3200000 Haifa, Israel</w:t>
      </w:r>
      <w:r>
        <w:rPr>
          <w:color w:val="000000"/>
        </w:rPr>
        <w:br/>
        <w:t xml:space="preserve">E-mail: </w:t>
      </w:r>
      <w:hyperlink r:id="rId6" w:history="1">
        <w:r w:rsidRPr="00AD5844">
          <w:rPr>
            <w:rStyle w:val="Hyperlink"/>
          </w:rPr>
          <w:t>{freddyg@ruppin.ac.il</w:t>
        </w:r>
      </w:hyperlink>
      <w:r>
        <w:rPr>
          <w:color w:val="000000"/>
        </w:rPr>
        <w:t>,</w:t>
      </w:r>
      <w:r>
        <w:t xml:space="preserve"> </w:t>
      </w:r>
      <w:hyperlink r:id="rId7" w:history="1">
        <w:r w:rsidR="00B524F6" w:rsidRPr="008D44CE">
          <w:rPr>
            <w:rStyle w:val="Hyperlink"/>
          </w:rPr>
          <w:t>firasramadan@campus.technion.ac.il</w:t>
        </w:r>
      </w:hyperlink>
      <w:r>
        <w:t xml:space="preserve">, </w:t>
      </w:r>
      <w:hyperlink r:id="rId8" w:history="1">
        <w:r w:rsidRPr="00BA434F">
          <w:rPr>
            <w:rStyle w:val="Hyperlink"/>
          </w:rPr>
          <w:t>majd.ga@campus.technion.ac.il</w:t>
        </w:r>
      </w:hyperlink>
      <w:r w:rsidR="008B6835">
        <w:t xml:space="preserve">, </w:t>
      </w:r>
      <w:hyperlink r:id="rId9" w:history="1">
        <w:r w:rsidR="008B6835" w:rsidRPr="00BA434F">
          <w:rPr>
            <w:rStyle w:val="Hyperlink"/>
          </w:rPr>
          <w:t>ofrie.r@campus.technion.ac.il</w:t>
        </w:r>
      </w:hyperlink>
      <w:r w:rsidR="008B6835">
        <w:t xml:space="preserve">, </w:t>
      </w:r>
      <w:hyperlink r:id="rId10" w:history="1">
        <w:r w:rsidR="008B6835" w:rsidRPr="00BA434F">
          <w:rPr>
            <w:rStyle w:val="Hyperlink"/>
          </w:rPr>
          <w:t>li-orbashari@campus.technion.ac.il</w:t>
        </w:r>
      </w:hyperlink>
      <w:r>
        <w:rPr>
          <w:color w:val="000000"/>
        </w:rPr>
        <w:t>}</w:t>
      </w:r>
    </w:p>
    <w:p w14:paraId="0DBCBFAD" w14:textId="77777777" w:rsidR="00570A42" w:rsidRDefault="00570A42">
      <w:pPr>
        <w:pBdr>
          <w:top w:val="nil"/>
          <w:left w:val="nil"/>
          <w:bottom w:val="single" w:sz="6" w:space="1" w:color="000000"/>
          <w:right w:val="nil"/>
          <w:between w:val="nil"/>
        </w:pBdr>
        <w:ind w:firstLine="0"/>
        <w:rPr>
          <w:i/>
          <w:color w:val="000000"/>
        </w:rPr>
      </w:pPr>
    </w:p>
    <w:p w14:paraId="1D11F756" w14:textId="77777777" w:rsidR="00570A42" w:rsidRDefault="00570A42">
      <w:pPr>
        <w:rPr>
          <w:b/>
          <w:sz w:val="18"/>
          <w:szCs w:val="18"/>
        </w:rPr>
      </w:pPr>
    </w:p>
    <w:p w14:paraId="1DF0E429" w14:textId="5F29C2F7" w:rsidR="00AB0B7B" w:rsidRDefault="001E6148" w:rsidP="00AB0B7B">
      <w:pPr>
        <w:ind w:firstLine="0"/>
        <w:rPr>
          <w:sz w:val="18"/>
          <w:szCs w:val="18"/>
        </w:rPr>
      </w:pPr>
      <w:bookmarkStart w:id="0" w:name="_gjdgxs" w:colFirst="0" w:colLast="0"/>
      <w:bookmarkEnd w:id="0"/>
      <w:r>
        <w:rPr>
          <w:b/>
          <w:sz w:val="18"/>
          <w:szCs w:val="18"/>
        </w:rPr>
        <w:t>Summary:</w:t>
      </w:r>
      <w:r w:rsidR="00AB0B7B">
        <w:rPr>
          <w:sz w:val="18"/>
          <w:szCs w:val="18"/>
        </w:rPr>
        <w:t xml:space="preserve"> </w:t>
      </w:r>
      <w:r w:rsidR="00AB0B7B" w:rsidRPr="00AB0B7B">
        <w:rPr>
          <w:sz w:val="18"/>
          <w:szCs w:val="18"/>
        </w:rPr>
        <w:t>General-Purpose Graphics Processing Units (GPGPUs) are specialized hardware devices designed for parallel computing tasks in various domains. Their integration into critical systems like autonomous vehicles, security systems, and medical devices has raised the need for enhanced reliability and resilience, meeting industry and regulatory standards. However, GPGPUs face reliability concerns due to transistor aging caused by bias temperature instability (BTI). This progressive degradation of transistor performance can lead to performance degradation and critical circuit failures, affecting timing violations. This paper investigates the impact of transistor aging on GPGPU execution units, highlighting their vulnerability to BTI. Experimental analysis reveals the significant influence of BTI on computational elements within GPGPUs. To address this issue, we propose an effective mitigation technique that specifically targets the challenges of asymmetric aging in GPGPU execution units, effectively mitigating timing violations.</w:t>
      </w:r>
    </w:p>
    <w:p w14:paraId="2EF05ADB" w14:textId="77777777" w:rsidR="00054578" w:rsidRDefault="00054578" w:rsidP="00662DAD">
      <w:pPr>
        <w:ind w:firstLine="0"/>
        <w:rPr>
          <w:sz w:val="18"/>
          <w:szCs w:val="18"/>
        </w:rPr>
      </w:pPr>
    </w:p>
    <w:p w14:paraId="2358418A" w14:textId="4F797CCA" w:rsidR="00570A42" w:rsidRDefault="001E6148">
      <w:pPr>
        <w:ind w:firstLine="0"/>
        <w:rPr>
          <w:sz w:val="18"/>
          <w:szCs w:val="18"/>
        </w:rPr>
      </w:pPr>
      <w:r>
        <w:rPr>
          <w:b/>
          <w:sz w:val="18"/>
          <w:szCs w:val="18"/>
        </w:rPr>
        <w:t>Keywords:</w:t>
      </w:r>
      <w:r>
        <w:rPr>
          <w:sz w:val="18"/>
          <w:szCs w:val="18"/>
        </w:rPr>
        <w:t xml:space="preserve"> </w:t>
      </w:r>
      <w:r w:rsidR="00054578">
        <w:rPr>
          <w:sz w:val="18"/>
          <w:szCs w:val="18"/>
        </w:rPr>
        <w:t xml:space="preserve">GPGPU, BTI, </w:t>
      </w:r>
      <w:r w:rsidR="00295525">
        <w:rPr>
          <w:sz w:val="18"/>
          <w:szCs w:val="18"/>
        </w:rPr>
        <w:t xml:space="preserve">Asymmetric </w:t>
      </w:r>
      <w:r w:rsidR="00054578">
        <w:rPr>
          <w:sz w:val="18"/>
          <w:szCs w:val="18"/>
        </w:rPr>
        <w:t>Transistor Aging.</w:t>
      </w:r>
    </w:p>
    <w:p w14:paraId="0BD703C8" w14:textId="77777777" w:rsidR="00570A42" w:rsidRDefault="00570A42">
      <w:pPr>
        <w:pBdr>
          <w:top w:val="nil"/>
          <w:left w:val="nil"/>
          <w:bottom w:val="single" w:sz="6" w:space="1" w:color="000000"/>
          <w:right w:val="nil"/>
          <w:between w:val="nil"/>
        </w:pBdr>
        <w:ind w:firstLine="0"/>
        <w:rPr>
          <w:i/>
          <w:color w:val="000000"/>
          <w:sz w:val="18"/>
          <w:szCs w:val="18"/>
        </w:rPr>
      </w:pPr>
    </w:p>
    <w:p w14:paraId="52B8CF6B" w14:textId="77777777" w:rsidR="00570A42" w:rsidRDefault="00570A42"/>
    <w:p w14:paraId="16FA2BD1" w14:textId="77777777" w:rsidR="00570A42" w:rsidRDefault="00570A42">
      <w:pPr>
        <w:pBdr>
          <w:top w:val="nil"/>
          <w:left w:val="nil"/>
          <w:bottom w:val="nil"/>
          <w:right w:val="nil"/>
          <w:between w:val="nil"/>
        </w:pBdr>
        <w:spacing w:after="240"/>
        <w:ind w:firstLine="0"/>
        <w:rPr>
          <w:b/>
          <w:color w:val="000000"/>
          <w:sz w:val="22"/>
          <w:szCs w:val="22"/>
        </w:rPr>
        <w:sectPr w:rsidR="00570A42">
          <w:headerReference w:type="default" r:id="rId11"/>
          <w:pgSz w:w="11906" w:h="16838"/>
          <w:pgMar w:top="1077" w:right="1440" w:bottom="1440" w:left="1077" w:header="0" w:footer="720" w:gutter="0"/>
          <w:pgNumType w:start="1"/>
          <w:cols w:space="720"/>
        </w:sectPr>
      </w:pPr>
    </w:p>
    <w:p w14:paraId="166FB2A4" w14:textId="77777777" w:rsidR="00570A42" w:rsidRDefault="001E6148">
      <w:pPr>
        <w:pBdr>
          <w:top w:val="nil"/>
          <w:left w:val="nil"/>
          <w:bottom w:val="nil"/>
          <w:right w:val="nil"/>
          <w:between w:val="nil"/>
        </w:pBdr>
        <w:spacing w:after="240"/>
        <w:ind w:firstLine="0"/>
        <w:rPr>
          <w:b/>
          <w:color w:val="000000"/>
          <w:sz w:val="22"/>
          <w:szCs w:val="22"/>
        </w:rPr>
      </w:pPr>
      <w:r>
        <w:rPr>
          <w:b/>
          <w:color w:val="000000"/>
          <w:sz w:val="22"/>
          <w:szCs w:val="22"/>
        </w:rPr>
        <w:t>1. Introduction</w:t>
      </w:r>
    </w:p>
    <w:p w14:paraId="35B8EBB4" w14:textId="7CB181C0" w:rsidR="00ED67EC" w:rsidRDefault="00252C84" w:rsidP="00ED67EC">
      <w:pPr>
        <w:pBdr>
          <w:top w:val="nil"/>
          <w:left w:val="nil"/>
          <w:bottom w:val="nil"/>
          <w:right w:val="nil"/>
          <w:between w:val="nil"/>
        </w:pBdr>
        <w:tabs>
          <w:tab w:val="left" w:pos="1843"/>
        </w:tabs>
      </w:pPr>
      <w:r w:rsidRPr="00203A72">
        <w:t>General-Purpose Graphics Processing Units</w:t>
      </w:r>
      <w:r>
        <w:t xml:space="preserve"> (</w:t>
      </w:r>
      <w:r w:rsidRPr="00203A72">
        <w:t>GPGPUs) are specialized hardware devices designed to perform highly parallel computation</w:t>
      </w:r>
      <w:r w:rsidR="00ED67EC">
        <w:t xml:space="preserve">s </w:t>
      </w:r>
      <w:r>
        <w:t>([1</w:t>
      </w:r>
      <w:r w:rsidR="00EB22A6">
        <w:t xml:space="preserve">, </w:t>
      </w:r>
      <w:r>
        <w:t>2])</w:t>
      </w:r>
      <w:r w:rsidRPr="00203A72">
        <w:t xml:space="preserve"> </w:t>
      </w:r>
      <w:r>
        <w:t xml:space="preserve">and are </w:t>
      </w:r>
      <w:r w:rsidRPr="00203A72">
        <w:t xml:space="preserve">designed to accelerate a wide range of computational tasks, including machine learning, </w:t>
      </w:r>
      <w:r>
        <w:t xml:space="preserve">high performance computing, </w:t>
      </w:r>
      <w:r w:rsidRPr="00203A72">
        <w:t xml:space="preserve">scientific simulations, data </w:t>
      </w:r>
      <w:r>
        <w:t>analytics</w:t>
      </w:r>
      <w:r w:rsidRPr="00203A72">
        <w:t>, and more.</w:t>
      </w:r>
      <w:r w:rsidR="00ED67EC">
        <w:t xml:space="preserve"> </w:t>
      </w:r>
      <w:r w:rsidR="00ED67EC" w:rsidRPr="00ED67EC">
        <w:t xml:space="preserve">Furthermore, there has been a recent utilization of </w:t>
      </w:r>
      <w:r w:rsidR="00ED67EC">
        <w:t>GP</w:t>
      </w:r>
      <w:r w:rsidR="00ED67EC" w:rsidRPr="00ED67EC">
        <w:t xml:space="preserve">GPUs in critical systems such as autonomous vehicles, security systems </w:t>
      </w:r>
      <w:r w:rsidR="00ED67EC">
        <w:t xml:space="preserve">and </w:t>
      </w:r>
      <w:r w:rsidR="00ED67EC" w:rsidRPr="00ED67EC">
        <w:t>medical devices</w:t>
      </w:r>
      <w:r w:rsidR="00ED67EC">
        <w:t xml:space="preserve"> </w:t>
      </w:r>
      <w:r w:rsidR="00ED67EC" w:rsidRPr="00ED67EC">
        <w:t>[</w:t>
      </w:r>
      <w:r w:rsidR="00EB22A6">
        <w:t>3, 4</w:t>
      </w:r>
      <w:r w:rsidR="00ED67EC" w:rsidRPr="00ED67EC">
        <w:t>]. These emerging applications establish stringent requirements for the resilienc</w:t>
      </w:r>
      <w:r w:rsidR="00ED67EC">
        <w:t>y and reliability of GPGPUs</w:t>
      </w:r>
      <w:r w:rsidR="00ED67EC" w:rsidRPr="00ED67EC">
        <w:t xml:space="preserve">, as mandated by industry </w:t>
      </w:r>
      <w:r w:rsidR="00ED67EC">
        <w:t xml:space="preserve">and </w:t>
      </w:r>
      <w:r w:rsidR="00ED67EC" w:rsidRPr="00ED67EC">
        <w:t>regulatory standards.</w:t>
      </w:r>
    </w:p>
    <w:p w14:paraId="5066C3A1" w14:textId="148820C7" w:rsidR="00EB22A6" w:rsidRDefault="00EB22A6" w:rsidP="00EB22A6">
      <w:pPr>
        <w:pBdr>
          <w:top w:val="nil"/>
          <w:left w:val="nil"/>
          <w:bottom w:val="nil"/>
          <w:right w:val="nil"/>
          <w:between w:val="nil"/>
        </w:pBdr>
        <w:tabs>
          <w:tab w:val="left" w:pos="1843"/>
        </w:tabs>
        <w:rPr>
          <w:color w:val="000000"/>
        </w:rPr>
      </w:pPr>
      <w:r w:rsidRPr="000C7BF8">
        <w:rPr>
          <w:color w:val="000000"/>
        </w:rPr>
        <w:t>In recent decades, VLSI technolog</w:t>
      </w:r>
      <w:r>
        <w:rPr>
          <w:color w:val="000000"/>
        </w:rPr>
        <w:t>ies</w:t>
      </w:r>
      <w:r w:rsidRPr="000C7BF8">
        <w:rPr>
          <w:color w:val="000000"/>
        </w:rPr>
        <w:t xml:space="preserve"> ha</w:t>
      </w:r>
      <w:r>
        <w:rPr>
          <w:color w:val="000000"/>
        </w:rPr>
        <w:t>ve</w:t>
      </w:r>
      <w:r w:rsidRPr="000C7BF8">
        <w:rPr>
          <w:color w:val="000000"/>
        </w:rPr>
        <w:t xml:space="preserve"> witnessed remarkable advancements, characterized by several significant trends</w:t>
      </w:r>
      <w:r>
        <w:rPr>
          <w:color w:val="000000"/>
        </w:rPr>
        <w:t xml:space="preserve">. </w:t>
      </w:r>
      <w:r w:rsidRPr="000C7BF8">
        <w:rPr>
          <w:color w:val="000000"/>
        </w:rPr>
        <w:t>Firs</w:t>
      </w:r>
      <w:r>
        <w:rPr>
          <w:color w:val="000000"/>
        </w:rPr>
        <w:t>t</w:t>
      </w:r>
      <w:r w:rsidRPr="000C7BF8">
        <w:rPr>
          <w:color w:val="000000"/>
        </w:rPr>
        <w:t>, the continuous development of new process nodes has ensured the consistent miniaturization of transistors to nanometric dimensions, in line with the principles of Moore's law.</w:t>
      </w:r>
      <w:r>
        <w:rPr>
          <w:color w:val="000000"/>
        </w:rPr>
        <w:t xml:space="preserve"> </w:t>
      </w:r>
      <w:r w:rsidRPr="00877345">
        <w:rPr>
          <w:color w:val="000000"/>
        </w:rPr>
        <w:t>Second, revolutionary devices and materials have played a pivotal role in driving advancements, resulting in improved performance and reduced energy consumption.</w:t>
      </w:r>
      <w:r>
        <w:rPr>
          <w:color w:val="000000"/>
        </w:rPr>
        <w:t xml:space="preserve"> </w:t>
      </w:r>
      <w:r w:rsidRPr="000C7BF8">
        <w:rPr>
          <w:color w:val="000000"/>
        </w:rPr>
        <w:t xml:space="preserve">However, these advancements have also brought to light the vulnerability of </w:t>
      </w:r>
      <w:r>
        <w:rPr>
          <w:color w:val="000000"/>
        </w:rPr>
        <w:t>integrated circuits (ICs)</w:t>
      </w:r>
      <w:r w:rsidRPr="000C7BF8">
        <w:rPr>
          <w:color w:val="000000"/>
        </w:rPr>
        <w:t xml:space="preserve"> to reliability issues, particularly those caused by transistor aging</w:t>
      </w:r>
      <w:r w:rsidR="00DC492E">
        <w:rPr>
          <w:color w:val="000000"/>
        </w:rPr>
        <w:t xml:space="preserve"> [5,6]</w:t>
      </w:r>
      <w:r w:rsidRPr="000C7BF8">
        <w:rPr>
          <w:color w:val="000000"/>
        </w:rPr>
        <w:t>. Transistor aging refers to the declin</w:t>
      </w:r>
      <w:r>
        <w:rPr>
          <w:color w:val="000000"/>
        </w:rPr>
        <w:t xml:space="preserve">ing process </w:t>
      </w:r>
      <w:r w:rsidRPr="000C7BF8">
        <w:rPr>
          <w:color w:val="000000"/>
        </w:rPr>
        <w:t>in a transistor's performance over time, primarily attributed to bias temperature instability (BTI), which will be further described in Section 2.</w:t>
      </w:r>
      <w:r>
        <w:rPr>
          <w:color w:val="000000"/>
        </w:rPr>
        <w:t xml:space="preserve"> </w:t>
      </w:r>
      <w:r w:rsidRPr="009427A1">
        <w:rPr>
          <w:color w:val="000000"/>
        </w:rPr>
        <w:t xml:space="preserve">The impact of BTI on IC reliability is significant, causing performance degradation and critical circuit failures due to timing violations. Moreover, asymmetric aging exacerbates </w:t>
      </w:r>
      <w:r w:rsidRPr="009427A1">
        <w:rPr>
          <w:color w:val="000000"/>
        </w:rPr>
        <w:t>timing violations and amplifies concerns regarding reliability, as it results from unevenly distributed degradation.</w:t>
      </w:r>
    </w:p>
    <w:p w14:paraId="461A59D4" w14:textId="7D86FDE2" w:rsidR="00295525" w:rsidRDefault="00EB22A6" w:rsidP="00295525">
      <w:pPr>
        <w:pBdr>
          <w:top w:val="nil"/>
          <w:left w:val="nil"/>
          <w:bottom w:val="nil"/>
          <w:right w:val="nil"/>
          <w:between w:val="nil"/>
        </w:pBdr>
        <w:tabs>
          <w:tab w:val="left" w:pos="1843"/>
        </w:tabs>
        <w:rPr>
          <w:color w:val="000000"/>
          <w:lang w:bidi="he-IL"/>
        </w:rPr>
      </w:pPr>
      <w:r w:rsidRPr="00295525">
        <w:rPr>
          <w:color w:val="000000"/>
        </w:rPr>
        <w:t xml:space="preserve">This paper investigates the effect of transistor aging on GPGPUs execution units. Our experimental analysis includes both functional and physical simulations indicates that computational elements units within GPGPUs can be highly susceptible to BTI. </w:t>
      </w:r>
      <w:r w:rsidR="00DC6B48" w:rsidRPr="00295525">
        <w:rPr>
          <w:color w:val="000000"/>
        </w:rPr>
        <w:t xml:space="preserve">Additionally, our analysis indicates that the various execution units within GPGPU processing elements (PEs) may experience asymmetric aging, resulting in </w:t>
      </w:r>
      <w:r w:rsidR="00054578" w:rsidRPr="00295525">
        <w:rPr>
          <w:color w:val="000000"/>
        </w:rPr>
        <w:t>even more serious</w:t>
      </w:r>
      <w:r w:rsidR="00DC6B48" w:rsidRPr="00295525">
        <w:rPr>
          <w:color w:val="000000"/>
        </w:rPr>
        <w:t xml:space="preserve"> timing violations.</w:t>
      </w:r>
      <w:r w:rsidR="006136B9" w:rsidRPr="00295525">
        <w:rPr>
          <w:color w:val="000000"/>
        </w:rPr>
        <w:t xml:space="preserve"> </w:t>
      </w:r>
      <w:r w:rsidR="00DC492E" w:rsidRPr="00295525">
        <w:rPr>
          <w:color w:val="000000"/>
        </w:rPr>
        <w:t>As part of this paper, we present a mitigation technique that effectively addresses concerns regarding asymmetric aging in GPGPU execution units and mitigates timing violations associated with it.</w:t>
      </w:r>
      <w:r w:rsidR="001260E2" w:rsidRPr="00295525">
        <w:rPr>
          <w:color w:val="000000"/>
          <w:lang w:bidi="he-IL"/>
        </w:rPr>
        <w:t xml:space="preserve"> Our proposed solution employs a pseudo random bit sequence (PRBS) generator </w:t>
      </w:r>
      <w:r w:rsidR="0017354D" w:rsidRPr="00295525">
        <w:rPr>
          <w:color w:val="000000"/>
          <w:lang w:bidi="he-IL"/>
        </w:rPr>
        <w:t>which is activated on idle slots of GPGPU execution units</w:t>
      </w:r>
      <w:r w:rsidR="00C141BE" w:rsidRPr="00295525">
        <w:rPr>
          <w:color w:val="000000"/>
          <w:lang w:bidi="he-IL"/>
        </w:rPr>
        <w:t xml:space="preserve">. </w:t>
      </w:r>
      <w:r w:rsidR="00295525" w:rsidRPr="00295525">
        <w:rPr>
          <w:color w:val="000000"/>
          <w:lang w:bidi="he-IL"/>
        </w:rPr>
        <w:t>The PRBS circuitry generates dynamic random patterns of data, which are injected into the GPGPU execution units, thereby avoiding a constant idle state that contributes to asymmetric aging</w:t>
      </w:r>
      <w:r w:rsidR="00295525">
        <w:rPr>
          <w:color w:val="000000"/>
          <w:lang w:bidi="he-IL"/>
        </w:rPr>
        <w:t>.</w:t>
      </w:r>
    </w:p>
    <w:p w14:paraId="7E25C6A0" w14:textId="6CB037DF" w:rsidR="00EB22A6" w:rsidRDefault="00EB22A6" w:rsidP="00295525">
      <w:pPr>
        <w:pBdr>
          <w:top w:val="nil"/>
          <w:left w:val="nil"/>
          <w:bottom w:val="nil"/>
          <w:right w:val="nil"/>
          <w:between w:val="nil"/>
        </w:pBdr>
        <w:tabs>
          <w:tab w:val="left" w:pos="1843"/>
        </w:tabs>
        <w:rPr>
          <w:color w:val="000000"/>
        </w:rPr>
      </w:pPr>
      <w:r w:rsidRPr="00DC2B62">
        <w:rPr>
          <w:color w:val="000000"/>
        </w:rPr>
        <w:t xml:space="preserve">The remainder of this paper is structured as follows: Section 2 provides background and discusses </w:t>
      </w:r>
      <w:r>
        <w:rPr>
          <w:color w:val="000000"/>
        </w:rPr>
        <w:t>prior</w:t>
      </w:r>
      <w:r w:rsidRPr="00DC2B62">
        <w:rPr>
          <w:color w:val="000000"/>
        </w:rPr>
        <w:t xml:space="preserve"> </w:t>
      </w:r>
      <w:r>
        <w:rPr>
          <w:color w:val="000000"/>
        </w:rPr>
        <w:t>works</w:t>
      </w:r>
      <w:r w:rsidRPr="00DC2B62">
        <w:rPr>
          <w:color w:val="000000"/>
        </w:rPr>
        <w:t xml:space="preserve">. Section 3 investigates the vulnerability of </w:t>
      </w:r>
      <w:r w:rsidR="0014712D">
        <w:rPr>
          <w:color w:val="000000"/>
          <w:lang w:bidi="he-IL"/>
        </w:rPr>
        <w:t xml:space="preserve">GPGPUs </w:t>
      </w:r>
      <w:r w:rsidRPr="00DC2B62">
        <w:rPr>
          <w:color w:val="000000"/>
        </w:rPr>
        <w:t>to transistor aging and presents our mitigation approaches</w:t>
      </w:r>
      <w:r w:rsidR="0014712D">
        <w:rPr>
          <w:color w:val="000000"/>
        </w:rPr>
        <w:t xml:space="preserve"> and experimental results</w:t>
      </w:r>
      <w:r w:rsidRPr="00DC2B62">
        <w:rPr>
          <w:color w:val="000000"/>
        </w:rPr>
        <w:t xml:space="preserve">. Finally, Section </w:t>
      </w:r>
      <w:r w:rsidR="00AB0B7B">
        <w:rPr>
          <w:color w:val="000000"/>
        </w:rPr>
        <w:t>4</w:t>
      </w:r>
      <w:r w:rsidRPr="00DC2B62">
        <w:rPr>
          <w:color w:val="000000"/>
        </w:rPr>
        <w:t xml:space="preserve"> concludes our work.</w:t>
      </w:r>
    </w:p>
    <w:p w14:paraId="3D33C1E8" w14:textId="77777777" w:rsidR="00570A42" w:rsidRDefault="00570A42" w:rsidP="00DC492E">
      <w:pPr>
        <w:ind w:firstLine="0"/>
      </w:pPr>
    </w:p>
    <w:p w14:paraId="05A2B44E" w14:textId="69107F10" w:rsidR="00570A42" w:rsidRDefault="001E6148">
      <w:pPr>
        <w:pBdr>
          <w:top w:val="nil"/>
          <w:left w:val="nil"/>
          <w:bottom w:val="nil"/>
          <w:right w:val="nil"/>
          <w:between w:val="nil"/>
        </w:pBdr>
        <w:ind w:firstLine="0"/>
        <w:rPr>
          <w:b/>
          <w:color w:val="000000"/>
          <w:sz w:val="22"/>
          <w:szCs w:val="22"/>
          <w:lang w:bidi="he-IL"/>
        </w:rPr>
      </w:pPr>
      <w:r>
        <w:rPr>
          <w:b/>
          <w:color w:val="000000"/>
          <w:sz w:val="22"/>
          <w:szCs w:val="22"/>
        </w:rPr>
        <w:t xml:space="preserve">2. </w:t>
      </w:r>
      <w:r w:rsidR="00DC492E">
        <w:rPr>
          <w:b/>
          <w:color w:val="000000"/>
          <w:sz w:val="22"/>
          <w:szCs w:val="22"/>
        </w:rPr>
        <w:t>Background and Prior Works</w:t>
      </w:r>
    </w:p>
    <w:p w14:paraId="38E76A38" w14:textId="098C70AB" w:rsidR="00DC492E" w:rsidRDefault="00DC492E" w:rsidP="0048031E">
      <w:pPr>
        <w:tabs>
          <w:tab w:val="left" w:pos="1843"/>
        </w:tabs>
      </w:pPr>
      <w:r w:rsidRPr="00DA3D2F">
        <w:t>Transistor aging refers to the deterioration process of transistors in digital circuits ([</w:t>
      </w:r>
      <w:r w:rsidR="00D4399D">
        <w:t>5, 6</w:t>
      </w:r>
      <w:r w:rsidRPr="00DA3D2F">
        <w:t xml:space="preserve">]), which is caused by the trapping of charge carriers from the transistor inversion channel at the dielectric insulator of the </w:t>
      </w:r>
      <w:r w:rsidRPr="00DA3D2F">
        <w:lastRenderedPageBreak/>
        <w:t>transistor gate.</w:t>
      </w:r>
      <w:r>
        <w:t xml:space="preserve"> BTI is recognized as the primary mechanism governing transistor aging. </w:t>
      </w:r>
      <w:r w:rsidRPr="00D42B50">
        <w:t>BTI is activated when a constant voltage is applied to the transistor gate, resulting in an elevation of the transistor's threshold voltage. Consequently, this increase in threshold voltage leads to a rise in transistor switching delay and a reduction in transistor speed.</w:t>
      </w:r>
      <w:r>
        <w:t xml:space="preserve"> </w:t>
      </w:r>
      <w:r w:rsidR="0048031E">
        <w:t>Practically, l</w:t>
      </w:r>
      <w:r w:rsidR="00B8773D" w:rsidRPr="00B8773D">
        <w:t>ogical gates that remain in a constant idle state of logical 0 are particularly susceptible to aging because p-type transistors are more prone to BTI than n-type transistors.</w:t>
      </w:r>
      <w:r w:rsidR="0048031E">
        <w:t xml:space="preserve"> </w:t>
      </w:r>
      <w:r w:rsidRPr="00674B3C">
        <w:t>Asymmetric aging, which denotes the uneven distribution of performance degradation among transistors within an IC, can lead to severe timing issues, including setup and hold timing violations.</w:t>
      </w:r>
      <w:r>
        <w:t xml:space="preserve"> </w:t>
      </w:r>
    </w:p>
    <w:p w14:paraId="603476C9" w14:textId="476A9BBE" w:rsidR="00D4399D" w:rsidRDefault="00D4399D" w:rsidP="00D4399D">
      <w:pPr>
        <w:tabs>
          <w:tab w:val="left" w:pos="1843"/>
        </w:tabs>
      </w:pPr>
      <w:r w:rsidRPr="00E16066">
        <w:t>Common approaches propose incorporating additional timing margins to mitigate the effects of asymmetric aging. However, this approach often necessitates complex simulation analyses and can lead to overdesign</w:t>
      </w:r>
      <w:r>
        <w:t xml:space="preserve"> [7]</w:t>
      </w:r>
      <w:r w:rsidRPr="00E16066">
        <w:t>.</w:t>
      </w:r>
      <w:r>
        <w:t xml:space="preserve"> </w:t>
      </w:r>
      <w:r w:rsidRPr="002E41B5">
        <w:t>Other studies ([</w:t>
      </w:r>
      <w:r>
        <w:t>8</w:t>
      </w:r>
      <w:r w:rsidRPr="002E41B5">
        <w:t>-</w:t>
      </w:r>
      <w:r>
        <w:t>10</w:t>
      </w:r>
      <w:r w:rsidRPr="002E41B5">
        <w:t>]) have proposed models for predicting aging degradation and have explored various solutions, including clock cycle time reduction, transistor resizing, V</w:t>
      </w:r>
      <w:r w:rsidRPr="002E41B5">
        <w:rPr>
          <w:vertAlign w:val="subscript"/>
        </w:rPr>
        <w:t>DD</w:t>
      </w:r>
      <w:r w:rsidRPr="002E41B5">
        <w:t xml:space="preserve"> tuning</w:t>
      </w:r>
      <w:r>
        <w:t xml:space="preserve"> and power gating</w:t>
      </w:r>
      <w:r w:rsidRPr="002E41B5">
        <w:t>.</w:t>
      </w:r>
      <w:r>
        <w:t xml:space="preserve"> </w:t>
      </w:r>
      <w:r w:rsidRPr="002E41B5">
        <w:t>Agrawal et al. ([</w:t>
      </w:r>
      <w:r>
        <w:t>11</w:t>
      </w:r>
      <w:r w:rsidRPr="002E41B5">
        <w:t>]) proposed a method to predict circuit failure by using sensors placed at various locations within the silicon die.</w:t>
      </w:r>
      <w:r>
        <w:t xml:space="preserve"> </w:t>
      </w:r>
      <w:r w:rsidRPr="00B61EC6">
        <w:t>Additional research ([</w:t>
      </w:r>
      <w:r>
        <w:t>12</w:t>
      </w:r>
      <w:r w:rsidRPr="00B61EC6">
        <w:t>]) has explored techniques to analyze digital circuits and detect the most vulnerable gates affected by NBTI stress. This involves utilizing an aging model with BTI-aware libraries and conducting aging-aware timing analysis.</w:t>
      </w:r>
      <w:r>
        <w:t xml:space="preserve"> </w:t>
      </w:r>
      <w:r w:rsidRPr="00B61EC6">
        <w:t>Abbas et al. ([</w:t>
      </w:r>
      <w:r>
        <w:t>13</w:t>
      </w:r>
      <w:r w:rsidRPr="00B61EC6">
        <w:t>]) proposed executing anti-aging programs during periods of low processor utilization instead of idle tasks.</w:t>
      </w:r>
      <w:r>
        <w:t xml:space="preserve"> I</w:t>
      </w:r>
      <w:r w:rsidRPr="00B61EC6">
        <w:t>n</w:t>
      </w:r>
      <w:r>
        <w:t xml:space="preserve"> </w:t>
      </w:r>
      <w:r w:rsidRPr="00B61EC6">
        <w:t>[</w:t>
      </w:r>
      <w:r>
        <w:t>6</w:t>
      </w:r>
      <w:r w:rsidRPr="00B61EC6">
        <w:t>],</w:t>
      </w:r>
      <w:r>
        <w:t xml:space="preserve"> </w:t>
      </w:r>
      <w:r w:rsidRPr="00B61EC6">
        <w:t>an aging-aware microarchitecture was</w:t>
      </w:r>
      <w:r>
        <w:t xml:space="preserve"> </w:t>
      </w:r>
      <w:r w:rsidRPr="00B61EC6">
        <w:t>proposed to minimize the effects of asymmetric aging on execution units, register files, and memory hierarchy in microprocessors, while keeping overhead to a minimum.</w:t>
      </w:r>
    </w:p>
    <w:p w14:paraId="653D29C7" w14:textId="77777777" w:rsidR="00570A42" w:rsidRDefault="00570A42">
      <w:pPr>
        <w:tabs>
          <w:tab w:val="left" w:pos="1843"/>
        </w:tabs>
      </w:pPr>
    </w:p>
    <w:p w14:paraId="7678AD87" w14:textId="0052EDB8" w:rsidR="00570A42" w:rsidRDefault="001E6148">
      <w:pPr>
        <w:tabs>
          <w:tab w:val="left" w:pos="1843"/>
        </w:tabs>
        <w:ind w:left="28" w:hanging="28"/>
        <w:rPr>
          <w:sz w:val="22"/>
          <w:szCs w:val="22"/>
          <w:rtl/>
          <w:lang w:bidi="he-IL"/>
        </w:rPr>
      </w:pPr>
      <w:r>
        <w:rPr>
          <w:b/>
          <w:sz w:val="22"/>
          <w:szCs w:val="22"/>
        </w:rPr>
        <w:t xml:space="preserve">3. </w:t>
      </w:r>
      <w:r w:rsidR="0014712D" w:rsidRPr="0014712D">
        <w:rPr>
          <w:b/>
          <w:sz w:val="22"/>
          <w:szCs w:val="22"/>
        </w:rPr>
        <w:t xml:space="preserve">Analyzing the Impact of </w:t>
      </w:r>
      <w:r w:rsidR="00295525">
        <w:rPr>
          <w:b/>
          <w:sz w:val="22"/>
          <w:szCs w:val="22"/>
        </w:rPr>
        <w:t xml:space="preserve">Asymmetric </w:t>
      </w:r>
      <w:r w:rsidR="0014712D" w:rsidRPr="0014712D">
        <w:rPr>
          <w:b/>
          <w:sz w:val="22"/>
          <w:szCs w:val="22"/>
        </w:rPr>
        <w:t>Transistor Aging on GPGPU Processing Elements</w:t>
      </w:r>
      <w:r w:rsidR="005E4DE6">
        <w:rPr>
          <w:b/>
          <w:sz w:val="22"/>
          <w:szCs w:val="22"/>
        </w:rPr>
        <w:t xml:space="preserve"> </w:t>
      </w:r>
    </w:p>
    <w:p w14:paraId="06D90E0E" w14:textId="0DD6D026" w:rsidR="00295525" w:rsidRDefault="0014712D" w:rsidP="00295525">
      <w:pPr>
        <w:tabs>
          <w:tab w:val="left" w:pos="1843"/>
        </w:tabs>
        <w:rPr>
          <w:highlight w:val="yellow"/>
        </w:rPr>
      </w:pPr>
      <w:r w:rsidRPr="0014712D">
        <w:t xml:space="preserve">In this section, we delve into the impact of transistor aging on GPGPU processing elements (PEs). We conduct an experimental analysis that extracts the aging profile of GPGPUs using functional simulations. Subsequently, we perform a comprehensive timing analysis using aging models derived from the aging profile. </w:t>
      </w:r>
      <w:r w:rsidR="00295525" w:rsidRPr="00295525">
        <w:t>Finally, we propose an asymmetric aging avoidance circuitry aimed at mitigating timing violations that arise from asymmetric transistor aging, and we analyze the effectiveness of this scheme.</w:t>
      </w:r>
    </w:p>
    <w:p w14:paraId="1F6B1C20" w14:textId="79137BC5" w:rsidR="0014712D" w:rsidRDefault="00B8773D">
      <w:pPr>
        <w:tabs>
          <w:tab w:val="left" w:pos="1843"/>
        </w:tabs>
      </w:pPr>
      <w:r w:rsidRPr="00B8773D">
        <w:t>Our experiments are conducted using the GPGPU simulator [14]. Th</w:t>
      </w:r>
      <w:r w:rsidR="001E6133">
        <w:rPr>
          <w:lang w:bidi="he-IL"/>
        </w:rPr>
        <w:t>e</w:t>
      </w:r>
      <w:r w:rsidRPr="00B8773D">
        <w:t xml:space="preserve"> simulation environment incorporates cycle-level modeling of the RTX 2060 [15] GPGPUs, enabling the execution of computing workloads written in CUDA or OpenCL. To cater to the specific </w:t>
      </w:r>
      <w:r w:rsidRPr="00B8773D">
        <w:t xml:space="preserve">requirements of our experiments, we made modifications to the simulation platform and implemented the necessary mechanisms for accurate measurements. For benchmarking purposes, we utilized simulation benchmarks employed in the </w:t>
      </w:r>
      <w:proofErr w:type="spellStart"/>
      <w:r w:rsidRPr="00B8773D">
        <w:t>gpgpu</w:t>
      </w:r>
      <w:proofErr w:type="spellEnd"/>
      <w:r w:rsidRPr="00B8773D">
        <w:t xml:space="preserve">-sim </w:t>
      </w:r>
      <w:proofErr w:type="spellStart"/>
      <w:r w:rsidRPr="00B8773D">
        <w:t>ispass</w:t>
      </w:r>
      <w:proofErr w:type="spellEnd"/>
      <w:r w:rsidRPr="00B8773D">
        <w:t xml:space="preserve"> 2009 paper [16]. These benchmarks encompass a diverse range of applications, including neural networks, graph algorithms, and complex mathematical calculations.</w:t>
      </w:r>
      <w:r>
        <w:t xml:space="preserve"> </w:t>
      </w:r>
    </w:p>
    <w:p w14:paraId="3B546A95" w14:textId="33FDF475" w:rsidR="00570A42" w:rsidRDefault="00B8773D" w:rsidP="00295525">
      <w:pPr>
        <w:tabs>
          <w:tab w:val="left" w:pos="1860"/>
        </w:tabs>
      </w:pPr>
      <w:r w:rsidRPr="00B8773D">
        <w:t xml:space="preserve">The signal probability (SP) </w:t>
      </w:r>
      <w:r>
        <w:t xml:space="preserve">([6]) </w:t>
      </w:r>
      <w:r w:rsidRPr="00B8773D">
        <w:t xml:space="preserve">is a widely used technique to assess the BTI stress profile on logical elements. It quantifies the probability of a signal having a logical value of 1. Specifically, it is determined by the ratio of the time during which a signal remains in the logical 1 state to the total elapsed time. </w:t>
      </w:r>
      <w:r w:rsidR="0048031E" w:rsidRPr="0048031E">
        <w:t>A smaller SP corresponds to a more pronounced impact of BTI</w:t>
      </w:r>
      <w:r w:rsidR="0048031E">
        <w:t xml:space="preserve">, </w:t>
      </w:r>
      <w:r w:rsidRPr="00B8773D">
        <w:t>resulting in performance deterioration and potential failures of integrated circuits as time progresses.</w:t>
      </w:r>
      <w:r w:rsidR="0048031E">
        <w:t xml:space="preserve"> </w:t>
      </w:r>
      <w:r w:rsidR="008B6835" w:rsidRPr="008B6835">
        <w:t>Figure 1 depicts the activity levels observed in RTX2060 Streaming Multi-Processors (SMs) for two specific benchmarks: BFS search algorithm and a neural network (inference). Activity is measured as the percentage of time the execution unit remains active relative to the total elapsed time. Our experimental findings indicate that, in the case of the BFS benchmark, approximately 70% of the time the integer execution units within all SMs are idle. On the other hand, for the NN benchmark, more than 85% of the single precision floating-point units remain idle.</w:t>
      </w:r>
      <w:r w:rsidR="00374284">
        <w:t xml:space="preserve"> </w:t>
      </w:r>
      <w:r w:rsidR="00374284" w:rsidRPr="008B6835">
        <w:t>These observations suggest that the GPGPU processing elements (PEs) may be vulnerable to transistor aging due to their prolonged periods of idle state. The extended duration of maintaining an idle state increases the exposure to aging effects, potentially impacting the reliability and performance of the PEs.</w:t>
      </w:r>
      <w:r w:rsidR="00374284">
        <w:t xml:space="preserve"> </w:t>
      </w:r>
    </w:p>
    <w:p w14:paraId="417A7273" w14:textId="4D9A8327" w:rsidR="008B6835" w:rsidRDefault="00374284" w:rsidP="00374284">
      <w:pPr>
        <w:tabs>
          <w:tab w:val="left" w:pos="1860"/>
        </w:tabs>
      </w:pPr>
      <w:r>
        <w:t xml:space="preserve">For our case study, we use an integer ALU, and a single precision floating point unit </w:t>
      </w:r>
      <w:r w:rsidR="007855BE">
        <w:t xml:space="preserve">(FPU) </w:t>
      </w:r>
      <w:r>
        <w:t>taken from OpenCore</w:t>
      </w:r>
      <w:r>
        <w:rPr>
          <w:rStyle w:val="FootnoteReference"/>
        </w:rPr>
        <w:footnoteReference w:customMarkFollows="1" w:id="1"/>
        <w:t>1</w:t>
      </w:r>
      <w:r>
        <w:t xml:space="preserve">. We perform full synthesis, place and route and timing analysis on these modules in 28nm process node. </w:t>
      </w:r>
      <w:r w:rsidR="00D10951">
        <w:t xml:space="preserve">The clock frequency for timing signoff for FPU and ALU is 164MHz and 240MHz respectively. </w:t>
      </w:r>
      <w:r w:rsidR="007855BE" w:rsidRPr="007855BE">
        <w:t xml:space="preserve">In our timing analysis, we employ aging-aware library models as described in [6]. These models account for the impact of BTI by derating cell delays using NBTI degradation factors derived from the SP values extracted from the functional simulations illustrated in Figure 1. </w:t>
      </w:r>
      <w:r w:rsidR="001E6133" w:rsidRPr="001E6133">
        <w:t>The results of our timing analysis, presented in Table 1, reveal that the presence of BTI can lead to significant timing violations in both GPGPU ALUs and FPUs. It can be observed that when aging is not considered, as in the case of a fresh design, there are no timing violations. However, when aging effects are considered, both the FPU and ALU exhibit setup and hold timing violations.</w:t>
      </w:r>
      <w:r w:rsidR="001E6133">
        <w:t xml:space="preserve"> It is worth noticing that a</w:t>
      </w:r>
      <w:r w:rsidR="007855BE" w:rsidRPr="007855BE">
        <w:t>lthough setup violations can be alleviated by reducing the clock frequency, hold violations do not have an effective mitigation strategy at present.</w:t>
      </w:r>
    </w:p>
    <w:p w14:paraId="3F1277F9" w14:textId="3098036C" w:rsidR="0071144A" w:rsidRDefault="0071144A" w:rsidP="00374284">
      <w:pPr>
        <w:tabs>
          <w:tab w:val="left" w:pos="1860"/>
        </w:tabs>
      </w:pPr>
    </w:p>
    <w:p w14:paraId="20F5A2B3" w14:textId="77777777" w:rsidR="00295525" w:rsidRDefault="00295525" w:rsidP="00295525">
      <w:pPr>
        <w:tabs>
          <w:tab w:val="left" w:pos="1843"/>
        </w:tabs>
        <w:jc w:val="center"/>
        <w:rPr>
          <w:sz w:val="18"/>
          <w:szCs w:val="18"/>
        </w:rPr>
        <w:sectPr w:rsidR="00295525">
          <w:type w:val="continuous"/>
          <w:pgSz w:w="11906" w:h="16838"/>
          <w:pgMar w:top="1077" w:right="1440" w:bottom="1440" w:left="1077" w:header="0" w:footer="720" w:gutter="0"/>
          <w:cols w:num="2" w:space="720" w:equalWidth="0">
            <w:col w:w="4524" w:space="340"/>
            <w:col w:w="4524" w:space="0"/>
          </w:cols>
        </w:sectPr>
      </w:pPr>
    </w:p>
    <w:p w14:paraId="60CE5E3B" w14:textId="77777777" w:rsidR="00295525" w:rsidRDefault="00295525" w:rsidP="00295525">
      <w:pPr>
        <w:tabs>
          <w:tab w:val="left" w:pos="1843"/>
        </w:tabs>
        <w:jc w:val="center"/>
        <w:rPr>
          <w:sz w:val="18"/>
          <w:szCs w:val="18"/>
        </w:rPr>
      </w:pPr>
      <w:r w:rsidRPr="0048031E">
        <w:rPr>
          <w:noProof/>
          <w:sz w:val="18"/>
          <w:szCs w:val="18"/>
        </w:rPr>
        <w:lastRenderedPageBreak/>
        <w:drawing>
          <wp:inline distT="0" distB="0" distL="0" distR="0" wp14:anchorId="14FA82A0" wp14:editId="0AED7DBE">
            <wp:extent cx="5479792" cy="2036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78458" cy="2073580"/>
                    </a:xfrm>
                    <a:prstGeom prst="rect">
                      <a:avLst/>
                    </a:prstGeom>
                  </pic:spPr>
                </pic:pic>
              </a:graphicData>
            </a:graphic>
          </wp:inline>
        </w:drawing>
      </w:r>
    </w:p>
    <w:p w14:paraId="6801E369" w14:textId="77777777" w:rsidR="00295525" w:rsidRDefault="00295525" w:rsidP="00295525">
      <w:pPr>
        <w:tabs>
          <w:tab w:val="left" w:pos="1843"/>
        </w:tabs>
        <w:jc w:val="center"/>
        <w:rPr>
          <w:sz w:val="18"/>
          <w:szCs w:val="18"/>
        </w:rPr>
      </w:pPr>
      <w:r>
        <w:rPr>
          <w:sz w:val="18"/>
          <w:szCs w:val="18"/>
        </w:rPr>
        <w:t>(a)</w:t>
      </w:r>
    </w:p>
    <w:p w14:paraId="2B7E1527" w14:textId="77777777" w:rsidR="00295525" w:rsidRDefault="00295525" w:rsidP="00295525">
      <w:pPr>
        <w:tabs>
          <w:tab w:val="left" w:pos="1843"/>
        </w:tabs>
        <w:jc w:val="center"/>
        <w:rPr>
          <w:sz w:val="18"/>
          <w:szCs w:val="18"/>
        </w:rPr>
      </w:pPr>
      <w:r w:rsidRPr="0048031E">
        <w:rPr>
          <w:noProof/>
          <w:sz w:val="18"/>
          <w:szCs w:val="18"/>
        </w:rPr>
        <w:drawing>
          <wp:inline distT="0" distB="0" distL="0" distR="0" wp14:anchorId="5569871A" wp14:editId="5EF538BA">
            <wp:extent cx="5533289" cy="2081048"/>
            <wp:effectExtent l="0" t="0" r="444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27497" cy="2116479"/>
                    </a:xfrm>
                    <a:prstGeom prst="rect">
                      <a:avLst/>
                    </a:prstGeom>
                  </pic:spPr>
                </pic:pic>
              </a:graphicData>
            </a:graphic>
          </wp:inline>
        </w:drawing>
      </w:r>
    </w:p>
    <w:p w14:paraId="1EFE4320" w14:textId="77777777" w:rsidR="00295525" w:rsidRDefault="00295525" w:rsidP="00295525">
      <w:pPr>
        <w:tabs>
          <w:tab w:val="left" w:pos="1843"/>
        </w:tabs>
        <w:jc w:val="center"/>
        <w:rPr>
          <w:sz w:val="18"/>
          <w:szCs w:val="18"/>
        </w:rPr>
      </w:pPr>
      <w:r>
        <w:rPr>
          <w:sz w:val="18"/>
          <w:szCs w:val="18"/>
        </w:rPr>
        <w:t>(b)</w:t>
      </w:r>
    </w:p>
    <w:p w14:paraId="1B61E0D1" w14:textId="77777777" w:rsidR="00295525" w:rsidRDefault="00295525" w:rsidP="00295525">
      <w:pPr>
        <w:tabs>
          <w:tab w:val="left" w:pos="1843"/>
        </w:tabs>
        <w:jc w:val="center"/>
        <w:rPr>
          <w:sz w:val="18"/>
          <w:szCs w:val="18"/>
        </w:rPr>
      </w:pPr>
      <w:r>
        <w:rPr>
          <w:b/>
          <w:sz w:val="18"/>
          <w:szCs w:val="18"/>
        </w:rPr>
        <w:t>Fig. 1.</w:t>
      </w:r>
      <w:r>
        <w:rPr>
          <w:sz w:val="18"/>
          <w:szCs w:val="18"/>
        </w:rPr>
        <w:t xml:space="preserve"> The Activity measured in RTX2060 (a) integer execution unit and (b) Floating point unit for BFS search algorithm and NN (Neural Network) benchmarks respectively.</w:t>
      </w:r>
    </w:p>
    <w:p w14:paraId="0DCA94E7" w14:textId="77777777" w:rsidR="00295525" w:rsidRDefault="00295525" w:rsidP="00374284">
      <w:pPr>
        <w:tabs>
          <w:tab w:val="left" w:pos="1860"/>
        </w:tabs>
      </w:pPr>
    </w:p>
    <w:p w14:paraId="0A6F66E0" w14:textId="400EAB33" w:rsidR="00295525" w:rsidRDefault="00295525" w:rsidP="00374284">
      <w:pPr>
        <w:tabs>
          <w:tab w:val="left" w:pos="1860"/>
        </w:tabs>
        <w:sectPr w:rsidR="00295525" w:rsidSect="00295525">
          <w:type w:val="continuous"/>
          <w:pgSz w:w="11906" w:h="16838"/>
          <w:pgMar w:top="1077" w:right="1440" w:bottom="1440" w:left="1077" w:header="0" w:footer="720" w:gutter="0"/>
          <w:cols w:space="720"/>
        </w:sectPr>
      </w:pPr>
    </w:p>
    <w:p w14:paraId="52C814AF" w14:textId="77777777" w:rsidR="00295525" w:rsidRDefault="00295525" w:rsidP="00374284">
      <w:pPr>
        <w:tabs>
          <w:tab w:val="left" w:pos="1860"/>
        </w:tabs>
      </w:pPr>
    </w:p>
    <w:p w14:paraId="7E816DCD" w14:textId="642776AC" w:rsidR="0071144A" w:rsidRPr="007855BE" w:rsidRDefault="0071144A" w:rsidP="007855BE">
      <w:pPr>
        <w:tabs>
          <w:tab w:val="left" w:pos="1860"/>
        </w:tabs>
        <w:jc w:val="center"/>
        <w:rPr>
          <w:sz w:val="18"/>
          <w:szCs w:val="18"/>
        </w:rPr>
      </w:pPr>
      <w:r>
        <w:rPr>
          <w:b/>
          <w:sz w:val="18"/>
          <w:szCs w:val="18"/>
        </w:rPr>
        <w:t>Table 1.</w:t>
      </w:r>
      <w:r>
        <w:rPr>
          <w:sz w:val="18"/>
          <w:szCs w:val="18"/>
        </w:rPr>
        <w:t xml:space="preserve"> </w:t>
      </w:r>
      <w:r w:rsidR="00005E9F">
        <w:rPr>
          <w:sz w:val="18"/>
          <w:szCs w:val="18"/>
        </w:rPr>
        <w:t xml:space="preserve">Worst Negative Slack (WNS) and the </w:t>
      </w:r>
      <w:r w:rsidR="007855BE">
        <w:rPr>
          <w:sz w:val="18"/>
          <w:szCs w:val="18"/>
        </w:rPr>
        <w:t xml:space="preserve">Number of Violated Timing Paths </w:t>
      </w:r>
      <w:r w:rsidR="00005E9F">
        <w:rPr>
          <w:sz w:val="18"/>
          <w:szCs w:val="18"/>
        </w:rPr>
        <w:t xml:space="preserve">(NVP) </w:t>
      </w:r>
      <w:r>
        <w:rPr>
          <w:sz w:val="18"/>
          <w:szCs w:val="18"/>
        </w:rPr>
        <w:t xml:space="preserve">for </w:t>
      </w:r>
      <w:r w:rsidR="007855BE">
        <w:rPr>
          <w:sz w:val="18"/>
          <w:szCs w:val="18"/>
        </w:rPr>
        <w:t>FPU</w:t>
      </w:r>
      <w:r>
        <w:rPr>
          <w:sz w:val="18"/>
          <w:szCs w:val="18"/>
        </w:rPr>
        <w:t xml:space="preserve"> and ALUs</w:t>
      </w:r>
      <w:r w:rsidR="007855BE">
        <w:rPr>
          <w:sz w:val="18"/>
          <w:szCs w:val="18"/>
        </w:rPr>
        <w:t xml:space="preserve"> for fresh</w:t>
      </w:r>
      <w:r w:rsidR="00926349">
        <w:rPr>
          <w:sz w:val="18"/>
          <w:szCs w:val="18"/>
        </w:rPr>
        <w:t xml:space="preserve"> design, </w:t>
      </w:r>
      <w:r w:rsidR="007855BE">
        <w:rPr>
          <w:sz w:val="18"/>
          <w:szCs w:val="18"/>
        </w:rPr>
        <w:t xml:space="preserve">aged </w:t>
      </w:r>
      <w:r w:rsidR="001E6133">
        <w:rPr>
          <w:sz w:val="18"/>
          <w:szCs w:val="18"/>
        </w:rPr>
        <w:t>design,</w:t>
      </w:r>
      <w:r w:rsidR="00926349">
        <w:rPr>
          <w:sz w:val="18"/>
          <w:szCs w:val="18"/>
        </w:rPr>
        <w:t xml:space="preserve"> and a design with asymmetric aging avoidance.</w:t>
      </w:r>
    </w:p>
    <w:tbl>
      <w:tblPr>
        <w:tblW w:w="424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04"/>
        <w:gridCol w:w="709"/>
        <w:gridCol w:w="1134"/>
        <w:gridCol w:w="1701"/>
      </w:tblGrid>
      <w:tr w:rsidR="00DC3F92" w:rsidRPr="00CA5611" w14:paraId="4185AA01" w14:textId="22F9B144" w:rsidTr="00DC3F92">
        <w:trPr>
          <w:trHeight w:val="180"/>
        </w:trPr>
        <w:tc>
          <w:tcPr>
            <w:tcW w:w="4248" w:type="dxa"/>
            <w:gridSpan w:val="4"/>
            <w:shd w:val="clear" w:color="auto" w:fill="auto"/>
            <w:tcMar>
              <w:top w:w="15" w:type="dxa"/>
              <w:left w:w="108" w:type="dxa"/>
              <w:bottom w:w="0" w:type="dxa"/>
              <w:right w:w="108" w:type="dxa"/>
            </w:tcMar>
          </w:tcPr>
          <w:p w14:paraId="491121F4" w14:textId="4D3204DC" w:rsidR="00DC3F92" w:rsidRPr="0071144A" w:rsidRDefault="00DC3F92" w:rsidP="0071144A">
            <w:pPr>
              <w:widowControl w:val="0"/>
              <w:tabs>
                <w:tab w:val="left" w:pos="1843"/>
              </w:tabs>
              <w:ind w:firstLine="0"/>
              <w:jc w:val="center"/>
              <w:rPr>
                <w:sz w:val="18"/>
                <w:szCs w:val="18"/>
              </w:rPr>
            </w:pPr>
            <w:r w:rsidRPr="0071144A">
              <w:rPr>
                <w:sz w:val="18"/>
                <w:szCs w:val="18"/>
              </w:rPr>
              <w:t>Setup</w:t>
            </w:r>
            <w:r>
              <w:rPr>
                <w:sz w:val="18"/>
                <w:szCs w:val="18"/>
              </w:rPr>
              <w:t xml:space="preserve"> WNS [</w:t>
            </w:r>
            <w:proofErr w:type="spellStart"/>
            <w:r>
              <w:rPr>
                <w:sz w:val="18"/>
                <w:szCs w:val="18"/>
              </w:rPr>
              <w:t>ps</w:t>
            </w:r>
            <w:proofErr w:type="spellEnd"/>
            <w:r>
              <w:rPr>
                <w:sz w:val="18"/>
                <w:szCs w:val="18"/>
              </w:rPr>
              <w:t>] /NVP</w:t>
            </w:r>
          </w:p>
        </w:tc>
      </w:tr>
      <w:tr w:rsidR="005475A5" w:rsidRPr="00CA5611" w14:paraId="5FCB4CBA" w14:textId="35F557E0" w:rsidTr="00DC3F92">
        <w:trPr>
          <w:trHeight w:val="322"/>
        </w:trPr>
        <w:tc>
          <w:tcPr>
            <w:tcW w:w="704" w:type="dxa"/>
            <w:shd w:val="clear" w:color="auto" w:fill="auto"/>
            <w:tcMar>
              <w:top w:w="15" w:type="dxa"/>
              <w:left w:w="108" w:type="dxa"/>
              <w:bottom w:w="0" w:type="dxa"/>
              <w:right w:w="108" w:type="dxa"/>
            </w:tcMar>
            <w:vAlign w:val="bottom"/>
            <w:hideMark/>
          </w:tcPr>
          <w:p w14:paraId="3FD7B085" w14:textId="2DD42861" w:rsidR="005475A5" w:rsidRPr="00CA5611" w:rsidRDefault="005475A5" w:rsidP="005475A5">
            <w:pPr>
              <w:widowControl w:val="0"/>
              <w:tabs>
                <w:tab w:val="left" w:pos="1843"/>
              </w:tabs>
              <w:ind w:firstLine="0"/>
              <w:rPr>
                <w:sz w:val="18"/>
                <w:szCs w:val="18"/>
              </w:rPr>
            </w:pPr>
          </w:p>
        </w:tc>
        <w:tc>
          <w:tcPr>
            <w:tcW w:w="709" w:type="dxa"/>
            <w:shd w:val="clear" w:color="auto" w:fill="auto"/>
            <w:tcMar>
              <w:top w:w="15" w:type="dxa"/>
              <w:left w:w="108" w:type="dxa"/>
              <w:bottom w:w="0" w:type="dxa"/>
              <w:right w:w="108" w:type="dxa"/>
            </w:tcMar>
            <w:hideMark/>
          </w:tcPr>
          <w:p w14:paraId="509BB515" w14:textId="77777777" w:rsidR="005475A5" w:rsidRPr="00CA5611" w:rsidRDefault="005475A5" w:rsidP="005475A5">
            <w:pPr>
              <w:widowControl w:val="0"/>
              <w:tabs>
                <w:tab w:val="left" w:pos="1843"/>
              </w:tabs>
              <w:ind w:firstLine="0"/>
              <w:jc w:val="center"/>
              <w:rPr>
                <w:sz w:val="18"/>
                <w:szCs w:val="18"/>
              </w:rPr>
            </w:pPr>
            <w:r w:rsidRPr="00CA5611">
              <w:rPr>
                <w:sz w:val="18"/>
                <w:szCs w:val="18"/>
              </w:rPr>
              <w:t>Fresh</w:t>
            </w:r>
          </w:p>
        </w:tc>
        <w:tc>
          <w:tcPr>
            <w:tcW w:w="1134" w:type="dxa"/>
            <w:shd w:val="clear" w:color="auto" w:fill="auto"/>
            <w:tcMar>
              <w:top w:w="15" w:type="dxa"/>
              <w:left w:w="108" w:type="dxa"/>
              <w:bottom w:w="0" w:type="dxa"/>
              <w:right w:w="108" w:type="dxa"/>
            </w:tcMar>
            <w:hideMark/>
          </w:tcPr>
          <w:p w14:paraId="007ECD82" w14:textId="77777777" w:rsidR="005475A5" w:rsidRPr="00CA5611" w:rsidRDefault="005475A5" w:rsidP="005475A5">
            <w:pPr>
              <w:widowControl w:val="0"/>
              <w:tabs>
                <w:tab w:val="left" w:pos="1843"/>
              </w:tabs>
              <w:ind w:firstLine="0"/>
              <w:jc w:val="center"/>
              <w:rPr>
                <w:sz w:val="18"/>
                <w:szCs w:val="18"/>
              </w:rPr>
            </w:pPr>
            <w:r w:rsidRPr="00CA5611">
              <w:rPr>
                <w:sz w:val="18"/>
                <w:szCs w:val="18"/>
              </w:rPr>
              <w:t xml:space="preserve">Aged </w:t>
            </w:r>
          </w:p>
        </w:tc>
        <w:tc>
          <w:tcPr>
            <w:tcW w:w="1701" w:type="dxa"/>
          </w:tcPr>
          <w:p w14:paraId="75CF5DA5" w14:textId="5B85A7FA" w:rsidR="005475A5" w:rsidRPr="00CA5611" w:rsidRDefault="005475A5" w:rsidP="005475A5">
            <w:pPr>
              <w:widowControl w:val="0"/>
              <w:tabs>
                <w:tab w:val="left" w:pos="1843"/>
              </w:tabs>
              <w:bidi/>
              <w:ind w:firstLine="0"/>
              <w:jc w:val="center"/>
              <w:rPr>
                <w:sz w:val="18"/>
                <w:szCs w:val="18"/>
                <w:rtl/>
                <w:lang w:bidi="he-IL"/>
              </w:rPr>
            </w:pPr>
            <w:r>
              <w:rPr>
                <w:rFonts w:hint="cs"/>
                <w:sz w:val="18"/>
                <w:szCs w:val="18"/>
                <w:lang w:bidi="he-IL"/>
              </w:rPr>
              <w:t>A</w:t>
            </w:r>
            <w:r>
              <w:rPr>
                <w:sz w:val="18"/>
                <w:szCs w:val="18"/>
                <w:lang w:bidi="he-IL"/>
              </w:rPr>
              <w:t>symmetric Aging Avoidance</w:t>
            </w:r>
          </w:p>
        </w:tc>
      </w:tr>
      <w:tr w:rsidR="00DC3F92" w:rsidRPr="00CA5611" w14:paraId="3C523693" w14:textId="4366038B" w:rsidTr="00DC3F92">
        <w:trPr>
          <w:trHeight w:val="229"/>
        </w:trPr>
        <w:tc>
          <w:tcPr>
            <w:tcW w:w="704" w:type="dxa"/>
            <w:shd w:val="clear" w:color="auto" w:fill="auto"/>
            <w:tcMar>
              <w:top w:w="15" w:type="dxa"/>
              <w:left w:w="108" w:type="dxa"/>
              <w:bottom w:w="0" w:type="dxa"/>
              <w:right w:w="108" w:type="dxa"/>
            </w:tcMar>
            <w:vAlign w:val="bottom"/>
            <w:hideMark/>
          </w:tcPr>
          <w:p w14:paraId="154B5706" w14:textId="47224B40" w:rsidR="00DC3F92" w:rsidRPr="00CA5611" w:rsidRDefault="00DC3F92" w:rsidP="00DC3F92">
            <w:pPr>
              <w:widowControl w:val="0"/>
              <w:tabs>
                <w:tab w:val="left" w:pos="1843"/>
              </w:tabs>
              <w:ind w:firstLine="0"/>
              <w:rPr>
                <w:sz w:val="18"/>
                <w:szCs w:val="18"/>
              </w:rPr>
            </w:pPr>
            <w:r>
              <w:rPr>
                <w:sz w:val="18"/>
                <w:szCs w:val="18"/>
              </w:rPr>
              <w:t>FPU</w:t>
            </w:r>
          </w:p>
        </w:tc>
        <w:tc>
          <w:tcPr>
            <w:tcW w:w="709" w:type="dxa"/>
            <w:shd w:val="clear" w:color="auto" w:fill="auto"/>
            <w:tcMar>
              <w:top w:w="15" w:type="dxa"/>
              <w:left w:w="108" w:type="dxa"/>
              <w:bottom w:w="0" w:type="dxa"/>
              <w:right w:w="108" w:type="dxa"/>
            </w:tcMar>
            <w:hideMark/>
          </w:tcPr>
          <w:p w14:paraId="354B75E7" w14:textId="35805820" w:rsidR="00DC3F92" w:rsidRPr="00CA5611" w:rsidRDefault="00DC3F92" w:rsidP="00DC3F92">
            <w:pPr>
              <w:widowControl w:val="0"/>
              <w:tabs>
                <w:tab w:val="left" w:pos="1843"/>
              </w:tabs>
              <w:ind w:firstLine="0"/>
              <w:jc w:val="center"/>
              <w:rPr>
                <w:sz w:val="18"/>
                <w:szCs w:val="18"/>
              </w:rPr>
            </w:pPr>
            <w:r w:rsidRPr="00CA5611">
              <w:rPr>
                <w:sz w:val="18"/>
                <w:szCs w:val="18"/>
              </w:rPr>
              <w:t>0/</w:t>
            </w:r>
            <w:r>
              <w:rPr>
                <w:sz w:val="18"/>
                <w:szCs w:val="18"/>
              </w:rPr>
              <w:t>0</w:t>
            </w:r>
          </w:p>
        </w:tc>
        <w:tc>
          <w:tcPr>
            <w:tcW w:w="1134" w:type="dxa"/>
            <w:shd w:val="clear" w:color="auto" w:fill="auto"/>
            <w:tcMar>
              <w:top w:w="15" w:type="dxa"/>
              <w:left w:w="108" w:type="dxa"/>
              <w:bottom w:w="0" w:type="dxa"/>
              <w:right w:w="108" w:type="dxa"/>
            </w:tcMar>
            <w:hideMark/>
          </w:tcPr>
          <w:p w14:paraId="5BFA86F4" w14:textId="46985998" w:rsidR="00DC3F92" w:rsidRPr="00CA5611" w:rsidRDefault="00DC3F92" w:rsidP="00DC3F92">
            <w:pPr>
              <w:widowControl w:val="0"/>
              <w:tabs>
                <w:tab w:val="left" w:pos="1843"/>
              </w:tabs>
              <w:ind w:firstLine="0"/>
              <w:jc w:val="center"/>
              <w:rPr>
                <w:sz w:val="18"/>
                <w:szCs w:val="18"/>
              </w:rPr>
            </w:pPr>
            <w:r>
              <w:rPr>
                <w:sz w:val="18"/>
                <w:szCs w:val="18"/>
              </w:rPr>
              <w:t>-</w:t>
            </w:r>
            <w:r w:rsidR="00D10951">
              <w:rPr>
                <w:sz w:val="18"/>
                <w:szCs w:val="18"/>
              </w:rPr>
              <w:t>115</w:t>
            </w:r>
            <w:r w:rsidRPr="0071144A">
              <w:rPr>
                <w:sz w:val="18"/>
                <w:szCs w:val="18"/>
              </w:rPr>
              <w:t>/</w:t>
            </w:r>
            <w:r w:rsidR="00D10951">
              <w:rPr>
                <w:sz w:val="18"/>
                <w:szCs w:val="18"/>
                <w:lang w:bidi="he-IL"/>
              </w:rPr>
              <w:t>469</w:t>
            </w:r>
          </w:p>
        </w:tc>
        <w:tc>
          <w:tcPr>
            <w:tcW w:w="1701" w:type="dxa"/>
          </w:tcPr>
          <w:p w14:paraId="09918E93" w14:textId="7B2585D6" w:rsidR="00DC3F92" w:rsidRDefault="00DC3F92" w:rsidP="00DC3F92">
            <w:pPr>
              <w:widowControl w:val="0"/>
              <w:tabs>
                <w:tab w:val="left" w:pos="1843"/>
              </w:tabs>
              <w:ind w:firstLine="0"/>
              <w:jc w:val="center"/>
              <w:rPr>
                <w:sz w:val="18"/>
                <w:szCs w:val="18"/>
              </w:rPr>
            </w:pPr>
            <w:r w:rsidRPr="00CA5611">
              <w:rPr>
                <w:sz w:val="18"/>
                <w:szCs w:val="18"/>
              </w:rPr>
              <w:t>0/</w:t>
            </w:r>
            <w:r>
              <w:rPr>
                <w:sz w:val="18"/>
                <w:szCs w:val="18"/>
              </w:rPr>
              <w:t>0</w:t>
            </w:r>
          </w:p>
        </w:tc>
      </w:tr>
      <w:tr w:rsidR="00DC3F92" w:rsidRPr="00CA5611" w14:paraId="313F2DA6" w14:textId="71228743" w:rsidTr="00DC3F92">
        <w:trPr>
          <w:trHeight w:val="260"/>
        </w:trPr>
        <w:tc>
          <w:tcPr>
            <w:tcW w:w="704" w:type="dxa"/>
            <w:shd w:val="clear" w:color="auto" w:fill="auto"/>
            <w:tcMar>
              <w:top w:w="15" w:type="dxa"/>
              <w:left w:w="108" w:type="dxa"/>
              <w:bottom w:w="0" w:type="dxa"/>
              <w:right w:w="108" w:type="dxa"/>
            </w:tcMar>
            <w:vAlign w:val="bottom"/>
          </w:tcPr>
          <w:p w14:paraId="39048011" w14:textId="77777777" w:rsidR="00DC3F92" w:rsidRPr="0071144A" w:rsidRDefault="00DC3F92" w:rsidP="00DC3F92">
            <w:pPr>
              <w:widowControl w:val="0"/>
              <w:tabs>
                <w:tab w:val="left" w:pos="1843"/>
              </w:tabs>
              <w:ind w:firstLine="0"/>
              <w:rPr>
                <w:sz w:val="18"/>
                <w:szCs w:val="18"/>
              </w:rPr>
            </w:pPr>
            <w:r w:rsidRPr="0071144A">
              <w:rPr>
                <w:sz w:val="18"/>
                <w:szCs w:val="18"/>
              </w:rPr>
              <w:t>ALU</w:t>
            </w:r>
          </w:p>
        </w:tc>
        <w:tc>
          <w:tcPr>
            <w:tcW w:w="709" w:type="dxa"/>
            <w:shd w:val="clear" w:color="auto" w:fill="auto"/>
            <w:tcMar>
              <w:top w:w="15" w:type="dxa"/>
              <w:left w:w="108" w:type="dxa"/>
              <w:bottom w:w="0" w:type="dxa"/>
              <w:right w:w="108" w:type="dxa"/>
            </w:tcMar>
          </w:tcPr>
          <w:p w14:paraId="7CB1DDC5" w14:textId="3222ED32" w:rsidR="00DC3F92" w:rsidRPr="0071144A" w:rsidRDefault="00DC3F92" w:rsidP="00DC3F92">
            <w:pPr>
              <w:widowControl w:val="0"/>
              <w:tabs>
                <w:tab w:val="left" w:pos="1843"/>
              </w:tabs>
              <w:ind w:firstLine="0"/>
              <w:jc w:val="center"/>
              <w:rPr>
                <w:sz w:val="18"/>
                <w:szCs w:val="18"/>
                <w:lang w:bidi="he-IL"/>
              </w:rPr>
            </w:pPr>
            <w:r w:rsidRPr="00CA5611">
              <w:rPr>
                <w:sz w:val="18"/>
                <w:szCs w:val="18"/>
              </w:rPr>
              <w:t>0/</w:t>
            </w:r>
            <w:r>
              <w:rPr>
                <w:sz w:val="18"/>
                <w:szCs w:val="18"/>
              </w:rPr>
              <w:t>0</w:t>
            </w:r>
          </w:p>
        </w:tc>
        <w:tc>
          <w:tcPr>
            <w:tcW w:w="1134" w:type="dxa"/>
            <w:shd w:val="clear" w:color="auto" w:fill="auto"/>
            <w:tcMar>
              <w:top w:w="15" w:type="dxa"/>
              <w:left w:w="108" w:type="dxa"/>
              <w:bottom w:w="0" w:type="dxa"/>
              <w:right w:w="108" w:type="dxa"/>
            </w:tcMar>
          </w:tcPr>
          <w:p w14:paraId="630D9A0A" w14:textId="1ECA7D46" w:rsidR="00DC3F92" w:rsidRPr="0071144A" w:rsidRDefault="00DC3F92" w:rsidP="00DC3F92">
            <w:pPr>
              <w:widowControl w:val="0"/>
              <w:tabs>
                <w:tab w:val="left" w:pos="1843"/>
              </w:tabs>
              <w:ind w:firstLine="0"/>
              <w:jc w:val="center"/>
              <w:rPr>
                <w:sz w:val="18"/>
                <w:szCs w:val="18"/>
              </w:rPr>
            </w:pPr>
            <w:r>
              <w:rPr>
                <w:sz w:val="18"/>
                <w:szCs w:val="18"/>
              </w:rPr>
              <w:t>-</w:t>
            </w:r>
            <w:r w:rsidR="00D10951">
              <w:rPr>
                <w:sz w:val="18"/>
                <w:szCs w:val="18"/>
              </w:rPr>
              <w:t>23</w:t>
            </w:r>
            <w:r w:rsidRPr="0071144A">
              <w:rPr>
                <w:sz w:val="18"/>
                <w:szCs w:val="18"/>
              </w:rPr>
              <w:t>/</w:t>
            </w:r>
            <w:r w:rsidR="00D10951">
              <w:rPr>
                <w:sz w:val="18"/>
                <w:szCs w:val="18"/>
              </w:rPr>
              <w:t>1</w:t>
            </w:r>
          </w:p>
        </w:tc>
        <w:tc>
          <w:tcPr>
            <w:tcW w:w="1701" w:type="dxa"/>
          </w:tcPr>
          <w:p w14:paraId="0A0233DA" w14:textId="698C5F0C" w:rsidR="00DC3F92" w:rsidRDefault="00DC3F92" w:rsidP="00DC3F92">
            <w:pPr>
              <w:widowControl w:val="0"/>
              <w:tabs>
                <w:tab w:val="left" w:pos="1843"/>
              </w:tabs>
              <w:ind w:firstLine="0"/>
              <w:jc w:val="center"/>
              <w:rPr>
                <w:sz w:val="18"/>
                <w:szCs w:val="18"/>
                <w:lang w:bidi="he-IL"/>
              </w:rPr>
            </w:pPr>
            <w:r w:rsidRPr="00CA5611">
              <w:rPr>
                <w:sz w:val="18"/>
                <w:szCs w:val="18"/>
              </w:rPr>
              <w:t>0/</w:t>
            </w:r>
            <w:r>
              <w:rPr>
                <w:sz w:val="18"/>
                <w:szCs w:val="18"/>
              </w:rPr>
              <w:t>0</w:t>
            </w:r>
          </w:p>
        </w:tc>
      </w:tr>
      <w:tr w:rsidR="00DC3F92" w:rsidRPr="00CA5611" w14:paraId="3D771889" w14:textId="77777777" w:rsidTr="00DC3F92">
        <w:trPr>
          <w:trHeight w:val="143"/>
        </w:trPr>
        <w:tc>
          <w:tcPr>
            <w:tcW w:w="4248" w:type="dxa"/>
            <w:gridSpan w:val="4"/>
            <w:shd w:val="clear" w:color="auto" w:fill="auto"/>
            <w:tcMar>
              <w:top w:w="15" w:type="dxa"/>
              <w:left w:w="108" w:type="dxa"/>
              <w:bottom w:w="0" w:type="dxa"/>
              <w:right w:w="108" w:type="dxa"/>
            </w:tcMar>
          </w:tcPr>
          <w:p w14:paraId="0E21D1D4" w14:textId="277E6DF4" w:rsidR="00DC3F92" w:rsidRPr="00CA5611" w:rsidRDefault="00DC3F92" w:rsidP="00DC3F92">
            <w:pPr>
              <w:widowControl w:val="0"/>
              <w:tabs>
                <w:tab w:val="left" w:pos="1843"/>
              </w:tabs>
              <w:ind w:firstLine="0"/>
              <w:jc w:val="center"/>
              <w:rPr>
                <w:sz w:val="18"/>
                <w:szCs w:val="18"/>
              </w:rPr>
            </w:pPr>
            <w:r w:rsidRPr="0071144A">
              <w:rPr>
                <w:sz w:val="18"/>
                <w:szCs w:val="18"/>
              </w:rPr>
              <w:t>Hold</w:t>
            </w:r>
            <w:r>
              <w:rPr>
                <w:sz w:val="18"/>
                <w:szCs w:val="18"/>
              </w:rPr>
              <w:t xml:space="preserve"> WNS [</w:t>
            </w:r>
            <w:proofErr w:type="spellStart"/>
            <w:r>
              <w:rPr>
                <w:sz w:val="18"/>
                <w:szCs w:val="18"/>
              </w:rPr>
              <w:t>ps</w:t>
            </w:r>
            <w:proofErr w:type="spellEnd"/>
            <w:r>
              <w:rPr>
                <w:sz w:val="18"/>
                <w:szCs w:val="18"/>
              </w:rPr>
              <w:t>] /NVP</w:t>
            </w:r>
          </w:p>
        </w:tc>
      </w:tr>
      <w:tr w:rsidR="00926349" w:rsidRPr="00CA5611" w14:paraId="5A9EC4FA" w14:textId="77777777" w:rsidTr="00926349">
        <w:trPr>
          <w:trHeight w:val="296"/>
        </w:trPr>
        <w:tc>
          <w:tcPr>
            <w:tcW w:w="704" w:type="dxa"/>
            <w:shd w:val="clear" w:color="auto" w:fill="auto"/>
            <w:tcMar>
              <w:top w:w="15" w:type="dxa"/>
              <w:left w:w="108" w:type="dxa"/>
              <w:bottom w:w="0" w:type="dxa"/>
              <w:right w:w="108" w:type="dxa"/>
            </w:tcMar>
            <w:vAlign w:val="bottom"/>
          </w:tcPr>
          <w:p w14:paraId="4ACFA839" w14:textId="77777777" w:rsidR="00926349" w:rsidRPr="0071144A" w:rsidRDefault="00926349" w:rsidP="00926349">
            <w:pPr>
              <w:widowControl w:val="0"/>
              <w:tabs>
                <w:tab w:val="left" w:pos="1843"/>
              </w:tabs>
              <w:ind w:firstLine="0"/>
              <w:rPr>
                <w:sz w:val="18"/>
                <w:szCs w:val="18"/>
              </w:rPr>
            </w:pPr>
          </w:p>
        </w:tc>
        <w:tc>
          <w:tcPr>
            <w:tcW w:w="709" w:type="dxa"/>
            <w:shd w:val="clear" w:color="auto" w:fill="auto"/>
            <w:tcMar>
              <w:top w:w="15" w:type="dxa"/>
              <w:left w:w="108" w:type="dxa"/>
              <w:bottom w:w="0" w:type="dxa"/>
              <w:right w:w="108" w:type="dxa"/>
            </w:tcMar>
          </w:tcPr>
          <w:p w14:paraId="1B757D8F" w14:textId="2E09BBC9" w:rsidR="00926349" w:rsidRPr="00CA5611" w:rsidRDefault="00926349" w:rsidP="00926349">
            <w:pPr>
              <w:widowControl w:val="0"/>
              <w:tabs>
                <w:tab w:val="left" w:pos="1843"/>
              </w:tabs>
              <w:ind w:firstLine="0"/>
              <w:jc w:val="center"/>
              <w:rPr>
                <w:sz w:val="18"/>
                <w:szCs w:val="18"/>
              </w:rPr>
            </w:pPr>
            <w:r w:rsidRPr="00CA5611">
              <w:rPr>
                <w:sz w:val="18"/>
                <w:szCs w:val="18"/>
              </w:rPr>
              <w:t>Fresh</w:t>
            </w:r>
          </w:p>
        </w:tc>
        <w:tc>
          <w:tcPr>
            <w:tcW w:w="1134" w:type="dxa"/>
            <w:shd w:val="clear" w:color="auto" w:fill="auto"/>
            <w:tcMar>
              <w:top w:w="15" w:type="dxa"/>
              <w:left w:w="108" w:type="dxa"/>
              <w:bottom w:w="0" w:type="dxa"/>
              <w:right w:w="108" w:type="dxa"/>
            </w:tcMar>
          </w:tcPr>
          <w:p w14:paraId="055E8B2E" w14:textId="473DF52F" w:rsidR="00926349" w:rsidRDefault="00926349" w:rsidP="00926349">
            <w:pPr>
              <w:widowControl w:val="0"/>
              <w:tabs>
                <w:tab w:val="left" w:pos="1843"/>
              </w:tabs>
              <w:ind w:firstLine="0"/>
              <w:jc w:val="center"/>
              <w:rPr>
                <w:sz w:val="18"/>
                <w:szCs w:val="18"/>
              </w:rPr>
            </w:pPr>
            <w:r w:rsidRPr="00CA5611">
              <w:rPr>
                <w:sz w:val="18"/>
                <w:szCs w:val="18"/>
              </w:rPr>
              <w:t>Aged</w:t>
            </w:r>
          </w:p>
        </w:tc>
        <w:tc>
          <w:tcPr>
            <w:tcW w:w="1701" w:type="dxa"/>
          </w:tcPr>
          <w:p w14:paraId="170E07FB" w14:textId="2107E737" w:rsidR="00926349" w:rsidRPr="00CA5611" w:rsidRDefault="00926349" w:rsidP="00926349">
            <w:pPr>
              <w:widowControl w:val="0"/>
              <w:tabs>
                <w:tab w:val="left" w:pos="1843"/>
              </w:tabs>
              <w:ind w:firstLine="0"/>
              <w:jc w:val="center"/>
              <w:rPr>
                <w:sz w:val="18"/>
                <w:szCs w:val="18"/>
              </w:rPr>
            </w:pPr>
            <w:r>
              <w:rPr>
                <w:rFonts w:hint="cs"/>
                <w:sz w:val="18"/>
                <w:szCs w:val="18"/>
                <w:lang w:bidi="he-IL"/>
              </w:rPr>
              <w:t>A</w:t>
            </w:r>
            <w:r>
              <w:rPr>
                <w:sz w:val="18"/>
                <w:szCs w:val="18"/>
                <w:lang w:bidi="he-IL"/>
              </w:rPr>
              <w:t>symmetric Aging Avoidance</w:t>
            </w:r>
          </w:p>
        </w:tc>
      </w:tr>
      <w:tr w:rsidR="00926349" w:rsidRPr="00CA5611" w14:paraId="65841ADF" w14:textId="77777777" w:rsidTr="00926349">
        <w:trPr>
          <w:trHeight w:val="133"/>
        </w:trPr>
        <w:tc>
          <w:tcPr>
            <w:tcW w:w="704" w:type="dxa"/>
            <w:shd w:val="clear" w:color="auto" w:fill="auto"/>
            <w:tcMar>
              <w:top w:w="15" w:type="dxa"/>
              <w:left w:w="108" w:type="dxa"/>
              <w:bottom w:w="0" w:type="dxa"/>
              <w:right w:w="108" w:type="dxa"/>
            </w:tcMar>
            <w:vAlign w:val="bottom"/>
          </w:tcPr>
          <w:p w14:paraId="75C4538E" w14:textId="41FEF070" w:rsidR="00926349" w:rsidRPr="0071144A" w:rsidRDefault="00926349" w:rsidP="00926349">
            <w:pPr>
              <w:widowControl w:val="0"/>
              <w:tabs>
                <w:tab w:val="left" w:pos="1843"/>
              </w:tabs>
              <w:ind w:firstLine="0"/>
              <w:rPr>
                <w:sz w:val="18"/>
                <w:szCs w:val="18"/>
              </w:rPr>
            </w:pPr>
            <w:r>
              <w:rPr>
                <w:sz w:val="18"/>
                <w:szCs w:val="18"/>
              </w:rPr>
              <w:t>FPU</w:t>
            </w:r>
          </w:p>
        </w:tc>
        <w:tc>
          <w:tcPr>
            <w:tcW w:w="709" w:type="dxa"/>
            <w:shd w:val="clear" w:color="auto" w:fill="auto"/>
            <w:tcMar>
              <w:top w:w="15" w:type="dxa"/>
              <w:left w:w="108" w:type="dxa"/>
              <w:bottom w:w="0" w:type="dxa"/>
              <w:right w:w="108" w:type="dxa"/>
            </w:tcMar>
          </w:tcPr>
          <w:p w14:paraId="07C668F3" w14:textId="56067476" w:rsidR="00926349" w:rsidRPr="00CA5611" w:rsidRDefault="00926349" w:rsidP="00926349">
            <w:pPr>
              <w:widowControl w:val="0"/>
              <w:tabs>
                <w:tab w:val="left" w:pos="1843"/>
              </w:tabs>
              <w:ind w:firstLine="0"/>
              <w:jc w:val="center"/>
              <w:rPr>
                <w:sz w:val="18"/>
                <w:szCs w:val="18"/>
              </w:rPr>
            </w:pPr>
            <w:r>
              <w:rPr>
                <w:sz w:val="18"/>
                <w:szCs w:val="18"/>
              </w:rPr>
              <w:t>+4.5</w:t>
            </w:r>
            <w:r w:rsidRPr="00CA5611">
              <w:rPr>
                <w:sz w:val="18"/>
                <w:szCs w:val="18"/>
              </w:rPr>
              <w:t>/</w:t>
            </w:r>
            <w:r>
              <w:rPr>
                <w:rFonts w:hint="cs"/>
                <w:sz w:val="18"/>
                <w:szCs w:val="18"/>
                <w:rtl/>
                <w:lang w:bidi="he-IL"/>
              </w:rPr>
              <w:t>0</w:t>
            </w:r>
          </w:p>
        </w:tc>
        <w:tc>
          <w:tcPr>
            <w:tcW w:w="1134" w:type="dxa"/>
            <w:shd w:val="clear" w:color="auto" w:fill="auto"/>
            <w:tcMar>
              <w:top w:w="15" w:type="dxa"/>
              <w:left w:w="108" w:type="dxa"/>
              <w:bottom w:w="0" w:type="dxa"/>
              <w:right w:w="108" w:type="dxa"/>
            </w:tcMar>
          </w:tcPr>
          <w:p w14:paraId="61B4D737" w14:textId="50AEBA44" w:rsidR="00926349" w:rsidRDefault="00926349" w:rsidP="00926349">
            <w:pPr>
              <w:widowControl w:val="0"/>
              <w:tabs>
                <w:tab w:val="left" w:pos="1843"/>
              </w:tabs>
              <w:ind w:firstLine="0"/>
              <w:jc w:val="center"/>
              <w:rPr>
                <w:sz w:val="18"/>
                <w:szCs w:val="18"/>
              </w:rPr>
            </w:pPr>
            <w:r>
              <w:rPr>
                <w:sz w:val="18"/>
                <w:szCs w:val="18"/>
              </w:rPr>
              <w:t>-2</w:t>
            </w:r>
            <w:r w:rsidRPr="00CA5611">
              <w:rPr>
                <w:sz w:val="18"/>
                <w:szCs w:val="18"/>
              </w:rPr>
              <w:t>/</w:t>
            </w:r>
            <w:r>
              <w:rPr>
                <w:sz w:val="18"/>
                <w:szCs w:val="18"/>
              </w:rPr>
              <w:t>7</w:t>
            </w:r>
          </w:p>
        </w:tc>
        <w:tc>
          <w:tcPr>
            <w:tcW w:w="1701" w:type="dxa"/>
          </w:tcPr>
          <w:p w14:paraId="71B147DF" w14:textId="5A2CB604" w:rsidR="00926349" w:rsidRPr="00CA5611" w:rsidRDefault="00926349" w:rsidP="00926349">
            <w:pPr>
              <w:widowControl w:val="0"/>
              <w:tabs>
                <w:tab w:val="left" w:pos="1843"/>
              </w:tabs>
              <w:ind w:firstLine="0"/>
              <w:jc w:val="center"/>
              <w:rPr>
                <w:sz w:val="18"/>
                <w:szCs w:val="18"/>
              </w:rPr>
            </w:pPr>
            <w:r w:rsidRPr="00CA5611">
              <w:rPr>
                <w:sz w:val="18"/>
                <w:szCs w:val="18"/>
              </w:rPr>
              <w:t>0/</w:t>
            </w:r>
            <w:r>
              <w:rPr>
                <w:sz w:val="18"/>
                <w:szCs w:val="18"/>
              </w:rPr>
              <w:t>0</w:t>
            </w:r>
          </w:p>
        </w:tc>
      </w:tr>
      <w:tr w:rsidR="00926349" w:rsidRPr="00CA5611" w14:paraId="65CF3E6C" w14:textId="77777777" w:rsidTr="00926349">
        <w:trPr>
          <w:trHeight w:val="178"/>
        </w:trPr>
        <w:tc>
          <w:tcPr>
            <w:tcW w:w="704" w:type="dxa"/>
            <w:shd w:val="clear" w:color="auto" w:fill="auto"/>
            <w:tcMar>
              <w:top w:w="15" w:type="dxa"/>
              <w:left w:w="108" w:type="dxa"/>
              <w:bottom w:w="0" w:type="dxa"/>
              <w:right w:w="108" w:type="dxa"/>
            </w:tcMar>
            <w:vAlign w:val="bottom"/>
          </w:tcPr>
          <w:p w14:paraId="26A17EFC" w14:textId="6C5AC749" w:rsidR="00926349" w:rsidRPr="0071144A" w:rsidRDefault="00926349" w:rsidP="00926349">
            <w:pPr>
              <w:widowControl w:val="0"/>
              <w:tabs>
                <w:tab w:val="left" w:pos="1843"/>
              </w:tabs>
              <w:ind w:firstLine="0"/>
              <w:rPr>
                <w:sz w:val="18"/>
                <w:szCs w:val="18"/>
              </w:rPr>
            </w:pPr>
            <w:r w:rsidRPr="0071144A">
              <w:rPr>
                <w:sz w:val="18"/>
                <w:szCs w:val="18"/>
              </w:rPr>
              <w:t>ALU</w:t>
            </w:r>
          </w:p>
        </w:tc>
        <w:tc>
          <w:tcPr>
            <w:tcW w:w="709" w:type="dxa"/>
            <w:shd w:val="clear" w:color="auto" w:fill="auto"/>
            <w:tcMar>
              <w:top w:w="15" w:type="dxa"/>
              <w:left w:w="108" w:type="dxa"/>
              <w:bottom w:w="0" w:type="dxa"/>
              <w:right w:w="108" w:type="dxa"/>
            </w:tcMar>
          </w:tcPr>
          <w:p w14:paraId="1C914CD6" w14:textId="004FA634" w:rsidR="00926349" w:rsidRPr="00CA5611" w:rsidRDefault="00926349" w:rsidP="00926349">
            <w:pPr>
              <w:widowControl w:val="0"/>
              <w:tabs>
                <w:tab w:val="left" w:pos="1843"/>
              </w:tabs>
              <w:ind w:firstLine="0"/>
              <w:jc w:val="center"/>
              <w:rPr>
                <w:sz w:val="18"/>
                <w:szCs w:val="18"/>
              </w:rPr>
            </w:pPr>
            <w:r>
              <w:rPr>
                <w:sz w:val="18"/>
                <w:szCs w:val="18"/>
                <w:lang w:bidi="he-IL"/>
              </w:rPr>
              <w:t>+13</w:t>
            </w:r>
            <w:r w:rsidRPr="00CA5611">
              <w:rPr>
                <w:sz w:val="18"/>
                <w:szCs w:val="18"/>
              </w:rPr>
              <w:t>/</w:t>
            </w:r>
            <w:r>
              <w:rPr>
                <w:rFonts w:hint="cs"/>
                <w:sz w:val="18"/>
                <w:szCs w:val="18"/>
                <w:rtl/>
                <w:lang w:bidi="he-IL"/>
              </w:rPr>
              <w:t>0</w:t>
            </w:r>
          </w:p>
        </w:tc>
        <w:tc>
          <w:tcPr>
            <w:tcW w:w="1134" w:type="dxa"/>
            <w:shd w:val="clear" w:color="auto" w:fill="auto"/>
            <w:tcMar>
              <w:top w:w="15" w:type="dxa"/>
              <w:left w:w="108" w:type="dxa"/>
              <w:bottom w:w="0" w:type="dxa"/>
              <w:right w:w="108" w:type="dxa"/>
            </w:tcMar>
          </w:tcPr>
          <w:p w14:paraId="0D3D6591" w14:textId="0AA7B7D7" w:rsidR="00926349" w:rsidRDefault="00926349" w:rsidP="00926349">
            <w:pPr>
              <w:widowControl w:val="0"/>
              <w:tabs>
                <w:tab w:val="left" w:pos="1843"/>
              </w:tabs>
              <w:ind w:firstLine="0"/>
              <w:jc w:val="center"/>
              <w:rPr>
                <w:sz w:val="18"/>
                <w:szCs w:val="18"/>
              </w:rPr>
            </w:pPr>
            <w:r>
              <w:rPr>
                <w:sz w:val="18"/>
                <w:szCs w:val="18"/>
              </w:rPr>
              <w:t>-1/10</w:t>
            </w:r>
          </w:p>
        </w:tc>
        <w:tc>
          <w:tcPr>
            <w:tcW w:w="1701" w:type="dxa"/>
          </w:tcPr>
          <w:p w14:paraId="076E2B85" w14:textId="5F446741" w:rsidR="00926349" w:rsidRPr="00CA5611" w:rsidRDefault="00926349" w:rsidP="00926349">
            <w:pPr>
              <w:widowControl w:val="0"/>
              <w:tabs>
                <w:tab w:val="left" w:pos="1843"/>
              </w:tabs>
              <w:ind w:firstLine="0"/>
              <w:jc w:val="center"/>
              <w:rPr>
                <w:sz w:val="18"/>
                <w:szCs w:val="18"/>
              </w:rPr>
            </w:pPr>
            <w:r w:rsidRPr="00CA5611">
              <w:rPr>
                <w:sz w:val="18"/>
                <w:szCs w:val="18"/>
              </w:rPr>
              <w:t>0/</w:t>
            </w:r>
            <w:r>
              <w:rPr>
                <w:sz w:val="18"/>
                <w:szCs w:val="18"/>
              </w:rPr>
              <w:t>0</w:t>
            </w:r>
          </w:p>
        </w:tc>
      </w:tr>
    </w:tbl>
    <w:p w14:paraId="2B05D075" w14:textId="77777777" w:rsidR="0071144A" w:rsidRDefault="0071144A" w:rsidP="00374284">
      <w:pPr>
        <w:tabs>
          <w:tab w:val="left" w:pos="1860"/>
        </w:tabs>
      </w:pPr>
    </w:p>
    <w:p w14:paraId="46603F31" w14:textId="38D9FD7F" w:rsidR="004A6F86" w:rsidRDefault="004A6F86" w:rsidP="003C0B12">
      <w:pPr>
        <w:rPr>
          <w:lang w:bidi="he-IL"/>
        </w:rPr>
      </w:pPr>
      <w:r w:rsidRPr="004A6F86">
        <w:t>To address the impact of BTI on GPGPU execution units, we propose the adoption of a pseudorandom sequence bit (PRBS) generator, activated by a low-frequency clock</w:t>
      </w:r>
      <w:r w:rsidR="005475A5">
        <w:t xml:space="preserve"> as illustrated in Figure 2</w:t>
      </w:r>
      <w:r w:rsidRPr="004A6F86">
        <w:t>. This approach is inspired by the technique suggested in [6] for general-purpose microprocessors.</w:t>
      </w:r>
      <w:r w:rsidR="00962251">
        <w:t xml:space="preserve"> </w:t>
      </w:r>
      <w:r w:rsidR="001260E2" w:rsidRPr="001260E2">
        <w:t xml:space="preserve">As illustrated in Figure 2, the PRBS data patterns are multiplexed with the functional data path inputs through a designated multiplexer. By employing a PRBS generator, pseudorandom patterns are generated and fed into the GPGPU FPU and ALU, effectively mitigating extended periods of constant stress. The PRBS circuitry is timed using a slow-frequency clock during idle time slots of the FPU and </w:t>
      </w:r>
      <w:r w:rsidR="001260E2" w:rsidRPr="001260E2">
        <w:t>ALU. When the PRBS circuitry is enabled, the input multiplexer selects the PRBS data, which is then injected into the data path of the execution units. The clock frequency for this PRBS generator can be set to a few megahertz (MHz) or even lower to minimize any potential dynamic power overhead.</w:t>
      </w:r>
      <w:r w:rsidR="001260E2">
        <w:t xml:space="preserve"> </w:t>
      </w:r>
      <w:r w:rsidRPr="004A6F86">
        <w:t xml:space="preserve">This technique </w:t>
      </w:r>
      <w:r w:rsidR="001260E2">
        <w:t xml:space="preserve">can </w:t>
      </w:r>
      <w:r w:rsidRPr="004A6F86">
        <w:t>provide a practical solution for reducing the vulnerability of GPGPU execution units to BTI, enhancing their resilience and prolonging their operational lifetime.</w:t>
      </w:r>
      <w:r>
        <w:t xml:space="preserve"> </w:t>
      </w:r>
      <w:r w:rsidRPr="004A6F86">
        <w:t xml:space="preserve">Our timing </w:t>
      </w:r>
      <w:r w:rsidR="00962251">
        <w:t>analysis for the FPU and ALU employing</w:t>
      </w:r>
      <w:r w:rsidRPr="004A6F86">
        <w:t xml:space="preserve"> the PRBS </w:t>
      </w:r>
      <w:r w:rsidR="005475A5">
        <w:t xml:space="preserve">asymmetric aging avoidance </w:t>
      </w:r>
      <w:r w:rsidRPr="004A6F86">
        <w:t>circuitry, demonstrates the successful elimination of all timing violations</w:t>
      </w:r>
      <w:r w:rsidR="005475A5">
        <w:t xml:space="preserve"> as shown in Table 1</w:t>
      </w:r>
      <w:r w:rsidRPr="004A6F86">
        <w:t xml:space="preserve">. </w:t>
      </w:r>
    </w:p>
    <w:p w14:paraId="4AA7CD7B" w14:textId="2282CC64" w:rsidR="005475A5" w:rsidRDefault="005475A5" w:rsidP="004A6F86"/>
    <w:p w14:paraId="0EE7D09A" w14:textId="027A9DA3" w:rsidR="005475A5" w:rsidRDefault="003C0B12" w:rsidP="00295525">
      <w:pPr>
        <w:ind w:firstLine="0"/>
        <w:jc w:val="center"/>
      </w:pPr>
      <w:r w:rsidRPr="003C0B12">
        <w:rPr>
          <w:noProof/>
        </w:rPr>
        <w:drawing>
          <wp:inline distT="0" distB="0" distL="0" distR="0" wp14:anchorId="34FE3468" wp14:editId="0D1FBA33">
            <wp:extent cx="3082543" cy="1652226"/>
            <wp:effectExtent l="0" t="0" r="317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82543" cy="1652226"/>
                    </a:xfrm>
                    <a:prstGeom prst="rect">
                      <a:avLst/>
                    </a:prstGeom>
                  </pic:spPr>
                </pic:pic>
              </a:graphicData>
            </a:graphic>
          </wp:inline>
        </w:drawing>
      </w:r>
    </w:p>
    <w:p w14:paraId="7CD69F56" w14:textId="04FC0099" w:rsidR="005475A5" w:rsidRPr="00295525" w:rsidRDefault="005475A5" w:rsidP="00295525">
      <w:pPr>
        <w:tabs>
          <w:tab w:val="left" w:pos="1843"/>
        </w:tabs>
        <w:jc w:val="center"/>
        <w:rPr>
          <w:sz w:val="18"/>
          <w:szCs w:val="18"/>
        </w:rPr>
      </w:pPr>
      <w:r>
        <w:rPr>
          <w:b/>
          <w:sz w:val="18"/>
          <w:szCs w:val="18"/>
        </w:rPr>
        <w:t>Fig. 2.</w:t>
      </w:r>
      <w:r>
        <w:rPr>
          <w:sz w:val="18"/>
          <w:szCs w:val="18"/>
        </w:rPr>
        <w:t xml:space="preserve"> Asymmetric aging avoidance circuitry based on PRBS generator.</w:t>
      </w:r>
    </w:p>
    <w:p w14:paraId="540EFF8A" w14:textId="2FBF1F6F" w:rsidR="004A6F86" w:rsidRDefault="004A6F86">
      <w:pPr>
        <w:tabs>
          <w:tab w:val="left" w:pos="1843"/>
        </w:tabs>
        <w:ind w:left="28" w:hanging="28"/>
        <w:rPr>
          <w:b/>
        </w:rPr>
      </w:pPr>
    </w:p>
    <w:p w14:paraId="5225C408" w14:textId="77777777" w:rsidR="00295525" w:rsidRDefault="00295525" w:rsidP="009C6A41">
      <w:pPr>
        <w:tabs>
          <w:tab w:val="left" w:pos="1843"/>
        </w:tabs>
        <w:ind w:left="28" w:hanging="28"/>
        <w:rPr>
          <w:b/>
          <w:lang w:bidi="he-IL"/>
        </w:rPr>
      </w:pPr>
    </w:p>
    <w:p w14:paraId="46C93D84" w14:textId="1B1AA3F7" w:rsidR="00570A42" w:rsidRPr="00AB0B7B" w:rsidRDefault="001E6148" w:rsidP="00AB0B7B">
      <w:pPr>
        <w:tabs>
          <w:tab w:val="left" w:pos="1843"/>
        </w:tabs>
        <w:ind w:left="28" w:hanging="28"/>
        <w:rPr>
          <w:b/>
          <w:sz w:val="22"/>
          <w:szCs w:val="22"/>
        </w:rPr>
      </w:pPr>
      <w:r>
        <w:rPr>
          <w:b/>
          <w:sz w:val="22"/>
          <w:szCs w:val="22"/>
        </w:rPr>
        <w:lastRenderedPageBreak/>
        <w:t>4. Conclusions</w:t>
      </w:r>
    </w:p>
    <w:p w14:paraId="2129760C" w14:textId="0B22C68E" w:rsidR="00DF196E" w:rsidRDefault="00DF196E" w:rsidP="00DF196E">
      <w:r>
        <w:t>The emerging deployment of GPGPUs in mission-critical systems establishes stringent requirements for the resilience and reliability of GPGPUs. Nonetheless, the advent of new advanced process nodes has also illuminated the susceptibility of ICs to reliability concerns, with a specific focus on those stemming from transistor aging.</w:t>
      </w:r>
    </w:p>
    <w:p w14:paraId="4AB695B5" w14:textId="5027E17E" w:rsidR="00DF196E" w:rsidRDefault="00DF196E" w:rsidP="00DF196E">
      <w:r>
        <w:t>In this paper, we examined the impact of asymmetric transistor aging on GPGPU execution units. Our experimental analysis has shown that execution units within GPGPUs can be highly susceptible to BTI due to prolonged periods of idle stress. As a case study, we investigated the NVIDIA RTX 2060 GPGPU using BFS and NN benchmarks, indicating that execution units such as the integer execution unit and the FPU can remain idle for around 70% and 85% of the total time, respectively. These observations suggest that such execution units are highly susceptible to asymmetric transistor aging.</w:t>
      </w:r>
    </w:p>
    <w:p w14:paraId="5577598A" w14:textId="77777777" w:rsidR="00060016" w:rsidRDefault="00DF196E" w:rsidP="00060016">
      <w:pPr>
        <w:rPr>
          <w:color w:val="000000"/>
        </w:rPr>
      </w:pPr>
      <w:r>
        <w:t xml:space="preserve">These concerns were further demonstrated through a detailed timing analysis that combines an aging library model with the aging profile derived from functional simulations. The observed timing violations suggest that GPGPU computational elements can experience asymmetric transistor aging, resulting in setup and hold timing violations. </w:t>
      </w:r>
      <w:r w:rsidR="00060016" w:rsidRPr="00060016">
        <w:rPr>
          <w:color w:val="000000"/>
        </w:rPr>
        <w:t>As part of this study, we have also introduced an asymmetric aging avoidance circuitry based on a PRBS generator to mitigate asymmetric transistor aging in GPGPU execution units. Our detailed timing analysis indicates that the asymmetric aging avoidance circuitry has been successful in eliminating the timing violations caused by asymmetric transistor aging.</w:t>
      </w:r>
    </w:p>
    <w:p w14:paraId="49058822" w14:textId="5918899C" w:rsidR="00783F98" w:rsidRPr="00060016" w:rsidRDefault="00060016" w:rsidP="00060016">
      <w:pPr>
        <w:rPr>
          <w:color w:val="000000"/>
        </w:rPr>
      </w:pPr>
      <w:r w:rsidRPr="00060016">
        <w:t xml:space="preserve">Moving forward, further research is warranted in the </w:t>
      </w:r>
      <w:r>
        <w:t>domain</w:t>
      </w:r>
      <w:r w:rsidRPr="00060016">
        <w:t xml:space="preserve"> of asymmetric transistor aging in GPGPUs and other computational elements. Firstly, exploring adaptive techniques to dynamically adjust clock frequencies</w:t>
      </w:r>
      <w:r>
        <w:t xml:space="preserve">, clock latencies </w:t>
      </w:r>
      <w:r w:rsidRPr="00060016">
        <w:t xml:space="preserve">or resource allocation could offer promising avenues for mitigating aging-induced timing violations. Secondly, investigating novel design methodologies that integrate fine-grained aging-aware optimizations into the microarchitecture could provide more comprehensive solutions. Additionally, extending the study to encompass a wider array of benchmarks and real-world workloads will be crucial to establishing the robustness and generalizability of </w:t>
      </w:r>
      <w:r>
        <w:t xml:space="preserve">the </w:t>
      </w:r>
      <w:r w:rsidRPr="00060016">
        <w:t>proposed solution.</w:t>
      </w:r>
    </w:p>
    <w:p w14:paraId="1FF1CC39" w14:textId="77777777" w:rsidR="00783F98" w:rsidRDefault="00783F98"/>
    <w:p w14:paraId="7E543D06" w14:textId="77777777" w:rsidR="00570A42" w:rsidRDefault="00570A42" w:rsidP="00060016">
      <w:pPr>
        <w:tabs>
          <w:tab w:val="left" w:pos="1843"/>
        </w:tabs>
        <w:ind w:firstLine="0"/>
        <w:rPr>
          <w:lang w:bidi="he-IL"/>
        </w:rPr>
      </w:pPr>
    </w:p>
    <w:p w14:paraId="0B1730FC" w14:textId="28791319" w:rsidR="00570A42" w:rsidRPr="00AB0B7B" w:rsidRDefault="001E6148" w:rsidP="00AB0B7B">
      <w:pPr>
        <w:tabs>
          <w:tab w:val="left" w:pos="1843"/>
        </w:tabs>
        <w:ind w:left="28" w:hanging="28"/>
        <w:rPr>
          <w:b/>
          <w:sz w:val="22"/>
          <w:szCs w:val="22"/>
        </w:rPr>
      </w:pPr>
      <w:r>
        <w:rPr>
          <w:b/>
          <w:sz w:val="22"/>
          <w:szCs w:val="22"/>
        </w:rPr>
        <w:t>References</w:t>
      </w:r>
    </w:p>
    <w:p w14:paraId="6F858197" w14:textId="77777777" w:rsidR="00252C84" w:rsidRDefault="001E6148" w:rsidP="00252C84">
      <w:pPr>
        <w:tabs>
          <w:tab w:val="left" w:pos="1843"/>
        </w:tabs>
        <w:ind w:left="426" w:hanging="426"/>
        <w:rPr>
          <w:sz w:val="18"/>
          <w:szCs w:val="18"/>
        </w:rPr>
      </w:pPr>
      <w:r>
        <w:rPr>
          <w:sz w:val="18"/>
          <w:szCs w:val="18"/>
        </w:rPr>
        <w:t>[1].</w:t>
      </w:r>
      <w:r>
        <w:rPr>
          <w:sz w:val="18"/>
          <w:szCs w:val="18"/>
        </w:rPr>
        <w:tab/>
      </w:r>
      <w:r w:rsidR="00252C84" w:rsidRPr="00252C84">
        <w:rPr>
          <w:sz w:val="18"/>
          <w:szCs w:val="18"/>
        </w:rPr>
        <w:t xml:space="preserve">Kirk, D., and W. </w:t>
      </w:r>
      <w:proofErr w:type="spellStart"/>
      <w:r w:rsidR="00252C84" w:rsidRPr="00252C84">
        <w:rPr>
          <w:sz w:val="18"/>
          <w:szCs w:val="18"/>
        </w:rPr>
        <w:t>Hwu</w:t>
      </w:r>
      <w:proofErr w:type="spellEnd"/>
      <w:r w:rsidR="00252C84" w:rsidRPr="00252C84">
        <w:rPr>
          <w:sz w:val="18"/>
          <w:szCs w:val="18"/>
        </w:rPr>
        <w:t>. "GPGPU: General-Purpose Computation on Graphics Hardware." ACM SIGGRAPH, vol. 25, no. 3, 2006, pp. 657-666.</w:t>
      </w:r>
    </w:p>
    <w:p w14:paraId="13BEEF6B" w14:textId="16E42EB7" w:rsidR="00570A42" w:rsidRDefault="00252C84" w:rsidP="00252C84">
      <w:pPr>
        <w:tabs>
          <w:tab w:val="left" w:pos="1843"/>
        </w:tabs>
        <w:ind w:left="426" w:hanging="426"/>
        <w:rPr>
          <w:sz w:val="18"/>
          <w:szCs w:val="18"/>
        </w:rPr>
      </w:pPr>
      <w:r>
        <w:rPr>
          <w:sz w:val="18"/>
          <w:szCs w:val="18"/>
        </w:rPr>
        <w:t>[2]</w:t>
      </w:r>
      <w:r>
        <w:rPr>
          <w:sz w:val="18"/>
          <w:szCs w:val="18"/>
        </w:rPr>
        <w:tab/>
      </w:r>
      <w:r w:rsidRPr="00252C84">
        <w:rPr>
          <w:sz w:val="18"/>
          <w:szCs w:val="18"/>
        </w:rPr>
        <w:t>Harris, M., et al. "GPGPUs for General-Purpose Scientific Computing: A Survey." Journal of Supercomputing, vol. 73, no. 1, 2017, pp. 3-</w:t>
      </w:r>
      <w:proofErr w:type="gramStart"/>
      <w:r w:rsidRPr="00252C84">
        <w:rPr>
          <w:sz w:val="18"/>
          <w:szCs w:val="18"/>
        </w:rPr>
        <w:t>50.</w:t>
      </w:r>
      <w:r w:rsidR="001E6148">
        <w:rPr>
          <w:sz w:val="18"/>
          <w:szCs w:val="18"/>
        </w:rPr>
        <w:t>A.</w:t>
      </w:r>
      <w:proofErr w:type="gramEnd"/>
      <w:r w:rsidR="001E6148">
        <w:rPr>
          <w:sz w:val="18"/>
          <w:szCs w:val="18"/>
        </w:rPr>
        <w:t xml:space="preserve"> Author, Book title, Editor, </w:t>
      </w:r>
      <w:r w:rsidR="001E6148">
        <w:rPr>
          <w:i/>
          <w:sz w:val="18"/>
          <w:szCs w:val="18"/>
        </w:rPr>
        <w:t>Publisher</w:t>
      </w:r>
      <w:r w:rsidR="001E6148">
        <w:rPr>
          <w:sz w:val="18"/>
          <w:szCs w:val="18"/>
        </w:rPr>
        <w:t>, 1990.</w:t>
      </w:r>
    </w:p>
    <w:p w14:paraId="1EF3945F" w14:textId="361B94C2" w:rsidR="00570A42" w:rsidRDefault="001E6148">
      <w:pPr>
        <w:tabs>
          <w:tab w:val="left" w:pos="1843"/>
        </w:tabs>
        <w:ind w:left="426" w:hanging="426"/>
        <w:rPr>
          <w:sz w:val="18"/>
          <w:szCs w:val="18"/>
        </w:rPr>
      </w:pPr>
      <w:r>
        <w:rPr>
          <w:sz w:val="18"/>
          <w:szCs w:val="18"/>
        </w:rPr>
        <w:t>[</w:t>
      </w:r>
      <w:r w:rsidR="00ED67EC">
        <w:rPr>
          <w:sz w:val="18"/>
          <w:szCs w:val="18"/>
        </w:rPr>
        <w:t>3</w:t>
      </w:r>
      <w:r>
        <w:rPr>
          <w:sz w:val="18"/>
          <w:szCs w:val="18"/>
        </w:rPr>
        <w:t>]</w:t>
      </w:r>
      <w:r w:rsidR="00ED67EC">
        <w:rPr>
          <w:sz w:val="18"/>
          <w:szCs w:val="18"/>
        </w:rPr>
        <w:tab/>
      </w:r>
      <w:proofErr w:type="spellStart"/>
      <w:r w:rsidR="00ED67EC" w:rsidRPr="00ED67EC">
        <w:rPr>
          <w:sz w:val="18"/>
          <w:szCs w:val="18"/>
        </w:rPr>
        <w:t>Campmany</w:t>
      </w:r>
      <w:proofErr w:type="spellEnd"/>
      <w:r w:rsidR="00ED67EC" w:rsidRPr="00ED67EC">
        <w:rPr>
          <w:sz w:val="18"/>
          <w:szCs w:val="18"/>
        </w:rPr>
        <w:t>, V., Silva, S., Espinosa, A., Moure, J. C., Vázquez, D., &amp; López, A. M. (2016). GPU-based pedestrian detection for autonomous driving. Procedia Computer Science, 80, 2377-2381.</w:t>
      </w:r>
    </w:p>
    <w:p w14:paraId="018FB258" w14:textId="524E8790" w:rsidR="00570A42" w:rsidRDefault="001E6148">
      <w:pPr>
        <w:tabs>
          <w:tab w:val="left" w:pos="1843"/>
        </w:tabs>
        <w:ind w:left="426" w:hanging="426"/>
        <w:rPr>
          <w:sz w:val="18"/>
          <w:szCs w:val="18"/>
        </w:rPr>
      </w:pPr>
      <w:r>
        <w:rPr>
          <w:sz w:val="18"/>
          <w:szCs w:val="18"/>
        </w:rPr>
        <w:t>[</w:t>
      </w:r>
      <w:r w:rsidR="00ED67EC">
        <w:rPr>
          <w:sz w:val="18"/>
          <w:szCs w:val="18"/>
        </w:rPr>
        <w:t>4</w:t>
      </w:r>
      <w:r>
        <w:rPr>
          <w:sz w:val="18"/>
          <w:szCs w:val="18"/>
        </w:rPr>
        <w:t>]</w:t>
      </w:r>
      <w:r>
        <w:rPr>
          <w:sz w:val="18"/>
          <w:szCs w:val="18"/>
        </w:rPr>
        <w:tab/>
      </w:r>
      <w:r w:rsidR="00EB22A6" w:rsidRPr="00EB22A6">
        <w:rPr>
          <w:sz w:val="18"/>
          <w:szCs w:val="18"/>
        </w:rPr>
        <w:t xml:space="preserve">Yang, M. (2018, July). Avoiding pitfalls when using NVIDIA GPUs for real-time tasks in autonomous systems. In Proceedings of the 30th </w:t>
      </w:r>
      <w:proofErr w:type="spellStart"/>
      <w:r w:rsidR="00EB22A6" w:rsidRPr="00EB22A6">
        <w:rPr>
          <w:sz w:val="18"/>
          <w:szCs w:val="18"/>
        </w:rPr>
        <w:t>Euromicro</w:t>
      </w:r>
      <w:proofErr w:type="spellEnd"/>
      <w:r w:rsidR="00EB22A6" w:rsidRPr="00EB22A6">
        <w:rPr>
          <w:sz w:val="18"/>
          <w:szCs w:val="18"/>
        </w:rPr>
        <w:t xml:space="preserve"> Conference on Real-Time Systems.</w:t>
      </w:r>
    </w:p>
    <w:p w14:paraId="00B9856E" w14:textId="6BE0E5B6" w:rsidR="00570A42" w:rsidRDefault="001E6148">
      <w:pPr>
        <w:tabs>
          <w:tab w:val="left" w:pos="1843"/>
        </w:tabs>
        <w:ind w:left="426" w:hanging="426"/>
        <w:rPr>
          <w:sz w:val="18"/>
          <w:szCs w:val="18"/>
        </w:rPr>
      </w:pPr>
      <w:r>
        <w:rPr>
          <w:sz w:val="18"/>
          <w:szCs w:val="18"/>
        </w:rPr>
        <w:t>[</w:t>
      </w:r>
      <w:r w:rsidR="00D4399D">
        <w:rPr>
          <w:sz w:val="18"/>
          <w:szCs w:val="18"/>
        </w:rPr>
        <w:t>5</w:t>
      </w:r>
      <w:r>
        <w:rPr>
          <w:sz w:val="18"/>
          <w:szCs w:val="18"/>
        </w:rPr>
        <w:t>].</w:t>
      </w:r>
      <w:r>
        <w:rPr>
          <w:sz w:val="18"/>
          <w:szCs w:val="18"/>
        </w:rPr>
        <w:tab/>
      </w:r>
      <w:r w:rsidR="00DC492E" w:rsidRPr="00DC492E">
        <w:rPr>
          <w:sz w:val="18"/>
          <w:szCs w:val="18"/>
        </w:rPr>
        <w:t xml:space="preserve">M. A. </w:t>
      </w:r>
      <w:proofErr w:type="spellStart"/>
      <w:r w:rsidR="00DC492E" w:rsidRPr="00DC492E">
        <w:rPr>
          <w:sz w:val="18"/>
          <w:szCs w:val="18"/>
        </w:rPr>
        <w:t>Alam</w:t>
      </w:r>
      <w:proofErr w:type="spellEnd"/>
      <w:r w:rsidR="00DC492E" w:rsidRPr="00DC492E">
        <w:rPr>
          <w:sz w:val="18"/>
          <w:szCs w:val="18"/>
        </w:rPr>
        <w:t xml:space="preserve">, H. </w:t>
      </w:r>
      <w:proofErr w:type="spellStart"/>
      <w:r w:rsidR="00DC492E" w:rsidRPr="00DC492E">
        <w:rPr>
          <w:sz w:val="18"/>
          <w:szCs w:val="18"/>
        </w:rPr>
        <w:t>Kufluoglu</w:t>
      </w:r>
      <w:proofErr w:type="spellEnd"/>
      <w:r w:rsidR="00DC492E" w:rsidRPr="00DC492E">
        <w:rPr>
          <w:sz w:val="18"/>
          <w:szCs w:val="18"/>
        </w:rPr>
        <w:t>, D. Varghese, and S. Mahapatra, “A comprehensive model for PMOS NBTI degradation,” Microelectron. Rel., vol. 47, no. 6, pp. 853–862, Jun. 2007.</w:t>
      </w:r>
      <w:r w:rsidR="00DC492E">
        <w:rPr>
          <w:sz w:val="18"/>
          <w:szCs w:val="18"/>
        </w:rPr>
        <w:t xml:space="preserve"> </w:t>
      </w:r>
      <w:hyperlink r:id="rId15" w:history="1">
        <w:r w:rsidR="00DC492E" w:rsidRPr="00BA434F">
          <w:rPr>
            <w:rStyle w:val="Hyperlink"/>
            <w:sz w:val="18"/>
            <w:szCs w:val="18"/>
          </w:rPr>
          <w:t>https://doi.org/10.1016/j.microrel.2006.10.012</w:t>
        </w:r>
      </w:hyperlink>
    </w:p>
    <w:p w14:paraId="098717C2" w14:textId="682C15B3" w:rsidR="00DC492E" w:rsidRDefault="00DC492E" w:rsidP="00D4399D">
      <w:pPr>
        <w:tabs>
          <w:tab w:val="left" w:pos="1843"/>
        </w:tabs>
        <w:ind w:left="426" w:hanging="426"/>
        <w:rPr>
          <w:sz w:val="18"/>
          <w:szCs w:val="18"/>
        </w:rPr>
      </w:pPr>
      <w:r>
        <w:rPr>
          <w:sz w:val="18"/>
          <w:szCs w:val="18"/>
        </w:rPr>
        <w:t>[</w:t>
      </w:r>
      <w:r w:rsidR="00D4399D">
        <w:rPr>
          <w:sz w:val="18"/>
          <w:szCs w:val="18"/>
        </w:rPr>
        <w:t>6</w:t>
      </w:r>
      <w:r>
        <w:rPr>
          <w:sz w:val="18"/>
          <w:szCs w:val="18"/>
        </w:rPr>
        <w:t>]</w:t>
      </w:r>
      <w:r>
        <w:rPr>
          <w:sz w:val="18"/>
          <w:szCs w:val="18"/>
        </w:rPr>
        <w:tab/>
      </w:r>
      <w:r w:rsidRPr="00DC492E">
        <w:rPr>
          <w:sz w:val="18"/>
          <w:szCs w:val="18"/>
        </w:rPr>
        <w:t>F</w:t>
      </w:r>
      <w:r>
        <w:rPr>
          <w:sz w:val="18"/>
          <w:szCs w:val="18"/>
        </w:rPr>
        <w:t xml:space="preserve">. </w:t>
      </w:r>
      <w:r w:rsidRPr="00DC492E">
        <w:rPr>
          <w:sz w:val="18"/>
          <w:szCs w:val="18"/>
        </w:rPr>
        <w:t xml:space="preserve">Gabbay, </w:t>
      </w:r>
      <w:r>
        <w:rPr>
          <w:sz w:val="18"/>
          <w:szCs w:val="18"/>
        </w:rPr>
        <w:t>A.</w:t>
      </w:r>
      <w:r w:rsidRPr="00DC492E">
        <w:rPr>
          <w:sz w:val="18"/>
          <w:szCs w:val="18"/>
        </w:rPr>
        <w:t xml:space="preserve"> Mendelson,</w:t>
      </w:r>
      <w:r>
        <w:rPr>
          <w:sz w:val="18"/>
          <w:szCs w:val="18"/>
        </w:rPr>
        <w:t xml:space="preserve"> </w:t>
      </w:r>
      <w:r w:rsidRPr="00DC492E">
        <w:rPr>
          <w:sz w:val="18"/>
          <w:szCs w:val="18"/>
        </w:rPr>
        <w:t>Asymmetric aging effect on modern microprocessors,</w:t>
      </w:r>
      <w:r>
        <w:rPr>
          <w:sz w:val="18"/>
          <w:szCs w:val="18"/>
        </w:rPr>
        <w:t xml:space="preserve"> </w:t>
      </w:r>
      <w:r w:rsidRPr="00DC492E">
        <w:rPr>
          <w:sz w:val="18"/>
          <w:szCs w:val="18"/>
        </w:rPr>
        <w:t>Microelectronics Reliability,</w:t>
      </w:r>
      <w:r w:rsidR="00D4399D">
        <w:rPr>
          <w:sz w:val="18"/>
          <w:szCs w:val="18"/>
        </w:rPr>
        <w:t xml:space="preserve"> </w:t>
      </w:r>
      <w:r w:rsidRPr="00DC492E">
        <w:rPr>
          <w:sz w:val="18"/>
          <w:szCs w:val="18"/>
        </w:rPr>
        <w:t>Volume 119,</w:t>
      </w:r>
      <w:r w:rsidR="00D4399D">
        <w:rPr>
          <w:sz w:val="18"/>
          <w:szCs w:val="18"/>
        </w:rPr>
        <w:t xml:space="preserve"> </w:t>
      </w:r>
      <w:r w:rsidRPr="00DC492E">
        <w:rPr>
          <w:sz w:val="18"/>
          <w:szCs w:val="18"/>
        </w:rPr>
        <w:t>2021,</w:t>
      </w:r>
      <w:r>
        <w:rPr>
          <w:sz w:val="18"/>
          <w:szCs w:val="18"/>
        </w:rPr>
        <w:t xml:space="preserve"> </w:t>
      </w:r>
      <w:r w:rsidRPr="00DC492E">
        <w:rPr>
          <w:sz w:val="18"/>
          <w:szCs w:val="18"/>
        </w:rPr>
        <w:t>14090,</w:t>
      </w:r>
      <w:r>
        <w:rPr>
          <w:sz w:val="18"/>
          <w:szCs w:val="18"/>
        </w:rPr>
        <w:t xml:space="preserve"> </w:t>
      </w:r>
      <w:r w:rsidRPr="00DC492E">
        <w:rPr>
          <w:sz w:val="18"/>
          <w:szCs w:val="18"/>
        </w:rPr>
        <w:t>SSN 0026-2714,</w:t>
      </w:r>
      <w:r>
        <w:rPr>
          <w:sz w:val="18"/>
          <w:szCs w:val="18"/>
        </w:rPr>
        <w:t xml:space="preserve"> </w:t>
      </w:r>
      <w:hyperlink r:id="rId16" w:history="1">
        <w:r w:rsidR="00D4399D" w:rsidRPr="00BA434F">
          <w:rPr>
            <w:rStyle w:val="Hyperlink"/>
            <w:sz w:val="18"/>
            <w:szCs w:val="18"/>
          </w:rPr>
          <w:t>https://doi.org/10.1016/j.microrel.2021.114090</w:t>
        </w:r>
      </w:hyperlink>
      <w:r w:rsidRPr="00DC492E">
        <w:rPr>
          <w:sz w:val="18"/>
          <w:szCs w:val="18"/>
        </w:rPr>
        <w:t>.</w:t>
      </w:r>
    </w:p>
    <w:p w14:paraId="7E495F05" w14:textId="69DCBFDD" w:rsidR="00D4399D" w:rsidRDefault="00D4399D" w:rsidP="00D4399D">
      <w:pPr>
        <w:tabs>
          <w:tab w:val="left" w:pos="1843"/>
        </w:tabs>
        <w:ind w:left="426" w:hanging="426"/>
        <w:rPr>
          <w:sz w:val="18"/>
          <w:szCs w:val="18"/>
        </w:rPr>
      </w:pPr>
      <w:r>
        <w:rPr>
          <w:sz w:val="18"/>
          <w:szCs w:val="18"/>
        </w:rPr>
        <w:t>[7]</w:t>
      </w:r>
      <w:r>
        <w:rPr>
          <w:sz w:val="18"/>
          <w:szCs w:val="18"/>
        </w:rPr>
        <w:tab/>
      </w:r>
      <w:r w:rsidRPr="00E16066">
        <w:rPr>
          <w:sz w:val="18"/>
          <w:szCs w:val="18"/>
        </w:rPr>
        <w:t>S. Ogawa and N. Shiono, “Generalized diffusion-reaction model for the low-field charge build up instability at the Si-SiO</w:t>
      </w:r>
      <w:r w:rsidRPr="00E16066">
        <w:rPr>
          <w:sz w:val="18"/>
          <w:szCs w:val="18"/>
          <w:vertAlign w:val="subscript"/>
        </w:rPr>
        <w:t>2</w:t>
      </w:r>
      <w:r w:rsidRPr="00E16066">
        <w:rPr>
          <w:sz w:val="18"/>
          <w:szCs w:val="18"/>
        </w:rPr>
        <w:t xml:space="preserve"> interface”, Physical Review, 51(7):4218–4230, Feb. 1995.</w:t>
      </w:r>
    </w:p>
    <w:p w14:paraId="5FCF51B4" w14:textId="6A677890" w:rsidR="00D4399D" w:rsidRPr="002E41B5" w:rsidRDefault="00D4399D" w:rsidP="00D4399D">
      <w:pPr>
        <w:tabs>
          <w:tab w:val="left" w:pos="1843"/>
        </w:tabs>
        <w:ind w:left="426" w:hanging="426"/>
        <w:rPr>
          <w:sz w:val="18"/>
          <w:szCs w:val="18"/>
        </w:rPr>
      </w:pPr>
      <w:r>
        <w:rPr>
          <w:sz w:val="18"/>
          <w:szCs w:val="18"/>
        </w:rPr>
        <w:t>[8]</w:t>
      </w:r>
      <w:r>
        <w:rPr>
          <w:sz w:val="18"/>
          <w:szCs w:val="18"/>
        </w:rPr>
        <w:tab/>
      </w:r>
      <w:r w:rsidRPr="002E41B5">
        <w:rPr>
          <w:sz w:val="18"/>
          <w:szCs w:val="18"/>
        </w:rPr>
        <w:t xml:space="preserve">M. A. </w:t>
      </w:r>
      <w:proofErr w:type="spellStart"/>
      <w:r w:rsidRPr="002E41B5">
        <w:rPr>
          <w:sz w:val="18"/>
          <w:szCs w:val="18"/>
        </w:rPr>
        <w:t>Alam</w:t>
      </w:r>
      <w:proofErr w:type="spellEnd"/>
      <w:r w:rsidRPr="002E41B5">
        <w:rPr>
          <w:sz w:val="18"/>
          <w:szCs w:val="18"/>
        </w:rPr>
        <w:t xml:space="preserve">, H. </w:t>
      </w:r>
      <w:proofErr w:type="spellStart"/>
      <w:r w:rsidRPr="002E41B5">
        <w:rPr>
          <w:sz w:val="18"/>
          <w:szCs w:val="18"/>
        </w:rPr>
        <w:t>Kufluoglu</w:t>
      </w:r>
      <w:proofErr w:type="spellEnd"/>
      <w:r w:rsidRPr="002E41B5">
        <w:rPr>
          <w:sz w:val="18"/>
          <w:szCs w:val="18"/>
        </w:rPr>
        <w:t xml:space="preserve">, D. Varghese, and S. Mahapatra, “A comprehensive model for PMOS NBTI degradation,” </w:t>
      </w:r>
      <w:r w:rsidRPr="002E41B5">
        <w:rPr>
          <w:i/>
          <w:iCs/>
          <w:sz w:val="18"/>
          <w:szCs w:val="18"/>
        </w:rPr>
        <w:t>Microelectron. Rel.</w:t>
      </w:r>
      <w:r w:rsidRPr="002E41B5">
        <w:rPr>
          <w:sz w:val="18"/>
          <w:szCs w:val="18"/>
        </w:rPr>
        <w:t xml:space="preserve">, vol. 47, no. 6, pp. 853–862, Jun. 2007. </w:t>
      </w:r>
      <w:hyperlink r:id="rId17" w:tgtFrame="_blank" w:history="1">
        <w:r w:rsidRPr="002E41B5">
          <w:rPr>
            <w:rStyle w:val="Hyperlink"/>
            <w:sz w:val="18"/>
            <w:szCs w:val="18"/>
          </w:rPr>
          <w:t>https://doi.org/10.1016/j.microrel.2006.10.012</w:t>
        </w:r>
      </w:hyperlink>
    </w:p>
    <w:p w14:paraId="2F7E4F37" w14:textId="0F9A5456" w:rsidR="00D4399D" w:rsidRPr="002E41B5" w:rsidRDefault="00D4399D" w:rsidP="00D4399D">
      <w:pPr>
        <w:tabs>
          <w:tab w:val="left" w:pos="1843"/>
        </w:tabs>
        <w:ind w:left="426" w:hanging="426"/>
        <w:rPr>
          <w:sz w:val="18"/>
          <w:szCs w:val="18"/>
        </w:rPr>
      </w:pPr>
      <w:r>
        <w:rPr>
          <w:sz w:val="18"/>
          <w:szCs w:val="18"/>
        </w:rPr>
        <w:t>[9]</w:t>
      </w:r>
      <w:r>
        <w:rPr>
          <w:sz w:val="18"/>
          <w:szCs w:val="18"/>
        </w:rPr>
        <w:tab/>
      </w:r>
      <w:r w:rsidRPr="002E41B5">
        <w:rPr>
          <w:sz w:val="18"/>
          <w:szCs w:val="18"/>
        </w:rPr>
        <w:t xml:space="preserve">S. Bharadwaj, W. Wang, R. </w:t>
      </w:r>
      <w:proofErr w:type="spellStart"/>
      <w:r w:rsidRPr="002E41B5">
        <w:rPr>
          <w:sz w:val="18"/>
          <w:szCs w:val="18"/>
        </w:rPr>
        <w:t>Vattikonda</w:t>
      </w:r>
      <w:proofErr w:type="spellEnd"/>
      <w:r w:rsidRPr="002E41B5">
        <w:rPr>
          <w:sz w:val="18"/>
          <w:szCs w:val="18"/>
        </w:rPr>
        <w:t xml:space="preserve">, Y. Cao, and S. </w:t>
      </w:r>
      <w:proofErr w:type="spellStart"/>
      <w:r w:rsidRPr="002E41B5">
        <w:rPr>
          <w:sz w:val="18"/>
          <w:szCs w:val="18"/>
        </w:rPr>
        <w:t>Vrudhula</w:t>
      </w:r>
      <w:proofErr w:type="spellEnd"/>
      <w:r w:rsidRPr="002E41B5">
        <w:rPr>
          <w:sz w:val="18"/>
          <w:szCs w:val="18"/>
        </w:rPr>
        <w:t xml:space="preserve">, “Predictive modeling of the NBTI effect for reliable design,” in </w:t>
      </w:r>
      <w:r w:rsidRPr="002E41B5">
        <w:rPr>
          <w:i/>
          <w:iCs/>
          <w:sz w:val="18"/>
          <w:szCs w:val="18"/>
        </w:rPr>
        <w:t xml:space="preserve">Proc. Custom Integrated Circuits Conf., </w:t>
      </w:r>
      <w:r w:rsidRPr="002E41B5">
        <w:rPr>
          <w:sz w:val="18"/>
          <w:szCs w:val="18"/>
        </w:rPr>
        <w:t>Sep. 2006, pp. 189–192.</w:t>
      </w:r>
    </w:p>
    <w:p w14:paraId="3FC6FF9E" w14:textId="437144DF" w:rsidR="00D4399D" w:rsidRDefault="00D4399D" w:rsidP="00D4399D">
      <w:pPr>
        <w:tabs>
          <w:tab w:val="left" w:pos="1843"/>
        </w:tabs>
        <w:ind w:left="426" w:hanging="426"/>
        <w:rPr>
          <w:sz w:val="18"/>
          <w:szCs w:val="18"/>
        </w:rPr>
      </w:pPr>
      <w:r>
        <w:rPr>
          <w:sz w:val="18"/>
          <w:szCs w:val="18"/>
        </w:rPr>
        <w:t>[10]</w:t>
      </w:r>
      <w:r>
        <w:rPr>
          <w:sz w:val="18"/>
          <w:szCs w:val="18"/>
        </w:rPr>
        <w:tab/>
      </w:r>
      <w:r w:rsidRPr="002E41B5">
        <w:rPr>
          <w:sz w:val="18"/>
          <w:szCs w:val="18"/>
        </w:rPr>
        <w:t xml:space="preserve">W. Wang, V. Reddy, A. T. Krishnan, R. </w:t>
      </w:r>
      <w:proofErr w:type="spellStart"/>
      <w:r w:rsidRPr="002E41B5">
        <w:rPr>
          <w:sz w:val="18"/>
          <w:szCs w:val="18"/>
        </w:rPr>
        <w:t>Vattikonda</w:t>
      </w:r>
      <w:proofErr w:type="spellEnd"/>
      <w:r w:rsidRPr="002E41B5">
        <w:rPr>
          <w:sz w:val="18"/>
          <w:szCs w:val="18"/>
        </w:rPr>
        <w:t>, S. Krishnan, and Y. Cao, “Compact modeling and simulation of circuit reliability for 65 nm CMOS technology,” IEEE Trans. Device Mater. Rel., vol. 7, no. 4, pp. 509–517, Dec. 2007.</w:t>
      </w:r>
    </w:p>
    <w:p w14:paraId="255F5597" w14:textId="47F065D3" w:rsidR="00D4399D" w:rsidRPr="002E41B5" w:rsidRDefault="00D4399D" w:rsidP="00D4399D">
      <w:pPr>
        <w:tabs>
          <w:tab w:val="left" w:pos="1843"/>
        </w:tabs>
        <w:ind w:left="426" w:hanging="426"/>
        <w:rPr>
          <w:sz w:val="18"/>
          <w:szCs w:val="18"/>
        </w:rPr>
      </w:pPr>
      <w:r>
        <w:rPr>
          <w:sz w:val="18"/>
          <w:szCs w:val="18"/>
        </w:rPr>
        <w:t>[11]</w:t>
      </w:r>
      <w:r>
        <w:rPr>
          <w:sz w:val="18"/>
          <w:szCs w:val="18"/>
        </w:rPr>
        <w:tab/>
      </w:r>
      <w:r w:rsidRPr="002E41B5">
        <w:rPr>
          <w:sz w:val="18"/>
          <w:szCs w:val="18"/>
        </w:rPr>
        <w:t>M. Agarwal, B. C. Paul, Ming Zhang, and S. Mitra, “Circuit failure prediction and its application to transistor aging”, VLSI Test Symposium, pages 277–286, May 2007.</w:t>
      </w:r>
    </w:p>
    <w:p w14:paraId="29FDD02C" w14:textId="75BC2250" w:rsidR="00D4399D" w:rsidRPr="00B61EC6" w:rsidRDefault="00D4399D" w:rsidP="00D4399D">
      <w:pPr>
        <w:tabs>
          <w:tab w:val="left" w:pos="1843"/>
        </w:tabs>
        <w:ind w:left="426" w:hanging="426"/>
        <w:rPr>
          <w:sz w:val="18"/>
          <w:szCs w:val="18"/>
        </w:rPr>
      </w:pPr>
      <w:r>
        <w:rPr>
          <w:sz w:val="18"/>
          <w:szCs w:val="18"/>
        </w:rPr>
        <w:t>[12]</w:t>
      </w:r>
      <w:r>
        <w:rPr>
          <w:sz w:val="18"/>
          <w:szCs w:val="18"/>
        </w:rPr>
        <w:tab/>
      </w:r>
      <w:r w:rsidRPr="00B61EC6">
        <w:rPr>
          <w:sz w:val="18"/>
          <w:szCs w:val="18"/>
        </w:rPr>
        <w:t xml:space="preserve">W. Wang, Z. Wei, S. Yang, and Y. Cao, “An efficient method to identify critical gates under circuit aging,” in Proc. Int. Conf. </w:t>
      </w:r>
      <w:proofErr w:type="spellStart"/>
      <w:r w:rsidRPr="00B61EC6">
        <w:rPr>
          <w:sz w:val="18"/>
          <w:szCs w:val="18"/>
        </w:rPr>
        <w:t>Comput</w:t>
      </w:r>
      <w:proofErr w:type="spellEnd"/>
      <w:r w:rsidRPr="00B61EC6">
        <w:rPr>
          <w:sz w:val="18"/>
          <w:szCs w:val="18"/>
        </w:rPr>
        <w:t>. Aided Des., Nov. 2007, pp. 735–740.</w:t>
      </w:r>
    </w:p>
    <w:p w14:paraId="0928043A" w14:textId="3B66121F" w:rsidR="00D4399D" w:rsidRDefault="00D4399D" w:rsidP="00D4399D">
      <w:pPr>
        <w:tabs>
          <w:tab w:val="left" w:pos="1843"/>
        </w:tabs>
        <w:ind w:left="426" w:hanging="426"/>
        <w:rPr>
          <w:sz w:val="18"/>
          <w:szCs w:val="18"/>
        </w:rPr>
      </w:pPr>
      <w:r>
        <w:rPr>
          <w:sz w:val="18"/>
          <w:szCs w:val="18"/>
        </w:rPr>
        <w:t>[13]</w:t>
      </w:r>
      <w:r>
        <w:rPr>
          <w:sz w:val="18"/>
          <w:szCs w:val="18"/>
        </w:rPr>
        <w:tab/>
      </w:r>
      <w:r w:rsidR="0014712D">
        <w:rPr>
          <w:sz w:val="18"/>
          <w:szCs w:val="18"/>
        </w:rPr>
        <w:t>H.</w:t>
      </w:r>
      <w:r w:rsidRPr="00B61EC6">
        <w:rPr>
          <w:sz w:val="18"/>
          <w:szCs w:val="18"/>
        </w:rPr>
        <w:t xml:space="preserve"> </w:t>
      </w:r>
      <w:r w:rsidR="0014712D">
        <w:rPr>
          <w:sz w:val="18"/>
          <w:szCs w:val="18"/>
        </w:rPr>
        <w:t>M.</w:t>
      </w:r>
      <w:r w:rsidRPr="00B61EC6">
        <w:rPr>
          <w:sz w:val="18"/>
          <w:szCs w:val="18"/>
        </w:rPr>
        <w:t xml:space="preserve"> Abbas, </w:t>
      </w:r>
      <w:r w:rsidR="0014712D">
        <w:rPr>
          <w:sz w:val="18"/>
          <w:szCs w:val="18"/>
        </w:rPr>
        <w:t>M.</w:t>
      </w:r>
      <w:r w:rsidRPr="00B61EC6">
        <w:rPr>
          <w:sz w:val="18"/>
          <w:szCs w:val="18"/>
        </w:rPr>
        <w:t xml:space="preserve"> </w:t>
      </w:r>
      <w:proofErr w:type="spellStart"/>
      <w:r w:rsidRPr="00B61EC6">
        <w:rPr>
          <w:sz w:val="18"/>
          <w:szCs w:val="18"/>
        </w:rPr>
        <w:t>Zwolinski</w:t>
      </w:r>
      <w:proofErr w:type="spellEnd"/>
      <w:r w:rsidRPr="00B61EC6">
        <w:rPr>
          <w:sz w:val="18"/>
          <w:szCs w:val="18"/>
        </w:rPr>
        <w:t xml:space="preserve">, and </w:t>
      </w:r>
      <w:r w:rsidR="0014712D">
        <w:rPr>
          <w:sz w:val="18"/>
          <w:szCs w:val="18"/>
        </w:rPr>
        <w:t>B.</w:t>
      </w:r>
      <w:r w:rsidRPr="00B61EC6">
        <w:rPr>
          <w:sz w:val="18"/>
          <w:szCs w:val="18"/>
        </w:rPr>
        <w:t xml:space="preserve"> Halak. Aging Mitigation Techniques for Microprocessors Using Anti</w:t>
      </w:r>
      <w:r w:rsidR="0014712D">
        <w:rPr>
          <w:sz w:val="18"/>
          <w:szCs w:val="18"/>
        </w:rPr>
        <w:t>-</w:t>
      </w:r>
      <w:proofErr w:type="gramStart"/>
      <w:r w:rsidRPr="00B61EC6">
        <w:rPr>
          <w:sz w:val="18"/>
          <w:szCs w:val="18"/>
        </w:rPr>
        <w:t>aging</w:t>
      </w:r>
      <w:proofErr w:type="gramEnd"/>
      <w:r w:rsidRPr="00B61EC6">
        <w:rPr>
          <w:sz w:val="18"/>
          <w:szCs w:val="18"/>
        </w:rPr>
        <w:t xml:space="preserve"> Software. Chapter 3, Ageing of Integrated Circuits - Causes, Effects and Mitigation Techniques, Springer, Cham. ISBN 978-3-030-23781-3</w:t>
      </w:r>
      <w:r>
        <w:rPr>
          <w:sz w:val="18"/>
          <w:szCs w:val="18"/>
        </w:rPr>
        <w:t>.</w:t>
      </w:r>
    </w:p>
    <w:p w14:paraId="35D1304D" w14:textId="27D82905" w:rsidR="0014712D" w:rsidRDefault="0014712D" w:rsidP="00D4399D">
      <w:pPr>
        <w:tabs>
          <w:tab w:val="left" w:pos="1843"/>
        </w:tabs>
        <w:ind w:left="426" w:hanging="426"/>
        <w:rPr>
          <w:sz w:val="18"/>
          <w:szCs w:val="18"/>
        </w:rPr>
      </w:pPr>
      <w:r>
        <w:rPr>
          <w:sz w:val="18"/>
          <w:szCs w:val="18"/>
        </w:rPr>
        <w:t xml:space="preserve">[14] </w:t>
      </w:r>
      <w:r>
        <w:rPr>
          <w:sz w:val="18"/>
          <w:szCs w:val="18"/>
        </w:rPr>
        <w:tab/>
        <w:t>M.</w:t>
      </w:r>
      <w:r w:rsidRPr="0014712D">
        <w:rPr>
          <w:sz w:val="18"/>
          <w:szCs w:val="18"/>
        </w:rPr>
        <w:t xml:space="preserve"> </w:t>
      </w:r>
      <w:proofErr w:type="spellStart"/>
      <w:r w:rsidRPr="0014712D">
        <w:rPr>
          <w:sz w:val="18"/>
          <w:szCs w:val="18"/>
        </w:rPr>
        <w:t>Khairy</w:t>
      </w:r>
      <w:proofErr w:type="spellEnd"/>
      <w:r w:rsidRPr="0014712D">
        <w:rPr>
          <w:sz w:val="18"/>
          <w:szCs w:val="18"/>
        </w:rPr>
        <w:t xml:space="preserve">, </w:t>
      </w:r>
      <w:r>
        <w:rPr>
          <w:sz w:val="18"/>
          <w:szCs w:val="18"/>
        </w:rPr>
        <w:t>Z.</w:t>
      </w:r>
      <w:r w:rsidRPr="0014712D">
        <w:rPr>
          <w:sz w:val="18"/>
          <w:szCs w:val="18"/>
        </w:rPr>
        <w:t xml:space="preserve"> Shen, </w:t>
      </w:r>
      <w:r>
        <w:rPr>
          <w:sz w:val="18"/>
          <w:szCs w:val="18"/>
        </w:rPr>
        <w:t>T.</w:t>
      </w:r>
      <w:r w:rsidRPr="0014712D">
        <w:rPr>
          <w:sz w:val="18"/>
          <w:szCs w:val="18"/>
        </w:rPr>
        <w:t xml:space="preserve"> M. </w:t>
      </w:r>
      <w:proofErr w:type="spellStart"/>
      <w:r w:rsidRPr="0014712D">
        <w:rPr>
          <w:sz w:val="18"/>
          <w:szCs w:val="18"/>
        </w:rPr>
        <w:t>Aamodt</w:t>
      </w:r>
      <w:proofErr w:type="spellEnd"/>
      <w:r w:rsidRPr="0014712D">
        <w:rPr>
          <w:sz w:val="18"/>
          <w:szCs w:val="18"/>
        </w:rPr>
        <w:t xml:space="preserve">, </w:t>
      </w:r>
      <w:r>
        <w:rPr>
          <w:sz w:val="18"/>
          <w:szCs w:val="18"/>
        </w:rPr>
        <w:t>T.</w:t>
      </w:r>
      <w:r w:rsidRPr="0014712D">
        <w:rPr>
          <w:sz w:val="18"/>
          <w:szCs w:val="18"/>
        </w:rPr>
        <w:t xml:space="preserve"> G</w:t>
      </w:r>
      <w:r>
        <w:rPr>
          <w:sz w:val="18"/>
          <w:szCs w:val="18"/>
        </w:rPr>
        <w:t>.</w:t>
      </w:r>
      <w:r w:rsidRPr="0014712D">
        <w:rPr>
          <w:sz w:val="18"/>
          <w:szCs w:val="18"/>
        </w:rPr>
        <w:t xml:space="preserve"> Rogers. Accel-Sim: An Extensible Simulation Framework for Validated GPU Modeling. In proceedings of the 47th IEEE/ACM International Symposium on Computer Architecture (ISCA), May 29 - June 3, 2020.</w:t>
      </w:r>
    </w:p>
    <w:p w14:paraId="2AAA68DA" w14:textId="50CE378E" w:rsidR="00B8773D" w:rsidRDefault="00B8773D" w:rsidP="00D4399D">
      <w:pPr>
        <w:tabs>
          <w:tab w:val="left" w:pos="1843"/>
        </w:tabs>
        <w:ind w:left="426" w:hanging="426"/>
        <w:rPr>
          <w:sz w:val="18"/>
          <w:szCs w:val="18"/>
        </w:rPr>
      </w:pPr>
      <w:r>
        <w:rPr>
          <w:sz w:val="18"/>
          <w:szCs w:val="18"/>
        </w:rPr>
        <w:t>[15]</w:t>
      </w:r>
      <w:r>
        <w:rPr>
          <w:sz w:val="18"/>
          <w:szCs w:val="18"/>
        </w:rPr>
        <w:tab/>
      </w:r>
      <w:r w:rsidRPr="00B8773D">
        <w:rPr>
          <w:sz w:val="18"/>
          <w:szCs w:val="18"/>
        </w:rPr>
        <w:t>https://www.nvidia.com/content/dam/en-zz/Solutions/design-visualization/technologies/turing-architecture/NVIDIA-Turing-Architecture-Whitepaper.pdf</w:t>
      </w:r>
    </w:p>
    <w:p w14:paraId="748EC94E" w14:textId="4303FB37" w:rsidR="0014712D" w:rsidRDefault="0014712D" w:rsidP="00D4399D">
      <w:pPr>
        <w:tabs>
          <w:tab w:val="left" w:pos="1843"/>
        </w:tabs>
        <w:ind w:left="426" w:hanging="426"/>
        <w:rPr>
          <w:sz w:val="18"/>
          <w:szCs w:val="18"/>
        </w:rPr>
      </w:pPr>
      <w:r>
        <w:rPr>
          <w:sz w:val="18"/>
          <w:szCs w:val="18"/>
        </w:rPr>
        <w:t>[1</w:t>
      </w:r>
      <w:r w:rsidR="00B8773D">
        <w:rPr>
          <w:sz w:val="18"/>
          <w:szCs w:val="18"/>
        </w:rPr>
        <w:t>6</w:t>
      </w:r>
      <w:r>
        <w:rPr>
          <w:sz w:val="18"/>
          <w:szCs w:val="18"/>
        </w:rPr>
        <w:t>]</w:t>
      </w:r>
      <w:r>
        <w:rPr>
          <w:sz w:val="18"/>
          <w:szCs w:val="18"/>
        </w:rPr>
        <w:tab/>
      </w:r>
      <w:r w:rsidRPr="0014712D">
        <w:rPr>
          <w:sz w:val="18"/>
          <w:szCs w:val="18"/>
        </w:rPr>
        <w:t xml:space="preserve">P. Harish and P. J. Narayanan. Accelerating Large Graph Algorithms on the GPU Using CUDA. In </w:t>
      </w:r>
      <w:proofErr w:type="spellStart"/>
      <w:r w:rsidRPr="0014712D">
        <w:rPr>
          <w:sz w:val="18"/>
          <w:szCs w:val="18"/>
        </w:rPr>
        <w:t>HiPC</w:t>
      </w:r>
      <w:proofErr w:type="spellEnd"/>
      <w:r w:rsidRPr="0014712D">
        <w:rPr>
          <w:sz w:val="18"/>
          <w:szCs w:val="18"/>
        </w:rPr>
        <w:t>, pages 197–208, 2007.</w:t>
      </w:r>
    </w:p>
    <w:p w14:paraId="6B6BE5E4" w14:textId="77777777" w:rsidR="00D4399D" w:rsidRDefault="00D4399D" w:rsidP="00D4399D">
      <w:pPr>
        <w:tabs>
          <w:tab w:val="left" w:pos="1843"/>
        </w:tabs>
        <w:ind w:left="426" w:hanging="426"/>
        <w:rPr>
          <w:sz w:val="18"/>
          <w:szCs w:val="18"/>
        </w:rPr>
      </w:pPr>
    </w:p>
    <w:p w14:paraId="68408DEC" w14:textId="77777777" w:rsidR="00570A42" w:rsidRDefault="00570A42">
      <w:pPr>
        <w:tabs>
          <w:tab w:val="left" w:pos="1843"/>
        </w:tabs>
        <w:ind w:left="426" w:hanging="426"/>
        <w:rPr>
          <w:sz w:val="18"/>
          <w:szCs w:val="18"/>
        </w:rPr>
      </w:pPr>
    </w:p>
    <w:p w14:paraId="0F918E95" w14:textId="77777777" w:rsidR="00570A42" w:rsidRDefault="00570A42">
      <w:pPr>
        <w:sectPr w:rsidR="00570A42">
          <w:type w:val="continuous"/>
          <w:pgSz w:w="11906" w:h="16838"/>
          <w:pgMar w:top="1077" w:right="1440" w:bottom="1440" w:left="1077" w:header="0" w:footer="720" w:gutter="0"/>
          <w:cols w:num="2" w:space="720" w:equalWidth="0">
            <w:col w:w="4524" w:space="340"/>
            <w:col w:w="4524" w:space="0"/>
          </w:cols>
        </w:sectPr>
      </w:pPr>
    </w:p>
    <w:p w14:paraId="4D871824" w14:textId="77777777" w:rsidR="00570A42" w:rsidRDefault="00570A42" w:rsidP="00585D1D">
      <w:pPr>
        <w:ind w:firstLine="0"/>
        <w:sectPr w:rsidR="00570A42">
          <w:type w:val="continuous"/>
          <w:pgSz w:w="11906" w:h="16838"/>
          <w:pgMar w:top="1077" w:right="1440" w:bottom="1440" w:left="1077" w:header="0" w:footer="720" w:gutter="0"/>
          <w:cols w:num="2" w:space="720" w:equalWidth="0">
            <w:col w:w="4524" w:space="340"/>
            <w:col w:w="4524" w:space="0"/>
          </w:cols>
        </w:sectPr>
      </w:pPr>
    </w:p>
    <w:p w14:paraId="4100F287" w14:textId="7BB9F3E6" w:rsidR="00570A42" w:rsidRDefault="00570A42" w:rsidP="00585D1D">
      <w:pPr>
        <w:ind w:firstLine="0"/>
      </w:pPr>
    </w:p>
    <w:sectPr w:rsidR="00570A42">
      <w:type w:val="continuous"/>
      <w:pgSz w:w="11906" w:h="16838"/>
      <w:pgMar w:top="1077" w:right="1440" w:bottom="1440" w:left="1077"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A3B96" w14:textId="77777777" w:rsidR="00484C92" w:rsidRDefault="00484C92">
      <w:r>
        <w:separator/>
      </w:r>
    </w:p>
  </w:endnote>
  <w:endnote w:type="continuationSeparator" w:id="0">
    <w:p w14:paraId="035D7B73" w14:textId="77777777" w:rsidR="00484C92" w:rsidRDefault="0048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0F2C4" w14:textId="77777777" w:rsidR="00484C92" w:rsidRDefault="00484C92">
      <w:r>
        <w:separator/>
      </w:r>
    </w:p>
  </w:footnote>
  <w:footnote w:type="continuationSeparator" w:id="0">
    <w:p w14:paraId="6ACBB352" w14:textId="77777777" w:rsidR="00484C92" w:rsidRDefault="00484C92">
      <w:r>
        <w:continuationSeparator/>
      </w:r>
    </w:p>
  </w:footnote>
  <w:footnote w:id="1">
    <w:p w14:paraId="59961647" w14:textId="682484C1" w:rsidR="00374284" w:rsidRDefault="00374284">
      <w:pPr>
        <w:pStyle w:val="FootnoteText"/>
      </w:pPr>
      <w:r>
        <w:rPr>
          <w:rStyle w:val="FootnoteReference"/>
        </w:rPr>
        <w:t>1</w:t>
      </w:r>
      <w:r>
        <w:t xml:space="preserve"> </w:t>
      </w:r>
      <w:hyperlink r:id="rId1" w:history="1">
        <w:r w:rsidRPr="006511E8">
          <w:rPr>
            <w:rStyle w:val="Hyperlink"/>
          </w:rPr>
          <w:t>www.opencores.org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949C9" w14:textId="72FA4D8A" w:rsidR="00570A42" w:rsidRDefault="00662DAD">
    <w:pPr>
      <w:pBdr>
        <w:top w:val="nil"/>
        <w:left w:val="nil"/>
        <w:bottom w:val="nil"/>
        <w:right w:val="nil"/>
        <w:between w:val="nil"/>
      </w:pBdr>
      <w:tabs>
        <w:tab w:val="center" w:pos="4819"/>
        <w:tab w:val="right" w:pos="9639"/>
      </w:tabs>
      <w:spacing w:before="505"/>
      <w:jc w:val="center"/>
      <w:rPr>
        <w:color w:val="000000"/>
        <w:sz w:val="18"/>
        <w:szCs w:val="18"/>
      </w:rPr>
    </w:pPr>
    <w:r>
      <w:rPr>
        <w:i/>
        <w:color w:val="000000"/>
        <w:sz w:val="18"/>
        <w:szCs w:val="18"/>
      </w:rPr>
      <w:t>5</w:t>
    </w:r>
    <w:r w:rsidR="003E20C9">
      <w:rPr>
        <w:i/>
        <w:color w:val="000000"/>
        <w:sz w:val="18"/>
        <w:szCs w:val="18"/>
        <w:vertAlign w:val="superscript"/>
      </w:rPr>
      <w:t>th</w:t>
    </w:r>
    <w:r w:rsidR="00840020">
      <w:rPr>
        <w:i/>
        <w:color w:val="000000"/>
        <w:sz w:val="18"/>
        <w:szCs w:val="18"/>
      </w:rPr>
      <w:t xml:space="preserve"> International Conference on </w:t>
    </w:r>
    <w:r w:rsidR="001E6148">
      <w:rPr>
        <w:i/>
        <w:color w:val="000000"/>
        <w:sz w:val="18"/>
        <w:szCs w:val="18"/>
      </w:rPr>
      <w:t>Microelectronic Device</w:t>
    </w:r>
    <w:r w:rsidR="00CE39E4">
      <w:rPr>
        <w:i/>
        <w:color w:val="000000"/>
        <w:sz w:val="18"/>
        <w:szCs w:val="18"/>
      </w:rPr>
      <w:t>s and</w:t>
    </w:r>
    <w:r>
      <w:rPr>
        <w:i/>
        <w:color w:val="000000"/>
        <w:sz w:val="18"/>
        <w:szCs w:val="18"/>
      </w:rPr>
      <w:t xml:space="preserve"> Technologies (</w:t>
    </w:r>
    <w:proofErr w:type="spellStart"/>
    <w:r>
      <w:rPr>
        <w:i/>
        <w:color w:val="000000"/>
        <w:sz w:val="18"/>
        <w:szCs w:val="18"/>
      </w:rPr>
      <w:t>MicDAT</w:t>
    </w:r>
    <w:proofErr w:type="spellEnd"/>
    <w:r>
      <w:rPr>
        <w:i/>
        <w:color w:val="000000"/>
        <w:sz w:val="18"/>
        <w:szCs w:val="18"/>
      </w:rPr>
      <w:t xml:space="preserve"> '2023) </w:t>
    </w:r>
    <w:r>
      <w:rPr>
        <w:i/>
        <w:color w:val="000000"/>
        <w:sz w:val="18"/>
        <w:szCs w:val="18"/>
      </w:rPr>
      <w:br/>
      <w:t>20-22</w:t>
    </w:r>
    <w:r w:rsidR="000557B2">
      <w:rPr>
        <w:i/>
        <w:color w:val="000000"/>
        <w:sz w:val="18"/>
        <w:szCs w:val="18"/>
      </w:rPr>
      <w:t xml:space="preserve"> September</w:t>
    </w:r>
    <w:r w:rsidR="00981DF6">
      <w:rPr>
        <w:i/>
        <w:color w:val="000000"/>
        <w:sz w:val="18"/>
        <w:szCs w:val="18"/>
      </w:rPr>
      <w:t xml:space="preserve"> 202</w:t>
    </w:r>
    <w:r>
      <w:rPr>
        <w:i/>
        <w:color w:val="000000"/>
        <w:sz w:val="18"/>
        <w:szCs w:val="18"/>
      </w:rPr>
      <w:t>3, Funchal (Madeira Island), Port</w:t>
    </w:r>
    <w:r w:rsidR="00960BA8">
      <w:rPr>
        <w:i/>
        <w:color w:val="000000"/>
        <w:sz w:val="18"/>
        <w:szCs w:val="18"/>
      </w:rPr>
      <w:t>u</w:t>
    </w:r>
    <w:r>
      <w:rPr>
        <w:i/>
        <w:color w:val="000000"/>
        <w:sz w:val="18"/>
        <w:szCs w:val="18"/>
      </w:rPr>
      <w:t>gal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A42"/>
    <w:rsid w:val="00005E9F"/>
    <w:rsid w:val="00011880"/>
    <w:rsid w:val="000236F2"/>
    <w:rsid w:val="00054578"/>
    <w:rsid w:val="000557B2"/>
    <w:rsid w:val="00060016"/>
    <w:rsid w:val="000844CD"/>
    <w:rsid w:val="000B7662"/>
    <w:rsid w:val="0012509D"/>
    <w:rsid w:val="001260E2"/>
    <w:rsid w:val="00126AD4"/>
    <w:rsid w:val="0014712D"/>
    <w:rsid w:val="0017354D"/>
    <w:rsid w:val="001B1794"/>
    <w:rsid w:val="001E6133"/>
    <w:rsid w:val="001E6148"/>
    <w:rsid w:val="00224F21"/>
    <w:rsid w:val="00241ACE"/>
    <w:rsid w:val="00252C84"/>
    <w:rsid w:val="00295525"/>
    <w:rsid w:val="00340805"/>
    <w:rsid w:val="00374284"/>
    <w:rsid w:val="003C0B12"/>
    <w:rsid w:val="003E20C9"/>
    <w:rsid w:val="00430405"/>
    <w:rsid w:val="0048031E"/>
    <w:rsid w:val="00484C92"/>
    <w:rsid w:val="004A6F86"/>
    <w:rsid w:val="004C5D0B"/>
    <w:rsid w:val="004E061C"/>
    <w:rsid w:val="004F200D"/>
    <w:rsid w:val="005475A5"/>
    <w:rsid w:val="005525E6"/>
    <w:rsid w:val="00570A42"/>
    <w:rsid w:val="00585D1D"/>
    <w:rsid w:val="005E4DE6"/>
    <w:rsid w:val="0061004D"/>
    <w:rsid w:val="006136B9"/>
    <w:rsid w:val="00662DAD"/>
    <w:rsid w:val="006A7CAB"/>
    <w:rsid w:val="0071144A"/>
    <w:rsid w:val="0071604D"/>
    <w:rsid w:val="00722898"/>
    <w:rsid w:val="00742CCF"/>
    <w:rsid w:val="00783F98"/>
    <w:rsid w:val="007855BE"/>
    <w:rsid w:val="00840020"/>
    <w:rsid w:val="008B6835"/>
    <w:rsid w:val="008D412E"/>
    <w:rsid w:val="00926349"/>
    <w:rsid w:val="00945034"/>
    <w:rsid w:val="00960BA8"/>
    <w:rsid w:val="00962251"/>
    <w:rsid w:val="009679DC"/>
    <w:rsid w:val="00981DF6"/>
    <w:rsid w:val="009C6A41"/>
    <w:rsid w:val="00A17CA9"/>
    <w:rsid w:val="00AB0B7B"/>
    <w:rsid w:val="00AB4440"/>
    <w:rsid w:val="00AD544C"/>
    <w:rsid w:val="00AE0FC2"/>
    <w:rsid w:val="00AF2960"/>
    <w:rsid w:val="00B23CB2"/>
    <w:rsid w:val="00B524F6"/>
    <w:rsid w:val="00B8773D"/>
    <w:rsid w:val="00C141BE"/>
    <w:rsid w:val="00C56BD7"/>
    <w:rsid w:val="00CC2E48"/>
    <w:rsid w:val="00CC3BA8"/>
    <w:rsid w:val="00CE392C"/>
    <w:rsid w:val="00CE39E4"/>
    <w:rsid w:val="00CF76E4"/>
    <w:rsid w:val="00D10951"/>
    <w:rsid w:val="00D30802"/>
    <w:rsid w:val="00D4399D"/>
    <w:rsid w:val="00DC3F92"/>
    <w:rsid w:val="00DC492E"/>
    <w:rsid w:val="00DC6B48"/>
    <w:rsid w:val="00DF196E"/>
    <w:rsid w:val="00EB22A6"/>
    <w:rsid w:val="00ED03D4"/>
    <w:rsid w:val="00ED67EC"/>
    <w:rsid w:val="00EF66BB"/>
    <w:rsid w:val="00F31733"/>
    <w:rsid w:val="00FA343D"/>
    <w:rsid w:val="00FE2B85"/>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636D1"/>
  <w15:docId w15:val="{7889EE4A-5CA8-4A25-9F66-3E118790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ru-RU" w:bidi="ar-SA"/>
      </w:rPr>
    </w:rPrDefault>
    <w:pPrDefault>
      <w:pPr>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spacing w:after="280"/>
      <w:jc w:val="center"/>
    </w:pPr>
    <w:rPr>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widowControl w:val="0"/>
      <w:spacing w:before="100" w:after="100"/>
    </w:pPr>
    <w:tblPr>
      <w:tblStyleRowBandSize w:val="1"/>
      <w:tblStyleColBandSize w:val="1"/>
    </w:tblPr>
  </w:style>
  <w:style w:type="paragraph" w:styleId="Header">
    <w:name w:val="header"/>
    <w:basedOn w:val="Normal"/>
    <w:link w:val="HeaderChar"/>
    <w:uiPriority w:val="99"/>
    <w:unhideWhenUsed/>
    <w:rsid w:val="00840020"/>
    <w:pPr>
      <w:tabs>
        <w:tab w:val="center" w:pos="4677"/>
        <w:tab w:val="right" w:pos="9355"/>
      </w:tabs>
    </w:pPr>
  </w:style>
  <w:style w:type="character" w:customStyle="1" w:styleId="HeaderChar">
    <w:name w:val="Header Char"/>
    <w:basedOn w:val="DefaultParagraphFont"/>
    <w:link w:val="Header"/>
    <w:uiPriority w:val="99"/>
    <w:rsid w:val="00840020"/>
  </w:style>
  <w:style w:type="paragraph" w:styleId="Footer">
    <w:name w:val="footer"/>
    <w:basedOn w:val="Normal"/>
    <w:link w:val="FooterChar"/>
    <w:uiPriority w:val="99"/>
    <w:unhideWhenUsed/>
    <w:rsid w:val="00840020"/>
    <w:pPr>
      <w:tabs>
        <w:tab w:val="center" w:pos="4677"/>
        <w:tab w:val="right" w:pos="9355"/>
      </w:tabs>
    </w:pPr>
  </w:style>
  <w:style w:type="character" w:customStyle="1" w:styleId="FooterChar">
    <w:name w:val="Footer Char"/>
    <w:basedOn w:val="DefaultParagraphFont"/>
    <w:link w:val="Footer"/>
    <w:uiPriority w:val="99"/>
    <w:rsid w:val="00840020"/>
  </w:style>
  <w:style w:type="table" w:styleId="TableGrid">
    <w:name w:val="Table Grid"/>
    <w:basedOn w:val="TableNormal"/>
    <w:rsid w:val="00FE2B85"/>
    <w:pPr>
      <w:widowControl w:val="0"/>
      <w:autoSpaceDE w:val="0"/>
      <w:autoSpaceDN w:val="0"/>
      <w:spacing w:before="100" w:after="100"/>
      <w:ind w:firstLine="0"/>
      <w:jc w:val="left"/>
    </w:pPr>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2C84"/>
    <w:rPr>
      <w:color w:val="0000FF" w:themeColor="hyperlink"/>
      <w:u w:val="single"/>
    </w:rPr>
  </w:style>
  <w:style w:type="character" w:styleId="UnresolvedMention">
    <w:name w:val="Unresolved Mention"/>
    <w:basedOn w:val="DefaultParagraphFont"/>
    <w:uiPriority w:val="99"/>
    <w:semiHidden/>
    <w:unhideWhenUsed/>
    <w:rsid w:val="00DC492E"/>
    <w:rPr>
      <w:color w:val="605E5C"/>
      <w:shd w:val="clear" w:color="auto" w:fill="E1DFDD"/>
    </w:rPr>
  </w:style>
  <w:style w:type="paragraph" w:styleId="FootnoteText">
    <w:name w:val="footnote text"/>
    <w:basedOn w:val="Normal"/>
    <w:link w:val="FootnoteTextChar"/>
    <w:uiPriority w:val="99"/>
    <w:semiHidden/>
    <w:unhideWhenUsed/>
    <w:rsid w:val="00374284"/>
  </w:style>
  <w:style w:type="character" w:customStyle="1" w:styleId="FootnoteTextChar">
    <w:name w:val="Footnote Text Char"/>
    <w:basedOn w:val="DefaultParagraphFont"/>
    <w:link w:val="FootnoteText"/>
    <w:uiPriority w:val="99"/>
    <w:semiHidden/>
    <w:rsid w:val="00374284"/>
  </w:style>
  <w:style w:type="character" w:styleId="FootnoteReference">
    <w:name w:val="footnote reference"/>
    <w:basedOn w:val="DefaultParagraphFont"/>
    <w:uiPriority w:val="99"/>
    <w:semiHidden/>
    <w:unhideWhenUsed/>
    <w:rsid w:val="003742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72993">
      <w:bodyDiv w:val="1"/>
      <w:marLeft w:val="0"/>
      <w:marRight w:val="0"/>
      <w:marTop w:val="0"/>
      <w:marBottom w:val="0"/>
      <w:divBdr>
        <w:top w:val="none" w:sz="0" w:space="0" w:color="auto"/>
        <w:left w:val="none" w:sz="0" w:space="0" w:color="auto"/>
        <w:bottom w:val="none" w:sz="0" w:space="0" w:color="auto"/>
        <w:right w:val="none" w:sz="0" w:space="0" w:color="auto"/>
      </w:divBdr>
    </w:div>
    <w:div w:id="756831695">
      <w:bodyDiv w:val="1"/>
      <w:marLeft w:val="0"/>
      <w:marRight w:val="0"/>
      <w:marTop w:val="0"/>
      <w:marBottom w:val="0"/>
      <w:divBdr>
        <w:top w:val="none" w:sz="0" w:space="0" w:color="auto"/>
        <w:left w:val="none" w:sz="0" w:space="0" w:color="auto"/>
        <w:bottom w:val="none" w:sz="0" w:space="0" w:color="auto"/>
        <w:right w:val="none" w:sz="0" w:space="0" w:color="auto"/>
      </w:divBdr>
    </w:div>
    <w:div w:id="1767844140">
      <w:bodyDiv w:val="1"/>
      <w:marLeft w:val="0"/>
      <w:marRight w:val="0"/>
      <w:marTop w:val="0"/>
      <w:marBottom w:val="0"/>
      <w:divBdr>
        <w:top w:val="none" w:sz="0" w:space="0" w:color="auto"/>
        <w:left w:val="none" w:sz="0" w:space="0" w:color="auto"/>
        <w:bottom w:val="none" w:sz="0" w:space="0" w:color="auto"/>
        <w:right w:val="none" w:sz="0" w:space="0" w:color="auto"/>
      </w:divBdr>
    </w:div>
    <w:div w:id="1846438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jd.ga@campus.technion.ac.il" TargetMode="Externa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irasramadan@campus.technion.ac.il" TargetMode="External"/><Relationship Id="rId12" Type="http://schemas.openxmlformats.org/officeDocument/2006/relationships/image" Target="media/image1.emf"/><Relationship Id="rId17" Type="http://schemas.openxmlformats.org/officeDocument/2006/relationships/hyperlink" Target="https://doi.org/10.1016/j.microrel.2006.10.012" TargetMode="External"/><Relationship Id="rId2" Type="http://schemas.openxmlformats.org/officeDocument/2006/relationships/settings" Target="settings.xml"/><Relationship Id="rId16" Type="http://schemas.openxmlformats.org/officeDocument/2006/relationships/hyperlink" Target="https://doi.org/10.1016/j.microrel.2021.114090" TargetMode="External"/><Relationship Id="rId1" Type="http://schemas.openxmlformats.org/officeDocument/2006/relationships/styles" Target="styles.xml"/><Relationship Id="rId6" Type="http://schemas.openxmlformats.org/officeDocument/2006/relationships/hyperlink" Target="mailto:%7bfreddyg@ruppin.ac.il"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doi.org/10.1016/j.microrel.2006.10.012" TargetMode="External"/><Relationship Id="rId10" Type="http://schemas.openxmlformats.org/officeDocument/2006/relationships/hyperlink" Target="mailto:li-orbashari@campus.technion.ac.i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ofrie.r@campus.technion.ac.il" TargetMode="Externa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http://www.opencor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4</Pages>
  <Words>2772</Words>
  <Characters>15802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Юриш</dc:creator>
  <cp:lastModifiedBy>Freddy Gabbay</cp:lastModifiedBy>
  <cp:revision>9</cp:revision>
  <dcterms:created xsi:type="dcterms:W3CDTF">2023-06-24T22:43:00Z</dcterms:created>
  <dcterms:modified xsi:type="dcterms:W3CDTF">2023-08-17T14:23:00Z</dcterms:modified>
</cp:coreProperties>
</file>