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67956" w14:textId="77777777" w:rsidR="003F4144" w:rsidRPr="00153372" w:rsidRDefault="003F4144" w:rsidP="000A6D6E">
      <w:pPr>
        <w:spacing w:before="120" w:line="240" w:lineRule="auto"/>
        <w:jc w:val="center"/>
        <w:rPr>
          <w:b/>
          <w:bCs/>
          <w:sz w:val="34"/>
          <w:szCs w:val="36"/>
          <w:u w:val="single"/>
          <w:rtl/>
        </w:rPr>
      </w:pPr>
      <w:r w:rsidRPr="00153372">
        <w:rPr>
          <w:rFonts w:hint="cs"/>
          <w:b/>
          <w:bCs/>
          <w:sz w:val="34"/>
          <w:szCs w:val="36"/>
          <w:u w:val="single"/>
          <w:rtl/>
        </w:rPr>
        <w:t>הסכם</w:t>
      </w:r>
      <w:r>
        <w:rPr>
          <w:rFonts w:hint="cs"/>
          <w:b/>
          <w:bCs/>
          <w:sz w:val="34"/>
          <w:szCs w:val="36"/>
          <w:u w:val="single"/>
          <w:rtl/>
        </w:rPr>
        <w:t xml:space="preserve"> </w:t>
      </w:r>
    </w:p>
    <w:p w14:paraId="505996F5" w14:textId="77777777" w:rsidR="003F4144" w:rsidRDefault="003F4144" w:rsidP="000A6D6E">
      <w:pPr>
        <w:spacing w:before="120" w:line="240" w:lineRule="auto"/>
        <w:jc w:val="center"/>
        <w:rPr>
          <w:b/>
          <w:bCs/>
          <w:rtl/>
        </w:rPr>
      </w:pPr>
      <w:r>
        <w:rPr>
          <w:rFonts w:hint="cs"/>
          <w:b/>
          <w:bCs/>
          <w:rtl/>
        </w:rPr>
        <w:t>נחתם בחולון ביום __ בחודש ______ 2023</w:t>
      </w:r>
    </w:p>
    <w:p w14:paraId="1801101F" w14:textId="77777777" w:rsidR="003F4144" w:rsidRPr="00153372" w:rsidRDefault="003F4144" w:rsidP="000A6D6E">
      <w:pPr>
        <w:spacing w:before="120" w:line="240" w:lineRule="auto"/>
        <w:rPr>
          <w:rtl/>
        </w:rPr>
      </w:pPr>
      <w:r>
        <w:rPr>
          <w:rFonts w:hint="cs"/>
          <w:b/>
          <w:bCs/>
          <w:rtl/>
        </w:rPr>
        <w:t>בין:</w:t>
      </w:r>
      <w:r>
        <w:rPr>
          <w:b/>
          <w:bCs/>
          <w:rtl/>
        </w:rPr>
        <w:tab/>
      </w:r>
      <w:r>
        <w:rPr>
          <w:b/>
          <w:bCs/>
          <w:rtl/>
        </w:rPr>
        <w:tab/>
      </w:r>
      <w:r>
        <w:rPr>
          <w:b/>
          <w:bCs/>
          <w:rtl/>
        </w:rPr>
        <w:tab/>
      </w:r>
      <w:r>
        <w:rPr>
          <w:rFonts w:hint="cs"/>
          <w:b/>
          <w:bCs/>
          <w:rtl/>
        </w:rPr>
        <w:t>________________</w:t>
      </w:r>
      <w:r w:rsidRPr="00153372">
        <w:rPr>
          <w:rFonts w:hint="cs"/>
          <w:rtl/>
        </w:rPr>
        <w:t xml:space="preserve">, </w:t>
      </w:r>
      <w:r>
        <w:rPr>
          <w:rFonts w:hint="cs"/>
          <w:rtl/>
        </w:rPr>
        <w:t>ת.ז.</w:t>
      </w:r>
      <w:r w:rsidRPr="00153372">
        <w:rPr>
          <w:rFonts w:hint="cs"/>
          <w:rtl/>
        </w:rPr>
        <w:t xml:space="preserve"> </w:t>
      </w:r>
      <w:r>
        <w:rPr>
          <w:rFonts w:hint="cs"/>
          <w:rtl/>
        </w:rPr>
        <w:t>_________________</w:t>
      </w:r>
    </w:p>
    <w:p w14:paraId="7BD43AF1" w14:textId="77777777" w:rsidR="003F4144" w:rsidRDefault="003F4144" w:rsidP="000A6D6E">
      <w:pPr>
        <w:spacing w:before="120" w:line="240" w:lineRule="auto"/>
        <w:rPr>
          <w:rtl/>
        </w:rPr>
      </w:pPr>
      <w:r>
        <w:rPr>
          <w:b/>
          <w:bCs/>
          <w:rtl/>
        </w:rPr>
        <w:tab/>
      </w:r>
      <w:r>
        <w:rPr>
          <w:b/>
          <w:bCs/>
          <w:rtl/>
        </w:rPr>
        <w:tab/>
      </w:r>
      <w:r>
        <w:rPr>
          <w:b/>
          <w:bCs/>
          <w:rtl/>
        </w:rPr>
        <w:tab/>
      </w:r>
      <w:r>
        <w:rPr>
          <w:rFonts w:hint="cs"/>
          <w:rtl/>
        </w:rPr>
        <w:t>רח' __________________________________</w:t>
      </w:r>
    </w:p>
    <w:p w14:paraId="17E62CE9" w14:textId="77777777" w:rsidR="00295771" w:rsidRDefault="00295771" w:rsidP="000A6D6E">
      <w:pPr>
        <w:spacing w:before="120" w:line="240" w:lineRule="auto"/>
        <w:ind w:left="1440" w:firstLine="720"/>
        <w:rPr>
          <w:rtl/>
        </w:rPr>
      </w:pPr>
      <w:r>
        <w:rPr>
          <w:rFonts w:hint="cs"/>
          <w:rtl/>
        </w:rPr>
        <w:t>כתובת דוא"ל ___________________________</w:t>
      </w:r>
    </w:p>
    <w:p w14:paraId="125FB070" w14:textId="79D21763" w:rsidR="00D1145C" w:rsidRDefault="00295771" w:rsidP="000A6D6E">
      <w:pPr>
        <w:spacing w:before="120" w:line="240" w:lineRule="auto"/>
        <w:ind w:left="1440" w:firstLine="720"/>
        <w:rPr>
          <w:rtl/>
        </w:rPr>
      </w:pPr>
      <w:r>
        <w:rPr>
          <w:rFonts w:hint="cs"/>
          <w:rtl/>
        </w:rPr>
        <w:t>מס' טל' _________</w:t>
      </w:r>
      <w:r w:rsidR="000A6D6E">
        <w:rPr>
          <w:rFonts w:hint="cs"/>
          <w:rtl/>
        </w:rPr>
        <w:t xml:space="preserve">; </w:t>
      </w:r>
      <w:r w:rsidR="00D1145C">
        <w:rPr>
          <w:rFonts w:hint="cs"/>
          <w:rtl/>
        </w:rPr>
        <w:t>מס' פקס ______________</w:t>
      </w:r>
    </w:p>
    <w:p w14:paraId="7C00748D" w14:textId="77777777" w:rsidR="003F4144" w:rsidRDefault="003F4144" w:rsidP="000A6D6E">
      <w:pPr>
        <w:spacing w:before="120" w:line="240" w:lineRule="auto"/>
        <w:ind w:firstLine="720"/>
        <w:rPr>
          <w:rtl/>
        </w:rPr>
      </w:pPr>
      <w:r>
        <w:rPr>
          <w:rtl/>
        </w:rPr>
        <w:tab/>
      </w:r>
      <w:r>
        <w:rPr>
          <w:rtl/>
        </w:rPr>
        <w:tab/>
      </w:r>
      <w:r w:rsidR="00E5748D">
        <w:rPr>
          <w:rFonts w:hint="cs"/>
          <w:rtl/>
        </w:rPr>
        <w:t>(</w:t>
      </w:r>
      <w:r>
        <w:rPr>
          <w:rFonts w:hint="cs"/>
          <w:rtl/>
        </w:rPr>
        <w:t>להלן</w:t>
      </w:r>
      <w:r w:rsidR="00E5748D">
        <w:rPr>
          <w:rFonts w:hint="cs"/>
          <w:rtl/>
        </w:rPr>
        <w:t>:</w:t>
      </w:r>
      <w:r>
        <w:rPr>
          <w:rFonts w:hint="cs"/>
          <w:rtl/>
        </w:rPr>
        <w:t xml:space="preserve"> </w:t>
      </w:r>
      <w:r w:rsidRPr="00153372">
        <w:rPr>
          <w:rFonts w:hint="cs"/>
          <w:b/>
          <w:bCs/>
          <w:rtl/>
        </w:rPr>
        <w:t>התור</w:t>
      </w:r>
      <w:r>
        <w:rPr>
          <w:rFonts w:hint="cs"/>
          <w:b/>
          <w:bCs/>
          <w:rtl/>
        </w:rPr>
        <w:t>ם</w:t>
      </w:r>
      <w:r w:rsidR="00E5748D">
        <w:rPr>
          <w:rFonts w:hint="cs"/>
          <w:rtl/>
        </w:rPr>
        <w:t>)</w:t>
      </w:r>
      <w:r w:rsidRPr="00153372">
        <w:rPr>
          <w:rFonts w:hint="cs"/>
          <w:rtl/>
        </w:rPr>
        <w:t xml:space="preserve"> </w:t>
      </w:r>
    </w:p>
    <w:p w14:paraId="38844A72" w14:textId="77777777" w:rsidR="003F4144" w:rsidRPr="00345B09" w:rsidRDefault="003F4144" w:rsidP="000A6D6E">
      <w:pPr>
        <w:spacing w:before="120" w:line="240" w:lineRule="auto"/>
        <w:ind w:left="5041" w:firstLine="720"/>
        <w:jc w:val="center"/>
        <w:rPr>
          <w:b/>
          <w:bCs/>
          <w:u w:val="single"/>
          <w:rtl/>
        </w:rPr>
      </w:pPr>
      <w:r w:rsidRPr="00345B09">
        <w:rPr>
          <w:rFonts w:hint="eastAsia"/>
          <w:b/>
          <w:bCs/>
          <w:u w:val="single"/>
          <w:rtl/>
        </w:rPr>
        <w:t>מצד</w:t>
      </w:r>
      <w:r w:rsidRPr="00345B09">
        <w:rPr>
          <w:b/>
          <w:bCs/>
          <w:u w:val="single"/>
          <w:rtl/>
        </w:rPr>
        <w:t xml:space="preserve"> </w:t>
      </w:r>
      <w:r w:rsidRPr="00345B09">
        <w:rPr>
          <w:rFonts w:hint="eastAsia"/>
          <w:b/>
          <w:bCs/>
          <w:u w:val="single"/>
          <w:rtl/>
        </w:rPr>
        <w:t>אחד</w:t>
      </w:r>
    </w:p>
    <w:p w14:paraId="4628CFC1" w14:textId="77777777" w:rsidR="003F4144" w:rsidRDefault="003F4144" w:rsidP="000A6D6E">
      <w:pPr>
        <w:spacing w:before="120" w:line="240" w:lineRule="auto"/>
        <w:rPr>
          <w:b/>
          <w:bCs/>
        </w:rPr>
      </w:pPr>
      <w:r>
        <w:rPr>
          <w:rFonts w:hint="cs"/>
          <w:b/>
          <w:bCs/>
          <w:rtl/>
        </w:rPr>
        <w:t>ל</w:t>
      </w:r>
      <w:r w:rsidRPr="009653C3">
        <w:rPr>
          <w:rFonts w:hint="cs"/>
          <w:b/>
          <w:bCs/>
          <w:rtl/>
        </w:rPr>
        <w:t>בין:</w:t>
      </w:r>
      <w:r>
        <w:rPr>
          <w:b/>
          <w:bCs/>
          <w:rtl/>
        </w:rPr>
        <w:tab/>
      </w:r>
      <w:r>
        <w:rPr>
          <w:b/>
          <w:bCs/>
          <w:rtl/>
        </w:rPr>
        <w:tab/>
      </w:r>
      <w:r>
        <w:rPr>
          <w:b/>
          <w:bCs/>
          <w:rtl/>
        </w:rPr>
        <w:tab/>
      </w:r>
      <w:r>
        <w:rPr>
          <w:rFonts w:hint="cs"/>
          <w:b/>
          <w:bCs/>
          <w:rtl/>
        </w:rPr>
        <w:t>מכון טכנולוגי חלון (</w:t>
      </w:r>
      <w:proofErr w:type="spellStart"/>
      <w:r>
        <w:rPr>
          <w:rFonts w:hint="cs"/>
          <w:b/>
          <w:bCs/>
          <w:rtl/>
        </w:rPr>
        <w:t>ע"ר</w:t>
      </w:r>
      <w:proofErr w:type="spellEnd"/>
      <w:r>
        <w:rPr>
          <w:rFonts w:hint="cs"/>
          <w:b/>
          <w:bCs/>
          <w:rtl/>
        </w:rPr>
        <w:t>)</w:t>
      </w:r>
      <w:r w:rsidRPr="00153372">
        <w:rPr>
          <w:rFonts w:ascii="David" w:hAnsi="David"/>
          <w:sz w:val="24"/>
          <w:rtl/>
        </w:rPr>
        <w:t>,</w:t>
      </w:r>
      <w:r>
        <w:rPr>
          <w:rFonts w:ascii="David" w:hAnsi="David" w:hint="cs"/>
          <w:sz w:val="24"/>
          <w:rtl/>
        </w:rPr>
        <w:t xml:space="preserve"> </w:t>
      </w:r>
      <w:r>
        <w:rPr>
          <w:rFonts w:ascii="David" w:eastAsia="David" w:hAnsi="David"/>
          <w:sz w:val="24"/>
          <w:rtl/>
        </w:rPr>
        <w:t>580344109</w:t>
      </w:r>
    </w:p>
    <w:p w14:paraId="26B6FEE0" w14:textId="77777777" w:rsidR="003F4144" w:rsidRDefault="003F4144" w:rsidP="000A6D6E">
      <w:pPr>
        <w:spacing w:before="120" w:line="240" w:lineRule="auto"/>
        <w:rPr>
          <w:rtl/>
        </w:rPr>
      </w:pPr>
      <w:r>
        <w:rPr>
          <w:b/>
          <w:bCs/>
        </w:rPr>
        <w:tab/>
      </w:r>
      <w:r>
        <w:rPr>
          <w:b/>
          <w:bCs/>
        </w:rPr>
        <w:tab/>
      </w:r>
      <w:r>
        <w:rPr>
          <w:b/>
          <w:bCs/>
        </w:rPr>
        <w:tab/>
      </w:r>
      <w:r>
        <w:rPr>
          <w:rFonts w:hint="cs"/>
          <w:rtl/>
        </w:rPr>
        <w:t>רח' גולומב 52, חולון</w:t>
      </w:r>
    </w:p>
    <w:p w14:paraId="5B10D5D0" w14:textId="73E97321" w:rsidR="00D1145C" w:rsidRDefault="00D1145C" w:rsidP="000A6D6E">
      <w:pPr>
        <w:spacing w:before="120" w:line="240" w:lineRule="auto"/>
        <w:ind w:left="1440" w:firstLine="720"/>
        <w:rPr>
          <w:rtl/>
        </w:rPr>
      </w:pPr>
      <w:r>
        <w:rPr>
          <w:rFonts w:hint="cs"/>
          <w:rtl/>
        </w:rPr>
        <w:t xml:space="preserve">כתובת דוא"ל </w:t>
      </w:r>
      <w:hyperlink r:id="rId8" w:history="1">
        <w:r w:rsidR="000A6D6E" w:rsidRPr="002463A5">
          <w:rPr>
            <w:rStyle w:val="Hyperlink"/>
          </w:rPr>
          <w:t>samuelg@hit.ac.il</w:t>
        </w:r>
      </w:hyperlink>
      <w:r w:rsidR="000A6D6E">
        <w:rPr>
          <w:rFonts w:hint="cs"/>
          <w:rtl/>
        </w:rPr>
        <w:t xml:space="preserve">; </w:t>
      </w:r>
      <w:r>
        <w:rPr>
          <w:rFonts w:hint="cs"/>
          <w:rtl/>
        </w:rPr>
        <w:t>טל</w:t>
      </w:r>
      <w:r w:rsidR="00827DAB">
        <w:rPr>
          <w:rFonts w:hint="cs"/>
          <w:rtl/>
        </w:rPr>
        <w:t>פקס</w:t>
      </w:r>
      <w:r>
        <w:rPr>
          <w:rFonts w:hint="cs"/>
          <w:rtl/>
        </w:rPr>
        <w:t xml:space="preserve"> </w:t>
      </w:r>
      <w:r w:rsidR="00F36ADF">
        <w:rPr>
          <w:rFonts w:hint="cs"/>
          <w:rtl/>
        </w:rPr>
        <w:t>03-5026511</w:t>
      </w:r>
    </w:p>
    <w:p w14:paraId="2FE77863" w14:textId="77777777" w:rsidR="003F4144" w:rsidRDefault="003F4144" w:rsidP="000A6D6E">
      <w:pPr>
        <w:spacing w:before="120" w:line="240" w:lineRule="auto"/>
        <w:ind w:left="1440" w:firstLine="720"/>
        <w:rPr>
          <w:rtl/>
        </w:rPr>
      </w:pPr>
      <w:r>
        <w:rPr>
          <w:rFonts w:hint="cs"/>
          <w:rtl/>
        </w:rPr>
        <w:t>להלן</w:t>
      </w:r>
      <w:r w:rsidR="00E5748D">
        <w:rPr>
          <w:rFonts w:hint="cs"/>
          <w:rtl/>
        </w:rPr>
        <w:t>:</w:t>
      </w:r>
      <w:r>
        <w:rPr>
          <w:rFonts w:hint="cs"/>
          <w:rtl/>
        </w:rPr>
        <w:t xml:space="preserve"> </w:t>
      </w:r>
      <w:r>
        <w:rPr>
          <w:rFonts w:hint="cs"/>
          <w:b/>
          <w:bCs/>
          <w:rtl/>
        </w:rPr>
        <w:t>המכון</w:t>
      </w:r>
      <w:r w:rsidR="00E5748D">
        <w:rPr>
          <w:rFonts w:hint="cs"/>
          <w:rtl/>
        </w:rPr>
        <w:t>)</w:t>
      </w:r>
      <w:r w:rsidRPr="00153372">
        <w:rPr>
          <w:rFonts w:hint="cs"/>
          <w:rtl/>
        </w:rPr>
        <w:t xml:space="preserve"> </w:t>
      </w:r>
    </w:p>
    <w:p w14:paraId="5E02300D" w14:textId="77777777" w:rsidR="003F4144" w:rsidRPr="00345B09" w:rsidRDefault="003F4144" w:rsidP="00306713">
      <w:pPr>
        <w:spacing w:before="120" w:after="360" w:line="240" w:lineRule="auto"/>
        <w:ind w:left="5041" w:firstLine="720"/>
        <w:jc w:val="center"/>
        <w:rPr>
          <w:b/>
          <w:bCs/>
          <w:u w:val="single"/>
          <w:rtl/>
        </w:rPr>
      </w:pPr>
      <w:r w:rsidRPr="00345B09">
        <w:rPr>
          <w:rFonts w:hint="eastAsia"/>
          <w:b/>
          <w:bCs/>
          <w:u w:val="single"/>
          <w:rtl/>
        </w:rPr>
        <w:t>מצד</w:t>
      </w:r>
      <w:r w:rsidRPr="00345B09">
        <w:rPr>
          <w:b/>
          <w:bCs/>
          <w:u w:val="single"/>
          <w:rtl/>
        </w:rPr>
        <w:t xml:space="preserve"> </w:t>
      </w:r>
      <w:r w:rsidRPr="00345B09">
        <w:rPr>
          <w:rFonts w:hint="eastAsia"/>
          <w:b/>
          <w:bCs/>
          <w:u w:val="single"/>
          <w:rtl/>
        </w:rPr>
        <w:t>שני</w:t>
      </w:r>
    </w:p>
    <w:p w14:paraId="31EE98F4" w14:textId="1CEBD2C6" w:rsidR="00306713" w:rsidRPr="00242ADC" w:rsidRDefault="003F4144" w:rsidP="00306713">
      <w:pPr>
        <w:spacing w:before="120" w:line="240" w:lineRule="auto"/>
        <w:ind w:left="1440" w:hanging="1440"/>
        <w:jc w:val="both"/>
        <w:rPr>
          <w:rFonts w:ascii="David" w:hAnsi="David"/>
          <w:rtl/>
        </w:rPr>
      </w:pPr>
      <w:r w:rsidRPr="00467A18">
        <w:rPr>
          <w:rFonts w:hint="cs"/>
          <w:b/>
          <w:bCs/>
          <w:rtl/>
        </w:rPr>
        <w:t>הואיל</w:t>
      </w:r>
      <w:r w:rsidRPr="00467A18">
        <w:rPr>
          <w:rtl/>
        </w:rPr>
        <w:tab/>
      </w:r>
      <w:r w:rsidRPr="00467A18">
        <w:rPr>
          <w:rFonts w:hint="cs"/>
          <w:rtl/>
        </w:rPr>
        <w:t>ו</w:t>
      </w:r>
      <w:r w:rsidR="00E5748D" w:rsidRPr="00467A18">
        <w:rPr>
          <w:rFonts w:hint="cs"/>
          <w:rtl/>
        </w:rPr>
        <w:t>ה</w:t>
      </w:r>
      <w:r w:rsidRPr="00467A18">
        <w:rPr>
          <w:rFonts w:hint="cs"/>
          <w:rtl/>
        </w:rPr>
        <w:t>מ</w:t>
      </w:r>
      <w:r w:rsidR="00E5748D" w:rsidRPr="00467A18">
        <w:rPr>
          <w:rFonts w:hint="cs"/>
          <w:rtl/>
        </w:rPr>
        <w:t xml:space="preserve">כון </w:t>
      </w:r>
      <w:r w:rsidRPr="00467A18">
        <w:rPr>
          <w:rFonts w:hint="cs"/>
          <w:rtl/>
        </w:rPr>
        <w:t>הוא מוסד מוכר להשכלה גבוהה</w:t>
      </w:r>
      <w:r w:rsidR="00AF1D3B" w:rsidRPr="00467A18">
        <w:rPr>
          <w:rFonts w:hint="cs"/>
          <w:rtl/>
        </w:rPr>
        <w:t>,</w:t>
      </w:r>
      <w:r w:rsidR="00467A18">
        <w:rPr>
          <w:rFonts w:hint="cs"/>
          <w:rtl/>
        </w:rPr>
        <w:t xml:space="preserve"> </w:t>
      </w:r>
      <w:r w:rsidR="00AF1D3B" w:rsidRPr="00467A18">
        <w:rPr>
          <w:rFonts w:hint="cs"/>
          <w:rtl/>
        </w:rPr>
        <w:t>המתוקצב על ידי המדינה באמצעות הועדה לתכנון ולתקצוב (</w:t>
      </w:r>
      <w:r w:rsidR="00467A18">
        <w:rPr>
          <w:rFonts w:hint="cs"/>
          <w:rtl/>
        </w:rPr>
        <w:t>ו</w:t>
      </w:r>
      <w:r w:rsidR="00AF1D3B" w:rsidRPr="00467A18">
        <w:rPr>
          <w:rFonts w:hint="cs"/>
          <w:rtl/>
        </w:rPr>
        <w:t xml:space="preserve">ת"ת) וכפוף להנחיות והחלטות המועצה להשכלה גבוהה (מל"ג) </w:t>
      </w:r>
      <w:proofErr w:type="spellStart"/>
      <w:r w:rsidR="00AF1D3B" w:rsidRPr="00467A18">
        <w:rPr>
          <w:rFonts w:hint="cs"/>
          <w:rtl/>
        </w:rPr>
        <w:t>וות"ת</w:t>
      </w:r>
      <w:proofErr w:type="spellEnd"/>
      <w:r w:rsidR="00AF1D3B" w:rsidRPr="00467A18">
        <w:rPr>
          <w:rFonts w:hint="cs"/>
          <w:rtl/>
        </w:rPr>
        <w:t>.</w:t>
      </w:r>
      <w:r w:rsidR="00306713" w:rsidRPr="00467A18">
        <w:rPr>
          <w:rFonts w:hint="cs"/>
          <w:rtl/>
        </w:rPr>
        <w:t xml:space="preserve"> </w:t>
      </w:r>
      <w:r w:rsidR="00306713" w:rsidRPr="00467A18">
        <w:rPr>
          <w:rFonts w:ascii="David" w:hAnsi="David" w:hint="eastAsia"/>
          <w:rtl/>
        </w:rPr>
        <w:t>ה</w:t>
      </w:r>
      <w:r w:rsidR="00AF1D3B" w:rsidRPr="00467A18">
        <w:rPr>
          <w:rFonts w:ascii="David" w:hAnsi="David" w:hint="cs"/>
          <w:rtl/>
        </w:rPr>
        <w:t xml:space="preserve">מכון </w:t>
      </w:r>
      <w:r w:rsidR="00306713" w:rsidRPr="00467A18">
        <w:rPr>
          <w:rFonts w:ascii="David" w:hAnsi="David" w:hint="eastAsia"/>
          <w:rtl/>
        </w:rPr>
        <w:t>מקיים</w:t>
      </w:r>
      <w:r w:rsidR="00306713" w:rsidRPr="00467A18">
        <w:rPr>
          <w:rFonts w:ascii="David" w:hAnsi="David"/>
          <w:rtl/>
        </w:rPr>
        <w:t xml:space="preserve"> תוכניות לימוד אקדמיות ומעניק לבוגריו תארים אקדמיים, המוכרים על ידי </w:t>
      </w:r>
      <w:proofErr w:type="spellStart"/>
      <w:r w:rsidR="00306713" w:rsidRPr="00467A18">
        <w:rPr>
          <w:rFonts w:ascii="David" w:hAnsi="David"/>
          <w:rtl/>
        </w:rPr>
        <w:t>המ</w:t>
      </w:r>
      <w:r w:rsidR="00AF1D3B" w:rsidRPr="00467A18">
        <w:rPr>
          <w:rFonts w:ascii="David" w:hAnsi="David" w:hint="cs"/>
          <w:rtl/>
        </w:rPr>
        <w:t>ל"ג</w:t>
      </w:r>
      <w:proofErr w:type="spellEnd"/>
      <w:r w:rsidR="00AF1D3B" w:rsidRPr="00467A18">
        <w:rPr>
          <w:rFonts w:ascii="David" w:hAnsi="David" w:hint="cs"/>
          <w:rtl/>
        </w:rPr>
        <w:t>.</w:t>
      </w:r>
      <w:r w:rsidR="00306713" w:rsidRPr="00467A18">
        <w:rPr>
          <w:rFonts w:ascii="David" w:hAnsi="David"/>
          <w:rtl/>
        </w:rPr>
        <w:t xml:space="preserve"> </w:t>
      </w:r>
    </w:p>
    <w:p w14:paraId="6022E446" w14:textId="0F3862EF" w:rsidR="003F4144" w:rsidRPr="00153372" w:rsidRDefault="003F4144" w:rsidP="000A6D6E">
      <w:pPr>
        <w:spacing w:before="120" w:line="240" w:lineRule="auto"/>
        <w:ind w:left="1440" w:hanging="1440"/>
        <w:jc w:val="both"/>
      </w:pPr>
      <w:r>
        <w:rPr>
          <w:rFonts w:hint="cs"/>
          <w:b/>
          <w:bCs/>
          <w:rtl/>
        </w:rPr>
        <w:t>ו</w:t>
      </w:r>
      <w:r w:rsidRPr="00153372">
        <w:rPr>
          <w:rFonts w:hint="cs"/>
          <w:b/>
          <w:bCs/>
          <w:rtl/>
        </w:rPr>
        <w:t>הואיל</w:t>
      </w:r>
      <w:r>
        <w:rPr>
          <w:rtl/>
        </w:rPr>
        <w:tab/>
      </w:r>
      <w:r>
        <w:rPr>
          <w:rFonts w:hint="cs"/>
          <w:rtl/>
        </w:rPr>
        <w:t>והוסכם כי התור</w:t>
      </w:r>
      <w:r w:rsidR="00E5748D">
        <w:rPr>
          <w:rFonts w:hint="cs"/>
          <w:rtl/>
        </w:rPr>
        <w:t>ם</w:t>
      </w:r>
      <w:r>
        <w:rPr>
          <w:rFonts w:hint="cs"/>
          <w:rtl/>
        </w:rPr>
        <w:t xml:space="preserve"> </w:t>
      </w:r>
      <w:r w:rsidR="00E5748D">
        <w:rPr>
          <w:rFonts w:hint="cs"/>
          <w:rtl/>
        </w:rPr>
        <w:t>י</w:t>
      </w:r>
      <w:r>
        <w:rPr>
          <w:rFonts w:hint="cs"/>
          <w:rtl/>
        </w:rPr>
        <w:t>עניק למ</w:t>
      </w:r>
      <w:r w:rsidR="00E5748D">
        <w:rPr>
          <w:rFonts w:hint="cs"/>
          <w:rtl/>
        </w:rPr>
        <w:t xml:space="preserve">כון </w:t>
      </w:r>
      <w:r>
        <w:rPr>
          <w:rFonts w:hint="cs"/>
          <w:rtl/>
        </w:rPr>
        <w:t xml:space="preserve">תרומה בסכום כולל </w:t>
      </w:r>
      <w:r w:rsidR="00E5748D">
        <w:rPr>
          <w:rFonts w:hint="cs"/>
          <w:rtl/>
        </w:rPr>
        <w:t xml:space="preserve">של ____ </w:t>
      </w:r>
      <w:r>
        <w:rPr>
          <w:rFonts w:hint="cs"/>
          <w:rtl/>
        </w:rPr>
        <w:t xml:space="preserve">מיליון דולר ארה"ב, במועדים המפורטים בהסכם זה, לשם הקמה </w:t>
      </w:r>
      <w:r w:rsidR="00E5748D">
        <w:rPr>
          <w:rFonts w:hint="cs"/>
          <w:rtl/>
        </w:rPr>
        <w:t xml:space="preserve">של בניין 9 </w:t>
      </w:r>
      <w:r>
        <w:rPr>
          <w:rFonts w:hint="cs"/>
          <w:rtl/>
        </w:rPr>
        <w:t>כמפורט בהסכם זה</w:t>
      </w:r>
      <w:r w:rsidR="00306713">
        <w:rPr>
          <w:rFonts w:hint="cs"/>
          <w:rtl/>
        </w:rPr>
        <w:t>.</w:t>
      </w:r>
    </w:p>
    <w:p w14:paraId="46AA1FE8" w14:textId="0F34BD32" w:rsidR="003F4144" w:rsidRPr="00BB424D" w:rsidRDefault="003F4144" w:rsidP="000A6D6E">
      <w:pPr>
        <w:spacing w:before="120" w:line="240" w:lineRule="auto"/>
        <w:ind w:left="1440" w:hanging="1440"/>
        <w:jc w:val="both"/>
        <w:rPr>
          <w:rtl/>
        </w:rPr>
      </w:pPr>
      <w:r>
        <w:rPr>
          <w:rFonts w:hint="cs"/>
          <w:rtl/>
        </w:rPr>
        <w:t xml:space="preserve"> </w:t>
      </w:r>
    </w:p>
    <w:p w14:paraId="0796DD61" w14:textId="77777777" w:rsidR="003F4144" w:rsidRPr="00153372" w:rsidRDefault="003F4144" w:rsidP="000A6D6E">
      <w:pPr>
        <w:spacing w:before="120" w:line="240" w:lineRule="auto"/>
        <w:jc w:val="center"/>
        <w:rPr>
          <w:b/>
          <w:bCs/>
          <w:rtl/>
        </w:rPr>
      </w:pPr>
      <w:r>
        <w:rPr>
          <w:rFonts w:hint="cs"/>
          <w:b/>
          <w:bCs/>
          <w:rtl/>
        </w:rPr>
        <w:t xml:space="preserve">לפיכך </w:t>
      </w:r>
      <w:r w:rsidRPr="00153372">
        <w:rPr>
          <w:rFonts w:hint="cs"/>
          <w:b/>
          <w:bCs/>
          <w:rtl/>
        </w:rPr>
        <w:t>הותנה, הוצהר והוסכם בין הצדדים, כדלקמן:</w:t>
      </w:r>
    </w:p>
    <w:p w14:paraId="41B77A66" w14:textId="77777777" w:rsidR="006E11E3" w:rsidRDefault="006E11E3" w:rsidP="00306713">
      <w:pPr>
        <w:pStyle w:val="a3"/>
        <w:numPr>
          <w:ilvl w:val="0"/>
          <w:numId w:val="1"/>
        </w:numPr>
        <w:spacing w:before="120" w:after="240" w:line="240" w:lineRule="auto"/>
        <w:contextualSpacing w:val="0"/>
        <w:jc w:val="both"/>
      </w:pPr>
      <w:r>
        <w:rPr>
          <w:rFonts w:hint="cs"/>
          <w:rtl/>
        </w:rPr>
        <w:t>המבוא להסכם מהווה חלק בלתי נפרד ממנו.</w:t>
      </w:r>
    </w:p>
    <w:p w14:paraId="36DF82AE" w14:textId="67FD13A2" w:rsidR="001457D7" w:rsidRDefault="006E11E3" w:rsidP="00306713">
      <w:pPr>
        <w:pStyle w:val="a3"/>
        <w:numPr>
          <w:ilvl w:val="0"/>
          <w:numId w:val="1"/>
        </w:numPr>
        <w:spacing w:before="120" w:after="240" w:line="240" w:lineRule="auto"/>
        <w:contextualSpacing w:val="0"/>
        <w:jc w:val="both"/>
      </w:pPr>
      <w:bookmarkStart w:id="0" w:name="_Ref143786012"/>
      <w:r>
        <w:rPr>
          <w:rFonts w:hint="cs"/>
          <w:rtl/>
        </w:rPr>
        <w:t xml:space="preserve">התורם יעביר למכון </w:t>
      </w:r>
      <w:r w:rsidR="00827DAB">
        <w:rPr>
          <w:rFonts w:hint="cs"/>
          <w:rtl/>
        </w:rPr>
        <w:t xml:space="preserve">בהעברה בנקאית </w:t>
      </w:r>
      <w:r>
        <w:rPr>
          <w:rFonts w:hint="cs"/>
          <w:rtl/>
        </w:rPr>
        <w:t xml:space="preserve">תרומה בסכום כולל של ____ מיליון דולר ארה"ב, בתוך </w:t>
      </w:r>
      <w:r w:rsidR="008B697A">
        <w:rPr>
          <w:rFonts w:hint="cs"/>
          <w:rtl/>
        </w:rPr>
        <w:t xml:space="preserve">30 </w:t>
      </w:r>
      <w:r>
        <w:rPr>
          <w:rFonts w:hint="cs"/>
          <w:rtl/>
        </w:rPr>
        <w:t>ימי עסקים ממועד החתימה על הסכם זה</w:t>
      </w:r>
      <w:r w:rsidR="001457D7">
        <w:rPr>
          <w:rFonts w:hint="cs"/>
          <w:rtl/>
        </w:rPr>
        <w:t xml:space="preserve">, </w:t>
      </w:r>
      <w:r w:rsidR="00827DAB">
        <w:rPr>
          <w:rFonts w:hint="cs"/>
          <w:rtl/>
        </w:rPr>
        <w:t>בהתאם לפרטים להלן</w:t>
      </w:r>
      <w:r w:rsidR="001457D7">
        <w:rPr>
          <w:rFonts w:hint="cs"/>
          <w:rtl/>
        </w:rPr>
        <w:t>:</w:t>
      </w:r>
      <w:bookmarkEnd w:id="0"/>
    </w:p>
    <w:p w14:paraId="10D27041" w14:textId="77777777" w:rsidR="000A6D6E" w:rsidRDefault="001457D7" w:rsidP="00306713">
      <w:pPr>
        <w:spacing w:before="120" w:after="240" w:line="240" w:lineRule="auto"/>
        <w:ind w:left="567"/>
        <w:jc w:val="both"/>
        <w:rPr>
          <w:rFonts w:ascii="David" w:eastAsia="David" w:hAnsi="David"/>
          <w:sz w:val="24"/>
          <w:rtl/>
        </w:rPr>
      </w:pPr>
      <w:r>
        <w:rPr>
          <w:rFonts w:hint="cs"/>
          <w:rtl/>
        </w:rPr>
        <w:t>שם המוטב: מכון טכנולוגי חולון (</w:t>
      </w:r>
      <w:proofErr w:type="spellStart"/>
      <w:r>
        <w:rPr>
          <w:rFonts w:hint="cs"/>
          <w:rtl/>
        </w:rPr>
        <w:t>ע"ר</w:t>
      </w:r>
      <w:proofErr w:type="spellEnd"/>
      <w:r>
        <w:rPr>
          <w:rFonts w:hint="cs"/>
          <w:rtl/>
        </w:rPr>
        <w:t xml:space="preserve">) </w:t>
      </w:r>
      <w:r w:rsidRPr="000A6D6E">
        <w:rPr>
          <w:rFonts w:ascii="David" w:eastAsia="David" w:hAnsi="David"/>
          <w:sz w:val="24"/>
          <w:rtl/>
        </w:rPr>
        <w:t>580344109</w:t>
      </w:r>
      <w:r w:rsidR="000A6D6E">
        <w:rPr>
          <w:rFonts w:ascii="David" w:eastAsia="David" w:hAnsi="David" w:hint="cs"/>
          <w:sz w:val="24"/>
          <w:rtl/>
        </w:rPr>
        <w:t xml:space="preserve">; </w:t>
      </w:r>
    </w:p>
    <w:p w14:paraId="08DD709F" w14:textId="77777777" w:rsidR="000A6D6E" w:rsidRDefault="001457D7" w:rsidP="00306713">
      <w:pPr>
        <w:spacing w:before="120" w:after="240" w:line="240" w:lineRule="auto"/>
        <w:ind w:left="567"/>
        <w:jc w:val="both"/>
        <w:rPr>
          <w:rFonts w:ascii="David" w:eastAsia="David" w:hAnsi="David"/>
          <w:sz w:val="24"/>
          <w:rtl/>
        </w:rPr>
      </w:pPr>
      <w:r w:rsidRPr="000A6D6E">
        <w:rPr>
          <w:rFonts w:ascii="David" w:eastAsia="David" w:hAnsi="David" w:hint="cs"/>
          <w:sz w:val="24"/>
          <w:rtl/>
        </w:rPr>
        <w:t>שם הבנק:</w:t>
      </w:r>
      <w:r w:rsidR="000A6D6E">
        <w:rPr>
          <w:rFonts w:ascii="David" w:eastAsia="David" w:hAnsi="David" w:hint="cs"/>
          <w:sz w:val="24"/>
          <w:rtl/>
        </w:rPr>
        <w:t xml:space="preserve"> ____________________; מס' </w:t>
      </w:r>
      <w:r w:rsidRPr="000A6D6E">
        <w:rPr>
          <w:rFonts w:ascii="David" w:eastAsia="David" w:hAnsi="David" w:hint="cs"/>
          <w:sz w:val="24"/>
          <w:rtl/>
        </w:rPr>
        <w:t>הסניף:</w:t>
      </w:r>
      <w:r w:rsidR="000A6D6E">
        <w:rPr>
          <w:rFonts w:ascii="David" w:eastAsia="David" w:hAnsi="David" w:hint="cs"/>
          <w:sz w:val="24"/>
          <w:rtl/>
        </w:rPr>
        <w:t xml:space="preserve"> __________________; </w:t>
      </w:r>
    </w:p>
    <w:p w14:paraId="66396FDE" w14:textId="074413A7" w:rsidR="001457D7" w:rsidRDefault="001457D7" w:rsidP="00306713">
      <w:pPr>
        <w:spacing w:before="120" w:after="240" w:line="240" w:lineRule="auto"/>
        <w:ind w:left="567"/>
        <w:jc w:val="both"/>
      </w:pPr>
      <w:r w:rsidRPr="000A6D6E">
        <w:rPr>
          <w:rFonts w:ascii="David" w:eastAsia="David" w:hAnsi="David" w:hint="cs"/>
          <w:sz w:val="24"/>
          <w:rtl/>
        </w:rPr>
        <w:t>מספר חשבון:</w:t>
      </w:r>
      <w:r w:rsidR="000A6D6E">
        <w:rPr>
          <w:rFonts w:ascii="David" w:eastAsia="David" w:hAnsi="David" w:hint="cs"/>
          <w:sz w:val="24"/>
          <w:rtl/>
        </w:rPr>
        <w:t xml:space="preserve"> _________________;</w:t>
      </w:r>
      <w:r w:rsidR="000A6D6E">
        <w:rPr>
          <w:rFonts w:hint="cs"/>
          <w:rtl/>
        </w:rPr>
        <w:t xml:space="preserve">  </w:t>
      </w:r>
      <w:r w:rsidRPr="000A6D6E">
        <w:rPr>
          <w:rFonts w:ascii="David" w:eastAsia="David" w:hAnsi="David" w:hint="cs"/>
          <w:sz w:val="24"/>
          <w:rtl/>
        </w:rPr>
        <w:t>מספר זה"ב:</w:t>
      </w:r>
      <w:r w:rsidR="000A6D6E">
        <w:rPr>
          <w:rFonts w:ascii="David" w:eastAsia="David" w:hAnsi="David" w:hint="cs"/>
          <w:sz w:val="24"/>
          <w:rtl/>
        </w:rPr>
        <w:t xml:space="preserve"> _________________.</w:t>
      </w:r>
      <w:r w:rsidRPr="000A6D6E">
        <w:rPr>
          <w:rFonts w:ascii="David" w:eastAsia="David" w:hAnsi="David" w:hint="cs"/>
          <w:sz w:val="24"/>
          <w:rtl/>
        </w:rPr>
        <w:t xml:space="preserve"> </w:t>
      </w:r>
      <w:r>
        <w:rPr>
          <w:rFonts w:hint="cs"/>
          <w:rtl/>
        </w:rPr>
        <w:t xml:space="preserve"> </w:t>
      </w:r>
    </w:p>
    <w:p w14:paraId="44857EE6" w14:textId="173CCDA7" w:rsidR="00E205E1" w:rsidRDefault="00B6646C" w:rsidP="00306713">
      <w:pPr>
        <w:pStyle w:val="a3"/>
        <w:numPr>
          <w:ilvl w:val="0"/>
          <w:numId w:val="1"/>
        </w:numPr>
        <w:spacing w:before="120" w:after="240" w:line="240" w:lineRule="auto"/>
        <w:contextualSpacing w:val="0"/>
        <w:jc w:val="both"/>
      </w:pPr>
      <w:r>
        <w:rPr>
          <w:rFonts w:hint="cs"/>
          <w:rtl/>
        </w:rPr>
        <w:t xml:space="preserve">המכון יעשה שימוש בתרומה לצורך הקמת </w:t>
      </w:r>
      <w:r w:rsidR="00E205E1" w:rsidRPr="002770F3">
        <w:rPr>
          <w:rFonts w:ascii="David" w:hAnsi="David" w:hint="cs"/>
          <w:rtl/>
        </w:rPr>
        <w:t>בניין לשימושים אקדמיים בקמפוס המכון</w:t>
      </w:r>
      <w:r w:rsidRPr="00BD5757">
        <w:rPr>
          <w:rFonts w:hint="cs"/>
          <w:rtl/>
        </w:rPr>
        <w:t xml:space="preserve"> </w:t>
      </w:r>
      <w:r w:rsidR="00827DAB">
        <w:rPr>
          <w:rFonts w:hint="cs"/>
          <w:rtl/>
        </w:rPr>
        <w:t>ב</w:t>
      </w:r>
      <w:r w:rsidR="00E205E1">
        <w:rPr>
          <w:rFonts w:ascii="David" w:hAnsi="David" w:hint="cs"/>
          <w:rtl/>
        </w:rPr>
        <w:t>מקרקעין הרשומים בלשכת רישום המקרקעין בחולון כ</w:t>
      </w:r>
      <w:r w:rsidR="00E205E1" w:rsidRPr="00D54D97">
        <w:rPr>
          <w:rFonts w:ascii="David" w:hAnsi="David"/>
          <w:rtl/>
        </w:rPr>
        <w:t xml:space="preserve">גוש </w:t>
      </w:r>
      <w:r w:rsidR="00E205E1">
        <w:rPr>
          <w:rFonts w:ascii="David" w:hAnsi="David" w:hint="cs"/>
          <w:rtl/>
        </w:rPr>
        <w:t>6867</w:t>
      </w:r>
      <w:r w:rsidR="00E205E1" w:rsidRPr="00D54D97">
        <w:rPr>
          <w:rFonts w:ascii="David" w:hAnsi="David"/>
          <w:rtl/>
        </w:rPr>
        <w:t xml:space="preserve"> חלקה </w:t>
      </w:r>
      <w:r w:rsidR="00E205E1">
        <w:rPr>
          <w:rFonts w:ascii="David" w:hAnsi="David" w:hint="cs"/>
          <w:rtl/>
        </w:rPr>
        <w:t>28</w:t>
      </w:r>
      <w:r w:rsidR="00E205E1" w:rsidRPr="00D54D97">
        <w:rPr>
          <w:rFonts w:ascii="David" w:hAnsi="David"/>
          <w:rtl/>
        </w:rPr>
        <w:t xml:space="preserve"> בחולון</w:t>
      </w:r>
      <w:r w:rsidR="00E205E1">
        <w:rPr>
          <w:rFonts w:hint="cs"/>
          <w:rtl/>
        </w:rPr>
        <w:t xml:space="preserve"> </w:t>
      </w:r>
      <w:r w:rsidR="00E205E1" w:rsidRPr="00BD5757">
        <w:rPr>
          <w:rFonts w:hint="cs"/>
          <w:rtl/>
        </w:rPr>
        <w:t xml:space="preserve">(להלן: </w:t>
      </w:r>
      <w:r w:rsidR="00E205E1" w:rsidRPr="00E205E1">
        <w:rPr>
          <w:rFonts w:hint="cs"/>
          <w:b/>
          <w:bCs/>
          <w:rtl/>
        </w:rPr>
        <w:t>בניין 9</w:t>
      </w:r>
      <w:r w:rsidR="00E205E1" w:rsidRPr="00BD5757">
        <w:rPr>
          <w:rFonts w:hint="cs"/>
          <w:rtl/>
        </w:rPr>
        <w:t>)</w:t>
      </w:r>
      <w:r w:rsidR="00E205E1">
        <w:rPr>
          <w:rFonts w:hint="cs"/>
          <w:rtl/>
        </w:rPr>
        <w:t>.</w:t>
      </w:r>
    </w:p>
    <w:p w14:paraId="506222EF" w14:textId="77777777" w:rsidR="001457D7" w:rsidRDefault="001457D7" w:rsidP="00306713">
      <w:pPr>
        <w:pStyle w:val="a3"/>
        <w:numPr>
          <w:ilvl w:val="0"/>
          <w:numId w:val="1"/>
        </w:numPr>
        <w:spacing w:before="120" w:after="240" w:line="240" w:lineRule="auto"/>
        <w:contextualSpacing w:val="0"/>
        <w:jc w:val="both"/>
      </w:pPr>
      <w:bookmarkStart w:id="1" w:name="_Ref143785352"/>
      <w:r>
        <w:rPr>
          <w:rFonts w:hint="cs"/>
          <w:rtl/>
        </w:rPr>
        <w:t>המכון יקרא לבניין 9 על שם התורם או על שם משפחתו, לפי בחירת התורם.</w:t>
      </w:r>
      <w:bookmarkEnd w:id="1"/>
    </w:p>
    <w:p w14:paraId="0A85D7CD" w14:textId="139DC2A9" w:rsidR="001457D7" w:rsidRDefault="001457D7" w:rsidP="00306713">
      <w:pPr>
        <w:pStyle w:val="a3"/>
        <w:numPr>
          <w:ilvl w:val="0"/>
          <w:numId w:val="1"/>
        </w:numPr>
        <w:spacing w:before="120" w:after="240" w:line="240" w:lineRule="auto"/>
        <w:contextualSpacing w:val="0"/>
        <w:jc w:val="both"/>
      </w:pPr>
      <w:r>
        <w:rPr>
          <w:rFonts w:hint="cs"/>
          <w:rtl/>
        </w:rPr>
        <w:t>התורם</w:t>
      </w:r>
      <w:r w:rsidR="004D4F1E">
        <w:rPr>
          <w:rFonts w:hint="cs"/>
          <w:rtl/>
        </w:rPr>
        <w:t xml:space="preserve"> מצהיר כי</w:t>
      </w:r>
      <w:r w:rsidR="000A6D6E">
        <w:rPr>
          <w:rFonts w:hint="cs"/>
          <w:rtl/>
        </w:rPr>
        <w:t xml:space="preserve"> </w:t>
      </w:r>
      <w:r w:rsidR="004D4F1E">
        <w:rPr>
          <w:rFonts w:hint="cs"/>
          <w:rtl/>
        </w:rPr>
        <w:t xml:space="preserve">נמסר לו שבניין 9 תוכנן על ידי אדריכל דוד </w:t>
      </w:r>
      <w:proofErr w:type="spellStart"/>
      <w:r w:rsidR="004D4F1E">
        <w:rPr>
          <w:rFonts w:hint="cs"/>
          <w:rtl/>
        </w:rPr>
        <w:t>קנפו</w:t>
      </w:r>
      <w:proofErr w:type="spellEnd"/>
      <w:r w:rsidR="004D4F1E">
        <w:rPr>
          <w:rFonts w:hint="cs"/>
          <w:rtl/>
        </w:rPr>
        <w:t xml:space="preserve"> ממשרד </w:t>
      </w:r>
      <w:proofErr w:type="spellStart"/>
      <w:r w:rsidR="004D4F1E" w:rsidRPr="004D4F1E">
        <w:rPr>
          <w:rtl/>
        </w:rPr>
        <w:t>קנפו</w:t>
      </w:r>
      <w:proofErr w:type="spellEnd"/>
      <w:r w:rsidR="004D4F1E" w:rsidRPr="004D4F1E">
        <w:t xml:space="preserve"> </w:t>
      </w:r>
      <w:r w:rsidR="004D4F1E" w:rsidRPr="004D4F1E">
        <w:rPr>
          <w:rtl/>
        </w:rPr>
        <w:t>כלימור</w:t>
      </w:r>
      <w:r w:rsidR="004D4F1E" w:rsidRPr="004D4F1E">
        <w:t xml:space="preserve"> </w:t>
      </w:r>
      <w:r w:rsidR="004D4F1E" w:rsidRPr="004D4F1E">
        <w:rPr>
          <w:rtl/>
        </w:rPr>
        <w:t>אדריכלים</w:t>
      </w:r>
      <w:r w:rsidR="004D4F1E" w:rsidRPr="004D4F1E">
        <w:t xml:space="preserve"> </w:t>
      </w:r>
      <w:proofErr w:type="spellStart"/>
      <w:r w:rsidR="004D4F1E" w:rsidRPr="004D4F1E">
        <w:rPr>
          <w:rtl/>
        </w:rPr>
        <w:t>בע</w:t>
      </w:r>
      <w:proofErr w:type="spellEnd"/>
      <w:r w:rsidR="004D4F1E" w:rsidRPr="004D4F1E">
        <w:t>"</w:t>
      </w:r>
      <w:r w:rsidR="004D4F1E" w:rsidRPr="004D4F1E">
        <w:rPr>
          <w:rtl/>
        </w:rPr>
        <w:t>מ, ח</w:t>
      </w:r>
      <w:r w:rsidR="004D4F1E" w:rsidRPr="004D4F1E">
        <w:t>.</w:t>
      </w:r>
      <w:r w:rsidR="004D4F1E" w:rsidRPr="004D4F1E">
        <w:rPr>
          <w:rtl/>
        </w:rPr>
        <w:t>פ</w:t>
      </w:r>
      <w:r w:rsidR="000A6D6E">
        <w:rPr>
          <w:rFonts w:hint="cs"/>
          <w:rtl/>
        </w:rPr>
        <w:t xml:space="preserve"> </w:t>
      </w:r>
      <w:r w:rsidR="004D4F1E" w:rsidRPr="000A6D6E">
        <w:rPr>
          <w:rFonts w:ascii="David" w:hAnsi="David"/>
          <w:sz w:val="24"/>
        </w:rPr>
        <w:t>512253667</w:t>
      </w:r>
      <w:r w:rsidR="000A6D6E">
        <w:rPr>
          <w:rFonts w:hint="cs"/>
          <w:rtl/>
        </w:rPr>
        <w:t xml:space="preserve">, כי </w:t>
      </w:r>
      <w:r w:rsidR="003750B0" w:rsidRPr="003750B0">
        <w:rPr>
          <w:rFonts w:hint="cs"/>
          <w:rtl/>
        </w:rPr>
        <w:t>תוכניות</w:t>
      </w:r>
      <w:r w:rsidR="003750B0" w:rsidRPr="000A6D6E">
        <w:rPr>
          <w:rFonts w:hint="cs"/>
          <w:rtl/>
        </w:rPr>
        <w:t xml:space="preserve"> בניין </w:t>
      </w:r>
      <w:r w:rsidR="00827DAB" w:rsidRPr="000A6D6E">
        <w:rPr>
          <w:rFonts w:hint="cs"/>
          <w:rtl/>
        </w:rPr>
        <w:t xml:space="preserve">9 הוצגו בפניו </w:t>
      </w:r>
      <w:r w:rsidR="003750B0" w:rsidRPr="000A6D6E">
        <w:rPr>
          <w:rFonts w:hint="cs"/>
          <w:rtl/>
        </w:rPr>
        <w:t>ו</w:t>
      </w:r>
      <w:r w:rsidR="000A6D6E">
        <w:rPr>
          <w:rFonts w:hint="cs"/>
          <w:rtl/>
        </w:rPr>
        <w:t xml:space="preserve">כי </w:t>
      </w:r>
      <w:r w:rsidR="00827DAB" w:rsidRPr="000A6D6E">
        <w:rPr>
          <w:rFonts w:hint="cs"/>
          <w:rtl/>
        </w:rPr>
        <w:t xml:space="preserve">הוא </w:t>
      </w:r>
      <w:r w:rsidR="003750B0" w:rsidRPr="000A6D6E">
        <w:rPr>
          <w:rFonts w:hint="cs"/>
          <w:rtl/>
        </w:rPr>
        <w:t xml:space="preserve">מבין </w:t>
      </w:r>
      <w:r w:rsidR="000A6D6E">
        <w:rPr>
          <w:rFonts w:hint="cs"/>
          <w:rtl/>
        </w:rPr>
        <w:t>ש</w:t>
      </w:r>
      <w:r w:rsidR="003750B0" w:rsidRPr="000A6D6E">
        <w:rPr>
          <w:rFonts w:hint="cs"/>
          <w:rtl/>
        </w:rPr>
        <w:t>הן טעונות אישור הרשויות המוסמכות</w:t>
      </w:r>
      <w:r w:rsidR="00827DAB" w:rsidRPr="000A6D6E">
        <w:rPr>
          <w:rFonts w:hint="cs"/>
          <w:rtl/>
        </w:rPr>
        <w:t xml:space="preserve">, לרבות </w:t>
      </w:r>
      <w:r w:rsidR="004D4F1E" w:rsidRPr="000A6D6E">
        <w:rPr>
          <w:rtl/>
        </w:rPr>
        <w:t xml:space="preserve">היתר הבנייה </w:t>
      </w:r>
      <w:r w:rsidR="004D4F1E" w:rsidRPr="000A6D6E">
        <w:rPr>
          <w:rFonts w:hint="cs"/>
          <w:rtl/>
        </w:rPr>
        <w:t>של עיריית חולון.</w:t>
      </w:r>
    </w:p>
    <w:p w14:paraId="4BB499FB" w14:textId="37EE1A00" w:rsidR="001457D7" w:rsidRDefault="001457D7" w:rsidP="00306713">
      <w:pPr>
        <w:pStyle w:val="a3"/>
        <w:numPr>
          <w:ilvl w:val="0"/>
          <w:numId w:val="1"/>
        </w:numPr>
        <w:spacing w:before="120" w:after="240" w:line="240" w:lineRule="auto"/>
        <w:contextualSpacing w:val="0"/>
        <w:jc w:val="both"/>
      </w:pPr>
      <w:r>
        <w:rPr>
          <w:rFonts w:hint="cs"/>
          <w:rtl/>
        </w:rPr>
        <w:lastRenderedPageBreak/>
        <w:t xml:space="preserve">על אף האמור בסעיף </w:t>
      </w:r>
      <w:r w:rsidR="003750B0">
        <w:rPr>
          <w:rtl/>
        </w:rPr>
        <w:fldChar w:fldCharType="begin"/>
      </w:r>
      <w:r w:rsidR="003750B0">
        <w:rPr>
          <w:rtl/>
        </w:rPr>
        <w:instrText xml:space="preserve"> </w:instrText>
      </w:r>
      <w:r w:rsidR="003750B0">
        <w:rPr>
          <w:rFonts w:hint="cs"/>
        </w:rPr>
        <w:instrText>REF</w:instrText>
      </w:r>
      <w:r w:rsidR="003750B0">
        <w:rPr>
          <w:rFonts w:hint="cs"/>
          <w:rtl/>
        </w:rPr>
        <w:instrText xml:space="preserve"> _</w:instrText>
      </w:r>
      <w:r w:rsidR="003750B0">
        <w:rPr>
          <w:rFonts w:hint="cs"/>
        </w:rPr>
        <w:instrText>Ref143785352 \r \h</w:instrText>
      </w:r>
      <w:r w:rsidR="003750B0">
        <w:rPr>
          <w:rtl/>
        </w:rPr>
        <w:instrText xml:space="preserve"> </w:instrText>
      </w:r>
      <w:r w:rsidR="003750B0">
        <w:rPr>
          <w:rtl/>
        </w:rPr>
      </w:r>
      <w:r w:rsidR="003750B0">
        <w:rPr>
          <w:rtl/>
        </w:rPr>
        <w:fldChar w:fldCharType="separate"/>
      </w:r>
      <w:r w:rsidR="009C788A">
        <w:rPr>
          <w:cs/>
        </w:rPr>
        <w:t>‎</w:t>
      </w:r>
      <w:r w:rsidR="009C788A">
        <w:t>4</w:t>
      </w:r>
      <w:r w:rsidR="003750B0">
        <w:rPr>
          <w:rtl/>
        </w:rPr>
        <w:fldChar w:fldCharType="end"/>
      </w:r>
      <w:r>
        <w:rPr>
          <w:rFonts w:hint="cs"/>
          <w:rtl/>
        </w:rPr>
        <w:t xml:space="preserve"> לעיל, המכון יהיה רשאי לחזור בו מהתחייבותו לקרוא לבניין 9 על שם התורם ולתורם לא תהיה כל טענה או תביעה נגד המכון, בקרות אחד או יותר מהמקרים הבא</w:t>
      </w:r>
      <w:r w:rsidR="00827DAB">
        <w:rPr>
          <w:rFonts w:hint="cs"/>
          <w:rtl/>
        </w:rPr>
        <w:t>י</w:t>
      </w:r>
      <w:r>
        <w:rPr>
          <w:rFonts w:hint="cs"/>
          <w:rtl/>
        </w:rPr>
        <w:t>ם:</w:t>
      </w:r>
    </w:p>
    <w:p w14:paraId="6A840919" w14:textId="6CFF0DA2" w:rsidR="001457D7" w:rsidRDefault="001457D7" w:rsidP="00306713">
      <w:pPr>
        <w:pStyle w:val="a3"/>
        <w:numPr>
          <w:ilvl w:val="1"/>
          <w:numId w:val="1"/>
        </w:numPr>
        <w:spacing w:before="120" w:after="240" w:line="240" w:lineRule="auto"/>
        <w:ind w:left="1134" w:hanging="567"/>
        <w:contextualSpacing w:val="0"/>
        <w:jc w:val="both"/>
      </w:pPr>
      <w:r>
        <w:rPr>
          <w:rFonts w:hint="cs"/>
          <w:rtl/>
        </w:rPr>
        <w:t xml:space="preserve">התורם לא העביר את התמורה כאמור בסעיף </w:t>
      </w:r>
      <w:r w:rsidR="00FD405D">
        <w:rPr>
          <w:rtl/>
        </w:rPr>
        <w:fldChar w:fldCharType="begin"/>
      </w:r>
      <w:r w:rsidR="00FD405D">
        <w:rPr>
          <w:rtl/>
        </w:rPr>
        <w:instrText xml:space="preserve"> </w:instrText>
      </w:r>
      <w:r w:rsidR="00FD405D">
        <w:rPr>
          <w:rFonts w:hint="cs"/>
        </w:rPr>
        <w:instrText>REF</w:instrText>
      </w:r>
      <w:r w:rsidR="00FD405D">
        <w:rPr>
          <w:rFonts w:hint="cs"/>
          <w:rtl/>
        </w:rPr>
        <w:instrText xml:space="preserve"> _</w:instrText>
      </w:r>
      <w:r w:rsidR="00FD405D">
        <w:rPr>
          <w:rFonts w:hint="cs"/>
        </w:rPr>
        <w:instrText>Ref143786012 \r \h</w:instrText>
      </w:r>
      <w:r w:rsidR="00FD405D">
        <w:rPr>
          <w:rtl/>
        </w:rPr>
        <w:instrText xml:space="preserve"> </w:instrText>
      </w:r>
      <w:r w:rsidR="00FD405D">
        <w:rPr>
          <w:rtl/>
        </w:rPr>
      </w:r>
      <w:r w:rsidR="00FD405D">
        <w:rPr>
          <w:rtl/>
        </w:rPr>
        <w:fldChar w:fldCharType="separate"/>
      </w:r>
      <w:r w:rsidR="009C788A">
        <w:rPr>
          <w:cs/>
        </w:rPr>
        <w:t>‎</w:t>
      </w:r>
      <w:r w:rsidR="009C788A">
        <w:t>2</w:t>
      </w:r>
      <w:r w:rsidR="00FD405D">
        <w:rPr>
          <w:rtl/>
        </w:rPr>
        <w:fldChar w:fldCharType="end"/>
      </w:r>
      <w:r>
        <w:rPr>
          <w:rFonts w:hint="cs"/>
          <w:rtl/>
        </w:rPr>
        <w:t xml:space="preserve"> לעיל וחלפו 30 ימים ממועד שהמכון פנה לתורם בכתב בנדון.</w:t>
      </w:r>
    </w:p>
    <w:p w14:paraId="665DF8E5" w14:textId="400AF57D" w:rsidR="004D4F1E" w:rsidRDefault="004D4F1E" w:rsidP="00306713">
      <w:pPr>
        <w:pStyle w:val="a3"/>
        <w:numPr>
          <w:ilvl w:val="1"/>
          <w:numId w:val="1"/>
        </w:numPr>
        <w:spacing w:before="120" w:after="240" w:line="240" w:lineRule="auto"/>
        <w:ind w:left="1134" w:hanging="567"/>
        <w:contextualSpacing w:val="0"/>
        <w:jc w:val="both"/>
      </w:pPr>
      <w:r>
        <w:rPr>
          <w:rFonts w:hint="cs"/>
          <w:rtl/>
        </w:rPr>
        <w:t>התורם היה</w:t>
      </w:r>
      <w:r w:rsidR="00AF1D3B">
        <w:rPr>
          <w:rFonts w:hint="cs"/>
          <w:rtl/>
        </w:rPr>
        <w:t xml:space="preserve"> או יהיה</w:t>
      </w:r>
      <w:r>
        <w:rPr>
          <w:rFonts w:hint="cs"/>
          <w:rtl/>
        </w:rPr>
        <w:t xml:space="preserve"> מעורב במעשה </w:t>
      </w:r>
      <w:r w:rsidR="00827DAB">
        <w:rPr>
          <w:rFonts w:hint="cs"/>
          <w:rtl/>
        </w:rPr>
        <w:t xml:space="preserve">חמור מבחינה פלילית או מוסרית אשר </w:t>
      </w:r>
      <w:r>
        <w:rPr>
          <w:rFonts w:hint="cs"/>
          <w:rtl/>
        </w:rPr>
        <w:t xml:space="preserve">עלול </w:t>
      </w:r>
      <w:r w:rsidR="001457D7" w:rsidRPr="001457D7">
        <w:rPr>
          <w:rtl/>
        </w:rPr>
        <w:t xml:space="preserve">לפגוע </w:t>
      </w:r>
      <w:r w:rsidR="00AF1D3B">
        <w:rPr>
          <w:rFonts w:hint="cs"/>
          <w:rtl/>
        </w:rPr>
        <w:t xml:space="preserve"> </w:t>
      </w:r>
      <w:r>
        <w:rPr>
          <w:rFonts w:hint="cs"/>
          <w:rtl/>
        </w:rPr>
        <w:t>ב</w:t>
      </w:r>
      <w:r w:rsidR="001457D7" w:rsidRPr="001457D7">
        <w:rPr>
          <w:rtl/>
        </w:rPr>
        <w:t>מוניטין</w:t>
      </w:r>
      <w:r>
        <w:rPr>
          <w:rFonts w:hint="cs"/>
          <w:rtl/>
        </w:rPr>
        <w:t xml:space="preserve"> של המכון.</w:t>
      </w:r>
    </w:p>
    <w:p w14:paraId="3E2249D9" w14:textId="77777777" w:rsidR="007865E1" w:rsidRPr="000A6D6E" w:rsidRDefault="007865E1" w:rsidP="00306713">
      <w:pPr>
        <w:pStyle w:val="a3"/>
        <w:numPr>
          <w:ilvl w:val="0"/>
          <w:numId w:val="1"/>
        </w:numPr>
        <w:spacing w:before="120" w:after="240" w:line="240" w:lineRule="auto"/>
        <w:contextualSpacing w:val="0"/>
        <w:jc w:val="both"/>
        <w:rPr>
          <w:b/>
          <w:bCs/>
        </w:rPr>
      </w:pPr>
      <w:bookmarkStart w:id="2" w:name="_Ref143786655"/>
      <w:r w:rsidRPr="000A6D6E">
        <w:rPr>
          <w:rFonts w:hint="cs"/>
          <w:b/>
          <w:bCs/>
          <w:rtl/>
        </w:rPr>
        <w:t>פתרון מחלוקות</w:t>
      </w:r>
      <w:bookmarkEnd w:id="2"/>
    </w:p>
    <w:p w14:paraId="4477EFCF" w14:textId="77777777" w:rsidR="007865E1" w:rsidRDefault="00FD405D" w:rsidP="00306713">
      <w:pPr>
        <w:pStyle w:val="a3"/>
        <w:numPr>
          <w:ilvl w:val="1"/>
          <w:numId w:val="1"/>
        </w:numPr>
        <w:spacing w:before="120" w:after="240" w:line="240" w:lineRule="auto"/>
        <w:ind w:left="1134" w:hanging="567"/>
        <w:contextualSpacing w:val="0"/>
        <w:jc w:val="both"/>
      </w:pPr>
      <w:r>
        <w:rPr>
          <w:rFonts w:hint="cs"/>
          <w:rtl/>
        </w:rPr>
        <w:t xml:space="preserve">הצדדים יעשו כל מאמץ לפתור </w:t>
      </w:r>
      <w:r w:rsidR="00295771" w:rsidRPr="00FD405D">
        <w:rPr>
          <w:rtl/>
        </w:rPr>
        <w:t>כל סכסוך שיתגלע בי</w:t>
      </w:r>
      <w:r>
        <w:rPr>
          <w:rFonts w:hint="cs"/>
          <w:rtl/>
        </w:rPr>
        <w:t xml:space="preserve">ניהם </w:t>
      </w:r>
      <w:r w:rsidR="00295771" w:rsidRPr="00FD405D">
        <w:rPr>
          <w:rtl/>
        </w:rPr>
        <w:t xml:space="preserve">בכל הקשור לקיומו של הסכם זה, תנאיו והוראותיו, </w:t>
      </w:r>
      <w:r>
        <w:rPr>
          <w:rFonts w:hint="cs"/>
          <w:rtl/>
        </w:rPr>
        <w:t>בדרך של גישור</w:t>
      </w:r>
      <w:r w:rsidR="007865E1" w:rsidRPr="007865E1">
        <w:rPr>
          <w:rtl/>
        </w:rPr>
        <w:t xml:space="preserve"> </w:t>
      </w:r>
      <w:r w:rsidR="007865E1">
        <w:rPr>
          <w:rFonts w:hint="cs"/>
          <w:rtl/>
        </w:rPr>
        <w:t>ו</w:t>
      </w:r>
      <w:r w:rsidR="007865E1" w:rsidRPr="007865E1">
        <w:rPr>
          <w:rtl/>
        </w:rPr>
        <w:t>זהות ה</w:t>
      </w:r>
      <w:r w:rsidR="007865E1">
        <w:rPr>
          <w:rFonts w:hint="cs"/>
          <w:rtl/>
        </w:rPr>
        <w:t xml:space="preserve">מגשר </w:t>
      </w:r>
      <w:r w:rsidR="007865E1" w:rsidRPr="007865E1">
        <w:rPr>
          <w:rtl/>
        </w:rPr>
        <w:t>תקבע בהסכמה על</w:t>
      </w:r>
      <w:r w:rsidR="007865E1">
        <w:rPr>
          <w:rFonts w:hint="cs"/>
          <w:rtl/>
        </w:rPr>
        <w:t xml:space="preserve"> </w:t>
      </w:r>
      <w:r w:rsidR="007865E1" w:rsidRPr="007865E1">
        <w:rPr>
          <w:rtl/>
        </w:rPr>
        <w:t>ידי הצדדים</w:t>
      </w:r>
      <w:r w:rsidR="007865E1">
        <w:rPr>
          <w:rFonts w:hint="cs"/>
          <w:rtl/>
        </w:rPr>
        <w:t>.</w:t>
      </w:r>
    </w:p>
    <w:p w14:paraId="4837BA35" w14:textId="12AA3A1D" w:rsidR="007865E1" w:rsidRDefault="00FD405D" w:rsidP="00306713">
      <w:pPr>
        <w:pStyle w:val="a3"/>
        <w:numPr>
          <w:ilvl w:val="1"/>
          <w:numId w:val="1"/>
        </w:numPr>
        <w:spacing w:before="120" w:after="240" w:line="240" w:lineRule="auto"/>
        <w:ind w:left="1134" w:hanging="567"/>
        <w:contextualSpacing w:val="0"/>
        <w:jc w:val="both"/>
      </w:pPr>
      <w:r>
        <w:rPr>
          <w:rFonts w:hint="cs"/>
          <w:rtl/>
        </w:rPr>
        <w:t>במידה ש</w:t>
      </w:r>
      <w:r w:rsidR="007865E1">
        <w:rPr>
          <w:rFonts w:hint="cs"/>
          <w:rtl/>
        </w:rPr>
        <w:t xml:space="preserve">הצדדים לא יסכימו על זהות המגשר בתוך 21 ימים ממועד </w:t>
      </w:r>
      <w:r w:rsidR="007865E1" w:rsidRPr="007865E1">
        <w:rPr>
          <w:rtl/>
        </w:rPr>
        <w:t xml:space="preserve">דרישת מי מהצדדים למינוי </w:t>
      </w:r>
      <w:r w:rsidR="007865E1">
        <w:rPr>
          <w:rFonts w:hint="cs"/>
          <w:rtl/>
        </w:rPr>
        <w:t>מגשר או במידה שה</w:t>
      </w:r>
      <w:r>
        <w:rPr>
          <w:rFonts w:hint="cs"/>
          <w:rtl/>
        </w:rPr>
        <w:t>גישור לא יצלח</w:t>
      </w:r>
      <w:r w:rsidR="007865E1">
        <w:rPr>
          <w:rFonts w:hint="cs"/>
          <w:rtl/>
        </w:rPr>
        <w:t>,</w:t>
      </w:r>
      <w:r>
        <w:rPr>
          <w:rFonts w:hint="cs"/>
          <w:rtl/>
        </w:rPr>
        <w:t xml:space="preserve"> </w:t>
      </w:r>
      <w:r w:rsidR="007865E1">
        <w:rPr>
          <w:rFonts w:hint="cs"/>
          <w:rtl/>
        </w:rPr>
        <w:t xml:space="preserve">תועבר המחלוקת לבוררות </w:t>
      </w:r>
      <w:r w:rsidR="007865E1" w:rsidRPr="007865E1">
        <w:rPr>
          <w:rtl/>
        </w:rPr>
        <w:t xml:space="preserve">בפני בורר יחיד (להלן: </w:t>
      </w:r>
      <w:r w:rsidR="007865E1" w:rsidRPr="007865E1">
        <w:rPr>
          <w:b/>
          <w:bCs/>
          <w:rtl/>
        </w:rPr>
        <w:t>הבורר</w:t>
      </w:r>
      <w:r w:rsidR="007865E1" w:rsidRPr="007865E1">
        <w:rPr>
          <w:rtl/>
        </w:rPr>
        <w:t>). זהות הבורר תקבע בהסכמה על</w:t>
      </w:r>
      <w:r w:rsidR="007865E1">
        <w:rPr>
          <w:rFonts w:hint="cs"/>
          <w:rtl/>
        </w:rPr>
        <w:t xml:space="preserve"> </w:t>
      </w:r>
      <w:r w:rsidR="007865E1" w:rsidRPr="007865E1">
        <w:rPr>
          <w:rtl/>
        </w:rPr>
        <w:t>ידי הצדדים</w:t>
      </w:r>
      <w:r w:rsidR="007865E1">
        <w:rPr>
          <w:rFonts w:hint="cs"/>
          <w:rtl/>
        </w:rPr>
        <w:t xml:space="preserve">. </w:t>
      </w:r>
      <w:r w:rsidR="007865E1" w:rsidRPr="007865E1">
        <w:rPr>
          <w:rtl/>
        </w:rPr>
        <w:t>בהיעדר הסכמה תוך ארבעה</w:t>
      </w:r>
      <w:r w:rsidR="007865E1">
        <w:rPr>
          <w:rFonts w:hint="cs"/>
          <w:rtl/>
        </w:rPr>
        <w:t xml:space="preserve"> </w:t>
      </w:r>
      <w:r w:rsidR="007865E1" w:rsidRPr="007865E1">
        <w:rPr>
          <w:rtl/>
        </w:rPr>
        <w:t>עשר (14) יום ממועד דרישת מי מהצדדים למינוי בורר, יפנו הצדדים ל</w:t>
      </w:r>
      <w:r w:rsidR="007865E1">
        <w:rPr>
          <w:rFonts w:hint="cs"/>
          <w:rtl/>
        </w:rPr>
        <w:t xml:space="preserve">ראש לשכת עורכי הדין </w:t>
      </w:r>
      <w:r w:rsidR="007865E1" w:rsidRPr="007865E1">
        <w:rPr>
          <w:rtl/>
        </w:rPr>
        <w:t>על</w:t>
      </w:r>
      <w:r w:rsidR="007865E1">
        <w:rPr>
          <w:rFonts w:hint="cs"/>
          <w:rtl/>
        </w:rPr>
        <w:t xml:space="preserve"> </w:t>
      </w:r>
      <w:r w:rsidR="007865E1" w:rsidRPr="007865E1">
        <w:rPr>
          <w:rtl/>
        </w:rPr>
        <w:t>מנת שי</w:t>
      </w:r>
      <w:r w:rsidR="008B697A">
        <w:rPr>
          <w:rFonts w:hint="cs"/>
          <w:rtl/>
        </w:rPr>
        <w:t xml:space="preserve">קבע את </w:t>
      </w:r>
      <w:r w:rsidR="007865E1" w:rsidRPr="007865E1">
        <w:rPr>
          <w:rtl/>
        </w:rPr>
        <w:t>זהות הבורר</w:t>
      </w:r>
      <w:r w:rsidR="007865E1">
        <w:rPr>
          <w:rFonts w:hint="cs"/>
          <w:rtl/>
        </w:rPr>
        <w:t>.</w:t>
      </w:r>
    </w:p>
    <w:p w14:paraId="1CEF4D36" w14:textId="77777777" w:rsidR="007865E1" w:rsidRPr="007865E1" w:rsidRDefault="007865E1" w:rsidP="00306713">
      <w:pPr>
        <w:pStyle w:val="a3"/>
        <w:numPr>
          <w:ilvl w:val="1"/>
          <w:numId w:val="1"/>
        </w:numPr>
        <w:tabs>
          <w:tab w:val="left" w:pos="566"/>
          <w:tab w:val="left" w:pos="1133"/>
          <w:tab w:val="left" w:pos="1700"/>
          <w:tab w:val="left" w:pos="1885"/>
          <w:tab w:val="left" w:pos="2267"/>
          <w:tab w:val="left" w:pos="2880"/>
          <w:tab w:val="left" w:pos="3600"/>
          <w:tab w:val="left" w:pos="4230"/>
          <w:tab w:val="left" w:pos="5040"/>
        </w:tabs>
        <w:spacing w:before="120" w:after="240" w:line="240" w:lineRule="auto"/>
        <w:ind w:left="1134" w:hanging="567"/>
        <w:contextualSpacing w:val="0"/>
        <w:jc w:val="both"/>
        <w:rPr>
          <w:sz w:val="24"/>
          <w:rtl/>
        </w:rPr>
      </w:pPr>
      <w:r w:rsidRPr="007865E1">
        <w:rPr>
          <w:sz w:val="24"/>
          <w:rtl/>
        </w:rPr>
        <w:t xml:space="preserve">הבורר יהיה רשאי ליתן צווי ביניים, צווי עשה וסעדים זמניים אחרים, והוא יהיה קשור וכפוף, לדין המהותי, אך לא לדיני הראיות ולא לסדרי הדין, ובלבד שיקיים סדרי דיון שיבטיחו את זכויות הצדדים להישמע. כן יהיה הבורר חייב לנהל </w:t>
      </w:r>
      <w:proofErr w:type="spellStart"/>
      <w:r w:rsidRPr="007865E1">
        <w:rPr>
          <w:sz w:val="24"/>
          <w:rtl/>
        </w:rPr>
        <w:t>פרטיכל</w:t>
      </w:r>
      <w:proofErr w:type="spellEnd"/>
      <w:r w:rsidRPr="007865E1">
        <w:rPr>
          <w:sz w:val="24"/>
          <w:rtl/>
        </w:rPr>
        <w:t xml:space="preserve"> ולנמק החלטותיו. </w:t>
      </w:r>
    </w:p>
    <w:p w14:paraId="2371CECF" w14:textId="77777777" w:rsidR="007865E1" w:rsidRPr="007865E1" w:rsidRDefault="007865E1" w:rsidP="00306713">
      <w:pPr>
        <w:pStyle w:val="a3"/>
        <w:numPr>
          <w:ilvl w:val="1"/>
          <w:numId w:val="1"/>
        </w:numPr>
        <w:tabs>
          <w:tab w:val="left" w:pos="566"/>
          <w:tab w:val="left" w:pos="1133"/>
          <w:tab w:val="left" w:pos="1700"/>
          <w:tab w:val="left" w:pos="1885"/>
          <w:tab w:val="left" w:pos="2267"/>
          <w:tab w:val="left" w:pos="2880"/>
          <w:tab w:val="left" w:pos="3600"/>
          <w:tab w:val="left" w:pos="4230"/>
          <w:tab w:val="left" w:pos="5040"/>
        </w:tabs>
        <w:spacing w:before="120" w:after="240" w:line="240" w:lineRule="auto"/>
        <w:ind w:left="1134" w:hanging="567"/>
        <w:contextualSpacing w:val="0"/>
        <w:jc w:val="both"/>
        <w:rPr>
          <w:sz w:val="24"/>
        </w:rPr>
      </w:pPr>
      <w:r>
        <w:rPr>
          <w:rFonts w:hint="cs"/>
          <w:sz w:val="24"/>
          <w:rtl/>
        </w:rPr>
        <w:t xml:space="preserve">סעיף </w:t>
      </w:r>
      <w:r>
        <w:rPr>
          <w:sz w:val="24"/>
          <w:rtl/>
        </w:rPr>
        <w:fldChar w:fldCharType="begin"/>
      </w:r>
      <w:r>
        <w:rPr>
          <w:sz w:val="24"/>
          <w:rtl/>
        </w:rPr>
        <w:instrText xml:space="preserve"> </w:instrText>
      </w:r>
      <w:r>
        <w:rPr>
          <w:rFonts w:hint="cs"/>
          <w:sz w:val="24"/>
        </w:rPr>
        <w:instrText>REF</w:instrText>
      </w:r>
      <w:r>
        <w:rPr>
          <w:rFonts w:hint="cs"/>
          <w:sz w:val="24"/>
          <w:rtl/>
        </w:rPr>
        <w:instrText xml:space="preserve"> _</w:instrText>
      </w:r>
      <w:r>
        <w:rPr>
          <w:rFonts w:hint="cs"/>
          <w:sz w:val="24"/>
        </w:rPr>
        <w:instrText>Ref143786655 \r \h</w:instrText>
      </w:r>
      <w:r>
        <w:rPr>
          <w:sz w:val="24"/>
          <w:rtl/>
        </w:rPr>
        <w:instrText xml:space="preserve"> </w:instrText>
      </w:r>
      <w:r>
        <w:rPr>
          <w:sz w:val="24"/>
          <w:rtl/>
        </w:rPr>
      </w:r>
      <w:r>
        <w:rPr>
          <w:sz w:val="24"/>
          <w:rtl/>
        </w:rPr>
        <w:fldChar w:fldCharType="separate"/>
      </w:r>
      <w:r>
        <w:rPr>
          <w:sz w:val="24"/>
          <w:cs/>
        </w:rPr>
        <w:t>‎</w:t>
      </w:r>
      <w:r>
        <w:rPr>
          <w:sz w:val="24"/>
        </w:rPr>
        <w:t>7</w:t>
      </w:r>
      <w:r>
        <w:rPr>
          <w:sz w:val="24"/>
          <w:rtl/>
        </w:rPr>
        <w:fldChar w:fldCharType="end"/>
      </w:r>
      <w:r>
        <w:rPr>
          <w:rFonts w:hint="cs"/>
          <w:sz w:val="24"/>
          <w:rtl/>
        </w:rPr>
        <w:t xml:space="preserve"> זה, </w:t>
      </w:r>
      <w:r w:rsidRPr="007865E1">
        <w:rPr>
          <w:sz w:val="24"/>
          <w:rtl/>
        </w:rPr>
        <w:t xml:space="preserve">דינו כדין הסכם בוררות בין הצדדים והוראות חוק הבוררות, התשכ"ח-1968 (להלן: </w:t>
      </w:r>
      <w:r w:rsidRPr="007865E1">
        <w:rPr>
          <w:b/>
          <w:bCs/>
          <w:sz w:val="24"/>
          <w:rtl/>
        </w:rPr>
        <w:t>חוק הבוררות</w:t>
      </w:r>
      <w:r w:rsidRPr="007865E1">
        <w:rPr>
          <w:sz w:val="24"/>
          <w:rtl/>
        </w:rPr>
        <w:t>) תחולנה על הבוררות נשוא הסכם זה וכן על הבורר. למען הסר ספק, הוראות התוספת הראשונה לחוק הבוררות תחולנה על הסכם זה.</w:t>
      </w:r>
    </w:p>
    <w:p w14:paraId="6017ABE5" w14:textId="77777777" w:rsidR="007865E1" w:rsidRPr="007865E1" w:rsidRDefault="007865E1" w:rsidP="00306713">
      <w:pPr>
        <w:pStyle w:val="a3"/>
        <w:numPr>
          <w:ilvl w:val="1"/>
          <w:numId w:val="1"/>
        </w:numPr>
        <w:tabs>
          <w:tab w:val="left" w:pos="566"/>
          <w:tab w:val="left" w:pos="1133"/>
          <w:tab w:val="left" w:pos="1700"/>
          <w:tab w:val="left" w:pos="1885"/>
          <w:tab w:val="left" w:pos="2267"/>
          <w:tab w:val="left" w:pos="2880"/>
          <w:tab w:val="left" w:pos="3600"/>
          <w:tab w:val="left" w:pos="4230"/>
          <w:tab w:val="left" w:pos="5040"/>
        </w:tabs>
        <w:spacing w:before="120" w:after="240" w:line="240" w:lineRule="auto"/>
        <w:ind w:left="1134" w:hanging="567"/>
        <w:contextualSpacing w:val="0"/>
        <w:jc w:val="both"/>
        <w:rPr>
          <w:sz w:val="24"/>
          <w:rtl/>
        </w:rPr>
      </w:pPr>
      <w:r w:rsidRPr="007865E1">
        <w:rPr>
          <w:sz w:val="24"/>
          <w:rtl/>
        </w:rPr>
        <w:t xml:space="preserve">במסגרת פסק הבוררות, יקבע הבורר את חלוקת הוצאות ההליך בין הצדדים (לרבות שכר הבורר). </w:t>
      </w:r>
    </w:p>
    <w:p w14:paraId="072A6216" w14:textId="77777777" w:rsidR="007865E1" w:rsidRPr="007865E1" w:rsidRDefault="007865E1" w:rsidP="00306713">
      <w:pPr>
        <w:pStyle w:val="a3"/>
        <w:numPr>
          <w:ilvl w:val="1"/>
          <w:numId w:val="1"/>
        </w:numPr>
        <w:tabs>
          <w:tab w:val="left" w:pos="566"/>
          <w:tab w:val="left" w:pos="1133"/>
          <w:tab w:val="left" w:pos="1700"/>
          <w:tab w:val="left" w:pos="1885"/>
          <w:tab w:val="left" w:pos="2267"/>
          <w:tab w:val="left" w:pos="2880"/>
          <w:tab w:val="left" w:pos="3600"/>
          <w:tab w:val="left" w:pos="4230"/>
          <w:tab w:val="left" w:pos="5040"/>
        </w:tabs>
        <w:spacing w:before="120" w:after="240" w:line="240" w:lineRule="auto"/>
        <w:ind w:left="1134" w:hanging="567"/>
        <w:contextualSpacing w:val="0"/>
        <w:jc w:val="both"/>
        <w:rPr>
          <w:sz w:val="24"/>
        </w:rPr>
      </w:pPr>
      <w:r w:rsidRPr="007865E1">
        <w:rPr>
          <w:sz w:val="24"/>
          <w:rtl/>
        </w:rPr>
        <w:tab/>
        <w:t>פסק הבורר יהיה סופי ולא ניתן יהיה לערער עליו.</w:t>
      </w:r>
    </w:p>
    <w:p w14:paraId="58F35C0F" w14:textId="5A11F0D6" w:rsidR="00295771" w:rsidRPr="00FD405D" w:rsidRDefault="00295771" w:rsidP="00306713">
      <w:pPr>
        <w:pStyle w:val="a3"/>
        <w:numPr>
          <w:ilvl w:val="0"/>
          <w:numId w:val="1"/>
        </w:numPr>
        <w:spacing w:before="120" w:after="240" w:line="240" w:lineRule="auto"/>
        <w:contextualSpacing w:val="0"/>
        <w:jc w:val="both"/>
      </w:pPr>
      <w:r w:rsidRPr="00FD405D">
        <w:rPr>
          <w:rFonts w:hint="eastAsia"/>
          <w:rtl/>
        </w:rPr>
        <w:t>ויתור</w:t>
      </w:r>
      <w:r w:rsidR="009C788A">
        <w:rPr>
          <w:rFonts w:hint="cs"/>
          <w:rtl/>
        </w:rPr>
        <w:t xml:space="preserve"> או </w:t>
      </w:r>
      <w:r w:rsidRPr="00FD405D">
        <w:rPr>
          <w:rFonts w:hint="eastAsia"/>
          <w:rtl/>
        </w:rPr>
        <w:t>ארכה</w:t>
      </w:r>
      <w:r w:rsidR="009C788A">
        <w:rPr>
          <w:rFonts w:hint="cs"/>
          <w:rtl/>
        </w:rPr>
        <w:t xml:space="preserve"> </w:t>
      </w:r>
      <w:r w:rsidRPr="00FD405D">
        <w:rPr>
          <w:rFonts w:hint="eastAsia"/>
          <w:rtl/>
        </w:rPr>
        <w:t>מטעם</w:t>
      </w:r>
      <w:r w:rsidRPr="00FD405D">
        <w:rPr>
          <w:rtl/>
        </w:rPr>
        <w:t xml:space="preserve"> </w:t>
      </w:r>
      <w:r w:rsidRPr="00FD405D">
        <w:rPr>
          <w:rFonts w:hint="eastAsia"/>
          <w:rtl/>
        </w:rPr>
        <w:t>אחד</w:t>
      </w:r>
      <w:r w:rsidRPr="00FD405D">
        <w:rPr>
          <w:rtl/>
        </w:rPr>
        <w:t xml:space="preserve"> </w:t>
      </w:r>
      <w:r w:rsidRPr="00FD405D">
        <w:rPr>
          <w:rFonts w:hint="eastAsia"/>
          <w:rtl/>
        </w:rPr>
        <w:t>הצדדים</w:t>
      </w:r>
      <w:r w:rsidRPr="00FD405D">
        <w:rPr>
          <w:rtl/>
        </w:rPr>
        <w:t xml:space="preserve"> </w:t>
      </w:r>
      <w:r w:rsidRPr="00FD405D">
        <w:rPr>
          <w:rFonts w:hint="eastAsia"/>
          <w:rtl/>
        </w:rPr>
        <w:t>יהא</w:t>
      </w:r>
      <w:r w:rsidRPr="00FD405D">
        <w:rPr>
          <w:rtl/>
        </w:rPr>
        <w:t xml:space="preserve"> </w:t>
      </w:r>
      <w:r w:rsidRPr="00FD405D">
        <w:rPr>
          <w:rFonts w:hint="eastAsia"/>
          <w:rtl/>
        </w:rPr>
        <w:t>חסר</w:t>
      </w:r>
      <w:r w:rsidRPr="00FD405D">
        <w:rPr>
          <w:rtl/>
        </w:rPr>
        <w:t xml:space="preserve"> </w:t>
      </w:r>
      <w:r w:rsidRPr="00FD405D">
        <w:rPr>
          <w:rFonts w:hint="eastAsia"/>
          <w:rtl/>
        </w:rPr>
        <w:t>תוקף</w:t>
      </w:r>
      <w:r w:rsidRPr="00FD405D">
        <w:rPr>
          <w:rtl/>
        </w:rPr>
        <w:t xml:space="preserve">, </w:t>
      </w:r>
      <w:r w:rsidRPr="00FD405D">
        <w:rPr>
          <w:rFonts w:hint="eastAsia"/>
          <w:rtl/>
        </w:rPr>
        <w:t>אם</w:t>
      </w:r>
      <w:r w:rsidRPr="00FD405D">
        <w:rPr>
          <w:rtl/>
        </w:rPr>
        <w:t xml:space="preserve"> </w:t>
      </w:r>
      <w:r w:rsidR="009C788A">
        <w:rPr>
          <w:rFonts w:hint="cs"/>
          <w:rtl/>
        </w:rPr>
        <w:t xml:space="preserve">לא </w:t>
      </w:r>
      <w:r w:rsidRPr="00FD405D">
        <w:rPr>
          <w:rFonts w:hint="eastAsia"/>
          <w:rtl/>
        </w:rPr>
        <w:t>נעשה</w:t>
      </w:r>
      <w:r w:rsidRPr="00FD405D">
        <w:rPr>
          <w:rtl/>
        </w:rPr>
        <w:t xml:space="preserve"> </w:t>
      </w:r>
      <w:r w:rsidRPr="00FD405D">
        <w:rPr>
          <w:rFonts w:hint="eastAsia"/>
          <w:rtl/>
        </w:rPr>
        <w:t>בכתב</w:t>
      </w:r>
      <w:r w:rsidRPr="00FD405D">
        <w:rPr>
          <w:rtl/>
        </w:rPr>
        <w:t xml:space="preserve"> </w:t>
      </w:r>
      <w:r w:rsidRPr="00FD405D">
        <w:rPr>
          <w:rFonts w:hint="eastAsia"/>
          <w:rtl/>
        </w:rPr>
        <w:t>ונחתם</w:t>
      </w:r>
      <w:r w:rsidRPr="00FD405D">
        <w:rPr>
          <w:rtl/>
        </w:rPr>
        <w:t xml:space="preserve"> </w:t>
      </w:r>
      <w:r w:rsidRPr="00FD405D">
        <w:rPr>
          <w:rFonts w:hint="eastAsia"/>
          <w:rtl/>
        </w:rPr>
        <w:t>על</w:t>
      </w:r>
      <w:r w:rsidRPr="00FD405D">
        <w:rPr>
          <w:rtl/>
        </w:rPr>
        <w:t xml:space="preserve"> </w:t>
      </w:r>
      <w:r w:rsidRPr="00FD405D">
        <w:rPr>
          <w:rFonts w:hint="eastAsia"/>
          <w:rtl/>
        </w:rPr>
        <w:t>ידי</w:t>
      </w:r>
      <w:r w:rsidRPr="00FD405D">
        <w:rPr>
          <w:rtl/>
        </w:rPr>
        <w:t xml:space="preserve"> </w:t>
      </w:r>
      <w:r w:rsidRPr="00FD405D">
        <w:rPr>
          <w:rFonts w:hint="eastAsia"/>
          <w:rtl/>
        </w:rPr>
        <w:t>אותו</w:t>
      </w:r>
      <w:r w:rsidRPr="00FD405D">
        <w:rPr>
          <w:rtl/>
        </w:rPr>
        <w:t xml:space="preserve"> </w:t>
      </w:r>
      <w:r w:rsidRPr="00FD405D">
        <w:rPr>
          <w:rFonts w:hint="eastAsia"/>
          <w:rtl/>
        </w:rPr>
        <w:t>צד</w:t>
      </w:r>
      <w:r w:rsidRPr="00FD405D">
        <w:rPr>
          <w:rtl/>
        </w:rPr>
        <w:t>.</w:t>
      </w:r>
    </w:p>
    <w:p w14:paraId="0B1F7ED9" w14:textId="5EE634F0" w:rsidR="007865E1" w:rsidRDefault="00295771" w:rsidP="00306713">
      <w:pPr>
        <w:pStyle w:val="a3"/>
        <w:numPr>
          <w:ilvl w:val="0"/>
          <w:numId w:val="1"/>
        </w:numPr>
        <w:spacing w:before="120" w:after="240" w:line="240" w:lineRule="auto"/>
        <w:contextualSpacing w:val="0"/>
        <w:jc w:val="both"/>
      </w:pPr>
      <w:r w:rsidRPr="00FD405D">
        <w:rPr>
          <w:rFonts w:hint="eastAsia"/>
          <w:rtl/>
        </w:rPr>
        <w:t>הוראות</w:t>
      </w:r>
      <w:r w:rsidRPr="00FD405D">
        <w:rPr>
          <w:rtl/>
        </w:rPr>
        <w:t xml:space="preserve"> הסכם זה מהוות </w:t>
      </w:r>
      <w:r w:rsidRPr="00FD405D">
        <w:rPr>
          <w:rFonts w:hint="cs"/>
          <w:rtl/>
        </w:rPr>
        <w:t xml:space="preserve">את </w:t>
      </w:r>
      <w:r w:rsidRPr="00FD405D">
        <w:rPr>
          <w:rFonts w:hint="eastAsia"/>
          <w:rtl/>
        </w:rPr>
        <w:t>מכלול</w:t>
      </w:r>
      <w:r w:rsidRPr="00FD405D">
        <w:rPr>
          <w:rtl/>
        </w:rPr>
        <w:t xml:space="preserve"> </w:t>
      </w:r>
      <w:r w:rsidRPr="00FD405D">
        <w:rPr>
          <w:rFonts w:hint="eastAsia"/>
          <w:rtl/>
        </w:rPr>
        <w:t>ההסכמות</w:t>
      </w:r>
      <w:r w:rsidRPr="00FD405D">
        <w:rPr>
          <w:rtl/>
        </w:rPr>
        <w:t xml:space="preserve"> </w:t>
      </w:r>
      <w:r w:rsidRPr="00FD405D">
        <w:rPr>
          <w:rFonts w:hint="eastAsia"/>
          <w:rtl/>
        </w:rPr>
        <w:t>בין</w:t>
      </w:r>
      <w:r w:rsidRPr="00FD405D">
        <w:rPr>
          <w:rtl/>
        </w:rPr>
        <w:t xml:space="preserve"> </w:t>
      </w:r>
      <w:r w:rsidRPr="00FD405D">
        <w:rPr>
          <w:rFonts w:hint="eastAsia"/>
          <w:rtl/>
        </w:rPr>
        <w:t>הצדדים</w:t>
      </w:r>
      <w:r w:rsidRPr="00FD405D">
        <w:rPr>
          <w:rtl/>
        </w:rPr>
        <w:t xml:space="preserve"> </w:t>
      </w:r>
      <w:r w:rsidRPr="00FD405D">
        <w:rPr>
          <w:rFonts w:hint="eastAsia"/>
          <w:rtl/>
        </w:rPr>
        <w:t>ומבטלות</w:t>
      </w:r>
      <w:r w:rsidRPr="00FD405D">
        <w:rPr>
          <w:rtl/>
        </w:rPr>
        <w:t xml:space="preserve"> </w:t>
      </w:r>
      <w:r w:rsidRPr="00FD405D">
        <w:rPr>
          <w:rFonts w:hint="eastAsia"/>
          <w:rtl/>
        </w:rPr>
        <w:t>כל</w:t>
      </w:r>
      <w:r w:rsidRPr="00FD405D">
        <w:rPr>
          <w:rtl/>
        </w:rPr>
        <w:t xml:space="preserve"> </w:t>
      </w:r>
      <w:r w:rsidRPr="00FD405D">
        <w:rPr>
          <w:rFonts w:hint="eastAsia"/>
          <w:rtl/>
        </w:rPr>
        <w:t>הסכמה</w:t>
      </w:r>
      <w:r w:rsidRPr="00FD405D">
        <w:rPr>
          <w:rtl/>
        </w:rPr>
        <w:t xml:space="preserve"> </w:t>
      </w:r>
      <w:r w:rsidRPr="00FD405D">
        <w:rPr>
          <w:rFonts w:hint="eastAsia"/>
          <w:rtl/>
        </w:rPr>
        <w:t>קודמת</w:t>
      </w:r>
      <w:r w:rsidRPr="00FD405D">
        <w:rPr>
          <w:rtl/>
        </w:rPr>
        <w:t xml:space="preserve"> </w:t>
      </w:r>
      <w:r w:rsidR="009C788A">
        <w:rPr>
          <w:rFonts w:hint="cs"/>
          <w:rtl/>
        </w:rPr>
        <w:t>ביניהם</w:t>
      </w:r>
      <w:r w:rsidR="007865E1">
        <w:rPr>
          <w:rFonts w:hint="cs"/>
          <w:rtl/>
        </w:rPr>
        <w:t>.</w:t>
      </w:r>
    </w:p>
    <w:p w14:paraId="5252128A" w14:textId="77777777" w:rsidR="00295771" w:rsidRPr="00FD405D" w:rsidRDefault="00295771" w:rsidP="00306713">
      <w:pPr>
        <w:pStyle w:val="a3"/>
        <w:numPr>
          <w:ilvl w:val="0"/>
          <w:numId w:val="1"/>
        </w:numPr>
        <w:spacing w:before="120" w:after="240" w:line="240" w:lineRule="auto"/>
        <w:contextualSpacing w:val="0"/>
        <w:jc w:val="both"/>
      </w:pPr>
      <w:r w:rsidRPr="00FD405D">
        <w:rPr>
          <w:rFonts w:hint="eastAsia"/>
          <w:rtl/>
        </w:rPr>
        <w:t>שינוי</w:t>
      </w:r>
      <w:r w:rsidRPr="00FD405D">
        <w:rPr>
          <w:rtl/>
        </w:rPr>
        <w:t xml:space="preserve"> </w:t>
      </w:r>
      <w:r w:rsidRPr="00FD405D">
        <w:rPr>
          <w:rFonts w:hint="eastAsia"/>
          <w:rtl/>
        </w:rPr>
        <w:t>הוראה</w:t>
      </w:r>
      <w:r w:rsidRPr="00FD405D">
        <w:rPr>
          <w:rtl/>
        </w:rPr>
        <w:t xml:space="preserve"> </w:t>
      </w:r>
      <w:r w:rsidRPr="00FD405D">
        <w:rPr>
          <w:rFonts w:hint="eastAsia"/>
          <w:rtl/>
        </w:rPr>
        <w:t>מהוראות</w:t>
      </w:r>
      <w:r w:rsidRPr="00FD405D">
        <w:rPr>
          <w:rtl/>
        </w:rPr>
        <w:t xml:space="preserve"> </w:t>
      </w:r>
      <w:r w:rsidRPr="00FD405D">
        <w:rPr>
          <w:rFonts w:hint="eastAsia"/>
          <w:rtl/>
        </w:rPr>
        <w:t>הסכם</w:t>
      </w:r>
      <w:r w:rsidRPr="00FD405D">
        <w:rPr>
          <w:rtl/>
        </w:rPr>
        <w:t xml:space="preserve"> </w:t>
      </w:r>
      <w:r w:rsidRPr="00FD405D">
        <w:rPr>
          <w:rFonts w:hint="eastAsia"/>
          <w:rtl/>
        </w:rPr>
        <w:t>זה</w:t>
      </w:r>
      <w:r w:rsidRPr="00FD405D">
        <w:rPr>
          <w:rtl/>
        </w:rPr>
        <w:t xml:space="preserve"> </w:t>
      </w:r>
      <w:r w:rsidRPr="00FD405D">
        <w:rPr>
          <w:rFonts w:hint="eastAsia"/>
          <w:rtl/>
        </w:rPr>
        <w:t>יהיה</w:t>
      </w:r>
      <w:r w:rsidRPr="00FD405D">
        <w:rPr>
          <w:rtl/>
        </w:rPr>
        <w:t xml:space="preserve"> </w:t>
      </w:r>
      <w:r w:rsidRPr="00FD405D">
        <w:rPr>
          <w:rFonts w:hint="eastAsia"/>
          <w:rtl/>
        </w:rPr>
        <w:t>חסר</w:t>
      </w:r>
      <w:r w:rsidRPr="00FD405D">
        <w:rPr>
          <w:rtl/>
        </w:rPr>
        <w:t xml:space="preserve"> </w:t>
      </w:r>
      <w:r w:rsidRPr="00FD405D">
        <w:rPr>
          <w:rFonts w:hint="eastAsia"/>
          <w:rtl/>
        </w:rPr>
        <w:t>תוקף</w:t>
      </w:r>
      <w:r w:rsidRPr="00FD405D">
        <w:rPr>
          <w:rtl/>
        </w:rPr>
        <w:t xml:space="preserve">, </w:t>
      </w:r>
      <w:r w:rsidRPr="00FD405D">
        <w:rPr>
          <w:rFonts w:hint="eastAsia"/>
          <w:rtl/>
        </w:rPr>
        <w:t>אלא</w:t>
      </w:r>
      <w:r w:rsidRPr="00FD405D">
        <w:rPr>
          <w:rtl/>
        </w:rPr>
        <w:t xml:space="preserve"> </w:t>
      </w:r>
      <w:r w:rsidRPr="00FD405D">
        <w:rPr>
          <w:rFonts w:hint="eastAsia"/>
          <w:rtl/>
        </w:rPr>
        <w:t>אם</w:t>
      </w:r>
      <w:r w:rsidRPr="00FD405D">
        <w:rPr>
          <w:rtl/>
        </w:rPr>
        <w:t xml:space="preserve"> </w:t>
      </w:r>
      <w:r w:rsidRPr="00FD405D">
        <w:rPr>
          <w:rFonts w:hint="eastAsia"/>
          <w:rtl/>
        </w:rPr>
        <w:t>נעשה</w:t>
      </w:r>
      <w:r w:rsidRPr="00FD405D">
        <w:rPr>
          <w:rtl/>
        </w:rPr>
        <w:t xml:space="preserve"> </w:t>
      </w:r>
      <w:r w:rsidRPr="00FD405D">
        <w:rPr>
          <w:rFonts w:hint="eastAsia"/>
          <w:rtl/>
        </w:rPr>
        <w:t>בכתב</w:t>
      </w:r>
      <w:r w:rsidRPr="00FD405D">
        <w:rPr>
          <w:rtl/>
        </w:rPr>
        <w:t xml:space="preserve"> </w:t>
      </w:r>
      <w:r w:rsidRPr="00FD405D">
        <w:rPr>
          <w:rFonts w:hint="eastAsia"/>
          <w:rtl/>
        </w:rPr>
        <w:t>ונחתם</w:t>
      </w:r>
      <w:r w:rsidRPr="00FD405D">
        <w:rPr>
          <w:rtl/>
        </w:rPr>
        <w:t xml:space="preserve"> </w:t>
      </w:r>
      <w:r w:rsidRPr="00FD405D">
        <w:rPr>
          <w:rFonts w:hint="eastAsia"/>
          <w:rtl/>
        </w:rPr>
        <w:t>על</w:t>
      </w:r>
      <w:r w:rsidRPr="00FD405D">
        <w:rPr>
          <w:rtl/>
        </w:rPr>
        <w:t xml:space="preserve"> </w:t>
      </w:r>
      <w:r w:rsidRPr="00FD405D">
        <w:rPr>
          <w:rFonts w:hint="eastAsia"/>
          <w:rtl/>
        </w:rPr>
        <w:t>ידי</w:t>
      </w:r>
      <w:r w:rsidRPr="00FD405D">
        <w:rPr>
          <w:rtl/>
        </w:rPr>
        <w:t xml:space="preserve"> </w:t>
      </w:r>
      <w:r w:rsidRPr="00FD405D">
        <w:rPr>
          <w:rFonts w:hint="eastAsia"/>
          <w:rtl/>
        </w:rPr>
        <w:t>שני</w:t>
      </w:r>
      <w:r w:rsidRPr="00FD405D">
        <w:rPr>
          <w:rtl/>
        </w:rPr>
        <w:t xml:space="preserve"> </w:t>
      </w:r>
      <w:r w:rsidRPr="00FD405D">
        <w:rPr>
          <w:rFonts w:hint="eastAsia"/>
          <w:rtl/>
        </w:rPr>
        <w:t>הצדדים</w:t>
      </w:r>
      <w:r w:rsidRPr="00FD405D">
        <w:rPr>
          <w:rtl/>
        </w:rPr>
        <w:t>.</w:t>
      </w:r>
    </w:p>
    <w:p w14:paraId="319E0B74" w14:textId="2041E83C" w:rsidR="00295771" w:rsidRPr="00FD405D" w:rsidRDefault="00295771" w:rsidP="0006721E">
      <w:pPr>
        <w:pStyle w:val="a3"/>
        <w:spacing w:before="120" w:after="240" w:line="240" w:lineRule="auto"/>
        <w:ind w:left="360"/>
        <w:contextualSpacing w:val="0"/>
        <w:jc w:val="both"/>
      </w:pPr>
      <w:r w:rsidRPr="00FD405D">
        <w:rPr>
          <w:rtl/>
        </w:rPr>
        <w:t xml:space="preserve"> </w:t>
      </w:r>
    </w:p>
    <w:p w14:paraId="172A3A62" w14:textId="77777777" w:rsidR="00295771" w:rsidRDefault="00295771" w:rsidP="000A6D6E">
      <w:pPr>
        <w:pStyle w:val="a3"/>
        <w:spacing w:before="120" w:line="240" w:lineRule="auto"/>
        <w:ind w:left="360"/>
        <w:contextualSpacing w:val="0"/>
        <w:jc w:val="both"/>
        <w:rPr>
          <w:rtl/>
        </w:rPr>
      </w:pPr>
    </w:p>
    <w:p w14:paraId="4A0E81E4" w14:textId="77777777" w:rsidR="00827DAB" w:rsidRPr="00E633ED" w:rsidRDefault="00827DAB" w:rsidP="000A6D6E">
      <w:pPr>
        <w:pStyle w:val="a3"/>
        <w:spacing w:before="120" w:line="240" w:lineRule="auto"/>
        <w:ind w:left="357"/>
        <w:contextualSpacing w:val="0"/>
        <w:jc w:val="center"/>
        <w:rPr>
          <w:b/>
          <w:bCs/>
          <w:rtl/>
        </w:rPr>
      </w:pPr>
      <w:r w:rsidRPr="00E633ED">
        <w:rPr>
          <w:rFonts w:hint="cs"/>
          <w:b/>
          <w:bCs/>
          <w:rtl/>
        </w:rPr>
        <w:t>ולראיה באו הצדדים על החתום</w:t>
      </w:r>
    </w:p>
    <w:tbl>
      <w:tblPr>
        <w:tblStyle w:val="a4"/>
        <w:bidiVisual/>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gridCol w:w="4175"/>
      </w:tblGrid>
      <w:tr w:rsidR="00E633ED" w14:paraId="3762B7AA" w14:textId="77777777" w:rsidTr="00E633ED">
        <w:tc>
          <w:tcPr>
            <w:tcW w:w="4315" w:type="dxa"/>
          </w:tcPr>
          <w:p w14:paraId="2999DBD3" w14:textId="77777777" w:rsidR="004716F4" w:rsidRPr="00E633ED" w:rsidRDefault="00E633ED" w:rsidP="000A6D6E">
            <w:pPr>
              <w:pStyle w:val="a3"/>
              <w:spacing w:before="120" w:line="240" w:lineRule="auto"/>
              <w:ind w:left="0"/>
              <w:contextualSpacing w:val="0"/>
              <w:jc w:val="center"/>
              <w:rPr>
                <w:b/>
                <w:bCs/>
                <w:rtl/>
              </w:rPr>
            </w:pPr>
            <w:r>
              <w:rPr>
                <w:rFonts w:hint="cs"/>
                <w:b/>
                <w:bCs/>
                <w:rtl/>
              </w:rPr>
              <w:t>___________________</w:t>
            </w:r>
          </w:p>
        </w:tc>
        <w:tc>
          <w:tcPr>
            <w:tcW w:w="4315" w:type="dxa"/>
          </w:tcPr>
          <w:p w14:paraId="0E92F8E2" w14:textId="77777777" w:rsidR="004716F4" w:rsidRPr="00E633ED" w:rsidRDefault="00E633ED" w:rsidP="000A6D6E">
            <w:pPr>
              <w:pStyle w:val="a3"/>
              <w:spacing w:before="120" w:line="240" w:lineRule="auto"/>
              <w:ind w:left="0"/>
              <w:contextualSpacing w:val="0"/>
              <w:jc w:val="center"/>
              <w:rPr>
                <w:b/>
                <w:bCs/>
                <w:rtl/>
              </w:rPr>
            </w:pPr>
            <w:r>
              <w:rPr>
                <w:rFonts w:hint="cs"/>
                <w:b/>
                <w:bCs/>
                <w:rtl/>
              </w:rPr>
              <w:t>________________________</w:t>
            </w:r>
          </w:p>
        </w:tc>
      </w:tr>
      <w:tr w:rsidR="00E633ED" w14:paraId="209D119D" w14:textId="77777777" w:rsidTr="00E633ED">
        <w:tc>
          <w:tcPr>
            <w:tcW w:w="4315" w:type="dxa"/>
          </w:tcPr>
          <w:p w14:paraId="612CCC1F" w14:textId="77777777" w:rsidR="004716F4" w:rsidRPr="00E633ED" w:rsidRDefault="00E633ED" w:rsidP="000A6D6E">
            <w:pPr>
              <w:pStyle w:val="a3"/>
              <w:spacing w:before="120" w:line="240" w:lineRule="auto"/>
              <w:ind w:left="0"/>
              <w:contextualSpacing w:val="0"/>
              <w:jc w:val="center"/>
              <w:rPr>
                <w:b/>
                <w:bCs/>
                <w:rtl/>
              </w:rPr>
            </w:pPr>
            <w:r>
              <w:rPr>
                <w:rFonts w:hint="cs"/>
                <w:b/>
                <w:bCs/>
                <w:rtl/>
              </w:rPr>
              <w:t xml:space="preserve">[שם </w:t>
            </w:r>
            <w:r w:rsidR="004716F4" w:rsidRPr="00E633ED">
              <w:rPr>
                <w:rFonts w:hint="cs"/>
                <w:b/>
                <w:bCs/>
                <w:rtl/>
              </w:rPr>
              <w:t>התורם</w:t>
            </w:r>
            <w:r>
              <w:rPr>
                <w:rFonts w:hint="cs"/>
                <w:b/>
                <w:bCs/>
                <w:rtl/>
              </w:rPr>
              <w:t>}</w:t>
            </w:r>
          </w:p>
        </w:tc>
        <w:tc>
          <w:tcPr>
            <w:tcW w:w="4315" w:type="dxa"/>
          </w:tcPr>
          <w:p w14:paraId="0E9FB986" w14:textId="77777777" w:rsidR="004716F4" w:rsidRPr="00E633ED" w:rsidRDefault="004716F4" w:rsidP="000A6D6E">
            <w:pPr>
              <w:pStyle w:val="a3"/>
              <w:spacing w:before="120" w:line="240" w:lineRule="auto"/>
              <w:ind w:left="0"/>
              <w:contextualSpacing w:val="0"/>
              <w:jc w:val="center"/>
              <w:rPr>
                <w:b/>
                <w:bCs/>
                <w:rtl/>
              </w:rPr>
            </w:pPr>
            <w:r w:rsidRPr="00E633ED">
              <w:rPr>
                <w:rFonts w:hint="cs"/>
                <w:b/>
                <w:bCs/>
                <w:rtl/>
              </w:rPr>
              <w:t>מכון טכנולוגי חולון (</w:t>
            </w:r>
            <w:proofErr w:type="spellStart"/>
            <w:r w:rsidRPr="00E633ED">
              <w:rPr>
                <w:rFonts w:hint="cs"/>
                <w:b/>
                <w:bCs/>
                <w:rtl/>
              </w:rPr>
              <w:t>ע"ר</w:t>
            </w:r>
            <w:proofErr w:type="spellEnd"/>
            <w:r w:rsidRPr="00E633ED">
              <w:rPr>
                <w:rFonts w:hint="cs"/>
                <w:b/>
                <w:bCs/>
                <w:rtl/>
              </w:rPr>
              <w:t>)</w:t>
            </w:r>
          </w:p>
        </w:tc>
      </w:tr>
    </w:tbl>
    <w:p w14:paraId="44B975E6" w14:textId="2A8A9925" w:rsidR="00827DAB" w:rsidRDefault="000A6D6E" w:rsidP="000A6D6E">
      <w:pPr>
        <w:pStyle w:val="a3"/>
        <w:spacing w:before="120" w:line="240" w:lineRule="auto"/>
        <w:ind w:left="360"/>
        <w:contextualSpacing w:val="0"/>
        <w:jc w:val="both"/>
      </w:pPr>
      <w:r>
        <w:rPr>
          <w:rtl/>
        </w:rPr>
        <w:t xml:space="preserve"> </w:t>
      </w:r>
      <w:r w:rsidR="0006721E">
        <w:rPr>
          <w:rtl/>
        </w:rPr>
        <w:t xml:space="preserve"> </w:t>
      </w:r>
    </w:p>
    <w:sectPr w:rsidR="00827DAB">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6FD92" w14:textId="77777777" w:rsidR="006C4EF1" w:rsidRDefault="006C4EF1" w:rsidP="00AE6000">
      <w:pPr>
        <w:spacing w:after="0" w:line="240" w:lineRule="auto"/>
      </w:pPr>
      <w:r>
        <w:separator/>
      </w:r>
    </w:p>
  </w:endnote>
  <w:endnote w:type="continuationSeparator" w:id="0">
    <w:p w14:paraId="237C1B84" w14:textId="77777777" w:rsidR="006C4EF1" w:rsidRDefault="006C4EF1" w:rsidP="00AE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01050036"/>
      <w:docPartObj>
        <w:docPartGallery w:val="Page Numbers (Bottom of Page)"/>
        <w:docPartUnique/>
      </w:docPartObj>
    </w:sdtPr>
    <w:sdtEndPr/>
    <w:sdtContent>
      <w:p w14:paraId="7D76E5C9" w14:textId="77777777" w:rsidR="00AE6000" w:rsidRDefault="00AE6000">
        <w:pPr>
          <w:pStyle w:val="a7"/>
          <w:jc w:val="center"/>
        </w:pPr>
        <w:r>
          <w:fldChar w:fldCharType="begin"/>
        </w:r>
        <w:r>
          <w:instrText>PAGE   \* MERGEFORMAT</w:instrText>
        </w:r>
        <w:r>
          <w:fldChar w:fldCharType="separate"/>
        </w:r>
        <w:r>
          <w:rPr>
            <w:rtl/>
            <w:lang w:val="he-IL"/>
          </w:rPr>
          <w:t>2</w:t>
        </w:r>
        <w:r>
          <w:fldChar w:fldCharType="end"/>
        </w:r>
      </w:p>
    </w:sdtContent>
  </w:sdt>
  <w:p w14:paraId="555A58D6" w14:textId="77777777" w:rsidR="00AE6000" w:rsidRDefault="00AE6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B448D" w14:textId="77777777" w:rsidR="006C4EF1" w:rsidRDefault="006C4EF1" w:rsidP="00AE6000">
      <w:pPr>
        <w:spacing w:after="0" w:line="240" w:lineRule="auto"/>
      </w:pPr>
      <w:r>
        <w:separator/>
      </w:r>
    </w:p>
  </w:footnote>
  <w:footnote w:type="continuationSeparator" w:id="0">
    <w:p w14:paraId="324E7AA7" w14:textId="77777777" w:rsidR="006C4EF1" w:rsidRDefault="006C4EF1" w:rsidP="00AE6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05E23"/>
    <w:multiLevelType w:val="hybridMultilevel"/>
    <w:tmpl w:val="41C82942"/>
    <w:lvl w:ilvl="0" w:tplc="0409000F">
      <w:start w:val="1"/>
      <w:numFmt w:val="decimal"/>
      <w:lvlText w:val="%1."/>
      <w:lvlJc w:val="left"/>
      <w:pPr>
        <w:ind w:left="720" w:hanging="360"/>
      </w:pPr>
    </w:lvl>
    <w:lvl w:ilvl="1" w:tplc="2A2EA718">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0F1068"/>
    <w:multiLevelType w:val="multilevel"/>
    <w:tmpl w:val="F286B1D6"/>
    <w:lvl w:ilvl="0">
      <w:start w:val="1"/>
      <w:numFmt w:val="decimal"/>
      <w:lvlText w:val="%1."/>
      <w:lvlJc w:val="left"/>
      <w:pPr>
        <w:ind w:left="360" w:hanging="360"/>
      </w:pPr>
      <w:rPr>
        <w:rFonts w:hint="default"/>
        <w:b w:val="0"/>
        <w:bCs w:val="0"/>
      </w:rPr>
    </w:lvl>
    <w:lvl w:ilvl="1">
      <w:start w:val="1"/>
      <w:numFmt w:val="decimal"/>
      <w:lvlText w:val="%1.%2."/>
      <w:lvlJc w:val="left"/>
      <w:pPr>
        <w:ind w:left="964" w:hanging="604"/>
      </w:pPr>
      <w:rPr>
        <w:rFonts w:hint="default"/>
      </w:rPr>
    </w:lvl>
    <w:lvl w:ilvl="2">
      <w:start w:val="1"/>
      <w:numFmt w:val="decimal"/>
      <w:lvlText w:val="%1.%2.%3."/>
      <w:lvlJc w:val="left"/>
      <w:pPr>
        <w:ind w:left="1588" w:hanging="681"/>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F901431"/>
    <w:multiLevelType w:val="hybridMultilevel"/>
    <w:tmpl w:val="91FE3CB4"/>
    <w:lvl w:ilvl="0" w:tplc="B020430C">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9C7150"/>
    <w:multiLevelType w:val="multilevel"/>
    <w:tmpl w:val="49B06B08"/>
    <w:lvl w:ilvl="0">
      <w:start w:val="1"/>
      <w:numFmt w:val="decimal"/>
      <w:lvlText w:val="%1."/>
      <w:lvlJc w:val="left"/>
      <w:pPr>
        <w:ind w:left="360" w:hanging="360"/>
      </w:pPr>
      <w:rPr>
        <w:rFonts w:hint="default"/>
        <w:sz w:val="24"/>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EE32CA2"/>
    <w:multiLevelType w:val="hybridMultilevel"/>
    <w:tmpl w:val="9B2C85AE"/>
    <w:lvl w:ilvl="0" w:tplc="0409000F">
      <w:start w:val="1"/>
      <w:numFmt w:val="decimal"/>
      <w:lvlText w:val="%1."/>
      <w:lvlJc w:val="left"/>
      <w:pPr>
        <w:ind w:left="720" w:hanging="360"/>
      </w:pPr>
    </w:lvl>
    <w:lvl w:ilvl="1" w:tplc="545CB52E">
      <w:start w:val="1"/>
      <w:numFmt w:val="decimal"/>
      <w:lvlText w:val="(%2)"/>
      <w:lvlJc w:val="left"/>
      <w:pPr>
        <w:ind w:left="1440" w:hanging="360"/>
      </w:pPr>
      <w:rPr>
        <w:rFonts w:ascii="David" w:eastAsiaTheme="minorHAnsi" w:hAnsi="David" w:cs="David"/>
        <w:lang w:bidi="he-IL"/>
      </w:rPr>
    </w:lvl>
    <w:lvl w:ilvl="2" w:tplc="0C1AAEFA">
      <w:start w:val="1"/>
      <w:numFmt w:val="hebrew1"/>
      <w:lvlText w:val="%3."/>
      <w:lvlJc w:val="left"/>
      <w:pPr>
        <w:ind w:left="2340" w:hanging="360"/>
      </w:pPr>
      <w:rPr>
        <w:rFonts w:hint="default"/>
        <w:lang w:val="en-U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7628819">
    <w:abstractNumId w:val="3"/>
  </w:num>
  <w:num w:numId="2" w16cid:durableId="838542775">
    <w:abstractNumId w:val="0"/>
  </w:num>
  <w:num w:numId="3" w16cid:durableId="400374961">
    <w:abstractNumId w:val="4"/>
  </w:num>
  <w:num w:numId="4" w16cid:durableId="146478927">
    <w:abstractNumId w:val="2"/>
  </w:num>
  <w:num w:numId="5" w16cid:durableId="1433471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08"/>
    <w:rsid w:val="0006721E"/>
    <w:rsid w:val="000A6D6E"/>
    <w:rsid w:val="000A7CFA"/>
    <w:rsid w:val="000B1A3F"/>
    <w:rsid w:val="001457D7"/>
    <w:rsid w:val="00295771"/>
    <w:rsid w:val="00306713"/>
    <w:rsid w:val="00352908"/>
    <w:rsid w:val="003750B0"/>
    <w:rsid w:val="003F4144"/>
    <w:rsid w:val="00467A18"/>
    <w:rsid w:val="004716F4"/>
    <w:rsid w:val="004D4F1E"/>
    <w:rsid w:val="006C4EF1"/>
    <w:rsid w:val="006E11E3"/>
    <w:rsid w:val="007865E1"/>
    <w:rsid w:val="007E0071"/>
    <w:rsid w:val="00827DAB"/>
    <w:rsid w:val="008B697A"/>
    <w:rsid w:val="00924B12"/>
    <w:rsid w:val="009C788A"/>
    <w:rsid w:val="00AC5522"/>
    <w:rsid w:val="00AE6000"/>
    <w:rsid w:val="00AF1D3B"/>
    <w:rsid w:val="00B6646C"/>
    <w:rsid w:val="00D1145C"/>
    <w:rsid w:val="00E205E1"/>
    <w:rsid w:val="00E5748D"/>
    <w:rsid w:val="00E633ED"/>
    <w:rsid w:val="00E958EB"/>
    <w:rsid w:val="00ED3DF3"/>
    <w:rsid w:val="00F36ADF"/>
    <w:rsid w:val="00FD405D"/>
    <w:rsid w:val="00FF0F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1C13"/>
  <w15:chartTrackingRefBased/>
  <w15:docId w15:val="{0C2317AE-C371-415F-8FF6-F88AF077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144"/>
    <w:pPr>
      <w:bidi/>
      <w:spacing w:after="120" w:line="360" w:lineRule="auto"/>
    </w:pPr>
    <w:rPr>
      <w:rFonts w:cs="David"/>
      <w:kern w:val="0"/>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1E3"/>
    <w:pPr>
      <w:ind w:left="720"/>
      <w:contextualSpacing/>
    </w:pPr>
  </w:style>
  <w:style w:type="character" w:customStyle="1" w:styleId="rynqvb">
    <w:name w:val="rynqvb"/>
    <w:basedOn w:val="a0"/>
    <w:rsid w:val="001457D7"/>
  </w:style>
  <w:style w:type="table" w:styleId="a4">
    <w:name w:val="Table Grid"/>
    <w:basedOn w:val="a1"/>
    <w:uiPriority w:val="39"/>
    <w:rsid w:val="00471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E6000"/>
    <w:pPr>
      <w:tabs>
        <w:tab w:val="center" w:pos="4320"/>
        <w:tab w:val="right" w:pos="8640"/>
      </w:tabs>
      <w:spacing w:after="0" w:line="240" w:lineRule="auto"/>
    </w:pPr>
  </w:style>
  <w:style w:type="character" w:customStyle="1" w:styleId="a6">
    <w:name w:val="כותרת עליונה תו"/>
    <w:basedOn w:val="a0"/>
    <w:link w:val="a5"/>
    <w:uiPriority w:val="99"/>
    <w:rsid w:val="00AE6000"/>
    <w:rPr>
      <w:rFonts w:cs="David"/>
      <w:kern w:val="0"/>
      <w:szCs w:val="24"/>
      <w14:ligatures w14:val="none"/>
    </w:rPr>
  </w:style>
  <w:style w:type="paragraph" w:styleId="a7">
    <w:name w:val="footer"/>
    <w:basedOn w:val="a"/>
    <w:link w:val="a8"/>
    <w:uiPriority w:val="99"/>
    <w:unhideWhenUsed/>
    <w:rsid w:val="00AE6000"/>
    <w:pPr>
      <w:tabs>
        <w:tab w:val="center" w:pos="4320"/>
        <w:tab w:val="right" w:pos="8640"/>
      </w:tabs>
      <w:spacing w:after="0" w:line="240" w:lineRule="auto"/>
    </w:pPr>
  </w:style>
  <w:style w:type="character" w:customStyle="1" w:styleId="a8">
    <w:name w:val="כותרת תחתונה תו"/>
    <w:basedOn w:val="a0"/>
    <w:link w:val="a7"/>
    <w:uiPriority w:val="99"/>
    <w:rsid w:val="00AE6000"/>
    <w:rPr>
      <w:rFonts w:cs="David"/>
      <w:kern w:val="0"/>
      <w:szCs w:val="24"/>
      <w14:ligatures w14:val="none"/>
    </w:rPr>
  </w:style>
  <w:style w:type="paragraph" w:styleId="a9">
    <w:name w:val="Revision"/>
    <w:hidden/>
    <w:uiPriority w:val="99"/>
    <w:semiHidden/>
    <w:rsid w:val="008B697A"/>
    <w:pPr>
      <w:spacing w:after="0" w:line="240" w:lineRule="auto"/>
    </w:pPr>
    <w:rPr>
      <w:rFonts w:cs="David"/>
      <w:kern w:val="0"/>
      <w:szCs w:val="24"/>
      <w14:ligatures w14:val="none"/>
    </w:rPr>
  </w:style>
  <w:style w:type="character" w:styleId="Hyperlink">
    <w:name w:val="Hyperlink"/>
    <w:basedOn w:val="a0"/>
    <w:uiPriority w:val="99"/>
    <w:unhideWhenUsed/>
    <w:rsid w:val="000A6D6E"/>
    <w:rPr>
      <w:color w:val="0563C1" w:themeColor="hyperlink"/>
      <w:u w:val="single"/>
    </w:rPr>
  </w:style>
  <w:style w:type="character" w:styleId="aa">
    <w:name w:val="Unresolved Mention"/>
    <w:basedOn w:val="a0"/>
    <w:uiPriority w:val="99"/>
    <w:semiHidden/>
    <w:unhideWhenUsed/>
    <w:rsid w:val="000A6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uelg@hit.ac.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8D1F-FFCA-4008-849A-E18DE461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527</Words>
  <Characters>3005</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טיוטת הסכם תרומה 240823</vt:lpstr>
    </vt:vector>
  </TitlesOfParts>
  <Manager>ד"ר רענן הר-זהב, אדלשטיין, ברמן, עורכי דין (83928)   </Manager>
  <Company>מכון טכנולוגי חולון</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טיוטת הסכם תרומה 240823</dc:title>
  <dc:subject>1082/12</dc:subject>
  <dc:creator>G28543-V5</dc:creator>
  <cp:keywords>\\LENOVO-PC2\CommitSys\CommitDocs\1082\00012\G28543-V005.doc מכון טכנולוגי חולון בניין 9 1082/12 טיוטת הסכם תרומה 240823 28543-V5 G28543-V5</cp:keywords>
  <dc:description>יעל_x000d_
מכון טכנולוגי חולון_x000d_
טיוטת הסכם תרומה 240823</dc:description>
  <cp:lastModifiedBy>Yael Tabak | Heblaw</cp:lastModifiedBy>
  <cp:revision>5</cp:revision>
  <dcterms:created xsi:type="dcterms:W3CDTF">2023-08-24T15:05:00Z</dcterms:created>
  <dcterms:modified xsi:type="dcterms:W3CDTF">2023-08-24T15:57:00Z</dcterms:modified>
  <cp:category/>
</cp:coreProperties>
</file>