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56BF8" w14:textId="32BA7343" w:rsidR="009B5F8A" w:rsidRPr="001408C5" w:rsidRDefault="001408C5" w:rsidP="00FC46C9">
      <w:pPr>
        <w:spacing w:line="480" w:lineRule="auto"/>
        <w:rPr>
          <w:bCs/>
          <w:color w:val="0070C0"/>
          <w:sz w:val="28"/>
          <w:szCs w:val="28"/>
        </w:rPr>
      </w:pPr>
      <w:r w:rsidRPr="001408C5">
        <w:rPr>
          <w:bCs/>
          <w:szCs w:val="24"/>
        </w:rPr>
        <w:t xml:space="preserve">Manuscript type: </w:t>
      </w:r>
      <w:r w:rsidRPr="001408C5">
        <w:rPr>
          <w:bCs/>
          <w:color w:val="0070C0"/>
          <w:szCs w:val="24"/>
        </w:rPr>
        <w:t>(original paper</w:t>
      </w:r>
      <w:r w:rsidRPr="001408C5">
        <w:rPr>
          <w:bCs/>
          <w:color w:val="0070C0"/>
          <w:sz w:val="28"/>
          <w:szCs w:val="28"/>
        </w:rPr>
        <w:t>)</w:t>
      </w:r>
    </w:p>
    <w:p w14:paraId="436884BE" w14:textId="77777777" w:rsidR="005C3BDA" w:rsidRDefault="005C3BDA" w:rsidP="00FC46C9">
      <w:pPr>
        <w:spacing w:line="480" w:lineRule="auto"/>
        <w:rPr>
          <w:b/>
          <w:sz w:val="28"/>
          <w:szCs w:val="28"/>
        </w:rPr>
      </w:pPr>
      <w:r w:rsidRPr="005C3BDA">
        <w:rPr>
          <w:b/>
          <w:sz w:val="28"/>
          <w:szCs w:val="28"/>
        </w:rPr>
        <w:t xml:space="preserve">The Control of Soil Borne Fungal Pathogens in Grapevine Nurseries in Turkey and Their Impact on Sapling Quality </w:t>
      </w:r>
    </w:p>
    <w:p w14:paraId="4B461A0E" w14:textId="6589B312" w:rsidR="00BA2114" w:rsidRPr="00E32019" w:rsidRDefault="009E4B31" w:rsidP="005C3BDA">
      <w:pPr>
        <w:spacing w:line="480" w:lineRule="auto"/>
        <w:jc w:val="both"/>
        <w:rPr>
          <w:b/>
        </w:rPr>
      </w:pPr>
      <w:r w:rsidRPr="009E4B31">
        <w:rPr>
          <w:b/>
        </w:rPr>
        <w:t>Abstract</w:t>
      </w:r>
      <w:r w:rsidR="00C64B9E">
        <w:rPr>
          <w:b/>
        </w:rPr>
        <w:t>:</w:t>
      </w:r>
      <w:r w:rsidR="00C64B9E" w:rsidRPr="00C64B9E">
        <w:rPr>
          <w:bCs/>
        </w:rPr>
        <w:t xml:space="preserve"> </w:t>
      </w:r>
      <w:r w:rsidR="005C3BDA" w:rsidRPr="005C3BDA">
        <w:rPr>
          <w:lang w:val="en-GB"/>
        </w:rPr>
        <w:t xml:space="preserve">In the production of grafted vines, losses are caused by fungal pathogens during callus forming or after planting in the soil. To control or reduce natural soil born fungal infections in nurseries, certain applications were conducted in sapling cultivation stage to analyze the efficacy of cyprodinil+fludioxonil, floupyram+tebuconazole active substances and </w:t>
      </w:r>
      <w:r w:rsidR="005C3BDA" w:rsidRPr="00E62EFB">
        <w:rPr>
          <w:i/>
          <w:lang w:val="en-GB"/>
        </w:rPr>
        <w:t>Trichoderma harzianum</w:t>
      </w:r>
      <w:r w:rsidR="005C3BDA" w:rsidRPr="005C3BDA">
        <w:rPr>
          <w:lang w:val="en-GB"/>
        </w:rPr>
        <w:t xml:space="preserve"> biological preparation. 1103 Paulsen rootstock and </w:t>
      </w:r>
      <w:r w:rsidR="005C3BDA" w:rsidRPr="00D81078">
        <w:rPr>
          <w:i/>
          <w:lang w:val="en-GB"/>
        </w:rPr>
        <w:t>Vitis viniferea</w:t>
      </w:r>
      <w:r w:rsidR="005C3BDA" w:rsidRPr="005C3BDA">
        <w:rPr>
          <w:lang w:val="en-GB"/>
        </w:rPr>
        <w:t xml:space="preserve"> L. Sultana cultivars were stored in fungicide suspensions for 60 minutes before and after grafting in the study. After grafting, th</w:t>
      </w:r>
      <w:r w:rsidR="00FD26A8">
        <w:rPr>
          <w:lang w:val="en-GB"/>
        </w:rPr>
        <w:t>e saplings were divided into i)cutting+sawdust ii)</w:t>
      </w:r>
      <w:r w:rsidR="005C3BDA" w:rsidRPr="005C3BDA">
        <w:rPr>
          <w:lang w:val="en-GB"/>
        </w:rPr>
        <w:t xml:space="preserve">cutting+sawdust+soil application groups and transferred to the callus room. After nine months in the nursery, the plants were uprooted, classified as diseased or healthy, and analyzed for morphological and molecular diagnosis of fungal species, isolation incidence, and sapling quality and yield. </w:t>
      </w:r>
      <w:r w:rsidR="005C3BDA" w:rsidRPr="00D81078">
        <w:rPr>
          <w:i/>
          <w:lang w:val="en-GB"/>
        </w:rPr>
        <w:t>Boeremia exigua</w:t>
      </w:r>
      <w:r w:rsidR="005C3BDA" w:rsidRPr="005C3BDA">
        <w:rPr>
          <w:lang w:val="en-GB"/>
        </w:rPr>
        <w:t xml:space="preserve"> var. </w:t>
      </w:r>
      <w:r w:rsidR="005C3BDA" w:rsidRPr="00D81078">
        <w:rPr>
          <w:i/>
          <w:lang w:val="en-GB"/>
        </w:rPr>
        <w:t>exigua</w:t>
      </w:r>
      <w:r w:rsidR="005C3BDA" w:rsidRPr="005C3BDA">
        <w:rPr>
          <w:lang w:val="en-GB"/>
        </w:rPr>
        <w:t xml:space="preserve"> was isolated for the first time from cuttings during grapevine seedling production and was first registered in NCBI Genbank. After callus development, </w:t>
      </w:r>
      <w:r w:rsidR="005C3BDA" w:rsidRPr="00E62EFB">
        <w:rPr>
          <w:i/>
          <w:lang w:val="en-GB"/>
        </w:rPr>
        <w:t>F. solani</w:t>
      </w:r>
      <w:r w:rsidR="005C3BDA" w:rsidRPr="005C3BDA">
        <w:rPr>
          <w:lang w:val="en-GB"/>
        </w:rPr>
        <w:t xml:space="preserve"> was most frequently isolated pathogen in </w:t>
      </w:r>
      <w:r w:rsidR="00E62EFB">
        <w:rPr>
          <w:lang w:val="en-GB"/>
        </w:rPr>
        <w:t>the roots (21.5%), cyprodinil+</w:t>
      </w:r>
      <w:r w:rsidR="005C3BDA" w:rsidRPr="005C3BDA">
        <w:rPr>
          <w:lang w:val="en-GB"/>
        </w:rPr>
        <w:t xml:space="preserve">fludioxonil reduced the </w:t>
      </w:r>
      <w:r w:rsidR="005C3BDA" w:rsidRPr="00D81078">
        <w:rPr>
          <w:i/>
          <w:lang w:val="en-GB"/>
        </w:rPr>
        <w:t>Ilyonectria</w:t>
      </w:r>
      <w:r w:rsidR="005C3BDA" w:rsidRPr="005C3BDA">
        <w:rPr>
          <w:lang w:val="en-GB"/>
        </w:rPr>
        <w:t xml:space="preserve"> sp. isolation rate in both shoots and roots. </w:t>
      </w:r>
      <w:r w:rsidR="0030488B">
        <w:rPr>
          <w:i/>
          <w:lang w:val="en-GB"/>
        </w:rPr>
        <w:t>Botryosphaeria dothidae</w:t>
      </w:r>
      <w:r w:rsidR="005C3BDA" w:rsidRPr="005C3BDA">
        <w:rPr>
          <w:lang w:val="en-GB"/>
        </w:rPr>
        <w:t xml:space="preserve"> and </w:t>
      </w:r>
      <w:r w:rsidR="005C3BDA" w:rsidRPr="00E62EFB">
        <w:rPr>
          <w:i/>
          <w:lang w:val="en-GB"/>
        </w:rPr>
        <w:t>I. liriodendri</w:t>
      </w:r>
      <w:r w:rsidR="005C3BDA" w:rsidRPr="005C3BDA">
        <w:rPr>
          <w:lang w:val="en-GB"/>
        </w:rPr>
        <w:t xml:space="preserve"> pathogens were not detected in sick and healthy cyprodinil+fludioxonil treated saplings. The highest sapling yiel</w:t>
      </w:r>
      <w:r w:rsidR="00E62EFB">
        <w:rPr>
          <w:lang w:val="en-GB"/>
        </w:rPr>
        <w:t>d was observed with fludioxonil+</w:t>
      </w:r>
      <w:r w:rsidR="005C3BDA" w:rsidRPr="005C3BDA">
        <w:rPr>
          <w:lang w:val="en-GB"/>
        </w:rPr>
        <w:t xml:space="preserve">cyprodinil, cutting+sawdust+soil (78.75%) and cutting+sawdust (70.68%) applications. </w:t>
      </w:r>
    </w:p>
    <w:p w14:paraId="00C1A357" w14:textId="77777777" w:rsidR="009B5F8A" w:rsidRDefault="009B5F8A" w:rsidP="00FC46C9">
      <w:pPr>
        <w:spacing w:line="480" w:lineRule="auto"/>
        <w:rPr>
          <w:b/>
          <w:lang w:val="en-GB"/>
        </w:rPr>
      </w:pPr>
    </w:p>
    <w:p w14:paraId="770B66EC" w14:textId="238239D1" w:rsidR="009B5F8A" w:rsidRDefault="009E4B31" w:rsidP="00FC46C9">
      <w:pPr>
        <w:spacing w:line="480" w:lineRule="auto"/>
        <w:rPr>
          <w:b/>
          <w:lang w:val="en-GB"/>
        </w:rPr>
      </w:pPr>
      <w:r w:rsidRPr="00C64B9E">
        <w:rPr>
          <w:b/>
          <w:lang w:val="en-GB"/>
        </w:rPr>
        <w:t>Keywords:</w:t>
      </w:r>
      <w:r w:rsidR="00385E8E">
        <w:rPr>
          <w:lang w:val="en-GB"/>
        </w:rPr>
        <w:t xml:space="preserve"> </w:t>
      </w:r>
      <w:r w:rsidR="00C17FDF" w:rsidRPr="00C17FDF">
        <w:rPr>
          <w:lang w:val="en-GB"/>
        </w:rPr>
        <w:t>bio-fungicide, chemical control, sapling quality, soil-borne pathogens, vine</w:t>
      </w:r>
    </w:p>
    <w:p w14:paraId="55F0BCEE" w14:textId="77777777" w:rsidR="00C17FDF" w:rsidRDefault="00C17FDF" w:rsidP="00FC46C9">
      <w:pPr>
        <w:spacing w:line="480" w:lineRule="auto"/>
        <w:rPr>
          <w:b/>
          <w:lang w:val="en-GB"/>
        </w:rPr>
      </w:pPr>
    </w:p>
    <w:p w14:paraId="0BF22C58" w14:textId="77777777" w:rsidR="00C17FDF" w:rsidRDefault="00C17FDF" w:rsidP="00FC46C9">
      <w:pPr>
        <w:spacing w:line="480" w:lineRule="auto"/>
        <w:rPr>
          <w:b/>
          <w:lang w:val="en-GB"/>
        </w:rPr>
      </w:pPr>
    </w:p>
    <w:p w14:paraId="4EEAD1C5" w14:textId="0C85C30C" w:rsidR="00C17FDF" w:rsidRPr="00C17FDF" w:rsidRDefault="00C17FDF" w:rsidP="00C17FDF">
      <w:pPr>
        <w:spacing w:line="480" w:lineRule="auto"/>
        <w:rPr>
          <w:b/>
          <w:lang w:val="en-GB"/>
        </w:rPr>
      </w:pPr>
      <w:r w:rsidRPr="00C17FDF">
        <w:rPr>
          <w:b/>
          <w:lang w:val="en-GB"/>
        </w:rPr>
        <w:t xml:space="preserve">INTRODUCTION </w:t>
      </w:r>
    </w:p>
    <w:p w14:paraId="217E5BEB" w14:textId="77777777" w:rsidR="00C17FDF" w:rsidRPr="00C17FDF" w:rsidRDefault="00C17FDF" w:rsidP="005847FA">
      <w:pPr>
        <w:spacing w:line="360" w:lineRule="auto"/>
        <w:jc w:val="both"/>
        <w:rPr>
          <w:lang w:val="en-GB"/>
        </w:rPr>
      </w:pPr>
      <w:r w:rsidRPr="00C17FDF">
        <w:rPr>
          <w:lang w:val="en-GB"/>
        </w:rPr>
        <w:t>Vine (</w:t>
      </w:r>
      <w:r w:rsidRPr="00C17FDF">
        <w:rPr>
          <w:i/>
          <w:lang w:val="en-GB"/>
        </w:rPr>
        <w:t>Vitis vinifera</w:t>
      </w:r>
      <w:r w:rsidRPr="00C17FDF">
        <w:rPr>
          <w:lang w:val="en-GB"/>
        </w:rPr>
        <w:t xml:space="preserve"> L.) is a commonly cultivated plant globally since it is not very sensitive to climate and soil, could be reproduced easily, employed in several industries, and is economically significant. In Turkey, 4.2 million tons of grapes were cultivated in about 4 million decar in 2020 and 246,000 tons were exported with a revenue of 514 million dollars (FAOSTAT, 2021). Despite the established viticulture in Turkey, there is a significant need for sapling nursing due to aging and fungal lignum diseases and the need for new vines. The economic life of a vineyard is about 40 years (İlter and Uzun, 1991; Çelik et al., 1991; Santos et al., 2020). Thus, several authors indicated that 7.5 million to 15.0 million saplings are required in Turkey every year (Şen and Yağcı, 2016).</w:t>
      </w:r>
    </w:p>
    <w:p w14:paraId="079908B0" w14:textId="77777777" w:rsidR="00C17FDF" w:rsidRPr="00C17FDF" w:rsidRDefault="00C17FDF" w:rsidP="005847FA">
      <w:pPr>
        <w:spacing w:line="360" w:lineRule="auto"/>
        <w:jc w:val="both"/>
        <w:rPr>
          <w:lang w:val="en-GB"/>
        </w:rPr>
      </w:pPr>
      <w:r w:rsidRPr="00C17FDF">
        <w:rPr>
          <w:lang w:val="en-GB"/>
        </w:rPr>
        <w:t>As in every sector in Turkey, there are some problems in the vineyard nursery sector. Sustainability of vine cultivation, which is the most cultivated fruit in Turkey, is possible with healthy sapling supply (Cangi et al., 2019). In the last few decades, the interest in the impact of dieback on vine saplings and studies to develop control strategies against them have increased (Hallen et al., 2003; Lade et al., 2022). Investigations are generally limited to the diagnosis of disease pathogens, and the detection of susceptibility of the nurseries, cultivars, and rootstock (Cruz et al., 2014; Lade et al., 2022; Tan and Rodríguez López, 2023). Besides that, it is unclear when fungal pathogens started to be a problem in grapevine nurseries and which fungicides can be used to control at various cultivation stages.</w:t>
      </w:r>
    </w:p>
    <w:p w14:paraId="14EEF1E6" w14:textId="77777777" w:rsidR="00C17FDF" w:rsidRPr="00C17FDF" w:rsidRDefault="00C17FDF" w:rsidP="00C17FDF">
      <w:pPr>
        <w:spacing w:line="360" w:lineRule="auto"/>
        <w:jc w:val="both"/>
        <w:rPr>
          <w:lang w:val="en-GB"/>
        </w:rPr>
      </w:pPr>
      <w:r w:rsidRPr="00C17FDF">
        <w:rPr>
          <w:lang w:val="en-GB"/>
        </w:rPr>
        <w:t xml:space="preserve">Grafted vine sapling cultivation includes the stages of graft and cutting procurement, cold storage, grafting, post-grafting callus development in germination chamber, and planting. The 25°C temperature and 90% relative humidity in post-grafting germination chambers are suitable for pathogen development. Particularly at the pre-grafting stage, there might be problems in pathogen control with fungicides. It was reported that soil-borne fungal species and other known vineyard pathogens (i.e., </w:t>
      </w:r>
      <w:r w:rsidRPr="007766B4">
        <w:rPr>
          <w:i/>
          <w:lang w:val="en-GB"/>
        </w:rPr>
        <w:t>Diaporthe ampelina</w:t>
      </w:r>
      <w:r w:rsidRPr="00C17FDF">
        <w:rPr>
          <w:lang w:val="en-GB"/>
        </w:rPr>
        <w:t xml:space="preserve">, </w:t>
      </w:r>
      <w:r w:rsidRPr="007766B4">
        <w:rPr>
          <w:i/>
          <w:lang w:val="en-GB"/>
        </w:rPr>
        <w:t>Phoma exigua</w:t>
      </w:r>
      <w:r w:rsidRPr="00C17FDF">
        <w:rPr>
          <w:lang w:val="en-GB"/>
        </w:rPr>
        <w:t xml:space="preserve"> var. </w:t>
      </w:r>
      <w:r w:rsidRPr="007766B4">
        <w:rPr>
          <w:i/>
          <w:lang w:val="en-GB"/>
        </w:rPr>
        <w:t>exigua</w:t>
      </w:r>
      <w:r w:rsidRPr="00C17FDF">
        <w:rPr>
          <w:lang w:val="en-GB"/>
        </w:rPr>
        <w:t xml:space="preserve">, </w:t>
      </w:r>
      <w:r w:rsidRPr="007766B4">
        <w:rPr>
          <w:i/>
          <w:lang w:val="en-GB"/>
        </w:rPr>
        <w:t>Botrytis cinerea</w:t>
      </w:r>
      <w:r w:rsidRPr="00C17FDF">
        <w:rPr>
          <w:lang w:val="en-GB"/>
        </w:rPr>
        <w:t xml:space="preserve">, etc.) were observed on healthy main branches in vineyards (Machowicz-Stefaniak and Król, 2006; Król, 2006; Koycu et al., 2006). It was reported that the vine cuttings were mostly infected with soil-borne polyphagous pathogens such as </w:t>
      </w:r>
      <w:r w:rsidRPr="007766B4">
        <w:rPr>
          <w:i/>
          <w:lang w:val="en-GB"/>
        </w:rPr>
        <w:t>Cylindrocarpon</w:t>
      </w:r>
      <w:r w:rsidRPr="00C17FDF">
        <w:rPr>
          <w:lang w:val="en-GB"/>
        </w:rPr>
        <w:t xml:space="preserve"> spp., </w:t>
      </w:r>
      <w:r w:rsidRPr="007766B4">
        <w:rPr>
          <w:i/>
          <w:lang w:val="en-GB"/>
        </w:rPr>
        <w:t>Fusarium oxysporum</w:t>
      </w:r>
      <w:r w:rsidRPr="00C17FDF">
        <w:rPr>
          <w:lang w:val="en-GB"/>
        </w:rPr>
        <w:t xml:space="preserve">, </w:t>
      </w:r>
      <w:r w:rsidRPr="007766B4">
        <w:rPr>
          <w:i/>
          <w:lang w:val="en-GB"/>
        </w:rPr>
        <w:t>Phytophthora</w:t>
      </w:r>
      <w:r w:rsidRPr="00C17FDF">
        <w:rPr>
          <w:lang w:val="en-GB"/>
        </w:rPr>
        <w:t xml:space="preserve"> spp. and </w:t>
      </w:r>
      <w:r w:rsidRPr="007766B4">
        <w:rPr>
          <w:i/>
          <w:lang w:val="en-GB"/>
        </w:rPr>
        <w:t>Rhizoctonia solan</w:t>
      </w:r>
      <w:r w:rsidRPr="00C17FDF">
        <w:rPr>
          <w:lang w:val="en-GB"/>
        </w:rPr>
        <w:t>i after planting in nurseries (Hallen et al., 2003; Król et al. 2006). In previous studies to control of fungal infections that cause to low sapling yield, fungicide was not applied before and during rooting. At the same time, practices to control both soil-borne and transmitted fungal lignum disease pathogens were not effective before and after planting the saplings in the nursery. In addition, in such studies, pre- and post-grafting drug applications were found to be inadequate (Becker and Hiller, 1977; Koycu et al., 2006).</w:t>
      </w:r>
    </w:p>
    <w:p w14:paraId="3CA73873" w14:textId="77777777" w:rsidR="00065280" w:rsidRDefault="00065280" w:rsidP="00C17FDF">
      <w:pPr>
        <w:spacing w:line="360" w:lineRule="auto"/>
        <w:jc w:val="both"/>
        <w:rPr>
          <w:lang w:val="en-GB"/>
        </w:rPr>
      </w:pPr>
      <w:r w:rsidRPr="00065280">
        <w:rPr>
          <w:lang w:val="en-GB"/>
        </w:rPr>
        <w:t xml:space="preserve">In order to reduce the losses caused by soil-borne pathogens during seedling production, fungicides were applied in this study at the post-planting and pre-planting soil stages, before grafting and prior to callus formation. After the applications, fungal isolations were made by taking plant samples and the frequency of isolation of soil-borne pathogens in seedlings at each stage was determined, and morphological and molecular identification of pathogens was also carried out. In addition, the effects of fungicide applications on seedling yield, quality and root development were analysed. </w:t>
      </w:r>
    </w:p>
    <w:p w14:paraId="77EA9F55" w14:textId="77777777" w:rsidR="00065280" w:rsidRDefault="00065280" w:rsidP="00C17FDF">
      <w:pPr>
        <w:spacing w:line="360" w:lineRule="auto"/>
        <w:jc w:val="both"/>
        <w:rPr>
          <w:lang w:val="en-GB"/>
        </w:rPr>
      </w:pPr>
    </w:p>
    <w:p w14:paraId="263CACFD" w14:textId="762D6BF7" w:rsidR="00C17FDF" w:rsidRPr="007766B4" w:rsidRDefault="007766B4" w:rsidP="00C17FDF">
      <w:pPr>
        <w:spacing w:line="360" w:lineRule="auto"/>
        <w:jc w:val="both"/>
        <w:rPr>
          <w:b/>
          <w:lang w:val="en-GB"/>
        </w:rPr>
      </w:pPr>
      <w:bookmarkStart w:id="0" w:name="_GoBack"/>
      <w:bookmarkEnd w:id="0"/>
      <w:r w:rsidRPr="007766B4">
        <w:rPr>
          <w:b/>
          <w:lang w:val="en-GB"/>
        </w:rPr>
        <w:t xml:space="preserve">MATERIALS AND METHODS </w:t>
      </w:r>
    </w:p>
    <w:p w14:paraId="43AE387C" w14:textId="77777777" w:rsidR="00F74913" w:rsidRDefault="00F74913" w:rsidP="00C17FDF">
      <w:pPr>
        <w:spacing w:line="360" w:lineRule="auto"/>
        <w:jc w:val="both"/>
        <w:rPr>
          <w:b/>
          <w:lang w:val="en-GB"/>
        </w:rPr>
      </w:pPr>
    </w:p>
    <w:p w14:paraId="4BB0FBAD" w14:textId="0DB9CB63" w:rsidR="007766B4" w:rsidRPr="007766B4" w:rsidRDefault="00C17FDF" w:rsidP="00C17FDF">
      <w:pPr>
        <w:spacing w:line="360" w:lineRule="auto"/>
        <w:jc w:val="both"/>
        <w:rPr>
          <w:b/>
          <w:lang w:val="en-GB"/>
        </w:rPr>
      </w:pPr>
      <w:r w:rsidRPr="007766B4">
        <w:rPr>
          <w:b/>
          <w:lang w:val="en-GB"/>
        </w:rPr>
        <w:t>Plant material</w:t>
      </w:r>
    </w:p>
    <w:p w14:paraId="270C5E60" w14:textId="14856ED3" w:rsidR="00C17FDF" w:rsidRPr="00C17FDF" w:rsidRDefault="00C17FDF" w:rsidP="00C17FDF">
      <w:pPr>
        <w:spacing w:line="360" w:lineRule="auto"/>
        <w:jc w:val="both"/>
        <w:rPr>
          <w:lang w:val="en-GB"/>
        </w:rPr>
      </w:pPr>
      <w:r w:rsidRPr="00C17FDF">
        <w:rPr>
          <w:lang w:val="en-GB"/>
        </w:rPr>
        <w:t>The study was conducted at a commercial nursery in Manisa Province of the Aegean Region, where vine nurseries are a common occupation, between 2017 and 2018. The nursery where the experiments were conducted has cultivated vine saplings for several years. Crop rotation has been adopted by the nursery, where vine saplings have been produced in every two years, and barley has been planted for rotation in the remaining years.</w:t>
      </w:r>
    </w:p>
    <w:p w14:paraId="208D5D06" w14:textId="77777777" w:rsidR="00C17FDF" w:rsidRDefault="00C17FDF" w:rsidP="00C17FDF">
      <w:pPr>
        <w:spacing w:line="360" w:lineRule="auto"/>
        <w:jc w:val="both"/>
        <w:rPr>
          <w:lang w:val="en-GB"/>
        </w:rPr>
      </w:pPr>
      <w:r w:rsidRPr="00C17FDF">
        <w:rPr>
          <w:lang w:val="en-GB"/>
        </w:rPr>
        <w:t>Sultan 7 seedless grape cultivars grafted on 1103 Paulsen American vine rootstocks with deep root structure and good compatibility with grape varieties were employed in the experiment. Both rootstock and cultivar were considered susceptible to soil-borne pathogens. Sultan 7 seedless grape variety was selected since it was the most exported variety from the Aegean region for both fresh and dried consumption.</w:t>
      </w:r>
    </w:p>
    <w:p w14:paraId="15D912AD" w14:textId="77777777" w:rsidR="00F74913" w:rsidRPr="00C17FDF" w:rsidRDefault="00F74913" w:rsidP="00C17FDF">
      <w:pPr>
        <w:spacing w:line="360" w:lineRule="auto"/>
        <w:jc w:val="both"/>
        <w:rPr>
          <w:lang w:val="en-GB"/>
        </w:rPr>
      </w:pPr>
    </w:p>
    <w:p w14:paraId="4389BB09" w14:textId="2BBC3C61" w:rsidR="00F74913" w:rsidRPr="00F74913" w:rsidRDefault="00C17FDF" w:rsidP="00C17FDF">
      <w:pPr>
        <w:spacing w:line="360" w:lineRule="auto"/>
        <w:jc w:val="both"/>
        <w:rPr>
          <w:b/>
          <w:lang w:val="en-GB"/>
        </w:rPr>
      </w:pPr>
      <w:r w:rsidRPr="00F74913">
        <w:rPr>
          <w:b/>
          <w:lang w:val="en-GB"/>
        </w:rPr>
        <w:t>Fungicides applications in the production of grapevine planting material</w:t>
      </w:r>
    </w:p>
    <w:p w14:paraId="4512F604" w14:textId="77777777" w:rsidR="00C17FDF" w:rsidRPr="00C17FDF" w:rsidRDefault="00C17FDF" w:rsidP="00C17FDF">
      <w:pPr>
        <w:spacing w:line="360" w:lineRule="auto"/>
        <w:jc w:val="both"/>
        <w:rPr>
          <w:lang w:val="en-GB"/>
        </w:rPr>
      </w:pPr>
      <w:r w:rsidRPr="00C17FDF">
        <w:rPr>
          <w:lang w:val="en-GB"/>
        </w:rPr>
        <w:t xml:space="preserve">In the study, pre-grafting fungicides were applied on cuttings and grafts in two stages.  In Turkey, an isolated and approved bio-preparation of </w:t>
      </w:r>
      <w:r w:rsidRPr="00F74913">
        <w:rPr>
          <w:i/>
          <w:lang w:val="en-GB"/>
        </w:rPr>
        <w:t>Trichoderma harzianum</w:t>
      </w:r>
      <w:r w:rsidRPr="00C17FDF">
        <w:rPr>
          <w:lang w:val="en-GB"/>
        </w:rPr>
        <w:t xml:space="preserve"> Rifai KRL-AG2 used to this experiment. The fungicides presented in Table 1 were mixed separately in plastic tanks that included 20 liters of water, based on manufacturer recommended doses. During pre-grafting storage, the cuttings were blunted except for the bottom buds, and the cuttings and rootstocks were kept in the fungicide solution for 60 minutes for them to regain the water lost. </w:t>
      </w:r>
    </w:p>
    <w:p w14:paraId="0374D006" w14:textId="77777777" w:rsidR="00C17FDF" w:rsidRPr="00C17FDF" w:rsidRDefault="00C17FDF" w:rsidP="00C17FDF">
      <w:pPr>
        <w:spacing w:line="360" w:lineRule="auto"/>
        <w:jc w:val="both"/>
        <w:rPr>
          <w:lang w:val="en-GB"/>
        </w:rPr>
      </w:pPr>
      <w:r w:rsidRPr="00C17FDF">
        <w:rPr>
          <w:lang w:val="en-GB"/>
        </w:rPr>
        <w:t xml:space="preserve">The experiments were conducted in 5 replicates, and each replicate included 50 cuttings and grafts, and 1800 cuttings and grafts were placed in polyethylene bags and stored at 0°C (Figure 1). No fungicide was applied to the control group, only water was used. The cuttings and grafts were removed from the cold storage and transferred into grafting chamber. Grafting was conducted with a foot pedal grafting machine with omega-type graft sections, and immediately afterwards, the grafted cuttings were paraffinized (Akman and Ilgın, 1993). Two applications were conducted in parallel and in the same sequence (Figure 1). </w:t>
      </w:r>
      <w:r w:rsidRPr="00F74913">
        <w:rPr>
          <w:b/>
          <w:lang w:val="en-GB"/>
        </w:rPr>
        <w:t>i)</w:t>
      </w:r>
      <w:r w:rsidRPr="00C17FDF">
        <w:rPr>
          <w:lang w:val="en-GB"/>
        </w:rPr>
        <w:t xml:space="preserve"> Cutting + sawdust application: The grafted cuttings were stored in water that included the same fungicide/bio-fungicide as treatment before folding for 60 minutes, and 1000 saplings were placed in plastic crates in 5 replicates (50 cuttings in each replicate) after folded with pine sawdust moistened with the fungicide/bio-fungicide. For the control group, only water was used in folding. The crates were stored in germination chambers at 25°C and 90% relative humidity for three weeks for callus development. Fungal isolations were conducted on 10 saplings (shoots and roots) randomly selected from the crates treated with each fungicide/bio-fungicide. The remaining saplings were planted in the nursery in early April with the random plot design, where the row spacing was 60 cm and the space between the saplings was 8-10 cm, in the cutting + sawdust application. </w:t>
      </w:r>
      <w:r w:rsidRPr="00883484">
        <w:rPr>
          <w:b/>
          <w:lang w:val="en-GB"/>
        </w:rPr>
        <w:t>ii)</w:t>
      </w:r>
      <w:r w:rsidRPr="00C17FDF">
        <w:rPr>
          <w:lang w:val="en-GB"/>
        </w:rPr>
        <w:t xml:space="preserve"> The cutting + sawdust + soil application; The grafted cuttings were stored in water that included the same fungicide/bio-fungicide as treatment before folding for 60 minutes and folded in plastic boxes with pine shavings moistened with the same fungicide/bio-fungicide. Then, the saplings were removed from the chamber, and 800 saplings (40 grafted cutting in each replicate) were planted in 5 replicates with the random plots design in the nursery, with 60 cm row spacing and 8-10 cm space between the saplings in early April. One day after planting, each fungicide/bio-fungicide was diluted with 10 liters of water based on the application doses specified in Table 1, and 50 ml fungicide solution was applied to the soil at the root collar region. One week after the application, fungicide applications were repeated to the root and root collar areas. Only water was used in the control group.  </w:t>
      </w:r>
    </w:p>
    <w:p w14:paraId="335D1E1E" w14:textId="77777777" w:rsidR="00C17FDF" w:rsidRPr="00C17FDF" w:rsidRDefault="00C17FDF" w:rsidP="00C17FDF">
      <w:pPr>
        <w:spacing w:line="360" w:lineRule="auto"/>
        <w:jc w:val="both"/>
        <w:rPr>
          <w:lang w:val="en-GB"/>
        </w:rPr>
      </w:pPr>
      <w:r w:rsidRPr="00C17FDF">
        <w:rPr>
          <w:lang w:val="en-GB"/>
        </w:rPr>
        <w:t>The isolation incidence was calculated by counting the fungal colony growth in wood chips placed in petri dishes, and the isolation frequencies of pathogenic fungi (%) were calculated based on the ratio of 100 tissues collected from 10 vines in each application.</w:t>
      </w:r>
    </w:p>
    <w:p w14:paraId="1659379F" w14:textId="5216FE44" w:rsidR="00C17FDF" w:rsidRPr="00C17FDF" w:rsidRDefault="00C17FDF" w:rsidP="00D92FAA">
      <w:pPr>
        <w:spacing w:line="360" w:lineRule="auto"/>
        <w:ind w:left="708" w:firstLine="708"/>
        <w:jc w:val="both"/>
        <w:rPr>
          <w:lang w:val="en-GB"/>
        </w:rPr>
      </w:pPr>
      <w:r w:rsidRPr="00C17FDF">
        <w:rPr>
          <w:lang w:val="en-GB"/>
        </w:rPr>
        <w:t xml:space="preserve"> </w:t>
      </w:r>
      <w:r w:rsidR="00D92FAA">
        <w:rPr>
          <w:noProof/>
          <w:lang w:val="tr-TR" w:eastAsia="tr-TR"/>
        </w:rPr>
        <w:drawing>
          <wp:inline distT="0" distB="0" distL="0" distR="0" wp14:anchorId="572545FA" wp14:editId="4BFA6867">
            <wp:extent cx="2697480" cy="3646415"/>
            <wp:effectExtent l="0" t="0" r="7620" b="0"/>
            <wp:docPr id="6" name="Resim 6" descr="C:\Users\oem\AppData\Local\Microsoft\Windows\INetCache\Content.Word\Figure 1. Main steps in vine sapling cultivation applic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em\AppData\Local\Microsoft\Windows\INetCache\Content.Word\Figure 1. Main steps in vine sapling cultivation application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1867" cy="3652345"/>
                    </a:xfrm>
                    <a:prstGeom prst="rect">
                      <a:avLst/>
                    </a:prstGeom>
                    <a:noFill/>
                    <a:ln>
                      <a:noFill/>
                    </a:ln>
                  </pic:spPr>
                </pic:pic>
              </a:graphicData>
            </a:graphic>
          </wp:inline>
        </w:drawing>
      </w:r>
    </w:p>
    <w:p w14:paraId="77B7969D" w14:textId="77777777" w:rsidR="00C17FDF" w:rsidRPr="00D92FAA" w:rsidRDefault="00C17FDF" w:rsidP="00D92FAA">
      <w:pPr>
        <w:spacing w:line="360" w:lineRule="auto"/>
        <w:ind w:left="708" w:firstLine="708"/>
        <w:jc w:val="both"/>
        <w:rPr>
          <w:lang w:val="en-GB"/>
        </w:rPr>
      </w:pPr>
      <w:r w:rsidRPr="00883484">
        <w:rPr>
          <w:b/>
          <w:lang w:val="en-GB"/>
        </w:rPr>
        <w:t xml:space="preserve">Figure 1. </w:t>
      </w:r>
      <w:r w:rsidRPr="00D92FAA">
        <w:rPr>
          <w:lang w:val="en-GB"/>
        </w:rPr>
        <w:t>Main steps in vine sapling cultivation applications</w:t>
      </w:r>
    </w:p>
    <w:p w14:paraId="591A0CA7" w14:textId="77777777" w:rsidR="00C17FDF" w:rsidRDefault="00C17FDF" w:rsidP="00C17FDF">
      <w:pPr>
        <w:spacing w:line="360" w:lineRule="auto"/>
        <w:jc w:val="both"/>
        <w:rPr>
          <w:lang w:val="en-GB"/>
        </w:rPr>
      </w:pPr>
      <w:r w:rsidRPr="00C17FDF">
        <w:rPr>
          <w:lang w:val="en-GB"/>
        </w:rPr>
        <w:t>The grafted cuttings were irrigated once a week with a drip irrigation system until September in both applications and maintained based on regular maintenance schedule throughout the year. The saplings developed for nine months.</w:t>
      </w:r>
    </w:p>
    <w:p w14:paraId="657E7B2E" w14:textId="77777777" w:rsidR="00883484" w:rsidRPr="00C17FDF" w:rsidRDefault="00883484" w:rsidP="00C17FDF">
      <w:pPr>
        <w:spacing w:line="360" w:lineRule="auto"/>
        <w:jc w:val="both"/>
        <w:rPr>
          <w:lang w:val="en-GB"/>
        </w:rPr>
      </w:pPr>
    </w:p>
    <w:p w14:paraId="57645A2D" w14:textId="77777777" w:rsidR="00C17FDF" w:rsidRDefault="00C17FDF" w:rsidP="00C17FDF">
      <w:pPr>
        <w:spacing w:line="360" w:lineRule="auto"/>
        <w:jc w:val="both"/>
        <w:rPr>
          <w:lang w:val="en-GB"/>
        </w:rPr>
      </w:pPr>
      <w:r w:rsidRPr="00883484">
        <w:rPr>
          <w:b/>
          <w:lang w:val="en-GB"/>
        </w:rPr>
        <w:t>Table 1.</w:t>
      </w:r>
      <w:r w:rsidRPr="00C17FDF">
        <w:rPr>
          <w:lang w:val="en-GB"/>
        </w:rPr>
        <w:t xml:space="preserve"> Employed fungicide and bio-fungicide active ingredients, commercial names, and doses.</w:t>
      </w:r>
    </w:p>
    <w:tbl>
      <w:tblPr>
        <w:tblW w:w="8956" w:type="dxa"/>
        <w:tblInd w:w="-115" w:type="dxa"/>
        <w:tblBorders>
          <w:top w:val="single" w:sz="4" w:space="0" w:color="7F7F7F"/>
          <w:bottom w:val="single" w:sz="4" w:space="0" w:color="7F7F7F"/>
        </w:tblBorders>
        <w:tblLayout w:type="fixed"/>
        <w:tblCellMar>
          <w:left w:w="115" w:type="dxa"/>
          <w:right w:w="115" w:type="dxa"/>
        </w:tblCellMar>
        <w:tblLook w:val="0400" w:firstRow="0" w:lastRow="0" w:firstColumn="0" w:lastColumn="0" w:noHBand="0" w:noVBand="1"/>
      </w:tblPr>
      <w:tblGrid>
        <w:gridCol w:w="2235"/>
        <w:gridCol w:w="2504"/>
        <w:gridCol w:w="1842"/>
        <w:gridCol w:w="2375"/>
      </w:tblGrid>
      <w:tr w:rsidR="00883484" w:rsidRPr="00883484" w14:paraId="33D25B7D" w14:textId="77777777" w:rsidTr="00EA7795">
        <w:trPr>
          <w:trHeight w:val="564"/>
        </w:trPr>
        <w:tc>
          <w:tcPr>
            <w:tcW w:w="2235" w:type="dxa"/>
            <w:tcBorders>
              <w:bottom w:val="single" w:sz="4" w:space="0" w:color="7F7F7F"/>
            </w:tcBorders>
            <w:shd w:val="clear" w:color="auto" w:fill="auto"/>
          </w:tcPr>
          <w:p w14:paraId="16E51B36" w14:textId="77777777" w:rsidR="00883484" w:rsidRPr="00883484" w:rsidRDefault="00883484" w:rsidP="00883484">
            <w:pPr>
              <w:suppressAutoHyphens/>
              <w:overflowPunct/>
              <w:autoSpaceDE/>
              <w:autoSpaceDN/>
              <w:adjustRightInd/>
              <w:spacing w:before="120" w:after="120" w:line="360" w:lineRule="auto"/>
              <w:jc w:val="both"/>
              <w:textAlignment w:val="auto"/>
              <w:rPr>
                <w:b/>
                <w:color w:val="000000"/>
                <w:sz w:val="18"/>
                <w:szCs w:val="18"/>
                <w:lang w:val="en-GB" w:eastAsia="fr-FR"/>
              </w:rPr>
            </w:pPr>
            <w:r w:rsidRPr="00883484">
              <w:rPr>
                <w:b/>
                <w:color w:val="000000"/>
                <w:sz w:val="18"/>
                <w:szCs w:val="18"/>
                <w:lang w:val="en-GB" w:eastAsia="fr-FR"/>
              </w:rPr>
              <w:t>Active</w:t>
            </w:r>
            <w:r w:rsidRPr="00883484">
              <w:rPr>
                <w:b/>
                <w:color w:val="000000"/>
                <w:sz w:val="18"/>
                <w:szCs w:val="18"/>
                <w:lang w:val="en-GB" w:eastAsia="fr-FR"/>
              </w:rPr>
              <w:tab/>
              <w:t>ingredient</w:t>
            </w:r>
            <w:r w:rsidRPr="00883484">
              <w:rPr>
                <w:b/>
                <w:color w:val="000000"/>
                <w:sz w:val="18"/>
                <w:szCs w:val="18"/>
                <w:lang w:val="en-GB" w:eastAsia="fr-FR"/>
              </w:rPr>
              <w:tab/>
            </w:r>
          </w:p>
        </w:tc>
        <w:tc>
          <w:tcPr>
            <w:tcW w:w="2504" w:type="dxa"/>
            <w:tcBorders>
              <w:bottom w:val="single" w:sz="4" w:space="0" w:color="7F7F7F"/>
            </w:tcBorders>
            <w:shd w:val="clear" w:color="auto" w:fill="auto"/>
          </w:tcPr>
          <w:p w14:paraId="6E519346" w14:textId="77777777" w:rsidR="00883484" w:rsidRPr="00883484" w:rsidRDefault="00883484" w:rsidP="00883484">
            <w:pPr>
              <w:suppressAutoHyphens/>
              <w:overflowPunct/>
              <w:autoSpaceDE/>
              <w:autoSpaceDN/>
              <w:adjustRightInd/>
              <w:spacing w:before="120" w:after="120" w:line="360" w:lineRule="auto"/>
              <w:jc w:val="both"/>
              <w:textAlignment w:val="auto"/>
              <w:rPr>
                <w:b/>
                <w:color w:val="000000"/>
                <w:sz w:val="18"/>
                <w:szCs w:val="18"/>
                <w:lang w:val="en-GB" w:eastAsia="fr-FR"/>
              </w:rPr>
            </w:pPr>
            <w:r w:rsidRPr="00883484">
              <w:rPr>
                <w:b/>
                <w:color w:val="000000"/>
                <w:sz w:val="18"/>
                <w:szCs w:val="18"/>
                <w:lang w:val="en-GB" w:eastAsia="fr-FR"/>
              </w:rPr>
              <w:t>Short nomenclature given during the trial</w:t>
            </w:r>
            <w:r w:rsidRPr="00883484">
              <w:rPr>
                <w:b/>
                <w:color w:val="000000"/>
                <w:sz w:val="18"/>
                <w:szCs w:val="18"/>
                <w:lang w:val="en-GB" w:eastAsia="fr-FR"/>
              </w:rPr>
              <w:tab/>
            </w:r>
          </w:p>
        </w:tc>
        <w:tc>
          <w:tcPr>
            <w:tcW w:w="1842" w:type="dxa"/>
            <w:tcBorders>
              <w:bottom w:val="single" w:sz="4" w:space="0" w:color="7F7F7F"/>
            </w:tcBorders>
            <w:shd w:val="clear" w:color="auto" w:fill="auto"/>
          </w:tcPr>
          <w:p w14:paraId="4A8BC829" w14:textId="77777777" w:rsidR="00883484" w:rsidRPr="00883484" w:rsidRDefault="00883484" w:rsidP="00883484">
            <w:pPr>
              <w:suppressAutoHyphens/>
              <w:overflowPunct/>
              <w:autoSpaceDE/>
              <w:autoSpaceDN/>
              <w:adjustRightInd/>
              <w:spacing w:before="120" w:after="120" w:line="360" w:lineRule="auto"/>
              <w:jc w:val="both"/>
              <w:textAlignment w:val="auto"/>
              <w:rPr>
                <w:b/>
                <w:color w:val="000000"/>
                <w:sz w:val="18"/>
                <w:szCs w:val="18"/>
                <w:lang w:val="en-GB" w:eastAsia="fr-FR"/>
              </w:rPr>
            </w:pPr>
            <w:r w:rsidRPr="00883484">
              <w:rPr>
                <w:b/>
                <w:color w:val="000000"/>
                <w:sz w:val="18"/>
                <w:szCs w:val="18"/>
                <w:lang w:val="en-GB" w:eastAsia="fr-FR"/>
              </w:rPr>
              <w:t>Trade name/Company</w:t>
            </w:r>
          </w:p>
        </w:tc>
        <w:tc>
          <w:tcPr>
            <w:tcW w:w="2375" w:type="dxa"/>
            <w:tcBorders>
              <w:bottom w:val="single" w:sz="4" w:space="0" w:color="7F7F7F"/>
            </w:tcBorders>
            <w:shd w:val="clear" w:color="auto" w:fill="auto"/>
          </w:tcPr>
          <w:p w14:paraId="6F8A9DBD" w14:textId="77777777" w:rsidR="00883484" w:rsidRPr="00883484" w:rsidRDefault="00883484" w:rsidP="00883484">
            <w:pPr>
              <w:suppressAutoHyphens/>
              <w:overflowPunct/>
              <w:autoSpaceDE/>
              <w:autoSpaceDN/>
              <w:adjustRightInd/>
              <w:spacing w:before="120" w:after="120" w:line="360" w:lineRule="auto"/>
              <w:jc w:val="both"/>
              <w:textAlignment w:val="auto"/>
              <w:rPr>
                <w:b/>
                <w:color w:val="000000"/>
                <w:sz w:val="18"/>
                <w:szCs w:val="18"/>
                <w:lang w:val="en-GB" w:eastAsia="fr-FR"/>
              </w:rPr>
            </w:pPr>
            <w:r w:rsidRPr="00883484">
              <w:rPr>
                <w:b/>
                <w:color w:val="000000"/>
                <w:sz w:val="18"/>
                <w:szCs w:val="18"/>
                <w:lang w:val="en-GB" w:eastAsia="fr-FR"/>
              </w:rPr>
              <w:t>Product</w:t>
            </w:r>
            <w:r w:rsidRPr="00883484">
              <w:rPr>
                <w:b/>
                <w:color w:val="000000"/>
                <w:sz w:val="18"/>
                <w:szCs w:val="18"/>
                <w:lang w:val="en-GB" w:eastAsia="fr-FR"/>
              </w:rPr>
              <w:tab/>
              <w:t xml:space="preserve"> rate (recommended</w:t>
            </w:r>
            <w:r w:rsidRPr="00883484">
              <w:rPr>
                <w:b/>
                <w:color w:val="000000"/>
                <w:sz w:val="18"/>
                <w:szCs w:val="18"/>
                <w:lang w:val="en-GB" w:eastAsia="fr-FR"/>
              </w:rPr>
              <w:tab/>
              <w:t>dose) (100 L water)</w:t>
            </w:r>
          </w:p>
        </w:tc>
      </w:tr>
      <w:tr w:rsidR="00883484" w:rsidRPr="00883484" w14:paraId="0309ACD0" w14:textId="77777777" w:rsidTr="00EA7795">
        <w:trPr>
          <w:trHeight w:val="293"/>
        </w:trPr>
        <w:tc>
          <w:tcPr>
            <w:tcW w:w="2235" w:type="dxa"/>
            <w:tcBorders>
              <w:top w:val="single" w:sz="4" w:space="0" w:color="7F7F7F"/>
              <w:bottom w:val="single" w:sz="4" w:space="0" w:color="7F7F7F"/>
            </w:tcBorders>
            <w:shd w:val="clear" w:color="auto" w:fill="auto"/>
          </w:tcPr>
          <w:p w14:paraId="280C9FC1" w14:textId="77777777" w:rsidR="00883484" w:rsidRPr="00883484" w:rsidRDefault="00883484" w:rsidP="00883484">
            <w:pPr>
              <w:suppressAutoHyphens/>
              <w:overflowPunct/>
              <w:autoSpaceDE/>
              <w:autoSpaceDN/>
              <w:adjustRightInd/>
              <w:spacing w:before="120" w:after="120" w:line="360" w:lineRule="auto"/>
              <w:jc w:val="both"/>
              <w:textAlignment w:val="auto"/>
              <w:rPr>
                <w:color w:val="000000"/>
                <w:sz w:val="18"/>
                <w:szCs w:val="18"/>
                <w:lang w:val="en-GB" w:eastAsia="fr-FR"/>
              </w:rPr>
            </w:pPr>
            <w:r w:rsidRPr="00883484">
              <w:rPr>
                <w:color w:val="000000"/>
                <w:sz w:val="18"/>
                <w:szCs w:val="18"/>
                <w:lang w:val="en-GB" w:eastAsia="fr-FR"/>
              </w:rPr>
              <w:t>Floupyram 20 g/l + Tebuconazole 200 g/l</w:t>
            </w:r>
          </w:p>
        </w:tc>
        <w:tc>
          <w:tcPr>
            <w:tcW w:w="2504" w:type="dxa"/>
            <w:tcBorders>
              <w:top w:val="single" w:sz="4" w:space="0" w:color="7F7F7F"/>
              <w:bottom w:val="single" w:sz="4" w:space="0" w:color="7F7F7F"/>
            </w:tcBorders>
            <w:shd w:val="clear" w:color="auto" w:fill="auto"/>
          </w:tcPr>
          <w:p w14:paraId="075984AF" w14:textId="77777777" w:rsidR="00883484" w:rsidRPr="00883484" w:rsidRDefault="00883484" w:rsidP="00883484">
            <w:pPr>
              <w:suppressAutoHyphens/>
              <w:overflowPunct/>
              <w:autoSpaceDE/>
              <w:autoSpaceDN/>
              <w:adjustRightInd/>
              <w:spacing w:before="120" w:after="120" w:line="360" w:lineRule="auto"/>
              <w:jc w:val="center"/>
              <w:textAlignment w:val="auto"/>
              <w:rPr>
                <w:color w:val="000000"/>
                <w:sz w:val="18"/>
                <w:szCs w:val="18"/>
                <w:lang w:val="en-GB" w:eastAsia="fr-FR"/>
              </w:rPr>
            </w:pPr>
            <w:r w:rsidRPr="00883484">
              <w:rPr>
                <w:color w:val="000000"/>
                <w:sz w:val="18"/>
                <w:szCs w:val="18"/>
                <w:lang w:val="en-GB" w:eastAsia="fr-FR"/>
              </w:rPr>
              <w:t>A</w:t>
            </w:r>
          </w:p>
        </w:tc>
        <w:tc>
          <w:tcPr>
            <w:tcW w:w="1842" w:type="dxa"/>
            <w:tcBorders>
              <w:top w:val="single" w:sz="4" w:space="0" w:color="7F7F7F"/>
              <w:bottom w:val="single" w:sz="4" w:space="0" w:color="7F7F7F"/>
            </w:tcBorders>
            <w:shd w:val="clear" w:color="auto" w:fill="auto"/>
          </w:tcPr>
          <w:p w14:paraId="1043F1B0" w14:textId="77777777" w:rsidR="00883484" w:rsidRPr="00883484" w:rsidRDefault="00883484" w:rsidP="00883484">
            <w:pPr>
              <w:suppressAutoHyphens/>
              <w:overflowPunct/>
              <w:autoSpaceDE/>
              <w:autoSpaceDN/>
              <w:adjustRightInd/>
              <w:spacing w:before="120" w:after="120" w:line="360" w:lineRule="auto"/>
              <w:jc w:val="both"/>
              <w:textAlignment w:val="auto"/>
              <w:rPr>
                <w:color w:val="000000"/>
                <w:sz w:val="18"/>
                <w:szCs w:val="18"/>
                <w:lang w:val="en-GB" w:eastAsia="fr-FR"/>
              </w:rPr>
            </w:pPr>
            <w:r w:rsidRPr="00883484">
              <w:rPr>
                <w:color w:val="000000"/>
                <w:sz w:val="18"/>
                <w:szCs w:val="18"/>
                <w:lang w:val="en-GB" w:eastAsia="fr-FR"/>
              </w:rPr>
              <w:t>Luna Experience SC 400/Bayer</w:t>
            </w:r>
          </w:p>
        </w:tc>
        <w:tc>
          <w:tcPr>
            <w:tcW w:w="2375" w:type="dxa"/>
            <w:tcBorders>
              <w:top w:val="single" w:sz="4" w:space="0" w:color="7F7F7F"/>
              <w:bottom w:val="single" w:sz="4" w:space="0" w:color="7F7F7F"/>
            </w:tcBorders>
            <w:shd w:val="clear" w:color="auto" w:fill="auto"/>
          </w:tcPr>
          <w:p w14:paraId="199BA4B0" w14:textId="77777777" w:rsidR="00883484" w:rsidRPr="00883484" w:rsidRDefault="00883484" w:rsidP="00883484">
            <w:pPr>
              <w:suppressAutoHyphens/>
              <w:overflowPunct/>
              <w:autoSpaceDE/>
              <w:autoSpaceDN/>
              <w:adjustRightInd/>
              <w:spacing w:before="120" w:after="120" w:line="360" w:lineRule="auto"/>
              <w:jc w:val="center"/>
              <w:textAlignment w:val="auto"/>
              <w:rPr>
                <w:color w:val="000000"/>
                <w:sz w:val="18"/>
                <w:szCs w:val="18"/>
                <w:lang w:val="en-GB" w:eastAsia="fr-FR"/>
              </w:rPr>
            </w:pPr>
            <w:r w:rsidRPr="00883484">
              <w:rPr>
                <w:color w:val="000000"/>
                <w:sz w:val="18"/>
                <w:szCs w:val="18"/>
                <w:lang w:val="en-GB" w:eastAsia="fr-FR"/>
              </w:rPr>
              <w:t>25 ml</w:t>
            </w:r>
          </w:p>
        </w:tc>
      </w:tr>
      <w:tr w:rsidR="00883484" w:rsidRPr="00883484" w14:paraId="137D97D6" w14:textId="77777777" w:rsidTr="00EA7795">
        <w:trPr>
          <w:trHeight w:val="469"/>
        </w:trPr>
        <w:tc>
          <w:tcPr>
            <w:tcW w:w="2235" w:type="dxa"/>
            <w:shd w:val="clear" w:color="auto" w:fill="auto"/>
          </w:tcPr>
          <w:p w14:paraId="253755DF" w14:textId="77777777" w:rsidR="00883484" w:rsidRPr="00883484" w:rsidRDefault="00883484" w:rsidP="00883484">
            <w:pPr>
              <w:suppressAutoHyphens/>
              <w:overflowPunct/>
              <w:autoSpaceDE/>
              <w:autoSpaceDN/>
              <w:adjustRightInd/>
              <w:spacing w:before="120" w:after="120" w:line="360" w:lineRule="auto"/>
              <w:jc w:val="both"/>
              <w:textAlignment w:val="auto"/>
              <w:rPr>
                <w:color w:val="000000"/>
                <w:sz w:val="18"/>
                <w:szCs w:val="18"/>
                <w:lang w:val="en-GB" w:eastAsia="fr-FR"/>
              </w:rPr>
            </w:pPr>
            <w:r w:rsidRPr="00883484">
              <w:rPr>
                <w:color w:val="000000"/>
                <w:sz w:val="18"/>
                <w:szCs w:val="18"/>
                <w:lang w:val="en-GB" w:eastAsia="fr-FR"/>
              </w:rPr>
              <w:t xml:space="preserve">Cyprodinil % 37.5 +   Fludioxanil % 25 </w:t>
            </w:r>
          </w:p>
        </w:tc>
        <w:tc>
          <w:tcPr>
            <w:tcW w:w="2504" w:type="dxa"/>
            <w:shd w:val="clear" w:color="auto" w:fill="auto"/>
          </w:tcPr>
          <w:p w14:paraId="56E6093B" w14:textId="77777777" w:rsidR="00883484" w:rsidRPr="00883484" w:rsidRDefault="00883484" w:rsidP="00883484">
            <w:pPr>
              <w:suppressAutoHyphens/>
              <w:overflowPunct/>
              <w:autoSpaceDE/>
              <w:autoSpaceDN/>
              <w:adjustRightInd/>
              <w:spacing w:before="120" w:after="120" w:line="360" w:lineRule="auto"/>
              <w:jc w:val="center"/>
              <w:textAlignment w:val="auto"/>
              <w:rPr>
                <w:color w:val="000000"/>
                <w:sz w:val="18"/>
                <w:szCs w:val="18"/>
                <w:lang w:val="en-GB" w:eastAsia="fr-FR"/>
              </w:rPr>
            </w:pPr>
            <w:r w:rsidRPr="00883484">
              <w:rPr>
                <w:color w:val="000000"/>
                <w:sz w:val="18"/>
                <w:szCs w:val="18"/>
                <w:lang w:val="en-GB" w:eastAsia="fr-FR"/>
              </w:rPr>
              <w:t>B</w:t>
            </w:r>
          </w:p>
        </w:tc>
        <w:tc>
          <w:tcPr>
            <w:tcW w:w="1842" w:type="dxa"/>
            <w:shd w:val="clear" w:color="auto" w:fill="auto"/>
          </w:tcPr>
          <w:p w14:paraId="51FCF646" w14:textId="77777777" w:rsidR="00883484" w:rsidRPr="00883484" w:rsidRDefault="00883484" w:rsidP="00883484">
            <w:pPr>
              <w:suppressAutoHyphens/>
              <w:overflowPunct/>
              <w:autoSpaceDE/>
              <w:autoSpaceDN/>
              <w:adjustRightInd/>
              <w:spacing w:before="120" w:after="120" w:line="360" w:lineRule="auto"/>
              <w:jc w:val="both"/>
              <w:textAlignment w:val="auto"/>
              <w:rPr>
                <w:color w:val="000000"/>
                <w:sz w:val="18"/>
                <w:szCs w:val="18"/>
                <w:lang w:val="en-GB" w:eastAsia="fr-FR"/>
              </w:rPr>
            </w:pPr>
            <w:r w:rsidRPr="00883484">
              <w:rPr>
                <w:color w:val="000000"/>
                <w:sz w:val="18"/>
                <w:szCs w:val="18"/>
                <w:lang w:val="en-GB" w:eastAsia="fr-FR"/>
              </w:rPr>
              <w:t>Switch 62.5/WG  Syngenta</w:t>
            </w:r>
          </w:p>
        </w:tc>
        <w:tc>
          <w:tcPr>
            <w:tcW w:w="2375" w:type="dxa"/>
            <w:shd w:val="clear" w:color="auto" w:fill="auto"/>
          </w:tcPr>
          <w:p w14:paraId="7080AD19" w14:textId="77777777" w:rsidR="00883484" w:rsidRPr="00883484" w:rsidRDefault="00883484" w:rsidP="00883484">
            <w:pPr>
              <w:suppressAutoHyphens/>
              <w:overflowPunct/>
              <w:autoSpaceDE/>
              <w:autoSpaceDN/>
              <w:adjustRightInd/>
              <w:spacing w:before="120" w:after="120" w:line="360" w:lineRule="auto"/>
              <w:jc w:val="center"/>
              <w:textAlignment w:val="auto"/>
              <w:rPr>
                <w:color w:val="000000"/>
                <w:sz w:val="18"/>
                <w:szCs w:val="18"/>
                <w:lang w:val="en-GB" w:eastAsia="fr-FR"/>
              </w:rPr>
            </w:pPr>
            <w:r w:rsidRPr="00883484">
              <w:rPr>
                <w:color w:val="000000"/>
                <w:sz w:val="18"/>
                <w:szCs w:val="18"/>
                <w:lang w:val="en-GB" w:eastAsia="fr-FR"/>
              </w:rPr>
              <w:t>50 g</w:t>
            </w:r>
          </w:p>
        </w:tc>
      </w:tr>
      <w:tr w:rsidR="00883484" w:rsidRPr="00883484" w14:paraId="0350D285" w14:textId="77777777" w:rsidTr="00EA7795">
        <w:trPr>
          <w:trHeight w:val="143"/>
        </w:trPr>
        <w:tc>
          <w:tcPr>
            <w:tcW w:w="2235" w:type="dxa"/>
            <w:tcBorders>
              <w:top w:val="single" w:sz="4" w:space="0" w:color="7F7F7F"/>
              <w:bottom w:val="single" w:sz="4" w:space="0" w:color="7F7F7F"/>
            </w:tcBorders>
            <w:shd w:val="clear" w:color="auto" w:fill="auto"/>
          </w:tcPr>
          <w:p w14:paraId="5436BB0B" w14:textId="77777777" w:rsidR="00883484" w:rsidRPr="00883484" w:rsidRDefault="00883484" w:rsidP="00883484">
            <w:pPr>
              <w:suppressAutoHyphens/>
              <w:overflowPunct/>
              <w:autoSpaceDE/>
              <w:autoSpaceDN/>
              <w:adjustRightInd/>
              <w:spacing w:before="120" w:after="120" w:line="360" w:lineRule="auto"/>
              <w:jc w:val="both"/>
              <w:textAlignment w:val="auto"/>
              <w:rPr>
                <w:color w:val="000000"/>
                <w:sz w:val="18"/>
                <w:szCs w:val="18"/>
                <w:lang w:val="en-GB" w:eastAsia="fr-FR"/>
              </w:rPr>
            </w:pPr>
            <w:r w:rsidRPr="00883484">
              <w:rPr>
                <w:i/>
                <w:color w:val="000000"/>
                <w:sz w:val="18"/>
                <w:szCs w:val="18"/>
                <w:lang w:val="en-GB" w:eastAsia="fr-FR"/>
              </w:rPr>
              <w:t xml:space="preserve">Trichoderma harzianum </w:t>
            </w:r>
            <w:r w:rsidRPr="00883484">
              <w:rPr>
                <w:sz w:val="18"/>
                <w:szCs w:val="18"/>
                <w:lang w:val="en-GB" w:eastAsia="fr-FR"/>
              </w:rPr>
              <w:t>Rifai KRL-AG2</w:t>
            </w:r>
          </w:p>
        </w:tc>
        <w:tc>
          <w:tcPr>
            <w:tcW w:w="2504" w:type="dxa"/>
            <w:tcBorders>
              <w:top w:val="single" w:sz="4" w:space="0" w:color="7F7F7F"/>
              <w:bottom w:val="single" w:sz="4" w:space="0" w:color="7F7F7F"/>
            </w:tcBorders>
            <w:shd w:val="clear" w:color="auto" w:fill="auto"/>
          </w:tcPr>
          <w:p w14:paraId="52B267B7" w14:textId="77777777" w:rsidR="00883484" w:rsidRPr="00883484" w:rsidRDefault="00883484" w:rsidP="00883484">
            <w:pPr>
              <w:suppressAutoHyphens/>
              <w:overflowPunct/>
              <w:autoSpaceDE/>
              <w:autoSpaceDN/>
              <w:adjustRightInd/>
              <w:spacing w:before="120" w:after="120" w:line="360" w:lineRule="auto"/>
              <w:jc w:val="center"/>
              <w:textAlignment w:val="auto"/>
              <w:rPr>
                <w:color w:val="000000"/>
                <w:sz w:val="18"/>
                <w:szCs w:val="18"/>
                <w:lang w:val="en-GB" w:eastAsia="fr-FR"/>
              </w:rPr>
            </w:pPr>
            <w:r w:rsidRPr="00883484">
              <w:rPr>
                <w:color w:val="000000"/>
                <w:sz w:val="18"/>
                <w:szCs w:val="18"/>
                <w:lang w:val="en-GB" w:eastAsia="fr-FR"/>
              </w:rPr>
              <w:t>C</w:t>
            </w:r>
          </w:p>
        </w:tc>
        <w:tc>
          <w:tcPr>
            <w:tcW w:w="1842" w:type="dxa"/>
            <w:tcBorders>
              <w:top w:val="single" w:sz="4" w:space="0" w:color="7F7F7F"/>
              <w:bottom w:val="single" w:sz="4" w:space="0" w:color="7F7F7F"/>
            </w:tcBorders>
            <w:shd w:val="clear" w:color="auto" w:fill="auto"/>
          </w:tcPr>
          <w:p w14:paraId="2141C5B4" w14:textId="77777777" w:rsidR="00883484" w:rsidRPr="00883484" w:rsidRDefault="00883484" w:rsidP="00883484">
            <w:pPr>
              <w:suppressAutoHyphens/>
              <w:overflowPunct/>
              <w:autoSpaceDE/>
              <w:autoSpaceDN/>
              <w:adjustRightInd/>
              <w:spacing w:before="120" w:after="120" w:line="360" w:lineRule="auto"/>
              <w:jc w:val="both"/>
              <w:textAlignment w:val="auto"/>
              <w:rPr>
                <w:color w:val="000000"/>
                <w:sz w:val="18"/>
                <w:szCs w:val="18"/>
                <w:lang w:val="en-GB" w:eastAsia="fr-FR"/>
              </w:rPr>
            </w:pPr>
            <w:r w:rsidRPr="00883484">
              <w:rPr>
                <w:color w:val="000000"/>
                <w:sz w:val="18"/>
                <w:szCs w:val="18"/>
                <w:lang w:val="en-GB" w:eastAsia="fr-FR"/>
              </w:rPr>
              <w:t>T-22 Planter Box/</w:t>
            </w:r>
            <w:r w:rsidRPr="00883484">
              <w:rPr>
                <w:sz w:val="18"/>
                <w:szCs w:val="18"/>
                <w:lang w:val="en-GB" w:eastAsia="fr-FR"/>
              </w:rPr>
              <w:t xml:space="preserve"> Bioglobal</w:t>
            </w:r>
          </w:p>
        </w:tc>
        <w:tc>
          <w:tcPr>
            <w:tcW w:w="2375" w:type="dxa"/>
            <w:tcBorders>
              <w:top w:val="single" w:sz="4" w:space="0" w:color="7F7F7F"/>
              <w:bottom w:val="single" w:sz="4" w:space="0" w:color="7F7F7F"/>
            </w:tcBorders>
            <w:shd w:val="clear" w:color="auto" w:fill="auto"/>
          </w:tcPr>
          <w:p w14:paraId="734A4548" w14:textId="77777777" w:rsidR="00883484" w:rsidRPr="00883484" w:rsidRDefault="00883484" w:rsidP="00883484">
            <w:pPr>
              <w:suppressAutoHyphens/>
              <w:overflowPunct/>
              <w:autoSpaceDE/>
              <w:autoSpaceDN/>
              <w:adjustRightInd/>
              <w:spacing w:before="120" w:after="120" w:line="360" w:lineRule="auto"/>
              <w:jc w:val="center"/>
              <w:textAlignment w:val="auto"/>
              <w:rPr>
                <w:color w:val="000000"/>
                <w:sz w:val="18"/>
                <w:szCs w:val="18"/>
                <w:lang w:val="en-GB" w:eastAsia="fr-FR"/>
              </w:rPr>
            </w:pPr>
            <w:r w:rsidRPr="00883484">
              <w:rPr>
                <w:color w:val="000000"/>
                <w:sz w:val="18"/>
                <w:szCs w:val="18"/>
                <w:lang w:val="en-GB" w:eastAsia="fr-FR"/>
              </w:rPr>
              <w:t>50 g</w:t>
            </w:r>
          </w:p>
        </w:tc>
      </w:tr>
      <w:tr w:rsidR="00883484" w:rsidRPr="00883484" w14:paraId="2AC59605" w14:textId="77777777" w:rsidTr="00EA7795">
        <w:trPr>
          <w:trHeight w:val="215"/>
        </w:trPr>
        <w:tc>
          <w:tcPr>
            <w:tcW w:w="2235" w:type="dxa"/>
            <w:shd w:val="clear" w:color="auto" w:fill="auto"/>
          </w:tcPr>
          <w:p w14:paraId="4EA8F96E" w14:textId="77777777" w:rsidR="00883484" w:rsidRPr="00883484" w:rsidRDefault="00883484" w:rsidP="00883484">
            <w:pPr>
              <w:suppressAutoHyphens/>
              <w:overflowPunct/>
              <w:autoSpaceDE/>
              <w:autoSpaceDN/>
              <w:adjustRightInd/>
              <w:spacing w:before="120" w:after="120" w:line="360" w:lineRule="auto"/>
              <w:jc w:val="both"/>
              <w:textAlignment w:val="auto"/>
              <w:rPr>
                <w:color w:val="000000"/>
                <w:sz w:val="18"/>
                <w:szCs w:val="18"/>
                <w:lang w:val="en-GB" w:eastAsia="fr-FR"/>
              </w:rPr>
            </w:pPr>
            <w:r w:rsidRPr="00883484">
              <w:rPr>
                <w:color w:val="000000"/>
                <w:sz w:val="18"/>
                <w:szCs w:val="18"/>
                <w:lang w:val="en-GB" w:eastAsia="fr-FR"/>
              </w:rPr>
              <w:t xml:space="preserve">Control </w:t>
            </w:r>
          </w:p>
        </w:tc>
        <w:tc>
          <w:tcPr>
            <w:tcW w:w="2504" w:type="dxa"/>
            <w:shd w:val="clear" w:color="auto" w:fill="auto"/>
          </w:tcPr>
          <w:p w14:paraId="4375C4E2" w14:textId="77777777" w:rsidR="00883484" w:rsidRPr="00883484" w:rsidRDefault="00883484" w:rsidP="00883484">
            <w:pPr>
              <w:suppressAutoHyphens/>
              <w:overflowPunct/>
              <w:autoSpaceDE/>
              <w:autoSpaceDN/>
              <w:adjustRightInd/>
              <w:spacing w:before="120" w:after="120" w:line="360" w:lineRule="auto"/>
              <w:jc w:val="center"/>
              <w:textAlignment w:val="auto"/>
              <w:rPr>
                <w:color w:val="000000"/>
                <w:sz w:val="18"/>
                <w:szCs w:val="18"/>
                <w:lang w:val="en-GB" w:eastAsia="fr-FR"/>
              </w:rPr>
            </w:pPr>
            <w:r w:rsidRPr="00883484">
              <w:rPr>
                <w:color w:val="000000"/>
                <w:sz w:val="18"/>
                <w:szCs w:val="18"/>
                <w:lang w:val="en-GB" w:eastAsia="fr-FR"/>
              </w:rPr>
              <w:t>D</w:t>
            </w:r>
          </w:p>
        </w:tc>
        <w:tc>
          <w:tcPr>
            <w:tcW w:w="1842" w:type="dxa"/>
            <w:shd w:val="clear" w:color="auto" w:fill="auto"/>
          </w:tcPr>
          <w:p w14:paraId="180EED5E" w14:textId="77777777" w:rsidR="00883484" w:rsidRPr="00883484" w:rsidRDefault="00883484" w:rsidP="00883484">
            <w:pPr>
              <w:suppressAutoHyphens/>
              <w:overflowPunct/>
              <w:autoSpaceDE/>
              <w:autoSpaceDN/>
              <w:adjustRightInd/>
              <w:spacing w:before="120" w:after="120" w:line="360" w:lineRule="auto"/>
              <w:jc w:val="both"/>
              <w:textAlignment w:val="auto"/>
              <w:rPr>
                <w:color w:val="000000"/>
                <w:sz w:val="18"/>
                <w:szCs w:val="18"/>
                <w:lang w:val="en-GB" w:eastAsia="fr-FR"/>
              </w:rPr>
            </w:pPr>
            <w:r w:rsidRPr="00883484">
              <w:rPr>
                <w:color w:val="000000"/>
                <w:sz w:val="18"/>
                <w:szCs w:val="18"/>
                <w:lang w:val="en-GB" w:eastAsia="fr-FR"/>
              </w:rPr>
              <w:t>Water</w:t>
            </w:r>
          </w:p>
        </w:tc>
        <w:tc>
          <w:tcPr>
            <w:tcW w:w="2375" w:type="dxa"/>
            <w:shd w:val="clear" w:color="auto" w:fill="auto"/>
          </w:tcPr>
          <w:p w14:paraId="0FB4EBC5" w14:textId="77777777" w:rsidR="00883484" w:rsidRPr="00883484" w:rsidRDefault="00883484" w:rsidP="00883484">
            <w:pPr>
              <w:suppressAutoHyphens/>
              <w:overflowPunct/>
              <w:autoSpaceDE/>
              <w:autoSpaceDN/>
              <w:adjustRightInd/>
              <w:spacing w:before="120" w:after="120" w:line="360" w:lineRule="auto"/>
              <w:jc w:val="center"/>
              <w:textAlignment w:val="auto"/>
              <w:rPr>
                <w:color w:val="000000"/>
                <w:sz w:val="18"/>
                <w:szCs w:val="18"/>
                <w:lang w:val="en-GB" w:eastAsia="fr-FR"/>
              </w:rPr>
            </w:pPr>
            <w:r w:rsidRPr="00883484">
              <w:rPr>
                <w:color w:val="000000"/>
                <w:sz w:val="18"/>
                <w:szCs w:val="18"/>
                <w:lang w:val="en-GB" w:eastAsia="fr-FR"/>
              </w:rPr>
              <w:t>-</w:t>
            </w:r>
          </w:p>
        </w:tc>
      </w:tr>
    </w:tbl>
    <w:p w14:paraId="19A2978C" w14:textId="77777777" w:rsidR="00883484" w:rsidRPr="00C17FDF" w:rsidRDefault="00883484" w:rsidP="00C17FDF">
      <w:pPr>
        <w:spacing w:line="360" w:lineRule="auto"/>
        <w:jc w:val="both"/>
        <w:rPr>
          <w:lang w:val="en-GB"/>
        </w:rPr>
      </w:pPr>
    </w:p>
    <w:p w14:paraId="116CADFB" w14:textId="79191328" w:rsidR="00C17FDF" w:rsidRPr="00883484" w:rsidRDefault="00C17FDF" w:rsidP="00C17FDF">
      <w:pPr>
        <w:spacing w:line="360" w:lineRule="auto"/>
        <w:jc w:val="both"/>
        <w:rPr>
          <w:b/>
          <w:lang w:val="en-GB"/>
        </w:rPr>
      </w:pPr>
      <w:r w:rsidRPr="00883484">
        <w:rPr>
          <w:b/>
          <w:lang w:val="en-GB"/>
        </w:rPr>
        <w:t xml:space="preserve">Evaluation of the efficacy of the fungicides applied to root zones </w:t>
      </w:r>
    </w:p>
    <w:p w14:paraId="71546153" w14:textId="4792F967" w:rsidR="00C17FDF" w:rsidRPr="00C17FDF" w:rsidRDefault="00C17FDF" w:rsidP="00C17FDF">
      <w:pPr>
        <w:spacing w:line="360" w:lineRule="auto"/>
        <w:jc w:val="both"/>
        <w:rPr>
          <w:lang w:val="en-GB"/>
        </w:rPr>
      </w:pPr>
      <w:r w:rsidRPr="00C17FDF">
        <w:rPr>
          <w:lang w:val="en-GB"/>
        </w:rPr>
        <w:t>After the saplings were uprooted in December, two met</w:t>
      </w:r>
      <w:r w:rsidR="00303BF9">
        <w:rPr>
          <w:lang w:val="en-GB"/>
        </w:rPr>
        <w:t xml:space="preserve">hods were used in the analysis. </w:t>
      </w:r>
      <w:r w:rsidRPr="00C17FDF">
        <w:rPr>
          <w:lang w:val="en-GB"/>
        </w:rPr>
        <w:t>In the first methods, samples were collected from the sick and healthy saplings into plastic bags in 5 replicates (4 saplings in each replicate for each application). Fungi were isolated from the root and root collar regions of the samples. After surfaces were sterilized in the laboratory, the samples were planted in petri dishes that included PDA medium in 4 replicated, and each replicate included seven pieces. After the samples were incubated for 7 days, fungal development was identified and the isolation incidence of the fungi in naturally infected saplings was determined as a percentage. Isolation incidence was calculated by counting the fungal colony growth on wood chips in petri dishes, and the fungal infection rate was expressed as the ratio of the total number of colonies for each fungus to the total wood chip area (coated on PDA) for each application.</w:t>
      </w:r>
    </w:p>
    <w:p w14:paraId="10AB8FC0" w14:textId="345964B3" w:rsidR="004F69E7" w:rsidRDefault="00DF3663" w:rsidP="00C17FDF">
      <w:pPr>
        <w:spacing w:line="360" w:lineRule="auto"/>
        <w:jc w:val="both"/>
        <w:rPr>
          <w:lang w:val="en-GB"/>
        </w:rPr>
      </w:pPr>
      <w:r w:rsidRPr="00DF3663">
        <w:rPr>
          <w:lang w:val="en-GB"/>
        </w:rPr>
        <w:t>In the second method, after the saplings were removed from the experimental area, they were counted and classified based on the TS 3981 standard. The number of saplings/planted cuttings was calculated as the total sapling yield (%), and the number of 1st size saplings/total saplings was accepted as the 1st size sapling yield (%). Furthermore, the mean shoot length (cm), root length (cm) and callus development level (0-4 scale) were determined for the saplings (Korkutal et al., 2011) (0=no callus, 1= unilateral callus formation, 2= bilateral callus formation, 3= three-sided callus formation, 4= circumferential (four-sided) callus formation). Considering the condition of the callus tissue that surrounded the graft site, these figures are presented as ratios (Korkutal et al., 2011) and analysed statistically.</w:t>
      </w:r>
    </w:p>
    <w:p w14:paraId="1DAF7852" w14:textId="77777777" w:rsidR="00DF3663" w:rsidRPr="00C17FDF" w:rsidRDefault="00DF3663" w:rsidP="00C17FDF">
      <w:pPr>
        <w:spacing w:line="360" w:lineRule="auto"/>
        <w:jc w:val="both"/>
        <w:rPr>
          <w:lang w:val="en-GB"/>
        </w:rPr>
      </w:pPr>
    </w:p>
    <w:p w14:paraId="5FA47014" w14:textId="23B46394" w:rsidR="00C17FDF" w:rsidRPr="00303BF9" w:rsidRDefault="00C17FDF" w:rsidP="00C17FDF">
      <w:pPr>
        <w:spacing w:line="360" w:lineRule="auto"/>
        <w:jc w:val="both"/>
        <w:rPr>
          <w:b/>
          <w:lang w:val="en-GB"/>
        </w:rPr>
      </w:pPr>
      <w:r w:rsidRPr="00303BF9">
        <w:rPr>
          <w:b/>
          <w:lang w:val="en-GB"/>
        </w:rPr>
        <w:t xml:space="preserve">Identification of fungal pathogens </w:t>
      </w:r>
    </w:p>
    <w:p w14:paraId="426C8FEC" w14:textId="77777777" w:rsidR="00C17FDF" w:rsidRPr="00C17FDF" w:rsidRDefault="00C17FDF" w:rsidP="00C17FDF">
      <w:pPr>
        <w:spacing w:line="360" w:lineRule="auto"/>
        <w:jc w:val="both"/>
        <w:rPr>
          <w:lang w:val="en-GB"/>
        </w:rPr>
      </w:pPr>
      <w:r w:rsidRPr="00C17FDF">
        <w:rPr>
          <w:lang w:val="en-GB"/>
        </w:rPr>
        <w:t>The fungal pathogens were isolated from randomly selected 10 sapling roots and shoots in the fungicide/bio-fungicide application crates transferred from the grafting chamber and vine roots and shoots uprooted after 9 months with the method proposed by Rego et al. (2006). The morphological identification of the species was conducted based on the microscopic features and colony morphology specified in the literature (Simmons, 1992; Koike et al., 2007, Mirzaei et al., 2009; Úrbez-Torres et al., 2013; Al-Fadhal et al., 2019).</w:t>
      </w:r>
    </w:p>
    <w:p w14:paraId="59DA36B6" w14:textId="77777777" w:rsidR="00C17FDF" w:rsidRPr="00C17FDF" w:rsidRDefault="00C17FDF" w:rsidP="00C17FDF">
      <w:pPr>
        <w:spacing w:line="360" w:lineRule="auto"/>
        <w:jc w:val="both"/>
        <w:rPr>
          <w:lang w:val="en-GB"/>
        </w:rPr>
      </w:pPr>
      <w:r w:rsidRPr="00C17FDF">
        <w:rPr>
          <w:lang w:val="en-GB"/>
        </w:rPr>
        <w:t>Molecular diagnoses were conducted on pure and morphologically diagnosed isolates. DNAs were extracted based on the method suggested by Cenis (1992) with the 50 mg fresh mycelium collected from isolate colonies. The concentration and purity of the isolated DNAs were determined with the Multi-scan GO μ-drop plate (Thermo Scientific, USA). PCR was determined with internal transcribed spacers (ITS) rDNA region ITS1 (5' TCC TCC GCT TAT TGA TAT GC 3') and ITS4 (5' TCC TCC GCT TAT TGA TAT GC 3') primer pairs [21]. In real-time (RT)-PCR reactions, 0.3 μl 20 μM forward primer, 0.3 μl 20 μM reverse primer, 2 μl DNA, and 10 μl 2x FastStart Essential DNA Green Master Mix were added into sterile PCR tubes and the volume was completed to 20 μl with DNase/RNase distilled water. RT-PCR (Roche Light Cycler® Nano) amplification conditions were determined as follows: Initial denaturation at 95°C for 10 min and denaturation for 30 sec at 95°C, annealing temperature ITS 56°C, 72°C for 1 min and 35 cycles. PCR sequence data were obtained with bidirectional genome sequencing at a Sanger sequencing laboratory (TiroGen, Turkey). The sequence data chromatogram files were analyzed with the ChromasPro 1.7.6 chromatogram analysis software, and consensus sequences were obtained by combining the forward and reverse sequence data. Blast analyzes of the fungi species and consensus sequences for each gene region were conducted with the National Center for Biotechnology Information (NCBI) Gene Bank database. Access numbers of the diagnosed isolates were obtained from the NCBI gene bank library.</w:t>
      </w:r>
    </w:p>
    <w:p w14:paraId="2371C620" w14:textId="23A25244" w:rsidR="00C17FDF" w:rsidRPr="005330E3" w:rsidRDefault="00C17FDF" w:rsidP="00C17FDF">
      <w:pPr>
        <w:spacing w:line="360" w:lineRule="auto"/>
        <w:jc w:val="both"/>
        <w:rPr>
          <w:b/>
          <w:lang w:val="en-GB"/>
        </w:rPr>
      </w:pPr>
      <w:r w:rsidRPr="005330E3">
        <w:rPr>
          <w:b/>
          <w:lang w:val="en-GB"/>
        </w:rPr>
        <w:t xml:space="preserve">Statistical analysis </w:t>
      </w:r>
    </w:p>
    <w:p w14:paraId="5ECA8394" w14:textId="77777777" w:rsidR="00C17FDF" w:rsidRPr="00C17FDF" w:rsidRDefault="00C17FDF" w:rsidP="00C17FDF">
      <w:pPr>
        <w:spacing w:line="360" w:lineRule="auto"/>
        <w:jc w:val="both"/>
        <w:rPr>
          <w:lang w:val="en-GB"/>
        </w:rPr>
      </w:pPr>
      <w:r w:rsidRPr="00C17FDF">
        <w:rPr>
          <w:lang w:val="en-GB"/>
        </w:rPr>
        <w:t>All trials were set up based on random plot design, and post-callus development fungal isolation rate was determined GraphPad Prism (Version 8.01) (*P &lt; 0.001) and two-way ANOVA. Sapling isolation finding analysis after nursery soil treatment and analysis of the impact of the treatments on sapling yield and analysis of variance for quality (ANOVA) were conducted pn SPSS 17.0 (SPSS, Inc., Chicago, IL, USA) software and Duncan's multiple range test (p &lt; 0.05).</w:t>
      </w:r>
    </w:p>
    <w:p w14:paraId="3130C98A" w14:textId="77777777" w:rsidR="005330E3" w:rsidRDefault="005330E3" w:rsidP="00C17FDF">
      <w:pPr>
        <w:spacing w:line="360" w:lineRule="auto"/>
        <w:jc w:val="both"/>
        <w:rPr>
          <w:b/>
          <w:lang w:val="en-GB"/>
        </w:rPr>
      </w:pPr>
    </w:p>
    <w:p w14:paraId="1A26A952" w14:textId="5C187441" w:rsidR="00C17FDF" w:rsidRDefault="005330E3" w:rsidP="00C17FDF">
      <w:pPr>
        <w:spacing w:line="360" w:lineRule="auto"/>
        <w:jc w:val="both"/>
        <w:rPr>
          <w:b/>
          <w:lang w:val="en-GB"/>
        </w:rPr>
      </w:pPr>
      <w:r w:rsidRPr="005330E3">
        <w:rPr>
          <w:b/>
          <w:lang w:val="en-GB"/>
        </w:rPr>
        <w:t xml:space="preserve">RESULTS </w:t>
      </w:r>
    </w:p>
    <w:p w14:paraId="79056DB3" w14:textId="77777777" w:rsidR="00D7079E" w:rsidRPr="005330E3" w:rsidRDefault="00D7079E" w:rsidP="00C17FDF">
      <w:pPr>
        <w:spacing w:line="360" w:lineRule="auto"/>
        <w:jc w:val="both"/>
        <w:rPr>
          <w:b/>
          <w:lang w:val="en-GB"/>
        </w:rPr>
      </w:pPr>
    </w:p>
    <w:p w14:paraId="604E6E53" w14:textId="3BEB618F" w:rsidR="00D7079E" w:rsidRPr="005330E3" w:rsidRDefault="00C17FDF" w:rsidP="00C17FDF">
      <w:pPr>
        <w:spacing w:line="360" w:lineRule="auto"/>
        <w:jc w:val="both"/>
        <w:rPr>
          <w:b/>
          <w:lang w:val="en-GB"/>
        </w:rPr>
      </w:pPr>
      <w:r w:rsidRPr="005330E3">
        <w:rPr>
          <w:b/>
          <w:lang w:val="en-GB"/>
        </w:rPr>
        <w:t xml:space="preserve">Identification of fungi that cause rot during callus development </w:t>
      </w:r>
    </w:p>
    <w:p w14:paraId="5739A9F0" w14:textId="1F4E3623" w:rsidR="00C17FDF" w:rsidRPr="00C17FDF" w:rsidRDefault="00C17FDF" w:rsidP="00C17FDF">
      <w:pPr>
        <w:spacing w:line="360" w:lineRule="auto"/>
        <w:jc w:val="both"/>
        <w:rPr>
          <w:lang w:val="en-GB"/>
        </w:rPr>
      </w:pPr>
      <w:r w:rsidRPr="00C17FDF">
        <w:rPr>
          <w:lang w:val="en-GB"/>
        </w:rPr>
        <w:t xml:space="preserve">The most frequently isolated fungus was </w:t>
      </w:r>
      <w:r w:rsidRPr="00CC4CAD">
        <w:rPr>
          <w:i/>
          <w:lang w:val="en-GB"/>
        </w:rPr>
        <w:t>Fusarium</w:t>
      </w:r>
      <w:r w:rsidRPr="00C17FDF">
        <w:rPr>
          <w:lang w:val="en-GB"/>
        </w:rPr>
        <w:t xml:space="preserve"> spp. (30.10%, 13.53%, 12.21%, and 9.84%), followed by </w:t>
      </w:r>
      <w:r w:rsidRPr="00CC4CAD">
        <w:rPr>
          <w:i/>
          <w:lang w:val="en-GB"/>
        </w:rPr>
        <w:t>A</w:t>
      </w:r>
      <w:r w:rsidR="00CC4CAD" w:rsidRPr="00CC4CAD">
        <w:rPr>
          <w:i/>
          <w:lang w:val="en-GB"/>
        </w:rPr>
        <w:t>.</w:t>
      </w:r>
      <w:r w:rsidRPr="00CC4CAD">
        <w:rPr>
          <w:i/>
          <w:lang w:val="en-GB"/>
        </w:rPr>
        <w:t xml:space="preserve"> alternata</w:t>
      </w:r>
      <w:r w:rsidRPr="00C17FDF">
        <w:rPr>
          <w:lang w:val="en-GB"/>
        </w:rPr>
        <w:t xml:space="preserve"> in sapling shoots after application of two fungicides and one bio-fungicide and grafting (Figure 2). In application D, the most frequently isolated fungus in both shoots and roots (p&lt;0.0001) was also </w:t>
      </w:r>
      <w:r w:rsidRPr="00CC4CAD">
        <w:rPr>
          <w:i/>
          <w:lang w:val="en-GB"/>
        </w:rPr>
        <w:t>Fusarium</w:t>
      </w:r>
      <w:r w:rsidRPr="00C17FDF">
        <w:rPr>
          <w:lang w:val="en-GB"/>
        </w:rPr>
        <w:t xml:space="preserve"> spp. (30.10% and 27.19%, respectively) (Figure 4). The most frequently isolated fungus was </w:t>
      </w:r>
      <w:r w:rsidRPr="00CC4CAD">
        <w:rPr>
          <w:i/>
          <w:lang w:val="en-GB"/>
        </w:rPr>
        <w:t xml:space="preserve">Fusarium </w:t>
      </w:r>
      <w:r w:rsidRPr="00C17FDF">
        <w:rPr>
          <w:lang w:val="en-GB"/>
        </w:rPr>
        <w:t xml:space="preserve">spp. in roots (21.55%). It was determined that the reason for the high isolation of </w:t>
      </w:r>
      <w:r w:rsidRPr="00CC4CAD">
        <w:rPr>
          <w:i/>
          <w:lang w:val="en-GB"/>
        </w:rPr>
        <w:t>Fusarium</w:t>
      </w:r>
      <w:r w:rsidRPr="00C17FDF">
        <w:rPr>
          <w:lang w:val="en-GB"/>
        </w:rPr>
        <w:t xml:space="preserve"> spp. in vine saplings after grafting and cutting and sawdust applications was the neutralization of the protective effects of fungicides by the grafting chamber temperature and humidity (25°C and 90% humidity) and almost provided control group conditions. </w:t>
      </w:r>
      <w:r w:rsidRPr="00375A25">
        <w:rPr>
          <w:i/>
          <w:lang w:val="en-GB"/>
        </w:rPr>
        <w:t>Botryosphaeria</w:t>
      </w:r>
      <w:r w:rsidRPr="00C17FDF">
        <w:rPr>
          <w:lang w:val="en-GB"/>
        </w:rPr>
        <w:t xml:space="preserve"> spp. was isolated from shoots and roots (9.67%, 9.70%) and led to dieback in the control group (Figures 2 and 3). However, </w:t>
      </w:r>
      <w:r w:rsidRPr="0030488B">
        <w:rPr>
          <w:i/>
          <w:lang w:val="en-GB"/>
        </w:rPr>
        <w:t xml:space="preserve">Botryosphaeria </w:t>
      </w:r>
      <w:r w:rsidRPr="00C17FDF">
        <w:rPr>
          <w:lang w:val="en-GB"/>
        </w:rPr>
        <w:t xml:space="preserve">spp. was isolated in the B treatment group from the shoot (7.04%) and in the C treatment group from the root (4.87%) asymptomatic tissues (Figure 3). </w:t>
      </w:r>
      <w:r w:rsidRPr="00375A25">
        <w:rPr>
          <w:i/>
          <w:lang w:val="en-GB"/>
        </w:rPr>
        <w:t>Diaporthe ampelina</w:t>
      </w:r>
      <w:r w:rsidRPr="00C17FDF">
        <w:rPr>
          <w:lang w:val="en-GB"/>
        </w:rPr>
        <w:t xml:space="preserve"> isolation rate was 3-5% from the shoots of the vine saplings after the grafting chamber at 25°C and 90% relative humidity, and it was the highest dieback pathogen, and its isolation rate was 11.67% from the roots in the control group. In A, C and D applications, </w:t>
      </w:r>
      <w:r w:rsidRPr="00375A25">
        <w:rPr>
          <w:i/>
          <w:lang w:val="en-GB"/>
        </w:rPr>
        <w:t>Ilyonectria</w:t>
      </w:r>
      <w:r w:rsidRPr="00C17FDF">
        <w:rPr>
          <w:lang w:val="en-GB"/>
        </w:rPr>
        <w:t xml:space="preserve"> spp. was isolated and led to black foot disease. In the B treatment callus stage, black foot development was controlled in shoots and roots. Eight fungal genera were isolated after callus development. Among these genera, </w:t>
      </w:r>
      <w:r w:rsidRPr="00375A25">
        <w:rPr>
          <w:i/>
          <w:lang w:val="en-GB"/>
        </w:rPr>
        <w:t>Botrytis</w:t>
      </w:r>
      <w:r w:rsidRPr="00C17FDF">
        <w:rPr>
          <w:lang w:val="en-GB"/>
        </w:rPr>
        <w:t xml:space="preserve">, </w:t>
      </w:r>
      <w:r w:rsidRPr="00375A25">
        <w:rPr>
          <w:i/>
          <w:lang w:val="en-GB"/>
        </w:rPr>
        <w:t>Botryosphaeria</w:t>
      </w:r>
      <w:r w:rsidRPr="00C17FDF">
        <w:rPr>
          <w:lang w:val="en-GB"/>
        </w:rPr>
        <w:t xml:space="preserve">, </w:t>
      </w:r>
      <w:r w:rsidRPr="00375A25">
        <w:rPr>
          <w:i/>
          <w:lang w:val="en-GB"/>
        </w:rPr>
        <w:t>Rhizoctonia</w:t>
      </w:r>
      <w:r w:rsidRPr="00C17FDF">
        <w:rPr>
          <w:lang w:val="en-GB"/>
        </w:rPr>
        <w:t xml:space="preserve">, </w:t>
      </w:r>
      <w:r w:rsidRPr="00375A25">
        <w:rPr>
          <w:i/>
          <w:lang w:val="en-GB"/>
        </w:rPr>
        <w:t>Ilyonectria</w:t>
      </w:r>
      <w:r w:rsidRPr="00C17FDF">
        <w:rPr>
          <w:lang w:val="en-GB"/>
        </w:rPr>
        <w:t xml:space="preserve"> spp. and </w:t>
      </w:r>
      <w:r w:rsidRPr="00375A25">
        <w:rPr>
          <w:i/>
          <w:lang w:val="en-GB"/>
        </w:rPr>
        <w:t xml:space="preserve">Diaporthe </w:t>
      </w:r>
      <w:r w:rsidRPr="00C17FDF">
        <w:rPr>
          <w:lang w:val="en-GB"/>
        </w:rPr>
        <w:t xml:space="preserve">were known vineyard pathogens. </w:t>
      </w:r>
      <w:r w:rsidRPr="00CC4CAD">
        <w:rPr>
          <w:i/>
          <w:lang w:val="en-GB"/>
        </w:rPr>
        <w:t xml:space="preserve">Phoma </w:t>
      </w:r>
      <w:r w:rsidRPr="00C17FDF">
        <w:rPr>
          <w:lang w:val="en-GB"/>
        </w:rPr>
        <w:t>spp. was detected in all applications including control (with isolation rate 7.78%), especially in shoots.</w:t>
      </w:r>
    </w:p>
    <w:p w14:paraId="5A39399F" w14:textId="3CA12AA0" w:rsidR="00C17FDF" w:rsidRPr="00C17FDF" w:rsidRDefault="00C17FDF" w:rsidP="00C17FDF">
      <w:pPr>
        <w:spacing w:line="360" w:lineRule="auto"/>
        <w:jc w:val="both"/>
        <w:rPr>
          <w:lang w:val="en-GB"/>
        </w:rPr>
      </w:pPr>
      <w:r w:rsidRPr="00C17FDF">
        <w:rPr>
          <w:lang w:val="en-GB"/>
        </w:rPr>
        <w:t xml:space="preserve"> </w:t>
      </w:r>
      <w:r w:rsidR="0064268C" w:rsidRPr="0064268C">
        <w:rPr>
          <w:noProof/>
          <w:szCs w:val="24"/>
          <w:lang w:val="tr-TR" w:eastAsia="tr-TR"/>
        </w:rPr>
        <w:drawing>
          <wp:inline distT="0" distB="0" distL="0" distR="0" wp14:anchorId="0DED0555" wp14:editId="58F2531D">
            <wp:extent cx="3802380" cy="2239932"/>
            <wp:effectExtent l="0" t="0" r="7620" b="8255"/>
            <wp:docPr id="1" name="Resim 1" descr="C:\Users\oem\Desktop\Fig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em\Desktop\Figure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7015" cy="2242662"/>
                    </a:xfrm>
                    <a:prstGeom prst="rect">
                      <a:avLst/>
                    </a:prstGeom>
                    <a:noFill/>
                    <a:ln>
                      <a:noFill/>
                    </a:ln>
                  </pic:spPr>
                </pic:pic>
              </a:graphicData>
            </a:graphic>
          </wp:inline>
        </w:drawing>
      </w:r>
    </w:p>
    <w:p w14:paraId="60647601" w14:textId="77777777" w:rsidR="00C17FDF" w:rsidRPr="00C17FDF" w:rsidRDefault="00C17FDF" w:rsidP="00C17FDF">
      <w:pPr>
        <w:spacing w:line="360" w:lineRule="auto"/>
        <w:jc w:val="both"/>
        <w:rPr>
          <w:lang w:val="en-GB"/>
        </w:rPr>
      </w:pPr>
      <w:r w:rsidRPr="0064268C">
        <w:rPr>
          <w:b/>
          <w:lang w:val="en-GB"/>
        </w:rPr>
        <w:t>Figure 2.</w:t>
      </w:r>
      <w:r w:rsidRPr="00C17FDF">
        <w:rPr>
          <w:lang w:val="en-GB"/>
        </w:rPr>
        <w:t xml:space="preserve"> Fungal infection incidences in isolations from the shoots of the grafted vine cuttings, where fungicide was applied to the cuttings + sawdust, after the callus chamber. Error bars symbolize ± mean standard error (SE) (n=3).</w:t>
      </w:r>
    </w:p>
    <w:p w14:paraId="090FFE20" w14:textId="3C23A871" w:rsidR="00C17FDF" w:rsidRPr="00C17FDF" w:rsidRDefault="00C17FDF" w:rsidP="00C17FDF">
      <w:pPr>
        <w:spacing w:line="360" w:lineRule="auto"/>
        <w:jc w:val="both"/>
        <w:rPr>
          <w:lang w:val="en-GB"/>
        </w:rPr>
      </w:pPr>
      <w:r w:rsidRPr="00C17FDF">
        <w:rPr>
          <w:lang w:val="en-GB"/>
        </w:rPr>
        <w:t xml:space="preserve"> </w:t>
      </w:r>
      <w:r w:rsidR="0064268C" w:rsidRPr="0064268C">
        <w:rPr>
          <w:noProof/>
          <w:szCs w:val="24"/>
          <w:lang w:val="tr-TR" w:eastAsia="tr-TR"/>
        </w:rPr>
        <w:drawing>
          <wp:inline distT="0" distB="0" distL="0" distR="0" wp14:anchorId="3F01BD1C" wp14:editId="40C0AEA4">
            <wp:extent cx="3788913" cy="2232000"/>
            <wp:effectExtent l="0" t="0" r="2540" b="0"/>
            <wp:docPr id="4" name="Resim 4" descr="C:\Users\oem\Desktop\Figur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em\Desktop\Figure 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8913" cy="2232000"/>
                    </a:xfrm>
                    <a:prstGeom prst="rect">
                      <a:avLst/>
                    </a:prstGeom>
                    <a:noFill/>
                    <a:ln>
                      <a:noFill/>
                    </a:ln>
                  </pic:spPr>
                </pic:pic>
              </a:graphicData>
            </a:graphic>
          </wp:inline>
        </w:drawing>
      </w:r>
    </w:p>
    <w:p w14:paraId="4594CB78" w14:textId="77777777" w:rsidR="00C17FDF" w:rsidRDefault="00C17FDF" w:rsidP="00C17FDF">
      <w:pPr>
        <w:spacing w:line="360" w:lineRule="auto"/>
        <w:jc w:val="both"/>
        <w:rPr>
          <w:lang w:val="en-GB"/>
        </w:rPr>
      </w:pPr>
      <w:r w:rsidRPr="0064268C">
        <w:rPr>
          <w:b/>
          <w:lang w:val="en-GB"/>
        </w:rPr>
        <w:t>Figure 3.</w:t>
      </w:r>
      <w:r w:rsidRPr="00C17FDF">
        <w:rPr>
          <w:lang w:val="en-GB"/>
        </w:rPr>
        <w:t xml:space="preserve"> Fungal infection incidences in isolations from the roots of the grafted vine cuttings, where fungicide was applied to the cuttings + sawdust, after the callus chamber. Error bars symbolize ± mean standard error (SE) (n=3).</w:t>
      </w:r>
    </w:p>
    <w:p w14:paraId="15CA659C" w14:textId="77777777" w:rsidR="0064268C" w:rsidRPr="00C17FDF" w:rsidRDefault="0064268C" w:rsidP="00C17FDF">
      <w:pPr>
        <w:spacing w:line="360" w:lineRule="auto"/>
        <w:jc w:val="both"/>
        <w:rPr>
          <w:lang w:val="en-GB"/>
        </w:rPr>
      </w:pPr>
    </w:p>
    <w:p w14:paraId="784E9D1F" w14:textId="3CF4C8DC" w:rsidR="00C17FDF" w:rsidRPr="0064268C" w:rsidRDefault="00C17FDF" w:rsidP="00C17FDF">
      <w:pPr>
        <w:spacing w:line="360" w:lineRule="auto"/>
        <w:jc w:val="both"/>
        <w:rPr>
          <w:b/>
          <w:lang w:val="en-GB"/>
        </w:rPr>
      </w:pPr>
      <w:r w:rsidRPr="0064268C">
        <w:rPr>
          <w:b/>
          <w:lang w:val="en-GB"/>
        </w:rPr>
        <w:t>Morphological and molecular identification of fungal pathogens</w:t>
      </w:r>
    </w:p>
    <w:p w14:paraId="7AEEA8FE" w14:textId="77777777" w:rsidR="00C17FDF" w:rsidRPr="00C17FDF" w:rsidRDefault="00C17FDF" w:rsidP="00C17FDF">
      <w:pPr>
        <w:spacing w:line="360" w:lineRule="auto"/>
        <w:jc w:val="both"/>
        <w:rPr>
          <w:lang w:val="en-GB"/>
        </w:rPr>
      </w:pPr>
      <w:r w:rsidRPr="00C17FDF">
        <w:rPr>
          <w:lang w:val="en-GB"/>
        </w:rPr>
        <w:t xml:space="preserve">The morphological character of post-isolation fungal pathogen infections was employed for the preliminary identification of fungi. 515 isolates were obtained from the treated sapling shoot and root samples. The most isolated soil-borne pathogen species were analyzed in the study. Morphological and molecular identifications of one or more of these isolates, which represented colony morphology and conidial structure that were determined under the microscope, were conducted at species level. </w:t>
      </w:r>
    </w:p>
    <w:p w14:paraId="30D6067F" w14:textId="77777777" w:rsidR="00C17FDF" w:rsidRPr="00C17FDF" w:rsidRDefault="00C17FDF" w:rsidP="00C17FDF">
      <w:pPr>
        <w:spacing w:line="360" w:lineRule="auto"/>
        <w:jc w:val="both"/>
        <w:rPr>
          <w:lang w:val="en-GB"/>
        </w:rPr>
      </w:pPr>
      <w:r w:rsidRPr="00C17FDF">
        <w:rPr>
          <w:lang w:val="en-GB"/>
        </w:rPr>
        <w:t>Real-time PCR was conducted with universal ITS primer and SYBR Green fluorescent dye. MBAE321, MBAE322, MBAE329, MBAE241, MBAE259, MBAE77 and MBAE249 isolated from the root zones peaked over the threshold (Ct) level the earliest, and the mean figures were 16.75, 17.14, 17.21, 18.20, 18.50, 19.67, and 22.20, respectively. This figure was 0.0 for the negative control reaction with sterile distilled water. The SYBR melting curve was conducted at the ramp rate of 0.2˚C/s at 56-95˚C temperatures to determine the amplification products of Real-Time PCR. The melting curve reaction continued at elevated temperatures after the completion of the normal Real-Time PCR reaction. MBAE322, MBAE329, MBAE241, MBAE259 and MBAE77 produced melting peaks at 80.44˚C, 83.34˚C, 84.22˚C, 86.65˚C and 89.34˚C, respectively. This confirmed the single fragment recorded in previous PCR tests.</w:t>
      </w:r>
    </w:p>
    <w:p w14:paraId="1DC3F11C" w14:textId="37D77D06" w:rsidR="00C17FDF" w:rsidRDefault="00C17FDF" w:rsidP="00C17FDF">
      <w:pPr>
        <w:spacing w:line="360" w:lineRule="auto"/>
        <w:jc w:val="both"/>
        <w:rPr>
          <w:lang w:val="en-GB"/>
        </w:rPr>
      </w:pPr>
      <w:r w:rsidRPr="00C17FDF">
        <w:rPr>
          <w:lang w:val="en-GB"/>
        </w:rPr>
        <w:t xml:space="preserve">The sequenced PCR products were aligned, and BLAST analyzes were conducted with the BLASTn software, and confirmed the 99%-100% of the species. NCBI GenBank access numbers were obtained for 11 isolates other than the </w:t>
      </w:r>
      <w:r w:rsidRPr="00375A25">
        <w:rPr>
          <w:i/>
          <w:lang w:val="en-GB"/>
        </w:rPr>
        <w:t>F</w:t>
      </w:r>
      <w:r w:rsidR="00963A3E">
        <w:rPr>
          <w:i/>
          <w:lang w:val="en-GB"/>
        </w:rPr>
        <w:t>.</w:t>
      </w:r>
      <w:r w:rsidRPr="00375A25">
        <w:rPr>
          <w:i/>
          <w:lang w:val="en-GB"/>
        </w:rPr>
        <w:t xml:space="preserve"> solani</w:t>
      </w:r>
      <w:r w:rsidRPr="00C17FDF">
        <w:rPr>
          <w:lang w:val="en-GB"/>
        </w:rPr>
        <w:t xml:space="preserve"> isolates, one for each genus, based on gene sequencing and nucleotide BLAST analysis findings (Table 2). </w:t>
      </w:r>
    </w:p>
    <w:p w14:paraId="124DD2F0" w14:textId="77777777" w:rsidR="002B0947" w:rsidRPr="00C17FDF" w:rsidRDefault="002B0947" w:rsidP="00C17FDF">
      <w:pPr>
        <w:spacing w:line="360" w:lineRule="auto"/>
        <w:jc w:val="both"/>
        <w:rPr>
          <w:lang w:val="en-GB"/>
        </w:rPr>
      </w:pPr>
    </w:p>
    <w:p w14:paraId="010570C7" w14:textId="77777777" w:rsidR="00C17FDF" w:rsidRDefault="00C17FDF" w:rsidP="00C17FDF">
      <w:pPr>
        <w:spacing w:line="360" w:lineRule="auto"/>
        <w:jc w:val="both"/>
        <w:rPr>
          <w:lang w:val="en-GB"/>
        </w:rPr>
      </w:pPr>
      <w:r w:rsidRPr="0064268C">
        <w:rPr>
          <w:b/>
          <w:lang w:val="en-GB"/>
        </w:rPr>
        <w:t>Table 2.</w:t>
      </w:r>
      <w:r w:rsidRPr="00C17FDF">
        <w:rPr>
          <w:lang w:val="en-GB"/>
        </w:rPr>
        <w:t xml:space="preserve"> Isolates for which Access numbers were obtained from the NCBI GenBank database based on ITS partial sequences. </w:t>
      </w:r>
    </w:p>
    <w:tbl>
      <w:tblPr>
        <w:tblW w:w="3589" w:type="pct"/>
        <w:tblInd w:w="582" w:type="dxa"/>
        <w:tblBorders>
          <w:top w:val="single" w:sz="4" w:space="0" w:color="000000"/>
          <w:bottom w:val="single" w:sz="4" w:space="0" w:color="000000"/>
        </w:tblBorders>
        <w:tblLook w:val="0400" w:firstRow="0" w:lastRow="0" w:firstColumn="0" w:lastColumn="0" w:noHBand="0" w:noVBand="1"/>
      </w:tblPr>
      <w:tblGrid>
        <w:gridCol w:w="1961"/>
        <w:gridCol w:w="1237"/>
        <w:gridCol w:w="1223"/>
        <w:gridCol w:w="746"/>
        <w:gridCol w:w="1343"/>
      </w:tblGrid>
      <w:tr w:rsidR="0064268C" w:rsidRPr="0064268C" w14:paraId="66B9E0D6" w14:textId="77777777" w:rsidTr="00EA7795">
        <w:trPr>
          <w:trHeight w:val="710"/>
        </w:trPr>
        <w:tc>
          <w:tcPr>
            <w:tcW w:w="1511" w:type="pct"/>
            <w:tcBorders>
              <w:top w:val="single" w:sz="4" w:space="0" w:color="000000"/>
              <w:bottom w:val="single" w:sz="4" w:space="0" w:color="auto"/>
            </w:tcBorders>
            <w:shd w:val="clear" w:color="auto" w:fill="auto"/>
            <w:vAlign w:val="center"/>
          </w:tcPr>
          <w:p w14:paraId="7AB3ED13" w14:textId="77777777" w:rsidR="0064268C" w:rsidRPr="0064268C" w:rsidRDefault="0064268C" w:rsidP="0064268C">
            <w:pPr>
              <w:suppressAutoHyphens/>
              <w:overflowPunct/>
              <w:autoSpaceDE/>
              <w:autoSpaceDN/>
              <w:adjustRightInd/>
              <w:spacing w:before="120" w:after="120"/>
              <w:jc w:val="center"/>
              <w:textAlignment w:val="auto"/>
              <w:rPr>
                <w:b/>
                <w:sz w:val="18"/>
                <w:szCs w:val="18"/>
                <w:lang w:val="en-GB" w:eastAsia="fr-FR"/>
              </w:rPr>
            </w:pPr>
            <w:r w:rsidRPr="0064268C">
              <w:rPr>
                <w:b/>
                <w:sz w:val="18"/>
                <w:szCs w:val="18"/>
                <w:lang w:val="en-GB" w:eastAsia="fr-FR"/>
              </w:rPr>
              <w:t>Species</w:t>
            </w:r>
          </w:p>
        </w:tc>
        <w:tc>
          <w:tcPr>
            <w:tcW w:w="944" w:type="pct"/>
            <w:tcBorders>
              <w:top w:val="single" w:sz="4" w:space="0" w:color="000000"/>
              <w:bottom w:val="single" w:sz="4" w:space="0" w:color="auto"/>
            </w:tcBorders>
            <w:shd w:val="clear" w:color="auto" w:fill="auto"/>
            <w:vAlign w:val="center"/>
          </w:tcPr>
          <w:p w14:paraId="639ADE8C" w14:textId="77777777" w:rsidR="0064268C" w:rsidRPr="0064268C" w:rsidRDefault="0064268C" w:rsidP="0064268C">
            <w:pPr>
              <w:suppressAutoHyphens/>
              <w:overflowPunct/>
              <w:autoSpaceDE/>
              <w:autoSpaceDN/>
              <w:adjustRightInd/>
              <w:spacing w:before="120" w:after="120"/>
              <w:jc w:val="center"/>
              <w:textAlignment w:val="auto"/>
              <w:rPr>
                <w:b/>
                <w:sz w:val="18"/>
                <w:szCs w:val="18"/>
                <w:lang w:val="en-GB" w:eastAsia="fr-FR"/>
              </w:rPr>
            </w:pPr>
            <w:r w:rsidRPr="0064268C">
              <w:rPr>
                <w:b/>
                <w:sz w:val="18"/>
                <w:szCs w:val="18"/>
                <w:lang w:val="en-GB" w:eastAsia="fr-FR"/>
              </w:rPr>
              <w:t>Isolate Code</w:t>
            </w:r>
          </w:p>
        </w:tc>
        <w:tc>
          <w:tcPr>
            <w:tcW w:w="944" w:type="pct"/>
            <w:tcBorders>
              <w:top w:val="single" w:sz="4" w:space="0" w:color="000000"/>
              <w:bottom w:val="single" w:sz="4" w:space="0" w:color="auto"/>
            </w:tcBorders>
            <w:shd w:val="clear" w:color="auto" w:fill="auto"/>
            <w:vAlign w:val="center"/>
          </w:tcPr>
          <w:p w14:paraId="47588962" w14:textId="77777777" w:rsidR="0064268C" w:rsidRPr="0064268C" w:rsidRDefault="0064268C" w:rsidP="0064268C">
            <w:pPr>
              <w:suppressAutoHyphens/>
              <w:overflowPunct/>
              <w:autoSpaceDE/>
              <w:autoSpaceDN/>
              <w:adjustRightInd/>
              <w:spacing w:before="120" w:after="120"/>
              <w:jc w:val="center"/>
              <w:textAlignment w:val="auto"/>
              <w:rPr>
                <w:b/>
                <w:sz w:val="18"/>
                <w:szCs w:val="18"/>
                <w:lang w:val="en-GB" w:eastAsia="fr-FR"/>
              </w:rPr>
            </w:pPr>
            <w:r w:rsidRPr="0064268C">
              <w:rPr>
                <w:b/>
                <w:sz w:val="18"/>
                <w:szCs w:val="18"/>
                <w:lang w:val="en-GB" w:eastAsia="fr-FR"/>
              </w:rPr>
              <w:t>Host</w:t>
            </w:r>
          </w:p>
        </w:tc>
        <w:tc>
          <w:tcPr>
            <w:tcW w:w="566" w:type="pct"/>
            <w:tcBorders>
              <w:top w:val="single" w:sz="4" w:space="0" w:color="000000"/>
              <w:bottom w:val="single" w:sz="4" w:space="0" w:color="auto"/>
            </w:tcBorders>
            <w:shd w:val="clear" w:color="auto" w:fill="auto"/>
            <w:vAlign w:val="center"/>
          </w:tcPr>
          <w:p w14:paraId="2A9B5D5A" w14:textId="77777777" w:rsidR="0064268C" w:rsidRPr="0064268C" w:rsidRDefault="0064268C" w:rsidP="0064268C">
            <w:pPr>
              <w:suppressAutoHyphens/>
              <w:overflowPunct/>
              <w:autoSpaceDE/>
              <w:autoSpaceDN/>
              <w:adjustRightInd/>
              <w:spacing w:before="120" w:after="120"/>
              <w:jc w:val="center"/>
              <w:textAlignment w:val="auto"/>
              <w:rPr>
                <w:b/>
                <w:sz w:val="18"/>
                <w:szCs w:val="18"/>
                <w:lang w:val="en-GB" w:eastAsia="fr-FR"/>
              </w:rPr>
            </w:pPr>
            <w:r w:rsidRPr="0064268C">
              <w:rPr>
                <w:b/>
                <w:sz w:val="18"/>
                <w:szCs w:val="18"/>
                <w:lang w:val="en-GB" w:eastAsia="fr-FR"/>
              </w:rPr>
              <w:t>Origin</w:t>
            </w:r>
          </w:p>
        </w:tc>
        <w:tc>
          <w:tcPr>
            <w:tcW w:w="1035" w:type="pct"/>
            <w:tcBorders>
              <w:top w:val="single" w:sz="4" w:space="0" w:color="000000"/>
              <w:bottom w:val="single" w:sz="4" w:space="0" w:color="auto"/>
            </w:tcBorders>
            <w:shd w:val="clear" w:color="auto" w:fill="auto"/>
            <w:vAlign w:val="center"/>
          </w:tcPr>
          <w:p w14:paraId="25591CFD" w14:textId="77777777" w:rsidR="0064268C" w:rsidRPr="0064268C" w:rsidRDefault="0064268C" w:rsidP="0064268C">
            <w:pPr>
              <w:suppressAutoHyphens/>
              <w:overflowPunct/>
              <w:autoSpaceDE/>
              <w:autoSpaceDN/>
              <w:adjustRightInd/>
              <w:spacing w:before="120" w:after="120"/>
              <w:jc w:val="center"/>
              <w:textAlignment w:val="auto"/>
              <w:rPr>
                <w:b/>
                <w:sz w:val="18"/>
                <w:szCs w:val="18"/>
                <w:lang w:val="en-GB" w:eastAsia="fr-FR"/>
              </w:rPr>
            </w:pPr>
            <w:r w:rsidRPr="0064268C">
              <w:rPr>
                <w:b/>
                <w:sz w:val="18"/>
                <w:szCs w:val="18"/>
                <w:lang w:val="en-GB" w:eastAsia="fr-FR"/>
              </w:rPr>
              <w:t>GenBank ITS Accession No</w:t>
            </w:r>
          </w:p>
        </w:tc>
      </w:tr>
      <w:tr w:rsidR="0064268C" w:rsidRPr="0064268C" w14:paraId="28661356" w14:textId="77777777" w:rsidTr="00EA7795">
        <w:trPr>
          <w:trHeight w:val="171"/>
        </w:trPr>
        <w:tc>
          <w:tcPr>
            <w:tcW w:w="1511" w:type="pct"/>
            <w:tcBorders>
              <w:top w:val="single" w:sz="4" w:space="0" w:color="auto"/>
            </w:tcBorders>
            <w:shd w:val="clear" w:color="auto" w:fill="auto"/>
          </w:tcPr>
          <w:p w14:paraId="03F36429" w14:textId="77777777" w:rsidR="0064268C" w:rsidRPr="0064268C" w:rsidRDefault="0064268C" w:rsidP="0064268C">
            <w:pPr>
              <w:suppressAutoHyphens/>
              <w:overflowPunct/>
              <w:autoSpaceDE/>
              <w:autoSpaceDN/>
              <w:adjustRightInd/>
              <w:spacing w:before="120" w:after="120"/>
              <w:jc w:val="both"/>
              <w:textAlignment w:val="auto"/>
              <w:rPr>
                <w:i/>
                <w:sz w:val="16"/>
                <w:szCs w:val="16"/>
                <w:lang w:val="en-GB" w:eastAsia="fr-FR"/>
              </w:rPr>
            </w:pPr>
            <w:r w:rsidRPr="0064268C">
              <w:rPr>
                <w:i/>
                <w:sz w:val="18"/>
                <w:szCs w:val="18"/>
                <w:lang w:val="en-GB" w:eastAsia="fr-FR"/>
              </w:rPr>
              <w:t xml:space="preserve">Boeremia exigua var. exigua </w:t>
            </w:r>
            <w:r w:rsidRPr="0064268C">
              <w:rPr>
                <w:i/>
                <w:sz w:val="16"/>
                <w:szCs w:val="16"/>
                <w:lang w:val="en-GB" w:eastAsia="fr-FR"/>
              </w:rPr>
              <w:t>(Syn:Phoma exigua var. exigua)</w:t>
            </w:r>
          </w:p>
        </w:tc>
        <w:tc>
          <w:tcPr>
            <w:tcW w:w="944" w:type="pct"/>
            <w:tcBorders>
              <w:top w:val="single" w:sz="4" w:space="0" w:color="auto"/>
            </w:tcBorders>
            <w:shd w:val="clear" w:color="auto" w:fill="auto"/>
          </w:tcPr>
          <w:p w14:paraId="2B563A62" w14:textId="77777777" w:rsidR="0064268C" w:rsidRPr="0064268C" w:rsidRDefault="0064268C" w:rsidP="0064268C">
            <w:pPr>
              <w:suppressAutoHyphens/>
              <w:overflowPunct/>
              <w:autoSpaceDE/>
              <w:autoSpaceDN/>
              <w:adjustRightInd/>
              <w:spacing w:before="120" w:after="120"/>
              <w:jc w:val="both"/>
              <w:textAlignment w:val="auto"/>
              <w:rPr>
                <w:sz w:val="18"/>
                <w:szCs w:val="18"/>
                <w:lang w:val="en-GB" w:eastAsia="fr-FR"/>
              </w:rPr>
            </w:pPr>
            <w:r w:rsidRPr="0064268C">
              <w:rPr>
                <w:sz w:val="18"/>
                <w:szCs w:val="18"/>
                <w:lang w:val="en-GB" w:eastAsia="fr-FR"/>
              </w:rPr>
              <w:t>MBAE77</w:t>
            </w:r>
          </w:p>
        </w:tc>
        <w:tc>
          <w:tcPr>
            <w:tcW w:w="944" w:type="pct"/>
            <w:tcBorders>
              <w:top w:val="single" w:sz="4" w:space="0" w:color="auto"/>
            </w:tcBorders>
            <w:shd w:val="clear" w:color="auto" w:fill="auto"/>
          </w:tcPr>
          <w:p w14:paraId="260A9200" w14:textId="77777777" w:rsidR="0064268C" w:rsidRPr="0064268C" w:rsidRDefault="0064268C" w:rsidP="0064268C">
            <w:pPr>
              <w:suppressAutoHyphens/>
              <w:overflowPunct/>
              <w:autoSpaceDE/>
              <w:autoSpaceDN/>
              <w:adjustRightInd/>
              <w:spacing w:before="120" w:after="120"/>
              <w:jc w:val="both"/>
              <w:textAlignment w:val="auto"/>
              <w:rPr>
                <w:i/>
                <w:sz w:val="18"/>
                <w:szCs w:val="18"/>
                <w:lang w:val="en-GB" w:eastAsia="fr-FR"/>
              </w:rPr>
            </w:pPr>
            <w:r w:rsidRPr="0064268C">
              <w:rPr>
                <w:i/>
                <w:sz w:val="18"/>
                <w:szCs w:val="18"/>
                <w:lang w:val="en-GB" w:eastAsia="fr-FR"/>
              </w:rPr>
              <w:t>Vitis vinifera</w:t>
            </w:r>
          </w:p>
        </w:tc>
        <w:tc>
          <w:tcPr>
            <w:tcW w:w="566" w:type="pct"/>
            <w:tcBorders>
              <w:top w:val="single" w:sz="4" w:space="0" w:color="auto"/>
            </w:tcBorders>
            <w:shd w:val="clear" w:color="auto" w:fill="auto"/>
          </w:tcPr>
          <w:p w14:paraId="7E8FE004" w14:textId="77777777" w:rsidR="0064268C" w:rsidRPr="0064268C" w:rsidRDefault="0064268C" w:rsidP="0064268C">
            <w:pPr>
              <w:suppressAutoHyphens/>
              <w:overflowPunct/>
              <w:autoSpaceDE/>
              <w:autoSpaceDN/>
              <w:adjustRightInd/>
              <w:spacing w:before="120" w:after="120"/>
              <w:jc w:val="both"/>
              <w:textAlignment w:val="auto"/>
              <w:rPr>
                <w:sz w:val="18"/>
                <w:szCs w:val="18"/>
                <w:lang w:val="en-GB" w:eastAsia="fr-FR"/>
              </w:rPr>
            </w:pPr>
            <w:r w:rsidRPr="0064268C">
              <w:rPr>
                <w:sz w:val="18"/>
                <w:szCs w:val="18"/>
                <w:lang w:val="en-GB" w:eastAsia="fr-FR"/>
              </w:rPr>
              <w:t>Manisa</w:t>
            </w:r>
          </w:p>
        </w:tc>
        <w:tc>
          <w:tcPr>
            <w:tcW w:w="1035" w:type="pct"/>
            <w:tcBorders>
              <w:top w:val="single" w:sz="4" w:space="0" w:color="auto"/>
            </w:tcBorders>
            <w:shd w:val="clear" w:color="auto" w:fill="auto"/>
            <w:vAlign w:val="center"/>
          </w:tcPr>
          <w:p w14:paraId="7091E75F" w14:textId="77777777" w:rsidR="0064268C" w:rsidRPr="0064268C" w:rsidRDefault="0064268C" w:rsidP="0064268C">
            <w:pPr>
              <w:suppressAutoHyphens/>
              <w:overflowPunct/>
              <w:autoSpaceDE/>
              <w:autoSpaceDN/>
              <w:adjustRightInd/>
              <w:spacing w:before="120" w:after="120"/>
              <w:jc w:val="center"/>
              <w:textAlignment w:val="auto"/>
              <w:rPr>
                <w:sz w:val="18"/>
                <w:szCs w:val="18"/>
                <w:lang w:val="en-GB" w:eastAsia="fr-FR"/>
              </w:rPr>
            </w:pPr>
            <w:r w:rsidRPr="0064268C">
              <w:rPr>
                <w:sz w:val="18"/>
                <w:szCs w:val="18"/>
                <w:lang w:val="en-GB" w:eastAsia="fr-FR"/>
              </w:rPr>
              <w:t>OQ392363</w:t>
            </w:r>
          </w:p>
        </w:tc>
      </w:tr>
      <w:tr w:rsidR="0064268C" w:rsidRPr="0064268C" w14:paraId="2089CAB7" w14:textId="77777777" w:rsidTr="00EA7795">
        <w:trPr>
          <w:trHeight w:val="227"/>
        </w:trPr>
        <w:tc>
          <w:tcPr>
            <w:tcW w:w="1511" w:type="pct"/>
            <w:shd w:val="clear" w:color="auto" w:fill="auto"/>
          </w:tcPr>
          <w:p w14:paraId="6F008C67" w14:textId="77777777" w:rsidR="0064268C" w:rsidRPr="0064268C" w:rsidRDefault="0064268C" w:rsidP="0064268C">
            <w:pPr>
              <w:suppressAutoHyphens/>
              <w:overflowPunct/>
              <w:autoSpaceDE/>
              <w:autoSpaceDN/>
              <w:adjustRightInd/>
              <w:spacing w:before="120" w:after="120"/>
              <w:jc w:val="both"/>
              <w:textAlignment w:val="auto"/>
              <w:rPr>
                <w:i/>
                <w:sz w:val="18"/>
                <w:szCs w:val="18"/>
                <w:lang w:val="en-GB" w:eastAsia="fr-FR"/>
              </w:rPr>
            </w:pPr>
            <w:r w:rsidRPr="0064268C">
              <w:rPr>
                <w:i/>
                <w:sz w:val="18"/>
                <w:szCs w:val="18"/>
                <w:lang w:val="en-GB" w:eastAsia="fr-FR"/>
              </w:rPr>
              <w:t>Fusarium solani</w:t>
            </w:r>
          </w:p>
        </w:tc>
        <w:tc>
          <w:tcPr>
            <w:tcW w:w="944" w:type="pct"/>
            <w:shd w:val="clear" w:color="auto" w:fill="auto"/>
          </w:tcPr>
          <w:p w14:paraId="0317342C" w14:textId="77777777" w:rsidR="0064268C" w:rsidRPr="0064268C" w:rsidRDefault="0064268C" w:rsidP="0064268C">
            <w:pPr>
              <w:suppressAutoHyphens/>
              <w:overflowPunct/>
              <w:autoSpaceDE/>
              <w:autoSpaceDN/>
              <w:adjustRightInd/>
              <w:spacing w:before="120" w:after="120"/>
              <w:jc w:val="both"/>
              <w:textAlignment w:val="auto"/>
              <w:rPr>
                <w:sz w:val="18"/>
                <w:szCs w:val="18"/>
                <w:lang w:val="en-GB" w:eastAsia="fr-FR"/>
              </w:rPr>
            </w:pPr>
            <w:r w:rsidRPr="0064268C">
              <w:rPr>
                <w:sz w:val="18"/>
                <w:szCs w:val="18"/>
                <w:lang w:val="en-GB" w:eastAsia="fr-FR"/>
              </w:rPr>
              <w:t>MBAE236</w:t>
            </w:r>
          </w:p>
        </w:tc>
        <w:tc>
          <w:tcPr>
            <w:tcW w:w="944" w:type="pct"/>
            <w:shd w:val="clear" w:color="auto" w:fill="auto"/>
          </w:tcPr>
          <w:p w14:paraId="2C392D10" w14:textId="77777777" w:rsidR="0064268C" w:rsidRPr="0064268C" w:rsidRDefault="0064268C" w:rsidP="0064268C">
            <w:pPr>
              <w:suppressAutoHyphens/>
              <w:overflowPunct/>
              <w:autoSpaceDE/>
              <w:autoSpaceDN/>
              <w:adjustRightInd/>
              <w:spacing w:before="120" w:after="120"/>
              <w:jc w:val="both"/>
              <w:textAlignment w:val="auto"/>
              <w:rPr>
                <w:i/>
                <w:sz w:val="18"/>
                <w:szCs w:val="18"/>
                <w:lang w:val="en-GB" w:eastAsia="fr-FR"/>
              </w:rPr>
            </w:pPr>
            <w:r w:rsidRPr="0064268C">
              <w:rPr>
                <w:i/>
                <w:sz w:val="18"/>
                <w:szCs w:val="18"/>
                <w:lang w:val="en-GB" w:eastAsia="fr-FR"/>
              </w:rPr>
              <w:t>V. vinifera</w:t>
            </w:r>
          </w:p>
        </w:tc>
        <w:tc>
          <w:tcPr>
            <w:tcW w:w="566" w:type="pct"/>
            <w:shd w:val="clear" w:color="auto" w:fill="auto"/>
          </w:tcPr>
          <w:p w14:paraId="288297AE" w14:textId="77777777" w:rsidR="0064268C" w:rsidRPr="0064268C" w:rsidRDefault="0064268C" w:rsidP="0064268C">
            <w:pPr>
              <w:suppressAutoHyphens/>
              <w:overflowPunct/>
              <w:autoSpaceDE/>
              <w:autoSpaceDN/>
              <w:adjustRightInd/>
              <w:spacing w:before="120" w:after="120"/>
              <w:jc w:val="both"/>
              <w:textAlignment w:val="auto"/>
              <w:rPr>
                <w:sz w:val="18"/>
                <w:szCs w:val="18"/>
                <w:lang w:val="en-GB" w:eastAsia="fr-FR"/>
              </w:rPr>
            </w:pPr>
            <w:r w:rsidRPr="0064268C">
              <w:rPr>
                <w:sz w:val="18"/>
                <w:szCs w:val="18"/>
                <w:lang w:val="en-GB" w:eastAsia="fr-FR"/>
              </w:rPr>
              <w:t>Manisa</w:t>
            </w:r>
          </w:p>
        </w:tc>
        <w:tc>
          <w:tcPr>
            <w:tcW w:w="1035" w:type="pct"/>
            <w:shd w:val="clear" w:color="auto" w:fill="auto"/>
            <w:vAlign w:val="center"/>
          </w:tcPr>
          <w:p w14:paraId="3501C906" w14:textId="77777777" w:rsidR="0064268C" w:rsidRPr="0064268C" w:rsidRDefault="0064268C" w:rsidP="0064268C">
            <w:pPr>
              <w:suppressAutoHyphens/>
              <w:overflowPunct/>
              <w:autoSpaceDE/>
              <w:autoSpaceDN/>
              <w:adjustRightInd/>
              <w:spacing w:before="120" w:after="120"/>
              <w:jc w:val="center"/>
              <w:textAlignment w:val="auto"/>
              <w:rPr>
                <w:sz w:val="18"/>
                <w:szCs w:val="18"/>
                <w:lang w:val="en-GB" w:eastAsia="fr-FR"/>
              </w:rPr>
            </w:pPr>
            <w:r w:rsidRPr="0064268C">
              <w:rPr>
                <w:sz w:val="18"/>
                <w:szCs w:val="18"/>
                <w:lang w:val="en-GB" w:eastAsia="fr-FR"/>
              </w:rPr>
              <w:t>OQ392364</w:t>
            </w:r>
          </w:p>
        </w:tc>
      </w:tr>
      <w:tr w:rsidR="0064268C" w:rsidRPr="0064268C" w14:paraId="2B1D6179" w14:textId="77777777" w:rsidTr="00EA7795">
        <w:trPr>
          <w:trHeight w:val="227"/>
        </w:trPr>
        <w:tc>
          <w:tcPr>
            <w:tcW w:w="1511" w:type="pct"/>
            <w:shd w:val="clear" w:color="auto" w:fill="auto"/>
          </w:tcPr>
          <w:p w14:paraId="613298A8" w14:textId="77777777" w:rsidR="0064268C" w:rsidRPr="0064268C" w:rsidRDefault="0064268C" w:rsidP="0064268C">
            <w:pPr>
              <w:suppressAutoHyphens/>
              <w:overflowPunct/>
              <w:autoSpaceDE/>
              <w:autoSpaceDN/>
              <w:adjustRightInd/>
              <w:spacing w:before="120" w:after="120"/>
              <w:jc w:val="both"/>
              <w:textAlignment w:val="auto"/>
              <w:rPr>
                <w:i/>
                <w:sz w:val="18"/>
                <w:szCs w:val="18"/>
                <w:lang w:val="en-GB" w:eastAsia="fr-FR"/>
              </w:rPr>
            </w:pPr>
            <w:r w:rsidRPr="0064268C">
              <w:rPr>
                <w:i/>
                <w:sz w:val="18"/>
                <w:szCs w:val="18"/>
                <w:lang w:val="en-GB" w:eastAsia="fr-FR"/>
              </w:rPr>
              <w:t>Fusarium solani</w:t>
            </w:r>
          </w:p>
        </w:tc>
        <w:tc>
          <w:tcPr>
            <w:tcW w:w="944" w:type="pct"/>
            <w:shd w:val="clear" w:color="auto" w:fill="auto"/>
          </w:tcPr>
          <w:p w14:paraId="6D175E7D" w14:textId="77777777" w:rsidR="0064268C" w:rsidRPr="0064268C" w:rsidRDefault="0064268C" w:rsidP="0064268C">
            <w:pPr>
              <w:suppressAutoHyphens/>
              <w:overflowPunct/>
              <w:autoSpaceDE/>
              <w:autoSpaceDN/>
              <w:adjustRightInd/>
              <w:spacing w:before="120" w:after="120"/>
              <w:jc w:val="both"/>
              <w:textAlignment w:val="auto"/>
              <w:rPr>
                <w:sz w:val="18"/>
                <w:szCs w:val="18"/>
                <w:lang w:val="en-GB" w:eastAsia="fr-FR"/>
              </w:rPr>
            </w:pPr>
            <w:r w:rsidRPr="0064268C">
              <w:rPr>
                <w:sz w:val="18"/>
                <w:szCs w:val="18"/>
                <w:lang w:val="en-GB" w:eastAsia="fr-FR"/>
              </w:rPr>
              <w:t>MBAE237</w:t>
            </w:r>
          </w:p>
        </w:tc>
        <w:tc>
          <w:tcPr>
            <w:tcW w:w="944" w:type="pct"/>
            <w:shd w:val="clear" w:color="auto" w:fill="auto"/>
          </w:tcPr>
          <w:p w14:paraId="3490CC1C" w14:textId="77777777" w:rsidR="0064268C" w:rsidRPr="0064268C" w:rsidRDefault="0064268C" w:rsidP="0064268C">
            <w:pPr>
              <w:suppressAutoHyphens/>
              <w:overflowPunct/>
              <w:autoSpaceDE/>
              <w:autoSpaceDN/>
              <w:adjustRightInd/>
              <w:spacing w:before="120" w:after="120"/>
              <w:jc w:val="both"/>
              <w:textAlignment w:val="auto"/>
              <w:rPr>
                <w:i/>
                <w:sz w:val="18"/>
                <w:szCs w:val="18"/>
                <w:lang w:val="en-GB" w:eastAsia="fr-FR"/>
              </w:rPr>
            </w:pPr>
            <w:r w:rsidRPr="0064268C">
              <w:rPr>
                <w:i/>
                <w:sz w:val="18"/>
                <w:szCs w:val="18"/>
                <w:lang w:val="en-GB" w:eastAsia="fr-FR"/>
              </w:rPr>
              <w:t>V. vinifera</w:t>
            </w:r>
          </w:p>
        </w:tc>
        <w:tc>
          <w:tcPr>
            <w:tcW w:w="566" w:type="pct"/>
            <w:shd w:val="clear" w:color="auto" w:fill="auto"/>
          </w:tcPr>
          <w:p w14:paraId="31F31AD3" w14:textId="77777777" w:rsidR="0064268C" w:rsidRPr="0064268C" w:rsidRDefault="0064268C" w:rsidP="0064268C">
            <w:pPr>
              <w:suppressAutoHyphens/>
              <w:overflowPunct/>
              <w:autoSpaceDE/>
              <w:autoSpaceDN/>
              <w:adjustRightInd/>
              <w:spacing w:before="120" w:after="120"/>
              <w:jc w:val="both"/>
              <w:textAlignment w:val="auto"/>
              <w:rPr>
                <w:sz w:val="18"/>
                <w:szCs w:val="18"/>
                <w:lang w:val="en-GB" w:eastAsia="fr-FR"/>
              </w:rPr>
            </w:pPr>
            <w:r w:rsidRPr="0064268C">
              <w:rPr>
                <w:sz w:val="18"/>
                <w:szCs w:val="18"/>
                <w:lang w:val="en-GB" w:eastAsia="fr-FR"/>
              </w:rPr>
              <w:t>Manisa</w:t>
            </w:r>
          </w:p>
        </w:tc>
        <w:tc>
          <w:tcPr>
            <w:tcW w:w="1035" w:type="pct"/>
            <w:shd w:val="clear" w:color="auto" w:fill="auto"/>
            <w:vAlign w:val="center"/>
          </w:tcPr>
          <w:p w14:paraId="5658E386" w14:textId="77777777" w:rsidR="0064268C" w:rsidRPr="0064268C" w:rsidRDefault="0064268C" w:rsidP="0064268C">
            <w:pPr>
              <w:suppressAutoHyphens/>
              <w:overflowPunct/>
              <w:autoSpaceDE/>
              <w:autoSpaceDN/>
              <w:adjustRightInd/>
              <w:spacing w:before="120" w:after="120"/>
              <w:jc w:val="center"/>
              <w:textAlignment w:val="auto"/>
              <w:rPr>
                <w:sz w:val="18"/>
                <w:szCs w:val="18"/>
                <w:lang w:val="en-GB" w:eastAsia="fr-FR"/>
              </w:rPr>
            </w:pPr>
            <w:r w:rsidRPr="0064268C">
              <w:rPr>
                <w:sz w:val="18"/>
                <w:szCs w:val="18"/>
                <w:lang w:val="en-GB" w:eastAsia="fr-FR"/>
              </w:rPr>
              <w:t>OQ392365</w:t>
            </w:r>
          </w:p>
        </w:tc>
      </w:tr>
      <w:tr w:rsidR="0064268C" w:rsidRPr="0064268C" w14:paraId="64734DAC" w14:textId="77777777" w:rsidTr="00EA7795">
        <w:trPr>
          <w:trHeight w:val="331"/>
        </w:trPr>
        <w:tc>
          <w:tcPr>
            <w:tcW w:w="1511" w:type="pct"/>
            <w:shd w:val="clear" w:color="auto" w:fill="auto"/>
          </w:tcPr>
          <w:p w14:paraId="213137F9" w14:textId="77777777" w:rsidR="0064268C" w:rsidRPr="0064268C" w:rsidRDefault="0064268C" w:rsidP="0064268C">
            <w:pPr>
              <w:suppressAutoHyphens/>
              <w:overflowPunct/>
              <w:autoSpaceDE/>
              <w:autoSpaceDN/>
              <w:adjustRightInd/>
              <w:spacing w:before="120" w:after="120"/>
              <w:jc w:val="both"/>
              <w:textAlignment w:val="auto"/>
              <w:rPr>
                <w:i/>
                <w:sz w:val="18"/>
                <w:szCs w:val="18"/>
                <w:lang w:val="en-GB" w:eastAsia="fr-FR"/>
              </w:rPr>
            </w:pPr>
            <w:r w:rsidRPr="0064268C">
              <w:rPr>
                <w:i/>
                <w:sz w:val="18"/>
                <w:szCs w:val="18"/>
                <w:lang w:val="en-GB" w:eastAsia="fr-FR"/>
              </w:rPr>
              <w:t>Fusarium solani</w:t>
            </w:r>
          </w:p>
        </w:tc>
        <w:tc>
          <w:tcPr>
            <w:tcW w:w="944" w:type="pct"/>
            <w:shd w:val="clear" w:color="auto" w:fill="auto"/>
          </w:tcPr>
          <w:p w14:paraId="783D1D33" w14:textId="77777777" w:rsidR="0064268C" w:rsidRPr="0064268C" w:rsidRDefault="0064268C" w:rsidP="0064268C">
            <w:pPr>
              <w:suppressAutoHyphens/>
              <w:overflowPunct/>
              <w:autoSpaceDE/>
              <w:autoSpaceDN/>
              <w:adjustRightInd/>
              <w:spacing w:before="120" w:after="120"/>
              <w:jc w:val="both"/>
              <w:textAlignment w:val="auto"/>
              <w:rPr>
                <w:sz w:val="18"/>
                <w:szCs w:val="18"/>
                <w:lang w:val="en-GB" w:eastAsia="fr-FR"/>
              </w:rPr>
            </w:pPr>
            <w:r w:rsidRPr="0064268C">
              <w:rPr>
                <w:sz w:val="18"/>
                <w:szCs w:val="18"/>
                <w:lang w:val="en-GB" w:eastAsia="fr-FR"/>
              </w:rPr>
              <w:t>MBAE259</w:t>
            </w:r>
          </w:p>
        </w:tc>
        <w:tc>
          <w:tcPr>
            <w:tcW w:w="944" w:type="pct"/>
            <w:shd w:val="clear" w:color="auto" w:fill="auto"/>
          </w:tcPr>
          <w:p w14:paraId="5B96343F" w14:textId="77777777" w:rsidR="0064268C" w:rsidRPr="0064268C" w:rsidRDefault="0064268C" w:rsidP="0064268C">
            <w:pPr>
              <w:suppressAutoHyphens/>
              <w:overflowPunct/>
              <w:autoSpaceDE/>
              <w:autoSpaceDN/>
              <w:adjustRightInd/>
              <w:spacing w:before="120" w:after="120"/>
              <w:jc w:val="both"/>
              <w:textAlignment w:val="auto"/>
              <w:rPr>
                <w:i/>
                <w:sz w:val="18"/>
                <w:szCs w:val="18"/>
                <w:lang w:val="en-GB" w:eastAsia="fr-FR"/>
              </w:rPr>
            </w:pPr>
            <w:r w:rsidRPr="0064268C">
              <w:rPr>
                <w:i/>
                <w:sz w:val="18"/>
                <w:szCs w:val="18"/>
                <w:lang w:val="en-GB" w:eastAsia="fr-FR"/>
              </w:rPr>
              <w:t>V. vinifera</w:t>
            </w:r>
          </w:p>
        </w:tc>
        <w:tc>
          <w:tcPr>
            <w:tcW w:w="566" w:type="pct"/>
            <w:shd w:val="clear" w:color="auto" w:fill="auto"/>
          </w:tcPr>
          <w:p w14:paraId="2C5F4581" w14:textId="77777777" w:rsidR="0064268C" w:rsidRPr="0064268C" w:rsidRDefault="0064268C" w:rsidP="0064268C">
            <w:pPr>
              <w:suppressAutoHyphens/>
              <w:overflowPunct/>
              <w:autoSpaceDE/>
              <w:autoSpaceDN/>
              <w:adjustRightInd/>
              <w:spacing w:before="120" w:after="120"/>
              <w:jc w:val="both"/>
              <w:textAlignment w:val="auto"/>
              <w:rPr>
                <w:sz w:val="18"/>
                <w:szCs w:val="18"/>
                <w:lang w:val="en-GB" w:eastAsia="fr-FR"/>
              </w:rPr>
            </w:pPr>
            <w:r w:rsidRPr="0064268C">
              <w:rPr>
                <w:sz w:val="18"/>
                <w:szCs w:val="18"/>
                <w:lang w:val="en-GB" w:eastAsia="fr-FR"/>
              </w:rPr>
              <w:t>Manisa</w:t>
            </w:r>
          </w:p>
        </w:tc>
        <w:tc>
          <w:tcPr>
            <w:tcW w:w="1035" w:type="pct"/>
            <w:shd w:val="clear" w:color="auto" w:fill="auto"/>
            <w:vAlign w:val="center"/>
          </w:tcPr>
          <w:p w14:paraId="5DFA3FED" w14:textId="77777777" w:rsidR="0064268C" w:rsidRPr="0064268C" w:rsidRDefault="0064268C" w:rsidP="0064268C">
            <w:pPr>
              <w:suppressAutoHyphens/>
              <w:overflowPunct/>
              <w:autoSpaceDE/>
              <w:autoSpaceDN/>
              <w:adjustRightInd/>
              <w:spacing w:before="120" w:after="120"/>
              <w:jc w:val="center"/>
              <w:textAlignment w:val="auto"/>
              <w:rPr>
                <w:sz w:val="18"/>
                <w:szCs w:val="18"/>
                <w:lang w:val="en-GB" w:eastAsia="fr-FR"/>
              </w:rPr>
            </w:pPr>
            <w:r w:rsidRPr="0064268C">
              <w:rPr>
                <w:sz w:val="18"/>
                <w:szCs w:val="18"/>
                <w:lang w:val="en-GB" w:eastAsia="fr-FR"/>
              </w:rPr>
              <w:t>OQ392370</w:t>
            </w:r>
          </w:p>
        </w:tc>
      </w:tr>
      <w:tr w:rsidR="0064268C" w:rsidRPr="0064268C" w14:paraId="584EF9F1" w14:textId="77777777" w:rsidTr="00EA7795">
        <w:trPr>
          <w:trHeight w:val="128"/>
        </w:trPr>
        <w:tc>
          <w:tcPr>
            <w:tcW w:w="1511" w:type="pct"/>
            <w:shd w:val="clear" w:color="auto" w:fill="auto"/>
          </w:tcPr>
          <w:p w14:paraId="3677B2E0" w14:textId="77777777" w:rsidR="0064268C" w:rsidRPr="0064268C" w:rsidRDefault="0064268C" w:rsidP="0064268C">
            <w:pPr>
              <w:suppressAutoHyphens/>
              <w:overflowPunct/>
              <w:autoSpaceDE/>
              <w:autoSpaceDN/>
              <w:adjustRightInd/>
              <w:spacing w:before="120" w:after="120"/>
              <w:jc w:val="both"/>
              <w:textAlignment w:val="auto"/>
              <w:rPr>
                <w:i/>
                <w:sz w:val="18"/>
                <w:szCs w:val="18"/>
                <w:lang w:val="en-GB" w:eastAsia="fr-FR"/>
              </w:rPr>
            </w:pPr>
            <w:r w:rsidRPr="0064268C">
              <w:rPr>
                <w:i/>
                <w:sz w:val="18"/>
                <w:szCs w:val="18"/>
                <w:lang w:val="en-GB" w:eastAsia="fr-FR"/>
              </w:rPr>
              <w:t>Diaporthe ampelina</w:t>
            </w:r>
          </w:p>
        </w:tc>
        <w:tc>
          <w:tcPr>
            <w:tcW w:w="944" w:type="pct"/>
            <w:shd w:val="clear" w:color="auto" w:fill="auto"/>
          </w:tcPr>
          <w:p w14:paraId="29160ABA" w14:textId="77777777" w:rsidR="0064268C" w:rsidRPr="0064268C" w:rsidRDefault="0064268C" w:rsidP="0064268C">
            <w:pPr>
              <w:suppressAutoHyphens/>
              <w:overflowPunct/>
              <w:autoSpaceDE/>
              <w:autoSpaceDN/>
              <w:adjustRightInd/>
              <w:spacing w:before="120" w:after="120"/>
              <w:jc w:val="both"/>
              <w:textAlignment w:val="auto"/>
              <w:rPr>
                <w:sz w:val="18"/>
                <w:szCs w:val="18"/>
                <w:lang w:val="en-GB" w:eastAsia="fr-FR"/>
              </w:rPr>
            </w:pPr>
            <w:r w:rsidRPr="0064268C">
              <w:rPr>
                <w:sz w:val="18"/>
                <w:szCs w:val="18"/>
                <w:lang w:val="en-GB" w:eastAsia="fr-FR"/>
              </w:rPr>
              <w:t>MBAE239</w:t>
            </w:r>
          </w:p>
        </w:tc>
        <w:tc>
          <w:tcPr>
            <w:tcW w:w="944" w:type="pct"/>
            <w:shd w:val="clear" w:color="auto" w:fill="auto"/>
          </w:tcPr>
          <w:p w14:paraId="4DA642C2" w14:textId="77777777" w:rsidR="0064268C" w:rsidRPr="0064268C" w:rsidRDefault="0064268C" w:rsidP="0064268C">
            <w:pPr>
              <w:suppressAutoHyphens/>
              <w:overflowPunct/>
              <w:autoSpaceDE/>
              <w:autoSpaceDN/>
              <w:adjustRightInd/>
              <w:spacing w:before="120" w:after="120"/>
              <w:jc w:val="both"/>
              <w:textAlignment w:val="auto"/>
              <w:rPr>
                <w:i/>
                <w:sz w:val="18"/>
                <w:szCs w:val="18"/>
                <w:lang w:val="en-GB" w:eastAsia="fr-FR"/>
              </w:rPr>
            </w:pPr>
            <w:r w:rsidRPr="0064268C">
              <w:rPr>
                <w:i/>
                <w:sz w:val="18"/>
                <w:szCs w:val="18"/>
                <w:lang w:val="en-GB" w:eastAsia="fr-FR"/>
              </w:rPr>
              <w:t>V. vinifera</w:t>
            </w:r>
          </w:p>
        </w:tc>
        <w:tc>
          <w:tcPr>
            <w:tcW w:w="566" w:type="pct"/>
            <w:shd w:val="clear" w:color="auto" w:fill="auto"/>
          </w:tcPr>
          <w:p w14:paraId="7E5BE75C" w14:textId="77777777" w:rsidR="0064268C" w:rsidRPr="0064268C" w:rsidRDefault="0064268C" w:rsidP="0064268C">
            <w:pPr>
              <w:suppressAutoHyphens/>
              <w:overflowPunct/>
              <w:autoSpaceDE/>
              <w:autoSpaceDN/>
              <w:adjustRightInd/>
              <w:spacing w:before="120" w:after="120"/>
              <w:jc w:val="both"/>
              <w:textAlignment w:val="auto"/>
              <w:rPr>
                <w:sz w:val="18"/>
                <w:szCs w:val="18"/>
                <w:lang w:val="en-GB" w:eastAsia="fr-FR"/>
              </w:rPr>
            </w:pPr>
            <w:r w:rsidRPr="0064268C">
              <w:rPr>
                <w:sz w:val="18"/>
                <w:szCs w:val="18"/>
                <w:lang w:val="en-GB" w:eastAsia="fr-FR"/>
              </w:rPr>
              <w:t>Manisa</w:t>
            </w:r>
          </w:p>
        </w:tc>
        <w:tc>
          <w:tcPr>
            <w:tcW w:w="1035" w:type="pct"/>
            <w:shd w:val="clear" w:color="auto" w:fill="auto"/>
            <w:vAlign w:val="center"/>
          </w:tcPr>
          <w:p w14:paraId="26C7C14A" w14:textId="77777777" w:rsidR="0064268C" w:rsidRPr="0064268C" w:rsidRDefault="0064268C" w:rsidP="0064268C">
            <w:pPr>
              <w:suppressAutoHyphens/>
              <w:overflowPunct/>
              <w:autoSpaceDE/>
              <w:autoSpaceDN/>
              <w:adjustRightInd/>
              <w:spacing w:before="120" w:after="120"/>
              <w:jc w:val="center"/>
              <w:textAlignment w:val="auto"/>
              <w:rPr>
                <w:sz w:val="18"/>
                <w:szCs w:val="18"/>
                <w:lang w:val="en-GB" w:eastAsia="fr-FR"/>
              </w:rPr>
            </w:pPr>
            <w:r w:rsidRPr="0064268C">
              <w:rPr>
                <w:sz w:val="18"/>
                <w:szCs w:val="18"/>
                <w:lang w:val="en-GB" w:eastAsia="fr-FR"/>
              </w:rPr>
              <w:t>OQ392366</w:t>
            </w:r>
          </w:p>
        </w:tc>
      </w:tr>
      <w:tr w:rsidR="0064268C" w:rsidRPr="0064268C" w14:paraId="2668868A" w14:textId="77777777" w:rsidTr="00EA7795">
        <w:trPr>
          <w:trHeight w:val="227"/>
        </w:trPr>
        <w:tc>
          <w:tcPr>
            <w:tcW w:w="1511" w:type="pct"/>
            <w:shd w:val="clear" w:color="auto" w:fill="auto"/>
          </w:tcPr>
          <w:p w14:paraId="68D76605" w14:textId="77777777" w:rsidR="0064268C" w:rsidRPr="0064268C" w:rsidRDefault="0064268C" w:rsidP="0064268C">
            <w:pPr>
              <w:suppressAutoHyphens/>
              <w:overflowPunct/>
              <w:autoSpaceDE/>
              <w:autoSpaceDN/>
              <w:adjustRightInd/>
              <w:spacing w:before="120" w:after="120"/>
              <w:jc w:val="both"/>
              <w:textAlignment w:val="auto"/>
              <w:rPr>
                <w:i/>
                <w:sz w:val="18"/>
                <w:szCs w:val="18"/>
                <w:lang w:val="en-GB" w:eastAsia="fr-FR"/>
              </w:rPr>
            </w:pPr>
            <w:r w:rsidRPr="0064268C">
              <w:rPr>
                <w:i/>
                <w:sz w:val="18"/>
                <w:szCs w:val="18"/>
                <w:lang w:val="en-GB" w:eastAsia="fr-FR"/>
              </w:rPr>
              <w:t>Rhizoctonia solani</w:t>
            </w:r>
          </w:p>
        </w:tc>
        <w:tc>
          <w:tcPr>
            <w:tcW w:w="944" w:type="pct"/>
            <w:shd w:val="clear" w:color="auto" w:fill="auto"/>
          </w:tcPr>
          <w:p w14:paraId="2A71B4FF" w14:textId="77777777" w:rsidR="0064268C" w:rsidRPr="0064268C" w:rsidRDefault="0064268C" w:rsidP="0064268C">
            <w:pPr>
              <w:suppressAutoHyphens/>
              <w:overflowPunct/>
              <w:autoSpaceDE/>
              <w:autoSpaceDN/>
              <w:adjustRightInd/>
              <w:spacing w:before="120" w:after="120"/>
              <w:jc w:val="both"/>
              <w:textAlignment w:val="auto"/>
              <w:rPr>
                <w:sz w:val="18"/>
                <w:szCs w:val="18"/>
                <w:lang w:val="en-GB" w:eastAsia="fr-FR"/>
              </w:rPr>
            </w:pPr>
            <w:r w:rsidRPr="0064268C">
              <w:rPr>
                <w:sz w:val="18"/>
                <w:szCs w:val="18"/>
                <w:lang w:val="en-GB" w:eastAsia="fr-FR"/>
              </w:rPr>
              <w:t>MBAE241</w:t>
            </w:r>
          </w:p>
        </w:tc>
        <w:tc>
          <w:tcPr>
            <w:tcW w:w="944" w:type="pct"/>
            <w:shd w:val="clear" w:color="auto" w:fill="auto"/>
          </w:tcPr>
          <w:p w14:paraId="673952AE" w14:textId="77777777" w:rsidR="0064268C" w:rsidRPr="0064268C" w:rsidRDefault="0064268C" w:rsidP="0064268C">
            <w:pPr>
              <w:suppressAutoHyphens/>
              <w:overflowPunct/>
              <w:autoSpaceDE/>
              <w:autoSpaceDN/>
              <w:adjustRightInd/>
              <w:spacing w:before="120" w:after="120"/>
              <w:jc w:val="both"/>
              <w:textAlignment w:val="auto"/>
              <w:rPr>
                <w:i/>
                <w:sz w:val="18"/>
                <w:szCs w:val="18"/>
                <w:lang w:val="en-GB" w:eastAsia="fr-FR"/>
              </w:rPr>
            </w:pPr>
            <w:r w:rsidRPr="0064268C">
              <w:rPr>
                <w:i/>
                <w:sz w:val="18"/>
                <w:szCs w:val="18"/>
                <w:lang w:val="en-GB" w:eastAsia="fr-FR"/>
              </w:rPr>
              <w:t>V. vinifera</w:t>
            </w:r>
          </w:p>
        </w:tc>
        <w:tc>
          <w:tcPr>
            <w:tcW w:w="566" w:type="pct"/>
            <w:shd w:val="clear" w:color="auto" w:fill="auto"/>
          </w:tcPr>
          <w:p w14:paraId="1D25D852" w14:textId="77777777" w:rsidR="0064268C" w:rsidRPr="0064268C" w:rsidRDefault="0064268C" w:rsidP="0064268C">
            <w:pPr>
              <w:suppressAutoHyphens/>
              <w:overflowPunct/>
              <w:autoSpaceDE/>
              <w:autoSpaceDN/>
              <w:adjustRightInd/>
              <w:spacing w:before="120" w:after="120"/>
              <w:jc w:val="both"/>
              <w:textAlignment w:val="auto"/>
              <w:rPr>
                <w:sz w:val="18"/>
                <w:szCs w:val="18"/>
                <w:lang w:val="en-GB" w:eastAsia="fr-FR"/>
              </w:rPr>
            </w:pPr>
            <w:r w:rsidRPr="0064268C">
              <w:rPr>
                <w:sz w:val="18"/>
                <w:szCs w:val="18"/>
                <w:lang w:val="en-GB" w:eastAsia="fr-FR"/>
              </w:rPr>
              <w:t>Manisa</w:t>
            </w:r>
          </w:p>
        </w:tc>
        <w:tc>
          <w:tcPr>
            <w:tcW w:w="1035" w:type="pct"/>
            <w:shd w:val="clear" w:color="auto" w:fill="auto"/>
            <w:vAlign w:val="center"/>
          </w:tcPr>
          <w:p w14:paraId="4FE885F9" w14:textId="77777777" w:rsidR="0064268C" w:rsidRPr="0064268C" w:rsidRDefault="0064268C" w:rsidP="0064268C">
            <w:pPr>
              <w:suppressAutoHyphens/>
              <w:overflowPunct/>
              <w:autoSpaceDE/>
              <w:autoSpaceDN/>
              <w:adjustRightInd/>
              <w:spacing w:before="120" w:after="120"/>
              <w:jc w:val="center"/>
              <w:textAlignment w:val="auto"/>
              <w:rPr>
                <w:sz w:val="18"/>
                <w:szCs w:val="18"/>
                <w:lang w:val="en-GB" w:eastAsia="fr-FR"/>
              </w:rPr>
            </w:pPr>
            <w:r w:rsidRPr="0064268C">
              <w:rPr>
                <w:sz w:val="18"/>
                <w:szCs w:val="18"/>
                <w:lang w:val="en-GB" w:eastAsia="fr-FR"/>
              </w:rPr>
              <w:t>OQ392367</w:t>
            </w:r>
          </w:p>
        </w:tc>
      </w:tr>
      <w:tr w:rsidR="0064268C" w:rsidRPr="0064268C" w14:paraId="0CD969D7" w14:textId="77777777" w:rsidTr="00EA7795">
        <w:trPr>
          <w:trHeight w:val="227"/>
        </w:trPr>
        <w:tc>
          <w:tcPr>
            <w:tcW w:w="1511" w:type="pct"/>
            <w:shd w:val="clear" w:color="auto" w:fill="auto"/>
          </w:tcPr>
          <w:p w14:paraId="12FE10E3" w14:textId="77777777" w:rsidR="0064268C" w:rsidRPr="0064268C" w:rsidRDefault="0064268C" w:rsidP="0064268C">
            <w:pPr>
              <w:suppressAutoHyphens/>
              <w:overflowPunct/>
              <w:autoSpaceDE/>
              <w:autoSpaceDN/>
              <w:adjustRightInd/>
              <w:spacing w:before="120" w:after="120"/>
              <w:jc w:val="both"/>
              <w:textAlignment w:val="auto"/>
              <w:rPr>
                <w:i/>
                <w:sz w:val="18"/>
                <w:szCs w:val="18"/>
                <w:lang w:val="en-GB" w:eastAsia="fr-FR"/>
              </w:rPr>
            </w:pPr>
            <w:r w:rsidRPr="0064268C">
              <w:rPr>
                <w:i/>
                <w:sz w:val="18"/>
                <w:szCs w:val="18"/>
                <w:lang w:val="en-GB" w:eastAsia="fr-FR"/>
              </w:rPr>
              <w:t>Botryosphaeria dothidea</w:t>
            </w:r>
          </w:p>
        </w:tc>
        <w:tc>
          <w:tcPr>
            <w:tcW w:w="944" w:type="pct"/>
            <w:shd w:val="clear" w:color="auto" w:fill="auto"/>
          </w:tcPr>
          <w:p w14:paraId="37DA8325" w14:textId="77777777" w:rsidR="0064268C" w:rsidRPr="0064268C" w:rsidRDefault="0064268C" w:rsidP="0064268C">
            <w:pPr>
              <w:suppressAutoHyphens/>
              <w:overflowPunct/>
              <w:autoSpaceDE/>
              <w:autoSpaceDN/>
              <w:adjustRightInd/>
              <w:spacing w:before="120" w:after="120"/>
              <w:jc w:val="both"/>
              <w:textAlignment w:val="auto"/>
              <w:rPr>
                <w:sz w:val="18"/>
                <w:szCs w:val="18"/>
                <w:lang w:val="en-GB" w:eastAsia="fr-FR"/>
              </w:rPr>
            </w:pPr>
            <w:r w:rsidRPr="0064268C">
              <w:rPr>
                <w:sz w:val="18"/>
                <w:szCs w:val="18"/>
                <w:lang w:val="en-GB" w:eastAsia="fr-FR"/>
              </w:rPr>
              <w:t>MBAE242</w:t>
            </w:r>
          </w:p>
        </w:tc>
        <w:tc>
          <w:tcPr>
            <w:tcW w:w="944" w:type="pct"/>
            <w:shd w:val="clear" w:color="auto" w:fill="auto"/>
          </w:tcPr>
          <w:p w14:paraId="54E60280" w14:textId="77777777" w:rsidR="0064268C" w:rsidRPr="0064268C" w:rsidRDefault="0064268C" w:rsidP="0064268C">
            <w:pPr>
              <w:suppressAutoHyphens/>
              <w:overflowPunct/>
              <w:autoSpaceDE/>
              <w:autoSpaceDN/>
              <w:adjustRightInd/>
              <w:spacing w:before="120" w:after="120"/>
              <w:jc w:val="both"/>
              <w:textAlignment w:val="auto"/>
              <w:rPr>
                <w:i/>
                <w:sz w:val="18"/>
                <w:szCs w:val="18"/>
                <w:lang w:val="en-GB" w:eastAsia="fr-FR"/>
              </w:rPr>
            </w:pPr>
            <w:r w:rsidRPr="0064268C">
              <w:rPr>
                <w:i/>
                <w:sz w:val="18"/>
                <w:szCs w:val="18"/>
                <w:lang w:val="en-GB" w:eastAsia="fr-FR"/>
              </w:rPr>
              <w:t>V. vinifera</w:t>
            </w:r>
          </w:p>
        </w:tc>
        <w:tc>
          <w:tcPr>
            <w:tcW w:w="566" w:type="pct"/>
            <w:shd w:val="clear" w:color="auto" w:fill="auto"/>
          </w:tcPr>
          <w:p w14:paraId="16FABD19" w14:textId="77777777" w:rsidR="0064268C" w:rsidRPr="0064268C" w:rsidRDefault="0064268C" w:rsidP="0064268C">
            <w:pPr>
              <w:suppressAutoHyphens/>
              <w:overflowPunct/>
              <w:autoSpaceDE/>
              <w:autoSpaceDN/>
              <w:adjustRightInd/>
              <w:spacing w:before="120" w:after="120"/>
              <w:jc w:val="both"/>
              <w:textAlignment w:val="auto"/>
              <w:rPr>
                <w:sz w:val="18"/>
                <w:szCs w:val="18"/>
                <w:lang w:val="en-GB" w:eastAsia="fr-FR"/>
              </w:rPr>
            </w:pPr>
            <w:r w:rsidRPr="0064268C">
              <w:rPr>
                <w:sz w:val="18"/>
                <w:szCs w:val="18"/>
                <w:lang w:val="en-GB" w:eastAsia="fr-FR"/>
              </w:rPr>
              <w:t>Manisa</w:t>
            </w:r>
          </w:p>
        </w:tc>
        <w:tc>
          <w:tcPr>
            <w:tcW w:w="1035" w:type="pct"/>
            <w:shd w:val="clear" w:color="auto" w:fill="auto"/>
            <w:vAlign w:val="center"/>
          </w:tcPr>
          <w:p w14:paraId="2C351E55" w14:textId="77777777" w:rsidR="0064268C" w:rsidRPr="0064268C" w:rsidRDefault="0064268C" w:rsidP="0064268C">
            <w:pPr>
              <w:suppressAutoHyphens/>
              <w:overflowPunct/>
              <w:autoSpaceDE/>
              <w:autoSpaceDN/>
              <w:adjustRightInd/>
              <w:spacing w:before="120" w:after="120"/>
              <w:jc w:val="center"/>
              <w:textAlignment w:val="auto"/>
              <w:rPr>
                <w:sz w:val="18"/>
                <w:szCs w:val="18"/>
                <w:lang w:val="en-GB" w:eastAsia="fr-FR"/>
              </w:rPr>
            </w:pPr>
            <w:r w:rsidRPr="0064268C">
              <w:rPr>
                <w:sz w:val="18"/>
                <w:szCs w:val="18"/>
                <w:lang w:val="en-GB" w:eastAsia="fr-FR"/>
              </w:rPr>
              <w:t>OQ392368</w:t>
            </w:r>
          </w:p>
        </w:tc>
      </w:tr>
      <w:tr w:rsidR="0064268C" w:rsidRPr="0064268C" w14:paraId="65908F4A" w14:textId="77777777" w:rsidTr="00EA7795">
        <w:trPr>
          <w:trHeight w:val="227"/>
        </w:trPr>
        <w:tc>
          <w:tcPr>
            <w:tcW w:w="1511" w:type="pct"/>
            <w:shd w:val="clear" w:color="auto" w:fill="auto"/>
          </w:tcPr>
          <w:p w14:paraId="0BBE111C" w14:textId="77777777" w:rsidR="0064268C" w:rsidRPr="0064268C" w:rsidRDefault="0064268C" w:rsidP="0064268C">
            <w:pPr>
              <w:suppressAutoHyphens/>
              <w:overflowPunct/>
              <w:autoSpaceDE/>
              <w:autoSpaceDN/>
              <w:adjustRightInd/>
              <w:spacing w:before="120" w:after="120"/>
              <w:jc w:val="both"/>
              <w:textAlignment w:val="auto"/>
              <w:rPr>
                <w:i/>
                <w:sz w:val="18"/>
                <w:szCs w:val="18"/>
                <w:lang w:val="en-GB" w:eastAsia="fr-FR"/>
              </w:rPr>
            </w:pPr>
            <w:r w:rsidRPr="0064268C">
              <w:rPr>
                <w:i/>
                <w:sz w:val="18"/>
                <w:szCs w:val="18"/>
                <w:lang w:val="en-GB" w:eastAsia="fr-FR"/>
              </w:rPr>
              <w:t>Ilyonectria liriodendri</w:t>
            </w:r>
          </w:p>
        </w:tc>
        <w:tc>
          <w:tcPr>
            <w:tcW w:w="944" w:type="pct"/>
            <w:shd w:val="clear" w:color="auto" w:fill="auto"/>
          </w:tcPr>
          <w:p w14:paraId="15A314E6" w14:textId="77777777" w:rsidR="0064268C" w:rsidRPr="0064268C" w:rsidRDefault="0064268C" w:rsidP="0064268C">
            <w:pPr>
              <w:suppressAutoHyphens/>
              <w:overflowPunct/>
              <w:autoSpaceDE/>
              <w:autoSpaceDN/>
              <w:adjustRightInd/>
              <w:spacing w:before="120" w:after="120"/>
              <w:jc w:val="both"/>
              <w:textAlignment w:val="auto"/>
              <w:rPr>
                <w:sz w:val="18"/>
                <w:szCs w:val="18"/>
                <w:lang w:val="en-GB" w:eastAsia="fr-FR"/>
              </w:rPr>
            </w:pPr>
            <w:r w:rsidRPr="0064268C">
              <w:rPr>
                <w:sz w:val="18"/>
                <w:szCs w:val="18"/>
                <w:lang w:val="en-GB" w:eastAsia="fr-FR"/>
              </w:rPr>
              <w:t>MBAE322</w:t>
            </w:r>
          </w:p>
        </w:tc>
        <w:tc>
          <w:tcPr>
            <w:tcW w:w="944" w:type="pct"/>
            <w:shd w:val="clear" w:color="auto" w:fill="auto"/>
          </w:tcPr>
          <w:p w14:paraId="2C657819" w14:textId="77777777" w:rsidR="0064268C" w:rsidRPr="0064268C" w:rsidRDefault="0064268C" w:rsidP="0064268C">
            <w:pPr>
              <w:suppressAutoHyphens/>
              <w:overflowPunct/>
              <w:autoSpaceDE/>
              <w:autoSpaceDN/>
              <w:adjustRightInd/>
              <w:spacing w:before="120" w:after="120"/>
              <w:jc w:val="both"/>
              <w:textAlignment w:val="auto"/>
              <w:rPr>
                <w:i/>
                <w:sz w:val="18"/>
                <w:szCs w:val="18"/>
                <w:lang w:val="en-GB" w:eastAsia="fr-FR"/>
              </w:rPr>
            </w:pPr>
            <w:r w:rsidRPr="0064268C">
              <w:rPr>
                <w:i/>
                <w:sz w:val="18"/>
                <w:szCs w:val="18"/>
                <w:lang w:val="en-GB" w:eastAsia="fr-FR"/>
              </w:rPr>
              <w:t>V. vinifera</w:t>
            </w:r>
          </w:p>
        </w:tc>
        <w:tc>
          <w:tcPr>
            <w:tcW w:w="566" w:type="pct"/>
            <w:shd w:val="clear" w:color="auto" w:fill="auto"/>
          </w:tcPr>
          <w:p w14:paraId="4BBD27EE" w14:textId="77777777" w:rsidR="0064268C" w:rsidRPr="0064268C" w:rsidRDefault="0064268C" w:rsidP="0064268C">
            <w:pPr>
              <w:suppressAutoHyphens/>
              <w:overflowPunct/>
              <w:autoSpaceDE/>
              <w:autoSpaceDN/>
              <w:adjustRightInd/>
              <w:spacing w:before="120" w:after="120"/>
              <w:jc w:val="both"/>
              <w:textAlignment w:val="auto"/>
              <w:rPr>
                <w:sz w:val="18"/>
                <w:szCs w:val="18"/>
                <w:lang w:val="en-GB" w:eastAsia="fr-FR"/>
              </w:rPr>
            </w:pPr>
            <w:r w:rsidRPr="0064268C">
              <w:rPr>
                <w:sz w:val="18"/>
                <w:szCs w:val="18"/>
                <w:lang w:val="en-GB" w:eastAsia="fr-FR"/>
              </w:rPr>
              <w:t>Manisa</w:t>
            </w:r>
          </w:p>
        </w:tc>
        <w:tc>
          <w:tcPr>
            <w:tcW w:w="1035" w:type="pct"/>
            <w:shd w:val="clear" w:color="auto" w:fill="auto"/>
            <w:vAlign w:val="center"/>
          </w:tcPr>
          <w:p w14:paraId="32B1AEED" w14:textId="77777777" w:rsidR="0064268C" w:rsidRPr="0064268C" w:rsidRDefault="0064268C" w:rsidP="0064268C">
            <w:pPr>
              <w:suppressAutoHyphens/>
              <w:overflowPunct/>
              <w:autoSpaceDE/>
              <w:autoSpaceDN/>
              <w:adjustRightInd/>
              <w:spacing w:before="120" w:after="120"/>
              <w:jc w:val="center"/>
              <w:textAlignment w:val="auto"/>
              <w:rPr>
                <w:sz w:val="18"/>
                <w:szCs w:val="18"/>
                <w:lang w:val="en-GB" w:eastAsia="fr-FR"/>
              </w:rPr>
            </w:pPr>
            <w:r w:rsidRPr="0064268C">
              <w:rPr>
                <w:sz w:val="18"/>
                <w:szCs w:val="18"/>
                <w:lang w:val="en-GB" w:eastAsia="fr-FR"/>
              </w:rPr>
              <w:t>OQ392371</w:t>
            </w:r>
          </w:p>
        </w:tc>
      </w:tr>
      <w:tr w:rsidR="0064268C" w:rsidRPr="0064268C" w14:paraId="5F1A414F" w14:textId="77777777" w:rsidTr="00EA7795">
        <w:trPr>
          <w:trHeight w:val="227"/>
        </w:trPr>
        <w:tc>
          <w:tcPr>
            <w:tcW w:w="1511" w:type="pct"/>
            <w:shd w:val="clear" w:color="auto" w:fill="auto"/>
          </w:tcPr>
          <w:p w14:paraId="75D5F7E0" w14:textId="77777777" w:rsidR="0064268C" w:rsidRPr="0064268C" w:rsidRDefault="0064268C" w:rsidP="0064268C">
            <w:pPr>
              <w:suppressAutoHyphens/>
              <w:overflowPunct/>
              <w:autoSpaceDE/>
              <w:autoSpaceDN/>
              <w:adjustRightInd/>
              <w:spacing w:before="120" w:after="120"/>
              <w:jc w:val="both"/>
              <w:textAlignment w:val="auto"/>
              <w:rPr>
                <w:i/>
                <w:sz w:val="18"/>
                <w:szCs w:val="18"/>
                <w:lang w:val="en-GB" w:eastAsia="fr-FR"/>
              </w:rPr>
            </w:pPr>
            <w:r w:rsidRPr="0064268C">
              <w:rPr>
                <w:i/>
                <w:sz w:val="18"/>
                <w:szCs w:val="18"/>
                <w:lang w:val="en-GB" w:eastAsia="fr-FR"/>
              </w:rPr>
              <w:t>Alternaria alternata</w:t>
            </w:r>
          </w:p>
        </w:tc>
        <w:tc>
          <w:tcPr>
            <w:tcW w:w="944" w:type="pct"/>
            <w:shd w:val="clear" w:color="auto" w:fill="auto"/>
          </w:tcPr>
          <w:p w14:paraId="2C933F17" w14:textId="77777777" w:rsidR="0064268C" w:rsidRPr="0064268C" w:rsidRDefault="0064268C" w:rsidP="0064268C">
            <w:pPr>
              <w:suppressAutoHyphens/>
              <w:overflowPunct/>
              <w:autoSpaceDE/>
              <w:autoSpaceDN/>
              <w:adjustRightInd/>
              <w:spacing w:before="120" w:after="120"/>
              <w:jc w:val="both"/>
              <w:textAlignment w:val="auto"/>
              <w:rPr>
                <w:sz w:val="18"/>
                <w:szCs w:val="18"/>
                <w:lang w:val="en-GB" w:eastAsia="fr-FR"/>
              </w:rPr>
            </w:pPr>
            <w:r w:rsidRPr="0064268C">
              <w:rPr>
                <w:sz w:val="18"/>
                <w:szCs w:val="18"/>
                <w:lang w:val="en-GB" w:eastAsia="fr-FR"/>
              </w:rPr>
              <w:t>MBAE329</w:t>
            </w:r>
          </w:p>
        </w:tc>
        <w:tc>
          <w:tcPr>
            <w:tcW w:w="944" w:type="pct"/>
            <w:shd w:val="clear" w:color="auto" w:fill="auto"/>
          </w:tcPr>
          <w:p w14:paraId="27E832CB" w14:textId="77777777" w:rsidR="0064268C" w:rsidRPr="0064268C" w:rsidRDefault="0064268C" w:rsidP="0064268C">
            <w:pPr>
              <w:suppressAutoHyphens/>
              <w:overflowPunct/>
              <w:autoSpaceDE/>
              <w:autoSpaceDN/>
              <w:adjustRightInd/>
              <w:spacing w:before="120" w:after="120"/>
              <w:jc w:val="both"/>
              <w:textAlignment w:val="auto"/>
              <w:rPr>
                <w:i/>
                <w:sz w:val="18"/>
                <w:szCs w:val="18"/>
                <w:lang w:val="en-GB" w:eastAsia="fr-FR"/>
              </w:rPr>
            </w:pPr>
            <w:r w:rsidRPr="0064268C">
              <w:rPr>
                <w:i/>
                <w:sz w:val="18"/>
                <w:szCs w:val="18"/>
                <w:lang w:val="en-GB" w:eastAsia="fr-FR"/>
              </w:rPr>
              <w:t>V. vinifera</w:t>
            </w:r>
          </w:p>
        </w:tc>
        <w:tc>
          <w:tcPr>
            <w:tcW w:w="566" w:type="pct"/>
            <w:shd w:val="clear" w:color="auto" w:fill="auto"/>
          </w:tcPr>
          <w:p w14:paraId="11F15CA2" w14:textId="77777777" w:rsidR="0064268C" w:rsidRPr="0064268C" w:rsidRDefault="0064268C" w:rsidP="0064268C">
            <w:pPr>
              <w:suppressAutoHyphens/>
              <w:overflowPunct/>
              <w:autoSpaceDE/>
              <w:autoSpaceDN/>
              <w:adjustRightInd/>
              <w:spacing w:before="120" w:after="120"/>
              <w:jc w:val="both"/>
              <w:textAlignment w:val="auto"/>
              <w:rPr>
                <w:sz w:val="18"/>
                <w:szCs w:val="18"/>
                <w:lang w:val="en-GB" w:eastAsia="fr-FR"/>
              </w:rPr>
            </w:pPr>
            <w:r w:rsidRPr="0064268C">
              <w:rPr>
                <w:sz w:val="18"/>
                <w:szCs w:val="18"/>
                <w:lang w:val="en-GB" w:eastAsia="fr-FR"/>
              </w:rPr>
              <w:t>Manisa</w:t>
            </w:r>
          </w:p>
        </w:tc>
        <w:tc>
          <w:tcPr>
            <w:tcW w:w="1035" w:type="pct"/>
            <w:shd w:val="clear" w:color="auto" w:fill="auto"/>
            <w:vAlign w:val="center"/>
          </w:tcPr>
          <w:p w14:paraId="737B5FE1" w14:textId="77777777" w:rsidR="0064268C" w:rsidRPr="0064268C" w:rsidRDefault="0064268C" w:rsidP="0064268C">
            <w:pPr>
              <w:suppressAutoHyphens/>
              <w:overflowPunct/>
              <w:autoSpaceDE/>
              <w:autoSpaceDN/>
              <w:adjustRightInd/>
              <w:spacing w:before="120" w:after="120"/>
              <w:jc w:val="center"/>
              <w:textAlignment w:val="auto"/>
              <w:rPr>
                <w:sz w:val="18"/>
                <w:szCs w:val="18"/>
                <w:lang w:val="en-GB" w:eastAsia="fr-FR"/>
              </w:rPr>
            </w:pPr>
            <w:r w:rsidRPr="0064268C">
              <w:rPr>
                <w:sz w:val="18"/>
                <w:szCs w:val="18"/>
                <w:lang w:val="en-GB" w:eastAsia="fr-FR"/>
              </w:rPr>
              <w:t>OQ392372</w:t>
            </w:r>
          </w:p>
        </w:tc>
      </w:tr>
      <w:tr w:rsidR="0064268C" w:rsidRPr="0064268C" w14:paraId="4E5F66FC" w14:textId="77777777" w:rsidTr="00EA7795">
        <w:trPr>
          <w:trHeight w:val="227"/>
        </w:trPr>
        <w:tc>
          <w:tcPr>
            <w:tcW w:w="1511" w:type="pct"/>
            <w:shd w:val="clear" w:color="auto" w:fill="auto"/>
          </w:tcPr>
          <w:p w14:paraId="0D48563C" w14:textId="77777777" w:rsidR="0064268C" w:rsidRPr="0064268C" w:rsidRDefault="0064268C" w:rsidP="0064268C">
            <w:pPr>
              <w:suppressAutoHyphens/>
              <w:overflowPunct/>
              <w:autoSpaceDE/>
              <w:autoSpaceDN/>
              <w:adjustRightInd/>
              <w:spacing w:before="120" w:after="120"/>
              <w:jc w:val="both"/>
              <w:textAlignment w:val="auto"/>
              <w:rPr>
                <w:i/>
                <w:sz w:val="18"/>
                <w:szCs w:val="18"/>
                <w:lang w:val="en-GB" w:eastAsia="fr-FR"/>
              </w:rPr>
            </w:pPr>
            <w:r w:rsidRPr="0064268C">
              <w:rPr>
                <w:i/>
                <w:sz w:val="18"/>
                <w:szCs w:val="18"/>
                <w:lang w:val="en-GB" w:eastAsia="fr-FR"/>
              </w:rPr>
              <w:t>Trichoderma gamsii</w:t>
            </w:r>
          </w:p>
        </w:tc>
        <w:tc>
          <w:tcPr>
            <w:tcW w:w="944" w:type="pct"/>
            <w:shd w:val="clear" w:color="auto" w:fill="auto"/>
          </w:tcPr>
          <w:p w14:paraId="2B20E9CE" w14:textId="77777777" w:rsidR="0064268C" w:rsidRPr="0064268C" w:rsidRDefault="0064268C" w:rsidP="0064268C">
            <w:pPr>
              <w:suppressAutoHyphens/>
              <w:overflowPunct/>
              <w:autoSpaceDE/>
              <w:autoSpaceDN/>
              <w:adjustRightInd/>
              <w:spacing w:before="120" w:after="120"/>
              <w:jc w:val="both"/>
              <w:textAlignment w:val="auto"/>
              <w:rPr>
                <w:sz w:val="18"/>
                <w:szCs w:val="18"/>
                <w:lang w:val="en-GB" w:eastAsia="fr-FR"/>
              </w:rPr>
            </w:pPr>
            <w:r w:rsidRPr="0064268C">
              <w:rPr>
                <w:sz w:val="18"/>
                <w:szCs w:val="18"/>
                <w:lang w:val="en-GB" w:eastAsia="fr-FR"/>
              </w:rPr>
              <w:t>MBAE374</w:t>
            </w:r>
          </w:p>
        </w:tc>
        <w:tc>
          <w:tcPr>
            <w:tcW w:w="944" w:type="pct"/>
            <w:shd w:val="clear" w:color="auto" w:fill="auto"/>
          </w:tcPr>
          <w:p w14:paraId="28B64B8B" w14:textId="77777777" w:rsidR="0064268C" w:rsidRPr="0064268C" w:rsidRDefault="0064268C" w:rsidP="0064268C">
            <w:pPr>
              <w:suppressAutoHyphens/>
              <w:overflowPunct/>
              <w:autoSpaceDE/>
              <w:autoSpaceDN/>
              <w:adjustRightInd/>
              <w:spacing w:before="120" w:after="120"/>
              <w:jc w:val="both"/>
              <w:textAlignment w:val="auto"/>
              <w:rPr>
                <w:i/>
                <w:sz w:val="18"/>
                <w:szCs w:val="18"/>
                <w:lang w:val="en-GB" w:eastAsia="fr-FR"/>
              </w:rPr>
            </w:pPr>
            <w:r w:rsidRPr="0064268C">
              <w:rPr>
                <w:i/>
                <w:sz w:val="18"/>
                <w:szCs w:val="18"/>
                <w:lang w:val="en-GB" w:eastAsia="fr-FR"/>
              </w:rPr>
              <w:t>V. vinifera</w:t>
            </w:r>
          </w:p>
        </w:tc>
        <w:tc>
          <w:tcPr>
            <w:tcW w:w="566" w:type="pct"/>
            <w:shd w:val="clear" w:color="auto" w:fill="auto"/>
          </w:tcPr>
          <w:p w14:paraId="747CE6D0" w14:textId="77777777" w:rsidR="0064268C" w:rsidRPr="0064268C" w:rsidRDefault="0064268C" w:rsidP="0064268C">
            <w:pPr>
              <w:suppressAutoHyphens/>
              <w:overflowPunct/>
              <w:autoSpaceDE/>
              <w:autoSpaceDN/>
              <w:adjustRightInd/>
              <w:spacing w:before="120" w:after="120"/>
              <w:jc w:val="both"/>
              <w:textAlignment w:val="auto"/>
              <w:rPr>
                <w:sz w:val="18"/>
                <w:szCs w:val="18"/>
                <w:lang w:val="en-GB" w:eastAsia="fr-FR"/>
              </w:rPr>
            </w:pPr>
            <w:r w:rsidRPr="0064268C">
              <w:rPr>
                <w:sz w:val="18"/>
                <w:szCs w:val="18"/>
                <w:lang w:val="en-GB" w:eastAsia="fr-FR"/>
              </w:rPr>
              <w:t>Manisa</w:t>
            </w:r>
          </w:p>
        </w:tc>
        <w:tc>
          <w:tcPr>
            <w:tcW w:w="1035" w:type="pct"/>
            <w:shd w:val="clear" w:color="auto" w:fill="auto"/>
          </w:tcPr>
          <w:p w14:paraId="76AFB92A" w14:textId="77777777" w:rsidR="0064268C" w:rsidRPr="0064268C" w:rsidRDefault="0064268C" w:rsidP="0064268C">
            <w:pPr>
              <w:suppressAutoHyphens/>
              <w:overflowPunct/>
              <w:autoSpaceDE/>
              <w:autoSpaceDN/>
              <w:adjustRightInd/>
              <w:spacing w:before="120" w:after="120"/>
              <w:jc w:val="center"/>
              <w:textAlignment w:val="auto"/>
              <w:rPr>
                <w:sz w:val="18"/>
                <w:szCs w:val="18"/>
                <w:lang w:val="en-GB" w:eastAsia="fr-FR"/>
              </w:rPr>
            </w:pPr>
            <w:r w:rsidRPr="0064268C">
              <w:rPr>
                <w:sz w:val="18"/>
                <w:szCs w:val="18"/>
                <w:lang w:val="en-GB" w:eastAsia="fr-FR"/>
              </w:rPr>
              <w:t>OQ359568</w:t>
            </w:r>
          </w:p>
        </w:tc>
      </w:tr>
      <w:tr w:rsidR="0064268C" w:rsidRPr="0064268C" w14:paraId="01AB822A" w14:textId="77777777" w:rsidTr="00EA7795">
        <w:trPr>
          <w:trHeight w:val="227"/>
        </w:trPr>
        <w:tc>
          <w:tcPr>
            <w:tcW w:w="1511" w:type="pct"/>
            <w:shd w:val="clear" w:color="auto" w:fill="auto"/>
          </w:tcPr>
          <w:p w14:paraId="3CFEAC96" w14:textId="77777777" w:rsidR="0064268C" w:rsidRPr="0064268C" w:rsidRDefault="0064268C" w:rsidP="0064268C">
            <w:pPr>
              <w:suppressAutoHyphens/>
              <w:overflowPunct/>
              <w:autoSpaceDE/>
              <w:autoSpaceDN/>
              <w:adjustRightInd/>
              <w:spacing w:before="120" w:after="120"/>
              <w:jc w:val="both"/>
              <w:textAlignment w:val="auto"/>
              <w:rPr>
                <w:i/>
                <w:sz w:val="18"/>
                <w:szCs w:val="18"/>
                <w:lang w:val="en-GB" w:eastAsia="fr-FR"/>
              </w:rPr>
            </w:pPr>
            <w:r w:rsidRPr="0064268C">
              <w:rPr>
                <w:i/>
                <w:sz w:val="18"/>
                <w:szCs w:val="18"/>
                <w:lang w:val="en-GB" w:eastAsia="fr-FR"/>
              </w:rPr>
              <w:t>Trichoderma afroharzianum</w:t>
            </w:r>
          </w:p>
        </w:tc>
        <w:tc>
          <w:tcPr>
            <w:tcW w:w="944" w:type="pct"/>
            <w:shd w:val="clear" w:color="auto" w:fill="auto"/>
          </w:tcPr>
          <w:p w14:paraId="112FC492" w14:textId="77777777" w:rsidR="0064268C" w:rsidRPr="0064268C" w:rsidRDefault="0064268C" w:rsidP="0064268C">
            <w:pPr>
              <w:suppressAutoHyphens/>
              <w:overflowPunct/>
              <w:autoSpaceDE/>
              <w:autoSpaceDN/>
              <w:adjustRightInd/>
              <w:spacing w:before="120" w:after="120"/>
              <w:jc w:val="both"/>
              <w:textAlignment w:val="auto"/>
              <w:rPr>
                <w:sz w:val="18"/>
                <w:szCs w:val="18"/>
                <w:lang w:val="en-GB" w:eastAsia="fr-FR"/>
              </w:rPr>
            </w:pPr>
            <w:r w:rsidRPr="0064268C">
              <w:rPr>
                <w:sz w:val="18"/>
                <w:szCs w:val="18"/>
                <w:lang w:val="en-GB" w:eastAsia="fr-FR"/>
              </w:rPr>
              <w:t>MBAE377NS</w:t>
            </w:r>
          </w:p>
        </w:tc>
        <w:tc>
          <w:tcPr>
            <w:tcW w:w="944" w:type="pct"/>
            <w:shd w:val="clear" w:color="auto" w:fill="auto"/>
          </w:tcPr>
          <w:p w14:paraId="7094D2DA" w14:textId="77777777" w:rsidR="0064268C" w:rsidRPr="0064268C" w:rsidRDefault="0064268C" w:rsidP="0064268C">
            <w:pPr>
              <w:suppressAutoHyphens/>
              <w:overflowPunct/>
              <w:autoSpaceDE/>
              <w:autoSpaceDN/>
              <w:adjustRightInd/>
              <w:spacing w:before="120" w:after="120"/>
              <w:jc w:val="both"/>
              <w:textAlignment w:val="auto"/>
              <w:rPr>
                <w:i/>
                <w:sz w:val="18"/>
                <w:szCs w:val="18"/>
                <w:lang w:val="en-GB" w:eastAsia="fr-FR"/>
              </w:rPr>
            </w:pPr>
            <w:r w:rsidRPr="0064268C">
              <w:rPr>
                <w:i/>
                <w:sz w:val="18"/>
                <w:szCs w:val="18"/>
                <w:lang w:val="en-GB" w:eastAsia="fr-FR"/>
              </w:rPr>
              <w:t>V. vinifera</w:t>
            </w:r>
          </w:p>
        </w:tc>
        <w:tc>
          <w:tcPr>
            <w:tcW w:w="566" w:type="pct"/>
            <w:shd w:val="clear" w:color="auto" w:fill="auto"/>
          </w:tcPr>
          <w:p w14:paraId="1869EFC8" w14:textId="77777777" w:rsidR="0064268C" w:rsidRPr="0064268C" w:rsidRDefault="0064268C" w:rsidP="0064268C">
            <w:pPr>
              <w:suppressAutoHyphens/>
              <w:overflowPunct/>
              <w:autoSpaceDE/>
              <w:autoSpaceDN/>
              <w:adjustRightInd/>
              <w:spacing w:before="120" w:after="120"/>
              <w:jc w:val="both"/>
              <w:textAlignment w:val="auto"/>
              <w:rPr>
                <w:sz w:val="18"/>
                <w:szCs w:val="18"/>
                <w:lang w:val="en-GB" w:eastAsia="fr-FR"/>
              </w:rPr>
            </w:pPr>
            <w:r w:rsidRPr="0064268C">
              <w:rPr>
                <w:sz w:val="18"/>
                <w:szCs w:val="18"/>
                <w:lang w:val="en-GB" w:eastAsia="fr-FR"/>
              </w:rPr>
              <w:t>Manisa</w:t>
            </w:r>
          </w:p>
        </w:tc>
        <w:tc>
          <w:tcPr>
            <w:tcW w:w="1035" w:type="pct"/>
            <w:shd w:val="clear" w:color="auto" w:fill="auto"/>
          </w:tcPr>
          <w:p w14:paraId="3320856D" w14:textId="77777777" w:rsidR="0064268C" w:rsidRPr="0064268C" w:rsidRDefault="0064268C" w:rsidP="0064268C">
            <w:pPr>
              <w:suppressAutoHyphens/>
              <w:overflowPunct/>
              <w:autoSpaceDE/>
              <w:autoSpaceDN/>
              <w:adjustRightInd/>
              <w:spacing w:before="120" w:after="120"/>
              <w:jc w:val="center"/>
              <w:textAlignment w:val="auto"/>
              <w:rPr>
                <w:sz w:val="18"/>
                <w:szCs w:val="18"/>
                <w:lang w:val="en-GB" w:eastAsia="fr-FR"/>
              </w:rPr>
            </w:pPr>
            <w:r w:rsidRPr="0064268C">
              <w:rPr>
                <w:sz w:val="18"/>
                <w:szCs w:val="18"/>
                <w:lang w:val="en-GB" w:eastAsia="fr-FR"/>
              </w:rPr>
              <w:t>ON819609</w:t>
            </w:r>
          </w:p>
        </w:tc>
      </w:tr>
    </w:tbl>
    <w:p w14:paraId="10A8C24E" w14:textId="77777777" w:rsidR="0064268C" w:rsidRPr="00C17FDF" w:rsidRDefault="0064268C" w:rsidP="00C17FDF">
      <w:pPr>
        <w:spacing w:line="360" w:lineRule="auto"/>
        <w:jc w:val="both"/>
        <w:rPr>
          <w:lang w:val="en-GB"/>
        </w:rPr>
      </w:pPr>
    </w:p>
    <w:p w14:paraId="2F544D38" w14:textId="4EA1F4D0" w:rsidR="00C17FDF" w:rsidRPr="002B0947" w:rsidRDefault="00C17FDF" w:rsidP="00C17FDF">
      <w:pPr>
        <w:spacing w:line="360" w:lineRule="auto"/>
        <w:jc w:val="both"/>
        <w:rPr>
          <w:b/>
          <w:lang w:val="en-GB"/>
        </w:rPr>
      </w:pPr>
      <w:r w:rsidRPr="002B0947">
        <w:rPr>
          <w:b/>
          <w:lang w:val="en-GB"/>
        </w:rPr>
        <w:t xml:space="preserve">Fungicide efficacy and sapling quality in saplings uprooted from nursery </w:t>
      </w:r>
    </w:p>
    <w:p w14:paraId="502322F4" w14:textId="5E01FC21" w:rsidR="00C17FDF" w:rsidRPr="00C17FDF" w:rsidRDefault="00C17FDF" w:rsidP="00C17FDF">
      <w:pPr>
        <w:spacing w:line="360" w:lineRule="auto"/>
        <w:jc w:val="both"/>
        <w:rPr>
          <w:lang w:val="en-GB"/>
        </w:rPr>
      </w:pPr>
      <w:r w:rsidRPr="00C17FDF">
        <w:rPr>
          <w:lang w:val="en-GB"/>
        </w:rPr>
        <w:t xml:space="preserve">Soil-borne fungi are the main cause of loss in vine nurseries during the sapling cultivation stage. It was determined that there was a statistical difference between the isolation incidence of fungi based on the treatment applied to sick and healthy saplings removed from the nursery soil (Table 3). </w:t>
      </w:r>
      <w:r w:rsidRPr="002B0947">
        <w:rPr>
          <w:i/>
          <w:lang w:val="en-GB"/>
        </w:rPr>
        <w:t>Botryosphaeria</w:t>
      </w:r>
      <w:r w:rsidRPr="00C17FDF">
        <w:rPr>
          <w:lang w:val="en-GB"/>
        </w:rPr>
        <w:t xml:space="preserve">, </w:t>
      </w:r>
      <w:r w:rsidRPr="002B0947">
        <w:rPr>
          <w:i/>
          <w:lang w:val="en-GB"/>
        </w:rPr>
        <w:t>Ilyonectria</w:t>
      </w:r>
      <w:r w:rsidRPr="00C17FDF">
        <w:rPr>
          <w:lang w:val="en-GB"/>
        </w:rPr>
        <w:t xml:space="preserve">, </w:t>
      </w:r>
      <w:r w:rsidRPr="002B0947">
        <w:rPr>
          <w:i/>
          <w:lang w:val="en-GB"/>
        </w:rPr>
        <w:t>Diaporthe</w:t>
      </w:r>
      <w:r w:rsidRPr="00C17FDF">
        <w:rPr>
          <w:lang w:val="en-GB"/>
        </w:rPr>
        <w:t xml:space="preserve">, </w:t>
      </w:r>
      <w:r w:rsidRPr="002B0947">
        <w:rPr>
          <w:i/>
          <w:lang w:val="en-GB"/>
        </w:rPr>
        <w:t>Alternaria</w:t>
      </w:r>
      <w:r w:rsidRPr="00C17FDF">
        <w:rPr>
          <w:lang w:val="en-GB"/>
        </w:rPr>
        <w:t xml:space="preserve">, </w:t>
      </w:r>
      <w:r w:rsidRPr="002B0947">
        <w:rPr>
          <w:i/>
          <w:lang w:val="en-GB"/>
        </w:rPr>
        <w:t>Rhizoctonia</w:t>
      </w:r>
      <w:r w:rsidRPr="00C17FDF">
        <w:rPr>
          <w:lang w:val="en-GB"/>
        </w:rPr>
        <w:t xml:space="preserve">, </w:t>
      </w:r>
      <w:r w:rsidRPr="002B0947">
        <w:rPr>
          <w:i/>
          <w:lang w:val="en-GB"/>
        </w:rPr>
        <w:t>Phoma</w:t>
      </w:r>
      <w:r w:rsidRPr="00C17FDF">
        <w:rPr>
          <w:lang w:val="en-GB"/>
        </w:rPr>
        <w:t xml:space="preserve">, and </w:t>
      </w:r>
      <w:r w:rsidRPr="002B0947">
        <w:rPr>
          <w:i/>
          <w:lang w:val="en-GB"/>
        </w:rPr>
        <w:t>Botrytis cinerea</w:t>
      </w:r>
      <w:r w:rsidRPr="00C17FDF">
        <w:rPr>
          <w:lang w:val="en-GB"/>
        </w:rPr>
        <w:t xml:space="preserve"> were accepted as grapevine nursery pathogens. Furthermore, </w:t>
      </w:r>
      <w:r w:rsidRPr="002B0947">
        <w:rPr>
          <w:i/>
          <w:lang w:val="en-GB"/>
        </w:rPr>
        <w:t>Acremonium</w:t>
      </w:r>
      <w:r w:rsidRPr="00C17FDF">
        <w:rPr>
          <w:lang w:val="en-GB"/>
        </w:rPr>
        <w:t xml:space="preserve">, </w:t>
      </w:r>
      <w:r w:rsidRPr="002B0947">
        <w:rPr>
          <w:i/>
          <w:lang w:val="en-GB"/>
        </w:rPr>
        <w:t>As</w:t>
      </w:r>
      <w:r w:rsidR="002B0947" w:rsidRPr="002B0947">
        <w:rPr>
          <w:i/>
          <w:lang w:val="en-GB"/>
        </w:rPr>
        <w:t>pergillus</w:t>
      </w:r>
      <w:r w:rsidR="002B0947">
        <w:rPr>
          <w:lang w:val="en-GB"/>
        </w:rPr>
        <w:t xml:space="preserve">, </w:t>
      </w:r>
      <w:r w:rsidR="002B0947" w:rsidRPr="002B0947">
        <w:rPr>
          <w:i/>
          <w:lang w:val="en-GB"/>
        </w:rPr>
        <w:t>Aureobasidium</w:t>
      </w:r>
      <w:r w:rsidR="002B0947">
        <w:rPr>
          <w:lang w:val="en-GB"/>
        </w:rPr>
        <w:t xml:space="preserve">, </w:t>
      </w:r>
      <w:r w:rsidR="002B0947" w:rsidRPr="002B0947">
        <w:rPr>
          <w:i/>
          <w:lang w:val="en-GB"/>
        </w:rPr>
        <w:t>Clado</w:t>
      </w:r>
      <w:r w:rsidRPr="002B0947">
        <w:rPr>
          <w:i/>
          <w:lang w:val="en-GB"/>
        </w:rPr>
        <w:t>sporium</w:t>
      </w:r>
      <w:r w:rsidRPr="00C17FDF">
        <w:rPr>
          <w:lang w:val="en-GB"/>
        </w:rPr>
        <w:t xml:space="preserve">, </w:t>
      </w:r>
      <w:r w:rsidRPr="002B0947">
        <w:rPr>
          <w:i/>
          <w:lang w:val="en-GB"/>
        </w:rPr>
        <w:t>Clonostachys</w:t>
      </w:r>
      <w:r w:rsidRPr="00C17FDF">
        <w:rPr>
          <w:lang w:val="en-GB"/>
        </w:rPr>
        <w:t xml:space="preserve">, </w:t>
      </w:r>
      <w:r w:rsidRPr="002B0947">
        <w:rPr>
          <w:i/>
          <w:lang w:val="en-GB"/>
        </w:rPr>
        <w:t>Epicoccum</w:t>
      </w:r>
      <w:r w:rsidRPr="00C17FDF">
        <w:rPr>
          <w:lang w:val="en-GB"/>
        </w:rPr>
        <w:t xml:space="preserve">, </w:t>
      </w:r>
      <w:r w:rsidRPr="002B0947">
        <w:rPr>
          <w:i/>
          <w:lang w:val="en-GB"/>
        </w:rPr>
        <w:t>Penicillium</w:t>
      </w:r>
      <w:r w:rsidRPr="00C17FDF">
        <w:rPr>
          <w:lang w:val="en-GB"/>
        </w:rPr>
        <w:t xml:space="preserve"> and </w:t>
      </w:r>
      <w:r w:rsidRPr="002B0947">
        <w:rPr>
          <w:i/>
          <w:lang w:val="en-GB"/>
        </w:rPr>
        <w:t xml:space="preserve">Trichoderma </w:t>
      </w:r>
      <w:r w:rsidRPr="00C17FDF">
        <w:rPr>
          <w:lang w:val="en-GB"/>
        </w:rPr>
        <w:t xml:space="preserve">species were also identified, and these fungi were considered endophytic species. Since </w:t>
      </w:r>
      <w:r w:rsidRPr="004D0B4A">
        <w:rPr>
          <w:i/>
          <w:lang w:val="en-GB"/>
        </w:rPr>
        <w:t>Trichoderma harzianum</w:t>
      </w:r>
      <w:r w:rsidRPr="00C17FDF">
        <w:rPr>
          <w:lang w:val="en-GB"/>
        </w:rPr>
        <w:t xml:space="preserve"> sp. bio-preparate was included in the applications, this fungus was included in the analyses conducted after soil applications (Tables 3, 4). </w:t>
      </w:r>
    </w:p>
    <w:p w14:paraId="6F00BAA9" w14:textId="300D0574" w:rsidR="00C17FDF" w:rsidRDefault="00C17FDF" w:rsidP="00C17FDF">
      <w:pPr>
        <w:spacing w:line="360" w:lineRule="auto"/>
        <w:jc w:val="both"/>
        <w:rPr>
          <w:lang w:val="en-GB"/>
        </w:rPr>
      </w:pPr>
      <w:r w:rsidRPr="00C17FDF">
        <w:rPr>
          <w:lang w:val="en-GB"/>
        </w:rPr>
        <w:t xml:space="preserve">The highest isolation incidence was observed in </w:t>
      </w:r>
      <w:r w:rsidRPr="00A435D3">
        <w:rPr>
          <w:i/>
          <w:lang w:val="en-GB"/>
        </w:rPr>
        <w:t>Fusarium solani</w:t>
      </w:r>
      <w:r w:rsidRPr="00C17FDF">
        <w:rPr>
          <w:lang w:val="en-GB"/>
        </w:rPr>
        <w:t xml:space="preserve"> (36.86%, 25.99%, 15.31%, 14.88%, 10.88%, 9.16%, 9.08%, and 4.79%) in sick saplings uprooted from the vine nursery in the control and all fungicide application groups, as presented in Table 3. </w:t>
      </w:r>
      <w:r w:rsidRPr="002B0947">
        <w:rPr>
          <w:i/>
          <w:lang w:val="en-GB"/>
        </w:rPr>
        <w:t xml:space="preserve">Botryosphaeria </w:t>
      </w:r>
      <w:r w:rsidR="0030488B">
        <w:rPr>
          <w:i/>
          <w:lang w:val="en-GB"/>
        </w:rPr>
        <w:t xml:space="preserve">dothidae </w:t>
      </w:r>
      <w:r w:rsidRPr="00C17FDF">
        <w:rPr>
          <w:lang w:val="en-GB"/>
        </w:rPr>
        <w:t xml:space="preserve">pathogen incidence was 18.75% and 21.84% in A (cutting + sawdust + soil) and A (cutting + sawdust) applications, and these figures were higher when compared to D (cutting + sawdust + soil) and D (cutting + sawdust) applications (15%, 63 and 12.25%). </w:t>
      </w:r>
      <w:r w:rsidRPr="002B0947">
        <w:rPr>
          <w:i/>
          <w:lang w:val="en-GB"/>
        </w:rPr>
        <w:t>Ilyonectria liriodendri</w:t>
      </w:r>
      <w:r w:rsidRPr="00C17FDF">
        <w:rPr>
          <w:lang w:val="en-GB"/>
        </w:rPr>
        <w:t xml:space="preserve"> isolations were low in B (cutting + sawdust + soil), C (cutting+sawdust) and C (cutting + sawdust + soil) applications. It was observed that </w:t>
      </w:r>
      <w:r w:rsidRPr="002B0947">
        <w:rPr>
          <w:i/>
          <w:lang w:val="en-GB"/>
        </w:rPr>
        <w:t>Trichoderma</w:t>
      </w:r>
      <w:r w:rsidRPr="00C17FDF">
        <w:rPr>
          <w:lang w:val="en-GB"/>
        </w:rPr>
        <w:t xml:space="preserve"> spp. isolation in all applications except B (cutting + sawdust + soil) from sick saplings demonstrated that the fungicides did not affect </w:t>
      </w:r>
      <w:r w:rsidRPr="002B0947">
        <w:rPr>
          <w:i/>
          <w:lang w:val="en-GB"/>
        </w:rPr>
        <w:t>Trichoderma</w:t>
      </w:r>
      <w:r w:rsidRPr="00C17FDF">
        <w:rPr>
          <w:lang w:val="en-GB"/>
        </w:rPr>
        <w:t xml:space="preserve"> spp. It was determined that B (cutting + sawdust + soil) application is effective in the control of trunk decline and black foot disease pathogens.</w:t>
      </w:r>
    </w:p>
    <w:p w14:paraId="264D8D7B" w14:textId="77777777" w:rsidR="006B30C1" w:rsidRPr="00C17FDF" w:rsidRDefault="006B30C1" w:rsidP="00C17FDF">
      <w:pPr>
        <w:spacing w:line="360" w:lineRule="auto"/>
        <w:jc w:val="both"/>
        <w:rPr>
          <w:lang w:val="en-GB"/>
        </w:rPr>
      </w:pPr>
    </w:p>
    <w:p w14:paraId="0A05E54D" w14:textId="77777777" w:rsidR="00C17FDF" w:rsidRDefault="00C17FDF" w:rsidP="00C17FDF">
      <w:pPr>
        <w:spacing w:line="360" w:lineRule="auto"/>
        <w:jc w:val="both"/>
        <w:rPr>
          <w:lang w:val="en-GB"/>
        </w:rPr>
      </w:pPr>
      <w:r w:rsidRPr="006B30C1">
        <w:rPr>
          <w:b/>
          <w:lang w:val="en-GB"/>
        </w:rPr>
        <w:t>Table 3.</w:t>
      </w:r>
      <w:r w:rsidRPr="00C17FDF">
        <w:rPr>
          <w:lang w:val="en-GB"/>
        </w:rPr>
        <w:t xml:space="preserve"> Isolation incidences of the fungi isolated from the roots of the sick saplings uprooted from the nursery (%)</w:t>
      </w:r>
    </w:p>
    <w:tbl>
      <w:tblPr>
        <w:tblStyle w:val="DzTablo2"/>
        <w:tblW w:w="9498" w:type="dxa"/>
        <w:tblLayout w:type="fixed"/>
        <w:tblLook w:val="04A0" w:firstRow="1" w:lastRow="0" w:firstColumn="1" w:lastColumn="0" w:noHBand="0" w:noVBand="1"/>
      </w:tblPr>
      <w:tblGrid>
        <w:gridCol w:w="1843"/>
        <w:gridCol w:w="1134"/>
        <w:gridCol w:w="1276"/>
        <w:gridCol w:w="992"/>
        <w:gridCol w:w="992"/>
        <w:gridCol w:w="1134"/>
        <w:gridCol w:w="993"/>
        <w:gridCol w:w="1134"/>
      </w:tblGrid>
      <w:tr w:rsidR="004D0B4A" w:rsidRPr="00233462" w14:paraId="046D7355" w14:textId="77777777" w:rsidTr="00EA7795">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843" w:type="dxa"/>
          </w:tcPr>
          <w:p w14:paraId="00F77097" w14:textId="77777777" w:rsidR="004D0B4A" w:rsidRPr="00233462" w:rsidRDefault="004D0B4A" w:rsidP="00EA7795">
            <w:pPr>
              <w:suppressAutoHyphens/>
              <w:jc w:val="center"/>
              <w:rPr>
                <w:color w:val="000000"/>
                <w:sz w:val="18"/>
                <w:szCs w:val="18"/>
                <w:lang w:val="en-GB" w:eastAsia="en-US"/>
              </w:rPr>
            </w:pPr>
            <w:r w:rsidRPr="00233462">
              <w:rPr>
                <w:color w:val="000000"/>
                <w:sz w:val="18"/>
                <w:szCs w:val="18"/>
                <w:lang w:val="en-GB" w:eastAsia="en-US"/>
              </w:rPr>
              <w:t xml:space="preserve">Looking Disease </w:t>
            </w:r>
          </w:p>
        </w:tc>
        <w:tc>
          <w:tcPr>
            <w:tcW w:w="6521" w:type="dxa"/>
            <w:gridSpan w:val="6"/>
          </w:tcPr>
          <w:p w14:paraId="2FA6FF63" w14:textId="77777777" w:rsidR="004D0B4A" w:rsidRPr="00233462" w:rsidRDefault="004D0B4A" w:rsidP="00EA7795">
            <w:pPr>
              <w:suppressAutoHyphens/>
              <w:jc w:val="center"/>
              <w:cnfStyle w:val="100000000000" w:firstRow="1" w:lastRow="0" w:firstColumn="0" w:lastColumn="0" w:oddVBand="0" w:evenVBand="0" w:oddHBand="0" w:evenHBand="0" w:firstRowFirstColumn="0" w:firstRowLastColumn="0" w:lastRowFirstColumn="0" w:lastRowLastColumn="0"/>
              <w:rPr>
                <w:color w:val="000000"/>
                <w:sz w:val="18"/>
                <w:szCs w:val="18"/>
                <w:lang w:val="en-GB" w:eastAsia="en-US"/>
              </w:rPr>
            </w:pPr>
            <w:r w:rsidRPr="00233462">
              <w:rPr>
                <w:color w:val="000000"/>
                <w:sz w:val="18"/>
                <w:szCs w:val="18"/>
                <w:lang w:val="en-GB" w:eastAsia="en-US"/>
              </w:rPr>
              <w:t>Fungal İncidence %</w:t>
            </w:r>
          </w:p>
        </w:tc>
        <w:tc>
          <w:tcPr>
            <w:tcW w:w="1134" w:type="dxa"/>
          </w:tcPr>
          <w:p w14:paraId="34A04B17" w14:textId="77777777" w:rsidR="004D0B4A" w:rsidRPr="00233462" w:rsidRDefault="004D0B4A" w:rsidP="00EA7795">
            <w:pPr>
              <w:suppressAutoHyphens/>
              <w:jc w:val="center"/>
              <w:cnfStyle w:val="100000000000" w:firstRow="1" w:lastRow="0" w:firstColumn="0" w:lastColumn="0" w:oddVBand="0" w:evenVBand="0" w:oddHBand="0" w:evenHBand="0" w:firstRowFirstColumn="0" w:firstRowLastColumn="0" w:lastRowFirstColumn="0" w:lastRowLastColumn="0"/>
              <w:rPr>
                <w:i/>
                <w:color w:val="000000"/>
                <w:sz w:val="18"/>
                <w:szCs w:val="18"/>
                <w:lang w:val="en-GB" w:eastAsia="en-US"/>
              </w:rPr>
            </w:pPr>
          </w:p>
        </w:tc>
      </w:tr>
      <w:tr w:rsidR="004D0B4A" w:rsidRPr="00233462" w14:paraId="409036E7" w14:textId="77777777" w:rsidTr="00EA7795">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843" w:type="dxa"/>
          </w:tcPr>
          <w:p w14:paraId="75EE4806" w14:textId="77777777" w:rsidR="004D0B4A" w:rsidRPr="00233462" w:rsidRDefault="004D0B4A" w:rsidP="00EA7795">
            <w:pPr>
              <w:suppressAutoHyphens/>
              <w:jc w:val="center"/>
              <w:rPr>
                <w:color w:val="000000"/>
                <w:sz w:val="18"/>
                <w:szCs w:val="18"/>
                <w:lang w:val="en-GB" w:eastAsia="en-US"/>
              </w:rPr>
            </w:pPr>
            <w:r w:rsidRPr="00233462">
              <w:rPr>
                <w:color w:val="000000"/>
                <w:sz w:val="18"/>
                <w:szCs w:val="18"/>
                <w:lang w:val="en-GB" w:eastAsia="en-US"/>
              </w:rPr>
              <w:t>Treatment</w:t>
            </w:r>
          </w:p>
        </w:tc>
        <w:tc>
          <w:tcPr>
            <w:tcW w:w="1134" w:type="dxa"/>
          </w:tcPr>
          <w:p w14:paraId="514E02F4" w14:textId="77777777" w:rsidR="004D0B4A" w:rsidRPr="00233462" w:rsidRDefault="004D0B4A" w:rsidP="00EA7795">
            <w:pPr>
              <w:suppressAutoHyphens/>
              <w:jc w:val="center"/>
              <w:cnfStyle w:val="000000100000" w:firstRow="0" w:lastRow="0" w:firstColumn="0" w:lastColumn="0" w:oddVBand="0" w:evenVBand="0" w:oddHBand="1" w:evenHBand="0" w:firstRowFirstColumn="0" w:firstRowLastColumn="0" w:lastRowFirstColumn="0" w:lastRowLastColumn="0"/>
              <w:rPr>
                <w:b/>
                <w:i/>
                <w:color w:val="000000"/>
                <w:sz w:val="16"/>
                <w:szCs w:val="16"/>
                <w:lang w:val="en-GB" w:eastAsia="en-US"/>
              </w:rPr>
            </w:pPr>
            <w:r w:rsidRPr="00233462">
              <w:rPr>
                <w:b/>
                <w:i/>
                <w:color w:val="000000"/>
                <w:sz w:val="16"/>
                <w:szCs w:val="16"/>
                <w:lang w:val="en-GB" w:eastAsia="en-US"/>
              </w:rPr>
              <w:t>Alternaria alternata</w:t>
            </w:r>
          </w:p>
        </w:tc>
        <w:tc>
          <w:tcPr>
            <w:tcW w:w="1276" w:type="dxa"/>
          </w:tcPr>
          <w:p w14:paraId="38D43B1C" w14:textId="02D9F65F" w:rsidR="004D0B4A" w:rsidRPr="00233462" w:rsidRDefault="004D0B4A" w:rsidP="0030488B">
            <w:pPr>
              <w:suppressAutoHyphens/>
              <w:jc w:val="center"/>
              <w:cnfStyle w:val="000000100000" w:firstRow="0" w:lastRow="0" w:firstColumn="0" w:lastColumn="0" w:oddVBand="0" w:evenVBand="0" w:oddHBand="1" w:evenHBand="0" w:firstRowFirstColumn="0" w:firstRowLastColumn="0" w:lastRowFirstColumn="0" w:lastRowLastColumn="0"/>
              <w:rPr>
                <w:b/>
                <w:i/>
                <w:color w:val="000000"/>
                <w:sz w:val="16"/>
                <w:szCs w:val="16"/>
                <w:lang w:val="en-GB" w:eastAsia="en-US"/>
              </w:rPr>
            </w:pPr>
            <w:r w:rsidRPr="00233462">
              <w:rPr>
                <w:b/>
                <w:i/>
                <w:color w:val="000000"/>
                <w:sz w:val="16"/>
                <w:szCs w:val="16"/>
                <w:lang w:val="en-GB" w:eastAsia="en-US"/>
              </w:rPr>
              <w:t xml:space="preserve">Botryospheria </w:t>
            </w:r>
            <w:r w:rsidR="0030488B">
              <w:rPr>
                <w:b/>
                <w:i/>
                <w:color w:val="000000"/>
                <w:sz w:val="16"/>
                <w:szCs w:val="16"/>
                <w:lang w:val="en-GB" w:eastAsia="en-US"/>
              </w:rPr>
              <w:t>dothidae</w:t>
            </w:r>
          </w:p>
        </w:tc>
        <w:tc>
          <w:tcPr>
            <w:tcW w:w="992" w:type="dxa"/>
          </w:tcPr>
          <w:p w14:paraId="40EC6D4D" w14:textId="77777777" w:rsidR="004D0B4A" w:rsidRPr="00233462" w:rsidRDefault="004D0B4A" w:rsidP="00EA7795">
            <w:pPr>
              <w:suppressAutoHyphens/>
              <w:jc w:val="center"/>
              <w:cnfStyle w:val="000000100000" w:firstRow="0" w:lastRow="0" w:firstColumn="0" w:lastColumn="0" w:oddVBand="0" w:evenVBand="0" w:oddHBand="1" w:evenHBand="0" w:firstRowFirstColumn="0" w:firstRowLastColumn="0" w:lastRowFirstColumn="0" w:lastRowLastColumn="0"/>
              <w:rPr>
                <w:b/>
                <w:i/>
                <w:color w:val="000000"/>
                <w:sz w:val="16"/>
                <w:szCs w:val="16"/>
                <w:lang w:val="en-GB" w:eastAsia="en-US"/>
              </w:rPr>
            </w:pPr>
            <w:r w:rsidRPr="00233462">
              <w:rPr>
                <w:b/>
                <w:i/>
                <w:color w:val="000000"/>
                <w:sz w:val="16"/>
                <w:szCs w:val="16"/>
                <w:lang w:val="en-GB" w:eastAsia="en-US"/>
              </w:rPr>
              <w:t xml:space="preserve">Fusarium solani  </w:t>
            </w:r>
          </w:p>
        </w:tc>
        <w:tc>
          <w:tcPr>
            <w:tcW w:w="992" w:type="dxa"/>
          </w:tcPr>
          <w:p w14:paraId="4929EB6E" w14:textId="77777777" w:rsidR="004D0B4A" w:rsidRPr="00233462" w:rsidRDefault="004D0B4A" w:rsidP="00EA7795">
            <w:pPr>
              <w:suppressAutoHyphens/>
              <w:jc w:val="center"/>
              <w:cnfStyle w:val="000000100000" w:firstRow="0" w:lastRow="0" w:firstColumn="0" w:lastColumn="0" w:oddVBand="0" w:evenVBand="0" w:oddHBand="1" w:evenHBand="0" w:firstRowFirstColumn="0" w:firstRowLastColumn="0" w:lastRowFirstColumn="0" w:lastRowLastColumn="0"/>
              <w:rPr>
                <w:b/>
                <w:i/>
                <w:color w:val="000000"/>
                <w:sz w:val="16"/>
                <w:szCs w:val="16"/>
                <w:lang w:val="en-GB" w:eastAsia="en-US"/>
              </w:rPr>
            </w:pPr>
            <w:r w:rsidRPr="00233462">
              <w:rPr>
                <w:b/>
                <w:i/>
                <w:color w:val="000000"/>
                <w:sz w:val="16"/>
                <w:szCs w:val="16"/>
                <w:lang w:val="en-GB" w:eastAsia="en-US"/>
              </w:rPr>
              <w:t>Diaporthe ampelina</w:t>
            </w:r>
          </w:p>
        </w:tc>
        <w:tc>
          <w:tcPr>
            <w:tcW w:w="1134" w:type="dxa"/>
          </w:tcPr>
          <w:p w14:paraId="6839A73C" w14:textId="77777777" w:rsidR="004D0B4A" w:rsidRPr="00233462" w:rsidRDefault="004D0B4A" w:rsidP="00EA7795">
            <w:pPr>
              <w:suppressAutoHyphens/>
              <w:jc w:val="center"/>
              <w:cnfStyle w:val="000000100000" w:firstRow="0" w:lastRow="0" w:firstColumn="0" w:lastColumn="0" w:oddVBand="0" w:evenVBand="0" w:oddHBand="1" w:evenHBand="0" w:firstRowFirstColumn="0" w:firstRowLastColumn="0" w:lastRowFirstColumn="0" w:lastRowLastColumn="0"/>
              <w:rPr>
                <w:b/>
                <w:i/>
                <w:color w:val="000000"/>
                <w:sz w:val="16"/>
                <w:szCs w:val="16"/>
                <w:lang w:val="en-GB" w:eastAsia="en-US"/>
              </w:rPr>
            </w:pPr>
            <w:r w:rsidRPr="00233462">
              <w:rPr>
                <w:b/>
                <w:i/>
                <w:color w:val="000000"/>
                <w:sz w:val="16"/>
                <w:szCs w:val="16"/>
                <w:lang w:val="en-GB" w:eastAsia="en-US"/>
              </w:rPr>
              <w:t>Rhizoctonia solani</w:t>
            </w:r>
          </w:p>
        </w:tc>
        <w:tc>
          <w:tcPr>
            <w:tcW w:w="993" w:type="dxa"/>
          </w:tcPr>
          <w:p w14:paraId="06D1A58E" w14:textId="77777777" w:rsidR="004D0B4A" w:rsidRPr="00233462" w:rsidRDefault="004D0B4A" w:rsidP="00EA7795">
            <w:pPr>
              <w:suppressAutoHyphens/>
              <w:jc w:val="center"/>
              <w:cnfStyle w:val="000000100000" w:firstRow="0" w:lastRow="0" w:firstColumn="0" w:lastColumn="0" w:oddVBand="0" w:evenVBand="0" w:oddHBand="1" w:evenHBand="0" w:firstRowFirstColumn="0" w:firstRowLastColumn="0" w:lastRowFirstColumn="0" w:lastRowLastColumn="0"/>
              <w:rPr>
                <w:b/>
                <w:i/>
                <w:color w:val="000000"/>
                <w:sz w:val="16"/>
                <w:szCs w:val="16"/>
                <w:lang w:val="en-GB" w:eastAsia="en-US"/>
              </w:rPr>
            </w:pPr>
            <w:r w:rsidRPr="00233462">
              <w:rPr>
                <w:b/>
                <w:i/>
                <w:color w:val="000000"/>
                <w:sz w:val="16"/>
                <w:szCs w:val="16"/>
                <w:lang w:val="en-GB" w:eastAsia="en-US"/>
              </w:rPr>
              <w:t>Ilyonectria liriodendri</w:t>
            </w:r>
          </w:p>
        </w:tc>
        <w:tc>
          <w:tcPr>
            <w:tcW w:w="1134" w:type="dxa"/>
          </w:tcPr>
          <w:p w14:paraId="33C8FC9F" w14:textId="77777777" w:rsidR="004D0B4A" w:rsidRPr="00233462" w:rsidRDefault="004D0B4A" w:rsidP="00EA7795">
            <w:pPr>
              <w:suppressAutoHyphens/>
              <w:cnfStyle w:val="000000100000" w:firstRow="0" w:lastRow="0" w:firstColumn="0" w:lastColumn="0" w:oddVBand="0" w:evenVBand="0" w:oddHBand="1" w:evenHBand="0" w:firstRowFirstColumn="0" w:firstRowLastColumn="0" w:lastRowFirstColumn="0" w:lastRowLastColumn="0"/>
              <w:rPr>
                <w:b/>
                <w:color w:val="000000"/>
                <w:sz w:val="16"/>
                <w:szCs w:val="16"/>
                <w:lang w:val="en-GB" w:eastAsia="en-US"/>
              </w:rPr>
            </w:pPr>
            <w:r w:rsidRPr="00233462">
              <w:rPr>
                <w:b/>
                <w:i/>
                <w:color w:val="000000"/>
                <w:sz w:val="16"/>
                <w:szCs w:val="16"/>
                <w:lang w:val="en-GB" w:eastAsia="en-US"/>
              </w:rPr>
              <w:t>Trichoderma</w:t>
            </w:r>
            <w:r w:rsidRPr="00233462">
              <w:rPr>
                <w:b/>
                <w:color w:val="000000"/>
                <w:sz w:val="16"/>
                <w:szCs w:val="16"/>
                <w:lang w:val="en-GB" w:eastAsia="en-US"/>
              </w:rPr>
              <w:t xml:space="preserve"> spp.</w:t>
            </w:r>
          </w:p>
        </w:tc>
      </w:tr>
      <w:tr w:rsidR="004D0B4A" w:rsidRPr="00233462" w14:paraId="7F0CF5B5" w14:textId="77777777" w:rsidTr="00EA7795">
        <w:trPr>
          <w:trHeight w:val="278"/>
        </w:trPr>
        <w:tc>
          <w:tcPr>
            <w:cnfStyle w:val="001000000000" w:firstRow="0" w:lastRow="0" w:firstColumn="1" w:lastColumn="0" w:oddVBand="0" w:evenVBand="0" w:oddHBand="0" w:evenHBand="0" w:firstRowFirstColumn="0" w:firstRowLastColumn="0" w:lastRowFirstColumn="0" w:lastRowLastColumn="0"/>
            <w:tcW w:w="1843" w:type="dxa"/>
          </w:tcPr>
          <w:p w14:paraId="77971F45" w14:textId="77777777" w:rsidR="004D0B4A" w:rsidRPr="00233462" w:rsidRDefault="004D0B4A" w:rsidP="00EA7795">
            <w:pPr>
              <w:suppressAutoHyphens/>
              <w:rPr>
                <w:b w:val="0"/>
                <w:color w:val="000000"/>
                <w:sz w:val="18"/>
                <w:szCs w:val="18"/>
                <w:lang w:val="en-GB" w:eastAsia="en-US"/>
              </w:rPr>
            </w:pPr>
            <w:r w:rsidRPr="00233462">
              <w:rPr>
                <w:b w:val="0"/>
                <w:color w:val="000000"/>
                <w:sz w:val="18"/>
                <w:szCs w:val="18"/>
                <w:lang w:val="en-GB" w:eastAsia="en-US"/>
              </w:rPr>
              <w:t>A(Cuttings+Sawdust+Soil)</w:t>
            </w:r>
          </w:p>
        </w:tc>
        <w:tc>
          <w:tcPr>
            <w:tcW w:w="1134" w:type="dxa"/>
          </w:tcPr>
          <w:p w14:paraId="7B9794B9" w14:textId="77777777" w:rsidR="004D0B4A" w:rsidRPr="00233462" w:rsidRDefault="004D0B4A" w:rsidP="00EA7795">
            <w:pPr>
              <w:suppressAutoHyphens/>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Calibri"/>
                <w:lang w:val="en-GB" w:eastAsia="tr-TR"/>
              </w:rPr>
            </w:pPr>
            <w:r w:rsidRPr="00233462">
              <w:rPr>
                <w:rFonts w:eastAsia="Calibri" w:cs="Calibri"/>
                <w:color w:val="000000"/>
                <w:sz w:val="18"/>
                <w:szCs w:val="18"/>
                <w:lang w:val="en-GB" w:eastAsia="en-US"/>
              </w:rPr>
              <w:t>3,125 ab</w:t>
            </w:r>
          </w:p>
        </w:tc>
        <w:tc>
          <w:tcPr>
            <w:tcW w:w="1276" w:type="dxa"/>
          </w:tcPr>
          <w:p w14:paraId="01316463" w14:textId="77777777" w:rsidR="004D0B4A" w:rsidRPr="00233462" w:rsidRDefault="004D0B4A" w:rsidP="00EA7795">
            <w:pPr>
              <w:suppressAutoHyphens/>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6,51 bc</w:t>
            </w:r>
          </w:p>
        </w:tc>
        <w:tc>
          <w:tcPr>
            <w:tcW w:w="992" w:type="dxa"/>
          </w:tcPr>
          <w:p w14:paraId="5EE4E216" w14:textId="77777777" w:rsidR="004D0B4A" w:rsidRPr="00233462" w:rsidRDefault="004D0B4A" w:rsidP="00EA7795">
            <w:pPr>
              <w:suppressAutoHyphens/>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9,08 c</w:t>
            </w:r>
          </w:p>
        </w:tc>
        <w:tc>
          <w:tcPr>
            <w:tcW w:w="992" w:type="dxa"/>
          </w:tcPr>
          <w:p w14:paraId="0DC241B5" w14:textId="77777777" w:rsidR="004D0B4A" w:rsidRPr="00233462" w:rsidRDefault="004D0B4A" w:rsidP="00EA7795">
            <w:pPr>
              <w:suppressAutoHyphens/>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1,92 a</w:t>
            </w:r>
          </w:p>
        </w:tc>
        <w:tc>
          <w:tcPr>
            <w:tcW w:w="1134" w:type="dxa"/>
          </w:tcPr>
          <w:p w14:paraId="705F8847" w14:textId="77777777" w:rsidR="004D0B4A" w:rsidRPr="00233462" w:rsidRDefault="004D0B4A" w:rsidP="00EA7795">
            <w:pPr>
              <w:suppressAutoHyphens/>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15,625 d</w:t>
            </w:r>
          </w:p>
        </w:tc>
        <w:tc>
          <w:tcPr>
            <w:tcW w:w="993" w:type="dxa"/>
          </w:tcPr>
          <w:p w14:paraId="1BFC0F98" w14:textId="77777777" w:rsidR="004D0B4A" w:rsidRPr="00233462" w:rsidRDefault="004D0B4A" w:rsidP="00EA7795">
            <w:pPr>
              <w:suppressAutoHyphens/>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1,46 a</w:t>
            </w:r>
          </w:p>
        </w:tc>
        <w:tc>
          <w:tcPr>
            <w:tcW w:w="1134" w:type="dxa"/>
          </w:tcPr>
          <w:p w14:paraId="2FEF012D" w14:textId="77777777" w:rsidR="004D0B4A" w:rsidRPr="00233462" w:rsidRDefault="004D0B4A" w:rsidP="00EA7795">
            <w:pPr>
              <w:suppressAutoHyphens/>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9,56 c</w:t>
            </w:r>
          </w:p>
        </w:tc>
      </w:tr>
      <w:tr w:rsidR="004D0B4A" w:rsidRPr="00233462" w14:paraId="52C171C5" w14:textId="77777777" w:rsidTr="00EA7795">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1843" w:type="dxa"/>
          </w:tcPr>
          <w:p w14:paraId="2F3B2335" w14:textId="77777777" w:rsidR="004D0B4A" w:rsidRPr="00233462" w:rsidRDefault="004D0B4A" w:rsidP="00EA7795">
            <w:pPr>
              <w:suppressAutoHyphens/>
              <w:rPr>
                <w:b w:val="0"/>
                <w:color w:val="000000"/>
                <w:sz w:val="18"/>
                <w:szCs w:val="18"/>
                <w:lang w:val="en-GB" w:eastAsia="en-US"/>
              </w:rPr>
            </w:pPr>
            <w:r w:rsidRPr="00233462">
              <w:rPr>
                <w:b w:val="0"/>
                <w:color w:val="000000"/>
                <w:sz w:val="18"/>
                <w:szCs w:val="18"/>
                <w:lang w:val="en-GB" w:eastAsia="en-US"/>
              </w:rPr>
              <w:t>A(Cuttings+Sawdust)</w:t>
            </w:r>
          </w:p>
        </w:tc>
        <w:tc>
          <w:tcPr>
            <w:tcW w:w="1134" w:type="dxa"/>
          </w:tcPr>
          <w:p w14:paraId="0AC264E0" w14:textId="77777777" w:rsidR="004D0B4A" w:rsidRPr="00233462" w:rsidRDefault="004D0B4A" w:rsidP="00EA7795">
            <w:pPr>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0,00 a</w:t>
            </w:r>
          </w:p>
        </w:tc>
        <w:tc>
          <w:tcPr>
            <w:tcW w:w="1276" w:type="dxa"/>
          </w:tcPr>
          <w:p w14:paraId="5EA496D3" w14:textId="77777777" w:rsidR="004D0B4A" w:rsidRPr="00233462" w:rsidRDefault="004D0B4A" w:rsidP="00EA7795">
            <w:pPr>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5,08 ab</w:t>
            </w:r>
          </w:p>
        </w:tc>
        <w:tc>
          <w:tcPr>
            <w:tcW w:w="992" w:type="dxa"/>
          </w:tcPr>
          <w:p w14:paraId="6B3B185B" w14:textId="77777777" w:rsidR="004D0B4A" w:rsidRPr="00233462" w:rsidRDefault="004D0B4A" w:rsidP="00EA7795">
            <w:pPr>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15,31 b</w:t>
            </w:r>
          </w:p>
        </w:tc>
        <w:tc>
          <w:tcPr>
            <w:tcW w:w="992" w:type="dxa"/>
          </w:tcPr>
          <w:p w14:paraId="552256FD" w14:textId="77777777" w:rsidR="004D0B4A" w:rsidRPr="00233462" w:rsidRDefault="004D0B4A" w:rsidP="00EA7795">
            <w:pPr>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6,25 ab</w:t>
            </w:r>
          </w:p>
        </w:tc>
        <w:tc>
          <w:tcPr>
            <w:tcW w:w="1134" w:type="dxa"/>
          </w:tcPr>
          <w:p w14:paraId="21701289" w14:textId="77777777" w:rsidR="004D0B4A" w:rsidRPr="00233462" w:rsidRDefault="004D0B4A" w:rsidP="00EA7795">
            <w:pPr>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0,00 a</w:t>
            </w:r>
          </w:p>
        </w:tc>
        <w:tc>
          <w:tcPr>
            <w:tcW w:w="993" w:type="dxa"/>
          </w:tcPr>
          <w:p w14:paraId="6383D773" w14:textId="77777777" w:rsidR="004D0B4A" w:rsidRPr="00233462" w:rsidRDefault="004D0B4A" w:rsidP="00EA7795">
            <w:pPr>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3,125 a</w:t>
            </w:r>
          </w:p>
        </w:tc>
        <w:tc>
          <w:tcPr>
            <w:tcW w:w="1134" w:type="dxa"/>
          </w:tcPr>
          <w:p w14:paraId="53ED5422" w14:textId="77777777" w:rsidR="004D0B4A" w:rsidRPr="00233462" w:rsidRDefault="004D0B4A" w:rsidP="00EA7795">
            <w:pPr>
              <w:suppressAutoHyphens/>
              <w:spacing w:after="200" w:line="276" w:lineRule="auto"/>
              <w:jc w:val="center"/>
              <w:cnfStyle w:val="000000100000" w:firstRow="0" w:lastRow="0" w:firstColumn="0" w:lastColumn="0" w:oddVBand="0" w:evenVBand="0" w:oddHBand="1"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15,54 b</w:t>
            </w:r>
          </w:p>
        </w:tc>
      </w:tr>
      <w:tr w:rsidR="004D0B4A" w:rsidRPr="00233462" w14:paraId="564152D4" w14:textId="77777777" w:rsidTr="00EA7795">
        <w:trPr>
          <w:trHeight w:val="229"/>
        </w:trPr>
        <w:tc>
          <w:tcPr>
            <w:cnfStyle w:val="001000000000" w:firstRow="0" w:lastRow="0" w:firstColumn="1" w:lastColumn="0" w:oddVBand="0" w:evenVBand="0" w:oddHBand="0" w:evenHBand="0" w:firstRowFirstColumn="0" w:firstRowLastColumn="0" w:lastRowFirstColumn="0" w:lastRowLastColumn="0"/>
            <w:tcW w:w="1843" w:type="dxa"/>
          </w:tcPr>
          <w:p w14:paraId="62366F1A" w14:textId="77777777" w:rsidR="004D0B4A" w:rsidRPr="00233462" w:rsidRDefault="004D0B4A" w:rsidP="00EA7795">
            <w:pPr>
              <w:suppressAutoHyphens/>
              <w:rPr>
                <w:b w:val="0"/>
                <w:color w:val="000000"/>
                <w:sz w:val="18"/>
                <w:szCs w:val="18"/>
                <w:lang w:val="en-GB" w:eastAsia="en-US"/>
              </w:rPr>
            </w:pPr>
            <w:r w:rsidRPr="00233462">
              <w:rPr>
                <w:b w:val="0"/>
                <w:color w:val="000000"/>
                <w:sz w:val="18"/>
                <w:szCs w:val="18"/>
                <w:lang w:val="en-GB" w:eastAsia="en-US"/>
              </w:rPr>
              <w:t>B(Cuttings+Sawdust+Soil)</w:t>
            </w:r>
          </w:p>
        </w:tc>
        <w:tc>
          <w:tcPr>
            <w:tcW w:w="1134" w:type="dxa"/>
          </w:tcPr>
          <w:p w14:paraId="5D511ECC" w14:textId="77777777" w:rsidR="004D0B4A" w:rsidRPr="00233462" w:rsidRDefault="004D0B4A" w:rsidP="00EA7795">
            <w:pPr>
              <w:suppressAutoHyphens/>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3,14 b</w:t>
            </w:r>
          </w:p>
        </w:tc>
        <w:tc>
          <w:tcPr>
            <w:tcW w:w="1276" w:type="dxa"/>
          </w:tcPr>
          <w:p w14:paraId="0C175699" w14:textId="77777777" w:rsidR="004D0B4A" w:rsidRPr="00233462" w:rsidRDefault="004D0B4A" w:rsidP="00EA7795">
            <w:pPr>
              <w:suppressAutoHyphens/>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0,00 a</w:t>
            </w:r>
          </w:p>
        </w:tc>
        <w:tc>
          <w:tcPr>
            <w:tcW w:w="992" w:type="dxa"/>
          </w:tcPr>
          <w:p w14:paraId="7661E0EE" w14:textId="77777777" w:rsidR="004D0B4A" w:rsidRPr="00233462" w:rsidRDefault="004D0B4A" w:rsidP="00EA7795">
            <w:pPr>
              <w:suppressAutoHyphens/>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9,16 c</w:t>
            </w:r>
          </w:p>
        </w:tc>
        <w:tc>
          <w:tcPr>
            <w:tcW w:w="992" w:type="dxa"/>
          </w:tcPr>
          <w:p w14:paraId="23FEF0E4" w14:textId="77777777" w:rsidR="004D0B4A" w:rsidRPr="00233462" w:rsidRDefault="004D0B4A" w:rsidP="00EA7795">
            <w:pPr>
              <w:suppressAutoHyphens/>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3,13 b</w:t>
            </w:r>
          </w:p>
        </w:tc>
        <w:tc>
          <w:tcPr>
            <w:tcW w:w="1134" w:type="dxa"/>
          </w:tcPr>
          <w:p w14:paraId="066C19FF" w14:textId="77777777" w:rsidR="004D0B4A" w:rsidRPr="00233462" w:rsidRDefault="004D0B4A" w:rsidP="00EA7795">
            <w:pPr>
              <w:suppressAutoHyphens/>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0,00 a</w:t>
            </w:r>
          </w:p>
        </w:tc>
        <w:tc>
          <w:tcPr>
            <w:tcW w:w="993" w:type="dxa"/>
          </w:tcPr>
          <w:p w14:paraId="7C2E03D4" w14:textId="77777777" w:rsidR="004D0B4A" w:rsidRPr="00233462" w:rsidRDefault="004D0B4A" w:rsidP="00EA7795">
            <w:pPr>
              <w:suppressAutoHyphens/>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0,00 a</w:t>
            </w:r>
          </w:p>
        </w:tc>
        <w:tc>
          <w:tcPr>
            <w:tcW w:w="1134" w:type="dxa"/>
          </w:tcPr>
          <w:p w14:paraId="0C55E510" w14:textId="77777777" w:rsidR="004D0B4A" w:rsidRPr="00233462" w:rsidRDefault="004D0B4A" w:rsidP="00EA7795">
            <w:pPr>
              <w:suppressAutoHyphens/>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0,00 a</w:t>
            </w:r>
          </w:p>
        </w:tc>
      </w:tr>
      <w:tr w:rsidR="004D0B4A" w:rsidRPr="00233462" w14:paraId="6AAA9914" w14:textId="77777777" w:rsidTr="00EA7795">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43" w:type="dxa"/>
          </w:tcPr>
          <w:p w14:paraId="23137BD0" w14:textId="77777777" w:rsidR="004D0B4A" w:rsidRPr="00233462" w:rsidRDefault="004D0B4A" w:rsidP="00EA7795">
            <w:pPr>
              <w:suppressAutoHyphens/>
              <w:rPr>
                <w:b w:val="0"/>
                <w:color w:val="000000"/>
                <w:sz w:val="18"/>
                <w:szCs w:val="18"/>
                <w:lang w:val="en-GB" w:eastAsia="en-US"/>
              </w:rPr>
            </w:pPr>
            <w:r w:rsidRPr="00233462">
              <w:rPr>
                <w:b w:val="0"/>
                <w:color w:val="000000"/>
                <w:sz w:val="18"/>
                <w:szCs w:val="18"/>
                <w:lang w:val="en-GB" w:eastAsia="en-US"/>
              </w:rPr>
              <w:t>B(Cuttings+Sawdust)</w:t>
            </w:r>
          </w:p>
        </w:tc>
        <w:tc>
          <w:tcPr>
            <w:tcW w:w="1134" w:type="dxa"/>
          </w:tcPr>
          <w:p w14:paraId="3D81AA83" w14:textId="77777777" w:rsidR="004D0B4A" w:rsidRPr="00233462" w:rsidRDefault="004D0B4A" w:rsidP="00EA7795">
            <w:pPr>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12,53 c</w:t>
            </w:r>
          </w:p>
        </w:tc>
        <w:tc>
          <w:tcPr>
            <w:tcW w:w="1276" w:type="dxa"/>
          </w:tcPr>
          <w:p w14:paraId="32773629" w14:textId="77777777" w:rsidR="004D0B4A" w:rsidRPr="00233462" w:rsidRDefault="004D0B4A" w:rsidP="00EA7795">
            <w:pPr>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0,00 a</w:t>
            </w:r>
          </w:p>
        </w:tc>
        <w:tc>
          <w:tcPr>
            <w:tcW w:w="992" w:type="dxa"/>
          </w:tcPr>
          <w:p w14:paraId="2265A32E" w14:textId="77777777" w:rsidR="004D0B4A" w:rsidRPr="00233462" w:rsidRDefault="004D0B4A" w:rsidP="00EA7795">
            <w:pPr>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4,79 ab</w:t>
            </w:r>
          </w:p>
        </w:tc>
        <w:tc>
          <w:tcPr>
            <w:tcW w:w="992" w:type="dxa"/>
          </w:tcPr>
          <w:p w14:paraId="3031DED9" w14:textId="77777777" w:rsidR="004D0B4A" w:rsidRPr="00233462" w:rsidRDefault="004D0B4A" w:rsidP="00EA7795">
            <w:pPr>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3,25 a</w:t>
            </w:r>
          </w:p>
        </w:tc>
        <w:tc>
          <w:tcPr>
            <w:tcW w:w="1134" w:type="dxa"/>
          </w:tcPr>
          <w:p w14:paraId="043EFB16" w14:textId="77777777" w:rsidR="004D0B4A" w:rsidRPr="00233462" w:rsidRDefault="004D0B4A" w:rsidP="00EA7795">
            <w:pPr>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9,46 bc</w:t>
            </w:r>
          </w:p>
        </w:tc>
        <w:tc>
          <w:tcPr>
            <w:tcW w:w="993" w:type="dxa"/>
          </w:tcPr>
          <w:p w14:paraId="7F331CB5" w14:textId="77777777" w:rsidR="004D0B4A" w:rsidRPr="00233462" w:rsidRDefault="004D0B4A" w:rsidP="00EA7795">
            <w:pPr>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0,00 a</w:t>
            </w:r>
          </w:p>
        </w:tc>
        <w:tc>
          <w:tcPr>
            <w:tcW w:w="1134" w:type="dxa"/>
          </w:tcPr>
          <w:p w14:paraId="66E141EA" w14:textId="77777777" w:rsidR="004D0B4A" w:rsidRPr="00233462" w:rsidRDefault="004D0B4A" w:rsidP="00EA7795">
            <w:pPr>
              <w:suppressAutoHyphens/>
              <w:spacing w:after="200" w:line="276" w:lineRule="auto"/>
              <w:jc w:val="center"/>
              <w:cnfStyle w:val="000000100000" w:firstRow="0" w:lastRow="0" w:firstColumn="0" w:lastColumn="0" w:oddVBand="0" w:evenVBand="0" w:oddHBand="1"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6,25 ab</w:t>
            </w:r>
          </w:p>
        </w:tc>
      </w:tr>
      <w:tr w:rsidR="004D0B4A" w:rsidRPr="00233462" w14:paraId="459836FA" w14:textId="77777777" w:rsidTr="00EA7795">
        <w:trPr>
          <w:trHeight w:val="280"/>
        </w:trPr>
        <w:tc>
          <w:tcPr>
            <w:cnfStyle w:val="001000000000" w:firstRow="0" w:lastRow="0" w:firstColumn="1" w:lastColumn="0" w:oddVBand="0" w:evenVBand="0" w:oddHBand="0" w:evenHBand="0" w:firstRowFirstColumn="0" w:firstRowLastColumn="0" w:lastRowFirstColumn="0" w:lastRowLastColumn="0"/>
            <w:tcW w:w="1843" w:type="dxa"/>
          </w:tcPr>
          <w:p w14:paraId="2DBF83C3" w14:textId="77777777" w:rsidR="004D0B4A" w:rsidRPr="00233462" w:rsidRDefault="004D0B4A" w:rsidP="00EA7795">
            <w:pPr>
              <w:suppressAutoHyphens/>
              <w:rPr>
                <w:b w:val="0"/>
                <w:color w:val="000000"/>
                <w:sz w:val="18"/>
                <w:szCs w:val="18"/>
                <w:lang w:val="en-GB" w:eastAsia="en-US"/>
              </w:rPr>
            </w:pPr>
            <w:r w:rsidRPr="00233462">
              <w:rPr>
                <w:b w:val="0"/>
                <w:color w:val="000000"/>
                <w:sz w:val="18"/>
                <w:szCs w:val="18"/>
                <w:lang w:val="en-GB" w:eastAsia="en-US"/>
              </w:rPr>
              <w:t>C(Cuttings+Sawdust+Soil)</w:t>
            </w:r>
          </w:p>
        </w:tc>
        <w:tc>
          <w:tcPr>
            <w:tcW w:w="1134" w:type="dxa"/>
          </w:tcPr>
          <w:p w14:paraId="272E8E1B" w14:textId="77777777" w:rsidR="004D0B4A" w:rsidRPr="00233462" w:rsidRDefault="004D0B4A" w:rsidP="00EA7795">
            <w:pPr>
              <w:suppressAutoHyphens/>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0,00 a</w:t>
            </w:r>
          </w:p>
        </w:tc>
        <w:tc>
          <w:tcPr>
            <w:tcW w:w="1276" w:type="dxa"/>
          </w:tcPr>
          <w:p w14:paraId="400E797A" w14:textId="77777777" w:rsidR="004D0B4A" w:rsidRPr="00233462" w:rsidRDefault="004D0B4A" w:rsidP="00EA7795">
            <w:pPr>
              <w:suppressAutoHyphens/>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0,00 a</w:t>
            </w:r>
          </w:p>
        </w:tc>
        <w:tc>
          <w:tcPr>
            <w:tcW w:w="992" w:type="dxa"/>
          </w:tcPr>
          <w:p w14:paraId="065704BB" w14:textId="77777777" w:rsidR="004D0B4A" w:rsidRPr="00233462" w:rsidRDefault="004D0B4A" w:rsidP="00EA7795">
            <w:pPr>
              <w:suppressAutoHyphens/>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10,88 b</w:t>
            </w:r>
          </w:p>
        </w:tc>
        <w:tc>
          <w:tcPr>
            <w:tcW w:w="992" w:type="dxa"/>
          </w:tcPr>
          <w:p w14:paraId="535D3161" w14:textId="77777777" w:rsidR="004D0B4A" w:rsidRPr="00233462" w:rsidRDefault="004D0B4A" w:rsidP="00EA7795">
            <w:pPr>
              <w:suppressAutoHyphens/>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9,43 b</w:t>
            </w:r>
          </w:p>
        </w:tc>
        <w:tc>
          <w:tcPr>
            <w:tcW w:w="1134" w:type="dxa"/>
          </w:tcPr>
          <w:p w14:paraId="393C3FF6" w14:textId="77777777" w:rsidR="004D0B4A" w:rsidRPr="00233462" w:rsidRDefault="004D0B4A" w:rsidP="00EA7795">
            <w:pPr>
              <w:suppressAutoHyphens/>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15,625 c</w:t>
            </w:r>
          </w:p>
        </w:tc>
        <w:tc>
          <w:tcPr>
            <w:tcW w:w="993" w:type="dxa"/>
          </w:tcPr>
          <w:p w14:paraId="576EA585" w14:textId="77777777" w:rsidR="004D0B4A" w:rsidRPr="00233462" w:rsidRDefault="004D0B4A" w:rsidP="00EA7795">
            <w:pPr>
              <w:suppressAutoHyphens/>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0,00 a</w:t>
            </w:r>
          </w:p>
        </w:tc>
        <w:tc>
          <w:tcPr>
            <w:tcW w:w="1134" w:type="dxa"/>
          </w:tcPr>
          <w:p w14:paraId="4AD0C166" w14:textId="77777777" w:rsidR="004D0B4A" w:rsidRPr="00233462" w:rsidRDefault="004D0B4A" w:rsidP="00EA7795">
            <w:pPr>
              <w:suppressAutoHyphens/>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18,28 c</w:t>
            </w:r>
          </w:p>
        </w:tc>
      </w:tr>
      <w:tr w:rsidR="004D0B4A" w:rsidRPr="00233462" w14:paraId="767D466D" w14:textId="77777777" w:rsidTr="00EA7795">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1843" w:type="dxa"/>
          </w:tcPr>
          <w:p w14:paraId="7B81F540" w14:textId="77777777" w:rsidR="004D0B4A" w:rsidRPr="00233462" w:rsidRDefault="004D0B4A" w:rsidP="00EA7795">
            <w:pPr>
              <w:suppressAutoHyphens/>
              <w:rPr>
                <w:b w:val="0"/>
                <w:color w:val="000000"/>
                <w:sz w:val="18"/>
                <w:szCs w:val="18"/>
                <w:lang w:val="en-GB" w:eastAsia="en-US"/>
              </w:rPr>
            </w:pPr>
            <w:r w:rsidRPr="00233462">
              <w:rPr>
                <w:b w:val="0"/>
                <w:color w:val="000000"/>
                <w:sz w:val="18"/>
                <w:szCs w:val="18"/>
                <w:lang w:val="en-GB" w:eastAsia="en-US"/>
              </w:rPr>
              <w:t>C(Cuttings+Sawdust)</w:t>
            </w:r>
          </w:p>
        </w:tc>
        <w:tc>
          <w:tcPr>
            <w:tcW w:w="1134" w:type="dxa"/>
          </w:tcPr>
          <w:p w14:paraId="43AA8FB0" w14:textId="77777777" w:rsidR="004D0B4A" w:rsidRPr="00233462" w:rsidRDefault="004D0B4A" w:rsidP="00EA7795">
            <w:pPr>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6,25 ab</w:t>
            </w:r>
          </w:p>
        </w:tc>
        <w:tc>
          <w:tcPr>
            <w:tcW w:w="1276" w:type="dxa"/>
          </w:tcPr>
          <w:p w14:paraId="01571B19" w14:textId="77777777" w:rsidR="004D0B4A" w:rsidRPr="00233462" w:rsidRDefault="004D0B4A" w:rsidP="00EA7795">
            <w:pPr>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3,16 ab</w:t>
            </w:r>
          </w:p>
        </w:tc>
        <w:tc>
          <w:tcPr>
            <w:tcW w:w="992" w:type="dxa"/>
          </w:tcPr>
          <w:p w14:paraId="05B73E7D" w14:textId="77777777" w:rsidR="004D0B4A" w:rsidRPr="00233462" w:rsidRDefault="004D0B4A" w:rsidP="00EA7795">
            <w:pPr>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14,88 c</w:t>
            </w:r>
          </w:p>
        </w:tc>
        <w:tc>
          <w:tcPr>
            <w:tcW w:w="992" w:type="dxa"/>
          </w:tcPr>
          <w:p w14:paraId="61E501EC" w14:textId="77777777" w:rsidR="004D0B4A" w:rsidRPr="00233462" w:rsidRDefault="004D0B4A" w:rsidP="00EA7795">
            <w:pPr>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9,38 bc</w:t>
            </w:r>
          </w:p>
        </w:tc>
        <w:tc>
          <w:tcPr>
            <w:tcW w:w="1134" w:type="dxa"/>
          </w:tcPr>
          <w:p w14:paraId="2987AF22" w14:textId="77777777" w:rsidR="004D0B4A" w:rsidRPr="00233462" w:rsidRDefault="004D0B4A" w:rsidP="00EA7795">
            <w:pPr>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6,25 ab</w:t>
            </w:r>
          </w:p>
        </w:tc>
        <w:tc>
          <w:tcPr>
            <w:tcW w:w="993" w:type="dxa"/>
          </w:tcPr>
          <w:p w14:paraId="55567142" w14:textId="77777777" w:rsidR="004D0B4A" w:rsidRPr="00233462" w:rsidRDefault="004D0B4A" w:rsidP="00EA7795">
            <w:pPr>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0,00 a</w:t>
            </w:r>
          </w:p>
        </w:tc>
        <w:tc>
          <w:tcPr>
            <w:tcW w:w="1134" w:type="dxa"/>
          </w:tcPr>
          <w:p w14:paraId="7043DCDF" w14:textId="77777777" w:rsidR="004D0B4A" w:rsidRPr="00233462" w:rsidRDefault="004D0B4A" w:rsidP="00EA7795">
            <w:pPr>
              <w:suppressAutoHyphens/>
              <w:spacing w:after="200" w:line="276" w:lineRule="auto"/>
              <w:jc w:val="center"/>
              <w:cnfStyle w:val="000000100000" w:firstRow="0" w:lastRow="0" w:firstColumn="0" w:lastColumn="0" w:oddVBand="0" w:evenVBand="0" w:oddHBand="1"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10,63 bc</w:t>
            </w:r>
          </w:p>
        </w:tc>
      </w:tr>
      <w:tr w:rsidR="004D0B4A" w:rsidRPr="00233462" w14:paraId="5FD13AC2" w14:textId="77777777" w:rsidTr="00EA7795">
        <w:trPr>
          <w:trHeight w:val="135"/>
        </w:trPr>
        <w:tc>
          <w:tcPr>
            <w:cnfStyle w:val="001000000000" w:firstRow="0" w:lastRow="0" w:firstColumn="1" w:lastColumn="0" w:oddVBand="0" w:evenVBand="0" w:oddHBand="0" w:evenHBand="0" w:firstRowFirstColumn="0" w:firstRowLastColumn="0" w:lastRowFirstColumn="0" w:lastRowLastColumn="0"/>
            <w:tcW w:w="1843" w:type="dxa"/>
          </w:tcPr>
          <w:p w14:paraId="3F03C7B2" w14:textId="77777777" w:rsidR="004D0B4A" w:rsidRPr="00233462" w:rsidRDefault="004D0B4A" w:rsidP="00EA7795">
            <w:pPr>
              <w:suppressAutoHyphens/>
              <w:rPr>
                <w:b w:val="0"/>
                <w:color w:val="000000"/>
                <w:sz w:val="18"/>
                <w:szCs w:val="18"/>
                <w:lang w:val="en-GB" w:eastAsia="en-US"/>
              </w:rPr>
            </w:pPr>
            <w:r w:rsidRPr="00233462">
              <w:rPr>
                <w:b w:val="0"/>
                <w:color w:val="000000"/>
                <w:sz w:val="18"/>
                <w:szCs w:val="18"/>
                <w:lang w:val="en-GB" w:eastAsia="en-US"/>
              </w:rPr>
              <w:t>D(Cuttings+Sawdust+Soil)</w:t>
            </w:r>
          </w:p>
        </w:tc>
        <w:tc>
          <w:tcPr>
            <w:tcW w:w="1134" w:type="dxa"/>
          </w:tcPr>
          <w:p w14:paraId="0F10DA7F" w14:textId="77777777" w:rsidR="004D0B4A" w:rsidRPr="00233462" w:rsidRDefault="004D0B4A" w:rsidP="00EA7795">
            <w:pPr>
              <w:suppressAutoHyphens/>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15,68 a</w:t>
            </w:r>
          </w:p>
        </w:tc>
        <w:tc>
          <w:tcPr>
            <w:tcW w:w="1276" w:type="dxa"/>
          </w:tcPr>
          <w:p w14:paraId="149B0405" w14:textId="77777777" w:rsidR="004D0B4A" w:rsidRPr="00233462" w:rsidRDefault="004D0B4A" w:rsidP="00EA7795">
            <w:pPr>
              <w:suppressAutoHyphens/>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15,63 a</w:t>
            </w:r>
          </w:p>
        </w:tc>
        <w:tc>
          <w:tcPr>
            <w:tcW w:w="992" w:type="dxa"/>
          </w:tcPr>
          <w:p w14:paraId="19F5EB0B" w14:textId="77777777" w:rsidR="004D0B4A" w:rsidRPr="00233462" w:rsidRDefault="004D0B4A" w:rsidP="00EA7795">
            <w:pPr>
              <w:suppressAutoHyphens/>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36,86 b</w:t>
            </w:r>
          </w:p>
        </w:tc>
        <w:tc>
          <w:tcPr>
            <w:tcW w:w="992" w:type="dxa"/>
          </w:tcPr>
          <w:p w14:paraId="0A46B375" w14:textId="77777777" w:rsidR="004D0B4A" w:rsidRPr="00233462" w:rsidRDefault="004D0B4A" w:rsidP="00EA7795">
            <w:pPr>
              <w:suppressAutoHyphens/>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12,52 a</w:t>
            </w:r>
          </w:p>
        </w:tc>
        <w:tc>
          <w:tcPr>
            <w:tcW w:w="1134" w:type="dxa"/>
          </w:tcPr>
          <w:p w14:paraId="555F344B" w14:textId="77777777" w:rsidR="004D0B4A" w:rsidRPr="00233462" w:rsidRDefault="004D0B4A" w:rsidP="00EA7795">
            <w:pPr>
              <w:suppressAutoHyphens/>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6,25 a</w:t>
            </w:r>
          </w:p>
        </w:tc>
        <w:tc>
          <w:tcPr>
            <w:tcW w:w="993" w:type="dxa"/>
          </w:tcPr>
          <w:p w14:paraId="40660234" w14:textId="77777777" w:rsidR="004D0B4A" w:rsidRPr="00233462" w:rsidRDefault="004D0B4A" w:rsidP="00EA7795">
            <w:pPr>
              <w:suppressAutoHyphens/>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6,25 a</w:t>
            </w:r>
          </w:p>
        </w:tc>
        <w:tc>
          <w:tcPr>
            <w:tcW w:w="1134" w:type="dxa"/>
          </w:tcPr>
          <w:p w14:paraId="246F6061" w14:textId="77777777" w:rsidR="004D0B4A" w:rsidRPr="00233462" w:rsidRDefault="004D0B4A" w:rsidP="00EA7795">
            <w:pPr>
              <w:suppressAutoHyphens/>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15,65 a</w:t>
            </w:r>
          </w:p>
        </w:tc>
      </w:tr>
      <w:tr w:rsidR="004D0B4A" w:rsidRPr="00233462" w14:paraId="566B8BA9" w14:textId="77777777" w:rsidTr="00EA7795">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1843" w:type="dxa"/>
          </w:tcPr>
          <w:p w14:paraId="78C8164A" w14:textId="77777777" w:rsidR="004D0B4A" w:rsidRPr="00233462" w:rsidRDefault="004D0B4A" w:rsidP="00EA7795">
            <w:pPr>
              <w:suppressAutoHyphens/>
              <w:rPr>
                <w:b w:val="0"/>
                <w:color w:val="000000"/>
                <w:sz w:val="18"/>
                <w:szCs w:val="18"/>
                <w:lang w:val="en-GB" w:eastAsia="en-US"/>
              </w:rPr>
            </w:pPr>
            <w:r w:rsidRPr="00233462">
              <w:rPr>
                <w:b w:val="0"/>
                <w:color w:val="000000"/>
                <w:sz w:val="18"/>
                <w:szCs w:val="18"/>
                <w:lang w:val="en-GB" w:eastAsia="en-US"/>
              </w:rPr>
              <w:t>D(Cuttings+Sawdust)</w:t>
            </w:r>
          </w:p>
        </w:tc>
        <w:tc>
          <w:tcPr>
            <w:tcW w:w="1134" w:type="dxa"/>
          </w:tcPr>
          <w:p w14:paraId="2F0C11B7" w14:textId="77777777" w:rsidR="004D0B4A" w:rsidRPr="00233462" w:rsidRDefault="004D0B4A" w:rsidP="00EA7795">
            <w:pPr>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6,25 a</w:t>
            </w:r>
          </w:p>
        </w:tc>
        <w:tc>
          <w:tcPr>
            <w:tcW w:w="1276" w:type="dxa"/>
          </w:tcPr>
          <w:p w14:paraId="7D1064A1" w14:textId="77777777" w:rsidR="004D0B4A" w:rsidRPr="00233462" w:rsidRDefault="004D0B4A" w:rsidP="00EA7795">
            <w:pPr>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12,25 a</w:t>
            </w:r>
          </w:p>
        </w:tc>
        <w:tc>
          <w:tcPr>
            <w:tcW w:w="992" w:type="dxa"/>
          </w:tcPr>
          <w:p w14:paraId="78F17BCE" w14:textId="77777777" w:rsidR="004D0B4A" w:rsidRPr="00233462" w:rsidRDefault="004D0B4A" w:rsidP="00EA7795">
            <w:pPr>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25,99 b</w:t>
            </w:r>
          </w:p>
        </w:tc>
        <w:tc>
          <w:tcPr>
            <w:tcW w:w="992" w:type="dxa"/>
          </w:tcPr>
          <w:p w14:paraId="63278FD6" w14:textId="77777777" w:rsidR="004D0B4A" w:rsidRPr="00233462" w:rsidRDefault="004D0B4A" w:rsidP="00EA7795">
            <w:pPr>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12,50 a</w:t>
            </w:r>
          </w:p>
        </w:tc>
        <w:tc>
          <w:tcPr>
            <w:tcW w:w="1134" w:type="dxa"/>
          </w:tcPr>
          <w:p w14:paraId="7FC5E446" w14:textId="77777777" w:rsidR="004D0B4A" w:rsidRPr="00233462" w:rsidRDefault="004D0B4A" w:rsidP="00EA7795">
            <w:pPr>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6,50 a</w:t>
            </w:r>
          </w:p>
        </w:tc>
        <w:tc>
          <w:tcPr>
            <w:tcW w:w="993" w:type="dxa"/>
          </w:tcPr>
          <w:p w14:paraId="65D341F8" w14:textId="77777777" w:rsidR="004D0B4A" w:rsidRPr="00233462" w:rsidRDefault="004D0B4A" w:rsidP="00EA7795">
            <w:pPr>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3,13 a</w:t>
            </w:r>
          </w:p>
        </w:tc>
        <w:tc>
          <w:tcPr>
            <w:tcW w:w="1134" w:type="dxa"/>
          </w:tcPr>
          <w:p w14:paraId="7496C0B3" w14:textId="77777777" w:rsidR="004D0B4A" w:rsidRPr="00233462" w:rsidRDefault="004D0B4A" w:rsidP="00EA7795">
            <w:pPr>
              <w:suppressAutoHyphens/>
              <w:spacing w:after="200" w:line="276" w:lineRule="auto"/>
              <w:jc w:val="center"/>
              <w:cnfStyle w:val="000000100000" w:firstRow="0" w:lastRow="0" w:firstColumn="0" w:lastColumn="0" w:oddVBand="0" w:evenVBand="0" w:oddHBand="1" w:evenHBand="0" w:firstRowFirstColumn="0" w:firstRowLastColumn="0" w:lastRowFirstColumn="0" w:lastRowLastColumn="0"/>
              <w:rPr>
                <w:rFonts w:eastAsia="Calibri" w:cs="Calibri"/>
                <w:lang w:val="en-GB" w:eastAsia="en-US"/>
              </w:rPr>
            </w:pPr>
            <w:r w:rsidRPr="00233462">
              <w:rPr>
                <w:rFonts w:eastAsia="Calibri" w:cs="Calibri"/>
                <w:color w:val="000000"/>
                <w:sz w:val="18"/>
                <w:szCs w:val="18"/>
                <w:lang w:val="en-GB" w:eastAsia="en-US"/>
              </w:rPr>
              <w:t>6,25 ab</w:t>
            </w:r>
          </w:p>
        </w:tc>
      </w:tr>
    </w:tbl>
    <w:p w14:paraId="39C23264" w14:textId="77777777" w:rsidR="00C17FDF" w:rsidRDefault="00C17FDF" w:rsidP="00C17FDF">
      <w:pPr>
        <w:spacing w:line="360" w:lineRule="auto"/>
        <w:jc w:val="both"/>
        <w:rPr>
          <w:sz w:val="20"/>
          <w:lang w:val="en-GB"/>
        </w:rPr>
      </w:pPr>
      <w:r w:rsidRPr="004D0B4A">
        <w:rPr>
          <w:sz w:val="20"/>
          <w:lang w:val="en-GB"/>
        </w:rPr>
        <w:t>*Means with the same letter are not significantly different (P≤0.05) according to Duncan multiple compaires test. They are the average of twenty cuttings per experiment.</w:t>
      </w:r>
    </w:p>
    <w:p w14:paraId="3EDCC1EE" w14:textId="77777777" w:rsidR="00E02A3A" w:rsidRPr="004D0B4A" w:rsidRDefault="00E02A3A" w:rsidP="00C17FDF">
      <w:pPr>
        <w:spacing w:line="360" w:lineRule="auto"/>
        <w:jc w:val="both"/>
        <w:rPr>
          <w:sz w:val="20"/>
          <w:lang w:val="en-GB"/>
        </w:rPr>
      </w:pPr>
    </w:p>
    <w:p w14:paraId="6A13EF75" w14:textId="1EEBEE0E" w:rsidR="00C17FDF" w:rsidRDefault="00C17FDF" w:rsidP="00C17FDF">
      <w:pPr>
        <w:spacing w:line="360" w:lineRule="auto"/>
        <w:jc w:val="both"/>
        <w:rPr>
          <w:lang w:val="en-GB"/>
        </w:rPr>
      </w:pPr>
      <w:r w:rsidRPr="00C17FDF">
        <w:rPr>
          <w:lang w:val="en-GB"/>
        </w:rPr>
        <w:t xml:space="preserve">As seen in Table 4, the isolations conducted on healthy saplings uprooted from the nursery in autumn demonstrated the growth of 6 fungal pathogen colonies and biocontrol agent </w:t>
      </w:r>
      <w:r w:rsidRPr="004B3541">
        <w:rPr>
          <w:i/>
          <w:lang w:val="en-GB"/>
        </w:rPr>
        <w:t>Trichoderma</w:t>
      </w:r>
      <w:r w:rsidRPr="00C17FDF">
        <w:rPr>
          <w:lang w:val="en-GB"/>
        </w:rPr>
        <w:t xml:space="preserve"> spp. </w:t>
      </w:r>
      <w:r w:rsidRPr="004B3541">
        <w:rPr>
          <w:i/>
          <w:lang w:val="en-GB"/>
        </w:rPr>
        <w:t>F</w:t>
      </w:r>
      <w:r w:rsidR="004B3541" w:rsidRPr="004B3541">
        <w:rPr>
          <w:i/>
          <w:lang w:val="en-GB"/>
        </w:rPr>
        <w:t>.</w:t>
      </w:r>
      <w:r w:rsidRPr="004B3541">
        <w:rPr>
          <w:i/>
          <w:lang w:val="en-GB"/>
        </w:rPr>
        <w:t xml:space="preserve"> solani</w:t>
      </w:r>
      <w:r w:rsidRPr="00C17FDF">
        <w:rPr>
          <w:lang w:val="en-GB"/>
        </w:rPr>
        <w:t xml:space="preserve"> was isolated in all applications except for A (cutting + sawdust + soil). The least infected saplings were observed in the healthy saplings in the A (cutting + sawdust + soil) application group. It could be suggested that the application of these two fungicides to the soil led to a significant decrease in soil-borne fungal pathogens. Pathogenic species </w:t>
      </w:r>
      <w:r w:rsidRPr="004B3541">
        <w:rPr>
          <w:i/>
          <w:lang w:val="en-GB"/>
        </w:rPr>
        <w:t>F</w:t>
      </w:r>
      <w:r w:rsidR="004B3541">
        <w:rPr>
          <w:i/>
          <w:lang w:val="en-GB"/>
        </w:rPr>
        <w:t>.</w:t>
      </w:r>
      <w:r w:rsidRPr="004B3541">
        <w:rPr>
          <w:i/>
          <w:lang w:val="en-GB"/>
        </w:rPr>
        <w:t xml:space="preserve"> solani</w:t>
      </w:r>
      <w:r w:rsidRPr="00C17FDF">
        <w:rPr>
          <w:lang w:val="en-GB"/>
        </w:rPr>
        <w:t xml:space="preserve"> (12.67%), </w:t>
      </w:r>
      <w:r w:rsidRPr="004B3541">
        <w:rPr>
          <w:i/>
          <w:lang w:val="en-GB"/>
        </w:rPr>
        <w:t>A</w:t>
      </w:r>
      <w:r w:rsidR="004B3541" w:rsidRPr="004B3541">
        <w:rPr>
          <w:i/>
          <w:lang w:val="en-GB"/>
        </w:rPr>
        <w:t>.</w:t>
      </w:r>
      <w:r w:rsidRPr="004B3541">
        <w:rPr>
          <w:i/>
          <w:lang w:val="en-GB"/>
        </w:rPr>
        <w:t xml:space="preserve"> alternata</w:t>
      </w:r>
      <w:r w:rsidRPr="00C17FDF">
        <w:rPr>
          <w:lang w:val="en-GB"/>
        </w:rPr>
        <w:t xml:space="preserve"> (15.63%), </w:t>
      </w:r>
      <w:r w:rsidRPr="004B3541">
        <w:rPr>
          <w:i/>
          <w:lang w:val="en-GB"/>
        </w:rPr>
        <w:t>B</w:t>
      </w:r>
      <w:r w:rsidR="004B3541" w:rsidRPr="004B3541">
        <w:rPr>
          <w:i/>
          <w:lang w:val="en-GB"/>
        </w:rPr>
        <w:t xml:space="preserve">. </w:t>
      </w:r>
      <w:r w:rsidR="00D61DE6">
        <w:rPr>
          <w:i/>
          <w:lang w:val="en-GB"/>
        </w:rPr>
        <w:t>dothidae</w:t>
      </w:r>
      <w:r w:rsidRPr="00C17FDF">
        <w:rPr>
          <w:lang w:val="en-GB"/>
        </w:rPr>
        <w:t xml:space="preserve"> (12.25%), </w:t>
      </w:r>
      <w:r w:rsidRPr="004B3541">
        <w:rPr>
          <w:i/>
          <w:lang w:val="en-GB"/>
        </w:rPr>
        <w:t>D</w:t>
      </w:r>
      <w:r w:rsidR="004B3541" w:rsidRPr="004B3541">
        <w:rPr>
          <w:i/>
          <w:lang w:val="en-GB"/>
        </w:rPr>
        <w:t>.</w:t>
      </w:r>
      <w:r w:rsidRPr="004B3541">
        <w:rPr>
          <w:i/>
          <w:lang w:val="en-GB"/>
        </w:rPr>
        <w:t xml:space="preserve"> ampelina</w:t>
      </w:r>
      <w:r w:rsidRPr="00C17FDF">
        <w:rPr>
          <w:lang w:val="en-GB"/>
        </w:rPr>
        <w:t xml:space="preserve"> (6.25%) were isolated in the C (cutting + sawdust) application group, demonstrating that these species were asymptomatic in the inner tissues of healthy vines. The high </w:t>
      </w:r>
      <w:r w:rsidRPr="004B3541">
        <w:rPr>
          <w:i/>
          <w:lang w:val="en-GB"/>
        </w:rPr>
        <w:t>Trichoderma</w:t>
      </w:r>
      <w:r w:rsidRPr="00C17FDF">
        <w:rPr>
          <w:lang w:val="en-GB"/>
        </w:rPr>
        <w:t xml:space="preserve"> spp. incidences in both bio-fungicide application groups (C: 56.25%, 34.36%, respectively) and control groups (D: 31.25%, 28.79%, respectively) demonstrated that its antagonistic effect was promoted in the soil over time, and it was effective in controlling soil-borne pathogens. This was explained by rapid colonization of </w:t>
      </w:r>
      <w:r w:rsidRPr="004B3541">
        <w:rPr>
          <w:i/>
          <w:lang w:val="en-GB"/>
        </w:rPr>
        <w:t>Trichoderma</w:t>
      </w:r>
      <w:r w:rsidRPr="00C17FDF">
        <w:rPr>
          <w:lang w:val="en-GB"/>
        </w:rPr>
        <w:t xml:space="preserve"> bio-fungicide in the soil, limiting pathogen development due to antagonistic properties. It was determined that there was a positive correlation between the isolation incidences of </w:t>
      </w:r>
      <w:r w:rsidRPr="00BD4C8B">
        <w:rPr>
          <w:i/>
          <w:lang w:val="en-GB"/>
        </w:rPr>
        <w:t>F</w:t>
      </w:r>
      <w:r w:rsidR="00BD4C8B" w:rsidRPr="00BD4C8B">
        <w:rPr>
          <w:i/>
          <w:lang w:val="en-GB"/>
        </w:rPr>
        <w:t>.</w:t>
      </w:r>
      <w:r w:rsidRPr="00BD4C8B">
        <w:rPr>
          <w:i/>
          <w:lang w:val="en-GB"/>
        </w:rPr>
        <w:t xml:space="preserve"> solani</w:t>
      </w:r>
      <w:r w:rsidRPr="00C17FDF">
        <w:rPr>
          <w:lang w:val="en-GB"/>
        </w:rPr>
        <w:t xml:space="preserve"> (36.86%), </w:t>
      </w:r>
      <w:r w:rsidRPr="00BD4C8B">
        <w:rPr>
          <w:i/>
          <w:lang w:val="en-GB"/>
        </w:rPr>
        <w:t>B</w:t>
      </w:r>
      <w:r w:rsidR="00BD4C8B" w:rsidRPr="00BD4C8B">
        <w:rPr>
          <w:i/>
          <w:lang w:val="en-GB"/>
        </w:rPr>
        <w:t>.</w:t>
      </w:r>
      <w:r w:rsidRPr="00BD4C8B">
        <w:rPr>
          <w:i/>
          <w:lang w:val="en-GB"/>
        </w:rPr>
        <w:t xml:space="preserve"> </w:t>
      </w:r>
      <w:r w:rsidR="00D61DE6">
        <w:rPr>
          <w:i/>
          <w:lang w:val="en-GB"/>
        </w:rPr>
        <w:t>dothidae</w:t>
      </w:r>
      <w:r w:rsidRPr="00BD4C8B">
        <w:rPr>
          <w:i/>
          <w:lang w:val="en-GB"/>
        </w:rPr>
        <w:t xml:space="preserve"> </w:t>
      </w:r>
      <w:r w:rsidRPr="00C17FDF">
        <w:rPr>
          <w:lang w:val="en-GB"/>
        </w:rPr>
        <w:t xml:space="preserve">(15.63%), and </w:t>
      </w:r>
      <w:r w:rsidRPr="00BD4C8B">
        <w:rPr>
          <w:i/>
          <w:lang w:val="en-GB"/>
        </w:rPr>
        <w:t>D</w:t>
      </w:r>
      <w:r w:rsidR="00BD4C8B" w:rsidRPr="00BD4C8B">
        <w:rPr>
          <w:i/>
          <w:lang w:val="en-GB"/>
        </w:rPr>
        <w:t xml:space="preserve">. </w:t>
      </w:r>
      <w:r w:rsidRPr="00BD4C8B">
        <w:rPr>
          <w:i/>
          <w:lang w:val="en-GB"/>
        </w:rPr>
        <w:t>ampelina</w:t>
      </w:r>
      <w:r w:rsidRPr="00C17FDF">
        <w:rPr>
          <w:lang w:val="en-GB"/>
        </w:rPr>
        <w:t xml:space="preserve"> (12.52%) pathogens in D (cutting + sawdust) application and the development of certain pathogens in the moisture generated by soaking the saplings with water during initial planting.</w:t>
      </w:r>
    </w:p>
    <w:p w14:paraId="72C26299" w14:textId="77777777" w:rsidR="006B30C1" w:rsidRPr="00C17FDF" w:rsidRDefault="006B30C1" w:rsidP="00C17FDF">
      <w:pPr>
        <w:spacing w:line="360" w:lineRule="auto"/>
        <w:jc w:val="both"/>
        <w:rPr>
          <w:lang w:val="en-GB"/>
        </w:rPr>
      </w:pPr>
    </w:p>
    <w:p w14:paraId="19D64023" w14:textId="77777777" w:rsidR="00C17FDF" w:rsidRDefault="00C17FDF" w:rsidP="00C17FDF">
      <w:pPr>
        <w:spacing w:line="360" w:lineRule="auto"/>
        <w:jc w:val="both"/>
        <w:rPr>
          <w:lang w:val="en-GB"/>
        </w:rPr>
      </w:pPr>
      <w:r w:rsidRPr="006B30C1">
        <w:rPr>
          <w:b/>
          <w:lang w:val="en-GB"/>
        </w:rPr>
        <w:t>Table 4.</w:t>
      </w:r>
      <w:r w:rsidRPr="00C17FDF">
        <w:rPr>
          <w:lang w:val="en-GB"/>
        </w:rPr>
        <w:t xml:space="preserve"> Fungal isolation incidences in the roots of the healthy saplings uprooted from the nursery after treatment (%)</w:t>
      </w:r>
    </w:p>
    <w:tbl>
      <w:tblPr>
        <w:tblStyle w:val="DzTablo2"/>
        <w:tblW w:w="5078" w:type="pct"/>
        <w:tblInd w:w="-142" w:type="dxa"/>
        <w:tblLayout w:type="fixed"/>
        <w:tblLook w:val="04A0" w:firstRow="1" w:lastRow="0" w:firstColumn="1" w:lastColumn="0" w:noHBand="0" w:noVBand="1"/>
      </w:tblPr>
      <w:tblGrid>
        <w:gridCol w:w="1845"/>
        <w:gridCol w:w="912"/>
        <w:gridCol w:w="1234"/>
        <w:gridCol w:w="963"/>
        <w:gridCol w:w="963"/>
        <w:gridCol w:w="1100"/>
        <w:gridCol w:w="1100"/>
        <w:gridCol w:w="1094"/>
      </w:tblGrid>
      <w:tr w:rsidR="006B30C1" w:rsidRPr="00233462" w14:paraId="21C4089E" w14:textId="77777777" w:rsidTr="001D2EFE">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001" w:type="pct"/>
          </w:tcPr>
          <w:p w14:paraId="14E3D644" w14:textId="77777777" w:rsidR="006B30C1" w:rsidRPr="00233462" w:rsidRDefault="006B30C1" w:rsidP="00EA7795">
            <w:pPr>
              <w:suppressAutoHyphens/>
              <w:jc w:val="center"/>
              <w:rPr>
                <w:color w:val="000000"/>
                <w:sz w:val="16"/>
                <w:szCs w:val="16"/>
                <w:lang w:val="en-GB" w:eastAsia="en-US"/>
              </w:rPr>
            </w:pPr>
            <w:r w:rsidRPr="00233462">
              <w:rPr>
                <w:color w:val="000000"/>
                <w:sz w:val="16"/>
                <w:szCs w:val="16"/>
                <w:lang w:val="en-GB" w:eastAsia="en-US"/>
              </w:rPr>
              <w:t>Looking Healthy</w:t>
            </w:r>
          </w:p>
        </w:tc>
        <w:tc>
          <w:tcPr>
            <w:tcW w:w="3403" w:type="pct"/>
            <w:gridSpan w:val="6"/>
          </w:tcPr>
          <w:p w14:paraId="039FBC7C" w14:textId="77777777" w:rsidR="006B30C1" w:rsidRPr="00233462" w:rsidRDefault="006B30C1" w:rsidP="00EA7795">
            <w:pPr>
              <w:suppressAutoHyphens/>
              <w:jc w:val="center"/>
              <w:cnfStyle w:val="100000000000" w:firstRow="1" w:lastRow="0" w:firstColumn="0" w:lastColumn="0" w:oddVBand="0" w:evenVBand="0" w:oddHBand="0" w:evenHBand="0" w:firstRowFirstColumn="0" w:firstRowLastColumn="0" w:lastRowFirstColumn="0" w:lastRowLastColumn="0"/>
              <w:rPr>
                <w:color w:val="000000"/>
                <w:sz w:val="16"/>
                <w:szCs w:val="16"/>
                <w:lang w:val="en-GB" w:eastAsia="en-US"/>
              </w:rPr>
            </w:pPr>
            <w:r w:rsidRPr="00233462">
              <w:rPr>
                <w:color w:val="000000"/>
                <w:sz w:val="16"/>
                <w:szCs w:val="16"/>
                <w:lang w:val="en-GB" w:eastAsia="en-US"/>
              </w:rPr>
              <w:t>Fungal Incidence %</w:t>
            </w:r>
          </w:p>
        </w:tc>
        <w:tc>
          <w:tcPr>
            <w:tcW w:w="595" w:type="pct"/>
          </w:tcPr>
          <w:p w14:paraId="220E82FE" w14:textId="77777777" w:rsidR="006B30C1" w:rsidRPr="00233462" w:rsidRDefault="006B30C1" w:rsidP="00EA7795">
            <w:pPr>
              <w:suppressAutoHyphens/>
              <w:jc w:val="center"/>
              <w:cnfStyle w:val="100000000000" w:firstRow="1" w:lastRow="0" w:firstColumn="0" w:lastColumn="0" w:oddVBand="0" w:evenVBand="0" w:oddHBand="0" w:evenHBand="0" w:firstRowFirstColumn="0" w:firstRowLastColumn="0" w:lastRowFirstColumn="0" w:lastRowLastColumn="0"/>
              <w:rPr>
                <w:i/>
                <w:color w:val="000000"/>
                <w:sz w:val="16"/>
                <w:szCs w:val="16"/>
                <w:lang w:val="en-GB" w:eastAsia="en-US"/>
              </w:rPr>
            </w:pPr>
          </w:p>
        </w:tc>
      </w:tr>
      <w:tr w:rsidR="001D2EFE" w:rsidRPr="00233462" w14:paraId="46638CAB" w14:textId="77777777" w:rsidTr="001D2EFE">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001" w:type="pct"/>
          </w:tcPr>
          <w:p w14:paraId="788B4DAB" w14:textId="77777777" w:rsidR="006B30C1" w:rsidRPr="00233462" w:rsidRDefault="006B30C1" w:rsidP="00EA7795">
            <w:pPr>
              <w:suppressAutoHyphens/>
              <w:jc w:val="center"/>
              <w:rPr>
                <w:color w:val="000000"/>
                <w:sz w:val="16"/>
                <w:szCs w:val="16"/>
                <w:lang w:val="en-GB" w:eastAsia="en-US"/>
              </w:rPr>
            </w:pPr>
            <w:r w:rsidRPr="00233462">
              <w:rPr>
                <w:color w:val="000000"/>
                <w:sz w:val="16"/>
                <w:szCs w:val="16"/>
                <w:lang w:val="en-GB" w:eastAsia="en-US"/>
              </w:rPr>
              <w:t>Treatment</w:t>
            </w:r>
          </w:p>
        </w:tc>
        <w:tc>
          <w:tcPr>
            <w:tcW w:w="495" w:type="pct"/>
          </w:tcPr>
          <w:p w14:paraId="132F82C6" w14:textId="77777777" w:rsidR="006B30C1" w:rsidRPr="00233462" w:rsidRDefault="006B30C1" w:rsidP="00EA7795">
            <w:pPr>
              <w:suppressAutoHyphens/>
              <w:jc w:val="center"/>
              <w:cnfStyle w:val="000000100000" w:firstRow="0" w:lastRow="0" w:firstColumn="0" w:lastColumn="0" w:oddVBand="0" w:evenVBand="0" w:oddHBand="1" w:evenHBand="0" w:firstRowFirstColumn="0" w:firstRowLastColumn="0" w:lastRowFirstColumn="0" w:lastRowLastColumn="0"/>
              <w:rPr>
                <w:b/>
                <w:i/>
                <w:color w:val="000000"/>
                <w:sz w:val="16"/>
                <w:szCs w:val="16"/>
                <w:lang w:val="en-GB" w:eastAsia="en-US"/>
              </w:rPr>
            </w:pPr>
            <w:r w:rsidRPr="00233462">
              <w:rPr>
                <w:b/>
                <w:i/>
                <w:color w:val="000000"/>
                <w:sz w:val="16"/>
                <w:szCs w:val="16"/>
                <w:lang w:val="en-GB" w:eastAsia="en-US"/>
              </w:rPr>
              <w:t>Alternaria alternata</w:t>
            </w:r>
          </w:p>
        </w:tc>
        <w:tc>
          <w:tcPr>
            <w:tcW w:w="670" w:type="pct"/>
          </w:tcPr>
          <w:p w14:paraId="20B89DE7" w14:textId="2CCC3CCF" w:rsidR="006B30C1" w:rsidRPr="00233462" w:rsidRDefault="006B30C1" w:rsidP="00D61DE6">
            <w:pPr>
              <w:suppressAutoHyphens/>
              <w:jc w:val="center"/>
              <w:cnfStyle w:val="000000100000" w:firstRow="0" w:lastRow="0" w:firstColumn="0" w:lastColumn="0" w:oddVBand="0" w:evenVBand="0" w:oddHBand="1" w:evenHBand="0" w:firstRowFirstColumn="0" w:firstRowLastColumn="0" w:lastRowFirstColumn="0" w:lastRowLastColumn="0"/>
              <w:rPr>
                <w:b/>
                <w:i/>
                <w:color w:val="000000"/>
                <w:sz w:val="16"/>
                <w:szCs w:val="16"/>
                <w:lang w:val="en-GB" w:eastAsia="en-US"/>
              </w:rPr>
            </w:pPr>
            <w:r w:rsidRPr="00233462">
              <w:rPr>
                <w:b/>
                <w:i/>
                <w:color w:val="000000"/>
                <w:sz w:val="16"/>
                <w:szCs w:val="16"/>
                <w:lang w:val="en-GB" w:eastAsia="en-US"/>
              </w:rPr>
              <w:t xml:space="preserve">Botryospheria </w:t>
            </w:r>
            <w:r w:rsidR="00D61DE6">
              <w:rPr>
                <w:b/>
                <w:i/>
                <w:color w:val="000000"/>
                <w:sz w:val="16"/>
                <w:szCs w:val="16"/>
                <w:lang w:val="en-GB" w:eastAsia="en-US"/>
              </w:rPr>
              <w:t>dothidae</w:t>
            </w:r>
          </w:p>
        </w:tc>
        <w:tc>
          <w:tcPr>
            <w:tcW w:w="523" w:type="pct"/>
          </w:tcPr>
          <w:p w14:paraId="658E74B1" w14:textId="77777777" w:rsidR="006B30C1" w:rsidRPr="00233462" w:rsidRDefault="006B30C1" w:rsidP="00EA7795">
            <w:pPr>
              <w:suppressAutoHyphens/>
              <w:jc w:val="center"/>
              <w:cnfStyle w:val="000000100000" w:firstRow="0" w:lastRow="0" w:firstColumn="0" w:lastColumn="0" w:oddVBand="0" w:evenVBand="0" w:oddHBand="1" w:evenHBand="0" w:firstRowFirstColumn="0" w:firstRowLastColumn="0" w:lastRowFirstColumn="0" w:lastRowLastColumn="0"/>
              <w:rPr>
                <w:b/>
                <w:i/>
                <w:color w:val="000000"/>
                <w:sz w:val="16"/>
                <w:szCs w:val="16"/>
                <w:lang w:val="en-GB" w:eastAsia="en-US"/>
              </w:rPr>
            </w:pPr>
            <w:r w:rsidRPr="00233462">
              <w:rPr>
                <w:b/>
                <w:i/>
                <w:color w:val="000000"/>
                <w:sz w:val="16"/>
                <w:szCs w:val="16"/>
                <w:lang w:val="en-GB" w:eastAsia="en-US"/>
              </w:rPr>
              <w:t xml:space="preserve">Fusarium solani  </w:t>
            </w:r>
          </w:p>
        </w:tc>
        <w:tc>
          <w:tcPr>
            <w:tcW w:w="523" w:type="pct"/>
          </w:tcPr>
          <w:p w14:paraId="251F98F9" w14:textId="77777777" w:rsidR="006B30C1" w:rsidRPr="00233462" w:rsidRDefault="006B30C1" w:rsidP="00EA7795">
            <w:pPr>
              <w:suppressAutoHyphens/>
              <w:jc w:val="center"/>
              <w:cnfStyle w:val="000000100000" w:firstRow="0" w:lastRow="0" w:firstColumn="0" w:lastColumn="0" w:oddVBand="0" w:evenVBand="0" w:oddHBand="1" w:evenHBand="0" w:firstRowFirstColumn="0" w:firstRowLastColumn="0" w:lastRowFirstColumn="0" w:lastRowLastColumn="0"/>
              <w:rPr>
                <w:b/>
                <w:i/>
                <w:color w:val="000000"/>
                <w:sz w:val="16"/>
                <w:szCs w:val="16"/>
                <w:lang w:val="en-GB" w:eastAsia="en-US"/>
              </w:rPr>
            </w:pPr>
            <w:r w:rsidRPr="00233462">
              <w:rPr>
                <w:b/>
                <w:i/>
                <w:color w:val="000000"/>
                <w:sz w:val="16"/>
                <w:szCs w:val="16"/>
                <w:lang w:val="en-GB" w:eastAsia="en-US"/>
              </w:rPr>
              <w:t>Diaporthe ampelina</w:t>
            </w:r>
          </w:p>
        </w:tc>
        <w:tc>
          <w:tcPr>
            <w:tcW w:w="597" w:type="pct"/>
          </w:tcPr>
          <w:p w14:paraId="483C46CC" w14:textId="77777777" w:rsidR="006B30C1" w:rsidRPr="00233462" w:rsidRDefault="006B30C1" w:rsidP="00EA7795">
            <w:pPr>
              <w:suppressAutoHyphens/>
              <w:jc w:val="center"/>
              <w:cnfStyle w:val="000000100000" w:firstRow="0" w:lastRow="0" w:firstColumn="0" w:lastColumn="0" w:oddVBand="0" w:evenVBand="0" w:oddHBand="1" w:evenHBand="0" w:firstRowFirstColumn="0" w:firstRowLastColumn="0" w:lastRowFirstColumn="0" w:lastRowLastColumn="0"/>
              <w:rPr>
                <w:b/>
                <w:i/>
                <w:color w:val="000000"/>
                <w:sz w:val="16"/>
                <w:szCs w:val="16"/>
                <w:lang w:val="en-GB" w:eastAsia="en-US"/>
              </w:rPr>
            </w:pPr>
            <w:r w:rsidRPr="00233462">
              <w:rPr>
                <w:b/>
                <w:i/>
                <w:color w:val="000000"/>
                <w:sz w:val="16"/>
                <w:szCs w:val="16"/>
                <w:lang w:val="en-GB" w:eastAsia="en-US"/>
              </w:rPr>
              <w:t>Rhizoctonia solani</w:t>
            </w:r>
          </w:p>
        </w:tc>
        <w:tc>
          <w:tcPr>
            <w:tcW w:w="597" w:type="pct"/>
          </w:tcPr>
          <w:p w14:paraId="4B74DEBE" w14:textId="77777777" w:rsidR="006B30C1" w:rsidRPr="00233462" w:rsidRDefault="006B30C1" w:rsidP="00EA7795">
            <w:pPr>
              <w:suppressAutoHyphens/>
              <w:jc w:val="center"/>
              <w:cnfStyle w:val="000000100000" w:firstRow="0" w:lastRow="0" w:firstColumn="0" w:lastColumn="0" w:oddVBand="0" w:evenVBand="0" w:oddHBand="1" w:evenHBand="0" w:firstRowFirstColumn="0" w:firstRowLastColumn="0" w:lastRowFirstColumn="0" w:lastRowLastColumn="0"/>
              <w:rPr>
                <w:b/>
                <w:i/>
                <w:color w:val="000000"/>
                <w:sz w:val="16"/>
                <w:szCs w:val="16"/>
                <w:lang w:val="en-GB" w:eastAsia="en-US"/>
              </w:rPr>
            </w:pPr>
            <w:r w:rsidRPr="00233462">
              <w:rPr>
                <w:b/>
                <w:i/>
                <w:color w:val="000000"/>
                <w:sz w:val="16"/>
                <w:szCs w:val="16"/>
                <w:lang w:val="en-GB" w:eastAsia="en-US"/>
              </w:rPr>
              <w:t>Ilyonectria liriodendri</w:t>
            </w:r>
          </w:p>
        </w:tc>
        <w:tc>
          <w:tcPr>
            <w:tcW w:w="595" w:type="pct"/>
          </w:tcPr>
          <w:p w14:paraId="5D9208AC" w14:textId="77777777" w:rsidR="006B30C1" w:rsidRPr="00233462" w:rsidRDefault="006B30C1" w:rsidP="00EA7795">
            <w:pPr>
              <w:suppressAutoHyphens/>
              <w:spacing w:after="200" w:line="276" w:lineRule="auto"/>
              <w:cnfStyle w:val="000000100000" w:firstRow="0" w:lastRow="0" w:firstColumn="0" w:lastColumn="0" w:oddVBand="0" w:evenVBand="0" w:oddHBand="1" w:evenHBand="0" w:firstRowFirstColumn="0" w:firstRowLastColumn="0" w:lastRowFirstColumn="0" w:lastRowLastColumn="0"/>
              <w:rPr>
                <w:b/>
                <w:sz w:val="16"/>
                <w:szCs w:val="16"/>
                <w:lang w:val="en-GB" w:eastAsia="en-US"/>
              </w:rPr>
            </w:pPr>
            <w:r w:rsidRPr="00233462">
              <w:rPr>
                <w:b/>
                <w:i/>
                <w:sz w:val="16"/>
                <w:szCs w:val="16"/>
                <w:lang w:val="en-GB" w:eastAsia="en-US"/>
              </w:rPr>
              <w:t>Trichoderma</w:t>
            </w:r>
            <w:r w:rsidRPr="00233462">
              <w:rPr>
                <w:b/>
                <w:sz w:val="16"/>
                <w:szCs w:val="16"/>
                <w:lang w:val="en-GB" w:eastAsia="en-US"/>
              </w:rPr>
              <w:t xml:space="preserve"> spp.</w:t>
            </w:r>
          </w:p>
        </w:tc>
      </w:tr>
      <w:tr w:rsidR="001D2EFE" w:rsidRPr="00233462" w14:paraId="629CEFAB" w14:textId="77777777" w:rsidTr="001D2EFE">
        <w:trPr>
          <w:trHeight w:val="332"/>
        </w:trPr>
        <w:tc>
          <w:tcPr>
            <w:cnfStyle w:val="001000000000" w:firstRow="0" w:lastRow="0" w:firstColumn="1" w:lastColumn="0" w:oddVBand="0" w:evenVBand="0" w:oddHBand="0" w:evenHBand="0" w:firstRowFirstColumn="0" w:firstRowLastColumn="0" w:lastRowFirstColumn="0" w:lastRowLastColumn="0"/>
            <w:tcW w:w="1001" w:type="pct"/>
          </w:tcPr>
          <w:p w14:paraId="74186252" w14:textId="77777777" w:rsidR="006B30C1" w:rsidRPr="00233462" w:rsidRDefault="006B30C1" w:rsidP="00EA7795">
            <w:pPr>
              <w:suppressAutoHyphens/>
              <w:rPr>
                <w:b w:val="0"/>
                <w:color w:val="000000"/>
                <w:sz w:val="18"/>
                <w:szCs w:val="18"/>
                <w:lang w:val="en-GB" w:eastAsia="en-US"/>
              </w:rPr>
            </w:pPr>
            <w:r w:rsidRPr="00233462">
              <w:rPr>
                <w:b w:val="0"/>
                <w:color w:val="000000"/>
                <w:sz w:val="18"/>
                <w:szCs w:val="18"/>
                <w:lang w:val="en-GB" w:eastAsia="en-US"/>
              </w:rPr>
              <w:t>A(Cuttings+Sawdust+Soil)</w:t>
            </w:r>
          </w:p>
        </w:tc>
        <w:tc>
          <w:tcPr>
            <w:tcW w:w="495" w:type="pct"/>
          </w:tcPr>
          <w:p w14:paraId="6680DAB3" w14:textId="77777777" w:rsidR="006B30C1" w:rsidRPr="00233462" w:rsidRDefault="006B30C1" w:rsidP="00EA7795">
            <w:pPr>
              <w:suppressAutoHyphens/>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18"/>
                <w:szCs w:val="18"/>
                <w:lang w:val="en-GB" w:eastAsia="tr-TR"/>
              </w:rPr>
            </w:pPr>
            <w:r w:rsidRPr="00233462">
              <w:rPr>
                <w:rFonts w:eastAsia="Calibri"/>
                <w:color w:val="000000"/>
                <w:sz w:val="18"/>
                <w:szCs w:val="18"/>
                <w:lang w:val="en-GB" w:eastAsia="en-US"/>
              </w:rPr>
              <w:t>0,00 a</w:t>
            </w:r>
          </w:p>
        </w:tc>
        <w:tc>
          <w:tcPr>
            <w:tcW w:w="670" w:type="pct"/>
          </w:tcPr>
          <w:p w14:paraId="7852E90E" w14:textId="77777777" w:rsidR="006B30C1" w:rsidRPr="00233462" w:rsidRDefault="006B30C1" w:rsidP="00EA7795">
            <w:pPr>
              <w:suppressAutoHyphens/>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0,00 a</w:t>
            </w:r>
          </w:p>
        </w:tc>
        <w:tc>
          <w:tcPr>
            <w:tcW w:w="523" w:type="pct"/>
          </w:tcPr>
          <w:p w14:paraId="1FC3AABC" w14:textId="77777777" w:rsidR="006B30C1" w:rsidRPr="00233462" w:rsidRDefault="006B30C1" w:rsidP="00EA7795">
            <w:pPr>
              <w:suppressAutoHyphens/>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0,00 a</w:t>
            </w:r>
          </w:p>
        </w:tc>
        <w:tc>
          <w:tcPr>
            <w:tcW w:w="523" w:type="pct"/>
          </w:tcPr>
          <w:p w14:paraId="3079B076" w14:textId="77777777" w:rsidR="006B30C1" w:rsidRPr="00233462" w:rsidRDefault="006B30C1" w:rsidP="00EA7795">
            <w:pPr>
              <w:suppressAutoHyphens/>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0,00 a</w:t>
            </w:r>
          </w:p>
        </w:tc>
        <w:tc>
          <w:tcPr>
            <w:tcW w:w="597" w:type="pct"/>
          </w:tcPr>
          <w:p w14:paraId="47736141" w14:textId="77777777" w:rsidR="006B30C1" w:rsidRPr="00233462" w:rsidRDefault="006B30C1" w:rsidP="00EA7795">
            <w:pPr>
              <w:suppressAutoHyphens/>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0,00 a</w:t>
            </w:r>
          </w:p>
        </w:tc>
        <w:tc>
          <w:tcPr>
            <w:tcW w:w="597" w:type="pct"/>
          </w:tcPr>
          <w:p w14:paraId="3066D1E8" w14:textId="77777777" w:rsidR="006B30C1" w:rsidRPr="00233462" w:rsidRDefault="006B30C1" w:rsidP="00EA7795">
            <w:pPr>
              <w:suppressAutoHyphens/>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0,00 a</w:t>
            </w:r>
          </w:p>
        </w:tc>
        <w:tc>
          <w:tcPr>
            <w:tcW w:w="595" w:type="pct"/>
          </w:tcPr>
          <w:p w14:paraId="738F7C35" w14:textId="77777777" w:rsidR="006B30C1" w:rsidRPr="00233462" w:rsidRDefault="006B30C1" w:rsidP="00EA7795">
            <w:pPr>
              <w:suppressAutoHyphens/>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3,125 b</w:t>
            </w:r>
          </w:p>
        </w:tc>
      </w:tr>
      <w:tr w:rsidR="001D2EFE" w:rsidRPr="00233462" w14:paraId="69B8CD54" w14:textId="77777777" w:rsidTr="001D2EFE">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1001" w:type="pct"/>
          </w:tcPr>
          <w:p w14:paraId="39A35B0C" w14:textId="77777777" w:rsidR="006B30C1" w:rsidRPr="00233462" w:rsidRDefault="006B30C1" w:rsidP="00EA7795">
            <w:pPr>
              <w:suppressAutoHyphens/>
              <w:rPr>
                <w:b w:val="0"/>
                <w:color w:val="000000"/>
                <w:sz w:val="18"/>
                <w:szCs w:val="18"/>
                <w:lang w:val="en-GB" w:eastAsia="en-US"/>
              </w:rPr>
            </w:pPr>
            <w:r w:rsidRPr="00233462">
              <w:rPr>
                <w:b w:val="0"/>
                <w:color w:val="000000"/>
                <w:sz w:val="18"/>
                <w:szCs w:val="18"/>
                <w:lang w:val="en-GB" w:eastAsia="en-US"/>
              </w:rPr>
              <w:t>A(Cuttings+Sawdust)</w:t>
            </w:r>
          </w:p>
        </w:tc>
        <w:tc>
          <w:tcPr>
            <w:tcW w:w="495" w:type="pct"/>
          </w:tcPr>
          <w:p w14:paraId="4AE8B2BA" w14:textId="77777777" w:rsidR="006B30C1" w:rsidRPr="00233462" w:rsidRDefault="006B30C1" w:rsidP="00EA7795">
            <w:pPr>
              <w:suppressAutoHyphens/>
              <w:spacing w:after="200"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0,00 a</w:t>
            </w:r>
          </w:p>
        </w:tc>
        <w:tc>
          <w:tcPr>
            <w:tcW w:w="670" w:type="pct"/>
          </w:tcPr>
          <w:p w14:paraId="5C1D5B77" w14:textId="77777777" w:rsidR="006B30C1" w:rsidRPr="00233462" w:rsidRDefault="006B30C1" w:rsidP="00EA7795">
            <w:pPr>
              <w:suppressAutoHyphens/>
              <w:spacing w:after="200"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0,00 a</w:t>
            </w:r>
          </w:p>
        </w:tc>
        <w:tc>
          <w:tcPr>
            <w:tcW w:w="523" w:type="pct"/>
          </w:tcPr>
          <w:p w14:paraId="6D4AD286" w14:textId="77777777" w:rsidR="006B30C1" w:rsidRPr="00233462" w:rsidRDefault="006B30C1" w:rsidP="00EA7795">
            <w:pPr>
              <w:suppressAutoHyphens/>
              <w:spacing w:after="200"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6,50 b</w:t>
            </w:r>
          </w:p>
        </w:tc>
        <w:tc>
          <w:tcPr>
            <w:tcW w:w="523" w:type="pct"/>
          </w:tcPr>
          <w:p w14:paraId="6A7B46E7" w14:textId="77777777" w:rsidR="006B30C1" w:rsidRPr="00233462" w:rsidRDefault="006B30C1" w:rsidP="00EA7795">
            <w:pPr>
              <w:suppressAutoHyphens/>
              <w:spacing w:after="200"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0,00 a</w:t>
            </w:r>
          </w:p>
        </w:tc>
        <w:tc>
          <w:tcPr>
            <w:tcW w:w="597" w:type="pct"/>
          </w:tcPr>
          <w:p w14:paraId="165BFF3C" w14:textId="77777777" w:rsidR="006B30C1" w:rsidRPr="00233462" w:rsidRDefault="006B30C1" w:rsidP="00EA7795">
            <w:pPr>
              <w:suppressAutoHyphens/>
              <w:spacing w:after="200"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0,00 a</w:t>
            </w:r>
          </w:p>
        </w:tc>
        <w:tc>
          <w:tcPr>
            <w:tcW w:w="597" w:type="pct"/>
          </w:tcPr>
          <w:p w14:paraId="625B692D" w14:textId="77777777" w:rsidR="006B30C1" w:rsidRPr="00233462" w:rsidRDefault="006B30C1" w:rsidP="00EA7795">
            <w:pPr>
              <w:suppressAutoHyphens/>
              <w:spacing w:after="200"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0,00 a</w:t>
            </w:r>
          </w:p>
        </w:tc>
        <w:tc>
          <w:tcPr>
            <w:tcW w:w="595" w:type="pct"/>
          </w:tcPr>
          <w:p w14:paraId="67DECF04" w14:textId="77777777" w:rsidR="006B30C1" w:rsidRPr="00233462" w:rsidRDefault="006B30C1" w:rsidP="00EA7795">
            <w:pPr>
              <w:suppressAutoHyphens/>
              <w:spacing w:after="200" w:line="276" w:lineRule="auto"/>
              <w:cnfStyle w:val="000000100000" w:firstRow="0" w:lastRow="0" w:firstColumn="0" w:lastColumn="0" w:oddVBand="0" w:evenVBand="0" w:oddHBand="1"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10,75 b</w:t>
            </w:r>
          </w:p>
        </w:tc>
      </w:tr>
      <w:tr w:rsidR="001D2EFE" w:rsidRPr="00233462" w14:paraId="7E3B6207" w14:textId="77777777" w:rsidTr="001D2EFE">
        <w:trPr>
          <w:trHeight w:val="364"/>
        </w:trPr>
        <w:tc>
          <w:tcPr>
            <w:cnfStyle w:val="001000000000" w:firstRow="0" w:lastRow="0" w:firstColumn="1" w:lastColumn="0" w:oddVBand="0" w:evenVBand="0" w:oddHBand="0" w:evenHBand="0" w:firstRowFirstColumn="0" w:firstRowLastColumn="0" w:lastRowFirstColumn="0" w:lastRowLastColumn="0"/>
            <w:tcW w:w="1001" w:type="pct"/>
          </w:tcPr>
          <w:p w14:paraId="71A9F989" w14:textId="77777777" w:rsidR="006B30C1" w:rsidRPr="00233462" w:rsidRDefault="006B30C1" w:rsidP="00EA7795">
            <w:pPr>
              <w:suppressAutoHyphens/>
              <w:rPr>
                <w:b w:val="0"/>
                <w:color w:val="000000"/>
                <w:sz w:val="18"/>
                <w:szCs w:val="18"/>
                <w:lang w:val="en-GB" w:eastAsia="en-US"/>
              </w:rPr>
            </w:pPr>
            <w:r w:rsidRPr="00233462">
              <w:rPr>
                <w:b w:val="0"/>
                <w:color w:val="000000"/>
                <w:sz w:val="18"/>
                <w:szCs w:val="18"/>
                <w:lang w:val="en-GB" w:eastAsia="en-US"/>
              </w:rPr>
              <w:t>B(Cuttings+Sawdust+Soil)</w:t>
            </w:r>
          </w:p>
        </w:tc>
        <w:tc>
          <w:tcPr>
            <w:tcW w:w="495" w:type="pct"/>
          </w:tcPr>
          <w:p w14:paraId="20D6FDCC" w14:textId="77777777" w:rsidR="006B30C1" w:rsidRPr="00233462" w:rsidRDefault="006B30C1" w:rsidP="00EA7795">
            <w:pPr>
              <w:suppressAutoHyphens/>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0,00 a</w:t>
            </w:r>
          </w:p>
        </w:tc>
        <w:tc>
          <w:tcPr>
            <w:tcW w:w="670" w:type="pct"/>
          </w:tcPr>
          <w:p w14:paraId="72D34CDA" w14:textId="77777777" w:rsidR="006B30C1" w:rsidRPr="00233462" w:rsidRDefault="006B30C1" w:rsidP="00EA7795">
            <w:pPr>
              <w:suppressAutoHyphens/>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0,00 a</w:t>
            </w:r>
          </w:p>
        </w:tc>
        <w:tc>
          <w:tcPr>
            <w:tcW w:w="523" w:type="pct"/>
          </w:tcPr>
          <w:p w14:paraId="2F384DEB" w14:textId="77777777" w:rsidR="006B30C1" w:rsidRPr="00233462" w:rsidRDefault="006B30C1" w:rsidP="00EA7795">
            <w:pPr>
              <w:suppressAutoHyphens/>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6,50 b</w:t>
            </w:r>
          </w:p>
        </w:tc>
        <w:tc>
          <w:tcPr>
            <w:tcW w:w="523" w:type="pct"/>
          </w:tcPr>
          <w:p w14:paraId="1E11FAA1" w14:textId="77777777" w:rsidR="006B30C1" w:rsidRPr="00233462" w:rsidRDefault="006B30C1" w:rsidP="00EA7795">
            <w:pPr>
              <w:suppressAutoHyphens/>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0,00 a</w:t>
            </w:r>
          </w:p>
        </w:tc>
        <w:tc>
          <w:tcPr>
            <w:tcW w:w="597" w:type="pct"/>
          </w:tcPr>
          <w:p w14:paraId="32C8A631" w14:textId="77777777" w:rsidR="006B30C1" w:rsidRPr="00233462" w:rsidRDefault="006B30C1" w:rsidP="00EA7795">
            <w:pPr>
              <w:suppressAutoHyphens/>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0,00 a</w:t>
            </w:r>
          </w:p>
        </w:tc>
        <w:tc>
          <w:tcPr>
            <w:tcW w:w="597" w:type="pct"/>
          </w:tcPr>
          <w:p w14:paraId="569C6603" w14:textId="77777777" w:rsidR="006B30C1" w:rsidRPr="00233462" w:rsidRDefault="006B30C1" w:rsidP="00EA7795">
            <w:pPr>
              <w:suppressAutoHyphens/>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0,00 a</w:t>
            </w:r>
          </w:p>
        </w:tc>
        <w:tc>
          <w:tcPr>
            <w:tcW w:w="595" w:type="pct"/>
          </w:tcPr>
          <w:p w14:paraId="4902747B" w14:textId="77777777" w:rsidR="006B30C1" w:rsidRPr="00233462" w:rsidRDefault="006B30C1" w:rsidP="00EA7795">
            <w:pPr>
              <w:suppressAutoHyphens/>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8,67 b</w:t>
            </w:r>
          </w:p>
        </w:tc>
      </w:tr>
      <w:tr w:rsidR="001D2EFE" w:rsidRPr="00233462" w14:paraId="77BF6964" w14:textId="77777777" w:rsidTr="001D2EFE">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1001" w:type="pct"/>
          </w:tcPr>
          <w:p w14:paraId="472CB475" w14:textId="77777777" w:rsidR="006B30C1" w:rsidRPr="00233462" w:rsidRDefault="006B30C1" w:rsidP="00EA7795">
            <w:pPr>
              <w:suppressAutoHyphens/>
              <w:rPr>
                <w:b w:val="0"/>
                <w:color w:val="000000"/>
                <w:sz w:val="18"/>
                <w:szCs w:val="18"/>
                <w:lang w:val="en-GB" w:eastAsia="en-US"/>
              </w:rPr>
            </w:pPr>
            <w:r w:rsidRPr="00233462">
              <w:rPr>
                <w:b w:val="0"/>
                <w:color w:val="000000"/>
                <w:sz w:val="18"/>
                <w:szCs w:val="18"/>
                <w:lang w:val="en-GB" w:eastAsia="en-US"/>
              </w:rPr>
              <w:t>B(Cuttings+Sawdust)</w:t>
            </w:r>
          </w:p>
        </w:tc>
        <w:tc>
          <w:tcPr>
            <w:tcW w:w="495" w:type="pct"/>
          </w:tcPr>
          <w:p w14:paraId="1913C78B" w14:textId="77777777" w:rsidR="006B30C1" w:rsidRPr="00233462" w:rsidRDefault="006B30C1" w:rsidP="00EA7795">
            <w:pPr>
              <w:suppressAutoHyphens/>
              <w:spacing w:after="200"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0,00 a</w:t>
            </w:r>
          </w:p>
        </w:tc>
        <w:tc>
          <w:tcPr>
            <w:tcW w:w="670" w:type="pct"/>
          </w:tcPr>
          <w:p w14:paraId="26DAED93" w14:textId="77777777" w:rsidR="006B30C1" w:rsidRPr="00233462" w:rsidRDefault="006B30C1" w:rsidP="00EA7795">
            <w:pPr>
              <w:suppressAutoHyphens/>
              <w:spacing w:after="200"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0,00 a</w:t>
            </w:r>
          </w:p>
        </w:tc>
        <w:tc>
          <w:tcPr>
            <w:tcW w:w="523" w:type="pct"/>
          </w:tcPr>
          <w:p w14:paraId="37D8DE38" w14:textId="77777777" w:rsidR="006B30C1" w:rsidRPr="00233462" w:rsidRDefault="006B30C1" w:rsidP="00EA7795">
            <w:pPr>
              <w:suppressAutoHyphens/>
              <w:spacing w:after="200"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3,75 a</w:t>
            </w:r>
          </w:p>
        </w:tc>
        <w:tc>
          <w:tcPr>
            <w:tcW w:w="523" w:type="pct"/>
          </w:tcPr>
          <w:p w14:paraId="15D1DE91" w14:textId="77777777" w:rsidR="006B30C1" w:rsidRPr="00233462" w:rsidRDefault="006B30C1" w:rsidP="00EA7795">
            <w:pPr>
              <w:suppressAutoHyphens/>
              <w:spacing w:after="200"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0,00 a</w:t>
            </w:r>
          </w:p>
        </w:tc>
        <w:tc>
          <w:tcPr>
            <w:tcW w:w="597" w:type="pct"/>
          </w:tcPr>
          <w:p w14:paraId="2F541A72" w14:textId="77777777" w:rsidR="006B30C1" w:rsidRPr="00233462" w:rsidRDefault="006B30C1" w:rsidP="00EA7795">
            <w:pPr>
              <w:suppressAutoHyphens/>
              <w:spacing w:after="200"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0,00 a</w:t>
            </w:r>
          </w:p>
        </w:tc>
        <w:tc>
          <w:tcPr>
            <w:tcW w:w="597" w:type="pct"/>
          </w:tcPr>
          <w:p w14:paraId="488762FA" w14:textId="77777777" w:rsidR="006B30C1" w:rsidRPr="00233462" w:rsidRDefault="006B30C1" w:rsidP="00EA7795">
            <w:pPr>
              <w:suppressAutoHyphens/>
              <w:spacing w:after="200"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0,00 a</w:t>
            </w:r>
          </w:p>
        </w:tc>
        <w:tc>
          <w:tcPr>
            <w:tcW w:w="595" w:type="pct"/>
          </w:tcPr>
          <w:p w14:paraId="0CECE950" w14:textId="77777777" w:rsidR="006B30C1" w:rsidRPr="00233462" w:rsidRDefault="006B30C1" w:rsidP="00EA7795">
            <w:pPr>
              <w:suppressAutoHyphens/>
              <w:spacing w:after="200" w:line="276" w:lineRule="auto"/>
              <w:cnfStyle w:val="000000100000" w:firstRow="0" w:lastRow="0" w:firstColumn="0" w:lastColumn="0" w:oddVBand="0" w:evenVBand="0" w:oddHBand="1"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18,13 c</w:t>
            </w:r>
          </w:p>
        </w:tc>
      </w:tr>
      <w:tr w:rsidR="001D2EFE" w:rsidRPr="00233462" w14:paraId="39595FF7" w14:textId="77777777" w:rsidTr="001D2EFE">
        <w:trPr>
          <w:trHeight w:val="177"/>
        </w:trPr>
        <w:tc>
          <w:tcPr>
            <w:cnfStyle w:val="001000000000" w:firstRow="0" w:lastRow="0" w:firstColumn="1" w:lastColumn="0" w:oddVBand="0" w:evenVBand="0" w:oddHBand="0" w:evenHBand="0" w:firstRowFirstColumn="0" w:firstRowLastColumn="0" w:lastRowFirstColumn="0" w:lastRowLastColumn="0"/>
            <w:tcW w:w="1001" w:type="pct"/>
          </w:tcPr>
          <w:p w14:paraId="053B1E8A" w14:textId="77777777" w:rsidR="006B30C1" w:rsidRPr="00233462" w:rsidRDefault="006B30C1" w:rsidP="00EA7795">
            <w:pPr>
              <w:suppressAutoHyphens/>
              <w:rPr>
                <w:b w:val="0"/>
                <w:color w:val="000000"/>
                <w:sz w:val="18"/>
                <w:szCs w:val="18"/>
                <w:lang w:val="en-GB" w:eastAsia="en-US"/>
              </w:rPr>
            </w:pPr>
            <w:r w:rsidRPr="00233462">
              <w:rPr>
                <w:b w:val="0"/>
                <w:color w:val="000000"/>
                <w:sz w:val="18"/>
                <w:szCs w:val="18"/>
                <w:lang w:val="en-GB" w:eastAsia="en-US"/>
              </w:rPr>
              <w:t>C(Cuttings+Sawdust+Soil)</w:t>
            </w:r>
          </w:p>
        </w:tc>
        <w:tc>
          <w:tcPr>
            <w:tcW w:w="495" w:type="pct"/>
          </w:tcPr>
          <w:p w14:paraId="480F3553" w14:textId="77777777" w:rsidR="006B30C1" w:rsidRPr="00233462" w:rsidRDefault="006B30C1" w:rsidP="00EA7795">
            <w:pPr>
              <w:suppressAutoHyphens/>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0,00 a</w:t>
            </w:r>
          </w:p>
        </w:tc>
        <w:tc>
          <w:tcPr>
            <w:tcW w:w="670" w:type="pct"/>
          </w:tcPr>
          <w:p w14:paraId="0A7D9CE7" w14:textId="77777777" w:rsidR="006B30C1" w:rsidRPr="00233462" w:rsidRDefault="006B30C1" w:rsidP="00EA7795">
            <w:pPr>
              <w:suppressAutoHyphens/>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0,00 a</w:t>
            </w:r>
          </w:p>
        </w:tc>
        <w:tc>
          <w:tcPr>
            <w:tcW w:w="523" w:type="pct"/>
          </w:tcPr>
          <w:p w14:paraId="0FF9050A" w14:textId="77777777" w:rsidR="006B30C1" w:rsidRPr="00233462" w:rsidRDefault="006B30C1" w:rsidP="00EA7795">
            <w:pPr>
              <w:suppressAutoHyphens/>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6,25 b</w:t>
            </w:r>
          </w:p>
        </w:tc>
        <w:tc>
          <w:tcPr>
            <w:tcW w:w="523" w:type="pct"/>
          </w:tcPr>
          <w:p w14:paraId="5F43102C" w14:textId="77777777" w:rsidR="006B30C1" w:rsidRPr="00233462" w:rsidRDefault="006B30C1" w:rsidP="00EA7795">
            <w:pPr>
              <w:suppressAutoHyphens/>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3,25 b</w:t>
            </w:r>
          </w:p>
        </w:tc>
        <w:tc>
          <w:tcPr>
            <w:tcW w:w="597" w:type="pct"/>
          </w:tcPr>
          <w:p w14:paraId="2AD04306" w14:textId="77777777" w:rsidR="006B30C1" w:rsidRPr="00233462" w:rsidRDefault="006B30C1" w:rsidP="00EA7795">
            <w:pPr>
              <w:suppressAutoHyphens/>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0,00 a</w:t>
            </w:r>
          </w:p>
        </w:tc>
        <w:tc>
          <w:tcPr>
            <w:tcW w:w="597" w:type="pct"/>
          </w:tcPr>
          <w:p w14:paraId="12A80B42" w14:textId="77777777" w:rsidR="006B30C1" w:rsidRPr="00233462" w:rsidRDefault="006B30C1" w:rsidP="00EA7795">
            <w:pPr>
              <w:suppressAutoHyphens/>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0,00 a</w:t>
            </w:r>
          </w:p>
        </w:tc>
        <w:tc>
          <w:tcPr>
            <w:tcW w:w="595" w:type="pct"/>
          </w:tcPr>
          <w:p w14:paraId="53C4A0CB" w14:textId="77777777" w:rsidR="006B30C1" w:rsidRPr="00233462" w:rsidRDefault="006B30C1" w:rsidP="00EA7795">
            <w:pPr>
              <w:suppressAutoHyphens/>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56,25 d</w:t>
            </w:r>
          </w:p>
        </w:tc>
      </w:tr>
      <w:tr w:rsidR="001D2EFE" w:rsidRPr="00233462" w14:paraId="35A31743" w14:textId="77777777" w:rsidTr="001D2EF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001" w:type="pct"/>
          </w:tcPr>
          <w:p w14:paraId="34C366DD" w14:textId="77777777" w:rsidR="006B30C1" w:rsidRPr="00233462" w:rsidRDefault="006B30C1" w:rsidP="00EA7795">
            <w:pPr>
              <w:suppressAutoHyphens/>
              <w:rPr>
                <w:b w:val="0"/>
                <w:color w:val="000000"/>
                <w:sz w:val="18"/>
                <w:szCs w:val="18"/>
                <w:lang w:val="en-GB" w:eastAsia="en-US"/>
              </w:rPr>
            </w:pPr>
            <w:r w:rsidRPr="00233462">
              <w:rPr>
                <w:b w:val="0"/>
                <w:color w:val="000000"/>
                <w:sz w:val="18"/>
                <w:szCs w:val="18"/>
                <w:lang w:val="en-GB" w:eastAsia="en-US"/>
              </w:rPr>
              <w:t>C(Cuttings+Sawdust)</w:t>
            </w:r>
          </w:p>
        </w:tc>
        <w:tc>
          <w:tcPr>
            <w:tcW w:w="495" w:type="pct"/>
          </w:tcPr>
          <w:p w14:paraId="474E07D9" w14:textId="77777777" w:rsidR="006B30C1" w:rsidRPr="00233462" w:rsidRDefault="006B30C1" w:rsidP="00EA7795">
            <w:pPr>
              <w:suppressAutoHyphens/>
              <w:spacing w:after="200" w:line="480" w:lineRule="auto"/>
              <w:jc w:val="center"/>
              <w:cnfStyle w:val="000000100000" w:firstRow="0" w:lastRow="0" w:firstColumn="0" w:lastColumn="0" w:oddVBand="0" w:evenVBand="0" w:oddHBand="1"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15,63 c</w:t>
            </w:r>
          </w:p>
        </w:tc>
        <w:tc>
          <w:tcPr>
            <w:tcW w:w="670" w:type="pct"/>
          </w:tcPr>
          <w:p w14:paraId="178FE853" w14:textId="77777777" w:rsidR="006B30C1" w:rsidRPr="00233462" w:rsidRDefault="006B30C1" w:rsidP="00EA7795">
            <w:pPr>
              <w:suppressAutoHyphens/>
              <w:spacing w:after="200" w:line="480" w:lineRule="auto"/>
              <w:jc w:val="center"/>
              <w:cnfStyle w:val="000000100000" w:firstRow="0" w:lastRow="0" w:firstColumn="0" w:lastColumn="0" w:oddVBand="0" w:evenVBand="0" w:oddHBand="1"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12,25 c</w:t>
            </w:r>
          </w:p>
        </w:tc>
        <w:tc>
          <w:tcPr>
            <w:tcW w:w="523" w:type="pct"/>
          </w:tcPr>
          <w:p w14:paraId="06D07F7D" w14:textId="77777777" w:rsidR="006B30C1" w:rsidRPr="00233462" w:rsidRDefault="006B30C1" w:rsidP="00EA7795">
            <w:pPr>
              <w:suppressAutoHyphens/>
              <w:spacing w:after="200" w:line="480" w:lineRule="auto"/>
              <w:jc w:val="center"/>
              <w:cnfStyle w:val="000000100000" w:firstRow="0" w:lastRow="0" w:firstColumn="0" w:lastColumn="0" w:oddVBand="0" w:evenVBand="0" w:oddHBand="1"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12,65 c </w:t>
            </w:r>
          </w:p>
        </w:tc>
        <w:tc>
          <w:tcPr>
            <w:tcW w:w="523" w:type="pct"/>
          </w:tcPr>
          <w:p w14:paraId="07B78EE4" w14:textId="77777777" w:rsidR="006B30C1" w:rsidRPr="00233462" w:rsidRDefault="006B30C1" w:rsidP="00EA7795">
            <w:pPr>
              <w:suppressAutoHyphens/>
              <w:spacing w:after="200" w:line="480" w:lineRule="auto"/>
              <w:jc w:val="center"/>
              <w:cnfStyle w:val="000000100000" w:firstRow="0" w:lastRow="0" w:firstColumn="0" w:lastColumn="0" w:oddVBand="0" w:evenVBand="0" w:oddHBand="1"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6,25 b</w:t>
            </w:r>
          </w:p>
        </w:tc>
        <w:tc>
          <w:tcPr>
            <w:tcW w:w="597" w:type="pct"/>
          </w:tcPr>
          <w:p w14:paraId="27F18850" w14:textId="77777777" w:rsidR="006B30C1" w:rsidRPr="00233462" w:rsidRDefault="006B30C1" w:rsidP="00EA7795">
            <w:pPr>
              <w:suppressAutoHyphens/>
              <w:spacing w:after="200" w:line="480" w:lineRule="auto"/>
              <w:jc w:val="center"/>
              <w:cnfStyle w:val="000000100000" w:firstRow="0" w:lastRow="0" w:firstColumn="0" w:lastColumn="0" w:oddVBand="0" w:evenVBand="0" w:oddHBand="1"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0,00 a</w:t>
            </w:r>
          </w:p>
        </w:tc>
        <w:tc>
          <w:tcPr>
            <w:tcW w:w="597" w:type="pct"/>
          </w:tcPr>
          <w:p w14:paraId="7807237A" w14:textId="77777777" w:rsidR="006B30C1" w:rsidRPr="00233462" w:rsidRDefault="006B30C1" w:rsidP="00EA7795">
            <w:pPr>
              <w:suppressAutoHyphens/>
              <w:spacing w:after="200" w:line="480" w:lineRule="auto"/>
              <w:jc w:val="center"/>
              <w:cnfStyle w:val="000000100000" w:firstRow="0" w:lastRow="0" w:firstColumn="0" w:lastColumn="0" w:oddVBand="0" w:evenVBand="0" w:oddHBand="1"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0,00 a</w:t>
            </w:r>
          </w:p>
        </w:tc>
        <w:tc>
          <w:tcPr>
            <w:tcW w:w="595" w:type="pct"/>
          </w:tcPr>
          <w:p w14:paraId="44E8E4EC" w14:textId="77777777" w:rsidR="006B30C1" w:rsidRPr="00233462" w:rsidRDefault="006B30C1" w:rsidP="00EA7795">
            <w:pPr>
              <w:suppressAutoHyphens/>
              <w:spacing w:after="200" w:line="276" w:lineRule="auto"/>
              <w:cnfStyle w:val="000000100000" w:firstRow="0" w:lastRow="0" w:firstColumn="0" w:lastColumn="0" w:oddVBand="0" w:evenVBand="0" w:oddHBand="1"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34,36 c</w:t>
            </w:r>
          </w:p>
        </w:tc>
      </w:tr>
      <w:tr w:rsidR="001D2EFE" w:rsidRPr="00233462" w14:paraId="701BDD9D" w14:textId="77777777" w:rsidTr="001D2EFE">
        <w:trPr>
          <w:trHeight w:val="189"/>
        </w:trPr>
        <w:tc>
          <w:tcPr>
            <w:cnfStyle w:val="001000000000" w:firstRow="0" w:lastRow="0" w:firstColumn="1" w:lastColumn="0" w:oddVBand="0" w:evenVBand="0" w:oddHBand="0" w:evenHBand="0" w:firstRowFirstColumn="0" w:firstRowLastColumn="0" w:lastRowFirstColumn="0" w:lastRowLastColumn="0"/>
            <w:tcW w:w="1001" w:type="pct"/>
          </w:tcPr>
          <w:p w14:paraId="4CC043E6" w14:textId="77777777" w:rsidR="006B30C1" w:rsidRPr="00233462" w:rsidRDefault="006B30C1" w:rsidP="00EA7795">
            <w:pPr>
              <w:suppressAutoHyphens/>
              <w:rPr>
                <w:b w:val="0"/>
                <w:color w:val="000000"/>
                <w:sz w:val="18"/>
                <w:szCs w:val="18"/>
                <w:lang w:val="en-GB" w:eastAsia="en-US"/>
              </w:rPr>
            </w:pPr>
            <w:r w:rsidRPr="00233462">
              <w:rPr>
                <w:b w:val="0"/>
                <w:color w:val="000000"/>
                <w:sz w:val="18"/>
                <w:szCs w:val="18"/>
                <w:lang w:val="en-GB" w:eastAsia="en-US"/>
              </w:rPr>
              <w:t>D(Cuttings+Sawdust+Soil)</w:t>
            </w:r>
          </w:p>
        </w:tc>
        <w:tc>
          <w:tcPr>
            <w:tcW w:w="495" w:type="pct"/>
          </w:tcPr>
          <w:p w14:paraId="06F9B13D" w14:textId="77777777" w:rsidR="006B30C1" w:rsidRPr="00233462" w:rsidRDefault="006B30C1" w:rsidP="00EA7795">
            <w:pPr>
              <w:suppressAutoHyphens/>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3,25 a</w:t>
            </w:r>
          </w:p>
        </w:tc>
        <w:tc>
          <w:tcPr>
            <w:tcW w:w="670" w:type="pct"/>
          </w:tcPr>
          <w:p w14:paraId="34112D1B" w14:textId="77777777" w:rsidR="006B30C1" w:rsidRPr="00233462" w:rsidRDefault="006B30C1" w:rsidP="00EA7795">
            <w:pPr>
              <w:suppressAutoHyphens/>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12,50 b</w:t>
            </w:r>
          </w:p>
        </w:tc>
        <w:tc>
          <w:tcPr>
            <w:tcW w:w="523" w:type="pct"/>
          </w:tcPr>
          <w:p w14:paraId="11FC2447" w14:textId="77777777" w:rsidR="006B30C1" w:rsidRPr="00233462" w:rsidRDefault="006B30C1" w:rsidP="00EA7795">
            <w:pPr>
              <w:suppressAutoHyphens/>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31,25 c</w:t>
            </w:r>
          </w:p>
        </w:tc>
        <w:tc>
          <w:tcPr>
            <w:tcW w:w="523" w:type="pct"/>
          </w:tcPr>
          <w:p w14:paraId="11086581" w14:textId="77777777" w:rsidR="006B30C1" w:rsidRPr="00233462" w:rsidRDefault="006B30C1" w:rsidP="00EA7795">
            <w:pPr>
              <w:suppressAutoHyphens/>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6,17 ab</w:t>
            </w:r>
          </w:p>
        </w:tc>
        <w:tc>
          <w:tcPr>
            <w:tcW w:w="597" w:type="pct"/>
          </w:tcPr>
          <w:p w14:paraId="0A2AB1B3" w14:textId="77777777" w:rsidR="006B30C1" w:rsidRPr="00233462" w:rsidRDefault="006B30C1" w:rsidP="00EA7795">
            <w:pPr>
              <w:suppressAutoHyphens/>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0,00 a</w:t>
            </w:r>
          </w:p>
        </w:tc>
        <w:tc>
          <w:tcPr>
            <w:tcW w:w="597" w:type="pct"/>
          </w:tcPr>
          <w:p w14:paraId="22EFDD78" w14:textId="77777777" w:rsidR="006B30C1" w:rsidRPr="00233462" w:rsidRDefault="006B30C1" w:rsidP="00EA7795">
            <w:pPr>
              <w:suppressAutoHyphens/>
              <w:spacing w:after="200"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0,00 a</w:t>
            </w:r>
          </w:p>
        </w:tc>
        <w:tc>
          <w:tcPr>
            <w:tcW w:w="595" w:type="pct"/>
          </w:tcPr>
          <w:p w14:paraId="67101C55" w14:textId="77777777" w:rsidR="006B30C1" w:rsidRPr="00233462" w:rsidRDefault="006B30C1" w:rsidP="00EA7795">
            <w:pPr>
              <w:suppressAutoHyphens/>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31,25 c</w:t>
            </w:r>
          </w:p>
        </w:tc>
      </w:tr>
      <w:tr w:rsidR="001D2EFE" w:rsidRPr="00233462" w14:paraId="59DE2479" w14:textId="77777777" w:rsidTr="001D2EFE">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1001" w:type="pct"/>
          </w:tcPr>
          <w:p w14:paraId="7811D016" w14:textId="77777777" w:rsidR="006B30C1" w:rsidRPr="00233462" w:rsidRDefault="006B30C1" w:rsidP="00EA7795">
            <w:pPr>
              <w:suppressAutoHyphens/>
              <w:rPr>
                <w:b w:val="0"/>
                <w:color w:val="000000"/>
                <w:sz w:val="18"/>
                <w:szCs w:val="18"/>
                <w:lang w:val="en-GB" w:eastAsia="en-US"/>
              </w:rPr>
            </w:pPr>
            <w:r w:rsidRPr="00233462">
              <w:rPr>
                <w:b w:val="0"/>
                <w:color w:val="000000"/>
                <w:sz w:val="18"/>
                <w:szCs w:val="18"/>
                <w:lang w:val="en-GB" w:eastAsia="en-US"/>
              </w:rPr>
              <w:t>D(Cuttings+Sawdust)</w:t>
            </w:r>
          </w:p>
        </w:tc>
        <w:tc>
          <w:tcPr>
            <w:tcW w:w="495" w:type="pct"/>
          </w:tcPr>
          <w:p w14:paraId="5E68C62A" w14:textId="77777777" w:rsidR="006B30C1" w:rsidRPr="00233462" w:rsidRDefault="006B30C1" w:rsidP="00EA7795">
            <w:pPr>
              <w:suppressAutoHyphens/>
              <w:spacing w:after="200"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3,13 ab</w:t>
            </w:r>
          </w:p>
        </w:tc>
        <w:tc>
          <w:tcPr>
            <w:tcW w:w="670" w:type="pct"/>
          </w:tcPr>
          <w:p w14:paraId="748721EE" w14:textId="77777777" w:rsidR="006B30C1" w:rsidRPr="00233462" w:rsidRDefault="006B30C1" w:rsidP="00EA7795">
            <w:pPr>
              <w:suppressAutoHyphens/>
              <w:spacing w:after="200"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8,49 c</w:t>
            </w:r>
          </w:p>
        </w:tc>
        <w:tc>
          <w:tcPr>
            <w:tcW w:w="523" w:type="pct"/>
          </w:tcPr>
          <w:p w14:paraId="7F2D9E25" w14:textId="77777777" w:rsidR="006B30C1" w:rsidRPr="00233462" w:rsidRDefault="006B30C1" w:rsidP="00EA7795">
            <w:pPr>
              <w:suppressAutoHyphens/>
              <w:spacing w:after="200"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18,68 d</w:t>
            </w:r>
          </w:p>
        </w:tc>
        <w:tc>
          <w:tcPr>
            <w:tcW w:w="523" w:type="pct"/>
          </w:tcPr>
          <w:p w14:paraId="1418E6DB" w14:textId="77777777" w:rsidR="006B30C1" w:rsidRPr="00233462" w:rsidRDefault="006B30C1" w:rsidP="00EA7795">
            <w:pPr>
              <w:suppressAutoHyphens/>
              <w:spacing w:after="200"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6,25 bc</w:t>
            </w:r>
          </w:p>
        </w:tc>
        <w:tc>
          <w:tcPr>
            <w:tcW w:w="597" w:type="pct"/>
          </w:tcPr>
          <w:p w14:paraId="1A5D2B50" w14:textId="77777777" w:rsidR="006B30C1" w:rsidRPr="00233462" w:rsidRDefault="006B30C1" w:rsidP="00EA7795">
            <w:pPr>
              <w:suppressAutoHyphens/>
              <w:spacing w:after="200"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0,00 a</w:t>
            </w:r>
          </w:p>
        </w:tc>
        <w:tc>
          <w:tcPr>
            <w:tcW w:w="597" w:type="pct"/>
          </w:tcPr>
          <w:p w14:paraId="0353680B" w14:textId="77777777" w:rsidR="006B30C1" w:rsidRPr="00233462" w:rsidRDefault="006B30C1" w:rsidP="00EA7795">
            <w:pPr>
              <w:suppressAutoHyphens/>
              <w:spacing w:after="200"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0,00 a</w:t>
            </w:r>
          </w:p>
        </w:tc>
        <w:tc>
          <w:tcPr>
            <w:tcW w:w="595" w:type="pct"/>
          </w:tcPr>
          <w:p w14:paraId="31CB2884" w14:textId="77777777" w:rsidR="006B30C1" w:rsidRPr="00233462" w:rsidRDefault="006B30C1" w:rsidP="00EA7795">
            <w:pPr>
              <w:suppressAutoHyphens/>
              <w:spacing w:after="200" w:line="276" w:lineRule="auto"/>
              <w:cnfStyle w:val="000000100000" w:firstRow="0" w:lastRow="0" w:firstColumn="0" w:lastColumn="0" w:oddVBand="0" w:evenVBand="0" w:oddHBand="1" w:evenHBand="0" w:firstRowFirstColumn="0" w:firstRowLastColumn="0" w:lastRowFirstColumn="0" w:lastRowLastColumn="0"/>
              <w:rPr>
                <w:rFonts w:eastAsia="Calibri"/>
                <w:sz w:val="18"/>
                <w:szCs w:val="18"/>
                <w:lang w:val="en-GB" w:eastAsia="en-US"/>
              </w:rPr>
            </w:pPr>
            <w:r w:rsidRPr="00233462">
              <w:rPr>
                <w:rFonts w:eastAsia="Calibri"/>
                <w:color w:val="000000"/>
                <w:sz w:val="18"/>
                <w:szCs w:val="18"/>
                <w:lang w:val="en-GB" w:eastAsia="en-US"/>
              </w:rPr>
              <w:t>28,79 d</w:t>
            </w:r>
          </w:p>
        </w:tc>
      </w:tr>
    </w:tbl>
    <w:p w14:paraId="28832647" w14:textId="7D7E5651" w:rsidR="00C17FDF" w:rsidRDefault="00C17FDF" w:rsidP="00C17FDF">
      <w:pPr>
        <w:spacing w:line="360" w:lineRule="auto"/>
        <w:jc w:val="both"/>
        <w:rPr>
          <w:sz w:val="20"/>
          <w:lang w:val="en-GB"/>
        </w:rPr>
      </w:pPr>
      <w:r w:rsidRPr="00BD4C8B">
        <w:rPr>
          <w:sz w:val="20"/>
          <w:lang w:val="en-GB"/>
        </w:rPr>
        <w:t>*Means with the same letter are not significantly different (P≤0.05) according to Duncan multiple compaires test. They are the average of twenty cuttings per experiment</w:t>
      </w:r>
      <w:r w:rsidR="006B30C1">
        <w:rPr>
          <w:sz w:val="20"/>
          <w:lang w:val="en-GB"/>
        </w:rPr>
        <w:t>.</w:t>
      </w:r>
    </w:p>
    <w:p w14:paraId="3A2A229B" w14:textId="77777777" w:rsidR="006B30C1" w:rsidRPr="00BD4C8B" w:rsidRDefault="006B30C1" w:rsidP="00C17FDF">
      <w:pPr>
        <w:spacing w:line="360" w:lineRule="auto"/>
        <w:jc w:val="both"/>
        <w:rPr>
          <w:sz w:val="20"/>
          <w:lang w:val="en-GB"/>
        </w:rPr>
      </w:pPr>
    </w:p>
    <w:p w14:paraId="4A6033F4" w14:textId="77777777" w:rsidR="00C17FDF" w:rsidRPr="00C17FDF" w:rsidRDefault="00C17FDF" w:rsidP="00C17FDF">
      <w:pPr>
        <w:spacing w:line="360" w:lineRule="auto"/>
        <w:jc w:val="both"/>
        <w:rPr>
          <w:lang w:val="en-GB"/>
        </w:rPr>
      </w:pPr>
      <w:r w:rsidRPr="00C17FDF">
        <w:rPr>
          <w:lang w:val="en-GB"/>
        </w:rPr>
        <w:t>The impact of fungicide and biological preparate applications on sapling quality and yield was statistically significant at 1% and 5% confidence levels (Table 5). B (cutting + sawdust + soil) application was statistically significant in total sapling yield (78.75%) and first size grafted sapling yield (61.25%), and it was the most effective treatment. It was determined that the fungicides that included fluopyram + tebuconazole and cyprodinil + fludioxonil improved sapling yield and quality. It was determined that C (cutting + sawdust) application promoted callus development and shoot length by 3.90% and 28.70%, respectively. It was determined that bio-fungicide application during the sapling cultivation stage were effective on callus and shoot development.</w:t>
      </w:r>
    </w:p>
    <w:p w14:paraId="67B60063" w14:textId="77777777" w:rsidR="00C17FDF" w:rsidRDefault="00C17FDF" w:rsidP="00C17FDF">
      <w:pPr>
        <w:spacing w:line="360" w:lineRule="auto"/>
        <w:jc w:val="both"/>
        <w:rPr>
          <w:lang w:val="en-GB"/>
        </w:rPr>
      </w:pPr>
      <w:r w:rsidRPr="00E02A3A">
        <w:rPr>
          <w:b/>
          <w:lang w:val="en-GB"/>
        </w:rPr>
        <w:t>Table 5.</w:t>
      </w:r>
      <w:r w:rsidRPr="00C17FDF">
        <w:rPr>
          <w:lang w:val="en-GB"/>
        </w:rPr>
        <w:t xml:space="preserve"> The impact of applications on total sapling yield, 1st size grafted vine sapling yield, callus development and shoot length. </w:t>
      </w:r>
    </w:p>
    <w:tbl>
      <w:tblPr>
        <w:tblW w:w="8080" w:type="dxa"/>
        <w:tblInd w:w="70" w:type="dxa"/>
        <w:tblCellMar>
          <w:left w:w="70" w:type="dxa"/>
          <w:right w:w="70" w:type="dxa"/>
        </w:tblCellMar>
        <w:tblLook w:val="04A0" w:firstRow="1" w:lastRow="0" w:firstColumn="1" w:lastColumn="0" w:noHBand="0" w:noVBand="1"/>
      </w:tblPr>
      <w:tblGrid>
        <w:gridCol w:w="2552"/>
        <w:gridCol w:w="1417"/>
        <w:gridCol w:w="1276"/>
        <w:gridCol w:w="1418"/>
        <w:gridCol w:w="1417"/>
      </w:tblGrid>
      <w:tr w:rsidR="00E02A3A" w:rsidRPr="00E02A3A" w14:paraId="4A64F044" w14:textId="77777777" w:rsidTr="00EA7795">
        <w:trPr>
          <w:trHeight w:val="781"/>
        </w:trPr>
        <w:tc>
          <w:tcPr>
            <w:tcW w:w="2552" w:type="dxa"/>
            <w:tcBorders>
              <w:top w:val="single" w:sz="8" w:space="0" w:color="7F7F7F"/>
              <w:left w:val="nil"/>
              <w:bottom w:val="single" w:sz="8" w:space="0" w:color="7F7F7F"/>
              <w:right w:val="nil"/>
            </w:tcBorders>
            <w:shd w:val="clear" w:color="auto" w:fill="auto"/>
            <w:vAlign w:val="center"/>
            <w:hideMark/>
          </w:tcPr>
          <w:p w14:paraId="499E2AB0" w14:textId="77777777" w:rsidR="00E02A3A" w:rsidRPr="00E02A3A" w:rsidRDefault="00E02A3A" w:rsidP="00E02A3A">
            <w:pPr>
              <w:suppressAutoHyphens/>
              <w:overflowPunct/>
              <w:autoSpaceDE/>
              <w:autoSpaceDN/>
              <w:adjustRightInd/>
              <w:spacing w:before="120"/>
              <w:jc w:val="both"/>
              <w:textAlignment w:val="auto"/>
              <w:rPr>
                <w:b/>
                <w:bCs/>
                <w:color w:val="000000"/>
                <w:sz w:val="18"/>
                <w:szCs w:val="18"/>
                <w:lang w:val="en-GB" w:eastAsia="tr-TR"/>
              </w:rPr>
            </w:pPr>
            <w:r w:rsidRPr="00E02A3A">
              <w:rPr>
                <w:b/>
                <w:bCs/>
                <w:color w:val="000000"/>
                <w:sz w:val="18"/>
                <w:szCs w:val="18"/>
                <w:lang w:val="en-GB" w:eastAsia="tr-TR"/>
              </w:rPr>
              <w:t>Treatments</w:t>
            </w:r>
          </w:p>
        </w:tc>
        <w:tc>
          <w:tcPr>
            <w:tcW w:w="1417" w:type="dxa"/>
            <w:tcBorders>
              <w:top w:val="single" w:sz="8" w:space="0" w:color="7F7F7F"/>
              <w:left w:val="nil"/>
              <w:bottom w:val="single" w:sz="8" w:space="0" w:color="7F7F7F"/>
              <w:right w:val="nil"/>
            </w:tcBorders>
            <w:shd w:val="clear" w:color="auto" w:fill="auto"/>
            <w:hideMark/>
          </w:tcPr>
          <w:p w14:paraId="53D8904E" w14:textId="77777777" w:rsidR="00E02A3A" w:rsidRPr="00E02A3A" w:rsidRDefault="00E02A3A" w:rsidP="00E02A3A">
            <w:pPr>
              <w:suppressAutoHyphens/>
              <w:overflowPunct/>
              <w:autoSpaceDE/>
              <w:autoSpaceDN/>
              <w:adjustRightInd/>
              <w:spacing w:before="120"/>
              <w:jc w:val="center"/>
              <w:textAlignment w:val="auto"/>
              <w:rPr>
                <w:b/>
                <w:bCs/>
                <w:color w:val="000000"/>
                <w:sz w:val="18"/>
                <w:szCs w:val="18"/>
                <w:lang w:val="en-GB" w:eastAsia="tr-TR"/>
              </w:rPr>
            </w:pPr>
            <w:r w:rsidRPr="00E02A3A">
              <w:rPr>
                <w:b/>
                <w:bCs/>
                <w:color w:val="000000"/>
                <w:sz w:val="18"/>
                <w:szCs w:val="18"/>
                <w:lang w:val="en-GB" w:eastAsia="tr-TR"/>
              </w:rPr>
              <w:t>Total Sapling Yield (%)</w:t>
            </w:r>
          </w:p>
        </w:tc>
        <w:tc>
          <w:tcPr>
            <w:tcW w:w="1276" w:type="dxa"/>
            <w:tcBorders>
              <w:top w:val="single" w:sz="8" w:space="0" w:color="7F7F7F"/>
              <w:left w:val="nil"/>
              <w:bottom w:val="single" w:sz="8" w:space="0" w:color="7F7F7F"/>
              <w:right w:val="nil"/>
            </w:tcBorders>
            <w:shd w:val="clear" w:color="auto" w:fill="auto"/>
            <w:hideMark/>
          </w:tcPr>
          <w:p w14:paraId="3624EF88" w14:textId="77777777" w:rsidR="00E02A3A" w:rsidRPr="00E02A3A" w:rsidRDefault="00E02A3A" w:rsidP="00E02A3A">
            <w:pPr>
              <w:suppressAutoHyphens/>
              <w:overflowPunct/>
              <w:autoSpaceDE/>
              <w:autoSpaceDN/>
              <w:adjustRightInd/>
              <w:spacing w:before="120"/>
              <w:jc w:val="center"/>
              <w:textAlignment w:val="auto"/>
              <w:rPr>
                <w:b/>
                <w:bCs/>
                <w:color w:val="000000"/>
                <w:sz w:val="18"/>
                <w:szCs w:val="18"/>
                <w:lang w:val="en-GB" w:eastAsia="tr-TR"/>
              </w:rPr>
            </w:pPr>
            <w:r w:rsidRPr="00E02A3A">
              <w:rPr>
                <w:b/>
                <w:bCs/>
                <w:color w:val="000000"/>
                <w:sz w:val="18"/>
                <w:szCs w:val="18"/>
                <w:lang w:val="en-GB" w:eastAsia="tr-TR"/>
              </w:rPr>
              <w:t>I. Length Grafted Vine Sapling Yield (%)</w:t>
            </w:r>
          </w:p>
        </w:tc>
        <w:tc>
          <w:tcPr>
            <w:tcW w:w="1418" w:type="dxa"/>
            <w:tcBorders>
              <w:top w:val="single" w:sz="8" w:space="0" w:color="7F7F7F"/>
              <w:left w:val="nil"/>
              <w:bottom w:val="single" w:sz="8" w:space="0" w:color="7F7F7F"/>
              <w:right w:val="nil"/>
            </w:tcBorders>
            <w:shd w:val="clear" w:color="auto" w:fill="auto"/>
            <w:hideMark/>
          </w:tcPr>
          <w:p w14:paraId="4205FD29" w14:textId="77777777" w:rsidR="00E02A3A" w:rsidRPr="00E02A3A" w:rsidRDefault="00E02A3A" w:rsidP="00E02A3A">
            <w:pPr>
              <w:suppressAutoHyphens/>
              <w:overflowPunct/>
              <w:autoSpaceDE/>
              <w:autoSpaceDN/>
              <w:adjustRightInd/>
              <w:spacing w:before="120"/>
              <w:jc w:val="center"/>
              <w:textAlignment w:val="auto"/>
              <w:rPr>
                <w:b/>
                <w:bCs/>
                <w:color w:val="000000"/>
                <w:sz w:val="18"/>
                <w:szCs w:val="18"/>
                <w:lang w:val="en-GB" w:eastAsia="tr-TR"/>
              </w:rPr>
            </w:pPr>
            <w:r w:rsidRPr="00E02A3A">
              <w:rPr>
                <w:b/>
                <w:bCs/>
                <w:color w:val="000000"/>
                <w:sz w:val="18"/>
                <w:szCs w:val="18"/>
                <w:lang w:val="en-GB" w:eastAsia="tr-TR"/>
              </w:rPr>
              <w:t>Callus development level (scale 0-4)</w:t>
            </w:r>
          </w:p>
        </w:tc>
        <w:tc>
          <w:tcPr>
            <w:tcW w:w="1417" w:type="dxa"/>
            <w:tcBorders>
              <w:top w:val="single" w:sz="8" w:space="0" w:color="7F7F7F"/>
              <w:left w:val="nil"/>
              <w:bottom w:val="single" w:sz="8" w:space="0" w:color="7F7F7F"/>
              <w:right w:val="nil"/>
            </w:tcBorders>
            <w:shd w:val="clear" w:color="auto" w:fill="auto"/>
            <w:hideMark/>
          </w:tcPr>
          <w:p w14:paraId="7ACDF60B" w14:textId="77777777" w:rsidR="00E02A3A" w:rsidRPr="00E02A3A" w:rsidRDefault="00E02A3A" w:rsidP="00E02A3A">
            <w:pPr>
              <w:suppressAutoHyphens/>
              <w:overflowPunct/>
              <w:autoSpaceDE/>
              <w:autoSpaceDN/>
              <w:adjustRightInd/>
              <w:spacing w:before="120"/>
              <w:jc w:val="center"/>
              <w:textAlignment w:val="auto"/>
              <w:rPr>
                <w:b/>
                <w:bCs/>
                <w:color w:val="000000"/>
                <w:sz w:val="18"/>
                <w:szCs w:val="18"/>
                <w:lang w:val="en-GB" w:eastAsia="tr-TR"/>
              </w:rPr>
            </w:pPr>
            <w:r w:rsidRPr="00E02A3A">
              <w:rPr>
                <w:b/>
                <w:bCs/>
                <w:color w:val="000000"/>
                <w:sz w:val="18"/>
                <w:szCs w:val="18"/>
                <w:lang w:val="en-GB" w:eastAsia="tr-TR"/>
              </w:rPr>
              <w:t>Shoot length (cm)</w:t>
            </w:r>
          </w:p>
        </w:tc>
      </w:tr>
      <w:tr w:rsidR="00E02A3A" w:rsidRPr="00E02A3A" w14:paraId="3A6F7B0C" w14:textId="77777777" w:rsidTr="00EA7795">
        <w:trPr>
          <w:trHeight w:val="512"/>
        </w:trPr>
        <w:tc>
          <w:tcPr>
            <w:tcW w:w="2552" w:type="dxa"/>
            <w:tcBorders>
              <w:top w:val="nil"/>
              <w:left w:val="nil"/>
              <w:bottom w:val="single" w:sz="8" w:space="0" w:color="7F7F7F"/>
              <w:right w:val="nil"/>
            </w:tcBorders>
            <w:shd w:val="clear" w:color="auto" w:fill="auto"/>
            <w:vAlign w:val="center"/>
            <w:hideMark/>
          </w:tcPr>
          <w:p w14:paraId="1D624CAD"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A(Cuttings+Sawdust+Soil)</w:t>
            </w:r>
          </w:p>
        </w:tc>
        <w:tc>
          <w:tcPr>
            <w:tcW w:w="1417" w:type="dxa"/>
            <w:tcBorders>
              <w:top w:val="nil"/>
              <w:left w:val="nil"/>
              <w:bottom w:val="single" w:sz="8" w:space="0" w:color="7F7F7F"/>
              <w:right w:val="nil"/>
            </w:tcBorders>
            <w:shd w:val="clear" w:color="auto" w:fill="auto"/>
            <w:hideMark/>
          </w:tcPr>
          <w:p w14:paraId="5F2458DF"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69.38 ab**</w:t>
            </w:r>
          </w:p>
        </w:tc>
        <w:tc>
          <w:tcPr>
            <w:tcW w:w="1276" w:type="dxa"/>
            <w:tcBorders>
              <w:top w:val="nil"/>
              <w:left w:val="nil"/>
              <w:bottom w:val="single" w:sz="8" w:space="0" w:color="7F7F7F"/>
              <w:right w:val="nil"/>
            </w:tcBorders>
            <w:shd w:val="clear" w:color="auto" w:fill="auto"/>
            <w:hideMark/>
          </w:tcPr>
          <w:p w14:paraId="10723C8E"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40.625 ab*</w:t>
            </w:r>
          </w:p>
        </w:tc>
        <w:tc>
          <w:tcPr>
            <w:tcW w:w="1418" w:type="dxa"/>
            <w:tcBorders>
              <w:top w:val="nil"/>
              <w:left w:val="nil"/>
              <w:bottom w:val="single" w:sz="8" w:space="0" w:color="7F7F7F"/>
              <w:right w:val="nil"/>
            </w:tcBorders>
            <w:shd w:val="clear" w:color="auto" w:fill="auto"/>
            <w:hideMark/>
          </w:tcPr>
          <w:p w14:paraId="0989C963"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3.75 ab**</w:t>
            </w:r>
          </w:p>
        </w:tc>
        <w:tc>
          <w:tcPr>
            <w:tcW w:w="1417" w:type="dxa"/>
            <w:tcBorders>
              <w:top w:val="nil"/>
              <w:left w:val="nil"/>
              <w:bottom w:val="single" w:sz="8" w:space="0" w:color="7F7F7F"/>
              <w:right w:val="nil"/>
            </w:tcBorders>
            <w:shd w:val="clear" w:color="auto" w:fill="auto"/>
            <w:hideMark/>
          </w:tcPr>
          <w:p w14:paraId="05FF9E7B"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23.60 ab*</w:t>
            </w:r>
          </w:p>
        </w:tc>
      </w:tr>
      <w:tr w:rsidR="00E02A3A" w:rsidRPr="00E02A3A" w14:paraId="457654B9" w14:textId="77777777" w:rsidTr="00EA7795">
        <w:trPr>
          <w:trHeight w:val="445"/>
        </w:trPr>
        <w:tc>
          <w:tcPr>
            <w:tcW w:w="2552" w:type="dxa"/>
            <w:tcBorders>
              <w:top w:val="nil"/>
              <w:left w:val="nil"/>
              <w:bottom w:val="nil"/>
              <w:right w:val="nil"/>
            </w:tcBorders>
            <w:shd w:val="clear" w:color="auto" w:fill="auto"/>
            <w:vAlign w:val="center"/>
            <w:hideMark/>
          </w:tcPr>
          <w:p w14:paraId="61D05532"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B (Cuttings+Sawdust+Soil)</w:t>
            </w:r>
          </w:p>
        </w:tc>
        <w:tc>
          <w:tcPr>
            <w:tcW w:w="1417" w:type="dxa"/>
            <w:tcBorders>
              <w:top w:val="nil"/>
              <w:left w:val="nil"/>
              <w:bottom w:val="single" w:sz="8" w:space="0" w:color="7F7F7F"/>
              <w:right w:val="nil"/>
            </w:tcBorders>
            <w:shd w:val="clear" w:color="auto" w:fill="auto"/>
            <w:hideMark/>
          </w:tcPr>
          <w:p w14:paraId="10615734"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78.75 a</w:t>
            </w:r>
          </w:p>
        </w:tc>
        <w:tc>
          <w:tcPr>
            <w:tcW w:w="1276" w:type="dxa"/>
            <w:tcBorders>
              <w:top w:val="nil"/>
              <w:left w:val="nil"/>
              <w:bottom w:val="single" w:sz="8" w:space="0" w:color="7F7F7F"/>
              <w:right w:val="nil"/>
            </w:tcBorders>
            <w:shd w:val="clear" w:color="auto" w:fill="auto"/>
            <w:hideMark/>
          </w:tcPr>
          <w:p w14:paraId="015B18EC"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61.25 a</w:t>
            </w:r>
          </w:p>
        </w:tc>
        <w:tc>
          <w:tcPr>
            <w:tcW w:w="1418" w:type="dxa"/>
            <w:tcBorders>
              <w:top w:val="nil"/>
              <w:left w:val="nil"/>
              <w:bottom w:val="single" w:sz="8" w:space="0" w:color="7F7F7F"/>
              <w:right w:val="nil"/>
            </w:tcBorders>
            <w:shd w:val="clear" w:color="auto" w:fill="auto"/>
            <w:hideMark/>
          </w:tcPr>
          <w:p w14:paraId="1ED7BD99"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3.80 b</w:t>
            </w:r>
          </w:p>
        </w:tc>
        <w:tc>
          <w:tcPr>
            <w:tcW w:w="1417" w:type="dxa"/>
            <w:tcBorders>
              <w:top w:val="nil"/>
              <w:left w:val="nil"/>
              <w:bottom w:val="single" w:sz="8" w:space="0" w:color="7F7F7F"/>
              <w:right w:val="nil"/>
            </w:tcBorders>
            <w:shd w:val="clear" w:color="auto" w:fill="auto"/>
            <w:hideMark/>
          </w:tcPr>
          <w:p w14:paraId="55916256"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22.90 ab</w:t>
            </w:r>
          </w:p>
        </w:tc>
      </w:tr>
      <w:tr w:rsidR="00E02A3A" w:rsidRPr="00E02A3A" w14:paraId="4BCAD2FA" w14:textId="77777777" w:rsidTr="00EA7795">
        <w:trPr>
          <w:trHeight w:val="367"/>
        </w:trPr>
        <w:tc>
          <w:tcPr>
            <w:tcW w:w="2552" w:type="dxa"/>
            <w:tcBorders>
              <w:top w:val="single" w:sz="8" w:space="0" w:color="7F7F7F"/>
              <w:left w:val="nil"/>
              <w:bottom w:val="single" w:sz="8" w:space="0" w:color="7F7F7F"/>
              <w:right w:val="nil"/>
            </w:tcBorders>
            <w:shd w:val="clear" w:color="auto" w:fill="auto"/>
            <w:vAlign w:val="center"/>
            <w:hideMark/>
          </w:tcPr>
          <w:p w14:paraId="679D0656"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C (Cuttings+Sawdust+Soil)</w:t>
            </w:r>
          </w:p>
        </w:tc>
        <w:tc>
          <w:tcPr>
            <w:tcW w:w="1417" w:type="dxa"/>
            <w:tcBorders>
              <w:top w:val="nil"/>
              <w:left w:val="nil"/>
              <w:bottom w:val="single" w:sz="8" w:space="0" w:color="7F7F7F"/>
              <w:right w:val="nil"/>
            </w:tcBorders>
            <w:shd w:val="clear" w:color="auto" w:fill="auto"/>
            <w:hideMark/>
          </w:tcPr>
          <w:p w14:paraId="0E08F5E0"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64.38 abc</w:t>
            </w:r>
          </w:p>
        </w:tc>
        <w:tc>
          <w:tcPr>
            <w:tcW w:w="1276" w:type="dxa"/>
            <w:tcBorders>
              <w:top w:val="nil"/>
              <w:left w:val="nil"/>
              <w:bottom w:val="single" w:sz="8" w:space="0" w:color="7F7F7F"/>
              <w:right w:val="nil"/>
            </w:tcBorders>
            <w:shd w:val="clear" w:color="auto" w:fill="auto"/>
            <w:hideMark/>
          </w:tcPr>
          <w:p w14:paraId="08CD43AE"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44.25 ab</w:t>
            </w:r>
          </w:p>
        </w:tc>
        <w:tc>
          <w:tcPr>
            <w:tcW w:w="1418" w:type="dxa"/>
            <w:tcBorders>
              <w:top w:val="nil"/>
              <w:left w:val="nil"/>
              <w:bottom w:val="single" w:sz="8" w:space="0" w:color="7F7F7F"/>
              <w:right w:val="nil"/>
            </w:tcBorders>
            <w:shd w:val="clear" w:color="auto" w:fill="auto"/>
            <w:hideMark/>
          </w:tcPr>
          <w:p w14:paraId="45AA319E"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3.60 ab</w:t>
            </w:r>
          </w:p>
        </w:tc>
        <w:tc>
          <w:tcPr>
            <w:tcW w:w="1417" w:type="dxa"/>
            <w:tcBorders>
              <w:top w:val="nil"/>
              <w:left w:val="nil"/>
              <w:bottom w:val="single" w:sz="8" w:space="0" w:color="7F7F7F"/>
              <w:right w:val="nil"/>
            </w:tcBorders>
            <w:shd w:val="clear" w:color="auto" w:fill="auto"/>
            <w:hideMark/>
          </w:tcPr>
          <w:p w14:paraId="2D3E5836"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16.40 bc</w:t>
            </w:r>
          </w:p>
        </w:tc>
      </w:tr>
      <w:tr w:rsidR="00E02A3A" w:rsidRPr="00E02A3A" w14:paraId="39CAB656" w14:textId="77777777" w:rsidTr="00EA7795">
        <w:trPr>
          <w:trHeight w:val="417"/>
        </w:trPr>
        <w:tc>
          <w:tcPr>
            <w:tcW w:w="2552" w:type="dxa"/>
            <w:tcBorders>
              <w:top w:val="nil"/>
              <w:left w:val="nil"/>
              <w:bottom w:val="nil"/>
              <w:right w:val="nil"/>
            </w:tcBorders>
            <w:shd w:val="clear" w:color="auto" w:fill="auto"/>
            <w:vAlign w:val="center"/>
            <w:hideMark/>
          </w:tcPr>
          <w:p w14:paraId="3F0CA5F9"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D (Cuttings+Sawdust+Soil)</w:t>
            </w:r>
          </w:p>
        </w:tc>
        <w:tc>
          <w:tcPr>
            <w:tcW w:w="1417" w:type="dxa"/>
            <w:tcBorders>
              <w:top w:val="nil"/>
              <w:left w:val="nil"/>
              <w:bottom w:val="nil"/>
              <w:right w:val="nil"/>
            </w:tcBorders>
            <w:shd w:val="clear" w:color="auto" w:fill="auto"/>
            <w:hideMark/>
          </w:tcPr>
          <w:p w14:paraId="63482389"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57.50 bc</w:t>
            </w:r>
          </w:p>
        </w:tc>
        <w:tc>
          <w:tcPr>
            <w:tcW w:w="1276" w:type="dxa"/>
            <w:tcBorders>
              <w:top w:val="nil"/>
              <w:left w:val="nil"/>
              <w:bottom w:val="nil"/>
              <w:right w:val="nil"/>
            </w:tcBorders>
            <w:shd w:val="clear" w:color="auto" w:fill="auto"/>
            <w:hideMark/>
          </w:tcPr>
          <w:p w14:paraId="6188360E"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34. 38 b</w:t>
            </w:r>
          </w:p>
        </w:tc>
        <w:tc>
          <w:tcPr>
            <w:tcW w:w="1418" w:type="dxa"/>
            <w:tcBorders>
              <w:top w:val="nil"/>
              <w:left w:val="nil"/>
              <w:bottom w:val="nil"/>
              <w:right w:val="nil"/>
            </w:tcBorders>
            <w:shd w:val="clear" w:color="auto" w:fill="auto"/>
            <w:hideMark/>
          </w:tcPr>
          <w:p w14:paraId="418E9785"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3.45 ab</w:t>
            </w:r>
          </w:p>
        </w:tc>
        <w:tc>
          <w:tcPr>
            <w:tcW w:w="1417" w:type="dxa"/>
            <w:tcBorders>
              <w:top w:val="nil"/>
              <w:left w:val="nil"/>
              <w:bottom w:val="nil"/>
              <w:right w:val="nil"/>
            </w:tcBorders>
            <w:shd w:val="clear" w:color="auto" w:fill="auto"/>
            <w:hideMark/>
          </w:tcPr>
          <w:p w14:paraId="16579A64"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16.00 bc</w:t>
            </w:r>
          </w:p>
        </w:tc>
      </w:tr>
      <w:tr w:rsidR="00E02A3A" w:rsidRPr="00E02A3A" w14:paraId="684FDFAF" w14:textId="77777777" w:rsidTr="00EA7795">
        <w:trPr>
          <w:trHeight w:val="444"/>
        </w:trPr>
        <w:tc>
          <w:tcPr>
            <w:tcW w:w="2552" w:type="dxa"/>
            <w:tcBorders>
              <w:top w:val="single" w:sz="8" w:space="0" w:color="7F7F7F"/>
              <w:left w:val="nil"/>
              <w:bottom w:val="single" w:sz="8" w:space="0" w:color="7F7F7F"/>
              <w:right w:val="nil"/>
            </w:tcBorders>
            <w:shd w:val="clear" w:color="auto" w:fill="auto"/>
            <w:vAlign w:val="center"/>
            <w:hideMark/>
          </w:tcPr>
          <w:p w14:paraId="30C1CA13"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A (Cuttings+Sawdust)</w:t>
            </w:r>
          </w:p>
        </w:tc>
        <w:tc>
          <w:tcPr>
            <w:tcW w:w="1417" w:type="dxa"/>
            <w:tcBorders>
              <w:top w:val="single" w:sz="8" w:space="0" w:color="7F7F7F"/>
              <w:left w:val="nil"/>
              <w:bottom w:val="single" w:sz="8" w:space="0" w:color="7F7F7F"/>
              <w:right w:val="nil"/>
            </w:tcBorders>
            <w:shd w:val="clear" w:color="auto" w:fill="auto"/>
            <w:hideMark/>
          </w:tcPr>
          <w:p w14:paraId="157203A9"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61.25 abc</w:t>
            </w:r>
          </w:p>
        </w:tc>
        <w:tc>
          <w:tcPr>
            <w:tcW w:w="1276" w:type="dxa"/>
            <w:tcBorders>
              <w:top w:val="single" w:sz="8" w:space="0" w:color="7F7F7F"/>
              <w:left w:val="nil"/>
              <w:bottom w:val="single" w:sz="8" w:space="0" w:color="7F7F7F"/>
              <w:right w:val="nil"/>
            </w:tcBorders>
            <w:shd w:val="clear" w:color="auto" w:fill="auto"/>
            <w:hideMark/>
          </w:tcPr>
          <w:p w14:paraId="52032C2E"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43.75 ab</w:t>
            </w:r>
          </w:p>
        </w:tc>
        <w:tc>
          <w:tcPr>
            <w:tcW w:w="1418" w:type="dxa"/>
            <w:tcBorders>
              <w:top w:val="single" w:sz="8" w:space="0" w:color="7F7F7F"/>
              <w:left w:val="nil"/>
              <w:bottom w:val="single" w:sz="8" w:space="0" w:color="7F7F7F"/>
              <w:right w:val="nil"/>
            </w:tcBorders>
            <w:shd w:val="clear" w:color="auto" w:fill="auto"/>
            <w:hideMark/>
          </w:tcPr>
          <w:p w14:paraId="5EC2CCFB"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3.65 ab</w:t>
            </w:r>
          </w:p>
        </w:tc>
        <w:tc>
          <w:tcPr>
            <w:tcW w:w="1417" w:type="dxa"/>
            <w:tcBorders>
              <w:top w:val="single" w:sz="8" w:space="0" w:color="7F7F7F"/>
              <w:left w:val="nil"/>
              <w:bottom w:val="single" w:sz="8" w:space="0" w:color="7F7F7F"/>
              <w:right w:val="nil"/>
            </w:tcBorders>
            <w:shd w:val="clear" w:color="auto" w:fill="auto"/>
            <w:hideMark/>
          </w:tcPr>
          <w:p w14:paraId="723EA514"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21.00 ab</w:t>
            </w:r>
          </w:p>
        </w:tc>
      </w:tr>
      <w:tr w:rsidR="00E02A3A" w:rsidRPr="00E02A3A" w14:paraId="73992445" w14:textId="77777777" w:rsidTr="00EA7795">
        <w:trPr>
          <w:trHeight w:val="431"/>
        </w:trPr>
        <w:tc>
          <w:tcPr>
            <w:tcW w:w="2552" w:type="dxa"/>
            <w:tcBorders>
              <w:top w:val="nil"/>
              <w:left w:val="nil"/>
              <w:bottom w:val="nil"/>
              <w:right w:val="nil"/>
            </w:tcBorders>
            <w:shd w:val="clear" w:color="auto" w:fill="auto"/>
            <w:vAlign w:val="center"/>
            <w:hideMark/>
          </w:tcPr>
          <w:p w14:paraId="5B451A4F"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B (Cuttings+Sawdust)</w:t>
            </w:r>
          </w:p>
        </w:tc>
        <w:tc>
          <w:tcPr>
            <w:tcW w:w="1417" w:type="dxa"/>
            <w:tcBorders>
              <w:top w:val="nil"/>
              <w:left w:val="nil"/>
              <w:bottom w:val="nil"/>
              <w:right w:val="nil"/>
            </w:tcBorders>
            <w:shd w:val="clear" w:color="auto" w:fill="auto"/>
            <w:hideMark/>
          </w:tcPr>
          <w:p w14:paraId="050F2B75"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70.63 ab</w:t>
            </w:r>
          </w:p>
        </w:tc>
        <w:tc>
          <w:tcPr>
            <w:tcW w:w="1276" w:type="dxa"/>
            <w:tcBorders>
              <w:top w:val="nil"/>
              <w:left w:val="nil"/>
              <w:bottom w:val="nil"/>
              <w:right w:val="nil"/>
            </w:tcBorders>
            <w:shd w:val="clear" w:color="auto" w:fill="auto"/>
            <w:hideMark/>
          </w:tcPr>
          <w:p w14:paraId="3202EA6B"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50.00 ab</w:t>
            </w:r>
          </w:p>
        </w:tc>
        <w:tc>
          <w:tcPr>
            <w:tcW w:w="1418" w:type="dxa"/>
            <w:tcBorders>
              <w:top w:val="nil"/>
              <w:left w:val="nil"/>
              <w:bottom w:val="nil"/>
              <w:right w:val="nil"/>
            </w:tcBorders>
            <w:shd w:val="clear" w:color="auto" w:fill="auto"/>
            <w:hideMark/>
          </w:tcPr>
          <w:p w14:paraId="34E7C637"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3.85 b</w:t>
            </w:r>
          </w:p>
        </w:tc>
        <w:tc>
          <w:tcPr>
            <w:tcW w:w="1417" w:type="dxa"/>
            <w:tcBorders>
              <w:top w:val="nil"/>
              <w:left w:val="nil"/>
              <w:bottom w:val="nil"/>
              <w:right w:val="nil"/>
            </w:tcBorders>
            <w:shd w:val="clear" w:color="auto" w:fill="auto"/>
            <w:hideMark/>
          </w:tcPr>
          <w:p w14:paraId="3AAC006D"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20.70 ab</w:t>
            </w:r>
          </w:p>
        </w:tc>
      </w:tr>
      <w:tr w:rsidR="00E02A3A" w:rsidRPr="00E02A3A" w14:paraId="3510AA8A" w14:textId="77777777" w:rsidTr="00EA7795">
        <w:trPr>
          <w:trHeight w:val="468"/>
        </w:trPr>
        <w:tc>
          <w:tcPr>
            <w:tcW w:w="2552" w:type="dxa"/>
            <w:tcBorders>
              <w:top w:val="single" w:sz="8" w:space="0" w:color="7F7F7F"/>
              <w:left w:val="nil"/>
              <w:bottom w:val="single" w:sz="8" w:space="0" w:color="7F7F7F"/>
              <w:right w:val="nil"/>
            </w:tcBorders>
            <w:shd w:val="clear" w:color="auto" w:fill="auto"/>
            <w:vAlign w:val="center"/>
            <w:hideMark/>
          </w:tcPr>
          <w:p w14:paraId="551160A1"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C (Cuttings+Sawdust)</w:t>
            </w:r>
          </w:p>
        </w:tc>
        <w:tc>
          <w:tcPr>
            <w:tcW w:w="1417" w:type="dxa"/>
            <w:tcBorders>
              <w:top w:val="single" w:sz="8" w:space="0" w:color="7F7F7F"/>
              <w:left w:val="nil"/>
              <w:bottom w:val="single" w:sz="8" w:space="0" w:color="7F7F7F"/>
              <w:right w:val="nil"/>
            </w:tcBorders>
            <w:shd w:val="clear" w:color="auto" w:fill="auto"/>
            <w:hideMark/>
          </w:tcPr>
          <w:p w14:paraId="16B4DA2E"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60.00 abc</w:t>
            </w:r>
          </w:p>
        </w:tc>
        <w:tc>
          <w:tcPr>
            <w:tcW w:w="1276" w:type="dxa"/>
            <w:tcBorders>
              <w:top w:val="single" w:sz="8" w:space="0" w:color="7F7F7F"/>
              <w:left w:val="nil"/>
              <w:bottom w:val="single" w:sz="8" w:space="0" w:color="7F7F7F"/>
              <w:right w:val="nil"/>
            </w:tcBorders>
            <w:shd w:val="clear" w:color="auto" w:fill="auto"/>
            <w:hideMark/>
          </w:tcPr>
          <w:p w14:paraId="3322DA72"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43.13 ab</w:t>
            </w:r>
          </w:p>
        </w:tc>
        <w:tc>
          <w:tcPr>
            <w:tcW w:w="1418" w:type="dxa"/>
            <w:tcBorders>
              <w:top w:val="single" w:sz="8" w:space="0" w:color="7F7F7F"/>
              <w:left w:val="nil"/>
              <w:bottom w:val="single" w:sz="8" w:space="0" w:color="7F7F7F"/>
              <w:right w:val="nil"/>
            </w:tcBorders>
            <w:shd w:val="clear" w:color="auto" w:fill="auto"/>
            <w:hideMark/>
          </w:tcPr>
          <w:p w14:paraId="5B23290B"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3.90 a</w:t>
            </w:r>
          </w:p>
        </w:tc>
        <w:tc>
          <w:tcPr>
            <w:tcW w:w="1417" w:type="dxa"/>
            <w:tcBorders>
              <w:top w:val="single" w:sz="8" w:space="0" w:color="7F7F7F"/>
              <w:left w:val="nil"/>
              <w:bottom w:val="single" w:sz="8" w:space="0" w:color="7F7F7F"/>
              <w:right w:val="nil"/>
            </w:tcBorders>
            <w:shd w:val="clear" w:color="auto" w:fill="auto"/>
            <w:hideMark/>
          </w:tcPr>
          <w:p w14:paraId="6EEA7ED5"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28.70 a</w:t>
            </w:r>
          </w:p>
        </w:tc>
      </w:tr>
      <w:tr w:rsidR="00E02A3A" w:rsidRPr="00E02A3A" w14:paraId="7FF3E3EC" w14:textId="77777777" w:rsidTr="00EA7795">
        <w:trPr>
          <w:trHeight w:val="444"/>
        </w:trPr>
        <w:tc>
          <w:tcPr>
            <w:tcW w:w="2552" w:type="dxa"/>
            <w:tcBorders>
              <w:top w:val="nil"/>
              <w:left w:val="nil"/>
              <w:bottom w:val="single" w:sz="8" w:space="0" w:color="7F7F7F"/>
              <w:right w:val="nil"/>
            </w:tcBorders>
            <w:shd w:val="clear" w:color="auto" w:fill="auto"/>
            <w:vAlign w:val="center"/>
            <w:hideMark/>
          </w:tcPr>
          <w:p w14:paraId="5B6B3F08"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D (Cuttings+Sawdust)</w:t>
            </w:r>
          </w:p>
        </w:tc>
        <w:tc>
          <w:tcPr>
            <w:tcW w:w="1417" w:type="dxa"/>
            <w:tcBorders>
              <w:top w:val="nil"/>
              <w:left w:val="nil"/>
              <w:bottom w:val="single" w:sz="8" w:space="0" w:color="7F7F7F"/>
              <w:right w:val="nil"/>
            </w:tcBorders>
            <w:shd w:val="clear" w:color="auto" w:fill="auto"/>
            <w:hideMark/>
          </w:tcPr>
          <w:p w14:paraId="3C5DFA03"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45.00 c</w:t>
            </w:r>
          </w:p>
        </w:tc>
        <w:tc>
          <w:tcPr>
            <w:tcW w:w="1276" w:type="dxa"/>
            <w:tcBorders>
              <w:top w:val="nil"/>
              <w:left w:val="nil"/>
              <w:bottom w:val="single" w:sz="8" w:space="0" w:color="7F7F7F"/>
              <w:right w:val="nil"/>
            </w:tcBorders>
            <w:shd w:val="clear" w:color="auto" w:fill="auto"/>
            <w:hideMark/>
          </w:tcPr>
          <w:p w14:paraId="7C4D1256"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25.00 ab</w:t>
            </w:r>
          </w:p>
        </w:tc>
        <w:tc>
          <w:tcPr>
            <w:tcW w:w="1418" w:type="dxa"/>
            <w:tcBorders>
              <w:top w:val="nil"/>
              <w:left w:val="nil"/>
              <w:bottom w:val="single" w:sz="8" w:space="0" w:color="7F7F7F"/>
              <w:right w:val="nil"/>
            </w:tcBorders>
            <w:shd w:val="clear" w:color="auto" w:fill="auto"/>
            <w:hideMark/>
          </w:tcPr>
          <w:p w14:paraId="33C577DC"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3.60 ab</w:t>
            </w:r>
          </w:p>
        </w:tc>
        <w:tc>
          <w:tcPr>
            <w:tcW w:w="1417" w:type="dxa"/>
            <w:tcBorders>
              <w:top w:val="nil"/>
              <w:left w:val="nil"/>
              <w:bottom w:val="single" w:sz="8" w:space="0" w:color="7F7F7F"/>
              <w:right w:val="nil"/>
            </w:tcBorders>
            <w:shd w:val="clear" w:color="auto" w:fill="auto"/>
            <w:hideMark/>
          </w:tcPr>
          <w:p w14:paraId="39940E43" w14:textId="77777777" w:rsidR="00E02A3A" w:rsidRPr="00E02A3A" w:rsidRDefault="00E02A3A" w:rsidP="00E02A3A">
            <w:pPr>
              <w:suppressAutoHyphens/>
              <w:overflowPunct/>
              <w:autoSpaceDE/>
              <w:autoSpaceDN/>
              <w:adjustRightInd/>
              <w:spacing w:before="120"/>
              <w:jc w:val="center"/>
              <w:textAlignment w:val="auto"/>
              <w:rPr>
                <w:color w:val="000000"/>
                <w:sz w:val="18"/>
                <w:szCs w:val="18"/>
                <w:lang w:val="en-GB" w:eastAsia="tr-TR"/>
              </w:rPr>
            </w:pPr>
            <w:r w:rsidRPr="00E02A3A">
              <w:rPr>
                <w:color w:val="000000"/>
                <w:sz w:val="18"/>
                <w:szCs w:val="18"/>
                <w:lang w:val="en-GB" w:eastAsia="tr-TR"/>
              </w:rPr>
              <w:t>11.20 b</w:t>
            </w:r>
          </w:p>
        </w:tc>
      </w:tr>
    </w:tbl>
    <w:p w14:paraId="616D4795" w14:textId="77777777" w:rsidR="00C17FDF" w:rsidRPr="00E02A3A" w:rsidRDefault="00C17FDF" w:rsidP="00C17FDF">
      <w:pPr>
        <w:spacing w:line="360" w:lineRule="auto"/>
        <w:jc w:val="both"/>
        <w:rPr>
          <w:sz w:val="20"/>
          <w:lang w:val="en-GB"/>
        </w:rPr>
      </w:pPr>
      <w:r w:rsidRPr="00E02A3A">
        <w:rPr>
          <w:sz w:val="20"/>
          <w:lang w:val="en-GB"/>
        </w:rPr>
        <w:t>*The data were analyzed with the Duncan multiple comparison test. 1: Significant at 1%, 2: Significant at 5%. Lower case letters on the same line indicate statistically significant differences between applications.</w:t>
      </w:r>
    </w:p>
    <w:p w14:paraId="38600123" w14:textId="77777777" w:rsidR="00C17FDF" w:rsidRPr="00C17FDF" w:rsidRDefault="00C17FDF" w:rsidP="00C17FDF">
      <w:pPr>
        <w:spacing w:line="360" w:lineRule="auto"/>
        <w:jc w:val="both"/>
        <w:rPr>
          <w:lang w:val="en-GB"/>
        </w:rPr>
      </w:pPr>
    </w:p>
    <w:p w14:paraId="561865AB" w14:textId="77777777" w:rsidR="00C17FDF" w:rsidRPr="00C17FDF" w:rsidRDefault="00C17FDF" w:rsidP="00C17FDF">
      <w:pPr>
        <w:spacing w:line="360" w:lineRule="auto"/>
        <w:jc w:val="both"/>
        <w:rPr>
          <w:lang w:val="en-GB"/>
        </w:rPr>
      </w:pPr>
    </w:p>
    <w:p w14:paraId="02AD2EF0" w14:textId="77777777" w:rsidR="00D7079E" w:rsidRDefault="00E02A3A" w:rsidP="00C17FDF">
      <w:pPr>
        <w:spacing w:line="360" w:lineRule="auto"/>
        <w:jc w:val="both"/>
        <w:rPr>
          <w:b/>
          <w:lang w:val="en-GB"/>
        </w:rPr>
      </w:pPr>
      <w:r w:rsidRPr="00E02A3A">
        <w:rPr>
          <w:b/>
          <w:lang w:val="en-GB"/>
        </w:rPr>
        <w:t>DISCUSSION</w:t>
      </w:r>
    </w:p>
    <w:p w14:paraId="010135AE" w14:textId="48EE4CCF" w:rsidR="00C17FDF" w:rsidRPr="00E02A3A" w:rsidRDefault="00E02A3A" w:rsidP="00C17FDF">
      <w:pPr>
        <w:spacing w:line="360" w:lineRule="auto"/>
        <w:jc w:val="both"/>
        <w:rPr>
          <w:b/>
          <w:lang w:val="en-GB"/>
        </w:rPr>
      </w:pPr>
      <w:r w:rsidRPr="00E02A3A">
        <w:rPr>
          <w:b/>
          <w:lang w:val="en-GB"/>
        </w:rPr>
        <w:t xml:space="preserve"> </w:t>
      </w:r>
    </w:p>
    <w:p w14:paraId="2674FE8C" w14:textId="453C9270" w:rsidR="00C17FDF" w:rsidRPr="00C17FDF" w:rsidRDefault="00C17FDF" w:rsidP="00C17FDF">
      <w:pPr>
        <w:spacing w:line="360" w:lineRule="auto"/>
        <w:jc w:val="both"/>
        <w:rPr>
          <w:lang w:val="en-GB"/>
        </w:rPr>
      </w:pPr>
      <w:r w:rsidRPr="00C17FDF">
        <w:rPr>
          <w:lang w:val="en-GB"/>
        </w:rPr>
        <w:t xml:space="preserve">The present study demonstrated that </w:t>
      </w:r>
      <w:r w:rsidR="0030488B">
        <w:rPr>
          <w:i/>
          <w:lang w:val="en-GB"/>
        </w:rPr>
        <w:t>Botryosphaeria dothidae</w:t>
      </w:r>
      <w:r w:rsidRPr="00C17FDF">
        <w:rPr>
          <w:lang w:val="en-GB"/>
        </w:rPr>
        <w:t xml:space="preserve"> </w:t>
      </w:r>
      <w:r w:rsidRPr="00D338C5">
        <w:rPr>
          <w:i/>
          <w:lang w:val="en-GB"/>
        </w:rPr>
        <w:t>Diaporthe ampelina</w:t>
      </w:r>
      <w:r w:rsidRPr="00C17FDF">
        <w:rPr>
          <w:lang w:val="en-GB"/>
        </w:rPr>
        <w:t xml:space="preserve"> and </w:t>
      </w:r>
      <w:r w:rsidRPr="00D338C5">
        <w:rPr>
          <w:i/>
          <w:lang w:val="en-GB"/>
        </w:rPr>
        <w:t>Ilyonectria liriodendri</w:t>
      </w:r>
      <w:r w:rsidRPr="00C17FDF">
        <w:rPr>
          <w:lang w:val="en-GB"/>
        </w:rPr>
        <w:t xml:space="preserve"> species were a significant threat to grapevine nursery industry (Gramaje et al, 2018). Furthermore, it demonstrated that </w:t>
      </w:r>
      <w:r w:rsidRPr="00D338C5">
        <w:rPr>
          <w:i/>
          <w:lang w:val="en-GB"/>
        </w:rPr>
        <w:t>F. solani</w:t>
      </w:r>
      <w:r w:rsidRPr="00C17FDF">
        <w:rPr>
          <w:lang w:val="en-GB"/>
        </w:rPr>
        <w:t xml:space="preserve"> and </w:t>
      </w:r>
      <w:r w:rsidRPr="00D338C5">
        <w:rPr>
          <w:i/>
          <w:lang w:val="en-GB"/>
        </w:rPr>
        <w:t>A. alternata</w:t>
      </w:r>
      <w:r w:rsidRPr="00C17FDF">
        <w:rPr>
          <w:lang w:val="en-GB"/>
        </w:rPr>
        <w:t xml:space="preserve"> species were the most frequently isolated fungi in grapevine nurseries; and thus, the main reason for the decline in young grapevine (Lade et al., 2022). Certain studies reported </w:t>
      </w:r>
      <w:r w:rsidRPr="00002A58">
        <w:rPr>
          <w:i/>
          <w:lang w:val="en-GB"/>
        </w:rPr>
        <w:t>A. alternata</w:t>
      </w:r>
      <w:r w:rsidRPr="00C17FDF">
        <w:rPr>
          <w:lang w:val="en-GB"/>
        </w:rPr>
        <w:t xml:space="preserve"> as an endophyte and saprophyte species in grapevine saplings (Halleen et al., 2003); however, in the present study, isolations conducted in all stages demonstrated that, there is possible pathogenicity and a need for further studies. During the isolation steps, it was observed that </w:t>
      </w:r>
      <w:r w:rsidRPr="00002A58">
        <w:rPr>
          <w:i/>
          <w:lang w:val="en-GB"/>
        </w:rPr>
        <w:t>F. solani</w:t>
      </w:r>
      <w:r w:rsidRPr="00C17FDF">
        <w:rPr>
          <w:lang w:val="en-GB"/>
        </w:rPr>
        <w:t xml:space="preserve"> and </w:t>
      </w:r>
      <w:r w:rsidRPr="00002A58">
        <w:rPr>
          <w:i/>
          <w:lang w:val="en-GB"/>
        </w:rPr>
        <w:t xml:space="preserve">A. alternata </w:t>
      </w:r>
      <w:r w:rsidRPr="00C17FDF">
        <w:rPr>
          <w:lang w:val="en-GB"/>
        </w:rPr>
        <w:t xml:space="preserve">fungi were the most common species in shoots and roots during callus development, </w:t>
      </w:r>
      <w:r w:rsidRPr="00002A58">
        <w:rPr>
          <w:i/>
          <w:lang w:val="en-GB"/>
        </w:rPr>
        <w:t>Botrytis cinerea</w:t>
      </w:r>
      <w:r w:rsidRPr="00C17FDF">
        <w:rPr>
          <w:lang w:val="en-GB"/>
        </w:rPr>
        <w:t xml:space="preserve"> pathogen was found in low amounts during callus development, and was not detected after planting. Although </w:t>
      </w:r>
      <w:r w:rsidRPr="00002A58">
        <w:rPr>
          <w:i/>
          <w:lang w:val="en-GB"/>
        </w:rPr>
        <w:t>B. exigua</w:t>
      </w:r>
      <w:r w:rsidRPr="00C17FDF">
        <w:rPr>
          <w:lang w:val="en-GB"/>
        </w:rPr>
        <w:t xml:space="preserve"> var. </w:t>
      </w:r>
      <w:r w:rsidRPr="00002A58">
        <w:rPr>
          <w:i/>
          <w:lang w:val="en-GB"/>
        </w:rPr>
        <w:t>exigua</w:t>
      </w:r>
      <w:r w:rsidRPr="00C17FDF">
        <w:rPr>
          <w:lang w:val="en-GB"/>
        </w:rPr>
        <w:t xml:space="preserve"> was detected at the shoots and roots during callus development, it was not found in uprooted saplings. In a previous study, it was shown that </w:t>
      </w:r>
      <w:r w:rsidRPr="00002A58">
        <w:rPr>
          <w:i/>
          <w:lang w:val="en-GB"/>
        </w:rPr>
        <w:t>Phoma negriana</w:t>
      </w:r>
      <w:r w:rsidRPr="00C17FDF">
        <w:rPr>
          <w:lang w:val="en-GB"/>
        </w:rPr>
        <w:t xml:space="preserve"> Thum. pathogen led to black rot and necrosis in the infected vine stems and leaves (Davari and Hajieghrari, 2008), demonstrating that it was pathogen remained effective during callus development under high humidity. The fungi </w:t>
      </w:r>
      <w:r w:rsidRPr="00002A58">
        <w:rPr>
          <w:i/>
          <w:lang w:val="en-GB"/>
        </w:rPr>
        <w:t>Phoma koolunga</w:t>
      </w:r>
      <w:r w:rsidRPr="00C17FDF">
        <w:rPr>
          <w:lang w:val="en-GB"/>
        </w:rPr>
        <w:t xml:space="preserve">, </w:t>
      </w:r>
      <w:r w:rsidRPr="00002A58">
        <w:rPr>
          <w:i/>
          <w:lang w:val="en-GB"/>
        </w:rPr>
        <w:t>Phoma herbarum</w:t>
      </w:r>
      <w:r w:rsidRPr="00C17FDF">
        <w:rPr>
          <w:lang w:val="en-GB"/>
        </w:rPr>
        <w:t xml:space="preserve">, </w:t>
      </w:r>
      <w:r w:rsidRPr="00002A58">
        <w:rPr>
          <w:i/>
          <w:lang w:val="en-GB"/>
        </w:rPr>
        <w:t>Boeremia exigua</w:t>
      </w:r>
      <w:r w:rsidRPr="00C17FDF">
        <w:rPr>
          <w:lang w:val="en-GB"/>
        </w:rPr>
        <w:t xml:space="preserve"> var. </w:t>
      </w:r>
      <w:r w:rsidRPr="00002A58">
        <w:rPr>
          <w:i/>
          <w:lang w:val="en-GB"/>
        </w:rPr>
        <w:t>exigua</w:t>
      </w:r>
      <w:r w:rsidRPr="00C17FDF">
        <w:rPr>
          <w:lang w:val="en-GB"/>
        </w:rPr>
        <w:t xml:space="preserve"> (Cakır et al, 2021) and </w:t>
      </w:r>
      <w:r w:rsidRPr="00002A58">
        <w:rPr>
          <w:i/>
          <w:lang w:val="en-GB"/>
        </w:rPr>
        <w:t>Phoma glomerata</w:t>
      </w:r>
      <w:r w:rsidRPr="00C17FDF">
        <w:rPr>
          <w:lang w:val="en-GB"/>
        </w:rPr>
        <w:t xml:space="preserve"> are necrotrophic, generalist and polyphagous species, and these traits facilitate the colonisation of new environments.  These pathogens can use synergism to infect a wide range of plants and may explain why some pathogens are more virulent than others in a given environment or plant host (Lamichhane and Venturi 2015). The fungus </w:t>
      </w:r>
      <w:r w:rsidRPr="00EA7795">
        <w:rPr>
          <w:i/>
          <w:lang w:val="en-GB"/>
        </w:rPr>
        <w:t>B. exigua</w:t>
      </w:r>
      <w:r w:rsidRPr="00C17FDF">
        <w:rPr>
          <w:lang w:val="en-GB"/>
        </w:rPr>
        <w:t xml:space="preserve"> var. </w:t>
      </w:r>
      <w:r w:rsidRPr="00EA7795">
        <w:rPr>
          <w:i/>
          <w:lang w:val="en-GB"/>
        </w:rPr>
        <w:t>exigua</w:t>
      </w:r>
      <w:r w:rsidRPr="00C17FDF">
        <w:rPr>
          <w:lang w:val="en-GB"/>
        </w:rPr>
        <w:t xml:space="preserve">, isolated during the production process of grapevine cuttings and registered for the first time in the NCBI genbank is thought to synergise with the root rot pathogen </w:t>
      </w:r>
      <w:r w:rsidRPr="00EA7795">
        <w:rPr>
          <w:i/>
          <w:lang w:val="en-GB"/>
        </w:rPr>
        <w:t>F. solani</w:t>
      </w:r>
      <w:r w:rsidRPr="00C17FDF">
        <w:rPr>
          <w:lang w:val="en-GB"/>
        </w:rPr>
        <w:t xml:space="preserve">, which may explain the increase in the frequency of </w:t>
      </w:r>
      <w:r w:rsidRPr="00EA7795">
        <w:rPr>
          <w:i/>
          <w:lang w:val="en-GB"/>
        </w:rPr>
        <w:t>F. solani</w:t>
      </w:r>
      <w:r w:rsidRPr="00C17FDF">
        <w:rPr>
          <w:lang w:val="en-GB"/>
        </w:rPr>
        <w:t xml:space="preserve"> isolated that during the callus development post. Because, in this study, </w:t>
      </w:r>
      <w:r w:rsidRPr="00EA7795">
        <w:rPr>
          <w:i/>
          <w:lang w:val="en-GB"/>
        </w:rPr>
        <w:t>B. exigua</w:t>
      </w:r>
      <w:r w:rsidRPr="00C17FDF">
        <w:rPr>
          <w:lang w:val="en-GB"/>
        </w:rPr>
        <w:t xml:space="preserve"> var. </w:t>
      </w:r>
      <w:r w:rsidRPr="00EA7795">
        <w:rPr>
          <w:i/>
          <w:lang w:val="en-GB"/>
        </w:rPr>
        <w:t>exigua</w:t>
      </w:r>
      <w:r w:rsidRPr="00C17FDF">
        <w:rPr>
          <w:lang w:val="en-GB"/>
        </w:rPr>
        <w:t xml:space="preserve"> could not be isolated from the seedlings planted in the nursery after cutting + sawdust + soil treatments and the frequency of </w:t>
      </w:r>
      <w:r w:rsidRPr="00EA7795">
        <w:rPr>
          <w:i/>
          <w:lang w:val="en-GB"/>
        </w:rPr>
        <w:t>F. solani</w:t>
      </w:r>
      <w:r w:rsidRPr="00C17FDF">
        <w:rPr>
          <w:lang w:val="en-GB"/>
        </w:rPr>
        <w:t xml:space="preserve"> isolation decreased with the effect of the treatments. A comparable study was conducted by Yıldız and Gursoy (1994) on a grapevine nursery in the Aegean Region in Turkey, and </w:t>
      </w:r>
      <w:r w:rsidRPr="00EA7795">
        <w:rPr>
          <w:i/>
          <w:lang w:val="en-GB"/>
        </w:rPr>
        <w:t>B. cinerea</w:t>
      </w:r>
      <w:r w:rsidRPr="00C17FDF">
        <w:rPr>
          <w:lang w:val="en-GB"/>
        </w:rPr>
        <w:t xml:space="preserve">, </w:t>
      </w:r>
      <w:r w:rsidRPr="00EA7795">
        <w:rPr>
          <w:i/>
          <w:lang w:val="en-GB"/>
        </w:rPr>
        <w:t>Pythium</w:t>
      </w:r>
      <w:r w:rsidRPr="00C17FDF">
        <w:rPr>
          <w:lang w:val="en-GB"/>
        </w:rPr>
        <w:t xml:space="preserve"> sp. and </w:t>
      </w:r>
      <w:r w:rsidRPr="00EA7795">
        <w:rPr>
          <w:i/>
          <w:lang w:val="en-GB"/>
        </w:rPr>
        <w:t xml:space="preserve">Fusarium </w:t>
      </w:r>
      <w:r w:rsidRPr="00C17FDF">
        <w:rPr>
          <w:lang w:val="en-GB"/>
        </w:rPr>
        <w:t xml:space="preserve">sp. were reported as the most frequently isolated species. Numerous species in </w:t>
      </w:r>
      <w:r w:rsidRPr="00EA7795">
        <w:rPr>
          <w:i/>
          <w:lang w:val="en-GB"/>
        </w:rPr>
        <w:t>Fusarium</w:t>
      </w:r>
      <w:r w:rsidRPr="00C17FDF">
        <w:rPr>
          <w:lang w:val="en-GB"/>
        </w:rPr>
        <w:t xml:space="preserve"> genus have been isolated from sapling philosopher and </w:t>
      </w:r>
      <w:r w:rsidRPr="00EA7795">
        <w:rPr>
          <w:i/>
          <w:lang w:val="en-GB"/>
        </w:rPr>
        <w:t>F. oxysporum</w:t>
      </w:r>
      <w:r w:rsidRPr="00C17FDF">
        <w:rPr>
          <w:lang w:val="en-GB"/>
        </w:rPr>
        <w:t xml:space="preserve"> was reported to be responsible for the vineyard sapling decline (Cruz et al., 2014; Omer, 1999; Król, 2006). In a study where the fungal species associated with healthy vine cut-tings were identified in South African nurseries, </w:t>
      </w:r>
      <w:r w:rsidRPr="00EA7795">
        <w:rPr>
          <w:i/>
          <w:lang w:val="en-GB"/>
        </w:rPr>
        <w:t>Alternaria</w:t>
      </w:r>
      <w:r w:rsidRPr="00C17FDF">
        <w:rPr>
          <w:lang w:val="en-GB"/>
        </w:rPr>
        <w:t xml:space="preserve">, </w:t>
      </w:r>
      <w:r w:rsidRPr="00EA7795">
        <w:rPr>
          <w:i/>
          <w:lang w:val="en-GB"/>
        </w:rPr>
        <w:t>Epicoccum</w:t>
      </w:r>
      <w:r w:rsidRPr="00C17FDF">
        <w:rPr>
          <w:lang w:val="en-GB"/>
        </w:rPr>
        <w:t xml:space="preserve">, </w:t>
      </w:r>
      <w:r w:rsidRPr="00EA7795">
        <w:rPr>
          <w:i/>
          <w:lang w:val="en-GB"/>
        </w:rPr>
        <w:t>Cladosporium</w:t>
      </w:r>
      <w:r w:rsidRPr="00C17FDF">
        <w:rPr>
          <w:lang w:val="en-GB"/>
        </w:rPr>
        <w:t xml:space="preserve"> were the most frequently isolated fungal species during callus development stage and before planting. Although </w:t>
      </w:r>
      <w:r w:rsidRPr="00EA7795">
        <w:rPr>
          <w:i/>
          <w:lang w:val="en-GB"/>
        </w:rPr>
        <w:t>Fusarium</w:t>
      </w:r>
      <w:r w:rsidRPr="00C17FDF">
        <w:rPr>
          <w:lang w:val="en-GB"/>
        </w:rPr>
        <w:t xml:space="preserve"> spp. was isolated during callus development, it was the most frequently isolated species 3 months after planting the grapevine saplings (Hallen et al., 2003; Van Coller et al., 2004). In the present study, </w:t>
      </w:r>
      <w:r w:rsidRPr="00EA7795">
        <w:rPr>
          <w:i/>
          <w:lang w:val="en-GB"/>
        </w:rPr>
        <w:t>F</w:t>
      </w:r>
      <w:r w:rsidR="00EA7795">
        <w:rPr>
          <w:i/>
          <w:lang w:val="en-GB"/>
        </w:rPr>
        <w:t>.</w:t>
      </w:r>
      <w:r w:rsidRPr="00EA7795">
        <w:rPr>
          <w:i/>
          <w:lang w:val="en-GB"/>
        </w:rPr>
        <w:t xml:space="preserve"> solani</w:t>
      </w:r>
      <w:r w:rsidRPr="00C17FDF">
        <w:rPr>
          <w:lang w:val="en-GB"/>
        </w:rPr>
        <w:t xml:space="preserve"> was the most isolated species after fungicide and bio-fungicide applications and during folding. </w:t>
      </w:r>
      <w:r w:rsidRPr="00EA7795">
        <w:rPr>
          <w:i/>
          <w:lang w:val="en-GB"/>
        </w:rPr>
        <w:t>F. solani</w:t>
      </w:r>
      <w:r w:rsidRPr="00C17FDF">
        <w:rPr>
          <w:lang w:val="en-GB"/>
        </w:rPr>
        <w:t xml:space="preserve"> was responsible for losses in sapling cultivation and isolated from saplings with symptoms in transmission bundles such as the young grapevine decline disease. The high incidence of </w:t>
      </w:r>
      <w:r w:rsidRPr="00D54D22">
        <w:rPr>
          <w:i/>
          <w:lang w:val="en-GB"/>
        </w:rPr>
        <w:t>F.solani</w:t>
      </w:r>
      <w:r w:rsidRPr="00C17FDF">
        <w:rPr>
          <w:lang w:val="en-GB"/>
        </w:rPr>
        <w:t xml:space="preserve"> in healthy saplings during sapling cultivation (Table 3) demonstrated its asymptomatic character. In the isolations conducted after folding, </w:t>
      </w:r>
      <w:r w:rsidRPr="00D54D22">
        <w:rPr>
          <w:i/>
          <w:lang w:val="en-GB"/>
        </w:rPr>
        <w:t>D. ampelina</w:t>
      </w:r>
      <w:r w:rsidRPr="00C17FDF">
        <w:rPr>
          <w:lang w:val="en-GB"/>
        </w:rPr>
        <w:t xml:space="preserve">, the root and leaf spot disease pathogen, was isolated from shoots and roots. It was proved that the disease was transmitted to the vineyards due to the employment of </w:t>
      </w:r>
      <w:r w:rsidRPr="00D54D22">
        <w:rPr>
          <w:i/>
          <w:lang w:val="en-GB"/>
        </w:rPr>
        <w:t>P. viticola</w:t>
      </w:r>
      <w:r w:rsidR="00D54D22">
        <w:rPr>
          <w:lang w:val="en-GB"/>
        </w:rPr>
        <w:t xml:space="preserve"> </w:t>
      </w:r>
      <w:r w:rsidRPr="00C17FDF">
        <w:rPr>
          <w:lang w:val="en-GB"/>
        </w:rPr>
        <w:t xml:space="preserve">contaminated cuttings and grafts in nurseries, increasing the incidence and early yield losses in vines, and evidencing the latency of the pathogen in vine shoots (Król, 2006). Similar findings that revealed the damages induced by </w:t>
      </w:r>
      <w:r w:rsidRPr="00D54D22">
        <w:rPr>
          <w:i/>
          <w:lang w:val="en-GB"/>
        </w:rPr>
        <w:t xml:space="preserve">P. viticola </w:t>
      </w:r>
      <w:r w:rsidRPr="00C17FDF">
        <w:rPr>
          <w:lang w:val="en-GB"/>
        </w:rPr>
        <w:t xml:space="preserve">in grapevine cuttings in various parts of the world were reported previously (Pearson and Goheen 1988; Scheper et al., 1997; Mostert et al., 2000). One of the fungal lignum disease agents, </w:t>
      </w:r>
      <w:r w:rsidRPr="00D54D22">
        <w:rPr>
          <w:i/>
          <w:lang w:val="en-GB"/>
        </w:rPr>
        <w:t>Botryosphaeria</w:t>
      </w:r>
      <w:r w:rsidRPr="00C17FDF">
        <w:rPr>
          <w:lang w:val="en-GB"/>
        </w:rPr>
        <w:t xml:space="preserve"> spp., and the black foot disease agent </w:t>
      </w:r>
      <w:r w:rsidRPr="00D54D22">
        <w:rPr>
          <w:i/>
          <w:lang w:val="en-GB"/>
        </w:rPr>
        <w:t>Ilyonectria</w:t>
      </w:r>
      <w:r w:rsidRPr="00C17FDF">
        <w:rPr>
          <w:lang w:val="en-GB"/>
        </w:rPr>
        <w:t xml:space="preserve"> spp. were isolated from shoots and roots in certain applications, albeit with low incidence. It was claimed that </w:t>
      </w:r>
      <w:r w:rsidRPr="00D54D22">
        <w:rPr>
          <w:i/>
          <w:lang w:val="en-GB"/>
        </w:rPr>
        <w:t>Cylindrocarpon</w:t>
      </w:r>
      <w:r w:rsidRPr="00C17FDF">
        <w:rPr>
          <w:lang w:val="en-GB"/>
        </w:rPr>
        <w:t xml:space="preserve"> spp., the black foot disease pathogen, was rarely observed in propagation materials during this period in isolations from callused cuttings before planting (Halleen et al., 2003). In the study, </w:t>
      </w:r>
      <w:r w:rsidRPr="00D54D22">
        <w:rPr>
          <w:i/>
          <w:lang w:val="en-GB"/>
        </w:rPr>
        <w:t>Ilyonectria liriodendri</w:t>
      </w:r>
      <w:r w:rsidRPr="00C17FDF">
        <w:rPr>
          <w:lang w:val="en-GB"/>
        </w:rPr>
        <w:t xml:space="preserve"> isolation incidence was 1.93% in roots before planting, while the isolation incidences of </w:t>
      </w:r>
      <w:r w:rsidRPr="00D54D22">
        <w:rPr>
          <w:i/>
          <w:lang w:val="en-GB"/>
        </w:rPr>
        <w:t>I. liriodendri</w:t>
      </w:r>
      <w:r w:rsidRPr="00C17FDF">
        <w:rPr>
          <w:lang w:val="en-GB"/>
        </w:rPr>
        <w:t xml:space="preserve"> were 6.25% and 3.13% in the roots of the diseased vines in the control group uprooted from the nursery. According to Halleen et al. (2003), </w:t>
      </w:r>
      <w:r w:rsidRPr="00D54D22">
        <w:rPr>
          <w:i/>
          <w:lang w:val="en-GB"/>
        </w:rPr>
        <w:t>Cylindrocarpon</w:t>
      </w:r>
      <w:r w:rsidRPr="00C17FDF">
        <w:rPr>
          <w:lang w:val="en-GB"/>
        </w:rPr>
        <w:t xml:space="preserve"> spp. incidence was less than 1% before planting, and more than 50% in the planted saplings at the end of the season (June). The spread of the black foot disease in nurseries indicates that the disease is a soil-born pathogen and could spread rapidly based on the soil and via water (Berlanas et al., 2020; Petit et al. 2011).</w:t>
      </w:r>
    </w:p>
    <w:p w14:paraId="71560C63" w14:textId="694EA492" w:rsidR="00C17FDF" w:rsidRPr="00C17FDF" w:rsidRDefault="00C17FDF" w:rsidP="00C17FDF">
      <w:pPr>
        <w:spacing w:line="360" w:lineRule="auto"/>
        <w:jc w:val="both"/>
        <w:rPr>
          <w:lang w:val="en-GB"/>
        </w:rPr>
      </w:pPr>
      <w:r w:rsidRPr="00C17FDF">
        <w:rPr>
          <w:lang w:val="en-GB"/>
        </w:rPr>
        <w:t xml:space="preserve">In the triazoles group, certain active substances such as tebuconazole exhibited different behaviors in various grapevine stem diseases. It was reported that these differences were due to the differences between the tested vine tissues, pathogens, strains and vine varieties. Tebuconazole was reported to be effective against the cancer induced by </w:t>
      </w:r>
      <w:r w:rsidRPr="006F00AD">
        <w:rPr>
          <w:i/>
          <w:lang w:val="en-GB"/>
        </w:rPr>
        <w:t>Botryosphaeria</w:t>
      </w:r>
      <w:r w:rsidRPr="00C17FDF">
        <w:rPr>
          <w:lang w:val="en-GB"/>
        </w:rPr>
        <w:t xml:space="preserve"> sp. (Pitt et al., 2012), and was effective against </w:t>
      </w:r>
      <w:r w:rsidRPr="006F00AD">
        <w:rPr>
          <w:i/>
          <w:lang w:val="en-GB"/>
        </w:rPr>
        <w:t>Diplodia seriata</w:t>
      </w:r>
      <w:r w:rsidRPr="00C17FDF">
        <w:rPr>
          <w:lang w:val="en-GB"/>
        </w:rPr>
        <w:t xml:space="preserve">, </w:t>
      </w:r>
      <w:r w:rsidRPr="006F00AD">
        <w:rPr>
          <w:i/>
          <w:lang w:val="en-GB"/>
        </w:rPr>
        <w:t>Eutypa lata</w:t>
      </w:r>
      <w:r w:rsidRPr="00C17FDF">
        <w:rPr>
          <w:lang w:val="en-GB"/>
        </w:rPr>
        <w:t xml:space="preserve">, </w:t>
      </w:r>
      <w:r w:rsidRPr="006F00AD">
        <w:rPr>
          <w:i/>
          <w:lang w:val="en-GB"/>
        </w:rPr>
        <w:t>Inocutis</w:t>
      </w:r>
      <w:r w:rsidRPr="00C17FDF">
        <w:rPr>
          <w:lang w:val="en-GB"/>
        </w:rPr>
        <w:t xml:space="preserve"> sp. and </w:t>
      </w:r>
      <w:r w:rsidRPr="006F00AD">
        <w:rPr>
          <w:i/>
          <w:lang w:val="en-GB"/>
        </w:rPr>
        <w:t>P. chlamidospora</w:t>
      </w:r>
      <w:r w:rsidRPr="00C17FDF">
        <w:rPr>
          <w:lang w:val="en-GB"/>
        </w:rPr>
        <w:t xml:space="preserve"> when rubbed on fresh pruning wounds (Di Marco et al. 2000; Diaz and Lattore, 2013). It was reported that floupyram, a SDHI (Succinate Dehydrogenase Inhibitor) fungicide, was effective against soil borne </w:t>
      </w:r>
      <w:r w:rsidRPr="006F00AD">
        <w:rPr>
          <w:i/>
          <w:lang w:val="en-GB"/>
        </w:rPr>
        <w:t>Sclerotinia</w:t>
      </w:r>
      <w:r w:rsidRPr="00C17FDF">
        <w:rPr>
          <w:lang w:val="en-GB"/>
        </w:rPr>
        <w:t xml:space="preserve"> spp., </w:t>
      </w:r>
      <w:r w:rsidRPr="006F00AD">
        <w:rPr>
          <w:i/>
          <w:lang w:val="en-GB"/>
        </w:rPr>
        <w:t>Rhizoctonia</w:t>
      </w:r>
      <w:r w:rsidRPr="00C17FDF">
        <w:rPr>
          <w:lang w:val="en-GB"/>
        </w:rPr>
        <w:t xml:space="preserve"> spp., </w:t>
      </w:r>
      <w:r w:rsidRPr="006F00AD">
        <w:rPr>
          <w:i/>
          <w:lang w:val="en-GB"/>
        </w:rPr>
        <w:t>Fusarium</w:t>
      </w:r>
      <w:r w:rsidRPr="00C17FDF">
        <w:rPr>
          <w:lang w:val="en-GB"/>
        </w:rPr>
        <w:t xml:space="preserve"> spp., and </w:t>
      </w:r>
      <w:r w:rsidRPr="006F00AD">
        <w:rPr>
          <w:i/>
          <w:lang w:val="en-GB"/>
        </w:rPr>
        <w:t xml:space="preserve">Phoma </w:t>
      </w:r>
      <w:r w:rsidRPr="00C17FDF">
        <w:rPr>
          <w:lang w:val="en-GB"/>
        </w:rPr>
        <w:t xml:space="preserve">spp. and </w:t>
      </w:r>
      <w:r w:rsidRPr="006F00AD">
        <w:rPr>
          <w:i/>
          <w:lang w:val="en-GB"/>
        </w:rPr>
        <w:t>Alternaria solani</w:t>
      </w:r>
      <w:r w:rsidRPr="00C17FDF">
        <w:rPr>
          <w:lang w:val="en-GB"/>
        </w:rPr>
        <w:t xml:space="preserve"> fungi in certain plant tissues [35]. It was also reported that, when applied on pruning wounds, floupyram was successful against wood tissue cancers caused by various pathogens such as </w:t>
      </w:r>
      <w:r w:rsidRPr="006F00AD">
        <w:rPr>
          <w:i/>
          <w:lang w:val="en-GB"/>
        </w:rPr>
        <w:t>D. seriata</w:t>
      </w:r>
      <w:r w:rsidRPr="00C17FDF">
        <w:rPr>
          <w:lang w:val="en-GB"/>
        </w:rPr>
        <w:t xml:space="preserve">, </w:t>
      </w:r>
      <w:r w:rsidRPr="006F00AD">
        <w:rPr>
          <w:i/>
          <w:lang w:val="en-GB"/>
        </w:rPr>
        <w:t>D. mutila</w:t>
      </w:r>
      <w:r w:rsidRPr="00C17FDF">
        <w:rPr>
          <w:lang w:val="en-GB"/>
        </w:rPr>
        <w:t xml:space="preserve">, </w:t>
      </w:r>
      <w:r w:rsidRPr="006F00AD">
        <w:rPr>
          <w:i/>
          <w:lang w:val="en-GB"/>
        </w:rPr>
        <w:t>Botryosphaeria</w:t>
      </w:r>
      <w:r w:rsidRPr="00C17FDF">
        <w:rPr>
          <w:lang w:val="en-GB"/>
        </w:rPr>
        <w:t xml:space="preserve"> spp., </w:t>
      </w:r>
      <w:r w:rsidRPr="006F00AD">
        <w:rPr>
          <w:i/>
          <w:lang w:val="en-GB"/>
        </w:rPr>
        <w:t>Lasiodiplodia theobromae</w:t>
      </w:r>
      <w:r w:rsidRPr="00C17FDF">
        <w:rPr>
          <w:lang w:val="en-GB"/>
        </w:rPr>
        <w:t xml:space="preserve"> (Delen, 2016). In the present study, the a</w:t>
      </w:r>
      <w:r w:rsidR="006F00AD">
        <w:rPr>
          <w:lang w:val="en-GB"/>
        </w:rPr>
        <w:t>pplication of fungicide that in</w:t>
      </w:r>
      <w:r w:rsidRPr="00C17FDF">
        <w:rPr>
          <w:lang w:val="en-GB"/>
        </w:rPr>
        <w:t xml:space="preserve">cluded a mixture of fluazinam + tebuconazole solution to soil decreased the incidence of soil pathogens such as </w:t>
      </w:r>
      <w:r w:rsidRPr="006F00AD">
        <w:rPr>
          <w:i/>
          <w:lang w:val="en-GB"/>
        </w:rPr>
        <w:t>R. solani</w:t>
      </w:r>
      <w:r w:rsidRPr="00C17FDF">
        <w:rPr>
          <w:lang w:val="en-GB"/>
        </w:rPr>
        <w:t xml:space="preserve">, </w:t>
      </w:r>
      <w:r w:rsidRPr="006F00AD">
        <w:rPr>
          <w:i/>
          <w:lang w:val="en-GB"/>
        </w:rPr>
        <w:t>F. solani</w:t>
      </w:r>
      <w:r w:rsidRPr="00C17FDF">
        <w:rPr>
          <w:lang w:val="en-GB"/>
        </w:rPr>
        <w:t xml:space="preserve">, </w:t>
      </w:r>
      <w:r w:rsidRPr="006F00AD">
        <w:rPr>
          <w:i/>
          <w:lang w:val="en-GB"/>
        </w:rPr>
        <w:t>A. alternata</w:t>
      </w:r>
      <w:r w:rsidRPr="00C17FDF">
        <w:rPr>
          <w:lang w:val="en-GB"/>
        </w:rPr>
        <w:t xml:space="preserve"> and </w:t>
      </w:r>
      <w:r w:rsidRPr="006F00AD">
        <w:rPr>
          <w:i/>
          <w:lang w:val="en-GB"/>
        </w:rPr>
        <w:t>I. liriod</w:t>
      </w:r>
      <w:r w:rsidRPr="00C17FDF">
        <w:rPr>
          <w:lang w:val="en-GB"/>
        </w:rPr>
        <w:t xml:space="preserve">endri in both sick and healthy saplings when compared to controls. Also, it was determined that both callus and soil period applications of this fungicide were successful against </w:t>
      </w:r>
      <w:r w:rsidRPr="006F00AD">
        <w:rPr>
          <w:i/>
          <w:lang w:val="en-GB"/>
        </w:rPr>
        <w:t>B. obtusa</w:t>
      </w:r>
      <w:r w:rsidRPr="00C17FDF">
        <w:rPr>
          <w:lang w:val="en-GB"/>
        </w:rPr>
        <w:t xml:space="preserve"> and </w:t>
      </w:r>
      <w:r w:rsidRPr="006F00AD">
        <w:rPr>
          <w:i/>
          <w:lang w:val="en-GB"/>
        </w:rPr>
        <w:t>D. ampelina</w:t>
      </w:r>
      <w:r w:rsidRPr="00C17FDF">
        <w:rPr>
          <w:lang w:val="en-GB"/>
        </w:rPr>
        <w:t>.</w:t>
      </w:r>
    </w:p>
    <w:p w14:paraId="0D261AE8" w14:textId="3E386A74" w:rsidR="00C17FDF" w:rsidRPr="00C17FDF" w:rsidRDefault="00C17FDF" w:rsidP="00C17FDF">
      <w:pPr>
        <w:spacing w:line="360" w:lineRule="auto"/>
        <w:jc w:val="both"/>
        <w:rPr>
          <w:lang w:val="en-GB"/>
        </w:rPr>
      </w:pPr>
      <w:r w:rsidRPr="00C17FDF">
        <w:rPr>
          <w:lang w:val="en-GB"/>
        </w:rPr>
        <w:t xml:space="preserve">Cyprodinil + fludioxonil solution significantly reduced the incidence and latency of </w:t>
      </w:r>
      <w:r w:rsidRPr="001659EE">
        <w:rPr>
          <w:i/>
          <w:lang w:val="en-GB"/>
        </w:rPr>
        <w:t>B. obtusa</w:t>
      </w:r>
      <w:r w:rsidRPr="00C17FDF">
        <w:rPr>
          <w:lang w:val="en-GB"/>
        </w:rPr>
        <w:t xml:space="preserve">, </w:t>
      </w:r>
      <w:r w:rsidRPr="006F00AD">
        <w:rPr>
          <w:i/>
          <w:lang w:val="en-GB"/>
        </w:rPr>
        <w:t>D. ampelina</w:t>
      </w:r>
      <w:r w:rsidRPr="00C17FDF">
        <w:rPr>
          <w:lang w:val="en-GB"/>
        </w:rPr>
        <w:t xml:space="preserve"> and </w:t>
      </w:r>
      <w:r w:rsidRPr="006F00AD">
        <w:rPr>
          <w:i/>
          <w:lang w:val="en-GB"/>
        </w:rPr>
        <w:t>I. liriodendri</w:t>
      </w:r>
      <w:r w:rsidRPr="00C17FDF">
        <w:rPr>
          <w:lang w:val="en-GB"/>
        </w:rPr>
        <w:t xml:space="preserve"> in healthy plants after soil application under high and very high inoculum pressures. The incidences of </w:t>
      </w:r>
      <w:r w:rsidRPr="006F00AD">
        <w:rPr>
          <w:i/>
          <w:lang w:val="en-GB"/>
        </w:rPr>
        <w:t>A. alternata</w:t>
      </w:r>
      <w:r w:rsidRPr="00C17FDF">
        <w:rPr>
          <w:lang w:val="en-GB"/>
        </w:rPr>
        <w:t xml:space="preserve"> and </w:t>
      </w:r>
      <w:r w:rsidRPr="006F00AD">
        <w:rPr>
          <w:i/>
          <w:lang w:val="en-GB"/>
        </w:rPr>
        <w:t>R</w:t>
      </w:r>
      <w:r w:rsidR="006F00AD">
        <w:rPr>
          <w:i/>
          <w:lang w:val="en-GB"/>
        </w:rPr>
        <w:t>.</w:t>
      </w:r>
      <w:r w:rsidRPr="006F00AD">
        <w:rPr>
          <w:i/>
          <w:lang w:val="en-GB"/>
        </w:rPr>
        <w:t xml:space="preserve"> solani</w:t>
      </w:r>
      <w:r w:rsidRPr="00C17FDF">
        <w:rPr>
          <w:lang w:val="en-GB"/>
        </w:rPr>
        <w:t xml:space="preserve"> fungi were also significantly reduced. This fungicide solution did not eradicate these pathogens in cuttings, but significantly reduced their incidence and severity when compared to the water-treated control. The spread of endophyte and root rot pathogens in transported grafted vine saplings was reduced, preventing further contamination during grafting, callusing and storage, and positively affecting the health and quality of the vines (Rego et al., 2009). It was determined that cyprodinil + fludioxonil fungicide was effective against </w:t>
      </w:r>
      <w:r w:rsidRPr="001659EE">
        <w:rPr>
          <w:i/>
          <w:lang w:val="en-GB"/>
        </w:rPr>
        <w:t>Ilyonectria</w:t>
      </w:r>
      <w:r w:rsidRPr="00C17FDF">
        <w:rPr>
          <w:lang w:val="en-GB"/>
        </w:rPr>
        <w:t xml:space="preserve"> spp. in vitro. It was confirmed that cyprodinil + fludioxonil, employed in controlled trials and pots against </w:t>
      </w:r>
      <w:r w:rsidRPr="001659EE">
        <w:rPr>
          <w:i/>
          <w:lang w:val="en-GB"/>
        </w:rPr>
        <w:t xml:space="preserve">I. liriodendri </w:t>
      </w:r>
      <w:r w:rsidRPr="00C17FDF">
        <w:rPr>
          <w:lang w:val="en-GB"/>
        </w:rPr>
        <w:t>during the rooting of 1103 Paulsen rootstock cuttings, reduced the incidence by 63.4% in 2020 and 69.6% in 2021 in the roots (Yıldız and Tosun, 2022).</w:t>
      </w:r>
    </w:p>
    <w:p w14:paraId="09E2E591" w14:textId="77777777" w:rsidR="00C17FDF" w:rsidRPr="00C17FDF" w:rsidRDefault="00C17FDF" w:rsidP="00C17FDF">
      <w:pPr>
        <w:spacing w:line="360" w:lineRule="auto"/>
        <w:jc w:val="both"/>
        <w:rPr>
          <w:lang w:val="en-GB"/>
        </w:rPr>
      </w:pPr>
      <w:r w:rsidRPr="00C17FDF">
        <w:rPr>
          <w:lang w:val="en-GB"/>
        </w:rPr>
        <w:t xml:space="preserve">In the present study, </w:t>
      </w:r>
      <w:r w:rsidRPr="001659EE">
        <w:rPr>
          <w:i/>
          <w:lang w:val="en-GB"/>
        </w:rPr>
        <w:t>Trichoderma</w:t>
      </w:r>
      <w:r w:rsidRPr="00C17FDF">
        <w:rPr>
          <w:lang w:val="en-GB"/>
        </w:rPr>
        <w:t xml:space="preserve"> was the second most frequently isolated genus in both isolation points (shoots and roots) after soil applications. It was observed that </w:t>
      </w:r>
      <w:r w:rsidRPr="001659EE">
        <w:rPr>
          <w:i/>
          <w:lang w:val="en-GB"/>
        </w:rPr>
        <w:t>T. afroharzianum</w:t>
      </w:r>
      <w:r w:rsidRPr="00C17FDF">
        <w:rPr>
          <w:lang w:val="en-GB"/>
        </w:rPr>
        <w:t xml:space="preserve"> and </w:t>
      </w:r>
      <w:r w:rsidRPr="001659EE">
        <w:rPr>
          <w:i/>
          <w:lang w:val="en-GB"/>
        </w:rPr>
        <w:t>T. gamsii</w:t>
      </w:r>
      <w:r w:rsidRPr="00C17FDF">
        <w:rPr>
          <w:lang w:val="en-GB"/>
        </w:rPr>
        <w:t xml:space="preserve"> species were beneficial endophytes in lignum and stimulated sapling growth after the applications. Selected </w:t>
      </w:r>
      <w:r w:rsidRPr="001659EE">
        <w:rPr>
          <w:i/>
          <w:lang w:val="en-GB"/>
        </w:rPr>
        <w:t>T. harzianum</w:t>
      </w:r>
      <w:r w:rsidRPr="00C17FDF">
        <w:rPr>
          <w:lang w:val="en-GB"/>
        </w:rPr>
        <w:t xml:space="preserve"> strains were applied during layering, soil improvement and irrigation in the nursery on petri and blackfoot disease pathogens, and the findings were compared with (standard) grapevines treated with quintozene/procymidone fungicides. The bioactivity of </w:t>
      </w:r>
      <w:r w:rsidRPr="001659EE">
        <w:rPr>
          <w:i/>
          <w:lang w:val="en-GB"/>
        </w:rPr>
        <w:t>T. harzianum</w:t>
      </w:r>
      <w:r w:rsidRPr="00C17FDF">
        <w:rPr>
          <w:lang w:val="en-GB"/>
        </w:rPr>
        <w:t xml:space="preserve"> Rifai KRL-AG2 strain was tested in pot trials to prevent </w:t>
      </w:r>
      <w:r w:rsidRPr="001659EE">
        <w:rPr>
          <w:i/>
          <w:lang w:val="en-GB"/>
        </w:rPr>
        <w:t>I. liriodendri</w:t>
      </w:r>
      <w:r w:rsidRPr="00C17FDF">
        <w:rPr>
          <w:lang w:val="en-GB"/>
        </w:rPr>
        <w:t xml:space="preserve"> infections during rooting of 1103 Paulsen vine rootstock in Aegean Region nurseries in Turkey. In pot trials, </w:t>
      </w:r>
      <w:r w:rsidRPr="001659EE">
        <w:rPr>
          <w:i/>
          <w:lang w:val="en-GB"/>
        </w:rPr>
        <w:t>T. harzianum</w:t>
      </w:r>
      <w:r w:rsidRPr="00C17FDF">
        <w:rPr>
          <w:lang w:val="en-GB"/>
        </w:rPr>
        <w:t xml:space="preserve"> Rifai KRL-AG2 strain significantly increased the vine root biomass when compared to the control and reduced the root disease severity by 60.8% by reducing necrosis in the roots (Yıldız and Tosun, 2022). In our study, the </w:t>
      </w:r>
      <w:r w:rsidRPr="001659EE">
        <w:rPr>
          <w:i/>
          <w:lang w:val="en-GB"/>
        </w:rPr>
        <w:t>Trichoderma harzianum</w:t>
      </w:r>
      <w:r w:rsidRPr="00C17FDF">
        <w:rPr>
          <w:lang w:val="en-GB"/>
        </w:rPr>
        <w:t xml:space="preserve"> Rifai KRL-AG2 bio-preparation applied to cuttings + sawdust and nursery soil reduced fungal disease incidence and increased the total sapling yield as much as the fludioxonil + cyprodinil application.</w:t>
      </w:r>
    </w:p>
    <w:p w14:paraId="608D9064" w14:textId="77777777" w:rsidR="00C17FDF" w:rsidRPr="00C17FDF" w:rsidRDefault="00C17FDF" w:rsidP="00C17FDF">
      <w:pPr>
        <w:spacing w:line="360" w:lineRule="auto"/>
        <w:jc w:val="both"/>
        <w:rPr>
          <w:lang w:val="en-GB"/>
        </w:rPr>
      </w:pPr>
      <w:r w:rsidRPr="00C17FDF">
        <w:rPr>
          <w:lang w:val="en-GB"/>
        </w:rPr>
        <w:t xml:space="preserve">It was observed that shoot growth was noticeably better in vines treated with </w:t>
      </w:r>
      <w:r w:rsidRPr="001659EE">
        <w:rPr>
          <w:i/>
          <w:lang w:val="en-GB"/>
        </w:rPr>
        <w:t>Trichoderma</w:t>
      </w:r>
      <w:r w:rsidRPr="00C17FDF">
        <w:rPr>
          <w:lang w:val="en-GB"/>
        </w:rPr>
        <w:t xml:space="preserve"> when compared to the control. Significantly fewer fungi were isolated from the roots of the </w:t>
      </w:r>
      <w:r w:rsidRPr="001659EE">
        <w:rPr>
          <w:i/>
          <w:lang w:val="en-GB"/>
        </w:rPr>
        <w:t>Trichoderma</w:t>
      </w:r>
      <w:r w:rsidRPr="00C17FDF">
        <w:rPr>
          <w:lang w:val="en-GB"/>
        </w:rPr>
        <w:t xml:space="preserve">-treated vines. The Petri disease incidence was similar in the roots treated with </w:t>
      </w:r>
      <w:r w:rsidRPr="001659EE">
        <w:rPr>
          <w:i/>
          <w:lang w:val="en-GB"/>
        </w:rPr>
        <w:t>Trichoderma</w:t>
      </w:r>
      <w:r w:rsidRPr="00C17FDF">
        <w:rPr>
          <w:lang w:val="en-GB"/>
        </w:rPr>
        <w:t xml:space="preserve"> and the standard application, but </w:t>
      </w:r>
      <w:r w:rsidRPr="001659EE">
        <w:rPr>
          <w:i/>
          <w:lang w:val="en-GB"/>
        </w:rPr>
        <w:t>Cylindrocarpon</w:t>
      </w:r>
      <w:r w:rsidRPr="00C17FDF">
        <w:rPr>
          <w:lang w:val="en-GB"/>
        </w:rPr>
        <w:t xml:space="preserve"> spp. was isolated less in </w:t>
      </w:r>
      <w:r w:rsidRPr="001659EE">
        <w:rPr>
          <w:i/>
          <w:lang w:val="en-GB"/>
        </w:rPr>
        <w:t>Trichoderma</w:t>
      </w:r>
      <w:r w:rsidRPr="00C17FDF">
        <w:rPr>
          <w:lang w:val="en-GB"/>
        </w:rPr>
        <w:t xml:space="preserve">-treated vines (Fourie et al., 2001). These findings demonstrated that </w:t>
      </w:r>
      <w:r w:rsidRPr="001659EE">
        <w:rPr>
          <w:i/>
          <w:lang w:val="en-GB"/>
        </w:rPr>
        <w:t xml:space="preserve">Trichoderma </w:t>
      </w:r>
      <w:r w:rsidRPr="00C17FDF">
        <w:rPr>
          <w:lang w:val="en-GB"/>
        </w:rPr>
        <w:t xml:space="preserve">treatment would contribute to strong vine growth with lower </w:t>
      </w:r>
      <w:r w:rsidRPr="001659EE">
        <w:rPr>
          <w:i/>
          <w:lang w:val="en-GB"/>
        </w:rPr>
        <w:t>Botryopshaeria</w:t>
      </w:r>
      <w:r w:rsidRPr="00C17FDF">
        <w:rPr>
          <w:lang w:val="en-GB"/>
        </w:rPr>
        <w:t xml:space="preserve"> and </w:t>
      </w:r>
      <w:r w:rsidRPr="001659EE">
        <w:rPr>
          <w:i/>
          <w:lang w:val="en-GB"/>
        </w:rPr>
        <w:t>Ilyonectria</w:t>
      </w:r>
      <w:r w:rsidRPr="00C17FDF">
        <w:rPr>
          <w:lang w:val="en-GB"/>
        </w:rPr>
        <w:t xml:space="preserve"> infection levels. </w:t>
      </w:r>
      <w:r w:rsidRPr="001659EE">
        <w:rPr>
          <w:i/>
          <w:lang w:val="en-GB"/>
        </w:rPr>
        <w:t>Trichoderma</w:t>
      </w:r>
      <w:r w:rsidRPr="00C17FDF">
        <w:rPr>
          <w:lang w:val="en-GB"/>
        </w:rPr>
        <w:t xml:space="preserve"> treatment could produce varying findings based on the sapling cultivation stage. </w:t>
      </w:r>
      <w:r w:rsidRPr="001659EE">
        <w:rPr>
          <w:i/>
          <w:lang w:val="en-GB"/>
        </w:rPr>
        <w:t>Trichoderma</w:t>
      </w:r>
      <w:r w:rsidRPr="00C17FDF">
        <w:rPr>
          <w:lang w:val="en-GB"/>
        </w:rPr>
        <w:t xml:space="preserve"> applications in rooting stage were the most effective, while the applications in callus development or the rooting and callus stages were inconsistent but generally produced negative results. </w:t>
      </w:r>
      <w:r w:rsidRPr="001659EE">
        <w:rPr>
          <w:i/>
          <w:lang w:val="en-GB"/>
        </w:rPr>
        <w:t>Trichoderma</w:t>
      </w:r>
      <w:r w:rsidRPr="00C17FDF">
        <w:rPr>
          <w:lang w:val="en-GB"/>
        </w:rPr>
        <w:t xml:space="preserve"> treatment also reduced necrotic areas induced by </w:t>
      </w:r>
      <w:r w:rsidRPr="001659EE">
        <w:rPr>
          <w:i/>
          <w:lang w:val="en-GB"/>
        </w:rPr>
        <w:t>B. cinerea</w:t>
      </w:r>
      <w:r w:rsidRPr="00C17FDF">
        <w:rPr>
          <w:lang w:val="en-GB"/>
        </w:rPr>
        <w:t xml:space="preserve"> in leaves and the degree of cutting necrosis in plants inoculated with </w:t>
      </w:r>
      <w:r w:rsidRPr="001659EE">
        <w:rPr>
          <w:i/>
          <w:lang w:val="en-GB"/>
        </w:rPr>
        <w:t>P. chlamydospora</w:t>
      </w:r>
      <w:r w:rsidRPr="00C17FDF">
        <w:rPr>
          <w:lang w:val="en-GB"/>
        </w:rPr>
        <w:t>. These reductions in necrosis were significantly higher 15 months after inoculation (Di Marco and Osti, 2007).</w:t>
      </w:r>
    </w:p>
    <w:p w14:paraId="31E92651" w14:textId="77777777" w:rsidR="00C17FDF" w:rsidRDefault="00C17FDF" w:rsidP="00C17FDF">
      <w:pPr>
        <w:spacing w:line="360" w:lineRule="auto"/>
        <w:jc w:val="both"/>
        <w:rPr>
          <w:lang w:val="en-GB"/>
        </w:rPr>
      </w:pPr>
      <w:r w:rsidRPr="00C17FDF">
        <w:rPr>
          <w:lang w:val="en-GB"/>
        </w:rPr>
        <w:t xml:space="preserve">Planting could stress vines in the nurseries and grafting could lead to detrimental changes in plant physiology (Bavaresco and Lovisolo, 2000). Among the bench grafting techniques, omega grafting is the most common grafting method in grapevine nurseries due to its high success rate. Little research has been conducted on grafting and grafting quality to date. Further studies are required to confirm the significance of GTDs in the development of graft quality (Gramaje and Di Marco, 2015). Soil fungicide applications and rooting and callus stages further improved the quantitative and qualitative properties of the root system and increased the rate of certified vine production. It was confirmed that </w:t>
      </w:r>
      <w:r w:rsidRPr="00476A8B">
        <w:rPr>
          <w:i/>
          <w:lang w:val="en-GB"/>
        </w:rPr>
        <w:t>Trichoderma</w:t>
      </w:r>
      <w:r w:rsidRPr="00C17FDF">
        <w:rPr>
          <w:lang w:val="en-GB"/>
        </w:rPr>
        <w:t xml:space="preserve"> application only during rooting had positive effects on the morphophysiological properties of the vine and increased the tolerance to stress-related diseases such as Esca forms in nurseries (Di Marco and Osti, 2007).</w:t>
      </w:r>
    </w:p>
    <w:p w14:paraId="0B89A44A" w14:textId="77777777" w:rsidR="00D7079E" w:rsidRDefault="00D7079E" w:rsidP="00C17FDF">
      <w:pPr>
        <w:spacing w:line="360" w:lineRule="auto"/>
        <w:jc w:val="both"/>
        <w:rPr>
          <w:b/>
          <w:lang w:val="en-GB"/>
        </w:rPr>
      </w:pPr>
    </w:p>
    <w:p w14:paraId="73C5E412" w14:textId="54E054AA" w:rsidR="00420194" w:rsidRPr="00D7079E" w:rsidRDefault="00D7079E" w:rsidP="00C17FDF">
      <w:pPr>
        <w:spacing w:line="360" w:lineRule="auto"/>
        <w:jc w:val="both"/>
        <w:rPr>
          <w:b/>
          <w:lang w:val="en-GB"/>
        </w:rPr>
      </w:pPr>
      <w:r w:rsidRPr="00D7079E">
        <w:rPr>
          <w:b/>
          <w:lang w:val="en-GB"/>
        </w:rPr>
        <w:t>CONCLUSION</w:t>
      </w:r>
    </w:p>
    <w:p w14:paraId="586FD108" w14:textId="2296EA04" w:rsidR="00C17FDF" w:rsidRPr="00C17FDF" w:rsidRDefault="00C17FDF" w:rsidP="00C17FDF">
      <w:pPr>
        <w:spacing w:line="360" w:lineRule="auto"/>
        <w:jc w:val="both"/>
        <w:rPr>
          <w:lang w:val="en-GB"/>
        </w:rPr>
      </w:pPr>
      <w:r w:rsidRPr="00C17FDF">
        <w:rPr>
          <w:lang w:val="en-GB"/>
        </w:rPr>
        <w:t xml:space="preserve">This study was conducted to determine the effects of fungicide and antagonist applications on the control of soil-borne fungal pathogens during sapling production. The effects of these applications on sapling yield, quality and root development were determined. In the study, </w:t>
      </w:r>
      <w:r w:rsidRPr="00476A8B">
        <w:rPr>
          <w:i/>
          <w:lang w:val="en-GB"/>
        </w:rPr>
        <w:t>F</w:t>
      </w:r>
      <w:r w:rsidR="00476A8B" w:rsidRPr="00476A8B">
        <w:rPr>
          <w:i/>
          <w:lang w:val="en-GB"/>
        </w:rPr>
        <w:t xml:space="preserve">. </w:t>
      </w:r>
      <w:r w:rsidRPr="00476A8B">
        <w:rPr>
          <w:i/>
          <w:lang w:val="en-GB"/>
        </w:rPr>
        <w:t xml:space="preserve">solani </w:t>
      </w:r>
      <w:r w:rsidRPr="00C17FDF">
        <w:rPr>
          <w:lang w:val="en-GB"/>
        </w:rPr>
        <w:t xml:space="preserve">and </w:t>
      </w:r>
      <w:r w:rsidRPr="00476A8B">
        <w:rPr>
          <w:i/>
          <w:lang w:val="en-GB"/>
        </w:rPr>
        <w:t>A</w:t>
      </w:r>
      <w:r w:rsidR="00476A8B" w:rsidRPr="00476A8B">
        <w:rPr>
          <w:i/>
          <w:lang w:val="en-GB"/>
        </w:rPr>
        <w:t>.</w:t>
      </w:r>
      <w:r w:rsidRPr="00476A8B">
        <w:rPr>
          <w:i/>
          <w:lang w:val="en-GB"/>
        </w:rPr>
        <w:t xml:space="preserve"> alternata</w:t>
      </w:r>
      <w:r w:rsidRPr="00C17FDF">
        <w:rPr>
          <w:lang w:val="en-GB"/>
        </w:rPr>
        <w:t xml:space="preserve"> species were the most frequently isolated species in the nursery at every stage. </w:t>
      </w:r>
      <w:r w:rsidRPr="00476A8B">
        <w:rPr>
          <w:i/>
          <w:lang w:val="en-GB"/>
        </w:rPr>
        <w:t>B. exigua</w:t>
      </w:r>
      <w:r w:rsidRPr="00C17FDF">
        <w:rPr>
          <w:lang w:val="en-GB"/>
        </w:rPr>
        <w:t xml:space="preserve"> var. </w:t>
      </w:r>
      <w:r w:rsidRPr="00476A8B">
        <w:rPr>
          <w:i/>
          <w:lang w:val="en-GB"/>
        </w:rPr>
        <w:t>exigua</w:t>
      </w:r>
      <w:r w:rsidRPr="00C17FDF">
        <w:rPr>
          <w:lang w:val="en-GB"/>
        </w:rPr>
        <w:t xml:space="preserve"> was isolated for the first time from cuttings during the production of grapevine seedlings and was registered in the NCBI Genbank. It was found that there was a synergism between </w:t>
      </w:r>
      <w:r w:rsidRPr="00476A8B">
        <w:rPr>
          <w:i/>
          <w:lang w:val="en-GB"/>
        </w:rPr>
        <w:t>B. exigua</w:t>
      </w:r>
      <w:r w:rsidRPr="00C17FDF">
        <w:rPr>
          <w:lang w:val="en-GB"/>
        </w:rPr>
        <w:t xml:space="preserve"> var. </w:t>
      </w:r>
      <w:r w:rsidRPr="00476A8B">
        <w:rPr>
          <w:i/>
          <w:lang w:val="en-GB"/>
        </w:rPr>
        <w:t>exigua</w:t>
      </w:r>
      <w:r w:rsidRPr="00C17FDF">
        <w:rPr>
          <w:lang w:val="en-GB"/>
        </w:rPr>
        <w:t xml:space="preserve"> and the pathogen </w:t>
      </w:r>
      <w:r w:rsidRPr="00476A8B">
        <w:rPr>
          <w:i/>
          <w:lang w:val="en-GB"/>
        </w:rPr>
        <w:t>F. solani</w:t>
      </w:r>
      <w:r w:rsidRPr="00C17FDF">
        <w:rPr>
          <w:lang w:val="en-GB"/>
        </w:rPr>
        <w:t xml:space="preserve"> and that it caused an increase in the frequency of isolation of </w:t>
      </w:r>
      <w:r w:rsidRPr="00476A8B">
        <w:rPr>
          <w:i/>
          <w:lang w:val="en-GB"/>
        </w:rPr>
        <w:t>F. solani</w:t>
      </w:r>
      <w:r w:rsidRPr="00C17FDF">
        <w:rPr>
          <w:lang w:val="en-GB"/>
        </w:rPr>
        <w:t xml:space="preserve"> after callus formation.  Bio-preparation of </w:t>
      </w:r>
      <w:r w:rsidRPr="00476A8B">
        <w:rPr>
          <w:i/>
          <w:lang w:val="en-GB"/>
        </w:rPr>
        <w:t>Trichoderma harzianum</w:t>
      </w:r>
      <w:r w:rsidRPr="00C17FDF">
        <w:rPr>
          <w:lang w:val="en-GB"/>
        </w:rPr>
        <w:t xml:space="preserve"> Rifai KRL-AG2 race and cyprodinil + fludioxanil active substances applied to cuttings+sawdusts and nursery soil both reduced the incidence of fungal trunk tissue and root rot diseases such as </w:t>
      </w:r>
      <w:r w:rsidRPr="00476A8B">
        <w:rPr>
          <w:i/>
          <w:lang w:val="en-GB"/>
        </w:rPr>
        <w:t>B. obtusa</w:t>
      </w:r>
      <w:r w:rsidRPr="00C17FDF">
        <w:rPr>
          <w:lang w:val="en-GB"/>
        </w:rPr>
        <w:t xml:space="preserve">, </w:t>
      </w:r>
      <w:r w:rsidRPr="00476A8B">
        <w:rPr>
          <w:i/>
          <w:lang w:val="en-GB"/>
        </w:rPr>
        <w:t>D. ampelina</w:t>
      </w:r>
      <w:r w:rsidRPr="00C17FDF">
        <w:rPr>
          <w:lang w:val="en-GB"/>
        </w:rPr>
        <w:t xml:space="preserve"> and </w:t>
      </w:r>
      <w:r w:rsidRPr="00476A8B">
        <w:rPr>
          <w:i/>
          <w:lang w:val="en-GB"/>
        </w:rPr>
        <w:t>I. liriodendri</w:t>
      </w:r>
      <w:r w:rsidRPr="00C17FDF">
        <w:rPr>
          <w:lang w:val="en-GB"/>
        </w:rPr>
        <w:t xml:space="preserve"> and increased the total yield of seedlings. This study is a recommendation for the control of root rot and wood diseases for nursery producers in Turkey who do not use fungicides or bio-preparation in the production of vine seedlings.</w:t>
      </w:r>
    </w:p>
    <w:p w14:paraId="6084166D" w14:textId="77777777" w:rsidR="00D92FAA" w:rsidRDefault="00D92FAA" w:rsidP="00C17FDF">
      <w:pPr>
        <w:spacing w:line="360" w:lineRule="auto"/>
        <w:jc w:val="both"/>
        <w:rPr>
          <w:lang w:val="en-GB"/>
        </w:rPr>
      </w:pPr>
    </w:p>
    <w:p w14:paraId="1E29738B" w14:textId="017C5E27" w:rsidR="00C17FDF" w:rsidRPr="00D92FAA" w:rsidRDefault="00D92FAA" w:rsidP="00C17FDF">
      <w:pPr>
        <w:spacing w:line="360" w:lineRule="auto"/>
        <w:jc w:val="both"/>
        <w:rPr>
          <w:b/>
          <w:lang w:val="en-GB"/>
        </w:rPr>
      </w:pPr>
      <w:r w:rsidRPr="00D92FAA">
        <w:rPr>
          <w:b/>
          <w:lang w:val="en-GB"/>
        </w:rPr>
        <w:t xml:space="preserve">REFERENCES </w:t>
      </w:r>
    </w:p>
    <w:p w14:paraId="374264B4" w14:textId="718FA450" w:rsidR="00C17FDF" w:rsidRPr="00C17FDF" w:rsidRDefault="00C17FDF" w:rsidP="00C17FDF">
      <w:pPr>
        <w:spacing w:line="360" w:lineRule="auto"/>
        <w:jc w:val="both"/>
        <w:rPr>
          <w:lang w:val="en-GB"/>
        </w:rPr>
      </w:pPr>
      <w:r w:rsidRPr="00C17FDF">
        <w:rPr>
          <w:lang w:val="en-GB"/>
        </w:rPr>
        <w:t xml:space="preserve">Akman, İ., </w:t>
      </w:r>
      <w:r w:rsidR="00C4191F">
        <w:rPr>
          <w:lang w:val="en-GB"/>
        </w:rPr>
        <w:t>Ilgın, C. (1993):</w:t>
      </w:r>
      <w:r w:rsidRPr="00C17FDF">
        <w:rPr>
          <w:lang w:val="en-GB"/>
        </w:rPr>
        <w:t xml:space="preserve"> The effect of layering material used in germination on sapling yield and quality in grafted grapevine sapling production. Viticulture Research Ins., Publication No: 52. Manisa, Turkey.</w:t>
      </w:r>
    </w:p>
    <w:p w14:paraId="091E12A1" w14:textId="273CD7CC" w:rsidR="00C17FDF" w:rsidRPr="00C17FDF" w:rsidRDefault="00C17FDF" w:rsidP="00C17FDF">
      <w:pPr>
        <w:spacing w:line="360" w:lineRule="auto"/>
        <w:jc w:val="both"/>
        <w:rPr>
          <w:lang w:val="en-GB"/>
        </w:rPr>
      </w:pPr>
      <w:r w:rsidRPr="00C17FDF">
        <w:rPr>
          <w:lang w:val="en-GB"/>
        </w:rPr>
        <w:t>Al-Fadhal F.A., AL-Ab</w:t>
      </w:r>
      <w:r w:rsidR="00C4191F">
        <w:rPr>
          <w:lang w:val="en-GB"/>
        </w:rPr>
        <w:t>edy A.N., Alkhafije D.A. (2019):</w:t>
      </w:r>
      <w:r w:rsidRPr="00C17FDF">
        <w:rPr>
          <w:lang w:val="en-GB"/>
        </w:rPr>
        <w:t xml:space="preserve"> Isolation and molecular identification of </w:t>
      </w:r>
      <w:r w:rsidRPr="00C4191F">
        <w:rPr>
          <w:i/>
          <w:lang w:val="en-GB"/>
        </w:rPr>
        <w:t>Rhizoctonia solani</w:t>
      </w:r>
      <w:r w:rsidRPr="00C17FDF">
        <w:rPr>
          <w:lang w:val="en-GB"/>
        </w:rPr>
        <w:t xml:space="preserve"> and </w:t>
      </w:r>
      <w:r w:rsidRPr="00C4191F">
        <w:rPr>
          <w:i/>
          <w:lang w:val="en-GB"/>
        </w:rPr>
        <w:t>Fusarium solani</w:t>
      </w:r>
      <w:r w:rsidRPr="00C17FDF">
        <w:rPr>
          <w:lang w:val="en-GB"/>
        </w:rPr>
        <w:t xml:space="preserve"> isolated from cucumber (</w:t>
      </w:r>
      <w:r w:rsidRPr="00C4191F">
        <w:rPr>
          <w:i/>
          <w:lang w:val="en-GB"/>
        </w:rPr>
        <w:t>Cucumis sativus</w:t>
      </w:r>
      <w:r w:rsidRPr="00C17FDF">
        <w:rPr>
          <w:lang w:val="en-GB"/>
        </w:rPr>
        <w:t xml:space="preserve"> L.) and their control feasibility by </w:t>
      </w:r>
      <w:r w:rsidRPr="00C4191F">
        <w:rPr>
          <w:i/>
          <w:lang w:val="en-GB"/>
        </w:rPr>
        <w:t>Pseudomonas fluorescens</w:t>
      </w:r>
      <w:r w:rsidRPr="00C17FDF">
        <w:rPr>
          <w:lang w:val="en-GB"/>
        </w:rPr>
        <w:t xml:space="preserve"> and </w:t>
      </w:r>
      <w:r w:rsidRPr="00C4191F">
        <w:rPr>
          <w:i/>
          <w:lang w:val="en-GB"/>
        </w:rPr>
        <w:t>Bacillus subtilis</w:t>
      </w:r>
      <w:r w:rsidRPr="00C17FDF">
        <w:rPr>
          <w:lang w:val="en-GB"/>
        </w:rPr>
        <w:t xml:space="preserve">. Egyptian Journal </w:t>
      </w:r>
      <w:r w:rsidR="00C4191F">
        <w:rPr>
          <w:lang w:val="en-GB"/>
        </w:rPr>
        <w:t xml:space="preserve">of Biological Pest Control, 29: </w:t>
      </w:r>
      <w:r w:rsidRPr="00C17FDF">
        <w:rPr>
          <w:lang w:val="en-GB"/>
        </w:rPr>
        <w:t>47. https://doi.org/10.1186/s41938-019-0145-5</w:t>
      </w:r>
    </w:p>
    <w:p w14:paraId="61BD57AB" w14:textId="413C1120" w:rsidR="00C17FDF" w:rsidRPr="00C17FDF" w:rsidRDefault="00C17FDF" w:rsidP="00C17FDF">
      <w:pPr>
        <w:spacing w:line="360" w:lineRule="auto"/>
        <w:jc w:val="both"/>
        <w:rPr>
          <w:lang w:val="en-GB"/>
        </w:rPr>
      </w:pPr>
      <w:r w:rsidRPr="00C17FDF">
        <w:rPr>
          <w:lang w:val="en-GB"/>
        </w:rPr>
        <w:t xml:space="preserve">Bavaresco, L., </w:t>
      </w:r>
      <w:r w:rsidR="004509D6">
        <w:rPr>
          <w:lang w:val="en-GB"/>
        </w:rPr>
        <w:t>Lovisolo, C. (2000):</w:t>
      </w:r>
      <w:r w:rsidRPr="00C17FDF">
        <w:rPr>
          <w:lang w:val="en-GB"/>
        </w:rPr>
        <w:t xml:space="preserve"> Effect of grafting on grape-vine chlorosis and hyd</w:t>
      </w:r>
      <w:r w:rsidR="0097182E">
        <w:rPr>
          <w:lang w:val="en-GB"/>
        </w:rPr>
        <w:t xml:space="preserve">raulic conductivity. Vitis, 39: </w:t>
      </w:r>
      <w:r w:rsidRPr="00C17FDF">
        <w:rPr>
          <w:lang w:val="en-GB"/>
        </w:rPr>
        <w:t>89–92.</w:t>
      </w:r>
    </w:p>
    <w:p w14:paraId="37D92944" w14:textId="0D4115FA" w:rsidR="00C17FDF" w:rsidRPr="00C17FDF" w:rsidRDefault="00C17FDF" w:rsidP="00C17FDF">
      <w:pPr>
        <w:spacing w:line="360" w:lineRule="auto"/>
        <w:jc w:val="both"/>
        <w:rPr>
          <w:lang w:val="en-GB"/>
        </w:rPr>
      </w:pPr>
      <w:r w:rsidRPr="00C17FDF">
        <w:rPr>
          <w:lang w:val="en-GB"/>
        </w:rPr>
        <w:t>Be</w:t>
      </w:r>
      <w:r w:rsidR="004509D6">
        <w:rPr>
          <w:lang w:val="en-GB"/>
        </w:rPr>
        <w:t>cker, H., &amp; Hiller, M.H. (1977):</w:t>
      </w:r>
      <w:r w:rsidRPr="00C17FDF">
        <w:rPr>
          <w:lang w:val="en-GB"/>
        </w:rPr>
        <w:t xml:space="preserve"> Hygiene in modern bench grafting. American Journal of Enology and Viticulture, 28, 113–118.</w:t>
      </w:r>
    </w:p>
    <w:p w14:paraId="2110EFFE" w14:textId="72A4C50B" w:rsidR="00C17FDF" w:rsidRPr="00C17FDF" w:rsidRDefault="00C17FDF" w:rsidP="00C17FDF">
      <w:pPr>
        <w:spacing w:line="360" w:lineRule="auto"/>
        <w:jc w:val="both"/>
        <w:rPr>
          <w:lang w:val="en-GB"/>
        </w:rPr>
      </w:pPr>
      <w:r w:rsidRPr="00C17FDF">
        <w:rPr>
          <w:lang w:val="en-GB"/>
        </w:rPr>
        <w:t>Berlanas, C., Oj</w:t>
      </w:r>
      <w:r w:rsidR="004509D6">
        <w:rPr>
          <w:lang w:val="en-GB"/>
        </w:rPr>
        <w:t xml:space="preserve">eda, S., Lopez-Manzanares, B., </w:t>
      </w:r>
      <w:r w:rsidRPr="00C17FDF">
        <w:rPr>
          <w:lang w:val="en-GB"/>
        </w:rPr>
        <w:t>Andres-Sodupe, M., Bujanda, R., Mart´ınez-Diz, M.P.,  D´ıaz</w:t>
      </w:r>
      <w:r w:rsidR="004509D6">
        <w:rPr>
          <w:lang w:val="en-GB"/>
        </w:rPr>
        <w:t>-Losada, E., Gramaje, G. (2020):</w:t>
      </w:r>
      <w:r w:rsidRPr="00C17FDF">
        <w:rPr>
          <w:lang w:val="en-GB"/>
        </w:rPr>
        <w:t xml:space="preserve"> Occurrence and Diversity of Black-Foot Disease Fungi in Symptomless Grapevine Nursery Stoc</w:t>
      </w:r>
      <w:r w:rsidR="004509D6">
        <w:rPr>
          <w:lang w:val="en-GB"/>
        </w:rPr>
        <w:t xml:space="preserve">k in Spain. Plant Disease, 104: </w:t>
      </w:r>
      <w:r w:rsidRPr="00C17FDF">
        <w:rPr>
          <w:lang w:val="en-GB"/>
        </w:rPr>
        <w:t>94-10. https://doi.org/10.1094/PDIS-03-19-0484-RE.</w:t>
      </w:r>
    </w:p>
    <w:p w14:paraId="21D3B865" w14:textId="7C10381A" w:rsidR="00C17FDF" w:rsidRPr="00C17FDF" w:rsidRDefault="00C17FDF" w:rsidP="00C17FDF">
      <w:pPr>
        <w:spacing w:line="360" w:lineRule="auto"/>
        <w:jc w:val="both"/>
        <w:rPr>
          <w:lang w:val="en-GB"/>
        </w:rPr>
      </w:pPr>
      <w:r w:rsidRPr="00C17FDF">
        <w:rPr>
          <w:lang w:val="en-GB"/>
        </w:rPr>
        <w:t>Cangi, R.,</w:t>
      </w:r>
      <w:r w:rsidR="004509D6">
        <w:rPr>
          <w:lang w:val="en-GB"/>
        </w:rPr>
        <w:t xml:space="preserve"> Yanar, Y., Yılmaz, Y.D. (2019):</w:t>
      </w:r>
      <w:r w:rsidRPr="00C17FDF">
        <w:rPr>
          <w:lang w:val="en-GB"/>
        </w:rPr>
        <w:t xml:space="preserve"> Effects of Brining and Picking Time on the Degradation of Pesticide Residue in Grapevine Leaves. Turkish Journal of Agriculture - </w:t>
      </w:r>
      <w:r w:rsidR="00773566">
        <w:rPr>
          <w:lang w:val="en-GB"/>
        </w:rPr>
        <w:t>Food Science and Technology, 7(11):</w:t>
      </w:r>
      <w:r w:rsidR="002C68E3">
        <w:rPr>
          <w:lang w:val="en-GB"/>
        </w:rPr>
        <w:t xml:space="preserve"> </w:t>
      </w:r>
      <w:r w:rsidRPr="00C17FDF">
        <w:rPr>
          <w:lang w:val="en-GB"/>
        </w:rPr>
        <w:t>1773–1779. https://doi.org/10.24925/turjaf.v7i11.1773-1779.2505</w:t>
      </w:r>
    </w:p>
    <w:p w14:paraId="5255BB5B" w14:textId="62CB0E88" w:rsidR="00C17FDF" w:rsidRPr="00C17FDF" w:rsidRDefault="00C17FDF" w:rsidP="00C17FDF">
      <w:pPr>
        <w:spacing w:line="360" w:lineRule="auto"/>
        <w:jc w:val="both"/>
        <w:rPr>
          <w:lang w:val="en-GB"/>
        </w:rPr>
      </w:pPr>
      <w:r w:rsidRPr="00C17FDF">
        <w:rPr>
          <w:lang w:val="en-GB"/>
        </w:rPr>
        <w:t>Cakır, E., Bahtiyarca Bağda</w:t>
      </w:r>
      <w:r w:rsidR="00773566">
        <w:rPr>
          <w:lang w:val="en-GB"/>
        </w:rPr>
        <w:t>t, R., Sarıgül Ertek, T. (2021):</w:t>
      </w:r>
      <w:r w:rsidRPr="00C17FDF">
        <w:rPr>
          <w:lang w:val="en-GB"/>
        </w:rPr>
        <w:t xml:space="preserve"> Fungal pathogens of oregano occurring at the breeding plots in Ankara. Journal Pla</w:t>
      </w:r>
      <w:r w:rsidR="00773566">
        <w:rPr>
          <w:lang w:val="en-GB"/>
        </w:rPr>
        <w:t xml:space="preserve">nt Disease and Protection, 128: </w:t>
      </w:r>
      <w:r w:rsidRPr="00C17FDF">
        <w:rPr>
          <w:lang w:val="en-GB"/>
        </w:rPr>
        <w:t>1367–1370. https://doi.org/10.1007/s41348-021-00469-4</w:t>
      </w:r>
    </w:p>
    <w:p w14:paraId="3E016288" w14:textId="48BA10A3" w:rsidR="00C17FDF" w:rsidRPr="00C17FDF" w:rsidRDefault="00C17FDF" w:rsidP="00C17FDF">
      <w:pPr>
        <w:spacing w:line="360" w:lineRule="auto"/>
        <w:jc w:val="both"/>
        <w:rPr>
          <w:lang w:val="en-GB"/>
        </w:rPr>
      </w:pPr>
      <w:r w:rsidRPr="00C17FDF">
        <w:rPr>
          <w:lang w:val="en-GB"/>
        </w:rPr>
        <w:t>Celik, H.,</w:t>
      </w:r>
      <w:r w:rsidR="00773566">
        <w:rPr>
          <w:lang w:val="en-GB"/>
        </w:rPr>
        <w:t xml:space="preserve"> Demir, I., Marasalı, B. (1991):</w:t>
      </w:r>
      <w:r w:rsidRPr="00C17FDF">
        <w:rPr>
          <w:lang w:val="en-GB"/>
        </w:rPr>
        <w:t xml:space="preserve"> Current Status of Grapevine Sapling Production in Turkey. Turkey I. Nursery Symposium, Ankara, 5968.</w:t>
      </w:r>
    </w:p>
    <w:p w14:paraId="562DD864" w14:textId="29C59DCD" w:rsidR="00C17FDF" w:rsidRPr="00C17FDF" w:rsidRDefault="00773566" w:rsidP="00C17FDF">
      <w:pPr>
        <w:spacing w:line="360" w:lineRule="auto"/>
        <w:jc w:val="both"/>
        <w:rPr>
          <w:lang w:val="en-GB"/>
        </w:rPr>
      </w:pPr>
      <w:r>
        <w:rPr>
          <w:lang w:val="en-GB"/>
        </w:rPr>
        <w:t>Cenis, J.L. (1992):</w:t>
      </w:r>
      <w:r w:rsidR="00C17FDF" w:rsidRPr="00C17FDF">
        <w:rPr>
          <w:lang w:val="en-GB"/>
        </w:rPr>
        <w:t xml:space="preserve"> Rapid extraction of fungal DNA for PCR ampli</w:t>
      </w:r>
      <w:r>
        <w:rPr>
          <w:lang w:val="en-GB"/>
        </w:rPr>
        <w:t>fication, Nucleic Acids Res. 20:</w:t>
      </w:r>
      <w:r w:rsidR="00C17FDF" w:rsidRPr="00C17FDF">
        <w:rPr>
          <w:lang w:val="en-GB"/>
        </w:rPr>
        <w:t xml:space="preserve"> 2380.</w:t>
      </w:r>
    </w:p>
    <w:p w14:paraId="37D35E21" w14:textId="2230BED9" w:rsidR="00C17FDF" w:rsidRPr="00C17FDF" w:rsidRDefault="00C17FDF" w:rsidP="00C17FDF">
      <w:pPr>
        <w:spacing w:line="360" w:lineRule="auto"/>
        <w:jc w:val="both"/>
        <w:rPr>
          <w:lang w:val="en-GB"/>
        </w:rPr>
      </w:pPr>
      <w:r w:rsidRPr="00C17FDF">
        <w:rPr>
          <w:lang w:val="en-GB"/>
        </w:rPr>
        <w:t>Cruz, A.F., Pires, M.C., Soares, W.R.O., Rezende, D.V., Blum, L.E.B. (2014). Soil-Borne Plant Pathogens Associated to Decline of Grapevine Grown in Greenhouse. Journal</w:t>
      </w:r>
      <w:r w:rsidR="00773566">
        <w:rPr>
          <w:lang w:val="en-GB"/>
        </w:rPr>
        <w:t xml:space="preserve"> Plant Physiology Pathology, 2: </w:t>
      </w:r>
      <w:r w:rsidRPr="00C17FDF">
        <w:rPr>
          <w:lang w:val="en-GB"/>
        </w:rPr>
        <w:t>1. doi:http://dx.doi.org/10.4172/2329-955X.1000115</w:t>
      </w:r>
    </w:p>
    <w:p w14:paraId="42CEDDBF" w14:textId="36956996" w:rsidR="00C17FDF" w:rsidRPr="00C17FDF" w:rsidRDefault="00C17FDF" w:rsidP="00C17FDF">
      <w:pPr>
        <w:spacing w:line="360" w:lineRule="auto"/>
        <w:jc w:val="both"/>
        <w:rPr>
          <w:lang w:val="en-GB"/>
        </w:rPr>
      </w:pPr>
      <w:r w:rsidRPr="00C17FDF">
        <w:rPr>
          <w:lang w:val="en-GB"/>
        </w:rPr>
        <w:t>Davidson, J. A., Hartley, D., Priest, M., Herdina, M. K., McKay, A., and Scott, E. S. (2009). A new species of Phoma causes ascochyta blight symptoms on field peas (Pisum sativum) in S</w:t>
      </w:r>
      <w:r w:rsidR="00773566">
        <w:rPr>
          <w:lang w:val="en-GB"/>
        </w:rPr>
        <w:t xml:space="preserve">outh Australia. Mycologia, 101: </w:t>
      </w:r>
      <w:r w:rsidRPr="00C17FDF">
        <w:rPr>
          <w:lang w:val="en-GB"/>
        </w:rPr>
        <w:t>120–128. doi: 10.3852/07-199</w:t>
      </w:r>
    </w:p>
    <w:p w14:paraId="151DC65A" w14:textId="719BED48" w:rsidR="00C17FDF" w:rsidRPr="00C17FDF" w:rsidRDefault="00C17FDF" w:rsidP="00C17FDF">
      <w:pPr>
        <w:spacing w:line="360" w:lineRule="auto"/>
        <w:jc w:val="both"/>
        <w:rPr>
          <w:lang w:val="en-GB"/>
        </w:rPr>
      </w:pPr>
      <w:r w:rsidRPr="00C17FDF">
        <w:rPr>
          <w:lang w:val="en-GB"/>
        </w:rPr>
        <w:t>Davari, M., Hajieghrari, B. (200</w:t>
      </w:r>
      <w:r w:rsidR="00773566">
        <w:rPr>
          <w:lang w:val="en-GB"/>
        </w:rPr>
        <w:t>8):</w:t>
      </w:r>
      <w:r w:rsidRPr="00C17FDF">
        <w:rPr>
          <w:lang w:val="en-GB"/>
        </w:rPr>
        <w:t xml:space="preserve"> </w:t>
      </w:r>
      <w:r w:rsidRPr="00773566">
        <w:rPr>
          <w:i/>
          <w:lang w:val="en-GB"/>
        </w:rPr>
        <w:t>Phoma negriana</w:t>
      </w:r>
      <w:r w:rsidRPr="00C17FDF">
        <w:rPr>
          <w:lang w:val="en-GB"/>
        </w:rPr>
        <w:t>, a new invasive pathogen for Moghan's vineyards in Iran. African Journal of Biotechnology, 7, 6, 788-79.</w:t>
      </w:r>
    </w:p>
    <w:p w14:paraId="324F15A1" w14:textId="193DE3BD" w:rsidR="00C17FDF" w:rsidRPr="00C17FDF" w:rsidRDefault="00C17FDF" w:rsidP="00C17FDF">
      <w:pPr>
        <w:spacing w:line="360" w:lineRule="auto"/>
        <w:jc w:val="both"/>
        <w:rPr>
          <w:lang w:val="en-GB"/>
        </w:rPr>
      </w:pPr>
      <w:r w:rsidRPr="00C17FDF">
        <w:rPr>
          <w:lang w:val="en-GB"/>
        </w:rPr>
        <w:t>Di Marco, S., Mazzullo, A., C</w:t>
      </w:r>
      <w:r w:rsidR="00960CC8">
        <w:rPr>
          <w:lang w:val="en-GB"/>
        </w:rPr>
        <w:t>alzarano, F., Cesari, A. (2000):</w:t>
      </w:r>
      <w:r w:rsidRPr="00C17FDF">
        <w:rPr>
          <w:lang w:val="en-GB"/>
        </w:rPr>
        <w:t xml:space="preserve"> The control of Esca: status and perspectives. Phytopathology Mediterra</w:t>
      </w:r>
      <w:r w:rsidR="00960CC8">
        <w:rPr>
          <w:lang w:val="en-GB"/>
        </w:rPr>
        <w:t xml:space="preserve">nean, 39 (1): </w:t>
      </w:r>
      <w:r w:rsidRPr="00C17FDF">
        <w:rPr>
          <w:lang w:val="en-GB"/>
        </w:rPr>
        <w:t>232–240.</w:t>
      </w:r>
    </w:p>
    <w:p w14:paraId="1EFD9E67" w14:textId="4977FF1E" w:rsidR="00C17FDF" w:rsidRPr="00C17FDF" w:rsidRDefault="00C17FDF" w:rsidP="00C17FDF">
      <w:pPr>
        <w:spacing w:line="360" w:lineRule="auto"/>
        <w:jc w:val="both"/>
        <w:rPr>
          <w:lang w:val="en-GB"/>
        </w:rPr>
      </w:pPr>
      <w:r w:rsidRPr="00C17FDF">
        <w:rPr>
          <w:lang w:val="en-GB"/>
        </w:rPr>
        <w:t>Di</w:t>
      </w:r>
      <w:r w:rsidR="00960CC8">
        <w:rPr>
          <w:lang w:val="en-GB"/>
        </w:rPr>
        <w:t xml:space="preserve">az, G.A., Latorre, B.A. (2013): </w:t>
      </w:r>
      <w:r w:rsidRPr="00C17FDF">
        <w:rPr>
          <w:lang w:val="en-GB"/>
        </w:rPr>
        <w:t>“Efficacy of paste and liquid fungicide formulations to protect pruning wounds against pathogens associated with grapevine trunk diseases</w:t>
      </w:r>
      <w:r w:rsidR="00960CC8">
        <w:rPr>
          <w:lang w:val="en-GB"/>
        </w:rPr>
        <w:t xml:space="preserve"> in Chile”. Crop Protecion, 46: </w:t>
      </w:r>
      <w:r w:rsidRPr="00C17FDF">
        <w:rPr>
          <w:lang w:val="en-GB"/>
        </w:rPr>
        <w:t>106-112.</w:t>
      </w:r>
    </w:p>
    <w:p w14:paraId="02B291E4" w14:textId="679C127A" w:rsidR="00C17FDF" w:rsidRPr="00C17FDF" w:rsidRDefault="00960CC8" w:rsidP="00C17FDF">
      <w:pPr>
        <w:spacing w:line="360" w:lineRule="auto"/>
        <w:jc w:val="both"/>
        <w:rPr>
          <w:lang w:val="en-GB"/>
        </w:rPr>
      </w:pPr>
      <w:r>
        <w:rPr>
          <w:lang w:val="en-GB"/>
        </w:rPr>
        <w:t>Delen, N. (2008):</w:t>
      </w:r>
      <w:r w:rsidR="00C17FDF" w:rsidRPr="00C17FDF">
        <w:rPr>
          <w:lang w:val="en-GB"/>
        </w:rPr>
        <w:t xml:space="preserve"> Fungicides. Ankara, Turkey: Nobel Press. </w:t>
      </w:r>
    </w:p>
    <w:p w14:paraId="17937B59" w14:textId="5CB7E22F" w:rsidR="00C17FDF" w:rsidRPr="00C17FDF" w:rsidRDefault="00960CC8" w:rsidP="00C17FDF">
      <w:pPr>
        <w:spacing w:line="360" w:lineRule="auto"/>
        <w:jc w:val="both"/>
        <w:rPr>
          <w:lang w:val="en-GB"/>
        </w:rPr>
      </w:pPr>
      <w:r>
        <w:rPr>
          <w:lang w:val="en-GB"/>
        </w:rPr>
        <w:t>FAOSTAT. 2021:</w:t>
      </w:r>
      <w:r w:rsidR="00C17FDF" w:rsidRPr="00C17FDF">
        <w:rPr>
          <w:lang w:val="en-GB"/>
        </w:rPr>
        <w:t xml:space="preserve"> Product. http://www.fao.org/faostat/en/#data/QC [Accessed June 25, 2021].</w:t>
      </w:r>
    </w:p>
    <w:p w14:paraId="0FEFBC8F" w14:textId="131DB96C" w:rsidR="00C17FDF" w:rsidRPr="00C17FDF" w:rsidRDefault="00C17FDF" w:rsidP="00C17FDF">
      <w:pPr>
        <w:spacing w:line="360" w:lineRule="auto"/>
        <w:jc w:val="both"/>
        <w:rPr>
          <w:lang w:val="en-GB"/>
        </w:rPr>
      </w:pPr>
      <w:r w:rsidRPr="00C17FDF">
        <w:rPr>
          <w:lang w:val="en-GB"/>
        </w:rPr>
        <w:t xml:space="preserve">Fourie, P.H., Halleen, F., Van Der </w:t>
      </w:r>
      <w:r w:rsidR="00C651D2">
        <w:rPr>
          <w:lang w:val="en-GB"/>
        </w:rPr>
        <w:t>Vyver, J., Schreuder, W. (2001):</w:t>
      </w:r>
      <w:r w:rsidRPr="00C17FDF">
        <w:rPr>
          <w:lang w:val="en-GB"/>
        </w:rPr>
        <w:t xml:space="preserve"> Effect of Trichoderma treatments on the occurrence of decline pathogens in the roots and rootstocks of nursery grapevines. P</w:t>
      </w:r>
      <w:r w:rsidR="00C651D2">
        <w:rPr>
          <w:lang w:val="en-GB"/>
        </w:rPr>
        <w:t>hytopathology Mediterranean, 40:</w:t>
      </w:r>
      <w:r w:rsidRPr="00C17FDF">
        <w:rPr>
          <w:lang w:val="en-GB"/>
        </w:rPr>
        <w:t xml:space="preserve"> 473–478.</w:t>
      </w:r>
    </w:p>
    <w:p w14:paraId="7B217F68" w14:textId="49D7B3CF" w:rsidR="00C17FDF" w:rsidRPr="00C17FDF" w:rsidRDefault="00C17FDF" w:rsidP="00C17FDF">
      <w:pPr>
        <w:spacing w:line="360" w:lineRule="auto"/>
        <w:jc w:val="both"/>
        <w:rPr>
          <w:lang w:val="en-GB"/>
        </w:rPr>
      </w:pPr>
      <w:r w:rsidRPr="00C17FDF">
        <w:rPr>
          <w:lang w:val="en-GB"/>
        </w:rPr>
        <w:t>Gramaje, D., Úrbez-Torre</w:t>
      </w:r>
      <w:r w:rsidR="00C651D2">
        <w:rPr>
          <w:lang w:val="en-GB"/>
        </w:rPr>
        <w:t>s, J.R., Sosnowski, M.R. (2018):</w:t>
      </w:r>
      <w:r w:rsidRPr="00C17FDF">
        <w:rPr>
          <w:lang w:val="en-GB"/>
        </w:rPr>
        <w:t xml:space="preserve"> Managing Grapevine Trunk Diseases With Respect to Etiology and Epidemiology: Current Strategies and Future Prospects. Plant Disease.</w:t>
      </w:r>
    </w:p>
    <w:p w14:paraId="4F21A13B" w14:textId="1E096824" w:rsidR="00C17FDF" w:rsidRPr="00C17FDF" w:rsidRDefault="00C651D2" w:rsidP="00C17FDF">
      <w:pPr>
        <w:spacing w:line="360" w:lineRule="auto"/>
        <w:jc w:val="both"/>
        <w:rPr>
          <w:lang w:val="en-GB"/>
        </w:rPr>
      </w:pPr>
      <w:r>
        <w:rPr>
          <w:lang w:val="en-GB"/>
        </w:rPr>
        <w:t xml:space="preserve">Gramaje, D., Di Marco, S. (2015): </w:t>
      </w:r>
      <w:r w:rsidR="00C17FDF" w:rsidRPr="00C17FDF">
        <w:rPr>
          <w:lang w:val="en-GB"/>
        </w:rPr>
        <w:t>Identifying practices likely to have impacts on grapevine trunk disease infections: a European nursery survey. Ph</w:t>
      </w:r>
      <w:r>
        <w:rPr>
          <w:lang w:val="en-GB"/>
        </w:rPr>
        <w:t>ytopathology Mediterranean, 54: (2)</w:t>
      </w:r>
      <w:r w:rsidR="00C17FDF" w:rsidRPr="00C17FDF">
        <w:rPr>
          <w:lang w:val="en-GB"/>
        </w:rPr>
        <w:t xml:space="preserve"> 313−324.   </w:t>
      </w:r>
    </w:p>
    <w:p w14:paraId="5833365D" w14:textId="73541F8D" w:rsidR="00C17FDF" w:rsidRPr="00C17FDF" w:rsidRDefault="00C17FDF" w:rsidP="00C17FDF">
      <w:pPr>
        <w:spacing w:line="360" w:lineRule="auto"/>
        <w:jc w:val="both"/>
        <w:rPr>
          <w:lang w:val="en-GB"/>
        </w:rPr>
      </w:pPr>
      <w:r w:rsidRPr="00C17FDF">
        <w:rPr>
          <w:lang w:val="en-GB"/>
        </w:rPr>
        <w:t xml:space="preserve">Halleen F., Crous P.W., Petrini O. </w:t>
      </w:r>
      <w:r w:rsidR="00C651D2">
        <w:rPr>
          <w:lang w:val="en-GB"/>
        </w:rPr>
        <w:t>(</w:t>
      </w:r>
      <w:r w:rsidRPr="00C17FDF">
        <w:rPr>
          <w:lang w:val="en-GB"/>
        </w:rPr>
        <w:t>2003</w:t>
      </w:r>
      <w:r w:rsidR="00C651D2">
        <w:rPr>
          <w:lang w:val="en-GB"/>
        </w:rPr>
        <w:t>):</w:t>
      </w:r>
      <w:r w:rsidRPr="00C17FDF">
        <w:rPr>
          <w:lang w:val="en-GB"/>
        </w:rPr>
        <w:t xml:space="preserve"> Fungi associated with healthy grapevine cuttings in nurseries, with special reference to pathogens involved in the decline of young vines. Australasian Plant Pathology, 32: 47–52.</w:t>
      </w:r>
    </w:p>
    <w:p w14:paraId="3FB97722" w14:textId="3C13BD6B" w:rsidR="00C17FDF" w:rsidRPr="00C17FDF" w:rsidRDefault="00C651D2" w:rsidP="00C17FDF">
      <w:pPr>
        <w:spacing w:line="360" w:lineRule="auto"/>
        <w:jc w:val="both"/>
        <w:rPr>
          <w:lang w:val="en-GB"/>
        </w:rPr>
      </w:pPr>
      <w:r>
        <w:rPr>
          <w:lang w:val="en-GB"/>
        </w:rPr>
        <w:t xml:space="preserve">Ilter, E., Uzun I. (1991): </w:t>
      </w:r>
      <w:r w:rsidR="00C17FDF" w:rsidRPr="00C17FDF">
        <w:rPr>
          <w:lang w:val="en-GB"/>
        </w:rPr>
        <w:t>The importance and drawbacks of grapevine nursery in Turkey. Turkey 1st Nursery Symposium (26-28 October 1987), Ankara, Turkey: Symposium Press.</w:t>
      </w:r>
    </w:p>
    <w:p w14:paraId="491C3C07" w14:textId="2259C91D" w:rsidR="00C17FDF" w:rsidRPr="00C17FDF" w:rsidRDefault="00C17FDF" w:rsidP="00C17FDF">
      <w:pPr>
        <w:spacing w:line="360" w:lineRule="auto"/>
        <w:jc w:val="both"/>
        <w:rPr>
          <w:lang w:val="en-GB"/>
        </w:rPr>
      </w:pPr>
      <w:r w:rsidRPr="00C17FDF">
        <w:rPr>
          <w:lang w:val="en-GB"/>
        </w:rPr>
        <w:t>Koike, S. T., Subbarao, K.V., Verkley, G.J.M., F</w:t>
      </w:r>
      <w:r w:rsidR="00824720">
        <w:rPr>
          <w:lang w:val="en-GB"/>
        </w:rPr>
        <w:t>ogle, D., O’Neill, T. M. (2006):</w:t>
      </w:r>
      <w:r w:rsidRPr="00824720">
        <w:rPr>
          <w:i/>
          <w:lang w:val="en-GB"/>
        </w:rPr>
        <w:t xml:space="preserve"> Phoma</w:t>
      </w:r>
      <w:r w:rsidRPr="00C17FDF">
        <w:rPr>
          <w:lang w:val="en-GB"/>
        </w:rPr>
        <w:t xml:space="preserve"> basal rot of romaine lettuce in California caused by </w:t>
      </w:r>
      <w:r w:rsidRPr="00824720">
        <w:rPr>
          <w:i/>
          <w:lang w:val="en-GB"/>
        </w:rPr>
        <w:t>Phoma exigua</w:t>
      </w:r>
      <w:r w:rsidRPr="00C17FDF">
        <w:rPr>
          <w:lang w:val="en-GB"/>
        </w:rPr>
        <w:t>: Occurrence, characterization,</w:t>
      </w:r>
      <w:r w:rsidR="00824720">
        <w:rPr>
          <w:lang w:val="en-GB"/>
        </w:rPr>
        <w:t xml:space="preserve"> and control. Plant Disease, 90: </w:t>
      </w:r>
      <w:r w:rsidRPr="00C17FDF">
        <w:rPr>
          <w:lang w:val="en-GB"/>
        </w:rPr>
        <w:t>1268-1275.</w:t>
      </w:r>
    </w:p>
    <w:p w14:paraId="5B37A8DD" w14:textId="3165560E" w:rsidR="00C17FDF" w:rsidRPr="00C17FDF" w:rsidRDefault="00C17FDF" w:rsidP="00C17FDF">
      <w:pPr>
        <w:spacing w:line="360" w:lineRule="auto"/>
        <w:jc w:val="both"/>
        <w:rPr>
          <w:lang w:val="en-GB"/>
        </w:rPr>
      </w:pPr>
      <w:r w:rsidRPr="00C17FDF">
        <w:rPr>
          <w:lang w:val="en-GB"/>
        </w:rPr>
        <w:t>Korkutal I., Kaygusuz G., Bayram S</w:t>
      </w:r>
      <w:r w:rsidR="00824720">
        <w:rPr>
          <w:lang w:val="en-GB"/>
        </w:rPr>
        <w:t>. (2011):</w:t>
      </w:r>
      <w:r w:rsidRPr="00C17FDF">
        <w:rPr>
          <w:lang w:val="en-GB"/>
        </w:rPr>
        <w:t xml:space="preserve"> “Different effect of scion types on callusing in bench grafting”. African Jo</w:t>
      </w:r>
      <w:r w:rsidR="002C68E3">
        <w:rPr>
          <w:lang w:val="en-GB"/>
        </w:rPr>
        <w:t xml:space="preserve">urnal of Biotechnology, 10 (67): </w:t>
      </w:r>
      <w:r w:rsidRPr="00C17FDF">
        <w:rPr>
          <w:lang w:val="en-GB"/>
        </w:rPr>
        <w:t>15123-15129.</w:t>
      </w:r>
    </w:p>
    <w:p w14:paraId="01561BB4" w14:textId="77777777" w:rsidR="00C17FDF" w:rsidRPr="00C17FDF" w:rsidRDefault="00C17FDF" w:rsidP="00C17FDF">
      <w:pPr>
        <w:spacing w:line="360" w:lineRule="auto"/>
        <w:jc w:val="both"/>
        <w:rPr>
          <w:lang w:val="en-GB"/>
        </w:rPr>
      </w:pPr>
      <w:r w:rsidRPr="00C17FDF">
        <w:rPr>
          <w:lang w:val="en-GB"/>
        </w:rPr>
        <w:t>Koycu, N.D., Ozer, C., Coskuntuna, A., Ozer, N. (2006). The control of fungal diseases on vine grafts during callus formation. 12th Congress of the Mediterranean Phytopathological Union, (Rhodes Island, Greece: JRC Press), 475-477.</w:t>
      </w:r>
    </w:p>
    <w:p w14:paraId="5F716DB4" w14:textId="091DBA54" w:rsidR="00C17FDF" w:rsidRPr="00C17FDF" w:rsidRDefault="00824720" w:rsidP="00C17FDF">
      <w:pPr>
        <w:spacing w:line="360" w:lineRule="auto"/>
        <w:jc w:val="both"/>
        <w:rPr>
          <w:lang w:val="en-GB"/>
        </w:rPr>
      </w:pPr>
      <w:r>
        <w:rPr>
          <w:lang w:val="en-GB"/>
        </w:rPr>
        <w:t>Król, E. (2006):</w:t>
      </w:r>
      <w:r w:rsidR="00C17FDF" w:rsidRPr="00C17FDF">
        <w:rPr>
          <w:lang w:val="en-GB"/>
        </w:rPr>
        <w:t xml:space="preserve"> Fungi Inhabiting Decaying Grapevine (</w:t>
      </w:r>
      <w:r w:rsidR="00C17FDF" w:rsidRPr="002C68E3">
        <w:rPr>
          <w:i/>
          <w:lang w:val="en-GB"/>
        </w:rPr>
        <w:t>Vitis</w:t>
      </w:r>
      <w:r w:rsidR="00C17FDF" w:rsidRPr="00C17FDF">
        <w:rPr>
          <w:lang w:val="en-GB"/>
        </w:rPr>
        <w:t xml:space="preserve"> spp.) Cuttings.  Journal of</w:t>
      </w:r>
      <w:r w:rsidR="00C5706A">
        <w:rPr>
          <w:lang w:val="en-GB"/>
        </w:rPr>
        <w:t xml:space="preserve"> Plant Protection Research, 46 (4): </w:t>
      </w:r>
      <w:r w:rsidR="00C17FDF" w:rsidRPr="00C17FDF">
        <w:rPr>
          <w:lang w:val="en-GB"/>
        </w:rPr>
        <w:t>353-358.</w:t>
      </w:r>
    </w:p>
    <w:p w14:paraId="1D8A7DC4" w14:textId="23C08C2D" w:rsidR="00C17FDF" w:rsidRPr="00C17FDF" w:rsidRDefault="00C17FDF" w:rsidP="00C17FDF">
      <w:pPr>
        <w:spacing w:line="360" w:lineRule="auto"/>
        <w:jc w:val="both"/>
        <w:rPr>
          <w:lang w:val="en-GB"/>
        </w:rPr>
      </w:pPr>
      <w:r w:rsidRPr="00C17FDF">
        <w:rPr>
          <w:lang w:val="en-GB"/>
        </w:rPr>
        <w:t>Lade, S.B., Štraus</w:t>
      </w:r>
      <w:r w:rsidR="00C5706A">
        <w:rPr>
          <w:lang w:val="en-GB"/>
        </w:rPr>
        <w:t>, D., Oliva, J. (2022):</w:t>
      </w:r>
      <w:r w:rsidRPr="00C17FDF">
        <w:rPr>
          <w:lang w:val="en-GB"/>
        </w:rPr>
        <w:t xml:space="preserve">  Variation in Fungal Community in Grapevine (Vitis vinifera) Nursery Stock Depends on Nursery, Variety and Rootstock. Journal Fungi, 8, 47.</w:t>
      </w:r>
    </w:p>
    <w:p w14:paraId="6507924E" w14:textId="06878787" w:rsidR="00C17FDF" w:rsidRPr="00C17FDF" w:rsidRDefault="00C17FDF" w:rsidP="00C17FDF">
      <w:pPr>
        <w:spacing w:line="360" w:lineRule="auto"/>
        <w:jc w:val="both"/>
        <w:rPr>
          <w:lang w:val="en-GB"/>
        </w:rPr>
      </w:pPr>
      <w:r w:rsidRPr="00C17FDF">
        <w:rPr>
          <w:lang w:val="en-GB"/>
        </w:rPr>
        <w:t>Lamichhane, J.R., Venturi, V. (2015)</w:t>
      </w:r>
      <w:r w:rsidR="00C5706A">
        <w:rPr>
          <w:lang w:val="en-GB"/>
        </w:rPr>
        <w:t>:</w:t>
      </w:r>
      <w:r w:rsidRPr="00C17FDF">
        <w:rPr>
          <w:lang w:val="en-GB"/>
        </w:rPr>
        <w:t xml:space="preserve"> Synergisms between microbial pathogens in plant disease complexes: a growing tre</w:t>
      </w:r>
      <w:r w:rsidR="00C5706A">
        <w:rPr>
          <w:lang w:val="en-GB"/>
        </w:rPr>
        <w:t xml:space="preserve">nd. Frontiers Plant Science, 6: </w:t>
      </w:r>
      <w:r w:rsidRPr="00C17FDF">
        <w:rPr>
          <w:lang w:val="en-GB"/>
        </w:rPr>
        <w:t>385. doi: 10.3389/fpls.2015.00385</w:t>
      </w:r>
    </w:p>
    <w:p w14:paraId="6E84ACD3" w14:textId="26ADA58C" w:rsidR="00C17FDF" w:rsidRPr="00C17FDF" w:rsidRDefault="00C17FDF" w:rsidP="00C17FDF">
      <w:pPr>
        <w:spacing w:line="360" w:lineRule="auto"/>
        <w:jc w:val="both"/>
        <w:rPr>
          <w:lang w:val="en-GB"/>
        </w:rPr>
      </w:pPr>
      <w:r w:rsidRPr="00C17FDF">
        <w:rPr>
          <w:lang w:val="en-GB"/>
        </w:rPr>
        <w:t>Machowicz-S</w:t>
      </w:r>
      <w:r w:rsidR="00C5706A">
        <w:rPr>
          <w:lang w:val="en-GB"/>
        </w:rPr>
        <w:t>tefaniak, Z., Krol, E. (2006):</w:t>
      </w:r>
      <w:r w:rsidRPr="00C17FDF">
        <w:rPr>
          <w:lang w:val="en-GB"/>
        </w:rPr>
        <w:t xml:space="preserve"> Characterization of </w:t>
      </w:r>
      <w:r w:rsidRPr="00B32C30">
        <w:rPr>
          <w:i/>
          <w:lang w:val="en-GB"/>
        </w:rPr>
        <w:t>Phoma negriana</w:t>
      </w:r>
      <w:r w:rsidRPr="00C17FDF">
        <w:rPr>
          <w:lang w:val="en-GB"/>
        </w:rPr>
        <w:t xml:space="preserve"> thun. A new species from grapevine canes. Acta Mycol. 1: 14-16.</w:t>
      </w:r>
    </w:p>
    <w:p w14:paraId="72E70978" w14:textId="2C362DBD" w:rsidR="00C17FDF" w:rsidRPr="00C17FDF" w:rsidRDefault="00C17FDF" w:rsidP="00C17FDF">
      <w:pPr>
        <w:spacing w:line="360" w:lineRule="auto"/>
        <w:jc w:val="both"/>
        <w:rPr>
          <w:lang w:val="en-GB"/>
        </w:rPr>
      </w:pPr>
      <w:r w:rsidRPr="00C17FDF">
        <w:rPr>
          <w:lang w:val="en-GB"/>
        </w:rPr>
        <w:t>Mirzaei, S., Goltapeh, E.M., Shams-Bakhsh, M.,</w:t>
      </w:r>
      <w:r w:rsidR="00C5706A">
        <w:rPr>
          <w:lang w:val="en-GB"/>
        </w:rPr>
        <w:t xml:space="preserve"> Safaie, N., Chaichi, M. (2009):</w:t>
      </w:r>
      <w:r w:rsidRPr="00C17FDF">
        <w:rPr>
          <w:lang w:val="en-GB"/>
        </w:rPr>
        <w:t xml:space="preserve"> Genetic and Phenotypic Diversity among Botrytis cinerea Isolates i</w:t>
      </w:r>
      <w:r w:rsidR="00C5706A">
        <w:rPr>
          <w:lang w:val="en-GB"/>
        </w:rPr>
        <w:t xml:space="preserve">n Iran. Journal Phytopath. 157: </w:t>
      </w:r>
      <w:r w:rsidRPr="00C17FDF">
        <w:rPr>
          <w:lang w:val="en-GB"/>
        </w:rPr>
        <w:t>474–482.</w:t>
      </w:r>
    </w:p>
    <w:p w14:paraId="24633350" w14:textId="278A37CC" w:rsidR="00C17FDF" w:rsidRPr="00C17FDF" w:rsidRDefault="00C17FDF" w:rsidP="00C17FDF">
      <w:pPr>
        <w:spacing w:line="360" w:lineRule="auto"/>
        <w:jc w:val="both"/>
        <w:rPr>
          <w:lang w:val="en-GB"/>
        </w:rPr>
      </w:pPr>
      <w:r w:rsidRPr="00C17FDF">
        <w:rPr>
          <w:lang w:val="en-GB"/>
        </w:rPr>
        <w:t xml:space="preserve">Mondello, V., Songy, A., Battiston, E., Pinto, C., Coppin, C., Trotel-Aziz, P., Clément, C., </w:t>
      </w:r>
      <w:r w:rsidR="00C5706A">
        <w:rPr>
          <w:lang w:val="en-GB"/>
        </w:rPr>
        <w:t>Mugnai, L., Fontaine, F. (2018):</w:t>
      </w:r>
      <w:r w:rsidRPr="00C17FDF">
        <w:rPr>
          <w:lang w:val="en-GB"/>
        </w:rPr>
        <w:t xml:space="preserve">  Grapevine Trunk Diseases: A Review of Fifteen Years of Trials for Their Control with Chemicals and Bio-contr</w:t>
      </w:r>
      <w:r w:rsidR="00C5706A">
        <w:rPr>
          <w:lang w:val="en-GB"/>
        </w:rPr>
        <w:t>ol Agents. Plant Diseases, 102:</w:t>
      </w:r>
      <w:r w:rsidRPr="00C17FDF">
        <w:rPr>
          <w:lang w:val="en-GB"/>
        </w:rPr>
        <w:t>1189–1217.</w:t>
      </w:r>
    </w:p>
    <w:p w14:paraId="0CB43B23" w14:textId="60FA2394" w:rsidR="00C17FDF" w:rsidRPr="00C17FDF" w:rsidRDefault="00C17FDF" w:rsidP="00C17FDF">
      <w:pPr>
        <w:spacing w:line="360" w:lineRule="auto"/>
        <w:jc w:val="both"/>
        <w:rPr>
          <w:lang w:val="en-GB"/>
        </w:rPr>
      </w:pPr>
      <w:r w:rsidRPr="00C17FDF">
        <w:rPr>
          <w:lang w:val="en-GB"/>
        </w:rPr>
        <w:t>Mostert, L.,</w:t>
      </w:r>
      <w:r w:rsidR="0097035A">
        <w:rPr>
          <w:lang w:val="en-GB"/>
        </w:rPr>
        <w:t xml:space="preserve"> Denman, S., Crous, P.W. (2000):</w:t>
      </w:r>
      <w:r w:rsidRPr="00C17FDF">
        <w:rPr>
          <w:lang w:val="en-GB"/>
        </w:rPr>
        <w:t xml:space="preserve">  In vitro screening of fungicides against </w:t>
      </w:r>
      <w:r w:rsidRPr="0097035A">
        <w:rPr>
          <w:i/>
          <w:lang w:val="en-GB"/>
        </w:rPr>
        <w:t>Phomopsis viticola</w:t>
      </w:r>
      <w:r w:rsidRPr="00C17FDF">
        <w:rPr>
          <w:lang w:val="en-GB"/>
        </w:rPr>
        <w:t xml:space="preserve"> and </w:t>
      </w:r>
      <w:r w:rsidRPr="0097035A">
        <w:rPr>
          <w:i/>
          <w:lang w:val="en-GB"/>
        </w:rPr>
        <w:t>Diaporthe perjunc</w:t>
      </w:r>
      <w:r w:rsidR="0097035A" w:rsidRPr="0097035A">
        <w:rPr>
          <w:i/>
          <w:lang w:val="en-GB"/>
        </w:rPr>
        <w:t>ta</w:t>
      </w:r>
      <w:r w:rsidR="0097035A">
        <w:rPr>
          <w:lang w:val="en-GB"/>
        </w:rPr>
        <w:t>. Enology Viticultural, 2000 (</w:t>
      </w:r>
      <w:r w:rsidRPr="00C17FDF">
        <w:rPr>
          <w:lang w:val="en-GB"/>
        </w:rPr>
        <w:t>21</w:t>
      </w:r>
      <w:r w:rsidR="0097035A">
        <w:rPr>
          <w:lang w:val="en-GB"/>
        </w:rPr>
        <w:t xml:space="preserve">): </w:t>
      </w:r>
      <w:r w:rsidRPr="00C17FDF">
        <w:rPr>
          <w:lang w:val="en-GB"/>
        </w:rPr>
        <w:t>62–65.</w:t>
      </w:r>
    </w:p>
    <w:p w14:paraId="794D7498" w14:textId="77777777" w:rsidR="00C17FDF" w:rsidRPr="00C17FDF" w:rsidRDefault="00C17FDF" w:rsidP="00C17FDF">
      <w:pPr>
        <w:spacing w:line="360" w:lineRule="auto"/>
        <w:jc w:val="both"/>
        <w:rPr>
          <w:lang w:val="en-GB"/>
        </w:rPr>
      </w:pPr>
      <w:r w:rsidRPr="00C17FDF">
        <w:rPr>
          <w:lang w:val="en-GB"/>
        </w:rPr>
        <w:t xml:space="preserve">Omer A.D., Granett J., Wakeman R.J. (1999).  Pathogenicity of </w:t>
      </w:r>
      <w:r w:rsidRPr="0097035A">
        <w:rPr>
          <w:i/>
          <w:lang w:val="en-GB"/>
        </w:rPr>
        <w:t>Fusarium oxysporum</w:t>
      </w:r>
      <w:r w:rsidRPr="00C17FDF">
        <w:rPr>
          <w:lang w:val="en-GB"/>
        </w:rPr>
        <w:t xml:space="preserve"> on different vitis rootstocks. Journal of Phytopathology, 147, 433-436.</w:t>
      </w:r>
    </w:p>
    <w:p w14:paraId="2B7EE4FB" w14:textId="5C97E779" w:rsidR="00C17FDF" w:rsidRPr="00C17FDF" w:rsidRDefault="00C17FDF" w:rsidP="00C17FDF">
      <w:pPr>
        <w:spacing w:line="360" w:lineRule="auto"/>
        <w:jc w:val="both"/>
        <w:rPr>
          <w:lang w:val="en-GB"/>
        </w:rPr>
      </w:pPr>
      <w:r w:rsidRPr="00C17FDF">
        <w:rPr>
          <w:lang w:val="en-GB"/>
        </w:rPr>
        <w:t>Petit, E., Barriault, E., Baumgartner, K., Wilcox</w:t>
      </w:r>
      <w:r w:rsidR="0097035A">
        <w:rPr>
          <w:lang w:val="en-GB"/>
        </w:rPr>
        <w:t>, W.F., Rolshausen, P.E. (2011):</w:t>
      </w:r>
      <w:r w:rsidRPr="00C17FDF">
        <w:rPr>
          <w:lang w:val="en-GB"/>
        </w:rPr>
        <w:t xml:space="preserve"> </w:t>
      </w:r>
      <w:r w:rsidRPr="0097035A">
        <w:rPr>
          <w:i/>
          <w:lang w:val="en-GB"/>
        </w:rPr>
        <w:t>Cylindrocarpon</w:t>
      </w:r>
      <w:r w:rsidRPr="00C17FDF">
        <w:rPr>
          <w:lang w:val="en-GB"/>
        </w:rPr>
        <w:t xml:space="preserve"> species associated with black-foot of grapevine in Northeastern United States and Southeastern Canada. American Journal </w:t>
      </w:r>
      <w:r w:rsidR="0097035A">
        <w:rPr>
          <w:lang w:val="en-GB"/>
        </w:rPr>
        <w:t xml:space="preserve">of Enology and Viticulture, 62: </w:t>
      </w:r>
      <w:r w:rsidRPr="00C17FDF">
        <w:rPr>
          <w:lang w:val="en-GB"/>
        </w:rPr>
        <w:t>177-183.</w:t>
      </w:r>
    </w:p>
    <w:p w14:paraId="3E232B1B" w14:textId="6D6CADF4" w:rsidR="00C17FDF" w:rsidRPr="00C17FDF" w:rsidRDefault="00C17FDF" w:rsidP="00C17FDF">
      <w:pPr>
        <w:spacing w:line="360" w:lineRule="auto"/>
        <w:jc w:val="both"/>
        <w:rPr>
          <w:lang w:val="en-GB"/>
        </w:rPr>
      </w:pPr>
      <w:r w:rsidRPr="00C17FDF">
        <w:rPr>
          <w:lang w:val="en-GB"/>
        </w:rPr>
        <w:t>Pears</w:t>
      </w:r>
      <w:r w:rsidR="0097035A">
        <w:rPr>
          <w:lang w:val="en-GB"/>
        </w:rPr>
        <w:t>on, C.R., &amp; Goheen, A.C. (1988):</w:t>
      </w:r>
      <w:r w:rsidRPr="00C17FDF">
        <w:rPr>
          <w:lang w:val="en-GB"/>
        </w:rPr>
        <w:t xml:space="preserve"> Compendium of Grapevine Diseases. St Paul, MN, USA: APS Press. </w:t>
      </w:r>
    </w:p>
    <w:p w14:paraId="66396DF1" w14:textId="707AB6C3" w:rsidR="00C17FDF" w:rsidRPr="00C17FDF" w:rsidRDefault="00C17FDF" w:rsidP="00C17FDF">
      <w:pPr>
        <w:spacing w:line="360" w:lineRule="auto"/>
        <w:jc w:val="both"/>
        <w:rPr>
          <w:lang w:val="en-GB"/>
        </w:rPr>
      </w:pPr>
      <w:r w:rsidRPr="00C17FDF">
        <w:rPr>
          <w:lang w:val="en-GB"/>
        </w:rPr>
        <w:t>Pitt, W.M., Sosnowski, M.R., Huang, R., Qiu, Y., St</w:t>
      </w:r>
      <w:r w:rsidR="0097035A">
        <w:rPr>
          <w:lang w:val="en-GB"/>
        </w:rPr>
        <w:t>eel, C.C., Savocchia, S. (2012):</w:t>
      </w:r>
      <w:r w:rsidRPr="00C17FDF">
        <w:rPr>
          <w:lang w:val="en-GB"/>
        </w:rPr>
        <w:t xml:space="preserve"> Evaluation of fungicides for the management of Botryosphaeria canker o</w:t>
      </w:r>
      <w:r w:rsidR="0097035A">
        <w:rPr>
          <w:lang w:val="en-GB"/>
        </w:rPr>
        <w:t>f grapevines. Plant Disease, 96:</w:t>
      </w:r>
      <w:r w:rsidRPr="00C17FDF">
        <w:rPr>
          <w:lang w:val="en-GB"/>
        </w:rPr>
        <w:t xml:space="preserve"> 1303–1308.</w:t>
      </w:r>
    </w:p>
    <w:p w14:paraId="443BAD2A" w14:textId="5E70EC35" w:rsidR="00C17FDF" w:rsidRPr="00C17FDF" w:rsidRDefault="00C17FDF" w:rsidP="00C17FDF">
      <w:pPr>
        <w:spacing w:line="360" w:lineRule="auto"/>
        <w:jc w:val="both"/>
        <w:rPr>
          <w:lang w:val="en-GB"/>
        </w:rPr>
      </w:pPr>
      <w:r w:rsidRPr="00C17FDF">
        <w:rPr>
          <w:lang w:val="en-GB"/>
        </w:rPr>
        <w:t xml:space="preserve">Rego, C., Farropas, L., Nascimento, T., </w:t>
      </w:r>
      <w:r w:rsidR="0097035A">
        <w:rPr>
          <w:lang w:val="en-GB"/>
        </w:rPr>
        <w:t>Cabral, A., Oliveira, H. (2006):</w:t>
      </w:r>
      <w:r w:rsidRPr="00C17FDF">
        <w:rPr>
          <w:lang w:val="en-GB"/>
        </w:rPr>
        <w:t xml:space="preserve"> Black foot of grapevine, sensitivity of Cylindrocarpon destructans to fungicides. Ph</w:t>
      </w:r>
      <w:r w:rsidR="0097035A">
        <w:rPr>
          <w:lang w:val="en-GB"/>
        </w:rPr>
        <w:t xml:space="preserve">ytopathology Mediterranean, 45: </w:t>
      </w:r>
      <w:r w:rsidRPr="00C17FDF">
        <w:rPr>
          <w:lang w:val="en-GB"/>
        </w:rPr>
        <w:t>93–100.</w:t>
      </w:r>
    </w:p>
    <w:p w14:paraId="406EEC57" w14:textId="6036D9C2" w:rsidR="00C17FDF" w:rsidRPr="00C17FDF" w:rsidRDefault="00C17FDF" w:rsidP="00C17FDF">
      <w:pPr>
        <w:spacing w:line="360" w:lineRule="auto"/>
        <w:jc w:val="both"/>
        <w:rPr>
          <w:lang w:val="en-GB"/>
        </w:rPr>
      </w:pPr>
      <w:r w:rsidRPr="00C17FDF">
        <w:rPr>
          <w:lang w:val="en-GB"/>
        </w:rPr>
        <w:t>Rego C., Nascimento T., Cabral A.</w:t>
      </w:r>
      <w:r w:rsidR="0097035A">
        <w:rPr>
          <w:lang w:val="en-GB"/>
        </w:rPr>
        <w:t>, Silva Mj., Oliveira H. (2009):</w:t>
      </w:r>
      <w:r w:rsidRPr="00C17FDF">
        <w:rPr>
          <w:lang w:val="en-GB"/>
        </w:rPr>
        <w:t xml:space="preserve"> Control of grapevine wood fungi in commercial nurseries. Ph</w:t>
      </w:r>
      <w:r w:rsidR="0097035A">
        <w:rPr>
          <w:lang w:val="en-GB"/>
        </w:rPr>
        <w:t xml:space="preserve">ytopathology Mediterranean, 48: </w:t>
      </w:r>
      <w:r w:rsidRPr="00C17FDF">
        <w:rPr>
          <w:lang w:val="en-GB"/>
        </w:rPr>
        <w:t>128–135.</w:t>
      </w:r>
    </w:p>
    <w:p w14:paraId="7A6D9567" w14:textId="39C2290D" w:rsidR="00C17FDF" w:rsidRPr="00C17FDF" w:rsidRDefault="00C17FDF" w:rsidP="00C17FDF">
      <w:pPr>
        <w:spacing w:line="360" w:lineRule="auto"/>
        <w:jc w:val="both"/>
        <w:rPr>
          <w:lang w:val="en-GB"/>
        </w:rPr>
      </w:pPr>
      <w:r w:rsidRPr="00C17FDF">
        <w:rPr>
          <w:lang w:val="en-GB"/>
        </w:rPr>
        <w:t>Santos, J.A., Fraga, H., Malheiro, A. C., Moutinho Pereira, J., Dinis, L</w:t>
      </w:r>
      <w:r w:rsidR="0097035A">
        <w:rPr>
          <w:lang w:val="en-GB"/>
        </w:rPr>
        <w:t xml:space="preserve">.T., Correia, C., et al. (2020): </w:t>
      </w:r>
      <w:r w:rsidRPr="00C17FDF">
        <w:rPr>
          <w:lang w:val="en-GB"/>
        </w:rPr>
        <w:t>A review of the potential climate change impacts and adaptation options for European viticulture. Appl. Sci., 10, 3092. doi: 10.3390/app10093092.</w:t>
      </w:r>
    </w:p>
    <w:p w14:paraId="59097B6A" w14:textId="302FDFC9" w:rsidR="00C17FDF" w:rsidRPr="00C17FDF" w:rsidRDefault="00A74EEB" w:rsidP="00C17FDF">
      <w:pPr>
        <w:spacing w:line="360" w:lineRule="auto"/>
        <w:jc w:val="both"/>
        <w:rPr>
          <w:lang w:val="en-GB"/>
        </w:rPr>
      </w:pPr>
      <w:r>
        <w:rPr>
          <w:lang w:val="en-GB"/>
        </w:rPr>
        <w:t>Sen, A., &amp; Yağcı, A. (2016):</w:t>
      </w:r>
      <w:r w:rsidR="00C17FDF" w:rsidRPr="00C17FDF">
        <w:rPr>
          <w:lang w:val="en-GB"/>
        </w:rPr>
        <w:t xml:space="preserve">  Effects of Different Rooting Sites on Sapling Yield and Quality in Grapevine Sapling Production. Fruit Science, 3: 22-28.</w:t>
      </w:r>
    </w:p>
    <w:p w14:paraId="5BD07A08" w14:textId="3DA1C30C" w:rsidR="00C17FDF" w:rsidRPr="00C17FDF" w:rsidRDefault="00C17FDF" w:rsidP="00C17FDF">
      <w:pPr>
        <w:spacing w:line="360" w:lineRule="auto"/>
        <w:jc w:val="both"/>
        <w:rPr>
          <w:lang w:val="en-GB"/>
        </w:rPr>
      </w:pPr>
      <w:r w:rsidRPr="00C17FDF">
        <w:rPr>
          <w:lang w:val="en-GB"/>
        </w:rPr>
        <w:t>Scheper, R.W.A., Wh</w:t>
      </w:r>
      <w:r w:rsidR="00BB4519">
        <w:rPr>
          <w:lang w:val="en-GB"/>
        </w:rPr>
        <w:t>isson, D.L., Scott, E.S. (1997):</w:t>
      </w:r>
      <w:r w:rsidRPr="00C17FDF">
        <w:rPr>
          <w:lang w:val="en-GB"/>
        </w:rPr>
        <w:t xml:space="preserve"> Revised disease cycles of the two types of Phomopsis on grapevine. Grapegrower and Winemaker, 9: 41–44.</w:t>
      </w:r>
    </w:p>
    <w:p w14:paraId="67E66DA7" w14:textId="73D43110" w:rsidR="00C17FDF" w:rsidRPr="00C17FDF" w:rsidRDefault="00C17FDF" w:rsidP="00C17FDF">
      <w:pPr>
        <w:spacing w:line="360" w:lineRule="auto"/>
        <w:jc w:val="both"/>
        <w:rPr>
          <w:lang w:val="en-GB"/>
        </w:rPr>
      </w:pPr>
      <w:r w:rsidRPr="00C17FDF">
        <w:rPr>
          <w:lang w:val="en-GB"/>
        </w:rPr>
        <w:t>Tan, J.W.</w:t>
      </w:r>
      <w:r w:rsidR="00BB4519">
        <w:rPr>
          <w:lang w:val="en-GB"/>
        </w:rPr>
        <w:t xml:space="preserve"> &amp; Rodríguez López, C.M. (2023):</w:t>
      </w:r>
      <w:r w:rsidRPr="00C17FDF">
        <w:rPr>
          <w:lang w:val="en-GB"/>
        </w:rPr>
        <w:t xml:space="preserve"> Epigenomics: a new tool for the generation of climate resilient grape</w:t>
      </w:r>
      <w:r w:rsidR="00BB4519">
        <w:rPr>
          <w:lang w:val="en-GB"/>
        </w:rPr>
        <w:t xml:space="preserve">vines. Frontiers Horticulture, 2: </w:t>
      </w:r>
      <w:r w:rsidRPr="00C17FDF">
        <w:rPr>
          <w:lang w:val="en-GB"/>
        </w:rPr>
        <w:t>1116866. doi: 10.3389/fhort.2023.1116866.</w:t>
      </w:r>
    </w:p>
    <w:p w14:paraId="0E099D53" w14:textId="46D87DF5" w:rsidR="00C17FDF" w:rsidRPr="00C17FDF" w:rsidRDefault="00C17FDF" w:rsidP="00C17FDF">
      <w:pPr>
        <w:spacing w:line="360" w:lineRule="auto"/>
        <w:jc w:val="both"/>
        <w:rPr>
          <w:lang w:val="en-GB"/>
        </w:rPr>
      </w:pPr>
      <w:r w:rsidRPr="00C17FDF">
        <w:rPr>
          <w:lang w:val="en-GB"/>
        </w:rPr>
        <w:t>Úrbez-Torres J. R., Peduto F.,</w:t>
      </w:r>
      <w:r w:rsidR="00BB4519">
        <w:rPr>
          <w:lang w:val="en-GB"/>
        </w:rPr>
        <w:t xml:space="preserve"> Smith R., and Gubler W. (2013):</w:t>
      </w:r>
      <w:r w:rsidRPr="00C17FDF">
        <w:rPr>
          <w:lang w:val="en-GB"/>
        </w:rPr>
        <w:t xml:space="preserve"> </w:t>
      </w:r>
      <w:r w:rsidRPr="00BB4519">
        <w:rPr>
          <w:i/>
          <w:lang w:val="en-GB"/>
        </w:rPr>
        <w:t>Phomopsis</w:t>
      </w:r>
      <w:r w:rsidRPr="00C17FDF">
        <w:rPr>
          <w:lang w:val="en-GB"/>
        </w:rPr>
        <w:t xml:space="preserve"> dieback: A grapevine trunk disease caused by Phomopsis viticola in </w:t>
      </w:r>
      <w:r w:rsidR="00BB4519">
        <w:rPr>
          <w:lang w:val="en-GB"/>
        </w:rPr>
        <w:t xml:space="preserve">California. Plant Diseases, 97: </w:t>
      </w:r>
      <w:r w:rsidRPr="00C17FDF">
        <w:rPr>
          <w:lang w:val="en-GB"/>
        </w:rPr>
        <w:t>1571–1579. doi: 10.1094/PDIS-11-12-1072-RE.</w:t>
      </w:r>
    </w:p>
    <w:p w14:paraId="21E54415" w14:textId="7BC9A973" w:rsidR="00C17FDF" w:rsidRPr="00C17FDF" w:rsidRDefault="00C17FDF" w:rsidP="00C17FDF">
      <w:pPr>
        <w:spacing w:line="360" w:lineRule="auto"/>
        <w:jc w:val="both"/>
        <w:rPr>
          <w:lang w:val="en-GB"/>
        </w:rPr>
      </w:pPr>
      <w:r w:rsidRPr="00C17FDF">
        <w:rPr>
          <w:lang w:val="en-GB"/>
        </w:rPr>
        <w:t>White, T.J., Bruns, T., S-Lee, S., Taylor, J.W. (1990</w:t>
      </w:r>
      <w:r w:rsidR="00BB4519">
        <w:rPr>
          <w:lang w:val="en-GB"/>
        </w:rPr>
        <w:t>):</w:t>
      </w:r>
      <w:r w:rsidRPr="00C17FDF">
        <w:rPr>
          <w:lang w:val="en-GB"/>
        </w:rPr>
        <w:t xml:space="preserve"> Amplification and direct sequencing of fungal ribosomal RNA genes for phylogenetic. In PCR Protocols: A Guide to Methods and Applications, eds. M.A. Innis, D.H. Gel-fand, J.J. Sninsky, T.J. White (New York, Academic Press) 315–322.</w:t>
      </w:r>
    </w:p>
    <w:p w14:paraId="7371A5AE" w14:textId="3291891F" w:rsidR="00C17FDF" w:rsidRPr="00C17FDF" w:rsidRDefault="00BB4519" w:rsidP="00C17FDF">
      <w:pPr>
        <w:spacing w:line="360" w:lineRule="auto"/>
        <w:jc w:val="both"/>
        <w:rPr>
          <w:lang w:val="en-GB"/>
        </w:rPr>
      </w:pPr>
      <w:r>
        <w:rPr>
          <w:lang w:val="en-GB"/>
        </w:rPr>
        <w:t xml:space="preserve">Van Coller, G.J., </w:t>
      </w:r>
      <w:r w:rsidR="00C17FDF" w:rsidRPr="00C17FDF">
        <w:rPr>
          <w:lang w:val="en-GB"/>
        </w:rPr>
        <w:t>La</w:t>
      </w:r>
      <w:r>
        <w:rPr>
          <w:lang w:val="en-GB"/>
        </w:rPr>
        <w:t>mprecht, S.C., Denman, S., Crous, P.W. (2004):</w:t>
      </w:r>
      <w:r w:rsidR="00C17FDF" w:rsidRPr="00C17FDF">
        <w:rPr>
          <w:lang w:val="en-GB"/>
        </w:rPr>
        <w:t xml:space="preserve"> </w:t>
      </w:r>
      <w:r w:rsidR="00C17FDF" w:rsidRPr="00BB4519">
        <w:rPr>
          <w:i/>
          <w:lang w:val="en-GB"/>
        </w:rPr>
        <w:t>Fusarium</w:t>
      </w:r>
      <w:r w:rsidR="00C17FDF" w:rsidRPr="00C17FDF">
        <w:rPr>
          <w:lang w:val="en-GB"/>
        </w:rPr>
        <w:t xml:space="preserve"> species associated with roots and crowns of nursery grapevines in the Western Cape Province. 40 st Congress of the Southern African Society for Plant Pathology, Cathederal Peak, South Africa.</w:t>
      </w:r>
    </w:p>
    <w:p w14:paraId="69EDEC0F" w14:textId="23C7FED7" w:rsidR="00C17FDF" w:rsidRPr="00C17FDF" w:rsidRDefault="00C17FDF" w:rsidP="00C17FDF">
      <w:pPr>
        <w:spacing w:line="360" w:lineRule="auto"/>
        <w:jc w:val="both"/>
        <w:rPr>
          <w:lang w:val="en-GB"/>
        </w:rPr>
      </w:pPr>
      <w:r w:rsidRPr="00C17FDF">
        <w:rPr>
          <w:lang w:val="en-GB"/>
        </w:rPr>
        <w:t xml:space="preserve">Yıldız, F., </w:t>
      </w:r>
      <w:r w:rsidR="00007EA0">
        <w:rPr>
          <w:lang w:val="en-GB"/>
        </w:rPr>
        <w:t>Gürsoy, Z.Y. (1994):</w:t>
      </w:r>
      <w:r w:rsidRPr="00C17FDF">
        <w:rPr>
          <w:lang w:val="en-GB"/>
        </w:rPr>
        <w:t xml:space="preserve"> Biological control studies against fungal agents occurring in grafted grapevine cuttings. Turkey 3rd Biological Control Congress, (Izmir, Turkey: Congress Press), </w:t>
      </w:r>
      <w:r w:rsidR="00F6433B">
        <w:rPr>
          <w:lang w:val="en-GB"/>
        </w:rPr>
        <w:t xml:space="preserve">1994: </w:t>
      </w:r>
      <w:r w:rsidRPr="00C17FDF">
        <w:rPr>
          <w:lang w:val="en-GB"/>
        </w:rPr>
        <w:t>265-268.</w:t>
      </w:r>
    </w:p>
    <w:p w14:paraId="4B10F079" w14:textId="26DDA94F" w:rsidR="00C44A1B" w:rsidRPr="00420194" w:rsidRDefault="00C17FDF" w:rsidP="00420194">
      <w:pPr>
        <w:spacing w:line="360" w:lineRule="auto"/>
        <w:jc w:val="both"/>
        <w:rPr>
          <w:lang w:val="en-GB"/>
        </w:rPr>
      </w:pPr>
      <w:r w:rsidRPr="00C17FDF">
        <w:rPr>
          <w:lang w:val="en-GB"/>
        </w:rPr>
        <w:t xml:space="preserve">Yıldız, M., </w:t>
      </w:r>
      <w:r w:rsidR="00007EA0">
        <w:rPr>
          <w:lang w:val="en-GB"/>
        </w:rPr>
        <w:t xml:space="preserve">Tosun, N. (2022): </w:t>
      </w:r>
      <w:r w:rsidRPr="00C17FDF">
        <w:rPr>
          <w:lang w:val="en-GB"/>
        </w:rPr>
        <w:t>Molecular characterization of black foot disease pathogens in grapevine nurseries and evaluation of some fungicides for control of the most virulent isolates</w:t>
      </w:r>
      <w:r w:rsidR="00007EA0">
        <w:rPr>
          <w:lang w:val="en-GB"/>
        </w:rPr>
        <w:t xml:space="preserve">. Trakya Univ J Nat Sci, 23(1): </w:t>
      </w:r>
      <w:r w:rsidRPr="00C17FDF">
        <w:rPr>
          <w:lang w:val="en-GB"/>
        </w:rPr>
        <w:t>95-111, DOI: 10.23902/trkjnat.1037376.</w:t>
      </w:r>
    </w:p>
    <w:sectPr w:rsidR="00C44A1B" w:rsidRPr="00420194" w:rsidSect="00420194">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2E21F" w14:textId="77777777" w:rsidR="005660E3" w:rsidRDefault="005660E3" w:rsidP="001B4AC5">
      <w:r>
        <w:separator/>
      </w:r>
    </w:p>
  </w:endnote>
  <w:endnote w:type="continuationSeparator" w:id="0">
    <w:p w14:paraId="500C7ED0" w14:textId="77777777" w:rsidR="005660E3" w:rsidRDefault="005660E3" w:rsidP="001B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80497" w14:textId="77777777" w:rsidR="00EA7795" w:rsidRDefault="00EA779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C369C" w14:textId="77777777" w:rsidR="00EA7795" w:rsidRDefault="00EA7795">
    <w:pPr>
      <w:pStyle w:val="Altbilgi"/>
      <w:jc w:val="center"/>
    </w:pPr>
    <w:r>
      <w:fldChar w:fldCharType="begin"/>
    </w:r>
    <w:r>
      <w:instrText>PAGE   \* MERGEFORMAT</w:instrText>
    </w:r>
    <w:r>
      <w:fldChar w:fldCharType="separate"/>
    </w:r>
    <w:r w:rsidR="005660E3">
      <w:rPr>
        <w:noProof/>
      </w:rPr>
      <w:t>1</w:t>
    </w:r>
    <w:r>
      <w:fldChar w:fldCharType="end"/>
    </w:r>
  </w:p>
  <w:p w14:paraId="6997C39B" w14:textId="77777777" w:rsidR="00EA7795" w:rsidRDefault="00EA779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3CE70" w14:textId="77777777" w:rsidR="00EA7795" w:rsidRDefault="00EA779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4CEE1" w14:textId="77777777" w:rsidR="005660E3" w:rsidRDefault="005660E3" w:rsidP="001B4AC5">
      <w:r>
        <w:separator/>
      </w:r>
    </w:p>
  </w:footnote>
  <w:footnote w:type="continuationSeparator" w:id="0">
    <w:p w14:paraId="753AE9EB" w14:textId="77777777" w:rsidR="005660E3" w:rsidRDefault="005660E3" w:rsidP="001B4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770FC" w14:textId="77777777" w:rsidR="00EA7795" w:rsidRDefault="00EA779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66FF4" w14:textId="77777777" w:rsidR="00EA7795" w:rsidRDefault="00EA7795" w:rsidP="001B4AC5">
    <w:pPr>
      <w:pStyle w:val="stbilgi"/>
      <w:jc w:val="right"/>
    </w:pPr>
  </w:p>
  <w:p w14:paraId="34D1C280" w14:textId="77777777" w:rsidR="00EA7795" w:rsidRDefault="00EA7795" w:rsidP="001B4AC5">
    <w:pPr>
      <w:pStyle w:val="stbilgi"/>
      <w:jc w:val="right"/>
    </w:pPr>
    <w:r>
      <w:rPr>
        <w:noProof/>
        <w:lang w:val="tr-TR" w:eastAsia="tr-TR"/>
      </w:rPr>
      <w:drawing>
        <wp:inline distT="0" distB="0" distL="0" distR="0" wp14:anchorId="5AE19658" wp14:editId="1B51A209">
          <wp:extent cx="2400300" cy="2476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247650"/>
                  </a:xfrm>
                  <a:prstGeom prst="rect">
                    <a:avLst/>
                  </a:prstGeom>
                  <a:noFill/>
                  <a:ln>
                    <a:noFill/>
                  </a:ln>
                </pic:spPr>
              </pic:pic>
            </a:graphicData>
          </a:graphic>
        </wp:inline>
      </w:drawing>
    </w:r>
    <w:r>
      <w:t xml:space="preserve"> </w:t>
    </w:r>
    <w:r>
      <w:tab/>
    </w:r>
    <w:r>
      <w:tab/>
    </w:r>
    <w:r>
      <w:rPr>
        <w:color w:val="7F7F7F"/>
        <w:sz w:val="22"/>
        <w:szCs w:val="22"/>
      </w:rPr>
      <w:t>MANUSCRIPT</w:t>
    </w:r>
  </w:p>
  <w:p w14:paraId="6E1F80B0" w14:textId="77777777" w:rsidR="00EA7795" w:rsidRDefault="00EA779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5DB3C" w14:textId="77777777" w:rsidR="00EA7795" w:rsidRDefault="00EA779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31549"/>
    <w:multiLevelType w:val="hybridMultilevel"/>
    <w:tmpl w:val="93CA2D6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177A4DE4"/>
    <w:multiLevelType w:val="multilevel"/>
    <w:tmpl w:val="D56E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045ADD"/>
    <w:multiLevelType w:val="multilevel"/>
    <w:tmpl w:val="2D48AF7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3B2F3D8A"/>
    <w:multiLevelType w:val="multilevel"/>
    <w:tmpl w:val="0D62AB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08130A"/>
    <w:multiLevelType w:val="multilevel"/>
    <w:tmpl w:val="27B0D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WwMDU1MzE1MbIwtbRU0lEKTi0uzszPAykwqQUA2G2zvywAAAA="/>
  </w:docVars>
  <w:rsids>
    <w:rsidRoot w:val="007A6274"/>
    <w:rsid w:val="00002A58"/>
    <w:rsid w:val="00007EA0"/>
    <w:rsid w:val="0004770E"/>
    <w:rsid w:val="00065280"/>
    <w:rsid w:val="00087B18"/>
    <w:rsid w:val="00093119"/>
    <w:rsid w:val="00132208"/>
    <w:rsid w:val="001408C5"/>
    <w:rsid w:val="001659EE"/>
    <w:rsid w:val="001B4AC5"/>
    <w:rsid w:val="001B69D2"/>
    <w:rsid w:val="001D2EFE"/>
    <w:rsid w:val="00211295"/>
    <w:rsid w:val="002A6B77"/>
    <w:rsid w:val="002B0947"/>
    <w:rsid w:val="002C68E3"/>
    <w:rsid w:val="00303BF9"/>
    <w:rsid w:val="0030488B"/>
    <w:rsid w:val="00375A25"/>
    <w:rsid w:val="00385E8E"/>
    <w:rsid w:val="003A53ED"/>
    <w:rsid w:val="00420194"/>
    <w:rsid w:val="004509D6"/>
    <w:rsid w:val="0045331E"/>
    <w:rsid w:val="00476A8B"/>
    <w:rsid w:val="00484389"/>
    <w:rsid w:val="004A4890"/>
    <w:rsid w:val="004B110E"/>
    <w:rsid w:val="004B3541"/>
    <w:rsid w:val="004D0B4A"/>
    <w:rsid w:val="004D7429"/>
    <w:rsid w:val="004D7443"/>
    <w:rsid w:val="004F69E7"/>
    <w:rsid w:val="004F7A75"/>
    <w:rsid w:val="005330E3"/>
    <w:rsid w:val="005660E3"/>
    <w:rsid w:val="005847FA"/>
    <w:rsid w:val="005C3BDA"/>
    <w:rsid w:val="005E566F"/>
    <w:rsid w:val="005E74EE"/>
    <w:rsid w:val="0064268C"/>
    <w:rsid w:val="0066704E"/>
    <w:rsid w:val="006B30C1"/>
    <w:rsid w:val="006E3A02"/>
    <w:rsid w:val="006F00AD"/>
    <w:rsid w:val="00767616"/>
    <w:rsid w:val="00773566"/>
    <w:rsid w:val="007766B4"/>
    <w:rsid w:val="007A6274"/>
    <w:rsid w:val="007C3888"/>
    <w:rsid w:val="007C3E12"/>
    <w:rsid w:val="00812795"/>
    <w:rsid w:val="00824720"/>
    <w:rsid w:val="00883484"/>
    <w:rsid w:val="00926457"/>
    <w:rsid w:val="00960CC8"/>
    <w:rsid w:val="00963A3E"/>
    <w:rsid w:val="0097035A"/>
    <w:rsid w:val="0097182E"/>
    <w:rsid w:val="00987BCD"/>
    <w:rsid w:val="009B5F8A"/>
    <w:rsid w:val="009E4B31"/>
    <w:rsid w:val="009F1B8B"/>
    <w:rsid w:val="00A435D3"/>
    <w:rsid w:val="00A739F2"/>
    <w:rsid w:val="00A74EEB"/>
    <w:rsid w:val="00AC1E90"/>
    <w:rsid w:val="00AD5AE7"/>
    <w:rsid w:val="00AF7E2D"/>
    <w:rsid w:val="00B32C30"/>
    <w:rsid w:val="00B862BE"/>
    <w:rsid w:val="00BA2114"/>
    <w:rsid w:val="00BA30D1"/>
    <w:rsid w:val="00BA7D4B"/>
    <w:rsid w:val="00BB4519"/>
    <w:rsid w:val="00BD19B5"/>
    <w:rsid w:val="00BD4C8B"/>
    <w:rsid w:val="00BF2D47"/>
    <w:rsid w:val="00C17FDF"/>
    <w:rsid w:val="00C4191F"/>
    <w:rsid w:val="00C44A1B"/>
    <w:rsid w:val="00C5706A"/>
    <w:rsid w:val="00C64B9E"/>
    <w:rsid w:val="00C651D2"/>
    <w:rsid w:val="00CA05A8"/>
    <w:rsid w:val="00CC4CAD"/>
    <w:rsid w:val="00CD6DB2"/>
    <w:rsid w:val="00D136A6"/>
    <w:rsid w:val="00D338C5"/>
    <w:rsid w:val="00D54D22"/>
    <w:rsid w:val="00D61DE6"/>
    <w:rsid w:val="00D7079E"/>
    <w:rsid w:val="00D80DCF"/>
    <w:rsid w:val="00D81078"/>
    <w:rsid w:val="00D92FAA"/>
    <w:rsid w:val="00DF3663"/>
    <w:rsid w:val="00DF65BD"/>
    <w:rsid w:val="00E02A3A"/>
    <w:rsid w:val="00E26186"/>
    <w:rsid w:val="00E32019"/>
    <w:rsid w:val="00E37352"/>
    <w:rsid w:val="00E62EFB"/>
    <w:rsid w:val="00EA7795"/>
    <w:rsid w:val="00ED0B4D"/>
    <w:rsid w:val="00F32B56"/>
    <w:rsid w:val="00F45A8D"/>
    <w:rsid w:val="00F6433B"/>
    <w:rsid w:val="00F74913"/>
    <w:rsid w:val="00FA0829"/>
    <w:rsid w:val="00FB0748"/>
    <w:rsid w:val="00FB119F"/>
    <w:rsid w:val="00FC46C9"/>
    <w:rsid w:val="00FD26A8"/>
    <w:rsid w:val="00FE7F11"/>
    <w:rsid w:val="00FF22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1C723"/>
  <w15:docId w15:val="{6137179E-B906-403F-B2D4-5A25BEF8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E2D"/>
    <w:pPr>
      <w:overflowPunct w:val="0"/>
      <w:autoSpaceDE w:val="0"/>
      <w:autoSpaceDN w:val="0"/>
      <w:adjustRightInd w:val="0"/>
      <w:textAlignment w:val="baseline"/>
    </w:pPr>
    <w:rPr>
      <w:rFonts w:ascii="Times New Roman" w:hAnsi="Times New Roman"/>
      <w:sz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trNumaras">
    <w:name w:val="line number"/>
    <w:basedOn w:val="VarsaylanParagrafYazTipi"/>
    <w:uiPriority w:val="99"/>
    <w:semiHidden/>
    <w:unhideWhenUsed/>
    <w:rsid w:val="00093119"/>
  </w:style>
  <w:style w:type="character" w:styleId="Kpr">
    <w:name w:val="Hyperlink"/>
    <w:uiPriority w:val="99"/>
    <w:unhideWhenUsed/>
    <w:rsid w:val="00ED0B4D"/>
    <w:rPr>
      <w:color w:val="0000FF"/>
      <w:u w:val="single"/>
    </w:rPr>
  </w:style>
  <w:style w:type="paragraph" w:styleId="NormalWeb">
    <w:name w:val="Normal (Web)"/>
    <w:basedOn w:val="Normal"/>
    <w:uiPriority w:val="99"/>
    <w:semiHidden/>
    <w:unhideWhenUsed/>
    <w:rsid w:val="009E4B31"/>
    <w:pPr>
      <w:overflowPunct/>
      <w:autoSpaceDE/>
      <w:autoSpaceDN/>
      <w:adjustRightInd/>
      <w:spacing w:after="240"/>
      <w:textAlignment w:val="auto"/>
    </w:pPr>
    <w:rPr>
      <w:szCs w:val="24"/>
      <w:lang w:eastAsia="cs-CZ"/>
    </w:rPr>
  </w:style>
  <w:style w:type="paragraph" w:styleId="ListeParagraf">
    <w:name w:val="List Paragraph"/>
    <w:basedOn w:val="Normal"/>
    <w:uiPriority w:val="34"/>
    <w:qFormat/>
    <w:rsid w:val="00FC46C9"/>
    <w:pPr>
      <w:ind w:left="720"/>
      <w:contextualSpacing/>
    </w:pPr>
  </w:style>
  <w:style w:type="paragraph" w:styleId="stbilgi">
    <w:name w:val="header"/>
    <w:basedOn w:val="Normal"/>
    <w:link w:val="stbilgiChar"/>
    <w:uiPriority w:val="99"/>
    <w:unhideWhenUsed/>
    <w:rsid w:val="001B4AC5"/>
    <w:pPr>
      <w:tabs>
        <w:tab w:val="center" w:pos="4536"/>
        <w:tab w:val="right" w:pos="9072"/>
      </w:tabs>
    </w:pPr>
  </w:style>
  <w:style w:type="character" w:customStyle="1" w:styleId="stbilgiChar">
    <w:name w:val="Üstbilgi Char"/>
    <w:link w:val="stbilgi"/>
    <w:uiPriority w:val="99"/>
    <w:rsid w:val="001B4AC5"/>
    <w:rPr>
      <w:rFonts w:ascii="Times New Roman" w:hAnsi="Times New Roman" w:cs="Times New Roman"/>
      <w:sz w:val="24"/>
      <w:szCs w:val="20"/>
      <w:lang w:eastAsia="zh-CN"/>
    </w:rPr>
  </w:style>
  <w:style w:type="paragraph" w:styleId="Altbilgi">
    <w:name w:val="footer"/>
    <w:basedOn w:val="Normal"/>
    <w:link w:val="AltbilgiChar"/>
    <w:uiPriority w:val="99"/>
    <w:unhideWhenUsed/>
    <w:rsid w:val="001B4AC5"/>
    <w:pPr>
      <w:tabs>
        <w:tab w:val="center" w:pos="4536"/>
        <w:tab w:val="right" w:pos="9072"/>
      </w:tabs>
    </w:pPr>
  </w:style>
  <w:style w:type="character" w:customStyle="1" w:styleId="AltbilgiChar">
    <w:name w:val="Altbilgi Char"/>
    <w:link w:val="Altbilgi"/>
    <w:uiPriority w:val="99"/>
    <w:rsid w:val="001B4AC5"/>
    <w:rPr>
      <w:rFonts w:ascii="Times New Roman" w:hAnsi="Times New Roman" w:cs="Times New Roman"/>
      <w:sz w:val="24"/>
      <w:szCs w:val="20"/>
      <w:lang w:eastAsia="zh-CN"/>
    </w:rPr>
  </w:style>
  <w:style w:type="table" w:styleId="TabloKlavuzu">
    <w:name w:val="Table Grid"/>
    <w:basedOn w:val="NormalTablo"/>
    <w:uiPriority w:val="59"/>
    <w:rsid w:val="00C44A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zTablo2">
    <w:name w:val="Plain Table 2"/>
    <w:basedOn w:val="NormalTablo"/>
    <w:uiPriority w:val="99"/>
    <w:rsid w:val="004D0B4A"/>
    <w:rPr>
      <w:rFonts w:asciiTheme="minorHAnsi" w:hAnsiTheme="minorHAnsi" w:cstheme="minorHAnsi"/>
      <w:sz w:val="22"/>
      <w:szCs w:val="22"/>
      <w:lang w:val="fr-FR"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98737">
      <w:bodyDiv w:val="1"/>
      <w:marLeft w:val="0"/>
      <w:marRight w:val="0"/>
      <w:marTop w:val="0"/>
      <w:marBottom w:val="0"/>
      <w:divBdr>
        <w:top w:val="none" w:sz="0" w:space="0" w:color="auto"/>
        <w:left w:val="none" w:sz="0" w:space="0" w:color="auto"/>
        <w:bottom w:val="none" w:sz="0" w:space="0" w:color="auto"/>
        <w:right w:val="none" w:sz="0" w:space="0" w:color="auto"/>
      </w:divBdr>
      <w:divsChild>
        <w:div w:id="191581035">
          <w:marLeft w:val="0"/>
          <w:marRight w:val="0"/>
          <w:marTop w:val="0"/>
          <w:marBottom w:val="0"/>
          <w:divBdr>
            <w:top w:val="none" w:sz="0" w:space="0" w:color="auto"/>
            <w:left w:val="none" w:sz="0" w:space="0" w:color="auto"/>
            <w:bottom w:val="none" w:sz="0" w:space="0" w:color="auto"/>
            <w:right w:val="none" w:sz="0" w:space="0" w:color="auto"/>
          </w:divBdr>
        </w:div>
        <w:div w:id="209457705">
          <w:marLeft w:val="0"/>
          <w:marRight w:val="0"/>
          <w:marTop w:val="0"/>
          <w:marBottom w:val="0"/>
          <w:divBdr>
            <w:top w:val="none" w:sz="0" w:space="0" w:color="auto"/>
            <w:left w:val="none" w:sz="0" w:space="0" w:color="auto"/>
            <w:bottom w:val="none" w:sz="0" w:space="0" w:color="auto"/>
            <w:right w:val="none" w:sz="0" w:space="0" w:color="auto"/>
          </w:divBdr>
        </w:div>
        <w:div w:id="211773041">
          <w:marLeft w:val="0"/>
          <w:marRight w:val="0"/>
          <w:marTop w:val="0"/>
          <w:marBottom w:val="0"/>
          <w:divBdr>
            <w:top w:val="none" w:sz="0" w:space="0" w:color="auto"/>
            <w:left w:val="none" w:sz="0" w:space="0" w:color="auto"/>
            <w:bottom w:val="none" w:sz="0" w:space="0" w:color="auto"/>
            <w:right w:val="none" w:sz="0" w:space="0" w:color="auto"/>
          </w:divBdr>
        </w:div>
        <w:div w:id="438723286">
          <w:marLeft w:val="0"/>
          <w:marRight w:val="0"/>
          <w:marTop w:val="0"/>
          <w:marBottom w:val="0"/>
          <w:divBdr>
            <w:top w:val="none" w:sz="0" w:space="0" w:color="auto"/>
            <w:left w:val="none" w:sz="0" w:space="0" w:color="auto"/>
            <w:bottom w:val="none" w:sz="0" w:space="0" w:color="auto"/>
            <w:right w:val="none" w:sz="0" w:space="0" w:color="auto"/>
          </w:divBdr>
        </w:div>
        <w:div w:id="474105421">
          <w:marLeft w:val="0"/>
          <w:marRight w:val="0"/>
          <w:marTop w:val="0"/>
          <w:marBottom w:val="0"/>
          <w:divBdr>
            <w:top w:val="none" w:sz="0" w:space="0" w:color="auto"/>
            <w:left w:val="none" w:sz="0" w:space="0" w:color="auto"/>
            <w:bottom w:val="none" w:sz="0" w:space="0" w:color="auto"/>
            <w:right w:val="none" w:sz="0" w:space="0" w:color="auto"/>
          </w:divBdr>
        </w:div>
        <w:div w:id="779303473">
          <w:marLeft w:val="0"/>
          <w:marRight w:val="0"/>
          <w:marTop w:val="0"/>
          <w:marBottom w:val="0"/>
          <w:divBdr>
            <w:top w:val="none" w:sz="0" w:space="0" w:color="auto"/>
            <w:left w:val="none" w:sz="0" w:space="0" w:color="auto"/>
            <w:bottom w:val="none" w:sz="0" w:space="0" w:color="auto"/>
            <w:right w:val="none" w:sz="0" w:space="0" w:color="auto"/>
          </w:divBdr>
        </w:div>
        <w:div w:id="1089621964">
          <w:marLeft w:val="0"/>
          <w:marRight w:val="0"/>
          <w:marTop w:val="0"/>
          <w:marBottom w:val="0"/>
          <w:divBdr>
            <w:top w:val="none" w:sz="0" w:space="0" w:color="auto"/>
            <w:left w:val="none" w:sz="0" w:space="0" w:color="auto"/>
            <w:bottom w:val="none" w:sz="0" w:space="0" w:color="auto"/>
            <w:right w:val="none" w:sz="0" w:space="0" w:color="auto"/>
          </w:divBdr>
        </w:div>
        <w:div w:id="1442144086">
          <w:marLeft w:val="0"/>
          <w:marRight w:val="0"/>
          <w:marTop w:val="0"/>
          <w:marBottom w:val="0"/>
          <w:divBdr>
            <w:top w:val="none" w:sz="0" w:space="0" w:color="auto"/>
            <w:left w:val="none" w:sz="0" w:space="0" w:color="auto"/>
            <w:bottom w:val="none" w:sz="0" w:space="0" w:color="auto"/>
            <w:right w:val="none" w:sz="0" w:space="0" w:color="auto"/>
          </w:divBdr>
        </w:div>
        <w:div w:id="1569684242">
          <w:marLeft w:val="0"/>
          <w:marRight w:val="0"/>
          <w:marTop w:val="0"/>
          <w:marBottom w:val="0"/>
          <w:divBdr>
            <w:top w:val="none" w:sz="0" w:space="0" w:color="auto"/>
            <w:left w:val="none" w:sz="0" w:space="0" w:color="auto"/>
            <w:bottom w:val="none" w:sz="0" w:space="0" w:color="auto"/>
            <w:right w:val="none" w:sz="0" w:space="0" w:color="auto"/>
          </w:divBdr>
        </w:div>
        <w:div w:id="1613780580">
          <w:marLeft w:val="0"/>
          <w:marRight w:val="0"/>
          <w:marTop w:val="0"/>
          <w:marBottom w:val="0"/>
          <w:divBdr>
            <w:top w:val="none" w:sz="0" w:space="0" w:color="auto"/>
            <w:left w:val="none" w:sz="0" w:space="0" w:color="auto"/>
            <w:bottom w:val="none" w:sz="0" w:space="0" w:color="auto"/>
            <w:right w:val="none" w:sz="0" w:space="0" w:color="auto"/>
          </w:divBdr>
        </w:div>
        <w:div w:id="1625035615">
          <w:marLeft w:val="0"/>
          <w:marRight w:val="0"/>
          <w:marTop w:val="0"/>
          <w:marBottom w:val="0"/>
          <w:divBdr>
            <w:top w:val="none" w:sz="0" w:space="0" w:color="auto"/>
            <w:left w:val="none" w:sz="0" w:space="0" w:color="auto"/>
            <w:bottom w:val="none" w:sz="0" w:space="0" w:color="auto"/>
            <w:right w:val="none" w:sz="0" w:space="0" w:color="auto"/>
          </w:divBdr>
        </w:div>
        <w:div w:id="2093358520">
          <w:marLeft w:val="0"/>
          <w:marRight w:val="0"/>
          <w:marTop w:val="0"/>
          <w:marBottom w:val="0"/>
          <w:divBdr>
            <w:top w:val="none" w:sz="0" w:space="0" w:color="auto"/>
            <w:left w:val="none" w:sz="0" w:space="0" w:color="auto"/>
            <w:bottom w:val="none" w:sz="0" w:space="0" w:color="auto"/>
            <w:right w:val="none" w:sz="0" w:space="0" w:color="auto"/>
          </w:divBdr>
        </w:div>
        <w:div w:id="2129427925">
          <w:marLeft w:val="0"/>
          <w:marRight w:val="0"/>
          <w:marTop w:val="0"/>
          <w:marBottom w:val="0"/>
          <w:divBdr>
            <w:top w:val="none" w:sz="0" w:space="0" w:color="auto"/>
            <w:left w:val="none" w:sz="0" w:space="0" w:color="auto"/>
            <w:bottom w:val="none" w:sz="0" w:space="0" w:color="auto"/>
            <w:right w:val="none" w:sz="0" w:space="0" w:color="auto"/>
          </w:divBdr>
        </w:div>
      </w:divsChild>
    </w:div>
    <w:div w:id="546572807">
      <w:bodyDiv w:val="1"/>
      <w:marLeft w:val="0"/>
      <w:marRight w:val="0"/>
      <w:marTop w:val="0"/>
      <w:marBottom w:val="0"/>
      <w:divBdr>
        <w:top w:val="none" w:sz="0" w:space="0" w:color="auto"/>
        <w:left w:val="none" w:sz="0" w:space="0" w:color="auto"/>
        <w:bottom w:val="none" w:sz="0" w:space="0" w:color="auto"/>
        <w:right w:val="none" w:sz="0" w:space="0" w:color="auto"/>
      </w:divBdr>
    </w:div>
    <w:div w:id="587272045">
      <w:bodyDiv w:val="1"/>
      <w:marLeft w:val="0"/>
      <w:marRight w:val="0"/>
      <w:marTop w:val="0"/>
      <w:marBottom w:val="0"/>
      <w:divBdr>
        <w:top w:val="none" w:sz="0" w:space="0" w:color="auto"/>
        <w:left w:val="none" w:sz="0" w:space="0" w:color="auto"/>
        <w:bottom w:val="none" w:sz="0" w:space="0" w:color="auto"/>
        <w:right w:val="none" w:sz="0" w:space="0" w:color="auto"/>
      </w:divBdr>
      <w:divsChild>
        <w:div w:id="1842354906">
          <w:marLeft w:val="0"/>
          <w:marRight w:val="0"/>
          <w:marTop w:val="0"/>
          <w:marBottom w:val="0"/>
          <w:divBdr>
            <w:top w:val="none" w:sz="0" w:space="0" w:color="auto"/>
            <w:left w:val="none" w:sz="0" w:space="0" w:color="auto"/>
            <w:bottom w:val="none" w:sz="0" w:space="0" w:color="auto"/>
            <w:right w:val="none" w:sz="0" w:space="0" w:color="auto"/>
          </w:divBdr>
          <w:divsChild>
            <w:div w:id="13317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2790">
      <w:bodyDiv w:val="1"/>
      <w:marLeft w:val="0"/>
      <w:marRight w:val="0"/>
      <w:marTop w:val="0"/>
      <w:marBottom w:val="0"/>
      <w:divBdr>
        <w:top w:val="none" w:sz="0" w:space="0" w:color="auto"/>
        <w:left w:val="none" w:sz="0" w:space="0" w:color="auto"/>
        <w:bottom w:val="none" w:sz="0" w:space="0" w:color="auto"/>
        <w:right w:val="none" w:sz="0" w:space="0" w:color="auto"/>
      </w:divBdr>
    </w:div>
    <w:div w:id="848106274">
      <w:bodyDiv w:val="1"/>
      <w:marLeft w:val="0"/>
      <w:marRight w:val="0"/>
      <w:marTop w:val="0"/>
      <w:marBottom w:val="0"/>
      <w:divBdr>
        <w:top w:val="none" w:sz="0" w:space="0" w:color="auto"/>
        <w:left w:val="none" w:sz="0" w:space="0" w:color="auto"/>
        <w:bottom w:val="none" w:sz="0" w:space="0" w:color="auto"/>
        <w:right w:val="none" w:sz="0" w:space="0" w:color="auto"/>
      </w:divBdr>
      <w:divsChild>
        <w:div w:id="144471213">
          <w:marLeft w:val="0"/>
          <w:marRight w:val="0"/>
          <w:marTop w:val="0"/>
          <w:marBottom w:val="0"/>
          <w:divBdr>
            <w:top w:val="none" w:sz="0" w:space="0" w:color="auto"/>
            <w:left w:val="none" w:sz="0" w:space="0" w:color="auto"/>
            <w:bottom w:val="none" w:sz="0" w:space="0" w:color="auto"/>
            <w:right w:val="none" w:sz="0" w:space="0" w:color="auto"/>
          </w:divBdr>
        </w:div>
        <w:div w:id="306395555">
          <w:marLeft w:val="0"/>
          <w:marRight w:val="0"/>
          <w:marTop w:val="0"/>
          <w:marBottom w:val="0"/>
          <w:divBdr>
            <w:top w:val="none" w:sz="0" w:space="0" w:color="auto"/>
            <w:left w:val="none" w:sz="0" w:space="0" w:color="auto"/>
            <w:bottom w:val="none" w:sz="0" w:space="0" w:color="auto"/>
            <w:right w:val="none" w:sz="0" w:space="0" w:color="auto"/>
          </w:divBdr>
        </w:div>
        <w:div w:id="494498613">
          <w:marLeft w:val="0"/>
          <w:marRight w:val="0"/>
          <w:marTop w:val="0"/>
          <w:marBottom w:val="0"/>
          <w:divBdr>
            <w:top w:val="none" w:sz="0" w:space="0" w:color="auto"/>
            <w:left w:val="none" w:sz="0" w:space="0" w:color="auto"/>
            <w:bottom w:val="none" w:sz="0" w:space="0" w:color="auto"/>
            <w:right w:val="none" w:sz="0" w:space="0" w:color="auto"/>
          </w:divBdr>
        </w:div>
        <w:div w:id="680857595">
          <w:marLeft w:val="0"/>
          <w:marRight w:val="0"/>
          <w:marTop w:val="0"/>
          <w:marBottom w:val="0"/>
          <w:divBdr>
            <w:top w:val="none" w:sz="0" w:space="0" w:color="auto"/>
            <w:left w:val="none" w:sz="0" w:space="0" w:color="auto"/>
            <w:bottom w:val="none" w:sz="0" w:space="0" w:color="auto"/>
            <w:right w:val="none" w:sz="0" w:space="0" w:color="auto"/>
          </w:divBdr>
        </w:div>
        <w:div w:id="688332429">
          <w:marLeft w:val="0"/>
          <w:marRight w:val="0"/>
          <w:marTop w:val="0"/>
          <w:marBottom w:val="0"/>
          <w:divBdr>
            <w:top w:val="none" w:sz="0" w:space="0" w:color="auto"/>
            <w:left w:val="none" w:sz="0" w:space="0" w:color="auto"/>
            <w:bottom w:val="none" w:sz="0" w:space="0" w:color="auto"/>
            <w:right w:val="none" w:sz="0" w:space="0" w:color="auto"/>
          </w:divBdr>
        </w:div>
        <w:div w:id="926697153">
          <w:marLeft w:val="0"/>
          <w:marRight w:val="0"/>
          <w:marTop w:val="0"/>
          <w:marBottom w:val="0"/>
          <w:divBdr>
            <w:top w:val="none" w:sz="0" w:space="0" w:color="auto"/>
            <w:left w:val="none" w:sz="0" w:space="0" w:color="auto"/>
            <w:bottom w:val="none" w:sz="0" w:space="0" w:color="auto"/>
            <w:right w:val="none" w:sz="0" w:space="0" w:color="auto"/>
          </w:divBdr>
        </w:div>
        <w:div w:id="991562257">
          <w:marLeft w:val="0"/>
          <w:marRight w:val="0"/>
          <w:marTop w:val="0"/>
          <w:marBottom w:val="0"/>
          <w:divBdr>
            <w:top w:val="none" w:sz="0" w:space="0" w:color="auto"/>
            <w:left w:val="none" w:sz="0" w:space="0" w:color="auto"/>
            <w:bottom w:val="none" w:sz="0" w:space="0" w:color="auto"/>
            <w:right w:val="none" w:sz="0" w:space="0" w:color="auto"/>
          </w:divBdr>
        </w:div>
        <w:div w:id="1065488523">
          <w:marLeft w:val="0"/>
          <w:marRight w:val="0"/>
          <w:marTop w:val="0"/>
          <w:marBottom w:val="0"/>
          <w:divBdr>
            <w:top w:val="none" w:sz="0" w:space="0" w:color="auto"/>
            <w:left w:val="none" w:sz="0" w:space="0" w:color="auto"/>
            <w:bottom w:val="none" w:sz="0" w:space="0" w:color="auto"/>
            <w:right w:val="none" w:sz="0" w:space="0" w:color="auto"/>
          </w:divBdr>
        </w:div>
        <w:div w:id="1280527360">
          <w:marLeft w:val="0"/>
          <w:marRight w:val="0"/>
          <w:marTop w:val="0"/>
          <w:marBottom w:val="0"/>
          <w:divBdr>
            <w:top w:val="none" w:sz="0" w:space="0" w:color="auto"/>
            <w:left w:val="none" w:sz="0" w:space="0" w:color="auto"/>
            <w:bottom w:val="none" w:sz="0" w:space="0" w:color="auto"/>
            <w:right w:val="none" w:sz="0" w:space="0" w:color="auto"/>
          </w:divBdr>
        </w:div>
        <w:div w:id="1310940551">
          <w:marLeft w:val="0"/>
          <w:marRight w:val="0"/>
          <w:marTop w:val="0"/>
          <w:marBottom w:val="0"/>
          <w:divBdr>
            <w:top w:val="none" w:sz="0" w:space="0" w:color="auto"/>
            <w:left w:val="none" w:sz="0" w:space="0" w:color="auto"/>
            <w:bottom w:val="none" w:sz="0" w:space="0" w:color="auto"/>
            <w:right w:val="none" w:sz="0" w:space="0" w:color="auto"/>
          </w:divBdr>
        </w:div>
        <w:div w:id="1527909727">
          <w:marLeft w:val="0"/>
          <w:marRight w:val="0"/>
          <w:marTop w:val="0"/>
          <w:marBottom w:val="0"/>
          <w:divBdr>
            <w:top w:val="none" w:sz="0" w:space="0" w:color="auto"/>
            <w:left w:val="none" w:sz="0" w:space="0" w:color="auto"/>
            <w:bottom w:val="none" w:sz="0" w:space="0" w:color="auto"/>
            <w:right w:val="none" w:sz="0" w:space="0" w:color="auto"/>
          </w:divBdr>
        </w:div>
        <w:div w:id="1581059160">
          <w:marLeft w:val="0"/>
          <w:marRight w:val="0"/>
          <w:marTop w:val="0"/>
          <w:marBottom w:val="0"/>
          <w:divBdr>
            <w:top w:val="none" w:sz="0" w:space="0" w:color="auto"/>
            <w:left w:val="none" w:sz="0" w:space="0" w:color="auto"/>
            <w:bottom w:val="none" w:sz="0" w:space="0" w:color="auto"/>
            <w:right w:val="none" w:sz="0" w:space="0" w:color="auto"/>
          </w:divBdr>
        </w:div>
        <w:div w:id="1951938563">
          <w:marLeft w:val="0"/>
          <w:marRight w:val="0"/>
          <w:marTop w:val="0"/>
          <w:marBottom w:val="0"/>
          <w:divBdr>
            <w:top w:val="none" w:sz="0" w:space="0" w:color="auto"/>
            <w:left w:val="none" w:sz="0" w:space="0" w:color="auto"/>
            <w:bottom w:val="none" w:sz="0" w:space="0" w:color="auto"/>
            <w:right w:val="none" w:sz="0" w:space="0" w:color="auto"/>
          </w:divBdr>
        </w:div>
      </w:divsChild>
    </w:div>
    <w:div w:id="1282305922">
      <w:bodyDiv w:val="1"/>
      <w:marLeft w:val="0"/>
      <w:marRight w:val="0"/>
      <w:marTop w:val="0"/>
      <w:marBottom w:val="0"/>
      <w:divBdr>
        <w:top w:val="none" w:sz="0" w:space="0" w:color="auto"/>
        <w:left w:val="none" w:sz="0" w:space="0" w:color="auto"/>
        <w:bottom w:val="none" w:sz="0" w:space="0" w:color="auto"/>
        <w:right w:val="none" w:sz="0" w:space="0" w:color="auto"/>
      </w:divBdr>
      <w:divsChild>
        <w:div w:id="1318267395">
          <w:marLeft w:val="0"/>
          <w:marRight w:val="0"/>
          <w:marTop w:val="0"/>
          <w:marBottom w:val="0"/>
          <w:divBdr>
            <w:top w:val="single" w:sz="2" w:space="18" w:color="D6D9DC"/>
            <w:left w:val="single" w:sz="2" w:space="18" w:color="D6D9DC"/>
            <w:bottom w:val="single" w:sz="2" w:space="18" w:color="D6D9DC"/>
            <w:right w:val="single" w:sz="2" w:space="18" w:color="D6D9DC"/>
          </w:divBdr>
          <w:divsChild>
            <w:div w:id="1362317463">
              <w:marLeft w:val="0"/>
              <w:marRight w:val="0"/>
              <w:marTop w:val="0"/>
              <w:marBottom w:val="0"/>
              <w:divBdr>
                <w:top w:val="none" w:sz="0" w:space="0" w:color="auto"/>
                <w:left w:val="none" w:sz="0" w:space="0" w:color="auto"/>
                <w:bottom w:val="none" w:sz="0" w:space="0" w:color="auto"/>
                <w:right w:val="none" w:sz="0" w:space="0" w:color="auto"/>
              </w:divBdr>
              <w:divsChild>
                <w:div w:id="2110419141">
                  <w:marLeft w:val="0"/>
                  <w:marRight w:val="0"/>
                  <w:marTop w:val="0"/>
                  <w:marBottom w:val="0"/>
                  <w:divBdr>
                    <w:top w:val="none" w:sz="0" w:space="0" w:color="auto"/>
                    <w:left w:val="none" w:sz="0" w:space="0" w:color="auto"/>
                    <w:bottom w:val="none" w:sz="0" w:space="0" w:color="auto"/>
                    <w:right w:val="none" w:sz="0" w:space="0" w:color="auto"/>
                  </w:divBdr>
                  <w:divsChild>
                    <w:div w:id="2087534513">
                      <w:marLeft w:val="0"/>
                      <w:marRight w:val="0"/>
                      <w:marTop w:val="0"/>
                      <w:marBottom w:val="0"/>
                      <w:divBdr>
                        <w:top w:val="none" w:sz="0" w:space="0" w:color="auto"/>
                        <w:left w:val="none" w:sz="0" w:space="0" w:color="auto"/>
                        <w:bottom w:val="none" w:sz="0" w:space="0" w:color="auto"/>
                        <w:right w:val="none" w:sz="0" w:space="0" w:color="auto"/>
                      </w:divBdr>
                      <w:divsChild>
                        <w:div w:id="1881546998">
                          <w:marLeft w:val="0"/>
                          <w:marRight w:val="0"/>
                          <w:marTop w:val="0"/>
                          <w:marBottom w:val="0"/>
                          <w:divBdr>
                            <w:top w:val="none" w:sz="0" w:space="0" w:color="auto"/>
                            <w:left w:val="none" w:sz="0" w:space="0" w:color="auto"/>
                            <w:bottom w:val="none" w:sz="0" w:space="0" w:color="auto"/>
                            <w:right w:val="none" w:sz="0" w:space="0" w:color="auto"/>
                          </w:divBdr>
                          <w:divsChild>
                            <w:div w:id="1814789378">
                              <w:marLeft w:val="0"/>
                              <w:marRight w:val="0"/>
                              <w:marTop w:val="0"/>
                              <w:marBottom w:val="0"/>
                              <w:divBdr>
                                <w:top w:val="none" w:sz="0" w:space="0" w:color="auto"/>
                                <w:left w:val="none" w:sz="0" w:space="0" w:color="auto"/>
                                <w:bottom w:val="none" w:sz="0" w:space="0" w:color="auto"/>
                                <w:right w:val="none" w:sz="0" w:space="0" w:color="auto"/>
                              </w:divBdr>
                              <w:divsChild>
                                <w:div w:id="1791241862">
                                  <w:marLeft w:val="0"/>
                                  <w:marRight w:val="0"/>
                                  <w:marTop w:val="0"/>
                                  <w:marBottom w:val="0"/>
                                  <w:divBdr>
                                    <w:top w:val="none" w:sz="0" w:space="0" w:color="auto"/>
                                    <w:left w:val="none" w:sz="0" w:space="0" w:color="auto"/>
                                    <w:bottom w:val="none" w:sz="0" w:space="0" w:color="auto"/>
                                    <w:right w:val="none" w:sz="0" w:space="0" w:color="auto"/>
                                  </w:divBdr>
                                  <w:divsChild>
                                    <w:div w:id="1006128676">
                                      <w:marLeft w:val="0"/>
                                      <w:marRight w:val="0"/>
                                      <w:marTop w:val="0"/>
                                      <w:marBottom w:val="0"/>
                                      <w:divBdr>
                                        <w:top w:val="none" w:sz="0" w:space="0" w:color="auto"/>
                                        <w:left w:val="none" w:sz="0" w:space="0" w:color="auto"/>
                                        <w:bottom w:val="none" w:sz="0" w:space="0" w:color="auto"/>
                                        <w:right w:val="none" w:sz="0" w:space="0" w:color="auto"/>
                                      </w:divBdr>
                                      <w:divsChild>
                                        <w:div w:id="722751562">
                                          <w:marLeft w:val="0"/>
                                          <w:marRight w:val="0"/>
                                          <w:marTop w:val="0"/>
                                          <w:marBottom w:val="75"/>
                                          <w:divBdr>
                                            <w:top w:val="none" w:sz="0" w:space="0" w:color="auto"/>
                                            <w:left w:val="none" w:sz="0" w:space="0" w:color="auto"/>
                                            <w:bottom w:val="none" w:sz="0" w:space="0" w:color="auto"/>
                                            <w:right w:val="none" w:sz="0" w:space="0" w:color="auto"/>
                                          </w:divBdr>
                                          <w:divsChild>
                                            <w:div w:id="669600000">
                                              <w:blockQuote w:val="1"/>
                                              <w:marLeft w:val="720"/>
                                              <w:marRight w:val="720"/>
                                              <w:marTop w:val="100"/>
                                              <w:marBottom w:val="150"/>
                                              <w:divBdr>
                                                <w:top w:val="none" w:sz="0" w:space="0" w:color="auto"/>
                                                <w:left w:val="single" w:sz="12" w:space="8" w:color="FFEB8E"/>
                                                <w:bottom w:val="none" w:sz="0" w:space="0" w:color="auto"/>
                                                <w:right w:val="none" w:sz="0" w:space="0" w:color="auto"/>
                                              </w:divBdr>
                                            </w:div>
                                          </w:divsChild>
                                        </w:div>
                                      </w:divsChild>
                                    </w:div>
                                  </w:divsChild>
                                </w:div>
                              </w:divsChild>
                            </w:div>
                          </w:divsChild>
                        </w:div>
                      </w:divsChild>
                    </w:div>
                  </w:divsChild>
                </w:div>
              </w:divsChild>
            </w:div>
          </w:divsChild>
        </w:div>
      </w:divsChild>
    </w:div>
    <w:div w:id="143978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PC%20Obyvak\Desktop\Manuscript%20file_template_CAA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Manuscript file_template_CAAS</Template>
  <TotalTime>47</TotalTime>
  <Pages>21</Pages>
  <Words>7258</Words>
  <Characters>41376</Characters>
  <Application>Microsoft Office Word</Application>
  <DocSecurity>0</DocSecurity>
  <Lines>344</Lines>
  <Paragraphs>97</Paragraphs>
  <ScaleCrop>false</ScaleCrop>
  <HeadingPairs>
    <vt:vector size="4" baseType="variant">
      <vt:variant>
        <vt:lpstr>Konu Başlığı</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Karska</dc:creator>
  <cp:lastModifiedBy>oem</cp:lastModifiedBy>
  <cp:revision>4</cp:revision>
  <cp:lastPrinted>2023-08-23T12:20:00Z</cp:lastPrinted>
  <dcterms:created xsi:type="dcterms:W3CDTF">2023-08-23T12:16:00Z</dcterms:created>
  <dcterms:modified xsi:type="dcterms:W3CDTF">2023-09-01T13:03:00Z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4a64610ef21d5d0bf75fb02763a3c271221898479f71218223bb6bcad27ab77d</vt:lpwstr>
  </property>
</Properties>
</file>