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5CBB" w14:textId="552D4663" w:rsidR="000B3669" w:rsidRPr="00A64F66" w:rsidRDefault="000B3669" w:rsidP="00443ACC">
      <w:pPr>
        <w:spacing w:line="480" w:lineRule="auto"/>
        <w:ind w:right="426"/>
        <w:jc w:val="center"/>
        <w:rPr>
          <w:rFonts w:asciiTheme="majorBidi" w:hAnsiTheme="majorBidi" w:cstheme="majorBidi"/>
          <w:b/>
          <w:bCs/>
          <w:sz w:val="24"/>
          <w:szCs w:val="24"/>
          <w:rtl/>
        </w:rPr>
      </w:pPr>
      <w:r w:rsidRPr="00A64F66">
        <w:rPr>
          <w:rFonts w:asciiTheme="majorBidi" w:hAnsiTheme="majorBidi" w:cstheme="majorBidi"/>
          <w:b/>
          <w:bCs/>
          <w:sz w:val="24"/>
          <w:szCs w:val="24"/>
        </w:rPr>
        <w:t xml:space="preserve">Benevolence </w:t>
      </w:r>
      <w:r w:rsidR="00134FA8" w:rsidRPr="00A64F66">
        <w:rPr>
          <w:rFonts w:asciiTheme="majorBidi" w:hAnsiTheme="majorBidi" w:cstheme="majorBidi"/>
          <w:b/>
          <w:bCs/>
          <w:sz w:val="24"/>
          <w:szCs w:val="24"/>
        </w:rPr>
        <w:t>vs.</w:t>
      </w:r>
      <w:r w:rsidRPr="00A64F66">
        <w:rPr>
          <w:rFonts w:asciiTheme="majorBidi" w:hAnsiTheme="majorBidi" w:cstheme="majorBidi"/>
          <w:b/>
          <w:bCs/>
          <w:sz w:val="24"/>
          <w:szCs w:val="24"/>
        </w:rPr>
        <w:t xml:space="preserve"> lacking responses:</w:t>
      </w:r>
    </w:p>
    <w:p w14:paraId="4DF20EFE" w14:textId="5B2E17D8" w:rsidR="000B3669" w:rsidRPr="00A64F66" w:rsidRDefault="00443ACC" w:rsidP="00A64F66">
      <w:pPr>
        <w:bidi/>
        <w:spacing w:line="480" w:lineRule="auto"/>
        <w:ind w:right="426"/>
        <w:jc w:val="center"/>
        <w:rPr>
          <w:rFonts w:asciiTheme="majorBidi" w:hAnsiTheme="majorBidi" w:cstheme="majorBidi"/>
          <w:b/>
          <w:bCs/>
          <w:sz w:val="24"/>
          <w:szCs w:val="24"/>
        </w:rPr>
      </w:pPr>
      <w:r>
        <w:rPr>
          <w:rFonts w:asciiTheme="majorBidi" w:hAnsiTheme="majorBidi" w:cstheme="majorBidi"/>
          <w:b/>
          <w:bCs/>
          <w:sz w:val="24"/>
          <w:szCs w:val="24"/>
        </w:rPr>
        <w:t xml:space="preserve">The Deterioration of Commitment to Gender-based </w:t>
      </w:r>
      <w:r w:rsidR="0048421F" w:rsidRPr="00A64F66">
        <w:rPr>
          <w:rFonts w:asciiTheme="majorBidi" w:hAnsiTheme="majorBidi" w:cstheme="majorBidi"/>
          <w:b/>
          <w:bCs/>
          <w:sz w:val="24"/>
          <w:szCs w:val="24"/>
        </w:rPr>
        <w:t>violence in the Israeli Welfare State</w:t>
      </w:r>
      <w:r w:rsidR="000B3669" w:rsidRPr="00A64F66">
        <w:rPr>
          <w:rFonts w:asciiTheme="majorBidi" w:hAnsiTheme="majorBidi" w:cstheme="majorBidi"/>
          <w:b/>
          <w:bCs/>
          <w:sz w:val="24"/>
          <w:szCs w:val="24"/>
        </w:rPr>
        <w:t xml:space="preserve"> </w:t>
      </w:r>
    </w:p>
    <w:p w14:paraId="7B25EB28" w14:textId="00ED7B85" w:rsidR="00443ACC" w:rsidRDefault="000B3669" w:rsidP="00EB7092">
      <w:pPr>
        <w:bidi/>
        <w:spacing w:line="480" w:lineRule="auto"/>
        <w:ind w:right="426"/>
        <w:jc w:val="center"/>
        <w:rPr>
          <w:rFonts w:asciiTheme="majorBidi" w:hAnsiTheme="majorBidi" w:cstheme="majorBidi"/>
          <w:sz w:val="24"/>
          <w:szCs w:val="24"/>
        </w:rPr>
      </w:pPr>
      <w:r w:rsidRPr="00A64F66">
        <w:rPr>
          <w:rFonts w:asciiTheme="majorBidi" w:hAnsiTheme="majorBidi" w:cstheme="majorBidi"/>
          <w:sz w:val="24"/>
          <w:szCs w:val="24"/>
        </w:rPr>
        <w:t>Orly Benjamin, Karni Krigel and Dalit Yasour-Borochovitch</w:t>
      </w:r>
    </w:p>
    <w:p w14:paraId="6224073E" w14:textId="3942FF72" w:rsidR="009D69C1" w:rsidRPr="00A64F66" w:rsidRDefault="009D69C1" w:rsidP="00A64F66">
      <w:pPr>
        <w:pStyle w:val="Heading1"/>
        <w:spacing w:line="480" w:lineRule="auto"/>
        <w:rPr>
          <w:rFonts w:asciiTheme="majorBidi" w:hAnsiTheme="majorBidi" w:cstheme="majorBidi"/>
          <w:sz w:val="24"/>
          <w:szCs w:val="24"/>
        </w:rPr>
      </w:pPr>
      <w:r w:rsidRPr="00A64F66">
        <w:rPr>
          <w:rFonts w:asciiTheme="majorBidi" w:hAnsiTheme="majorBidi" w:cstheme="majorBidi"/>
          <w:sz w:val="24"/>
          <w:szCs w:val="24"/>
        </w:rPr>
        <w:t>Abstract</w:t>
      </w:r>
      <w:r w:rsidR="00E508AA">
        <w:rPr>
          <w:rFonts w:asciiTheme="majorBidi" w:hAnsiTheme="majorBidi" w:cstheme="majorBidi"/>
          <w:sz w:val="24"/>
          <w:szCs w:val="24"/>
        </w:rPr>
        <w:t xml:space="preserve"> </w:t>
      </w:r>
    </w:p>
    <w:p w14:paraId="4E62A96A" w14:textId="240114AE" w:rsidR="000B68CC" w:rsidRDefault="000B3669" w:rsidP="000B68CC">
      <w:pPr>
        <w:spacing w:line="480" w:lineRule="auto"/>
        <w:ind w:right="426"/>
        <w:rPr>
          <w:rFonts w:asciiTheme="majorBidi" w:hAnsiTheme="majorBidi" w:cstheme="majorBidi"/>
          <w:sz w:val="24"/>
          <w:szCs w:val="24"/>
        </w:rPr>
      </w:pPr>
      <w:r w:rsidRPr="00A64F66">
        <w:rPr>
          <w:rFonts w:asciiTheme="majorBidi" w:hAnsiTheme="majorBidi" w:cstheme="majorBidi"/>
          <w:sz w:val="24"/>
          <w:szCs w:val="24"/>
        </w:rPr>
        <w:t xml:space="preserve">Many countries, </w:t>
      </w:r>
      <w:r w:rsidR="00A521DF" w:rsidRPr="00A64F66">
        <w:rPr>
          <w:rFonts w:asciiTheme="majorBidi" w:hAnsiTheme="majorBidi" w:cstheme="majorBidi"/>
          <w:sz w:val="24"/>
          <w:szCs w:val="24"/>
        </w:rPr>
        <w:t>i</w:t>
      </w:r>
      <w:r w:rsidRPr="00A64F66">
        <w:rPr>
          <w:rFonts w:asciiTheme="majorBidi" w:hAnsiTheme="majorBidi" w:cstheme="majorBidi"/>
          <w:sz w:val="24"/>
          <w:szCs w:val="24"/>
        </w:rPr>
        <w:t>ncluding Israel</w:t>
      </w:r>
      <w:r w:rsidR="002E2074" w:rsidRPr="00A64F66">
        <w:rPr>
          <w:rFonts w:asciiTheme="majorBidi" w:hAnsiTheme="majorBidi" w:cstheme="majorBidi"/>
          <w:sz w:val="24"/>
          <w:szCs w:val="24"/>
        </w:rPr>
        <w:t>,</w:t>
      </w:r>
      <w:r w:rsidRPr="00A64F66">
        <w:rPr>
          <w:rFonts w:asciiTheme="majorBidi" w:hAnsiTheme="majorBidi" w:cstheme="majorBidi"/>
          <w:sz w:val="24"/>
          <w:szCs w:val="24"/>
        </w:rPr>
        <w:t xml:space="preserve"> </w:t>
      </w:r>
      <w:r w:rsidR="00605013">
        <w:rPr>
          <w:rFonts w:asciiTheme="majorBidi" w:hAnsiTheme="majorBidi" w:cstheme="majorBidi"/>
          <w:sz w:val="24"/>
          <w:szCs w:val="24"/>
          <w:lang w:val="en-US"/>
        </w:rPr>
        <w:t xml:space="preserve">responded to the international women’s movement’s claim that States should be committed and accountable for </w:t>
      </w:r>
      <w:r w:rsidR="00023477">
        <w:rPr>
          <w:rFonts w:asciiTheme="majorBidi" w:hAnsiTheme="majorBidi" w:cstheme="majorBidi"/>
          <w:sz w:val="24"/>
          <w:szCs w:val="24"/>
          <w:lang w:val="en-US"/>
        </w:rPr>
        <w:t>protecting</w:t>
      </w:r>
      <w:r w:rsidR="00605013">
        <w:rPr>
          <w:rFonts w:asciiTheme="majorBidi" w:hAnsiTheme="majorBidi" w:cstheme="majorBidi"/>
          <w:sz w:val="24"/>
          <w:szCs w:val="24"/>
          <w:lang w:val="en-US"/>
        </w:rPr>
        <w:t xml:space="preserve"> women from </w:t>
      </w:r>
      <w:r w:rsidR="002E2074" w:rsidRPr="00A64F66">
        <w:rPr>
          <w:rFonts w:asciiTheme="majorBidi" w:hAnsiTheme="majorBidi" w:cstheme="majorBidi"/>
          <w:sz w:val="24"/>
          <w:szCs w:val="24"/>
        </w:rPr>
        <w:t>gender-based violence.</w:t>
      </w:r>
      <w:r w:rsidR="00C238FB" w:rsidRPr="00A64F66">
        <w:rPr>
          <w:rFonts w:asciiTheme="majorBidi" w:hAnsiTheme="majorBidi" w:cstheme="majorBidi"/>
          <w:sz w:val="24"/>
          <w:szCs w:val="24"/>
        </w:rPr>
        <w:t xml:space="preserve"> T</w:t>
      </w:r>
      <w:r w:rsidR="008A16FE" w:rsidRPr="00A64F66">
        <w:rPr>
          <w:rFonts w:asciiTheme="majorBidi" w:hAnsiTheme="majorBidi" w:cstheme="majorBidi"/>
          <w:sz w:val="24"/>
          <w:szCs w:val="24"/>
        </w:rPr>
        <w:t>he Is</w:t>
      </w:r>
      <w:r w:rsidR="00C238FB" w:rsidRPr="00A64F66">
        <w:rPr>
          <w:rFonts w:asciiTheme="majorBidi" w:hAnsiTheme="majorBidi" w:cstheme="majorBidi"/>
          <w:sz w:val="24"/>
          <w:szCs w:val="24"/>
        </w:rPr>
        <w:t>r</w:t>
      </w:r>
      <w:r w:rsidR="008A16FE" w:rsidRPr="00A64F66">
        <w:rPr>
          <w:rFonts w:asciiTheme="majorBidi" w:hAnsiTheme="majorBidi" w:cstheme="majorBidi"/>
          <w:sz w:val="24"/>
          <w:szCs w:val="24"/>
        </w:rPr>
        <w:t xml:space="preserve">aeli state </w:t>
      </w:r>
      <w:r w:rsidR="00C83FCC" w:rsidRPr="00A64F66">
        <w:rPr>
          <w:rFonts w:asciiTheme="majorBidi" w:hAnsiTheme="majorBidi" w:cstheme="majorBidi"/>
          <w:sz w:val="24"/>
          <w:szCs w:val="24"/>
          <w:lang w:val="en-US"/>
        </w:rPr>
        <w:t xml:space="preserve">responded </w:t>
      </w:r>
      <w:r w:rsidR="00605013">
        <w:rPr>
          <w:rFonts w:asciiTheme="majorBidi" w:hAnsiTheme="majorBidi" w:cstheme="majorBidi"/>
          <w:sz w:val="24"/>
          <w:szCs w:val="24"/>
          <w:lang w:val="en-US"/>
        </w:rPr>
        <w:t>with</w:t>
      </w:r>
      <w:r w:rsidR="00C83FCC" w:rsidRPr="00A64F66">
        <w:rPr>
          <w:rFonts w:asciiTheme="majorBidi" w:hAnsiTheme="majorBidi" w:cstheme="majorBidi"/>
          <w:sz w:val="24"/>
          <w:szCs w:val="24"/>
          <w:lang w:val="en-US"/>
        </w:rPr>
        <w:t xml:space="preserve"> </w:t>
      </w:r>
      <w:r w:rsidR="00605013">
        <w:rPr>
          <w:rFonts w:asciiTheme="majorBidi" w:hAnsiTheme="majorBidi" w:cstheme="majorBidi"/>
          <w:sz w:val="24"/>
          <w:szCs w:val="24"/>
          <w:lang w:val="en-US"/>
        </w:rPr>
        <w:t xml:space="preserve">1991 legislation and the </w:t>
      </w:r>
      <w:r w:rsidR="00C83FCC" w:rsidRPr="00A64F66">
        <w:rPr>
          <w:rFonts w:asciiTheme="majorBidi" w:hAnsiTheme="majorBidi" w:cstheme="majorBidi"/>
          <w:sz w:val="24"/>
          <w:szCs w:val="24"/>
          <w:lang w:val="en-US"/>
        </w:rPr>
        <w:t>establish</w:t>
      </w:r>
      <w:r w:rsidR="00605013">
        <w:rPr>
          <w:rFonts w:asciiTheme="majorBidi" w:hAnsiTheme="majorBidi" w:cstheme="majorBidi"/>
          <w:sz w:val="24"/>
          <w:szCs w:val="24"/>
          <w:lang w:val="en-US"/>
        </w:rPr>
        <w:t>ment of</w:t>
      </w:r>
      <w:r w:rsidR="00C83FCC" w:rsidRPr="00A64F66">
        <w:rPr>
          <w:rFonts w:asciiTheme="majorBidi" w:hAnsiTheme="majorBidi" w:cstheme="majorBidi"/>
          <w:sz w:val="24"/>
          <w:szCs w:val="24"/>
          <w:lang w:val="en-US"/>
        </w:rPr>
        <w:t xml:space="preserve"> </w:t>
      </w:r>
      <w:r w:rsidR="00605013">
        <w:rPr>
          <w:rFonts w:asciiTheme="majorBidi" w:hAnsiTheme="majorBidi" w:cstheme="majorBidi"/>
          <w:sz w:val="24"/>
          <w:szCs w:val="24"/>
          <w:lang w:val="en-US"/>
        </w:rPr>
        <w:t>centres</w:t>
      </w:r>
      <w:r w:rsidR="00C83FCC" w:rsidRPr="00A64F66">
        <w:rPr>
          <w:rFonts w:asciiTheme="majorBidi" w:hAnsiTheme="majorBidi" w:cstheme="majorBidi"/>
          <w:sz w:val="24"/>
          <w:szCs w:val="24"/>
          <w:lang w:val="en-US"/>
        </w:rPr>
        <w:t xml:space="preserve"> in charge of </w:t>
      </w:r>
      <w:r w:rsidR="00443ACC">
        <w:rPr>
          <w:rFonts w:asciiTheme="majorBidi" w:hAnsiTheme="majorBidi" w:cstheme="majorBidi"/>
          <w:sz w:val="24"/>
          <w:szCs w:val="24"/>
          <w:lang w:val="en-US"/>
        </w:rPr>
        <w:t xml:space="preserve">therapy and </w:t>
      </w:r>
      <w:r w:rsidR="00C83FCC" w:rsidRPr="00A64F66">
        <w:rPr>
          <w:rFonts w:asciiTheme="majorBidi" w:hAnsiTheme="majorBidi" w:cstheme="majorBidi"/>
          <w:sz w:val="24"/>
          <w:szCs w:val="24"/>
          <w:lang w:val="en-US"/>
        </w:rPr>
        <w:t>prevention.</w:t>
      </w:r>
      <w:r w:rsidR="000B68CC">
        <w:rPr>
          <w:rFonts w:asciiTheme="majorBidi" w:hAnsiTheme="majorBidi" w:cstheme="majorBidi"/>
          <w:sz w:val="24"/>
          <w:szCs w:val="24"/>
          <w:lang w:val="en-US"/>
        </w:rPr>
        <w:t xml:space="preserve"> </w:t>
      </w:r>
      <w:r w:rsidR="00024983">
        <w:rPr>
          <w:rFonts w:asciiTheme="majorBidi" w:hAnsiTheme="majorBidi" w:cstheme="majorBidi"/>
          <w:sz w:val="24"/>
          <w:szCs w:val="24"/>
          <w:lang w:val="en-US"/>
        </w:rPr>
        <w:t xml:space="preserve">Beyond the declared </w:t>
      </w:r>
      <w:r w:rsidR="00C62573">
        <w:rPr>
          <w:rFonts w:asciiTheme="majorBidi" w:hAnsiTheme="majorBidi" w:cstheme="majorBidi"/>
          <w:sz w:val="24"/>
          <w:szCs w:val="24"/>
          <w:lang w:val="en-US"/>
        </w:rPr>
        <w:t>commitment</w:t>
      </w:r>
      <w:r w:rsidR="00024983">
        <w:rPr>
          <w:rFonts w:asciiTheme="majorBidi" w:hAnsiTheme="majorBidi" w:cstheme="majorBidi"/>
          <w:sz w:val="24"/>
          <w:szCs w:val="24"/>
          <w:lang w:val="en-US"/>
        </w:rPr>
        <w:t xml:space="preserve">, </w:t>
      </w:r>
      <w:r w:rsidR="00C62573">
        <w:rPr>
          <w:rFonts w:asciiTheme="majorBidi" w:hAnsiTheme="majorBidi" w:cstheme="majorBidi"/>
          <w:sz w:val="24"/>
          <w:szCs w:val="24"/>
          <w:lang w:val="en-US"/>
        </w:rPr>
        <w:t>a scholarly interest recently arose concerning the possibility that a symmetrical notion of</w:t>
      </w:r>
      <w:r w:rsidR="0087310E">
        <w:rPr>
          <w:rFonts w:asciiTheme="majorBidi" w:hAnsiTheme="majorBidi" w:cstheme="majorBidi"/>
          <w:sz w:val="24"/>
          <w:szCs w:val="24"/>
          <w:lang w:val="en-US"/>
        </w:rPr>
        <w:t xml:space="preserve"> Intimate Partner Violence</w:t>
      </w:r>
      <w:r w:rsidR="00C62573">
        <w:rPr>
          <w:rFonts w:asciiTheme="majorBidi" w:hAnsiTheme="majorBidi" w:cstheme="majorBidi"/>
          <w:sz w:val="24"/>
          <w:szCs w:val="24"/>
          <w:lang w:val="en-US"/>
        </w:rPr>
        <w:t xml:space="preserve"> </w:t>
      </w:r>
      <w:r w:rsidR="0087310E">
        <w:rPr>
          <w:rFonts w:asciiTheme="majorBidi" w:hAnsiTheme="majorBidi" w:cstheme="majorBidi"/>
          <w:sz w:val="24"/>
          <w:szCs w:val="24"/>
          <w:lang w:val="en-US"/>
        </w:rPr>
        <w:t>(</w:t>
      </w:r>
      <w:r w:rsidR="00C62573">
        <w:rPr>
          <w:rFonts w:asciiTheme="majorBidi" w:hAnsiTheme="majorBidi" w:cstheme="majorBidi"/>
          <w:sz w:val="24"/>
          <w:szCs w:val="24"/>
          <w:lang w:val="en-US"/>
        </w:rPr>
        <w:t>IPV</w:t>
      </w:r>
      <w:r w:rsidR="0087310E">
        <w:rPr>
          <w:rFonts w:asciiTheme="majorBidi" w:hAnsiTheme="majorBidi" w:cstheme="majorBidi"/>
          <w:sz w:val="24"/>
          <w:szCs w:val="24"/>
          <w:lang w:val="en-US"/>
        </w:rPr>
        <w:t xml:space="preserve">) </w:t>
      </w:r>
      <w:r w:rsidR="00C62573">
        <w:rPr>
          <w:rFonts w:asciiTheme="majorBidi" w:hAnsiTheme="majorBidi" w:cstheme="majorBidi"/>
          <w:sz w:val="24"/>
          <w:szCs w:val="24"/>
          <w:lang w:val="en-US"/>
        </w:rPr>
        <w:t xml:space="preserve">impacts the social services approach. </w:t>
      </w:r>
      <w:r w:rsidR="00443ACC">
        <w:rPr>
          <w:rFonts w:asciiTheme="majorBidi" w:hAnsiTheme="majorBidi" w:cstheme="majorBidi"/>
          <w:sz w:val="24"/>
          <w:szCs w:val="24"/>
          <w:lang w:val="en-US"/>
        </w:rPr>
        <w:t xml:space="preserve">Currently, not enough is known about the consistency between the </w:t>
      </w:r>
      <w:r w:rsidR="00024983">
        <w:rPr>
          <w:rFonts w:asciiTheme="majorBidi" w:hAnsiTheme="majorBidi" w:cstheme="majorBidi"/>
          <w:sz w:val="24"/>
          <w:szCs w:val="24"/>
          <w:lang w:val="en-US"/>
        </w:rPr>
        <w:t>stated commitment</w:t>
      </w:r>
      <w:r w:rsidR="00443ACC">
        <w:rPr>
          <w:rFonts w:asciiTheme="majorBidi" w:hAnsiTheme="majorBidi" w:cstheme="majorBidi"/>
          <w:sz w:val="24"/>
          <w:szCs w:val="24"/>
          <w:lang w:val="en-US"/>
        </w:rPr>
        <w:t xml:space="preserve"> concerning prevention and </w:t>
      </w:r>
      <w:r w:rsidR="00024983">
        <w:rPr>
          <w:rFonts w:asciiTheme="majorBidi" w:hAnsiTheme="majorBidi" w:cstheme="majorBidi"/>
          <w:sz w:val="24"/>
          <w:szCs w:val="24"/>
          <w:lang w:val="en-US"/>
        </w:rPr>
        <w:t>the process in whic</w:t>
      </w:r>
      <w:r w:rsidR="00C62573">
        <w:rPr>
          <w:rFonts w:asciiTheme="majorBidi" w:hAnsiTheme="majorBidi" w:cstheme="majorBidi"/>
          <w:sz w:val="24"/>
          <w:szCs w:val="24"/>
          <w:lang w:val="en-US"/>
        </w:rPr>
        <w:t xml:space="preserve">h the symmetrical understanding of IPV permeates </w:t>
      </w:r>
      <w:r w:rsidR="00443ACC">
        <w:rPr>
          <w:rFonts w:asciiTheme="majorBidi" w:hAnsiTheme="majorBidi" w:cstheme="majorBidi"/>
          <w:sz w:val="24"/>
          <w:szCs w:val="24"/>
          <w:lang w:val="en-US"/>
        </w:rPr>
        <w:t xml:space="preserve">social workers’ practices. </w:t>
      </w:r>
      <w:r w:rsidR="000B68CC">
        <w:rPr>
          <w:rFonts w:asciiTheme="majorBidi" w:hAnsiTheme="majorBidi" w:cstheme="majorBidi"/>
          <w:sz w:val="24"/>
          <w:szCs w:val="24"/>
          <w:lang w:val="en-US"/>
        </w:rPr>
        <w:t xml:space="preserve">In presenting our analysis of 50 interviews with social workers </w:t>
      </w:r>
      <w:r w:rsidR="008A16FE" w:rsidRPr="00A64F66">
        <w:rPr>
          <w:rFonts w:asciiTheme="majorBidi" w:hAnsiTheme="majorBidi" w:cstheme="majorBidi"/>
          <w:sz w:val="24"/>
          <w:szCs w:val="24"/>
        </w:rPr>
        <w:t>we</w:t>
      </w:r>
      <w:r w:rsidR="000B68CC">
        <w:rPr>
          <w:rFonts w:asciiTheme="majorBidi" w:hAnsiTheme="majorBidi" w:cstheme="majorBidi"/>
          <w:sz w:val="24"/>
          <w:szCs w:val="24"/>
        </w:rPr>
        <w:t xml:space="preserve"> show a deterioration process in social workers</w:t>
      </w:r>
      <w:r w:rsidR="00E508AA">
        <w:rPr>
          <w:rFonts w:asciiTheme="majorBidi" w:hAnsiTheme="majorBidi" w:cstheme="majorBidi"/>
          <w:sz w:val="24"/>
          <w:szCs w:val="24"/>
        </w:rPr>
        <w:t>’</w:t>
      </w:r>
      <w:r w:rsidR="000B68CC">
        <w:rPr>
          <w:rFonts w:asciiTheme="majorBidi" w:hAnsiTheme="majorBidi" w:cstheme="majorBidi"/>
          <w:sz w:val="24"/>
          <w:szCs w:val="24"/>
        </w:rPr>
        <w:t xml:space="preserve"> </w:t>
      </w:r>
      <w:r w:rsidR="00E508AA">
        <w:rPr>
          <w:rFonts w:asciiTheme="majorBidi" w:hAnsiTheme="majorBidi" w:cstheme="majorBidi"/>
          <w:sz w:val="24"/>
          <w:szCs w:val="24"/>
        </w:rPr>
        <w:t>commitment</w:t>
      </w:r>
      <w:r w:rsidR="000B68CC">
        <w:rPr>
          <w:rFonts w:asciiTheme="majorBidi" w:hAnsiTheme="majorBidi" w:cstheme="majorBidi"/>
          <w:sz w:val="24"/>
          <w:szCs w:val="24"/>
        </w:rPr>
        <w:t xml:space="preserve"> to a gendered perspective of IPV and how they embrace a symmetry approach to IPV. </w:t>
      </w:r>
    </w:p>
    <w:p w14:paraId="0B41D5E4" w14:textId="7591A6B0" w:rsidR="00443ACC" w:rsidRDefault="00443ACC" w:rsidP="000B68CC">
      <w:pPr>
        <w:spacing w:line="480" w:lineRule="auto"/>
        <w:ind w:right="426"/>
        <w:rPr>
          <w:rFonts w:asciiTheme="majorBidi" w:hAnsiTheme="majorBidi" w:cstheme="majorBidi"/>
          <w:sz w:val="24"/>
          <w:szCs w:val="24"/>
        </w:rPr>
      </w:pPr>
      <w:r w:rsidRPr="00443ACC">
        <w:rPr>
          <w:rFonts w:asciiTheme="majorBidi" w:hAnsiTheme="majorBidi" w:cstheme="majorBidi"/>
          <w:b/>
          <w:bCs/>
          <w:sz w:val="24"/>
          <w:szCs w:val="24"/>
        </w:rPr>
        <w:t>Keywords:</w:t>
      </w:r>
      <w:r>
        <w:rPr>
          <w:rFonts w:asciiTheme="majorBidi" w:hAnsiTheme="majorBidi" w:cstheme="majorBidi"/>
          <w:sz w:val="24"/>
          <w:szCs w:val="24"/>
        </w:rPr>
        <w:t xml:space="preserve"> social workers, gender-based violence, symmetrical approach, deteriorating commitment.  </w:t>
      </w:r>
    </w:p>
    <w:p w14:paraId="305A53CA" w14:textId="77777777" w:rsidR="00CF715D" w:rsidRDefault="00CF715D" w:rsidP="000B68CC">
      <w:pPr>
        <w:spacing w:line="480" w:lineRule="auto"/>
        <w:ind w:right="426"/>
        <w:rPr>
          <w:rFonts w:asciiTheme="majorBidi" w:hAnsiTheme="majorBidi" w:cstheme="majorBidi"/>
          <w:sz w:val="24"/>
          <w:szCs w:val="24"/>
        </w:rPr>
      </w:pPr>
    </w:p>
    <w:p w14:paraId="55DEBE4A" w14:textId="77777777" w:rsidR="00CF715D" w:rsidRDefault="00CF715D" w:rsidP="000B68CC">
      <w:pPr>
        <w:spacing w:line="480" w:lineRule="auto"/>
        <w:ind w:right="426"/>
        <w:rPr>
          <w:rFonts w:asciiTheme="majorBidi" w:hAnsiTheme="majorBidi" w:cstheme="majorBidi"/>
          <w:sz w:val="24"/>
          <w:szCs w:val="24"/>
        </w:rPr>
      </w:pPr>
    </w:p>
    <w:p w14:paraId="1ED4A894" w14:textId="77777777" w:rsidR="00EB7092" w:rsidRDefault="00EB7092" w:rsidP="000B68CC">
      <w:pPr>
        <w:spacing w:line="480" w:lineRule="auto"/>
        <w:ind w:right="426"/>
        <w:rPr>
          <w:rFonts w:asciiTheme="majorBidi" w:hAnsiTheme="majorBidi" w:cstheme="majorBidi"/>
          <w:sz w:val="24"/>
          <w:szCs w:val="24"/>
        </w:rPr>
      </w:pPr>
    </w:p>
    <w:p w14:paraId="3605D922" w14:textId="77777777" w:rsidR="00EB7092" w:rsidRDefault="00EB7092" w:rsidP="000B68CC">
      <w:pPr>
        <w:spacing w:line="480" w:lineRule="auto"/>
        <w:ind w:right="426"/>
        <w:rPr>
          <w:rFonts w:asciiTheme="majorBidi" w:hAnsiTheme="majorBidi" w:cstheme="majorBidi"/>
          <w:sz w:val="24"/>
          <w:szCs w:val="24"/>
        </w:rPr>
      </w:pPr>
    </w:p>
    <w:p w14:paraId="13B89975" w14:textId="280E2DDB" w:rsidR="00F66E1A" w:rsidRDefault="00F66E1A" w:rsidP="00A64F66">
      <w:pPr>
        <w:pStyle w:val="Heading1"/>
        <w:spacing w:line="480" w:lineRule="auto"/>
        <w:rPr>
          <w:rFonts w:asciiTheme="majorBidi" w:hAnsiTheme="majorBidi" w:cstheme="majorBidi"/>
          <w:sz w:val="24"/>
          <w:szCs w:val="24"/>
          <w:lang w:val="en-GB"/>
        </w:rPr>
      </w:pPr>
      <w:r>
        <w:rPr>
          <w:rFonts w:asciiTheme="majorBidi" w:hAnsiTheme="majorBidi" w:cstheme="majorBidi"/>
          <w:sz w:val="24"/>
          <w:szCs w:val="24"/>
          <w:lang w:val="en-GB"/>
        </w:rPr>
        <w:lastRenderedPageBreak/>
        <w:t>Introduction</w:t>
      </w:r>
    </w:p>
    <w:p w14:paraId="71CB175F" w14:textId="44870AFD" w:rsidR="000B68CC" w:rsidRDefault="0087310E" w:rsidP="00C7004A">
      <w:pPr>
        <w:spacing w:after="0" w:line="480" w:lineRule="auto"/>
        <w:rPr>
          <w:rFonts w:asciiTheme="majorBidi" w:hAnsiTheme="majorBidi" w:cstheme="majorBidi"/>
          <w:sz w:val="24"/>
          <w:szCs w:val="24"/>
        </w:rPr>
      </w:pPr>
      <w:r>
        <w:rPr>
          <w:rFonts w:asciiTheme="majorBidi" w:hAnsiTheme="majorBidi" w:cstheme="majorBidi"/>
          <w:sz w:val="24"/>
          <w:szCs w:val="24"/>
        </w:rPr>
        <w:t>Intimate Partner Violence (</w:t>
      </w:r>
      <w:r w:rsidR="00E508AA" w:rsidRPr="00902A73">
        <w:rPr>
          <w:rFonts w:asciiTheme="majorBidi" w:hAnsiTheme="majorBidi" w:cstheme="majorBidi"/>
          <w:sz w:val="24"/>
          <w:szCs w:val="24"/>
        </w:rPr>
        <w:t>IPV</w:t>
      </w:r>
      <w:r>
        <w:rPr>
          <w:rFonts w:asciiTheme="majorBidi" w:hAnsiTheme="majorBidi" w:cstheme="majorBidi"/>
          <w:sz w:val="24"/>
          <w:szCs w:val="24"/>
        </w:rPr>
        <w:t>)</w:t>
      </w:r>
      <w:r w:rsidR="00E508AA" w:rsidRPr="00902A73">
        <w:rPr>
          <w:rFonts w:asciiTheme="majorBidi" w:hAnsiTheme="majorBidi" w:cstheme="majorBidi"/>
          <w:sz w:val="24"/>
          <w:szCs w:val="24"/>
        </w:rPr>
        <w:t xml:space="preserve"> is a widespread social phenomenon, common in global neoliberal societies around the world; it is estimated that 35% of women worldwide have been the target of physical or sexual violence by their partners (Abraham </w:t>
      </w:r>
      <w:r w:rsidR="00023477">
        <w:rPr>
          <w:rFonts w:asciiTheme="majorBidi" w:hAnsiTheme="majorBidi" w:cstheme="majorBidi"/>
          <w:sz w:val="24"/>
          <w:szCs w:val="24"/>
        </w:rPr>
        <w:t>&amp;</w:t>
      </w:r>
      <w:r w:rsidR="00023477" w:rsidRPr="00902A73">
        <w:rPr>
          <w:rFonts w:asciiTheme="majorBidi" w:hAnsiTheme="majorBidi" w:cstheme="majorBidi"/>
          <w:sz w:val="24"/>
          <w:szCs w:val="24"/>
        </w:rPr>
        <w:t xml:space="preserve"> </w:t>
      </w:r>
      <w:r w:rsidR="00E508AA" w:rsidRPr="00902A73">
        <w:rPr>
          <w:rFonts w:asciiTheme="majorBidi" w:hAnsiTheme="majorBidi" w:cstheme="majorBidi"/>
          <w:sz w:val="24"/>
          <w:szCs w:val="24"/>
        </w:rPr>
        <w:t xml:space="preserve">Tastsoglou, 2016a). </w:t>
      </w:r>
      <w:r w:rsidR="00E508AA">
        <w:rPr>
          <w:rFonts w:asciiTheme="majorBidi" w:hAnsiTheme="majorBidi" w:cstheme="majorBidi"/>
          <w:sz w:val="24"/>
          <w:szCs w:val="24"/>
        </w:rPr>
        <w:t>Studie</w:t>
      </w:r>
      <w:r w:rsidR="00E508AA" w:rsidRPr="0009640D">
        <w:rPr>
          <w:rFonts w:asciiTheme="majorBidi" w:hAnsiTheme="majorBidi" w:cstheme="majorBidi"/>
          <w:sz w:val="24"/>
          <w:szCs w:val="24"/>
        </w:rPr>
        <w:t xml:space="preserve">s indicate that IPV is harmful in all of its many forms (physical, sexual, psychological, emotional, or economic) </w:t>
      </w:r>
      <w:r w:rsidR="00E508AA">
        <w:rPr>
          <w:rFonts w:asciiTheme="majorBidi" w:hAnsiTheme="majorBidi" w:cstheme="majorBidi"/>
          <w:sz w:val="24"/>
          <w:szCs w:val="24"/>
        </w:rPr>
        <w:t xml:space="preserve">as </w:t>
      </w:r>
      <w:r w:rsidR="00E508AA" w:rsidRPr="0009640D">
        <w:rPr>
          <w:rFonts w:asciiTheme="majorBidi" w:hAnsiTheme="majorBidi" w:cstheme="majorBidi"/>
          <w:sz w:val="24"/>
          <w:szCs w:val="24"/>
        </w:rPr>
        <w:t>it effectuates the abuser</w:t>
      </w:r>
      <w:r w:rsidR="00E508AA">
        <w:rPr>
          <w:rFonts w:asciiTheme="majorBidi" w:hAnsiTheme="majorBidi" w:cstheme="majorBidi"/>
          <w:sz w:val="24"/>
          <w:szCs w:val="24"/>
        </w:rPr>
        <w:t>’</w:t>
      </w:r>
      <w:r w:rsidR="00E508AA" w:rsidRPr="0009640D">
        <w:rPr>
          <w:rFonts w:asciiTheme="majorBidi" w:hAnsiTheme="majorBidi" w:cstheme="majorBidi"/>
          <w:sz w:val="24"/>
          <w:szCs w:val="24"/>
        </w:rPr>
        <w:t>s exertion of power and control (</w:t>
      </w:r>
      <w:r w:rsidR="00E508AA" w:rsidRPr="00AF4BA7">
        <w:rPr>
          <w:rFonts w:asciiTheme="majorBidi" w:hAnsiTheme="majorBidi" w:cstheme="majorBidi"/>
          <w:sz w:val="24"/>
          <w:szCs w:val="24"/>
        </w:rPr>
        <w:t>Abraham &amp; Tast</w:t>
      </w:r>
      <w:r w:rsidR="00E508AA">
        <w:rPr>
          <w:rFonts w:asciiTheme="majorBidi" w:hAnsiTheme="majorBidi" w:cstheme="majorBidi"/>
          <w:sz w:val="24"/>
          <w:szCs w:val="24"/>
        </w:rPr>
        <w:t>s</w:t>
      </w:r>
      <w:r w:rsidR="00E508AA" w:rsidRPr="00AF4BA7">
        <w:rPr>
          <w:rFonts w:asciiTheme="majorBidi" w:hAnsiTheme="majorBidi" w:cstheme="majorBidi"/>
          <w:sz w:val="24"/>
          <w:szCs w:val="24"/>
        </w:rPr>
        <w:t>oglou, 2016a</w:t>
      </w:r>
      <w:r w:rsidR="00E508AA">
        <w:rPr>
          <w:rFonts w:asciiTheme="majorBidi" w:hAnsiTheme="majorBidi" w:cstheme="majorBidi"/>
          <w:sz w:val="24"/>
          <w:szCs w:val="24"/>
        </w:rPr>
        <w:t>;</w:t>
      </w:r>
      <w:r w:rsidR="00E508AA" w:rsidRPr="00AF4BA7">
        <w:rPr>
          <w:rFonts w:asciiTheme="majorBidi" w:hAnsiTheme="majorBidi" w:cstheme="majorBidi"/>
          <w:sz w:val="24"/>
          <w:szCs w:val="24"/>
        </w:rPr>
        <w:t xml:space="preserve"> </w:t>
      </w:r>
      <w:r w:rsidR="00E508AA" w:rsidRPr="00780EA1">
        <w:rPr>
          <w:rFonts w:asciiTheme="majorBidi" w:hAnsiTheme="majorBidi" w:cstheme="majorBidi"/>
          <w:sz w:val="24"/>
          <w:szCs w:val="24"/>
        </w:rPr>
        <w:t>Johnson, 200</w:t>
      </w:r>
      <w:r w:rsidR="00E508AA">
        <w:rPr>
          <w:rFonts w:asciiTheme="majorBidi" w:hAnsiTheme="majorBidi" w:cstheme="majorBidi" w:hint="cs"/>
          <w:sz w:val="24"/>
          <w:szCs w:val="24"/>
          <w:rtl/>
        </w:rPr>
        <w:t>9</w:t>
      </w:r>
      <w:r w:rsidR="00E508AA" w:rsidRPr="00780EA1">
        <w:rPr>
          <w:rFonts w:asciiTheme="majorBidi" w:hAnsiTheme="majorBidi" w:cstheme="majorBidi"/>
          <w:sz w:val="24"/>
          <w:szCs w:val="24"/>
        </w:rPr>
        <w:t xml:space="preserve">; </w:t>
      </w:r>
      <w:r w:rsidR="00E508AA" w:rsidRPr="00780EA1">
        <w:rPr>
          <w:rFonts w:asciiTheme="majorBidi" w:hAnsiTheme="majorBidi" w:cstheme="majorBidi"/>
          <w:sz w:val="24"/>
          <w:szCs w:val="24"/>
          <w:lang w:eastAsia="he-IL"/>
        </w:rPr>
        <w:t>Lindhorst &amp; Beadnell, 2011</w:t>
      </w:r>
      <w:r w:rsidR="00E508AA" w:rsidRPr="00780EA1">
        <w:rPr>
          <w:rFonts w:asciiTheme="majorBidi" w:hAnsiTheme="majorBidi" w:cstheme="majorBidi"/>
          <w:sz w:val="24"/>
          <w:szCs w:val="24"/>
        </w:rPr>
        <w:t>; Scott-Story, 2011</w:t>
      </w:r>
      <w:r w:rsidR="00E508AA">
        <w:rPr>
          <w:rFonts w:asciiTheme="majorBidi" w:hAnsiTheme="majorBidi" w:cstheme="majorBidi"/>
          <w:sz w:val="24"/>
          <w:szCs w:val="24"/>
        </w:rPr>
        <w:t>; authors, 2019</w:t>
      </w:r>
      <w:r w:rsidR="00E508AA" w:rsidRPr="00780EA1">
        <w:rPr>
          <w:rFonts w:asciiTheme="majorBidi" w:hAnsiTheme="majorBidi" w:cstheme="majorBidi"/>
          <w:sz w:val="24"/>
          <w:szCs w:val="24"/>
        </w:rPr>
        <w:t>).</w:t>
      </w:r>
      <w:r w:rsidR="00E508AA" w:rsidRPr="0009640D">
        <w:rPr>
          <w:rFonts w:asciiTheme="majorBidi" w:hAnsiTheme="majorBidi" w:cstheme="majorBidi"/>
          <w:sz w:val="24"/>
          <w:szCs w:val="24"/>
        </w:rPr>
        <w:t xml:space="preserve"> </w:t>
      </w:r>
      <w:r w:rsidR="00E508AA" w:rsidRPr="00902A73">
        <w:rPr>
          <w:rFonts w:asciiTheme="majorBidi" w:hAnsiTheme="majorBidi" w:cstheme="majorBidi"/>
          <w:sz w:val="24"/>
          <w:szCs w:val="24"/>
        </w:rPr>
        <w:t xml:space="preserve">Campbell (2013) pinpoints the dynamics of neopatriarchy that accelerate IPV in neoliberal societies, perceiving them as grounded in the precarity and isolation characterizing these women’s lives. </w:t>
      </w:r>
      <w:r w:rsidR="00E508AA">
        <w:rPr>
          <w:rFonts w:asciiTheme="majorBidi" w:hAnsiTheme="majorBidi" w:cstheme="majorBidi"/>
          <w:sz w:val="24"/>
          <w:szCs w:val="24"/>
        </w:rPr>
        <w:t>Scholars agree that t</w:t>
      </w:r>
      <w:r w:rsidR="00E508AA" w:rsidRPr="00902A73">
        <w:rPr>
          <w:rFonts w:asciiTheme="majorBidi" w:hAnsiTheme="majorBidi" w:cstheme="majorBidi"/>
          <w:sz w:val="24"/>
          <w:szCs w:val="24"/>
        </w:rPr>
        <w:t xml:space="preserve">he state and its institutions play a central role in the preservation and reproduction of gender-based violence worldwide (Abraham </w:t>
      </w:r>
      <w:r w:rsidR="00366950">
        <w:rPr>
          <w:rFonts w:asciiTheme="majorBidi" w:hAnsiTheme="majorBidi" w:cstheme="majorBidi"/>
          <w:sz w:val="24"/>
          <w:szCs w:val="24"/>
        </w:rPr>
        <w:t>&amp;</w:t>
      </w:r>
      <w:r w:rsidR="00366950" w:rsidRPr="00902A73">
        <w:rPr>
          <w:rFonts w:asciiTheme="majorBidi" w:hAnsiTheme="majorBidi" w:cstheme="majorBidi"/>
          <w:sz w:val="24"/>
          <w:szCs w:val="24"/>
        </w:rPr>
        <w:t xml:space="preserve"> </w:t>
      </w:r>
      <w:r w:rsidR="00E508AA" w:rsidRPr="00902A73">
        <w:rPr>
          <w:rFonts w:asciiTheme="majorBidi" w:hAnsiTheme="majorBidi" w:cstheme="majorBidi"/>
          <w:sz w:val="24"/>
          <w:szCs w:val="24"/>
        </w:rPr>
        <w:t xml:space="preserve">Tastsoglou, 2016b; </w:t>
      </w:r>
      <w:r w:rsidR="00E508AA">
        <w:rPr>
          <w:rFonts w:asciiTheme="majorBidi" w:hAnsiTheme="majorBidi" w:cstheme="majorBidi"/>
          <w:sz w:val="24"/>
          <w:szCs w:val="24"/>
        </w:rPr>
        <w:t xml:space="preserve">Adelman, 2017; </w:t>
      </w:r>
      <w:r w:rsidR="00E508AA" w:rsidRPr="00902A73">
        <w:rPr>
          <w:rFonts w:asciiTheme="majorBidi" w:hAnsiTheme="majorBidi" w:cstheme="majorBidi"/>
          <w:sz w:val="24"/>
          <w:szCs w:val="24"/>
        </w:rPr>
        <w:t xml:space="preserve">Hearn et al., 2016). </w:t>
      </w:r>
      <w:r w:rsidR="00E508AA">
        <w:rPr>
          <w:rFonts w:asciiTheme="majorBidi" w:hAnsiTheme="majorBidi" w:cstheme="majorBidi"/>
          <w:sz w:val="24"/>
          <w:szCs w:val="24"/>
        </w:rPr>
        <w:t>O</w:t>
      </w:r>
      <w:r w:rsidR="00E508AA" w:rsidRPr="00902A73">
        <w:rPr>
          <w:rFonts w:asciiTheme="majorBidi" w:hAnsiTheme="majorBidi" w:cstheme="majorBidi"/>
          <w:sz w:val="24"/>
          <w:szCs w:val="24"/>
        </w:rPr>
        <w:t xml:space="preserve">fficial policy reproduces IPV’s hegemonic power position even in countries whose declared rhetoric opposes IPV, especially in social locations in which exposure to IPV is intensified by racialized </w:t>
      </w:r>
      <w:r w:rsidR="00E508AA" w:rsidRPr="002B150C">
        <w:rPr>
          <w:rFonts w:asciiTheme="majorBidi" w:hAnsiTheme="majorBidi" w:cstheme="majorBidi"/>
          <w:sz w:val="24"/>
          <w:szCs w:val="24"/>
        </w:rPr>
        <w:t>marginalization (Grzanka, 2014). Brush (201</w:t>
      </w:r>
      <w:r w:rsidR="00CC3A32" w:rsidRPr="002B150C">
        <w:rPr>
          <w:rFonts w:asciiTheme="majorBidi" w:hAnsiTheme="majorBidi" w:cstheme="majorBidi"/>
          <w:sz w:val="24"/>
          <w:szCs w:val="24"/>
        </w:rPr>
        <w:t>3</w:t>
      </w:r>
      <w:r w:rsidR="00E508AA" w:rsidRPr="002B150C">
        <w:rPr>
          <w:rFonts w:asciiTheme="majorBidi" w:hAnsiTheme="majorBidi" w:cstheme="majorBidi"/>
          <w:sz w:val="24"/>
          <w:szCs w:val="24"/>
        </w:rPr>
        <w:t>) and Weissman (2020) have shown</w:t>
      </w:r>
      <w:r w:rsidR="00E508AA">
        <w:rPr>
          <w:rFonts w:asciiTheme="majorBidi" w:hAnsiTheme="majorBidi" w:cstheme="majorBidi"/>
          <w:sz w:val="24"/>
          <w:szCs w:val="24"/>
        </w:rPr>
        <w:t xml:space="preserve"> the systematic denial of material resources </w:t>
      </w:r>
      <w:r w:rsidR="006F5989">
        <w:rPr>
          <w:rFonts w:asciiTheme="majorBidi" w:hAnsiTheme="majorBidi" w:cstheme="majorBidi"/>
          <w:sz w:val="24"/>
          <w:szCs w:val="24"/>
        </w:rPr>
        <w:t xml:space="preserve">by </w:t>
      </w:r>
      <w:r w:rsidR="00E508AA">
        <w:rPr>
          <w:rFonts w:asciiTheme="majorBidi" w:hAnsiTheme="majorBidi" w:cstheme="majorBidi"/>
          <w:sz w:val="24"/>
          <w:szCs w:val="24"/>
        </w:rPr>
        <w:t>IPV survivors in the US to the extent of turning harsh poverty into a prolonged characteristic of their family lives.</w:t>
      </w:r>
      <w:r w:rsidR="00C7004A">
        <w:rPr>
          <w:rFonts w:asciiTheme="majorBidi" w:hAnsiTheme="majorBidi" w:cstheme="majorBidi"/>
          <w:sz w:val="24"/>
          <w:szCs w:val="24"/>
        </w:rPr>
        <w:t xml:space="preserve"> Based on these earlier studies</w:t>
      </w:r>
      <w:r w:rsidR="00227A79">
        <w:rPr>
          <w:rFonts w:asciiTheme="majorBidi" w:hAnsiTheme="majorBidi" w:cstheme="majorBidi"/>
          <w:sz w:val="24"/>
          <w:szCs w:val="24"/>
        </w:rPr>
        <w:t>,</w:t>
      </w:r>
      <w:r w:rsidR="00C7004A">
        <w:rPr>
          <w:rFonts w:asciiTheme="majorBidi" w:hAnsiTheme="majorBidi" w:cstheme="majorBidi"/>
          <w:sz w:val="24"/>
          <w:szCs w:val="24"/>
        </w:rPr>
        <w:t xml:space="preserve"> we</w:t>
      </w:r>
      <w:r w:rsidR="00F66E1A">
        <w:rPr>
          <w:rFonts w:asciiTheme="majorBidi" w:hAnsiTheme="majorBidi" w:cstheme="majorBidi"/>
          <w:sz w:val="24"/>
          <w:szCs w:val="24"/>
        </w:rPr>
        <w:t xml:space="preserve"> define </w:t>
      </w:r>
      <w:r w:rsidR="00C7004A">
        <w:rPr>
          <w:rFonts w:asciiTheme="majorBidi" w:hAnsiTheme="majorBidi" w:cstheme="majorBidi"/>
          <w:sz w:val="24"/>
          <w:szCs w:val="24"/>
        </w:rPr>
        <w:t xml:space="preserve">here the notion of </w:t>
      </w:r>
      <w:r w:rsidR="00F66E1A">
        <w:rPr>
          <w:rFonts w:asciiTheme="majorBidi" w:hAnsiTheme="majorBidi" w:cstheme="majorBidi"/>
          <w:sz w:val="24"/>
          <w:szCs w:val="24"/>
        </w:rPr>
        <w:t xml:space="preserve">gendered commitment </w:t>
      </w:r>
      <w:r w:rsidR="00F66E1A" w:rsidRPr="009219AF">
        <w:rPr>
          <w:rFonts w:asciiTheme="majorBidi" w:hAnsiTheme="majorBidi" w:cstheme="majorBidi"/>
          <w:sz w:val="24"/>
          <w:szCs w:val="24"/>
        </w:rPr>
        <w:t xml:space="preserve">as commitment to survivors’ practical needs and to </w:t>
      </w:r>
      <w:r w:rsidR="00227A79">
        <w:rPr>
          <w:rFonts w:asciiTheme="majorBidi" w:hAnsiTheme="majorBidi" w:cstheme="majorBidi"/>
          <w:sz w:val="24"/>
          <w:szCs w:val="24"/>
        </w:rPr>
        <w:t>assist</w:t>
      </w:r>
      <w:r w:rsidR="00227A79" w:rsidRPr="009219AF">
        <w:rPr>
          <w:rFonts w:asciiTheme="majorBidi" w:hAnsiTheme="majorBidi" w:cstheme="majorBidi"/>
          <w:sz w:val="24"/>
          <w:szCs w:val="24"/>
        </w:rPr>
        <w:t xml:space="preserve"> </w:t>
      </w:r>
      <w:r w:rsidR="00F66E1A" w:rsidRPr="009219AF">
        <w:rPr>
          <w:rFonts w:asciiTheme="majorBidi" w:hAnsiTheme="majorBidi" w:cstheme="majorBidi"/>
          <w:sz w:val="24"/>
          <w:szCs w:val="24"/>
        </w:rPr>
        <w:t>them in rights take up.</w:t>
      </w:r>
      <w:r w:rsidR="00443ACC">
        <w:rPr>
          <w:rFonts w:asciiTheme="majorBidi" w:hAnsiTheme="majorBidi" w:cstheme="majorBidi"/>
          <w:sz w:val="24"/>
          <w:szCs w:val="24"/>
        </w:rPr>
        <w:t xml:space="preserve"> </w:t>
      </w:r>
      <w:r w:rsidR="009219AF">
        <w:rPr>
          <w:rFonts w:asciiTheme="majorBidi" w:hAnsiTheme="majorBidi" w:cstheme="majorBidi"/>
          <w:sz w:val="24"/>
          <w:szCs w:val="24"/>
        </w:rPr>
        <w:t xml:space="preserve">Unfortunately, a recent study indirectly questioned such gendered commitment finding limited support </w:t>
      </w:r>
      <w:r w:rsidR="00A067F7">
        <w:rPr>
          <w:rFonts w:asciiTheme="majorBidi" w:hAnsiTheme="majorBidi" w:cstheme="majorBidi"/>
          <w:sz w:val="24"/>
          <w:szCs w:val="24"/>
        </w:rPr>
        <w:t>for survivors’</w:t>
      </w:r>
      <w:r w:rsidR="009219AF">
        <w:rPr>
          <w:rFonts w:asciiTheme="majorBidi" w:hAnsiTheme="majorBidi" w:cstheme="majorBidi"/>
          <w:sz w:val="24"/>
          <w:szCs w:val="24"/>
        </w:rPr>
        <w:t xml:space="preserve"> rights takeup </w:t>
      </w:r>
      <w:r w:rsidR="00A067F7">
        <w:rPr>
          <w:rFonts w:asciiTheme="majorBidi" w:hAnsiTheme="majorBidi" w:cstheme="majorBidi"/>
          <w:sz w:val="24"/>
          <w:szCs w:val="24"/>
        </w:rPr>
        <w:t>(co-author3 et al., 2021).</w:t>
      </w:r>
    </w:p>
    <w:p w14:paraId="5058A810" w14:textId="5D513F7A" w:rsidR="00C7004A" w:rsidRPr="00C7004A" w:rsidRDefault="00C7004A" w:rsidP="00CF4D0F">
      <w:pPr>
        <w:spacing w:after="0" w:line="480" w:lineRule="auto"/>
        <w:ind w:firstLine="720"/>
        <w:rPr>
          <w:rFonts w:asciiTheme="majorBidi" w:hAnsiTheme="majorBidi" w:cstheme="majorBidi"/>
          <w:sz w:val="24"/>
          <w:szCs w:val="24"/>
        </w:rPr>
      </w:pPr>
      <w:r w:rsidRPr="00C7004A">
        <w:rPr>
          <w:rFonts w:asciiTheme="majorBidi" w:hAnsiTheme="majorBidi" w:cstheme="majorBidi"/>
          <w:sz w:val="24"/>
          <w:szCs w:val="24"/>
        </w:rPr>
        <w:t>Many countries, including Israel, joined the Beijing 1995 declaration of the United Nations Four</w:t>
      </w:r>
      <w:r w:rsidRPr="00F66E1A">
        <w:rPr>
          <w:rFonts w:asciiTheme="majorBidi" w:hAnsiTheme="majorBidi" w:cstheme="majorBidi"/>
          <w:sz w:val="24"/>
          <w:szCs w:val="24"/>
        </w:rPr>
        <w:t xml:space="preserve">th World Conference on Women, recognizing that gender-based violence constitutes a violation of human rights, and encouraging a commitment to end it. </w:t>
      </w:r>
      <w:r w:rsidR="00815DEB">
        <w:rPr>
          <w:rFonts w:asciiTheme="majorBidi" w:hAnsiTheme="majorBidi" w:cstheme="majorBidi"/>
          <w:sz w:val="24"/>
          <w:szCs w:val="24"/>
        </w:rPr>
        <w:t>Concurrently, t</w:t>
      </w:r>
      <w:r w:rsidRPr="00F66E1A">
        <w:rPr>
          <w:rFonts w:asciiTheme="majorBidi" w:hAnsiTheme="majorBidi" w:cstheme="majorBidi"/>
          <w:sz w:val="24"/>
          <w:szCs w:val="24"/>
        </w:rPr>
        <w:t xml:space="preserve">he Israeli state </w:t>
      </w:r>
      <w:r w:rsidR="00815DEB">
        <w:rPr>
          <w:rFonts w:asciiTheme="majorBidi" w:hAnsiTheme="majorBidi" w:cstheme="majorBidi"/>
          <w:sz w:val="24"/>
          <w:szCs w:val="24"/>
        </w:rPr>
        <w:t>legislated its 1991 law for protecting IPV survivors and</w:t>
      </w:r>
      <w:r w:rsidRPr="00F66E1A">
        <w:rPr>
          <w:rFonts w:asciiTheme="majorBidi" w:hAnsiTheme="majorBidi" w:cstheme="majorBidi"/>
          <w:sz w:val="24"/>
          <w:szCs w:val="24"/>
        </w:rPr>
        <w:t xml:space="preserve"> establish</w:t>
      </w:r>
      <w:r w:rsidR="00815DEB">
        <w:rPr>
          <w:rFonts w:asciiTheme="majorBidi" w:hAnsiTheme="majorBidi" w:cstheme="majorBidi"/>
          <w:sz w:val="24"/>
          <w:szCs w:val="24"/>
        </w:rPr>
        <w:t>ed a social service in the form of</w:t>
      </w:r>
      <w:r w:rsidRPr="00F66E1A">
        <w:rPr>
          <w:rFonts w:asciiTheme="majorBidi" w:hAnsiTheme="majorBidi" w:cstheme="majorBidi"/>
          <w:sz w:val="24"/>
          <w:szCs w:val="24"/>
        </w:rPr>
        <w:t xml:space="preserve"> </w:t>
      </w:r>
      <w:r>
        <w:rPr>
          <w:rFonts w:asciiTheme="majorBidi" w:hAnsiTheme="majorBidi" w:cstheme="majorBidi"/>
          <w:sz w:val="24"/>
          <w:szCs w:val="24"/>
        </w:rPr>
        <w:t xml:space="preserve">centres </w:t>
      </w:r>
      <w:r w:rsidR="007F2599">
        <w:rPr>
          <w:rFonts w:asciiTheme="majorBidi" w:hAnsiTheme="majorBidi" w:cstheme="majorBidi"/>
          <w:sz w:val="24"/>
          <w:szCs w:val="24"/>
        </w:rPr>
        <w:t>for</w:t>
      </w:r>
      <w:r w:rsidRPr="00F66E1A">
        <w:rPr>
          <w:rFonts w:asciiTheme="majorBidi" w:hAnsiTheme="majorBidi" w:cstheme="majorBidi"/>
          <w:sz w:val="24"/>
          <w:szCs w:val="24"/>
        </w:rPr>
        <w:t xml:space="preserve"> </w:t>
      </w:r>
      <w:r>
        <w:rPr>
          <w:rFonts w:asciiTheme="majorBidi" w:hAnsiTheme="majorBidi" w:cstheme="majorBidi"/>
          <w:sz w:val="24"/>
          <w:szCs w:val="24"/>
        </w:rPr>
        <w:t xml:space="preserve">therapy and </w:t>
      </w:r>
      <w:r w:rsidRPr="00F66E1A">
        <w:rPr>
          <w:rFonts w:asciiTheme="majorBidi" w:hAnsiTheme="majorBidi" w:cstheme="majorBidi"/>
          <w:sz w:val="24"/>
          <w:szCs w:val="24"/>
        </w:rPr>
        <w:t>prevention</w:t>
      </w:r>
      <w:r w:rsidR="00815DEB">
        <w:rPr>
          <w:rFonts w:asciiTheme="majorBidi" w:hAnsiTheme="majorBidi" w:cstheme="majorBidi"/>
          <w:sz w:val="24"/>
          <w:szCs w:val="24"/>
        </w:rPr>
        <w:t xml:space="preserve"> (CPDVs)</w:t>
      </w:r>
      <w:r w:rsidRPr="00F66E1A">
        <w:rPr>
          <w:rFonts w:asciiTheme="majorBidi" w:hAnsiTheme="majorBidi" w:cstheme="majorBidi"/>
          <w:sz w:val="24"/>
          <w:szCs w:val="24"/>
        </w:rPr>
        <w:t xml:space="preserve">. </w:t>
      </w:r>
      <w:r w:rsidR="00815DEB">
        <w:rPr>
          <w:rFonts w:asciiTheme="majorBidi" w:hAnsiTheme="majorBidi" w:cstheme="majorBidi"/>
          <w:sz w:val="24"/>
          <w:szCs w:val="24"/>
          <w:lang w:val="en-US"/>
        </w:rPr>
        <w:t xml:space="preserve">Although, originally social services in the area of IPV providing therapy and </w:t>
      </w:r>
      <w:r w:rsidR="00815DEB">
        <w:rPr>
          <w:rFonts w:asciiTheme="majorBidi" w:hAnsiTheme="majorBidi" w:cstheme="majorBidi"/>
          <w:sz w:val="24"/>
          <w:szCs w:val="24"/>
          <w:lang w:val="en-US"/>
        </w:rPr>
        <w:lastRenderedPageBreak/>
        <w:t xml:space="preserve">prevention were grounded in a gendered commitment, a scholarly interest recently arose concerning the possibility that a symmetrical notion of IPV currently impacts </w:t>
      </w:r>
      <w:r w:rsidR="00631857">
        <w:rPr>
          <w:rFonts w:asciiTheme="majorBidi" w:hAnsiTheme="majorBidi" w:cstheme="majorBidi"/>
          <w:sz w:val="24"/>
          <w:szCs w:val="24"/>
          <w:lang w:val="en-US"/>
        </w:rPr>
        <w:t xml:space="preserve">the </w:t>
      </w:r>
      <w:r w:rsidR="00815DEB">
        <w:rPr>
          <w:rFonts w:asciiTheme="majorBidi" w:hAnsiTheme="majorBidi" w:cstheme="majorBidi"/>
          <w:sz w:val="24"/>
          <w:szCs w:val="24"/>
          <w:lang w:val="en-US"/>
        </w:rPr>
        <w:t xml:space="preserve">social services approach. Up until recently, not enough is known about the weight of the embracement of a symmetrical approach by social services in facilitating </w:t>
      </w:r>
      <w:r w:rsidR="00815DEB" w:rsidRPr="00C67753">
        <w:rPr>
          <w:rFonts w:asciiTheme="majorBidi" w:hAnsiTheme="majorBidi" w:cstheme="majorBidi"/>
          <w:sz w:val="24"/>
          <w:szCs w:val="24"/>
          <w:lang w:val="en-US"/>
        </w:rPr>
        <w:t>the role of the state in the reproduction of violence against women (Abrahms, 2016; Adelman, 2017; co-authors</w:t>
      </w:r>
      <w:r w:rsidR="00631857">
        <w:rPr>
          <w:rFonts w:asciiTheme="majorBidi" w:hAnsiTheme="majorBidi" w:cstheme="majorBidi"/>
          <w:sz w:val="24"/>
          <w:szCs w:val="24"/>
          <w:lang w:val="en-US"/>
        </w:rPr>
        <w:t>,</w:t>
      </w:r>
      <w:r w:rsidR="00815DEB" w:rsidRPr="00C67753">
        <w:rPr>
          <w:rFonts w:asciiTheme="majorBidi" w:hAnsiTheme="majorBidi" w:cstheme="majorBidi"/>
          <w:sz w:val="24"/>
          <w:szCs w:val="24"/>
          <w:lang w:val="en-US"/>
        </w:rPr>
        <w:t xml:space="preserve"> 2020). Here, </w:t>
      </w:r>
      <w:r w:rsidR="00815DEB">
        <w:rPr>
          <w:rFonts w:asciiTheme="majorBidi" w:hAnsiTheme="majorBidi" w:cstheme="majorBidi"/>
          <w:sz w:val="24"/>
          <w:szCs w:val="24"/>
          <w:lang w:val="en-US"/>
        </w:rPr>
        <w:t xml:space="preserve">our objective is to explore </w:t>
      </w:r>
      <w:r w:rsidR="00631857">
        <w:rPr>
          <w:rFonts w:asciiTheme="majorBidi" w:hAnsiTheme="majorBidi" w:cstheme="majorBidi"/>
          <w:sz w:val="24"/>
          <w:szCs w:val="24"/>
          <w:lang w:val="en-US"/>
        </w:rPr>
        <w:t>how</w:t>
      </w:r>
      <w:r w:rsidR="00815DEB" w:rsidRPr="00C67753">
        <w:rPr>
          <w:rFonts w:asciiTheme="majorBidi" w:hAnsiTheme="majorBidi" w:cstheme="majorBidi"/>
          <w:sz w:val="24"/>
          <w:szCs w:val="24"/>
          <w:lang w:val="en-US"/>
        </w:rPr>
        <w:t xml:space="preserve"> gender violence is reproduced by the growing gap between benevolence or commitment and lacking responses, in </w:t>
      </w:r>
      <w:r w:rsidR="00815DEB">
        <w:rPr>
          <w:rFonts w:asciiTheme="majorBidi" w:hAnsiTheme="majorBidi" w:cstheme="majorBidi"/>
          <w:sz w:val="24"/>
          <w:szCs w:val="24"/>
          <w:lang w:val="en-US"/>
        </w:rPr>
        <w:t>s</w:t>
      </w:r>
      <w:r w:rsidR="00815DEB" w:rsidRPr="00C67753">
        <w:rPr>
          <w:rFonts w:asciiTheme="majorBidi" w:hAnsiTheme="majorBidi" w:cstheme="majorBidi"/>
          <w:sz w:val="24"/>
          <w:szCs w:val="24"/>
          <w:lang w:val="en-US"/>
        </w:rPr>
        <w:t xml:space="preserve">tate social services responding to IPV survivors (and their children). Our analysis </w:t>
      </w:r>
      <w:r w:rsidR="00815DEB">
        <w:rPr>
          <w:rFonts w:asciiTheme="majorBidi" w:hAnsiTheme="majorBidi" w:cstheme="majorBidi"/>
          <w:sz w:val="24"/>
          <w:szCs w:val="24"/>
          <w:lang w:val="en-US"/>
        </w:rPr>
        <w:t xml:space="preserve">aims to </w:t>
      </w:r>
      <w:r w:rsidR="00815DEB" w:rsidRPr="00C67753">
        <w:rPr>
          <w:rFonts w:asciiTheme="majorBidi" w:hAnsiTheme="majorBidi" w:cstheme="majorBidi"/>
          <w:sz w:val="24"/>
          <w:szCs w:val="24"/>
          <w:lang w:val="en-US"/>
        </w:rPr>
        <w:t xml:space="preserve">contribute to the understanding of the ways in which the therapeutic </w:t>
      </w:r>
      <w:r w:rsidR="00226F7B">
        <w:rPr>
          <w:rFonts w:asciiTheme="majorBidi" w:hAnsiTheme="majorBidi" w:cstheme="majorBidi"/>
          <w:sz w:val="24"/>
          <w:szCs w:val="24"/>
          <w:lang w:val="en-US"/>
        </w:rPr>
        <w:t>intervention</w:t>
      </w:r>
      <w:r w:rsidR="00631857">
        <w:rPr>
          <w:rFonts w:asciiTheme="majorBidi" w:hAnsiTheme="majorBidi" w:cstheme="majorBidi"/>
          <w:sz w:val="24"/>
          <w:szCs w:val="24"/>
          <w:lang w:val="en-US"/>
        </w:rPr>
        <w:t>,</w:t>
      </w:r>
      <w:r w:rsidR="00815DEB" w:rsidRPr="00C67753">
        <w:rPr>
          <w:rFonts w:asciiTheme="majorBidi" w:hAnsiTheme="majorBidi" w:cstheme="majorBidi"/>
          <w:sz w:val="24"/>
          <w:szCs w:val="24"/>
          <w:lang w:val="en-US"/>
        </w:rPr>
        <w:t xml:space="preserve"> as the main response, takes part in the reproduction of IPV.</w:t>
      </w:r>
      <w:r w:rsidR="00815DEB">
        <w:rPr>
          <w:rFonts w:asciiTheme="majorBidi" w:hAnsiTheme="majorBidi" w:cstheme="majorBidi"/>
          <w:sz w:val="24"/>
          <w:szCs w:val="24"/>
          <w:lang w:val="en-US"/>
        </w:rPr>
        <w:t xml:space="preserve"> Below we discuss the establishment of benevolence and commitment next to the process in which symmetry arguments reducing gendered commitment have permeated state social services.  </w:t>
      </w:r>
    </w:p>
    <w:p w14:paraId="34FBF4A4" w14:textId="3BFA7DCB" w:rsidR="00E03E4B" w:rsidRPr="00A64F66" w:rsidRDefault="00E03E4B" w:rsidP="00A64F66">
      <w:pPr>
        <w:pStyle w:val="Heading1"/>
        <w:spacing w:line="480" w:lineRule="auto"/>
        <w:rPr>
          <w:rFonts w:asciiTheme="majorBidi" w:hAnsiTheme="majorBidi" w:cstheme="majorBidi"/>
          <w:sz w:val="24"/>
          <w:szCs w:val="24"/>
        </w:rPr>
      </w:pPr>
      <w:r w:rsidRPr="00A64F66">
        <w:rPr>
          <w:rFonts w:asciiTheme="majorBidi" w:hAnsiTheme="majorBidi" w:cstheme="majorBidi"/>
          <w:sz w:val="24"/>
          <w:szCs w:val="24"/>
        </w:rPr>
        <w:t>Literature review</w:t>
      </w:r>
    </w:p>
    <w:p w14:paraId="30F7F4E4" w14:textId="6C3AF412" w:rsidR="00E508AA" w:rsidRDefault="001B55E5" w:rsidP="00F36DA3">
      <w:pPr>
        <w:spacing w:after="0" w:line="480" w:lineRule="auto"/>
        <w:rPr>
          <w:rFonts w:asciiTheme="majorBidi" w:hAnsiTheme="majorBidi" w:cstheme="majorBidi"/>
          <w:sz w:val="24"/>
          <w:szCs w:val="24"/>
        </w:rPr>
      </w:pPr>
      <w:r>
        <w:rPr>
          <w:rFonts w:asciiTheme="majorBidi" w:hAnsiTheme="majorBidi" w:cstheme="majorBidi"/>
          <w:sz w:val="24"/>
          <w:szCs w:val="24"/>
        </w:rPr>
        <w:t>T</w:t>
      </w:r>
      <w:r w:rsidR="000263DF" w:rsidRPr="0009640D">
        <w:rPr>
          <w:rFonts w:asciiTheme="majorBidi" w:hAnsiTheme="majorBidi" w:cstheme="majorBidi"/>
          <w:sz w:val="24"/>
          <w:szCs w:val="24"/>
        </w:rPr>
        <w:t xml:space="preserve">he responses of </w:t>
      </w:r>
      <w:r w:rsidR="00E508AA">
        <w:rPr>
          <w:rFonts w:asciiTheme="majorBidi" w:hAnsiTheme="majorBidi" w:cstheme="majorBidi"/>
          <w:sz w:val="24"/>
          <w:szCs w:val="24"/>
        </w:rPr>
        <w:t>state social services</w:t>
      </w:r>
      <w:r w:rsidR="000263DF" w:rsidRPr="0009640D">
        <w:rPr>
          <w:rFonts w:asciiTheme="majorBidi" w:hAnsiTheme="majorBidi" w:cstheme="majorBidi"/>
          <w:sz w:val="24"/>
          <w:szCs w:val="24"/>
        </w:rPr>
        <w:t xml:space="preserve"> to IPV and its multiple variants </w:t>
      </w:r>
      <w:r w:rsidR="00631857">
        <w:rPr>
          <w:rFonts w:asciiTheme="majorBidi" w:hAnsiTheme="majorBidi" w:cstheme="majorBidi"/>
          <w:sz w:val="24"/>
          <w:szCs w:val="24"/>
        </w:rPr>
        <w:t>were</w:t>
      </w:r>
      <w:r w:rsidR="00631857" w:rsidRPr="0009640D">
        <w:rPr>
          <w:rFonts w:asciiTheme="majorBidi" w:hAnsiTheme="majorBidi" w:cstheme="majorBidi"/>
          <w:sz w:val="24"/>
          <w:szCs w:val="24"/>
        </w:rPr>
        <w:t xml:space="preserve"> </w:t>
      </w:r>
      <w:r w:rsidR="000263DF" w:rsidRPr="0009640D">
        <w:rPr>
          <w:rFonts w:asciiTheme="majorBidi" w:hAnsiTheme="majorBidi" w:cstheme="majorBidi"/>
          <w:sz w:val="24"/>
          <w:szCs w:val="24"/>
        </w:rPr>
        <w:t>characterized b</w:t>
      </w:r>
      <w:r w:rsidR="000263DF" w:rsidRPr="0034682E">
        <w:rPr>
          <w:rFonts w:asciiTheme="majorBidi" w:hAnsiTheme="majorBidi" w:cstheme="majorBidi"/>
          <w:sz w:val="24"/>
          <w:szCs w:val="24"/>
        </w:rPr>
        <w:t>y Brush (2013)</w:t>
      </w:r>
      <w:r w:rsidR="000263DF" w:rsidRPr="0009640D">
        <w:rPr>
          <w:rFonts w:asciiTheme="majorBidi" w:hAnsiTheme="majorBidi" w:cstheme="majorBidi"/>
          <w:sz w:val="24"/>
          <w:szCs w:val="24"/>
        </w:rPr>
        <w:t xml:space="preserve"> as having </w:t>
      </w:r>
      <w:r w:rsidR="000263DF">
        <w:rPr>
          <w:rFonts w:asciiTheme="majorBidi" w:hAnsiTheme="majorBidi" w:cstheme="majorBidi"/>
          <w:sz w:val="24"/>
          <w:szCs w:val="24"/>
        </w:rPr>
        <w:t>“</w:t>
      </w:r>
      <w:r w:rsidR="000263DF" w:rsidRPr="0009640D">
        <w:rPr>
          <w:rFonts w:asciiTheme="majorBidi" w:hAnsiTheme="majorBidi" w:cstheme="majorBidi"/>
          <w:sz w:val="24"/>
          <w:szCs w:val="24"/>
        </w:rPr>
        <w:t xml:space="preserve">many faults in the goals and </w:t>
      </w:r>
      <w:r w:rsidR="000263DF" w:rsidRPr="00021B5C">
        <w:rPr>
          <w:rFonts w:asciiTheme="majorBidi" w:hAnsiTheme="majorBidi" w:cstheme="majorBidi"/>
          <w:sz w:val="24"/>
          <w:szCs w:val="24"/>
        </w:rPr>
        <w:t xml:space="preserve">procedures”, resulting in </w:t>
      </w:r>
      <w:r w:rsidR="00631857">
        <w:rPr>
          <w:rFonts w:asciiTheme="majorBidi" w:hAnsiTheme="majorBidi" w:cstheme="majorBidi"/>
          <w:sz w:val="24"/>
          <w:szCs w:val="24"/>
        </w:rPr>
        <w:t>a</w:t>
      </w:r>
      <w:r w:rsidR="00631857" w:rsidRPr="00021B5C">
        <w:rPr>
          <w:rFonts w:asciiTheme="majorBidi" w:hAnsiTheme="majorBidi" w:cstheme="majorBidi"/>
          <w:sz w:val="24"/>
          <w:szCs w:val="24"/>
        </w:rPr>
        <w:t xml:space="preserve"> </w:t>
      </w:r>
      <w:r w:rsidR="000263DF" w:rsidRPr="00021B5C">
        <w:rPr>
          <w:rFonts w:asciiTheme="majorBidi" w:hAnsiTheme="majorBidi" w:cstheme="majorBidi"/>
          <w:sz w:val="24"/>
          <w:szCs w:val="24"/>
        </w:rPr>
        <w:t xml:space="preserve">half-hearted and ambivalent approach. </w:t>
      </w:r>
      <w:bookmarkStart w:id="0" w:name="_Hlk29848282"/>
      <w:r w:rsidR="00E508AA">
        <w:rPr>
          <w:rFonts w:asciiTheme="majorBidi" w:hAnsiTheme="majorBidi" w:cstheme="majorBidi"/>
          <w:sz w:val="24"/>
          <w:szCs w:val="24"/>
        </w:rPr>
        <w:t>McKinnon’s seminal work (1989) has informed Adelman’s (2017) focus on t</w:t>
      </w:r>
      <w:r w:rsidR="00E508AA" w:rsidRPr="00782A13">
        <w:rPr>
          <w:rFonts w:asciiTheme="majorBidi" w:hAnsiTheme="majorBidi" w:cstheme="majorBidi"/>
          <w:sz w:val="24"/>
          <w:szCs w:val="24"/>
        </w:rPr>
        <w:t>he state</w:t>
      </w:r>
      <w:r w:rsidR="00E508AA">
        <w:rPr>
          <w:rFonts w:asciiTheme="majorBidi" w:hAnsiTheme="majorBidi" w:cstheme="majorBidi"/>
          <w:sz w:val="24"/>
          <w:szCs w:val="24"/>
        </w:rPr>
        <w:t xml:space="preserve">, </w:t>
      </w:r>
      <w:bookmarkEnd w:id="0"/>
      <w:r w:rsidR="00E508AA">
        <w:rPr>
          <w:rFonts w:asciiTheme="majorBidi" w:hAnsiTheme="majorBidi" w:cstheme="majorBidi"/>
          <w:sz w:val="24"/>
          <w:szCs w:val="24"/>
        </w:rPr>
        <w:t>showing how it is com</w:t>
      </w:r>
      <w:r w:rsidR="00E508AA" w:rsidRPr="001522F7">
        <w:rPr>
          <w:rFonts w:asciiTheme="majorBidi" w:hAnsiTheme="majorBidi" w:cstheme="majorBidi"/>
          <w:sz w:val="24"/>
          <w:szCs w:val="24"/>
        </w:rPr>
        <w:t xml:space="preserve">plicit in reproducing the diverse forms of IPV </w:t>
      </w:r>
      <w:r w:rsidR="00E508AA">
        <w:rPr>
          <w:rFonts w:asciiTheme="majorBidi" w:hAnsiTheme="majorBidi" w:cstheme="majorBidi"/>
          <w:sz w:val="24"/>
          <w:szCs w:val="24"/>
        </w:rPr>
        <w:t>(</w:t>
      </w:r>
      <w:r w:rsidR="00E508AA" w:rsidRPr="001522F7">
        <w:rPr>
          <w:rFonts w:asciiTheme="majorBidi" w:hAnsiTheme="majorBidi" w:cstheme="majorBidi"/>
          <w:sz w:val="24"/>
          <w:szCs w:val="24"/>
        </w:rPr>
        <w:t>Abraham &amp; Tastsoglou, 2016a)</w:t>
      </w:r>
      <w:r w:rsidR="00E508AA" w:rsidRPr="004E281D">
        <w:rPr>
          <w:rFonts w:asciiTheme="majorBidi" w:hAnsiTheme="majorBidi" w:cstheme="majorBidi"/>
          <w:sz w:val="24"/>
          <w:szCs w:val="24"/>
        </w:rPr>
        <w:t xml:space="preserve">. </w:t>
      </w:r>
    </w:p>
    <w:p w14:paraId="73045A29" w14:textId="025F4B33" w:rsidR="003D7EFB" w:rsidRDefault="00631857" w:rsidP="00A44A56">
      <w:pPr>
        <w:spacing w:line="480" w:lineRule="auto"/>
        <w:rPr>
          <w:rFonts w:asciiTheme="majorBidi" w:hAnsiTheme="majorBidi" w:cstheme="majorBidi"/>
          <w:sz w:val="24"/>
          <w:szCs w:val="24"/>
        </w:rPr>
      </w:pPr>
      <w:r>
        <w:rPr>
          <w:rFonts w:asciiTheme="majorBidi" w:hAnsiTheme="majorBidi" w:cstheme="majorBidi"/>
          <w:sz w:val="24"/>
          <w:szCs w:val="24"/>
        </w:rPr>
        <w:t>Initially</w:t>
      </w:r>
      <w:r w:rsidR="003D7EFB">
        <w:rPr>
          <w:rFonts w:asciiTheme="majorBidi" w:hAnsiTheme="majorBidi" w:cstheme="majorBidi"/>
          <w:sz w:val="24"/>
          <w:szCs w:val="24"/>
        </w:rPr>
        <w:t xml:space="preserve">, </w:t>
      </w:r>
      <w:r w:rsidR="00A44A56">
        <w:rPr>
          <w:rFonts w:asciiTheme="majorBidi" w:hAnsiTheme="majorBidi" w:cstheme="majorBidi"/>
          <w:sz w:val="24"/>
          <w:szCs w:val="24"/>
        </w:rPr>
        <w:t xml:space="preserve">feminist </w:t>
      </w:r>
      <w:r w:rsidR="003D7EFB">
        <w:rPr>
          <w:rFonts w:asciiTheme="majorBidi" w:hAnsiTheme="majorBidi" w:cstheme="majorBidi"/>
          <w:sz w:val="24"/>
          <w:szCs w:val="24"/>
        </w:rPr>
        <w:t>r</w:t>
      </w:r>
      <w:r w:rsidR="003D7EFB" w:rsidRPr="006422EF">
        <w:rPr>
          <w:rFonts w:asciiTheme="majorBidi" w:hAnsiTheme="majorBidi" w:cstheme="majorBidi"/>
          <w:sz w:val="24"/>
          <w:szCs w:val="24"/>
        </w:rPr>
        <w:t>esearchers</w:t>
      </w:r>
      <w:r w:rsidR="003D7EFB">
        <w:rPr>
          <w:rFonts w:asciiTheme="majorBidi" w:hAnsiTheme="majorBidi" w:cstheme="majorBidi"/>
          <w:sz w:val="24"/>
          <w:szCs w:val="24"/>
        </w:rPr>
        <w:t xml:space="preserve"> repeatedly showed</w:t>
      </w:r>
      <w:r w:rsidR="003D7EFB" w:rsidRPr="006422EF">
        <w:rPr>
          <w:rFonts w:asciiTheme="majorBidi" w:hAnsiTheme="majorBidi" w:cstheme="majorBidi"/>
          <w:sz w:val="24"/>
          <w:szCs w:val="24"/>
        </w:rPr>
        <w:t xml:space="preserve"> how patriarchy </w:t>
      </w:r>
      <w:r w:rsidR="003D7EFB">
        <w:rPr>
          <w:rFonts w:asciiTheme="majorBidi" w:hAnsiTheme="majorBidi" w:cstheme="majorBidi"/>
          <w:sz w:val="24"/>
          <w:szCs w:val="24"/>
        </w:rPr>
        <w:t>reproduces</w:t>
      </w:r>
      <w:r w:rsidR="003D7EFB" w:rsidRPr="006422EF">
        <w:rPr>
          <w:rFonts w:asciiTheme="majorBidi" w:hAnsiTheme="majorBidi" w:cstheme="majorBidi"/>
          <w:sz w:val="24"/>
          <w:szCs w:val="24"/>
        </w:rPr>
        <w:t xml:space="preserve"> societal expectations </w:t>
      </w:r>
      <w:r w:rsidR="003D7EFB">
        <w:rPr>
          <w:rFonts w:asciiTheme="majorBidi" w:hAnsiTheme="majorBidi" w:cstheme="majorBidi"/>
          <w:sz w:val="24"/>
          <w:szCs w:val="24"/>
        </w:rPr>
        <w:t>that</w:t>
      </w:r>
      <w:r w:rsidR="003D7EFB" w:rsidRPr="006422EF">
        <w:rPr>
          <w:rFonts w:asciiTheme="majorBidi" w:hAnsiTheme="majorBidi" w:cstheme="majorBidi"/>
          <w:sz w:val="24"/>
          <w:szCs w:val="24"/>
        </w:rPr>
        <w:t xml:space="preserve"> maintain male superiority over women</w:t>
      </w:r>
      <w:r w:rsidR="003D7EFB">
        <w:rPr>
          <w:rFonts w:asciiTheme="majorBidi" w:hAnsiTheme="majorBidi" w:cstheme="majorBidi"/>
          <w:sz w:val="24"/>
          <w:szCs w:val="24"/>
        </w:rPr>
        <w:t xml:space="preserve"> (McPhail et al., 2007)</w:t>
      </w:r>
      <w:r w:rsidR="003D7EFB" w:rsidRPr="006422EF">
        <w:rPr>
          <w:rFonts w:asciiTheme="majorBidi" w:hAnsiTheme="majorBidi" w:cstheme="majorBidi"/>
          <w:sz w:val="24"/>
          <w:szCs w:val="24"/>
        </w:rPr>
        <w:t xml:space="preserve">. </w:t>
      </w:r>
      <w:r w:rsidR="003D7EFB" w:rsidRPr="00AF5B11">
        <w:rPr>
          <w:rFonts w:asciiTheme="majorBidi" w:hAnsiTheme="majorBidi" w:cstheme="majorBidi"/>
          <w:sz w:val="24"/>
          <w:szCs w:val="24"/>
        </w:rPr>
        <w:t>Applying a feminist perspective to further understanding</w:t>
      </w:r>
      <w:r w:rsidR="00A44A56">
        <w:rPr>
          <w:rFonts w:asciiTheme="majorBidi" w:hAnsiTheme="majorBidi" w:cstheme="majorBidi"/>
          <w:sz w:val="24"/>
          <w:szCs w:val="24"/>
        </w:rPr>
        <w:t>,</w:t>
      </w:r>
      <w:r w:rsidR="003D7EFB" w:rsidRPr="00AF5B11">
        <w:rPr>
          <w:rFonts w:asciiTheme="majorBidi" w:hAnsiTheme="majorBidi" w:cstheme="majorBidi"/>
          <w:sz w:val="24"/>
          <w:szCs w:val="24"/>
        </w:rPr>
        <w:t xml:space="preserve"> IPV allows for guiding frameworks to be examined and incorporated into understanding existing power structures. The Matrix of Domination, first introduced by Collins (1990), demonstrates how some people have greater access to social power and privilege based on their social identities, a major contributing factor to IPV. Advocates can use this tool to help guide their practice when working </w:t>
      </w:r>
      <w:r w:rsidR="003D7EFB" w:rsidRPr="00AF5B11">
        <w:rPr>
          <w:rFonts w:asciiTheme="majorBidi" w:hAnsiTheme="majorBidi" w:cstheme="majorBidi"/>
          <w:sz w:val="24"/>
          <w:szCs w:val="24"/>
        </w:rPr>
        <w:lastRenderedPageBreak/>
        <w:t xml:space="preserve">with survivors. Out of a feminist analysis come feminist social work skills that emphasize the female perspective and how sexual inequality impacts women. </w:t>
      </w:r>
      <w:r w:rsidR="00A44A56">
        <w:rPr>
          <w:rFonts w:asciiTheme="majorBidi" w:hAnsiTheme="majorBidi" w:cstheme="majorBidi"/>
          <w:sz w:val="24"/>
          <w:szCs w:val="24"/>
        </w:rPr>
        <w:t>Globally, when</w:t>
      </w:r>
      <w:r w:rsidR="003D7EFB" w:rsidRPr="00AF5B11">
        <w:rPr>
          <w:rFonts w:asciiTheme="majorBidi" w:hAnsiTheme="majorBidi" w:cstheme="majorBidi"/>
          <w:sz w:val="24"/>
          <w:szCs w:val="24"/>
        </w:rPr>
        <w:t xml:space="preserve"> social workers recognize that IPV is </w:t>
      </w:r>
      <w:r w:rsidR="00A44A56">
        <w:rPr>
          <w:rFonts w:asciiTheme="majorBidi" w:hAnsiTheme="majorBidi" w:cstheme="majorBidi"/>
          <w:sz w:val="24"/>
          <w:szCs w:val="24"/>
        </w:rPr>
        <w:t xml:space="preserve">part of coercive control (stark, 2007) </w:t>
      </w:r>
      <w:r w:rsidR="003D7EFB" w:rsidRPr="00AF5B11">
        <w:rPr>
          <w:rFonts w:asciiTheme="majorBidi" w:hAnsiTheme="majorBidi" w:cstheme="majorBidi"/>
          <w:sz w:val="24"/>
          <w:szCs w:val="24"/>
        </w:rPr>
        <w:t>and a violation of human rights</w:t>
      </w:r>
      <w:r w:rsidR="00A44A56">
        <w:rPr>
          <w:rFonts w:asciiTheme="majorBidi" w:hAnsiTheme="majorBidi" w:cstheme="majorBidi"/>
          <w:sz w:val="24"/>
          <w:szCs w:val="24"/>
        </w:rPr>
        <w:t>, they are able to support survivors in diverse ways</w:t>
      </w:r>
      <w:r w:rsidR="003D7EFB" w:rsidRPr="00AF5B11">
        <w:rPr>
          <w:rFonts w:asciiTheme="majorBidi" w:hAnsiTheme="majorBidi" w:cstheme="majorBidi"/>
          <w:sz w:val="24"/>
          <w:szCs w:val="24"/>
        </w:rPr>
        <w:t>.</w:t>
      </w:r>
      <w:r w:rsidR="003D7EFB" w:rsidRPr="006422EF">
        <w:rPr>
          <w:rFonts w:asciiTheme="majorBidi" w:hAnsiTheme="majorBidi" w:cstheme="majorBidi"/>
          <w:sz w:val="24"/>
          <w:szCs w:val="24"/>
        </w:rPr>
        <w:t>. Due to implicit bias, prejudices, stigmatization, and common misconceptions about IPV, self-determination might be more limited for minorities.</w:t>
      </w:r>
    </w:p>
    <w:p w14:paraId="7AB6C509" w14:textId="742541DC" w:rsidR="00A44A56" w:rsidRDefault="00A44A56" w:rsidP="00A44A56">
      <w:pPr>
        <w:spacing w:line="480" w:lineRule="auto"/>
        <w:ind w:right="426"/>
        <w:rPr>
          <w:rFonts w:asciiTheme="majorBidi" w:hAnsiTheme="majorBidi" w:cstheme="majorBidi"/>
          <w:sz w:val="24"/>
          <w:szCs w:val="24"/>
          <w:rtl/>
        </w:rPr>
      </w:pPr>
      <w:r>
        <w:rPr>
          <w:rFonts w:asciiTheme="majorBidi" w:hAnsiTheme="majorBidi" w:cstheme="majorBidi"/>
          <w:sz w:val="24"/>
          <w:szCs w:val="24"/>
        </w:rPr>
        <w:tab/>
        <w:t>However, i</w:t>
      </w:r>
      <w:r w:rsidRPr="002D00B1">
        <w:rPr>
          <w:rFonts w:asciiTheme="majorBidi" w:hAnsiTheme="majorBidi" w:cstheme="majorBidi"/>
          <w:sz w:val="24"/>
          <w:szCs w:val="24"/>
        </w:rPr>
        <w:t>n recent years there has been a surge in scholarship identifying gender symmetry in domestic violence with primarily men researchers arguing that the gender perspective on power and control is relevant for only a minor proportion of complaints. Their argument is commonly associating the gender perspective with injustice towards male perpetrators. In contradistinction,</w:t>
      </w:r>
      <w:r>
        <w:rPr>
          <w:rFonts w:ascii="Arial" w:hAnsi="Arial" w:cs="Arial"/>
          <w:color w:val="000000"/>
          <w:sz w:val="26"/>
          <w:szCs w:val="26"/>
          <w:shd w:val="clear" w:color="auto" w:fill="FFFFFF"/>
          <w:lang w:val="en-US"/>
        </w:rPr>
        <w:t xml:space="preserve"> </w:t>
      </w:r>
      <w:r w:rsidR="00EB4D4D" w:rsidRPr="00EB4D4D">
        <w:rPr>
          <w:rFonts w:asciiTheme="majorBidi" w:hAnsiTheme="majorBidi" w:cstheme="majorBidi"/>
          <w:sz w:val="24"/>
          <w:szCs w:val="24"/>
        </w:rPr>
        <w:t>Hardesty</w:t>
      </w:r>
      <w:r>
        <w:rPr>
          <w:rFonts w:asciiTheme="majorBidi" w:hAnsiTheme="majorBidi" w:cstheme="majorBidi"/>
          <w:sz w:val="24"/>
          <w:szCs w:val="24"/>
        </w:rPr>
        <w:t xml:space="preserve"> and </w:t>
      </w:r>
      <w:r w:rsidR="00EB4D4D" w:rsidRPr="00EB4D4D">
        <w:rPr>
          <w:rFonts w:asciiTheme="majorBidi" w:hAnsiTheme="majorBidi" w:cstheme="majorBidi"/>
          <w:sz w:val="24"/>
          <w:szCs w:val="24"/>
        </w:rPr>
        <w:t>Ogolsky</w:t>
      </w:r>
      <w:r>
        <w:rPr>
          <w:rFonts w:asciiTheme="majorBidi" w:hAnsiTheme="majorBidi" w:cstheme="majorBidi"/>
          <w:sz w:val="24"/>
          <w:szCs w:val="24"/>
        </w:rPr>
        <w:t xml:space="preserve">’s </w:t>
      </w:r>
      <w:r w:rsidR="00EB4D4D" w:rsidRPr="00EB4D4D">
        <w:rPr>
          <w:rFonts w:asciiTheme="majorBidi" w:hAnsiTheme="majorBidi" w:cstheme="majorBidi"/>
          <w:sz w:val="24"/>
          <w:szCs w:val="24"/>
        </w:rPr>
        <w:t>(2020)</w:t>
      </w:r>
      <w:r>
        <w:rPr>
          <w:rFonts w:asciiTheme="majorBidi" w:hAnsiTheme="majorBidi" w:cstheme="majorBidi"/>
          <w:sz w:val="24"/>
          <w:szCs w:val="24"/>
        </w:rPr>
        <w:t xml:space="preserve"> review shows that studies indicating gender </w:t>
      </w:r>
      <w:r w:rsidR="00C74F11">
        <w:rPr>
          <w:rFonts w:asciiTheme="majorBidi" w:hAnsiTheme="majorBidi" w:cstheme="majorBidi"/>
          <w:sz w:val="24"/>
          <w:szCs w:val="24"/>
        </w:rPr>
        <w:t>symmetry</w:t>
      </w:r>
      <w:r>
        <w:rPr>
          <w:rFonts w:asciiTheme="majorBidi" w:hAnsiTheme="majorBidi" w:cstheme="majorBidi"/>
          <w:sz w:val="24"/>
          <w:szCs w:val="24"/>
        </w:rPr>
        <w:t xml:space="preserve"> </w:t>
      </w:r>
      <w:r w:rsidR="00C74F11">
        <w:rPr>
          <w:rFonts w:asciiTheme="majorBidi" w:hAnsiTheme="majorBidi" w:cstheme="majorBidi"/>
          <w:sz w:val="24"/>
          <w:szCs w:val="24"/>
        </w:rPr>
        <w:t>that</w:t>
      </w:r>
      <w:r>
        <w:rPr>
          <w:rFonts w:asciiTheme="majorBidi" w:hAnsiTheme="majorBidi" w:cstheme="majorBidi"/>
          <w:sz w:val="24"/>
          <w:szCs w:val="24"/>
        </w:rPr>
        <w:t xml:space="preserve"> were published since 2010, suffer crucial failures both in sampling and in measuring IPV. More specifically </w:t>
      </w:r>
      <w:r w:rsidRPr="004760BA">
        <w:rPr>
          <w:rFonts w:asciiTheme="majorBidi" w:hAnsiTheme="majorBidi" w:cstheme="majorBidi"/>
          <w:color w:val="222222"/>
          <w:sz w:val="24"/>
          <w:szCs w:val="24"/>
          <w:shd w:val="clear" w:color="auto" w:fill="FFFFFF"/>
        </w:rPr>
        <w:t xml:space="preserve">Hodes </w:t>
      </w:r>
      <w:r>
        <w:rPr>
          <w:rFonts w:asciiTheme="majorBidi" w:hAnsiTheme="majorBidi" w:cstheme="majorBidi"/>
          <w:color w:val="222222"/>
          <w:sz w:val="24"/>
          <w:szCs w:val="24"/>
          <w:shd w:val="clear" w:color="auto" w:fill="FFFFFF"/>
        </w:rPr>
        <w:t xml:space="preserve">and </w:t>
      </w:r>
      <w:r w:rsidRPr="004760BA">
        <w:rPr>
          <w:rFonts w:asciiTheme="majorBidi" w:hAnsiTheme="majorBidi" w:cstheme="majorBidi"/>
          <w:color w:val="222222"/>
          <w:sz w:val="24"/>
          <w:szCs w:val="24"/>
          <w:shd w:val="clear" w:color="auto" w:fill="FFFFFF"/>
        </w:rPr>
        <w:t>Mennicke (2019)</w:t>
      </w:r>
      <w:r>
        <w:rPr>
          <w:rFonts w:asciiTheme="majorBidi" w:hAnsiTheme="majorBidi" w:cstheme="majorBidi"/>
          <w:sz w:val="24"/>
          <w:szCs w:val="24"/>
        </w:rPr>
        <w:t xml:space="preserve"> indicate that social workers’ evaluation of IPV tends to focus on violent behaviours while disconnecting them from the context of power and control in the relationship. Such disconnection, they show, gives an over emphasis to gender similarity mystifying the significance of coercive control as the broader picture within which IPV appears.   </w:t>
      </w:r>
    </w:p>
    <w:p w14:paraId="37237620" w14:textId="77777777" w:rsidR="000263DF" w:rsidRPr="00CC722B" w:rsidRDefault="000263DF" w:rsidP="000263DF">
      <w:pPr>
        <w:pStyle w:val="Heading2"/>
        <w:spacing w:line="480" w:lineRule="auto"/>
        <w:rPr>
          <w:rFonts w:asciiTheme="majorBidi" w:hAnsiTheme="majorBidi"/>
          <w:color w:val="auto"/>
          <w:sz w:val="24"/>
          <w:szCs w:val="24"/>
          <w:u w:val="single"/>
        </w:rPr>
      </w:pPr>
      <w:r w:rsidRPr="00CC722B">
        <w:rPr>
          <w:rFonts w:asciiTheme="majorBidi" w:hAnsiTheme="majorBidi"/>
          <w:color w:val="auto"/>
          <w:sz w:val="24"/>
          <w:szCs w:val="24"/>
          <w:u w:val="single"/>
        </w:rPr>
        <w:t>The Israeli context</w:t>
      </w:r>
    </w:p>
    <w:p w14:paraId="130F317D" w14:textId="0813282E" w:rsidR="000263DF" w:rsidRDefault="000263DF" w:rsidP="00EE7021">
      <w:pPr>
        <w:spacing w:after="0" w:line="480" w:lineRule="auto"/>
        <w:rPr>
          <w:rFonts w:asciiTheme="majorBidi" w:eastAsia="Times New Roman" w:hAnsiTheme="majorBidi" w:cstheme="majorBidi"/>
          <w:sz w:val="24"/>
          <w:szCs w:val="24"/>
        </w:rPr>
      </w:pPr>
      <w:r w:rsidRPr="00CC722B">
        <w:rPr>
          <w:rFonts w:asciiTheme="majorBidi" w:eastAsia="Times New Roman" w:hAnsiTheme="majorBidi" w:cstheme="majorBidi"/>
          <w:sz w:val="24"/>
          <w:szCs w:val="24"/>
        </w:rPr>
        <w:t xml:space="preserve">A Knesset report revealed that women filed </w:t>
      </w:r>
      <w:r w:rsidR="000E1B86">
        <w:rPr>
          <w:rFonts w:asciiTheme="majorBidi" w:eastAsia="Times New Roman" w:hAnsiTheme="majorBidi" w:cstheme="majorBidi"/>
          <w:sz w:val="24"/>
          <w:szCs w:val="24"/>
        </w:rPr>
        <w:t xml:space="preserve">an average of </w:t>
      </w:r>
      <w:r w:rsidRPr="00CC722B">
        <w:rPr>
          <w:rFonts w:asciiTheme="majorBidi" w:eastAsia="Times New Roman" w:hAnsiTheme="majorBidi" w:cstheme="majorBidi"/>
          <w:sz w:val="24"/>
          <w:szCs w:val="24"/>
        </w:rPr>
        <w:t>12,333 IPV complaints</w:t>
      </w:r>
      <w:r w:rsidR="000E1B86">
        <w:rPr>
          <w:rFonts w:asciiTheme="majorBidi" w:eastAsia="Times New Roman" w:hAnsiTheme="majorBidi" w:cstheme="majorBidi"/>
          <w:sz w:val="24"/>
          <w:szCs w:val="24"/>
        </w:rPr>
        <w:t xml:space="preserve"> per year</w:t>
      </w:r>
      <w:r w:rsidRPr="00CC722B">
        <w:rPr>
          <w:rFonts w:asciiTheme="majorBidi" w:eastAsia="Times New Roman" w:hAnsiTheme="majorBidi" w:cstheme="majorBidi"/>
          <w:sz w:val="24"/>
          <w:szCs w:val="24"/>
        </w:rPr>
        <w:t xml:space="preserve"> with the police (Mizrahi-Simon 2015).</w:t>
      </w:r>
      <w:r>
        <w:rPr>
          <w:rFonts w:asciiTheme="majorBidi" w:eastAsia="Times New Roman" w:hAnsiTheme="majorBidi" w:cstheme="majorBidi"/>
          <w:sz w:val="24"/>
          <w:szCs w:val="24"/>
        </w:rPr>
        <w:t xml:space="preserve"> </w:t>
      </w:r>
      <w:r w:rsidR="00361F62">
        <w:rPr>
          <w:rFonts w:asciiTheme="majorBidi" w:eastAsia="Times New Roman" w:hAnsiTheme="majorBidi" w:cstheme="majorBidi"/>
          <w:sz w:val="24"/>
          <w:szCs w:val="24"/>
        </w:rPr>
        <w:t>When Svirsky (199</w:t>
      </w:r>
      <w:r w:rsidR="009E36B1">
        <w:rPr>
          <w:rFonts w:asciiTheme="majorBidi" w:eastAsia="Times New Roman" w:hAnsiTheme="majorBidi" w:cstheme="majorBidi"/>
          <w:sz w:val="24"/>
          <w:szCs w:val="24"/>
        </w:rPr>
        <w:t>3</w:t>
      </w:r>
      <w:r w:rsidR="00361F62">
        <w:rPr>
          <w:rFonts w:asciiTheme="majorBidi" w:eastAsia="Times New Roman" w:hAnsiTheme="majorBidi" w:cstheme="majorBidi"/>
          <w:sz w:val="24"/>
          <w:szCs w:val="24"/>
        </w:rPr>
        <w:t xml:space="preserve">) wrote about the treatment of IPV in Israeli social services, she identified a conservative approach focusing on shifting responsibility to women’s shoulders. Nevertheless, in the first years of the operation of CPDVs, a more feminist orientation to IPV could be found (co-author et al., 2016). </w:t>
      </w:r>
      <w:r w:rsidRPr="00CC722B">
        <w:rPr>
          <w:rFonts w:asciiTheme="majorBidi" w:hAnsiTheme="majorBidi" w:cstheme="majorBidi"/>
          <w:sz w:val="24"/>
          <w:szCs w:val="24"/>
        </w:rPr>
        <w:t xml:space="preserve">The picture emerging in the Israeli case corroborates other findings concerning </w:t>
      </w:r>
      <w:r>
        <w:rPr>
          <w:rFonts w:asciiTheme="majorBidi" w:hAnsiTheme="majorBidi" w:cstheme="majorBidi"/>
          <w:sz w:val="24"/>
          <w:szCs w:val="24"/>
        </w:rPr>
        <w:t>IPV’</w:t>
      </w:r>
      <w:r w:rsidRPr="00CC722B">
        <w:rPr>
          <w:rFonts w:asciiTheme="majorBidi" w:hAnsiTheme="majorBidi" w:cstheme="majorBidi"/>
          <w:sz w:val="24"/>
          <w:szCs w:val="24"/>
        </w:rPr>
        <w:t>s prevalence and the absence of a satisfactory institutional response.</w:t>
      </w:r>
      <w:r w:rsidR="00EE7021">
        <w:rPr>
          <w:rFonts w:asciiTheme="majorBidi" w:hAnsiTheme="majorBidi" w:cstheme="majorBidi"/>
          <w:sz w:val="24"/>
          <w:szCs w:val="24"/>
        </w:rPr>
        <w:t xml:space="preserve"> </w:t>
      </w:r>
      <w:r w:rsidRPr="00CC722B">
        <w:rPr>
          <w:rFonts w:asciiTheme="majorBidi" w:hAnsiTheme="majorBidi" w:cstheme="majorBidi"/>
          <w:sz w:val="24"/>
          <w:szCs w:val="24"/>
        </w:rPr>
        <w:t>Feminist scholars have criticized official indifference to continued violence (Adelman</w:t>
      </w:r>
      <w:r>
        <w:rPr>
          <w:rFonts w:asciiTheme="majorBidi" w:hAnsiTheme="majorBidi" w:cstheme="majorBidi"/>
          <w:sz w:val="24"/>
          <w:szCs w:val="24"/>
        </w:rPr>
        <w:t>,</w:t>
      </w:r>
      <w:r w:rsidRPr="00CC722B">
        <w:rPr>
          <w:rFonts w:asciiTheme="majorBidi" w:hAnsiTheme="majorBidi" w:cstheme="majorBidi"/>
          <w:sz w:val="24"/>
          <w:szCs w:val="24"/>
        </w:rPr>
        <w:t xml:space="preserve"> 2017), </w:t>
      </w:r>
      <w:r>
        <w:rPr>
          <w:rFonts w:asciiTheme="majorBidi" w:hAnsiTheme="majorBidi" w:cstheme="majorBidi"/>
          <w:sz w:val="24"/>
          <w:szCs w:val="24"/>
        </w:rPr>
        <w:t>cit</w:t>
      </w:r>
      <w:r w:rsidRPr="00CC722B">
        <w:rPr>
          <w:rFonts w:asciiTheme="majorBidi" w:hAnsiTheme="majorBidi" w:cstheme="majorBidi"/>
          <w:sz w:val="24"/>
          <w:szCs w:val="24"/>
        </w:rPr>
        <w:t xml:space="preserve">ing the similarity </w:t>
      </w:r>
      <w:r w:rsidRPr="00CC722B">
        <w:rPr>
          <w:rFonts w:asciiTheme="majorBidi" w:hAnsiTheme="majorBidi" w:cstheme="majorBidi"/>
          <w:sz w:val="24"/>
          <w:szCs w:val="24"/>
        </w:rPr>
        <w:lastRenderedPageBreak/>
        <w:t xml:space="preserve">in the </w:t>
      </w:r>
      <w:r>
        <w:rPr>
          <w:rFonts w:asciiTheme="majorBidi" w:hAnsiTheme="majorBidi" w:cstheme="majorBidi"/>
          <w:sz w:val="24"/>
          <w:szCs w:val="24"/>
        </w:rPr>
        <w:t>profiles</w:t>
      </w:r>
      <w:r w:rsidRPr="00CC722B">
        <w:rPr>
          <w:rFonts w:asciiTheme="majorBidi" w:hAnsiTheme="majorBidi" w:cstheme="majorBidi"/>
          <w:sz w:val="24"/>
          <w:szCs w:val="24"/>
        </w:rPr>
        <w:t xml:space="preserve"> of IPV survivors in Israel and elsewhere. Furthermore, as a consequence of Israel</w:t>
      </w:r>
      <w:r>
        <w:rPr>
          <w:rFonts w:asciiTheme="majorBidi" w:hAnsiTheme="majorBidi" w:cstheme="majorBidi"/>
          <w:sz w:val="24"/>
          <w:szCs w:val="24"/>
        </w:rPr>
        <w:t>’</w:t>
      </w:r>
      <w:r w:rsidRPr="00CC722B">
        <w:rPr>
          <w:rFonts w:asciiTheme="majorBidi" w:hAnsiTheme="majorBidi" w:cstheme="majorBidi"/>
          <w:sz w:val="24"/>
          <w:szCs w:val="24"/>
        </w:rPr>
        <w:t>s having ad</w:t>
      </w:r>
      <w:r>
        <w:rPr>
          <w:rFonts w:asciiTheme="majorBidi" w:hAnsiTheme="majorBidi" w:cstheme="majorBidi"/>
          <w:sz w:val="24"/>
          <w:szCs w:val="24"/>
        </w:rPr>
        <w:t>opted</w:t>
      </w:r>
      <w:r w:rsidRPr="00CC722B">
        <w:rPr>
          <w:rFonts w:asciiTheme="majorBidi" w:hAnsiTheme="majorBidi" w:cstheme="majorBidi"/>
          <w:sz w:val="24"/>
          <w:szCs w:val="24"/>
        </w:rPr>
        <w:t xml:space="preserve"> a neoliberal economic policy since 2002, the social services </w:t>
      </w:r>
      <w:r>
        <w:rPr>
          <w:rFonts w:asciiTheme="majorBidi" w:hAnsiTheme="majorBidi" w:cstheme="majorBidi"/>
          <w:sz w:val="24"/>
          <w:szCs w:val="24"/>
        </w:rPr>
        <w:t>have</w:t>
      </w:r>
      <w:r w:rsidRPr="00CC722B">
        <w:rPr>
          <w:rFonts w:asciiTheme="majorBidi" w:hAnsiTheme="majorBidi" w:cstheme="majorBidi"/>
          <w:sz w:val="24"/>
          <w:szCs w:val="24"/>
        </w:rPr>
        <w:t xml:space="preserve"> accorded greater attention to the issue of economic independence for IPV survivors. As part of this process, specialized employment programs were developed, most </w:t>
      </w:r>
      <w:r w:rsidR="00A641C5">
        <w:rPr>
          <w:rFonts w:asciiTheme="majorBidi" w:hAnsiTheme="majorBidi" w:cstheme="majorBidi"/>
          <w:sz w:val="24"/>
          <w:szCs w:val="24"/>
        </w:rPr>
        <w:t xml:space="preserve">financed by social services or </w:t>
      </w:r>
      <w:r w:rsidRPr="00CC722B">
        <w:rPr>
          <w:rFonts w:asciiTheme="majorBidi" w:hAnsiTheme="majorBidi" w:cstheme="majorBidi"/>
          <w:sz w:val="24"/>
          <w:szCs w:val="24"/>
        </w:rPr>
        <w:t xml:space="preserve">feminist </w:t>
      </w:r>
      <w:r>
        <w:rPr>
          <w:rFonts w:asciiTheme="majorBidi" w:hAnsiTheme="majorBidi" w:cstheme="majorBidi"/>
          <w:sz w:val="24"/>
          <w:szCs w:val="24"/>
        </w:rPr>
        <w:t>NGO</w:t>
      </w:r>
      <w:r w:rsidRPr="00CC722B">
        <w:rPr>
          <w:rFonts w:asciiTheme="majorBidi" w:hAnsiTheme="majorBidi" w:cstheme="majorBidi"/>
          <w:sz w:val="24"/>
          <w:szCs w:val="24"/>
        </w:rPr>
        <w:t>s</w:t>
      </w:r>
      <w:r>
        <w:rPr>
          <w:rFonts w:asciiTheme="majorBidi" w:hAnsiTheme="majorBidi" w:cstheme="majorBidi"/>
          <w:sz w:val="24"/>
          <w:szCs w:val="24"/>
        </w:rPr>
        <w:t xml:space="preserve"> </w:t>
      </w:r>
      <w:r w:rsidRPr="00CC722B">
        <w:rPr>
          <w:rFonts w:asciiTheme="majorBidi" w:hAnsiTheme="majorBidi" w:cstheme="majorBidi"/>
          <w:sz w:val="24"/>
          <w:szCs w:val="24"/>
        </w:rPr>
        <w:t>(co-author</w:t>
      </w:r>
      <w:r w:rsidR="00EE7021">
        <w:rPr>
          <w:rFonts w:asciiTheme="majorBidi" w:hAnsiTheme="majorBidi" w:cstheme="majorBidi"/>
          <w:sz w:val="24"/>
          <w:szCs w:val="24"/>
        </w:rPr>
        <w:t>2</w:t>
      </w:r>
      <w:r w:rsidR="00641382">
        <w:rPr>
          <w:rFonts w:asciiTheme="majorBidi" w:hAnsiTheme="majorBidi" w:cstheme="majorBidi"/>
          <w:sz w:val="24"/>
          <w:szCs w:val="24"/>
        </w:rPr>
        <w:t xml:space="preserve"> et al.</w:t>
      </w:r>
      <w:r>
        <w:rPr>
          <w:rFonts w:asciiTheme="majorBidi" w:hAnsiTheme="majorBidi" w:cstheme="majorBidi"/>
          <w:sz w:val="24"/>
          <w:szCs w:val="24"/>
        </w:rPr>
        <w:t>,</w:t>
      </w:r>
      <w:r w:rsidRPr="00CC722B">
        <w:rPr>
          <w:rFonts w:asciiTheme="majorBidi" w:hAnsiTheme="majorBidi" w:cstheme="majorBidi"/>
          <w:sz w:val="24"/>
          <w:szCs w:val="24"/>
        </w:rPr>
        <w:t xml:space="preserve"> 2016).</w:t>
      </w:r>
      <w:r w:rsidR="00641382">
        <w:rPr>
          <w:rFonts w:asciiTheme="majorBidi" w:hAnsiTheme="majorBidi" w:cstheme="majorBidi"/>
          <w:sz w:val="24"/>
          <w:szCs w:val="24"/>
        </w:rPr>
        <w:t xml:space="preserve"> It is important to note that the neo-liberal turn in the provision of </w:t>
      </w:r>
      <w:r w:rsidR="00A641C5">
        <w:rPr>
          <w:rFonts w:asciiTheme="majorBidi" w:hAnsiTheme="majorBidi" w:cstheme="majorBidi"/>
          <w:sz w:val="24"/>
          <w:szCs w:val="24"/>
        </w:rPr>
        <w:t>welfare</w:t>
      </w:r>
      <w:r w:rsidR="00641382">
        <w:rPr>
          <w:rFonts w:asciiTheme="majorBidi" w:hAnsiTheme="majorBidi" w:cstheme="majorBidi"/>
          <w:sz w:val="24"/>
          <w:szCs w:val="24"/>
        </w:rPr>
        <w:t xml:space="preserve"> services in Israel had critical implications for services in the area of supporting IPV survivors</w:t>
      </w:r>
      <w:r w:rsidR="00A641C5">
        <w:rPr>
          <w:rFonts w:asciiTheme="majorBidi" w:hAnsiTheme="majorBidi" w:cstheme="majorBidi"/>
          <w:sz w:val="24"/>
          <w:szCs w:val="24"/>
        </w:rPr>
        <w:t>.</w:t>
      </w:r>
      <w:r w:rsidR="00641382">
        <w:rPr>
          <w:rFonts w:asciiTheme="majorBidi" w:hAnsiTheme="majorBidi" w:cstheme="majorBidi"/>
          <w:sz w:val="24"/>
          <w:szCs w:val="24"/>
        </w:rPr>
        <w:t xml:space="preserve"> </w:t>
      </w:r>
      <w:r w:rsidR="00A641C5">
        <w:rPr>
          <w:rFonts w:asciiTheme="majorBidi" w:hAnsiTheme="majorBidi" w:cstheme="majorBidi"/>
          <w:sz w:val="24"/>
          <w:szCs w:val="24"/>
        </w:rPr>
        <w:t xml:space="preserve">Such implications include </w:t>
      </w:r>
      <w:r w:rsidR="00641382">
        <w:rPr>
          <w:rFonts w:asciiTheme="majorBidi" w:hAnsiTheme="majorBidi" w:cstheme="majorBidi"/>
          <w:sz w:val="24"/>
          <w:szCs w:val="24"/>
        </w:rPr>
        <w:t xml:space="preserve">primarily </w:t>
      </w:r>
      <w:r w:rsidR="00A641C5">
        <w:rPr>
          <w:rFonts w:asciiTheme="majorBidi" w:hAnsiTheme="majorBidi" w:cstheme="majorBidi"/>
          <w:sz w:val="24"/>
          <w:szCs w:val="24"/>
        </w:rPr>
        <w:t xml:space="preserve">understaffing, outsourcing of services (co-author1, 2016), and </w:t>
      </w:r>
      <w:r w:rsidR="00641382">
        <w:rPr>
          <w:rFonts w:asciiTheme="majorBidi" w:hAnsiTheme="majorBidi" w:cstheme="majorBidi"/>
          <w:sz w:val="24"/>
          <w:szCs w:val="24"/>
        </w:rPr>
        <w:t xml:space="preserve">very low levels of material resources in the form of specific allowances and minimalized housing support. </w:t>
      </w:r>
    </w:p>
    <w:p w14:paraId="47948C4E" w14:textId="0E8DCC54" w:rsidR="00F36DA3" w:rsidRDefault="000263DF" w:rsidP="00641382">
      <w:pPr>
        <w:spacing w:after="0" w:line="480" w:lineRule="auto"/>
        <w:rPr>
          <w:rFonts w:asciiTheme="majorBidi" w:hAnsiTheme="majorBidi" w:cstheme="majorBidi"/>
          <w:sz w:val="24"/>
          <w:szCs w:val="24"/>
          <w:lang w:val="en-US"/>
        </w:rPr>
      </w:pPr>
      <w:r>
        <w:rPr>
          <w:rFonts w:asciiTheme="majorBidi" w:hAnsiTheme="majorBidi" w:cstheme="majorBidi"/>
          <w:sz w:val="24"/>
          <w:szCs w:val="24"/>
        </w:rPr>
        <w:tab/>
      </w:r>
      <w:r w:rsidR="0034682E">
        <w:rPr>
          <w:rFonts w:asciiTheme="majorBidi" w:hAnsiTheme="majorBidi" w:cstheme="majorBidi"/>
          <w:sz w:val="24"/>
          <w:szCs w:val="24"/>
        </w:rPr>
        <w:t>In Israel, the main IPV related social service are the centres for the prevention of domestic violence</w:t>
      </w:r>
      <w:r w:rsidR="000F0E20">
        <w:rPr>
          <w:rFonts w:asciiTheme="majorBidi" w:hAnsiTheme="majorBidi" w:cstheme="majorBidi"/>
          <w:sz w:val="24"/>
          <w:szCs w:val="24"/>
        </w:rPr>
        <w:t xml:space="preserve"> (</w:t>
      </w:r>
      <w:r w:rsidR="005E5148" w:rsidRPr="005E5148">
        <w:rPr>
          <w:rFonts w:asciiTheme="majorBidi" w:hAnsiTheme="majorBidi" w:cstheme="majorBidi"/>
          <w:sz w:val="24"/>
          <w:szCs w:val="24"/>
        </w:rPr>
        <w:t>Resnikovski-Kuras</w:t>
      </w:r>
      <w:r w:rsidR="005E5148">
        <w:rPr>
          <w:rFonts w:asciiTheme="majorBidi" w:hAnsiTheme="majorBidi" w:cstheme="majorBidi"/>
          <w:sz w:val="24"/>
          <w:szCs w:val="24"/>
        </w:rPr>
        <w:t xml:space="preserve">, </w:t>
      </w:r>
      <w:r w:rsidR="000F0E20">
        <w:rPr>
          <w:rFonts w:asciiTheme="majorBidi" w:hAnsiTheme="majorBidi" w:cstheme="majorBidi"/>
          <w:sz w:val="24"/>
          <w:szCs w:val="24"/>
        </w:rPr>
        <w:t>2021)</w:t>
      </w:r>
      <w:r w:rsidR="0034682E">
        <w:rPr>
          <w:rFonts w:asciiTheme="majorBidi" w:hAnsiTheme="majorBidi" w:cstheme="majorBidi"/>
          <w:sz w:val="24"/>
          <w:szCs w:val="24"/>
        </w:rPr>
        <w:t>.</w:t>
      </w:r>
      <w:r w:rsidR="00407CD0">
        <w:rPr>
          <w:rFonts w:asciiTheme="majorBidi" w:hAnsiTheme="majorBidi" w:cstheme="majorBidi"/>
          <w:sz w:val="24"/>
          <w:szCs w:val="24"/>
        </w:rPr>
        <w:t xml:space="preserve"> Social workers who are employed in CPDVs are trained to develop occupational expertise in the field by training courses and </w:t>
      </w:r>
      <w:r w:rsidR="00B0269D">
        <w:rPr>
          <w:rFonts w:asciiTheme="majorBidi" w:hAnsiTheme="majorBidi" w:cstheme="majorBidi"/>
          <w:sz w:val="24"/>
          <w:szCs w:val="24"/>
        </w:rPr>
        <w:t>concentrated</w:t>
      </w:r>
      <w:r w:rsidR="00407CD0">
        <w:rPr>
          <w:rFonts w:asciiTheme="majorBidi" w:hAnsiTheme="majorBidi" w:cstheme="majorBidi"/>
          <w:sz w:val="24"/>
          <w:szCs w:val="24"/>
        </w:rPr>
        <w:t xml:space="preserve"> study days. These training courses are often influenced by conservative political forces. </w:t>
      </w:r>
      <w:r w:rsidR="00F36DA3">
        <w:rPr>
          <w:rFonts w:asciiTheme="majorBidi" w:hAnsiTheme="majorBidi" w:cstheme="majorBidi" w:hint="cs"/>
          <w:sz w:val="24"/>
          <w:szCs w:val="24"/>
        </w:rPr>
        <w:t>T</w:t>
      </w:r>
      <w:r w:rsidR="00F36DA3">
        <w:rPr>
          <w:rFonts w:asciiTheme="majorBidi" w:hAnsiTheme="majorBidi" w:cstheme="majorBidi"/>
          <w:sz w:val="24"/>
          <w:szCs w:val="24"/>
        </w:rPr>
        <w:t xml:space="preserve">he legal system and the political conditions in Israel were found by Adelman (2017) to essentially offer battering men the legal instruments to control their female partners’ lives. This </w:t>
      </w:r>
      <w:r w:rsidR="00F36DA3" w:rsidRPr="00782A13">
        <w:rPr>
          <w:rFonts w:asciiTheme="majorBidi" w:hAnsiTheme="majorBidi" w:cstheme="majorBidi"/>
          <w:sz w:val="24"/>
          <w:szCs w:val="24"/>
        </w:rPr>
        <w:t xml:space="preserve">institutional </w:t>
      </w:r>
      <w:r w:rsidR="00F36DA3">
        <w:rPr>
          <w:rFonts w:asciiTheme="majorBidi" w:hAnsiTheme="majorBidi" w:cstheme="majorBidi"/>
          <w:sz w:val="24"/>
          <w:szCs w:val="24"/>
        </w:rPr>
        <w:t xml:space="preserve">perspective introduced by </w:t>
      </w:r>
      <w:r w:rsidR="00F36DA3" w:rsidRPr="00782A13">
        <w:rPr>
          <w:rFonts w:asciiTheme="majorBidi" w:hAnsiTheme="majorBidi" w:cstheme="majorBidi"/>
          <w:sz w:val="24"/>
          <w:szCs w:val="24"/>
        </w:rPr>
        <w:t xml:space="preserve">Adelman (2017) </w:t>
      </w:r>
      <w:r w:rsidR="00F36DA3">
        <w:rPr>
          <w:rFonts w:asciiTheme="majorBidi" w:hAnsiTheme="majorBidi" w:cstheme="majorBidi"/>
          <w:sz w:val="24"/>
          <w:szCs w:val="24"/>
        </w:rPr>
        <w:t>calls for deepening our understanding of</w:t>
      </w:r>
      <w:r w:rsidR="00F36DA3" w:rsidRPr="00782A13">
        <w:rPr>
          <w:rFonts w:asciiTheme="majorBidi" w:hAnsiTheme="majorBidi" w:cstheme="majorBidi"/>
          <w:sz w:val="24"/>
          <w:szCs w:val="24"/>
        </w:rPr>
        <w:t xml:space="preserve"> how </w:t>
      </w:r>
      <w:r w:rsidR="00F36DA3">
        <w:rPr>
          <w:rFonts w:asciiTheme="majorBidi" w:hAnsiTheme="majorBidi" w:cstheme="majorBidi"/>
          <w:sz w:val="24"/>
          <w:szCs w:val="24"/>
        </w:rPr>
        <w:t>“</w:t>
      </w:r>
      <w:r w:rsidR="00F36DA3" w:rsidRPr="00782A13">
        <w:rPr>
          <w:rFonts w:asciiTheme="majorBidi" w:hAnsiTheme="majorBidi" w:cstheme="majorBidi"/>
          <w:sz w:val="24"/>
          <w:szCs w:val="24"/>
        </w:rPr>
        <w:t>battering states</w:t>
      </w:r>
      <w:r w:rsidR="00F36DA3">
        <w:rPr>
          <w:rFonts w:asciiTheme="majorBidi" w:hAnsiTheme="majorBidi" w:cstheme="majorBidi"/>
          <w:sz w:val="24"/>
          <w:szCs w:val="24"/>
        </w:rPr>
        <w:t>”</w:t>
      </w:r>
      <w:r w:rsidR="00F36DA3" w:rsidRPr="00782A13">
        <w:rPr>
          <w:rFonts w:asciiTheme="majorBidi" w:hAnsiTheme="majorBidi" w:cstheme="majorBidi"/>
          <w:sz w:val="24"/>
          <w:szCs w:val="24"/>
        </w:rPr>
        <w:t xml:space="preserve"> replicate </w:t>
      </w:r>
      <w:r w:rsidR="00F36DA3">
        <w:rPr>
          <w:rFonts w:asciiTheme="majorBidi" w:hAnsiTheme="majorBidi" w:cstheme="majorBidi"/>
          <w:sz w:val="24"/>
          <w:szCs w:val="24"/>
        </w:rPr>
        <w:t>IPV survivors’</w:t>
      </w:r>
      <w:r w:rsidR="00F36DA3" w:rsidRPr="00782A13">
        <w:rPr>
          <w:rFonts w:asciiTheme="majorBidi" w:hAnsiTheme="majorBidi" w:cstheme="majorBidi"/>
          <w:sz w:val="24"/>
          <w:szCs w:val="24"/>
        </w:rPr>
        <w:t xml:space="preserve"> </w:t>
      </w:r>
      <w:r w:rsidR="00F36DA3" w:rsidRPr="00081E5A">
        <w:rPr>
          <w:rFonts w:asciiTheme="majorBidi" w:hAnsiTheme="majorBidi" w:cstheme="majorBidi"/>
          <w:sz w:val="24"/>
          <w:szCs w:val="24"/>
        </w:rPr>
        <w:t xml:space="preserve">vulnerability to further oppression and gender inequality in both the private and public </w:t>
      </w:r>
      <w:r w:rsidR="00F36DA3">
        <w:rPr>
          <w:rFonts w:asciiTheme="majorBidi" w:hAnsiTheme="majorBidi" w:cstheme="majorBidi"/>
          <w:sz w:val="24"/>
          <w:szCs w:val="24"/>
        </w:rPr>
        <w:t>spheres</w:t>
      </w:r>
      <w:r w:rsidR="00F36DA3" w:rsidRPr="00081E5A">
        <w:rPr>
          <w:rFonts w:asciiTheme="majorBidi" w:hAnsiTheme="majorBidi" w:cstheme="majorBidi"/>
          <w:sz w:val="24"/>
          <w:szCs w:val="24"/>
        </w:rPr>
        <w:t xml:space="preserve">. </w:t>
      </w:r>
      <w:bookmarkStart w:id="1" w:name="_Hlk29850753"/>
      <w:r w:rsidR="00F36DA3" w:rsidRPr="00081E5A">
        <w:rPr>
          <w:rFonts w:asciiTheme="majorBidi" w:hAnsiTheme="majorBidi" w:cstheme="majorBidi"/>
          <w:sz w:val="24"/>
          <w:szCs w:val="24"/>
        </w:rPr>
        <w:t xml:space="preserve">Adelman’s observations can be viewed as </w:t>
      </w:r>
      <w:r w:rsidR="00F36DA3">
        <w:rPr>
          <w:rFonts w:asciiTheme="majorBidi" w:hAnsiTheme="majorBidi" w:cstheme="majorBidi"/>
          <w:sz w:val="24"/>
          <w:szCs w:val="24"/>
        </w:rPr>
        <w:t xml:space="preserve">corresponding with </w:t>
      </w:r>
      <w:r w:rsidR="00F36DA3" w:rsidRPr="00081E5A">
        <w:rPr>
          <w:rFonts w:asciiTheme="majorBidi" w:hAnsiTheme="majorBidi" w:cstheme="majorBidi"/>
          <w:sz w:val="24"/>
          <w:szCs w:val="24"/>
        </w:rPr>
        <w:t xml:space="preserve">Fraser’s (1989) understanding of the state as operating in different directions, </w:t>
      </w:r>
      <w:r w:rsidR="00F36DA3">
        <w:rPr>
          <w:rFonts w:asciiTheme="majorBidi" w:hAnsiTheme="majorBidi" w:cstheme="majorBidi"/>
          <w:sz w:val="24"/>
          <w:szCs w:val="24"/>
        </w:rPr>
        <w:t>often</w:t>
      </w:r>
      <w:r w:rsidR="00F36DA3" w:rsidRPr="00081E5A">
        <w:rPr>
          <w:rFonts w:asciiTheme="majorBidi" w:hAnsiTheme="majorBidi" w:cstheme="majorBidi"/>
          <w:sz w:val="24"/>
          <w:szCs w:val="24"/>
        </w:rPr>
        <w:t xml:space="preserve"> contradict</w:t>
      </w:r>
      <w:r w:rsidR="00F36DA3">
        <w:rPr>
          <w:rFonts w:asciiTheme="majorBidi" w:hAnsiTheme="majorBidi" w:cstheme="majorBidi"/>
          <w:sz w:val="24"/>
          <w:szCs w:val="24"/>
        </w:rPr>
        <w:t>ing each other</w:t>
      </w:r>
      <w:r w:rsidR="00F36DA3" w:rsidRPr="00081E5A">
        <w:rPr>
          <w:rFonts w:asciiTheme="majorBidi" w:hAnsiTheme="majorBidi" w:cstheme="majorBidi"/>
          <w:sz w:val="24"/>
          <w:szCs w:val="24"/>
        </w:rPr>
        <w:t>.</w:t>
      </w:r>
      <w:bookmarkEnd w:id="1"/>
      <w:r w:rsidR="00F36DA3">
        <w:rPr>
          <w:rFonts w:asciiTheme="majorBidi" w:hAnsiTheme="majorBidi" w:cstheme="majorBidi"/>
          <w:sz w:val="24"/>
          <w:szCs w:val="24"/>
        </w:rPr>
        <w:t xml:space="preserve"> </w:t>
      </w:r>
      <w:r w:rsidR="0081278F">
        <w:rPr>
          <w:rFonts w:asciiTheme="majorBidi" w:hAnsiTheme="majorBidi" w:cstheme="majorBidi"/>
          <w:sz w:val="24"/>
          <w:szCs w:val="24"/>
        </w:rPr>
        <w:t xml:space="preserve">Thus </w:t>
      </w:r>
      <w:r w:rsidR="00F36DA3" w:rsidRPr="00081E5A">
        <w:rPr>
          <w:rFonts w:asciiTheme="majorBidi" w:hAnsiTheme="majorBidi" w:cstheme="majorBidi"/>
          <w:sz w:val="24"/>
          <w:szCs w:val="24"/>
        </w:rPr>
        <w:t xml:space="preserve">even if women are recognized as IPV survivors, they may still be left unprotected. </w:t>
      </w:r>
      <w:bookmarkStart w:id="2" w:name="_Hlk29850947"/>
      <w:r w:rsidR="00F36DA3" w:rsidRPr="00081E5A">
        <w:rPr>
          <w:rFonts w:asciiTheme="majorBidi" w:hAnsiTheme="majorBidi" w:cstheme="majorBidi"/>
          <w:sz w:val="24"/>
          <w:szCs w:val="24"/>
        </w:rPr>
        <w:t xml:space="preserve">Engaging with the need to understand this issue, we </w:t>
      </w:r>
      <w:r w:rsidR="00F36DA3">
        <w:rPr>
          <w:rFonts w:asciiTheme="majorBidi" w:hAnsiTheme="majorBidi" w:cstheme="majorBidi"/>
          <w:sz w:val="24"/>
          <w:szCs w:val="24"/>
        </w:rPr>
        <w:t>extend</w:t>
      </w:r>
      <w:r w:rsidR="00F36DA3" w:rsidRPr="00081E5A">
        <w:rPr>
          <w:rFonts w:asciiTheme="majorBidi" w:hAnsiTheme="majorBidi" w:cstheme="majorBidi"/>
          <w:sz w:val="24"/>
          <w:szCs w:val="24"/>
        </w:rPr>
        <w:t xml:space="preserve"> Adelman’s </w:t>
      </w:r>
      <w:r w:rsidR="00F36DA3">
        <w:rPr>
          <w:rFonts w:asciiTheme="majorBidi" w:hAnsiTheme="majorBidi" w:cstheme="majorBidi"/>
          <w:sz w:val="24"/>
          <w:szCs w:val="24"/>
        </w:rPr>
        <w:t xml:space="preserve">(2017) </w:t>
      </w:r>
      <w:r w:rsidR="00F36DA3" w:rsidRPr="00081E5A">
        <w:rPr>
          <w:rFonts w:asciiTheme="majorBidi" w:hAnsiTheme="majorBidi" w:cstheme="majorBidi"/>
          <w:sz w:val="24"/>
          <w:szCs w:val="24"/>
        </w:rPr>
        <w:t>project of revealing how diverse state actions reflect the intertwined effect of diverse institutions</w:t>
      </w:r>
      <w:bookmarkEnd w:id="2"/>
      <w:r w:rsidR="00F36DA3" w:rsidRPr="00081E5A">
        <w:rPr>
          <w:rFonts w:asciiTheme="majorBidi" w:hAnsiTheme="majorBidi" w:cstheme="majorBidi"/>
          <w:sz w:val="24"/>
          <w:szCs w:val="24"/>
        </w:rPr>
        <w:t xml:space="preserve">. </w:t>
      </w:r>
      <w:r w:rsidR="002B150C">
        <w:rPr>
          <w:rFonts w:asciiTheme="majorBidi" w:hAnsiTheme="majorBidi" w:cstheme="majorBidi"/>
          <w:sz w:val="24"/>
          <w:szCs w:val="24"/>
        </w:rPr>
        <w:t xml:space="preserve">Against the backdrop of scholarly interest in state reproduction of gender-based violence, we raise our research question: how does </w:t>
      </w:r>
      <w:r w:rsidR="002B150C" w:rsidRPr="00C67753">
        <w:rPr>
          <w:rFonts w:asciiTheme="majorBidi" w:hAnsiTheme="majorBidi" w:cstheme="majorBidi"/>
          <w:sz w:val="24"/>
          <w:szCs w:val="24"/>
          <w:lang w:val="en-US"/>
        </w:rPr>
        <w:t xml:space="preserve">the growing gap between benevolence and lacking </w:t>
      </w:r>
      <w:r w:rsidR="002B150C" w:rsidRPr="00C67753">
        <w:rPr>
          <w:rFonts w:asciiTheme="majorBidi" w:hAnsiTheme="majorBidi" w:cstheme="majorBidi"/>
          <w:sz w:val="24"/>
          <w:szCs w:val="24"/>
          <w:lang w:val="en-US"/>
        </w:rPr>
        <w:lastRenderedPageBreak/>
        <w:t xml:space="preserve">responses, in </w:t>
      </w:r>
      <w:r w:rsidR="002B150C">
        <w:rPr>
          <w:rFonts w:asciiTheme="majorBidi" w:hAnsiTheme="majorBidi" w:cstheme="majorBidi"/>
          <w:sz w:val="24"/>
          <w:szCs w:val="24"/>
          <w:lang w:val="en-US"/>
        </w:rPr>
        <w:t>s</w:t>
      </w:r>
      <w:r w:rsidR="002B150C" w:rsidRPr="00C67753">
        <w:rPr>
          <w:rFonts w:asciiTheme="majorBidi" w:hAnsiTheme="majorBidi" w:cstheme="majorBidi"/>
          <w:sz w:val="24"/>
          <w:szCs w:val="24"/>
          <w:lang w:val="en-US"/>
        </w:rPr>
        <w:t>tate social services responding to IPV survivors</w:t>
      </w:r>
      <w:r w:rsidR="002B150C">
        <w:rPr>
          <w:rFonts w:asciiTheme="majorBidi" w:hAnsiTheme="majorBidi" w:cstheme="majorBidi"/>
          <w:sz w:val="24"/>
          <w:szCs w:val="24"/>
          <w:lang w:val="en-US"/>
        </w:rPr>
        <w:t xml:space="preserve">, takes part in </w:t>
      </w:r>
      <w:r w:rsidR="002B150C" w:rsidRPr="00C67753">
        <w:rPr>
          <w:rFonts w:asciiTheme="majorBidi" w:hAnsiTheme="majorBidi" w:cstheme="majorBidi"/>
          <w:sz w:val="24"/>
          <w:szCs w:val="24"/>
          <w:lang w:val="en-US"/>
        </w:rPr>
        <w:t>reproduc</w:t>
      </w:r>
      <w:r w:rsidR="002B150C">
        <w:rPr>
          <w:rFonts w:asciiTheme="majorBidi" w:hAnsiTheme="majorBidi" w:cstheme="majorBidi"/>
          <w:sz w:val="24"/>
          <w:szCs w:val="24"/>
          <w:lang w:val="en-US"/>
        </w:rPr>
        <w:t>ing gender violence?</w:t>
      </w:r>
      <w:r w:rsidR="002B150C" w:rsidRPr="00C67753">
        <w:rPr>
          <w:rFonts w:asciiTheme="majorBidi" w:hAnsiTheme="majorBidi" w:cstheme="majorBidi"/>
          <w:sz w:val="24"/>
          <w:szCs w:val="24"/>
          <w:lang w:val="en-US"/>
        </w:rPr>
        <w:t xml:space="preserve"> </w:t>
      </w:r>
    </w:p>
    <w:p w14:paraId="163BE485" w14:textId="77777777" w:rsidR="00641382" w:rsidRDefault="00641382" w:rsidP="005E5148">
      <w:pPr>
        <w:spacing w:after="0" w:line="480" w:lineRule="auto"/>
        <w:rPr>
          <w:rFonts w:asciiTheme="majorBidi" w:hAnsiTheme="majorBidi" w:cstheme="majorBidi"/>
          <w:sz w:val="24"/>
          <w:szCs w:val="24"/>
        </w:rPr>
      </w:pPr>
    </w:p>
    <w:p w14:paraId="61043C80" w14:textId="16534BF3" w:rsidR="00391679" w:rsidRPr="00B0269D" w:rsidRDefault="00391679" w:rsidP="00B0269D">
      <w:pPr>
        <w:spacing w:line="480" w:lineRule="auto"/>
        <w:ind w:right="426"/>
        <w:rPr>
          <w:rFonts w:asciiTheme="majorBidi" w:hAnsiTheme="majorBidi" w:cstheme="majorBidi"/>
          <w:b/>
          <w:bCs/>
          <w:sz w:val="24"/>
          <w:szCs w:val="24"/>
        </w:rPr>
      </w:pPr>
      <w:r w:rsidRPr="00B0269D">
        <w:rPr>
          <w:rFonts w:asciiTheme="majorBidi" w:hAnsiTheme="majorBidi" w:cstheme="majorBidi"/>
          <w:b/>
          <w:bCs/>
          <w:sz w:val="24"/>
          <w:szCs w:val="24"/>
        </w:rPr>
        <w:t>Methodology</w:t>
      </w:r>
    </w:p>
    <w:p w14:paraId="27B9403A" w14:textId="30893E39" w:rsidR="00281E6C" w:rsidRDefault="00D023C2">
      <w:pPr>
        <w:spacing w:after="0" w:line="480" w:lineRule="auto"/>
        <w:ind w:firstLine="720"/>
        <w:rPr>
          <w:rFonts w:asciiTheme="majorBidi" w:hAnsiTheme="majorBidi" w:cstheme="majorBidi"/>
          <w:sz w:val="24"/>
          <w:szCs w:val="24"/>
        </w:rPr>
      </w:pPr>
      <w:r w:rsidRPr="004D725F">
        <w:rPr>
          <w:rFonts w:ascii="Times New Roman" w:eastAsia="Times New Roman" w:hAnsi="Times New Roman" w:cs="Times New Roman"/>
          <w:sz w:val="24"/>
          <w:szCs w:val="24"/>
        </w:rPr>
        <w:t>W</w:t>
      </w:r>
      <w:r w:rsidR="00FA6AA8" w:rsidRPr="004D725F">
        <w:rPr>
          <w:rFonts w:ascii="Times New Roman" w:eastAsia="Times New Roman" w:hAnsi="Times New Roman" w:cs="Times New Roman"/>
          <w:sz w:val="24"/>
          <w:szCs w:val="24"/>
        </w:rPr>
        <w:t xml:space="preserve">e conducted </w:t>
      </w:r>
      <w:r w:rsidR="00FA6AA8" w:rsidRPr="00222F5C">
        <w:rPr>
          <w:rFonts w:ascii="Times New Roman" w:eastAsia="Times New Roman" w:hAnsi="Times New Roman" w:cs="Times New Roman"/>
          <w:sz w:val="24"/>
          <w:szCs w:val="24"/>
        </w:rPr>
        <w:t xml:space="preserve">fifty </w:t>
      </w:r>
      <w:r w:rsidR="00FA6AA8" w:rsidRPr="004D725F">
        <w:rPr>
          <w:rFonts w:ascii="Times New Roman" w:eastAsia="Times New Roman" w:hAnsi="Times New Roman" w:cs="Times New Roman"/>
          <w:sz w:val="24"/>
          <w:szCs w:val="24"/>
        </w:rPr>
        <w:t>in-depth semi-structured interviews</w:t>
      </w:r>
      <w:r w:rsidR="00FA6AA8" w:rsidRPr="00222F5C">
        <w:rPr>
          <w:rFonts w:ascii="Times New Roman" w:eastAsia="Times New Roman" w:hAnsi="Times New Roman" w:cs="Times New Roman"/>
          <w:sz w:val="24"/>
          <w:szCs w:val="24"/>
        </w:rPr>
        <w:t xml:space="preserve"> with social workers,</w:t>
      </w:r>
      <w:r w:rsidR="004D725F">
        <w:rPr>
          <w:rFonts w:ascii="Times New Roman" w:eastAsia="Times New Roman" w:hAnsi="Times New Roman" w:cs="Times New Roman"/>
          <w:sz w:val="24"/>
          <w:szCs w:val="24"/>
        </w:rPr>
        <w:t xml:space="preserve"> working in various social services. Of them </w:t>
      </w:r>
      <w:r w:rsidR="004D725F" w:rsidRPr="004D725F">
        <w:rPr>
          <w:rFonts w:ascii="Times New Roman" w:eastAsia="Times New Roman" w:hAnsi="Times New Roman" w:cs="Times New Roman"/>
          <w:sz w:val="24"/>
          <w:szCs w:val="24"/>
        </w:rPr>
        <w:t xml:space="preserve">15 </w:t>
      </w:r>
      <w:r w:rsidR="004D725F">
        <w:rPr>
          <w:rFonts w:ascii="Times New Roman" w:eastAsia="Times New Roman" w:hAnsi="Times New Roman" w:cs="Times New Roman"/>
          <w:sz w:val="24"/>
          <w:szCs w:val="24"/>
        </w:rPr>
        <w:t>were employed by the centers for</w:t>
      </w:r>
      <w:r w:rsidR="004D725F" w:rsidRPr="004D725F">
        <w:rPr>
          <w:rFonts w:ascii="Times New Roman" w:eastAsia="Times New Roman" w:hAnsi="Times New Roman" w:cs="Times New Roman"/>
          <w:sz w:val="24"/>
          <w:szCs w:val="24"/>
        </w:rPr>
        <w:t xml:space="preserve"> prevention </w:t>
      </w:r>
      <w:r w:rsidR="004D725F">
        <w:rPr>
          <w:rFonts w:ascii="Times New Roman" w:eastAsia="Times New Roman" w:hAnsi="Times New Roman" w:cs="Times New Roman"/>
          <w:sz w:val="24"/>
          <w:szCs w:val="24"/>
        </w:rPr>
        <w:t xml:space="preserve">domestic violence (CPDVs); 10 directors of municipal social services departments; </w:t>
      </w:r>
      <w:r w:rsidR="004D725F" w:rsidRPr="004D725F">
        <w:rPr>
          <w:rFonts w:ascii="Times New Roman" w:eastAsia="Times New Roman" w:hAnsi="Times New Roman" w:cs="Times New Roman"/>
          <w:sz w:val="24"/>
          <w:szCs w:val="24"/>
        </w:rPr>
        <w:t xml:space="preserve">25 Social workers </w:t>
      </w:r>
      <w:r w:rsidR="004D725F">
        <w:rPr>
          <w:rFonts w:ascii="Times New Roman" w:eastAsia="Times New Roman" w:hAnsi="Times New Roman" w:cs="Times New Roman"/>
          <w:sz w:val="24"/>
          <w:szCs w:val="24"/>
        </w:rPr>
        <w:t xml:space="preserve">employed by other social services. </w:t>
      </w:r>
      <w:r w:rsidR="00FA6AA8" w:rsidRPr="008B4D34">
        <w:rPr>
          <w:rFonts w:ascii="Times New Roman" w:hAnsi="Times New Roman" w:cs="Times New Roman"/>
          <w:sz w:val="24"/>
          <w:szCs w:val="24"/>
        </w:rPr>
        <w:t xml:space="preserve">To locate and approach potential participants, we used the method of institutional snowballing, Participants selected the place of the interview, </w:t>
      </w:r>
      <w:r w:rsidR="00FA6AA8">
        <w:rPr>
          <w:rFonts w:ascii="Times New Roman" w:hAnsi="Times New Roman" w:cs="Times New Roman"/>
          <w:sz w:val="24"/>
          <w:szCs w:val="24"/>
        </w:rPr>
        <w:t>mostly</w:t>
      </w:r>
      <w:r w:rsidR="00FA6AA8" w:rsidRPr="008B4D34">
        <w:rPr>
          <w:rFonts w:ascii="Times New Roman" w:hAnsi="Times New Roman" w:cs="Times New Roman"/>
          <w:sz w:val="24"/>
          <w:szCs w:val="24"/>
        </w:rPr>
        <w:t xml:space="preserve"> their own offices. The participants were assured of strict confidentiality and anonymity</w:t>
      </w:r>
      <w:r w:rsidR="004D725F">
        <w:rPr>
          <w:rFonts w:ascii="Times New Roman" w:hAnsi="Times New Roman" w:cs="Times New Roman"/>
          <w:sz w:val="24"/>
          <w:szCs w:val="24"/>
        </w:rPr>
        <w:t xml:space="preserve"> t</w:t>
      </w:r>
      <w:r w:rsidR="00FA6AA8" w:rsidRPr="008B4D34">
        <w:rPr>
          <w:rFonts w:ascii="Times New Roman" w:hAnsi="Times New Roman" w:cs="Times New Roman"/>
          <w:sz w:val="24"/>
          <w:szCs w:val="24"/>
        </w:rPr>
        <w:t xml:space="preserve">hus, </w:t>
      </w:r>
      <w:r w:rsidR="004D725F">
        <w:rPr>
          <w:rFonts w:ascii="Times New Roman" w:hAnsi="Times New Roman" w:cs="Times New Roman"/>
          <w:sz w:val="24"/>
          <w:szCs w:val="24"/>
        </w:rPr>
        <w:t>we only provide their position and naming letters representing their serial location in our lists of interview</w:t>
      </w:r>
      <w:r w:rsidR="0046520B">
        <w:rPr>
          <w:rFonts w:ascii="Times New Roman" w:hAnsi="Times New Roman" w:cs="Times New Roman"/>
          <w:sz w:val="24"/>
          <w:szCs w:val="24"/>
        </w:rPr>
        <w:t>ee</w:t>
      </w:r>
      <w:r w:rsidR="004D725F">
        <w:rPr>
          <w:rFonts w:ascii="Times New Roman" w:hAnsi="Times New Roman" w:cs="Times New Roman"/>
          <w:sz w:val="24"/>
          <w:szCs w:val="24"/>
        </w:rPr>
        <w:t xml:space="preserve">s in the findings section. </w:t>
      </w:r>
      <w:r w:rsidR="00600C4A">
        <w:rPr>
          <w:rFonts w:ascii="Times New Roman" w:hAnsi="Times New Roman" w:cs="Times New Roman" w:hint="cs"/>
          <w:sz w:val="24"/>
          <w:szCs w:val="24"/>
        </w:rPr>
        <w:t>T</w:t>
      </w:r>
      <w:r w:rsidR="00600C4A">
        <w:rPr>
          <w:rFonts w:ascii="Times New Roman" w:hAnsi="Times New Roman" w:cs="Times New Roman"/>
          <w:sz w:val="24"/>
          <w:szCs w:val="24"/>
          <w:lang w:val="en-US"/>
        </w:rPr>
        <w:t xml:space="preserve">he study received the approval of the university of Haifa ethics committee </w:t>
      </w:r>
      <w:r w:rsidR="00600C4A" w:rsidRPr="00600C4A">
        <w:rPr>
          <w:rFonts w:ascii="Times New Roman" w:hAnsi="Times New Roman" w:cs="Times New Roman"/>
          <w:sz w:val="24"/>
          <w:szCs w:val="24"/>
        </w:rPr>
        <w:t>approval (364/22)</w:t>
      </w:r>
      <w:r w:rsidR="00DC06A0">
        <w:rPr>
          <w:rFonts w:ascii="Times New Roman" w:hAnsi="Times New Roman" w:cs="Times New Roman"/>
          <w:sz w:val="24"/>
          <w:szCs w:val="24"/>
        </w:rPr>
        <w:t>.</w:t>
      </w:r>
      <w:r w:rsidR="004F39C4">
        <w:rPr>
          <w:rFonts w:ascii="Times New Roman" w:hAnsi="Times New Roman" w:cs="Times New Roman"/>
          <w:sz w:val="24"/>
          <w:szCs w:val="24"/>
          <w:lang w:val="en-US"/>
        </w:rPr>
        <w:t xml:space="preserve"> </w:t>
      </w:r>
      <w:r w:rsidR="004D06A5" w:rsidRPr="00600C4A">
        <w:rPr>
          <w:rFonts w:ascii="Times New Roman" w:hAnsi="Times New Roman" w:cs="Times New Roman"/>
          <w:sz w:val="24"/>
          <w:szCs w:val="24"/>
        </w:rPr>
        <w:t>The</w:t>
      </w:r>
      <w:r w:rsidR="004D06A5" w:rsidRPr="00CF715D">
        <w:rPr>
          <w:rFonts w:asciiTheme="majorBidi" w:hAnsiTheme="majorBidi" w:cstheme="majorBidi"/>
          <w:sz w:val="24"/>
          <w:szCs w:val="24"/>
        </w:rPr>
        <w:t xml:space="preserve"> grounded theory approach enabled us to follow theme</w:t>
      </w:r>
      <w:r w:rsidR="0046520B">
        <w:rPr>
          <w:rFonts w:asciiTheme="majorBidi" w:hAnsiTheme="majorBidi" w:cstheme="majorBidi"/>
          <w:sz w:val="24"/>
          <w:szCs w:val="24"/>
        </w:rPr>
        <w:t>s</w:t>
      </w:r>
      <w:r w:rsidR="004D06A5" w:rsidRPr="00CF715D">
        <w:rPr>
          <w:rFonts w:asciiTheme="majorBidi" w:hAnsiTheme="majorBidi" w:cstheme="majorBidi"/>
          <w:sz w:val="24"/>
          <w:szCs w:val="24"/>
        </w:rPr>
        <w:t xml:space="preserve"> rising inductively from the material</w:t>
      </w:r>
      <w:r w:rsidR="005C7F85">
        <w:rPr>
          <w:rFonts w:asciiTheme="majorBidi" w:hAnsiTheme="majorBidi" w:cstheme="majorBidi"/>
          <w:sz w:val="24"/>
          <w:szCs w:val="24"/>
        </w:rPr>
        <w:t>.</w:t>
      </w:r>
      <w:r w:rsidR="004D06A5" w:rsidRPr="00CF715D">
        <w:rPr>
          <w:rFonts w:asciiTheme="majorBidi" w:hAnsiTheme="majorBidi" w:cstheme="majorBidi"/>
          <w:sz w:val="24"/>
          <w:szCs w:val="24"/>
        </w:rPr>
        <w:t xml:space="preserve"> </w:t>
      </w:r>
    </w:p>
    <w:p w14:paraId="72B2FE15" w14:textId="77777777" w:rsidR="0087310E" w:rsidRDefault="0087310E">
      <w:pPr>
        <w:spacing w:after="0" w:line="480" w:lineRule="auto"/>
        <w:ind w:firstLine="720"/>
        <w:rPr>
          <w:rFonts w:asciiTheme="majorBidi" w:hAnsiTheme="majorBidi" w:cstheme="majorBidi"/>
          <w:sz w:val="24"/>
          <w:szCs w:val="24"/>
        </w:rPr>
      </w:pPr>
    </w:p>
    <w:p w14:paraId="7B468D3D" w14:textId="1C24E3CE" w:rsidR="00391679" w:rsidRDefault="00391679" w:rsidP="00281E6C">
      <w:pPr>
        <w:pStyle w:val="Heading1"/>
        <w:spacing w:before="0" w:beforeAutospacing="0" w:after="0" w:afterAutospacing="0" w:line="480" w:lineRule="auto"/>
        <w:rPr>
          <w:rFonts w:asciiTheme="majorBidi" w:hAnsiTheme="majorBidi" w:cstheme="majorBidi"/>
          <w:sz w:val="24"/>
          <w:szCs w:val="24"/>
          <w:rtl/>
        </w:rPr>
      </w:pPr>
      <w:r w:rsidRPr="00A64F66">
        <w:rPr>
          <w:rFonts w:asciiTheme="majorBidi" w:hAnsiTheme="majorBidi" w:cstheme="majorBidi"/>
          <w:sz w:val="24"/>
          <w:szCs w:val="24"/>
        </w:rPr>
        <w:t>Findings</w:t>
      </w:r>
    </w:p>
    <w:p w14:paraId="181AC933" w14:textId="5C0B4FED" w:rsidR="003B578E" w:rsidRPr="00CF715D" w:rsidRDefault="003B578E" w:rsidP="00CF715D">
      <w:pPr>
        <w:spacing w:line="480" w:lineRule="auto"/>
        <w:rPr>
          <w:rFonts w:asciiTheme="majorBidi" w:hAnsiTheme="majorBidi" w:cstheme="majorBidi"/>
          <w:sz w:val="24"/>
          <w:szCs w:val="24"/>
        </w:rPr>
      </w:pPr>
      <w:r w:rsidRPr="00CF715D">
        <w:rPr>
          <w:rFonts w:asciiTheme="majorBidi" w:hAnsiTheme="majorBidi" w:cstheme="majorBidi"/>
          <w:sz w:val="24"/>
          <w:szCs w:val="24"/>
        </w:rPr>
        <w:t xml:space="preserve">We analysed expressions of a gendered commitment to assist </w:t>
      </w:r>
      <w:r w:rsidR="006651C6" w:rsidRPr="00CF715D">
        <w:rPr>
          <w:rFonts w:asciiTheme="majorBidi" w:hAnsiTheme="majorBidi" w:cstheme="majorBidi"/>
          <w:sz w:val="24"/>
          <w:szCs w:val="24"/>
        </w:rPr>
        <w:t>survivors</w:t>
      </w:r>
      <w:r w:rsidRPr="00CF715D">
        <w:rPr>
          <w:rFonts w:asciiTheme="majorBidi" w:hAnsiTheme="majorBidi" w:cstheme="majorBidi"/>
          <w:sz w:val="24"/>
          <w:szCs w:val="24"/>
        </w:rPr>
        <w:t xml:space="preserve"> or the deterioration of such commitment. </w:t>
      </w:r>
      <w:r w:rsidR="00281E6C" w:rsidRPr="00CF715D">
        <w:rPr>
          <w:rFonts w:asciiTheme="majorBidi" w:hAnsiTheme="majorBidi" w:cstheme="majorBidi"/>
          <w:sz w:val="24"/>
          <w:szCs w:val="24"/>
        </w:rPr>
        <w:t xml:space="preserve">In identifying a trend of deterioration, we show </w:t>
      </w:r>
      <w:r w:rsidRPr="00CF715D">
        <w:rPr>
          <w:rFonts w:asciiTheme="majorBidi" w:hAnsiTheme="majorBidi" w:cstheme="majorBidi"/>
          <w:sz w:val="24"/>
          <w:szCs w:val="24"/>
        </w:rPr>
        <w:t>appearance</w:t>
      </w:r>
      <w:r w:rsidR="00281E6C" w:rsidRPr="00CF715D">
        <w:rPr>
          <w:rFonts w:asciiTheme="majorBidi" w:hAnsiTheme="majorBidi" w:cstheme="majorBidi"/>
          <w:sz w:val="24"/>
          <w:szCs w:val="24"/>
        </w:rPr>
        <w:t>s</w:t>
      </w:r>
      <w:r w:rsidRPr="00CF715D">
        <w:rPr>
          <w:rFonts w:asciiTheme="majorBidi" w:hAnsiTheme="majorBidi" w:cstheme="majorBidi"/>
          <w:sz w:val="24"/>
          <w:szCs w:val="24"/>
        </w:rPr>
        <w:t xml:space="preserve"> of </w:t>
      </w:r>
      <w:r w:rsidR="00281E6C" w:rsidRPr="00CF715D">
        <w:rPr>
          <w:rFonts w:asciiTheme="majorBidi" w:hAnsiTheme="majorBidi" w:cstheme="majorBidi"/>
          <w:sz w:val="24"/>
          <w:szCs w:val="24"/>
        </w:rPr>
        <w:t xml:space="preserve">the following components of the deterioration trend: </w:t>
      </w:r>
      <w:r w:rsidRPr="00CF715D">
        <w:rPr>
          <w:rFonts w:asciiTheme="majorBidi" w:hAnsiTheme="majorBidi" w:cstheme="majorBidi"/>
          <w:sz w:val="24"/>
          <w:szCs w:val="24"/>
        </w:rPr>
        <w:t>clinical/therapeutic framing</w:t>
      </w:r>
      <w:r w:rsidR="00281E6C" w:rsidRPr="00CF715D">
        <w:rPr>
          <w:rFonts w:asciiTheme="majorBidi" w:hAnsiTheme="majorBidi" w:cstheme="majorBidi"/>
          <w:sz w:val="24"/>
          <w:szCs w:val="24"/>
        </w:rPr>
        <w:t>;</w:t>
      </w:r>
      <w:r w:rsidRPr="00CF715D">
        <w:rPr>
          <w:rFonts w:asciiTheme="majorBidi" w:hAnsiTheme="majorBidi" w:cstheme="majorBidi"/>
          <w:sz w:val="24"/>
          <w:szCs w:val="24"/>
        </w:rPr>
        <w:t xml:space="preserve"> suspicion</w:t>
      </w:r>
      <w:r w:rsidR="00281E6C" w:rsidRPr="00CF715D">
        <w:rPr>
          <w:rFonts w:asciiTheme="majorBidi" w:hAnsiTheme="majorBidi" w:cstheme="majorBidi"/>
          <w:sz w:val="24"/>
          <w:szCs w:val="24"/>
        </w:rPr>
        <w:t>;</w:t>
      </w:r>
      <w:r w:rsidRPr="00CF715D">
        <w:rPr>
          <w:rFonts w:asciiTheme="majorBidi" w:hAnsiTheme="majorBidi" w:cstheme="majorBidi"/>
          <w:sz w:val="24"/>
          <w:szCs w:val="24"/>
        </w:rPr>
        <w:t xml:space="preserve"> </w:t>
      </w:r>
      <w:r w:rsidR="0052571E" w:rsidRPr="00CF715D">
        <w:rPr>
          <w:rFonts w:asciiTheme="majorBidi" w:hAnsiTheme="majorBidi" w:cstheme="majorBidi"/>
          <w:sz w:val="24"/>
          <w:szCs w:val="24"/>
        </w:rPr>
        <w:t xml:space="preserve">neglect of material needs together with </w:t>
      </w:r>
      <w:r w:rsidR="00281E6C" w:rsidRPr="00CF715D">
        <w:rPr>
          <w:rFonts w:asciiTheme="majorBidi" w:hAnsiTheme="majorBidi" w:cstheme="majorBidi"/>
          <w:sz w:val="24"/>
          <w:szCs w:val="24"/>
        </w:rPr>
        <w:t xml:space="preserve">little assistance in rights takeup; and finally, </w:t>
      </w:r>
      <w:r w:rsidRPr="00CF715D">
        <w:rPr>
          <w:rFonts w:asciiTheme="majorBidi" w:hAnsiTheme="majorBidi" w:cstheme="majorBidi"/>
          <w:sz w:val="24"/>
          <w:szCs w:val="24"/>
        </w:rPr>
        <w:t>perception</w:t>
      </w:r>
      <w:r w:rsidR="00281E6C" w:rsidRPr="00CF715D">
        <w:rPr>
          <w:rFonts w:asciiTheme="majorBidi" w:hAnsiTheme="majorBidi" w:cstheme="majorBidi"/>
          <w:sz w:val="24"/>
          <w:szCs w:val="24"/>
        </w:rPr>
        <w:t>s</w:t>
      </w:r>
      <w:r w:rsidRPr="00CF715D">
        <w:rPr>
          <w:rFonts w:asciiTheme="majorBidi" w:hAnsiTheme="majorBidi" w:cstheme="majorBidi"/>
          <w:sz w:val="24"/>
          <w:szCs w:val="24"/>
        </w:rPr>
        <w:t xml:space="preserve"> of women as taking </w:t>
      </w:r>
      <w:r w:rsidR="00CE311F" w:rsidRPr="00CF715D">
        <w:rPr>
          <w:rFonts w:asciiTheme="majorBidi" w:hAnsiTheme="majorBidi" w:cstheme="majorBidi"/>
          <w:sz w:val="24"/>
          <w:szCs w:val="24"/>
        </w:rPr>
        <w:t xml:space="preserve">an </w:t>
      </w:r>
      <w:r w:rsidRPr="00CF715D">
        <w:rPr>
          <w:rFonts w:asciiTheme="majorBidi" w:hAnsiTheme="majorBidi" w:cstheme="majorBidi"/>
          <w:sz w:val="24"/>
          <w:szCs w:val="24"/>
        </w:rPr>
        <w:t>active role in triggering the violence</w:t>
      </w:r>
      <w:r w:rsidR="00281E6C" w:rsidRPr="00CF715D">
        <w:rPr>
          <w:rFonts w:asciiTheme="majorBidi" w:hAnsiTheme="majorBidi" w:cstheme="majorBidi"/>
          <w:sz w:val="24"/>
          <w:szCs w:val="24"/>
          <w:lang w:val="en-US"/>
        </w:rPr>
        <w:t xml:space="preserve"> to the extent of promoting the understanding of IPV as gender-neutral and symmetrical</w:t>
      </w:r>
      <w:r w:rsidR="00281E6C" w:rsidRPr="00CF715D">
        <w:rPr>
          <w:rFonts w:asciiTheme="majorBidi" w:hAnsiTheme="majorBidi" w:cstheme="majorBidi"/>
          <w:sz w:val="24"/>
          <w:szCs w:val="24"/>
        </w:rPr>
        <w:t>.</w:t>
      </w:r>
    </w:p>
    <w:p w14:paraId="22CB1373" w14:textId="320B3672" w:rsidR="00253FBA" w:rsidRPr="003D7EFB" w:rsidRDefault="00253FBA" w:rsidP="00A64F66">
      <w:pPr>
        <w:pStyle w:val="Heading2"/>
        <w:spacing w:line="480" w:lineRule="auto"/>
        <w:rPr>
          <w:rFonts w:asciiTheme="majorBidi" w:hAnsiTheme="majorBidi"/>
          <w:color w:val="auto"/>
          <w:sz w:val="24"/>
          <w:szCs w:val="24"/>
          <w:u w:val="single"/>
        </w:rPr>
      </w:pPr>
      <w:r w:rsidRPr="003D7EFB">
        <w:rPr>
          <w:rFonts w:asciiTheme="majorBidi" w:hAnsiTheme="majorBidi"/>
          <w:color w:val="auto"/>
          <w:sz w:val="24"/>
          <w:szCs w:val="24"/>
          <w:u w:val="single"/>
        </w:rPr>
        <w:t>G</w:t>
      </w:r>
      <w:r w:rsidR="00391679" w:rsidRPr="003D7EFB">
        <w:rPr>
          <w:rFonts w:asciiTheme="majorBidi" w:hAnsiTheme="majorBidi"/>
          <w:color w:val="auto"/>
          <w:sz w:val="24"/>
          <w:szCs w:val="24"/>
          <w:u w:val="single"/>
        </w:rPr>
        <w:t xml:space="preserve">endered commitment to assist </w:t>
      </w:r>
      <w:r w:rsidR="008A096B" w:rsidRPr="003D7EFB">
        <w:rPr>
          <w:rFonts w:asciiTheme="majorBidi" w:hAnsiTheme="majorBidi"/>
          <w:color w:val="auto"/>
          <w:sz w:val="24"/>
          <w:szCs w:val="24"/>
          <w:u w:val="single"/>
          <w:lang w:val="en-US"/>
        </w:rPr>
        <w:t>survivors</w:t>
      </w:r>
      <w:r w:rsidR="00391679" w:rsidRPr="003D7EFB">
        <w:rPr>
          <w:rFonts w:asciiTheme="majorBidi" w:hAnsiTheme="majorBidi"/>
          <w:color w:val="auto"/>
          <w:sz w:val="24"/>
          <w:szCs w:val="24"/>
          <w:u w:val="single"/>
        </w:rPr>
        <w:t xml:space="preserve"> </w:t>
      </w:r>
    </w:p>
    <w:p w14:paraId="496795DD" w14:textId="258613E1" w:rsidR="009074C6" w:rsidRPr="008D5D66" w:rsidRDefault="003B578E" w:rsidP="00A64F66">
      <w:pPr>
        <w:spacing w:line="480" w:lineRule="auto"/>
        <w:rPr>
          <w:rFonts w:asciiTheme="majorBidi" w:hAnsiTheme="majorBidi" w:cstheme="majorBidi"/>
          <w:sz w:val="24"/>
          <w:szCs w:val="24"/>
          <w:lang w:val="en-US"/>
        </w:rPr>
      </w:pPr>
      <w:r>
        <w:rPr>
          <w:rFonts w:asciiTheme="majorBidi" w:hAnsiTheme="majorBidi" w:cstheme="majorBidi"/>
          <w:sz w:val="24"/>
          <w:szCs w:val="24"/>
        </w:rPr>
        <w:t xml:space="preserve">Following quite a few years of social workers’ training and collaboration with feminist civil society organizations, commitment </w:t>
      </w:r>
      <w:r w:rsidR="00512A83">
        <w:rPr>
          <w:rFonts w:asciiTheme="majorBidi" w:hAnsiTheme="majorBidi" w:cstheme="majorBidi"/>
          <w:sz w:val="24"/>
          <w:szCs w:val="24"/>
        </w:rPr>
        <w:t>can sometimes be found</w:t>
      </w:r>
      <w:r>
        <w:rPr>
          <w:rFonts w:asciiTheme="majorBidi" w:hAnsiTheme="majorBidi" w:cstheme="majorBidi"/>
          <w:sz w:val="24"/>
          <w:szCs w:val="24"/>
        </w:rPr>
        <w:t>.</w:t>
      </w:r>
      <w:r w:rsidR="008D5D66">
        <w:rPr>
          <w:rFonts w:asciiTheme="majorBidi" w:hAnsiTheme="majorBidi" w:cstheme="majorBidi" w:hint="cs"/>
          <w:sz w:val="24"/>
          <w:szCs w:val="24"/>
          <w:rtl/>
        </w:rPr>
        <w:t xml:space="preserve"> </w:t>
      </w:r>
      <w:r w:rsidR="00512A83">
        <w:rPr>
          <w:rFonts w:asciiTheme="majorBidi" w:hAnsiTheme="majorBidi" w:cstheme="majorBidi"/>
          <w:sz w:val="24"/>
          <w:szCs w:val="24"/>
        </w:rPr>
        <w:t xml:space="preserve"> Interviews with social workers in the field of IPV </w:t>
      </w:r>
      <w:r w:rsidR="00512A83">
        <w:rPr>
          <w:rFonts w:asciiTheme="majorBidi" w:hAnsiTheme="majorBidi" w:cstheme="majorBidi"/>
          <w:sz w:val="24"/>
          <w:szCs w:val="24"/>
        </w:rPr>
        <w:lastRenderedPageBreak/>
        <w:t xml:space="preserve">indicated a language of recognition of the </w:t>
      </w:r>
      <w:r w:rsidR="0064320A">
        <w:rPr>
          <w:rFonts w:asciiTheme="majorBidi" w:hAnsiTheme="majorBidi" w:cstheme="majorBidi"/>
          <w:sz w:val="24"/>
          <w:szCs w:val="24"/>
        </w:rPr>
        <w:t>gendered nature of IPV</w:t>
      </w:r>
      <w:r w:rsidR="00512A83">
        <w:rPr>
          <w:rFonts w:asciiTheme="majorBidi" w:hAnsiTheme="majorBidi" w:cstheme="majorBidi"/>
          <w:sz w:val="24"/>
          <w:szCs w:val="24"/>
        </w:rPr>
        <w:t xml:space="preserve"> and efforts to connect survivors to organizations operating outside the welfare ministry. </w:t>
      </w:r>
      <w:r w:rsidR="008D5D66">
        <w:rPr>
          <w:rFonts w:asciiTheme="majorBidi" w:hAnsiTheme="majorBidi" w:cstheme="majorBidi" w:hint="cs"/>
          <w:sz w:val="24"/>
          <w:szCs w:val="24"/>
        </w:rPr>
        <w:t>T</w:t>
      </w:r>
      <w:r w:rsidR="008D5D66">
        <w:rPr>
          <w:rFonts w:asciiTheme="majorBidi" w:hAnsiTheme="majorBidi" w:cstheme="majorBidi"/>
          <w:sz w:val="24"/>
          <w:szCs w:val="24"/>
          <w:lang w:val="en-US"/>
        </w:rPr>
        <w:t xml:space="preserve">he rise in IPV during covid provided an opportunity to express such commitment: </w:t>
      </w:r>
    </w:p>
    <w:p w14:paraId="6A59F2F7" w14:textId="31ED14AC" w:rsidR="009074C6" w:rsidRDefault="008D5D66">
      <w:pPr>
        <w:spacing w:line="480" w:lineRule="auto"/>
        <w:ind w:left="1080" w:right="1451"/>
        <w:rPr>
          <w:rFonts w:asciiTheme="majorBidi" w:hAnsiTheme="majorBidi" w:cstheme="majorBidi"/>
          <w:sz w:val="24"/>
          <w:szCs w:val="24"/>
          <w:rtl/>
        </w:rPr>
      </w:pPr>
      <w:r>
        <w:rPr>
          <w:rFonts w:asciiTheme="majorBidi" w:hAnsiTheme="majorBidi" w:cstheme="majorBidi" w:hint="cs"/>
          <w:sz w:val="24"/>
          <w:szCs w:val="24"/>
        </w:rPr>
        <w:t>W</w:t>
      </w:r>
      <w:r w:rsidRPr="008D5D66">
        <w:rPr>
          <w:rFonts w:asciiTheme="majorBidi" w:hAnsiTheme="majorBidi" w:cstheme="majorBidi"/>
          <w:sz w:val="24"/>
          <w:szCs w:val="24"/>
        </w:rPr>
        <w:t xml:space="preserve">e put flyers in pharmacies for women who come to buy medicine, </w:t>
      </w:r>
      <w:r>
        <w:rPr>
          <w:rFonts w:asciiTheme="majorBidi" w:hAnsiTheme="majorBidi" w:cstheme="majorBidi"/>
          <w:sz w:val="24"/>
          <w:szCs w:val="24"/>
        </w:rPr>
        <w:t xml:space="preserve">so </w:t>
      </w:r>
      <w:r w:rsidRPr="008D5D66">
        <w:rPr>
          <w:rFonts w:asciiTheme="majorBidi" w:hAnsiTheme="majorBidi" w:cstheme="majorBidi"/>
          <w:sz w:val="24"/>
          <w:szCs w:val="24"/>
        </w:rPr>
        <w:t xml:space="preserve">that the pharmacist </w:t>
      </w:r>
      <w:r>
        <w:rPr>
          <w:rFonts w:asciiTheme="majorBidi" w:hAnsiTheme="majorBidi" w:cstheme="majorBidi"/>
          <w:sz w:val="24"/>
          <w:szCs w:val="24"/>
        </w:rPr>
        <w:t>could give out</w:t>
      </w:r>
      <w:r w:rsidRPr="008D5D66">
        <w:rPr>
          <w:rFonts w:asciiTheme="majorBidi" w:hAnsiTheme="majorBidi" w:cstheme="majorBidi"/>
          <w:sz w:val="24"/>
          <w:szCs w:val="24"/>
        </w:rPr>
        <w:t xml:space="preserve">. We trained beauticians to identify women who are in distress. We created advertising, we </w:t>
      </w:r>
      <w:r>
        <w:rPr>
          <w:rFonts w:asciiTheme="majorBidi" w:hAnsiTheme="majorBidi" w:cstheme="majorBidi"/>
          <w:sz w:val="24"/>
          <w:szCs w:val="24"/>
        </w:rPr>
        <w:t xml:space="preserve">founded </w:t>
      </w:r>
      <w:r w:rsidRPr="008D5D66">
        <w:rPr>
          <w:rFonts w:asciiTheme="majorBidi" w:hAnsiTheme="majorBidi" w:cstheme="majorBidi"/>
          <w:sz w:val="24"/>
          <w:szCs w:val="24"/>
        </w:rPr>
        <w:t xml:space="preserve">a hotline. We </w:t>
      </w:r>
      <w:r>
        <w:rPr>
          <w:rFonts w:asciiTheme="majorBidi" w:hAnsiTheme="majorBidi" w:cstheme="majorBidi"/>
          <w:sz w:val="24"/>
          <w:szCs w:val="24"/>
        </w:rPr>
        <w:t>added</w:t>
      </w:r>
      <w:r w:rsidRPr="008D5D66">
        <w:rPr>
          <w:rFonts w:asciiTheme="majorBidi" w:hAnsiTheme="majorBidi" w:cstheme="majorBidi"/>
          <w:sz w:val="24"/>
          <w:szCs w:val="24"/>
        </w:rPr>
        <w:t xml:space="preserve"> quite a lot of </w:t>
      </w:r>
      <w:r w:rsidR="00703A4B">
        <w:rPr>
          <w:rFonts w:asciiTheme="majorBidi" w:hAnsiTheme="majorBidi" w:cstheme="majorBidi"/>
          <w:sz w:val="24"/>
          <w:szCs w:val="24"/>
        </w:rPr>
        <w:t>information</w:t>
      </w:r>
      <w:r w:rsidRPr="008D5D66">
        <w:rPr>
          <w:rFonts w:asciiTheme="majorBidi" w:hAnsiTheme="majorBidi" w:cstheme="majorBidi"/>
          <w:sz w:val="24"/>
          <w:szCs w:val="24"/>
        </w:rPr>
        <w:t xml:space="preserve"> to the website</w:t>
      </w:r>
      <w:r>
        <w:rPr>
          <w:rFonts w:asciiTheme="majorBidi" w:hAnsiTheme="majorBidi" w:cstheme="majorBidi"/>
          <w:sz w:val="24"/>
          <w:szCs w:val="24"/>
        </w:rPr>
        <w:t>.</w:t>
      </w:r>
      <w:r w:rsidRPr="008D5D66">
        <w:rPr>
          <w:rFonts w:asciiTheme="majorBidi" w:hAnsiTheme="majorBidi" w:cstheme="majorBidi"/>
          <w:sz w:val="24"/>
          <w:szCs w:val="24"/>
        </w:rPr>
        <w:t xml:space="preserve"> </w:t>
      </w:r>
      <w:r>
        <w:rPr>
          <w:rFonts w:asciiTheme="majorBidi" w:hAnsiTheme="majorBidi" w:cstheme="majorBidi"/>
          <w:sz w:val="24"/>
          <w:szCs w:val="24"/>
        </w:rPr>
        <w:t>W</w:t>
      </w:r>
      <w:r w:rsidRPr="008D5D66">
        <w:rPr>
          <w:rFonts w:asciiTheme="majorBidi" w:hAnsiTheme="majorBidi" w:cstheme="majorBidi"/>
          <w:sz w:val="24"/>
          <w:szCs w:val="24"/>
        </w:rPr>
        <w:t xml:space="preserve">hat </w:t>
      </w:r>
      <w:r>
        <w:rPr>
          <w:rFonts w:asciiTheme="majorBidi" w:hAnsiTheme="majorBidi" w:cstheme="majorBidi"/>
          <w:sz w:val="24"/>
          <w:szCs w:val="24"/>
        </w:rPr>
        <w:t xml:space="preserve">practically </w:t>
      </w:r>
      <w:r w:rsidRPr="008D5D66">
        <w:rPr>
          <w:rFonts w:asciiTheme="majorBidi" w:hAnsiTheme="majorBidi" w:cstheme="majorBidi"/>
          <w:sz w:val="24"/>
          <w:szCs w:val="24"/>
        </w:rPr>
        <w:t xml:space="preserve">happened </w:t>
      </w:r>
      <w:r>
        <w:rPr>
          <w:rFonts w:asciiTheme="majorBidi" w:hAnsiTheme="majorBidi" w:cstheme="majorBidi"/>
          <w:sz w:val="24"/>
          <w:szCs w:val="24"/>
        </w:rPr>
        <w:t xml:space="preserve">was that </w:t>
      </w:r>
      <w:r w:rsidRPr="008D5D66">
        <w:rPr>
          <w:rFonts w:asciiTheme="majorBidi" w:hAnsiTheme="majorBidi" w:cstheme="majorBidi"/>
          <w:sz w:val="24"/>
          <w:szCs w:val="24"/>
        </w:rPr>
        <w:t>women were more at home, it's hard to call from home and complain. Right now we are experiencing a crazy increase in inquiries about domestic violence</w:t>
      </w:r>
      <w:r w:rsidR="0088570A">
        <w:rPr>
          <w:rFonts w:asciiTheme="majorBidi" w:hAnsiTheme="majorBidi" w:cstheme="majorBidi"/>
          <w:sz w:val="24"/>
          <w:szCs w:val="24"/>
        </w:rPr>
        <w:t xml:space="preserve">… </w:t>
      </w:r>
    </w:p>
    <w:p w14:paraId="66849D5C" w14:textId="5636457E" w:rsidR="00E2050E" w:rsidRDefault="0088570A">
      <w:pPr>
        <w:spacing w:line="480" w:lineRule="auto"/>
        <w:rPr>
          <w:rFonts w:asciiTheme="majorBidi" w:hAnsiTheme="majorBidi" w:cstheme="majorBidi"/>
          <w:sz w:val="24"/>
          <w:szCs w:val="24"/>
        </w:rPr>
      </w:pPr>
      <w:r>
        <w:rPr>
          <w:rFonts w:asciiTheme="majorBidi" w:hAnsiTheme="majorBidi" w:cstheme="majorBidi"/>
          <w:sz w:val="24"/>
          <w:szCs w:val="24"/>
        </w:rPr>
        <w:t>The commitment is articulated by the observation that IPV survivors must be actively approached</w:t>
      </w:r>
      <w:r w:rsidR="00E2050E">
        <w:rPr>
          <w:rFonts w:asciiTheme="majorBidi" w:hAnsiTheme="majorBidi" w:cstheme="majorBidi"/>
          <w:sz w:val="24"/>
          <w:szCs w:val="24"/>
        </w:rPr>
        <w:t xml:space="preserve"> as well as by the list of actions showing an </w:t>
      </w:r>
      <w:r w:rsidR="0064320A">
        <w:rPr>
          <w:rFonts w:asciiTheme="majorBidi" w:hAnsiTheme="majorBidi" w:cstheme="majorBidi"/>
          <w:sz w:val="24"/>
          <w:szCs w:val="24"/>
        </w:rPr>
        <w:t>attempt</w:t>
      </w:r>
      <w:r w:rsidR="00E2050E">
        <w:rPr>
          <w:rFonts w:asciiTheme="majorBidi" w:hAnsiTheme="majorBidi" w:cstheme="majorBidi"/>
          <w:sz w:val="24"/>
          <w:szCs w:val="24"/>
        </w:rPr>
        <w:t xml:space="preserve"> to locate women in need</w:t>
      </w:r>
      <w:r>
        <w:rPr>
          <w:rFonts w:asciiTheme="majorBidi" w:hAnsiTheme="majorBidi" w:cstheme="majorBidi"/>
          <w:sz w:val="24"/>
          <w:szCs w:val="24"/>
        </w:rPr>
        <w:t xml:space="preserve">. </w:t>
      </w:r>
      <w:r w:rsidR="0064320A">
        <w:rPr>
          <w:rFonts w:asciiTheme="majorBidi" w:hAnsiTheme="majorBidi" w:cstheme="majorBidi"/>
          <w:sz w:val="24"/>
          <w:szCs w:val="24"/>
        </w:rPr>
        <w:t>T</w:t>
      </w:r>
      <w:r>
        <w:rPr>
          <w:rFonts w:asciiTheme="majorBidi" w:hAnsiTheme="majorBidi" w:cstheme="majorBidi"/>
          <w:sz w:val="24"/>
          <w:szCs w:val="24"/>
        </w:rPr>
        <w:t>he provided account</w:t>
      </w:r>
      <w:r w:rsidR="00E2050E">
        <w:rPr>
          <w:rFonts w:asciiTheme="majorBidi" w:hAnsiTheme="majorBidi" w:cstheme="majorBidi"/>
          <w:sz w:val="24"/>
          <w:szCs w:val="24"/>
        </w:rPr>
        <w:t xml:space="preserve"> for the increase in IPV</w:t>
      </w:r>
      <w:r>
        <w:rPr>
          <w:rFonts w:asciiTheme="majorBidi" w:hAnsiTheme="majorBidi" w:cstheme="majorBidi"/>
          <w:sz w:val="24"/>
          <w:szCs w:val="24"/>
        </w:rPr>
        <w:t xml:space="preserve"> indicate</w:t>
      </w:r>
      <w:r w:rsidR="00E2050E">
        <w:rPr>
          <w:rFonts w:asciiTheme="majorBidi" w:hAnsiTheme="majorBidi" w:cstheme="majorBidi"/>
          <w:sz w:val="24"/>
          <w:szCs w:val="24"/>
        </w:rPr>
        <w:t>s</w:t>
      </w:r>
      <w:r>
        <w:rPr>
          <w:rFonts w:asciiTheme="majorBidi" w:hAnsiTheme="majorBidi" w:cstheme="majorBidi"/>
          <w:sz w:val="24"/>
          <w:szCs w:val="24"/>
        </w:rPr>
        <w:t xml:space="preserve"> </w:t>
      </w:r>
      <w:r w:rsidR="0064320A">
        <w:rPr>
          <w:rFonts w:asciiTheme="majorBidi" w:hAnsiTheme="majorBidi" w:cstheme="majorBidi"/>
          <w:sz w:val="24"/>
          <w:szCs w:val="24"/>
        </w:rPr>
        <w:t xml:space="preserve">a gendered understanding </w:t>
      </w:r>
      <w:r>
        <w:rPr>
          <w:rFonts w:asciiTheme="majorBidi" w:hAnsiTheme="majorBidi" w:cstheme="majorBidi"/>
          <w:sz w:val="24"/>
          <w:szCs w:val="24"/>
        </w:rPr>
        <w:t>of IPV grounding its heightened appearance specifically in “violent men”.</w:t>
      </w:r>
      <w:r w:rsidR="00835619">
        <w:rPr>
          <w:rFonts w:asciiTheme="majorBidi" w:hAnsiTheme="majorBidi" w:cstheme="majorBidi"/>
          <w:sz w:val="24"/>
          <w:szCs w:val="24"/>
        </w:rPr>
        <w:t xml:space="preserve"> </w:t>
      </w:r>
      <w:r w:rsidR="0064320A">
        <w:rPr>
          <w:rFonts w:asciiTheme="majorBidi" w:hAnsiTheme="majorBidi" w:cstheme="majorBidi"/>
          <w:sz w:val="24"/>
          <w:szCs w:val="24"/>
        </w:rPr>
        <w:t xml:space="preserve">Framing IPV in this way energizes a set of active operations that show a commitment to become significant for women who suffer from IPV. </w:t>
      </w:r>
      <w:r w:rsidR="00835619">
        <w:rPr>
          <w:rFonts w:asciiTheme="majorBidi" w:hAnsiTheme="majorBidi" w:cstheme="majorBidi"/>
          <w:sz w:val="24"/>
          <w:szCs w:val="24"/>
        </w:rPr>
        <w:t>The next section</w:t>
      </w:r>
      <w:r w:rsidR="0064320A">
        <w:rPr>
          <w:rFonts w:asciiTheme="majorBidi" w:hAnsiTheme="majorBidi" w:cstheme="majorBidi"/>
          <w:sz w:val="24"/>
          <w:szCs w:val="24"/>
        </w:rPr>
        <w:t>,</w:t>
      </w:r>
      <w:r w:rsidR="00835619">
        <w:rPr>
          <w:rFonts w:asciiTheme="majorBidi" w:hAnsiTheme="majorBidi" w:cstheme="majorBidi"/>
          <w:sz w:val="24"/>
          <w:szCs w:val="24"/>
        </w:rPr>
        <w:t xml:space="preserve"> however, shows how the feminist understanding </w:t>
      </w:r>
      <w:r w:rsidR="00D86F6D">
        <w:rPr>
          <w:rFonts w:asciiTheme="majorBidi" w:hAnsiTheme="majorBidi" w:cstheme="majorBidi"/>
          <w:sz w:val="24"/>
          <w:szCs w:val="24"/>
        </w:rPr>
        <w:t>and commitment to action, is deteriorating.</w:t>
      </w:r>
    </w:p>
    <w:p w14:paraId="41585011" w14:textId="038C2757" w:rsidR="00253FBA" w:rsidRPr="003D7EFB" w:rsidRDefault="00253FBA" w:rsidP="00A64F66">
      <w:pPr>
        <w:pStyle w:val="Heading2"/>
        <w:spacing w:line="480" w:lineRule="auto"/>
        <w:rPr>
          <w:rFonts w:asciiTheme="majorBidi" w:hAnsiTheme="majorBidi"/>
          <w:color w:val="auto"/>
          <w:sz w:val="24"/>
          <w:szCs w:val="24"/>
          <w:u w:val="single"/>
        </w:rPr>
      </w:pPr>
      <w:r w:rsidRPr="003D7EFB">
        <w:rPr>
          <w:rFonts w:asciiTheme="majorBidi" w:hAnsiTheme="majorBidi"/>
          <w:color w:val="auto"/>
          <w:sz w:val="24"/>
          <w:szCs w:val="24"/>
          <w:u w:val="single"/>
        </w:rPr>
        <w:t>D</w:t>
      </w:r>
      <w:r w:rsidR="00391679" w:rsidRPr="003D7EFB">
        <w:rPr>
          <w:rFonts w:asciiTheme="majorBidi" w:hAnsiTheme="majorBidi"/>
          <w:color w:val="auto"/>
          <w:sz w:val="24"/>
          <w:szCs w:val="24"/>
          <w:u w:val="single"/>
        </w:rPr>
        <w:t xml:space="preserve">eterioration of </w:t>
      </w:r>
      <w:r w:rsidR="00D86F6D" w:rsidRPr="003D7EFB">
        <w:rPr>
          <w:rFonts w:asciiTheme="majorBidi" w:hAnsiTheme="majorBidi"/>
          <w:color w:val="auto"/>
          <w:sz w:val="24"/>
          <w:szCs w:val="24"/>
          <w:u w:val="single"/>
        </w:rPr>
        <w:t>the gendered co</w:t>
      </w:r>
      <w:r w:rsidR="00391679" w:rsidRPr="003D7EFB">
        <w:rPr>
          <w:rFonts w:asciiTheme="majorBidi" w:hAnsiTheme="majorBidi"/>
          <w:color w:val="auto"/>
          <w:sz w:val="24"/>
          <w:szCs w:val="24"/>
          <w:u w:val="single"/>
        </w:rPr>
        <w:t>mmitment</w:t>
      </w:r>
      <w:r w:rsidR="00D86F6D" w:rsidRPr="003D7EFB">
        <w:rPr>
          <w:rFonts w:asciiTheme="majorBidi" w:hAnsiTheme="majorBidi"/>
          <w:color w:val="auto"/>
          <w:sz w:val="24"/>
          <w:szCs w:val="24"/>
          <w:u w:val="single"/>
        </w:rPr>
        <w:t xml:space="preserve"> to IP</w:t>
      </w:r>
      <w:r w:rsidR="00BB1B7E" w:rsidRPr="003D7EFB">
        <w:rPr>
          <w:rFonts w:asciiTheme="majorBidi" w:hAnsiTheme="majorBidi"/>
          <w:color w:val="auto"/>
          <w:sz w:val="24"/>
          <w:szCs w:val="24"/>
          <w:u w:val="single"/>
        </w:rPr>
        <w:t>V</w:t>
      </w:r>
    </w:p>
    <w:p w14:paraId="32CDE0D0" w14:textId="1D2E2923" w:rsidR="00B65751" w:rsidRPr="00B65751" w:rsidRDefault="00B65751" w:rsidP="00B65751">
      <w:pPr>
        <w:spacing w:line="480" w:lineRule="auto"/>
        <w:rPr>
          <w:rFonts w:asciiTheme="majorBidi" w:hAnsiTheme="majorBidi" w:cstheme="majorBidi"/>
          <w:sz w:val="24"/>
          <w:szCs w:val="24"/>
        </w:rPr>
      </w:pPr>
      <w:r w:rsidRPr="00B65751">
        <w:rPr>
          <w:rFonts w:asciiTheme="majorBidi" w:hAnsiTheme="majorBidi" w:cstheme="majorBidi"/>
          <w:sz w:val="24"/>
          <w:szCs w:val="24"/>
        </w:rPr>
        <w:t>Th</w:t>
      </w:r>
      <w:r>
        <w:rPr>
          <w:rFonts w:asciiTheme="majorBidi" w:hAnsiTheme="majorBidi" w:cstheme="majorBidi"/>
          <w:sz w:val="24"/>
          <w:szCs w:val="24"/>
        </w:rPr>
        <w:t xml:space="preserve">e deterioration that we have identified has to be understood in the context of a parallel process characterizing the local court system, which </w:t>
      </w:r>
      <w:r w:rsidR="00FF5136">
        <w:rPr>
          <w:rFonts w:asciiTheme="majorBidi" w:hAnsiTheme="majorBidi" w:cstheme="majorBidi"/>
          <w:sz w:val="24"/>
          <w:szCs w:val="24"/>
        </w:rPr>
        <w:t>has recently</w:t>
      </w:r>
      <w:r>
        <w:rPr>
          <w:rFonts w:asciiTheme="majorBidi" w:hAnsiTheme="majorBidi" w:cstheme="majorBidi"/>
          <w:sz w:val="24"/>
          <w:szCs w:val="24"/>
        </w:rPr>
        <w:t xml:space="preserve"> begun giving more attention to the possibility that complaints about IPV are false (as argued in Mazeh’s </w:t>
      </w:r>
      <w:r w:rsidR="00D87D83">
        <w:rPr>
          <w:rFonts w:asciiTheme="majorBidi" w:hAnsiTheme="majorBidi" w:cstheme="majorBidi"/>
          <w:sz w:val="24"/>
          <w:szCs w:val="24"/>
        </w:rPr>
        <w:t xml:space="preserve">Kohelet </w:t>
      </w:r>
      <w:r>
        <w:rPr>
          <w:rFonts w:asciiTheme="majorBidi" w:hAnsiTheme="majorBidi" w:cstheme="majorBidi"/>
          <w:sz w:val="24"/>
          <w:szCs w:val="24"/>
        </w:rPr>
        <w:t>report, 2016). This trend has been cultivated persistently by men’s organizations</w:t>
      </w:r>
      <w:r w:rsidR="00DD735E">
        <w:rPr>
          <w:rFonts w:asciiTheme="majorBidi" w:hAnsiTheme="majorBidi" w:cstheme="majorBidi"/>
          <w:sz w:val="24"/>
          <w:szCs w:val="24"/>
        </w:rPr>
        <w:t xml:space="preserve"> </w:t>
      </w:r>
      <w:r w:rsidR="00FF5136">
        <w:rPr>
          <w:rFonts w:asciiTheme="majorBidi" w:hAnsiTheme="majorBidi" w:cstheme="majorBidi"/>
          <w:sz w:val="24"/>
          <w:szCs w:val="24"/>
        </w:rPr>
        <w:t>and</w:t>
      </w:r>
      <w:r w:rsidR="00DD735E">
        <w:rPr>
          <w:rFonts w:asciiTheme="majorBidi" w:hAnsiTheme="majorBidi" w:cstheme="majorBidi"/>
          <w:sz w:val="24"/>
          <w:szCs w:val="24"/>
        </w:rPr>
        <w:t xml:space="preserve"> conservative family organizations</w:t>
      </w:r>
      <w:r>
        <w:rPr>
          <w:rFonts w:asciiTheme="majorBidi" w:hAnsiTheme="majorBidi" w:cstheme="majorBidi"/>
          <w:sz w:val="24"/>
          <w:szCs w:val="24"/>
        </w:rPr>
        <w:t xml:space="preserve"> that instilled the idea that IPV complaints are instrumental in divorce conflicts. </w:t>
      </w:r>
      <w:r w:rsidR="00223DE3">
        <w:rPr>
          <w:rFonts w:asciiTheme="majorBidi" w:hAnsiTheme="majorBidi" w:cstheme="majorBidi" w:hint="cs"/>
          <w:sz w:val="24"/>
          <w:szCs w:val="24"/>
        </w:rPr>
        <w:t>T</w:t>
      </w:r>
      <w:r w:rsidR="00223DE3">
        <w:rPr>
          <w:rFonts w:asciiTheme="majorBidi" w:hAnsiTheme="majorBidi" w:cstheme="majorBidi"/>
          <w:sz w:val="24"/>
          <w:szCs w:val="24"/>
          <w:lang w:val="en-US"/>
        </w:rPr>
        <w:t xml:space="preserve">he welfare ministry representatives in </w:t>
      </w:r>
      <w:r w:rsidR="00223DE3">
        <w:rPr>
          <w:rFonts w:asciiTheme="majorBidi" w:hAnsiTheme="majorBidi" w:cstheme="majorBidi"/>
          <w:sz w:val="24"/>
          <w:szCs w:val="24"/>
          <w:lang w:val="en-US"/>
        </w:rPr>
        <w:lastRenderedPageBreak/>
        <w:t xml:space="preserve">court are particularly forceful in trying to shake social workers’ views on specific cases (Fogel Bijawi, forthcoming). </w:t>
      </w:r>
      <w:r w:rsidR="004024A9">
        <w:rPr>
          <w:rFonts w:asciiTheme="majorBidi" w:hAnsiTheme="majorBidi" w:cstheme="majorBidi"/>
          <w:sz w:val="24"/>
          <w:szCs w:val="24"/>
          <w:lang w:val="en-US"/>
        </w:rPr>
        <w:t xml:space="preserve">Therefore, social </w:t>
      </w:r>
      <w:r w:rsidR="00E25343">
        <w:rPr>
          <w:rFonts w:asciiTheme="majorBidi" w:hAnsiTheme="majorBidi" w:cstheme="majorBidi"/>
          <w:sz w:val="24"/>
          <w:szCs w:val="24"/>
        </w:rPr>
        <w:t>workers try to avoid becoming involved</w:t>
      </w:r>
      <w:r w:rsidR="004024A9">
        <w:rPr>
          <w:rFonts w:asciiTheme="majorBidi" w:hAnsiTheme="majorBidi" w:cstheme="majorBidi"/>
          <w:sz w:val="24"/>
          <w:szCs w:val="24"/>
        </w:rPr>
        <w:t>:</w:t>
      </w:r>
      <w:r w:rsidR="00E25343">
        <w:rPr>
          <w:rFonts w:asciiTheme="majorBidi" w:hAnsiTheme="majorBidi" w:cstheme="majorBidi"/>
          <w:sz w:val="24"/>
          <w:szCs w:val="24"/>
        </w:rPr>
        <w:t xml:space="preserve">  </w:t>
      </w:r>
      <w:r w:rsidRPr="00B65751">
        <w:rPr>
          <w:rFonts w:asciiTheme="majorBidi" w:hAnsiTheme="majorBidi" w:cstheme="majorBidi"/>
          <w:sz w:val="24"/>
          <w:szCs w:val="24"/>
        </w:rPr>
        <w:t xml:space="preserve"> </w:t>
      </w:r>
    </w:p>
    <w:p w14:paraId="28EFAAF9" w14:textId="573B7597" w:rsidR="00434605" w:rsidRPr="00A64F66" w:rsidRDefault="00434605" w:rsidP="00A64F66">
      <w:pPr>
        <w:spacing w:line="480" w:lineRule="auto"/>
        <w:ind w:left="709" w:right="1019"/>
        <w:rPr>
          <w:rFonts w:asciiTheme="majorBidi" w:hAnsiTheme="majorBidi" w:cstheme="majorBidi"/>
          <w:sz w:val="24"/>
          <w:szCs w:val="24"/>
        </w:rPr>
      </w:pPr>
      <w:r w:rsidRPr="00A64F66">
        <w:rPr>
          <w:rFonts w:asciiTheme="majorBidi" w:hAnsiTheme="majorBidi" w:cstheme="majorBidi"/>
          <w:sz w:val="24"/>
          <w:szCs w:val="24"/>
        </w:rPr>
        <w:t xml:space="preserve">Even if we do issue some kind of </w:t>
      </w:r>
      <w:r w:rsidR="004024A9">
        <w:rPr>
          <w:rFonts w:asciiTheme="majorBidi" w:hAnsiTheme="majorBidi" w:cstheme="majorBidi"/>
          <w:sz w:val="24"/>
          <w:szCs w:val="24"/>
        </w:rPr>
        <w:t>a document…</w:t>
      </w:r>
      <w:r w:rsidRPr="00A64F66">
        <w:rPr>
          <w:rFonts w:asciiTheme="majorBidi" w:hAnsiTheme="majorBidi" w:cstheme="majorBidi"/>
          <w:sz w:val="24"/>
          <w:szCs w:val="24"/>
        </w:rPr>
        <w:t xml:space="preserve"> because of our experience, </w:t>
      </w:r>
      <w:r w:rsidR="004024A9">
        <w:rPr>
          <w:rFonts w:asciiTheme="majorBidi" w:hAnsiTheme="majorBidi" w:cstheme="majorBidi"/>
          <w:sz w:val="24"/>
          <w:szCs w:val="24"/>
        </w:rPr>
        <w:t xml:space="preserve">we </w:t>
      </w:r>
      <w:r w:rsidRPr="00A64F66">
        <w:rPr>
          <w:rFonts w:asciiTheme="majorBidi" w:hAnsiTheme="majorBidi" w:cstheme="majorBidi"/>
          <w:sz w:val="24"/>
          <w:szCs w:val="24"/>
        </w:rPr>
        <w:t>are careful with the terminology; We always say "according to the woman...", and we will never treat it as an objective reality</w:t>
      </w:r>
      <w:r w:rsidR="004024A9">
        <w:rPr>
          <w:rFonts w:asciiTheme="majorBidi" w:hAnsiTheme="majorBidi" w:cstheme="majorBidi"/>
          <w:sz w:val="24"/>
          <w:szCs w:val="24"/>
        </w:rPr>
        <w:t xml:space="preserve">… </w:t>
      </w:r>
      <w:r w:rsidRPr="00A64F66">
        <w:rPr>
          <w:rFonts w:asciiTheme="majorBidi" w:hAnsiTheme="majorBidi" w:cstheme="majorBidi"/>
          <w:sz w:val="24"/>
          <w:szCs w:val="24"/>
        </w:rPr>
        <w:t>That is why we are not part of the court, in front of the police, nor are we related to a legal process, not related to a criminal process; Rather we are a therapeutic place; We can only help her get stronger, get out of the cycle of violence, accompany her after... but not... approvals. And I very much believe that this is the right one</w:t>
      </w:r>
      <w:r w:rsidR="00A64F66">
        <w:rPr>
          <w:rFonts w:asciiTheme="majorBidi" w:hAnsiTheme="majorBidi" w:cstheme="majorBidi"/>
          <w:sz w:val="24"/>
          <w:szCs w:val="24"/>
        </w:rPr>
        <w:t>"</w:t>
      </w:r>
      <w:r w:rsidRPr="00A64F66">
        <w:rPr>
          <w:rFonts w:asciiTheme="majorBidi" w:hAnsiTheme="majorBidi" w:cstheme="majorBidi"/>
          <w:sz w:val="24"/>
          <w:szCs w:val="24"/>
        </w:rPr>
        <w:t xml:space="preserve"> (B</w:t>
      </w:r>
      <w:r w:rsidR="004D725F">
        <w:rPr>
          <w:rFonts w:asciiTheme="majorBidi" w:hAnsiTheme="majorBidi" w:cstheme="majorBidi"/>
          <w:sz w:val="24"/>
          <w:szCs w:val="24"/>
        </w:rPr>
        <w:t>.</w:t>
      </w:r>
      <w:r w:rsidRPr="00A64F66">
        <w:rPr>
          <w:rFonts w:asciiTheme="majorBidi" w:hAnsiTheme="majorBidi" w:cstheme="majorBidi"/>
          <w:sz w:val="24"/>
          <w:szCs w:val="24"/>
        </w:rPr>
        <w:t>A</w:t>
      </w:r>
      <w:r w:rsidR="004D725F">
        <w:rPr>
          <w:rFonts w:asciiTheme="majorBidi" w:hAnsiTheme="majorBidi" w:cstheme="majorBidi"/>
          <w:sz w:val="24"/>
          <w:szCs w:val="24"/>
        </w:rPr>
        <w:t>.</w:t>
      </w:r>
      <w:r w:rsidRPr="00A64F66">
        <w:rPr>
          <w:rFonts w:asciiTheme="majorBidi" w:hAnsiTheme="majorBidi" w:cstheme="majorBidi"/>
          <w:sz w:val="24"/>
          <w:szCs w:val="24"/>
        </w:rPr>
        <w:t xml:space="preserve">, director of the </w:t>
      </w:r>
      <w:r w:rsidR="005F50C9">
        <w:rPr>
          <w:rFonts w:asciiTheme="majorBidi" w:hAnsiTheme="majorBidi" w:cstheme="majorBidi"/>
          <w:sz w:val="24"/>
          <w:szCs w:val="24"/>
        </w:rPr>
        <w:t>DVPC</w:t>
      </w:r>
      <w:r w:rsidRPr="00A64F66">
        <w:rPr>
          <w:rFonts w:asciiTheme="majorBidi" w:hAnsiTheme="majorBidi" w:cstheme="majorBidi"/>
          <w:sz w:val="24"/>
          <w:szCs w:val="24"/>
        </w:rPr>
        <w:t xml:space="preserve"> and a social worker)</w:t>
      </w:r>
    </w:p>
    <w:p w14:paraId="24E396F3" w14:textId="6D1122D5" w:rsidR="00703A4B" w:rsidRPr="00703A4B" w:rsidRDefault="00703A4B" w:rsidP="00A64F66">
      <w:pPr>
        <w:pStyle w:val="Body"/>
        <w:shd w:val="clear" w:color="auto" w:fill="FFFFFF"/>
        <w:bidi w:val="0"/>
        <w:spacing w:after="0" w:line="480" w:lineRule="auto"/>
        <w:rPr>
          <w:rStyle w:val="None"/>
          <w:rFonts w:asciiTheme="majorBidi" w:hAnsiTheme="majorBidi" w:cstheme="majorBidi"/>
          <w:color w:val="auto"/>
          <w:sz w:val="24"/>
          <w:szCs w:val="24"/>
          <w:rtl/>
          <w:lang w:val="en-GB"/>
        </w:rPr>
      </w:pPr>
      <w:r>
        <w:rPr>
          <w:rStyle w:val="None"/>
          <w:rFonts w:asciiTheme="majorBidi" w:hAnsiTheme="majorBidi" w:cstheme="majorBidi"/>
          <w:color w:val="auto"/>
          <w:sz w:val="24"/>
          <w:szCs w:val="24"/>
          <w:lang w:val="en-GB"/>
        </w:rPr>
        <w:t xml:space="preserve">The emphasis on the service being therapeutic, allegedly empowering and liberating, reflects a gap between the potential gendered commitment that would lead the social worker to stand by survivors, and the legal, </w:t>
      </w:r>
      <w:r w:rsidR="00E67447">
        <w:rPr>
          <w:rStyle w:val="None"/>
          <w:rFonts w:asciiTheme="majorBidi" w:hAnsiTheme="majorBidi" w:cstheme="majorBidi"/>
          <w:color w:val="auto"/>
          <w:sz w:val="24"/>
          <w:szCs w:val="24"/>
          <w:lang w:val="en-GB"/>
        </w:rPr>
        <w:t>institutional</w:t>
      </w:r>
      <w:r w:rsidR="006A5BF5">
        <w:rPr>
          <w:rStyle w:val="None"/>
          <w:rFonts w:asciiTheme="majorBidi" w:hAnsiTheme="majorBidi" w:cstheme="majorBidi"/>
          <w:color w:val="auto"/>
          <w:sz w:val="24"/>
          <w:szCs w:val="24"/>
        </w:rPr>
        <w:t>l</w:t>
      </w:r>
      <w:r>
        <w:rPr>
          <w:rStyle w:val="None"/>
          <w:rFonts w:asciiTheme="majorBidi" w:hAnsiTheme="majorBidi" w:cstheme="majorBidi"/>
          <w:color w:val="auto"/>
          <w:sz w:val="24"/>
          <w:szCs w:val="24"/>
          <w:lang w:val="en-GB"/>
        </w:rPr>
        <w:t xml:space="preserve">, </w:t>
      </w:r>
      <w:r w:rsidR="006A5BF5">
        <w:rPr>
          <w:rStyle w:val="None"/>
          <w:rFonts w:asciiTheme="majorBidi" w:hAnsiTheme="majorBidi" w:cstheme="majorBidi"/>
          <w:color w:val="auto"/>
          <w:sz w:val="24"/>
          <w:szCs w:val="24"/>
          <w:lang w:val="en-GB"/>
        </w:rPr>
        <w:t xml:space="preserve">and </w:t>
      </w:r>
      <w:r>
        <w:rPr>
          <w:rStyle w:val="None"/>
          <w:rFonts w:asciiTheme="majorBidi" w:hAnsiTheme="majorBidi" w:cstheme="majorBidi"/>
          <w:color w:val="auto"/>
          <w:sz w:val="24"/>
          <w:szCs w:val="24"/>
          <w:lang w:val="en-GB"/>
        </w:rPr>
        <w:t xml:space="preserve">political context which defeats such potential. In her routine work with survivors, the speaker is unable to document realistically what she hears and see, if she is to protect herself </w:t>
      </w:r>
      <w:r w:rsidRPr="006A5BF5">
        <w:rPr>
          <w:rStyle w:val="None"/>
          <w:rFonts w:asciiTheme="majorBidi" w:hAnsiTheme="majorBidi" w:cstheme="majorBidi"/>
          <w:color w:val="auto"/>
          <w:sz w:val="24"/>
          <w:szCs w:val="24"/>
          <w:lang w:val="en-GB"/>
        </w:rPr>
        <w:t xml:space="preserve">of becoming part of the legal proceedings. </w:t>
      </w:r>
      <w:r w:rsidR="00CB61B8" w:rsidRPr="006A5BF5">
        <w:rPr>
          <w:rStyle w:val="None"/>
          <w:rFonts w:asciiTheme="majorBidi" w:hAnsiTheme="majorBidi" w:cstheme="majorBidi"/>
          <w:color w:val="auto"/>
          <w:sz w:val="24"/>
          <w:szCs w:val="24"/>
          <w:lang w:val="en-GB"/>
        </w:rPr>
        <w:t xml:space="preserve">What is striking is the explicit statement that she actually believes that her way of avoiding the document that would approve the IPV as a fact, is the right way to operate. </w:t>
      </w:r>
    </w:p>
    <w:p w14:paraId="50AB3493" w14:textId="4398F953" w:rsidR="00FB2BD1" w:rsidRPr="00A64F66" w:rsidRDefault="00A5164A">
      <w:pPr>
        <w:pStyle w:val="Body"/>
        <w:shd w:val="clear" w:color="auto" w:fill="FFFFFF"/>
        <w:bidi w:val="0"/>
        <w:spacing w:after="0" w:line="480" w:lineRule="auto"/>
        <w:ind w:firstLine="720"/>
        <w:rPr>
          <w:rStyle w:val="Hyperlink0"/>
          <w:rFonts w:asciiTheme="majorBidi" w:hAnsiTheme="majorBidi" w:cstheme="majorBidi"/>
          <w:color w:val="auto"/>
        </w:rPr>
      </w:pPr>
      <w:r>
        <w:rPr>
          <w:rStyle w:val="None"/>
          <w:rFonts w:asciiTheme="majorBidi" w:hAnsiTheme="majorBidi" w:cstheme="majorBidi"/>
          <w:color w:val="auto"/>
          <w:sz w:val="24"/>
          <w:szCs w:val="24"/>
        </w:rPr>
        <w:t xml:space="preserve">The deterioration of commitment is reinforced by the absence of relevant resources. </w:t>
      </w:r>
      <w:r w:rsidR="00B608C3">
        <w:rPr>
          <w:rStyle w:val="None"/>
          <w:rFonts w:asciiTheme="majorBidi" w:hAnsiTheme="majorBidi" w:cstheme="majorBidi"/>
          <w:color w:val="auto"/>
          <w:sz w:val="24"/>
          <w:szCs w:val="24"/>
        </w:rPr>
        <w:t xml:space="preserve"> The speaker</w:t>
      </w:r>
      <w:r w:rsidR="00FB2BD1" w:rsidRPr="00A64F66">
        <w:rPr>
          <w:rStyle w:val="None"/>
          <w:rFonts w:asciiTheme="majorBidi" w:hAnsiTheme="majorBidi" w:cstheme="majorBidi"/>
          <w:color w:val="auto"/>
          <w:sz w:val="24"/>
          <w:szCs w:val="24"/>
        </w:rPr>
        <w:t xml:space="preserve"> clarifies that she guides her team to realize that the complexity </w:t>
      </w:r>
      <w:r w:rsidR="00FB2BD1" w:rsidRPr="0087310E">
        <w:rPr>
          <w:rStyle w:val="None"/>
          <w:rFonts w:asciiTheme="majorBidi" w:hAnsiTheme="majorBidi" w:cstheme="majorBidi"/>
          <w:color w:val="auto"/>
          <w:sz w:val="24"/>
          <w:szCs w:val="24"/>
        </w:rPr>
        <w:t xml:space="preserve">of </w:t>
      </w:r>
      <w:r w:rsidRPr="0087310E">
        <w:rPr>
          <w:rStyle w:val="None"/>
          <w:rFonts w:asciiTheme="majorBidi" w:hAnsiTheme="majorBidi" w:cstheme="majorBidi"/>
          <w:color w:val="auto"/>
          <w:sz w:val="24"/>
          <w:szCs w:val="24"/>
        </w:rPr>
        <w:t>IPV</w:t>
      </w:r>
      <w:r w:rsidR="00FB2BD1" w:rsidRPr="0087310E">
        <w:rPr>
          <w:rStyle w:val="None"/>
          <w:rFonts w:asciiTheme="majorBidi" w:hAnsiTheme="majorBidi" w:cstheme="majorBidi"/>
          <w:color w:val="auto"/>
          <w:sz w:val="24"/>
          <w:szCs w:val="24"/>
        </w:rPr>
        <w:t xml:space="preserve"> requires</w:t>
      </w:r>
      <w:r w:rsidR="00FB2BD1" w:rsidRPr="00A64F66">
        <w:rPr>
          <w:rStyle w:val="None"/>
          <w:rFonts w:asciiTheme="majorBidi" w:hAnsiTheme="majorBidi" w:cstheme="majorBidi"/>
          <w:color w:val="auto"/>
          <w:sz w:val="24"/>
          <w:szCs w:val="24"/>
        </w:rPr>
        <w:t xml:space="preserve"> resources which </w:t>
      </w:r>
      <w:r>
        <w:rPr>
          <w:rStyle w:val="None"/>
          <w:rFonts w:asciiTheme="majorBidi" w:hAnsiTheme="majorBidi" w:cstheme="majorBidi"/>
          <w:color w:val="auto"/>
          <w:sz w:val="24"/>
          <w:szCs w:val="24"/>
        </w:rPr>
        <w:t>the system</w:t>
      </w:r>
      <w:r w:rsidR="00FB2BD1" w:rsidRPr="00A64F66">
        <w:rPr>
          <w:rStyle w:val="None"/>
          <w:rFonts w:asciiTheme="majorBidi" w:hAnsiTheme="majorBidi" w:cstheme="majorBidi"/>
          <w:color w:val="auto"/>
          <w:sz w:val="24"/>
          <w:szCs w:val="24"/>
        </w:rPr>
        <w:t xml:space="preserve"> do</w:t>
      </w:r>
      <w:r>
        <w:rPr>
          <w:rStyle w:val="None"/>
          <w:rFonts w:asciiTheme="majorBidi" w:hAnsiTheme="majorBidi" w:cstheme="majorBidi"/>
          <w:color w:val="auto"/>
          <w:sz w:val="24"/>
          <w:szCs w:val="24"/>
        </w:rPr>
        <w:t>esn’t</w:t>
      </w:r>
      <w:r w:rsidR="00FB2BD1" w:rsidRPr="00A64F66">
        <w:rPr>
          <w:rStyle w:val="None"/>
          <w:rFonts w:asciiTheme="majorBidi" w:hAnsiTheme="majorBidi" w:cstheme="majorBidi"/>
          <w:color w:val="auto"/>
          <w:sz w:val="24"/>
          <w:szCs w:val="24"/>
        </w:rPr>
        <w:t xml:space="preserve"> have</w:t>
      </w:r>
      <w:r w:rsidR="008C08DD">
        <w:rPr>
          <w:rStyle w:val="None"/>
          <w:rFonts w:asciiTheme="majorBidi" w:hAnsiTheme="majorBidi" w:cstheme="majorBidi"/>
          <w:color w:val="auto"/>
          <w:sz w:val="24"/>
          <w:szCs w:val="24"/>
        </w:rPr>
        <w:t>:</w:t>
      </w:r>
      <w:r w:rsidR="00527956">
        <w:rPr>
          <w:rStyle w:val="None"/>
          <w:rFonts w:asciiTheme="majorBidi" w:hAnsiTheme="majorBidi" w:cstheme="majorBidi"/>
          <w:color w:val="auto"/>
          <w:sz w:val="24"/>
          <w:szCs w:val="24"/>
        </w:rPr>
        <w:t xml:space="preserve">. </w:t>
      </w:r>
    </w:p>
    <w:p w14:paraId="530CC6D0" w14:textId="7B50762D" w:rsidR="00FB2BD1" w:rsidRPr="00A64F66" w:rsidRDefault="00FB2BD1" w:rsidP="00A64F66">
      <w:pPr>
        <w:pStyle w:val="Body"/>
        <w:bidi w:val="0"/>
        <w:spacing w:line="480" w:lineRule="auto"/>
        <w:ind w:left="1418" w:right="877"/>
        <w:rPr>
          <w:rStyle w:val="None"/>
          <w:rFonts w:asciiTheme="majorBidi" w:eastAsia="David" w:hAnsiTheme="majorBidi" w:cstheme="majorBidi"/>
          <w:color w:val="auto"/>
          <w:sz w:val="24"/>
          <w:szCs w:val="24"/>
          <w:rtl/>
        </w:rPr>
      </w:pPr>
      <w:r w:rsidRPr="00A64F66">
        <w:rPr>
          <w:rStyle w:val="None"/>
          <w:rFonts w:asciiTheme="majorBidi" w:hAnsiTheme="majorBidi" w:cstheme="majorBidi"/>
          <w:color w:val="auto"/>
          <w:sz w:val="24"/>
          <w:szCs w:val="24"/>
        </w:rPr>
        <w:t xml:space="preserve">Look, what we usually do is to refer the woman to a lawyer. The story of EA has a specific complexity… We speak of EA as part of all other types of violence, what can she do in response to the violence and what resources she has available.... So we can talk, but if you dive into all the story of what had </w:t>
      </w:r>
      <w:r w:rsidRPr="00A64F66">
        <w:rPr>
          <w:rStyle w:val="None"/>
          <w:rFonts w:asciiTheme="majorBidi" w:hAnsiTheme="majorBidi" w:cstheme="majorBidi"/>
          <w:color w:val="auto"/>
          <w:sz w:val="24"/>
          <w:szCs w:val="24"/>
        </w:rPr>
        <w:lastRenderedPageBreak/>
        <w:t xml:space="preserve">happened to her because of the EA, you can drown in the debts and the complexity of what had happened, so we really try to avoid </w:t>
      </w:r>
      <w:r w:rsidR="00527956">
        <w:rPr>
          <w:rStyle w:val="None"/>
          <w:rFonts w:asciiTheme="majorBidi" w:hAnsiTheme="majorBidi" w:cstheme="majorBidi"/>
          <w:color w:val="auto"/>
          <w:sz w:val="24"/>
          <w:szCs w:val="24"/>
        </w:rPr>
        <w:t>entering</w:t>
      </w:r>
      <w:r w:rsidRPr="00A64F66">
        <w:rPr>
          <w:rStyle w:val="None"/>
          <w:rFonts w:asciiTheme="majorBidi" w:hAnsiTheme="majorBidi" w:cstheme="majorBidi"/>
          <w:color w:val="auto"/>
          <w:sz w:val="24"/>
          <w:szCs w:val="24"/>
        </w:rPr>
        <w:t xml:space="preserve"> into all that. </w:t>
      </w:r>
    </w:p>
    <w:p w14:paraId="2C340A7B" w14:textId="77777777" w:rsidR="00FB2BD1" w:rsidRPr="00A64F66" w:rsidRDefault="00FB2BD1" w:rsidP="00A64F66">
      <w:pPr>
        <w:pStyle w:val="Body"/>
        <w:bidi w:val="0"/>
        <w:spacing w:line="480" w:lineRule="auto"/>
        <w:ind w:left="1418" w:right="877"/>
        <w:rPr>
          <w:rStyle w:val="None"/>
          <w:rFonts w:asciiTheme="majorBidi" w:hAnsiTheme="majorBidi" w:cstheme="majorBidi"/>
          <w:color w:val="auto"/>
          <w:sz w:val="24"/>
          <w:szCs w:val="24"/>
        </w:rPr>
      </w:pPr>
      <w:r w:rsidRPr="00A64F66">
        <w:rPr>
          <w:rStyle w:val="None"/>
          <w:rFonts w:asciiTheme="majorBidi" w:hAnsiTheme="majorBidi" w:cstheme="majorBidi"/>
          <w:color w:val="auto"/>
          <w:sz w:val="24"/>
          <w:szCs w:val="24"/>
        </w:rPr>
        <w:t xml:space="preserve">Q: Could you say more specifically what are you trying to avoid? </w:t>
      </w:r>
    </w:p>
    <w:p w14:paraId="6382E041" w14:textId="5C42FC65" w:rsidR="00FB2BD1" w:rsidRPr="00A64F66" w:rsidRDefault="00FB2BD1" w:rsidP="00A64F66">
      <w:pPr>
        <w:pStyle w:val="Body"/>
        <w:bidi w:val="0"/>
        <w:spacing w:line="480" w:lineRule="auto"/>
        <w:ind w:left="1418" w:right="877"/>
        <w:rPr>
          <w:rStyle w:val="None"/>
          <w:rFonts w:asciiTheme="majorBidi" w:hAnsiTheme="majorBidi" w:cstheme="majorBidi"/>
          <w:color w:val="auto"/>
          <w:sz w:val="24"/>
          <w:szCs w:val="24"/>
        </w:rPr>
      </w:pPr>
      <w:r w:rsidRPr="00A64F66">
        <w:rPr>
          <w:rStyle w:val="None"/>
          <w:rFonts w:asciiTheme="majorBidi" w:hAnsiTheme="majorBidi" w:cstheme="majorBidi"/>
          <w:color w:val="auto"/>
          <w:sz w:val="24"/>
          <w:szCs w:val="24"/>
        </w:rPr>
        <w:t xml:space="preserve">A: Anything that would drown you in </w:t>
      </w:r>
      <w:r w:rsidR="00527956">
        <w:rPr>
          <w:rStyle w:val="None"/>
          <w:rFonts w:asciiTheme="majorBidi" w:hAnsiTheme="majorBidi" w:cstheme="majorBidi"/>
          <w:color w:val="auto"/>
          <w:sz w:val="24"/>
          <w:szCs w:val="24"/>
        </w:rPr>
        <w:t>financial</w:t>
      </w:r>
      <w:r w:rsidRPr="00A64F66">
        <w:rPr>
          <w:rStyle w:val="None"/>
          <w:rFonts w:asciiTheme="majorBidi" w:hAnsiTheme="majorBidi" w:cstheme="majorBidi"/>
          <w:color w:val="auto"/>
          <w:sz w:val="24"/>
          <w:szCs w:val="24"/>
        </w:rPr>
        <w:t xml:space="preserve"> issues, that she has such a debt and another debt. You could very easily, especially a young social worker, begin a search for sources of liv</w:t>
      </w:r>
      <w:r w:rsidR="00527956">
        <w:rPr>
          <w:rStyle w:val="None"/>
          <w:rFonts w:asciiTheme="majorBidi" w:hAnsiTheme="majorBidi" w:cstheme="majorBidi"/>
          <w:color w:val="auto"/>
          <w:sz w:val="24"/>
          <w:szCs w:val="24"/>
        </w:rPr>
        <w:t>elihood</w:t>
      </w:r>
      <w:r w:rsidRPr="00A64F66">
        <w:rPr>
          <w:rStyle w:val="None"/>
          <w:rFonts w:asciiTheme="majorBidi" w:hAnsiTheme="majorBidi" w:cstheme="majorBidi"/>
          <w:color w:val="auto"/>
          <w:sz w:val="24"/>
          <w:szCs w:val="24"/>
        </w:rPr>
        <w:t xml:space="preserve"> for her. Sources of income. You can</w:t>
      </w:r>
      <w:r w:rsidRPr="00A64F66">
        <w:rPr>
          <w:rStyle w:val="None"/>
          <w:rFonts w:asciiTheme="majorBidi" w:hAnsiTheme="majorBidi" w:cstheme="majorBidi"/>
          <w:color w:val="auto"/>
          <w:sz w:val="24"/>
          <w:szCs w:val="24"/>
          <w:rtl/>
        </w:rPr>
        <w:t>’</w:t>
      </w:r>
      <w:r w:rsidRPr="00A64F66">
        <w:rPr>
          <w:rStyle w:val="None"/>
          <w:rFonts w:asciiTheme="majorBidi" w:hAnsiTheme="majorBidi" w:cstheme="majorBidi"/>
          <w:color w:val="auto"/>
          <w:sz w:val="24"/>
          <w:szCs w:val="24"/>
        </w:rPr>
        <w:t>t ignore that on the one hand, but on the other hand, it</w:t>
      </w:r>
      <w:r w:rsidRPr="00A64F66">
        <w:rPr>
          <w:rStyle w:val="None"/>
          <w:rFonts w:asciiTheme="majorBidi" w:hAnsiTheme="majorBidi" w:cstheme="majorBidi"/>
          <w:color w:val="auto"/>
          <w:sz w:val="24"/>
          <w:szCs w:val="24"/>
          <w:rtl/>
        </w:rPr>
        <w:t>’</w:t>
      </w:r>
      <w:r w:rsidRPr="00A64F66">
        <w:rPr>
          <w:rStyle w:val="None"/>
          <w:rFonts w:asciiTheme="majorBidi" w:hAnsiTheme="majorBidi" w:cstheme="majorBidi"/>
          <w:color w:val="auto"/>
          <w:sz w:val="24"/>
          <w:szCs w:val="24"/>
        </w:rPr>
        <w:t>s not within our discretion, otherwise you begin</w:t>
      </w:r>
      <w:bookmarkStart w:id="3" w:name="_Hlk49790335"/>
      <w:r w:rsidRPr="00A64F66">
        <w:rPr>
          <w:rStyle w:val="None"/>
          <w:rFonts w:asciiTheme="majorBidi" w:hAnsiTheme="majorBidi" w:cstheme="majorBidi"/>
          <w:color w:val="auto"/>
          <w:sz w:val="24"/>
          <w:szCs w:val="24"/>
        </w:rPr>
        <w:t>… I</w:t>
      </w:r>
      <w:r w:rsidRPr="00A64F66">
        <w:rPr>
          <w:rStyle w:val="None"/>
          <w:rFonts w:asciiTheme="majorBidi" w:hAnsiTheme="majorBidi" w:cstheme="majorBidi"/>
          <w:color w:val="auto"/>
          <w:sz w:val="24"/>
          <w:szCs w:val="24"/>
          <w:rtl/>
        </w:rPr>
        <w:t>’</w:t>
      </w:r>
      <w:r w:rsidRPr="00A64F66">
        <w:rPr>
          <w:rStyle w:val="None"/>
          <w:rFonts w:asciiTheme="majorBidi" w:hAnsiTheme="majorBidi" w:cstheme="majorBidi"/>
          <w:color w:val="auto"/>
          <w:sz w:val="24"/>
          <w:szCs w:val="24"/>
        </w:rPr>
        <w:t xml:space="preserve">m not saying you need to stay cold and distanced from these things, </w:t>
      </w:r>
      <w:bookmarkEnd w:id="3"/>
      <w:r w:rsidRPr="00A64F66">
        <w:rPr>
          <w:rStyle w:val="None"/>
          <w:rFonts w:asciiTheme="majorBidi" w:hAnsiTheme="majorBidi" w:cstheme="majorBidi"/>
          <w:color w:val="auto"/>
          <w:sz w:val="24"/>
          <w:szCs w:val="24"/>
        </w:rPr>
        <w:t xml:space="preserve">but </w:t>
      </w:r>
      <w:bookmarkStart w:id="4" w:name="_Hlk142737151"/>
      <w:r w:rsidRPr="00A64F66">
        <w:rPr>
          <w:rStyle w:val="None"/>
          <w:rFonts w:asciiTheme="majorBidi" w:hAnsiTheme="majorBidi" w:cstheme="majorBidi"/>
          <w:color w:val="auto"/>
          <w:sz w:val="24"/>
          <w:szCs w:val="24"/>
        </w:rPr>
        <w:t xml:space="preserve">other than </w:t>
      </w:r>
      <w:r w:rsidR="00527956">
        <w:rPr>
          <w:rStyle w:val="None"/>
          <w:rFonts w:asciiTheme="majorBidi" w:hAnsiTheme="majorBidi" w:cstheme="majorBidi"/>
          <w:color w:val="auto"/>
          <w:sz w:val="24"/>
          <w:szCs w:val="24"/>
        </w:rPr>
        <w:t>connecting</w:t>
      </w:r>
      <w:r w:rsidRPr="00A64F66">
        <w:rPr>
          <w:rStyle w:val="None"/>
          <w:rFonts w:asciiTheme="majorBidi" w:hAnsiTheme="majorBidi" w:cstheme="majorBidi"/>
          <w:color w:val="auto"/>
          <w:sz w:val="24"/>
          <w:szCs w:val="24"/>
        </w:rPr>
        <w:t xml:space="preserve"> them to the volunteer</w:t>
      </w:r>
      <w:r w:rsidR="00527956">
        <w:rPr>
          <w:rStyle w:val="None"/>
          <w:rFonts w:asciiTheme="majorBidi" w:hAnsiTheme="majorBidi" w:cstheme="majorBidi"/>
          <w:color w:val="auto"/>
          <w:sz w:val="24"/>
          <w:szCs w:val="24"/>
        </w:rPr>
        <w:t>s</w:t>
      </w:r>
      <w:r w:rsidRPr="00A64F66">
        <w:rPr>
          <w:rStyle w:val="None"/>
          <w:rFonts w:asciiTheme="majorBidi" w:hAnsiTheme="majorBidi" w:cstheme="majorBidi"/>
          <w:color w:val="auto"/>
          <w:sz w:val="24"/>
          <w:szCs w:val="24"/>
        </w:rPr>
        <w:t xml:space="preserve"> </w:t>
      </w:r>
      <w:r w:rsidR="00527956">
        <w:rPr>
          <w:rStyle w:val="None"/>
          <w:rFonts w:asciiTheme="majorBidi" w:hAnsiTheme="majorBidi" w:cstheme="majorBidi"/>
          <w:color w:val="auto"/>
          <w:sz w:val="24"/>
          <w:szCs w:val="24"/>
        </w:rPr>
        <w:t>w</w:t>
      </w:r>
      <w:r w:rsidRPr="00A64F66">
        <w:rPr>
          <w:rStyle w:val="None"/>
          <w:rFonts w:asciiTheme="majorBidi" w:hAnsiTheme="majorBidi" w:cstheme="majorBidi"/>
          <w:color w:val="auto"/>
          <w:sz w:val="24"/>
          <w:szCs w:val="24"/>
        </w:rPr>
        <w:t>e cannot do anything</w:t>
      </w:r>
      <w:r w:rsidR="00527956">
        <w:rPr>
          <w:rStyle w:val="None"/>
          <w:rFonts w:asciiTheme="majorBidi" w:hAnsiTheme="majorBidi" w:cstheme="majorBidi"/>
          <w:color w:val="auto"/>
          <w:sz w:val="24"/>
          <w:szCs w:val="24"/>
        </w:rPr>
        <w:t xml:space="preserve"> (</w:t>
      </w:r>
      <w:bookmarkEnd w:id="4"/>
      <w:r w:rsidR="00527956">
        <w:rPr>
          <w:rStyle w:val="None"/>
          <w:rFonts w:asciiTheme="majorBidi" w:hAnsiTheme="majorBidi" w:cstheme="majorBidi"/>
          <w:color w:val="auto"/>
          <w:sz w:val="24"/>
          <w:szCs w:val="24"/>
        </w:rPr>
        <w:t>DVPC manager)</w:t>
      </w:r>
      <w:r w:rsidRPr="00A64F66">
        <w:rPr>
          <w:rStyle w:val="None"/>
          <w:rFonts w:asciiTheme="majorBidi" w:hAnsiTheme="majorBidi" w:cstheme="majorBidi"/>
          <w:color w:val="auto"/>
          <w:sz w:val="24"/>
          <w:szCs w:val="24"/>
        </w:rPr>
        <w:t xml:space="preserve">.   </w:t>
      </w:r>
    </w:p>
    <w:p w14:paraId="40D36FE9" w14:textId="4C3ECC3E" w:rsidR="00B64F9C" w:rsidRPr="00B64F9C" w:rsidRDefault="005F50C9" w:rsidP="002E2BE5">
      <w:pPr>
        <w:pStyle w:val="Body"/>
        <w:shd w:val="clear" w:color="auto" w:fill="FFFFFF"/>
        <w:bidi w:val="0"/>
        <w:spacing w:after="0" w:line="480" w:lineRule="auto"/>
        <w:rPr>
          <w:rStyle w:val="None"/>
          <w:rFonts w:asciiTheme="majorBidi" w:eastAsiaTheme="minorHAnsi" w:hAnsiTheme="majorBidi" w:cstheme="majorBidi"/>
          <w:color w:val="auto"/>
          <w:sz w:val="24"/>
          <w:szCs w:val="24"/>
          <w:bdr w:val="none" w:sz="0" w:space="0" w:color="auto"/>
          <w:lang w:val="en-GB" w:eastAsia="en-US"/>
        </w:rPr>
      </w:pPr>
      <w:r>
        <w:rPr>
          <w:rStyle w:val="None"/>
          <w:rFonts w:asciiTheme="majorBidi" w:hAnsiTheme="majorBidi" w:cstheme="majorBidi"/>
          <w:color w:val="auto"/>
          <w:sz w:val="24"/>
          <w:szCs w:val="24"/>
        </w:rPr>
        <w:t>E</w:t>
      </w:r>
      <w:r w:rsidR="00FB2BD1" w:rsidRPr="00A64F66">
        <w:rPr>
          <w:rStyle w:val="None"/>
          <w:rFonts w:asciiTheme="majorBidi" w:hAnsiTheme="majorBidi" w:cstheme="majorBidi"/>
          <w:color w:val="auto"/>
          <w:sz w:val="24"/>
          <w:szCs w:val="24"/>
        </w:rPr>
        <w:t xml:space="preserve">ven though </w:t>
      </w:r>
      <w:r>
        <w:rPr>
          <w:rStyle w:val="None"/>
          <w:rFonts w:asciiTheme="majorBidi" w:hAnsiTheme="majorBidi" w:cstheme="majorBidi"/>
          <w:color w:val="auto"/>
          <w:sz w:val="24"/>
          <w:szCs w:val="24"/>
        </w:rPr>
        <w:t>the interviewee</w:t>
      </w:r>
      <w:r w:rsidR="00FB2BD1" w:rsidRPr="00A64F66">
        <w:rPr>
          <w:rStyle w:val="None"/>
          <w:rFonts w:asciiTheme="majorBidi" w:hAnsiTheme="majorBidi" w:cstheme="majorBidi"/>
          <w:color w:val="auto"/>
          <w:sz w:val="24"/>
          <w:szCs w:val="24"/>
        </w:rPr>
        <w:t xml:space="preserve"> believes the woman who came to speak with her, the treatment she can offer </w:t>
      </w:r>
      <w:r>
        <w:rPr>
          <w:rStyle w:val="None"/>
          <w:rFonts w:asciiTheme="majorBidi" w:hAnsiTheme="majorBidi" w:cstheme="majorBidi"/>
          <w:color w:val="auto"/>
          <w:sz w:val="24"/>
          <w:szCs w:val="24"/>
        </w:rPr>
        <w:t>consist of</w:t>
      </w:r>
      <w:r w:rsidR="00FB2BD1" w:rsidRPr="00A64F66">
        <w:rPr>
          <w:rStyle w:val="None"/>
          <w:rFonts w:asciiTheme="majorBidi" w:hAnsiTheme="majorBidi" w:cstheme="majorBidi"/>
          <w:color w:val="auto"/>
          <w:sz w:val="24"/>
          <w:szCs w:val="24"/>
        </w:rPr>
        <w:t xml:space="preserve"> offering </w:t>
      </w:r>
      <w:r w:rsidR="00DD735E">
        <w:rPr>
          <w:rStyle w:val="None"/>
          <w:rFonts w:asciiTheme="majorBidi" w:hAnsiTheme="majorBidi" w:cstheme="majorBidi"/>
          <w:color w:val="auto"/>
          <w:sz w:val="24"/>
          <w:szCs w:val="24"/>
        </w:rPr>
        <w:t xml:space="preserve">exclusively </w:t>
      </w:r>
      <w:r w:rsidR="00FB2BD1" w:rsidRPr="00A64F66">
        <w:rPr>
          <w:rStyle w:val="None"/>
          <w:rFonts w:asciiTheme="majorBidi" w:hAnsiTheme="majorBidi" w:cstheme="majorBidi"/>
          <w:color w:val="auto"/>
          <w:sz w:val="24"/>
          <w:szCs w:val="24"/>
        </w:rPr>
        <w:t xml:space="preserve">non-material support. Anything that extends beyond talks is, in practical terms, outside her professional responsibility as she perceives it, and should be referred to others. </w:t>
      </w:r>
      <w:r w:rsidR="0027425F">
        <w:rPr>
          <w:rStyle w:val="None"/>
          <w:rFonts w:asciiTheme="majorBidi" w:hAnsiTheme="majorBidi" w:cstheme="majorBidi"/>
          <w:color w:val="auto"/>
          <w:sz w:val="24"/>
          <w:szCs w:val="24"/>
        </w:rPr>
        <w:t>S</w:t>
      </w:r>
      <w:r w:rsidR="00FB2BD1" w:rsidRPr="00A64F66">
        <w:rPr>
          <w:rStyle w:val="None"/>
          <w:rFonts w:asciiTheme="majorBidi" w:hAnsiTheme="majorBidi" w:cstheme="majorBidi"/>
          <w:color w:val="auto"/>
          <w:sz w:val="24"/>
          <w:szCs w:val="24"/>
        </w:rPr>
        <w:t xml:space="preserve">he exposes her awareness to the fact that her practice, is one of establishing a distancing process: the IPV survivor is left to wonder where she can find more material types of help,. The IPV survivor is distanced by the fact that the information she brought to the desk of the social worker is seen as relevant only for as long as it can be incorporated into the therapeutic session. Otherwise, it is seen as something to be dropped, left at the level of the IPV survivor without any mechanism for referring it on to other professionals. </w:t>
      </w:r>
      <w:r w:rsidR="00470998">
        <w:rPr>
          <w:rStyle w:val="None"/>
          <w:rFonts w:asciiTheme="majorBidi" w:hAnsiTheme="majorBidi" w:cstheme="majorBidi"/>
          <w:color w:val="auto"/>
          <w:sz w:val="24"/>
          <w:szCs w:val="24"/>
        </w:rPr>
        <w:t xml:space="preserve">There are two important aspects of the deterioration process to be elicited from the quote. </w:t>
      </w:r>
      <w:r w:rsidR="00DD735E">
        <w:rPr>
          <w:rStyle w:val="None"/>
          <w:rFonts w:asciiTheme="majorBidi" w:hAnsiTheme="majorBidi" w:cstheme="majorBidi"/>
          <w:color w:val="auto"/>
          <w:sz w:val="24"/>
          <w:szCs w:val="24"/>
        </w:rPr>
        <w:t>T</w:t>
      </w:r>
      <w:r w:rsidR="00470998">
        <w:rPr>
          <w:rStyle w:val="None"/>
          <w:rFonts w:asciiTheme="majorBidi" w:hAnsiTheme="majorBidi" w:cstheme="majorBidi"/>
          <w:color w:val="auto"/>
          <w:sz w:val="24"/>
          <w:szCs w:val="24"/>
        </w:rPr>
        <w:t xml:space="preserve">he first concerns the way in which lacking resources encourage the manager, </w:t>
      </w:r>
      <w:r w:rsidR="00C3564E">
        <w:rPr>
          <w:rStyle w:val="None"/>
          <w:rFonts w:asciiTheme="majorBidi" w:hAnsiTheme="majorBidi" w:cstheme="majorBidi"/>
          <w:color w:val="auto"/>
          <w:sz w:val="24"/>
          <w:szCs w:val="24"/>
        </w:rPr>
        <w:t xml:space="preserve">to </w:t>
      </w:r>
      <w:r w:rsidR="00470998">
        <w:rPr>
          <w:rStyle w:val="None"/>
          <w:rFonts w:asciiTheme="majorBidi" w:hAnsiTheme="majorBidi" w:cstheme="majorBidi"/>
          <w:color w:val="auto"/>
          <w:sz w:val="24"/>
          <w:szCs w:val="24"/>
        </w:rPr>
        <w:t xml:space="preserve">encourage all social workers employed at the DVPC, to marginalize the relevance of the dire material need to the treatment routine. The second is the guidance interpreted from the lacking resources to direct survivors </w:t>
      </w:r>
      <w:r w:rsidR="00470998">
        <w:rPr>
          <w:rStyle w:val="None"/>
          <w:rFonts w:asciiTheme="majorBidi" w:hAnsiTheme="majorBidi" w:cstheme="majorBidi"/>
          <w:color w:val="auto"/>
          <w:sz w:val="24"/>
          <w:szCs w:val="24"/>
        </w:rPr>
        <w:lastRenderedPageBreak/>
        <w:t xml:space="preserve">of IPV to seek support elsewhere, outside the welfare organization, for instance with the volunteers </w:t>
      </w:r>
      <w:r w:rsidR="00DD735E">
        <w:rPr>
          <w:rStyle w:val="None"/>
          <w:rFonts w:asciiTheme="majorBidi" w:hAnsiTheme="majorBidi" w:cstheme="majorBidi"/>
          <w:color w:val="auto"/>
          <w:sz w:val="24"/>
          <w:szCs w:val="24"/>
        </w:rPr>
        <w:t>her centre</w:t>
      </w:r>
      <w:r w:rsidR="00470998">
        <w:rPr>
          <w:rStyle w:val="None"/>
          <w:rFonts w:asciiTheme="majorBidi" w:hAnsiTheme="majorBidi" w:cstheme="majorBidi"/>
          <w:color w:val="auto"/>
          <w:sz w:val="24"/>
          <w:szCs w:val="24"/>
        </w:rPr>
        <w:t xml:space="preserve"> is connected with.</w:t>
      </w:r>
      <w:r w:rsidR="00B64F9C">
        <w:rPr>
          <w:rStyle w:val="None"/>
          <w:rFonts w:asciiTheme="majorBidi" w:hAnsiTheme="majorBidi" w:cstheme="majorBidi"/>
          <w:color w:val="auto"/>
          <w:sz w:val="24"/>
          <w:szCs w:val="24"/>
        </w:rPr>
        <w:t xml:space="preserve"> </w:t>
      </w:r>
    </w:p>
    <w:p w14:paraId="13697B48" w14:textId="2657DB1A" w:rsidR="00FB2BD1" w:rsidRPr="00CF4D0F" w:rsidRDefault="00FB2BD1" w:rsidP="00CF4D0F">
      <w:pPr>
        <w:pStyle w:val="Body"/>
        <w:shd w:val="clear" w:color="auto" w:fill="FFFFFF"/>
        <w:bidi w:val="0"/>
        <w:spacing w:after="0" w:line="480" w:lineRule="auto"/>
        <w:rPr>
          <w:rFonts w:asciiTheme="majorBidi" w:eastAsia="Tahoma" w:hAnsiTheme="majorBidi" w:cstheme="majorBidi"/>
          <w:color w:val="auto"/>
          <w:sz w:val="24"/>
          <w:szCs w:val="24"/>
        </w:rPr>
      </w:pPr>
    </w:p>
    <w:p w14:paraId="59568F5F" w14:textId="7361BF44" w:rsidR="00253FBA" w:rsidRPr="003D7EFB" w:rsidRDefault="00391679" w:rsidP="00A64F66">
      <w:pPr>
        <w:pStyle w:val="Heading2"/>
        <w:spacing w:line="480" w:lineRule="auto"/>
        <w:rPr>
          <w:rFonts w:asciiTheme="majorBidi" w:hAnsiTheme="majorBidi"/>
          <w:color w:val="auto"/>
          <w:sz w:val="24"/>
          <w:szCs w:val="24"/>
          <w:u w:val="single"/>
        </w:rPr>
      </w:pPr>
      <w:r w:rsidRPr="003D7EFB">
        <w:rPr>
          <w:rFonts w:asciiTheme="majorBidi" w:hAnsiTheme="majorBidi"/>
          <w:color w:val="auto"/>
          <w:sz w:val="24"/>
          <w:szCs w:val="24"/>
          <w:u w:val="single"/>
        </w:rPr>
        <w:t>Clinical/therapeutic framing</w:t>
      </w:r>
    </w:p>
    <w:p w14:paraId="0A697B68" w14:textId="25FE5C37" w:rsidR="00A952DF" w:rsidRPr="00A952DF" w:rsidRDefault="00F763AD" w:rsidP="00F763AD">
      <w:pPr>
        <w:pStyle w:val="Body"/>
        <w:shd w:val="clear" w:color="auto" w:fill="FFFFFF"/>
        <w:bidi w:val="0"/>
        <w:spacing w:after="0" w:line="480" w:lineRule="auto"/>
      </w:pPr>
      <w:r w:rsidRPr="00F763AD">
        <w:rPr>
          <w:rStyle w:val="None"/>
          <w:rFonts w:asciiTheme="majorBidi" w:hAnsiTheme="majorBidi" w:cstheme="majorBidi"/>
          <w:color w:val="auto"/>
          <w:sz w:val="24"/>
          <w:szCs w:val="24"/>
        </w:rPr>
        <w:t>The</w:t>
      </w:r>
      <w:r>
        <w:rPr>
          <w:rStyle w:val="None"/>
          <w:rFonts w:asciiTheme="majorBidi" w:hAnsiTheme="majorBidi" w:cstheme="majorBidi"/>
          <w:color w:val="auto"/>
          <w:sz w:val="24"/>
          <w:szCs w:val="24"/>
        </w:rPr>
        <w:t xml:space="preserve"> dominance of the therapeutic process that is offered to survivors, </w:t>
      </w:r>
      <w:r w:rsidR="00E750B8">
        <w:rPr>
          <w:rStyle w:val="None"/>
          <w:rFonts w:asciiTheme="majorBidi" w:hAnsiTheme="majorBidi" w:cstheme="majorBidi"/>
          <w:color w:val="auto"/>
          <w:sz w:val="24"/>
          <w:szCs w:val="24"/>
        </w:rPr>
        <w:t xml:space="preserve">emerges powerfully in the analysis leaving little doubt concerning the extent to which it practically replaces all other forms of possible or needed support. The replacement is constituted by the emphasis on the clinical intervention as the </w:t>
      </w:r>
      <w:r w:rsidR="004234A8">
        <w:rPr>
          <w:rStyle w:val="None"/>
          <w:rFonts w:asciiTheme="majorBidi" w:hAnsiTheme="majorBidi" w:cstheme="majorBidi"/>
          <w:color w:val="auto"/>
          <w:sz w:val="24"/>
          <w:szCs w:val="24"/>
        </w:rPr>
        <w:t>select</w:t>
      </w:r>
      <w:r w:rsidR="00E750B8">
        <w:rPr>
          <w:rStyle w:val="None"/>
          <w:rFonts w:asciiTheme="majorBidi" w:hAnsiTheme="majorBidi" w:cstheme="majorBidi"/>
          <w:color w:val="auto"/>
          <w:sz w:val="24"/>
          <w:szCs w:val="24"/>
        </w:rPr>
        <w:t xml:space="preserve"> possible response. </w:t>
      </w:r>
    </w:p>
    <w:p w14:paraId="371E9076" w14:textId="3EAD7E62" w:rsidR="009074C6" w:rsidRDefault="009074C6" w:rsidP="00A952DF">
      <w:pPr>
        <w:pStyle w:val="Body"/>
        <w:bidi w:val="0"/>
        <w:spacing w:line="480" w:lineRule="auto"/>
        <w:ind w:left="1418" w:right="877"/>
        <w:rPr>
          <w:rFonts w:asciiTheme="majorBidi" w:hAnsiTheme="majorBidi" w:cstheme="majorBidi"/>
          <w:sz w:val="24"/>
          <w:szCs w:val="24"/>
        </w:rPr>
      </w:pPr>
      <w:r w:rsidRPr="00A64F66">
        <w:rPr>
          <w:rFonts w:asciiTheme="majorBidi" w:hAnsiTheme="majorBidi" w:cstheme="majorBidi"/>
          <w:sz w:val="24"/>
          <w:szCs w:val="24"/>
        </w:rPr>
        <w:t>My job here is to empower her, so she starts to understand that this is abuse… I say to her, “It sounds like there’s economic abuse going on, if he controls all the resources and you’re going around with no money …. Then maybe [I’d ask], “What could happen if you kept some of the money with you?” I suggest solutions; it’s a process. I’ve been accompanying her for a few months now, she’s still in it… the solution I can offer her: first recognize that there’s abuse or that she’s under some kind of control, and then see if she wants to set herself free (DB, family social worker).</w:t>
      </w:r>
    </w:p>
    <w:p w14:paraId="35748A06" w14:textId="1A6F9CC7" w:rsidR="00E750B8" w:rsidRPr="00A64F66" w:rsidRDefault="00E750B8" w:rsidP="00E750B8">
      <w:pPr>
        <w:pStyle w:val="Body"/>
        <w:shd w:val="clear" w:color="auto" w:fill="FFFFFF"/>
        <w:bidi w:val="0"/>
        <w:spacing w:after="0" w:line="480" w:lineRule="auto"/>
        <w:rPr>
          <w:rFonts w:asciiTheme="majorBidi" w:hAnsiTheme="majorBidi" w:cstheme="majorBidi"/>
          <w:sz w:val="24"/>
          <w:szCs w:val="24"/>
        </w:rPr>
      </w:pPr>
      <w:r>
        <w:rPr>
          <w:rFonts w:asciiTheme="majorBidi" w:hAnsiTheme="majorBidi" w:cstheme="majorBidi"/>
          <w:sz w:val="24"/>
          <w:szCs w:val="24"/>
        </w:rPr>
        <w:t>Once a survivor was referred to the DVPC she may expect immediate response to the violence she experiences. In contradistinction, she is admitted to a prolonged clinical therapeutic process that extends over several months implying the absence of recognition for the urgency o</w:t>
      </w:r>
      <w:r w:rsidR="00261FD4">
        <w:rPr>
          <w:rFonts w:asciiTheme="majorBidi" w:hAnsiTheme="majorBidi" w:cstheme="majorBidi"/>
          <w:sz w:val="24"/>
          <w:szCs w:val="24"/>
        </w:rPr>
        <w:t>f treating the violence</w:t>
      </w:r>
      <w:r>
        <w:rPr>
          <w:rFonts w:asciiTheme="majorBidi" w:hAnsiTheme="majorBidi" w:cstheme="majorBidi"/>
          <w:sz w:val="24"/>
          <w:szCs w:val="24"/>
        </w:rPr>
        <w:t>.</w:t>
      </w:r>
      <w:r w:rsidR="00261FD4">
        <w:rPr>
          <w:rFonts w:asciiTheme="majorBidi" w:hAnsiTheme="majorBidi" w:cstheme="majorBidi"/>
          <w:sz w:val="24"/>
          <w:szCs w:val="24"/>
        </w:rPr>
        <w:t xml:space="preserve"> During these months, the survivors will receive no other forms of support, but the opportunity to study her own part in the violence including the realization that perhaps nothing will happen if she will leave some money for herself. The speaker perceives the hypothetical option of leaving some money by herself, as </w:t>
      </w:r>
      <w:r w:rsidR="00261FD4">
        <w:rPr>
          <w:rFonts w:asciiTheme="majorBidi" w:hAnsiTheme="majorBidi" w:cstheme="majorBidi"/>
          <w:sz w:val="24"/>
          <w:szCs w:val="24"/>
        </w:rPr>
        <w:lastRenderedPageBreak/>
        <w:t xml:space="preserve">an offered ‘solution’. </w:t>
      </w:r>
      <w:r>
        <w:rPr>
          <w:rFonts w:asciiTheme="majorBidi" w:hAnsiTheme="majorBidi" w:cstheme="majorBidi"/>
          <w:sz w:val="24"/>
          <w:szCs w:val="24"/>
        </w:rPr>
        <w:t xml:space="preserve"> </w:t>
      </w:r>
      <w:r w:rsidR="00261FD4">
        <w:rPr>
          <w:rFonts w:asciiTheme="majorBidi" w:hAnsiTheme="majorBidi" w:cstheme="majorBidi"/>
          <w:sz w:val="24"/>
          <w:szCs w:val="24"/>
        </w:rPr>
        <w:t xml:space="preserve">A similar replacement of required assistance by the clinical framing is illustrated by another social worker: </w:t>
      </w:r>
    </w:p>
    <w:p w14:paraId="71C74E7B" w14:textId="08C310B6" w:rsidR="005C0E2F" w:rsidRPr="00651F63" w:rsidRDefault="00434605" w:rsidP="00A952DF">
      <w:pPr>
        <w:pStyle w:val="Body"/>
        <w:bidi w:val="0"/>
        <w:spacing w:line="480" w:lineRule="auto"/>
        <w:ind w:left="1418" w:right="877"/>
        <w:rPr>
          <w:rFonts w:asciiTheme="majorBidi" w:hAnsiTheme="majorBidi" w:cstheme="majorBidi"/>
          <w:sz w:val="24"/>
          <w:szCs w:val="24"/>
          <w:rtl/>
        </w:rPr>
      </w:pPr>
      <w:r w:rsidRPr="00A64F66">
        <w:rPr>
          <w:rFonts w:asciiTheme="majorBidi" w:hAnsiTheme="majorBidi" w:cstheme="majorBidi"/>
          <w:sz w:val="24"/>
          <w:szCs w:val="24"/>
        </w:rPr>
        <w:t xml:space="preserve">We give tools to people who </w:t>
      </w:r>
      <w:r w:rsidR="00351D4B">
        <w:rPr>
          <w:rFonts w:asciiTheme="majorBidi" w:hAnsiTheme="majorBidi" w:cstheme="majorBidi"/>
          <w:sz w:val="24"/>
          <w:szCs w:val="24"/>
        </w:rPr>
        <w:t>face [violence].</w:t>
      </w:r>
      <w:r w:rsidRPr="00A64F66">
        <w:rPr>
          <w:rFonts w:asciiTheme="majorBidi" w:hAnsiTheme="majorBidi" w:cstheme="majorBidi"/>
          <w:sz w:val="24"/>
          <w:szCs w:val="24"/>
        </w:rPr>
        <w:t xml:space="preserve"> </w:t>
      </w:r>
      <w:r w:rsidR="00351D4B">
        <w:rPr>
          <w:rFonts w:asciiTheme="majorBidi" w:hAnsiTheme="majorBidi" w:cstheme="majorBidi"/>
          <w:sz w:val="24"/>
          <w:szCs w:val="24"/>
        </w:rPr>
        <w:t>T</w:t>
      </w:r>
      <w:r w:rsidRPr="00A64F66">
        <w:rPr>
          <w:rFonts w:asciiTheme="majorBidi" w:hAnsiTheme="majorBidi" w:cstheme="majorBidi"/>
          <w:sz w:val="24"/>
          <w:szCs w:val="24"/>
        </w:rPr>
        <w:t xml:space="preserve">he first tool is awareness. Awareness and understanding that </w:t>
      </w:r>
      <w:r w:rsidR="00351D4B">
        <w:rPr>
          <w:rFonts w:asciiTheme="majorBidi" w:hAnsiTheme="majorBidi" w:cstheme="majorBidi"/>
          <w:sz w:val="24"/>
          <w:szCs w:val="24"/>
        </w:rPr>
        <w:t xml:space="preserve">different ways of living [in a marriage] are </w:t>
      </w:r>
      <w:r w:rsidRPr="00A64F66">
        <w:rPr>
          <w:rFonts w:asciiTheme="majorBidi" w:hAnsiTheme="majorBidi" w:cstheme="majorBidi"/>
          <w:sz w:val="24"/>
          <w:szCs w:val="24"/>
        </w:rPr>
        <w:t>possible</w:t>
      </w:r>
      <w:r w:rsidR="00351D4B">
        <w:rPr>
          <w:rFonts w:asciiTheme="majorBidi" w:hAnsiTheme="majorBidi" w:cstheme="majorBidi"/>
          <w:sz w:val="24"/>
          <w:szCs w:val="24"/>
        </w:rPr>
        <w:t xml:space="preserve">. That [she] </w:t>
      </w:r>
      <w:r w:rsidRPr="00A64F66">
        <w:rPr>
          <w:rFonts w:asciiTheme="majorBidi" w:hAnsiTheme="majorBidi" w:cstheme="majorBidi"/>
          <w:sz w:val="24"/>
          <w:szCs w:val="24"/>
        </w:rPr>
        <w:t>deserve</w:t>
      </w:r>
      <w:r w:rsidR="00351D4B">
        <w:rPr>
          <w:rFonts w:asciiTheme="majorBidi" w:hAnsiTheme="majorBidi" w:cstheme="majorBidi"/>
          <w:sz w:val="24"/>
          <w:szCs w:val="24"/>
        </w:rPr>
        <w:t>s</w:t>
      </w:r>
      <w:r w:rsidRPr="00A64F66">
        <w:rPr>
          <w:rFonts w:asciiTheme="majorBidi" w:hAnsiTheme="majorBidi" w:cstheme="majorBidi"/>
          <w:sz w:val="24"/>
          <w:szCs w:val="24"/>
        </w:rPr>
        <w:t xml:space="preserve"> differently and </w:t>
      </w:r>
      <w:r w:rsidR="00651F63">
        <w:rPr>
          <w:rFonts w:asciiTheme="majorBidi" w:hAnsiTheme="majorBidi" w:cstheme="majorBidi"/>
          <w:sz w:val="24"/>
          <w:szCs w:val="24"/>
        </w:rPr>
        <w:t xml:space="preserve">that [she] has </w:t>
      </w:r>
      <w:r w:rsidRPr="00A64F66">
        <w:rPr>
          <w:rFonts w:asciiTheme="majorBidi" w:hAnsiTheme="majorBidi" w:cstheme="majorBidi"/>
          <w:sz w:val="24"/>
          <w:szCs w:val="24"/>
        </w:rPr>
        <w:t xml:space="preserve">the strength to </w:t>
      </w:r>
      <w:r w:rsidR="00651F63">
        <w:rPr>
          <w:rFonts w:asciiTheme="majorBidi" w:hAnsiTheme="majorBidi" w:cstheme="majorBidi"/>
          <w:sz w:val="24"/>
          <w:szCs w:val="24"/>
        </w:rPr>
        <w:t>live</w:t>
      </w:r>
      <w:r w:rsidRPr="00A64F66">
        <w:rPr>
          <w:rFonts w:asciiTheme="majorBidi" w:hAnsiTheme="majorBidi" w:cstheme="majorBidi"/>
          <w:sz w:val="24"/>
          <w:szCs w:val="24"/>
        </w:rPr>
        <w:t xml:space="preserve"> differently. </w:t>
      </w:r>
      <w:r w:rsidR="00651F63">
        <w:rPr>
          <w:rFonts w:asciiTheme="majorBidi" w:hAnsiTheme="majorBidi" w:cstheme="majorBidi"/>
          <w:sz w:val="24"/>
          <w:szCs w:val="24"/>
        </w:rPr>
        <w:t>[Then]</w:t>
      </w:r>
      <w:r w:rsidRPr="00A64F66">
        <w:rPr>
          <w:rFonts w:asciiTheme="majorBidi" w:hAnsiTheme="majorBidi" w:cstheme="majorBidi"/>
          <w:sz w:val="24"/>
          <w:szCs w:val="24"/>
        </w:rPr>
        <w:t xml:space="preserve"> I need to create my common language </w:t>
      </w:r>
      <w:r w:rsidR="00651F63">
        <w:rPr>
          <w:rFonts w:asciiTheme="majorBidi" w:hAnsiTheme="majorBidi" w:cstheme="majorBidi"/>
          <w:sz w:val="24"/>
          <w:szCs w:val="24"/>
        </w:rPr>
        <w:t xml:space="preserve">between me </w:t>
      </w:r>
      <w:r w:rsidRPr="00A64F66">
        <w:rPr>
          <w:rFonts w:asciiTheme="majorBidi" w:hAnsiTheme="majorBidi" w:cstheme="majorBidi"/>
          <w:sz w:val="24"/>
          <w:szCs w:val="24"/>
        </w:rPr>
        <w:t>as a therapist</w:t>
      </w:r>
      <w:r w:rsidR="00651F63">
        <w:rPr>
          <w:rFonts w:asciiTheme="majorBidi" w:hAnsiTheme="majorBidi" w:cstheme="majorBidi"/>
          <w:sz w:val="24"/>
          <w:szCs w:val="24"/>
        </w:rPr>
        <w:t xml:space="preserve"> and [her] </w:t>
      </w:r>
      <w:r w:rsidRPr="00A64F66">
        <w:rPr>
          <w:rFonts w:asciiTheme="majorBidi" w:hAnsiTheme="majorBidi" w:cstheme="majorBidi"/>
          <w:sz w:val="24"/>
          <w:szCs w:val="24"/>
        </w:rPr>
        <w:t xml:space="preserve">as a patient. </w:t>
      </w:r>
      <w:r w:rsidR="00651F63">
        <w:rPr>
          <w:rFonts w:asciiTheme="majorBidi" w:hAnsiTheme="majorBidi" w:cstheme="majorBidi"/>
          <w:sz w:val="24"/>
          <w:szCs w:val="24"/>
        </w:rPr>
        <w:t>…</w:t>
      </w:r>
      <w:r w:rsidRPr="00A64F66">
        <w:rPr>
          <w:rFonts w:asciiTheme="majorBidi" w:hAnsiTheme="majorBidi" w:cstheme="majorBidi"/>
          <w:sz w:val="24"/>
          <w:szCs w:val="24"/>
        </w:rPr>
        <w:t xml:space="preserve">and then the more we work on the part of understanding and insights, as soon as the token falls there is once again this </w:t>
      </w:r>
      <w:r w:rsidR="00651F63">
        <w:rPr>
          <w:rFonts w:asciiTheme="majorBidi" w:hAnsiTheme="majorBidi" w:cstheme="majorBidi"/>
          <w:sz w:val="24"/>
          <w:szCs w:val="24"/>
        </w:rPr>
        <w:t>leap</w:t>
      </w:r>
      <w:r w:rsidRPr="00A64F66">
        <w:rPr>
          <w:rFonts w:asciiTheme="majorBidi" w:hAnsiTheme="majorBidi" w:cstheme="majorBidi"/>
          <w:sz w:val="24"/>
          <w:szCs w:val="24"/>
        </w:rPr>
        <w:t xml:space="preserve"> </w:t>
      </w:r>
      <w:r w:rsidR="00651F63">
        <w:rPr>
          <w:rFonts w:asciiTheme="majorBidi" w:hAnsiTheme="majorBidi" w:cstheme="majorBidi"/>
          <w:sz w:val="24"/>
          <w:szCs w:val="24"/>
        </w:rPr>
        <w:t xml:space="preserve">that leads to a pick. In other cases, </w:t>
      </w:r>
      <w:r w:rsidRPr="00A64F66">
        <w:rPr>
          <w:rFonts w:asciiTheme="majorBidi" w:hAnsiTheme="majorBidi" w:cstheme="majorBidi"/>
          <w:sz w:val="24"/>
          <w:szCs w:val="24"/>
        </w:rPr>
        <w:t xml:space="preserve">there are situations </w:t>
      </w:r>
      <w:r w:rsidR="00651F63">
        <w:rPr>
          <w:rFonts w:asciiTheme="majorBidi" w:hAnsiTheme="majorBidi" w:cstheme="majorBidi"/>
          <w:sz w:val="24"/>
          <w:szCs w:val="24"/>
        </w:rPr>
        <w:t xml:space="preserve">the insight is not created, and the patient leaves </w:t>
      </w:r>
      <w:r w:rsidR="00C73259">
        <w:rPr>
          <w:rFonts w:asciiTheme="majorBidi" w:hAnsiTheme="majorBidi" w:cstheme="majorBidi" w:hint="cs"/>
          <w:sz w:val="24"/>
          <w:szCs w:val="24"/>
          <w:rtl/>
        </w:rPr>
        <w:t>(</w:t>
      </w:r>
      <w:r w:rsidR="00651F63">
        <w:rPr>
          <w:rFonts w:asciiTheme="majorBidi" w:hAnsiTheme="majorBidi" w:cstheme="majorBidi" w:hint="cs"/>
          <w:sz w:val="24"/>
          <w:szCs w:val="24"/>
          <w:rtl/>
        </w:rPr>
        <w:t>רמת גן)</w:t>
      </w:r>
    </w:p>
    <w:p w14:paraId="477C7E33" w14:textId="20B58DF5" w:rsidR="005C0E2F" w:rsidRPr="00A64F66" w:rsidRDefault="00261FD4" w:rsidP="00A64F66">
      <w:pPr>
        <w:spacing w:line="480" w:lineRule="auto"/>
        <w:rPr>
          <w:rFonts w:asciiTheme="majorBidi" w:hAnsiTheme="majorBidi" w:cstheme="majorBidi"/>
          <w:sz w:val="24"/>
          <w:szCs w:val="24"/>
        </w:rPr>
      </w:pPr>
      <w:r>
        <w:rPr>
          <w:rFonts w:asciiTheme="majorBidi" w:hAnsiTheme="majorBidi" w:cstheme="majorBidi"/>
          <w:sz w:val="24"/>
          <w:szCs w:val="24"/>
        </w:rPr>
        <w:t xml:space="preserve">The focus of the gender-blind (“we give people”) process is set on the survivors’ awareness and the leaps of </w:t>
      </w:r>
      <w:r w:rsidR="00DB2583">
        <w:rPr>
          <w:rFonts w:asciiTheme="majorBidi" w:hAnsiTheme="majorBidi" w:cstheme="majorBidi"/>
          <w:sz w:val="24"/>
          <w:szCs w:val="24"/>
          <w:lang w:val="en-US"/>
        </w:rPr>
        <w:t>insights</w:t>
      </w:r>
      <w:r>
        <w:rPr>
          <w:rFonts w:asciiTheme="majorBidi" w:hAnsiTheme="majorBidi" w:cstheme="majorBidi"/>
          <w:sz w:val="24"/>
          <w:szCs w:val="24"/>
        </w:rPr>
        <w:t xml:space="preserve"> that are expected to result from the therapeutic encounters. The risks in which the “patient” l</w:t>
      </w:r>
      <w:r w:rsidR="00682069">
        <w:rPr>
          <w:rFonts w:asciiTheme="majorBidi" w:hAnsiTheme="majorBidi" w:cstheme="majorBidi"/>
          <w:sz w:val="24"/>
          <w:szCs w:val="24"/>
        </w:rPr>
        <w:t>i</w:t>
      </w:r>
      <w:r>
        <w:rPr>
          <w:rFonts w:asciiTheme="majorBidi" w:hAnsiTheme="majorBidi" w:cstheme="majorBidi"/>
          <w:sz w:val="24"/>
          <w:szCs w:val="24"/>
        </w:rPr>
        <w:t xml:space="preserve">ve, hardly </w:t>
      </w:r>
      <w:r w:rsidR="007F703A">
        <w:rPr>
          <w:rFonts w:asciiTheme="majorBidi" w:hAnsiTheme="majorBidi" w:cstheme="majorBidi"/>
          <w:sz w:val="24"/>
          <w:szCs w:val="24"/>
        </w:rPr>
        <w:t>get</w:t>
      </w:r>
      <w:r>
        <w:rPr>
          <w:rFonts w:asciiTheme="majorBidi" w:hAnsiTheme="majorBidi" w:cstheme="majorBidi"/>
          <w:sz w:val="24"/>
          <w:szCs w:val="24"/>
        </w:rPr>
        <w:t xml:space="preserve"> any treatment and instead</w:t>
      </w:r>
      <w:r w:rsidR="00682069">
        <w:rPr>
          <w:rFonts w:asciiTheme="majorBidi" w:hAnsiTheme="majorBidi" w:cstheme="majorBidi"/>
          <w:sz w:val="24"/>
          <w:szCs w:val="24"/>
        </w:rPr>
        <w:t>,</w:t>
      </w:r>
      <w:r>
        <w:rPr>
          <w:rFonts w:asciiTheme="majorBidi" w:hAnsiTheme="majorBidi" w:cstheme="majorBidi"/>
          <w:sz w:val="24"/>
          <w:szCs w:val="24"/>
        </w:rPr>
        <w:t xml:space="preserve"> her collaboration with the clinical intervention is required. </w:t>
      </w:r>
      <w:r w:rsidR="007F703A">
        <w:rPr>
          <w:rFonts w:asciiTheme="majorBidi" w:hAnsiTheme="majorBidi" w:cstheme="majorBidi"/>
          <w:sz w:val="24"/>
          <w:szCs w:val="24"/>
        </w:rPr>
        <w:t xml:space="preserve">It can be seen that within the therapeutic framing that transfers the responsibility for the support to survivors’ ability to collaborate with the “empowerment process” is echoed in the neoliberalization of the welfare services with which we deal in the following section. </w:t>
      </w:r>
      <w:r w:rsidR="007F703A">
        <w:rPr>
          <w:rFonts w:asciiTheme="majorBidi" w:hAnsiTheme="majorBidi" w:cstheme="majorBidi" w:hint="cs"/>
          <w:sz w:val="24"/>
          <w:szCs w:val="24"/>
          <w:rtl/>
        </w:rPr>
        <w:t xml:space="preserve">   </w:t>
      </w:r>
    </w:p>
    <w:p w14:paraId="03058BA7" w14:textId="6A20C1D3" w:rsidR="000C3299" w:rsidRPr="003D7EFB" w:rsidRDefault="000C3299" w:rsidP="00A64F66">
      <w:pPr>
        <w:pStyle w:val="Heading2"/>
        <w:spacing w:line="480" w:lineRule="auto"/>
        <w:rPr>
          <w:rFonts w:asciiTheme="majorBidi" w:hAnsiTheme="majorBidi"/>
          <w:color w:val="auto"/>
          <w:sz w:val="24"/>
          <w:szCs w:val="24"/>
          <w:u w:val="single"/>
          <w:rtl/>
        </w:rPr>
      </w:pPr>
      <w:r w:rsidRPr="003D7EFB">
        <w:rPr>
          <w:rFonts w:asciiTheme="majorBidi" w:hAnsiTheme="majorBidi"/>
          <w:color w:val="auto"/>
          <w:sz w:val="24"/>
          <w:szCs w:val="24"/>
          <w:u w:val="single"/>
        </w:rPr>
        <w:t xml:space="preserve">The neo-liberal </w:t>
      </w:r>
      <w:r w:rsidR="00391679" w:rsidRPr="003D7EFB">
        <w:rPr>
          <w:rFonts w:asciiTheme="majorBidi" w:hAnsiTheme="majorBidi"/>
          <w:color w:val="auto"/>
          <w:sz w:val="24"/>
          <w:szCs w:val="24"/>
          <w:u w:val="single"/>
        </w:rPr>
        <w:t>suspicion</w:t>
      </w:r>
    </w:p>
    <w:p w14:paraId="7A330638" w14:textId="40E00467" w:rsidR="00DB2583" w:rsidRPr="00A64F66" w:rsidRDefault="00D63528" w:rsidP="00D63528">
      <w:pPr>
        <w:tabs>
          <w:tab w:val="left" w:pos="180"/>
          <w:tab w:val="left" w:pos="360"/>
        </w:tabs>
        <w:spacing w:after="0" w:line="480" w:lineRule="auto"/>
        <w:ind w:right="1019"/>
        <w:rPr>
          <w:rFonts w:asciiTheme="majorBidi" w:hAnsiTheme="majorBidi" w:cstheme="majorBidi"/>
          <w:sz w:val="24"/>
          <w:szCs w:val="24"/>
        </w:rPr>
      </w:pPr>
      <w:r>
        <w:rPr>
          <w:rFonts w:asciiTheme="majorBidi" w:hAnsiTheme="majorBidi" w:cstheme="majorBidi"/>
          <w:sz w:val="24"/>
          <w:szCs w:val="24"/>
        </w:rPr>
        <w:t xml:space="preserve">The neo-liberal reforms in welfare services and more powerfully, the welfare-to-work reform </w:t>
      </w:r>
      <w:r w:rsidR="00483D78">
        <w:rPr>
          <w:rFonts w:asciiTheme="majorBidi" w:hAnsiTheme="majorBidi" w:cstheme="majorBidi"/>
          <w:sz w:val="24"/>
          <w:szCs w:val="24"/>
        </w:rPr>
        <w:t>that</w:t>
      </w:r>
      <w:r>
        <w:rPr>
          <w:rFonts w:asciiTheme="majorBidi" w:hAnsiTheme="majorBidi" w:cstheme="majorBidi"/>
          <w:sz w:val="24"/>
          <w:szCs w:val="24"/>
        </w:rPr>
        <w:t xml:space="preserve"> was introduced in 1996 in the US and in 2002 in Israel, reinforced, as was shown by co-author2 et al., 2010), suspicion towards applicants. The dominant assumption in the encounter with those in need, became that of the “undeserving poor”, the citizen that </w:t>
      </w:r>
      <w:r w:rsidR="00483D78">
        <w:rPr>
          <w:rFonts w:asciiTheme="majorBidi" w:hAnsiTheme="majorBidi" w:cstheme="majorBidi"/>
          <w:sz w:val="24"/>
          <w:szCs w:val="24"/>
        </w:rPr>
        <w:t>fails to be</w:t>
      </w:r>
      <w:r>
        <w:rPr>
          <w:rFonts w:asciiTheme="majorBidi" w:hAnsiTheme="majorBidi" w:cstheme="majorBidi"/>
          <w:sz w:val="24"/>
          <w:szCs w:val="24"/>
        </w:rPr>
        <w:t xml:space="preserve"> active enough in promoting self-reliance and financial independence</w:t>
      </w:r>
      <w:r w:rsidR="00483D78">
        <w:rPr>
          <w:rFonts w:asciiTheme="majorBidi" w:hAnsiTheme="majorBidi" w:cstheme="majorBidi"/>
          <w:sz w:val="24"/>
          <w:szCs w:val="24"/>
        </w:rPr>
        <w:t>,</w:t>
      </w:r>
      <w:r>
        <w:rPr>
          <w:rFonts w:asciiTheme="majorBidi" w:hAnsiTheme="majorBidi" w:cstheme="majorBidi"/>
          <w:sz w:val="24"/>
          <w:szCs w:val="24"/>
        </w:rPr>
        <w:t xml:space="preserve"> and instead, turns to </w:t>
      </w:r>
      <w:r w:rsidR="00483D78">
        <w:rPr>
          <w:rFonts w:asciiTheme="majorBidi" w:hAnsiTheme="majorBidi" w:cstheme="majorBidi"/>
          <w:sz w:val="24"/>
          <w:szCs w:val="24"/>
        </w:rPr>
        <w:t>routinized dependency on the state</w:t>
      </w:r>
      <w:r w:rsidR="005802B8">
        <w:rPr>
          <w:rFonts w:asciiTheme="majorBidi" w:hAnsiTheme="majorBidi" w:cstheme="majorBidi"/>
          <w:sz w:val="24"/>
          <w:szCs w:val="24"/>
        </w:rPr>
        <w:t>(</w:t>
      </w:r>
      <w:r w:rsidR="00483D78">
        <w:rPr>
          <w:rFonts w:asciiTheme="majorBidi" w:hAnsiTheme="majorBidi" w:cstheme="majorBidi"/>
          <w:sz w:val="24"/>
          <w:szCs w:val="24"/>
        </w:rPr>
        <w:t xml:space="preserve"> Cooper (2017),. By emphasizing the instrumental value of </w:t>
      </w:r>
      <w:r w:rsidR="00483D78">
        <w:rPr>
          <w:rFonts w:asciiTheme="majorBidi" w:hAnsiTheme="majorBidi" w:cstheme="majorBidi"/>
          <w:sz w:val="24"/>
          <w:szCs w:val="24"/>
        </w:rPr>
        <w:lastRenderedPageBreak/>
        <w:t xml:space="preserve">complaints on domestic violence to divorce conflicts and proceedings, welfare organizations became suspicious of women’s reports:     </w:t>
      </w:r>
      <w:r>
        <w:rPr>
          <w:rFonts w:asciiTheme="majorBidi" w:hAnsiTheme="majorBidi" w:cstheme="majorBidi"/>
          <w:sz w:val="24"/>
          <w:szCs w:val="24"/>
        </w:rPr>
        <w:t xml:space="preserve"> </w:t>
      </w:r>
    </w:p>
    <w:p w14:paraId="4A9EBEC1" w14:textId="6D15B05E" w:rsidR="00DB4965" w:rsidRDefault="00AC7909" w:rsidP="00DB4965">
      <w:pPr>
        <w:pStyle w:val="Body"/>
        <w:bidi w:val="0"/>
        <w:spacing w:line="480" w:lineRule="auto"/>
        <w:ind w:left="1418" w:right="877"/>
        <w:rPr>
          <w:rFonts w:asciiTheme="majorBidi" w:hAnsiTheme="majorBidi" w:cstheme="majorBidi"/>
          <w:sz w:val="24"/>
          <w:szCs w:val="24"/>
        </w:rPr>
      </w:pPr>
      <w:r>
        <w:rPr>
          <w:rFonts w:asciiTheme="majorBidi" w:hAnsiTheme="majorBidi" w:cstheme="majorBidi"/>
          <w:sz w:val="24"/>
          <w:szCs w:val="24"/>
        </w:rPr>
        <w:t>,</w:t>
      </w:r>
      <w:r w:rsidR="008A32A1">
        <w:rPr>
          <w:rFonts w:asciiTheme="majorBidi" w:hAnsiTheme="majorBidi" w:cstheme="majorBidi"/>
          <w:sz w:val="24"/>
          <w:szCs w:val="24"/>
        </w:rPr>
        <w:t>O</w:t>
      </w:r>
      <w:r w:rsidR="009E1856" w:rsidRPr="00A64F66">
        <w:rPr>
          <w:rFonts w:asciiTheme="majorBidi" w:hAnsiTheme="majorBidi" w:cstheme="majorBidi"/>
          <w:sz w:val="24"/>
          <w:szCs w:val="24"/>
        </w:rPr>
        <w:t>n the one hand</w:t>
      </w:r>
      <w:r>
        <w:rPr>
          <w:rFonts w:asciiTheme="majorBidi" w:hAnsiTheme="majorBidi" w:cstheme="majorBidi"/>
          <w:sz w:val="24"/>
          <w:szCs w:val="24"/>
        </w:rPr>
        <w:t>,</w:t>
      </w:r>
      <w:r w:rsidR="009E1856" w:rsidRPr="00A64F66">
        <w:rPr>
          <w:rFonts w:asciiTheme="majorBidi" w:hAnsiTheme="majorBidi" w:cstheme="majorBidi"/>
          <w:sz w:val="24"/>
          <w:szCs w:val="24"/>
        </w:rPr>
        <w:t xml:space="preserve"> there is much more awareness both in the police and in society in general about </w:t>
      </w:r>
      <w:r>
        <w:rPr>
          <w:rFonts w:asciiTheme="majorBidi" w:hAnsiTheme="majorBidi" w:cstheme="majorBidi"/>
          <w:sz w:val="24"/>
          <w:szCs w:val="24"/>
        </w:rPr>
        <w:t>domestic</w:t>
      </w:r>
      <w:r w:rsidR="009E1856" w:rsidRPr="00A64F66">
        <w:rPr>
          <w:rFonts w:asciiTheme="majorBidi" w:hAnsiTheme="majorBidi" w:cstheme="majorBidi"/>
          <w:sz w:val="24"/>
          <w:szCs w:val="24"/>
        </w:rPr>
        <w:t xml:space="preserve"> violence,</w:t>
      </w:r>
      <w:r w:rsidR="000F4053">
        <w:rPr>
          <w:rFonts w:asciiTheme="majorBidi" w:hAnsiTheme="majorBidi" w:cstheme="majorBidi" w:hint="cs"/>
          <w:sz w:val="24"/>
          <w:szCs w:val="24"/>
          <w:rtl/>
        </w:rPr>
        <w:t xml:space="preserve"> </w:t>
      </w:r>
      <w:r w:rsidR="000F4053">
        <w:rPr>
          <w:rFonts w:asciiTheme="majorBidi" w:hAnsiTheme="majorBidi" w:cstheme="majorBidi"/>
          <w:sz w:val="24"/>
          <w:szCs w:val="24"/>
        </w:rPr>
        <w:t xml:space="preserve"> and,</w:t>
      </w:r>
      <w:r w:rsidR="009E1856" w:rsidRPr="00A64F66">
        <w:rPr>
          <w:rFonts w:asciiTheme="majorBidi" w:hAnsiTheme="majorBidi" w:cstheme="majorBidi"/>
          <w:sz w:val="24"/>
          <w:szCs w:val="24"/>
        </w:rPr>
        <w:t xml:space="preserve"> </w:t>
      </w:r>
      <w:r w:rsidR="00483D78">
        <w:rPr>
          <w:rFonts w:asciiTheme="majorBidi" w:hAnsiTheme="majorBidi" w:cstheme="majorBidi"/>
          <w:sz w:val="24"/>
          <w:szCs w:val="24"/>
        </w:rPr>
        <w:t>on the other hand,</w:t>
      </w:r>
      <w:r w:rsidR="009E1856" w:rsidRPr="00A64F66">
        <w:rPr>
          <w:rFonts w:asciiTheme="majorBidi" w:hAnsiTheme="majorBidi" w:cstheme="majorBidi"/>
          <w:sz w:val="24"/>
          <w:szCs w:val="24"/>
        </w:rPr>
        <w:t xml:space="preserve"> there are </w:t>
      </w:r>
      <w:r>
        <w:rPr>
          <w:rFonts w:asciiTheme="majorBidi" w:hAnsiTheme="majorBidi" w:cstheme="majorBidi"/>
          <w:sz w:val="24"/>
          <w:szCs w:val="24"/>
        </w:rPr>
        <w:t>several</w:t>
      </w:r>
      <w:r w:rsidR="009E1856" w:rsidRPr="00A64F66">
        <w:rPr>
          <w:rFonts w:asciiTheme="majorBidi" w:hAnsiTheme="majorBidi" w:cstheme="majorBidi"/>
          <w:sz w:val="24"/>
          <w:szCs w:val="24"/>
        </w:rPr>
        <w:t xml:space="preserve"> women in Israel who destroy</w:t>
      </w:r>
      <w:r w:rsidR="000F4053">
        <w:rPr>
          <w:rFonts w:asciiTheme="majorBidi" w:hAnsiTheme="majorBidi" w:cstheme="majorBidi"/>
          <w:sz w:val="24"/>
          <w:szCs w:val="24"/>
        </w:rPr>
        <w:t xml:space="preserve"> it</w:t>
      </w:r>
      <w:r>
        <w:rPr>
          <w:rFonts w:asciiTheme="majorBidi" w:hAnsiTheme="majorBidi" w:cstheme="majorBidi"/>
          <w:sz w:val="24"/>
          <w:szCs w:val="24"/>
        </w:rPr>
        <w:t xml:space="preserve"> for </w:t>
      </w:r>
      <w:r w:rsidR="009E1856" w:rsidRPr="00A64F66">
        <w:rPr>
          <w:rFonts w:asciiTheme="majorBidi" w:hAnsiTheme="majorBidi" w:cstheme="majorBidi"/>
          <w:sz w:val="24"/>
          <w:szCs w:val="24"/>
        </w:rPr>
        <w:t>society</w:t>
      </w:r>
      <w:r>
        <w:rPr>
          <w:rFonts w:asciiTheme="majorBidi" w:hAnsiTheme="majorBidi" w:cstheme="majorBidi"/>
          <w:sz w:val="24"/>
          <w:szCs w:val="24"/>
        </w:rPr>
        <w:t>.</w:t>
      </w:r>
      <w:r w:rsidR="009E1856" w:rsidRPr="00A64F66">
        <w:rPr>
          <w:rFonts w:asciiTheme="majorBidi" w:hAnsiTheme="majorBidi" w:cstheme="majorBidi"/>
          <w:sz w:val="24"/>
          <w:szCs w:val="24"/>
        </w:rPr>
        <w:t xml:space="preserve"> </w:t>
      </w:r>
      <w:r>
        <w:rPr>
          <w:rFonts w:asciiTheme="majorBidi" w:hAnsiTheme="majorBidi" w:cstheme="majorBidi"/>
          <w:sz w:val="24"/>
          <w:szCs w:val="24"/>
        </w:rPr>
        <w:t>T</w:t>
      </w:r>
      <w:r w:rsidR="009E1856" w:rsidRPr="00A64F66">
        <w:rPr>
          <w:rFonts w:asciiTheme="majorBidi" w:hAnsiTheme="majorBidi" w:cstheme="majorBidi"/>
          <w:sz w:val="24"/>
          <w:szCs w:val="24"/>
        </w:rPr>
        <w:t xml:space="preserve">hat is, there </w:t>
      </w:r>
      <w:r>
        <w:rPr>
          <w:rFonts w:asciiTheme="majorBidi" w:hAnsiTheme="majorBidi" w:cstheme="majorBidi"/>
          <w:sz w:val="24"/>
          <w:szCs w:val="24"/>
        </w:rPr>
        <w:t xml:space="preserve">appears to be </w:t>
      </w:r>
      <w:r w:rsidR="009E1856" w:rsidRPr="00A64F66">
        <w:rPr>
          <w:rFonts w:asciiTheme="majorBidi" w:hAnsiTheme="majorBidi" w:cstheme="majorBidi"/>
          <w:sz w:val="24"/>
          <w:szCs w:val="24"/>
        </w:rPr>
        <w:t>manipulation</w:t>
      </w:r>
      <w:r>
        <w:rPr>
          <w:rFonts w:asciiTheme="majorBidi" w:hAnsiTheme="majorBidi" w:cstheme="majorBidi"/>
          <w:sz w:val="24"/>
          <w:szCs w:val="24"/>
        </w:rPr>
        <w:t>,</w:t>
      </w:r>
      <w:r w:rsidR="009E1856" w:rsidRPr="00A64F66">
        <w:rPr>
          <w:rFonts w:asciiTheme="majorBidi" w:hAnsiTheme="majorBidi" w:cstheme="majorBidi"/>
          <w:sz w:val="24"/>
          <w:szCs w:val="24"/>
        </w:rPr>
        <w:t xml:space="preserve"> sometimes</w:t>
      </w:r>
      <w:r>
        <w:rPr>
          <w:rFonts w:asciiTheme="majorBidi" w:hAnsiTheme="majorBidi" w:cstheme="majorBidi"/>
          <w:sz w:val="24"/>
          <w:szCs w:val="24"/>
        </w:rPr>
        <w:t>,</w:t>
      </w:r>
      <w:r w:rsidR="009E1856" w:rsidRPr="00A64F66">
        <w:rPr>
          <w:rFonts w:asciiTheme="majorBidi" w:hAnsiTheme="majorBidi" w:cstheme="majorBidi"/>
          <w:sz w:val="24"/>
          <w:szCs w:val="24"/>
        </w:rPr>
        <w:t xml:space="preserve"> in this area, some women make false complaints</w:t>
      </w:r>
      <w:r>
        <w:rPr>
          <w:rFonts w:asciiTheme="majorBidi" w:hAnsiTheme="majorBidi" w:cstheme="majorBidi"/>
          <w:sz w:val="24"/>
          <w:szCs w:val="24"/>
        </w:rPr>
        <w:t>.</w:t>
      </w:r>
      <w:r w:rsidR="009E1856" w:rsidRPr="00A64F66">
        <w:rPr>
          <w:rFonts w:asciiTheme="majorBidi" w:hAnsiTheme="majorBidi" w:cstheme="majorBidi"/>
          <w:sz w:val="24"/>
          <w:szCs w:val="24"/>
        </w:rPr>
        <w:t xml:space="preserve"> </w:t>
      </w:r>
      <w:r>
        <w:rPr>
          <w:rFonts w:asciiTheme="majorBidi" w:hAnsiTheme="majorBidi" w:cstheme="majorBidi"/>
          <w:sz w:val="24"/>
          <w:szCs w:val="24"/>
        </w:rPr>
        <w:t>S</w:t>
      </w:r>
      <w:r w:rsidR="009E1856" w:rsidRPr="00A64F66">
        <w:rPr>
          <w:rFonts w:asciiTheme="majorBidi" w:hAnsiTheme="majorBidi" w:cstheme="majorBidi"/>
          <w:sz w:val="24"/>
          <w:szCs w:val="24"/>
        </w:rPr>
        <w:t>ome women invent something</w:t>
      </w:r>
      <w:r>
        <w:rPr>
          <w:rFonts w:asciiTheme="majorBidi" w:hAnsiTheme="majorBidi" w:cstheme="majorBidi"/>
          <w:sz w:val="24"/>
          <w:szCs w:val="24"/>
        </w:rPr>
        <w:t>,</w:t>
      </w:r>
      <w:r w:rsidR="009E1856" w:rsidRPr="00A64F66">
        <w:rPr>
          <w:rFonts w:asciiTheme="majorBidi" w:hAnsiTheme="majorBidi" w:cstheme="majorBidi"/>
          <w:sz w:val="24"/>
          <w:szCs w:val="24"/>
        </w:rPr>
        <w:t xml:space="preserve"> to keep </w:t>
      </w:r>
      <w:r>
        <w:rPr>
          <w:rFonts w:asciiTheme="majorBidi" w:hAnsiTheme="majorBidi" w:cstheme="majorBidi"/>
          <w:sz w:val="24"/>
          <w:szCs w:val="24"/>
        </w:rPr>
        <w:t>the husband</w:t>
      </w:r>
      <w:r w:rsidR="009E1856" w:rsidRPr="00A64F66">
        <w:rPr>
          <w:rFonts w:asciiTheme="majorBidi" w:hAnsiTheme="majorBidi" w:cstheme="majorBidi"/>
          <w:sz w:val="24"/>
          <w:szCs w:val="24"/>
        </w:rPr>
        <w:t xml:space="preserve"> away from the house. </w:t>
      </w:r>
      <w:r>
        <w:rPr>
          <w:rFonts w:asciiTheme="majorBidi" w:hAnsiTheme="majorBidi" w:cstheme="majorBidi"/>
          <w:sz w:val="24"/>
          <w:szCs w:val="24"/>
        </w:rPr>
        <w:t>S</w:t>
      </w:r>
      <w:r w:rsidR="009E1856" w:rsidRPr="00A64F66">
        <w:rPr>
          <w:rFonts w:asciiTheme="majorBidi" w:hAnsiTheme="majorBidi" w:cstheme="majorBidi"/>
          <w:sz w:val="24"/>
          <w:szCs w:val="24"/>
        </w:rPr>
        <w:t xml:space="preserve">uch women can destroy </w:t>
      </w:r>
      <w:r w:rsidR="000F4053">
        <w:rPr>
          <w:rFonts w:asciiTheme="majorBidi" w:hAnsiTheme="majorBidi" w:cstheme="majorBidi"/>
          <w:sz w:val="24"/>
          <w:szCs w:val="24"/>
        </w:rPr>
        <w:t>it</w:t>
      </w:r>
      <w:r>
        <w:rPr>
          <w:rFonts w:asciiTheme="majorBidi" w:hAnsiTheme="majorBidi" w:cstheme="majorBidi"/>
          <w:sz w:val="24"/>
          <w:szCs w:val="24"/>
        </w:rPr>
        <w:t xml:space="preserve"> for</w:t>
      </w:r>
      <w:r w:rsidR="009E1856" w:rsidRPr="00A64F66">
        <w:rPr>
          <w:rFonts w:asciiTheme="majorBidi" w:hAnsiTheme="majorBidi" w:cstheme="majorBidi"/>
          <w:sz w:val="24"/>
          <w:szCs w:val="24"/>
        </w:rPr>
        <w:t xml:space="preserve"> others</w:t>
      </w:r>
      <w:r w:rsidR="002F695C">
        <w:rPr>
          <w:rFonts w:asciiTheme="majorBidi" w:hAnsiTheme="majorBidi" w:cstheme="majorBidi"/>
          <w:sz w:val="24"/>
          <w:szCs w:val="24"/>
        </w:rPr>
        <w:t xml:space="preserve">. </w:t>
      </w:r>
      <w:r w:rsidR="00DB4965">
        <w:rPr>
          <w:rFonts w:asciiTheme="majorBidi" w:hAnsiTheme="majorBidi" w:cstheme="majorBidi"/>
          <w:sz w:val="24"/>
          <w:szCs w:val="24"/>
        </w:rPr>
        <w:t xml:space="preserve">It is because of such cases of </w:t>
      </w:r>
      <w:r w:rsidR="002F695C">
        <w:rPr>
          <w:rFonts w:asciiTheme="majorBidi" w:hAnsiTheme="majorBidi" w:cstheme="majorBidi"/>
          <w:sz w:val="24"/>
          <w:szCs w:val="24"/>
        </w:rPr>
        <w:t xml:space="preserve">false complaint, </w:t>
      </w:r>
      <w:r w:rsidR="00DB4965">
        <w:rPr>
          <w:rFonts w:asciiTheme="majorBidi" w:hAnsiTheme="majorBidi" w:cstheme="majorBidi"/>
          <w:sz w:val="24"/>
          <w:szCs w:val="24"/>
        </w:rPr>
        <w:t xml:space="preserve">that when a woman tells us what actually happened to her, the police will </w:t>
      </w:r>
      <w:r w:rsidR="002F695C">
        <w:rPr>
          <w:rFonts w:asciiTheme="majorBidi" w:hAnsiTheme="majorBidi" w:cstheme="majorBidi"/>
          <w:sz w:val="24"/>
          <w:szCs w:val="24"/>
        </w:rPr>
        <w:t>tell us: “She isn’t a saint”</w:t>
      </w:r>
      <w:r w:rsidR="00DB4965">
        <w:rPr>
          <w:rFonts w:asciiTheme="majorBidi" w:hAnsiTheme="majorBidi" w:cstheme="majorBidi"/>
          <w:sz w:val="24"/>
          <w:szCs w:val="24"/>
        </w:rPr>
        <w:t xml:space="preserve"> [</w:t>
      </w:r>
      <w:r w:rsidR="00DB4965">
        <w:rPr>
          <w:rFonts w:asciiTheme="majorBidi" w:hAnsiTheme="majorBidi" w:cstheme="majorBidi" w:hint="cs"/>
          <w:sz w:val="24"/>
          <w:szCs w:val="24"/>
          <w:rtl/>
        </w:rPr>
        <w:t>[רחובות</w:t>
      </w:r>
      <w:r w:rsidR="002F695C">
        <w:rPr>
          <w:rFonts w:asciiTheme="majorBidi" w:hAnsiTheme="majorBidi" w:cstheme="majorBidi"/>
          <w:sz w:val="24"/>
          <w:szCs w:val="24"/>
        </w:rPr>
        <w:t xml:space="preserve">. </w:t>
      </w:r>
    </w:p>
    <w:p w14:paraId="13777996" w14:textId="6151906E" w:rsidR="00BB1EA4" w:rsidRDefault="00DB4965" w:rsidP="00BB1EA4">
      <w:pPr>
        <w:tabs>
          <w:tab w:val="left" w:pos="180"/>
          <w:tab w:val="left" w:pos="360"/>
        </w:tabs>
        <w:spacing w:after="0" w:line="480" w:lineRule="auto"/>
        <w:ind w:right="1019"/>
        <w:rPr>
          <w:rFonts w:asciiTheme="majorBidi" w:hAnsiTheme="majorBidi" w:cstheme="majorBidi"/>
          <w:sz w:val="24"/>
          <w:szCs w:val="24"/>
          <w:lang w:val="en-US"/>
        </w:rPr>
      </w:pPr>
      <w:r>
        <w:rPr>
          <w:rFonts w:asciiTheme="majorBidi" w:hAnsiTheme="majorBidi" w:cstheme="majorBidi"/>
          <w:sz w:val="24"/>
          <w:szCs w:val="24"/>
          <w:lang w:val="en-US"/>
        </w:rPr>
        <w:t>She insist</w:t>
      </w:r>
      <w:r w:rsidR="000F4053">
        <w:rPr>
          <w:rFonts w:asciiTheme="majorBidi" w:hAnsiTheme="majorBidi" w:cstheme="majorBidi"/>
          <w:sz w:val="24"/>
          <w:szCs w:val="24"/>
          <w:lang w:val="en-US"/>
        </w:rPr>
        <w:t>s</w:t>
      </w:r>
      <w:r>
        <w:rPr>
          <w:rFonts w:asciiTheme="majorBidi" w:hAnsiTheme="majorBidi" w:cstheme="majorBidi"/>
          <w:sz w:val="24"/>
          <w:szCs w:val="24"/>
          <w:lang w:val="en-US"/>
        </w:rPr>
        <w:t xml:space="preserve"> on expressing her understanding that suspicion is not the right way of treating women’s report</w:t>
      </w:r>
      <w:r w:rsidR="000F4053">
        <w:rPr>
          <w:rFonts w:asciiTheme="majorBidi" w:hAnsiTheme="majorBidi" w:cstheme="majorBidi"/>
          <w:sz w:val="24"/>
          <w:szCs w:val="24"/>
          <w:lang w:val="en-US"/>
        </w:rPr>
        <w:t>s</w:t>
      </w:r>
      <w:r>
        <w:rPr>
          <w:rFonts w:asciiTheme="majorBidi" w:hAnsiTheme="majorBidi" w:cstheme="majorBidi"/>
          <w:sz w:val="24"/>
          <w:szCs w:val="24"/>
          <w:lang w:val="en-US"/>
        </w:rPr>
        <w:t xml:space="preserve"> but presents herself as forced to take the possibility of false complaints into account. Her way of describing the emergence of </w:t>
      </w:r>
      <w:r w:rsidR="00DE699A">
        <w:rPr>
          <w:rFonts w:asciiTheme="majorBidi" w:hAnsiTheme="majorBidi" w:cstheme="majorBidi"/>
          <w:sz w:val="24"/>
          <w:szCs w:val="24"/>
          <w:lang w:val="en-US"/>
        </w:rPr>
        <w:t xml:space="preserve">false complaints in the DVPCs, suggests a time in which awareness and commitment were on the rise, while presently, they deteriorate. What she does not disclose is that since 2016 welfare organizations in Israel are exposed to a neo-patriarchal discourse of false complaints. The welfare ministry, for instance, embraced a report on false complaints that was written by </w:t>
      </w:r>
      <w:r w:rsidR="003846D4">
        <w:rPr>
          <w:rFonts w:asciiTheme="majorBidi" w:hAnsiTheme="majorBidi" w:cstheme="majorBidi"/>
          <w:sz w:val="24"/>
          <w:szCs w:val="24"/>
          <w:lang w:val="en-US"/>
        </w:rPr>
        <w:t>an</w:t>
      </w:r>
      <w:r w:rsidR="00DE699A">
        <w:rPr>
          <w:rFonts w:asciiTheme="majorBidi" w:hAnsiTheme="majorBidi" w:cstheme="majorBidi"/>
          <w:sz w:val="24"/>
          <w:szCs w:val="24"/>
          <w:lang w:val="en-US"/>
        </w:rPr>
        <w:t xml:space="preserve"> extreme right-wing organization named Koheleth on the topic (Mazeh, 2016). </w:t>
      </w:r>
      <w:r w:rsidR="00BB1EA4">
        <w:rPr>
          <w:rFonts w:asciiTheme="majorBidi" w:hAnsiTheme="majorBidi" w:cstheme="majorBidi"/>
          <w:sz w:val="24"/>
          <w:szCs w:val="24"/>
          <w:lang w:val="en-US"/>
        </w:rPr>
        <w:t xml:space="preserve">Apparently, the suspicion provides the ground for shifting the focus of the encounter from the issue of the required assistance to the neo-liberal policy of </w:t>
      </w:r>
      <w:r w:rsidR="004A62B2">
        <w:rPr>
          <w:rFonts w:asciiTheme="majorBidi" w:hAnsiTheme="majorBidi" w:cstheme="majorBidi"/>
          <w:sz w:val="24"/>
          <w:szCs w:val="24"/>
          <w:lang w:val="en-US"/>
        </w:rPr>
        <w:t xml:space="preserve">activation that focuses on </w:t>
      </w:r>
      <w:r w:rsidR="000C11F5">
        <w:rPr>
          <w:rFonts w:asciiTheme="majorBidi" w:hAnsiTheme="majorBidi" w:cstheme="majorBidi"/>
          <w:sz w:val="24"/>
          <w:szCs w:val="24"/>
          <w:lang w:val="en-US"/>
        </w:rPr>
        <w:t>labor</w:t>
      </w:r>
      <w:r w:rsidR="004A62B2">
        <w:rPr>
          <w:rFonts w:asciiTheme="majorBidi" w:hAnsiTheme="majorBidi" w:cstheme="majorBidi"/>
          <w:sz w:val="24"/>
          <w:szCs w:val="24"/>
          <w:lang w:val="en-US"/>
        </w:rPr>
        <w:t xml:space="preserve"> market participation that equates between such participation and financial independence:</w:t>
      </w:r>
      <w:r w:rsidR="00DE699A">
        <w:rPr>
          <w:rFonts w:asciiTheme="majorBidi" w:hAnsiTheme="majorBidi" w:cstheme="majorBidi"/>
          <w:sz w:val="24"/>
          <w:szCs w:val="24"/>
          <w:lang w:val="en-US"/>
        </w:rPr>
        <w:t xml:space="preserve">  </w:t>
      </w:r>
    </w:p>
    <w:p w14:paraId="323A6F5E" w14:textId="7CF6340C" w:rsidR="00443C9F" w:rsidRPr="00CF4D0F" w:rsidRDefault="00443C9F" w:rsidP="00CF4D0F">
      <w:pPr>
        <w:tabs>
          <w:tab w:val="left" w:pos="180"/>
          <w:tab w:val="left" w:pos="360"/>
        </w:tabs>
        <w:spacing w:after="0" w:line="480" w:lineRule="auto"/>
        <w:ind w:left="720" w:right="1019"/>
        <w:rPr>
          <w:rFonts w:asciiTheme="majorBidi" w:hAnsiTheme="majorBidi" w:cstheme="majorBidi"/>
          <w:sz w:val="24"/>
          <w:szCs w:val="24"/>
          <w:rtl/>
        </w:rPr>
      </w:pPr>
      <w:r w:rsidRPr="00443C9F">
        <w:rPr>
          <w:rFonts w:asciiTheme="majorBidi" w:hAnsiTheme="majorBidi" w:cstheme="majorBidi"/>
          <w:sz w:val="24"/>
          <w:szCs w:val="24"/>
        </w:rPr>
        <w:t xml:space="preserve">There were times when she would come, undress and show me the blue marks. "Okay, let's do something about it, let's see how we can help you. It's true, it's scary, leaving </w:t>
      </w:r>
      <w:r>
        <w:rPr>
          <w:rFonts w:asciiTheme="majorBidi" w:hAnsiTheme="majorBidi" w:cstheme="majorBidi"/>
          <w:sz w:val="24"/>
          <w:szCs w:val="24"/>
        </w:rPr>
        <w:lastRenderedPageBreak/>
        <w:t>your home</w:t>
      </w:r>
      <w:r w:rsidRPr="00443C9F">
        <w:rPr>
          <w:rFonts w:asciiTheme="majorBidi" w:hAnsiTheme="majorBidi" w:cstheme="majorBidi"/>
          <w:sz w:val="24"/>
          <w:szCs w:val="24"/>
        </w:rPr>
        <w:t>, leaving the husband"</w:t>
      </w:r>
      <w:r w:rsidR="00F95FF1">
        <w:rPr>
          <w:rFonts w:asciiTheme="majorBidi" w:hAnsiTheme="majorBidi" w:cstheme="majorBidi" w:hint="cs"/>
          <w:sz w:val="24"/>
          <w:szCs w:val="24"/>
          <w:rtl/>
        </w:rPr>
        <w:t xml:space="preserve"> </w:t>
      </w:r>
      <w:r w:rsidR="00F95FF1">
        <w:rPr>
          <w:rFonts w:asciiTheme="majorBidi" w:hAnsiTheme="majorBidi" w:cstheme="majorBidi"/>
          <w:sz w:val="24"/>
          <w:szCs w:val="24"/>
          <w:lang w:val="en-US"/>
        </w:rPr>
        <w:t>[</w:t>
      </w:r>
      <w:r>
        <w:rPr>
          <w:rFonts w:asciiTheme="majorBidi" w:hAnsiTheme="majorBidi" w:cstheme="majorBidi"/>
          <w:sz w:val="24"/>
          <w:szCs w:val="24"/>
        </w:rPr>
        <w:t>…</w:t>
      </w:r>
      <w:r w:rsidR="00F95FF1">
        <w:rPr>
          <w:rFonts w:asciiTheme="majorBidi" w:hAnsiTheme="majorBidi" w:cstheme="majorBidi"/>
          <w:sz w:val="24"/>
          <w:szCs w:val="24"/>
        </w:rPr>
        <w:t>]</w:t>
      </w:r>
      <w:r w:rsidRPr="00443C9F">
        <w:rPr>
          <w:rFonts w:asciiTheme="majorBidi" w:hAnsiTheme="majorBidi" w:cstheme="majorBidi"/>
          <w:sz w:val="24"/>
          <w:szCs w:val="24"/>
        </w:rPr>
        <w:t xml:space="preserve"> let's see how </w:t>
      </w:r>
      <w:r>
        <w:rPr>
          <w:rFonts w:asciiTheme="majorBidi" w:hAnsiTheme="majorBidi" w:cstheme="majorBidi"/>
          <w:sz w:val="24"/>
          <w:szCs w:val="24"/>
        </w:rPr>
        <w:t>we</w:t>
      </w:r>
      <w:r w:rsidRPr="00443C9F">
        <w:rPr>
          <w:rFonts w:asciiTheme="majorBidi" w:hAnsiTheme="majorBidi" w:cstheme="majorBidi"/>
          <w:sz w:val="24"/>
          <w:szCs w:val="24"/>
        </w:rPr>
        <w:t xml:space="preserve"> deal with it</w:t>
      </w:r>
      <w:r w:rsidR="002019D3">
        <w:rPr>
          <w:rFonts w:asciiTheme="majorBidi" w:hAnsiTheme="majorBidi" w:cstheme="majorBidi"/>
          <w:sz w:val="24"/>
          <w:szCs w:val="24"/>
        </w:rPr>
        <w:t>…</w:t>
      </w:r>
      <w:r w:rsidRPr="00443C9F">
        <w:rPr>
          <w:rFonts w:asciiTheme="majorBidi" w:hAnsiTheme="majorBidi" w:cstheme="majorBidi"/>
          <w:sz w:val="24"/>
          <w:szCs w:val="24"/>
        </w:rPr>
        <w:t xml:space="preserve"> I will check with her if she has any </w:t>
      </w:r>
      <w:r w:rsidR="002019D3">
        <w:rPr>
          <w:rFonts w:asciiTheme="majorBidi" w:hAnsiTheme="majorBidi" w:cstheme="majorBidi"/>
          <w:sz w:val="24"/>
          <w:szCs w:val="24"/>
        </w:rPr>
        <w:t>dreams</w:t>
      </w:r>
      <w:r w:rsidRPr="00443C9F">
        <w:rPr>
          <w:rFonts w:asciiTheme="majorBidi" w:hAnsiTheme="majorBidi" w:cstheme="majorBidi"/>
          <w:sz w:val="24"/>
          <w:szCs w:val="24"/>
        </w:rPr>
        <w:t xml:space="preserve">, </w:t>
      </w:r>
      <w:r w:rsidR="002019D3">
        <w:rPr>
          <w:rFonts w:asciiTheme="majorBidi" w:hAnsiTheme="majorBidi" w:cstheme="majorBidi"/>
          <w:sz w:val="24"/>
          <w:szCs w:val="24"/>
        </w:rPr>
        <w:t xml:space="preserve">or </w:t>
      </w:r>
      <w:r w:rsidRPr="00443C9F">
        <w:rPr>
          <w:rFonts w:asciiTheme="majorBidi" w:hAnsiTheme="majorBidi" w:cstheme="majorBidi"/>
          <w:sz w:val="24"/>
          <w:szCs w:val="24"/>
        </w:rPr>
        <w:t>what she likes to do the most. "Do you like to sew clothes for your children? Come on, let's take a sewing course"</w:t>
      </w:r>
      <w:r w:rsidR="00F95FF1">
        <w:rPr>
          <w:rFonts w:asciiTheme="majorBidi" w:hAnsiTheme="majorBidi" w:cstheme="majorBidi"/>
          <w:sz w:val="24"/>
          <w:szCs w:val="24"/>
        </w:rPr>
        <w:t xml:space="preserve"> [</w:t>
      </w:r>
      <w:r>
        <w:rPr>
          <w:rFonts w:asciiTheme="majorBidi" w:hAnsiTheme="majorBidi" w:cstheme="majorBidi" w:hint="cs"/>
          <w:sz w:val="24"/>
          <w:szCs w:val="24"/>
          <w:rtl/>
        </w:rPr>
        <w:t xml:space="preserve"> </w:t>
      </w:r>
      <w:r w:rsidR="00AD04EC" w:rsidRPr="00A64F66">
        <w:rPr>
          <w:rFonts w:asciiTheme="majorBidi" w:hAnsiTheme="majorBidi" w:cstheme="majorBidi"/>
          <w:sz w:val="24"/>
          <w:szCs w:val="24"/>
        </w:rPr>
        <w:t>…</w:t>
      </w:r>
      <w:r w:rsidR="00F95FF1">
        <w:rPr>
          <w:rFonts w:asciiTheme="majorBidi" w:hAnsiTheme="majorBidi" w:cstheme="majorBidi"/>
          <w:sz w:val="24"/>
          <w:szCs w:val="24"/>
        </w:rPr>
        <w:t>]</w:t>
      </w:r>
      <w:r w:rsidR="00AD04EC" w:rsidRPr="00A64F66">
        <w:rPr>
          <w:rFonts w:asciiTheme="majorBidi" w:hAnsiTheme="majorBidi" w:cstheme="majorBidi"/>
          <w:sz w:val="24"/>
          <w:szCs w:val="24"/>
        </w:rPr>
        <w:t xml:space="preserve"> You’ve got to check all the time, ask these questions all the time, not take anything at face value. Don’t say, “If he took her money, then it’s economic abuse”</w:t>
      </w:r>
      <w:r w:rsidR="00F95FF1">
        <w:rPr>
          <w:rFonts w:asciiTheme="majorBidi" w:hAnsiTheme="majorBidi" w:cstheme="majorBidi"/>
          <w:sz w:val="24"/>
          <w:szCs w:val="24"/>
        </w:rPr>
        <w:t xml:space="preserve"> [</w:t>
      </w:r>
      <w:r w:rsidR="00AD04EC" w:rsidRPr="00A64F66">
        <w:rPr>
          <w:rFonts w:asciiTheme="majorBidi" w:hAnsiTheme="majorBidi" w:cstheme="majorBidi"/>
          <w:sz w:val="24"/>
          <w:szCs w:val="24"/>
        </w:rPr>
        <w:t>...</w:t>
      </w:r>
      <w:r w:rsidR="00F95FF1">
        <w:rPr>
          <w:rFonts w:asciiTheme="majorBidi" w:hAnsiTheme="majorBidi" w:cstheme="majorBidi"/>
          <w:sz w:val="24"/>
          <w:szCs w:val="24"/>
        </w:rPr>
        <w:t>]</w:t>
      </w:r>
      <w:r w:rsidR="00AD04EC" w:rsidRPr="00A64F66">
        <w:rPr>
          <w:rFonts w:asciiTheme="majorBidi" w:hAnsiTheme="majorBidi" w:cstheme="majorBidi"/>
          <w:sz w:val="24"/>
          <w:szCs w:val="24"/>
        </w:rPr>
        <w:t xml:space="preserve"> Don’t make it a bigger deal or a smaller deal [than it is]. That’s my experience. </w:t>
      </w:r>
      <w:r>
        <w:rPr>
          <w:rFonts w:asciiTheme="majorBidi" w:hAnsiTheme="majorBidi" w:cstheme="majorBidi" w:hint="cs"/>
          <w:sz w:val="24"/>
          <w:szCs w:val="24"/>
          <w:rtl/>
        </w:rPr>
        <w:t xml:space="preserve"> </w:t>
      </w:r>
      <w:r w:rsidR="00AD04EC">
        <w:rPr>
          <w:rFonts w:asciiTheme="majorBidi" w:hAnsiTheme="majorBidi" w:cstheme="majorBidi"/>
          <w:sz w:val="24"/>
          <w:szCs w:val="24"/>
        </w:rPr>
        <w:t>(</w:t>
      </w:r>
      <w:r w:rsidR="00AD04EC">
        <w:rPr>
          <w:rFonts w:asciiTheme="majorBidi" w:hAnsiTheme="majorBidi" w:cstheme="majorBidi" w:hint="cs"/>
          <w:sz w:val="24"/>
          <w:szCs w:val="24"/>
          <w:rtl/>
        </w:rPr>
        <w:t>(חולון</w:t>
      </w:r>
    </w:p>
    <w:p w14:paraId="78DFD352" w14:textId="010715C7" w:rsidR="00BB1EA4" w:rsidRPr="00850E95" w:rsidRDefault="00BB1EA4" w:rsidP="00BB1EA4">
      <w:pPr>
        <w:tabs>
          <w:tab w:val="left" w:pos="180"/>
          <w:tab w:val="left" w:pos="360"/>
        </w:tabs>
        <w:spacing w:after="0" w:line="480" w:lineRule="auto"/>
        <w:ind w:right="1019"/>
        <w:rPr>
          <w:rFonts w:asciiTheme="majorBidi" w:hAnsiTheme="majorBidi" w:cstheme="majorBidi"/>
          <w:sz w:val="24"/>
          <w:szCs w:val="24"/>
          <w:lang w:val="en-US"/>
        </w:rPr>
      </w:pPr>
      <w:r w:rsidRPr="00A64F66">
        <w:rPr>
          <w:rFonts w:asciiTheme="majorBidi" w:hAnsiTheme="majorBidi" w:cstheme="majorBidi"/>
          <w:sz w:val="24"/>
          <w:szCs w:val="24"/>
        </w:rPr>
        <w:t xml:space="preserve">In the case this social worker describes, the </w:t>
      </w:r>
      <w:r w:rsidR="002019D3">
        <w:rPr>
          <w:rFonts w:asciiTheme="majorBidi" w:hAnsiTheme="majorBidi" w:cstheme="majorBidi"/>
          <w:sz w:val="24"/>
          <w:szCs w:val="24"/>
        </w:rPr>
        <w:t>survivor</w:t>
      </w:r>
      <w:r w:rsidRPr="00A64F66">
        <w:rPr>
          <w:rFonts w:asciiTheme="majorBidi" w:hAnsiTheme="majorBidi" w:cstheme="majorBidi"/>
          <w:sz w:val="24"/>
          <w:szCs w:val="24"/>
        </w:rPr>
        <w:t>, who is in a frightening situation</w:t>
      </w:r>
      <w:r w:rsidR="002019D3">
        <w:rPr>
          <w:rFonts w:asciiTheme="majorBidi" w:hAnsiTheme="majorBidi" w:cstheme="majorBidi"/>
          <w:sz w:val="24"/>
          <w:szCs w:val="24"/>
        </w:rPr>
        <w:t xml:space="preserve"> that results in blue marks,</w:t>
      </w:r>
      <w:r w:rsidRPr="00A64F66">
        <w:rPr>
          <w:rFonts w:asciiTheme="majorBidi" w:hAnsiTheme="majorBidi" w:cstheme="majorBidi"/>
          <w:sz w:val="24"/>
          <w:szCs w:val="24"/>
        </w:rPr>
        <w:t xml:space="preserve"> is met with the state’s disbelief (“you’ve got to…not take anything at face value”) and is offered the advice that she should take a sewing course. Such downplaying </w:t>
      </w:r>
      <w:r w:rsidRPr="00850E95">
        <w:rPr>
          <w:rFonts w:asciiTheme="majorBidi" w:hAnsiTheme="majorBidi" w:cstheme="majorBidi"/>
          <w:sz w:val="24"/>
          <w:szCs w:val="24"/>
        </w:rPr>
        <w:t>of economic abuse (“don’t make it a bigger deal or a smaller deal [than it is]”) is sometimes explained as deference to cultural scripts and as a way to respect women’s agency.</w:t>
      </w:r>
    </w:p>
    <w:p w14:paraId="3DBADDCF" w14:textId="2F017CFE" w:rsidR="00BB1EA4" w:rsidRPr="002E2BE5" w:rsidRDefault="00BB1EA4" w:rsidP="00C72B2F">
      <w:pPr>
        <w:tabs>
          <w:tab w:val="left" w:pos="180"/>
          <w:tab w:val="left" w:pos="360"/>
        </w:tabs>
        <w:spacing w:after="0" w:line="480" w:lineRule="auto"/>
        <w:rPr>
          <w:rFonts w:asciiTheme="majorBidi" w:hAnsiTheme="majorBidi" w:cstheme="majorBidi"/>
          <w:sz w:val="24"/>
          <w:szCs w:val="24"/>
          <w:lang w:val="en-US"/>
        </w:rPr>
      </w:pPr>
      <w:r w:rsidRPr="00850E95">
        <w:rPr>
          <w:rFonts w:asciiTheme="majorBidi" w:hAnsiTheme="majorBidi" w:cstheme="majorBidi"/>
          <w:sz w:val="24"/>
          <w:szCs w:val="24"/>
        </w:rPr>
        <w:t xml:space="preserve">Yet they sometimes also urged clients not to make a big deal of these instances, thus normalizing them. </w:t>
      </w:r>
    </w:p>
    <w:p w14:paraId="6ABF5F80" w14:textId="77777777" w:rsidR="008D2418" w:rsidRPr="00BB1EA4" w:rsidRDefault="008D2418" w:rsidP="00A64F66">
      <w:pPr>
        <w:spacing w:line="480" w:lineRule="auto"/>
        <w:ind w:right="426"/>
        <w:rPr>
          <w:rFonts w:asciiTheme="majorBidi" w:hAnsiTheme="majorBidi" w:cstheme="majorBidi"/>
          <w:sz w:val="24"/>
          <w:szCs w:val="24"/>
        </w:rPr>
      </w:pPr>
    </w:p>
    <w:p w14:paraId="750FF13C" w14:textId="6A36200E" w:rsidR="00EE10B5" w:rsidRPr="003D7EFB" w:rsidRDefault="009F40D3" w:rsidP="00A64F66">
      <w:pPr>
        <w:pStyle w:val="Heading2"/>
        <w:spacing w:line="480" w:lineRule="auto"/>
        <w:rPr>
          <w:rFonts w:asciiTheme="majorBidi" w:hAnsiTheme="majorBidi"/>
          <w:color w:val="auto"/>
          <w:sz w:val="24"/>
          <w:szCs w:val="24"/>
          <w:u w:val="single"/>
        </w:rPr>
      </w:pPr>
      <w:r w:rsidRPr="0058799E">
        <w:rPr>
          <w:rFonts w:asciiTheme="majorBidi" w:hAnsiTheme="majorBidi"/>
          <w:color w:val="auto"/>
          <w:sz w:val="24"/>
          <w:szCs w:val="24"/>
          <w:u w:val="single"/>
        </w:rPr>
        <w:t>Neglect of material</w:t>
      </w:r>
      <w:r w:rsidR="00391679" w:rsidRPr="0058799E">
        <w:rPr>
          <w:rFonts w:asciiTheme="majorBidi" w:hAnsiTheme="majorBidi"/>
          <w:color w:val="auto"/>
          <w:sz w:val="24"/>
          <w:szCs w:val="24"/>
          <w:u w:val="single"/>
        </w:rPr>
        <w:t xml:space="preserve"> needs and</w:t>
      </w:r>
      <w:r w:rsidR="00BC0BB8" w:rsidRPr="0058799E">
        <w:rPr>
          <w:rFonts w:asciiTheme="majorBidi" w:hAnsiTheme="majorBidi"/>
          <w:color w:val="auto"/>
          <w:sz w:val="24"/>
          <w:szCs w:val="24"/>
          <w:u w:val="single"/>
        </w:rPr>
        <w:t xml:space="preserve"> </w:t>
      </w:r>
      <w:r w:rsidR="00D95202" w:rsidRPr="0058799E">
        <w:rPr>
          <w:rFonts w:asciiTheme="majorBidi" w:hAnsiTheme="majorBidi"/>
          <w:color w:val="auto"/>
          <w:sz w:val="24"/>
          <w:szCs w:val="24"/>
          <w:u w:val="single"/>
        </w:rPr>
        <w:t>absent</w:t>
      </w:r>
      <w:r w:rsidRPr="0058799E">
        <w:rPr>
          <w:rFonts w:asciiTheme="majorBidi" w:hAnsiTheme="majorBidi"/>
          <w:color w:val="auto"/>
          <w:sz w:val="24"/>
          <w:szCs w:val="24"/>
          <w:u w:val="single"/>
        </w:rPr>
        <w:t xml:space="preserve"> </w:t>
      </w:r>
      <w:r w:rsidR="00391679" w:rsidRPr="0058799E">
        <w:rPr>
          <w:rFonts w:asciiTheme="majorBidi" w:hAnsiTheme="majorBidi"/>
          <w:color w:val="auto"/>
          <w:sz w:val="24"/>
          <w:szCs w:val="24"/>
          <w:u w:val="single"/>
        </w:rPr>
        <w:t>assist</w:t>
      </w:r>
      <w:r w:rsidRPr="0058799E">
        <w:rPr>
          <w:rFonts w:asciiTheme="majorBidi" w:hAnsiTheme="majorBidi"/>
          <w:color w:val="auto"/>
          <w:sz w:val="24"/>
          <w:szCs w:val="24"/>
          <w:u w:val="single"/>
        </w:rPr>
        <w:t>ance</w:t>
      </w:r>
      <w:r w:rsidR="00BC0BB8" w:rsidRPr="0058799E">
        <w:rPr>
          <w:rFonts w:asciiTheme="majorBidi" w:hAnsiTheme="majorBidi"/>
          <w:color w:val="auto"/>
          <w:sz w:val="24"/>
          <w:szCs w:val="24"/>
          <w:u w:val="single"/>
        </w:rPr>
        <w:t xml:space="preserve"> </w:t>
      </w:r>
      <w:r w:rsidR="00391679" w:rsidRPr="0058799E">
        <w:rPr>
          <w:rFonts w:asciiTheme="majorBidi" w:hAnsiTheme="majorBidi"/>
          <w:color w:val="auto"/>
          <w:sz w:val="24"/>
          <w:szCs w:val="24"/>
          <w:u w:val="single"/>
        </w:rPr>
        <w:t>rights take up</w:t>
      </w:r>
    </w:p>
    <w:p w14:paraId="49AD91E3" w14:textId="2BCC8891" w:rsidR="00AB696B" w:rsidRPr="0053473E" w:rsidRDefault="0053473E" w:rsidP="0053473E">
      <w:pPr>
        <w:tabs>
          <w:tab w:val="left" w:pos="180"/>
          <w:tab w:val="left" w:pos="360"/>
        </w:tabs>
        <w:spacing w:after="0" w:line="480" w:lineRule="auto"/>
        <w:rPr>
          <w:rFonts w:asciiTheme="majorBidi" w:hAnsiTheme="majorBidi" w:cstheme="majorBidi"/>
          <w:sz w:val="24"/>
          <w:szCs w:val="24"/>
        </w:rPr>
      </w:pPr>
      <w:r w:rsidRPr="0053473E">
        <w:rPr>
          <w:rFonts w:asciiTheme="majorBidi" w:hAnsiTheme="majorBidi" w:cstheme="majorBidi"/>
          <w:sz w:val="24"/>
          <w:szCs w:val="24"/>
        </w:rPr>
        <w:t xml:space="preserve">Two </w:t>
      </w:r>
      <w:r>
        <w:rPr>
          <w:rFonts w:asciiTheme="majorBidi" w:hAnsiTheme="majorBidi" w:cstheme="majorBidi"/>
          <w:sz w:val="24"/>
          <w:szCs w:val="24"/>
        </w:rPr>
        <w:t>aspects reflect the manageria</w:t>
      </w:r>
      <w:r w:rsidR="009E0931">
        <w:rPr>
          <w:rFonts w:asciiTheme="majorBidi" w:hAnsiTheme="majorBidi" w:cstheme="majorBidi"/>
          <w:sz w:val="24"/>
          <w:szCs w:val="24"/>
        </w:rPr>
        <w:t>l</w:t>
      </w:r>
      <w:r>
        <w:rPr>
          <w:rFonts w:asciiTheme="majorBidi" w:hAnsiTheme="majorBidi" w:cstheme="majorBidi"/>
          <w:sz w:val="24"/>
          <w:szCs w:val="24"/>
        </w:rPr>
        <w:t xml:space="preserve">ist regime at the welfare ministry: </w:t>
      </w:r>
      <w:r w:rsidR="00D95202">
        <w:rPr>
          <w:rFonts w:asciiTheme="majorBidi" w:hAnsiTheme="majorBidi" w:cstheme="majorBidi"/>
          <w:sz w:val="24"/>
          <w:szCs w:val="24"/>
        </w:rPr>
        <w:t>absent</w:t>
      </w:r>
      <w:r>
        <w:rPr>
          <w:rFonts w:asciiTheme="majorBidi" w:hAnsiTheme="majorBidi" w:cstheme="majorBidi"/>
          <w:sz w:val="24"/>
          <w:szCs w:val="24"/>
        </w:rPr>
        <w:t xml:space="preserve"> financial support and </w:t>
      </w:r>
      <w:r w:rsidR="00D95202">
        <w:rPr>
          <w:rFonts w:asciiTheme="majorBidi" w:hAnsiTheme="majorBidi" w:cstheme="majorBidi"/>
          <w:sz w:val="24"/>
          <w:szCs w:val="24"/>
        </w:rPr>
        <w:t>understaffing</w:t>
      </w:r>
      <w:r>
        <w:rPr>
          <w:rFonts w:asciiTheme="majorBidi" w:hAnsiTheme="majorBidi" w:cstheme="majorBidi"/>
          <w:sz w:val="24"/>
          <w:szCs w:val="24"/>
        </w:rPr>
        <w:t xml:space="preserve"> that results in cuts in what is perceived as necessary budgeting for the social services responding to the needs of IPV survivors. As shown by Weissmann (</w:t>
      </w:r>
      <w:r w:rsidR="003F686B">
        <w:rPr>
          <w:rFonts w:asciiTheme="majorBidi" w:hAnsiTheme="majorBidi" w:cstheme="majorBidi"/>
          <w:sz w:val="24"/>
          <w:szCs w:val="24"/>
        </w:rPr>
        <w:t>20</w:t>
      </w:r>
      <w:r w:rsidR="00971479">
        <w:rPr>
          <w:rFonts w:asciiTheme="majorBidi" w:hAnsiTheme="majorBidi" w:cstheme="majorBidi"/>
          <w:sz w:val="24"/>
          <w:szCs w:val="24"/>
        </w:rPr>
        <w:t>20</w:t>
      </w:r>
      <w:r>
        <w:rPr>
          <w:rFonts w:asciiTheme="majorBidi" w:hAnsiTheme="majorBidi" w:cstheme="majorBidi"/>
          <w:sz w:val="24"/>
          <w:szCs w:val="24"/>
        </w:rPr>
        <w:t>)</w:t>
      </w:r>
      <w:r w:rsidR="00D95202">
        <w:rPr>
          <w:rFonts w:asciiTheme="majorBidi" w:hAnsiTheme="majorBidi" w:cstheme="majorBidi"/>
          <w:sz w:val="24"/>
          <w:szCs w:val="24"/>
        </w:rPr>
        <w:t xml:space="preserve"> social services for survivors tend to shift the responsibility for the economic consequences of IPV to survivors’ shoulders, partly, in order to protect institutional economic interests</w:t>
      </w:r>
      <w:r w:rsidR="003F686B">
        <w:rPr>
          <w:rFonts w:asciiTheme="majorBidi" w:hAnsiTheme="majorBidi" w:cstheme="majorBidi"/>
          <w:sz w:val="24"/>
          <w:szCs w:val="24"/>
        </w:rPr>
        <w:t>.</w:t>
      </w:r>
      <w:r>
        <w:rPr>
          <w:rFonts w:asciiTheme="majorBidi" w:hAnsiTheme="majorBidi" w:cstheme="majorBidi"/>
          <w:sz w:val="24"/>
          <w:szCs w:val="24"/>
        </w:rPr>
        <w:t xml:space="preserve"> </w:t>
      </w:r>
      <w:r w:rsidR="00D95202">
        <w:rPr>
          <w:rFonts w:asciiTheme="majorBidi" w:hAnsiTheme="majorBidi" w:cstheme="majorBidi"/>
          <w:sz w:val="24"/>
          <w:szCs w:val="24"/>
        </w:rPr>
        <w:t>The low levels of support alienate some of the social workers who feel that they should have been able to provide more respectable support.</w:t>
      </w:r>
      <w:r>
        <w:rPr>
          <w:rFonts w:asciiTheme="majorBidi" w:hAnsiTheme="majorBidi" w:cstheme="majorBidi"/>
          <w:sz w:val="24"/>
          <w:szCs w:val="24"/>
        </w:rPr>
        <w:t xml:space="preserve"> </w:t>
      </w:r>
    </w:p>
    <w:p w14:paraId="13DC2C2F" w14:textId="5B7296E6" w:rsidR="003E4BC8" w:rsidRDefault="003E4BC8" w:rsidP="00A64F66">
      <w:pPr>
        <w:spacing w:line="480" w:lineRule="auto"/>
        <w:ind w:left="720" w:right="877"/>
        <w:jc w:val="both"/>
        <w:rPr>
          <w:rFonts w:asciiTheme="majorBidi" w:hAnsiTheme="majorBidi" w:cstheme="majorBidi"/>
          <w:sz w:val="24"/>
          <w:szCs w:val="24"/>
        </w:rPr>
      </w:pPr>
      <w:r w:rsidRPr="00A64F66">
        <w:rPr>
          <w:rFonts w:asciiTheme="majorBidi" w:hAnsiTheme="majorBidi" w:cstheme="majorBidi"/>
          <w:sz w:val="24"/>
          <w:szCs w:val="24"/>
        </w:rPr>
        <w:t xml:space="preserve">The financial aid we give is a joke. We’re allowed to give [for] clothing, that’s about 300 NIS a year. It depends, if you have many kids, you get 600 NIS. Amazing... If you buy a cupboard, [you need to] bring in three [price] quotes. Based on your income – we’ll see </w:t>
      </w:r>
      <w:r w:rsidRPr="00A64F66">
        <w:rPr>
          <w:rFonts w:asciiTheme="majorBidi" w:hAnsiTheme="majorBidi" w:cstheme="majorBidi"/>
          <w:sz w:val="24"/>
          <w:szCs w:val="24"/>
        </w:rPr>
        <w:lastRenderedPageBreak/>
        <w:t>if we can help you. If there’s an after-school activity for your child, show us a quote. Some things we help with indirectly, clothing is something more direct</w:t>
      </w:r>
      <w:r w:rsidR="00AB696B">
        <w:rPr>
          <w:rFonts w:asciiTheme="majorBidi" w:hAnsiTheme="majorBidi" w:cstheme="majorBidi"/>
          <w:sz w:val="24"/>
          <w:szCs w:val="24"/>
        </w:rPr>
        <w:t xml:space="preserve"> </w:t>
      </w:r>
      <w:r w:rsidRPr="00A64F66">
        <w:rPr>
          <w:rFonts w:asciiTheme="majorBidi" w:hAnsiTheme="majorBidi" w:cstheme="majorBidi"/>
          <w:sz w:val="24"/>
          <w:szCs w:val="24"/>
        </w:rPr>
        <w:t>(MD, violence referent social worker).</w:t>
      </w:r>
    </w:p>
    <w:p w14:paraId="032E52F7" w14:textId="57F14D0C" w:rsidR="009F40D3" w:rsidRPr="00A64F66" w:rsidRDefault="00D95202" w:rsidP="00D95202">
      <w:pPr>
        <w:spacing w:line="480" w:lineRule="auto"/>
        <w:ind w:right="877"/>
        <w:jc w:val="both"/>
        <w:rPr>
          <w:rFonts w:asciiTheme="majorBidi" w:hAnsiTheme="majorBidi" w:cstheme="majorBidi"/>
          <w:sz w:val="24"/>
          <w:szCs w:val="24"/>
        </w:rPr>
      </w:pPr>
      <w:r>
        <w:rPr>
          <w:rFonts w:asciiTheme="majorBidi" w:hAnsiTheme="majorBidi" w:cstheme="majorBidi"/>
          <w:sz w:val="24"/>
          <w:szCs w:val="24"/>
        </w:rPr>
        <w:t>The social worker underscores the controlling nature of the provided support: insisting on evidence (receipts) for each small expense</w:t>
      </w:r>
      <w:r w:rsidRPr="00A8044E">
        <w:rPr>
          <w:rFonts w:asciiTheme="majorBidi" w:hAnsiTheme="majorBidi" w:cstheme="majorBidi"/>
          <w:sz w:val="24"/>
          <w:szCs w:val="24"/>
        </w:rPr>
        <w:t>, enslaving survivors into the bureaucratic procedures of repeated claims (Krumer-Nevo</w:t>
      </w:r>
      <w:r w:rsidR="00CF4D0F">
        <w:rPr>
          <w:rFonts w:asciiTheme="majorBidi" w:hAnsiTheme="majorBidi" w:cstheme="majorBidi"/>
          <w:sz w:val="24"/>
          <w:szCs w:val="24"/>
        </w:rPr>
        <w:t xml:space="preserve"> et el.</w:t>
      </w:r>
      <w:r w:rsidRPr="00A8044E">
        <w:rPr>
          <w:rFonts w:asciiTheme="majorBidi" w:hAnsiTheme="majorBidi" w:cstheme="majorBidi"/>
          <w:sz w:val="24"/>
          <w:szCs w:val="24"/>
        </w:rPr>
        <w:t xml:space="preserve">, </w:t>
      </w:r>
      <w:r w:rsidR="00CF4D0F">
        <w:rPr>
          <w:rFonts w:asciiTheme="majorBidi" w:hAnsiTheme="majorBidi" w:cstheme="majorBidi"/>
          <w:sz w:val="24"/>
          <w:szCs w:val="24"/>
        </w:rPr>
        <w:t>2017</w:t>
      </w:r>
      <w:r w:rsidRPr="00A8044E">
        <w:rPr>
          <w:rFonts w:asciiTheme="majorBidi" w:hAnsiTheme="majorBidi" w:cstheme="majorBidi"/>
          <w:sz w:val="24"/>
          <w:szCs w:val="24"/>
        </w:rPr>
        <w:t>).</w:t>
      </w:r>
      <w:r>
        <w:rPr>
          <w:rFonts w:asciiTheme="majorBidi" w:hAnsiTheme="majorBidi" w:cstheme="majorBidi"/>
          <w:sz w:val="24"/>
          <w:szCs w:val="24"/>
        </w:rPr>
        <w:t xml:space="preserve"> </w:t>
      </w:r>
      <w:r w:rsidR="00A8044E">
        <w:rPr>
          <w:rFonts w:asciiTheme="majorBidi" w:hAnsiTheme="majorBidi" w:cstheme="majorBidi"/>
          <w:sz w:val="24"/>
          <w:szCs w:val="24"/>
        </w:rPr>
        <w:t>Next to demanding that applicants will repeatedly present the right documents including all required documents as a form of administrative exclusion (Brodkin, 2012), survivors are left on long waiting lists caused by under-staffing:</w:t>
      </w:r>
      <w:r>
        <w:rPr>
          <w:rFonts w:asciiTheme="majorBidi" w:hAnsiTheme="majorBidi" w:cstheme="majorBidi"/>
          <w:sz w:val="24"/>
          <w:szCs w:val="24"/>
        </w:rPr>
        <w:t xml:space="preserve"> </w:t>
      </w:r>
    </w:p>
    <w:p w14:paraId="5B187961" w14:textId="3CDB00DB" w:rsidR="009074C6" w:rsidRPr="00A64F66" w:rsidRDefault="003E4BC8" w:rsidP="00A64F66">
      <w:pPr>
        <w:spacing w:line="480" w:lineRule="auto"/>
        <w:ind w:left="720" w:right="1019"/>
        <w:jc w:val="both"/>
        <w:rPr>
          <w:rFonts w:asciiTheme="majorBidi" w:hAnsiTheme="majorBidi" w:cstheme="majorBidi"/>
          <w:sz w:val="24"/>
          <w:szCs w:val="24"/>
          <w:rtl/>
        </w:rPr>
      </w:pPr>
      <w:r w:rsidRPr="00A64F66">
        <w:rPr>
          <w:rFonts w:asciiTheme="majorBidi" w:hAnsiTheme="majorBidi" w:cstheme="majorBidi"/>
          <w:sz w:val="24"/>
          <w:szCs w:val="24"/>
        </w:rPr>
        <w:t xml:space="preserve">We have a lot of </w:t>
      </w:r>
      <w:r w:rsidRPr="00A64F66">
        <w:rPr>
          <w:rFonts w:asciiTheme="majorBidi" w:hAnsiTheme="majorBidi" w:cstheme="majorBidi"/>
          <w:sz w:val="24"/>
          <w:szCs w:val="24"/>
          <w:lang w:val="en-US"/>
        </w:rPr>
        <w:t>women seeking support</w:t>
      </w:r>
      <w:r w:rsidRPr="00A64F66">
        <w:rPr>
          <w:rFonts w:asciiTheme="majorBidi" w:hAnsiTheme="majorBidi" w:cstheme="majorBidi"/>
          <w:sz w:val="24"/>
          <w:szCs w:val="24"/>
        </w:rPr>
        <w:t xml:space="preserve"> on the topic of domestic violence. It's an area that just took a really serious leap, unfortunately, during recent crises. Today we have forty applications on hold, a queue which is unthinkable... This is a field that is always on the rise, but </w:t>
      </w:r>
      <w:r w:rsidR="00584F26" w:rsidRPr="00A64F66">
        <w:rPr>
          <w:rFonts w:asciiTheme="majorBidi" w:hAnsiTheme="majorBidi" w:cstheme="majorBidi"/>
          <w:sz w:val="24"/>
          <w:szCs w:val="24"/>
        </w:rPr>
        <w:t>[recently]</w:t>
      </w:r>
      <w:r w:rsidRPr="00A64F66">
        <w:rPr>
          <w:rFonts w:asciiTheme="majorBidi" w:hAnsiTheme="majorBidi" w:cstheme="majorBidi"/>
          <w:sz w:val="24"/>
          <w:szCs w:val="24"/>
        </w:rPr>
        <w:t xml:space="preserve"> there was a serious boost. And we added a worker, from </w:t>
      </w:r>
      <w:r w:rsidR="00584F26" w:rsidRPr="00A64F66">
        <w:rPr>
          <w:rFonts w:asciiTheme="majorBidi" w:hAnsiTheme="majorBidi" w:cstheme="majorBidi"/>
          <w:sz w:val="24"/>
          <w:szCs w:val="24"/>
        </w:rPr>
        <w:t>the</w:t>
      </w:r>
      <w:r w:rsidRPr="00A64F66">
        <w:rPr>
          <w:rFonts w:asciiTheme="majorBidi" w:hAnsiTheme="majorBidi" w:cstheme="majorBidi"/>
          <w:sz w:val="24"/>
          <w:szCs w:val="24"/>
        </w:rPr>
        <w:t xml:space="preserve"> municipal </w:t>
      </w:r>
      <w:r w:rsidR="00584F26" w:rsidRPr="00A64F66">
        <w:rPr>
          <w:rFonts w:asciiTheme="majorBidi" w:hAnsiTheme="majorBidi" w:cstheme="majorBidi"/>
          <w:sz w:val="24"/>
          <w:szCs w:val="24"/>
        </w:rPr>
        <w:t>welfare services</w:t>
      </w:r>
      <w:r w:rsidRPr="00A64F66">
        <w:rPr>
          <w:rFonts w:asciiTheme="majorBidi" w:hAnsiTheme="majorBidi" w:cstheme="majorBidi"/>
          <w:sz w:val="24"/>
          <w:szCs w:val="24"/>
        </w:rPr>
        <w:t xml:space="preserve"> for the treatment of violence</w:t>
      </w:r>
      <w:r w:rsidR="00A64F66">
        <w:rPr>
          <w:rFonts w:asciiTheme="majorBidi" w:hAnsiTheme="majorBidi" w:cstheme="majorBidi"/>
          <w:sz w:val="24"/>
          <w:szCs w:val="24"/>
        </w:rPr>
        <w:t>"</w:t>
      </w:r>
      <w:r w:rsidRPr="00A64F66">
        <w:rPr>
          <w:rFonts w:asciiTheme="majorBidi" w:hAnsiTheme="majorBidi" w:cstheme="majorBidi"/>
          <w:sz w:val="24"/>
          <w:szCs w:val="24"/>
        </w:rPr>
        <w:t xml:space="preserve"> (director of the social services department, local authority in the center, socio-economic index 7).</w:t>
      </w:r>
    </w:p>
    <w:p w14:paraId="70E94B1A" w14:textId="0EC096B2" w:rsidR="00A67177" w:rsidRDefault="00A67177" w:rsidP="00A67177">
      <w:pPr>
        <w:spacing w:line="480" w:lineRule="auto"/>
        <w:rPr>
          <w:rFonts w:asciiTheme="majorBidi" w:hAnsiTheme="majorBidi" w:cstheme="majorBidi"/>
          <w:sz w:val="24"/>
          <w:szCs w:val="24"/>
        </w:rPr>
      </w:pPr>
      <w:r>
        <w:rPr>
          <w:rFonts w:asciiTheme="majorBidi" w:hAnsiTheme="majorBidi" w:cstheme="majorBidi"/>
          <w:sz w:val="24"/>
          <w:szCs w:val="24"/>
        </w:rPr>
        <w:t xml:space="preserve">The overly long queue does not trigger any allocation of additional resources, exposing the institutional assumption, that there is no urgency in treating survivors’ needs. The director of the welfare department is unable to negotiate additional resources and her realization that survivors do not get the treatment they are eligible for, is left without any impact indicating the deterioration of </w:t>
      </w:r>
      <w:r w:rsidR="0051174E">
        <w:rPr>
          <w:rFonts w:asciiTheme="majorBidi" w:hAnsiTheme="majorBidi" w:cstheme="majorBidi"/>
          <w:sz w:val="24"/>
          <w:szCs w:val="24"/>
        </w:rPr>
        <w:t xml:space="preserve"> the state's commitment</w:t>
      </w:r>
      <w:r>
        <w:rPr>
          <w:rFonts w:asciiTheme="majorBidi" w:hAnsiTheme="majorBidi" w:cstheme="majorBidi"/>
          <w:sz w:val="24"/>
          <w:szCs w:val="24"/>
        </w:rPr>
        <w:t xml:space="preserve"> </w:t>
      </w:r>
      <w:r w:rsidR="00976136">
        <w:rPr>
          <w:rFonts w:asciiTheme="majorBidi" w:hAnsiTheme="majorBidi" w:cstheme="majorBidi"/>
          <w:sz w:val="24"/>
          <w:szCs w:val="24"/>
        </w:rPr>
        <w:t xml:space="preserve">to </w:t>
      </w:r>
      <w:r>
        <w:rPr>
          <w:rFonts w:asciiTheme="majorBidi" w:hAnsiTheme="majorBidi" w:cstheme="majorBidi"/>
          <w:sz w:val="24"/>
          <w:szCs w:val="24"/>
        </w:rPr>
        <w:t>protecting those living with a violent or abusive partner.</w:t>
      </w:r>
    </w:p>
    <w:p w14:paraId="0FF3B8AA" w14:textId="46DDF393" w:rsidR="00EE10B5" w:rsidRPr="003D7EFB" w:rsidRDefault="00A67177" w:rsidP="00CF715D">
      <w:pPr>
        <w:pStyle w:val="Heading2"/>
        <w:spacing w:line="480" w:lineRule="auto"/>
        <w:rPr>
          <w:rFonts w:asciiTheme="majorBidi" w:hAnsiTheme="majorBidi"/>
          <w:color w:val="auto"/>
          <w:sz w:val="24"/>
          <w:szCs w:val="24"/>
          <w:u w:val="single"/>
        </w:rPr>
      </w:pPr>
      <w:r w:rsidRPr="003D7EFB">
        <w:rPr>
          <w:rFonts w:asciiTheme="majorBidi" w:hAnsiTheme="majorBidi"/>
          <w:color w:val="auto"/>
          <w:sz w:val="24"/>
          <w:szCs w:val="24"/>
          <w:u w:val="single"/>
        </w:rPr>
        <w:t>S</w:t>
      </w:r>
      <w:r w:rsidR="00391679" w:rsidRPr="003D7EFB">
        <w:rPr>
          <w:rFonts w:asciiTheme="majorBidi" w:hAnsiTheme="majorBidi"/>
          <w:color w:val="auto"/>
          <w:sz w:val="24"/>
          <w:szCs w:val="24"/>
          <w:u w:val="single"/>
        </w:rPr>
        <w:t>ymmetrical understanding of gender-based violence</w:t>
      </w:r>
    </w:p>
    <w:p w14:paraId="4C967A38" w14:textId="2EEA6901" w:rsidR="0096256B" w:rsidRPr="0096256B" w:rsidRDefault="0096256B" w:rsidP="0096256B">
      <w:pPr>
        <w:pStyle w:val="Body"/>
        <w:bidi w:val="0"/>
        <w:spacing w:line="480" w:lineRule="auto"/>
        <w:rPr>
          <w:rStyle w:val="None"/>
          <w:rFonts w:asciiTheme="majorBidi" w:hAnsiTheme="majorBidi" w:cstheme="majorBidi"/>
          <w:color w:val="auto"/>
          <w:sz w:val="24"/>
          <w:szCs w:val="24"/>
        </w:rPr>
      </w:pPr>
      <w:r w:rsidRPr="0096256B">
        <w:rPr>
          <w:rStyle w:val="None"/>
          <w:rFonts w:asciiTheme="majorBidi" w:hAnsiTheme="majorBidi" w:cstheme="majorBidi"/>
          <w:color w:val="auto"/>
          <w:sz w:val="24"/>
          <w:szCs w:val="24"/>
        </w:rPr>
        <w:t xml:space="preserve">A dominant </w:t>
      </w:r>
      <w:r>
        <w:rPr>
          <w:rStyle w:val="None"/>
          <w:rFonts w:asciiTheme="majorBidi" w:hAnsiTheme="majorBidi" w:cstheme="majorBidi"/>
          <w:color w:val="auto"/>
          <w:sz w:val="24"/>
          <w:szCs w:val="24"/>
        </w:rPr>
        <w:t xml:space="preserve">meaning that repeatedly emerged in the material for the issue of IPV was </w:t>
      </w:r>
      <w:r w:rsidR="00552A40">
        <w:rPr>
          <w:rStyle w:val="None"/>
          <w:rFonts w:asciiTheme="majorBidi" w:hAnsiTheme="majorBidi" w:cstheme="majorBidi"/>
          <w:color w:val="auto"/>
          <w:sz w:val="24"/>
          <w:szCs w:val="24"/>
        </w:rPr>
        <w:t xml:space="preserve">of a transition that occurred in the training courses: a transition from assuming the basic starting point of the encounter with </w:t>
      </w:r>
      <w:r w:rsidR="00552A40">
        <w:rPr>
          <w:rStyle w:val="None"/>
          <w:rFonts w:asciiTheme="majorBidi" w:hAnsiTheme="majorBidi" w:cstheme="majorBidi"/>
          <w:color w:val="auto"/>
          <w:sz w:val="24"/>
          <w:szCs w:val="24"/>
        </w:rPr>
        <w:lastRenderedPageBreak/>
        <w:t xml:space="preserve">survivors as one in which women need protection from an abusive partner, into a new phase: a starting point of listening to men to the extent of shifting responsibility over the violence to women’s </w:t>
      </w:r>
      <w:r w:rsidR="0012209C">
        <w:rPr>
          <w:rStyle w:val="None"/>
          <w:rFonts w:asciiTheme="majorBidi" w:hAnsiTheme="majorBidi" w:cstheme="majorBidi"/>
          <w:color w:val="auto"/>
          <w:sz w:val="24"/>
          <w:szCs w:val="24"/>
        </w:rPr>
        <w:t>demeanor</w:t>
      </w:r>
      <w:r w:rsidR="00552A40">
        <w:rPr>
          <w:rStyle w:val="None"/>
          <w:rFonts w:asciiTheme="majorBidi" w:hAnsiTheme="majorBidi" w:cstheme="majorBidi"/>
          <w:color w:val="auto"/>
          <w:sz w:val="24"/>
          <w:szCs w:val="24"/>
        </w:rPr>
        <w:t xml:space="preserve"> or failures. Here’s how a training is described:</w:t>
      </w:r>
    </w:p>
    <w:p w14:paraId="6CD3EC53" w14:textId="0D61DEE4" w:rsidR="0096256B" w:rsidRDefault="0096256B" w:rsidP="0096256B">
      <w:pPr>
        <w:pStyle w:val="Body"/>
        <w:bidi w:val="0"/>
        <w:spacing w:line="480" w:lineRule="auto"/>
        <w:ind w:left="1418"/>
        <w:rPr>
          <w:rStyle w:val="None"/>
          <w:rFonts w:asciiTheme="majorBidi" w:hAnsiTheme="majorBidi" w:cstheme="majorBidi"/>
          <w:color w:val="auto"/>
          <w:sz w:val="24"/>
          <w:szCs w:val="24"/>
        </w:rPr>
      </w:pPr>
      <w:r w:rsidRPr="00126694">
        <w:rPr>
          <w:rStyle w:val="None"/>
          <w:rFonts w:asciiTheme="majorBidi" w:hAnsiTheme="majorBidi" w:cstheme="majorBidi"/>
          <w:color w:val="auto"/>
          <w:sz w:val="24"/>
          <w:szCs w:val="24"/>
        </w:rPr>
        <w:t>I think that it's a matter of really being increasingly more exposed to men who report. Those who treat men are speaking of thi</w:t>
      </w:r>
      <w:r w:rsidR="00552A40" w:rsidRPr="00126694">
        <w:rPr>
          <w:rStyle w:val="None"/>
          <w:rFonts w:asciiTheme="majorBidi" w:hAnsiTheme="majorBidi" w:cstheme="majorBidi"/>
          <w:color w:val="auto"/>
          <w:sz w:val="24"/>
          <w:szCs w:val="24"/>
        </w:rPr>
        <w:t xml:space="preserve">s, of </w:t>
      </w:r>
      <w:r w:rsidRPr="00126694">
        <w:rPr>
          <w:rStyle w:val="None"/>
          <w:rFonts w:asciiTheme="majorBidi" w:hAnsiTheme="majorBidi" w:cstheme="majorBidi"/>
          <w:color w:val="auto"/>
          <w:sz w:val="24"/>
          <w:szCs w:val="24"/>
        </w:rPr>
        <w:t>the</w:t>
      </w:r>
      <w:r w:rsidR="00552A40" w:rsidRPr="00126694">
        <w:rPr>
          <w:rStyle w:val="None"/>
          <w:rFonts w:asciiTheme="majorBidi" w:hAnsiTheme="majorBidi" w:cstheme="majorBidi"/>
          <w:color w:val="auto"/>
          <w:sz w:val="24"/>
          <w:szCs w:val="24"/>
        </w:rPr>
        <w:t>ir</w:t>
      </w:r>
      <w:r w:rsidRPr="00126694">
        <w:rPr>
          <w:rStyle w:val="None"/>
          <w:rFonts w:asciiTheme="majorBidi" w:hAnsiTheme="majorBidi" w:cstheme="majorBidi"/>
          <w:color w:val="auto"/>
          <w:sz w:val="24"/>
          <w:szCs w:val="24"/>
        </w:rPr>
        <w:t xml:space="preserve"> parts that are hurt</w:t>
      </w:r>
      <w:r w:rsidR="00552A40" w:rsidRPr="00126694">
        <w:rPr>
          <w:rStyle w:val="None"/>
          <w:rFonts w:asciiTheme="majorBidi" w:hAnsiTheme="majorBidi" w:cstheme="majorBidi"/>
          <w:color w:val="auto"/>
          <w:sz w:val="24"/>
          <w:szCs w:val="24"/>
        </w:rPr>
        <w:t>.</w:t>
      </w:r>
      <w:r w:rsidRPr="00126694">
        <w:rPr>
          <w:rStyle w:val="None"/>
          <w:rFonts w:asciiTheme="majorBidi" w:hAnsiTheme="majorBidi" w:cstheme="majorBidi"/>
          <w:color w:val="auto"/>
          <w:sz w:val="24"/>
          <w:szCs w:val="24"/>
        </w:rPr>
        <w:t xml:space="preserve"> </w:t>
      </w:r>
      <w:r w:rsidR="00552A40" w:rsidRPr="00126694">
        <w:rPr>
          <w:rStyle w:val="None"/>
          <w:rFonts w:asciiTheme="majorBidi" w:hAnsiTheme="majorBidi" w:cstheme="majorBidi"/>
          <w:color w:val="auto"/>
          <w:sz w:val="24"/>
          <w:szCs w:val="24"/>
        </w:rPr>
        <w:t>A</w:t>
      </w:r>
      <w:r w:rsidRPr="00126694">
        <w:rPr>
          <w:rStyle w:val="None"/>
          <w:rFonts w:asciiTheme="majorBidi" w:hAnsiTheme="majorBidi" w:cstheme="majorBidi"/>
          <w:color w:val="auto"/>
          <w:sz w:val="24"/>
          <w:szCs w:val="24"/>
        </w:rPr>
        <w:t xml:space="preserve">nd there is presently a lot of research on this aspect, and </w:t>
      </w:r>
      <w:r w:rsidR="00552A40" w:rsidRPr="00126694">
        <w:rPr>
          <w:rStyle w:val="None"/>
          <w:rFonts w:asciiTheme="majorBidi" w:hAnsiTheme="majorBidi" w:cstheme="majorBidi"/>
          <w:color w:val="auto"/>
          <w:sz w:val="24"/>
          <w:szCs w:val="24"/>
        </w:rPr>
        <w:t xml:space="preserve">we already attended </w:t>
      </w:r>
      <w:r w:rsidRPr="00126694">
        <w:rPr>
          <w:rStyle w:val="None"/>
          <w:rFonts w:asciiTheme="majorBidi" w:hAnsiTheme="majorBidi" w:cstheme="majorBidi"/>
          <w:color w:val="auto"/>
          <w:sz w:val="24"/>
          <w:szCs w:val="24"/>
        </w:rPr>
        <w:t xml:space="preserve">several concentrated </w:t>
      </w:r>
      <w:r w:rsidR="00552A40" w:rsidRPr="00126694">
        <w:rPr>
          <w:rStyle w:val="None"/>
          <w:rFonts w:asciiTheme="majorBidi" w:hAnsiTheme="majorBidi" w:cstheme="majorBidi"/>
          <w:color w:val="auto"/>
          <w:sz w:val="24"/>
          <w:szCs w:val="24"/>
        </w:rPr>
        <w:t>training</w:t>
      </w:r>
      <w:r w:rsidRPr="00126694">
        <w:rPr>
          <w:rStyle w:val="None"/>
          <w:rFonts w:asciiTheme="majorBidi" w:hAnsiTheme="majorBidi" w:cstheme="majorBidi"/>
          <w:color w:val="auto"/>
          <w:sz w:val="24"/>
          <w:szCs w:val="24"/>
        </w:rPr>
        <w:t xml:space="preserve"> days</w:t>
      </w:r>
      <w:r w:rsidR="00552A40" w:rsidRPr="00126694">
        <w:rPr>
          <w:rStyle w:val="None"/>
          <w:rFonts w:asciiTheme="majorBidi" w:hAnsiTheme="majorBidi" w:cstheme="majorBidi"/>
          <w:color w:val="auto"/>
          <w:sz w:val="24"/>
          <w:szCs w:val="24"/>
        </w:rPr>
        <w:t xml:space="preserve"> on the subject</w:t>
      </w:r>
      <w:r w:rsidRPr="00126694">
        <w:rPr>
          <w:rStyle w:val="None"/>
          <w:rFonts w:asciiTheme="majorBidi" w:hAnsiTheme="majorBidi" w:cstheme="majorBidi"/>
          <w:color w:val="auto"/>
          <w:sz w:val="24"/>
          <w:szCs w:val="24"/>
        </w:rPr>
        <w:t>. It enters and you begin listen to it and hear it</w:t>
      </w:r>
      <w:r w:rsidR="00552A40" w:rsidRPr="00126694">
        <w:rPr>
          <w:rStyle w:val="None"/>
          <w:rFonts w:asciiTheme="majorBidi" w:hAnsiTheme="majorBidi" w:cstheme="majorBidi"/>
          <w:color w:val="auto"/>
          <w:sz w:val="24"/>
          <w:szCs w:val="24"/>
        </w:rPr>
        <w:t xml:space="preserve">… </w:t>
      </w:r>
      <w:r w:rsidR="009D6C60" w:rsidRPr="00126694">
        <w:rPr>
          <w:rStyle w:val="None"/>
          <w:rFonts w:asciiTheme="majorBidi" w:hAnsiTheme="majorBidi" w:cstheme="majorBidi" w:hint="cs"/>
          <w:color w:val="auto"/>
          <w:sz w:val="24"/>
          <w:szCs w:val="24"/>
        </w:rPr>
        <w:t>I</w:t>
      </w:r>
      <w:r w:rsidR="00552A40" w:rsidRPr="00126694">
        <w:rPr>
          <w:rStyle w:val="None"/>
          <w:rFonts w:asciiTheme="majorBidi" w:hAnsiTheme="majorBidi" w:cstheme="majorBidi"/>
          <w:color w:val="auto"/>
          <w:sz w:val="24"/>
          <w:szCs w:val="24"/>
        </w:rPr>
        <w:t>t</w:t>
      </w:r>
      <w:r w:rsidR="00552A40">
        <w:rPr>
          <w:rStyle w:val="None"/>
          <w:rFonts w:asciiTheme="majorBidi" w:hAnsiTheme="majorBidi" w:cstheme="majorBidi"/>
          <w:color w:val="auto"/>
          <w:sz w:val="24"/>
          <w:szCs w:val="24"/>
        </w:rPr>
        <w:t xml:space="preserve"> was </w:t>
      </w:r>
      <w:r w:rsidR="0012209C">
        <w:rPr>
          <w:rStyle w:val="None"/>
          <w:rFonts w:asciiTheme="majorBidi" w:hAnsiTheme="majorBidi" w:cstheme="majorBidi"/>
          <w:color w:val="auto"/>
          <w:sz w:val="24"/>
          <w:szCs w:val="24"/>
        </w:rPr>
        <w:t>fascinating</w:t>
      </w:r>
      <w:r w:rsidR="00552A40">
        <w:rPr>
          <w:rStyle w:val="None"/>
          <w:rFonts w:asciiTheme="majorBidi" w:hAnsiTheme="majorBidi" w:cstheme="majorBidi"/>
          <w:color w:val="auto"/>
          <w:sz w:val="24"/>
          <w:szCs w:val="24"/>
        </w:rPr>
        <w:t>. You know, there was a time in which I guided a group of new social workers</w:t>
      </w:r>
      <w:r w:rsidR="009D6C60">
        <w:rPr>
          <w:rStyle w:val="None"/>
          <w:rFonts w:asciiTheme="majorBidi" w:hAnsiTheme="majorBidi" w:cstheme="majorBidi"/>
          <w:color w:val="auto"/>
          <w:sz w:val="24"/>
          <w:szCs w:val="24"/>
        </w:rPr>
        <w:t>, I began by an exercise that asked which violence women experience from men and which violence men experience from women. What they wrote was completely the same” (</w:t>
      </w:r>
      <w:r w:rsidR="009D6C60">
        <w:rPr>
          <w:rStyle w:val="None"/>
          <w:rFonts w:asciiTheme="majorBidi" w:hAnsiTheme="majorBidi" w:cstheme="majorBidi" w:hint="cs"/>
          <w:color w:val="auto"/>
          <w:sz w:val="24"/>
          <w:szCs w:val="24"/>
          <w:rtl/>
        </w:rPr>
        <w:t>נתניה</w:t>
      </w:r>
      <w:r w:rsidR="009D6C60">
        <w:rPr>
          <w:rStyle w:val="None"/>
          <w:rFonts w:asciiTheme="majorBidi" w:hAnsiTheme="majorBidi" w:cstheme="majorBidi"/>
          <w:color w:val="auto"/>
          <w:sz w:val="24"/>
          <w:szCs w:val="24"/>
        </w:rPr>
        <w:t xml:space="preserve"> </w:t>
      </w:r>
      <w:r w:rsidR="009D6C60">
        <w:rPr>
          <w:rStyle w:val="None"/>
          <w:rFonts w:asciiTheme="majorBidi" w:hAnsiTheme="majorBidi" w:cstheme="majorBidi" w:hint="cs"/>
          <w:color w:val="auto"/>
          <w:sz w:val="24"/>
          <w:szCs w:val="24"/>
          <w:rtl/>
        </w:rPr>
        <w:t>(</w:t>
      </w:r>
    </w:p>
    <w:p w14:paraId="4A0C2CB4" w14:textId="51B47B2B" w:rsidR="009D6C60" w:rsidRDefault="009D6C60" w:rsidP="0096256B">
      <w:pPr>
        <w:pStyle w:val="Body"/>
        <w:shd w:val="clear" w:color="auto" w:fill="FFFFFF"/>
        <w:bidi w:val="0"/>
        <w:spacing w:after="0" w:line="480" w:lineRule="auto"/>
        <w:rPr>
          <w:rStyle w:val="None"/>
          <w:rFonts w:asciiTheme="majorBidi" w:hAnsiTheme="majorBidi" w:cstheme="majorBidi"/>
          <w:color w:val="auto"/>
          <w:sz w:val="24"/>
          <w:szCs w:val="24"/>
        </w:rPr>
      </w:pPr>
      <w:r>
        <w:rPr>
          <w:rStyle w:val="None"/>
          <w:rFonts w:asciiTheme="majorBidi" w:hAnsiTheme="majorBidi" w:cstheme="majorBidi"/>
          <w:color w:val="auto"/>
          <w:sz w:val="24"/>
          <w:szCs w:val="24"/>
        </w:rPr>
        <w:t xml:space="preserve">Intensified training is described as introducing the notion of </w:t>
      </w:r>
      <w:r w:rsidR="002F30D5">
        <w:rPr>
          <w:rStyle w:val="None"/>
          <w:rFonts w:asciiTheme="majorBidi" w:hAnsiTheme="majorBidi" w:cstheme="majorBidi"/>
          <w:color w:val="auto"/>
          <w:sz w:val="24"/>
          <w:szCs w:val="24"/>
        </w:rPr>
        <w:t>symmetry</w:t>
      </w:r>
      <w:r>
        <w:rPr>
          <w:rStyle w:val="None"/>
          <w:rFonts w:asciiTheme="majorBidi" w:hAnsiTheme="majorBidi" w:cstheme="majorBidi"/>
          <w:color w:val="auto"/>
          <w:sz w:val="24"/>
          <w:szCs w:val="24"/>
        </w:rPr>
        <w:t xml:space="preserve"> between men’s and women’s violent </w:t>
      </w:r>
      <w:r w:rsidR="002F30D5">
        <w:rPr>
          <w:rStyle w:val="None"/>
          <w:rFonts w:asciiTheme="majorBidi" w:hAnsiTheme="majorBidi" w:cstheme="majorBidi"/>
          <w:color w:val="auto"/>
          <w:sz w:val="24"/>
          <w:szCs w:val="24"/>
        </w:rPr>
        <w:t>behavior</w:t>
      </w:r>
      <w:r>
        <w:rPr>
          <w:rStyle w:val="None"/>
          <w:rFonts w:asciiTheme="majorBidi" w:hAnsiTheme="majorBidi" w:cstheme="majorBidi"/>
          <w:color w:val="auto"/>
          <w:sz w:val="24"/>
          <w:szCs w:val="24"/>
        </w:rPr>
        <w:t xml:space="preserve"> necessitating the development of the ability to listen to men’s feelings and generating the possibility to </w:t>
      </w:r>
      <w:r w:rsidR="00117328">
        <w:rPr>
          <w:rStyle w:val="None"/>
          <w:rFonts w:asciiTheme="majorBidi" w:hAnsiTheme="majorBidi" w:cstheme="majorBidi"/>
          <w:color w:val="auto"/>
          <w:sz w:val="24"/>
          <w:szCs w:val="24"/>
        </w:rPr>
        <w:t>split</w:t>
      </w:r>
      <w:r>
        <w:rPr>
          <w:rStyle w:val="None"/>
          <w:rFonts w:asciiTheme="majorBidi" w:hAnsiTheme="majorBidi" w:cstheme="majorBidi"/>
          <w:color w:val="auto"/>
          <w:sz w:val="24"/>
          <w:szCs w:val="24"/>
        </w:rPr>
        <w:t xml:space="preserve"> the responsibility over the violence between men and women. The messages were conveyed as part of a professional approach based on allegedly extensive research presenting evidence for women’s violence and </w:t>
      </w:r>
      <w:r w:rsidR="00117328">
        <w:rPr>
          <w:rStyle w:val="None"/>
          <w:rFonts w:asciiTheme="majorBidi" w:hAnsiTheme="majorBidi" w:cstheme="majorBidi"/>
          <w:color w:val="auto"/>
          <w:sz w:val="24"/>
          <w:szCs w:val="24"/>
        </w:rPr>
        <w:t>women-triggering</w:t>
      </w:r>
      <w:r>
        <w:rPr>
          <w:rStyle w:val="None"/>
          <w:rFonts w:asciiTheme="majorBidi" w:hAnsiTheme="majorBidi" w:cstheme="majorBidi"/>
          <w:color w:val="auto"/>
          <w:sz w:val="24"/>
          <w:szCs w:val="24"/>
        </w:rPr>
        <w:t xml:space="preserve"> violence. </w:t>
      </w:r>
      <w:r w:rsidR="00117328">
        <w:rPr>
          <w:rStyle w:val="None"/>
          <w:rFonts w:asciiTheme="majorBidi" w:hAnsiTheme="majorBidi" w:cstheme="majorBidi"/>
          <w:color w:val="auto"/>
          <w:sz w:val="24"/>
          <w:szCs w:val="24"/>
        </w:rPr>
        <w:t xml:space="preserve">Symmetry-oriented training courses were organized by the Ministry's official training to the extent of the professional knowledge </w:t>
      </w:r>
      <w:r w:rsidR="00126694">
        <w:rPr>
          <w:rStyle w:val="None"/>
          <w:rFonts w:asciiTheme="majorBidi" w:hAnsiTheme="majorBidi" w:cstheme="majorBidi"/>
          <w:color w:val="auto"/>
          <w:sz w:val="24"/>
          <w:szCs w:val="24"/>
        </w:rPr>
        <w:t>became</w:t>
      </w:r>
      <w:r w:rsidR="00117328">
        <w:rPr>
          <w:rStyle w:val="None"/>
          <w:rFonts w:asciiTheme="majorBidi" w:hAnsiTheme="majorBidi" w:cstheme="majorBidi"/>
          <w:color w:val="auto"/>
          <w:sz w:val="24"/>
          <w:szCs w:val="24"/>
        </w:rPr>
        <w:t xml:space="preserve"> saturated with the symmetry assumptions guiding social workers in the DVPCs. </w:t>
      </w:r>
    </w:p>
    <w:p w14:paraId="5BC0144B" w14:textId="77777777" w:rsidR="008D2418" w:rsidRPr="008D2418" w:rsidRDefault="008D2418" w:rsidP="008D2418"/>
    <w:p w14:paraId="46A9B944" w14:textId="7749D467" w:rsidR="00A67177" w:rsidRPr="00126694" w:rsidRDefault="00A7104C" w:rsidP="00126694">
      <w:pPr>
        <w:pStyle w:val="Body"/>
        <w:bidi w:val="0"/>
        <w:spacing w:line="480" w:lineRule="auto"/>
        <w:ind w:left="1418"/>
        <w:rPr>
          <w:color w:val="auto"/>
        </w:rPr>
      </w:pPr>
      <w:r w:rsidRPr="00126694">
        <w:rPr>
          <w:rStyle w:val="None"/>
          <w:rFonts w:asciiTheme="majorBidi" w:hAnsiTheme="majorBidi" w:cstheme="majorBidi"/>
          <w:color w:val="auto"/>
          <w:sz w:val="24"/>
          <w:szCs w:val="24"/>
        </w:rPr>
        <w:t>L</w:t>
      </w:r>
      <w:r w:rsidR="009E1856" w:rsidRPr="00126694">
        <w:rPr>
          <w:rStyle w:val="None"/>
          <w:rFonts w:asciiTheme="majorBidi" w:hAnsiTheme="majorBidi" w:cstheme="majorBidi"/>
          <w:color w:val="auto"/>
          <w:sz w:val="24"/>
          <w:szCs w:val="24"/>
        </w:rPr>
        <w:t xml:space="preserve">ook, today </w:t>
      </w:r>
      <w:r w:rsidRPr="00126694">
        <w:rPr>
          <w:rStyle w:val="None"/>
          <w:rFonts w:asciiTheme="majorBidi" w:hAnsiTheme="majorBidi" w:cstheme="majorBidi"/>
          <w:color w:val="auto"/>
          <w:sz w:val="24"/>
          <w:szCs w:val="24"/>
        </w:rPr>
        <w:t>we</w:t>
      </w:r>
      <w:r w:rsidR="009E1856" w:rsidRPr="00126694">
        <w:rPr>
          <w:rStyle w:val="None"/>
          <w:rFonts w:asciiTheme="majorBidi" w:hAnsiTheme="majorBidi" w:cstheme="majorBidi"/>
          <w:color w:val="auto"/>
          <w:sz w:val="24"/>
          <w:szCs w:val="24"/>
        </w:rPr>
        <w:t xml:space="preserve"> use the terminology of staying in a violent </w:t>
      </w:r>
      <w:r w:rsidRPr="00126694">
        <w:rPr>
          <w:rStyle w:val="None"/>
          <w:rFonts w:asciiTheme="majorBidi" w:hAnsiTheme="majorBidi" w:cstheme="majorBidi"/>
          <w:color w:val="auto"/>
          <w:sz w:val="24"/>
          <w:szCs w:val="24"/>
        </w:rPr>
        <w:t>dynamics</w:t>
      </w:r>
      <w:r w:rsidR="009E1856" w:rsidRPr="00126694">
        <w:rPr>
          <w:rStyle w:val="None"/>
          <w:rFonts w:asciiTheme="majorBidi" w:hAnsiTheme="majorBidi" w:cstheme="majorBidi"/>
          <w:color w:val="auto"/>
          <w:sz w:val="24"/>
          <w:szCs w:val="24"/>
        </w:rPr>
        <w:t xml:space="preserve">. </w:t>
      </w:r>
      <w:r w:rsidRPr="00126694">
        <w:rPr>
          <w:rStyle w:val="None"/>
          <w:rFonts w:asciiTheme="majorBidi" w:hAnsiTheme="majorBidi" w:cstheme="majorBidi"/>
          <w:color w:val="auto"/>
          <w:sz w:val="24"/>
          <w:szCs w:val="24"/>
        </w:rPr>
        <w:t>No longer</w:t>
      </w:r>
      <w:r w:rsidR="009E1856" w:rsidRPr="00126694">
        <w:rPr>
          <w:rStyle w:val="None"/>
          <w:rFonts w:asciiTheme="majorBidi" w:hAnsiTheme="majorBidi" w:cstheme="majorBidi"/>
          <w:color w:val="auto"/>
          <w:sz w:val="24"/>
          <w:szCs w:val="24"/>
        </w:rPr>
        <w:t xml:space="preserve"> a </w:t>
      </w:r>
      <w:r w:rsidRPr="00126694">
        <w:rPr>
          <w:rStyle w:val="None"/>
          <w:rFonts w:asciiTheme="majorBidi" w:hAnsiTheme="majorBidi" w:cstheme="majorBidi"/>
          <w:color w:val="auto"/>
          <w:sz w:val="24"/>
          <w:szCs w:val="24"/>
        </w:rPr>
        <w:t>‘</w:t>
      </w:r>
      <w:r w:rsidR="009E1856" w:rsidRPr="00126694">
        <w:rPr>
          <w:rStyle w:val="None"/>
          <w:rFonts w:asciiTheme="majorBidi" w:hAnsiTheme="majorBidi" w:cstheme="majorBidi"/>
          <w:color w:val="auto"/>
          <w:sz w:val="24"/>
          <w:szCs w:val="24"/>
        </w:rPr>
        <w:t>battered woman</w:t>
      </w:r>
      <w:r w:rsidRPr="00126694">
        <w:rPr>
          <w:rStyle w:val="None"/>
          <w:rFonts w:asciiTheme="majorBidi" w:hAnsiTheme="majorBidi" w:cstheme="majorBidi"/>
          <w:color w:val="auto"/>
          <w:sz w:val="24"/>
          <w:szCs w:val="24"/>
        </w:rPr>
        <w:t>’</w:t>
      </w:r>
      <w:r w:rsidR="009E1856" w:rsidRPr="00126694">
        <w:rPr>
          <w:rStyle w:val="None"/>
          <w:rFonts w:asciiTheme="majorBidi" w:hAnsiTheme="majorBidi" w:cstheme="majorBidi"/>
          <w:color w:val="auto"/>
          <w:sz w:val="24"/>
          <w:szCs w:val="24"/>
        </w:rPr>
        <w:t xml:space="preserve"> </w:t>
      </w:r>
      <w:r w:rsidRPr="00126694">
        <w:rPr>
          <w:rStyle w:val="None"/>
          <w:rFonts w:asciiTheme="majorBidi" w:hAnsiTheme="majorBidi" w:cstheme="majorBidi"/>
          <w:color w:val="auto"/>
          <w:sz w:val="24"/>
          <w:szCs w:val="24"/>
        </w:rPr>
        <w:t>or</w:t>
      </w:r>
      <w:r w:rsidR="009E1856" w:rsidRPr="00126694">
        <w:rPr>
          <w:rStyle w:val="None"/>
          <w:rFonts w:asciiTheme="majorBidi" w:hAnsiTheme="majorBidi" w:cstheme="majorBidi"/>
          <w:color w:val="auto"/>
          <w:sz w:val="24"/>
          <w:szCs w:val="24"/>
        </w:rPr>
        <w:t xml:space="preserve"> </w:t>
      </w:r>
      <w:r w:rsidRPr="00126694">
        <w:rPr>
          <w:rStyle w:val="None"/>
          <w:rFonts w:asciiTheme="majorBidi" w:hAnsiTheme="majorBidi" w:cstheme="majorBidi"/>
          <w:color w:val="auto"/>
          <w:sz w:val="24"/>
          <w:szCs w:val="24"/>
        </w:rPr>
        <w:t>‘</w:t>
      </w:r>
      <w:r w:rsidR="009E1856" w:rsidRPr="00126694">
        <w:rPr>
          <w:rStyle w:val="None"/>
          <w:rFonts w:asciiTheme="majorBidi" w:hAnsiTheme="majorBidi" w:cstheme="majorBidi"/>
          <w:color w:val="auto"/>
          <w:sz w:val="24"/>
          <w:szCs w:val="24"/>
        </w:rPr>
        <w:t>a violent man</w:t>
      </w:r>
      <w:r w:rsidRPr="00126694">
        <w:rPr>
          <w:rStyle w:val="None"/>
          <w:rFonts w:asciiTheme="majorBidi" w:hAnsiTheme="majorBidi" w:cstheme="majorBidi"/>
          <w:color w:val="auto"/>
          <w:sz w:val="24"/>
          <w:szCs w:val="24"/>
        </w:rPr>
        <w:t>’</w:t>
      </w:r>
      <w:r w:rsidR="009E1856" w:rsidRPr="00126694">
        <w:rPr>
          <w:rStyle w:val="None"/>
          <w:rFonts w:asciiTheme="majorBidi" w:hAnsiTheme="majorBidi" w:cstheme="majorBidi"/>
          <w:color w:val="auto"/>
          <w:sz w:val="24"/>
          <w:szCs w:val="24"/>
        </w:rPr>
        <w:t xml:space="preserve">. </w:t>
      </w:r>
      <w:r w:rsidR="00E81944" w:rsidRPr="00126694">
        <w:rPr>
          <w:rStyle w:val="None"/>
          <w:rFonts w:asciiTheme="majorBidi" w:hAnsiTheme="majorBidi" w:cstheme="majorBidi" w:hint="cs"/>
          <w:color w:val="auto"/>
          <w:sz w:val="24"/>
          <w:szCs w:val="24"/>
        </w:rPr>
        <w:t>T</w:t>
      </w:r>
      <w:r w:rsidR="009E1856" w:rsidRPr="00126694">
        <w:rPr>
          <w:rStyle w:val="None"/>
          <w:rFonts w:asciiTheme="majorBidi" w:hAnsiTheme="majorBidi" w:cstheme="majorBidi"/>
          <w:color w:val="auto"/>
          <w:sz w:val="24"/>
          <w:szCs w:val="24"/>
        </w:rPr>
        <w:t>here are studies that show that there is almost always some kind of mutual element</w:t>
      </w:r>
      <w:r w:rsidR="00E81944" w:rsidRPr="00126694">
        <w:rPr>
          <w:rStyle w:val="None"/>
          <w:rFonts w:asciiTheme="majorBidi" w:hAnsiTheme="majorBidi" w:cstheme="majorBidi"/>
          <w:color w:val="auto"/>
          <w:sz w:val="24"/>
          <w:szCs w:val="24"/>
        </w:rPr>
        <w:t>. S</w:t>
      </w:r>
      <w:r w:rsidR="009E1856" w:rsidRPr="00126694">
        <w:rPr>
          <w:rStyle w:val="None"/>
          <w:rFonts w:asciiTheme="majorBidi" w:hAnsiTheme="majorBidi" w:cstheme="majorBidi"/>
          <w:color w:val="auto"/>
          <w:sz w:val="24"/>
          <w:szCs w:val="24"/>
        </w:rPr>
        <w:t>o</w:t>
      </w:r>
      <w:r w:rsidR="00E81944" w:rsidRPr="00126694">
        <w:rPr>
          <w:rStyle w:val="None"/>
          <w:rFonts w:asciiTheme="majorBidi" w:hAnsiTheme="majorBidi" w:cstheme="majorBidi"/>
          <w:color w:val="auto"/>
          <w:sz w:val="24"/>
          <w:szCs w:val="24"/>
        </w:rPr>
        <w:t>, while</w:t>
      </w:r>
      <w:r w:rsidR="009E1856" w:rsidRPr="00126694">
        <w:rPr>
          <w:rStyle w:val="None"/>
          <w:rFonts w:asciiTheme="majorBidi" w:hAnsiTheme="majorBidi" w:cstheme="majorBidi"/>
          <w:color w:val="auto"/>
          <w:sz w:val="24"/>
          <w:szCs w:val="24"/>
        </w:rPr>
        <w:t xml:space="preserve"> it is true that the man's violence is much </w:t>
      </w:r>
      <w:r w:rsidR="009E1856" w:rsidRPr="00126694">
        <w:rPr>
          <w:rStyle w:val="None"/>
          <w:rFonts w:asciiTheme="majorBidi" w:hAnsiTheme="majorBidi" w:cstheme="majorBidi"/>
          <w:color w:val="auto"/>
          <w:sz w:val="24"/>
          <w:szCs w:val="24"/>
        </w:rPr>
        <w:lastRenderedPageBreak/>
        <w:t xml:space="preserve">more visible and much more dangerous, </w:t>
      </w:r>
      <w:r w:rsidR="00E81944" w:rsidRPr="00126694">
        <w:rPr>
          <w:rStyle w:val="None"/>
          <w:rFonts w:asciiTheme="majorBidi" w:hAnsiTheme="majorBidi" w:cstheme="majorBidi"/>
          <w:color w:val="auto"/>
          <w:sz w:val="24"/>
          <w:szCs w:val="24"/>
        </w:rPr>
        <w:t xml:space="preserve">the woman is not always in the </w:t>
      </w:r>
      <w:r w:rsidR="009E1856" w:rsidRPr="00126694">
        <w:rPr>
          <w:rStyle w:val="None"/>
          <w:rFonts w:asciiTheme="majorBidi" w:hAnsiTheme="majorBidi" w:cstheme="majorBidi"/>
          <w:color w:val="auto"/>
          <w:sz w:val="24"/>
          <w:szCs w:val="24"/>
        </w:rPr>
        <w:t>place of the victim</w:t>
      </w:r>
      <w:r w:rsidR="00E81944" w:rsidRPr="00126694">
        <w:rPr>
          <w:rStyle w:val="None"/>
          <w:rFonts w:asciiTheme="majorBidi" w:hAnsiTheme="majorBidi" w:cstheme="majorBidi"/>
          <w:color w:val="auto"/>
          <w:sz w:val="24"/>
          <w:szCs w:val="24"/>
        </w:rPr>
        <w:t xml:space="preserve"> only.</w:t>
      </w:r>
      <w:r w:rsidR="009E1856" w:rsidRPr="00126694">
        <w:rPr>
          <w:rStyle w:val="None"/>
          <w:rFonts w:asciiTheme="majorBidi" w:hAnsiTheme="majorBidi" w:cstheme="majorBidi"/>
          <w:color w:val="auto"/>
          <w:sz w:val="24"/>
          <w:szCs w:val="24"/>
        </w:rPr>
        <w:t xml:space="preserve"> </w:t>
      </w:r>
      <w:r w:rsidRPr="00126694">
        <w:rPr>
          <w:rStyle w:val="None"/>
          <w:rFonts w:asciiTheme="majorBidi" w:hAnsiTheme="majorBidi" w:cstheme="majorBidi"/>
          <w:color w:val="auto"/>
          <w:sz w:val="24"/>
          <w:szCs w:val="24"/>
        </w:rPr>
        <w:t>(</w:t>
      </w:r>
      <w:r w:rsidRPr="00126694">
        <w:rPr>
          <w:rStyle w:val="None"/>
          <w:rFonts w:hint="cs"/>
          <w:color w:val="auto"/>
          <w:rtl/>
        </w:rPr>
        <w:t>(ממא רחובות</w:t>
      </w:r>
    </w:p>
    <w:p w14:paraId="22B49388" w14:textId="10D17195" w:rsidR="00FA6342" w:rsidRPr="003457D7" w:rsidRDefault="00126694" w:rsidP="00F41A64">
      <w:pPr>
        <w:spacing w:line="480" w:lineRule="auto"/>
        <w:rPr>
          <w:rFonts w:asciiTheme="majorBidi" w:hAnsiTheme="majorBidi" w:cstheme="majorBidi"/>
          <w:sz w:val="24"/>
          <w:szCs w:val="24"/>
        </w:rPr>
      </w:pPr>
      <w:r>
        <w:rPr>
          <w:rFonts w:asciiTheme="majorBidi" w:hAnsiTheme="majorBidi" w:cstheme="majorBidi"/>
          <w:sz w:val="24"/>
          <w:szCs w:val="24"/>
        </w:rPr>
        <w:t xml:space="preserve">The messages conveyed by the symmetry approach </w:t>
      </w:r>
      <w:r w:rsidRPr="003457D7">
        <w:rPr>
          <w:rFonts w:asciiTheme="majorBidi" w:hAnsiTheme="majorBidi" w:cstheme="majorBidi"/>
          <w:sz w:val="24"/>
          <w:szCs w:val="24"/>
        </w:rPr>
        <w:t>are actively translated by the managers of the DVPCs into therapeutic guidelines and practices</w:t>
      </w:r>
      <w:r w:rsidR="004D06A5" w:rsidRPr="003457D7">
        <w:rPr>
          <w:rFonts w:asciiTheme="majorBidi" w:hAnsiTheme="majorBidi" w:cstheme="majorBidi"/>
          <w:sz w:val="24"/>
          <w:szCs w:val="24"/>
        </w:rPr>
        <w:t>.</w:t>
      </w:r>
      <w:r w:rsidRPr="003457D7">
        <w:rPr>
          <w:rFonts w:asciiTheme="majorBidi" w:hAnsiTheme="majorBidi" w:cstheme="majorBidi"/>
          <w:sz w:val="24"/>
          <w:szCs w:val="24"/>
        </w:rPr>
        <w:t xml:space="preserve"> </w:t>
      </w:r>
      <w:r w:rsidR="004D06A5" w:rsidRPr="003457D7">
        <w:rPr>
          <w:rFonts w:asciiTheme="majorBidi" w:hAnsiTheme="majorBidi" w:cstheme="majorBidi"/>
          <w:sz w:val="24"/>
          <w:szCs w:val="24"/>
        </w:rPr>
        <w:t>T</w:t>
      </w:r>
      <w:r w:rsidRPr="003457D7">
        <w:rPr>
          <w:rFonts w:asciiTheme="majorBidi" w:hAnsiTheme="majorBidi" w:cstheme="majorBidi"/>
          <w:sz w:val="24"/>
          <w:szCs w:val="24"/>
        </w:rPr>
        <w:t xml:space="preserve">he ‘old’ gendered perspective of a battered woman and a violent man </w:t>
      </w:r>
      <w:r w:rsidR="004D06A5" w:rsidRPr="003457D7">
        <w:rPr>
          <w:rFonts w:asciiTheme="majorBidi" w:hAnsiTheme="majorBidi" w:cstheme="majorBidi"/>
          <w:sz w:val="24"/>
          <w:szCs w:val="24"/>
        </w:rPr>
        <w:t>is replaced</w:t>
      </w:r>
      <w:r w:rsidRPr="003457D7">
        <w:rPr>
          <w:rFonts w:asciiTheme="majorBidi" w:hAnsiTheme="majorBidi" w:cstheme="majorBidi"/>
          <w:sz w:val="24"/>
          <w:szCs w:val="24"/>
        </w:rPr>
        <w:t xml:space="preserve"> by</w:t>
      </w:r>
      <w:r w:rsidR="004D06A5" w:rsidRPr="003457D7">
        <w:rPr>
          <w:rFonts w:asciiTheme="majorBidi" w:hAnsiTheme="majorBidi" w:cstheme="majorBidi"/>
          <w:sz w:val="24"/>
          <w:szCs w:val="24"/>
        </w:rPr>
        <w:t xml:space="preserve"> the</w:t>
      </w:r>
      <w:r w:rsidRPr="003457D7">
        <w:rPr>
          <w:rFonts w:asciiTheme="majorBidi" w:hAnsiTheme="majorBidi" w:cstheme="majorBidi"/>
          <w:sz w:val="24"/>
          <w:szCs w:val="24"/>
        </w:rPr>
        <w:t xml:space="preserve"> clinical work </w:t>
      </w:r>
      <w:r w:rsidR="004D06A5" w:rsidRPr="003457D7">
        <w:rPr>
          <w:rFonts w:asciiTheme="majorBidi" w:hAnsiTheme="majorBidi" w:cstheme="majorBidi"/>
          <w:sz w:val="24"/>
          <w:szCs w:val="24"/>
        </w:rPr>
        <w:t xml:space="preserve">directed at changing women’s “aggressive parts”. </w:t>
      </w:r>
      <w:r w:rsidRPr="003457D7">
        <w:rPr>
          <w:rFonts w:asciiTheme="majorBidi" w:hAnsiTheme="majorBidi" w:cstheme="majorBidi"/>
          <w:sz w:val="24"/>
          <w:szCs w:val="24"/>
        </w:rPr>
        <w:t xml:space="preserve">   </w:t>
      </w:r>
    </w:p>
    <w:p w14:paraId="5504ED4F" w14:textId="3687AB95" w:rsidR="009E1856" w:rsidRPr="003457D7" w:rsidRDefault="009E1856" w:rsidP="004D06A5">
      <w:pPr>
        <w:pStyle w:val="Body"/>
        <w:bidi w:val="0"/>
        <w:spacing w:line="480" w:lineRule="auto"/>
        <w:ind w:left="1418"/>
        <w:rPr>
          <w:rFonts w:asciiTheme="majorBidi" w:hAnsiTheme="majorBidi" w:cstheme="majorBidi"/>
          <w:color w:val="auto"/>
          <w:sz w:val="24"/>
          <w:szCs w:val="24"/>
        </w:rPr>
      </w:pPr>
      <w:r w:rsidRPr="003457D7">
        <w:rPr>
          <w:rFonts w:asciiTheme="majorBidi" w:hAnsiTheme="majorBidi" w:cstheme="majorBidi"/>
          <w:color w:val="auto"/>
          <w:sz w:val="24"/>
          <w:szCs w:val="24"/>
        </w:rPr>
        <w:t>There are no culprits here</w:t>
      </w:r>
      <w:r w:rsidR="00F41A64" w:rsidRPr="003457D7">
        <w:rPr>
          <w:rFonts w:asciiTheme="majorBidi" w:hAnsiTheme="majorBidi" w:cstheme="majorBidi"/>
          <w:color w:val="auto"/>
          <w:sz w:val="24"/>
          <w:szCs w:val="24"/>
        </w:rPr>
        <w:t>; we</w:t>
      </w:r>
      <w:r w:rsidRPr="003457D7">
        <w:rPr>
          <w:rFonts w:asciiTheme="majorBidi" w:hAnsiTheme="majorBidi" w:cstheme="majorBidi"/>
          <w:color w:val="auto"/>
          <w:sz w:val="24"/>
          <w:szCs w:val="24"/>
        </w:rPr>
        <w:t xml:space="preserve"> are not looking for </w:t>
      </w:r>
      <w:r w:rsidR="00F41A64" w:rsidRPr="003457D7">
        <w:rPr>
          <w:rFonts w:asciiTheme="majorBidi" w:hAnsiTheme="majorBidi" w:cstheme="majorBidi"/>
          <w:color w:val="auto"/>
          <w:sz w:val="24"/>
          <w:szCs w:val="24"/>
        </w:rPr>
        <w:t>any.</w:t>
      </w:r>
      <w:r w:rsidRPr="003457D7">
        <w:rPr>
          <w:rFonts w:asciiTheme="majorBidi" w:hAnsiTheme="majorBidi" w:cstheme="majorBidi"/>
          <w:color w:val="auto"/>
          <w:sz w:val="24"/>
          <w:szCs w:val="24"/>
        </w:rPr>
        <w:t xml:space="preserve"> </w:t>
      </w:r>
      <w:r w:rsidR="00F41A64" w:rsidRPr="003457D7">
        <w:rPr>
          <w:rFonts w:asciiTheme="majorBidi" w:hAnsiTheme="majorBidi" w:cstheme="majorBidi"/>
          <w:color w:val="auto"/>
          <w:sz w:val="24"/>
          <w:szCs w:val="24"/>
        </w:rPr>
        <w:t>I</w:t>
      </w:r>
      <w:r w:rsidRPr="003457D7">
        <w:rPr>
          <w:rFonts w:asciiTheme="majorBidi" w:hAnsiTheme="majorBidi" w:cstheme="majorBidi"/>
          <w:color w:val="auto"/>
          <w:sz w:val="24"/>
          <w:szCs w:val="24"/>
        </w:rPr>
        <w:t xml:space="preserve">t is very easy to connect with the </w:t>
      </w:r>
      <w:r w:rsidR="00F41A64" w:rsidRPr="003457D7">
        <w:rPr>
          <w:rFonts w:asciiTheme="majorBidi" w:hAnsiTheme="majorBidi" w:cstheme="majorBidi"/>
          <w:color w:val="auto"/>
          <w:sz w:val="24"/>
          <w:szCs w:val="24"/>
        </w:rPr>
        <w:t xml:space="preserve">assumption that women are the </w:t>
      </w:r>
      <w:r w:rsidRPr="003457D7">
        <w:rPr>
          <w:rFonts w:asciiTheme="majorBidi" w:hAnsiTheme="majorBidi" w:cstheme="majorBidi"/>
          <w:color w:val="auto"/>
          <w:sz w:val="24"/>
          <w:szCs w:val="24"/>
        </w:rPr>
        <w:t>victims</w:t>
      </w:r>
      <w:r w:rsidR="00F41A64" w:rsidRPr="003457D7">
        <w:rPr>
          <w:rFonts w:asciiTheme="majorBidi" w:hAnsiTheme="majorBidi" w:cstheme="majorBidi"/>
          <w:color w:val="auto"/>
          <w:sz w:val="24"/>
          <w:szCs w:val="24"/>
        </w:rPr>
        <w:t>..</w:t>
      </w:r>
      <w:r w:rsidRPr="003457D7">
        <w:rPr>
          <w:rFonts w:asciiTheme="majorBidi" w:hAnsiTheme="majorBidi" w:cstheme="majorBidi"/>
          <w:color w:val="auto"/>
          <w:sz w:val="24"/>
          <w:szCs w:val="24"/>
        </w:rPr>
        <w:t xml:space="preserve">. </w:t>
      </w:r>
      <w:r w:rsidR="00F41A64" w:rsidRPr="003457D7">
        <w:rPr>
          <w:rFonts w:asciiTheme="majorBidi" w:hAnsiTheme="majorBidi" w:cstheme="majorBidi"/>
          <w:color w:val="auto"/>
          <w:sz w:val="24"/>
          <w:szCs w:val="24"/>
        </w:rPr>
        <w:t>However, i</w:t>
      </w:r>
      <w:r w:rsidRPr="003457D7">
        <w:rPr>
          <w:rFonts w:asciiTheme="majorBidi" w:hAnsiTheme="majorBidi" w:cstheme="majorBidi"/>
          <w:color w:val="auto"/>
          <w:sz w:val="24"/>
          <w:szCs w:val="24"/>
        </w:rPr>
        <w:t>t doesn't work like that</w:t>
      </w:r>
      <w:r w:rsidR="00F41A64" w:rsidRPr="003457D7">
        <w:rPr>
          <w:rFonts w:asciiTheme="majorBidi" w:hAnsiTheme="majorBidi" w:cstheme="majorBidi"/>
          <w:color w:val="auto"/>
          <w:sz w:val="24"/>
          <w:szCs w:val="24"/>
        </w:rPr>
        <w:t xml:space="preserve"> anymore</w:t>
      </w:r>
      <w:r w:rsidRPr="003457D7">
        <w:rPr>
          <w:rFonts w:asciiTheme="majorBidi" w:hAnsiTheme="majorBidi" w:cstheme="majorBidi"/>
          <w:color w:val="auto"/>
          <w:sz w:val="24"/>
          <w:szCs w:val="24"/>
        </w:rPr>
        <w:t xml:space="preserve">, because the victim also has a role in </w:t>
      </w:r>
      <w:r w:rsidR="00F41A64" w:rsidRPr="003457D7">
        <w:rPr>
          <w:rFonts w:asciiTheme="majorBidi" w:hAnsiTheme="majorBidi" w:cstheme="majorBidi"/>
          <w:color w:val="auto"/>
          <w:sz w:val="24"/>
          <w:szCs w:val="24"/>
        </w:rPr>
        <w:t>the violence.</w:t>
      </w:r>
      <w:r w:rsidRPr="003457D7">
        <w:rPr>
          <w:rFonts w:asciiTheme="majorBidi" w:hAnsiTheme="majorBidi" w:cstheme="majorBidi"/>
          <w:color w:val="auto"/>
          <w:sz w:val="24"/>
          <w:szCs w:val="24"/>
        </w:rPr>
        <w:t>. It doesn't work like that, something happened along the way</w:t>
      </w:r>
      <w:r w:rsidR="00F41A64" w:rsidRPr="003457D7">
        <w:rPr>
          <w:rFonts w:asciiTheme="majorBidi" w:hAnsiTheme="majorBidi" w:cstheme="majorBidi"/>
          <w:color w:val="auto"/>
          <w:sz w:val="24"/>
          <w:szCs w:val="24"/>
        </w:rPr>
        <w:t>…</w:t>
      </w:r>
      <w:r w:rsidRPr="003457D7">
        <w:rPr>
          <w:rFonts w:asciiTheme="majorBidi" w:hAnsiTheme="majorBidi" w:cstheme="majorBidi"/>
          <w:color w:val="auto"/>
          <w:sz w:val="24"/>
          <w:szCs w:val="24"/>
        </w:rPr>
        <w:t xml:space="preserve"> how did </w:t>
      </w:r>
      <w:r w:rsidR="00F41A64" w:rsidRPr="003457D7">
        <w:rPr>
          <w:rFonts w:asciiTheme="majorBidi" w:hAnsiTheme="majorBidi" w:cstheme="majorBidi"/>
          <w:color w:val="auto"/>
          <w:sz w:val="24"/>
          <w:szCs w:val="24"/>
        </w:rPr>
        <w:t>she</w:t>
      </w:r>
      <w:r w:rsidRPr="003457D7">
        <w:rPr>
          <w:rFonts w:asciiTheme="majorBidi" w:hAnsiTheme="majorBidi" w:cstheme="majorBidi"/>
          <w:color w:val="auto"/>
          <w:sz w:val="24"/>
          <w:szCs w:val="24"/>
        </w:rPr>
        <w:t xml:space="preserve"> help this system become unequal and violent. </w:t>
      </w:r>
      <w:r w:rsidR="00F41A64" w:rsidRPr="003457D7">
        <w:rPr>
          <w:rFonts w:asciiTheme="majorBidi" w:hAnsiTheme="majorBidi" w:cstheme="majorBidi"/>
          <w:color w:val="auto"/>
          <w:sz w:val="24"/>
          <w:szCs w:val="24"/>
        </w:rPr>
        <w:t>How</w:t>
      </w:r>
      <w:r w:rsidRPr="003457D7">
        <w:rPr>
          <w:rFonts w:asciiTheme="majorBidi" w:hAnsiTheme="majorBidi" w:cstheme="majorBidi"/>
          <w:color w:val="auto"/>
          <w:sz w:val="24"/>
          <w:szCs w:val="24"/>
        </w:rPr>
        <w:t xml:space="preserve"> did </w:t>
      </w:r>
      <w:r w:rsidR="00F41A64" w:rsidRPr="003457D7">
        <w:rPr>
          <w:rFonts w:asciiTheme="majorBidi" w:hAnsiTheme="majorBidi" w:cstheme="majorBidi"/>
          <w:color w:val="auto"/>
          <w:sz w:val="24"/>
          <w:szCs w:val="24"/>
        </w:rPr>
        <w:t>she</w:t>
      </w:r>
      <w:r w:rsidRPr="003457D7">
        <w:rPr>
          <w:rFonts w:asciiTheme="majorBidi" w:hAnsiTheme="majorBidi" w:cstheme="majorBidi"/>
          <w:color w:val="auto"/>
          <w:sz w:val="24"/>
          <w:szCs w:val="24"/>
        </w:rPr>
        <w:t xml:space="preserve"> help</w:t>
      </w:r>
      <w:r w:rsidR="00D96B7D" w:rsidRPr="003457D7">
        <w:rPr>
          <w:rFonts w:asciiTheme="majorBidi" w:hAnsiTheme="majorBidi" w:cstheme="majorBidi"/>
          <w:color w:val="auto"/>
          <w:sz w:val="24"/>
          <w:szCs w:val="24"/>
        </w:rPr>
        <w:t>? perhaps</w:t>
      </w:r>
      <w:r w:rsidRPr="003457D7">
        <w:rPr>
          <w:rFonts w:asciiTheme="majorBidi" w:hAnsiTheme="majorBidi" w:cstheme="majorBidi"/>
          <w:color w:val="auto"/>
          <w:sz w:val="24"/>
          <w:szCs w:val="24"/>
        </w:rPr>
        <w:t xml:space="preserve"> </w:t>
      </w:r>
      <w:r w:rsidR="00F41A64" w:rsidRPr="003457D7">
        <w:rPr>
          <w:rFonts w:asciiTheme="majorBidi" w:hAnsiTheme="majorBidi" w:cstheme="majorBidi"/>
          <w:color w:val="auto"/>
          <w:sz w:val="24"/>
          <w:szCs w:val="24"/>
        </w:rPr>
        <w:t xml:space="preserve">by </w:t>
      </w:r>
      <w:r w:rsidRPr="003457D7">
        <w:rPr>
          <w:rFonts w:asciiTheme="majorBidi" w:hAnsiTheme="majorBidi" w:cstheme="majorBidi"/>
          <w:color w:val="auto"/>
          <w:sz w:val="24"/>
          <w:szCs w:val="24"/>
        </w:rPr>
        <w:t>not set</w:t>
      </w:r>
      <w:r w:rsidR="00F41A64" w:rsidRPr="003457D7">
        <w:rPr>
          <w:rFonts w:asciiTheme="majorBidi" w:hAnsiTheme="majorBidi" w:cstheme="majorBidi"/>
          <w:color w:val="auto"/>
          <w:sz w:val="24"/>
          <w:szCs w:val="24"/>
        </w:rPr>
        <w:t>ting up</w:t>
      </w:r>
      <w:r w:rsidRPr="003457D7">
        <w:rPr>
          <w:rFonts w:asciiTheme="majorBidi" w:hAnsiTheme="majorBidi" w:cstheme="majorBidi"/>
          <w:color w:val="auto"/>
          <w:sz w:val="24"/>
          <w:szCs w:val="24"/>
        </w:rPr>
        <w:t xml:space="preserve"> </w:t>
      </w:r>
      <w:r w:rsidR="00F41A64" w:rsidRPr="003457D7">
        <w:rPr>
          <w:rFonts w:asciiTheme="majorBidi" w:hAnsiTheme="majorBidi" w:cstheme="majorBidi"/>
          <w:color w:val="auto"/>
          <w:sz w:val="24"/>
          <w:szCs w:val="24"/>
        </w:rPr>
        <w:t>boundaries</w:t>
      </w:r>
      <w:r w:rsidRPr="003457D7">
        <w:rPr>
          <w:rFonts w:asciiTheme="majorBidi" w:hAnsiTheme="majorBidi" w:cstheme="majorBidi"/>
          <w:color w:val="auto"/>
          <w:sz w:val="24"/>
          <w:szCs w:val="24"/>
        </w:rPr>
        <w:t xml:space="preserve">, which is the main thing. How did </w:t>
      </w:r>
      <w:r w:rsidR="00D96B7D" w:rsidRPr="003457D7">
        <w:rPr>
          <w:rFonts w:asciiTheme="majorBidi" w:hAnsiTheme="majorBidi" w:cstheme="majorBidi"/>
          <w:color w:val="auto"/>
          <w:sz w:val="24"/>
          <w:szCs w:val="24"/>
        </w:rPr>
        <w:t>she</w:t>
      </w:r>
      <w:r w:rsidRPr="003457D7">
        <w:rPr>
          <w:rFonts w:asciiTheme="majorBidi" w:hAnsiTheme="majorBidi" w:cstheme="majorBidi"/>
          <w:color w:val="auto"/>
          <w:sz w:val="24"/>
          <w:szCs w:val="24"/>
        </w:rPr>
        <w:t xml:space="preserve"> help the child become a victim and </w:t>
      </w:r>
      <w:r w:rsidR="00D96B7D" w:rsidRPr="003457D7">
        <w:rPr>
          <w:rFonts w:asciiTheme="majorBidi" w:hAnsiTheme="majorBidi" w:cstheme="majorBidi"/>
          <w:color w:val="auto"/>
          <w:sz w:val="24"/>
          <w:szCs w:val="24"/>
        </w:rPr>
        <w:t xml:space="preserve">be </w:t>
      </w:r>
      <w:r w:rsidRPr="003457D7">
        <w:rPr>
          <w:rFonts w:asciiTheme="majorBidi" w:hAnsiTheme="majorBidi" w:cstheme="majorBidi"/>
          <w:color w:val="auto"/>
          <w:sz w:val="24"/>
          <w:szCs w:val="24"/>
        </w:rPr>
        <w:t>exposed to violence</w:t>
      </w:r>
      <w:r w:rsidR="00D96B7D" w:rsidRPr="003457D7">
        <w:rPr>
          <w:rFonts w:asciiTheme="majorBidi" w:hAnsiTheme="majorBidi" w:cstheme="majorBidi"/>
          <w:color w:val="auto"/>
          <w:sz w:val="24"/>
          <w:szCs w:val="24"/>
        </w:rPr>
        <w:t>?</w:t>
      </w:r>
      <w:r w:rsidRPr="003457D7">
        <w:rPr>
          <w:rFonts w:asciiTheme="majorBidi" w:hAnsiTheme="majorBidi" w:cstheme="majorBidi"/>
          <w:color w:val="auto"/>
          <w:sz w:val="24"/>
          <w:szCs w:val="24"/>
        </w:rPr>
        <w:t xml:space="preserve"> </w:t>
      </w:r>
      <w:r w:rsidR="00D96B7D" w:rsidRPr="003457D7">
        <w:rPr>
          <w:rFonts w:asciiTheme="majorBidi" w:hAnsiTheme="majorBidi" w:cstheme="majorBidi"/>
          <w:color w:val="auto"/>
          <w:sz w:val="24"/>
          <w:szCs w:val="24"/>
        </w:rPr>
        <w:t>T</w:t>
      </w:r>
      <w:r w:rsidRPr="003457D7">
        <w:rPr>
          <w:rFonts w:asciiTheme="majorBidi" w:hAnsiTheme="majorBidi" w:cstheme="majorBidi"/>
          <w:color w:val="auto"/>
          <w:sz w:val="24"/>
          <w:szCs w:val="24"/>
        </w:rPr>
        <w:t xml:space="preserve">he victim also </w:t>
      </w:r>
      <w:r w:rsidR="000D36DE" w:rsidRPr="003457D7">
        <w:rPr>
          <w:rFonts w:asciiTheme="majorBidi" w:hAnsiTheme="majorBidi" w:cstheme="majorBidi"/>
          <w:color w:val="auto"/>
          <w:sz w:val="24"/>
          <w:szCs w:val="24"/>
        </w:rPr>
        <w:t>carries the</w:t>
      </w:r>
      <w:r w:rsidRPr="003457D7">
        <w:rPr>
          <w:rFonts w:asciiTheme="majorBidi" w:hAnsiTheme="majorBidi" w:cstheme="majorBidi"/>
          <w:color w:val="auto"/>
          <w:sz w:val="24"/>
          <w:szCs w:val="24"/>
        </w:rPr>
        <w:t xml:space="preserve"> </w:t>
      </w:r>
      <w:r w:rsidR="000D36DE" w:rsidRPr="003457D7">
        <w:rPr>
          <w:rFonts w:asciiTheme="majorBidi" w:hAnsiTheme="majorBidi" w:cstheme="majorBidi"/>
          <w:color w:val="auto"/>
          <w:sz w:val="24"/>
          <w:szCs w:val="24"/>
        </w:rPr>
        <w:t xml:space="preserve">responsibility </w:t>
      </w:r>
      <w:r w:rsidRPr="003457D7">
        <w:rPr>
          <w:rFonts w:asciiTheme="majorBidi" w:hAnsiTheme="majorBidi" w:cstheme="majorBidi"/>
          <w:color w:val="auto"/>
          <w:sz w:val="24"/>
          <w:szCs w:val="24"/>
        </w:rPr>
        <w:t>- with all the empathy towards both sides</w:t>
      </w:r>
      <w:r w:rsidR="00D96B7D" w:rsidRPr="003457D7">
        <w:rPr>
          <w:rFonts w:asciiTheme="majorBidi" w:hAnsiTheme="majorBidi" w:cstheme="majorBidi"/>
          <w:color w:val="auto"/>
          <w:sz w:val="24"/>
          <w:szCs w:val="24"/>
        </w:rPr>
        <w:t xml:space="preserve"> (</w:t>
      </w:r>
      <w:r w:rsidR="00D96B7D" w:rsidRPr="003457D7">
        <w:rPr>
          <w:rFonts w:asciiTheme="majorBidi" w:hAnsiTheme="majorBidi" w:cstheme="majorBidi" w:hint="cs"/>
          <w:color w:val="auto"/>
          <w:sz w:val="24"/>
          <w:szCs w:val="24"/>
          <w:rtl/>
        </w:rPr>
        <w:t>(רמת גן ממא מנהלת</w:t>
      </w:r>
      <w:r w:rsidRPr="003457D7">
        <w:rPr>
          <w:rFonts w:asciiTheme="majorBidi" w:hAnsiTheme="majorBidi" w:cstheme="majorBidi"/>
          <w:color w:val="auto"/>
          <w:sz w:val="24"/>
          <w:szCs w:val="24"/>
        </w:rPr>
        <w:t>.</w:t>
      </w:r>
    </w:p>
    <w:p w14:paraId="3B0BCDA9" w14:textId="041910CC" w:rsidR="00C62573" w:rsidRPr="00CF715D" w:rsidRDefault="004D06A5" w:rsidP="00B04BA2">
      <w:pPr>
        <w:pStyle w:val="Body"/>
        <w:bidi w:val="0"/>
        <w:spacing w:line="480" w:lineRule="auto"/>
        <w:rPr>
          <w:rFonts w:asciiTheme="majorBidi" w:hAnsiTheme="majorBidi" w:cstheme="majorBidi"/>
          <w:color w:val="auto"/>
          <w:sz w:val="24"/>
          <w:szCs w:val="24"/>
          <w:highlight w:val="green"/>
          <w:rtl/>
        </w:rPr>
      </w:pPr>
      <w:r w:rsidRPr="004D06A5">
        <w:rPr>
          <w:rFonts w:asciiTheme="majorBidi" w:hAnsiTheme="majorBidi" w:cstheme="majorBidi"/>
          <w:color w:val="auto"/>
          <w:sz w:val="24"/>
          <w:szCs w:val="24"/>
        </w:rPr>
        <w:t>According to the symmetrical approach</w:t>
      </w:r>
      <w:r>
        <w:rPr>
          <w:rFonts w:asciiTheme="majorBidi" w:hAnsiTheme="majorBidi" w:cstheme="majorBidi"/>
          <w:color w:val="auto"/>
          <w:sz w:val="24"/>
          <w:szCs w:val="24"/>
        </w:rPr>
        <w:t xml:space="preserve">, women have an active part in generating violence hence the symmetrical responsibility that releases violent men from being blamed or identified </w:t>
      </w:r>
      <w:r w:rsidR="00C04422">
        <w:rPr>
          <w:rFonts w:asciiTheme="majorBidi" w:hAnsiTheme="majorBidi" w:cstheme="majorBidi"/>
          <w:color w:val="auto"/>
          <w:sz w:val="24"/>
          <w:szCs w:val="24"/>
        </w:rPr>
        <w:t>as guilty of a criminal offence</w:t>
      </w:r>
      <w:r>
        <w:rPr>
          <w:rFonts w:asciiTheme="majorBidi" w:hAnsiTheme="majorBidi" w:cstheme="majorBidi"/>
          <w:color w:val="auto"/>
          <w:sz w:val="24"/>
          <w:szCs w:val="24"/>
        </w:rPr>
        <w:t>.</w:t>
      </w:r>
      <w:r w:rsidR="00C04422">
        <w:rPr>
          <w:rFonts w:asciiTheme="majorBidi" w:hAnsiTheme="majorBidi" w:cstheme="majorBidi"/>
          <w:color w:val="auto"/>
          <w:sz w:val="24"/>
          <w:szCs w:val="24"/>
        </w:rPr>
        <w:t xml:space="preserve"> Empathy may be offered but should be offered equally to both sides.</w:t>
      </w:r>
      <w:r>
        <w:rPr>
          <w:rFonts w:asciiTheme="majorBidi" w:hAnsiTheme="majorBidi" w:cstheme="majorBidi"/>
          <w:color w:val="auto"/>
          <w:sz w:val="24"/>
          <w:szCs w:val="24"/>
        </w:rPr>
        <w:t xml:space="preserve"> </w:t>
      </w:r>
      <w:r w:rsidR="00541316">
        <w:rPr>
          <w:rFonts w:asciiTheme="majorBidi" w:hAnsiTheme="majorBidi" w:cstheme="majorBidi"/>
          <w:color w:val="auto"/>
          <w:sz w:val="24"/>
          <w:szCs w:val="24"/>
          <w:highlight w:val="green"/>
        </w:rPr>
        <w:t xml:space="preserve">Symbolically the name of the </w:t>
      </w:r>
      <w:r w:rsidR="007F265D">
        <w:rPr>
          <w:rFonts w:asciiTheme="majorBidi" w:hAnsiTheme="majorBidi" w:cstheme="majorBidi"/>
          <w:color w:val="auto"/>
          <w:sz w:val="24"/>
          <w:szCs w:val="24"/>
          <w:highlight w:val="green"/>
        </w:rPr>
        <w:t xml:space="preserve">CPDV </w:t>
      </w:r>
      <w:r w:rsidR="00C36846">
        <w:rPr>
          <w:rFonts w:asciiTheme="majorBidi" w:hAnsiTheme="majorBidi" w:cstheme="majorBidi"/>
          <w:color w:val="auto"/>
          <w:sz w:val="24"/>
          <w:szCs w:val="24"/>
          <w:highlight w:val="green"/>
        </w:rPr>
        <w:t>has been change</w:t>
      </w:r>
      <w:r w:rsidR="00F95FF1">
        <w:rPr>
          <w:rFonts w:asciiTheme="majorBidi" w:hAnsiTheme="majorBidi" w:cstheme="majorBidi"/>
          <w:color w:val="auto"/>
          <w:sz w:val="24"/>
          <w:szCs w:val="24"/>
          <w:highlight w:val="green"/>
        </w:rPr>
        <w:t>d</w:t>
      </w:r>
      <w:r w:rsidR="00C36846">
        <w:rPr>
          <w:rFonts w:asciiTheme="majorBidi" w:hAnsiTheme="majorBidi" w:cstheme="majorBidi"/>
          <w:color w:val="auto"/>
          <w:sz w:val="24"/>
          <w:szCs w:val="24"/>
          <w:highlight w:val="green"/>
        </w:rPr>
        <w:t xml:space="preserve"> to Centers of Family Welfare</w:t>
      </w:r>
      <w:r w:rsidR="007F265D">
        <w:rPr>
          <w:rFonts w:asciiTheme="majorBidi" w:hAnsiTheme="majorBidi" w:cstheme="majorBidi"/>
          <w:color w:val="auto"/>
          <w:sz w:val="24"/>
          <w:szCs w:val="24"/>
          <w:highlight w:val="green"/>
        </w:rPr>
        <w:t>.</w:t>
      </w:r>
    </w:p>
    <w:p w14:paraId="58A136E9" w14:textId="79F4AFDE" w:rsidR="004533B8" w:rsidRPr="003D7EFB" w:rsidRDefault="004533B8" w:rsidP="004533B8">
      <w:pPr>
        <w:pStyle w:val="Heading1"/>
        <w:spacing w:before="480" w:beforeAutospacing="0" w:after="120" w:afterAutospacing="0" w:line="480" w:lineRule="auto"/>
        <w:rPr>
          <w:rFonts w:asciiTheme="majorBidi" w:hAnsiTheme="majorBidi" w:cstheme="majorBidi"/>
        </w:rPr>
      </w:pPr>
      <w:r w:rsidRPr="003D7EFB">
        <w:rPr>
          <w:rFonts w:asciiTheme="majorBidi" w:hAnsiTheme="majorBidi" w:cstheme="majorBidi"/>
          <w:color w:val="000000"/>
          <w:sz w:val="24"/>
          <w:szCs w:val="24"/>
        </w:rPr>
        <w:t>Discussion</w:t>
      </w:r>
    </w:p>
    <w:p w14:paraId="4651CC08" w14:textId="229FFCC7" w:rsidR="000769B5" w:rsidRDefault="000769B5" w:rsidP="004533B8">
      <w:pPr>
        <w:pStyle w:val="NormalWeb"/>
        <w:spacing w:before="240" w:beforeAutospacing="0" w:after="240" w:afterAutospacing="0" w:line="480" w:lineRule="auto"/>
        <w:ind w:right="420" w:firstLine="720"/>
        <w:rPr>
          <w:color w:val="000000"/>
        </w:rPr>
      </w:pPr>
      <w:r>
        <w:rPr>
          <w:color w:val="000000"/>
        </w:rPr>
        <w:t>Israeli d</w:t>
      </w:r>
      <w:r w:rsidR="004533B8">
        <w:rPr>
          <w:color w:val="000000"/>
        </w:rPr>
        <w:t xml:space="preserve">ata on violence against women in recent years indicates a surge in femicide and in women turning to the CPDVs in need of response. The data indicates long waiting lists for battered women shelters as well as for the CPDVs. In addition, reports suggest a significant increase in women’s calls to the IPV emergency lines (*118) and women’s complaints of IPV incidents in </w:t>
      </w:r>
      <w:r w:rsidR="004533B8">
        <w:rPr>
          <w:color w:val="000000"/>
        </w:rPr>
        <w:lastRenderedPageBreak/>
        <w:t xml:space="preserve">police registers. </w:t>
      </w:r>
      <w:r>
        <w:rPr>
          <w:color w:val="000000"/>
        </w:rPr>
        <w:t>While one could expect to see an increase in the allocation of resources to the support of survivors, our analysis found lacking responses to be dominant characteristic of the field even when social workers reflected benevolence and commitment. Repeatedly we heard social workers explain how their therapeutic clinical intervention (for a year) is the major response</w:t>
      </w:r>
      <w:r w:rsidR="007F265D">
        <w:rPr>
          <w:color w:val="000000"/>
        </w:rPr>
        <w:t xml:space="preserve"> available</w:t>
      </w:r>
      <w:r>
        <w:rPr>
          <w:color w:val="000000"/>
        </w:rPr>
        <w:t>.</w:t>
      </w:r>
    </w:p>
    <w:p w14:paraId="7ADFFFBD" w14:textId="3F8DEAB4" w:rsidR="004533B8" w:rsidRDefault="000769B5" w:rsidP="004533B8">
      <w:pPr>
        <w:pStyle w:val="NormalWeb"/>
        <w:spacing w:before="240" w:beforeAutospacing="0" w:after="240" w:afterAutospacing="0" w:line="480" w:lineRule="auto"/>
        <w:ind w:right="420" w:firstLine="720"/>
        <w:rPr>
          <w:color w:val="000000"/>
        </w:rPr>
      </w:pPr>
      <w:r>
        <w:rPr>
          <w:color w:val="000000"/>
        </w:rPr>
        <w:t>Thus, o</w:t>
      </w:r>
      <w:r w:rsidR="004533B8">
        <w:rPr>
          <w:color w:val="000000"/>
        </w:rPr>
        <w:t xml:space="preserve">ur analysis exposed </w:t>
      </w:r>
      <w:r>
        <w:rPr>
          <w:color w:val="000000"/>
        </w:rPr>
        <w:t xml:space="preserve">that the emergency in the living conditions of </w:t>
      </w:r>
      <w:r w:rsidR="004533B8">
        <w:rPr>
          <w:color w:val="000000"/>
        </w:rPr>
        <w:t xml:space="preserve">women who turn to the CPDVs </w:t>
      </w:r>
      <w:r>
        <w:rPr>
          <w:color w:val="000000"/>
        </w:rPr>
        <w:t>is hardly</w:t>
      </w:r>
      <w:r w:rsidR="004533B8">
        <w:rPr>
          <w:color w:val="000000"/>
        </w:rPr>
        <w:t xml:space="preserve"> recognize</w:t>
      </w:r>
      <w:r>
        <w:rPr>
          <w:color w:val="000000"/>
        </w:rPr>
        <w:t>d</w:t>
      </w:r>
      <w:r w:rsidR="004533B8">
        <w:rPr>
          <w:color w:val="000000"/>
        </w:rPr>
        <w:t>. Rather, the main professional perception that emerged among those in charge of guiding CPDVs’ response, is one of gender symmetry and gender reciprocity in IPV. The CPDVs, a social service that was set up in order to provide support for women suffering IPV, according to the 1991</w:t>
      </w:r>
      <w:r w:rsidR="003A584E">
        <w:rPr>
          <w:color w:val="000000"/>
        </w:rPr>
        <w:t xml:space="preserve"> law</w:t>
      </w:r>
      <w:r w:rsidR="004533B8">
        <w:rPr>
          <w:color w:val="000000"/>
        </w:rPr>
        <w:t>, appears to have undergone a transformation to the extent of deteriorating commitment to women’s right to be protected from their intimate partners’ violence.  As our analysis showed, the language utilized by CPDVs’ social workers, emphasizes a violent couple's dynamics, women’s aggressive parts, women’s inability to guard their boundaries, and dislocation of the violence from social context and gender inequality. We found that Cooper’s argument on the American social policy as integrating neo-liberal assumption on citizens as responsible for their own well-being and conservative family values, is echoed in the practices of the Israeli social policy on responding to IP</w:t>
      </w:r>
      <w:r w:rsidR="00C84AC1">
        <w:rPr>
          <w:color w:val="000000"/>
        </w:rPr>
        <w:t>V</w:t>
      </w:r>
      <w:r w:rsidR="004533B8">
        <w:rPr>
          <w:color w:val="000000"/>
        </w:rPr>
        <w:t xml:space="preserve"> victim/survivors. Without a change in the formal level which still declares a commitment to protecting women, daily routines offer women a clinical process aiming at teaching them how they themselves are responsible for the IPV and demanding their collaboration with the conservative value of ‘fixing herself’ rather than questioning the social context. </w:t>
      </w:r>
    </w:p>
    <w:p w14:paraId="5B52F444" w14:textId="2F6A7564" w:rsidR="000769B5" w:rsidRPr="00C67753" w:rsidRDefault="00997211" w:rsidP="008868AB">
      <w:pPr>
        <w:spacing w:line="480" w:lineRule="auto"/>
        <w:ind w:right="426" w:firstLine="720"/>
        <w:rPr>
          <w:rFonts w:asciiTheme="majorBidi" w:hAnsiTheme="majorBidi" w:cstheme="majorBidi"/>
          <w:sz w:val="24"/>
          <w:szCs w:val="24"/>
          <w:lang w:val="en-US"/>
        </w:rPr>
      </w:pPr>
      <w:r>
        <w:rPr>
          <w:rFonts w:asciiTheme="majorBidi" w:hAnsiTheme="majorBidi" w:cstheme="majorBidi"/>
          <w:sz w:val="24"/>
          <w:szCs w:val="24"/>
          <w:lang w:val="en-US"/>
        </w:rPr>
        <w:t>Up until recently</w:t>
      </w:r>
      <w:r w:rsidR="000769B5">
        <w:rPr>
          <w:rFonts w:asciiTheme="majorBidi" w:hAnsiTheme="majorBidi" w:cstheme="majorBidi"/>
          <w:sz w:val="24"/>
          <w:szCs w:val="24"/>
          <w:lang w:val="en-US"/>
        </w:rPr>
        <w:t xml:space="preserve">, not enough </w:t>
      </w:r>
      <w:r>
        <w:rPr>
          <w:rFonts w:asciiTheme="majorBidi" w:hAnsiTheme="majorBidi" w:cstheme="majorBidi"/>
          <w:sz w:val="24"/>
          <w:szCs w:val="24"/>
          <w:lang w:val="en-US"/>
        </w:rPr>
        <w:t>was</w:t>
      </w:r>
      <w:r w:rsidR="000769B5">
        <w:rPr>
          <w:rFonts w:asciiTheme="majorBidi" w:hAnsiTheme="majorBidi" w:cstheme="majorBidi"/>
          <w:sz w:val="24"/>
          <w:szCs w:val="24"/>
          <w:lang w:val="en-US"/>
        </w:rPr>
        <w:t xml:space="preserve"> known about the </w:t>
      </w:r>
      <w:r>
        <w:rPr>
          <w:rFonts w:asciiTheme="majorBidi" w:hAnsiTheme="majorBidi" w:cstheme="majorBidi"/>
          <w:sz w:val="24"/>
          <w:szCs w:val="24"/>
          <w:lang w:val="en-US"/>
        </w:rPr>
        <w:t xml:space="preserve">weight of the </w:t>
      </w:r>
      <w:r w:rsidR="000769B5">
        <w:rPr>
          <w:rFonts w:asciiTheme="majorBidi" w:hAnsiTheme="majorBidi" w:cstheme="majorBidi"/>
          <w:sz w:val="24"/>
          <w:szCs w:val="24"/>
          <w:lang w:val="en-US"/>
        </w:rPr>
        <w:t xml:space="preserve">embracement of a symmetrical approach in the social services </w:t>
      </w:r>
      <w:r>
        <w:rPr>
          <w:rFonts w:asciiTheme="majorBidi" w:hAnsiTheme="majorBidi" w:cstheme="majorBidi"/>
          <w:sz w:val="24"/>
          <w:szCs w:val="24"/>
          <w:lang w:val="en-US"/>
        </w:rPr>
        <w:t xml:space="preserve">in </w:t>
      </w:r>
      <w:r w:rsidR="000769B5" w:rsidRPr="00C67753">
        <w:rPr>
          <w:rFonts w:asciiTheme="majorBidi" w:hAnsiTheme="majorBidi" w:cstheme="majorBidi"/>
          <w:sz w:val="24"/>
          <w:szCs w:val="24"/>
          <w:lang w:val="en-US"/>
        </w:rPr>
        <w:t xml:space="preserve">the role of the state in the reproduction of violence </w:t>
      </w:r>
      <w:r w:rsidR="000769B5" w:rsidRPr="00C67753">
        <w:rPr>
          <w:rFonts w:asciiTheme="majorBidi" w:hAnsiTheme="majorBidi" w:cstheme="majorBidi"/>
          <w:sz w:val="24"/>
          <w:szCs w:val="24"/>
          <w:lang w:val="en-US"/>
        </w:rPr>
        <w:lastRenderedPageBreak/>
        <w:t xml:space="preserve">against women (Abrahms, 2016; Adelman, 2017; co-authors 2020). Here, we argue that the process through which gender violence is reproduced is intensified by the growing gap between benevolence or commitment and lacking responses, in </w:t>
      </w:r>
      <w:r>
        <w:rPr>
          <w:rFonts w:asciiTheme="majorBidi" w:hAnsiTheme="majorBidi" w:cstheme="majorBidi"/>
          <w:sz w:val="24"/>
          <w:szCs w:val="24"/>
          <w:lang w:val="en-US"/>
        </w:rPr>
        <w:t>s</w:t>
      </w:r>
      <w:r w:rsidR="000769B5" w:rsidRPr="00C67753">
        <w:rPr>
          <w:rFonts w:asciiTheme="majorBidi" w:hAnsiTheme="majorBidi" w:cstheme="majorBidi"/>
          <w:sz w:val="24"/>
          <w:szCs w:val="24"/>
          <w:lang w:val="en-US"/>
        </w:rPr>
        <w:t xml:space="preserve">tate social services responding to IPV survivors (and their children). </w:t>
      </w:r>
      <w:r w:rsidRPr="00C67753">
        <w:rPr>
          <w:rFonts w:asciiTheme="majorBidi" w:hAnsiTheme="majorBidi" w:cstheme="majorBidi"/>
          <w:sz w:val="24"/>
          <w:szCs w:val="24"/>
          <w:lang w:val="en-US"/>
        </w:rPr>
        <w:t>Our analysis contributes to the understanding of the ways in which the therapeutic process as the main response, takes part in the reproduction of IPV. </w:t>
      </w:r>
      <w:r>
        <w:rPr>
          <w:rFonts w:asciiTheme="majorBidi" w:hAnsiTheme="majorBidi" w:cstheme="majorBidi"/>
          <w:sz w:val="24"/>
          <w:szCs w:val="24"/>
          <w:lang w:val="en-US"/>
        </w:rPr>
        <w:t>The social process that occurs</w:t>
      </w:r>
      <w:r w:rsidR="008868AB">
        <w:rPr>
          <w:rFonts w:asciiTheme="majorBidi" w:hAnsiTheme="majorBidi" w:cstheme="majorBidi"/>
          <w:sz w:val="24"/>
          <w:szCs w:val="24"/>
          <w:lang w:val="en-US"/>
        </w:rPr>
        <w:t>,</w:t>
      </w:r>
      <w:r>
        <w:rPr>
          <w:rFonts w:asciiTheme="majorBidi" w:hAnsiTheme="majorBidi" w:cstheme="majorBidi"/>
          <w:sz w:val="24"/>
          <w:szCs w:val="24"/>
          <w:lang w:val="en-US"/>
        </w:rPr>
        <w:t xml:space="preserve"> significantly relies on shifting the responsibility over the violence to women’s behaviour (either not guarding her boundaries or triggering the violence); constituting survivors’ report of IPV as subjective, as her own narrative, her own view point; a growing suspicion towards any information brought by the survivor to the social service; framing survivors’ complaints as a couple’s conflict which easily eliminate the violence from reporting on the case; </w:t>
      </w:r>
      <w:r w:rsidR="008868AB">
        <w:rPr>
          <w:rFonts w:asciiTheme="majorBidi" w:hAnsiTheme="majorBidi" w:cstheme="majorBidi"/>
          <w:sz w:val="24"/>
          <w:szCs w:val="24"/>
          <w:lang w:val="en-US"/>
        </w:rPr>
        <w:t xml:space="preserve">a refusal to validate women’s complaint of violence by issuing a formal document. When these components are applied, survivors’ </w:t>
      </w:r>
      <w:r w:rsidR="000769B5" w:rsidRPr="00C67753">
        <w:rPr>
          <w:rFonts w:asciiTheme="majorBidi" w:hAnsiTheme="majorBidi" w:cstheme="majorBidi"/>
          <w:sz w:val="24"/>
          <w:szCs w:val="24"/>
          <w:lang w:val="en-US"/>
        </w:rPr>
        <w:t>intensified needs, the</w:t>
      </w:r>
      <w:r>
        <w:rPr>
          <w:rFonts w:asciiTheme="majorBidi" w:hAnsiTheme="majorBidi" w:cstheme="majorBidi"/>
          <w:sz w:val="24"/>
          <w:szCs w:val="24"/>
          <w:lang w:val="en-US"/>
        </w:rPr>
        <w:t>ir</w:t>
      </w:r>
      <w:r w:rsidR="000769B5" w:rsidRPr="00C67753">
        <w:rPr>
          <w:rFonts w:asciiTheme="majorBidi" w:hAnsiTheme="majorBidi" w:cstheme="majorBidi"/>
          <w:sz w:val="24"/>
          <w:szCs w:val="24"/>
          <w:lang w:val="en-US"/>
        </w:rPr>
        <w:t xml:space="preserve"> practical isolation, lack of attention and neglect</w:t>
      </w:r>
      <w:r w:rsidR="008868AB">
        <w:rPr>
          <w:rFonts w:asciiTheme="majorBidi" w:hAnsiTheme="majorBidi" w:cstheme="majorBidi"/>
          <w:sz w:val="24"/>
          <w:szCs w:val="24"/>
          <w:lang w:val="en-US"/>
        </w:rPr>
        <w:t>, expose then to continuing incidents of IPV reinforcing the oppressive context in which they live.</w:t>
      </w:r>
      <w:r w:rsidR="000769B5" w:rsidRPr="00C67753">
        <w:rPr>
          <w:rFonts w:asciiTheme="majorBidi" w:hAnsiTheme="majorBidi" w:cstheme="majorBidi"/>
          <w:sz w:val="24"/>
          <w:szCs w:val="24"/>
          <w:lang w:val="en-US"/>
        </w:rPr>
        <w:t xml:space="preserve"> </w:t>
      </w:r>
    </w:p>
    <w:p w14:paraId="332BEBBB" w14:textId="151DBC8D" w:rsidR="004533B8" w:rsidRDefault="004533B8" w:rsidP="00641382">
      <w:pPr>
        <w:pStyle w:val="NormalWeb"/>
        <w:spacing w:before="240" w:beforeAutospacing="0" w:after="240" w:afterAutospacing="0" w:line="480" w:lineRule="auto"/>
        <w:ind w:right="420" w:firstLine="720"/>
      </w:pPr>
      <w:r>
        <w:rPr>
          <w:color w:val="000000"/>
        </w:rPr>
        <w:t xml:space="preserve">The main limitation of our study is that interviews were conducted in one point in time interpreting the results as reflecting a change over time. The social process of deteriorating gender commitment to IPV survivors, which we have documented here, echoes the process recently documented by </w:t>
      </w:r>
      <w:r w:rsidR="0022143B">
        <w:rPr>
          <w:color w:val="000000"/>
        </w:rPr>
        <w:t>Hacker</w:t>
      </w:r>
      <w:r>
        <w:rPr>
          <w:color w:val="000000"/>
        </w:rPr>
        <w:t xml:space="preserve"> (202</w:t>
      </w:r>
      <w:r w:rsidR="00B462F7">
        <w:rPr>
          <w:color w:val="000000"/>
        </w:rPr>
        <w:t>2</w:t>
      </w:r>
      <w:r>
        <w:rPr>
          <w:color w:val="000000"/>
        </w:rPr>
        <w:t>) regarding the practical change in family courts, which occurred with time, along the years in which the obligatory maternal children’s custody was marginalized despite the fact of not erasing it from Israel’s family law. What she shows is how women were weakened and the framing became one of conserving the patriarchal family, even though there hasn’t been a legal change. In this way, family courts, very much in parallel with CPDVs, became executors of the religious practice of “SHLOM BAIT”</w:t>
      </w:r>
      <w:r w:rsidR="008C68D1">
        <w:rPr>
          <w:color w:val="000000"/>
        </w:rPr>
        <w:t xml:space="preserve"> (Family reconciliation)</w:t>
      </w:r>
      <w:r w:rsidR="005401E9">
        <w:rPr>
          <w:color w:val="000000"/>
        </w:rPr>
        <w:t>.</w:t>
      </w:r>
      <w:r>
        <w:rPr>
          <w:color w:val="000000"/>
        </w:rPr>
        <w:t xml:space="preserve"> </w:t>
      </w:r>
    </w:p>
    <w:p w14:paraId="40897975" w14:textId="7B3B883F" w:rsidR="00605A64" w:rsidRPr="003D7EFB" w:rsidRDefault="00605A64" w:rsidP="00CF715D">
      <w:pPr>
        <w:pStyle w:val="Heading1"/>
        <w:spacing w:line="480" w:lineRule="auto"/>
        <w:rPr>
          <w:sz w:val="24"/>
          <w:szCs w:val="24"/>
        </w:rPr>
      </w:pPr>
      <w:r w:rsidRPr="003D7EFB">
        <w:rPr>
          <w:sz w:val="24"/>
          <w:szCs w:val="24"/>
        </w:rPr>
        <w:t>References</w:t>
      </w:r>
    </w:p>
    <w:p w14:paraId="1656177D" w14:textId="77777777" w:rsidR="00E72E3D" w:rsidRPr="00E72E3D" w:rsidRDefault="00E72E3D" w:rsidP="00E72E3D">
      <w:pPr>
        <w:widowControl w:val="0"/>
        <w:tabs>
          <w:tab w:val="left" w:pos="426"/>
        </w:tabs>
        <w:autoSpaceDE w:val="0"/>
        <w:autoSpaceDN w:val="0"/>
        <w:adjustRightInd w:val="0"/>
        <w:spacing w:after="0" w:line="480" w:lineRule="auto"/>
        <w:ind w:left="426" w:hanging="426"/>
        <w:rPr>
          <w:rFonts w:asciiTheme="majorBidi" w:hAnsiTheme="majorBidi" w:cstheme="majorBidi"/>
          <w:sz w:val="24"/>
          <w:szCs w:val="24"/>
        </w:rPr>
      </w:pPr>
      <w:r w:rsidRPr="00E72E3D">
        <w:rPr>
          <w:rFonts w:asciiTheme="majorBidi" w:hAnsiTheme="majorBidi" w:cstheme="majorBidi"/>
          <w:sz w:val="24"/>
          <w:szCs w:val="24"/>
        </w:rPr>
        <w:lastRenderedPageBreak/>
        <w:t xml:space="preserve">Abraham, M. &amp; Tastsoglou, E. (2016a) Interrogating gender, violence, and the state in national and transnational contexts: Framing the issues. </w:t>
      </w:r>
      <w:r w:rsidRPr="00E72E3D">
        <w:rPr>
          <w:rFonts w:asciiTheme="majorBidi" w:hAnsiTheme="majorBidi" w:cstheme="majorBidi"/>
          <w:i/>
          <w:iCs/>
          <w:sz w:val="24"/>
          <w:szCs w:val="24"/>
        </w:rPr>
        <w:t>Current Sociology Monograph</w:t>
      </w:r>
      <w:r w:rsidRPr="00E72E3D">
        <w:rPr>
          <w:rFonts w:asciiTheme="majorBidi" w:hAnsiTheme="majorBidi" w:cstheme="majorBidi"/>
          <w:sz w:val="24"/>
          <w:szCs w:val="24"/>
        </w:rPr>
        <w:t xml:space="preserve"> 64(4), 517-534.</w:t>
      </w:r>
    </w:p>
    <w:p w14:paraId="7FCFE515" w14:textId="77777777" w:rsidR="00E72E3D" w:rsidRPr="00E72E3D" w:rsidRDefault="00E72E3D" w:rsidP="00E72E3D">
      <w:pPr>
        <w:widowControl w:val="0"/>
        <w:tabs>
          <w:tab w:val="left" w:pos="426"/>
        </w:tabs>
        <w:autoSpaceDE w:val="0"/>
        <w:autoSpaceDN w:val="0"/>
        <w:adjustRightInd w:val="0"/>
        <w:spacing w:after="0" w:line="480" w:lineRule="auto"/>
        <w:ind w:left="426" w:hanging="426"/>
        <w:rPr>
          <w:rFonts w:asciiTheme="majorBidi" w:hAnsiTheme="majorBidi" w:cstheme="majorBidi"/>
          <w:sz w:val="24"/>
          <w:szCs w:val="24"/>
        </w:rPr>
      </w:pPr>
      <w:r w:rsidRPr="00E72E3D">
        <w:rPr>
          <w:rFonts w:asciiTheme="majorBidi" w:hAnsiTheme="majorBidi" w:cstheme="majorBidi"/>
          <w:sz w:val="24"/>
          <w:szCs w:val="24"/>
        </w:rPr>
        <w:t xml:space="preserve">Abraham, M. &amp; Tastsoglou, E. (2016b). Addressing domestic violence in Canada and the United States: The uneasy co-habitation of women and the state. </w:t>
      </w:r>
      <w:r w:rsidRPr="00E72E3D">
        <w:rPr>
          <w:rFonts w:asciiTheme="majorBidi" w:hAnsiTheme="majorBidi" w:cstheme="majorBidi"/>
          <w:i/>
          <w:iCs/>
          <w:sz w:val="24"/>
          <w:szCs w:val="24"/>
        </w:rPr>
        <w:t>Current Sociology Monograph</w:t>
      </w:r>
      <w:r w:rsidRPr="00E72E3D">
        <w:rPr>
          <w:rFonts w:asciiTheme="majorBidi" w:hAnsiTheme="majorBidi" w:cstheme="majorBidi"/>
          <w:sz w:val="24"/>
          <w:szCs w:val="24"/>
        </w:rPr>
        <w:t xml:space="preserve">, </w:t>
      </w:r>
      <w:r w:rsidRPr="00E72E3D">
        <w:rPr>
          <w:rFonts w:asciiTheme="majorBidi" w:hAnsiTheme="majorBidi" w:cstheme="majorBidi"/>
          <w:i/>
          <w:iCs/>
          <w:sz w:val="24"/>
          <w:szCs w:val="24"/>
        </w:rPr>
        <w:t>64</w:t>
      </w:r>
      <w:r w:rsidRPr="00E72E3D">
        <w:rPr>
          <w:rFonts w:asciiTheme="majorBidi" w:hAnsiTheme="majorBidi" w:cstheme="majorBidi"/>
          <w:sz w:val="24"/>
          <w:szCs w:val="24"/>
        </w:rPr>
        <w:t>(4), 568-585.</w:t>
      </w:r>
    </w:p>
    <w:p w14:paraId="65944C30" w14:textId="77777777" w:rsidR="00E72E3D" w:rsidRPr="00E72E3D" w:rsidRDefault="00E72E3D" w:rsidP="00E72E3D">
      <w:pPr>
        <w:widowControl w:val="0"/>
        <w:tabs>
          <w:tab w:val="left" w:pos="426"/>
        </w:tabs>
        <w:autoSpaceDE w:val="0"/>
        <w:autoSpaceDN w:val="0"/>
        <w:adjustRightInd w:val="0"/>
        <w:spacing w:after="0" w:line="480" w:lineRule="auto"/>
        <w:ind w:left="426" w:hanging="426"/>
        <w:rPr>
          <w:rFonts w:asciiTheme="majorBidi" w:hAnsiTheme="majorBidi" w:cstheme="majorBidi"/>
          <w:sz w:val="24"/>
          <w:szCs w:val="24"/>
        </w:rPr>
      </w:pPr>
      <w:r w:rsidRPr="00E72E3D">
        <w:rPr>
          <w:rFonts w:asciiTheme="majorBidi" w:hAnsiTheme="majorBidi" w:cstheme="majorBidi"/>
          <w:sz w:val="24"/>
          <w:szCs w:val="24"/>
        </w:rPr>
        <w:t xml:space="preserve">Adams, A. E., Sullivan, C. M., Bybee, D., &amp; Greeson, M. R. (2008). Development of the scale of economic abuse. </w:t>
      </w:r>
      <w:r w:rsidRPr="00E72E3D">
        <w:rPr>
          <w:rFonts w:asciiTheme="majorBidi" w:hAnsiTheme="majorBidi" w:cstheme="majorBidi"/>
          <w:i/>
          <w:iCs/>
          <w:sz w:val="24"/>
          <w:szCs w:val="24"/>
        </w:rPr>
        <w:t>Violence Against Women</w:t>
      </w:r>
      <w:r w:rsidRPr="00E72E3D">
        <w:rPr>
          <w:rFonts w:asciiTheme="majorBidi" w:hAnsiTheme="majorBidi" w:cstheme="majorBidi"/>
          <w:sz w:val="24"/>
          <w:szCs w:val="24"/>
        </w:rPr>
        <w:t xml:space="preserve">, </w:t>
      </w:r>
      <w:r w:rsidRPr="00E72E3D">
        <w:rPr>
          <w:rFonts w:asciiTheme="majorBidi" w:hAnsiTheme="majorBidi" w:cstheme="majorBidi"/>
          <w:i/>
          <w:iCs/>
          <w:sz w:val="24"/>
          <w:szCs w:val="24"/>
        </w:rPr>
        <w:t>14</w:t>
      </w:r>
      <w:r w:rsidRPr="00E72E3D">
        <w:rPr>
          <w:rFonts w:asciiTheme="majorBidi" w:hAnsiTheme="majorBidi" w:cstheme="majorBidi"/>
          <w:sz w:val="24"/>
          <w:szCs w:val="24"/>
        </w:rPr>
        <w:t xml:space="preserve">, 563-588. </w:t>
      </w:r>
    </w:p>
    <w:p w14:paraId="053BCD7E" w14:textId="77777777" w:rsidR="00E72E3D" w:rsidRPr="00E72E3D" w:rsidRDefault="00E72E3D" w:rsidP="00E72E3D">
      <w:pPr>
        <w:widowControl w:val="0"/>
        <w:tabs>
          <w:tab w:val="left" w:pos="426"/>
        </w:tabs>
        <w:autoSpaceDE w:val="0"/>
        <w:autoSpaceDN w:val="0"/>
        <w:adjustRightInd w:val="0"/>
        <w:spacing w:after="0" w:line="480" w:lineRule="auto"/>
        <w:ind w:left="426" w:hanging="426"/>
        <w:rPr>
          <w:rFonts w:asciiTheme="majorBidi" w:hAnsiTheme="majorBidi" w:cstheme="majorBidi"/>
          <w:sz w:val="24"/>
          <w:szCs w:val="24"/>
        </w:rPr>
      </w:pPr>
      <w:r w:rsidRPr="00E72E3D">
        <w:rPr>
          <w:rFonts w:asciiTheme="majorBidi" w:hAnsiTheme="majorBidi" w:cstheme="majorBidi"/>
          <w:sz w:val="24"/>
          <w:szCs w:val="24"/>
        </w:rPr>
        <w:t xml:space="preserve">Adams, A. E., Tolman, R. M., Bybee, D., Sullivan, C. M., &amp; Angie C. Kennedy, A. C. (2013). The impact of intimate partner violence on low-income women’s economic well-being: The mediating role of job stability. </w:t>
      </w:r>
      <w:r w:rsidRPr="00E72E3D">
        <w:rPr>
          <w:rFonts w:asciiTheme="majorBidi" w:hAnsiTheme="majorBidi" w:cstheme="majorBidi"/>
          <w:i/>
          <w:iCs/>
          <w:sz w:val="24"/>
          <w:szCs w:val="24"/>
        </w:rPr>
        <w:t>Violence Against Women</w:t>
      </w:r>
      <w:r w:rsidRPr="00E72E3D">
        <w:rPr>
          <w:rFonts w:asciiTheme="majorBidi" w:hAnsiTheme="majorBidi" w:cstheme="majorBidi"/>
          <w:sz w:val="24"/>
          <w:szCs w:val="24"/>
        </w:rPr>
        <w:t xml:space="preserve">, </w:t>
      </w:r>
      <w:r w:rsidRPr="00E72E3D">
        <w:rPr>
          <w:rFonts w:asciiTheme="majorBidi" w:hAnsiTheme="majorBidi" w:cstheme="majorBidi"/>
          <w:i/>
          <w:iCs/>
          <w:sz w:val="24"/>
          <w:szCs w:val="24"/>
        </w:rPr>
        <w:t>18</w:t>
      </w:r>
      <w:r w:rsidRPr="00E72E3D">
        <w:rPr>
          <w:rFonts w:asciiTheme="majorBidi" w:hAnsiTheme="majorBidi" w:cstheme="majorBidi"/>
          <w:sz w:val="24"/>
          <w:szCs w:val="24"/>
        </w:rPr>
        <w:t>(12), 1345-1367.</w:t>
      </w:r>
    </w:p>
    <w:p w14:paraId="62471E82" w14:textId="77777777" w:rsidR="00E72E3D" w:rsidRPr="00E72E3D" w:rsidRDefault="00E72E3D" w:rsidP="00E72E3D">
      <w:pPr>
        <w:widowControl w:val="0"/>
        <w:autoSpaceDE w:val="0"/>
        <w:autoSpaceDN w:val="0"/>
        <w:adjustRightInd w:val="0"/>
        <w:spacing w:after="0" w:line="480" w:lineRule="auto"/>
        <w:ind w:left="480" w:hanging="480"/>
        <w:rPr>
          <w:rFonts w:asciiTheme="majorBidi" w:hAnsiTheme="majorBidi" w:cstheme="majorBidi"/>
          <w:sz w:val="24"/>
          <w:szCs w:val="24"/>
        </w:rPr>
      </w:pPr>
      <w:r w:rsidRPr="00E72E3D">
        <w:rPr>
          <w:rFonts w:asciiTheme="majorBidi" w:hAnsiTheme="majorBidi" w:cstheme="majorBidi"/>
          <w:sz w:val="24"/>
          <w:szCs w:val="24"/>
        </w:rPr>
        <w:t xml:space="preserve">Adelman, M. (2017). </w:t>
      </w:r>
      <w:r w:rsidRPr="00E72E3D">
        <w:rPr>
          <w:rFonts w:asciiTheme="majorBidi" w:hAnsiTheme="majorBidi" w:cstheme="majorBidi"/>
          <w:i/>
          <w:iCs/>
          <w:sz w:val="24"/>
          <w:szCs w:val="24"/>
        </w:rPr>
        <w:t xml:space="preserve">Battering states: The politics of domestic violence in Israel. </w:t>
      </w:r>
      <w:r w:rsidRPr="00E72E3D">
        <w:rPr>
          <w:rFonts w:asciiTheme="majorBidi" w:hAnsiTheme="majorBidi" w:cstheme="majorBidi"/>
          <w:sz w:val="24"/>
          <w:szCs w:val="24"/>
        </w:rPr>
        <w:t>Nashville, TN: Vanderbilt University Press.</w:t>
      </w:r>
    </w:p>
    <w:p w14:paraId="7D41728E" w14:textId="5123E86C" w:rsidR="00EB7092" w:rsidRPr="00CC3A32" w:rsidRDefault="00EB7092" w:rsidP="00CC3A32">
      <w:pPr>
        <w:widowControl w:val="0"/>
        <w:autoSpaceDE w:val="0"/>
        <w:autoSpaceDN w:val="0"/>
        <w:adjustRightInd w:val="0"/>
        <w:spacing w:after="0" w:line="480" w:lineRule="auto"/>
        <w:ind w:left="810" w:hanging="810"/>
        <w:rPr>
          <w:rFonts w:asciiTheme="majorBidi" w:hAnsiTheme="majorBidi" w:cstheme="majorBidi"/>
          <w:sz w:val="24"/>
          <w:szCs w:val="24"/>
        </w:rPr>
      </w:pPr>
      <w:r w:rsidRPr="00CC3A32">
        <w:rPr>
          <w:rFonts w:asciiTheme="majorBidi" w:hAnsiTheme="majorBidi" w:cstheme="majorBidi"/>
          <w:sz w:val="24"/>
          <w:szCs w:val="24"/>
        </w:rPr>
        <w:t>Brush, L. (2013)</w:t>
      </w:r>
      <w:r w:rsidR="00CC3A32" w:rsidRPr="00CC3A32">
        <w:rPr>
          <w:rFonts w:asciiTheme="majorBidi" w:hAnsiTheme="majorBidi" w:cstheme="majorBidi"/>
          <w:sz w:val="24"/>
          <w:szCs w:val="24"/>
        </w:rPr>
        <w:t>. Law, gendered abuse, and the limits and possibilities of feminist theory.</w:t>
      </w:r>
      <w:r w:rsidR="00CC3A32">
        <w:rPr>
          <w:rFonts w:asciiTheme="majorBidi" w:hAnsiTheme="majorBidi" w:cstheme="majorBidi"/>
          <w:sz w:val="24"/>
          <w:szCs w:val="24"/>
        </w:rPr>
        <w:t xml:space="preserve"> </w:t>
      </w:r>
      <w:r w:rsidR="00CC3A32" w:rsidRPr="00CC3A32">
        <w:rPr>
          <w:rFonts w:asciiTheme="majorBidi" w:hAnsiTheme="majorBidi" w:cstheme="majorBidi"/>
          <w:sz w:val="24"/>
          <w:szCs w:val="24"/>
        </w:rPr>
        <w:t>Tulsa Law Review, 49(2), 355–366.</w:t>
      </w:r>
    </w:p>
    <w:p w14:paraId="5DC9B8D5" w14:textId="77777777" w:rsidR="00EB7092" w:rsidRPr="008C209F" w:rsidRDefault="00EB7092" w:rsidP="00EB7092">
      <w:pPr>
        <w:widowControl w:val="0"/>
        <w:autoSpaceDE w:val="0"/>
        <w:autoSpaceDN w:val="0"/>
        <w:adjustRightInd w:val="0"/>
        <w:spacing w:line="480" w:lineRule="auto"/>
        <w:ind w:left="480" w:hanging="480"/>
        <w:rPr>
          <w:rFonts w:ascii="David" w:eastAsia="Times New Roman" w:hAnsi="David" w:cs="David"/>
          <w:color w:val="333333"/>
          <w:sz w:val="24"/>
          <w:szCs w:val="24"/>
        </w:rPr>
      </w:pPr>
      <w:r w:rsidRPr="00644328">
        <w:rPr>
          <w:rFonts w:ascii="David" w:hAnsi="David" w:cs="David"/>
          <w:sz w:val="24"/>
          <w:szCs w:val="24"/>
        </w:rPr>
        <w:t>Cooper, M</w:t>
      </w:r>
      <w:r w:rsidRPr="00B775A8">
        <w:rPr>
          <w:rFonts w:asciiTheme="majorBidi" w:eastAsia="Times New Roman" w:hAnsiTheme="majorBidi" w:cstheme="majorBidi"/>
          <w:color w:val="222222"/>
          <w:sz w:val="24"/>
          <w:szCs w:val="24"/>
        </w:rPr>
        <w:t>. (2017). Family</w:t>
      </w:r>
      <w:r w:rsidRPr="00644328">
        <w:rPr>
          <w:rFonts w:ascii="David" w:eastAsia="Times New Roman" w:hAnsi="David" w:cs="David"/>
          <w:i/>
          <w:iCs/>
          <w:color w:val="333333"/>
          <w:sz w:val="24"/>
          <w:szCs w:val="24"/>
        </w:rPr>
        <w:t xml:space="preserve"> Values: Between Neoliberalism and the New Social</w:t>
      </w:r>
      <w:r w:rsidRPr="008C209F">
        <w:rPr>
          <w:rFonts w:ascii="David" w:eastAsia="Times New Roman" w:hAnsi="David" w:cs="David"/>
          <w:i/>
          <w:iCs/>
          <w:color w:val="333333"/>
          <w:sz w:val="24"/>
          <w:szCs w:val="24"/>
        </w:rPr>
        <w:t xml:space="preserve"> Conservatism</w:t>
      </w:r>
      <w:r w:rsidRPr="008C209F">
        <w:rPr>
          <w:rFonts w:ascii="David" w:eastAsia="Times New Roman" w:hAnsi="David" w:cs="David"/>
          <w:color w:val="333333"/>
          <w:sz w:val="24"/>
          <w:szCs w:val="24"/>
        </w:rPr>
        <w:t>. New York: Zone Books.</w:t>
      </w:r>
    </w:p>
    <w:p w14:paraId="2029E243" w14:textId="15E8860D" w:rsidR="00CF4D0F" w:rsidRDefault="00CF4D0F" w:rsidP="00CF4D0F">
      <w:pPr>
        <w:widowControl w:val="0"/>
        <w:tabs>
          <w:tab w:val="left" w:pos="426"/>
        </w:tabs>
        <w:autoSpaceDE w:val="0"/>
        <w:autoSpaceDN w:val="0"/>
        <w:adjustRightInd w:val="0"/>
        <w:spacing w:after="0" w:line="480" w:lineRule="auto"/>
        <w:ind w:left="426" w:hanging="426"/>
        <w:rPr>
          <w:rFonts w:asciiTheme="majorBidi" w:eastAsia="Times New Roman" w:hAnsiTheme="majorBidi" w:cstheme="majorBidi"/>
          <w:color w:val="222222"/>
          <w:sz w:val="24"/>
          <w:szCs w:val="24"/>
          <w:rtl/>
        </w:rPr>
      </w:pPr>
      <w:r w:rsidRPr="004B6326">
        <w:rPr>
          <w:rFonts w:asciiTheme="majorBidi" w:eastAsia="Times New Roman" w:hAnsiTheme="majorBidi" w:cstheme="majorBidi"/>
          <w:color w:val="222222"/>
          <w:sz w:val="24"/>
          <w:szCs w:val="24"/>
        </w:rPr>
        <w:t xml:space="preserve">Fraser, </w:t>
      </w:r>
      <w:r w:rsidR="007C3D8F">
        <w:rPr>
          <w:rFonts w:asciiTheme="majorBidi" w:eastAsia="Times New Roman" w:hAnsiTheme="majorBidi" w:cstheme="majorBidi"/>
          <w:color w:val="222222"/>
          <w:sz w:val="24"/>
          <w:szCs w:val="24"/>
        </w:rPr>
        <w:t xml:space="preserve">N. (1989). </w:t>
      </w:r>
      <w:r w:rsidRPr="004B6326">
        <w:rPr>
          <w:rFonts w:asciiTheme="majorBidi" w:eastAsia="Times New Roman" w:hAnsiTheme="majorBidi" w:cstheme="majorBidi"/>
          <w:i/>
          <w:iCs/>
          <w:color w:val="222222"/>
          <w:sz w:val="24"/>
          <w:szCs w:val="24"/>
        </w:rPr>
        <w:t>Unruly practices: Power, discourse, and gender in contemporary social theory</w:t>
      </w:r>
      <w:r w:rsidRPr="004B6326">
        <w:rPr>
          <w:rFonts w:asciiTheme="majorBidi" w:eastAsia="Times New Roman" w:hAnsiTheme="majorBidi" w:cstheme="majorBidi"/>
          <w:color w:val="222222"/>
          <w:sz w:val="24"/>
          <w:szCs w:val="24"/>
          <w:rtl/>
        </w:rPr>
        <w:t xml:space="preserve">. </w:t>
      </w:r>
      <w:r>
        <w:rPr>
          <w:rFonts w:asciiTheme="majorBidi" w:eastAsia="Times New Roman" w:hAnsiTheme="majorBidi" w:cstheme="majorBidi"/>
          <w:color w:val="222222"/>
          <w:sz w:val="24"/>
          <w:szCs w:val="24"/>
        </w:rPr>
        <w:t xml:space="preserve"> </w:t>
      </w:r>
      <w:r w:rsidRPr="004B6326">
        <w:rPr>
          <w:rFonts w:asciiTheme="majorBidi" w:eastAsia="Times New Roman" w:hAnsiTheme="majorBidi" w:cstheme="majorBidi"/>
          <w:color w:val="222222"/>
          <w:sz w:val="24"/>
          <w:szCs w:val="24"/>
        </w:rPr>
        <w:t>U</w:t>
      </w:r>
      <w:r>
        <w:rPr>
          <w:rFonts w:asciiTheme="majorBidi" w:eastAsia="Times New Roman" w:hAnsiTheme="majorBidi" w:cstheme="majorBidi"/>
          <w:color w:val="222222"/>
          <w:sz w:val="24"/>
          <w:szCs w:val="24"/>
        </w:rPr>
        <w:t>.</w:t>
      </w:r>
      <w:r w:rsidRPr="004B6326">
        <w:rPr>
          <w:rFonts w:asciiTheme="majorBidi" w:eastAsia="Times New Roman" w:hAnsiTheme="majorBidi" w:cstheme="majorBidi"/>
          <w:color w:val="222222"/>
          <w:sz w:val="24"/>
          <w:szCs w:val="24"/>
        </w:rPr>
        <w:t xml:space="preserve"> of Minnesota Pres</w:t>
      </w:r>
      <w:r>
        <w:rPr>
          <w:rFonts w:asciiTheme="majorBidi" w:eastAsia="Times New Roman" w:hAnsiTheme="majorBidi" w:cstheme="majorBidi"/>
          <w:color w:val="222222"/>
          <w:sz w:val="24"/>
          <w:szCs w:val="24"/>
        </w:rPr>
        <w:t>s.</w:t>
      </w:r>
    </w:p>
    <w:p w14:paraId="0243F9B6" w14:textId="7EC32D23" w:rsidR="00B775A8" w:rsidRDefault="007C3D8F" w:rsidP="00B775A8">
      <w:pPr>
        <w:widowControl w:val="0"/>
        <w:tabs>
          <w:tab w:val="left" w:pos="426"/>
        </w:tabs>
        <w:autoSpaceDE w:val="0"/>
        <w:autoSpaceDN w:val="0"/>
        <w:adjustRightInd w:val="0"/>
        <w:spacing w:after="0" w:line="480" w:lineRule="auto"/>
        <w:ind w:left="426" w:hanging="426"/>
        <w:rPr>
          <w:rFonts w:asciiTheme="majorBidi" w:hAnsiTheme="majorBidi" w:cstheme="majorBidi"/>
          <w:sz w:val="24"/>
          <w:szCs w:val="24"/>
        </w:rPr>
      </w:pPr>
      <w:r w:rsidRPr="007C3D8F">
        <w:rPr>
          <w:rFonts w:asciiTheme="majorBidi" w:eastAsia="Times New Roman" w:hAnsiTheme="majorBidi" w:cstheme="majorBidi"/>
          <w:color w:val="222222"/>
          <w:sz w:val="24"/>
          <w:szCs w:val="24"/>
        </w:rPr>
        <w:t>Grzanka</w:t>
      </w:r>
      <w:r>
        <w:rPr>
          <w:rFonts w:asciiTheme="majorBidi" w:eastAsia="Times New Roman" w:hAnsiTheme="majorBidi" w:cstheme="majorBidi"/>
          <w:color w:val="222222"/>
          <w:sz w:val="24"/>
          <w:szCs w:val="24"/>
        </w:rPr>
        <w:t>,</w:t>
      </w:r>
      <w:r w:rsidRPr="007C3D8F">
        <w:rPr>
          <w:rFonts w:asciiTheme="majorBidi" w:eastAsia="Times New Roman" w:hAnsiTheme="majorBidi" w:cstheme="majorBidi"/>
          <w:color w:val="222222"/>
          <w:sz w:val="24"/>
          <w:szCs w:val="24"/>
        </w:rPr>
        <w:t xml:space="preserve"> P</w:t>
      </w:r>
      <w:r>
        <w:rPr>
          <w:rFonts w:asciiTheme="majorBidi" w:eastAsia="Times New Roman" w:hAnsiTheme="majorBidi" w:cstheme="majorBidi"/>
          <w:color w:val="222222"/>
          <w:sz w:val="24"/>
          <w:szCs w:val="24"/>
        </w:rPr>
        <w:t>.</w:t>
      </w:r>
      <w:r w:rsidRPr="007C3D8F">
        <w:rPr>
          <w:rFonts w:asciiTheme="majorBidi" w:eastAsia="Times New Roman" w:hAnsiTheme="majorBidi" w:cstheme="majorBidi"/>
          <w:color w:val="222222"/>
          <w:sz w:val="24"/>
          <w:szCs w:val="24"/>
        </w:rPr>
        <w:t>R</w:t>
      </w:r>
      <w:r>
        <w:rPr>
          <w:rFonts w:asciiTheme="majorBidi" w:eastAsia="Times New Roman" w:hAnsiTheme="majorBidi" w:cstheme="majorBidi"/>
          <w:color w:val="222222"/>
          <w:sz w:val="24"/>
          <w:szCs w:val="24"/>
        </w:rPr>
        <w:t>.</w:t>
      </w:r>
      <w:r w:rsidRPr="007C3D8F">
        <w:rPr>
          <w:rFonts w:asciiTheme="majorBidi" w:eastAsia="Times New Roman" w:hAnsiTheme="majorBidi" w:cstheme="majorBidi"/>
          <w:color w:val="222222"/>
          <w:sz w:val="24"/>
          <w:szCs w:val="24"/>
        </w:rPr>
        <w:t xml:space="preserve"> (2014)</w:t>
      </w:r>
      <w:r>
        <w:rPr>
          <w:rFonts w:asciiTheme="majorBidi" w:eastAsia="Times New Roman" w:hAnsiTheme="majorBidi" w:cstheme="majorBidi"/>
          <w:color w:val="222222"/>
          <w:sz w:val="24"/>
          <w:szCs w:val="24"/>
        </w:rPr>
        <w:t>.</w:t>
      </w:r>
      <w:r w:rsidRPr="007C3D8F">
        <w:rPr>
          <w:rFonts w:asciiTheme="majorBidi" w:eastAsia="Times New Roman" w:hAnsiTheme="majorBidi" w:cstheme="majorBidi"/>
          <w:color w:val="222222"/>
          <w:sz w:val="24"/>
          <w:szCs w:val="24"/>
        </w:rPr>
        <w:t xml:space="preserve"> </w:t>
      </w:r>
      <w:r w:rsidRPr="00224FD8">
        <w:rPr>
          <w:rFonts w:asciiTheme="majorBidi" w:eastAsia="Times New Roman" w:hAnsiTheme="majorBidi" w:cstheme="majorBidi"/>
          <w:i/>
          <w:iCs/>
          <w:color w:val="222222"/>
          <w:sz w:val="24"/>
          <w:szCs w:val="24"/>
        </w:rPr>
        <w:t>Intersectionality: A Foundations and Frontiers Reader</w:t>
      </w:r>
      <w:r w:rsidRPr="007C3D8F">
        <w:rPr>
          <w:rFonts w:asciiTheme="majorBidi" w:eastAsia="Times New Roman" w:hAnsiTheme="majorBidi" w:cstheme="majorBidi"/>
          <w:color w:val="222222"/>
          <w:sz w:val="24"/>
          <w:szCs w:val="24"/>
        </w:rPr>
        <w:t>. Boulder, CO:</w:t>
      </w:r>
      <w:r w:rsidR="00B775A8">
        <w:rPr>
          <w:rFonts w:asciiTheme="majorBidi" w:eastAsia="Times New Roman" w:hAnsiTheme="majorBidi" w:cstheme="majorBidi"/>
          <w:color w:val="222222"/>
          <w:sz w:val="24"/>
          <w:szCs w:val="24"/>
        </w:rPr>
        <w:t xml:space="preserve"> </w:t>
      </w:r>
      <w:r w:rsidRPr="00B775A8">
        <w:rPr>
          <w:rFonts w:asciiTheme="majorBidi" w:eastAsia="Times New Roman" w:hAnsiTheme="majorBidi" w:cstheme="majorBidi"/>
          <w:color w:val="222222"/>
          <w:sz w:val="24"/>
          <w:szCs w:val="24"/>
        </w:rPr>
        <w:t>Westview.</w:t>
      </w:r>
      <w:r w:rsidRPr="00E72E3D">
        <w:rPr>
          <w:rFonts w:asciiTheme="majorBidi" w:hAnsiTheme="majorBidi" w:cstheme="majorBidi"/>
          <w:sz w:val="24"/>
          <w:szCs w:val="24"/>
        </w:rPr>
        <w:t xml:space="preserve"> </w:t>
      </w:r>
    </w:p>
    <w:p w14:paraId="315323FD" w14:textId="7229C2D6" w:rsidR="0022143B" w:rsidRDefault="0022143B" w:rsidP="0022143B">
      <w:pPr>
        <w:widowControl w:val="0"/>
        <w:autoSpaceDE w:val="0"/>
        <w:autoSpaceDN w:val="0"/>
        <w:adjustRightInd w:val="0"/>
        <w:spacing w:after="0" w:line="480" w:lineRule="auto"/>
        <w:ind w:left="480" w:hanging="480"/>
        <w:rPr>
          <w:rFonts w:asciiTheme="majorBidi" w:hAnsiTheme="majorBidi" w:cstheme="majorBidi"/>
          <w:sz w:val="24"/>
          <w:szCs w:val="24"/>
          <w:rtl/>
        </w:rPr>
      </w:pPr>
      <w:r w:rsidRPr="0022143B">
        <w:rPr>
          <w:rFonts w:asciiTheme="majorBidi" w:hAnsiTheme="majorBidi" w:cstheme="majorBidi"/>
          <w:sz w:val="24"/>
          <w:szCs w:val="24"/>
        </w:rPr>
        <w:t>Hacker, D.</w:t>
      </w:r>
      <w:r>
        <w:rPr>
          <w:rFonts w:asciiTheme="majorBidi" w:hAnsiTheme="majorBidi" w:cstheme="majorBidi"/>
          <w:sz w:val="24"/>
          <w:szCs w:val="24"/>
        </w:rPr>
        <w:t xml:space="preserve"> (202</w:t>
      </w:r>
      <w:r w:rsidR="00B462F7">
        <w:rPr>
          <w:rFonts w:asciiTheme="majorBidi" w:hAnsiTheme="majorBidi" w:cstheme="majorBidi" w:hint="cs"/>
          <w:sz w:val="24"/>
          <w:szCs w:val="24"/>
          <w:rtl/>
        </w:rPr>
        <w:t>2</w:t>
      </w:r>
      <w:r>
        <w:rPr>
          <w:rFonts w:asciiTheme="majorBidi" w:hAnsiTheme="majorBidi" w:cstheme="majorBidi"/>
          <w:sz w:val="24"/>
          <w:szCs w:val="24"/>
        </w:rPr>
        <w:t xml:space="preserve">). </w:t>
      </w:r>
      <w:r w:rsidR="00B462F7" w:rsidRPr="00B462F7">
        <w:rPr>
          <w:rFonts w:asciiTheme="majorBidi" w:hAnsiTheme="majorBidi" w:cstheme="majorBidi"/>
          <w:sz w:val="24"/>
          <w:szCs w:val="24"/>
        </w:rPr>
        <w:t>The Equal Shared Time Revolution in the Shadow of Judicial Failure in Consuming Empirical Knowledge,</w:t>
      </w:r>
      <w:r w:rsidR="00B462F7">
        <w:rPr>
          <w:color w:val="000000"/>
          <w:shd w:val="clear" w:color="auto" w:fill="FFFFFF"/>
          <w:lang w:val="en-US"/>
        </w:rPr>
        <w:t xml:space="preserve"> </w:t>
      </w:r>
      <w:r w:rsidRPr="00213042">
        <w:rPr>
          <w:rFonts w:asciiTheme="majorBidi" w:hAnsiTheme="majorBidi" w:cstheme="majorBidi"/>
          <w:i/>
          <w:iCs/>
          <w:sz w:val="24"/>
          <w:szCs w:val="24"/>
        </w:rPr>
        <w:t>Ma</w:t>
      </w:r>
      <w:r w:rsidR="008902CC">
        <w:rPr>
          <w:rFonts w:asciiTheme="majorBidi" w:hAnsiTheme="majorBidi" w:cstheme="majorBidi"/>
          <w:i/>
          <w:iCs/>
          <w:sz w:val="24"/>
          <w:szCs w:val="24"/>
        </w:rPr>
        <w:t>’</w:t>
      </w:r>
      <w:r w:rsidRPr="00213042">
        <w:rPr>
          <w:rFonts w:asciiTheme="majorBidi" w:hAnsiTheme="majorBidi" w:cstheme="majorBidi"/>
          <w:i/>
          <w:iCs/>
          <w:sz w:val="24"/>
          <w:szCs w:val="24"/>
        </w:rPr>
        <w:t xml:space="preserve">asei Mishpat: Tel Aviv University Journal of </w:t>
      </w:r>
      <w:r w:rsidRPr="00213042">
        <w:rPr>
          <w:rFonts w:asciiTheme="majorBidi" w:hAnsiTheme="majorBidi" w:cstheme="majorBidi" w:hint="cs"/>
          <w:i/>
          <w:iCs/>
          <w:sz w:val="24"/>
          <w:szCs w:val="24"/>
        </w:rPr>
        <w:t>L</w:t>
      </w:r>
      <w:r w:rsidRPr="00213042">
        <w:rPr>
          <w:rFonts w:asciiTheme="majorBidi" w:hAnsiTheme="majorBidi" w:cstheme="majorBidi"/>
          <w:i/>
          <w:iCs/>
          <w:sz w:val="24"/>
          <w:szCs w:val="24"/>
          <w:lang w:val="en-US"/>
        </w:rPr>
        <w:t>aw and Social Change</w:t>
      </w:r>
      <w:r w:rsidRPr="0022143B">
        <w:rPr>
          <w:rFonts w:asciiTheme="majorBidi" w:hAnsiTheme="majorBidi" w:cstheme="majorBidi"/>
          <w:sz w:val="24"/>
          <w:szCs w:val="24"/>
        </w:rPr>
        <w:t>, 14: 49-80</w:t>
      </w:r>
      <w:r w:rsidR="00213042">
        <w:rPr>
          <w:rFonts w:asciiTheme="majorBidi" w:hAnsiTheme="majorBidi" w:cstheme="majorBidi"/>
          <w:sz w:val="24"/>
          <w:szCs w:val="24"/>
        </w:rPr>
        <w:t xml:space="preserve"> (Hebrew)</w:t>
      </w:r>
      <w:r w:rsidRPr="0022143B">
        <w:rPr>
          <w:rFonts w:asciiTheme="majorBidi" w:hAnsiTheme="majorBidi" w:cstheme="majorBidi"/>
          <w:sz w:val="24"/>
          <w:szCs w:val="24"/>
        </w:rPr>
        <w:t>.</w:t>
      </w:r>
    </w:p>
    <w:p w14:paraId="72FFCC56" w14:textId="77777777" w:rsidR="00EB4D4D" w:rsidRPr="00EB4D4D" w:rsidRDefault="00EB4D4D" w:rsidP="00EB4D4D">
      <w:pPr>
        <w:widowControl w:val="0"/>
        <w:autoSpaceDE w:val="0"/>
        <w:autoSpaceDN w:val="0"/>
        <w:adjustRightInd w:val="0"/>
        <w:spacing w:after="0" w:line="480" w:lineRule="auto"/>
        <w:ind w:left="480" w:hanging="480"/>
        <w:rPr>
          <w:rFonts w:asciiTheme="majorBidi" w:hAnsiTheme="majorBidi" w:cstheme="majorBidi"/>
          <w:sz w:val="24"/>
          <w:szCs w:val="24"/>
          <w:rtl/>
        </w:rPr>
      </w:pPr>
      <w:r w:rsidRPr="00EB4D4D">
        <w:rPr>
          <w:rFonts w:asciiTheme="majorBidi" w:hAnsiTheme="majorBidi" w:cstheme="majorBidi"/>
          <w:sz w:val="24"/>
          <w:szCs w:val="24"/>
        </w:rPr>
        <w:t>Hardesty, J. L., &amp; Ogolsky, B. G. (2020). A sociological perspective on intimate partner violence</w:t>
      </w:r>
      <w:r w:rsidRPr="00EB4D4D">
        <w:rPr>
          <w:rFonts w:asciiTheme="majorBidi" w:hAnsiTheme="majorBidi" w:cstheme="majorBidi"/>
          <w:sz w:val="24"/>
          <w:szCs w:val="24"/>
          <w:rtl/>
        </w:rPr>
        <w:t xml:space="preserve"> </w:t>
      </w:r>
      <w:r w:rsidRPr="00EB4D4D">
        <w:rPr>
          <w:rFonts w:asciiTheme="majorBidi" w:hAnsiTheme="majorBidi" w:cstheme="majorBidi"/>
          <w:sz w:val="24"/>
          <w:szCs w:val="24"/>
        </w:rPr>
        <w:t xml:space="preserve">research: A decade in review. </w:t>
      </w:r>
      <w:r w:rsidRPr="00EB4D4D">
        <w:rPr>
          <w:rFonts w:asciiTheme="majorBidi" w:hAnsiTheme="majorBidi" w:cstheme="majorBidi"/>
          <w:i/>
          <w:iCs/>
          <w:sz w:val="24"/>
          <w:szCs w:val="24"/>
        </w:rPr>
        <w:t>Journal of Marriage and Family</w:t>
      </w:r>
      <w:r w:rsidRPr="00EB4D4D">
        <w:rPr>
          <w:rFonts w:asciiTheme="majorBidi" w:hAnsiTheme="majorBidi" w:cstheme="majorBidi"/>
          <w:sz w:val="24"/>
          <w:szCs w:val="24"/>
        </w:rPr>
        <w:t xml:space="preserve">, 82, 454–477. </w:t>
      </w:r>
    </w:p>
    <w:p w14:paraId="44E10C50" w14:textId="77777777" w:rsidR="00EB4D4D" w:rsidRPr="00E72E3D" w:rsidRDefault="00EB4D4D" w:rsidP="00EB4D4D">
      <w:pPr>
        <w:widowControl w:val="0"/>
        <w:autoSpaceDE w:val="0"/>
        <w:autoSpaceDN w:val="0"/>
        <w:adjustRightInd w:val="0"/>
        <w:spacing w:after="0" w:line="480" w:lineRule="auto"/>
        <w:ind w:left="480" w:hanging="480"/>
        <w:rPr>
          <w:rFonts w:asciiTheme="majorBidi" w:hAnsiTheme="majorBidi" w:cstheme="majorBidi"/>
          <w:sz w:val="24"/>
          <w:szCs w:val="24"/>
        </w:rPr>
      </w:pPr>
      <w:r w:rsidRPr="00E72E3D">
        <w:rPr>
          <w:rFonts w:asciiTheme="majorBidi" w:hAnsiTheme="majorBidi" w:cstheme="majorBidi"/>
          <w:sz w:val="24"/>
          <w:szCs w:val="24"/>
        </w:rPr>
        <w:lastRenderedPageBreak/>
        <w:t xml:space="preserve">Hearn, J., Strid, S., Husu, L., &amp; Verloo, M. (2016). Interrogating violence against women and state violence policy: Gendered intersectionalities and the quality of policy in the Netherlands, Sweden, and the UK. </w:t>
      </w:r>
      <w:r w:rsidRPr="00E72E3D">
        <w:rPr>
          <w:rFonts w:asciiTheme="majorBidi" w:hAnsiTheme="majorBidi" w:cstheme="majorBidi"/>
          <w:i/>
          <w:iCs/>
          <w:sz w:val="24"/>
          <w:szCs w:val="24"/>
        </w:rPr>
        <w:t>Current Sociology Monograph</w:t>
      </w:r>
      <w:r w:rsidRPr="00E72E3D">
        <w:rPr>
          <w:rFonts w:asciiTheme="majorBidi" w:hAnsiTheme="majorBidi" w:cstheme="majorBidi"/>
          <w:sz w:val="24"/>
          <w:szCs w:val="24"/>
        </w:rPr>
        <w:t xml:space="preserve"> </w:t>
      </w:r>
      <w:r w:rsidRPr="00E72E3D">
        <w:rPr>
          <w:rFonts w:asciiTheme="majorBidi" w:hAnsiTheme="majorBidi" w:cstheme="majorBidi"/>
          <w:i/>
          <w:iCs/>
          <w:sz w:val="24"/>
          <w:szCs w:val="24"/>
        </w:rPr>
        <w:t>64</w:t>
      </w:r>
      <w:r w:rsidRPr="00E72E3D">
        <w:rPr>
          <w:rFonts w:asciiTheme="majorBidi" w:hAnsiTheme="majorBidi" w:cstheme="majorBidi"/>
          <w:sz w:val="24"/>
          <w:szCs w:val="24"/>
        </w:rPr>
        <w:t>(4), 551-567.</w:t>
      </w:r>
    </w:p>
    <w:p w14:paraId="23C43F0B" w14:textId="46429B87" w:rsidR="00226F7B" w:rsidRPr="00FF674C" w:rsidRDefault="00226F7B" w:rsidP="00226F7B">
      <w:pPr>
        <w:widowControl w:val="0"/>
        <w:tabs>
          <w:tab w:val="left" w:pos="426"/>
        </w:tabs>
        <w:autoSpaceDE w:val="0"/>
        <w:autoSpaceDN w:val="0"/>
        <w:adjustRightInd w:val="0"/>
        <w:spacing w:after="0" w:line="480" w:lineRule="auto"/>
        <w:ind w:left="426" w:hanging="426"/>
        <w:rPr>
          <w:rFonts w:asciiTheme="majorBidi" w:hAnsiTheme="majorBidi" w:cstheme="majorBidi"/>
          <w:sz w:val="24"/>
          <w:szCs w:val="24"/>
        </w:rPr>
      </w:pPr>
      <w:r w:rsidRPr="00FF674C">
        <w:rPr>
          <w:rFonts w:asciiTheme="majorBidi" w:hAnsiTheme="majorBidi" w:cstheme="majorBidi"/>
          <w:sz w:val="24"/>
          <w:szCs w:val="24"/>
          <w:lang w:bidi="ar-SA"/>
        </w:rPr>
        <w:t>Hughes, M.</w:t>
      </w:r>
      <w:r>
        <w:rPr>
          <w:rFonts w:asciiTheme="majorBidi" w:hAnsiTheme="majorBidi" w:cstheme="majorBidi"/>
          <w:sz w:val="24"/>
          <w:szCs w:val="24"/>
          <w:lang w:bidi="ar-SA"/>
        </w:rPr>
        <w:t xml:space="preserve"> </w:t>
      </w:r>
      <w:r w:rsidRPr="00FF674C">
        <w:rPr>
          <w:rFonts w:asciiTheme="majorBidi" w:hAnsiTheme="majorBidi" w:cstheme="majorBidi"/>
          <w:sz w:val="24"/>
          <w:szCs w:val="24"/>
          <w:lang w:bidi="ar-SA"/>
        </w:rPr>
        <w:t xml:space="preserve">M. </w:t>
      </w:r>
      <w:r w:rsidRPr="00FF674C">
        <w:rPr>
          <w:rFonts w:asciiTheme="majorBidi" w:hAnsiTheme="majorBidi" w:cstheme="majorBidi"/>
          <w:sz w:val="24"/>
          <w:szCs w:val="24"/>
        </w:rPr>
        <w:t>&amp;</w:t>
      </w:r>
      <w:r w:rsidRPr="00FF674C">
        <w:rPr>
          <w:rFonts w:asciiTheme="majorBidi" w:hAnsiTheme="majorBidi" w:cstheme="majorBidi"/>
          <w:sz w:val="24"/>
          <w:szCs w:val="24"/>
          <w:lang w:bidi="ar-SA"/>
        </w:rPr>
        <w:t xml:space="preserve"> Brush, L.</w:t>
      </w:r>
      <w:r>
        <w:rPr>
          <w:rFonts w:asciiTheme="majorBidi" w:hAnsiTheme="majorBidi" w:cstheme="majorBidi"/>
          <w:sz w:val="24"/>
          <w:szCs w:val="24"/>
          <w:lang w:bidi="ar-SA"/>
        </w:rPr>
        <w:t xml:space="preserve"> </w:t>
      </w:r>
      <w:r w:rsidRPr="00FF674C">
        <w:rPr>
          <w:rFonts w:asciiTheme="majorBidi" w:hAnsiTheme="majorBidi" w:cstheme="majorBidi"/>
          <w:sz w:val="24"/>
          <w:szCs w:val="24"/>
          <w:lang w:bidi="ar-SA"/>
        </w:rPr>
        <w:t xml:space="preserve">D. (2015). The </w:t>
      </w:r>
      <w:r>
        <w:rPr>
          <w:rFonts w:asciiTheme="majorBidi" w:hAnsiTheme="majorBidi" w:cstheme="majorBidi"/>
          <w:sz w:val="24"/>
          <w:szCs w:val="24"/>
          <w:lang w:bidi="ar-SA"/>
        </w:rPr>
        <w:t>p</w:t>
      </w:r>
      <w:r w:rsidRPr="00FF674C">
        <w:rPr>
          <w:rFonts w:asciiTheme="majorBidi" w:hAnsiTheme="majorBidi" w:cstheme="majorBidi"/>
          <w:sz w:val="24"/>
          <w:szCs w:val="24"/>
          <w:lang w:bidi="ar-SA"/>
        </w:rPr>
        <w:t xml:space="preserve">rice of </w:t>
      </w:r>
      <w:r>
        <w:rPr>
          <w:rFonts w:asciiTheme="majorBidi" w:hAnsiTheme="majorBidi" w:cstheme="majorBidi"/>
          <w:sz w:val="24"/>
          <w:szCs w:val="24"/>
          <w:lang w:bidi="ar-SA"/>
        </w:rPr>
        <w:t>p</w:t>
      </w:r>
      <w:r w:rsidRPr="00FF674C">
        <w:rPr>
          <w:rFonts w:asciiTheme="majorBidi" w:hAnsiTheme="majorBidi" w:cstheme="majorBidi"/>
          <w:sz w:val="24"/>
          <w:szCs w:val="24"/>
          <w:lang w:bidi="ar-SA"/>
        </w:rPr>
        <w:t xml:space="preserve">rotection: A </w:t>
      </w:r>
      <w:r>
        <w:rPr>
          <w:rFonts w:asciiTheme="majorBidi" w:hAnsiTheme="majorBidi" w:cstheme="majorBidi"/>
          <w:sz w:val="24"/>
          <w:szCs w:val="24"/>
          <w:lang w:bidi="ar-SA"/>
        </w:rPr>
        <w:t>t</w:t>
      </w:r>
      <w:r w:rsidRPr="00FF674C">
        <w:rPr>
          <w:rFonts w:asciiTheme="majorBidi" w:hAnsiTheme="majorBidi" w:cstheme="majorBidi"/>
          <w:sz w:val="24"/>
          <w:szCs w:val="24"/>
          <w:lang w:bidi="ar-SA"/>
        </w:rPr>
        <w:t xml:space="preserve">rajectory </w:t>
      </w:r>
      <w:r>
        <w:rPr>
          <w:rFonts w:asciiTheme="majorBidi" w:hAnsiTheme="majorBidi" w:cstheme="majorBidi"/>
          <w:sz w:val="24"/>
          <w:szCs w:val="24"/>
          <w:lang w:bidi="ar-SA"/>
        </w:rPr>
        <w:t>a</w:t>
      </w:r>
      <w:r w:rsidRPr="00FF674C">
        <w:rPr>
          <w:rFonts w:asciiTheme="majorBidi" w:hAnsiTheme="majorBidi" w:cstheme="majorBidi"/>
          <w:sz w:val="24"/>
          <w:szCs w:val="24"/>
          <w:lang w:bidi="ar-SA"/>
        </w:rPr>
        <w:t xml:space="preserve">nalysis of </w:t>
      </w:r>
      <w:r>
        <w:rPr>
          <w:rFonts w:asciiTheme="majorBidi" w:hAnsiTheme="majorBidi" w:cstheme="majorBidi"/>
          <w:sz w:val="24"/>
          <w:szCs w:val="24"/>
          <w:lang w:bidi="ar-SA"/>
        </w:rPr>
        <w:t>c</w:t>
      </w:r>
      <w:r w:rsidRPr="00FF674C">
        <w:rPr>
          <w:rFonts w:asciiTheme="majorBidi" w:hAnsiTheme="majorBidi" w:cstheme="majorBidi"/>
          <w:sz w:val="24"/>
          <w:szCs w:val="24"/>
          <w:lang w:bidi="ar-SA"/>
        </w:rPr>
        <w:t xml:space="preserve">ivil </w:t>
      </w:r>
      <w:r>
        <w:rPr>
          <w:rFonts w:asciiTheme="majorBidi" w:hAnsiTheme="majorBidi" w:cstheme="majorBidi"/>
          <w:sz w:val="24"/>
          <w:szCs w:val="24"/>
          <w:lang w:bidi="ar-SA"/>
        </w:rPr>
        <w:t>r</w:t>
      </w:r>
      <w:r w:rsidRPr="00FF674C">
        <w:rPr>
          <w:rFonts w:asciiTheme="majorBidi" w:hAnsiTheme="majorBidi" w:cstheme="majorBidi"/>
          <w:sz w:val="24"/>
          <w:szCs w:val="24"/>
          <w:lang w:bidi="ar-SA"/>
        </w:rPr>
        <w:t xml:space="preserve">emedies for </w:t>
      </w:r>
      <w:r>
        <w:rPr>
          <w:rFonts w:asciiTheme="majorBidi" w:hAnsiTheme="majorBidi" w:cstheme="majorBidi"/>
          <w:sz w:val="24"/>
          <w:szCs w:val="24"/>
          <w:lang w:bidi="ar-SA"/>
        </w:rPr>
        <w:t>a</w:t>
      </w:r>
      <w:r w:rsidRPr="00FF674C">
        <w:rPr>
          <w:rFonts w:asciiTheme="majorBidi" w:hAnsiTheme="majorBidi" w:cstheme="majorBidi"/>
          <w:sz w:val="24"/>
          <w:szCs w:val="24"/>
          <w:lang w:bidi="ar-SA"/>
        </w:rPr>
        <w:t xml:space="preserve">buse and </w:t>
      </w:r>
      <w:r>
        <w:rPr>
          <w:rFonts w:asciiTheme="majorBidi" w:hAnsiTheme="majorBidi" w:cstheme="majorBidi"/>
          <w:sz w:val="24"/>
          <w:szCs w:val="24"/>
          <w:lang w:bidi="ar-SA"/>
        </w:rPr>
        <w:t>w</w:t>
      </w:r>
      <w:r w:rsidRPr="00FF674C">
        <w:rPr>
          <w:rFonts w:asciiTheme="majorBidi" w:hAnsiTheme="majorBidi" w:cstheme="majorBidi"/>
          <w:sz w:val="24"/>
          <w:szCs w:val="24"/>
          <w:lang w:bidi="ar-SA"/>
        </w:rPr>
        <w:t>omen</w:t>
      </w:r>
      <w:r>
        <w:rPr>
          <w:rFonts w:asciiTheme="majorBidi" w:hAnsiTheme="majorBidi" w:cstheme="majorBidi"/>
          <w:sz w:val="24"/>
          <w:szCs w:val="24"/>
          <w:lang w:bidi="ar-SA"/>
        </w:rPr>
        <w:t>’</w:t>
      </w:r>
      <w:r w:rsidRPr="00FF674C">
        <w:rPr>
          <w:rFonts w:asciiTheme="majorBidi" w:hAnsiTheme="majorBidi" w:cstheme="majorBidi"/>
          <w:sz w:val="24"/>
          <w:szCs w:val="24"/>
          <w:lang w:bidi="ar-SA"/>
        </w:rPr>
        <w:t xml:space="preserve">s </w:t>
      </w:r>
      <w:r>
        <w:rPr>
          <w:rFonts w:asciiTheme="majorBidi" w:hAnsiTheme="majorBidi" w:cstheme="majorBidi"/>
          <w:sz w:val="24"/>
          <w:szCs w:val="24"/>
          <w:lang w:bidi="ar-SA"/>
        </w:rPr>
        <w:t>e</w:t>
      </w:r>
      <w:r w:rsidRPr="00FF674C">
        <w:rPr>
          <w:rFonts w:asciiTheme="majorBidi" w:hAnsiTheme="majorBidi" w:cstheme="majorBidi"/>
          <w:sz w:val="24"/>
          <w:szCs w:val="24"/>
          <w:lang w:bidi="ar-SA"/>
        </w:rPr>
        <w:t xml:space="preserve">arnings. </w:t>
      </w:r>
      <w:r w:rsidRPr="00FF674C">
        <w:rPr>
          <w:rFonts w:asciiTheme="majorBidi" w:hAnsiTheme="majorBidi" w:cstheme="majorBidi"/>
          <w:i/>
          <w:iCs/>
          <w:sz w:val="24"/>
          <w:szCs w:val="24"/>
          <w:lang w:bidi="ar-SA"/>
        </w:rPr>
        <w:t>American Sociological Review</w:t>
      </w:r>
      <w:r w:rsidRPr="00FF674C">
        <w:rPr>
          <w:rFonts w:asciiTheme="majorBidi" w:hAnsiTheme="majorBidi" w:cstheme="majorBidi"/>
          <w:sz w:val="24"/>
          <w:szCs w:val="24"/>
          <w:lang w:bidi="ar-SA"/>
        </w:rPr>
        <w:t>,</w:t>
      </w:r>
      <w:r w:rsidRPr="00FF674C">
        <w:rPr>
          <w:rFonts w:asciiTheme="majorBidi" w:hAnsiTheme="majorBidi" w:cstheme="majorBidi"/>
          <w:sz w:val="24"/>
          <w:szCs w:val="24"/>
        </w:rPr>
        <w:t xml:space="preserve"> </w:t>
      </w:r>
      <w:r w:rsidRPr="00B76B78">
        <w:rPr>
          <w:rFonts w:asciiTheme="majorBidi" w:hAnsiTheme="majorBidi" w:cstheme="majorBidi"/>
          <w:i/>
          <w:iCs/>
          <w:sz w:val="24"/>
          <w:szCs w:val="24"/>
        </w:rPr>
        <w:t>80</w:t>
      </w:r>
      <w:r w:rsidRPr="00FF674C">
        <w:rPr>
          <w:rFonts w:asciiTheme="majorBidi" w:hAnsiTheme="majorBidi" w:cstheme="majorBidi"/>
          <w:sz w:val="24"/>
          <w:szCs w:val="24"/>
        </w:rPr>
        <w:t>(1) 140</w:t>
      </w:r>
      <w:r>
        <w:rPr>
          <w:rFonts w:asciiTheme="majorBidi" w:hAnsiTheme="majorBidi" w:cstheme="majorBidi"/>
          <w:sz w:val="24"/>
          <w:szCs w:val="24"/>
        </w:rPr>
        <w:t>-</w:t>
      </w:r>
      <w:r w:rsidRPr="00FF674C">
        <w:rPr>
          <w:rFonts w:asciiTheme="majorBidi" w:hAnsiTheme="majorBidi" w:cstheme="majorBidi"/>
          <w:sz w:val="24"/>
          <w:szCs w:val="24"/>
        </w:rPr>
        <w:t>165.</w:t>
      </w:r>
    </w:p>
    <w:p w14:paraId="3C045889" w14:textId="468FF654" w:rsidR="00EB4D4D" w:rsidRPr="00EB4D4D" w:rsidRDefault="004760BA" w:rsidP="00EB4D4D">
      <w:pPr>
        <w:widowControl w:val="0"/>
        <w:autoSpaceDE w:val="0"/>
        <w:autoSpaceDN w:val="0"/>
        <w:adjustRightInd w:val="0"/>
        <w:spacing w:after="0" w:line="480" w:lineRule="auto"/>
        <w:ind w:left="480" w:hanging="480"/>
        <w:rPr>
          <w:rFonts w:asciiTheme="majorBidi" w:hAnsiTheme="majorBidi" w:cstheme="majorBidi"/>
          <w:color w:val="222222"/>
          <w:sz w:val="24"/>
          <w:szCs w:val="24"/>
          <w:shd w:val="clear" w:color="auto" w:fill="FFFFFF"/>
        </w:rPr>
      </w:pPr>
      <w:r w:rsidRPr="004760BA">
        <w:rPr>
          <w:rFonts w:asciiTheme="majorBidi" w:hAnsiTheme="majorBidi" w:cstheme="majorBidi"/>
          <w:color w:val="222222"/>
          <w:sz w:val="24"/>
          <w:szCs w:val="24"/>
          <w:shd w:val="clear" w:color="auto" w:fill="FFFFFF"/>
        </w:rPr>
        <w:t>Hodes, C., &amp; Mennicke, A. (2019). Is it conflict or abuse? A practice note for furthering differential assessment and response. </w:t>
      </w:r>
      <w:r w:rsidRPr="004760BA">
        <w:rPr>
          <w:rFonts w:asciiTheme="majorBidi" w:hAnsiTheme="majorBidi" w:cstheme="majorBidi"/>
          <w:i/>
          <w:iCs/>
          <w:color w:val="222222"/>
          <w:sz w:val="24"/>
          <w:szCs w:val="24"/>
          <w:shd w:val="clear" w:color="auto" w:fill="FFFFFF"/>
        </w:rPr>
        <w:t>Clinical Social Work Journal</w:t>
      </w:r>
      <w:r w:rsidRPr="004760BA">
        <w:rPr>
          <w:rFonts w:asciiTheme="majorBidi" w:hAnsiTheme="majorBidi" w:cstheme="majorBidi"/>
          <w:color w:val="222222"/>
          <w:sz w:val="24"/>
          <w:szCs w:val="24"/>
          <w:shd w:val="clear" w:color="auto" w:fill="FFFFFF"/>
        </w:rPr>
        <w:t>, </w:t>
      </w:r>
      <w:r w:rsidRPr="004760BA">
        <w:rPr>
          <w:rFonts w:asciiTheme="majorBidi" w:hAnsiTheme="majorBidi" w:cstheme="majorBidi"/>
          <w:i/>
          <w:iCs/>
          <w:color w:val="222222"/>
          <w:sz w:val="24"/>
          <w:szCs w:val="24"/>
          <w:shd w:val="clear" w:color="auto" w:fill="FFFFFF"/>
        </w:rPr>
        <w:t>47</w:t>
      </w:r>
      <w:r w:rsidRPr="004760BA">
        <w:rPr>
          <w:rFonts w:asciiTheme="majorBidi" w:hAnsiTheme="majorBidi" w:cstheme="majorBidi"/>
          <w:color w:val="222222"/>
          <w:sz w:val="24"/>
          <w:szCs w:val="24"/>
          <w:shd w:val="clear" w:color="auto" w:fill="FFFFFF"/>
        </w:rPr>
        <w:t>, 176-184.</w:t>
      </w:r>
    </w:p>
    <w:p w14:paraId="3967D53C" w14:textId="3390E366" w:rsidR="00E72E3D" w:rsidRPr="00E72E3D" w:rsidRDefault="00E72E3D" w:rsidP="00E72E3D">
      <w:pPr>
        <w:widowControl w:val="0"/>
        <w:autoSpaceDE w:val="0"/>
        <w:autoSpaceDN w:val="0"/>
        <w:adjustRightInd w:val="0"/>
        <w:spacing w:after="0" w:line="480" w:lineRule="auto"/>
        <w:ind w:left="480" w:hanging="480"/>
        <w:rPr>
          <w:rFonts w:asciiTheme="majorBidi" w:eastAsia="Times New Roman" w:hAnsiTheme="majorBidi" w:cstheme="majorBidi"/>
          <w:color w:val="222222"/>
          <w:sz w:val="24"/>
          <w:szCs w:val="24"/>
        </w:rPr>
      </w:pPr>
      <w:r w:rsidRPr="00E72E3D">
        <w:rPr>
          <w:rFonts w:asciiTheme="majorBidi" w:hAnsiTheme="majorBidi" w:cstheme="majorBidi"/>
          <w:sz w:val="24"/>
          <w:szCs w:val="24"/>
        </w:rPr>
        <w:t xml:space="preserve">Johnson, M. E. (2009). Redefining harm, reimagining remedies, and reclaiming domestic violence. </w:t>
      </w:r>
      <w:r w:rsidRPr="00E72E3D">
        <w:rPr>
          <w:rFonts w:asciiTheme="majorBidi" w:hAnsiTheme="majorBidi" w:cstheme="majorBidi"/>
          <w:i/>
          <w:iCs/>
          <w:sz w:val="24"/>
          <w:szCs w:val="24"/>
        </w:rPr>
        <w:t>UC Davis Law Review</w:t>
      </w:r>
      <w:r w:rsidRPr="00E72E3D">
        <w:rPr>
          <w:rFonts w:asciiTheme="majorBidi" w:hAnsiTheme="majorBidi" w:cstheme="majorBidi"/>
          <w:sz w:val="24"/>
          <w:szCs w:val="24"/>
        </w:rPr>
        <w:t xml:space="preserve">, </w:t>
      </w:r>
      <w:r w:rsidRPr="00E72E3D">
        <w:rPr>
          <w:rFonts w:asciiTheme="majorBidi" w:hAnsiTheme="majorBidi" w:cstheme="majorBidi"/>
          <w:i/>
          <w:iCs/>
          <w:sz w:val="24"/>
          <w:szCs w:val="24"/>
        </w:rPr>
        <w:t>42</w:t>
      </w:r>
      <w:r w:rsidRPr="00E72E3D">
        <w:rPr>
          <w:rFonts w:asciiTheme="majorBidi" w:hAnsiTheme="majorBidi" w:cstheme="majorBidi"/>
          <w:sz w:val="24"/>
          <w:szCs w:val="24"/>
        </w:rPr>
        <w:t>(4), 1107-1164.</w:t>
      </w:r>
    </w:p>
    <w:p w14:paraId="74D420F8" w14:textId="459AB24E" w:rsidR="00E72E3D" w:rsidRPr="00E72E3D" w:rsidRDefault="00E72E3D" w:rsidP="00E72E3D">
      <w:pPr>
        <w:widowControl w:val="0"/>
        <w:autoSpaceDE w:val="0"/>
        <w:autoSpaceDN w:val="0"/>
        <w:adjustRightInd w:val="0"/>
        <w:spacing w:after="0" w:line="480" w:lineRule="auto"/>
        <w:ind w:left="480" w:hanging="480"/>
        <w:rPr>
          <w:rFonts w:asciiTheme="majorBidi" w:hAnsiTheme="majorBidi" w:cstheme="majorBidi"/>
          <w:sz w:val="24"/>
          <w:szCs w:val="24"/>
        </w:rPr>
      </w:pPr>
      <w:r w:rsidRPr="00E72E3D">
        <w:rPr>
          <w:rFonts w:asciiTheme="majorBidi" w:hAnsiTheme="majorBidi" w:cstheme="majorBidi"/>
          <w:sz w:val="24"/>
          <w:szCs w:val="24"/>
          <w:lang w:eastAsia="he-IL"/>
        </w:rPr>
        <w:t xml:space="preserve">Lindhorst, T. &amp; Beadnell, B. (2011). The long arc of recovery: Characterizing intimate partner violence and its psychosocial effects across 17 years. </w:t>
      </w:r>
      <w:r w:rsidRPr="00E72E3D">
        <w:rPr>
          <w:rFonts w:asciiTheme="majorBidi" w:hAnsiTheme="majorBidi" w:cstheme="majorBidi"/>
          <w:i/>
          <w:iCs/>
          <w:sz w:val="24"/>
          <w:szCs w:val="24"/>
          <w:lang w:eastAsia="he-IL"/>
        </w:rPr>
        <w:t>Violence Against Women</w:t>
      </w:r>
      <w:r w:rsidRPr="00E72E3D">
        <w:rPr>
          <w:rFonts w:asciiTheme="majorBidi" w:hAnsiTheme="majorBidi" w:cstheme="majorBidi"/>
          <w:sz w:val="24"/>
          <w:szCs w:val="24"/>
          <w:lang w:eastAsia="he-IL"/>
        </w:rPr>
        <w:t xml:space="preserve">, </w:t>
      </w:r>
      <w:r w:rsidRPr="00E72E3D">
        <w:rPr>
          <w:rFonts w:asciiTheme="majorBidi" w:hAnsiTheme="majorBidi" w:cstheme="majorBidi"/>
          <w:i/>
          <w:iCs/>
          <w:sz w:val="24"/>
          <w:szCs w:val="24"/>
          <w:lang w:eastAsia="he-IL"/>
        </w:rPr>
        <w:t>17</w:t>
      </w:r>
      <w:r w:rsidRPr="00E72E3D">
        <w:rPr>
          <w:rFonts w:asciiTheme="majorBidi" w:hAnsiTheme="majorBidi" w:cstheme="majorBidi"/>
          <w:sz w:val="24"/>
          <w:szCs w:val="24"/>
          <w:lang w:eastAsia="he-IL"/>
        </w:rPr>
        <w:t>, 480-499.</w:t>
      </w:r>
    </w:p>
    <w:p w14:paraId="0901B672" w14:textId="77777777" w:rsidR="00E72E3D" w:rsidRPr="00E72E3D" w:rsidRDefault="00E72E3D" w:rsidP="00E72E3D">
      <w:pPr>
        <w:spacing w:line="480" w:lineRule="auto"/>
        <w:ind w:left="567" w:hanging="567"/>
        <w:rPr>
          <w:rFonts w:asciiTheme="majorBidi" w:hAnsiTheme="majorBidi" w:cstheme="majorBidi"/>
          <w:sz w:val="24"/>
          <w:szCs w:val="24"/>
        </w:rPr>
      </w:pPr>
      <w:r w:rsidRPr="00E72E3D">
        <w:rPr>
          <w:rFonts w:asciiTheme="majorBidi" w:hAnsiTheme="majorBidi" w:cstheme="majorBidi"/>
          <w:sz w:val="24"/>
          <w:szCs w:val="24"/>
        </w:rPr>
        <w:t xml:space="preserve">MacKinnon, C. (1989). </w:t>
      </w:r>
      <w:r w:rsidRPr="00E72E3D">
        <w:rPr>
          <w:rFonts w:asciiTheme="majorBidi" w:hAnsiTheme="majorBidi" w:cstheme="majorBidi"/>
          <w:i/>
          <w:iCs/>
          <w:sz w:val="24"/>
          <w:szCs w:val="24"/>
        </w:rPr>
        <w:t>Towards a Feminist Theory of the State</w:t>
      </w:r>
      <w:r w:rsidRPr="00E72E3D">
        <w:rPr>
          <w:rFonts w:asciiTheme="majorBidi" w:hAnsiTheme="majorBidi" w:cstheme="majorBidi"/>
          <w:sz w:val="24"/>
          <w:szCs w:val="24"/>
        </w:rPr>
        <w:t>. Cambridge, MA: Harvard University Press.</w:t>
      </w:r>
    </w:p>
    <w:p w14:paraId="552B739E" w14:textId="25F2EE9B" w:rsidR="00B0269D" w:rsidRDefault="00B0269D" w:rsidP="00E72E3D">
      <w:pPr>
        <w:widowControl w:val="0"/>
        <w:autoSpaceDE w:val="0"/>
        <w:autoSpaceDN w:val="0"/>
        <w:adjustRightInd w:val="0"/>
        <w:spacing w:after="0" w:line="480" w:lineRule="auto"/>
        <w:ind w:left="480" w:hanging="480"/>
        <w:rPr>
          <w:rFonts w:asciiTheme="majorBidi" w:hAnsiTheme="majorBidi" w:cstheme="majorBidi"/>
          <w:color w:val="222222"/>
          <w:sz w:val="24"/>
          <w:szCs w:val="24"/>
          <w:shd w:val="clear" w:color="auto" w:fill="FFFFFF"/>
        </w:rPr>
      </w:pPr>
      <w:r>
        <w:rPr>
          <w:rFonts w:asciiTheme="majorBidi" w:hAnsiTheme="majorBidi" w:cstheme="majorBidi"/>
          <w:sz w:val="24"/>
          <w:szCs w:val="24"/>
        </w:rPr>
        <w:t xml:space="preserve">Ma’ze, Y. (2016). </w:t>
      </w:r>
      <w:r w:rsidRPr="00B0269D">
        <w:rPr>
          <w:rFonts w:asciiTheme="majorBidi" w:hAnsiTheme="majorBidi" w:cstheme="majorBidi"/>
          <w:i/>
          <w:iCs/>
          <w:sz w:val="24"/>
          <w:szCs w:val="24"/>
        </w:rPr>
        <w:t>False complaints on violence and sex offenses in the family</w:t>
      </w:r>
      <w:r>
        <w:rPr>
          <w:rFonts w:asciiTheme="majorBidi" w:hAnsiTheme="majorBidi" w:cstheme="majorBidi"/>
          <w:sz w:val="24"/>
          <w:szCs w:val="24"/>
        </w:rPr>
        <w:t>, Jerusalem: Kohelet.</w:t>
      </w:r>
    </w:p>
    <w:p w14:paraId="7D7D68CD" w14:textId="3AD33F2D" w:rsidR="00E72E3D" w:rsidRPr="00E72E3D" w:rsidRDefault="00A8044E" w:rsidP="00E72E3D">
      <w:pPr>
        <w:widowControl w:val="0"/>
        <w:autoSpaceDE w:val="0"/>
        <w:autoSpaceDN w:val="0"/>
        <w:adjustRightInd w:val="0"/>
        <w:spacing w:after="0" w:line="480" w:lineRule="auto"/>
        <w:ind w:left="480" w:hanging="480"/>
        <w:rPr>
          <w:rFonts w:asciiTheme="majorBidi" w:eastAsia="Times New Roman" w:hAnsiTheme="majorBidi" w:cstheme="majorBidi"/>
          <w:color w:val="3D85C6"/>
          <w:sz w:val="24"/>
          <w:szCs w:val="24"/>
        </w:rPr>
      </w:pPr>
      <w:r w:rsidRPr="00E72E3D">
        <w:rPr>
          <w:rFonts w:asciiTheme="majorBidi" w:hAnsiTheme="majorBidi" w:cstheme="majorBidi"/>
          <w:color w:val="222222"/>
          <w:sz w:val="24"/>
          <w:szCs w:val="24"/>
          <w:shd w:val="clear" w:color="auto" w:fill="FFFFFF"/>
        </w:rPr>
        <w:t>Krumer-Nevo, M., Gorodzeisky, A., &amp; Saar-Heiman, Y. (2017). Debt, poverty, and financial exclusion. </w:t>
      </w:r>
      <w:r w:rsidRPr="00E72E3D">
        <w:rPr>
          <w:rFonts w:asciiTheme="majorBidi" w:hAnsiTheme="majorBidi" w:cstheme="majorBidi"/>
          <w:i/>
          <w:iCs/>
          <w:color w:val="222222"/>
          <w:sz w:val="24"/>
          <w:szCs w:val="24"/>
          <w:shd w:val="clear" w:color="auto" w:fill="FFFFFF"/>
        </w:rPr>
        <w:t>Journal of Social Work</w:t>
      </w:r>
      <w:r w:rsidRPr="00E72E3D">
        <w:rPr>
          <w:rFonts w:asciiTheme="majorBidi" w:hAnsiTheme="majorBidi" w:cstheme="majorBidi"/>
          <w:color w:val="222222"/>
          <w:sz w:val="24"/>
          <w:szCs w:val="24"/>
          <w:shd w:val="clear" w:color="auto" w:fill="FFFFFF"/>
        </w:rPr>
        <w:t>, </w:t>
      </w:r>
      <w:r w:rsidRPr="00E72E3D">
        <w:rPr>
          <w:rFonts w:asciiTheme="majorBidi" w:hAnsiTheme="majorBidi" w:cstheme="majorBidi"/>
          <w:i/>
          <w:iCs/>
          <w:color w:val="222222"/>
          <w:sz w:val="24"/>
          <w:szCs w:val="24"/>
          <w:shd w:val="clear" w:color="auto" w:fill="FFFFFF"/>
        </w:rPr>
        <w:t>17</w:t>
      </w:r>
      <w:r w:rsidRPr="00E72E3D">
        <w:rPr>
          <w:rFonts w:asciiTheme="majorBidi" w:hAnsiTheme="majorBidi" w:cstheme="majorBidi"/>
          <w:color w:val="222222"/>
          <w:sz w:val="24"/>
          <w:szCs w:val="24"/>
          <w:shd w:val="clear" w:color="auto" w:fill="FFFFFF"/>
        </w:rPr>
        <w:t>(5), 511-530.</w:t>
      </w:r>
    </w:p>
    <w:p w14:paraId="0055BB8C" w14:textId="77777777" w:rsidR="00E72E3D" w:rsidRPr="00E72E3D" w:rsidRDefault="00605A64" w:rsidP="00E72E3D">
      <w:pPr>
        <w:widowControl w:val="0"/>
        <w:autoSpaceDE w:val="0"/>
        <w:autoSpaceDN w:val="0"/>
        <w:adjustRightInd w:val="0"/>
        <w:spacing w:after="0" w:line="480" w:lineRule="auto"/>
        <w:ind w:left="480" w:hanging="480"/>
        <w:rPr>
          <w:rFonts w:asciiTheme="majorBidi" w:eastAsia="Times New Roman" w:hAnsiTheme="majorBidi" w:cstheme="majorBidi"/>
          <w:color w:val="3D85C6"/>
          <w:sz w:val="24"/>
          <w:szCs w:val="24"/>
        </w:rPr>
      </w:pPr>
      <w:r w:rsidRPr="00E72E3D">
        <w:rPr>
          <w:rFonts w:asciiTheme="majorBidi" w:hAnsiTheme="majorBidi" w:cstheme="majorBidi"/>
          <w:sz w:val="24"/>
          <w:szCs w:val="24"/>
        </w:rPr>
        <w:t xml:space="preserve">McPhail, B. A., Busch, N., Kulkarni, S., &amp; Rice, G. (2007). An integrative feminist model: The evolving feminist perspective on intimate partner violence. </w:t>
      </w:r>
      <w:r w:rsidRPr="00E72E3D">
        <w:rPr>
          <w:rFonts w:asciiTheme="majorBidi" w:hAnsiTheme="majorBidi" w:cstheme="majorBidi"/>
          <w:i/>
          <w:iCs/>
          <w:sz w:val="24"/>
          <w:szCs w:val="24"/>
        </w:rPr>
        <w:t>Violence Against Women</w:t>
      </w:r>
      <w:r w:rsidRPr="00E72E3D">
        <w:rPr>
          <w:rFonts w:asciiTheme="majorBidi" w:hAnsiTheme="majorBidi" w:cstheme="majorBidi"/>
          <w:sz w:val="24"/>
          <w:szCs w:val="24"/>
        </w:rPr>
        <w:t>, 13(8), 817–841.</w:t>
      </w:r>
    </w:p>
    <w:p w14:paraId="24E8E6D6" w14:textId="1AB77EA2" w:rsidR="00651CEE" w:rsidRPr="00651CEE" w:rsidRDefault="00000000" w:rsidP="00651CEE">
      <w:pPr>
        <w:widowControl w:val="0"/>
        <w:autoSpaceDE w:val="0"/>
        <w:autoSpaceDN w:val="0"/>
        <w:adjustRightInd w:val="0"/>
        <w:spacing w:after="0" w:line="480" w:lineRule="auto"/>
        <w:ind w:left="480" w:hanging="480"/>
        <w:rPr>
          <w:rFonts w:ascii="Lato" w:hAnsi="Lato"/>
          <w:color w:val="232323"/>
          <w:lang w:val="en-US"/>
        </w:rPr>
      </w:pPr>
      <w:hyperlink r:id="rId8" w:history="1">
        <w:r w:rsidR="00651CEE" w:rsidRPr="00651CEE">
          <w:rPr>
            <w:rFonts w:asciiTheme="majorBidi" w:hAnsiTheme="majorBidi" w:cstheme="majorBidi"/>
            <w:sz w:val="24"/>
            <w:szCs w:val="24"/>
          </w:rPr>
          <w:t>Resnikovski-Kuras,</w:t>
        </w:r>
      </w:hyperlink>
      <w:r w:rsidR="00651CEE" w:rsidRPr="00651CEE">
        <w:rPr>
          <w:rFonts w:asciiTheme="majorBidi" w:hAnsiTheme="majorBidi" w:cstheme="majorBidi"/>
          <w:sz w:val="24"/>
          <w:szCs w:val="24"/>
        </w:rPr>
        <w:t xml:space="preserve"> A., </w:t>
      </w:r>
      <w:hyperlink r:id="rId9" w:history="1">
        <w:r w:rsidR="00651CEE" w:rsidRPr="00651CEE">
          <w:rPr>
            <w:rFonts w:asciiTheme="majorBidi" w:hAnsiTheme="majorBidi" w:cstheme="majorBidi"/>
            <w:sz w:val="24"/>
            <w:szCs w:val="24"/>
          </w:rPr>
          <w:t>Sabag,</w:t>
        </w:r>
      </w:hyperlink>
      <w:r w:rsidR="00651CEE" w:rsidRPr="00651CEE">
        <w:rPr>
          <w:rFonts w:asciiTheme="majorBidi" w:hAnsiTheme="majorBidi" w:cstheme="majorBidi"/>
          <w:sz w:val="24"/>
          <w:szCs w:val="24"/>
        </w:rPr>
        <w:t xml:space="preserve"> Y., Shapira, H. and T. Arazi  (</w:t>
      </w:r>
      <w:r w:rsidR="00651CEE">
        <w:rPr>
          <w:rFonts w:asciiTheme="majorBidi" w:hAnsiTheme="majorBidi" w:cstheme="majorBidi"/>
          <w:sz w:val="24"/>
          <w:szCs w:val="24"/>
        </w:rPr>
        <w:t xml:space="preserve">2021). </w:t>
      </w:r>
      <w:r w:rsidR="00651CEE" w:rsidRPr="00651CEE">
        <w:rPr>
          <w:rFonts w:asciiTheme="majorBidi" w:hAnsiTheme="majorBidi" w:cstheme="majorBidi"/>
          <w:i/>
          <w:iCs/>
          <w:sz w:val="24"/>
          <w:szCs w:val="24"/>
        </w:rPr>
        <w:t>Centers for the Prevention and Treatment of Domestic Violence: Program Pilot Evaluation Findings</w:t>
      </w:r>
      <w:r w:rsidR="00651CEE">
        <w:rPr>
          <w:rFonts w:asciiTheme="majorBidi" w:hAnsiTheme="majorBidi" w:cstheme="majorBidi"/>
          <w:sz w:val="24"/>
          <w:szCs w:val="24"/>
        </w:rPr>
        <w:t>, Jerusalem: Joint Broodale (Hebrew)</w:t>
      </w:r>
      <w:r w:rsidR="000F0E20">
        <w:rPr>
          <w:rFonts w:asciiTheme="majorBidi" w:hAnsiTheme="majorBidi" w:cstheme="majorBidi"/>
          <w:sz w:val="24"/>
          <w:szCs w:val="24"/>
        </w:rPr>
        <w:t xml:space="preserve"> </w:t>
      </w:r>
      <w:r w:rsidR="00651CEE">
        <w:rPr>
          <w:rFonts w:asciiTheme="majorBidi" w:hAnsiTheme="majorBidi" w:cstheme="majorBidi"/>
          <w:sz w:val="24"/>
          <w:szCs w:val="24"/>
        </w:rPr>
        <w:t xml:space="preserve">. </w:t>
      </w:r>
    </w:p>
    <w:p w14:paraId="29ACE62D" w14:textId="77777777" w:rsidR="00651CEE" w:rsidRPr="00651CEE" w:rsidRDefault="00651CEE" w:rsidP="00CF4D0F">
      <w:pPr>
        <w:widowControl w:val="0"/>
        <w:autoSpaceDE w:val="0"/>
        <w:autoSpaceDN w:val="0"/>
        <w:adjustRightInd w:val="0"/>
        <w:spacing w:after="0" w:line="480" w:lineRule="auto"/>
        <w:ind w:left="480" w:hanging="480"/>
        <w:rPr>
          <w:rFonts w:asciiTheme="majorBidi" w:hAnsiTheme="majorBidi" w:cstheme="majorBidi"/>
          <w:sz w:val="24"/>
          <w:szCs w:val="24"/>
          <w:lang w:val="en-US"/>
        </w:rPr>
      </w:pPr>
    </w:p>
    <w:p w14:paraId="24124EF9" w14:textId="6471FACC" w:rsidR="00CF4D0F" w:rsidRDefault="00CF4D0F" w:rsidP="00CF4D0F">
      <w:pPr>
        <w:widowControl w:val="0"/>
        <w:autoSpaceDE w:val="0"/>
        <w:autoSpaceDN w:val="0"/>
        <w:adjustRightInd w:val="0"/>
        <w:spacing w:after="0" w:line="480" w:lineRule="auto"/>
        <w:ind w:left="480" w:hanging="480"/>
        <w:rPr>
          <w:rFonts w:asciiTheme="majorBidi" w:hAnsiTheme="majorBidi" w:cstheme="majorBidi"/>
          <w:sz w:val="24"/>
          <w:szCs w:val="24"/>
          <w:rtl/>
        </w:rPr>
      </w:pPr>
      <w:r w:rsidRPr="00E72E3D">
        <w:rPr>
          <w:rFonts w:asciiTheme="majorBidi" w:hAnsiTheme="majorBidi" w:cstheme="majorBidi"/>
          <w:sz w:val="24"/>
          <w:szCs w:val="24"/>
        </w:rPr>
        <w:t xml:space="preserve">Scott-Storey, K. (2011). Cumulative abuse: Do things add up? An evaluation of the conceptualization, </w:t>
      </w:r>
      <w:r w:rsidRPr="00E72E3D">
        <w:rPr>
          <w:rFonts w:asciiTheme="majorBidi" w:hAnsiTheme="majorBidi" w:cstheme="majorBidi"/>
          <w:sz w:val="24"/>
          <w:szCs w:val="24"/>
        </w:rPr>
        <w:lastRenderedPageBreak/>
        <w:t xml:space="preserve">operationalization, and methodological approaches in the study of the phenomenon of cumulative abuse. </w:t>
      </w:r>
      <w:r w:rsidRPr="00E72E3D">
        <w:rPr>
          <w:rFonts w:asciiTheme="majorBidi" w:hAnsiTheme="majorBidi" w:cstheme="majorBidi"/>
          <w:i/>
          <w:iCs/>
          <w:sz w:val="24"/>
          <w:szCs w:val="24"/>
        </w:rPr>
        <w:t>Trauma, Violence, &amp; Abuse</w:t>
      </w:r>
      <w:r w:rsidRPr="00E72E3D">
        <w:rPr>
          <w:rFonts w:asciiTheme="majorBidi" w:hAnsiTheme="majorBidi" w:cstheme="majorBidi"/>
          <w:sz w:val="24"/>
          <w:szCs w:val="24"/>
        </w:rPr>
        <w:t xml:space="preserve">, </w:t>
      </w:r>
      <w:r w:rsidRPr="00E72E3D">
        <w:rPr>
          <w:rFonts w:asciiTheme="majorBidi" w:hAnsiTheme="majorBidi" w:cstheme="majorBidi"/>
          <w:i/>
          <w:iCs/>
          <w:sz w:val="24"/>
          <w:szCs w:val="24"/>
        </w:rPr>
        <w:t>12</w:t>
      </w:r>
      <w:r w:rsidRPr="00E72E3D">
        <w:rPr>
          <w:rFonts w:asciiTheme="majorBidi" w:hAnsiTheme="majorBidi" w:cstheme="majorBidi"/>
          <w:sz w:val="24"/>
          <w:szCs w:val="24"/>
        </w:rPr>
        <w:t>, 1-16.</w:t>
      </w:r>
    </w:p>
    <w:p w14:paraId="303A529B" w14:textId="77777777" w:rsidR="00E72E3D" w:rsidRDefault="00EC37EA" w:rsidP="00E72E3D">
      <w:pPr>
        <w:widowControl w:val="0"/>
        <w:autoSpaceDE w:val="0"/>
        <w:autoSpaceDN w:val="0"/>
        <w:adjustRightInd w:val="0"/>
        <w:spacing w:after="0" w:line="480" w:lineRule="auto"/>
        <w:ind w:left="480" w:hanging="480"/>
        <w:rPr>
          <w:rFonts w:asciiTheme="majorBidi" w:hAnsiTheme="majorBidi" w:cstheme="majorBidi"/>
          <w:sz w:val="24"/>
          <w:szCs w:val="24"/>
          <w:rtl/>
        </w:rPr>
      </w:pPr>
      <w:r w:rsidRPr="00E72E3D">
        <w:rPr>
          <w:rFonts w:asciiTheme="majorBidi" w:hAnsiTheme="majorBidi" w:cstheme="majorBidi"/>
          <w:sz w:val="24"/>
          <w:szCs w:val="24"/>
        </w:rPr>
        <w:t>Sutton, A. and Carlson, C., (2019). Advocating for self-determination, Arriving at safety. How social workers can address ethical deillemas in intimate partner violence, in Marson, S. M., &amp; McKinney Jr, R. E. (Eds.). (2019). </w:t>
      </w:r>
      <w:r w:rsidRPr="00E72E3D">
        <w:rPr>
          <w:rFonts w:asciiTheme="majorBidi" w:hAnsiTheme="majorBidi" w:cstheme="majorBidi"/>
          <w:i/>
          <w:iCs/>
          <w:sz w:val="24"/>
          <w:szCs w:val="24"/>
        </w:rPr>
        <w:t>The Routledge handbook of social work ethics and values</w:t>
      </w:r>
      <w:r w:rsidRPr="00E72E3D">
        <w:rPr>
          <w:rFonts w:asciiTheme="majorBidi" w:hAnsiTheme="majorBidi" w:cstheme="majorBidi"/>
          <w:sz w:val="24"/>
          <w:szCs w:val="24"/>
        </w:rPr>
        <w:t>. Routledge (pp. 127-136).</w:t>
      </w:r>
    </w:p>
    <w:p w14:paraId="2065B5B8" w14:textId="046E165C" w:rsidR="00361F62" w:rsidRPr="00361F62" w:rsidRDefault="00361F62" w:rsidP="00E72E3D">
      <w:pPr>
        <w:widowControl w:val="0"/>
        <w:autoSpaceDE w:val="0"/>
        <w:autoSpaceDN w:val="0"/>
        <w:adjustRightInd w:val="0"/>
        <w:spacing w:after="0" w:line="480" w:lineRule="auto"/>
        <w:ind w:left="480" w:hanging="480"/>
        <w:rPr>
          <w:rFonts w:asciiTheme="majorBidi" w:hAnsiTheme="majorBidi" w:cstheme="majorBidi"/>
          <w:sz w:val="24"/>
          <w:szCs w:val="24"/>
          <w:lang w:val="en-US"/>
        </w:rPr>
      </w:pPr>
      <w:r>
        <w:rPr>
          <w:rFonts w:asciiTheme="majorBidi" w:hAnsiTheme="majorBidi" w:cstheme="majorBidi" w:hint="cs"/>
          <w:sz w:val="24"/>
          <w:szCs w:val="24"/>
        </w:rPr>
        <w:t>S</w:t>
      </w:r>
      <w:r>
        <w:rPr>
          <w:rFonts w:asciiTheme="majorBidi" w:hAnsiTheme="majorBidi" w:cstheme="majorBidi"/>
          <w:sz w:val="24"/>
          <w:szCs w:val="24"/>
          <w:lang w:val="en-US"/>
        </w:rPr>
        <w:t xml:space="preserve">virsky, B. (1993). ‘Control and Violence: Battering women in Israel”. In: Ram, U. (Ed) </w:t>
      </w:r>
      <w:r w:rsidRPr="004E110B">
        <w:rPr>
          <w:rFonts w:asciiTheme="majorBidi" w:hAnsiTheme="majorBidi" w:cstheme="majorBidi"/>
          <w:i/>
          <w:iCs/>
          <w:sz w:val="24"/>
          <w:szCs w:val="24"/>
          <w:lang w:val="en-US"/>
        </w:rPr>
        <w:t>Society in Israel: critical dimensions</w:t>
      </w:r>
      <w:r w:rsidR="004E110B">
        <w:rPr>
          <w:rFonts w:asciiTheme="majorBidi" w:hAnsiTheme="majorBidi" w:cstheme="majorBidi"/>
          <w:sz w:val="24"/>
          <w:szCs w:val="24"/>
          <w:lang w:val="en-US"/>
        </w:rPr>
        <w:t xml:space="preserve">, Tel-Aviv: Breirot. </w:t>
      </w:r>
    </w:p>
    <w:p w14:paraId="6DE00131" w14:textId="57A0C755" w:rsidR="00E72E3D" w:rsidRDefault="00D6723E" w:rsidP="00E72E3D">
      <w:pPr>
        <w:widowControl w:val="0"/>
        <w:autoSpaceDE w:val="0"/>
        <w:autoSpaceDN w:val="0"/>
        <w:adjustRightInd w:val="0"/>
        <w:spacing w:after="0" w:line="480" w:lineRule="auto"/>
        <w:ind w:left="480" w:hanging="480"/>
        <w:rPr>
          <w:rFonts w:asciiTheme="majorBidi" w:hAnsiTheme="majorBidi" w:cstheme="majorBidi"/>
          <w:sz w:val="24"/>
          <w:szCs w:val="24"/>
          <w:rtl/>
          <w:lang w:val="en-US"/>
        </w:rPr>
      </w:pPr>
      <w:r w:rsidRPr="00E72E3D">
        <w:rPr>
          <w:rFonts w:asciiTheme="majorBidi" w:hAnsiTheme="majorBidi" w:cstheme="majorBidi"/>
          <w:sz w:val="24"/>
          <w:szCs w:val="24"/>
          <w:lang w:val="en-US"/>
        </w:rPr>
        <w:t>Weissman D</w:t>
      </w:r>
      <w:r w:rsidR="004760BA">
        <w:rPr>
          <w:rFonts w:asciiTheme="majorBidi" w:hAnsiTheme="majorBidi" w:cstheme="majorBidi"/>
          <w:sz w:val="24"/>
          <w:szCs w:val="24"/>
          <w:lang w:val="en-US"/>
        </w:rPr>
        <w:t>.</w:t>
      </w:r>
      <w:r w:rsidRPr="00E72E3D">
        <w:rPr>
          <w:rFonts w:asciiTheme="majorBidi" w:hAnsiTheme="majorBidi" w:cstheme="majorBidi"/>
          <w:sz w:val="24"/>
          <w:szCs w:val="24"/>
          <w:lang w:val="en-US"/>
        </w:rPr>
        <w:t>M</w:t>
      </w:r>
      <w:r w:rsidR="004760BA">
        <w:rPr>
          <w:rFonts w:asciiTheme="majorBidi" w:hAnsiTheme="majorBidi" w:cstheme="majorBidi"/>
          <w:sz w:val="24"/>
          <w:szCs w:val="24"/>
          <w:lang w:val="en-US"/>
        </w:rPr>
        <w:t>.</w:t>
      </w:r>
      <w:r w:rsidRPr="00E72E3D">
        <w:rPr>
          <w:rFonts w:asciiTheme="majorBidi" w:hAnsiTheme="majorBidi" w:cstheme="majorBidi"/>
          <w:sz w:val="24"/>
          <w:szCs w:val="24"/>
          <w:lang w:val="en-US"/>
        </w:rPr>
        <w:t xml:space="preserve"> (2020)</w:t>
      </w:r>
      <w:r w:rsidR="004760BA">
        <w:rPr>
          <w:rFonts w:asciiTheme="majorBidi" w:hAnsiTheme="majorBidi" w:cstheme="majorBidi"/>
          <w:sz w:val="24"/>
          <w:szCs w:val="24"/>
          <w:lang w:val="en-US"/>
        </w:rPr>
        <w:t>.</w:t>
      </w:r>
      <w:r w:rsidRPr="00E72E3D">
        <w:rPr>
          <w:rFonts w:asciiTheme="majorBidi" w:hAnsiTheme="majorBidi" w:cstheme="majorBidi"/>
          <w:sz w:val="24"/>
          <w:szCs w:val="24"/>
          <w:lang w:val="en-US"/>
        </w:rPr>
        <w:t xml:space="preserve"> In Pursuit of Economic Justice: The Political Economy of Domestic Violence Laws and Policies. </w:t>
      </w:r>
      <w:r w:rsidRPr="00E72E3D">
        <w:rPr>
          <w:rFonts w:asciiTheme="majorBidi" w:hAnsiTheme="majorBidi" w:cstheme="majorBidi"/>
          <w:i/>
          <w:iCs/>
          <w:sz w:val="24"/>
          <w:szCs w:val="24"/>
          <w:lang w:val="en-US"/>
        </w:rPr>
        <w:t>Utah Law Review</w:t>
      </w:r>
      <w:r w:rsidRPr="00E72E3D">
        <w:rPr>
          <w:rFonts w:asciiTheme="majorBidi" w:hAnsiTheme="majorBidi" w:cstheme="majorBidi"/>
          <w:sz w:val="24"/>
          <w:szCs w:val="24"/>
          <w:lang w:val="en-US"/>
        </w:rPr>
        <w:t>: 1-68.</w:t>
      </w:r>
    </w:p>
    <w:p w14:paraId="37949611" w14:textId="17947EC8" w:rsidR="006473D9" w:rsidRDefault="006473D9" w:rsidP="00E72E3D">
      <w:pPr>
        <w:widowControl w:val="0"/>
        <w:autoSpaceDE w:val="0"/>
        <w:autoSpaceDN w:val="0"/>
        <w:adjustRightInd w:val="0"/>
        <w:spacing w:after="0" w:line="480" w:lineRule="auto"/>
        <w:ind w:left="480" w:hanging="480"/>
        <w:rPr>
          <w:rFonts w:asciiTheme="majorBidi" w:hAnsiTheme="majorBidi" w:cstheme="majorBidi"/>
          <w:sz w:val="24"/>
          <w:szCs w:val="24"/>
          <w:lang w:val="en-US"/>
        </w:rPr>
      </w:pPr>
      <w:r>
        <w:rPr>
          <w:rFonts w:asciiTheme="majorBidi" w:hAnsiTheme="majorBidi" w:cstheme="majorBidi" w:hint="cs"/>
          <w:sz w:val="24"/>
          <w:szCs w:val="24"/>
          <w:lang w:val="en-US"/>
        </w:rPr>
        <w:t>Y</w:t>
      </w:r>
      <w:r>
        <w:rPr>
          <w:rFonts w:asciiTheme="majorBidi" w:hAnsiTheme="majorBidi" w:cstheme="majorBidi"/>
          <w:sz w:val="24"/>
          <w:szCs w:val="24"/>
          <w:lang w:val="en-US"/>
        </w:rPr>
        <w:t xml:space="preserve">asour-Borochovitch, D., Benjamin, O. and A. Renan-Barzilay (2021). A gender perspective on rights take up: the case of intimate partner violence, </w:t>
      </w:r>
      <w:r w:rsidRPr="006473D9">
        <w:rPr>
          <w:rFonts w:asciiTheme="majorBidi" w:hAnsiTheme="majorBidi" w:cstheme="majorBidi"/>
          <w:i/>
          <w:iCs/>
          <w:sz w:val="24"/>
          <w:szCs w:val="24"/>
          <w:lang w:val="en-US"/>
        </w:rPr>
        <w:t xml:space="preserve">Bitachon Sociali: The Israel </w:t>
      </w:r>
      <w:r w:rsidR="009219AF">
        <w:rPr>
          <w:rFonts w:asciiTheme="majorBidi" w:hAnsiTheme="majorBidi" w:cstheme="majorBidi"/>
          <w:i/>
          <w:iCs/>
          <w:sz w:val="24"/>
          <w:szCs w:val="24"/>
          <w:lang w:val="en-US"/>
        </w:rPr>
        <w:t>Journal</w:t>
      </w:r>
      <w:r w:rsidRPr="006473D9">
        <w:rPr>
          <w:rFonts w:asciiTheme="majorBidi" w:hAnsiTheme="majorBidi" w:cstheme="majorBidi"/>
          <w:i/>
          <w:iCs/>
          <w:sz w:val="24"/>
          <w:szCs w:val="24"/>
          <w:lang w:val="en-US"/>
        </w:rPr>
        <w:t xml:space="preserve"> of social security</w:t>
      </w:r>
      <w:r>
        <w:rPr>
          <w:rFonts w:asciiTheme="majorBidi" w:hAnsiTheme="majorBidi" w:cstheme="majorBidi"/>
          <w:sz w:val="24"/>
          <w:szCs w:val="24"/>
          <w:lang w:val="en-US"/>
        </w:rPr>
        <w:t xml:space="preserve">, 113: 171-201. </w:t>
      </w:r>
    </w:p>
    <w:p w14:paraId="09294A22" w14:textId="7BD092CC" w:rsidR="008F627A" w:rsidRPr="00A64F66" w:rsidRDefault="00332C7E" w:rsidP="00A64F66">
      <w:pPr>
        <w:bidi/>
        <w:spacing w:line="480" w:lineRule="auto"/>
        <w:ind w:left="-563" w:firstLine="563"/>
        <w:rPr>
          <w:rFonts w:asciiTheme="majorBidi" w:hAnsiTheme="majorBidi" w:cstheme="majorBidi"/>
          <w:sz w:val="24"/>
          <w:szCs w:val="24"/>
          <w:rtl/>
        </w:rPr>
      </w:pPr>
      <w:r w:rsidRPr="00A64F66">
        <w:rPr>
          <w:rFonts w:asciiTheme="majorBidi" w:hAnsiTheme="majorBidi" w:cstheme="majorBidi"/>
          <w:sz w:val="24"/>
          <w:szCs w:val="24"/>
          <w:rtl/>
        </w:rPr>
        <w:t xml:space="preserve">   </w:t>
      </w:r>
    </w:p>
    <w:sectPr w:rsidR="008F627A" w:rsidRPr="00A64F66" w:rsidSect="00226F7B">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C9DE5" w14:textId="77777777" w:rsidR="00E5049D" w:rsidRDefault="00E5049D" w:rsidP="00D95C7C">
      <w:pPr>
        <w:spacing w:after="0" w:line="240" w:lineRule="auto"/>
      </w:pPr>
      <w:r>
        <w:separator/>
      </w:r>
    </w:p>
  </w:endnote>
  <w:endnote w:type="continuationSeparator" w:id="0">
    <w:p w14:paraId="6E4CEEAC" w14:textId="77777777" w:rsidR="00E5049D" w:rsidRDefault="00E5049D" w:rsidP="00D95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043372"/>
      <w:docPartObj>
        <w:docPartGallery w:val="Page Numbers (Bottom of Page)"/>
        <w:docPartUnique/>
      </w:docPartObj>
    </w:sdtPr>
    <w:sdtEndPr>
      <w:rPr>
        <w:noProof/>
      </w:rPr>
    </w:sdtEndPr>
    <w:sdtContent>
      <w:p w14:paraId="03C554BC" w14:textId="57D223E0" w:rsidR="00443ACC" w:rsidRDefault="00443A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303076" w14:textId="77777777" w:rsidR="00D95C7C" w:rsidRDefault="00D95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0F89" w14:textId="77777777" w:rsidR="00E5049D" w:rsidRDefault="00E5049D" w:rsidP="00D95C7C">
      <w:pPr>
        <w:spacing w:after="0" w:line="240" w:lineRule="auto"/>
      </w:pPr>
      <w:r>
        <w:separator/>
      </w:r>
    </w:p>
  </w:footnote>
  <w:footnote w:type="continuationSeparator" w:id="0">
    <w:p w14:paraId="1F33CDA0" w14:textId="77777777" w:rsidR="00E5049D" w:rsidRDefault="00E5049D" w:rsidP="00D95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54A"/>
    <w:multiLevelType w:val="hybridMultilevel"/>
    <w:tmpl w:val="CB52C4EA"/>
    <w:lvl w:ilvl="0" w:tplc="F7BA4C2C">
      <w:start w:val="1"/>
      <w:numFmt w:val="bullet"/>
      <w:lvlText w:val="◦"/>
      <w:lvlJc w:val="left"/>
      <w:pPr>
        <w:tabs>
          <w:tab w:val="num" w:pos="720"/>
        </w:tabs>
        <w:ind w:left="720" w:hanging="360"/>
      </w:pPr>
      <w:rPr>
        <w:rFonts w:ascii="Garamond" w:hAnsi="Garamond" w:hint="default"/>
      </w:rPr>
    </w:lvl>
    <w:lvl w:ilvl="1" w:tplc="8592D834" w:tentative="1">
      <w:start w:val="1"/>
      <w:numFmt w:val="bullet"/>
      <w:lvlText w:val="◦"/>
      <w:lvlJc w:val="left"/>
      <w:pPr>
        <w:tabs>
          <w:tab w:val="num" w:pos="1440"/>
        </w:tabs>
        <w:ind w:left="1440" w:hanging="360"/>
      </w:pPr>
      <w:rPr>
        <w:rFonts w:ascii="Garamond" w:hAnsi="Garamond" w:hint="default"/>
      </w:rPr>
    </w:lvl>
    <w:lvl w:ilvl="2" w:tplc="EF287340" w:tentative="1">
      <w:start w:val="1"/>
      <w:numFmt w:val="bullet"/>
      <w:lvlText w:val="◦"/>
      <w:lvlJc w:val="left"/>
      <w:pPr>
        <w:tabs>
          <w:tab w:val="num" w:pos="2160"/>
        </w:tabs>
        <w:ind w:left="2160" w:hanging="360"/>
      </w:pPr>
      <w:rPr>
        <w:rFonts w:ascii="Garamond" w:hAnsi="Garamond" w:hint="default"/>
      </w:rPr>
    </w:lvl>
    <w:lvl w:ilvl="3" w:tplc="CEE25A46" w:tentative="1">
      <w:start w:val="1"/>
      <w:numFmt w:val="bullet"/>
      <w:lvlText w:val="◦"/>
      <w:lvlJc w:val="left"/>
      <w:pPr>
        <w:tabs>
          <w:tab w:val="num" w:pos="2880"/>
        </w:tabs>
        <w:ind w:left="2880" w:hanging="360"/>
      </w:pPr>
      <w:rPr>
        <w:rFonts w:ascii="Garamond" w:hAnsi="Garamond" w:hint="default"/>
      </w:rPr>
    </w:lvl>
    <w:lvl w:ilvl="4" w:tplc="C06C7526" w:tentative="1">
      <w:start w:val="1"/>
      <w:numFmt w:val="bullet"/>
      <w:lvlText w:val="◦"/>
      <w:lvlJc w:val="left"/>
      <w:pPr>
        <w:tabs>
          <w:tab w:val="num" w:pos="3600"/>
        </w:tabs>
        <w:ind w:left="3600" w:hanging="360"/>
      </w:pPr>
      <w:rPr>
        <w:rFonts w:ascii="Garamond" w:hAnsi="Garamond" w:hint="default"/>
      </w:rPr>
    </w:lvl>
    <w:lvl w:ilvl="5" w:tplc="960023BE" w:tentative="1">
      <w:start w:val="1"/>
      <w:numFmt w:val="bullet"/>
      <w:lvlText w:val="◦"/>
      <w:lvlJc w:val="left"/>
      <w:pPr>
        <w:tabs>
          <w:tab w:val="num" w:pos="4320"/>
        </w:tabs>
        <w:ind w:left="4320" w:hanging="360"/>
      </w:pPr>
      <w:rPr>
        <w:rFonts w:ascii="Garamond" w:hAnsi="Garamond" w:hint="default"/>
      </w:rPr>
    </w:lvl>
    <w:lvl w:ilvl="6" w:tplc="854E75D4" w:tentative="1">
      <w:start w:val="1"/>
      <w:numFmt w:val="bullet"/>
      <w:lvlText w:val="◦"/>
      <w:lvlJc w:val="left"/>
      <w:pPr>
        <w:tabs>
          <w:tab w:val="num" w:pos="5040"/>
        </w:tabs>
        <w:ind w:left="5040" w:hanging="360"/>
      </w:pPr>
      <w:rPr>
        <w:rFonts w:ascii="Garamond" w:hAnsi="Garamond" w:hint="default"/>
      </w:rPr>
    </w:lvl>
    <w:lvl w:ilvl="7" w:tplc="DCEC06F8" w:tentative="1">
      <w:start w:val="1"/>
      <w:numFmt w:val="bullet"/>
      <w:lvlText w:val="◦"/>
      <w:lvlJc w:val="left"/>
      <w:pPr>
        <w:tabs>
          <w:tab w:val="num" w:pos="5760"/>
        </w:tabs>
        <w:ind w:left="5760" w:hanging="360"/>
      </w:pPr>
      <w:rPr>
        <w:rFonts w:ascii="Garamond" w:hAnsi="Garamond" w:hint="default"/>
      </w:rPr>
    </w:lvl>
    <w:lvl w:ilvl="8" w:tplc="DC0E96E2" w:tentative="1">
      <w:start w:val="1"/>
      <w:numFmt w:val="bullet"/>
      <w:lvlText w:val="◦"/>
      <w:lvlJc w:val="left"/>
      <w:pPr>
        <w:tabs>
          <w:tab w:val="num" w:pos="6480"/>
        </w:tabs>
        <w:ind w:left="6480" w:hanging="360"/>
      </w:pPr>
      <w:rPr>
        <w:rFonts w:ascii="Garamond" w:hAnsi="Garamond" w:hint="default"/>
      </w:rPr>
    </w:lvl>
  </w:abstractNum>
  <w:abstractNum w:abstractNumId="1" w15:restartNumberingAfterBreak="0">
    <w:nsid w:val="09D141CD"/>
    <w:multiLevelType w:val="hybridMultilevel"/>
    <w:tmpl w:val="90F483CA"/>
    <w:lvl w:ilvl="0" w:tplc="6DCA546E">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756FEC"/>
    <w:multiLevelType w:val="multilevel"/>
    <w:tmpl w:val="463CD2B4"/>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45144E9B"/>
    <w:multiLevelType w:val="hybridMultilevel"/>
    <w:tmpl w:val="0F0246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8A6EBC"/>
    <w:multiLevelType w:val="multilevel"/>
    <w:tmpl w:val="E0B041C2"/>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2C72A10"/>
    <w:multiLevelType w:val="hybridMultilevel"/>
    <w:tmpl w:val="D8F002DA"/>
    <w:lvl w:ilvl="0" w:tplc="A940B13C">
      <w:start w:val="1"/>
      <w:numFmt w:val="bullet"/>
      <w:lvlText w:val="◦"/>
      <w:lvlJc w:val="left"/>
      <w:pPr>
        <w:tabs>
          <w:tab w:val="num" w:pos="720"/>
        </w:tabs>
        <w:ind w:left="720" w:hanging="360"/>
      </w:pPr>
      <w:rPr>
        <w:rFonts w:ascii="Garamond" w:hAnsi="Garamond" w:hint="default"/>
      </w:rPr>
    </w:lvl>
    <w:lvl w:ilvl="1" w:tplc="D7A69FF6" w:tentative="1">
      <w:start w:val="1"/>
      <w:numFmt w:val="bullet"/>
      <w:lvlText w:val="◦"/>
      <w:lvlJc w:val="left"/>
      <w:pPr>
        <w:tabs>
          <w:tab w:val="num" w:pos="1440"/>
        </w:tabs>
        <w:ind w:left="1440" w:hanging="360"/>
      </w:pPr>
      <w:rPr>
        <w:rFonts w:ascii="Garamond" w:hAnsi="Garamond" w:hint="default"/>
      </w:rPr>
    </w:lvl>
    <w:lvl w:ilvl="2" w:tplc="3A1CA560" w:tentative="1">
      <w:start w:val="1"/>
      <w:numFmt w:val="bullet"/>
      <w:lvlText w:val="◦"/>
      <w:lvlJc w:val="left"/>
      <w:pPr>
        <w:tabs>
          <w:tab w:val="num" w:pos="2160"/>
        </w:tabs>
        <w:ind w:left="2160" w:hanging="360"/>
      </w:pPr>
      <w:rPr>
        <w:rFonts w:ascii="Garamond" w:hAnsi="Garamond" w:hint="default"/>
      </w:rPr>
    </w:lvl>
    <w:lvl w:ilvl="3" w:tplc="00CE3B30" w:tentative="1">
      <w:start w:val="1"/>
      <w:numFmt w:val="bullet"/>
      <w:lvlText w:val="◦"/>
      <w:lvlJc w:val="left"/>
      <w:pPr>
        <w:tabs>
          <w:tab w:val="num" w:pos="2880"/>
        </w:tabs>
        <w:ind w:left="2880" w:hanging="360"/>
      </w:pPr>
      <w:rPr>
        <w:rFonts w:ascii="Garamond" w:hAnsi="Garamond" w:hint="default"/>
      </w:rPr>
    </w:lvl>
    <w:lvl w:ilvl="4" w:tplc="F26EF34E" w:tentative="1">
      <w:start w:val="1"/>
      <w:numFmt w:val="bullet"/>
      <w:lvlText w:val="◦"/>
      <w:lvlJc w:val="left"/>
      <w:pPr>
        <w:tabs>
          <w:tab w:val="num" w:pos="3600"/>
        </w:tabs>
        <w:ind w:left="3600" w:hanging="360"/>
      </w:pPr>
      <w:rPr>
        <w:rFonts w:ascii="Garamond" w:hAnsi="Garamond" w:hint="default"/>
      </w:rPr>
    </w:lvl>
    <w:lvl w:ilvl="5" w:tplc="AC42DE96" w:tentative="1">
      <w:start w:val="1"/>
      <w:numFmt w:val="bullet"/>
      <w:lvlText w:val="◦"/>
      <w:lvlJc w:val="left"/>
      <w:pPr>
        <w:tabs>
          <w:tab w:val="num" w:pos="4320"/>
        </w:tabs>
        <w:ind w:left="4320" w:hanging="360"/>
      </w:pPr>
      <w:rPr>
        <w:rFonts w:ascii="Garamond" w:hAnsi="Garamond" w:hint="default"/>
      </w:rPr>
    </w:lvl>
    <w:lvl w:ilvl="6" w:tplc="C1FEC210" w:tentative="1">
      <w:start w:val="1"/>
      <w:numFmt w:val="bullet"/>
      <w:lvlText w:val="◦"/>
      <w:lvlJc w:val="left"/>
      <w:pPr>
        <w:tabs>
          <w:tab w:val="num" w:pos="5040"/>
        </w:tabs>
        <w:ind w:left="5040" w:hanging="360"/>
      </w:pPr>
      <w:rPr>
        <w:rFonts w:ascii="Garamond" w:hAnsi="Garamond" w:hint="default"/>
      </w:rPr>
    </w:lvl>
    <w:lvl w:ilvl="7" w:tplc="572EE268" w:tentative="1">
      <w:start w:val="1"/>
      <w:numFmt w:val="bullet"/>
      <w:lvlText w:val="◦"/>
      <w:lvlJc w:val="left"/>
      <w:pPr>
        <w:tabs>
          <w:tab w:val="num" w:pos="5760"/>
        </w:tabs>
        <w:ind w:left="5760" w:hanging="360"/>
      </w:pPr>
      <w:rPr>
        <w:rFonts w:ascii="Garamond" w:hAnsi="Garamond" w:hint="default"/>
      </w:rPr>
    </w:lvl>
    <w:lvl w:ilvl="8" w:tplc="6DA6EEE0" w:tentative="1">
      <w:start w:val="1"/>
      <w:numFmt w:val="bullet"/>
      <w:lvlText w:val="◦"/>
      <w:lvlJc w:val="left"/>
      <w:pPr>
        <w:tabs>
          <w:tab w:val="num" w:pos="6480"/>
        </w:tabs>
        <w:ind w:left="6480" w:hanging="360"/>
      </w:pPr>
      <w:rPr>
        <w:rFonts w:ascii="Garamond" w:hAnsi="Garamond" w:hint="default"/>
      </w:rPr>
    </w:lvl>
  </w:abstractNum>
  <w:abstractNum w:abstractNumId="6" w15:restartNumberingAfterBreak="0">
    <w:nsid w:val="767A7CCD"/>
    <w:multiLevelType w:val="hybridMultilevel"/>
    <w:tmpl w:val="3708807C"/>
    <w:lvl w:ilvl="0" w:tplc="B582A95A">
      <w:start w:val="1"/>
      <w:numFmt w:val="bullet"/>
      <w:lvlText w:val="◦"/>
      <w:lvlJc w:val="left"/>
      <w:pPr>
        <w:tabs>
          <w:tab w:val="num" w:pos="720"/>
        </w:tabs>
        <w:ind w:left="720" w:hanging="360"/>
      </w:pPr>
      <w:rPr>
        <w:rFonts w:ascii="Garamond" w:hAnsi="Garamond" w:hint="default"/>
      </w:rPr>
    </w:lvl>
    <w:lvl w:ilvl="1" w:tplc="6854EA3E" w:tentative="1">
      <w:start w:val="1"/>
      <w:numFmt w:val="bullet"/>
      <w:lvlText w:val="◦"/>
      <w:lvlJc w:val="left"/>
      <w:pPr>
        <w:tabs>
          <w:tab w:val="num" w:pos="1440"/>
        </w:tabs>
        <w:ind w:left="1440" w:hanging="360"/>
      </w:pPr>
      <w:rPr>
        <w:rFonts w:ascii="Garamond" w:hAnsi="Garamond" w:hint="default"/>
      </w:rPr>
    </w:lvl>
    <w:lvl w:ilvl="2" w:tplc="E2A806C0" w:tentative="1">
      <w:start w:val="1"/>
      <w:numFmt w:val="bullet"/>
      <w:lvlText w:val="◦"/>
      <w:lvlJc w:val="left"/>
      <w:pPr>
        <w:tabs>
          <w:tab w:val="num" w:pos="2160"/>
        </w:tabs>
        <w:ind w:left="2160" w:hanging="360"/>
      </w:pPr>
      <w:rPr>
        <w:rFonts w:ascii="Garamond" w:hAnsi="Garamond" w:hint="default"/>
      </w:rPr>
    </w:lvl>
    <w:lvl w:ilvl="3" w:tplc="4CF6CF5C" w:tentative="1">
      <w:start w:val="1"/>
      <w:numFmt w:val="bullet"/>
      <w:lvlText w:val="◦"/>
      <w:lvlJc w:val="left"/>
      <w:pPr>
        <w:tabs>
          <w:tab w:val="num" w:pos="2880"/>
        </w:tabs>
        <w:ind w:left="2880" w:hanging="360"/>
      </w:pPr>
      <w:rPr>
        <w:rFonts w:ascii="Garamond" w:hAnsi="Garamond" w:hint="default"/>
      </w:rPr>
    </w:lvl>
    <w:lvl w:ilvl="4" w:tplc="BA7E0358" w:tentative="1">
      <w:start w:val="1"/>
      <w:numFmt w:val="bullet"/>
      <w:lvlText w:val="◦"/>
      <w:lvlJc w:val="left"/>
      <w:pPr>
        <w:tabs>
          <w:tab w:val="num" w:pos="3600"/>
        </w:tabs>
        <w:ind w:left="3600" w:hanging="360"/>
      </w:pPr>
      <w:rPr>
        <w:rFonts w:ascii="Garamond" w:hAnsi="Garamond" w:hint="default"/>
      </w:rPr>
    </w:lvl>
    <w:lvl w:ilvl="5" w:tplc="AD38D7A8" w:tentative="1">
      <w:start w:val="1"/>
      <w:numFmt w:val="bullet"/>
      <w:lvlText w:val="◦"/>
      <w:lvlJc w:val="left"/>
      <w:pPr>
        <w:tabs>
          <w:tab w:val="num" w:pos="4320"/>
        </w:tabs>
        <w:ind w:left="4320" w:hanging="360"/>
      </w:pPr>
      <w:rPr>
        <w:rFonts w:ascii="Garamond" w:hAnsi="Garamond" w:hint="default"/>
      </w:rPr>
    </w:lvl>
    <w:lvl w:ilvl="6" w:tplc="CEA2AD14" w:tentative="1">
      <w:start w:val="1"/>
      <w:numFmt w:val="bullet"/>
      <w:lvlText w:val="◦"/>
      <w:lvlJc w:val="left"/>
      <w:pPr>
        <w:tabs>
          <w:tab w:val="num" w:pos="5040"/>
        </w:tabs>
        <w:ind w:left="5040" w:hanging="360"/>
      </w:pPr>
      <w:rPr>
        <w:rFonts w:ascii="Garamond" w:hAnsi="Garamond" w:hint="default"/>
      </w:rPr>
    </w:lvl>
    <w:lvl w:ilvl="7" w:tplc="72743E08" w:tentative="1">
      <w:start w:val="1"/>
      <w:numFmt w:val="bullet"/>
      <w:lvlText w:val="◦"/>
      <w:lvlJc w:val="left"/>
      <w:pPr>
        <w:tabs>
          <w:tab w:val="num" w:pos="5760"/>
        </w:tabs>
        <w:ind w:left="5760" w:hanging="360"/>
      </w:pPr>
      <w:rPr>
        <w:rFonts w:ascii="Garamond" w:hAnsi="Garamond" w:hint="default"/>
      </w:rPr>
    </w:lvl>
    <w:lvl w:ilvl="8" w:tplc="222A0EC0" w:tentative="1">
      <w:start w:val="1"/>
      <w:numFmt w:val="bullet"/>
      <w:lvlText w:val="◦"/>
      <w:lvlJc w:val="left"/>
      <w:pPr>
        <w:tabs>
          <w:tab w:val="num" w:pos="6480"/>
        </w:tabs>
        <w:ind w:left="6480" w:hanging="360"/>
      </w:pPr>
      <w:rPr>
        <w:rFonts w:ascii="Garamond" w:hAnsi="Garamond" w:hint="default"/>
      </w:rPr>
    </w:lvl>
  </w:abstractNum>
  <w:num w:numId="1" w16cid:durableId="2038238663">
    <w:abstractNumId w:val="2"/>
  </w:num>
  <w:num w:numId="2" w16cid:durableId="2056391906">
    <w:abstractNumId w:val="4"/>
  </w:num>
  <w:num w:numId="3" w16cid:durableId="1662394529">
    <w:abstractNumId w:val="0"/>
  </w:num>
  <w:num w:numId="4" w16cid:durableId="1111238960">
    <w:abstractNumId w:val="5"/>
  </w:num>
  <w:num w:numId="5" w16cid:durableId="740056608">
    <w:abstractNumId w:val="1"/>
  </w:num>
  <w:num w:numId="6" w16cid:durableId="791166391">
    <w:abstractNumId w:val="3"/>
  </w:num>
  <w:num w:numId="7" w16cid:durableId="3438250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08"/>
    <w:rsid w:val="00002A78"/>
    <w:rsid w:val="00007371"/>
    <w:rsid w:val="00017359"/>
    <w:rsid w:val="00023477"/>
    <w:rsid w:val="00024983"/>
    <w:rsid w:val="000263DF"/>
    <w:rsid w:val="000266C2"/>
    <w:rsid w:val="00035AF0"/>
    <w:rsid w:val="00050CAA"/>
    <w:rsid w:val="000545A0"/>
    <w:rsid w:val="00064156"/>
    <w:rsid w:val="00064C28"/>
    <w:rsid w:val="00066A12"/>
    <w:rsid w:val="0006792B"/>
    <w:rsid w:val="00071314"/>
    <w:rsid w:val="00071E7D"/>
    <w:rsid w:val="00075DC9"/>
    <w:rsid w:val="00075F51"/>
    <w:rsid w:val="000769B5"/>
    <w:rsid w:val="000772CF"/>
    <w:rsid w:val="00083A9F"/>
    <w:rsid w:val="00087DBF"/>
    <w:rsid w:val="000908F3"/>
    <w:rsid w:val="000920CF"/>
    <w:rsid w:val="0009544C"/>
    <w:rsid w:val="000A29E2"/>
    <w:rsid w:val="000B3669"/>
    <w:rsid w:val="000B5038"/>
    <w:rsid w:val="000B68CC"/>
    <w:rsid w:val="000B748E"/>
    <w:rsid w:val="000B77BE"/>
    <w:rsid w:val="000C11F5"/>
    <w:rsid w:val="000C17F8"/>
    <w:rsid w:val="000C1F9C"/>
    <w:rsid w:val="000C261B"/>
    <w:rsid w:val="000C3299"/>
    <w:rsid w:val="000C35BB"/>
    <w:rsid w:val="000C6AC5"/>
    <w:rsid w:val="000C7F0C"/>
    <w:rsid w:val="000D0032"/>
    <w:rsid w:val="000D1440"/>
    <w:rsid w:val="000D36DE"/>
    <w:rsid w:val="000E1AE2"/>
    <w:rsid w:val="000E1B86"/>
    <w:rsid w:val="000F0E20"/>
    <w:rsid w:val="000F4053"/>
    <w:rsid w:val="000F4666"/>
    <w:rsid w:val="000F79BD"/>
    <w:rsid w:val="000F7BBC"/>
    <w:rsid w:val="00100352"/>
    <w:rsid w:val="00102640"/>
    <w:rsid w:val="00110615"/>
    <w:rsid w:val="0011328F"/>
    <w:rsid w:val="00117328"/>
    <w:rsid w:val="0012209C"/>
    <w:rsid w:val="001237CD"/>
    <w:rsid w:val="00126694"/>
    <w:rsid w:val="00133918"/>
    <w:rsid w:val="00134FA8"/>
    <w:rsid w:val="00163A51"/>
    <w:rsid w:val="00165742"/>
    <w:rsid w:val="00174ABD"/>
    <w:rsid w:val="001850FD"/>
    <w:rsid w:val="00187E4B"/>
    <w:rsid w:val="00187FCF"/>
    <w:rsid w:val="001A2B7B"/>
    <w:rsid w:val="001A508E"/>
    <w:rsid w:val="001A5472"/>
    <w:rsid w:val="001A70D8"/>
    <w:rsid w:val="001A7EBE"/>
    <w:rsid w:val="001B360F"/>
    <w:rsid w:val="001B55E5"/>
    <w:rsid w:val="001C0125"/>
    <w:rsid w:val="001D25FD"/>
    <w:rsid w:val="001D59B2"/>
    <w:rsid w:val="001E4389"/>
    <w:rsid w:val="001E577D"/>
    <w:rsid w:val="001F13B0"/>
    <w:rsid w:val="00201981"/>
    <w:rsid w:val="002019D3"/>
    <w:rsid w:val="002042CE"/>
    <w:rsid w:val="00207B34"/>
    <w:rsid w:val="00212831"/>
    <w:rsid w:val="00213042"/>
    <w:rsid w:val="00213147"/>
    <w:rsid w:val="00216C9E"/>
    <w:rsid w:val="0022143B"/>
    <w:rsid w:val="0022260F"/>
    <w:rsid w:val="00222EC1"/>
    <w:rsid w:val="00223A0E"/>
    <w:rsid w:val="00223AAE"/>
    <w:rsid w:val="00223DE3"/>
    <w:rsid w:val="0022467E"/>
    <w:rsid w:val="00224FD8"/>
    <w:rsid w:val="00225C55"/>
    <w:rsid w:val="00226F7B"/>
    <w:rsid w:val="00227A79"/>
    <w:rsid w:val="002420E2"/>
    <w:rsid w:val="00242A43"/>
    <w:rsid w:val="00245BC5"/>
    <w:rsid w:val="00252808"/>
    <w:rsid w:val="00253FBA"/>
    <w:rsid w:val="002563EC"/>
    <w:rsid w:val="00261FD4"/>
    <w:rsid w:val="00265FC5"/>
    <w:rsid w:val="00266C17"/>
    <w:rsid w:val="002678B7"/>
    <w:rsid w:val="00267C84"/>
    <w:rsid w:val="002712E4"/>
    <w:rsid w:val="0027425F"/>
    <w:rsid w:val="00274FFC"/>
    <w:rsid w:val="00280DEC"/>
    <w:rsid w:val="00281E6C"/>
    <w:rsid w:val="00291A36"/>
    <w:rsid w:val="00297CEB"/>
    <w:rsid w:val="002A6E9C"/>
    <w:rsid w:val="002A7E8D"/>
    <w:rsid w:val="002B150C"/>
    <w:rsid w:val="002B4F67"/>
    <w:rsid w:val="002B4FD0"/>
    <w:rsid w:val="002C18DF"/>
    <w:rsid w:val="002D00B1"/>
    <w:rsid w:val="002D2369"/>
    <w:rsid w:val="002D3991"/>
    <w:rsid w:val="002D4C55"/>
    <w:rsid w:val="002D56EC"/>
    <w:rsid w:val="002E2074"/>
    <w:rsid w:val="002E2BE5"/>
    <w:rsid w:val="002E524B"/>
    <w:rsid w:val="002F0251"/>
    <w:rsid w:val="002F1C5B"/>
    <w:rsid w:val="002F2409"/>
    <w:rsid w:val="002F30D5"/>
    <w:rsid w:val="002F695C"/>
    <w:rsid w:val="00302EB3"/>
    <w:rsid w:val="00305075"/>
    <w:rsid w:val="003067D7"/>
    <w:rsid w:val="00311F68"/>
    <w:rsid w:val="0031438C"/>
    <w:rsid w:val="00316015"/>
    <w:rsid w:val="00316205"/>
    <w:rsid w:val="00316598"/>
    <w:rsid w:val="00317E99"/>
    <w:rsid w:val="003226A8"/>
    <w:rsid w:val="0032427E"/>
    <w:rsid w:val="00325336"/>
    <w:rsid w:val="00330738"/>
    <w:rsid w:val="003309D1"/>
    <w:rsid w:val="00332C7E"/>
    <w:rsid w:val="00333A57"/>
    <w:rsid w:val="00334F3B"/>
    <w:rsid w:val="003443C6"/>
    <w:rsid w:val="003457D7"/>
    <w:rsid w:val="00345911"/>
    <w:rsid w:val="0034682E"/>
    <w:rsid w:val="00351D4B"/>
    <w:rsid w:val="00355AB1"/>
    <w:rsid w:val="00361F62"/>
    <w:rsid w:val="003637A9"/>
    <w:rsid w:val="00366950"/>
    <w:rsid w:val="00370B65"/>
    <w:rsid w:val="0037257A"/>
    <w:rsid w:val="00373E57"/>
    <w:rsid w:val="0038192E"/>
    <w:rsid w:val="00383507"/>
    <w:rsid w:val="00383BC1"/>
    <w:rsid w:val="003840BF"/>
    <w:rsid w:val="003846D4"/>
    <w:rsid w:val="003911C4"/>
    <w:rsid w:val="00391679"/>
    <w:rsid w:val="00396E2A"/>
    <w:rsid w:val="003A23CD"/>
    <w:rsid w:val="003A4449"/>
    <w:rsid w:val="003A584E"/>
    <w:rsid w:val="003B578E"/>
    <w:rsid w:val="003D2F15"/>
    <w:rsid w:val="003D7EFB"/>
    <w:rsid w:val="003E137C"/>
    <w:rsid w:val="003E4B15"/>
    <w:rsid w:val="003E4BC8"/>
    <w:rsid w:val="003E647E"/>
    <w:rsid w:val="003F45E4"/>
    <w:rsid w:val="003F686B"/>
    <w:rsid w:val="004024A9"/>
    <w:rsid w:val="00407744"/>
    <w:rsid w:val="00407CD0"/>
    <w:rsid w:val="00415BD1"/>
    <w:rsid w:val="00416D47"/>
    <w:rsid w:val="00422692"/>
    <w:rsid w:val="004234A8"/>
    <w:rsid w:val="00434605"/>
    <w:rsid w:val="00442EA5"/>
    <w:rsid w:val="00443ACC"/>
    <w:rsid w:val="00443C9F"/>
    <w:rsid w:val="00447777"/>
    <w:rsid w:val="004533B8"/>
    <w:rsid w:val="0045677A"/>
    <w:rsid w:val="0046520B"/>
    <w:rsid w:val="00470998"/>
    <w:rsid w:val="00470FF1"/>
    <w:rsid w:val="00471654"/>
    <w:rsid w:val="00472FA7"/>
    <w:rsid w:val="004740E2"/>
    <w:rsid w:val="0047538F"/>
    <w:rsid w:val="004760BA"/>
    <w:rsid w:val="00480430"/>
    <w:rsid w:val="00481354"/>
    <w:rsid w:val="0048225E"/>
    <w:rsid w:val="00483D78"/>
    <w:rsid w:val="0048421F"/>
    <w:rsid w:val="00497101"/>
    <w:rsid w:val="004A463F"/>
    <w:rsid w:val="004A62B2"/>
    <w:rsid w:val="004A6789"/>
    <w:rsid w:val="004A74AE"/>
    <w:rsid w:val="004C32C2"/>
    <w:rsid w:val="004C5762"/>
    <w:rsid w:val="004D06A5"/>
    <w:rsid w:val="004D725F"/>
    <w:rsid w:val="004E110B"/>
    <w:rsid w:val="004E2172"/>
    <w:rsid w:val="004F39C4"/>
    <w:rsid w:val="004F4B68"/>
    <w:rsid w:val="00503A0E"/>
    <w:rsid w:val="00504962"/>
    <w:rsid w:val="0050581D"/>
    <w:rsid w:val="0051174E"/>
    <w:rsid w:val="00512A83"/>
    <w:rsid w:val="00514536"/>
    <w:rsid w:val="0051776B"/>
    <w:rsid w:val="00520261"/>
    <w:rsid w:val="00521B95"/>
    <w:rsid w:val="00522C51"/>
    <w:rsid w:val="0052571E"/>
    <w:rsid w:val="005275D2"/>
    <w:rsid w:val="00527956"/>
    <w:rsid w:val="00530AFB"/>
    <w:rsid w:val="0053473E"/>
    <w:rsid w:val="005351F4"/>
    <w:rsid w:val="005401E9"/>
    <w:rsid w:val="00541192"/>
    <w:rsid w:val="00541316"/>
    <w:rsid w:val="005426BE"/>
    <w:rsid w:val="00552A40"/>
    <w:rsid w:val="005610F4"/>
    <w:rsid w:val="00563E4A"/>
    <w:rsid w:val="00564B43"/>
    <w:rsid w:val="00573A6C"/>
    <w:rsid w:val="00580041"/>
    <w:rsid w:val="005802B8"/>
    <w:rsid w:val="00581DBF"/>
    <w:rsid w:val="00581FB3"/>
    <w:rsid w:val="0058316C"/>
    <w:rsid w:val="005831BE"/>
    <w:rsid w:val="00584F26"/>
    <w:rsid w:val="00587529"/>
    <w:rsid w:val="0058799E"/>
    <w:rsid w:val="005A0AE3"/>
    <w:rsid w:val="005A1AF6"/>
    <w:rsid w:val="005B2664"/>
    <w:rsid w:val="005B38D6"/>
    <w:rsid w:val="005B4B06"/>
    <w:rsid w:val="005B6F82"/>
    <w:rsid w:val="005B70C1"/>
    <w:rsid w:val="005C0E2F"/>
    <w:rsid w:val="005C160A"/>
    <w:rsid w:val="005C736B"/>
    <w:rsid w:val="005C7F85"/>
    <w:rsid w:val="005D37B3"/>
    <w:rsid w:val="005E43DB"/>
    <w:rsid w:val="005E45C2"/>
    <w:rsid w:val="005E5148"/>
    <w:rsid w:val="005E6101"/>
    <w:rsid w:val="005F030F"/>
    <w:rsid w:val="005F05E3"/>
    <w:rsid w:val="005F25C3"/>
    <w:rsid w:val="005F50C9"/>
    <w:rsid w:val="006001AF"/>
    <w:rsid w:val="00600C4A"/>
    <w:rsid w:val="006026F5"/>
    <w:rsid w:val="00602ECE"/>
    <w:rsid w:val="00605013"/>
    <w:rsid w:val="00605A64"/>
    <w:rsid w:val="006139F1"/>
    <w:rsid w:val="0061528E"/>
    <w:rsid w:val="00615F31"/>
    <w:rsid w:val="00620B05"/>
    <w:rsid w:val="00627562"/>
    <w:rsid w:val="00630012"/>
    <w:rsid w:val="0063054E"/>
    <w:rsid w:val="00631857"/>
    <w:rsid w:val="00635870"/>
    <w:rsid w:val="006366F4"/>
    <w:rsid w:val="00641382"/>
    <w:rsid w:val="00641408"/>
    <w:rsid w:val="006422EF"/>
    <w:rsid w:val="0064320A"/>
    <w:rsid w:val="006473D9"/>
    <w:rsid w:val="00650FF3"/>
    <w:rsid w:val="00651CEE"/>
    <w:rsid w:val="00651F3B"/>
    <w:rsid w:val="00651F63"/>
    <w:rsid w:val="006554D3"/>
    <w:rsid w:val="006651C6"/>
    <w:rsid w:val="00670BA8"/>
    <w:rsid w:val="00677A46"/>
    <w:rsid w:val="00682069"/>
    <w:rsid w:val="0068354F"/>
    <w:rsid w:val="006844F6"/>
    <w:rsid w:val="00686406"/>
    <w:rsid w:val="00691F6F"/>
    <w:rsid w:val="006948F0"/>
    <w:rsid w:val="006A0BD9"/>
    <w:rsid w:val="006A2907"/>
    <w:rsid w:val="006A2C2D"/>
    <w:rsid w:val="006A5BF5"/>
    <w:rsid w:val="006A688D"/>
    <w:rsid w:val="006A7616"/>
    <w:rsid w:val="006A7812"/>
    <w:rsid w:val="006B4B85"/>
    <w:rsid w:val="006C4C8D"/>
    <w:rsid w:val="006D04F0"/>
    <w:rsid w:val="006D132B"/>
    <w:rsid w:val="006D7717"/>
    <w:rsid w:val="006E0B28"/>
    <w:rsid w:val="006E77D4"/>
    <w:rsid w:val="006F04BC"/>
    <w:rsid w:val="006F1BFF"/>
    <w:rsid w:val="006F4E9D"/>
    <w:rsid w:val="006F5989"/>
    <w:rsid w:val="00700787"/>
    <w:rsid w:val="00700A17"/>
    <w:rsid w:val="00703A4B"/>
    <w:rsid w:val="00703F3C"/>
    <w:rsid w:val="0070669D"/>
    <w:rsid w:val="00711167"/>
    <w:rsid w:val="007136EE"/>
    <w:rsid w:val="007142C6"/>
    <w:rsid w:val="00714F22"/>
    <w:rsid w:val="0071574A"/>
    <w:rsid w:val="00715BCC"/>
    <w:rsid w:val="007313BA"/>
    <w:rsid w:val="007405D2"/>
    <w:rsid w:val="007423A6"/>
    <w:rsid w:val="00743831"/>
    <w:rsid w:val="00750BDF"/>
    <w:rsid w:val="00752BDF"/>
    <w:rsid w:val="007533E2"/>
    <w:rsid w:val="00763381"/>
    <w:rsid w:val="00766544"/>
    <w:rsid w:val="00767B85"/>
    <w:rsid w:val="0077158C"/>
    <w:rsid w:val="00771DDC"/>
    <w:rsid w:val="00773A58"/>
    <w:rsid w:val="00773A93"/>
    <w:rsid w:val="0077720F"/>
    <w:rsid w:val="00782CB2"/>
    <w:rsid w:val="00784D9A"/>
    <w:rsid w:val="007850E6"/>
    <w:rsid w:val="007853E6"/>
    <w:rsid w:val="007978EA"/>
    <w:rsid w:val="007A12F7"/>
    <w:rsid w:val="007B0FBB"/>
    <w:rsid w:val="007B30C3"/>
    <w:rsid w:val="007C3D8F"/>
    <w:rsid w:val="007C6208"/>
    <w:rsid w:val="007D15F0"/>
    <w:rsid w:val="007D389A"/>
    <w:rsid w:val="007D7677"/>
    <w:rsid w:val="007E2F43"/>
    <w:rsid w:val="007F2599"/>
    <w:rsid w:val="007F265D"/>
    <w:rsid w:val="007F703A"/>
    <w:rsid w:val="00805F5A"/>
    <w:rsid w:val="0081278F"/>
    <w:rsid w:val="00815DEB"/>
    <w:rsid w:val="00820374"/>
    <w:rsid w:val="0082086C"/>
    <w:rsid w:val="00821365"/>
    <w:rsid w:val="0082440B"/>
    <w:rsid w:val="00831F3B"/>
    <w:rsid w:val="00835619"/>
    <w:rsid w:val="00836D61"/>
    <w:rsid w:val="008443F9"/>
    <w:rsid w:val="00846A37"/>
    <w:rsid w:val="00850E95"/>
    <w:rsid w:val="00850F9C"/>
    <w:rsid w:val="00852510"/>
    <w:rsid w:val="00857E3C"/>
    <w:rsid w:val="0086212B"/>
    <w:rsid w:val="0086590D"/>
    <w:rsid w:val="008677EC"/>
    <w:rsid w:val="00871A6E"/>
    <w:rsid w:val="0087310E"/>
    <w:rsid w:val="00873B9E"/>
    <w:rsid w:val="008749C2"/>
    <w:rsid w:val="0088570A"/>
    <w:rsid w:val="008868AB"/>
    <w:rsid w:val="008900BB"/>
    <w:rsid w:val="008902CC"/>
    <w:rsid w:val="00894699"/>
    <w:rsid w:val="008A096B"/>
    <w:rsid w:val="008A16FE"/>
    <w:rsid w:val="008A22EF"/>
    <w:rsid w:val="008A32A1"/>
    <w:rsid w:val="008A395E"/>
    <w:rsid w:val="008B068D"/>
    <w:rsid w:val="008B6006"/>
    <w:rsid w:val="008B7374"/>
    <w:rsid w:val="008C08DD"/>
    <w:rsid w:val="008C26C3"/>
    <w:rsid w:val="008C6798"/>
    <w:rsid w:val="008C68D1"/>
    <w:rsid w:val="008C7D1A"/>
    <w:rsid w:val="008D2418"/>
    <w:rsid w:val="008D5D66"/>
    <w:rsid w:val="008E0641"/>
    <w:rsid w:val="008E5BD1"/>
    <w:rsid w:val="008F3741"/>
    <w:rsid w:val="008F627A"/>
    <w:rsid w:val="008F72C4"/>
    <w:rsid w:val="00902A73"/>
    <w:rsid w:val="00903794"/>
    <w:rsid w:val="009074C6"/>
    <w:rsid w:val="00911692"/>
    <w:rsid w:val="009165BF"/>
    <w:rsid w:val="00917212"/>
    <w:rsid w:val="009219AF"/>
    <w:rsid w:val="00922001"/>
    <w:rsid w:val="009316B5"/>
    <w:rsid w:val="0093221F"/>
    <w:rsid w:val="009335DD"/>
    <w:rsid w:val="0093561A"/>
    <w:rsid w:val="00947472"/>
    <w:rsid w:val="00954487"/>
    <w:rsid w:val="00955DA4"/>
    <w:rsid w:val="00957DB1"/>
    <w:rsid w:val="0096256B"/>
    <w:rsid w:val="009673FB"/>
    <w:rsid w:val="00971251"/>
    <w:rsid w:val="00971479"/>
    <w:rsid w:val="00976136"/>
    <w:rsid w:val="00976E75"/>
    <w:rsid w:val="00985206"/>
    <w:rsid w:val="0098682B"/>
    <w:rsid w:val="00987EA6"/>
    <w:rsid w:val="009916AD"/>
    <w:rsid w:val="009924AC"/>
    <w:rsid w:val="00993764"/>
    <w:rsid w:val="009946EF"/>
    <w:rsid w:val="009970EA"/>
    <w:rsid w:val="00997211"/>
    <w:rsid w:val="0099735D"/>
    <w:rsid w:val="009A0AFC"/>
    <w:rsid w:val="009A2A3E"/>
    <w:rsid w:val="009A6AF2"/>
    <w:rsid w:val="009B3E39"/>
    <w:rsid w:val="009B5A0D"/>
    <w:rsid w:val="009B5D88"/>
    <w:rsid w:val="009B665E"/>
    <w:rsid w:val="009B6735"/>
    <w:rsid w:val="009C27FD"/>
    <w:rsid w:val="009C3738"/>
    <w:rsid w:val="009C5E1A"/>
    <w:rsid w:val="009C7F92"/>
    <w:rsid w:val="009D0B9A"/>
    <w:rsid w:val="009D45B4"/>
    <w:rsid w:val="009D69C1"/>
    <w:rsid w:val="009D6C60"/>
    <w:rsid w:val="009E0931"/>
    <w:rsid w:val="009E1856"/>
    <w:rsid w:val="009E196E"/>
    <w:rsid w:val="009E36B1"/>
    <w:rsid w:val="009F0116"/>
    <w:rsid w:val="009F1334"/>
    <w:rsid w:val="009F3F7E"/>
    <w:rsid w:val="009F40D3"/>
    <w:rsid w:val="009F4DA7"/>
    <w:rsid w:val="00A035F6"/>
    <w:rsid w:val="00A03A94"/>
    <w:rsid w:val="00A062F0"/>
    <w:rsid w:val="00A067F7"/>
    <w:rsid w:val="00A134A7"/>
    <w:rsid w:val="00A2208C"/>
    <w:rsid w:val="00A24E3C"/>
    <w:rsid w:val="00A256E1"/>
    <w:rsid w:val="00A258B9"/>
    <w:rsid w:val="00A260DA"/>
    <w:rsid w:val="00A3062E"/>
    <w:rsid w:val="00A367FC"/>
    <w:rsid w:val="00A44A56"/>
    <w:rsid w:val="00A500F6"/>
    <w:rsid w:val="00A5164A"/>
    <w:rsid w:val="00A521DF"/>
    <w:rsid w:val="00A55CA3"/>
    <w:rsid w:val="00A57241"/>
    <w:rsid w:val="00A577DA"/>
    <w:rsid w:val="00A57E08"/>
    <w:rsid w:val="00A60EC3"/>
    <w:rsid w:val="00A641C5"/>
    <w:rsid w:val="00A64F66"/>
    <w:rsid w:val="00A67177"/>
    <w:rsid w:val="00A67AFB"/>
    <w:rsid w:val="00A7104C"/>
    <w:rsid w:val="00A744BE"/>
    <w:rsid w:val="00A77B66"/>
    <w:rsid w:val="00A8044E"/>
    <w:rsid w:val="00A85122"/>
    <w:rsid w:val="00A952DF"/>
    <w:rsid w:val="00A95D02"/>
    <w:rsid w:val="00AB343D"/>
    <w:rsid w:val="00AB50C6"/>
    <w:rsid w:val="00AB5951"/>
    <w:rsid w:val="00AB644E"/>
    <w:rsid w:val="00AB64D0"/>
    <w:rsid w:val="00AB696B"/>
    <w:rsid w:val="00AC7909"/>
    <w:rsid w:val="00AD04EC"/>
    <w:rsid w:val="00AD0B6F"/>
    <w:rsid w:val="00AD19D8"/>
    <w:rsid w:val="00AD7848"/>
    <w:rsid w:val="00AD799B"/>
    <w:rsid w:val="00AE1802"/>
    <w:rsid w:val="00AE270F"/>
    <w:rsid w:val="00AE274E"/>
    <w:rsid w:val="00AE4834"/>
    <w:rsid w:val="00AF293F"/>
    <w:rsid w:val="00AF2F2E"/>
    <w:rsid w:val="00AF5465"/>
    <w:rsid w:val="00AF561E"/>
    <w:rsid w:val="00AF5B11"/>
    <w:rsid w:val="00B00B75"/>
    <w:rsid w:val="00B0269D"/>
    <w:rsid w:val="00B03A37"/>
    <w:rsid w:val="00B04126"/>
    <w:rsid w:val="00B04BA2"/>
    <w:rsid w:val="00B05B78"/>
    <w:rsid w:val="00B136CA"/>
    <w:rsid w:val="00B14E40"/>
    <w:rsid w:val="00B22C13"/>
    <w:rsid w:val="00B32135"/>
    <w:rsid w:val="00B37A99"/>
    <w:rsid w:val="00B37AA6"/>
    <w:rsid w:val="00B40CB6"/>
    <w:rsid w:val="00B41E3D"/>
    <w:rsid w:val="00B462F7"/>
    <w:rsid w:val="00B4732D"/>
    <w:rsid w:val="00B50EE6"/>
    <w:rsid w:val="00B53A52"/>
    <w:rsid w:val="00B608C3"/>
    <w:rsid w:val="00B64F9C"/>
    <w:rsid w:val="00B65751"/>
    <w:rsid w:val="00B74A50"/>
    <w:rsid w:val="00B775A8"/>
    <w:rsid w:val="00B85CE3"/>
    <w:rsid w:val="00B90668"/>
    <w:rsid w:val="00B93976"/>
    <w:rsid w:val="00BA2CFD"/>
    <w:rsid w:val="00BA2F8A"/>
    <w:rsid w:val="00BB1B7E"/>
    <w:rsid w:val="00BB1EA4"/>
    <w:rsid w:val="00BB4D46"/>
    <w:rsid w:val="00BC0BB8"/>
    <w:rsid w:val="00BC38F5"/>
    <w:rsid w:val="00BC3A6B"/>
    <w:rsid w:val="00BD2271"/>
    <w:rsid w:val="00BD68FF"/>
    <w:rsid w:val="00BE14A7"/>
    <w:rsid w:val="00BE1AB6"/>
    <w:rsid w:val="00BE6137"/>
    <w:rsid w:val="00BE62D1"/>
    <w:rsid w:val="00BF744A"/>
    <w:rsid w:val="00C03596"/>
    <w:rsid w:val="00C04422"/>
    <w:rsid w:val="00C04E3D"/>
    <w:rsid w:val="00C063A3"/>
    <w:rsid w:val="00C15304"/>
    <w:rsid w:val="00C17D1E"/>
    <w:rsid w:val="00C23852"/>
    <w:rsid w:val="00C238FB"/>
    <w:rsid w:val="00C305CD"/>
    <w:rsid w:val="00C30E64"/>
    <w:rsid w:val="00C31CCA"/>
    <w:rsid w:val="00C32714"/>
    <w:rsid w:val="00C3564E"/>
    <w:rsid w:val="00C36846"/>
    <w:rsid w:val="00C37924"/>
    <w:rsid w:val="00C40841"/>
    <w:rsid w:val="00C4449F"/>
    <w:rsid w:val="00C45356"/>
    <w:rsid w:val="00C455F6"/>
    <w:rsid w:val="00C46317"/>
    <w:rsid w:val="00C540F1"/>
    <w:rsid w:val="00C60139"/>
    <w:rsid w:val="00C6086B"/>
    <w:rsid w:val="00C60924"/>
    <w:rsid w:val="00C62573"/>
    <w:rsid w:val="00C67753"/>
    <w:rsid w:val="00C6797E"/>
    <w:rsid w:val="00C67F4C"/>
    <w:rsid w:val="00C7004A"/>
    <w:rsid w:val="00C71B67"/>
    <w:rsid w:val="00C7235F"/>
    <w:rsid w:val="00C72B2F"/>
    <w:rsid w:val="00C73259"/>
    <w:rsid w:val="00C74043"/>
    <w:rsid w:val="00C74F11"/>
    <w:rsid w:val="00C77581"/>
    <w:rsid w:val="00C83367"/>
    <w:rsid w:val="00C83FCC"/>
    <w:rsid w:val="00C84AC1"/>
    <w:rsid w:val="00C8657B"/>
    <w:rsid w:val="00C86F6E"/>
    <w:rsid w:val="00CA3025"/>
    <w:rsid w:val="00CB4BA6"/>
    <w:rsid w:val="00CB61B8"/>
    <w:rsid w:val="00CB6AE9"/>
    <w:rsid w:val="00CB7D82"/>
    <w:rsid w:val="00CC3A32"/>
    <w:rsid w:val="00CC45A9"/>
    <w:rsid w:val="00CC5C4E"/>
    <w:rsid w:val="00CD1B85"/>
    <w:rsid w:val="00CD5C91"/>
    <w:rsid w:val="00CE311F"/>
    <w:rsid w:val="00CE499C"/>
    <w:rsid w:val="00CF46D9"/>
    <w:rsid w:val="00CF4D0F"/>
    <w:rsid w:val="00CF715D"/>
    <w:rsid w:val="00D023C2"/>
    <w:rsid w:val="00D03140"/>
    <w:rsid w:val="00D073EE"/>
    <w:rsid w:val="00D07DE4"/>
    <w:rsid w:val="00D10845"/>
    <w:rsid w:val="00D15104"/>
    <w:rsid w:val="00D17F94"/>
    <w:rsid w:val="00D2036E"/>
    <w:rsid w:val="00D22DC4"/>
    <w:rsid w:val="00D23B70"/>
    <w:rsid w:val="00D2488A"/>
    <w:rsid w:val="00D2526D"/>
    <w:rsid w:val="00D253FA"/>
    <w:rsid w:val="00D2626A"/>
    <w:rsid w:val="00D264FB"/>
    <w:rsid w:val="00D26903"/>
    <w:rsid w:val="00D33FBD"/>
    <w:rsid w:val="00D34710"/>
    <w:rsid w:val="00D3547A"/>
    <w:rsid w:val="00D4073C"/>
    <w:rsid w:val="00D468AA"/>
    <w:rsid w:val="00D52356"/>
    <w:rsid w:val="00D55C23"/>
    <w:rsid w:val="00D55CC0"/>
    <w:rsid w:val="00D563C9"/>
    <w:rsid w:val="00D63528"/>
    <w:rsid w:val="00D6723E"/>
    <w:rsid w:val="00D77800"/>
    <w:rsid w:val="00D8131F"/>
    <w:rsid w:val="00D85435"/>
    <w:rsid w:val="00D85B03"/>
    <w:rsid w:val="00D86F6D"/>
    <w:rsid w:val="00D87D83"/>
    <w:rsid w:val="00D95202"/>
    <w:rsid w:val="00D95C7C"/>
    <w:rsid w:val="00D96B7D"/>
    <w:rsid w:val="00DA06FF"/>
    <w:rsid w:val="00DA2E14"/>
    <w:rsid w:val="00DB085C"/>
    <w:rsid w:val="00DB2583"/>
    <w:rsid w:val="00DB4965"/>
    <w:rsid w:val="00DB711D"/>
    <w:rsid w:val="00DC02BC"/>
    <w:rsid w:val="00DC06A0"/>
    <w:rsid w:val="00DC0C38"/>
    <w:rsid w:val="00DC241A"/>
    <w:rsid w:val="00DC6034"/>
    <w:rsid w:val="00DC6E36"/>
    <w:rsid w:val="00DC79F7"/>
    <w:rsid w:val="00DD2B29"/>
    <w:rsid w:val="00DD2F97"/>
    <w:rsid w:val="00DD4C2A"/>
    <w:rsid w:val="00DD54F8"/>
    <w:rsid w:val="00DD735E"/>
    <w:rsid w:val="00DE224D"/>
    <w:rsid w:val="00DE4891"/>
    <w:rsid w:val="00DE699A"/>
    <w:rsid w:val="00DF133E"/>
    <w:rsid w:val="00DF1517"/>
    <w:rsid w:val="00E03E4B"/>
    <w:rsid w:val="00E0676B"/>
    <w:rsid w:val="00E068C2"/>
    <w:rsid w:val="00E06E04"/>
    <w:rsid w:val="00E07A26"/>
    <w:rsid w:val="00E07BE4"/>
    <w:rsid w:val="00E1621A"/>
    <w:rsid w:val="00E2050E"/>
    <w:rsid w:val="00E21438"/>
    <w:rsid w:val="00E25343"/>
    <w:rsid w:val="00E26A08"/>
    <w:rsid w:val="00E3238C"/>
    <w:rsid w:val="00E32DAA"/>
    <w:rsid w:val="00E331DE"/>
    <w:rsid w:val="00E5049D"/>
    <w:rsid w:val="00E508AA"/>
    <w:rsid w:val="00E559DB"/>
    <w:rsid w:val="00E55A98"/>
    <w:rsid w:val="00E607B8"/>
    <w:rsid w:val="00E63604"/>
    <w:rsid w:val="00E67447"/>
    <w:rsid w:val="00E72E3D"/>
    <w:rsid w:val="00E750B8"/>
    <w:rsid w:val="00E77843"/>
    <w:rsid w:val="00E8022C"/>
    <w:rsid w:val="00E81944"/>
    <w:rsid w:val="00E85F41"/>
    <w:rsid w:val="00E93CD1"/>
    <w:rsid w:val="00E97038"/>
    <w:rsid w:val="00E971B6"/>
    <w:rsid w:val="00EA1C02"/>
    <w:rsid w:val="00EA5B6E"/>
    <w:rsid w:val="00EA6144"/>
    <w:rsid w:val="00EB3A22"/>
    <w:rsid w:val="00EB4BB4"/>
    <w:rsid w:val="00EB4D4D"/>
    <w:rsid w:val="00EB58FF"/>
    <w:rsid w:val="00EB7092"/>
    <w:rsid w:val="00EC1A78"/>
    <w:rsid w:val="00EC37EA"/>
    <w:rsid w:val="00EC481B"/>
    <w:rsid w:val="00EC5D3F"/>
    <w:rsid w:val="00ED1639"/>
    <w:rsid w:val="00EE10B5"/>
    <w:rsid w:val="00EE5313"/>
    <w:rsid w:val="00EE7021"/>
    <w:rsid w:val="00EF103E"/>
    <w:rsid w:val="00F0072D"/>
    <w:rsid w:val="00F013D0"/>
    <w:rsid w:val="00F06E24"/>
    <w:rsid w:val="00F2413D"/>
    <w:rsid w:val="00F36A8E"/>
    <w:rsid w:val="00F36DA3"/>
    <w:rsid w:val="00F41A64"/>
    <w:rsid w:val="00F43FDE"/>
    <w:rsid w:val="00F46908"/>
    <w:rsid w:val="00F4763F"/>
    <w:rsid w:val="00F53913"/>
    <w:rsid w:val="00F5506B"/>
    <w:rsid w:val="00F5535D"/>
    <w:rsid w:val="00F61320"/>
    <w:rsid w:val="00F62878"/>
    <w:rsid w:val="00F63840"/>
    <w:rsid w:val="00F65702"/>
    <w:rsid w:val="00F660E8"/>
    <w:rsid w:val="00F66E1A"/>
    <w:rsid w:val="00F72D13"/>
    <w:rsid w:val="00F763AD"/>
    <w:rsid w:val="00F80EFB"/>
    <w:rsid w:val="00F819CC"/>
    <w:rsid w:val="00F82D1C"/>
    <w:rsid w:val="00F958CC"/>
    <w:rsid w:val="00F95FF1"/>
    <w:rsid w:val="00F96B32"/>
    <w:rsid w:val="00F97B47"/>
    <w:rsid w:val="00FA2D66"/>
    <w:rsid w:val="00FA40FC"/>
    <w:rsid w:val="00FA6342"/>
    <w:rsid w:val="00FA6AA8"/>
    <w:rsid w:val="00FB2BD1"/>
    <w:rsid w:val="00FB79AE"/>
    <w:rsid w:val="00FC1D64"/>
    <w:rsid w:val="00FC4C67"/>
    <w:rsid w:val="00FD21D9"/>
    <w:rsid w:val="00FD3B13"/>
    <w:rsid w:val="00FD4192"/>
    <w:rsid w:val="00FD5E37"/>
    <w:rsid w:val="00FE148F"/>
    <w:rsid w:val="00FE2534"/>
    <w:rsid w:val="00FE355C"/>
    <w:rsid w:val="00FE50DC"/>
    <w:rsid w:val="00FE64B0"/>
    <w:rsid w:val="00FF0F1D"/>
    <w:rsid w:val="00FF2AD9"/>
    <w:rsid w:val="00FF5136"/>
    <w:rsid w:val="00FF7E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C401"/>
  <w15:docId w15:val="{2E62F3FE-C7F9-401A-B21D-770EDAF0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C84"/>
    <w:pPr>
      <w:spacing w:line="256" w:lineRule="auto"/>
    </w:pPr>
    <w:rPr>
      <w:lang w:val="en-GB"/>
    </w:rPr>
  </w:style>
  <w:style w:type="paragraph" w:styleId="Heading1">
    <w:name w:val="heading 1"/>
    <w:basedOn w:val="Normal"/>
    <w:link w:val="Heading1Char"/>
    <w:uiPriority w:val="9"/>
    <w:qFormat/>
    <w:rsid w:val="0021314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BC0B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5BD1"/>
  </w:style>
  <w:style w:type="paragraph" w:styleId="NormalWeb">
    <w:name w:val="Normal (Web)"/>
    <w:basedOn w:val="Normal"/>
    <w:uiPriority w:val="99"/>
    <w:unhideWhenUsed/>
    <w:rsid w:val="00E7784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95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C7C"/>
    <w:rPr>
      <w:lang w:val="en-GB"/>
    </w:rPr>
  </w:style>
  <w:style w:type="paragraph" w:styleId="Footer">
    <w:name w:val="footer"/>
    <w:basedOn w:val="Normal"/>
    <w:link w:val="FooterChar"/>
    <w:uiPriority w:val="99"/>
    <w:unhideWhenUsed/>
    <w:rsid w:val="00D9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C7C"/>
    <w:rPr>
      <w:lang w:val="en-GB"/>
    </w:rPr>
  </w:style>
  <w:style w:type="paragraph" w:styleId="FootnoteText">
    <w:name w:val="footnote text"/>
    <w:basedOn w:val="Normal"/>
    <w:link w:val="FootnoteTextChar"/>
    <w:uiPriority w:val="99"/>
    <w:unhideWhenUsed/>
    <w:rsid w:val="00E559DB"/>
    <w:pPr>
      <w:spacing w:after="0" w:line="240" w:lineRule="auto"/>
    </w:pPr>
    <w:rPr>
      <w:sz w:val="20"/>
      <w:szCs w:val="20"/>
    </w:rPr>
  </w:style>
  <w:style w:type="character" w:customStyle="1" w:styleId="FootnoteTextChar">
    <w:name w:val="Footnote Text Char"/>
    <w:basedOn w:val="DefaultParagraphFont"/>
    <w:link w:val="FootnoteText"/>
    <w:uiPriority w:val="99"/>
    <w:rsid w:val="00E559DB"/>
    <w:rPr>
      <w:sz w:val="20"/>
      <w:szCs w:val="20"/>
      <w:lang w:val="en-GB"/>
    </w:rPr>
  </w:style>
  <w:style w:type="character" w:styleId="FootnoteReference">
    <w:name w:val="footnote reference"/>
    <w:aliases w:val="אות הערה,a Footnote Reference,Style 18,Ref,de nota al pie"/>
    <w:basedOn w:val="DefaultParagraphFont"/>
    <w:uiPriority w:val="99"/>
    <w:unhideWhenUsed/>
    <w:qFormat/>
    <w:rsid w:val="00E559DB"/>
    <w:rPr>
      <w:vertAlign w:val="superscript"/>
    </w:rPr>
  </w:style>
  <w:style w:type="character" w:customStyle="1" w:styleId="Heading1Char">
    <w:name w:val="Heading 1 Char"/>
    <w:basedOn w:val="DefaultParagraphFont"/>
    <w:link w:val="Heading1"/>
    <w:uiPriority w:val="9"/>
    <w:rsid w:val="00213147"/>
    <w:rPr>
      <w:rFonts w:ascii="Times New Roman" w:eastAsia="Times New Roman" w:hAnsi="Times New Roman" w:cs="Times New Roman"/>
      <w:b/>
      <w:bCs/>
      <w:kern w:val="36"/>
      <w:sz w:val="48"/>
      <w:szCs w:val="48"/>
    </w:rPr>
  </w:style>
  <w:style w:type="table" w:styleId="TableGrid">
    <w:name w:val="Table Grid"/>
    <w:basedOn w:val="TableNormal"/>
    <w:uiPriority w:val="59"/>
    <w:rsid w:val="0032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336"/>
    <w:pPr>
      <w:bidi/>
      <w:spacing w:after="200" w:line="276" w:lineRule="auto"/>
      <w:ind w:left="720"/>
      <w:contextualSpacing/>
    </w:pPr>
    <w:rPr>
      <w:lang w:val="en-US"/>
    </w:rPr>
  </w:style>
  <w:style w:type="character" w:styleId="Emphasis">
    <w:name w:val="Emphasis"/>
    <w:basedOn w:val="DefaultParagraphFont"/>
    <w:uiPriority w:val="20"/>
    <w:qFormat/>
    <w:rsid w:val="00C77581"/>
    <w:rPr>
      <w:i/>
      <w:iCs/>
    </w:rPr>
  </w:style>
  <w:style w:type="character" w:styleId="Hyperlink">
    <w:name w:val="Hyperlink"/>
    <w:basedOn w:val="DefaultParagraphFont"/>
    <w:uiPriority w:val="99"/>
    <w:unhideWhenUsed/>
    <w:rsid w:val="00CF46D9"/>
    <w:rPr>
      <w:color w:val="0000FF"/>
      <w:u w:val="single"/>
    </w:rPr>
  </w:style>
  <w:style w:type="character" w:styleId="CommentReference">
    <w:name w:val="annotation reference"/>
    <w:basedOn w:val="DefaultParagraphFont"/>
    <w:uiPriority w:val="99"/>
    <w:semiHidden/>
    <w:unhideWhenUsed/>
    <w:rsid w:val="00A85122"/>
    <w:rPr>
      <w:sz w:val="16"/>
      <w:szCs w:val="16"/>
    </w:rPr>
  </w:style>
  <w:style w:type="paragraph" w:styleId="CommentText">
    <w:name w:val="annotation text"/>
    <w:basedOn w:val="Normal"/>
    <w:link w:val="CommentTextChar"/>
    <w:uiPriority w:val="99"/>
    <w:unhideWhenUsed/>
    <w:rsid w:val="00A85122"/>
    <w:pPr>
      <w:spacing w:line="240" w:lineRule="auto"/>
    </w:pPr>
    <w:rPr>
      <w:sz w:val="20"/>
      <w:szCs w:val="20"/>
    </w:rPr>
  </w:style>
  <w:style w:type="character" w:customStyle="1" w:styleId="CommentTextChar">
    <w:name w:val="Comment Text Char"/>
    <w:basedOn w:val="DefaultParagraphFont"/>
    <w:link w:val="CommentText"/>
    <w:uiPriority w:val="99"/>
    <w:rsid w:val="00A85122"/>
    <w:rPr>
      <w:sz w:val="20"/>
      <w:szCs w:val="20"/>
      <w:lang w:val="en-GB"/>
    </w:rPr>
  </w:style>
  <w:style w:type="paragraph" w:styleId="CommentSubject">
    <w:name w:val="annotation subject"/>
    <w:basedOn w:val="CommentText"/>
    <w:next w:val="CommentText"/>
    <w:link w:val="CommentSubjectChar"/>
    <w:uiPriority w:val="99"/>
    <w:semiHidden/>
    <w:unhideWhenUsed/>
    <w:rsid w:val="00A85122"/>
    <w:rPr>
      <w:b/>
      <w:bCs/>
    </w:rPr>
  </w:style>
  <w:style w:type="character" w:customStyle="1" w:styleId="CommentSubjectChar">
    <w:name w:val="Comment Subject Char"/>
    <w:basedOn w:val="CommentTextChar"/>
    <w:link w:val="CommentSubject"/>
    <w:uiPriority w:val="99"/>
    <w:semiHidden/>
    <w:rsid w:val="00A85122"/>
    <w:rPr>
      <w:b/>
      <w:bCs/>
      <w:sz w:val="20"/>
      <w:szCs w:val="20"/>
      <w:lang w:val="en-GB"/>
    </w:rPr>
  </w:style>
  <w:style w:type="character" w:styleId="UnresolvedMention">
    <w:name w:val="Unresolved Mention"/>
    <w:basedOn w:val="DefaultParagraphFont"/>
    <w:uiPriority w:val="99"/>
    <w:semiHidden/>
    <w:unhideWhenUsed/>
    <w:rsid w:val="00D52356"/>
    <w:rPr>
      <w:color w:val="605E5C"/>
      <w:shd w:val="clear" w:color="auto" w:fill="E1DFDD"/>
    </w:rPr>
  </w:style>
  <w:style w:type="character" w:customStyle="1" w:styleId="a-size-extra-large">
    <w:name w:val="a-size-extra-large"/>
    <w:basedOn w:val="DefaultParagraphFont"/>
    <w:rsid w:val="00A500F6"/>
  </w:style>
  <w:style w:type="paragraph" w:styleId="Revision">
    <w:name w:val="Revision"/>
    <w:hidden/>
    <w:uiPriority w:val="99"/>
    <w:semiHidden/>
    <w:rsid w:val="001A70D8"/>
    <w:pPr>
      <w:spacing w:after="0" w:line="240" w:lineRule="auto"/>
    </w:pPr>
    <w:rPr>
      <w:lang w:val="en-GB"/>
    </w:rPr>
  </w:style>
  <w:style w:type="character" w:styleId="FollowedHyperlink">
    <w:name w:val="FollowedHyperlink"/>
    <w:basedOn w:val="DefaultParagraphFont"/>
    <w:uiPriority w:val="99"/>
    <w:semiHidden/>
    <w:unhideWhenUsed/>
    <w:rsid w:val="00C37924"/>
    <w:rPr>
      <w:color w:val="954F72" w:themeColor="followedHyperlink"/>
      <w:u w:val="single"/>
    </w:rPr>
  </w:style>
  <w:style w:type="character" w:customStyle="1" w:styleId="typographytext--11-3-8">
    <w:name w:val="typography__text--11-3-8"/>
    <w:basedOn w:val="DefaultParagraphFont"/>
    <w:rsid w:val="009B665E"/>
  </w:style>
  <w:style w:type="character" w:styleId="Strong">
    <w:name w:val="Strong"/>
    <w:basedOn w:val="DefaultParagraphFont"/>
    <w:uiPriority w:val="22"/>
    <w:qFormat/>
    <w:rsid w:val="009B665E"/>
    <w:rPr>
      <w:b/>
      <w:bCs/>
    </w:rPr>
  </w:style>
  <w:style w:type="paragraph" w:customStyle="1" w:styleId="Body">
    <w:name w:val="Body"/>
    <w:rsid w:val="00DD54F8"/>
    <w:pPr>
      <w:pBdr>
        <w:top w:val="nil"/>
        <w:left w:val="nil"/>
        <w:bottom w:val="nil"/>
        <w:right w:val="nil"/>
        <w:between w:val="nil"/>
        <w:bar w:val="nil"/>
      </w:pBdr>
      <w:bidi/>
      <w:spacing w:after="200" w:line="276" w:lineRule="auto"/>
    </w:pPr>
    <w:rPr>
      <w:rFonts w:ascii="Calibri" w:eastAsia="Arial Unicode MS" w:hAnsi="Calibri" w:cs="Arial Unicode MS"/>
      <w:color w:val="000000"/>
      <w:u w:color="000000"/>
      <w:bdr w:val="nil"/>
      <w:lang w:eastAsia="en-GB"/>
    </w:rPr>
  </w:style>
  <w:style w:type="character" w:customStyle="1" w:styleId="None">
    <w:name w:val="None"/>
    <w:rsid w:val="00DD54F8"/>
  </w:style>
  <w:style w:type="character" w:customStyle="1" w:styleId="Hyperlink0">
    <w:name w:val="Hyperlink.0"/>
    <w:basedOn w:val="None"/>
    <w:rsid w:val="00DD54F8"/>
    <w:rPr>
      <w:rFonts w:ascii="Tahoma" w:eastAsia="Tahoma" w:hAnsi="Tahoma" w:cs="Tahoma"/>
      <w:color w:val="000000"/>
      <w:sz w:val="24"/>
      <w:szCs w:val="24"/>
      <w:u w:color="000000"/>
      <w14:textOutline w14:w="0" w14:cap="rnd" w14:cmpd="sng" w14:algn="ctr">
        <w14:noFill/>
        <w14:prstDash w14:val="solid"/>
        <w14:bevel/>
      </w14:textOutline>
    </w:rPr>
  </w:style>
  <w:style w:type="character" w:customStyle="1" w:styleId="Heading2Char">
    <w:name w:val="Heading 2 Char"/>
    <w:basedOn w:val="DefaultParagraphFont"/>
    <w:link w:val="Heading2"/>
    <w:uiPriority w:val="9"/>
    <w:rsid w:val="00BC0BB8"/>
    <w:rPr>
      <w:rFonts w:asciiTheme="majorHAnsi" w:eastAsiaTheme="majorEastAsia" w:hAnsiTheme="majorHAnsi" w:cstheme="majorBidi"/>
      <w:color w:val="2F5496" w:themeColor="accent1" w:themeShade="BF"/>
      <w:sz w:val="26"/>
      <w:szCs w:val="26"/>
      <w:lang w:val="en-GB"/>
    </w:rPr>
  </w:style>
  <w:style w:type="character" w:customStyle="1" w:styleId="cf01">
    <w:name w:val="cf01"/>
    <w:basedOn w:val="DefaultParagraphFont"/>
    <w:rsid w:val="00AC7909"/>
    <w:rPr>
      <w:rFonts w:ascii="Segoe UI" w:hAnsi="Segoe UI" w:cs="Segoe UI" w:hint="default"/>
      <w:sz w:val="18"/>
      <w:szCs w:val="18"/>
      <w:shd w:val="clear" w:color="auto" w:fill="FFFF00"/>
    </w:rPr>
  </w:style>
  <w:style w:type="character" w:customStyle="1" w:styleId="cf11">
    <w:name w:val="cf11"/>
    <w:basedOn w:val="DefaultParagraphFont"/>
    <w:rsid w:val="00AC7909"/>
    <w:rPr>
      <w:rFonts w:ascii="Segoe UI" w:hAnsi="Segoe UI" w:cs="Segoe UI" w:hint="default"/>
      <w:sz w:val="18"/>
      <w:szCs w:val="18"/>
    </w:rPr>
  </w:style>
  <w:style w:type="character" w:customStyle="1" w:styleId="cf21">
    <w:name w:val="cf21"/>
    <w:basedOn w:val="DefaultParagraphFont"/>
    <w:rsid w:val="00AC7909"/>
    <w:rPr>
      <w:rFonts w:ascii="Segoe UI" w:hAnsi="Segoe UI" w:cs="Segoe UI" w:hint="default"/>
      <w:sz w:val="18"/>
      <w:szCs w:val="18"/>
    </w:rPr>
  </w:style>
  <w:style w:type="paragraph" w:customStyle="1" w:styleId="pf0">
    <w:name w:val="pf0"/>
    <w:basedOn w:val="Normal"/>
    <w:rsid w:val="00A67177"/>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character" w:customStyle="1" w:styleId="cf31">
    <w:name w:val="cf31"/>
    <w:basedOn w:val="DefaultParagraphFont"/>
    <w:rsid w:val="00E81944"/>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623">
      <w:bodyDiv w:val="1"/>
      <w:marLeft w:val="0"/>
      <w:marRight w:val="0"/>
      <w:marTop w:val="0"/>
      <w:marBottom w:val="0"/>
      <w:divBdr>
        <w:top w:val="none" w:sz="0" w:space="0" w:color="auto"/>
        <w:left w:val="none" w:sz="0" w:space="0" w:color="auto"/>
        <w:bottom w:val="none" w:sz="0" w:space="0" w:color="auto"/>
        <w:right w:val="none" w:sz="0" w:space="0" w:color="auto"/>
      </w:divBdr>
    </w:div>
    <w:div w:id="223414422">
      <w:bodyDiv w:val="1"/>
      <w:marLeft w:val="0"/>
      <w:marRight w:val="0"/>
      <w:marTop w:val="0"/>
      <w:marBottom w:val="0"/>
      <w:divBdr>
        <w:top w:val="none" w:sz="0" w:space="0" w:color="auto"/>
        <w:left w:val="none" w:sz="0" w:space="0" w:color="auto"/>
        <w:bottom w:val="none" w:sz="0" w:space="0" w:color="auto"/>
        <w:right w:val="none" w:sz="0" w:space="0" w:color="auto"/>
      </w:divBdr>
      <w:divsChild>
        <w:div w:id="1798647321">
          <w:marLeft w:val="288"/>
          <w:marRight w:val="0"/>
          <w:marTop w:val="180"/>
          <w:marBottom w:val="160"/>
          <w:divBdr>
            <w:top w:val="none" w:sz="0" w:space="0" w:color="auto"/>
            <w:left w:val="none" w:sz="0" w:space="0" w:color="auto"/>
            <w:bottom w:val="none" w:sz="0" w:space="0" w:color="auto"/>
            <w:right w:val="none" w:sz="0" w:space="0" w:color="auto"/>
          </w:divBdr>
        </w:div>
      </w:divsChild>
    </w:div>
    <w:div w:id="485169765">
      <w:bodyDiv w:val="1"/>
      <w:marLeft w:val="0"/>
      <w:marRight w:val="0"/>
      <w:marTop w:val="0"/>
      <w:marBottom w:val="0"/>
      <w:divBdr>
        <w:top w:val="none" w:sz="0" w:space="0" w:color="auto"/>
        <w:left w:val="none" w:sz="0" w:space="0" w:color="auto"/>
        <w:bottom w:val="none" w:sz="0" w:space="0" w:color="auto"/>
        <w:right w:val="none" w:sz="0" w:space="0" w:color="auto"/>
      </w:divBdr>
      <w:divsChild>
        <w:div w:id="509950043">
          <w:marLeft w:val="288"/>
          <w:marRight w:val="0"/>
          <w:marTop w:val="180"/>
          <w:marBottom w:val="160"/>
          <w:divBdr>
            <w:top w:val="none" w:sz="0" w:space="0" w:color="auto"/>
            <w:left w:val="none" w:sz="0" w:space="0" w:color="auto"/>
            <w:bottom w:val="none" w:sz="0" w:space="0" w:color="auto"/>
            <w:right w:val="none" w:sz="0" w:space="0" w:color="auto"/>
          </w:divBdr>
        </w:div>
      </w:divsChild>
    </w:div>
    <w:div w:id="596521328">
      <w:bodyDiv w:val="1"/>
      <w:marLeft w:val="0"/>
      <w:marRight w:val="0"/>
      <w:marTop w:val="0"/>
      <w:marBottom w:val="0"/>
      <w:divBdr>
        <w:top w:val="none" w:sz="0" w:space="0" w:color="auto"/>
        <w:left w:val="none" w:sz="0" w:space="0" w:color="auto"/>
        <w:bottom w:val="none" w:sz="0" w:space="0" w:color="auto"/>
        <w:right w:val="none" w:sz="0" w:space="0" w:color="auto"/>
      </w:divBdr>
    </w:div>
    <w:div w:id="652833235">
      <w:bodyDiv w:val="1"/>
      <w:marLeft w:val="0"/>
      <w:marRight w:val="0"/>
      <w:marTop w:val="0"/>
      <w:marBottom w:val="0"/>
      <w:divBdr>
        <w:top w:val="none" w:sz="0" w:space="0" w:color="auto"/>
        <w:left w:val="none" w:sz="0" w:space="0" w:color="auto"/>
        <w:bottom w:val="none" w:sz="0" w:space="0" w:color="auto"/>
        <w:right w:val="none" w:sz="0" w:space="0" w:color="auto"/>
      </w:divBdr>
    </w:div>
    <w:div w:id="671757896">
      <w:bodyDiv w:val="1"/>
      <w:marLeft w:val="0"/>
      <w:marRight w:val="0"/>
      <w:marTop w:val="0"/>
      <w:marBottom w:val="0"/>
      <w:divBdr>
        <w:top w:val="none" w:sz="0" w:space="0" w:color="auto"/>
        <w:left w:val="none" w:sz="0" w:space="0" w:color="auto"/>
        <w:bottom w:val="none" w:sz="0" w:space="0" w:color="auto"/>
        <w:right w:val="none" w:sz="0" w:space="0" w:color="auto"/>
      </w:divBdr>
    </w:div>
    <w:div w:id="766390535">
      <w:bodyDiv w:val="1"/>
      <w:marLeft w:val="0"/>
      <w:marRight w:val="0"/>
      <w:marTop w:val="0"/>
      <w:marBottom w:val="0"/>
      <w:divBdr>
        <w:top w:val="none" w:sz="0" w:space="0" w:color="auto"/>
        <w:left w:val="none" w:sz="0" w:space="0" w:color="auto"/>
        <w:bottom w:val="none" w:sz="0" w:space="0" w:color="auto"/>
        <w:right w:val="none" w:sz="0" w:space="0" w:color="auto"/>
      </w:divBdr>
    </w:div>
    <w:div w:id="838622686">
      <w:bodyDiv w:val="1"/>
      <w:marLeft w:val="0"/>
      <w:marRight w:val="0"/>
      <w:marTop w:val="0"/>
      <w:marBottom w:val="0"/>
      <w:divBdr>
        <w:top w:val="none" w:sz="0" w:space="0" w:color="auto"/>
        <w:left w:val="none" w:sz="0" w:space="0" w:color="auto"/>
        <w:bottom w:val="none" w:sz="0" w:space="0" w:color="auto"/>
        <w:right w:val="none" w:sz="0" w:space="0" w:color="auto"/>
      </w:divBdr>
    </w:div>
    <w:div w:id="857160499">
      <w:bodyDiv w:val="1"/>
      <w:marLeft w:val="0"/>
      <w:marRight w:val="0"/>
      <w:marTop w:val="0"/>
      <w:marBottom w:val="0"/>
      <w:divBdr>
        <w:top w:val="none" w:sz="0" w:space="0" w:color="auto"/>
        <w:left w:val="none" w:sz="0" w:space="0" w:color="auto"/>
        <w:bottom w:val="none" w:sz="0" w:space="0" w:color="auto"/>
        <w:right w:val="none" w:sz="0" w:space="0" w:color="auto"/>
      </w:divBdr>
    </w:div>
    <w:div w:id="1167598680">
      <w:bodyDiv w:val="1"/>
      <w:marLeft w:val="0"/>
      <w:marRight w:val="0"/>
      <w:marTop w:val="0"/>
      <w:marBottom w:val="0"/>
      <w:divBdr>
        <w:top w:val="none" w:sz="0" w:space="0" w:color="auto"/>
        <w:left w:val="none" w:sz="0" w:space="0" w:color="auto"/>
        <w:bottom w:val="none" w:sz="0" w:space="0" w:color="auto"/>
        <w:right w:val="none" w:sz="0" w:space="0" w:color="auto"/>
      </w:divBdr>
      <w:divsChild>
        <w:div w:id="259140823">
          <w:marLeft w:val="288"/>
          <w:marRight w:val="0"/>
          <w:marTop w:val="180"/>
          <w:marBottom w:val="160"/>
          <w:divBdr>
            <w:top w:val="none" w:sz="0" w:space="0" w:color="auto"/>
            <w:left w:val="none" w:sz="0" w:space="0" w:color="auto"/>
            <w:bottom w:val="none" w:sz="0" w:space="0" w:color="auto"/>
            <w:right w:val="none" w:sz="0" w:space="0" w:color="auto"/>
          </w:divBdr>
        </w:div>
      </w:divsChild>
    </w:div>
    <w:div w:id="1204444695">
      <w:bodyDiv w:val="1"/>
      <w:marLeft w:val="0"/>
      <w:marRight w:val="0"/>
      <w:marTop w:val="0"/>
      <w:marBottom w:val="0"/>
      <w:divBdr>
        <w:top w:val="none" w:sz="0" w:space="0" w:color="auto"/>
        <w:left w:val="none" w:sz="0" w:space="0" w:color="auto"/>
        <w:bottom w:val="none" w:sz="0" w:space="0" w:color="auto"/>
        <w:right w:val="none" w:sz="0" w:space="0" w:color="auto"/>
      </w:divBdr>
      <w:divsChild>
        <w:div w:id="719207970">
          <w:marLeft w:val="288"/>
          <w:marRight w:val="0"/>
          <w:marTop w:val="180"/>
          <w:marBottom w:val="160"/>
          <w:divBdr>
            <w:top w:val="none" w:sz="0" w:space="0" w:color="auto"/>
            <w:left w:val="none" w:sz="0" w:space="0" w:color="auto"/>
            <w:bottom w:val="none" w:sz="0" w:space="0" w:color="auto"/>
            <w:right w:val="none" w:sz="0" w:space="0" w:color="auto"/>
          </w:divBdr>
        </w:div>
      </w:divsChild>
    </w:div>
    <w:div w:id="1407992463">
      <w:bodyDiv w:val="1"/>
      <w:marLeft w:val="0"/>
      <w:marRight w:val="0"/>
      <w:marTop w:val="0"/>
      <w:marBottom w:val="0"/>
      <w:divBdr>
        <w:top w:val="none" w:sz="0" w:space="0" w:color="auto"/>
        <w:left w:val="none" w:sz="0" w:space="0" w:color="auto"/>
        <w:bottom w:val="none" w:sz="0" w:space="0" w:color="auto"/>
        <w:right w:val="none" w:sz="0" w:space="0" w:color="auto"/>
      </w:divBdr>
      <w:divsChild>
        <w:div w:id="1030490158">
          <w:marLeft w:val="288"/>
          <w:marRight w:val="0"/>
          <w:marTop w:val="180"/>
          <w:marBottom w:val="160"/>
          <w:divBdr>
            <w:top w:val="none" w:sz="0" w:space="0" w:color="auto"/>
            <w:left w:val="none" w:sz="0" w:space="0" w:color="auto"/>
            <w:bottom w:val="none" w:sz="0" w:space="0" w:color="auto"/>
            <w:right w:val="none" w:sz="0" w:space="0" w:color="auto"/>
          </w:divBdr>
        </w:div>
      </w:divsChild>
    </w:div>
    <w:div w:id="1446121655">
      <w:bodyDiv w:val="1"/>
      <w:marLeft w:val="0"/>
      <w:marRight w:val="0"/>
      <w:marTop w:val="0"/>
      <w:marBottom w:val="0"/>
      <w:divBdr>
        <w:top w:val="none" w:sz="0" w:space="0" w:color="auto"/>
        <w:left w:val="none" w:sz="0" w:space="0" w:color="auto"/>
        <w:bottom w:val="none" w:sz="0" w:space="0" w:color="auto"/>
        <w:right w:val="none" w:sz="0" w:space="0" w:color="auto"/>
      </w:divBdr>
    </w:div>
    <w:div w:id="1500804869">
      <w:bodyDiv w:val="1"/>
      <w:marLeft w:val="0"/>
      <w:marRight w:val="0"/>
      <w:marTop w:val="0"/>
      <w:marBottom w:val="0"/>
      <w:divBdr>
        <w:top w:val="none" w:sz="0" w:space="0" w:color="auto"/>
        <w:left w:val="none" w:sz="0" w:space="0" w:color="auto"/>
        <w:bottom w:val="none" w:sz="0" w:space="0" w:color="auto"/>
        <w:right w:val="none" w:sz="0" w:space="0" w:color="auto"/>
      </w:divBdr>
    </w:div>
    <w:div w:id="1525246497">
      <w:bodyDiv w:val="1"/>
      <w:marLeft w:val="0"/>
      <w:marRight w:val="0"/>
      <w:marTop w:val="0"/>
      <w:marBottom w:val="0"/>
      <w:divBdr>
        <w:top w:val="none" w:sz="0" w:space="0" w:color="auto"/>
        <w:left w:val="none" w:sz="0" w:space="0" w:color="auto"/>
        <w:bottom w:val="none" w:sz="0" w:space="0" w:color="auto"/>
        <w:right w:val="none" w:sz="0" w:space="0" w:color="auto"/>
      </w:divBdr>
      <w:divsChild>
        <w:div w:id="614094429">
          <w:marLeft w:val="0"/>
          <w:marRight w:val="0"/>
          <w:marTop w:val="0"/>
          <w:marBottom w:val="0"/>
          <w:divBdr>
            <w:top w:val="none" w:sz="0" w:space="0" w:color="auto"/>
            <w:left w:val="none" w:sz="0" w:space="0" w:color="auto"/>
            <w:bottom w:val="none" w:sz="0" w:space="0" w:color="auto"/>
            <w:right w:val="none" w:sz="0" w:space="0" w:color="auto"/>
          </w:divBdr>
          <w:divsChild>
            <w:div w:id="197204554">
              <w:marLeft w:val="0"/>
              <w:marRight w:val="0"/>
              <w:marTop w:val="0"/>
              <w:marBottom w:val="150"/>
              <w:divBdr>
                <w:top w:val="none" w:sz="0" w:space="0" w:color="auto"/>
                <w:left w:val="none" w:sz="0" w:space="0" w:color="auto"/>
                <w:bottom w:val="none" w:sz="0" w:space="0" w:color="auto"/>
                <w:right w:val="none" w:sz="0" w:space="0" w:color="auto"/>
              </w:divBdr>
            </w:div>
          </w:divsChild>
        </w:div>
        <w:div w:id="1376923955">
          <w:marLeft w:val="0"/>
          <w:marRight w:val="0"/>
          <w:marTop w:val="0"/>
          <w:marBottom w:val="0"/>
          <w:divBdr>
            <w:top w:val="none" w:sz="0" w:space="0" w:color="auto"/>
            <w:left w:val="none" w:sz="0" w:space="0" w:color="auto"/>
            <w:bottom w:val="none" w:sz="0" w:space="0" w:color="auto"/>
            <w:right w:val="none" w:sz="0" w:space="0" w:color="auto"/>
          </w:divBdr>
          <w:divsChild>
            <w:div w:id="1456482225">
              <w:marLeft w:val="0"/>
              <w:marRight w:val="0"/>
              <w:marTop w:val="0"/>
              <w:marBottom w:val="0"/>
              <w:divBdr>
                <w:top w:val="none" w:sz="0" w:space="0" w:color="auto"/>
                <w:left w:val="none" w:sz="0" w:space="0" w:color="auto"/>
                <w:bottom w:val="none" w:sz="0" w:space="0" w:color="auto"/>
                <w:right w:val="none" w:sz="0" w:space="0" w:color="auto"/>
              </w:divBdr>
              <w:divsChild>
                <w:div w:id="5708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3664">
      <w:bodyDiv w:val="1"/>
      <w:marLeft w:val="0"/>
      <w:marRight w:val="0"/>
      <w:marTop w:val="0"/>
      <w:marBottom w:val="0"/>
      <w:divBdr>
        <w:top w:val="none" w:sz="0" w:space="0" w:color="auto"/>
        <w:left w:val="none" w:sz="0" w:space="0" w:color="auto"/>
        <w:bottom w:val="none" w:sz="0" w:space="0" w:color="auto"/>
        <w:right w:val="none" w:sz="0" w:space="0" w:color="auto"/>
      </w:divBdr>
    </w:div>
    <w:div w:id="2016228429">
      <w:bodyDiv w:val="1"/>
      <w:marLeft w:val="0"/>
      <w:marRight w:val="0"/>
      <w:marTop w:val="0"/>
      <w:marBottom w:val="0"/>
      <w:divBdr>
        <w:top w:val="none" w:sz="0" w:space="0" w:color="auto"/>
        <w:left w:val="none" w:sz="0" w:space="0" w:color="auto"/>
        <w:bottom w:val="none" w:sz="0" w:space="0" w:color="auto"/>
        <w:right w:val="none" w:sz="0" w:space="0" w:color="auto"/>
      </w:divBdr>
    </w:div>
    <w:div w:id="211886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okdale.jdc.org.il/en/team/anna-resnikovs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rookdale.jdc.org.il/en/team/yael-sab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0FDB9-F8DD-4074-9CA5-FAE8074B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5820</Words>
  <Characters>33176</Characters>
  <Application>Microsoft Office Word</Application>
  <DocSecurity>0</DocSecurity>
  <Lines>276</Lines>
  <Paragraphs>77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Orly Benjamin</dc:creator>
  <cp:keywords/>
  <dc:description/>
  <cp:lastModifiedBy>Orly Benjamin</cp:lastModifiedBy>
  <cp:revision>5</cp:revision>
  <cp:lastPrinted>2022-04-19T19:13:00Z</cp:lastPrinted>
  <dcterms:created xsi:type="dcterms:W3CDTF">2023-09-23T06:41:00Z</dcterms:created>
  <dcterms:modified xsi:type="dcterms:W3CDTF">2023-09-23T06:57:00Z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cb4673b12312e15aa95263c8ae19c9c34a086a51d243a1fe6c5c0ceaa156e42b</vt:lpwstr>
  </property>
</Properties>
</file>