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13878" w14:textId="77777777" w:rsidR="00936CA9" w:rsidRPr="00936CA9" w:rsidRDefault="00936CA9" w:rsidP="00936CA9">
      <w:pPr>
        <w:shd w:val="clear" w:color="auto" w:fill="FFFFFF"/>
        <w:spacing w:after="0" w:line="750" w:lineRule="atLeast"/>
        <w:rPr>
          <w:rFonts w:ascii="Merriweather" w:eastAsia="Times New Roman" w:hAnsi="Merriweather" w:cs="Times New Roman"/>
          <w:color w:val="333333"/>
          <w:sz w:val="60"/>
          <w:szCs w:val="60"/>
          <w:lang w:val="en-GB" w:eastAsia="en-GB" w:bidi="he-IL"/>
        </w:rPr>
      </w:pPr>
      <w:r w:rsidRPr="00936CA9">
        <w:rPr>
          <w:rFonts w:ascii="Merriweather" w:eastAsia="Times New Roman" w:hAnsi="Merriweather" w:cs="Times New Roman"/>
          <w:color w:val="333333"/>
          <w:sz w:val="60"/>
          <w:szCs w:val="60"/>
          <w:lang w:val="en-GB" w:eastAsia="en-GB" w:bidi="he-IL"/>
        </w:rPr>
        <w:t>Prof.</w:t>
      </w:r>
      <w:r>
        <w:rPr>
          <w:rFonts w:ascii="Merriweather" w:eastAsia="Times New Roman" w:hAnsi="Merriweather" w:cs="Times New Roman"/>
          <w:color w:val="333333"/>
          <w:sz w:val="60"/>
          <w:szCs w:val="60"/>
          <w:lang w:val="en-GB" w:eastAsia="en-GB" w:bidi="he-IL"/>
        </w:rPr>
        <w:t xml:space="preserve"> </w:t>
      </w:r>
      <w:r w:rsidRPr="00936CA9">
        <w:rPr>
          <w:rFonts w:ascii="Merriweather" w:eastAsia="Times New Roman" w:hAnsi="Merriweather" w:cs="Times New Roman"/>
          <w:color w:val="333333"/>
          <w:sz w:val="60"/>
          <w:szCs w:val="60"/>
          <w:lang w:val="en-GB" w:eastAsia="en-GB" w:bidi="he-IL"/>
        </w:rPr>
        <w:t>Jeremy M. Hutton</w:t>
      </w:r>
    </w:p>
    <w:p w14:paraId="4FC04184" w14:textId="77777777" w:rsidR="00936CA9" w:rsidRPr="00936CA9" w:rsidRDefault="00936CA9" w:rsidP="00936CA9">
      <w:pPr>
        <w:shd w:val="clear" w:color="auto" w:fill="FFFFFF"/>
        <w:spacing w:line="465" w:lineRule="atLeast"/>
        <w:rPr>
          <w:rFonts w:ascii="Merriweather" w:eastAsia="Times New Roman" w:hAnsi="Merriweather" w:cs="Times New Roman"/>
          <w:color w:val="777777"/>
          <w:sz w:val="30"/>
          <w:szCs w:val="30"/>
          <w:lang w:val="en-GB" w:eastAsia="en-GB" w:bidi="he-IL"/>
        </w:rPr>
      </w:pPr>
      <w:r w:rsidRPr="00936CA9">
        <w:rPr>
          <w:rFonts w:ascii="Merriweather" w:eastAsia="Times New Roman" w:hAnsi="Merriweather" w:cs="Times New Roman"/>
          <w:color w:val="777777"/>
          <w:sz w:val="30"/>
          <w:szCs w:val="30"/>
          <w:lang w:val="en-GB" w:eastAsia="en-GB" w:bidi="he-IL"/>
        </w:rPr>
        <w:t>University of Wisconsin–Madison</w:t>
      </w:r>
    </w:p>
    <w:p w14:paraId="1D9E4158" w14:textId="77777777" w:rsidR="00936CA9" w:rsidRPr="00936CA9" w:rsidRDefault="00936CA9" w:rsidP="00936CA9">
      <w:pPr>
        <w:shd w:val="clear" w:color="auto" w:fill="FFFFFF"/>
        <w:spacing w:after="150" w:line="465" w:lineRule="atLeast"/>
        <w:rPr>
          <w:rFonts w:ascii="Merriweather" w:eastAsia="Times New Roman" w:hAnsi="Merriweather" w:cs="Times New Roman"/>
          <w:color w:val="333333"/>
          <w:sz w:val="26"/>
          <w:szCs w:val="26"/>
          <w:lang w:val="en-GB" w:eastAsia="en-GB" w:bidi="he-IL"/>
        </w:rPr>
      </w:pPr>
      <w:r w:rsidRPr="00936CA9">
        <w:rPr>
          <w:rFonts w:ascii="Merriweather" w:eastAsia="Times New Roman" w:hAnsi="Merriweather" w:cs="Times New Roman"/>
          <w:color w:val="333333"/>
          <w:sz w:val="26"/>
          <w:szCs w:val="26"/>
          <w:lang w:val="en-GB" w:eastAsia="en-GB" w:bidi="he-IL"/>
        </w:rPr>
        <w:t>Prof. Jeremy Hutton is Professor of Classical Hebrew Language and Biblical Literature in the University of Wisconsin–Madison’s Department of Classical and Ancient Near Eastern Studies. He holds a B.A. in Philosophy and Theology from the University of Notre Dame, and an A.M. and Ph.D. in Hebrew Bible and Semitic Philology from Harvard University. He is the author of </w:t>
      </w:r>
      <w:r w:rsidRPr="00936CA9">
        <w:rPr>
          <w:rFonts w:ascii="Merriweather" w:eastAsia="Times New Roman" w:hAnsi="Merriweather" w:cs="Times New Roman"/>
          <w:i/>
          <w:iCs/>
          <w:color w:val="333333"/>
          <w:sz w:val="26"/>
          <w:szCs w:val="26"/>
          <w:lang w:val="en-GB" w:eastAsia="en-GB" w:bidi="he-IL"/>
        </w:rPr>
        <w:t>The Transjordanian Palimpsest: The Overwritten Texts of Personal Exile and Transformation in the Deuteronomistic History</w:t>
      </w:r>
      <w:r w:rsidRPr="00936CA9">
        <w:rPr>
          <w:rFonts w:ascii="Merriweather" w:eastAsia="Times New Roman" w:hAnsi="Merriweather" w:cs="Times New Roman"/>
          <w:color w:val="333333"/>
          <w:sz w:val="26"/>
          <w:szCs w:val="26"/>
          <w:lang w:val="en-GB" w:eastAsia="en-GB" w:bidi="he-IL"/>
        </w:rPr>
        <w:t> (2009) and co-author (with C. L. Crouch) of </w:t>
      </w:r>
      <w:r w:rsidRPr="00936CA9">
        <w:rPr>
          <w:rFonts w:ascii="Merriweather" w:eastAsia="Times New Roman" w:hAnsi="Merriweather" w:cs="Times New Roman"/>
          <w:i/>
          <w:iCs/>
          <w:color w:val="333333"/>
          <w:sz w:val="26"/>
          <w:szCs w:val="26"/>
          <w:lang w:val="en-GB" w:eastAsia="en-GB" w:bidi="he-IL"/>
        </w:rPr>
        <w:t xml:space="preserve">Translating Empire: Tell </w:t>
      </w:r>
      <w:proofErr w:type="spellStart"/>
      <w:r w:rsidRPr="00936CA9">
        <w:rPr>
          <w:rFonts w:ascii="Merriweather" w:eastAsia="Times New Roman" w:hAnsi="Merriweather" w:cs="Times New Roman"/>
          <w:i/>
          <w:iCs/>
          <w:color w:val="333333"/>
          <w:sz w:val="26"/>
          <w:szCs w:val="26"/>
          <w:lang w:val="en-GB" w:eastAsia="en-GB" w:bidi="he-IL"/>
        </w:rPr>
        <w:t>Fekheriyeh</w:t>
      </w:r>
      <w:proofErr w:type="spellEnd"/>
      <w:r w:rsidRPr="00936CA9">
        <w:rPr>
          <w:rFonts w:ascii="Merriweather" w:eastAsia="Times New Roman" w:hAnsi="Merriweather" w:cs="Times New Roman"/>
          <w:i/>
          <w:iCs/>
          <w:color w:val="333333"/>
          <w:sz w:val="26"/>
          <w:szCs w:val="26"/>
          <w:lang w:val="en-GB" w:eastAsia="en-GB" w:bidi="he-IL"/>
        </w:rPr>
        <w:t>, Deuteronomy, and the Akkadian Treaty Tradition</w:t>
      </w:r>
      <w:r w:rsidRPr="00936CA9">
        <w:rPr>
          <w:rFonts w:ascii="Merriweather" w:eastAsia="Times New Roman" w:hAnsi="Merriweather" w:cs="Times New Roman"/>
          <w:color w:val="333333"/>
          <w:sz w:val="26"/>
          <w:szCs w:val="26"/>
          <w:lang w:val="en-GB" w:eastAsia="en-GB" w:bidi="he-IL"/>
        </w:rPr>
        <w:t> (2019), as well as the author or co-author of dozens of articles. He is currently working on projects in several sub-fields of Hebrew Bible and Northwest Semitics, including the composition and reception history of the book of Samuel; translation in antiquity; Palmyrene Aramaic epigraphy; the roles of priests and Levites in Iron Age Israel; and cognitive linguistic approaches to Hebrew semantics.</w:t>
      </w:r>
    </w:p>
    <w:p w14:paraId="5B3D7F05" w14:textId="77777777" w:rsidR="00F16574" w:rsidRDefault="00F16574" w:rsidP="00F16574">
      <w:pPr>
        <w:pBdr>
          <w:bottom w:val="single" w:sz="6" w:space="1" w:color="auto"/>
        </w:pBdr>
        <w:spacing w:after="0" w:line="240" w:lineRule="auto"/>
        <w:rPr>
          <w:rFonts w:ascii="Arial" w:eastAsia="Times New Roman" w:hAnsi="Arial"/>
          <w:sz w:val="16"/>
          <w:szCs w:val="16"/>
          <w:lang w:bidi="he-IL"/>
        </w:rPr>
      </w:pPr>
      <w:r w:rsidRPr="00F16574">
        <w:rPr>
          <w:rFonts w:ascii="Arial" w:eastAsia="Times New Roman" w:hAnsi="Arial"/>
          <w:vanish/>
          <w:sz w:val="16"/>
          <w:szCs w:val="16"/>
          <w:lang w:bidi="he-IL"/>
        </w:rPr>
        <w:t>Top of Form</w:t>
      </w:r>
    </w:p>
    <w:p w14:paraId="613EC98B" w14:textId="77777777" w:rsidR="00936CA9" w:rsidRDefault="00936CA9" w:rsidP="00F16574">
      <w:pPr>
        <w:pBdr>
          <w:bottom w:val="single" w:sz="6" w:space="1" w:color="auto"/>
        </w:pBdr>
        <w:spacing w:after="0" w:line="240" w:lineRule="auto"/>
        <w:rPr>
          <w:rFonts w:ascii="Arial" w:eastAsia="Times New Roman" w:hAnsi="Arial"/>
          <w:sz w:val="16"/>
          <w:szCs w:val="16"/>
          <w:lang w:bidi="he-IL"/>
        </w:rPr>
      </w:pPr>
    </w:p>
    <w:p w14:paraId="40C6B476" w14:textId="77777777" w:rsidR="00936CA9" w:rsidRDefault="00936CA9" w:rsidP="00F16574">
      <w:pPr>
        <w:pBdr>
          <w:bottom w:val="single" w:sz="6" w:space="1" w:color="auto"/>
        </w:pBdr>
        <w:spacing w:after="0" w:line="240" w:lineRule="auto"/>
        <w:rPr>
          <w:rFonts w:ascii="Arial" w:eastAsia="Times New Roman" w:hAnsi="Arial"/>
          <w:sz w:val="16"/>
          <w:szCs w:val="16"/>
          <w:lang w:bidi="he-IL"/>
        </w:rPr>
      </w:pPr>
    </w:p>
    <w:p w14:paraId="2205D9FA" w14:textId="77777777" w:rsidR="00936CA9" w:rsidRDefault="00936CA9" w:rsidP="00F16574">
      <w:pPr>
        <w:pBdr>
          <w:bottom w:val="single" w:sz="6" w:space="1" w:color="auto"/>
        </w:pBdr>
        <w:spacing w:after="0" w:line="240" w:lineRule="auto"/>
        <w:rPr>
          <w:rFonts w:ascii="Arial" w:eastAsia="Times New Roman" w:hAnsi="Arial"/>
          <w:sz w:val="16"/>
          <w:szCs w:val="16"/>
          <w:lang w:bidi="he-IL"/>
        </w:rPr>
      </w:pPr>
    </w:p>
    <w:p w14:paraId="55880DC2" w14:textId="77777777" w:rsidR="00936CA9" w:rsidRDefault="00936CA9" w:rsidP="00F16574">
      <w:pPr>
        <w:pBdr>
          <w:bottom w:val="single" w:sz="6" w:space="1" w:color="auto"/>
        </w:pBdr>
        <w:spacing w:after="0" w:line="240" w:lineRule="auto"/>
        <w:rPr>
          <w:rFonts w:ascii="Arial" w:eastAsia="Times New Roman" w:hAnsi="Arial"/>
          <w:sz w:val="16"/>
          <w:szCs w:val="16"/>
          <w:lang w:bidi="he-IL"/>
        </w:rPr>
      </w:pPr>
    </w:p>
    <w:p w14:paraId="5F849F52" w14:textId="77777777" w:rsidR="00936CA9" w:rsidRPr="00F16574" w:rsidRDefault="00936CA9" w:rsidP="00F16574">
      <w:pPr>
        <w:pBdr>
          <w:bottom w:val="single" w:sz="6" w:space="1" w:color="auto"/>
        </w:pBdr>
        <w:spacing w:after="0" w:line="240" w:lineRule="auto"/>
        <w:rPr>
          <w:rFonts w:ascii="Arial" w:eastAsia="Times New Roman" w:hAnsi="Arial"/>
          <w:vanish/>
          <w:sz w:val="16"/>
          <w:szCs w:val="16"/>
          <w:lang w:bidi="he-IL"/>
        </w:rPr>
      </w:pPr>
    </w:p>
    <w:p w14:paraId="7DE0F071" w14:textId="77777777" w:rsidR="00F16574" w:rsidRPr="00F16574" w:rsidRDefault="00F16574" w:rsidP="00F16574">
      <w:pPr>
        <w:pBdr>
          <w:top w:val="single" w:sz="6" w:space="1" w:color="auto"/>
        </w:pBdr>
        <w:spacing w:after="0" w:line="240" w:lineRule="auto"/>
        <w:jc w:val="center"/>
        <w:rPr>
          <w:rFonts w:ascii="Arial" w:eastAsia="Times New Roman" w:hAnsi="Arial"/>
          <w:vanish/>
          <w:sz w:val="16"/>
          <w:szCs w:val="16"/>
          <w:lang w:bidi="he-IL"/>
        </w:rPr>
      </w:pPr>
      <w:r w:rsidRPr="00F16574">
        <w:rPr>
          <w:rFonts w:ascii="Arial" w:eastAsia="Times New Roman" w:hAnsi="Arial"/>
          <w:vanish/>
          <w:sz w:val="16"/>
          <w:szCs w:val="16"/>
          <w:lang w:bidi="he-IL"/>
        </w:rPr>
        <w:t>Bottom of Form</w:t>
      </w:r>
    </w:p>
    <w:p w14:paraId="39750F38" w14:textId="77777777" w:rsidR="00F16574" w:rsidRPr="00F16574" w:rsidRDefault="00F16574" w:rsidP="00F16574">
      <w:pPr>
        <w:spacing w:after="450" w:line="1050" w:lineRule="atLeast"/>
        <w:jc w:val="center"/>
        <w:outlineLvl w:val="0"/>
        <w:rPr>
          <w:rFonts w:ascii="Times New Roman" w:eastAsia="Times New Roman" w:hAnsi="Times New Roman" w:cs="Times New Roman"/>
          <w:color w:val="333333"/>
          <w:kern w:val="36"/>
          <w:sz w:val="60"/>
          <w:szCs w:val="60"/>
          <w:lang w:bidi="he-IL"/>
        </w:rPr>
      </w:pPr>
      <w:r w:rsidRPr="00F16574">
        <w:rPr>
          <w:rFonts w:ascii="Times New Roman" w:eastAsia="Times New Roman" w:hAnsi="Times New Roman" w:cs="Times New Roman"/>
          <w:color w:val="333333"/>
          <w:kern w:val="36"/>
          <w:sz w:val="60"/>
          <w:szCs w:val="60"/>
          <w:lang w:bidi="he-IL"/>
        </w:rPr>
        <w:t>Why Is David and Goliath’s Story 40% Longer in the MT Than in the LXX?</w:t>
      </w:r>
    </w:p>
    <w:p w14:paraId="5AD5AE09" w14:textId="77777777" w:rsidR="00F16574" w:rsidRPr="00F16574" w:rsidRDefault="00F16574" w:rsidP="00F16574">
      <w:pPr>
        <w:spacing w:after="150" w:line="555" w:lineRule="atLeast"/>
        <w:rPr>
          <w:rFonts w:ascii="Times New Roman" w:eastAsia="Times New Roman" w:hAnsi="Times New Roman" w:cs="Times New Roman"/>
          <w:color w:val="333333"/>
          <w:sz w:val="30"/>
          <w:szCs w:val="30"/>
          <w:lang w:bidi="he-IL"/>
        </w:rPr>
      </w:pPr>
      <w:r w:rsidRPr="00F16574">
        <w:rPr>
          <w:rFonts w:ascii="Times New Roman" w:eastAsia="Times New Roman" w:hAnsi="Times New Roman" w:cs="Times New Roman"/>
          <w:color w:val="333333"/>
          <w:sz w:val="30"/>
          <w:szCs w:val="30"/>
          <w:lang w:bidi="he-IL"/>
        </w:rPr>
        <w:lastRenderedPageBreak/>
        <w:t>The version of the story of David’s triumph over Goliath (1 Samuel 17–18) in the Septuagint (LXX) is missing many details present in the Masoretic Text (MT). The explanations provided by the Addition and Omission Hypotheses do not fully account for the differences. Taking into account how ancient scrolls were written and repaired offers a new approach.</w:t>
      </w:r>
    </w:p>
    <w:p w14:paraId="52826F2D" w14:textId="77777777" w:rsidR="00F16574" w:rsidRPr="00F16574" w:rsidRDefault="00F16574" w:rsidP="00F16574">
      <w:pPr>
        <w:spacing w:after="0" w:line="240" w:lineRule="auto"/>
        <w:rPr>
          <w:rFonts w:ascii="Times New Roman" w:eastAsia="Times New Roman" w:hAnsi="Times New Roman" w:cs="Times New Roman"/>
          <w:color w:val="2E2E2E"/>
          <w:sz w:val="23"/>
          <w:szCs w:val="23"/>
          <w:lang w:bidi="he-IL"/>
        </w:rPr>
      </w:pPr>
      <w:r w:rsidRPr="00F16574">
        <w:rPr>
          <w:rFonts w:ascii="Times New Roman" w:eastAsia="Times New Roman" w:hAnsi="Times New Roman" w:cs="Times New Roman"/>
          <w:color w:val="333333"/>
          <w:sz w:val="23"/>
          <w:szCs w:val="23"/>
          <w:lang w:bidi="he-IL"/>
        </w:rPr>
        <w:fldChar w:fldCharType="begin"/>
      </w:r>
      <w:r w:rsidRPr="00F16574">
        <w:rPr>
          <w:rFonts w:ascii="Times New Roman" w:eastAsia="Times New Roman" w:hAnsi="Times New Roman" w:cs="Times New Roman"/>
          <w:color w:val="333333"/>
          <w:sz w:val="23"/>
          <w:szCs w:val="23"/>
          <w:lang w:bidi="he-IL"/>
        </w:rPr>
        <w:instrText xml:space="preserve"> HYPERLINK "https://www.thetorah.com/author/jeremy-m-hutton" </w:instrText>
      </w:r>
      <w:r w:rsidRPr="00F16574">
        <w:rPr>
          <w:rFonts w:ascii="Times New Roman" w:eastAsia="Times New Roman" w:hAnsi="Times New Roman" w:cs="Times New Roman"/>
          <w:color w:val="333333"/>
          <w:sz w:val="23"/>
          <w:szCs w:val="23"/>
          <w:lang w:bidi="he-IL"/>
        </w:rPr>
      </w:r>
      <w:r w:rsidRPr="00F16574">
        <w:rPr>
          <w:rFonts w:ascii="Times New Roman" w:eastAsia="Times New Roman" w:hAnsi="Times New Roman" w:cs="Times New Roman"/>
          <w:color w:val="333333"/>
          <w:sz w:val="23"/>
          <w:szCs w:val="23"/>
          <w:lang w:bidi="he-IL"/>
        </w:rPr>
        <w:fldChar w:fldCharType="separate"/>
      </w:r>
    </w:p>
    <w:p w14:paraId="70EFFE5E" w14:textId="77777777" w:rsidR="00F16574" w:rsidRPr="00936CA9" w:rsidRDefault="00F16574" w:rsidP="00936CA9">
      <w:pPr>
        <w:spacing w:after="0" w:line="540" w:lineRule="atLeast"/>
        <w:ind w:right="240"/>
        <w:rPr>
          <w:rFonts w:ascii="Times New Roman" w:eastAsia="Times New Roman" w:hAnsi="Times New Roman" w:cs="Times New Roman"/>
          <w:sz w:val="30"/>
          <w:szCs w:val="30"/>
          <w:lang w:bidi="he-IL"/>
        </w:rPr>
      </w:pPr>
      <w:r w:rsidRPr="00F16574">
        <w:rPr>
          <w:rFonts w:ascii="Times New Roman" w:eastAsia="Times New Roman" w:hAnsi="Times New Roman" w:cs="Times New Roman"/>
          <w:color w:val="2E2E2E"/>
          <w:sz w:val="30"/>
          <w:szCs w:val="30"/>
          <w:lang w:bidi="he-IL"/>
        </w:rPr>
        <w:t>Prof.</w:t>
      </w:r>
      <w:r w:rsidR="00936CA9">
        <w:rPr>
          <w:rFonts w:ascii="Times New Roman" w:eastAsia="Times New Roman" w:hAnsi="Times New Roman" w:cs="Times New Roman"/>
          <w:sz w:val="30"/>
          <w:szCs w:val="30"/>
          <w:lang w:bidi="he-IL"/>
        </w:rPr>
        <w:t xml:space="preserve"> </w:t>
      </w:r>
      <w:r w:rsidRPr="00F16574">
        <w:rPr>
          <w:rFonts w:ascii="Times New Roman" w:eastAsia="Times New Roman" w:hAnsi="Times New Roman" w:cs="Times New Roman"/>
          <w:color w:val="2E2E2E"/>
          <w:sz w:val="30"/>
          <w:szCs w:val="30"/>
          <w:lang w:bidi="he-IL"/>
        </w:rPr>
        <w:t>Jeremy M. Hutton</w:t>
      </w:r>
    </w:p>
    <w:p w14:paraId="41FE4101" w14:textId="77777777" w:rsidR="00F16574" w:rsidRPr="00F16574" w:rsidRDefault="00F16574" w:rsidP="00F16574">
      <w:pPr>
        <w:spacing w:after="0" w:line="240" w:lineRule="auto"/>
        <w:rPr>
          <w:rFonts w:ascii="Times New Roman" w:eastAsia="Times New Roman" w:hAnsi="Times New Roman" w:cs="Times New Roman"/>
          <w:color w:val="333333"/>
          <w:sz w:val="23"/>
          <w:szCs w:val="23"/>
          <w:lang w:bidi="he-IL"/>
        </w:rPr>
      </w:pPr>
      <w:r w:rsidRPr="00F16574">
        <w:rPr>
          <w:rFonts w:ascii="Times New Roman" w:eastAsia="Times New Roman" w:hAnsi="Times New Roman" w:cs="Times New Roman"/>
          <w:color w:val="333333"/>
          <w:sz w:val="23"/>
          <w:szCs w:val="23"/>
          <w:lang w:bidi="he-IL"/>
        </w:rPr>
        <w:fldChar w:fldCharType="end"/>
      </w:r>
    </w:p>
    <w:p w14:paraId="521089B8" w14:textId="77777777" w:rsidR="00F16574" w:rsidRPr="00F16574" w:rsidRDefault="00000000" w:rsidP="00F16574">
      <w:pPr>
        <w:spacing w:after="0" w:line="240" w:lineRule="auto"/>
        <w:jc w:val="center"/>
        <w:rPr>
          <w:rFonts w:ascii="Times New Roman" w:eastAsia="Times New Roman" w:hAnsi="Times New Roman" w:cs="Times New Roman"/>
          <w:color w:val="333333"/>
          <w:sz w:val="21"/>
          <w:szCs w:val="21"/>
          <w:lang w:bidi="he-IL"/>
        </w:rPr>
      </w:pPr>
      <w:hyperlink r:id="rId5" w:history="1">
        <w:r w:rsidR="00F16574" w:rsidRPr="00F16574">
          <w:rPr>
            <w:rFonts w:ascii="Times New Roman" w:eastAsia="Times New Roman" w:hAnsi="Times New Roman" w:cs="Times New Roman"/>
            <w:color w:val="2E2E2E"/>
            <w:sz w:val="21"/>
            <w:szCs w:val="21"/>
            <w:u w:val="single"/>
            <w:lang w:bidi="he-IL"/>
          </w:rPr>
          <w:t>Biblical Criticism</w:t>
        </w:r>
      </w:hyperlink>
    </w:p>
    <w:p w14:paraId="5F804730" w14:textId="77777777" w:rsidR="00F16574" w:rsidRPr="00F16574" w:rsidRDefault="00F16574" w:rsidP="00F16574">
      <w:pPr>
        <w:spacing w:after="0" w:line="240" w:lineRule="auto"/>
        <w:rPr>
          <w:rFonts w:ascii="Times New Roman" w:eastAsia="Times New Roman" w:hAnsi="Times New Roman" w:cs="Times New Roman"/>
          <w:color w:val="333333"/>
          <w:sz w:val="23"/>
          <w:szCs w:val="23"/>
          <w:lang w:bidi="he-IL"/>
        </w:rPr>
      </w:pPr>
    </w:p>
    <w:p w14:paraId="5737D321" w14:textId="77777777" w:rsidR="00F16574" w:rsidRPr="00F16574" w:rsidRDefault="00F16574" w:rsidP="00F16574">
      <w:pPr>
        <w:spacing w:after="150" w:line="420" w:lineRule="atLeast"/>
        <w:jc w:val="center"/>
        <w:rPr>
          <w:rFonts w:ascii="Times New Roman" w:eastAsia="Times New Roman" w:hAnsi="Times New Roman" w:cs="Times New Roman"/>
          <w:color w:val="333333"/>
          <w:sz w:val="20"/>
          <w:szCs w:val="20"/>
          <w:lang w:bidi="he-IL"/>
        </w:rPr>
      </w:pPr>
      <w:r w:rsidRPr="00F16574">
        <w:rPr>
          <w:rFonts w:ascii="Times New Roman" w:eastAsia="Times New Roman" w:hAnsi="Times New Roman" w:cs="Times New Roman"/>
          <w:color w:val="333333"/>
          <w:sz w:val="20"/>
          <w:szCs w:val="20"/>
          <w:lang w:bidi="he-IL"/>
        </w:rPr>
        <w:t>David by Bernini, 1623-1624, Villa Borghese, Rome. Wikimedia</w:t>
      </w:r>
    </w:p>
    <w:p w14:paraId="13AB78E6" w14:textId="77777777" w:rsidR="00F16574" w:rsidRPr="00F16574" w:rsidRDefault="00F16574" w:rsidP="00F16574">
      <w:pPr>
        <w:spacing w:after="300" w:line="465" w:lineRule="atLeast"/>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lang w:bidi="he-IL"/>
        </w:rPr>
        <w:t>The Septuagint (LXX) is missing about 40–45% of the Masoretic Text (MT) of the story of David’s triumph over Goliath and his subsequent rise to fame (1 Samuel 17–18).</w:t>
      </w:r>
      <w:r w:rsidRPr="00F16574">
        <w:rPr>
          <w:rFonts w:ascii="Times New Roman" w:eastAsia="Times New Roman" w:hAnsi="Times New Roman" w:cs="Times New Roman"/>
          <w:color w:val="B22222"/>
          <w:sz w:val="23"/>
          <w:szCs w:val="23"/>
          <w:vertAlign w:val="superscript"/>
          <w:lang w:bidi="he-IL"/>
        </w:rPr>
        <w:t>[1]</w:t>
      </w:r>
      <w:r w:rsidRPr="00F16574">
        <w:rPr>
          <w:rFonts w:ascii="Times New Roman" w:eastAsia="Times New Roman" w:hAnsi="Times New Roman" w:cs="Times New Roman"/>
          <w:color w:val="000000"/>
          <w:sz w:val="26"/>
          <w:szCs w:val="26"/>
          <w:lang w:bidi="he-IL"/>
        </w:rPr>
        <w:t> Both the MT and LXX begin with the Philistines and Israelites gathering their armies for battle at the Valley of Elah (17:1–3). Goliath, a giant warrior,</w:t>
      </w:r>
      <w:r w:rsidRPr="00F16574">
        <w:rPr>
          <w:rFonts w:ascii="Times New Roman" w:eastAsia="Times New Roman" w:hAnsi="Times New Roman" w:cs="Times New Roman"/>
          <w:color w:val="B22222"/>
          <w:sz w:val="23"/>
          <w:szCs w:val="23"/>
          <w:vertAlign w:val="superscript"/>
          <w:lang w:bidi="he-IL"/>
        </w:rPr>
        <w:t>[2]</w:t>
      </w:r>
      <w:r w:rsidRPr="00F16574">
        <w:rPr>
          <w:rFonts w:ascii="Times New Roman" w:eastAsia="Times New Roman" w:hAnsi="Times New Roman" w:cs="Times New Roman"/>
          <w:color w:val="000000"/>
          <w:sz w:val="26"/>
          <w:szCs w:val="26"/>
          <w:lang w:bidi="he-IL"/>
        </w:rPr>
        <w:t> challenges the Israelites to pick a champion to duel with him:</w:t>
      </w:r>
    </w:p>
    <w:p w14:paraId="3449D637" w14:textId="77777777" w:rsidR="00F16574" w:rsidRPr="00F16574" w:rsidRDefault="00F16574" w:rsidP="00F16574">
      <w:pPr>
        <w:bidi/>
        <w:spacing w:after="100" w:line="465" w:lineRule="atLeast"/>
        <w:textAlignment w:val="top"/>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19"/>
          <w:szCs w:val="19"/>
          <w:vertAlign w:val="superscript"/>
          <w:rtl/>
          <w:lang w:bidi="he-IL"/>
        </w:rPr>
        <w:t>שׁמואל א יז:ח</w:t>
      </w:r>
      <w:r w:rsidRPr="00F16574">
        <w:rPr>
          <w:rFonts w:ascii="Times New Roman" w:eastAsia="Times New Roman" w:hAnsi="Times New Roman" w:cs="Times New Roman"/>
          <w:color w:val="000000"/>
          <w:sz w:val="26"/>
          <w:szCs w:val="26"/>
          <w:rtl/>
          <w:lang w:bidi="he-IL"/>
        </w:rPr>
        <w:t> וַיַּעֲמֹד וַיִּקְרָא אֶל מַעַרְכֹת יִשְׂרָאֵל וַיֹּאמֶר לָהֶם לָמָּה תֵצְאוּ לַעֲרֹךְ מִלְחָמָה הֲלוֹא אָנֹכִי הַפְּלִשְׁתִּי וְאַתֶּם עֲבָדִים לְשָׁאוּל בְּרוּ לָכֶם אִישׁ וְיֵרֵד אֵלָי. </w:t>
      </w:r>
      <w:r w:rsidRPr="00F16574">
        <w:rPr>
          <w:rFonts w:ascii="Times New Roman" w:eastAsia="Times New Roman" w:hAnsi="Times New Roman" w:cs="Times New Roman"/>
          <w:color w:val="000000"/>
          <w:sz w:val="19"/>
          <w:szCs w:val="19"/>
          <w:vertAlign w:val="superscript"/>
          <w:rtl/>
          <w:lang w:bidi="he-IL"/>
        </w:rPr>
        <w:t>יז:ט</w:t>
      </w:r>
      <w:r w:rsidRPr="00F16574">
        <w:rPr>
          <w:rFonts w:ascii="Times New Roman" w:eastAsia="Times New Roman" w:hAnsi="Times New Roman" w:cs="Times New Roman"/>
          <w:color w:val="000000"/>
          <w:sz w:val="26"/>
          <w:szCs w:val="26"/>
          <w:rtl/>
          <w:lang w:bidi="he-IL"/>
        </w:rPr>
        <w:t> אִם יוּכַל לְהִלָּחֵם אִתִּי וְהִכָּנִי וְהָיִינוּ לָכֶם לַעֲבָדִים וְאִם אֲנִי אוּכַל לוֹ וְהִכִּיתִיו וִהְיִיתֶם לָנוּ לַעֲבָדִים וַעֲבַדְתֶּם אֹתָנוּ.</w:t>
      </w:r>
    </w:p>
    <w:p w14:paraId="0FABBA79" w14:textId="77777777" w:rsidR="00F16574" w:rsidRPr="00F16574" w:rsidRDefault="00F16574" w:rsidP="00F16574">
      <w:pPr>
        <w:spacing w:after="0" w:line="420" w:lineRule="atLeast"/>
        <w:rPr>
          <w:rFonts w:ascii="Times New Roman" w:eastAsia="Times New Roman" w:hAnsi="Times New Roman" w:cs="Times New Roman"/>
          <w:color w:val="000000"/>
          <w:sz w:val="23"/>
          <w:szCs w:val="23"/>
          <w:rtl/>
          <w:lang w:bidi="he-IL"/>
        </w:rPr>
      </w:pPr>
      <w:r w:rsidRPr="00F16574">
        <w:rPr>
          <w:rFonts w:ascii="Times New Roman" w:eastAsia="Times New Roman" w:hAnsi="Times New Roman" w:cs="Times New Roman"/>
          <w:color w:val="000000"/>
          <w:sz w:val="23"/>
          <w:szCs w:val="23"/>
          <w:lang w:bidi="he-IL"/>
        </w:rPr>
        <w:t> </w:t>
      </w:r>
    </w:p>
    <w:p w14:paraId="4A1D7A2A" w14:textId="77777777" w:rsidR="00F16574" w:rsidRPr="00F16574" w:rsidRDefault="00F16574" w:rsidP="00F16574">
      <w:pPr>
        <w:spacing w:before="300" w:after="150" w:line="450" w:lineRule="atLeast"/>
        <w:outlineLvl w:val="2"/>
        <w:rPr>
          <w:rFonts w:ascii="Times New Roman" w:eastAsia="Times New Roman" w:hAnsi="Times New Roman" w:cs="Times New Roman"/>
          <w:color w:val="000000"/>
          <w:sz w:val="32"/>
          <w:szCs w:val="32"/>
          <w:lang w:bidi="he-IL"/>
        </w:rPr>
      </w:pPr>
      <w:r w:rsidRPr="00F16574">
        <w:rPr>
          <w:rFonts w:ascii="Times New Roman" w:eastAsia="Times New Roman" w:hAnsi="Times New Roman" w:cs="Times New Roman"/>
          <w:color w:val="000000"/>
          <w:sz w:val="32"/>
          <w:szCs w:val="32"/>
          <w:lang w:bidi="he-IL"/>
        </w:rPr>
        <w:t>MT: David is a Shepherd Boy</w:t>
      </w:r>
    </w:p>
    <w:p w14:paraId="67E47EAA" w14:textId="77777777" w:rsidR="00F16574" w:rsidRPr="00F16574" w:rsidRDefault="00F16574" w:rsidP="00F16574">
      <w:pPr>
        <w:spacing w:after="300" w:line="465" w:lineRule="atLeast"/>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lang w:bidi="he-IL"/>
        </w:rPr>
        <w:t>David, who in the previous chapter was brought into Saul’s court as a musician tasked with soothing the tormented king’s spirit (1 Sam 16:14–23), is in the MT version re-introduced as a shepherd boy, sent by his father to visit the Israelite army, bringing supplies and well-wishes for his three eldest brothers, who are soldiers, and for their superiors:</w:t>
      </w:r>
    </w:p>
    <w:p w14:paraId="43DC1EB1" w14:textId="77777777" w:rsidR="00F16574" w:rsidRPr="00F16574" w:rsidRDefault="00F16574" w:rsidP="00F16574">
      <w:pPr>
        <w:bidi/>
        <w:spacing w:after="100" w:line="465" w:lineRule="atLeast"/>
        <w:textAlignment w:val="top"/>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19"/>
          <w:szCs w:val="19"/>
          <w:vertAlign w:val="superscript"/>
          <w:rtl/>
          <w:lang w:bidi="he-IL"/>
        </w:rPr>
        <w:lastRenderedPageBreak/>
        <w:t>שׁמואל א יז:כ</w:t>
      </w:r>
      <w:r w:rsidRPr="00F16574">
        <w:rPr>
          <w:rFonts w:ascii="Times New Roman" w:eastAsia="Times New Roman" w:hAnsi="Times New Roman" w:cs="Times New Roman"/>
          <w:color w:val="000000"/>
          <w:sz w:val="26"/>
          <w:szCs w:val="26"/>
          <w:rtl/>
          <w:lang w:bidi="he-IL"/>
        </w:rPr>
        <w:t> וַיַּשְׁכֵּם דָּוִד בַּבֹּקֶר וַיִּטֹּשׁ אֶת הַצֹּאן עַל שֹׁמֵר וַיִּשָּׂא וַיֵּלֶךְ כַּאֲשֶׁר צִוָּהוּ יִשָׁי וַיָּבֹא הַמַּעְגָּלָה וְהַחַיִל הַיֹּצֵא אֶל הַמַּעֲרָכָה וְהֵרֵעוּ בַּמִּלְחָמָה.</w:t>
      </w:r>
    </w:p>
    <w:p w14:paraId="6E924B75" w14:textId="77777777" w:rsidR="00F16574" w:rsidRPr="00F16574" w:rsidRDefault="00F16574" w:rsidP="00F16574">
      <w:pPr>
        <w:spacing w:after="0" w:line="420" w:lineRule="atLeast"/>
        <w:rPr>
          <w:rFonts w:ascii="Times New Roman" w:eastAsia="Times New Roman" w:hAnsi="Times New Roman" w:cs="Times New Roman"/>
          <w:color w:val="000000"/>
          <w:sz w:val="23"/>
          <w:szCs w:val="23"/>
          <w:rtl/>
          <w:lang w:bidi="he-IL"/>
        </w:rPr>
      </w:pPr>
      <w:r w:rsidRPr="00F16574">
        <w:rPr>
          <w:rFonts w:ascii="Times New Roman" w:eastAsia="Times New Roman" w:hAnsi="Times New Roman" w:cs="Times New Roman"/>
          <w:color w:val="000000"/>
          <w:sz w:val="23"/>
          <w:szCs w:val="23"/>
          <w:lang w:bidi="he-IL"/>
        </w:rPr>
        <w:t> </w:t>
      </w:r>
    </w:p>
    <w:p w14:paraId="7D65BB90" w14:textId="77777777" w:rsidR="00F16574" w:rsidRPr="00F16574" w:rsidRDefault="00F16574" w:rsidP="00F16574">
      <w:pPr>
        <w:spacing w:after="300" w:line="465" w:lineRule="atLeast"/>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lang w:bidi="he-IL"/>
        </w:rPr>
        <w:t>From the battle lines, David hears Goliath’s taunts and wonders what the reward will be for defeating the Philistine:</w:t>
      </w:r>
    </w:p>
    <w:p w14:paraId="42D99174" w14:textId="77777777" w:rsidR="00F16574" w:rsidRPr="00F16574" w:rsidRDefault="00F16574" w:rsidP="00F16574">
      <w:pPr>
        <w:bidi/>
        <w:spacing w:after="100" w:line="465" w:lineRule="atLeast"/>
        <w:textAlignment w:val="top"/>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19"/>
          <w:szCs w:val="19"/>
          <w:vertAlign w:val="superscript"/>
          <w:rtl/>
          <w:lang w:bidi="he-IL"/>
        </w:rPr>
        <w:t>שׁמואל א יז:כו</w:t>
      </w:r>
      <w:r w:rsidRPr="00F16574">
        <w:rPr>
          <w:rFonts w:ascii="Times New Roman" w:eastAsia="Times New Roman" w:hAnsi="Times New Roman" w:cs="Times New Roman"/>
          <w:color w:val="000000"/>
          <w:sz w:val="26"/>
          <w:szCs w:val="26"/>
          <w:rtl/>
          <w:lang w:bidi="he-IL"/>
        </w:rPr>
        <w:t> וַיֹּאמֶר דָּוִד אֶל הָאֲנָשִׁים הָעֹמְדִים עִמּוֹ לֵאמֹר מַה יֵּעָשֶׂה לָאִישׁ אֲשֶׁר יַכֶּה אֶת הַפְּלִשְׁתִּי הַלָּז וְהֵסִיר חֶרְפָּה מֵעַל יִשְׂרָאֵל כִּי מִי הַפְּלִשְׁתִּי הֶעָרֵל הַזֶּה כִּי חֵרֵף מַעַרְכוֹת אֱלֹהִים חַיִּים.</w:t>
      </w:r>
    </w:p>
    <w:p w14:paraId="2FADD8A6" w14:textId="77777777" w:rsidR="00F16574" w:rsidRPr="00F16574" w:rsidRDefault="00F16574" w:rsidP="00F16574">
      <w:pPr>
        <w:spacing w:after="0" w:line="420" w:lineRule="atLeast"/>
        <w:rPr>
          <w:rFonts w:ascii="Times New Roman" w:eastAsia="Times New Roman" w:hAnsi="Times New Roman" w:cs="Times New Roman"/>
          <w:color w:val="000000"/>
          <w:sz w:val="23"/>
          <w:szCs w:val="23"/>
          <w:rtl/>
          <w:lang w:bidi="he-IL"/>
        </w:rPr>
      </w:pPr>
      <w:r w:rsidRPr="00F16574">
        <w:rPr>
          <w:rFonts w:ascii="Times New Roman" w:eastAsia="Times New Roman" w:hAnsi="Times New Roman" w:cs="Times New Roman"/>
          <w:color w:val="000000"/>
          <w:sz w:val="23"/>
          <w:szCs w:val="23"/>
          <w:lang w:bidi="he-IL"/>
        </w:rPr>
        <w:t> </w:t>
      </w:r>
    </w:p>
    <w:p w14:paraId="3B5D130D" w14:textId="77777777" w:rsidR="00F16574" w:rsidRPr="00F16574" w:rsidRDefault="00F16574" w:rsidP="00F16574">
      <w:pPr>
        <w:spacing w:after="300" w:line="465" w:lineRule="atLeast"/>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lang w:bidi="he-IL"/>
        </w:rPr>
        <w:t>These scenes of David as the shepherd boy are absent in the LXX, which continues from the previous chapter with David already a member of Saul’s entourage.</w:t>
      </w:r>
    </w:p>
    <w:p w14:paraId="7CB09CC8" w14:textId="77777777" w:rsidR="00F16574" w:rsidRPr="00F16574" w:rsidRDefault="00F16574" w:rsidP="00F16574">
      <w:pPr>
        <w:spacing w:after="300" w:line="465" w:lineRule="atLeast"/>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lang w:bidi="he-IL"/>
        </w:rPr>
        <w:t>In a verse found in both the MT and LXX, the Israelites react with fear and dismay to Goliath’s taunts, and David bravely volunteers to fight the imposing warrior:</w:t>
      </w:r>
    </w:p>
    <w:p w14:paraId="1E7B944D" w14:textId="77777777" w:rsidR="00F16574" w:rsidRPr="00F16574" w:rsidRDefault="00F16574" w:rsidP="00F16574">
      <w:pPr>
        <w:bidi/>
        <w:spacing w:after="100" w:line="465" w:lineRule="atLeast"/>
        <w:textAlignment w:val="top"/>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rtl/>
          <w:lang w:bidi="he-IL"/>
        </w:rPr>
        <w:t>‏</w:t>
      </w:r>
      <w:r w:rsidRPr="00F16574">
        <w:rPr>
          <w:rFonts w:ascii="Times New Roman" w:eastAsia="Times New Roman" w:hAnsi="Times New Roman" w:cs="Times New Roman"/>
          <w:color w:val="000000"/>
          <w:sz w:val="19"/>
          <w:szCs w:val="19"/>
          <w:vertAlign w:val="superscript"/>
          <w:rtl/>
          <w:lang w:bidi="he-IL"/>
        </w:rPr>
        <w:t>שׁמואל א יז:לב</w:t>
      </w:r>
      <w:r w:rsidRPr="00F16574">
        <w:rPr>
          <w:rFonts w:ascii="Times New Roman" w:eastAsia="Times New Roman" w:hAnsi="Times New Roman" w:cs="Times New Roman"/>
          <w:color w:val="000000"/>
          <w:sz w:val="26"/>
          <w:szCs w:val="26"/>
          <w:rtl/>
          <w:lang w:bidi="he-IL"/>
        </w:rPr>
        <w:t> וַיֹּאמֶר דָּוִד אֶל שָׁאוּל אַל יִפֹּל לֵב אָדָם עָלָיו עַבְדְּךָ יֵלֵךְ וְנִלְחַם עִם הַפְּלִשְׁתִּי הַזֶּה.</w:t>
      </w:r>
    </w:p>
    <w:p w14:paraId="05F51A54" w14:textId="77777777" w:rsidR="00F16574" w:rsidRPr="00F16574" w:rsidRDefault="00F16574" w:rsidP="00F16574">
      <w:pPr>
        <w:spacing w:after="0" w:line="420" w:lineRule="atLeast"/>
        <w:rPr>
          <w:rFonts w:ascii="Times New Roman" w:eastAsia="Times New Roman" w:hAnsi="Times New Roman" w:cs="Times New Roman"/>
          <w:color w:val="000000"/>
          <w:sz w:val="23"/>
          <w:szCs w:val="23"/>
          <w:rtl/>
          <w:lang w:bidi="he-IL"/>
        </w:rPr>
      </w:pPr>
      <w:r w:rsidRPr="00F16574">
        <w:rPr>
          <w:rFonts w:ascii="Times New Roman" w:eastAsia="Times New Roman" w:hAnsi="Times New Roman" w:cs="Times New Roman"/>
          <w:color w:val="000000"/>
          <w:sz w:val="23"/>
          <w:szCs w:val="23"/>
          <w:lang w:bidi="he-IL"/>
        </w:rPr>
        <w:t> </w:t>
      </w:r>
    </w:p>
    <w:p w14:paraId="26FFBF84" w14:textId="77777777" w:rsidR="00F16574" w:rsidRPr="00F16574" w:rsidRDefault="00F16574" w:rsidP="00F16574">
      <w:pPr>
        <w:spacing w:after="300" w:line="465" w:lineRule="atLeast"/>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lang w:bidi="he-IL"/>
        </w:rPr>
        <w:t>Saul at first rejects David’s offer: David is just a boy, and the Philistine man has been a warrior since his youth (17:32–33). David’s anecdotes of his triumphs against wild animals during his time as a shepherd convince Saul, and he attempts to equip David with his own armor. When that proves too cumbersome, however, David heads out with only his staff and his sling (vv. 34–39). After exchanging taunts with Goliath (vv. 42–48a), David kills him with his slingshot:</w:t>
      </w:r>
    </w:p>
    <w:p w14:paraId="3C62EADE" w14:textId="77777777" w:rsidR="00F16574" w:rsidRPr="00F16574" w:rsidRDefault="00F16574" w:rsidP="00F16574">
      <w:pPr>
        <w:bidi/>
        <w:spacing w:after="100" w:line="465" w:lineRule="atLeast"/>
        <w:textAlignment w:val="top"/>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19"/>
          <w:szCs w:val="19"/>
          <w:vertAlign w:val="superscript"/>
          <w:rtl/>
          <w:lang w:bidi="he-IL"/>
        </w:rPr>
        <w:t>שׁמואל א יז:מט</w:t>
      </w:r>
      <w:r w:rsidRPr="00F16574">
        <w:rPr>
          <w:rFonts w:ascii="Times New Roman" w:eastAsia="Times New Roman" w:hAnsi="Times New Roman" w:cs="Times New Roman"/>
          <w:color w:val="000000"/>
          <w:sz w:val="26"/>
          <w:szCs w:val="26"/>
          <w:rtl/>
          <w:lang w:bidi="he-IL"/>
        </w:rPr>
        <w:t> וַיִּשְׁלַח דָּוִד אֶת יָדוֹ אֶל הַכֶּלִי וַיִּקַּח מִשָּׁם אֶבֶן וַיְקַלַּע וַיַּךְ אֶת הַפְּלִשְׁתִּי אֶל מִצְחוֹ וַתִּטְבַּע הָאֶבֶן בְּמִצְחוֹ וַיִּפֹּל עַל פָּנָיו אָרְצָה.</w:t>
      </w:r>
    </w:p>
    <w:p w14:paraId="39D91E2A" w14:textId="77777777" w:rsidR="00F16574" w:rsidRPr="00F16574" w:rsidRDefault="00F16574" w:rsidP="00F16574">
      <w:pPr>
        <w:spacing w:after="0" w:line="420" w:lineRule="atLeast"/>
        <w:rPr>
          <w:rFonts w:ascii="Times New Roman" w:eastAsia="Times New Roman" w:hAnsi="Times New Roman" w:cs="Times New Roman"/>
          <w:color w:val="000000"/>
          <w:sz w:val="23"/>
          <w:szCs w:val="23"/>
          <w:rtl/>
          <w:lang w:bidi="he-IL"/>
        </w:rPr>
      </w:pPr>
      <w:r w:rsidRPr="00F16574">
        <w:rPr>
          <w:rFonts w:ascii="Times New Roman" w:eastAsia="Times New Roman" w:hAnsi="Times New Roman" w:cs="Times New Roman"/>
          <w:color w:val="000000"/>
          <w:sz w:val="23"/>
          <w:szCs w:val="23"/>
          <w:lang w:bidi="he-IL"/>
        </w:rPr>
        <w:t> </w:t>
      </w:r>
    </w:p>
    <w:p w14:paraId="59671117" w14:textId="77777777" w:rsidR="00F16574" w:rsidRPr="00F16574" w:rsidRDefault="00F16574" w:rsidP="00F16574">
      <w:pPr>
        <w:spacing w:after="300" w:line="465" w:lineRule="atLeast"/>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lang w:bidi="he-IL"/>
        </w:rPr>
        <w:t>The emboldened Israelite army routs the Philistines (vv. 51–54).</w:t>
      </w:r>
    </w:p>
    <w:p w14:paraId="62078568" w14:textId="77777777" w:rsidR="00F16574" w:rsidRPr="00F16574" w:rsidRDefault="00F16574" w:rsidP="00F16574">
      <w:pPr>
        <w:spacing w:before="300" w:after="150" w:line="450" w:lineRule="atLeast"/>
        <w:outlineLvl w:val="2"/>
        <w:rPr>
          <w:rFonts w:ascii="Times New Roman" w:eastAsia="Times New Roman" w:hAnsi="Times New Roman" w:cs="Times New Roman"/>
          <w:color w:val="000000"/>
          <w:sz w:val="32"/>
          <w:szCs w:val="32"/>
          <w:lang w:bidi="he-IL"/>
        </w:rPr>
      </w:pPr>
      <w:r w:rsidRPr="00F16574">
        <w:rPr>
          <w:rFonts w:ascii="Times New Roman" w:eastAsia="Times New Roman" w:hAnsi="Times New Roman" w:cs="Times New Roman"/>
          <w:color w:val="000000"/>
          <w:sz w:val="32"/>
          <w:szCs w:val="32"/>
          <w:lang w:bidi="he-IL"/>
        </w:rPr>
        <w:lastRenderedPageBreak/>
        <w:t>MT: Saul Does Not Know David</w:t>
      </w:r>
    </w:p>
    <w:p w14:paraId="5595CFC1" w14:textId="77777777" w:rsidR="00F16574" w:rsidRPr="00F16574" w:rsidRDefault="00F16574" w:rsidP="00F16574">
      <w:pPr>
        <w:spacing w:after="300" w:line="465" w:lineRule="atLeast"/>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lang w:bidi="he-IL"/>
        </w:rPr>
        <w:t>The scene in the MT (not in the LXX) then shifts back in time to the beginning of the battle and focuses on Saul, who does not appear to know David:</w:t>
      </w:r>
    </w:p>
    <w:p w14:paraId="6F500B4F" w14:textId="77777777" w:rsidR="00F16574" w:rsidRPr="00F16574" w:rsidRDefault="00F16574" w:rsidP="00F16574">
      <w:pPr>
        <w:bidi/>
        <w:spacing w:after="100" w:line="465" w:lineRule="atLeast"/>
        <w:textAlignment w:val="top"/>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rtl/>
          <w:lang w:bidi="he-IL"/>
        </w:rPr>
        <w:t>‏</w:t>
      </w:r>
      <w:r w:rsidRPr="00F16574">
        <w:rPr>
          <w:rFonts w:ascii="Times New Roman" w:eastAsia="Times New Roman" w:hAnsi="Times New Roman" w:cs="Times New Roman"/>
          <w:color w:val="000000"/>
          <w:sz w:val="19"/>
          <w:szCs w:val="19"/>
          <w:vertAlign w:val="superscript"/>
          <w:rtl/>
          <w:lang w:bidi="he-IL"/>
        </w:rPr>
        <w:t>שׁמואל א יז:נה</w:t>
      </w:r>
      <w:r w:rsidRPr="00F16574">
        <w:rPr>
          <w:rFonts w:ascii="Times New Roman" w:eastAsia="Times New Roman" w:hAnsi="Times New Roman" w:cs="Times New Roman"/>
          <w:color w:val="000000"/>
          <w:sz w:val="26"/>
          <w:szCs w:val="26"/>
          <w:rtl/>
          <w:lang w:bidi="he-IL"/>
        </w:rPr>
        <w:t> וְכִרְאוֹת שָׁאוּל אֶת דָּוִד יֹצֵא לִקְרַאת הַפְּלִשְׁתִּי אָמַר אֶל אַבְנֵר שַׂר הַצָּבָא בֶּן מִי זֶה הַנַּעַר אַבְנֵר וַיֹּאמֶר אַבְנֵר חֵי נַפְשְׁךָ הַמֶּלֶךְ אִם יָדָעְתִּי.</w:t>
      </w:r>
    </w:p>
    <w:p w14:paraId="6CCEBAA0" w14:textId="77777777" w:rsidR="00F16574" w:rsidRPr="00F16574" w:rsidRDefault="00F16574" w:rsidP="00F16574">
      <w:pPr>
        <w:spacing w:after="0" w:line="420" w:lineRule="atLeast"/>
        <w:rPr>
          <w:rFonts w:ascii="Times New Roman" w:eastAsia="Times New Roman" w:hAnsi="Times New Roman" w:cs="Times New Roman"/>
          <w:color w:val="000000"/>
          <w:sz w:val="23"/>
          <w:szCs w:val="23"/>
          <w:rtl/>
          <w:lang w:bidi="he-IL"/>
        </w:rPr>
      </w:pPr>
      <w:r w:rsidRPr="00F16574">
        <w:rPr>
          <w:rFonts w:ascii="Times New Roman" w:eastAsia="Times New Roman" w:hAnsi="Times New Roman" w:cs="Times New Roman"/>
          <w:color w:val="000000"/>
          <w:sz w:val="23"/>
          <w:szCs w:val="23"/>
          <w:lang w:bidi="he-IL"/>
        </w:rPr>
        <w:t> </w:t>
      </w:r>
    </w:p>
    <w:p w14:paraId="51DA7FBD" w14:textId="77777777" w:rsidR="00F16574" w:rsidRPr="00F16574" w:rsidRDefault="00F16574" w:rsidP="00F16574">
      <w:pPr>
        <w:spacing w:after="300" w:line="465" w:lineRule="atLeast"/>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lang w:bidi="he-IL"/>
        </w:rPr>
        <w:t>After David has killed the Philistine warrior, Abner brings him to meet Saul (vv. 56–58). Saul’s son Jonathan quickly befriends David, and the young shepherd becomes part of Saul’s army (18:1, 3–5).</w:t>
      </w:r>
    </w:p>
    <w:p w14:paraId="466359FD" w14:textId="77777777" w:rsidR="00F16574" w:rsidRPr="00F16574" w:rsidRDefault="00F16574" w:rsidP="00F16574">
      <w:pPr>
        <w:spacing w:after="300" w:line="465" w:lineRule="atLeast"/>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lang w:bidi="he-IL"/>
        </w:rPr>
        <w:t>In both the MT and LXX, David’s success in battle, and the Israelite women’s recognition of it, perturbs Saul (18:6–8, 12a). Though David is useful to Saul and becomes a beloved commander in the army (vv. 13–16), Saul attempts to kill David.</w:t>
      </w:r>
    </w:p>
    <w:p w14:paraId="6C802110" w14:textId="77777777" w:rsidR="00F16574" w:rsidRPr="00F16574" w:rsidRDefault="00F16574" w:rsidP="00F16574">
      <w:pPr>
        <w:spacing w:before="300" w:after="150" w:line="450" w:lineRule="atLeast"/>
        <w:outlineLvl w:val="2"/>
        <w:rPr>
          <w:rFonts w:ascii="Times New Roman" w:eastAsia="Times New Roman" w:hAnsi="Times New Roman" w:cs="Times New Roman"/>
          <w:color w:val="000000"/>
          <w:sz w:val="32"/>
          <w:szCs w:val="32"/>
          <w:lang w:bidi="he-IL"/>
        </w:rPr>
      </w:pPr>
      <w:r w:rsidRPr="00F16574">
        <w:rPr>
          <w:rFonts w:ascii="Times New Roman" w:eastAsia="Times New Roman" w:hAnsi="Times New Roman" w:cs="Times New Roman"/>
          <w:color w:val="000000"/>
          <w:sz w:val="32"/>
          <w:szCs w:val="32"/>
          <w:lang w:bidi="he-IL"/>
        </w:rPr>
        <w:t>MT: Saul Offers David His Daughter Merab</w:t>
      </w:r>
    </w:p>
    <w:p w14:paraId="0A816112" w14:textId="77777777" w:rsidR="00F16574" w:rsidRPr="00F16574" w:rsidRDefault="00F16574" w:rsidP="00F16574">
      <w:pPr>
        <w:spacing w:after="300" w:line="465" w:lineRule="atLeast"/>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lang w:bidi="he-IL"/>
        </w:rPr>
        <w:t>In a scene that is present only in the MT, Saul, hoping that David will die in battle, then offers his daughter Merab to David in marriage in exchange for David’s agreement to fight the Philistines:</w:t>
      </w:r>
    </w:p>
    <w:p w14:paraId="2075A591" w14:textId="77777777" w:rsidR="00F16574" w:rsidRPr="00F16574" w:rsidRDefault="00F16574" w:rsidP="00F16574">
      <w:pPr>
        <w:bidi/>
        <w:spacing w:after="100" w:line="465" w:lineRule="atLeast"/>
        <w:textAlignment w:val="top"/>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19"/>
          <w:szCs w:val="19"/>
          <w:vertAlign w:val="superscript"/>
          <w:rtl/>
          <w:lang w:bidi="he-IL"/>
        </w:rPr>
        <w:t>שׁמואל א יח:יז</w:t>
      </w:r>
      <w:r w:rsidRPr="00F16574">
        <w:rPr>
          <w:rFonts w:ascii="Times New Roman" w:eastAsia="Times New Roman" w:hAnsi="Times New Roman" w:cs="Times New Roman"/>
          <w:color w:val="000000"/>
          <w:sz w:val="26"/>
          <w:szCs w:val="26"/>
          <w:rtl/>
          <w:lang w:bidi="he-IL"/>
        </w:rPr>
        <w:t> וַיֹּאמֶר שָׁאוּל אֶל דָּוִד הִנֵּה בִתִּי הַגְּדוֹלָה מֵרַב אֹתָהּ אֶתֶּן לְךָ לְאִשָּׁה אַךְ הֱיֵה לִּי לְבֶן חַיִל וְהִלָּחֵם מִלְחֲמוֹת יְ־הוָה וְשָׁאוּל אָמַר אַל תְּהִי יָדִי בּוֹ וּתְהִי בוֹ יַד פְּלִשְׁתִּים.</w:t>
      </w:r>
    </w:p>
    <w:p w14:paraId="5C5D5DBA" w14:textId="77777777" w:rsidR="00F16574" w:rsidRPr="00F16574" w:rsidRDefault="00F16574" w:rsidP="00F16574">
      <w:pPr>
        <w:spacing w:after="0" w:line="420" w:lineRule="atLeast"/>
        <w:rPr>
          <w:rFonts w:ascii="Times New Roman" w:eastAsia="Times New Roman" w:hAnsi="Times New Roman" w:cs="Times New Roman"/>
          <w:color w:val="000000"/>
          <w:sz w:val="23"/>
          <w:szCs w:val="23"/>
          <w:rtl/>
          <w:lang w:bidi="he-IL"/>
        </w:rPr>
      </w:pPr>
      <w:r w:rsidRPr="00F16574">
        <w:rPr>
          <w:rFonts w:ascii="Times New Roman" w:eastAsia="Times New Roman" w:hAnsi="Times New Roman" w:cs="Times New Roman"/>
          <w:color w:val="000000"/>
          <w:sz w:val="23"/>
          <w:szCs w:val="23"/>
          <w:lang w:bidi="he-IL"/>
        </w:rPr>
        <w:t> </w:t>
      </w:r>
    </w:p>
    <w:p w14:paraId="04E18F4D" w14:textId="77777777" w:rsidR="00F16574" w:rsidRPr="00F16574" w:rsidRDefault="00F16574" w:rsidP="00F16574">
      <w:pPr>
        <w:spacing w:after="300" w:line="465" w:lineRule="atLeast"/>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lang w:bidi="he-IL"/>
        </w:rPr>
        <w:t>Merab, however, is given to another before the wedding can happen (v. 19).</w:t>
      </w:r>
    </w:p>
    <w:p w14:paraId="5C433192" w14:textId="77777777" w:rsidR="00F16574" w:rsidRPr="00F16574" w:rsidRDefault="00F16574" w:rsidP="00F16574">
      <w:pPr>
        <w:spacing w:after="300" w:line="465" w:lineRule="atLeast"/>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lang w:bidi="he-IL"/>
        </w:rPr>
        <w:t>Both the MT and LXX also include a similar scene in which Saul offers his daughter Michal to David:</w:t>
      </w:r>
    </w:p>
    <w:p w14:paraId="18D19B83" w14:textId="77777777" w:rsidR="00F16574" w:rsidRPr="00F16574" w:rsidRDefault="00F16574" w:rsidP="00F16574">
      <w:pPr>
        <w:bidi/>
        <w:spacing w:after="100" w:line="465" w:lineRule="atLeast"/>
        <w:textAlignment w:val="top"/>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19"/>
          <w:szCs w:val="19"/>
          <w:vertAlign w:val="superscript"/>
          <w:rtl/>
          <w:lang w:bidi="he-IL"/>
        </w:rPr>
        <w:lastRenderedPageBreak/>
        <w:t>שׁמואל א יח:כה</w:t>
      </w:r>
      <w:r w:rsidRPr="00F16574">
        <w:rPr>
          <w:rFonts w:ascii="Times New Roman" w:eastAsia="Times New Roman" w:hAnsi="Times New Roman" w:cs="Times New Roman"/>
          <w:color w:val="000000"/>
          <w:sz w:val="26"/>
          <w:szCs w:val="26"/>
          <w:rtl/>
          <w:lang w:bidi="he-IL"/>
        </w:rPr>
        <w:t> וַיֹּאמֶר שָׁאוּל כֹּה תֹאמְרוּ לְדָוִד אֵין חֵפֶץ לַמֶּלֶךְ בְּמֹהַר כִּי בְּמֵאָה עָרְלוֹת פְּלִשְׁתִּים לְהִנָּקֵם בְּאֹיְבֵי הַמֶּלֶךְ וְשָׁאוּל חָשַׁב לְהַפִּיל אֶת דָּוִד בְּיַד פְּלִשְׁתִּים.</w:t>
      </w:r>
    </w:p>
    <w:p w14:paraId="3C47B287" w14:textId="77777777" w:rsidR="00F16574" w:rsidRPr="00F16574" w:rsidRDefault="00F16574" w:rsidP="00F16574">
      <w:pPr>
        <w:spacing w:after="0" w:line="420" w:lineRule="atLeast"/>
        <w:rPr>
          <w:rFonts w:ascii="Times New Roman" w:eastAsia="Times New Roman" w:hAnsi="Times New Roman" w:cs="Times New Roman"/>
          <w:color w:val="000000"/>
          <w:sz w:val="23"/>
          <w:szCs w:val="23"/>
          <w:rtl/>
          <w:lang w:bidi="he-IL"/>
        </w:rPr>
      </w:pPr>
      <w:r w:rsidRPr="00F16574">
        <w:rPr>
          <w:rFonts w:ascii="Times New Roman" w:eastAsia="Times New Roman" w:hAnsi="Times New Roman" w:cs="Times New Roman"/>
          <w:color w:val="000000"/>
          <w:sz w:val="23"/>
          <w:szCs w:val="23"/>
          <w:lang w:bidi="he-IL"/>
        </w:rPr>
        <w:t> </w:t>
      </w:r>
    </w:p>
    <w:p w14:paraId="2598B8E4" w14:textId="77777777" w:rsidR="00F16574" w:rsidRPr="00F16574" w:rsidRDefault="00F16574" w:rsidP="00F16574">
      <w:pPr>
        <w:spacing w:after="300" w:line="465" w:lineRule="atLeast"/>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lang w:bidi="he-IL"/>
        </w:rPr>
        <w:t>Yet, here as well, David does not fall in battle, and the narrative in the MT and LXX ends with Saul’s fear and David’s fame growing.</w:t>
      </w:r>
    </w:p>
    <w:p w14:paraId="6EF9C01E" w14:textId="77777777" w:rsidR="00F16574" w:rsidRPr="00F16574" w:rsidRDefault="00F16574" w:rsidP="00F16574">
      <w:pPr>
        <w:spacing w:before="300" w:after="150" w:line="450" w:lineRule="atLeast"/>
        <w:outlineLvl w:val="2"/>
        <w:rPr>
          <w:rFonts w:ascii="Times New Roman" w:eastAsia="Times New Roman" w:hAnsi="Times New Roman" w:cs="Times New Roman"/>
          <w:color w:val="000000"/>
          <w:sz w:val="32"/>
          <w:szCs w:val="32"/>
          <w:lang w:bidi="he-IL"/>
        </w:rPr>
      </w:pPr>
      <w:r w:rsidRPr="00F16574">
        <w:rPr>
          <w:rFonts w:ascii="Times New Roman" w:eastAsia="Times New Roman" w:hAnsi="Times New Roman" w:cs="Times New Roman"/>
          <w:color w:val="000000"/>
          <w:sz w:val="32"/>
          <w:szCs w:val="32"/>
          <w:lang w:bidi="he-IL"/>
        </w:rPr>
        <w:t>Additions to the Story in the MT</w:t>
      </w:r>
    </w:p>
    <w:p w14:paraId="7E4C2F10" w14:textId="77777777" w:rsidR="00F16574" w:rsidRPr="00F16574" w:rsidRDefault="00F16574" w:rsidP="00F16574">
      <w:pPr>
        <w:spacing w:after="300" w:line="465" w:lineRule="atLeast"/>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lang w:bidi="he-IL"/>
        </w:rPr>
        <w:t>In sum, the following scenes and characters in MT are not present in the LXX:</w:t>
      </w:r>
    </w:p>
    <w:p w14:paraId="4BB675DE" w14:textId="77777777" w:rsidR="00F16574" w:rsidRPr="00F16574" w:rsidRDefault="00F16574" w:rsidP="00F16574">
      <w:pPr>
        <w:numPr>
          <w:ilvl w:val="0"/>
          <w:numId w:val="1"/>
        </w:numPr>
        <w:spacing w:before="100" w:beforeAutospacing="1" w:after="105" w:line="465" w:lineRule="atLeast"/>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lang w:bidi="he-IL"/>
        </w:rPr>
        <w:t>The lengthy introduction of David as a shepherd boy (17:12–31)</w:t>
      </w:r>
    </w:p>
    <w:p w14:paraId="31D4A5A2" w14:textId="77777777" w:rsidR="00F16574" w:rsidRPr="00F16574" w:rsidRDefault="00F16574" w:rsidP="00F16574">
      <w:pPr>
        <w:numPr>
          <w:ilvl w:val="0"/>
          <w:numId w:val="1"/>
        </w:numPr>
        <w:spacing w:before="100" w:beforeAutospacing="1" w:after="105" w:line="465" w:lineRule="atLeast"/>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lang w:bidi="he-IL"/>
        </w:rPr>
        <w:t>Saul and his general, Abner, inquiring about David’s name (17:55–58)</w:t>
      </w:r>
    </w:p>
    <w:p w14:paraId="45E3057A" w14:textId="77777777" w:rsidR="00F16574" w:rsidRPr="00F16574" w:rsidRDefault="00F16574" w:rsidP="00F16574">
      <w:pPr>
        <w:numPr>
          <w:ilvl w:val="0"/>
          <w:numId w:val="1"/>
        </w:numPr>
        <w:spacing w:before="100" w:beforeAutospacing="1" w:after="105" w:line="465" w:lineRule="atLeast"/>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lang w:bidi="he-IL"/>
        </w:rPr>
        <w:t>Jonathan making a covenant with David (18:1–5)</w:t>
      </w:r>
    </w:p>
    <w:p w14:paraId="3155FA0E" w14:textId="77777777" w:rsidR="00F16574" w:rsidRPr="00F16574" w:rsidRDefault="00F16574" w:rsidP="00F16574">
      <w:pPr>
        <w:numPr>
          <w:ilvl w:val="0"/>
          <w:numId w:val="1"/>
        </w:numPr>
        <w:spacing w:before="100" w:beforeAutospacing="1" w:after="105" w:line="465" w:lineRule="atLeast"/>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lang w:bidi="he-IL"/>
        </w:rPr>
        <w:t>Saul offering his daughter Merab to David in marriage (18:17–19)</w:t>
      </w:r>
    </w:p>
    <w:p w14:paraId="4A66B1AB" w14:textId="77777777" w:rsidR="00F16574" w:rsidRPr="00F16574" w:rsidRDefault="00F16574" w:rsidP="00F16574">
      <w:pPr>
        <w:spacing w:after="300" w:line="465" w:lineRule="atLeast"/>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lang w:bidi="he-IL"/>
        </w:rPr>
        <w:t>Explaining the differences between the MT and LXX is one of the best-known and complex problems of biblical textual criticism.</w:t>
      </w:r>
    </w:p>
    <w:p w14:paraId="60BACB01" w14:textId="77777777" w:rsidR="00F16574" w:rsidRPr="00F16574" w:rsidRDefault="00F16574" w:rsidP="00F16574">
      <w:pPr>
        <w:spacing w:before="210" w:after="210" w:line="630" w:lineRule="atLeast"/>
        <w:jc w:val="center"/>
        <w:outlineLvl w:val="1"/>
        <w:rPr>
          <w:rFonts w:ascii="Times New Roman" w:eastAsia="Times New Roman" w:hAnsi="Times New Roman" w:cs="Times New Roman"/>
          <w:color w:val="000000"/>
          <w:sz w:val="38"/>
          <w:szCs w:val="38"/>
          <w:lang w:bidi="he-IL"/>
        </w:rPr>
      </w:pPr>
      <w:r w:rsidRPr="00F16574">
        <w:rPr>
          <w:rFonts w:ascii="Times New Roman" w:eastAsia="Times New Roman" w:hAnsi="Times New Roman" w:cs="Times New Roman"/>
          <w:color w:val="000000"/>
          <w:sz w:val="38"/>
          <w:szCs w:val="38"/>
          <w:lang w:bidi="he-IL"/>
        </w:rPr>
        <w:t>The Addition Hypothesis</w:t>
      </w:r>
    </w:p>
    <w:p w14:paraId="790AD60D" w14:textId="77777777" w:rsidR="00F16574" w:rsidRPr="00F16574" w:rsidRDefault="00F16574" w:rsidP="00F16574">
      <w:pPr>
        <w:spacing w:after="300" w:line="465" w:lineRule="atLeast"/>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lang w:bidi="he-IL"/>
        </w:rPr>
        <w:t>The “Addition Hypothesis” posits that the shorter LXX account represents an older version of the narrative, Version 1,</w:t>
      </w:r>
      <w:r w:rsidRPr="00F16574">
        <w:rPr>
          <w:rFonts w:ascii="Times New Roman" w:eastAsia="Times New Roman" w:hAnsi="Times New Roman" w:cs="Times New Roman"/>
          <w:color w:val="B22222"/>
          <w:sz w:val="23"/>
          <w:szCs w:val="23"/>
          <w:vertAlign w:val="superscript"/>
          <w:lang w:bidi="he-IL"/>
        </w:rPr>
        <w:t>[4]</w:t>
      </w:r>
      <w:r w:rsidRPr="00F16574">
        <w:rPr>
          <w:rFonts w:ascii="Times New Roman" w:eastAsia="Times New Roman" w:hAnsi="Times New Roman" w:cs="Times New Roman"/>
          <w:color w:val="000000"/>
          <w:sz w:val="26"/>
          <w:szCs w:val="26"/>
          <w:lang w:bidi="he-IL"/>
        </w:rPr>
        <w:t> while the MT includes material that was added later, long after the bulk of the book of Samuel had come together.</w:t>
      </w:r>
      <w:r w:rsidRPr="00F16574">
        <w:rPr>
          <w:rFonts w:ascii="Times New Roman" w:eastAsia="Times New Roman" w:hAnsi="Times New Roman" w:cs="Times New Roman"/>
          <w:color w:val="B22222"/>
          <w:sz w:val="23"/>
          <w:szCs w:val="23"/>
          <w:vertAlign w:val="superscript"/>
          <w:lang w:bidi="he-IL"/>
        </w:rPr>
        <w:t>[5]</w:t>
      </w:r>
      <w:r w:rsidRPr="00F16574">
        <w:rPr>
          <w:rFonts w:ascii="Times New Roman" w:eastAsia="Times New Roman" w:hAnsi="Times New Roman" w:cs="Times New Roman"/>
          <w:color w:val="000000"/>
          <w:sz w:val="26"/>
          <w:szCs w:val="26"/>
          <w:lang w:bidi="he-IL"/>
        </w:rPr>
        <w:t> The most common explanation for the MT-“pluses” is that they comprise an old, originally separate and complete, David tradition, Version 2, that was edited into MT-Samuel during the Persian period.</w:t>
      </w:r>
      <w:r w:rsidRPr="00F16574">
        <w:rPr>
          <w:rFonts w:ascii="Times New Roman" w:eastAsia="Times New Roman" w:hAnsi="Times New Roman" w:cs="Times New Roman"/>
          <w:color w:val="B22222"/>
          <w:sz w:val="23"/>
          <w:szCs w:val="23"/>
          <w:vertAlign w:val="superscript"/>
          <w:lang w:bidi="he-IL"/>
        </w:rPr>
        <w:t>[6]</w:t>
      </w:r>
      <w:r w:rsidRPr="00F16574">
        <w:rPr>
          <w:rFonts w:ascii="Times New Roman" w:eastAsia="Times New Roman" w:hAnsi="Times New Roman" w:cs="Times New Roman"/>
          <w:color w:val="000000"/>
          <w:sz w:val="26"/>
          <w:szCs w:val="26"/>
          <w:lang w:bidi="he-IL"/>
        </w:rPr>
        <w:t> In sum, the LXX contains only Version 1 of the narrative, while the MT combines Versions 1 and 2.</w:t>
      </w:r>
    </w:p>
    <w:p w14:paraId="2FC2B81F" w14:textId="77777777" w:rsidR="00F16574" w:rsidRPr="00F16574" w:rsidRDefault="00F16574" w:rsidP="00F16574">
      <w:pPr>
        <w:spacing w:before="300" w:after="150" w:line="450" w:lineRule="atLeast"/>
        <w:outlineLvl w:val="2"/>
        <w:rPr>
          <w:rFonts w:ascii="Times New Roman" w:eastAsia="Times New Roman" w:hAnsi="Times New Roman" w:cs="Times New Roman"/>
          <w:color w:val="000000"/>
          <w:sz w:val="32"/>
          <w:szCs w:val="32"/>
          <w:lang w:bidi="he-IL"/>
        </w:rPr>
      </w:pPr>
      <w:r w:rsidRPr="00F16574">
        <w:rPr>
          <w:rFonts w:ascii="Times New Roman" w:eastAsia="Times New Roman" w:hAnsi="Times New Roman" w:cs="Times New Roman"/>
          <w:color w:val="000000"/>
          <w:sz w:val="32"/>
          <w:szCs w:val="32"/>
          <w:lang w:bidi="he-IL"/>
        </w:rPr>
        <w:t>Version 1 (the LXX and MT): David, a Servant of Saul</w:t>
      </w:r>
    </w:p>
    <w:p w14:paraId="5C1E396E" w14:textId="77777777" w:rsidR="00F16574" w:rsidRPr="00F16574" w:rsidRDefault="00F16574" w:rsidP="00F16574">
      <w:pPr>
        <w:spacing w:after="300" w:line="465" w:lineRule="atLeast"/>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lang w:bidi="he-IL"/>
        </w:rPr>
        <w:lastRenderedPageBreak/>
        <w:t>Version 1 begins with David already part of the king’s entourage, as he was brought into Saul’s court in the previous chapter (1 Sam 16:14–23). After hearing the Philistine champion’s taunts (17:1–11), David volunteers to fight (17:32). Saul is unable to either dissuade David or arm him, and David faces and kills Goliath with only a sling for a weapon (vv. 33–39, 42–48a, 49, 51).</w:t>
      </w:r>
    </w:p>
    <w:p w14:paraId="0E8E0555" w14:textId="77777777" w:rsidR="00F16574" w:rsidRPr="00F16574" w:rsidRDefault="00F16574" w:rsidP="00F16574">
      <w:pPr>
        <w:spacing w:after="300" w:line="465" w:lineRule="atLeast"/>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lang w:bidi="he-IL"/>
        </w:rPr>
        <w:t>The Israelites defeat the Philistines, Saul makes David a commander in his army, and, in an attempt to arrange David’s death in battle, he offers his daughter Michal’s hand in marriage if David will attack the Philistines (17:52–54, 18:13–16, 20–21a, 22–26a). Version 1 ends with a description of Saul’s growing fear of David (18:28–29a).</w:t>
      </w:r>
    </w:p>
    <w:p w14:paraId="796F5595" w14:textId="77777777" w:rsidR="00F16574" w:rsidRPr="00F16574" w:rsidRDefault="00F16574" w:rsidP="00F16574">
      <w:pPr>
        <w:spacing w:before="300" w:after="150" w:line="450" w:lineRule="atLeast"/>
        <w:outlineLvl w:val="2"/>
        <w:rPr>
          <w:rFonts w:ascii="Times New Roman" w:eastAsia="Times New Roman" w:hAnsi="Times New Roman" w:cs="Times New Roman"/>
          <w:color w:val="000000"/>
          <w:sz w:val="32"/>
          <w:szCs w:val="32"/>
          <w:lang w:bidi="he-IL"/>
        </w:rPr>
      </w:pPr>
      <w:r w:rsidRPr="00F16574">
        <w:rPr>
          <w:rFonts w:ascii="Times New Roman" w:eastAsia="Times New Roman" w:hAnsi="Times New Roman" w:cs="Times New Roman"/>
          <w:color w:val="000000"/>
          <w:sz w:val="32"/>
          <w:szCs w:val="32"/>
          <w:lang w:bidi="he-IL"/>
        </w:rPr>
        <w:t>Version 2 (MT-pluses): David, the Shepherd</w:t>
      </w:r>
    </w:p>
    <w:p w14:paraId="3F332ED0" w14:textId="77777777" w:rsidR="00F16574" w:rsidRPr="00F16574" w:rsidRDefault="00F16574" w:rsidP="00F16574">
      <w:pPr>
        <w:spacing w:after="300" w:line="465" w:lineRule="atLeast"/>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lang w:bidi="he-IL"/>
        </w:rPr>
        <w:t>In Version 2, David is present at the battle by happenstance, sent there by his father (17:12–22). When he hears the Philistine’s taunts, he is “in the trenches,” talking with the men on the battle-lines (vv. 23–30). As the Philistine approaches, the young shepherd launches a successful surprise attack, killing the Philistine with his sling (vv. 41, 48b, 50).</w:t>
      </w:r>
    </w:p>
    <w:p w14:paraId="2997BACE" w14:textId="77777777" w:rsidR="00F16574" w:rsidRPr="00F16574" w:rsidRDefault="00F16574" w:rsidP="00F16574">
      <w:pPr>
        <w:spacing w:after="300" w:line="465" w:lineRule="atLeast"/>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lang w:bidi="he-IL"/>
        </w:rPr>
        <w:t>Seeing this, Saul asks who David is, and Abner then brings David to meet Saul (vv. 55–58). Saul’s son Jonathan quickly befriends David, and the young shepherd becomes part of Saul’s army (18:1, 3–5). Saul also offers his daughter Merab to David in marriage, but she is given to another before the wedding can happen (vv. 17–19). Version 2 seems to end with David being highly regarded within Saul’s court (v. 30).</w:t>
      </w:r>
    </w:p>
    <w:p w14:paraId="3CE63120" w14:textId="77777777" w:rsidR="00F16574" w:rsidRPr="00F16574" w:rsidRDefault="00F16574" w:rsidP="00F16574">
      <w:pPr>
        <w:spacing w:before="300" w:after="150" w:line="450" w:lineRule="atLeast"/>
        <w:outlineLvl w:val="2"/>
        <w:rPr>
          <w:rFonts w:ascii="Times New Roman" w:eastAsia="Times New Roman" w:hAnsi="Times New Roman" w:cs="Times New Roman"/>
          <w:color w:val="000000"/>
          <w:sz w:val="32"/>
          <w:szCs w:val="32"/>
          <w:lang w:bidi="he-IL"/>
        </w:rPr>
      </w:pPr>
      <w:r w:rsidRPr="00F16574">
        <w:rPr>
          <w:rFonts w:ascii="Times New Roman" w:eastAsia="Times New Roman" w:hAnsi="Times New Roman" w:cs="Times New Roman"/>
          <w:color w:val="000000"/>
          <w:sz w:val="32"/>
          <w:szCs w:val="32"/>
          <w:lang w:bidi="he-IL"/>
        </w:rPr>
        <w:t>Aligning the Two Versions</w:t>
      </w:r>
    </w:p>
    <w:p w14:paraId="65F76C9E" w14:textId="77777777" w:rsidR="00F16574" w:rsidRPr="00F16574" w:rsidRDefault="00F16574" w:rsidP="00F16574">
      <w:pPr>
        <w:spacing w:after="300" w:line="465" w:lineRule="atLeast"/>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lang w:bidi="he-IL"/>
        </w:rPr>
        <w:t xml:space="preserve">Several verses found only in the MT are not part of the original story, but in this theory are redactional additions designed to connect the two originally distinct versions of the narrative. For example, one verse resolves David’s roles as court musician (Version 1) </w:t>
      </w:r>
      <w:r w:rsidRPr="00F16574">
        <w:rPr>
          <w:rFonts w:ascii="Times New Roman" w:eastAsia="Times New Roman" w:hAnsi="Times New Roman" w:cs="Times New Roman"/>
          <w:color w:val="000000"/>
          <w:sz w:val="26"/>
          <w:szCs w:val="26"/>
          <w:lang w:bidi="he-IL"/>
        </w:rPr>
        <w:lastRenderedPageBreak/>
        <w:t>and shepherd (Version 2) by stating that David split his time between his home and Saul’s camp:</w:t>
      </w:r>
      <w:r w:rsidRPr="00F16574">
        <w:rPr>
          <w:rFonts w:ascii="Times New Roman" w:eastAsia="Times New Roman" w:hAnsi="Times New Roman" w:cs="Times New Roman"/>
          <w:color w:val="B22222"/>
          <w:sz w:val="23"/>
          <w:szCs w:val="23"/>
          <w:vertAlign w:val="superscript"/>
          <w:lang w:bidi="he-IL"/>
        </w:rPr>
        <w:t>[7]</w:t>
      </w:r>
    </w:p>
    <w:p w14:paraId="600EDAFD" w14:textId="77777777" w:rsidR="00F16574" w:rsidRPr="00F16574" w:rsidRDefault="00F16574" w:rsidP="00F16574">
      <w:pPr>
        <w:bidi/>
        <w:spacing w:after="100" w:line="465" w:lineRule="atLeast"/>
        <w:textAlignment w:val="top"/>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19"/>
          <w:szCs w:val="19"/>
          <w:vertAlign w:val="superscript"/>
          <w:rtl/>
          <w:lang w:bidi="he-IL"/>
        </w:rPr>
        <w:t>שׁמואל א יז:טו</w:t>
      </w:r>
      <w:r w:rsidRPr="00F16574">
        <w:rPr>
          <w:rFonts w:ascii="Times New Roman" w:eastAsia="Times New Roman" w:hAnsi="Times New Roman" w:cs="Times New Roman"/>
          <w:color w:val="000000"/>
          <w:sz w:val="26"/>
          <w:szCs w:val="26"/>
          <w:rtl/>
          <w:lang w:bidi="he-IL"/>
        </w:rPr>
        <w:t> וְדָוִד הֹלֵךְ וָשָׁב מֵעַל שָׁאוּל לִרְעוֹת אֶת צֹאן אָבִיו בֵּית לָחֶם.</w:t>
      </w:r>
    </w:p>
    <w:p w14:paraId="34F403D6" w14:textId="77777777" w:rsidR="00F16574" w:rsidRPr="00F16574" w:rsidRDefault="00F16574" w:rsidP="00F16574">
      <w:pPr>
        <w:spacing w:after="0" w:line="420" w:lineRule="atLeast"/>
        <w:rPr>
          <w:rFonts w:ascii="Times New Roman" w:eastAsia="Times New Roman" w:hAnsi="Times New Roman" w:cs="Times New Roman"/>
          <w:color w:val="000000"/>
          <w:sz w:val="23"/>
          <w:szCs w:val="23"/>
          <w:rtl/>
          <w:lang w:bidi="he-IL"/>
        </w:rPr>
      </w:pPr>
      <w:r w:rsidRPr="00F16574">
        <w:rPr>
          <w:rFonts w:ascii="Times New Roman" w:eastAsia="Times New Roman" w:hAnsi="Times New Roman" w:cs="Times New Roman"/>
          <w:color w:val="000000"/>
          <w:sz w:val="23"/>
          <w:szCs w:val="23"/>
          <w:lang w:bidi="he-IL"/>
        </w:rPr>
        <w:t> </w:t>
      </w:r>
    </w:p>
    <w:p w14:paraId="1044001D" w14:textId="77777777" w:rsidR="00F16574" w:rsidRPr="00F16574" w:rsidRDefault="00F16574" w:rsidP="00F16574">
      <w:pPr>
        <w:spacing w:after="300" w:line="465" w:lineRule="atLeast"/>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lang w:bidi="he-IL"/>
        </w:rPr>
        <w:t>A subsequent verse, also a later addition, describes Saul permanently taking David into his court (18:2).</w:t>
      </w:r>
    </w:p>
    <w:p w14:paraId="1BC50412" w14:textId="77777777" w:rsidR="00F16574" w:rsidRPr="00F16574" w:rsidRDefault="00F16574" w:rsidP="00F16574">
      <w:pPr>
        <w:spacing w:after="300" w:line="465" w:lineRule="atLeast"/>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lang w:bidi="he-IL"/>
        </w:rPr>
        <w:t>Another problem in aligning the two versions is that David departs for his battle with Goliath from different places in each narrative:</w:t>
      </w:r>
    </w:p>
    <w:p w14:paraId="7039EE78" w14:textId="77777777" w:rsidR="00F16574" w:rsidRPr="00F16574" w:rsidRDefault="00F16574" w:rsidP="00F16574">
      <w:pPr>
        <w:spacing w:after="300" w:line="465" w:lineRule="atLeast"/>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lang w:bidi="he-IL"/>
        </w:rPr>
        <w:t>In Version 2, David is on the battle-lines speaking to the Israelite soldiers (17:23–30).</w:t>
      </w:r>
    </w:p>
    <w:p w14:paraId="797E59D1" w14:textId="77777777" w:rsidR="00F16574" w:rsidRPr="00F16574" w:rsidRDefault="00F16574" w:rsidP="00F16574">
      <w:pPr>
        <w:spacing w:after="300" w:line="465" w:lineRule="atLeast"/>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lang w:bidi="he-IL"/>
        </w:rPr>
        <w:t>In Version 1, David is with Saul, and they have an extended exchange about David’s offer to fight (17:32–39).</w:t>
      </w:r>
    </w:p>
    <w:p w14:paraId="7F489A3D" w14:textId="77777777" w:rsidR="00F16574" w:rsidRPr="00F16574" w:rsidRDefault="00F16574" w:rsidP="00F16574">
      <w:pPr>
        <w:spacing w:after="300" w:line="465" w:lineRule="atLeast"/>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lang w:bidi="he-IL"/>
        </w:rPr>
        <w:t>To solve this problem, the editor added a verse indicating that Saul sent for David after hearing what David had been saying on the battle-lines:</w:t>
      </w:r>
    </w:p>
    <w:p w14:paraId="1F5204FB" w14:textId="77777777" w:rsidR="00F16574" w:rsidRPr="00F16574" w:rsidRDefault="00F16574" w:rsidP="00F16574">
      <w:pPr>
        <w:bidi/>
        <w:spacing w:after="100" w:line="465" w:lineRule="atLeast"/>
        <w:textAlignment w:val="top"/>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rtl/>
          <w:lang w:bidi="he-IL"/>
        </w:rPr>
        <w:t>‏</w:t>
      </w:r>
      <w:r w:rsidRPr="00F16574">
        <w:rPr>
          <w:rFonts w:ascii="Times New Roman" w:eastAsia="Times New Roman" w:hAnsi="Times New Roman" w:cs="Times New Roman"/>
          <w:color w:val="000000"/>
          <w:sz w:val="19"/>
          <w:szCs w:val="19"/>
          <w:vertAlign w:val="superscript"/>
          <w:rtl/>
          <w:lang w:bidi="he-IL"/>
        </w:rPr>
        <w:t>שׁמואל א יז:לא</w:t>
      </w:r>
      <w:r w:rsidRPr="00F16574">
        <w:rPr>
          <w:rFonts w:ascii="Times New Roman" w:eastAsia="Times New Roman" w:hAnsi="Times New Roman" w:cs="Times New Roman"/>
          <w:color w:val="000000"/>
          <w:sz w:val="26"/>
          <w:szCs w:val="26"/>
          <w:rtl/>
          <w:lang w:bidi="he-IL"/>
        </w:rPr>
        <w:t> וַיְּשָּׁמְעוּ הַדְּבָרִים אֲשֶׁר דִּבֶּר דָּוִד וַיַּגִּדוּ לִפְנֵי שָׁאוּל וַיִּקָּחֵהוּ.</w:t>
      </w:r>
    </w:p>
    <w:p w14:paraId="2895DD8A" w14:textId="77777777" w:rsidR="00F16574" w:rsidRPr="00F16574" w:rsidRDefault="00F16574" w:rsidP="00F16574">
      <w:pPr>
        <w:spacing w:after="0" w:line="420" w:lineRule="atLeast"/>
        <w:rPr>
          <w:rFonts w:ascii="Times New Roman" w:eastAsia="Times New Roman" w:hAnsi="Times New Roman" w:cs="Times New Roman"/>
          <w:color w:val="000000"/>
          <w:sz w:val="23"/>
          <w:szCs w:val="23"/>
          <w:rtl/>
          <w:lang w:bidi="he-IL"/>
        </w:rPr>
      </w:pPr>
      <w:r w:rsidRPr="00F16574">
        <w:rPr>
          <w:rFonts w:ascii="Times New Roman" w:eastAsia="Times New Roman" w:hAnsi="Times New Roman" w:cs="Times New Roman"/>
          <w:color w:val="000000"/>
          <w:sz w:val="23"/>
          <w:szCs w:val="23"/>
          <w:lang w:bidi="he-IL"/>
        </w:rPr>
        <w:t> </w:t>
      </w:r>
    </w:p>
    <w:p w14:paraId="1860AE22" w14:textId="77777777" w:rsidR="00F16574" w:rsidRPr="00F16574" w:rsidRDefault="00F16574" w:rsidP="00F16574">
      <w:pPr>
        <w:spacing w:after="300" w:line="465" w:lineRule="atLeast"/>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lang w:bidi="he-IL"/>
        </w:rPr>
        <w:t>Several other short clauses of the MT-pluses are also redactional and serve similar purposes (e.g., 18:26b, 29b).</w:t>
      </w:r>
      <w:r w:rsidRPr="00F16574">
        <w:rPr>
          <w:rFonts w:ascii="Times New Roman" w:eastAsia="Times New Roman" w:hAnsi="Times New Roman" w:cs="Times New Roman"/>
          <w:color w:val="B22222"/>
          <w:sz w:val="23"/>
          <w:szCs w:val="23"/>
          <w:vertAlign w:val="superscript"/>
          <w:lang w:bidi="he-IL"/>
        </w:rPr>
        <w:t>[8]</w:t>
      </w:r>
    </w:p>
    <w:p w14:paraId="50050E44" w14:textId="77777777" w:rsidR="00F16574" w:rsidRPr="00F16574" w:rsidRDefault="00F16574" w:rsidP="00F16574">
      <w:pPr>
        <w:spacing w:before="300" w:after="150" w:line="450" w:lineRule="atLeast"/>
        <w:outlineLvl w:val="2"/>
        <w:rPr>
          <w:rFonts w:ascii="Times New Roman" w:eastAsia="Times New Roman" w:hAnsi="Times New Roman" w:cs="Times New Roman"/>
          <w:color w:val="000000"/>
          <w:sz w:val="32"/>
          <w:szCs w:val="32"/>
          <w:lang w:bidi="he-IL"/>
        </w:rPr>
      </w:pPr>
      <w:r w:rsidRPr="00F16574">
        <w:rPr>
          <w:rFonts w:ascii="Times New Roman" w:eastAsia="Times New Roman" w:hAnsi="Times New Roman" w:cs="Times New Roman"/>
          <w:color w:val="000000"/>
          <w:sz w:val="32"/>
          <w:szCs w:val="32"/>
          <w:lang w:bidi="he-IL"/>
        </w:rPr>
        <w:t>Challenges to the Addition Hypothesis</w:t>
      </w:r>
    </w:p>
    <w:p w14:paraId="6D011E38" w14:textId="77777777" w:rsidR="00F16574" w:rsidRPr="00F16574" w:rsidRDefault="00F16574" w:rsidP="00F16574">
      <w:pPr>
        <w:spacing w:after="300" w:line="465" w:lineRule="atLeast"/>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lang w:bidi="he-IL"/>
        </w:rPr>
        <w:t>One problem with the Addition Hypothesis is that while the LXX does not include Version 2 of the David and Goliath narrative, it subsequently appears to refer to details from it, most importantly the covenant that David and Jonathan make right after they meet, which is only found in the MT:</w:t>
      </w:r>
    </w:p>
    <w:p w14:paraId="5EF12A2D" w14:textId="77777777" w:rsidR="00F16574" w:rsidRPr="00F16574" w:rsidRDefault="00F16574" w:rsidP="00F16574">
      <w:pPr>
        <w:bidi/>
        <w:spacing w:after="100" w:line="465" w:lineRule="atLeast"/>
        <w:textAlignment w:val="top"/>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rtl/>
          <w:lang w:bidi="he-IL"/>
        </w:rPr>
        <w:lastRenderedPageBreak/>
        <w:t>‏</w:t>
      </w:r>
      <w:r w:rsidRPr="00F16574">
        <w:rPr>
          <w:rFonts w:ascii="Times New Roman" w:eastAsia="Times New Roman" w:hAnsi="Times New Roman" w:cs="Times New Roman"/>
          <w:color w:val="000000"/>
          <w:sz w:val="19"/>
          <w:szCs w:val="19"/>
          <w:vertAlign w:val="superscript"/>
          <w:rtl/>
          <w:lang w:bidi="he-IL"/>
        </w:rPr>
        <w:t>שׁמואל א יח:א</w:t>
      </w:r>
      <w:r w:rsidRPr="00F16574">
        <w:rPr>
          <w:rFonts w:ascii="Times New Roman" w:eastAsia="Times New Roman" w:hAnsi="Times New Roman" w:cs="Times New Roman"/>
          <w:color w:val="000000"/>
          <w:sz w:val="26"/>
          <w:szCs w:val="26"/>
          <w:rtl/>
          <w:lang w:bidi="he-IL"/>
        </w:rPr>
        <w:t> וַיְהִי כְּכַלֹּתוֹ לְדַבֵּר אֶל שָׁאוּל וְנֶפֶשׁ יְהוֹנָתָן נִקְשְׁרָה בְּנֶפֶשׁ דָּוִד וַּיֶּאֱהָבֵוּ יְהוֹנָתָן כְּנַפְשׁוֹ.... </w:t>
      </w:r>
      <w:r w:rsidRPr="00F16574">
        <w:rPr>
          <w:rFonts w:ascii="Times New Roman" w:eastAsia="Times New Roman" w:hAnsi="Times New Roman" w:cs="Times New Roman"/>
          <w:color w:val="000000"/>
          <w:sz w:val="19"/>
          <w:szCs w:val="19"/>
          <w:vertAlign w:val="superscript"/>
          <w:rtl/>
          <w:lang w:bidi="he-IL"/>
        </w:rPr>
        <w:t>יח:ג</w:t>
      </w:r>
      <w:r w:rsidRPr="00F16574">
        <w:rPr>
          <w:rFonts w:ascii="Times New Roman" w:eastAsia="Times New Roman" w:hAnsi="Times New Roman" w:cs="Times New Roman"/>
          <w:color w:val="000000"/>
          <w:sz w:val="26"/>
          <w:szCs w:val="26"/>
          <w:rtl/>
          <w:lang w:bidi="he-IL"/>
        </w:rPr>
        <w:t> וַיִּכְרֹת יְהוֹנָתָן וְדָוִד בְּרִית בְּאַהֲבָתוֹ אֹתוֹ כְּנַפְשׁוֹ. </w:t>
      </w:r>
      <w:r w:rsidRPr="00F16574">
        <w:rPr>
          <w:rFonts w:ascii="Times New Roman" w:eastAsia="Times New Roman" w:hAnsi="Times New Roman" w:cs="Times New Roman"/>
          <w:color w:val="000000"/>
          <w:sz w:val="19"/>
          <w:szCs w:val="19"/>
          <w:vertAlign w:val="superscript"/>
          <w:rtl/>
          <w:lang w:bidi="he-IL"/>
        </w:rPr>
        <w:t>יח:ד</w:t>
      </w:r>
      <w:r w:rsidRPr="00F16574">
        <w:rPr>
          <w:rFonts w:ascii="Times New Roman" w:eastAsia="Times New Roman" w:hAnsi="Times New Roman" w:cs="Times New Roman"/>
          <w:color w:val="000000"/>
          <w:sz w:val="26"/>
          <w:szCs w:val="26"/>
          <w:rtl/>
          <w:lang w:bidi="he-IL"/>
        </w:rPr>
        <w:t> וַיִּתְפַּשֵּׁט יְהוֹנָתָן אֶת הַמְּעִיל אֲשֶׁר עָלָיו וַיִּתְּנֵהוּ לְדָוִד וּמַדָּיו וְעַד חַרְבּוֹ וְעַד קַשְׁתּוֹ וְעַד חֲגֹרוֹ.</w:t>
      </w:r>
    </w:p>
    <w:p w14:paraId="64EBE679" w14:textId="77777777" w:rsidR="00F16574" w:rsidRPr="00F16574" w:rsidRDefault="00F16574" w:rsidP="00F16574">
      <w:pPr>
        <w:spacing w:after="0" w:line="420" w:lineRule="atLeast"/>
        <w:rPr>
          <w:rFonts w:ascii="Times New Roman" w:eastAsia="Times New Roman" w:hAnsi="Times New Roman" w:cs="Times New Roman"/>
          <w:color w:val="000000"/>
          <w:sz w:val="23"/>
          <w:szCs w:val="23"/>
          <w:rtl/>
          <w:lang w:bidi="he-IL"/>
        </w:rPr>
      </w:pPr>
      <w:r w:rsidRPr="00F16574">
        <w:rPr>
          <w:rFonts w:ascii="Times New Roman" w:eastAsia="Times New Roman" w:hAnsi="Times New Roman" w:cs="Times New Roman"/>
          <w:color w:val="000000"/>
          <w:sz w:val="23"/>
          <w:szCs w:val="23"/>
          <w:lang w:bidi="he-IL"/>
        </w:rPr>
        <w:t> </w:t>
      </w:r>
    </w:p>
    <w:p w14:paraId="48F59FE6" w14:textId="77777777" w:rsidR="00F16574" w:rsidRPr="00F16574" w:rsidRDefault="00F16574" w:rsidP="00F16574">
      <w:pPr>
        <w:spacing w:after="300" w:line="465" w:lineRule="atLeast"/>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lang w:bidi="he-IL"/>
        </w:rPr>
        <w:t>Later, the LXX (consistent with the MT) describes an oath made between the two men as being taken “again,” seemingly referring back to that original covenant in Version 2:</w:t>
      </w:r>
    </w:p>
    <w:p w14:paraId="120422A2" w14:textId="77777777" w:rsidR="00F16574" w:rsidRPr="00F16574" w:rsidRDefault="00F16574" w:rsidP="00F16574">
      <w:pPr>
        <w:bidi/>
        <w:spacing w:after="100" w:line="465" w:lineRule="atLeast"/>
        <w:textAlignment w:val="top"/>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rtl/>
          <w:lang w:bidi="he-IL"/>
        </w:rPr>
        <w:t>‏</w:t>
      </w:r>
      <w:r w:rsidRPr="00F16574">
        <w:rPr>
          <w:rFonts w:ascii="Times New Roman" w:eastAsia="Times New Roman" w:hAnsi="Times New Roman" w:cs="Times New Roman"/>
          <w:color w:val="000000"/>
          <w:sz w:val="19"/>
          <w:szCs w:val="19"/>
          <w:vertAlign w:val="superscript"/>
          <w:rtl/>
          <w:lang w:bidi="he-IL"/>
        </w:rPr>
        <w:t>שׁמואל א כ:יז</w:t>
      </w:r>
      <w:r w:rsidRPr="00F16574">
        <w:rPr>
          <w:rFonts w:ascii="Times New Roman" w:eastAsia="Times New Roman" w:hAnsi="Times New Roman" w:cs="Times New Roman"/>
          <w:color w:val="000000"/>
          <w:sz w:val="26"/>
          <w:szCs w:val="26"/>
          <w:rtl/>
          <w:lang w:bidi="he-IL"/>
        </w:rPr>
        <w:t> </w:t>
      </w:r>
      <w:r w:rsidRPr="00F16574">
        <w:rPr>
          <w:rFonts w:ascii="Times New Roman" w:eastAsia="Times New Roman" w:hAnsi="Times New Roman" w:cs="Times New Roman"/>
          <w:b/>
          <w:bCs/>
          <w:color w:val="000000"/>
          <w:sz w:val="26"/>
          <w:szCs w:val="26"/>
          <w:rtl/>
          <w:lang w:bidi="he-IL"/>
        </w:rPr>
        <w:t>וַיּוֹסֶף</w:t>
      </w:r>
      <w:r w:rsidRPr="00F16574">
        <w:rPr>
          <w:rFonts w:ascii="Times New Roman" w:eastAsia="Times New Roman" w:hAnsi="Times New Roman" w:cs="Times New Roman"/>
          <w:color w:val="000000"/>
          <w:sz w:val="26"/>
          <w:szCs w:val="26"/>
          <w:rtl/>
          <w:lang w:bidi="he-IL"/>
        </w:rPr>
        <w:t> יְהוֹנָתָן </w:t>
      </w:r>
      <w:r w:rsidRPr="00F16574">
        <w:rPr>
          <w:rFonts w:ascii="Times New Roman" w:eastAsia="Times New Roman" w:hAnsi="Times New Roman" w:cs="Times New Roman"/>
          <w:b/>
          <w:bCs/>
          <w:color w:val="000000"/>
          <w:sz w:val="26"/>
          <w:szCs w:val="26"/>
          <w:rtl/>
          <w:lang w:bidi="he-IL"/>
        </w:rPr>
        <w:t>לְהַשְׁבִּיעַ</w:t>
      </w:r>
      <w:r w:rsidRPr="00F16574">
        <w:rPr>
          <w:rFonts w:ascii="Times New Roman" w:eastAsia="Times New Roman" w:hAnsi="Times New Roman" w:cs="Times New Roman"/>
          <w:color w:val="000000"/>
          <w:sz w:val="26"/>
          <w:szCs w:val="26"/>
          <w:rtl/>
          <w:lang w:bidi="he-IL"/>
        </w:rPr>
        <w:t> אֶת דָּוִד בְּאַהֲבָתוֹ אֹתוֹ כִּי אַהֲבַת נַפְשׁוֹ אֲהֵבוֹ.</w:t>
      </w:r>
    </w:p>
    <w:p w14:paraId="43B15FCB" w14:textId="77777777" w:rsidR="00F16574" w:rsidRPr="00F16574" w:rsidRDefault="00F16574" w:rsidP="00F16574">
      <w:pPr>
        <w:spacing w:after="0" w:line="420" w:lineRule="atLeast"/>
        <w:rPr>
          <w:rFonts w:ascii="Times New Roman" w:eastAsia="Times New Roman" w:hAnsi="Times New Roman" w:cs="Times New Roman"/>
          <w:color w:val="000000"/>
          <w:sz w:val="23"/>
          <w:szCs w:val="23"/>
          <w:rtl/>
          <w:lang w:bidi="he-IL"/>
        </w:rPr>
      </w:pPr>
      <w:r w:rsidRPr="00F16574">
        <w:rPr>
          <w:rFonts w:ascii="Times New Roman" w:eastAsia="Times New Roman" w:hAnsi="Times New Roman" w:cs="Times New Roman"/>
          <w:color w:val="000000"/>
          <w:sz w:val="23"/>
          <w:szCs w:val="23"/>
          <w:lang w:bidi="he-IL"/>
        </w:rPr>
        <w:t> </w:t>
      </w:r>
    </w:p>
    <w:p w14:paraId="06B4B868" w14:textId="77777777" w:rsidR="00F16574" w:rsidRPr="00F16574" w:rsidRDefault="00F16574" w:rsidP="0090349F">
      <w:pPr>
        <w:spacing w:after="300" w:line="465" w:lineRule="atLeast"/>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lang w:bidi="he-IL"/>
        </w:rPr>
        <w:t xml:space="preserve">In a subsequent narrative, King David executes a number of Saul’s descendants at YHWH’s command (2 Sam 21). The </w:t>
      </w:r>
      <w:proofErr w:type="spellStart"/>
      <w:r w:rsidRPr="00F16574">
        <w:rPr>
          <w:rFonts w:ascii="Times New Roman" w:eastAsia="Times New Roman" w:hAnsi="Times New Roman" w:cs="Times New Roman"/>
          <w:color w:val="000000"/>
          <w:sz w:val="26"/>
          <w:szCs w:val="26"/>
          <w:lang w:bidi="he-IL"/>
        </w:rPr>
        <w:t>Lucianic</w:t>
      </w:r>
      <w:proofErr w:type="spellEnd"/>
      <w:r w:rsidRPr="00F16574">
        <w:rPr>
          <w:rFonts w:ascii="Times New Roman" w:eastAsia="Times New Roman" w:hAnsi="Times New Roman" w:cs="Times New Roman"/>
          <w:color w:val="000000"/>
          <w:sz w:val="26"/>
          <w:szCs w:val="26"/>
          <w:lang w:bidi="he-IL"/>
        </w:rPr>
        <w:t xml:space="preserve"> LXX recension (LXX</w:t>
      </w:r>
      <w:r w:rsidRPr="00F16574">
        <w:rPr>
          <w:rFonts w:ascii="Times New Roman" w:eastAsia="Times New Roman" w:hAnsi="Times New Roman" w:cs="Times New Roman"/>
          <w:color w:val="000000"/>
          <w:sz w:val="19"/>
          <w:szCs w:val="19"/>
          <w:vertAlign w:val="superscript"/>
          <w:lang w:bidi="he-IL"/>
        </w:rPr>
        <w:t>L</w:t>
      </w:r>
      <w:r w:rsidRPr="00F16574">
        <w:rPr>
          <w:rFonts w:ascii="Times New Roman" w:eastAsia="Times New Roman" w:hAnsi="Times New Roman" w:cs="Times New Roman"/>
          <w:color w:val="000000"/>
          <w:sz w:val="26"/>
          <w:szCs w:val="26"/>
          <w:lang w:bidi="he-IL"/>
        </w:rPr>
        <w:t>), includes among those killed “the sons of Merab…whom she bore to Adriel” (v. 8).</w:t>
      </w:r>
      <w:r w:rsidRPr="00F16574">
        <w:rPr>
          <w:rFonts w:ascii="Times New Roman" w:eastAsia="Times New Roman" w:hAnsi="Times New Roman" w:cs="Times New Roman"/>
          <w:color w:val="B22222"/>
          <w:sz w:val="23"/>
          <w:szCs w:val="23"/>
          <w:vertAlign w:val="superscript"/>
          <w:lang w:bidi="he-IL"/>
        </w:rPr>
        <w:t>[</w:t>
      </w:r>
      <w:r w:rsidR="0090349F">
        <w:rPr>
          <w:rFonts w:ascii="Times New Roman" w:eastAsia="Times New Roman" w:hAnsi="Times New Roman" w:cs="Times New Roman"/>
          <w:color w:val="B22222"/>
          <w:sz w:val="23"/>
          <w:szCs w:val="23"/>
          <w:vertAlign w:val="superscript"/>
          <w:lang w:bidi="he-IL"/>
        </w:rPr>
        <w:t>9</w:t>
      </w:r>
      <w:r w:rsidRPr="00F16574">
        <w:rPr>
          <w:rFonts w:ascii="Times New Roman" w:eastAsia="Times New Roman" w:hAnsi="Times New Roman" w:cs="Times New Roman"/>
          <w:color w:val="B22222"/>
          <w:sz w:val="23"/>
          <w:szCs w:val="23"/>
          <w:vertAlign w:val="superscript"/>
          <w:lang w:bidi="he-IL"/>
        </w:rPr>
        <w:t>]</w:t>
      </w:r>
      <w:r w:rsidRPr="00F16574">
        <w:rPr>
          <w:rFonts w:ascii="Times New Roman" w:eastAsia="Times New Roman" w:hAnsi="Times New Roman" w:cs="Times New Roman"/>
          <w:color w:val="000000"/>
          <w:sz w:val="26"/>
          <w:szCs w:val="26"/>
          <w:lang w:bidi="he-IL"/>
        </w:rPr>
        <w:t> Adriel is not otherwise mentioned in Samuel in the LXX. In the MT, however, he does appear after Saul initially offers Merab to David:</w:t>
      </w:r>
    </w:p>
    <w:p w14:paraId="5E131019" w14:textId="77777777" w:rsidR="00F16574" w:rsidRPr="00F16574" w:rsidRDefault="00F16574" w:rsidP="00F16574">
      <w:pPr>
        <w:bidi/>
        <w:spacing w:after="100" w:line="465" w:lineRule="atLeast"/>
        <w:textAlignment w:val="top"/>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19"/>
          <w:szCs w:val="19"/>
          <w:vertAlign w:val="superscript"/>
          <w:rtl/>
          <w:lang w:bidi="he-IL"/>
        </w:rPr>
        <w:t>שׁמואל א יח:יט</w:t>
      </w:r>
      <w:r w:rsidRPr="00F16574">
        <w:rPr>
          <w:rFonts w:ascii="Times New Roman" w:eastAsia="Times New Roman" w:hAnsi="Times New Roman" w:cs="Times New Roman"/>
          <w:color w:val="000000"/>
          <w:sz w:val="26"/>
          <w:szCs w:val="26"/>
          <w:rtl/>
          <w:lang w:bidi="he-IL"/>
        </w:rPr>
        <w:t> וַיְהִי בְּעֵת תֵּת אֶת מֵרַב בַּת שָׁאוּל לְדָוִד וְהִיא נִתְּנָה לְעַדְרִיאֵל הַמְּחֹלָתִי לְאִשָּׁה.</w:t>
      </w:r>
    </w:p>
    <w:p w14:paraId="1C5D7044" w14:textId="77777777" w:rsidR="00F16574" w:rsidRPr="00F16574" w:rsidRDefault="00F16574" w:rsidP="00F16574">
      <w:pPr>
        <w:spacing w:after="0" w:line="420" w:lineRule="atLeast"/>
        <w:rPr>
          <w:rFonts w:ascii="Times New Roman" w:eastAsia="Times New Roman" w:hAnsi="Times New Roman" w:cs="Times New Roman"/>
          <w:color w:val="000000"/>
          <w:sz w:val="23"/>
          <w:szCs w:val="23"/>
          <w:rtl/>
          <w:lang w:bidi="he-IL"/>
        </w:rPr>
      </w:pPr>
      <w:r w:rsidRPr="00F16574">
        <w:rPr>
          <w:rFonts w:ascii="Times New Roman" w:eastAsia="Times New Roman" w:hAnsi="Times New Roman" w:cs="Times New Roman"/>
          <w:color w:val="000000"/>
          <w:sz w:val="23"/>
          <w:szCs w:val="23"/>
          <w:lang w:bidi="he-IL"/>
        </w:rPr>
        <w:t> </w:t>
      </w:r>
    </w:p>
    <w:p w14:paraId="47A8AABB" w14:textId="77777777" w:rsidR="00F16574" w:rsidRPr="00F16574" w:rsidRDefault="00F16574" w:rsidP="00F16574">
      <w:pPr>
        <w:spacing w:after="300" w:line="465" w:lineRule="atLeast"/>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lang w:bidi="he-IL"/>
        </w:rPr>
        <w:t>If the scene of Merab’s marriage to Adriel is a later addition to the MT, how would the LXX know to refer to it?</w:t>
      </w:r>
    </w:p>
    <w:p w14:paraId="2CAAB375" w14:textId="77777777" w:rsidR="00F16574" w:rsidRPr="00F16574" w:rsidRDefault="00F16574" w:rsidP="00F16574">
      <w:pPr>
        <w:spacing w:before="210" w:after="210" w:line="630" w:lineRule="atLeast"/>
        <w:jc w:val="center"/>
        <w:outlineLvl w:val="1"/>
        <w:rPr>
          <w:rFonts w:ascii="Times New Roman" w:eastAsia="Times New Roman" w:hAnsi="Times New Roman" w:cs="Times New Roman"/>
          <w:color w:val="000000"/>
          <w:sz w:val="38"/>
          <w:szCs w:val="38"/>
          <w:lang w:bidi="he-IL"/>
        </w:rPr>
      </w:pPr>
      <w:r w:rsidRPr="00F16574">
        <w:rPr>
          <w:rFonts w:ascii="Times New Roman" w:eastAsia="Times New Roman" w:hAnsi="Times New Roman" w:cs="Times New Roman"/>
          <w:color w:val="000000"/>
          <w:sz w:val="38"/>
          <w:szCs w:val="38"/>
          <w:lang w:bidi="he-IL"/>
        </w:rPr>
        <w:t>The Omission Hypothesis</w:t>
      </w:r>
    </w:p>
    <w:p w14:paraId="2BB35C15" w14:textId="77777777" w:rsidR="00F16574" w:rsidRPr="00F16574" w:rsidRDefault="00F16574" w:rsidP="0042406F">
      <w:pPr>
        <w:spacing w:after="300" w:line="465" w:lineRule="atLeast"/>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lang w:bidi="he-IL"/>
        </w:rPr>
        <w:t>These issues of narrative continuity—of the LXX referring to narrative details that are present in the MT, but not present in its own version of the David and Goliath narrative—are often cited to justify an alternative to the Addition Hypothesis: the “Omission Hypothesis,” which proposes that the MT represents the older text,</w:t>
      </w:r>
      <w:r w:rsidRPr="00F16574">
        <w:rPr>
          <w:rFonts w:ascii="Times New Roman" w:eastAsia="Times New Roman" w:hAnsi="Times New Roman" w:cs="Times New Roman"/>
          <w:color w:val="B22222"/>
          <w:sz w:val="23"/>
          <w:szCs w:val="23"/>
          <w:vertAlign w:val="superscript"/>
          <w:lang w:bidi="he-IL"/>
        </w:rPr>
        <w:t>[</w:t>
      </w:r>
      <w:r w:rsidR="0042406F">
        <w:rPr>
          <w:rFonts w:ascii="Times New Roman" w:eastAsia="Times New Roman" w:hAnsi="Times New Roman" w:cs="Times New Roman"/>
          <w:color w:val="B22222"/>
          <w:sz w:val="23"/>
          <w:szCs w:val="23"/>
          <w:vertAlign w:val="superscript"/>
          <w:lang w:bidi="he-IL"/>
        </w:rPr>
        <w:t>10</w:t>
      </w:r>
      <w:r w:rsidRPr="00F16574">
        <w:rPr>
          <w:rFonts w:ascii="Times New Roman" w:eastAsia="Times New Roman" w:hAnsi="Times New Roman" w:cs="Times New Roman"/>
          <w:color w:val="B22222"/>
          <w:sz w:val="23"/>
          <w:szCs w:val="23"/>
          <w:vertAlign w:val="superscript"/>
          <w:lang w:bidi="he-IL"/>
        </w:rPr>
        <w:t>]</w:t>
      </w:r>
      <w:r w:rsidRPr="00F16574">
        <w:rPr>
          <w:rFonts w:ascii="Times New Roman" w:eastAsia="Times New Roman" w:hAnsi="Times New Roman" w:cs="Times New Roman"/>
          <w:color w:val="000000"/>
          <w:sz w:val="26"/>
          <w:szCs w:val="26"/>
          <w:lang w:bidi="he-IL"/>
        </w:rPr>
        <w:t xml:space="preserve"> and that the LXX version was created when an editor omitted those portions of the MT that were thought to be problematic in some way. Specifically, the translator of the Septuagint found parts of </w:t>
      </w:r>
      <w:r w:rsidRPr="00F16574">
        <w:rPr>
          <w:rFonts w:ascii="Times New Roman" w:eastAsia="Times New Roman" w:hAnsi="Times New Roman" w:cs="Times New Roman"/>
          <w:color w:val="000000"/>
          <w:sz w:val="26"/>
          <w:szCs w:val="26"/>
          <w:lang w:bidi="he-IL"/>
        </w:rPr>
        <w:lastRenderedPageBreak/>
        <w:t xml:space="preserve">the story to be redundant or superfluous. In one version of this theory, the redundant portions of the MT arose because an earlier editor had combined multiple accounts, and the </w:t>
      </w:r>
      <w:proofErr w:type="spellStart"/>
      <w:r w:rsidRPr="00F16574">
        <w:rPr>
          <w:rFonts w:ascii="Times New Roman" w:eastAsia="Times New Roman" w:hAnsi="Times New Roman" w:cs="Times New Roman"/>
          <w:color w:val="000000"/>
          <w:sz w:val="26"/>
          <w:szCs w:val="26"/>
          <w:lang w:bidi="he-IL"/>
        </w:rPr>
        <w:t>Septuagintal</w:t>
      </w:r>
      <w:proofErr w:type="spellEnd"/>
      <w:r w:rsidRPr="00F16574">
        <w:rPr>
          <w:rFonts w:ascii="Times New Roman" w:eastAsia="Times New Roman" w:hAnsi="Times New Roman" w:cs="Times New Roman"/>
          <w:color w:val="000000"/>
          <w:sz w:val="26"/>
          <w:szCs w:val="26"/>
          <w:lang w:bidi="he-IL"/>
        </w:rPr>
        <w:t xml:space="preserve"> translator was simply “fixing” the overly-full story.</w:t>
      </w:r>
      <w:r w:rsidRPr="00F16574">
        <w:rPr>
          <w:rFonts w:ascii="Times New Roman" w:eastAsia="Times New Roman" w:hAnsi="Times New Roman" w:cs="Times New Roman"/>
          <w:color w:val="B22222"/>
          <w:sz w:val="23"/>
          <w:szCs w:val="23"/>
          <w:vertAlign w:val="superscript"/>
          <w:lang w:bidi="he-IL"/>
        </w:rPr>
        <w:t>[</w:t>
      </w:r>
      <w:r w:rsidR="0042406F">
        <w:rPr>
          <w:rFonts w:ascii="Times New Roman" w:eastAsia="Times New Roman" w:hAnsi="Times New Roman" w:cs="Times New Roman"/>
          <w:color w:val="B22222"/>
          <w:sz w:val="23"/>
          <w:szCs w:val="23"/>
          <w:vertAlign w:val="superscript"/>
          <w:lang w:bidi="he-IL"/>
        </w:rPr>
        <w:t>11</w:t>
      </w:r>
      <w:r w:rsidRPr="00F16574">
        <w:rPr>
          <w:rFonts w:ascii="Times New Roman" w:eastAsia="Times New Roman" w:hAnsi="Times New Roman" w:cs="Times New Roman"/>
          <w:color w:val="B22222"/>
          <w:sz w:val="23"/>
          <w:szCs w:val="23"/>
          <w:vertAlign w:val="superscript"/>
          <w:lang w:bidi="he-IL"/>
        </w:rPr>
        <w:t>]</w:t>
      </w:r>
    </w:p>
    <w:p w14:paraId="1AE05D89" w14:textId="77777777" w:rsidR="00F16574" w:rsidRPr="00F16574" w:rsidRDefault="00F16574" w:rsidP="0042406F">
      <w:pPr>
        <w:spacing w:after="300" w:line="465" w:lineRule="atLeast"/>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lang w:bidi="he-IL"/>
        </w:rPr>
        <w:t>But in another major line of argumentation, the MT works </w:t>
      </w:r>
      <w:r w:rsidRPr="00F16574">
        <w:rPr>
          <w:rFonts w:ascii="Times New Roman" w:eastAsia="Times New Roman" w:hAnsi="Times New Roman" w:cs="Times New Roman"/>
          <w:i/>
          <w:iCs/>
          <w:color w:val="000000"/>
          <w:sz w:val="26"/>
          <w:szCs w:val="26"/>
          <w:lang w:bidi="he-IL"/>
        </w:rPr>
        <w:t>better</w:t>
      </w:r>
      <w:r w:rsidRPr="00F16574">
        <w:rPr>
          <w:rFonts w:ascii="Times New Roman" w:eastAsia="Times New Roman" w:hAnsi="Times New Roman" w:cs="Times New Roman"/>
          <w:color w:val="000000"/>
          <w:sz w:val="26"/>
          <w:szCs w:val="26"/>
          <w:lang w:bidi="he-IL"/>
        </w:rPr>
        <w:t> as a folktale than does the shorter LXX version. On this account, the fuller MT text is viewed to be the archaic original precisely because of the twisting and turning plot, the multiple points of view offered by the narrator, and the intrigue involving the offer that David should marry the king’s daughter.</w:t>
      </w:r>
      <w:r w:rsidRPr="00F16574">
        <w:rPr>
          <w:rFonts w:ascii="Times New Roman" w:eastAsia="Times New Roman" w:hAnsi="Times New Roman" w:cs="Times New Roman"/>
          <w:color w:val="B22222"/>
          <w:sz w:val="23"/>
          <w:szCs w:val="23"/>
          <w:vertAlign w:val="superscript"/>
          <w:lang w:bidi="he-IL"/>
        </w:rPr>
        <w:t>[</w:t>
      </w:r>
      <w:r w:rsidR="0042406F">
        <w:rPr>
          <w:rFonts w:ascii="Times New Roman" w:eastAsia="Times New Roman" w:hAnsi="Times New Roman" w:cs="Times New Roman"/>
          <w:color w:val="B22222"/>
          <w:sz w:val="23"/>
          <w:szCs w:val="23"/>
          <w:vertAlign w:val="superscript"/>
          <w:lang w:bidi="he-IL"/>
        </w:rPr>
        <w:t>12</w:t>
      </w:r>
      <w:r w:rsidRPr="00F16574">
        <w:rPr>
          <w:rFonts w:ascii="Times New Roman" w:eastAsia="Times New Roman" w:hAnsi="Times New Roman" w:cs="Times New Roman"/>
          <w:color w:val="B22222"/>
          <w:sz w:val="23"/>
          <w:szCs w:val="23"/>
          <w:vertAlign w:val="superscript"/>
          <w:lang w:bidi="he-IL"/>
        </w:rPr>
        <w:t>]</w:t>
      </w:r>
    </w:p>
    <w:p w14:paraId="2C710452" w14:textId="77777777" w:rsidR="00F16574" w:rsidRPr="00F16574" w:rsidRDefault="00F16574" w:rsidP="00F16574">
      <w:pPr>
        <w:spacing w:before="300" w:after="150" w:line="450" w:lineRule="atLeast"/>
        <w:outlineLvl w:val="2"/>
        <w:rPr>
          <w:rFonts w:ascii="Times New Roman" w:eastAsia="Times New Roman" w:hAnsi="Times New Roman" w:cs="Times New Roman"/>
          <w:color w:val="000000"/>
          <w:sz w:val="32"/>
          <w:szCs w:val="32"/>
          <w:lang w:bidi="he-IL"/>
        </w:rPr>
      </w:pPr>
      <w:r w:rsidRPr="00F16574">
        <w:rPr>
          <w:rFonts w:ascii="Times New Roman" w:eastAsia="Times New Roman" w:hAnsi="Times New Roman" w:cs="Times New Roman"/>
          <w:color w:val="000000"/>
          <w:sz w:val="32"/>
          <w:szCs w:val="32"/>
          <w:lang w:bidi="he-IL"/>
        </w:rPr>
        <w:t>Challenges to the Omission Hypothesis</w:t>
      </w:r>
    </w:p>
    <w:p w14:paraId="06BF966F" w14:textId="77777777" w:rsidR="00F16574" w:rsidRPr="00F16574" w:rsidRDefault="00F16574" w:rsidP="0042406F">
      <w:pPr>
        <w:spacing w:after="300" w:line="465" w:lineRule="atLeast"/>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lang w:bidi="he-IL"/>
        </w:rPr>
        <w:t>The Omission Hypothesis offers an explanation for the literary continuities between the MT’s Version 2 material and later portions of LXX-Samuel. It has difficulty, however, explaining the evidence that the passages that the LXX editor excised from the David and Goliath narrative comprise a complete story of David’s battle with Goliath and its aftermath, along with all of the verses that serve to connect the two versions.</w:t>
      </w:r>
      <w:r w:rsidRPr="00F16574">
        <w:rPr>
          <w:rFonts w:ascii="Times New Roman" w:eastAsia="Times New Roman" w:hAnsi="Times New Roman" w:cs="Times New Roman"/>
          <w:color w:val="B22222"/>
          <w:sz w:val="23"/>
          <w:szCs w:val="23"/>
          <w:vertAlign w:val="superscript"/>
          <w:lang w:bidi="he-IL"/>
        </w:rPr>
        <w:t>[</w:t>
      </w:r>
      <w:r w:rsidR="0042406F">
        <w:rPr>
          <w:rFonts w:ascii="Times New Roman" w:eastAsia="Times New Roman" w:hAnsi="Times New Roman" w:cs="Times New Roman"/>
          <w:color w:val="B22222"/>
          <w:sz w:val="23"/>
          <w:szCs w:val="23"/>
          <w:vertAlign w:val="superscript"/>
          <w:lang w:bidi="he-IL"/>
        </w:rPr>
        <w:t>13</w:t>
      </w:r>
      <w:r w:rsidRPr="00F16574">
        <w:rPr>
          <w:rFonts w:ascii="Times New Roman" w:eastAsia="Times New Roman" w:hAnsi="Times New Roman" w:cs="Times New Roman"/>
          <w:color w:val="B22222"/>
          <w:sz w:val="23"/>
          <w:szCs w:val="23"/>
          <w:vertAlign w:val="superscript"/>
          <w:lang w:bidi="he-IL"/>
        </w:rPr>
        <w:t>]</w:t>
      </w:r>
      <w:r w:rsidRPr="00F16574">
        <w:rPr>
          <w:rFonts w:ascii="Times New Roman" w:eastAsia="Times New Roman" w:hAnsi="Times New Roman" w:cs="Times New Roman"/>
          <w:color w:val="000000"/>
          <w:sz w:val="26"/>
          <w:szCs w:val="26"/>
          <w:lang w:bidi="he-IL"/>
        </w:rPr>
        <w:t> How could an editor, no matter how careful, have removed this material with such precision?</w:t>
      </w:r>
    </w:p>
    <w:p w14:paraId="7EFACF3A" w14:textId="77777777" w:rsidR="00F16574" w:rsidRPr="00F16574" w:rsidRDefault="00F16574" w:rsidP="00F16574">
      <w:pPr>
        <w:spacing w:before="210" w:after="210" w:line="630" w:lineRule="atLeast"/>
        <w:jc w:val="center"/>
        <w:outlineLvl w:val="1"/>
        <w:rPr>
          <w:rFonts w:ascii="Times New Roman" w:eastAsia="Times New Roman" w:hAnsi="Times New Roman" w:cs="Times New Roman"/>
          <w:color w:val="000000"/>
          <w:sz w:val="38"/>
          <w:szCs w:val="38"/>
          <w:lang w:bidi="he-IL"/>
        </w:rPr>
      </w:pPr>
      <w:r w:rsidRPr="00F16574">
        <w:rPr>
          <w:rFonts w:ascii="Times New Roman" w:eastAsia="Times New Roman" w:hAnsi="Times New Roman" w:cs="Times New Roman"/>
          <w:color w:val="000000"/>
          <w:sz w:val="38"/>
          <w:szCs w:val="38"/>
          <w:lang w:bidi="he-IL"/>
        </w:rPr>
        <w:t>A New Way Forward: The Corruption-Replacement Hypothesis</w:t>
      </w:r>
    </w:p>
    <w:p w14:paraId="76ECD908" w14:textId="77777777" w:rsidR="00F16574" w:rsidRPr="00F16574" w:rsidRDefault="00F16574" w:rsidP="00F16574">
      <w:pPr>
        <w:spacing w:after="300" w:line="465" w:lineRule="atLeast"/>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lang w:bidi="he-IL"/>
        </w:rPr>
        <w:t>Consideration of the material aspects of ancient texts suggests a new explanation of the evidence: that the LXX tradition developed from the repair of a damaged scroll. Ancient scrolls were subject to wear and tear over time, and they occasionally required repairs to restore damaged text. In such cases, a scribe would stitch the replacement text to the original.</w:t>
      </w:r>
    </w:p>
    <w:p w14:paraId="774EF693" w14:textId="77777777" w:rsidR="00F16574" w:rsidRPr="00F16574" w:rsidRDefault="00F16574" w:rsidP="00F16574">
      <w:pPr>
        <w:spacing w:before="300" w:after="150" w:line="450" w:lineRule="atLeast"/>
        <w:outlineLvl w:val="2"/>
        <w:rPr>
          <w:rFonts w:ascii="Times New Roman" w:eastAsia="Times New Roman" w:hAnsi="Times New Roman" w:cs="Times New Roman"/>
          <w:color w:val="000000"/>
          <w:sz w:val="32"/>
          <w:szCs w:val="32"/>
          <w:lang w:bidi="he-IL"/>
        </w:rPr>
      </w:pPr>
      <w:r w:rsidRPr="00F16574">
        <w:rPr>
          <w:rFonts w:ascii="Times New Roman" w:eastAsia="Times New Roman" w:hAnsi="Times New Roman" w:cs="Times New Roman"/>
          <w:color w:val="000000"/>
          <w:sz w:val="32"/>
          <w:szCs w:val="32"/>
          <w:lang w:bidi="he-IL"/>
        </w:rPr>
        <w:t>Replacement Sheets at Qumran</w:t>
      </w:r>
    </w:p>
    <w:p w14:paraId="2B564A2F" w14:textId="77777777" w:rsidR="00F16574" w:rsidRPr="00F16574" w:rsidRDefault="00F16574" w:rsidP="0042406F">
      <w:pPr>
        <w:spacing w:after="300" w:line="465" w:lineRule="atLeast"/>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lang w:bidi="he-IL"/>
        </w:rPr>
        <w:lastRenderedPageBreak/>
        <w:t>For example, manuscripts at Qumran show evidence that they have been patched:</w:t>
      </w:r>
      <w:r w:rsidRPr="00F16574">
        <w:rPr>
          <w:rFonts w:ascii="Times New Roman" w:eastAsia="Times New Roman" w:hAnsi="Times New Roman" w:cs="Times New Roman"/>
          <w:color w:val="B22222"/>
          <w:sz w:val="23"/>
          <w:szCs w:val="23"/>
          <w:vertAlign w:val="superscript"/>
          <w:lang w:bidi="he-IL"/>
        </w:rPr>
        <w:t>[</w:t>
      </w:r>
      <w:r w:rsidR="0042406F">
        <w:rPr>
          <w:rFonts w:ascii="Times New Roman" w:eastAsia="Times New Roman" w:hAnsi="Times New Roman" w:cs="Times New Roman"/>
          <w:color w:val="B22222"/>
          <w:sz w:val="23"/>
          <w:szCs w:val="23"/>
          <w:vertAlign w:val="superscript"/>
          <w:lang w:bidi="he-IL"/>
        </w:rPr>
        <w:t>14</w:t>
      </w:r>
      <w:r w:rsidRPr="00F16574">
        <w:rPr>
          <w:rFonts w:ascii="Times New Roman" w:eastAsia="Times New Roman" w:hAnsi="Times New Roman" w:cs="Times New Roman"/>
          <w:color w:val="B22222"/>
          <w:sz w:val="23"/>
          <w:szCs w:val="23"/>
          <w:vertAlign w:val="superscript"/>
          <w:lang w:bidi="he-IL"/>
        </w:rPr>
        <w:t>]</w:t>
      </w:r>
    </w:p>
    <w:p w14:paraId="2868AC64" w14:textId="77777777" w:rsidR="00936CA9" w:rsidRDefault="00936CA9" w:rsidP="00F16574">
      <w:pPr>
        <w:spacing w:after="0" w:line="420" w:lineRule="atLeast"/>
        <w:rPr>
          <w:rFonts w:ascii="Times New Roman" w:eastAsia="Times New Roman" w:hAnsi="Times New Roman" w:cs="Times New Roman"/>
          <w:color w:val="000000"/>
          <w:sz w:val="23"/>
          <w:szCs w:val="23"/>
          <w:lang w:bidi="he-IL"/>
        </w:rPr>
      </w:pPr>
      <w:r w:rsidRPr="00936CA9">
        <w:rPr>
          <w:rFonts w:ascii="Times New Roman" w:eastAsia="Times New Roman" w:hAnsi="Times New Roman" w:cs="Times New Roman"/>
          <w:noProof/>
          <w:color w:val="000000"/>
          <w:sz w:val="23"/>
          <w:szCs w:val="23"/>
          <w:lang w:bidi="he-IL"/>
        </w:rPr>
        <w:pict w14:anchorId="2B834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6" type="#_x0000_t75" alt="https://firebasestorage.googleapis.com/v0/b/bageladmin.appspot.com/o/rtf%2FDeadSeascroll.jpg?alt=media&amp;token=9a1f6df0-7d38-4f50-8d4b-96f3439b26de" style="width:106.2pt;height:148.8pt;visibility:visible">
            <v:imagedata r:id="rId6" o:title="rtf%2FDeadSeascroll"/>
          </v:shape>
        </w:pict>
      </w:r>
    </w:p>
    <w:p w14:paraId="52AA3E76" w14:textId="77777777" w:rsidR="00F16574" w:rsidRPr="00F16574" w:rsidRDefault="00F16574" w:rsidP="00F16574">
      <w:pPr>
        <w:spacing w:after="0" w:line="420" w:lineRule="atLeast"/>
        <w:rPr>
          <w:rFonts w:ascii="Times New Roman" w:eastAsia="Times New Roman" w:hAnsi="Times New Roman" w:cs="Times New Roman"/>
          <w:color w:val="000000"/>
          <w:sz w:val="23"/>
          <w:szCs w:val="23"/>
          <w:lang w:bidi="he-IL"/>
        </w:rPr>
      </w:pPr>
      <w:r w:rsidRPr="00F16574">
        <w:rPr>
          <w:rFonts w:ascii="Times New Roman" w:eastAsia="Times New Roman" w:hAnsi="Times New Roman" w:cs="Times New Roman"/>
          <w:color w:val="000000"/>
          <w:sz w:val="23"/>
          <w:szCs w:val="23"/>
          <w:lang w:bidi="he-IL"/>
        </w:rPr>
        <w:t>4Q216, Plate 385, Frag 11, B-361564 Photographer: Shai Halevi ©</w:t>
      </w:r>
      <w:hyperlink r:id="rId7" w:tgtFrame="_blank" w:history="1">
        <w:r w:rsidRPr="00F16574">
          <w:rPr>
            <w:rFonts w:ascii="Times New Roman" w:eastAsia="Times New Roman" w:hAnsi="Times New Roman" w:cs="Times New Roman"/>
            <w:color w:val="0000FF"/>
            <w:sz w:val="23"/>
            <w:szCs w:val="23"/>
            <w:u w:val="single"/>
            <w:lang w:bidi="he-IL"/>
          </w:rPr>
          <w:t> Israel Antiquities Authority.</w:t>
        </w:r>
      </w:hyperlink>
    </w:p>
    <w:p w14:paraId="682B0F4E" w14:textId="77777777" w:rsidR="00F16574" w:rsidRPr="00F16574" w:rsidRDefault="00F16574" w:rsidP="0042406F">
      <w:pPr>
        <w:numPr>
          <w:ilvl w:val="0"/>
          <w:numId w:val="2"/>
        </w:numPr>
        <w:spacing w:before="100" w:beforeAutospacing="1" w:after="105" w:line="465" w:lineRule="atLeast"/>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lang w:bidi="he-IL"/>
        </w:rPr>
        <w:t>A fragment of a manuscript of Jubilees (4Q216 = 4QJubilees</w:t>
      </w:r>
      <w:r w:rsidRPr="00F16574">
        <w:rPr>
          <w:rFonts w:ascii="Times New Roman" w:eastAsia="Times New Roman" w:hAnsi="Times New Roman" w:cs="Times New Roman"/>
          <w:color w:val="000000"/>
          <w:sz w:val="19"/>
          <w:szCs w:val="19"/>
          <w:vertAlign w:val="superscript"/>
          <w:lang w:bidi="he-IL"/>
        </w:rPr>
        <w:t>a</w:t>
      </w:r>
      <w:r w:rsidRPr="00F16574">
        <w:rPr>
          <w:rFonts w:ascii="Times New Roman" w:eastAsia="Times New Roman" w:hAnsi="Times New Roman" w:cs="Times New Roman"/>
          <w:color w:val="000000"/>
          <w:sz w:val="26"/>
          <w:szCs w:val="26"/>
          <w:lang w:bidi="he-IL"/>
        </w:rPr>
        <w:t>) preserves portions of two different sheets, along with the stitching holding them together.</w:t>
      </w:r>
      <w:r w:rsidRPr="00F16574">
        <w:rPr>
          <w:rFonts w:ascii="Times New Roman" w:eastAsia="Times New Roman" w:hAnsi="Times New Roman" w:cs="Times New Roman"/>
          <w:color w:val="B22222"/>
          <w:sz w:val="23"/>
          <w:szCs w:val="23"/>
          <w:vertAlign w:val="superscript"/>
          <w:lang w:bidi="he-IL"/>
        </w:rPr>
        <w:t>[</w:t>
      </w:r>
      <w:r w:rsidR="0042406F">
        <w:rPr>
          <w:rFonts w:ascii="Times New Roman" w:eastAsia="Times New Roman" w:hAnsi="Times New Roman" w:cs="Times New Roman"/>
          <w:color w:val="B22222"/>
          <w:sz w:val="23"/>
          <w:szCs w:val="23"/>
          <w:vertAlign w:val="superscript"/>
          <w:lang w:bidi="he-IL"/>
        </w:rPr>
        <w:t>15</w:t>
      </w:r>
      <w:r w:rsidRPr="00F16574">
        <w:rPr>
          <w:rFonts w:ascii="Times New Roman" w:eastAsia="Times New Roman" w:hAnsi="Times New Roman" w:cs="Times New Roman"/>
          <w:color w:val="B22222"/>
          <w:sz w:val="23"/>
          <w:szCs w:val="23"/>
          <w:vertAlign w:val="superscript"/>
          <w:lang w:bidi="he-IL"/>
        </w:rPr>
        <w:t>]</w:t>
      </w:r>
      <w:r w:rsidRPr="00F16574">
        <w:rPr>
          <w:rFonts w:ascii="Times New Roman" w:eastAsia="Times New Roman" w:hAnsi="Times New Roman" w:cs="Times New Roman"/>
          <w:color w:val="000000"/>
          <w:sz w:val="26"/>
          <w:szCs w:val="26"/>
          <w:lang w:bidi="he-IL"/>
        </w:rPr>
        <w:t> Molly Zahn notes: “The two sheets are written in two different hands, the first dating to the mid-first century</w:t>
      </w:r>
      <w:r w:rsidRPr="00F16574">
        <w:rPr>
          <w:rFonts w:ascii="Times New Roman" w:eastAsia="Times New Roman" w:hAnsi="Times New Roman" w:cs="Times New Roman"/>
          <w:smallCaps/>
          <w:color w:val="000000"/>
          <w:sz w:val="26"/>
          <w:szCs w:val="26"/>
          <w:lang w:bidi="he-IL"/>
        </w:rPr>
        <w:t> B.C.E</w:t>
      </w:r>
      <w:r w:rsidRPr="00F16574">
        <w:rPr>
          <w:rFonts w:ascii="Times New Roman" w:eastAsia="Times New Roman" w:hAnsi="Times New Roman" w:cs="Times New Roman"/>
          <w:color w:val="000000"/>
          <w:sz w:val="26"/>
          <w:szCs w:val="26"/>
          <w:lang w:bidi="he-IL"/>
        </w:rPr>
        <w:t>. and the second to approximately 125–100</w:t>
      </w:r>
      <w:r w:rsidRPr="00F16574">
        <w:rPr>
          <w:rFonts w:ascii="Times New Roman" w:eastAsia="Times New Roman" w:hAnsi="Times New Roman" w:cs="Times New Roman"/>
          <w:smallCaps/>
          <w:color w:val="000000"/>
          <w:sz w:val="26"/>
          <w:szCs w:val="26"/>
          <w:lang w:bidi="he-IL"/>
        </w:rPr>
        <w:t> B.C.E</w:t>
      </w:r>
      <w:r w:rsidRPr="00F16574">
        <w:rPr>
          <w:rFonts w:ascii="Times New Roman" w:eastAsia="Times New Roman" w:hAnsi="Times New Roman" w:cs="Times New Roman"/>
          <w:color w:val="000000"/>
          <w:sz w:val="26"/>
          <w:szCs w:val="26"/>
          <w:lang w:bidi="he-IL"/>
        </w:rPr>
        <w:t>. That is, the writing on the second sheet is considerably older than that on the first sheet.”</w:t>
      </w:r>
      <w:r w:rsidRPr="00F16574">
        <w:rPr>
          <w:rFonts w:ascii="Times New Roman" w:eastAsia="Times New Roman" w:hAnsi="Times New Roman" w:cs="Times New Roman"/>
          <w:color w:val="B22222"/>
          <w:sz w:val="23"/>
          <w:szCs w:val="23"/>
          <w:vertAlign w:val="superscript"/>
          <w:lang w:bidi="he-IL"/>
        </w:rPr>
        <w:t>[</w:t>
      </w:r>
      <w:r w:rsidR="0042406F">
        <w:rPr>
          <w:rFonts w:ascii="Times New Roman" w:eastAsia="Times New Roman" w:hAnsi="Times New Roman" w:cs="Times New Roman"/>
          <w:color w:val="B22222"/>
          <w:sz w:val="23"/>
          <w:szCs w:val="23"/>
          <w:vertAlign w:val="superscript"/>
          <w:lang w:bidi="he-IL"/>
        </w:rPr>
        <w:t>16</w:t>
      </w:r>
      <w:r w:rsidRPr="00F16574">
        <w:rPr>
          <w:rFonts w:ascii="Times New Roman" w:eastAsia="Times New Roman" w:hAnsi="Times New Roman" w:cs="Times New Roman"/>
          <w:color w:val="B22222"/>
          <w:sz w:val="23"/>
          <w:szCs w:val="23"/>
          <w:vertAlign w:val="superscript"/>
          <w:lang w:bidi="he-IL"/>
        </w:rPr>
        <w:t>]</w:t>
      </w:r>
    </w:p>
    <w:p w14:paraId="56F70664" w14:textId="77777777" w:rsidR="00F16574" w:rsidRPr="00F16574" w:rsidRDefault="00F16574" w:rsidP="00F16574">
      <w:pPr>
        <w:numPr>
          <w:ilvl w:val="0"/>
          <w:numId w:val="2"/>
        </w:numPr>
        <w:spacing w:before="100" w:beforeAutospacing="1" w:after="105" w:line="465" w:lineRule="atLeast"/>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lang w:bidi="he-IL"/>
        </w:rPr>
        <w:t>A sheet that contained an older copy of the Temple Scroll (11Q19) has had newer sheet added to its right side, patching the text. Again there is a clear shift in both the material qualities of the parchment and the handwriting associated with each between the two sheets.</w:t>
      </w:r>
    </w:p>
    <w:p w14:paraId="5DBD091C" w14:textId="77777777" w:rsidR="00F16574" w:rsidRPr="00F16574" w:rsidRDefault="00F16574" w:rsidP="00F16574">
      <w:pPr>
        <w:spacing w:after="300" w:line="465" w:lineRule="atLeast"/>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lang w:bidi="he-IL"/>
        </w:rPr>
        <w:t>Patching may also explain the significant differences between the LXX and MT versions of the David and Goliath narrative.</w:t>
      </w:r>
    </w:p>
    <w:p w14:paraId="38136EC2" w14:textId="77777777" w:rsidR="00F16574" w:rsidRPr="00F16574" w:rsidRDefault="00F16574" w:rsidP="00F16574">
      <w:pPr>
        <w:spacing w:before="300" w:after="150" w:line="450" w:lineRule="atLeast"/>
        <w:outlineLvl w:val="2"/>
        <w:rPr>
          <w:rFonts w:ascii="Times New Roman" w:eastAsia="Times New Roman" w:hAnsi="Times New Roman" w:cs="Times New Roman"/>
          <w:color w:val="000000"/>
          <w:sz w:val="32"/>
          <w:szCs w:val="32"/>
          <w:lang w:bidi="he-IL"/>
        </w:rPr>
      </w:pPr>
      <w:r w:rsidRPr="00F16574">
        <w:rPr>
          <w:rFonts w:ascii="Times New Roman" w:eastAsia="Times New Roman" w:hAnsi="Times New Roman" w:cs="Times New Roman"/>
          <w:color w:val="000000"/>
          <w:sz w:val="32"/>
          <w:szCs w:val="32"/>
          <w:lang w:bidi="he-IL"/>
        </w:rPr>
        <w:t>Version 1 in the LXX as a Replacement Text</w:t>
      </w:r>
    </w:p>
    <w:p w14:paraId="5C8CDE6B" w14:textId="77777777" w:rsidR="00F16574" w:rsidRPr="00F16574" w:rsidRDefault="00F16574" w:rsidP="0042406F">
      <w:pPr>
        <w:spacing w:after="300" w:line="465" w:lineRule="atLeast"/>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lang w:bidi="he-IL"/>
        </w:rPr>
        <w:t>Scrolls did not normally reach the lengths required to contain the entire text of most biblical books. Indeed, the book of Samuel was likely too large to fit on a single scroll.</w:t>
      </w:r>
      <w:r w:rsidRPr="00F16574">
        <w:rPr>
          <w:rFonts w:ascii="Times New Roman" w:eastAsia="Times New Roman" w:hAnsi="Times New Roman" w:cs="Times New Roman"/>
          <w:color w:val="B22222"/>
          <w:sz w:val="23"/>
          <w:szCs w:val="23"/>
          <w:vertAlign w:val="superscript"/>
          <w:lang w:bidi="he-IL"/>
        </w:rPr>
        <w:t>[</w:t>
      </w:r>
      <w:r w:rsidR="0042406F">
        <w:rPr>
          <w:rFonts w:ascii="Times New Roman" w:eastAsia="Times New Roman" w:hAnsi="Times New Roman" w:cs="Times New Roman"/>
          <w:color w:val="B22222"/>
          <w:sz w:val="23"/>
          <w:szCs w:val="23"/>
          <w:vertAlign w:val="superscript"/>
          <w:lang w:bidi="he-IL"/>
        </w:rPr>
        <w:t>17</w:t>
      </w:r>
      <w:r w:rsidRPr="00F16574">
        <w:rPr>
          <w:rFonts w:ascii="Times New Roman" w:eastAsia="Times New Roman" w:hAnsi="Times New Roman" w:cs="Times New Roman"/>
          <w:color w:val="B22222"/>
          <w:sz w:val="23"/>
          <w:szCs w:val="23"/>
          <w:vertAlign w:val="superscript"/>
          <w:lang w:bidi="he-IL"/>
        </w:rPr>
        <w:t>]</w:t>
      </w:r>
      <w:r w:rsidRPr="00F16574">
        <w:rPr>
          <w:rFonts w:ascii="Times New Roman" w:eastAsia="Times New Roman" w:hAnsi="Times New Roman" w:cs="Times New Roman"/>
          <w:color w:val="000000"/>
          <w:sz w:val="26"/>
          <w:szCs w:val="26"/>
          <w:lang w:bidi="he-IL"/>
        </w:rPr>
        <w:t xml:space="preserve"> The Corruption-Replacement Hypothesis posits that in a “parent-manuscript” of </w:t>
      </w:r>
      <w:r w:rsidRPr="00F16574">
        <w:rPr>
          <w:rFonts w:ascii="Times New Roman" w:eastAsia="Times New Roman" w:hAnsi="Times New Roman" w:cs="Times New Roman"/>
          <w:color w:val="000000"/>
          <w:sz w:val="26"/>
          <w:szCs w:val="26"/>
          <w:lang w:bidi="he-IL"/>
        </w:rPr>
        <w:lastRenderedPageBreak/>
        <w:t>the LXX, the first scroll of the book of Samuel ended with a version of 1 Samuel 17–18 similar to the MT.</w:t>
      </w:r>
    </w:p>
    <w:p w14:paraId="233D95D3" w14:textId="77777777" w:rsidR="00F16574" w:rsidRPr="00F16574" w:rsidRDefault="00F16574" w:rsidP="00F16574">
      <w:pPr>
        <w:spacing w:after="300" w:line="465" w:lineRule="atLeast"/>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lang w:bidi="he-IL"/>
        </w:rPr>
        <w:t>The final narrative contained in this shorter scroll would therefore relay the full story of how David defeated a Philistine giant and came into Saul’s court, married Saul’s daughter, befriended Saul’s son, the crown prince, and proved himself on the field of battle, gaining renown (18:30). It was in the following companion scroll that an entirely different narrative was told, i.e., how David was chased from Saul’s house and forced to live as an outlaw until he ascended to the throne.</w:t>
      </w:r>
    </w:p>
    <w:p w14:paraId="0CA98929" w14:textId="77777777" w:rsidR="00F16574" w:rsidRPr="00F16574" w:rsidRDefault="00F16574" w:rsidP="00F16574">
      <w:pPr>
        <w:spacing w:after="300" w:line="465" w:lineRule="atLeast"/>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lang w:bidi="he-IL"/>
        </w:rPr>
        <w:t>At some point, the end of the first scroll was damaged, but instead of replacing chapters 17–18 with the MT-like text of Samuel, a scribe used a manuscript containing only Version 1 of the narrative. This solution assumes that at that point in time, there were still manuscripts in existence that contained only Version 1, and the scribe copied from one of these to repair the damaged LXX scroll. The scribe may not even have realized that this document was shorter than the text that he was repairing.</w:t>
      </w:r>
    </w:p>
    <w:p w14:paraId="5EFFA4A3" w14:textId="77777777" w:rsidR="00F16574" w:rsidRPr="00F16574" w:rsidRDefault="00F16574" w:rsidP="00F16574">
      <w:pPr>
        <w:spacing w:before="210" w:after="210" w:line="630" w:lineRule="atLeast"/>
        <w:jc w:val="center"/>
        <w:outlineLvl w:val="1"/>
        <w:rPr>
          <w:rFonts w:ascii="Times New Roman" w:eastAsia="Times New Roman" w:hAnsi="Times New Roman" w:cs="Times New Roman"/>
          <w:color w:val="000000"/>
          <w:sz w:val="38"/>
          <w:szCs w:val="38"/>
          <w:lang w:bidi="he-IL"/>
        </w:rPr>
      </w:pPr>
      <w:r w:rsidRPr="00F16574">
        <w:rPr>
          <w:rFonts w:ascii="Times New Roman" w:eastAsia="Times New Roman" w:hAnsi="Times New Roman" w:cs="Times New Roman"/>
          <w:color w:val="000000"/>
          <w:sz w:val="38"/>
          <w:szCs w:val="38"/>
          <w:lang w:bidi="he-IL"/>
        </w:rPr>
        <w:t>Where the Patch Could Have Been Added</w:t>
      </w:r>
    </w:p>
    <w:p w14:paraId="105BEAA4" w14:textId="77777777" w:rsidR="00F16574" w:rsidRPr="00F16574" w:rsidRDefault="00F16574" w:rsidP="0042406F">
      <w:pPr>
        <w:spacing w:after="300" w:line="465" w:lineRule="atLeast"/>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lang w:bidi="he-IL"/>
        </w:rPr>
        <w:t>The repair of the scroll did not necessarily begin right where the MT deviates from the LXX (in 17:12). The patch could have begun anywhere between 1 Samuel 16:14–17:11, as this material all comes from the same author.</w:t>
      </w:r>
      <w:r w:rsidRPr="00F16574">
        <w:rPr>
          <w:rFonts w:ascii="Times New Roman" w:eastAsia="Times New Roman" w:hAnsi="Times New Roman" w:cs="Times New Roman"/>
          <w:color w:val="B22222"/>
          <w:sz w:val="23"/>
          <w:szCs w:val="23"/>
          <w:vertAlign w:val="superscript"/>
          <w:lang w:bidi="he-IL"/>
        </w:rPr>
        <w:t>[</w:t>
      </w:r>
      <w:r w:rsidR="0042406F">
        <w:rPr>
          <w:rFonts w:ascii="Times New Roman" w:eastAsia="Times New Roman" w:hAnsi="Times New Roman" w:cs="Times New Roman"/>
          <w:color w:val="B22222"/>
          <w:sz w:val="23"/>
          <w:szCs w:val="23"/>
          <w:vertAlign w:val="superscript"/>
          <w:lang w:bidi="he-IL"/>
        </w:rPr>
        <w:t>18</w:t>
      </w:r>
      <w:r w:rsidRPr="00F16574">
        <w:rPr>
          <w:rFonts w:ascii="Times New Roman" w:eastAsia="Times New Roman" w:hAnsi="Times New Roman" w:cs="Times New Roman"/>
          <w:color w:val="B22222"/>
          <w:sz w:val="23"/>
          <w:szCs w:val="23"/>
          <w:vertAlign w:val="superscript"/>
          <w:lang w:bidi="he-IL"/>
        </w:rPr>
        <w:t>]</w:t>
      </w:r>
      <w:r w:rsidRPr="00F16574">
        <w:rPr>
          <w:rFonts w:ascii="Times New Roman" w:eastAsia="Times New Roman" w:hAnsi="Times New Roman" w:cs="Times New Roman"/>
          <w:color w:val="000000"/>
          <w:sz w:val="26"/>
          <w:szCs w:val="26"/>
          <w:lang w:bidi="he-IL"/>
        </w:rPr>
        <w:t> The shaded portion of the text in the following </w:t>
      </w:r>
      <w:r w:rsidRPr="00F16574">
        <w:rPr>
          <w:rFonts w:ascii="Times New Roman" w:eastAsia="Times New Roman" w:hAnsi="Times New Roman" w:cs="Times New Roman"/>
          <w:i/>
          <w:iCs/>
          <w:color w:val="000000"/>
          <w:sz w:val="26"/>
          <w:szCs w:val="26"/>
          <w:lang w:bidi="he-IL"/>
        </w:rPr>
        <w:t>schematic</w:t>
      </w:r>
      <w:r w:rsidRPr="00F16574">
        <w:rPr>
          <w:rFonts w:ascii="Times New Roman" w:eastAsia="Times New Roman" w:hAnsi="Times New Roman" w:cs="Times New Roman"/>
          <w:color w:val="000000"/>
          <w:sz w:val="26"/>
          <w:szCs w:val="26"/>
          <w:lang w:bidi="he-IL"/>
        </w:rPr>
        <w:t> figure represents the damage to the scroll. The dotted line between the first two columns on the right represents the margin where the textual specialist could have cut off the damaged section of the scroll and attached the new piece.</w:t>
      </w:r>
    </w:p>
    <w:p w14:paraId="31455EDC" w14:textId="77777777" w:rsidR="00936CA9" w:rsidRDefault="00936CA9" w:rsidP="00F16574">
      <w:pPr>
        <w:spacing w:after="300" w:line="240" w:lineRule="auto"/>
        <w:jc w:val="center"/>
        <w:rPr>
          <w:rFonts w:ascii="Times New Roman" w:eastAsia="Times New Roman" w:hAnsi="Times New Roman" w:cs="Times New Roman"/>
          <w:color w:val="000000"/>
          <w:sz w:val="20"/>
          <w:szCs w:val="20"/>
          <w:lang w:bidi="he-IL"/>
        </w:rPr>
      </w:pPr>
      <w:r w:rsidRPr="00936CA9">
        <w:rPr>
          <w:rFonts w:ascii="Times New Roman" w:eastAsia="Times New Roman" w:hAnsi="Times New Roman" w:cs="Times New Roman"/>
          <w:noProof/>
          <w:color w:val="000000"/>
          <w:sz w:val="26"/>
          <w:szCs w:val="26"/>
          <w:lang w:bidi="he-IL"/>
        </w:rPr>
        <w:lastRenderedPageBreak/>
        <w:pict w14:anchorId="664B164B">
          <v:shape id="Picture 4" o:spid="_x0000_i1027" type="#_x0000_t75" alt="https://firebasestorage.googleapis.com/v0/b/bageladmin.appspot.com/o/rtf%2F1%20Samuel%2017%E2%80%9318.jpg?alt=media&amp;token=252996f7-2ee9-4387-9bde-4c2c12d4c807" style="width:241.8pt;height:179.4pt;visibility:visible">
            <v:imagedata r:id="rId8" o:title="rtf%2F1%20Samuel%2017%E2%80%9318"/>
          </v:shape>
        </w:pict>
      </w:r>
    </w:p>
    <w:p w14:paraId="4D54EA20" w14:textId="77777777" w:rsidR="00F16574" w:rsidRPr="00F16574" w:rsidRDefault="00F16574" w:rsidP="00F16574">
      <w:pPr>
        <w:spacing w:after="300" w:line="240" w:lineRule="auto"/>
        <w:jc w:val="center"/>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0"/>
          <w:szCs w:val="20"/>
          <w:lang w:bidi="he-IL"/>
        </w:rPr>
        <w:t>Fig. 1: Heuristic representation of damage to a Hebrew parent manuscript of LXX at 1 Samuel 17–18. This figure uses the font 1QM, courtesy of the </w:t>
      </w:r>
      <w:hyperlink r:id="rId9" w:tgtFrame="_blank" w:history="1">
        <w:r w:rsidRPr="00F16574">
          <w:rPr>
            <w:rFonts w:ascii="Times New Roman" w:eastAsia="Times New Roman" w:hAnsi="Times New Roman" w:cs="Times New Roman"/>
            <w:color w:val="0000FF"/>
            <w:sz w:val="20"/>
            <w:szCs w:val="20"/>
            <w:u w:val="single"/>
            <w:lang w:bidi="he-IL"/>
          </w:rPr>
          <w:t>Dead Sea Scrolls Project</w:t>
        </w:r>
      </w:hyperlink>
      <w:r w:rsidRPr="00F16574">
        <w:rPr>
          <w:rFonts w:ascii="Times New Roman" w:eastAsia="Times New Roman" w:hAnsi="Times New Roman" w:cs="Times New Roman"/>
          <w:color w:val="000000"/>
          <w:sz w:val="20"/>
          <w:szCs w:val="20"/>
          <w:lang w:bidi="he-IL"/>
        </w:rPr>
        <w:t>, University of Haifa; design: Einat Tamir ( accessed Feb. 2, 2023). Image © J. M. Hutton, with assistance from Nathaniel E. Greene.</w:t>
      </w:r>
    </w:p>
    <w:p w14:paraId="4DA69D0C" w14:textId="77777777" w:rsidR="00F16574" w:rsidRPr="00F16574" w:rsidRDefault="00F16574" w:rsidP="0042406F">
      <w:pPr>
        <w:spacing w:after="300" w:line="465" w:lineRule="atLeast"/>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lang w:bidi="he-IL"/>
        </w:rPr>
        <w:t>The reconstruction presented here is admittedly conjectural.</w:t>
      </w:r>
      <w:r w:rsidRPr="00F16574">
        <w:rPr>
          <w:rFonts w:ascii="Times New Roman" w:eastAsia="Times New Roman" w:hAnsi="Times New Roman" w:cs="Times New Roman"/>
          <w:color w:val="B22222"/>
          <w:sz w:val="23"/>
          <w:szCs w:val="23"/>
          <w:vertAlign w:val="superscript"/>
          <w:lang w:bidi="he-IL"/>
        </w:rPr>
        <w:t>[</w:t>
      </w:r>
      <w:r w:rsidR="0042406F">
        <w:rPr>
          <w:rFonts w:ascii="Times New Roman" w:eastAsia="Times New Roman" w:hAnsi="Times New Roman" w:cs="Times New Roman"/>
          <w:color w:val="B22222"/>
          <w:sz w:val="23"/>
          <w:szCs w:val="23"/>
          <w:vertAlign w:val="superscript"/>
          <w:lang w:bidi="he-IL"/>
        </w:rPr>
        <w:t>19</w:t>
      </w:r>
      <w:r w:rsidRPr="00F16574">
        <w:rPr>
          <w:rFonts w:ascii="Times New Roman" w:eastAsia="Times New Roman" w:hAnsi="Times New Roman" w:cs="Times New Roman"/>
          <w:color w:val="B22222"/>
          <w:sz w:val="23"/>
          <w:szCs w:val="23"/>
          <w:vertAlign w:val="superscript"/>
          <w:lang w:bidi="he-IL"/>
        </w:rPr>
        <w:t>]</w:t>
      </w:r>
      <w:r w:rsidRPr="00F16574">
        <w:rPr>
          <w:rFonts w:ascii="Times New Roman" w:eastAsia="Times New Roman" w:hAnsi="Times New Roman" w:cs="Times New Roman"/>
          <w:color w:val="000000"/>
          <w:sz w:val="26"/>
          <w:szCs w:val="26"/>
          <w:lang w:bidi="he-IL"/>
        </w:rPr>
        <w:t> Yet, it attempts to take seriously the material witnesses to scribal culture that archaeologists have recovered from the Dead Sea basin alongside other modes of performing text-historical reconstruction. If this hypothesis is correct, it provides additional evidence for two longstanding ideas.</w:t>
      </w:r>
    </w:p>
    <w:p w14:paraId="0BE3C3E2" w14:textId="77777777" w:rsidR="00F16574" w:rsidRPr="00F16574" w:rsidRDefault="00F16574" w:rsidP="0042406F">
      <w:pPr>
        <w:spacing w:after="300" w:line="465" w:lineRule="atLeast"/>
        <w:rPr>
          <w:rFonts w:ascii="Times New Roman" w:eastAsia="Times New Roman" w:hAnsi="Times New Roman" w:cs="Times New Roman"/>
          <w:color w:val="000000"/>
          <w:sz w:val="26"/>
          <w:szCs w:val="26"/>
          <w:lang w:bidi="he-IL"/>
        </w:rPr>
      </w:pPr>
      <w:r w:rsidRPr="00F16574">
        <w:rPr>
          <w:rFonts w:ascii="Times New Roman" w:eastAsia="Times New Roman" w:hAnsi="Times New Roman" w:cs="Times New Roman"/>
          <w:color w:val="000000"/>
          <w:sz w:val="26"/>
          <w:szCs w:val="26"/>
          <w:lang w:bidi="he-IL"/>
        </w:rPr>
        <w:t>First, it would offer, through indirect evidence, another example of a text that had undergone damage and subsequent repair. Second, it would constitute further evidence that alternative textual traditions existed alongside more popular or “authoritative” ones in antiquity.</w:t>
      </w:r>
      <w:r w:rsidRPr="00F16574">
        <w:rPr>
          <w:rFonts w:ascii="Times New Roman" w:eastAsia="Times New Roman" w:hAnsi="Times New Roman" w:cs="Times New Roman"/>
          <w:color w:val="B22222"/>
          <w:sz w:val="23"/>
          <w:szCs w:val="23"/>
          <w:vertAlign w:val="superscript"/>
          <w:lang w:bidi="he-IL"/>
        </w:rPr>
        <w:t>[</w:t>
      </w:r>
      <w:r w:rsidR="0042406F">
        <w:rPr>
          <w:rFonts w:ascii="Times New Roman" w:eastAsia="Times New Roman" w:hAnsi="Times New Roman" w:cs="Times New Roman"/>
          <w:color w:val="B22222"/>
          <w:sz w:val="23"/>
          <w:szCs w:val="23"/>
          <w:vertAlign w:val="superscript"/>
          <w:lang w:bidi="he-IL"/>
        </w:rPr>
        <w:t>20</w:t>
      </w:r>
      <w:r w:rsidRPr="00F16574">
        <w:rPr>
          <w:rFonts w:ascii="Times New Roman" w:eastAsia="Times New Roman" w:hAnsi="Times New Roman" w:cs="Times New Roman"/>
          <w:color w:val="B22222"/>
          <w:sz w:val="23"/>
          <w:szCs w:val="23"/>
          <w:vertAlign w:val="superscript"/>
          <w:lang w:bidi="he-IL"/>
        </w:rPr>
        <w:t>]</w:t>
      </w:r>
      <w:r w:rsidRPr="00F16574">
        <w:rPr>
          <w:rFonts w:ascii="Times New Roman" w:eastAsia="Times New Roman" w:hAnsi="Times New Roman" w:cs="Times New Roman"/>
          <w:color w:val="000000"/>
          <w:sz w:val="26"/>
          <w:szCs w:val="26"/>
          <w:lang w:bidi="he-IL"/>
        </w:rPr>
        <w:t> In this case, the alternative tradition preserved one of the original sources of the tradition that became authoritative in the form of 1–2 Samuel as we know it.</w:t>
      </w:r>
    </w:p>
    <w:p w14:paraId="3BDE6581" w14:textId="77777777" w:rsidR="00F16574" w:rsidRPr="00F16574" w:rsidRDefault="00F16574" w:rsidP="00F16574">
      <w:pPr>
        <w:spacing w:after="0" w:line="240" w:lineRule="auto"/>
        <w:rPr>
          <w:rFonts w:ascii="Times New Roman" w:eastAsia="Times New Roman" w:hAnsi="Times New Roman" w:cs="Times New Roman"/>
          <w:color w:val="2E2E2E"/>
          <w:sz w:val="23"/>
          <w:szCs w:val="23"/>
          <w:lang w:bidi="he-IL"/>
        </w:rPr>
      </w:pPr>
      <w:r w:rsidRPr="00F16574">
        <w:rPr>
          <w:rFonts w:ascii="Times New Roman" w:eastAsia="Times New Roman" w:hAnsi="Times New Roman" w:cs="Times New Roman"/>
          <w:color w:val="333333"/>
          <w:sz w:val="23"/>
          <w:szCs w:val="23"/>
          <w:lang w:bidi="he-IL"/>
        </w:rPr>
        <w:fldChar w:fldCharType="begin"/>
      </w:r>
      <w:r w:rsidRPr="00F16574">
        <w:rPr>
          <w:rFonts w:ascii="Times New Roman" w:eastAsia="Times New Roman" w:hAnsi="Times New Roman" w:cs="Times New Roman"/>
          <w:color w:val="333333"/>
          <w:sz w:val="23"/>
          <w:szCs w:val="23"/>
          <w:lang w:bidi="he-IL"/>
        </w:rPr>
        <w:instrText xml:space="preserve"> HYPERLINK "https://www.thetorah.com/article/why-is-david-and-goliaths-story-40-longer-in-the-mt-than-in-the-lxx" </w:instrText>
      </w:r>
      <w:r w:rsidRPr="00F16574">
        <w:rPr>
          <w:rFonts w:ascii="Times New Roman" w:eastAsia="Times New Roman" w:hAnsi="Times New Roman" w:cs="Times New Roman"/>
          <w:color w:val="333333"/>
          <w:sz w:val="23"/>
          <w:szCs w:val="23"/>
          <w:lang w:bidi="he-IL"/>
        </w:rPr>
      </w:r>
      <w:r w:rsidRPr="00F16574">
        <w:rPr>
          <w:rFonts w:ascii="Times New Roman" w:eastAsia="Times New Roman" w:hAnsi="Times New Roman" w:cs="Times New Roman"/>
          <w:color w:val="333333"/>
          <w:sz w:val="23"/>
          <w:szCs w:val="23"/>
          <w:lang w:bidi="he-IL"/>
        </w:rPr>
        <w:fldChar w:fldCharType="separate"/>
      </w:r>
    </w:p>
    <w:p w14:paraId="5DE8ECBD" w14:textId="77777777" w:rsidR="00F16574" w:rsidRPr="00F16574" w:rsidRDefault="00F16574" w:rsidP="00F16574">
      <w:pPr>
        <w:spacing w:after="0" w:line="240" w:lineRule="auto"/>
        <w:rPr>
          <w:rFonts w:ascii="Times New Roman" w:eastAsia="Times New Roman" w:hAnsi="Times New Roman" w:cs="Times New Roman"/>
          <w:color w:val="C32202"/>
          <w:sz w:val="30"/>
          <w:szCs w:val="30"/>
          <w:lang w:bidi="he-IL"/>
        </w:rPr>
      </w:pPr>
      <w:r w:rsidRPr="00F16574">
        <w:rPr>
          <w:rFonts w:ascii="Times New Roman" w:eastAsia="Times New Roman" w:hAnsi="Times New Roman" w:cs="Times New Roman"/>
          <w:color w:val="C32202"/>
          <w:sz w:val="30"/>
          <w:szCs w:val="30"/>
          <w:lang w:bidi="he-IL"/>
        </w:rPr>
        <w:t>View Footnotes</w:t>
      </w:r>
    </w:p>
    <w:p w14:paraId="4BCEF78F" w14:textId="77777777" w:rsidR="00F16574" w:rsidRPr="00F16574" w:rsidRDefault="00936CA9" w:rsidP="0042406F">
      <w:pPr>
        <w:spacing w:after="0" w:line="240" w:lineRule="auto"/>
        <w:rPr>
          <w:rFonts w:ascii="Arial" w:eastAsia="Times New Roman" w:hAnsi="Arial"/>
          <w:color w:val="777777"/>
          <w:sz w:val="21"/>
          <w:szCs w:val="21"/>
          <w:rtl/>
          <w:lang w:bidi="he-IL"/>
        </w:rPr>
      </w:pPr>
      <w:r>
        <w:rPr>
          <w:noProof/>
        </w:rPr>
      </w:r>
      <w:r>
        <w:pict w14:anchorId="15CB18CE">
          <v:rect id="Rectangle 3" o:spid="_x0000_s1026" alt="https://assets-global.website-files.com/5ae955c619474e17d10c9e62/5b8fb536d4c0b68192bf9ad7_red_arrow.svg" href="https://www.thetorah.com/article/why-is-david-and-goliaths-story-40-longer-in-the-mt-than-in-the-lxx"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w:r>
      <w:r w:rsidR="00F16574" w:rsidRPr="00F16574">
        <w:rPr>
          <w:rFonts w:ascii="Times New Roman" w:eastAsia="Times New Roman" w:hAnsi="Times New Roman" w:cs="Times New Roman"/>
          <w:color w:val="333333"/>
          <w:sz w:val="23"/>
          <w:szCs w:val="23"/>
          <w:lang w:bidi="he-IL"/>
        </w:rPr>
        <w:fldChar w:fldCharType="end"/>
      </w:r>
    </w:p>
    <w:p w14:paraId="5DFC0E2D" w14:textId="77777777" w:rsidR="00F16574" w:rsidRPr="00F16574" w:rsidRDefault="00F16574" w:rsidP="00F16574">
      <w:pPr>
        <w:numPr>
          <w:ilvl w:val="0"/>
          <w:numId w:val="3"/>
        </w:numPr>
        <w:spacing w:before="100" w:beforeAutospacing="1" w:after="0" w:line="480" w:lineRule="auto"/>
        <w:rPr>
          <w:rFonts w:ascii="Times New Roman" w:eastAsia="Times New Roman" w:hAnsi="Times New Roman" w:cs="Times New Roman"/>
          <w:color w:val="333333"/>
          <w:sz w:val="23"/>
          <w:szCs w:val="23"/>
          <w:rtl/>
          <w:lang w:bidi="he-IL"/>
        </w:rPr>
      </w:pPr>
      <w:r w:rsidRPr="00F16574">
        <w:rPr>
          <w:rFonts w:ascii="Times New Roman" w:eastAsia="Times New Roman" w:hAnsi="Times New Roman" w:cs="Times New Roman"/>
          <w:color w:val="333333"/>
          <w:sz w:val="23"/>
          <w:szCs w:val="23"/>
          <w:lang w:bidi="he-IL"/>
        </w:rPr>
        <w:t>The LXX includes 17:1–11, 32–40, 42–48a, 49, 51–54; 18:6a*, 6b–8 [-</w:t>
      </w:r>
      <w:r w:rsidRPr="00F16574">
        <w:rPr>
          <w:rFonts w:ascii="Times New Roman" w:eastAsia="Times New Roman" w:hAnsi="Times New Roman" w:cs="Times New Roman"/>
          <w:color w:val="333333"/>
          <w:sz w:val="23"/>
          <w:szCs w:val="23"/>
          <w:rtl/>
          <w:lang w:bidi="he-IL"/>
        </w:rPr>
        <w:t>ועוד לו אך המלוכה], 12</w:t>
      </w:r>
      <w:r w:rsidRPr="00F16574">
        <w:rPr>
          <w:rFonts w:ascii="Times New Roman" w:eastAsia="Times New Roman" w:hAnsi="Times New Roman" w:cs="Times New Roman"/>
          <w:color w:val="333333"/>
          <w:sz w:val="23"/>
          <w:szCs w:val="23"/>
          <w:lang w:bidi="he-IL"/>
        </w:rPr>
        <w:t>a, 13–16, 20–21a, 22–26a, 27 [-</w:t>
      </w:r>
      <w:r w:rsidRPr="00F16574">
        <w:rPr>
          <w:rFonts w:ascii="Times New Roman" w:eastAsia="Times New Roman" w:hAnsi="Times New Roman" w:cs="Times New Roman"/>
          <w:color w:val="333333"/>
          <w:sz w:val="23"/>
          <w:szCs w:val="23"/>
          <w:rtl/>
          <w:lang w:bidi="he-IL"/>
        </w:rPr>
        <w:t>וימלאום], 28–29</w:t>
      </w:r>
      <w:r w:rsidRPr="00F16574">
        <w:rPr>
          <w:rFonts w:ascii="Times New Roman" w:eastAsia="Times New Roman" w:hAnsi="Times New Roman" w:cs="Times New Roman"/>
          <w:color w:val="333333"/>
          <w:sz w:val="23"/>
          <w:szCs w:val="23"/>
          <w:lang w:bidi="he-IL"/>
        </w:rPr>
        <w:t>a. The “pluses” in the MT thus comprise 17:12–31, 41, 48b, 50, 55–58; 18:1–5, 6a*, 8* [</w:t>
      </w:r>
      <w:r w:rsidRPr="00F16574">
        <w:rPr>
          <w:rFonts w:ascii="Times New Roman" w:eastAsia="Times New Roman" w:hAnsi="Times New Roman" w:cs="Times New Roman"/>
          <w:color w:val="333333"/>
          <w:sz w:val="23"/>
          <w:szCs w:val="23"/>
          <w:rtl/>
          <w:lang w:bidi="he-IL"/>
        </w:rPr>
        <w:t>ועוד לו אך המלוכה], 9–11, 12</w:t>
      </w:r>
      <w:r w:rsidRPr="00F16574">
        <w:rPr>
          <w:rFonts w:ascii="Times New Roman" w:eastAsia="Times New Roman" w:hAnsi="Times New Roman" w:cs="Times New Roman"/>
          <w:color w:val="333333"/>
          <w:sz w:val="23"/>
          <w:szCs w:val="23"/>
          <w:lang w:bidi="he-IL"/>
        </w:rPr>
        <w:t>b, 17–19, 21b, 26b, 27* [</w:t>
      </w:r>
      <w:r w:rsidRPr="00F16574">
        <w:rPr>
          <w:rFonts w:ascii="Times New Roman" w:eastAsia="Times New Roman" w:hAnsi="Times New Roman" w:cs="Times New Roman"/>
          <w:color w:val="333333"/>
          <w:sz w:val="23"/>
          <w:szCs w:val="23"/>
          <w:rtl/>
          <w:lang w:bidi="he-IL"/>
        </w:rPr>
        <w:t>וימלאום], 29</w:t>
      </w:r>
      <w:r w:rsidRPr="00F16574">
        <w:rPr>
          <w:rFonts w:ascii="Times New Roman" w:eastAsia="Times New Roman" w:hAnsi="Times New Roman" w:cs="Times New Roman"/>
          <w:color w:val="333333"/>
          <w:sz w:val="23"/>
          <w:szCs w:val="23"/>
          <w:lang w:bidi="he-IL"/>
        </w:rPr>
        <w:t xml:space="preserve">b–30. The precise assignment of the verses may vary slightly, depending in part </w:t>
      </w:r>
      <w:r w:rsidRPr="00F16574">
        <w:rPr>
          <w:rFonts w:ascii="Times New Roman" w:eastAsia="Times New Roman" w:hAnsi="Times New Roman" w:cs="Times New Roman"/>
          <w:color w:val="333333"/>
          <w:sz w:val="23"/>
          <w:szCs w:val="23"/>
          <w:lang w:bidi="he-IL"/>
        </w:rPr>
        <w:lastRenderedPageBreak/>
        <w:t>on what the particular scholar assumes the Septuagint translator was doing with some of the Hebrew source text.</w:t>
      </w:r>
    </w:p>
    <w:p w14:paraId="29B8BD66" w14:textId="77777777" w:rsidR="00F16574" w:rsidRPr="00F16574" w:rsidRDefault="00F16574" w:rsidP="00F16574">
      <w:pPr>
        <w:numPr>
          <w:ilvl w:val="0"/>
          <w:numId w:val="3"/>
        </w:numPr>
        <w:spacing w:before="100" w:beforeAutospacing="1" w:after="0" w:line="480" w:lineRule="auto"/>
        <w:rPr>
          <w:rFonts w:ascii="Times New Roman" w:eastAsia="Times New Roman" w:hAnsi="Times New Roman" w:cs="Times New Roman"/>
          <w:color w:val="333333"/>
          <w:sz w:val="23"/>
          <w:szCs w:val="23"/>
          <w:lang w:bidi="he-IL"/>
        </w:rPr>
      </w:pPr>
      <w:r w:rsidRPr="00F16574">
        <w:rPr>
          <w:rFonts w:ascii="Times New Roman" w:eastAsia="Times New Roman" w:hAnsi="Times New Roman" w:cs="Times New Roman"/>
          <w:color w:val="333333"/>
          <w:sz w:val="23"/>
          <w:szCs w:val="23"/>
          <w:lang w:bidi="he-IL"/>
        </w:rPr>
        <w:t xml:space="preserve">The MT describes Goliath’s height as </w:t>
      </w:r>
      <w:r w:rsidRPr="00F16574">
        <w:rPr>
          <w:rFonts w:ascii="Times New Roman" w:eastAsia="Times New Roman" w:hAnsi="Times New Roman" w:cs="Times New Roman"/>
          <w:color w:val="333333"/>
          <w:sz w:val="23"/>
          <w:szCs w:val="23"/>
          <w:rtl/>
          <w:lang w:bidi="he-IL"/>
        </w:rPr>
        <w:t>שֵׁשׁ אַמּוֹת וָזָרֶת</w:t>
      </w:r>
      <w:r w:rsidRPr="00F16574">
        <w:rPr>
          <w:rFonts w:ascii="Times New Roman" w:eastAsia="Times New Roman" w:hAnsi="Times New Roman" w:cs="Times New Roman"/>
          <w:color w:val="333333"/>
          <w:sz w:val="23"/>
          <w:szCs w:val="23"/>
          <w:lang w:bidi="he-IL"/>
        </w:rPr>
        <w:t xml:space="preserve">, “six cubits and a span,” while the LXX has </w:t>
      </w:r>
      <w:proofErr w:type="spellStart"/>
      <w:r w:rsidRPr="00F16574">
        <w:rPr>
          <w:rFonts w:ascii="Times New Roman" w:eastAsia="Times New Roman" w:hAnsi="Times New Roman" w:cs="Times New Roman"/>
          <w:color w:val="333333"/>
          <w:sz w:val="23"/>
          <w:szCs w:val="23"/>
          <w:lang w:bidi="he-IL"/>
        </w:rPr>
        <w:t>τεσσ</w:t>
      </w:r>
      <w:proofErr w:type="spellEnd"/>
      <w:r w:rsidRPr="00F16574">
        <w:rPr>
          <w:rFonts w:ascii="Times New Roman" w:eastAsia="Times New Roman" w:hAnsi="Times New Roman" w:cs="Times New Roman"/>
          <w:color w:val="333333"/>
          <w:sz w:val="23"/>
          <w:szCs w:val="23"/>
          <w:lang w:bidi="he-IL"/>
        </w:rPr>
        <w:t>άρων π</w:t>
      </w:r>
      <w:proofErr w:type="spellStart"/>
      <w:r w:rsidRPr="00F16574">
        <w:rPr>
          <w:rFonts w:ascii="Times New Roman" w:eastAsia="Times New Roman" w:hAnsi="Times New Roman" w:cs="Times New Roman"/>
          <w:color w:val="333333"/>
          <w:sz w:val="23"/>
          <w:szCs w:val="23"/>
          <w:lang w:bidi="he-IL"/>
        </w:rPr>
        <w:t>ήχεων</w:t>
      </w:r>
      <w:proofErr w:type="spellEnd"/>
      <w:r w:rsidRPr="00F16574">
        <w:rPr>
          <w:rFonts w:ascii="Times New Roman" w:eastAsia="Times New Roman" w:hAnsi="Times New Roman" w:cs="Times New Roman"/>
          <w:color w:val="333333"/>
          <w:sz w:val="23"/>
          <w:szCs w:val="23"/>
          <w:lang w:bidi="he-IL"/>
        </w:rPr>
        <w:t xml:space="preserve"> καὶ σπ</w:t>
      </w:r>
      <w:proofErr w:type="spellStart"/>
      <w:r w:rsidRPr="00F16574">
        <w:rPr>
          <w:rFonts w:ascii="Times New Roman" w:eastAsia="Times New Roman" w:hAnsi="Times New Roman" w:cs="Times New Roman"/>
          <w:color w:val="333333"/>
          <w:sz w:val="23"/>
          <w:szCs w:val="23"/>
          <w:lang w:bidi="he-IL"/>
        </w:rPr>
        <w:t>ιθ</w:t>
      </w:r>
      <w:proofErr w:type="spellEnd"/>
      <w:r w:rsidRPr="00F16574">
        <w:rPr>
          <w:rFonts w:ascii="Times New Roman" w:eastAsia="Times New Roman" w:hAnsi="Times New Roman" w:cs="Times New Roman"/>
          <w:color w:val="333333"/>
          <w:sz w:val="23"/>
          <w:szCs w:val="23"/>
          <w:lang w:bidi="he-IL"/>
        </w:rPr>
        <w:t>αμῆς, “four cubits and a span.”</w:t>
      </w:r>
    </w:p>
    <w:p w14:paraId="2F46BEDC" w14:textId="77777777" w:rsidR="00F16574" w:rsidRPr="00F16574" w:rsidRDefault="00F16574" w:rsidP="00F16574">
      <w:pPr>
        <w:numPr>
          <w:ilvl w:val="0"/>
          <w:numId w:val="3"/>
        </w:numPr>
        <w:spacing w:before="100" w:beforeAutospacing="1" w:after="0" w:line="480" w:lineRule="auto"/>
        <w:rPr>
          <w:rFonts w:ascii="Times New Roman" w:eastAsia="Times New Roman" w:hAnsi="Times New Roman" w:cs="Times New Roman"/>
          <w:color w:val="333333"/>
          <w:sz w:val="23"/>
          <w:szCs w:val="23"/>
          <w:lang w:bidi="he-IL"/>
        </w:rPr>
      </w:pPr>
      <w:r w:rsidRPr="00F16574">
        <w:rPr>
          <w:rFonts w:ascii="Times New Roman" w:eastAsia="Times New Roman" w:hAnsi="Times New Roman" w:cs="Times New Roman"/>
          <w:color w:val="333333"/>
          <w:sz w:val="23"/>
          <w:szCs w:val="23"/>
          <w:lang w:bidi="he-IL"/>
        </w:rPr>
        <w:t xml:space="preserve">Unless otherwise indicated, biblical translations follow the </w:t>
      </w:r>
      <w:proofErr w:type="spellStart"/>
      <w:r w:rsidRPr="00F16574">
        <w:rPr>
          <w:rFonts w:ascii="Times New Roman" w:eastAsia="Times New Roman" w:hAnsi="Times New Roman" w:cs="Times New Roman"/>
          <w:color w:val="333333"/>
          <w:sz w:val="23"/>
          <w:szCs w:val="23"/>
          <w:lang w:bidi="he-IL"/>
        </w:rPr>
        <w:t>NRSVue</w:t>
      </w:r>
      <w:proofErr w:type="spellEnd"/>
      <w:r w:rsidRPr="00F16574">
        <w:rPr>
          <w:rFonts w:ascii="Times New Roman" w:eastAsia="Times New Roman" w:hAnsi="Times New Roman" w:cs="Times New Roman"/>
          <w:color w:val="333333"/>
          <w:sz w:val="23"/>
          <w:szCs w:val="23"/>
          <w:lang w:bidi="he-IL"/>
        </w:rPr>
        <w:t>, with modifications.</w:t>
      </w:r>
    </w:p>
    <w:p w14:paraId="4814B85E" w14:textId="77777777" w:rsidR="00F16574" w:rsidRPr="00F16574" w:rsidRDefault="00F16574" w:rsidP="00F16574">
      <w:pPr>
        <w:numPr>
          <w:ilvl w:val="0"/>
          <w:numId w:val="3"/>
        </w:numPr>
        <w:spacing w:before="100" w:beforeAutospacing="1" w:after="0" w:line="480" w:lineRule="auto"/>
        <w:rPr>
          <w:rFonts w:ascii="Times New Roman" w:eastAsia="Times New Roman" w:hAnsi="Times New Roman" w:cs="Times New Roman"/>
          <w:color w:val="333333"/>
          <w:sz w:val="23"/>
          <w:szCs w:val="23"/>
          <w:lang w:bidi="he-IL"/>
        </w:rPr>
      </w:pPr>
      <w:r w:rsidRPr="00F16574">
        <w:rPr>
          <w:rFonts w:ascii="Times New Roman" w:eastAsia="Times New Roman" w:hAnsi="Times New Roman" w:cs="Times New Roman"/>
          <w:color w:val="333333"/>
          <w:sz w:val="23"/>
          <w:szCs w:val="23"/>
          <w:lang w:bidi="he-IL"/>
        </w:rPr>
        <w:t>The analysis here draws on Emanuel Tov, who has also called this narrative “Version 1,” and named the additional material in the MT “Version 2.” Emanuel Tov, “The Nature of the Differences between MT and the LXX in 1 Sam. 17–18,” in </w:t>
      </w:r>
      <w:r w:rsidRPr="00F16574">
        <w:rPr>
          <w:rFonts w:ascii="Times New Roman" w:eastAsia="Times New Roman" w:hAnsi="Times New Roman" w:cs="Times New Roman"/>
          <w:i/>
          <w:iCs/>
          <w:color w:val="333333"/>
          <w:sz w:val="23"/>
          <w:szCs w:val="23"/>
          <w:lang w:bidi="he-IL"/>
        </w:rPr>
        <w:t>The Story of David and Goliath: Textual and Literary Criticism</w:t>
      </w:r>
      <w:r w:rsidRPr="00F16574">
        <w:rPr>
          <w:rFonts w:ascii="Times New Roman" w:eastAsia="Times New Roman" w:hAnsi="Times New Roman" w:cs="Times New Roman"/>
          <w:color w:val="333333"/>
          <w:sz w:val="23"/>
          <w:szCs w:val="23"/>
          <w:lang w:bidi="he-IL"/>
        </w:rPr>
        <w:t xml:space="preserve">, ed. D. Barthélemy et al., OBO 73 (Fribourg: Éditions </w:t>
      </w:r>
      <w:proofErr w:type="spellStart"/>
      <w:r w:rsidRPr="00F16574">
        <w:rPr>
          <w:rFonts w:ascii="Times New Roman" w:eastAsia="Times New Roman" w:hAnsi="Times New Roman" w:cs="Times New Roman"/>
          <w:color w:val="333333"/>
          <w:sz w:val="23"/>
          <w:szCs w:val="23"/>
          <w:lang w:bidi="he-IL"/>
        </w:rPr>
        <w:t>Universitaires</w:t>
      </w:r>
      <w:proofErr w:type="spellEnd"/>
      <w:r w:rsidRPr="00F16574">
        <w:rPr>
          <w:rFonts w:ascii="Times New Roman" w:eastAsia="Times New Roman" w:hAnsi="Times New Roman" w:cs="Times New Roman"/>
          <w:color w:val="333333"/>
          <w:sz w:val="23"/>
          <w:szCs w:val="23"/>
          <w:lang w:bidi="he-IL"/>
        </w:rPr>
        <w:t xml:space="preserve">; Göttingen: </w:t>
      </w:r>
      <w:proofErr w:type="spellStart"/>
      <w:r w:rsidRPr="00F16574">
        <w:rPr>
          <w:rFonts w:ascii="Times New Roman" w:eastAsia="Times New Roman" w:hAnsi="Times New Roman" w:cs="Times New Roman"/>
          <w:color w:val="333333"/>
          <w:sz w:val="23"/>
          <w:szCs w:val="23"/>
          <w:lang w:bidi="he-IL"/>
        </w:rPr>
        <w:t>Vandenhoeck</w:t>
      </w:r>
      <w:proofErr w:type="spellEnd"/>
      <w:r w:rsidRPr="00F16574">
        <w:rPr>
          <w:rFonts w:ascii="Times New Roman" w:eastAsia="Times New Roman" w:hAnsi="Times New Roman" w:cs="Times New Roman"/>
          <w:color w:val="333333"/>
          <w:sz w:val="23"/>
          <w:szCs w:val="23"/>
          <w:lang w:bidi="he-IL"/>
        </w:rPr>
        <w:t xml:space="preserve"> &amp; Ruprecht, 1986), 19–46.</w:t>
      </w:r>
    </w:p>
    <w:p w14:paraId="5DF1BBB3" w14:textId="77777777" w:rsidR="00F16574" w:rsidRPr="00F16574" w:rsidRDefault="00F16574" w:rsidP="00F16574">
      <w:pPr>
        <w:numPr>
          <w:ilvl w:val="0"/>
          <w:numId w:val="3"/>
        </w:numPr>
        <w:spacing w:before="100" w:beforeAutospacing="1" w:after="0" w:line="480" w:lineRule="auto"/>
        <w:rPr>
          <w:rFonts w:ascii="Times New Roman" w:eastAsia="Times New Roman" w:hAnsi="Times New Roman" w:cs="Times New Roman"/>
          <w:color w:val="333333"/>
          <w:sz w:val="23"/>
          <w:szCs w:val="23"/>
          <w:lang w:bidi="he-IL"/>
        </w:rPr>
      </w:pPr>
      <w:r w:rsidRPr="00F16574">
        <w:rPr>
          <w:rFonts w:ascii="Times New Roman" w:eastAsia="Times New Roman" w:hAnsi="Times New Roman" w:cs="Times New Roman"/>
          <w:color w:val="333333"/>
          <w:sz w:val="23"/>
          <w:szCs w:val="23"/>
          <w:lang w:bidi="he-IL"/>
        </w:rPr>
        <w:t>See e.g., Henry Preserved Smith, </w:t>
      </w:r>
      <w:r w:rsidRPr="00F16574">
        <w:rPr>
          <w:rFonts w:ascii="Times New Roman" w:eastAsia="Times New Roman" w:hAnsi="Times New Roman" w:cs="Times New Roman"/>
          <w:i/>
          <w:iCs/>
          <w:color w:val="333333"/>
          <w:sz w:val="23"/>
          <w:szCs w:val="23"/>
          <w:lang w:bidi="he-IL"/>
        </w:rPr>
        <w:t>A Critical and Exegetical Commentary on the Books of Samuel</w:t>
      </w:r>
      <w:r w:rsidRPr="00F16574">
        <w:rPr>
          <w:rFonts w:ascii="Times New Roman" w:eastAsia="Times New Roman" w:hAnsi="Times New Roman" w:cs="Times New Roman"/>
          <w:color w:val="333333"/>
          <w:sz w:val="23"/>
          <w:szCs w:val="23"/>
          <w:lang w:bidi="he-IL"/>
        </w:rPr>
        <w:t>, ICC 9 (Edinburgh: T&amp;T Clark, 1904), 150–152; P. Kyle McCarter, </w:t>
      </w:r>
      <w:r w:rsidRPr="00F16574">
        <w:rPr>
          <w:rFonts w:ascii="Times New Roman" w:eastAsia="Times New Roman" w:hAnsi="Times New Roman" w:cs="Times New Roman"/>
          <w:i/>
          <w:iCs/>
          <w:color w:val="333333"/>
          <w:sz w:val="23"/>
          <w:szCs w:val="23"/>
          <w:lang w:bidi="he-IL"/>
        </w:rPr>
        <w:t>I Samuel: A New Translation with Introduction and Commentary</w:t>
      </w:r>
      <w:r w:rsidRPr="00F16574">
        <w:rPr>
          <w:rFonts w:ascii="Times New Roman" w:eastAsia="Times New Roman" w:hAnsi="Times New Roman" w:cs="Times New Roman"/>
          <w:color w:val="333333"/>
          <w:sz w:val="23"/>
          <w:szCs w:val="23"/>
          <w:lang w:bidi="he-IL"/>
        </w:rPr>
        <w:t>, AB 8 (New York: Doubleday, 1980), 306–309; Steven L. McKenzie, </w:t>
      </w:r>
      <w:r w:rsidRPr="00F16574">
        <w:rPr>
          <w:rFonts w:ascii="Times New Roman" w:eastAsia="Times New Roman" w:hAnsi="Times New Roman" w:cs="Times New Roman"/>
          <w:i/>
          <w:iCs/>
          <w:color w:val="333333"/>
          <w:sz w:val="23"/>
          <w:szCs w:val="23"/>
          <w:lang w:bidi="he-IL"/>
        </w:rPr>
        <w:t>King David: A Biography </w:t>
      </w:r>
      <w:r w:rsidRPr="00F16574">
        <w:rPr>
          <w:rFonts w:ascii="Times New Roman" w:eastAsia="Times New Roman" w:hAnsi="Times New Roman" w:cs="Times New Roman"/>
          <w:color w:val="333333"/>
          <w:sz w:val="23"/>
          <w:szCs w:val="23"/>
          <w:lang w:bidi="he-IL"/>
        </w:rPr>
        <w:t>(Oxford: Oxford University Press, 2000), 71; Antony F. Campbell, </w:t>
      </w:r>
      <w:r w:rsidRPr="00F16574">
        <w:rPr>
          <w:rFonts w:ascii="Times New Roman" w:eastAsia="Times New Roman" w:hAnsi="Times New Roman" w:cs="Times New Roman"/>
          <w:i/>
          <w:iCs/>
          <w:color w:val="333333"/>
          <w:sz w:val="23"/>
          <w:szCs w:val="23"/>
          <w:lang w:bidi="he-IL"/>
        </w:rPr>
        <w:t>1 Samuel</w:t>
      </w:r>
      <w:r w:rsidRPr="00F16574">
        <w:rPr>
          <w:rFonts w:ascii="Times New Roman" w:eastAsia="Times New Roman" w:hAnsi="Times New Roman" w:cs="Times New Roman"/>
          <w:color w:val="333333"/>
          <w:sz w:val="23"/>
          <w:szCs w:val="23"/>
          <w:lang w:bidi="he-IL"/>
        </w:rPr>
        <w:t>, FOTL 7 (Grand Rapids: Eerdmans, 2003), 171, 174–176. At some point before the LXX was translated into Greek, around the 3</w:t>
      </w:r>
      <w:r w:rsidRPr="00F16574">
        <w:rPr>
          <w:rFonts w:ascii="Times New Roman" w:eastAsia="Times New Roman" w:hAnsi="Times New Roman" w:cs="Times New Roman"/>
          <w:color w:val="333333"/>
          <w:sz w:val="17"/>
          <w:szCs w:val="17"/>
          <w:vertAlign w:val="superscript"/>
          <w:lang w:bidi="he-IL"/>
        </w:rPr>
        <w:t>rd</w:t>
      </w:r>
      <w:r w:rsidRPr="00F16574">
        <w:rPr>
          <w:rFonts w:ascii="Times New Roman" w:eastAsia="Times New Roman" w:hAnsi="Times New Roman" w:cs="Times New Roman"/>
          <w:color w:val="333333"/>
          <w:sz w:val="23"/>
          <w:szCs w:val="23"/>
          <w:lang w:bidi="he-IL"/>
        </w:rPr>
        <w:t> or early 2</w:t>
      </w:r>
      <w:r w:rsidRPr="00F16574">
        <w:rPr>
          <w:rFonts w:ascii="Times New Roman" w:eastAsia="Times New Roman" w:hAnsi="Times New Roman" w:cs="Times New Roman"/>
          <w:color w:val="333333"/>
          <w:sz w:val="17"/>
          <w:szCs w:val="17"/>
          <w:vertAlign w:val="superscript"/>
          <w:lang w:bidi="he-IL"/>
        </w:rPr>
        <w:t>nd</w:t>
      </w:r>
      <w:r w:rsidRPr="00F16574">
        <w:rPr>
          <w:rFonts w:ascii="Times New Roman" w:eastAsia="Times New Roman" w:hAnsi="Times New Roman" w:cs="Times New Roman"/>
          <w:color w:val="333333"/>
          <w:sz w:val="23"/>
          <w:szCs w:val="23"/>
          <w:lang w:bidi="he-IL"/>
        </w:rPr>
        <w:t> century B.C.E., the MT and LXX textual traditions in the David and Goliath narrative parted ways, and the MT tradition received significant subsequent editing. Since the book of Samuel in the LXX otherwise shows much the same shape as the MT, including the Deuteronomistic redactions of the 6</w:t>
      </w:r>
      <w:r w:rsidRPr="00F16574">
        <w:rPr>
          <w:rFonts w:ascii="Times New Roman" w:eastAsia="Times New Roman" w:hAnsi="Times New Roman" w:cs="Times New Roman"/>
          <w:color w:val="333333"/>
          <w:sz w:val="17"/>
          <w:szCs w:val="17"/>
          <w:vertAlign w:val="superscript"/>
          <w:lang w:bidi="he-IL"/>
        </w:rPr>
        <w:t>th</w:t>
      </w:r>
      <w:r w:rsidRPr="00F16574">
        <w:rPr>
          <w:rFonts w:ascii="Times New Roman" w:eastAsia="Times New Roman" w:hAnsi="Times New Roman" w:cs="Times New Roman"/>
          <w:color w:val="333333"/>
          <w:sz w:val="23"/>
          <w:szCs w:val="23"/>
          <w:lang w:bidi="he-IL"/>
        </w:rPr>
        <w:t> century and later, the split in the traditions could not have occurred before the end of the Babylonian Exile, or even the early Persian period.</w:t>
      </w:r>
    </w:p>
    <w:p w14:paraId="1DBA9BCB" w14:textId="77777777" w:rsidR="00F16574" w:rsidRPr="00F16574" w:rsidRDefault="00F16574" w:rsidP="00F16574">
      <w:pPr>
        <w:numPr>
          <w:ilvl w:val="0"/>
          <w:numId w:val="3"/>
        </w:numPr>
        <w:spacing w:before="100" w:beforeAutospacing="1" w:after="0" w:line="480" w:lineRule="auto"/>
        <w:rPr>
          <w:rFonts w:ascii="Times New Roman" w:eastAsia="Times New Roman" w:hAnsi="Times New Roman" w:cs="Times New Roman"/>
          <w:color w:val="333333"/>
          <w:sz w:val="23"/>
          <w:szCs w:val="23"/>
          <w:lang w:bidi="he-IL"/>
        </w:rPr>
      </w:pPr>
      <w:r w:rsidRPr="00F16574">
        <w:rPr>
          <w:rFonts w:ascii="Times New Roman" w:eastAsia="Times New Roman" w:hAnsi="Times New Roman" w:cs="Times New Roman"/>
          <w:color w:val="333333"/>
          <w:sz w:val="23"/>
          <w:szCs w:val="23"/>
          <w:lang w:bidi="he-IL"/>
        </w:rPr>
        <w:t>See especially the recent publication by Simeon Chavel and Jessie DeGrado, “Text- and Source-Criticism of 1 Samuel 17–18: A Complete Account,” </w:t>
      </w:r>
      <w:r w:rsidRPr="00F16574">
        <w:rPr>
          <w:rFonts w:ascii="Times New Roman" w:eastAsia="Times New Roman" w:hAnsi="Times New Roman" w:cs="Times New Roman"/>
          <w:i/>
          <w:iCs/>
          <w:color w:val="333333"/>
          <w:sz w:val="23"/>
          <w:szCs w:val="23"/>
          <w:lang w:bidi="he-IL"/>
        </w:rPr>
        <w:t>VT</w:t>
      </w:r>
      <w:r w:rsidRPr="00F16574">
        <w:rPr>
          <w:rFonts w:ascii="Times New Roman" w:eastAsia="Times New Roman" w:hAnsi="Times New Roman" w:cs="Times New Roman"/>
          <w:color w:val="333333"/>
          <w:sz w:val="23"/>
          <w:szCs w:val="23"/>
          <w:lang w:bidi="he-IL"/>
        </w:rPr>
        <w:t xml:space="preserve"> 70 (2020): 553–580. </w:t>
      </w:r>
    </w:p>
    <w:p w14:paraId="1AF78574" w14:textId="77777777" w:rsidR="00F16574" w:rsidRPr="00F16574" w:rsidRDefault="00F16574" w:rsidP="00F16574">
      <w:pPr>
        <w:numPr>
          <w:ilvl w:val="0"/>
          <w:numId w:val="3"/>
        </w:numPr>
        <w:spacing w:before="100" w:beforeAutospacing="1" w:after="0" w:line="480" w:lineRule="auto"/>
        <w:rPr>
          <w:rFonts w:ascii="Times New Roman" w:eastAsia="Times New Roman" w:hAnsi="Times New Roman" w:cs="Times New Roman"/>
          <w:color w:val="333333"/>
          <w:sz w:val="23"/>
          <w:szCs w:val="23"/>
          <w:lang w:bidi="he-IL"/>
        </w:rPr>
      </w:pPr>
      <w:r w:rsidRPr="00F16574">
        <w:rPr>
          <w:rFonts w:ascii="Times New Roman" w:eastAsia="Times New Roman" w:hAnsi="Times New Roman" w:cs="Times New Roman"/>
          <w:color w:val="333333"/>
          <w:sz w:val="23"/>
          <w:szCs w:val="23"/>
          <w:lang w:bidi="he-IL"/>
        </w:rPr>
        <w:t xml:space="preserve">It is frequently observed that this and other connective verses seem to contradict portions of the two main versions (e.g., that David was already ensconced in Saul’s court as a musician </w:t>
      </w:r>
      <w:r w:rsidRPr="00F16574">
        <w:rPr>
          <w:rFonts w:ascii="Times New Roman" w:eastAsia="Times New Roman" w:hAnsi="Times New Roman" w:cs="Times New Roman"/>
          <w:color w:val="333333"/>
          <w:sz w:val="23"/>
          <w:szCs w:val="23"/>
          <w:lang w:bidi="he-IL"/>
        </w:rPr>
        <w:lastRenderedPageBreak/>
        <w:t>[16:14–23], as is already assumed by his speech to Saul in 17:32, which belongs to the LXX version).</w:t>
      </w:r>
    </w:p>
    <w:p w14:paraId="24C76A4A" w14:textId="77777777" w:rsidR="00F16574" w:rsidRPr="007B774D" w:rsidRDefault="00F16574" w:rsidP="007B774D">
      <w:pPr>
        <w:numPr>
          <w:ilvl w:val="0"/>
          <w:numId w:val="3"/>
        </w:numPr>
        <w:spacing w:before="100" w:beforeAutospacing="1" w:after="0" w:line="480" w:lineRule="auto"/>
        <w:rPr>
          <w:rFonts w:ascii="Times New Roman" w:eastAsia="Times New Roman" w:hAnsi="Times New Roman" w:cs="Times New Roman"/>
          <w:color w:val="333333"/>
          <w:sz w:val="23"/>
          <w:szCs w:val="23"/>
          <w:lang w:bidi="he-IL"/>
        </w:rPr>
      </w:pPr>
      <w:r w:rsidRPr="00F16574">
        <w:rPr>
          <w:rFonts w:ascii="Times New Roman" w:eastAsia="Times New Roman" w:hAnsi="Times New Roman" w:cs="Times New Roman"/>
          <w:color w:val="333333"/>
          <w:sz w:val="23"/>
          <w:szCs w:val="23"/>
          <w:lang w:bidi="he-IL"/>
        </w:rPr>
        <w:t>For a fuller accounting, see Chavel and DeGrado, “Text- and Source-Criticism of 1 Samuel 17–18.”</w:t>
      </w:r>
    </w:p>
    <w:p w14:paraId="114566BD" w14:textId="77777777" w:rsidR="00F16574" w:rsidRPr="00F16574" w:rsidRDefault="00F16574" w:rsidP="00F16574">
      <w:pPr>
        <w:numPr>
          <w:ilvl w:val="0"/>
          <w:numId w:val="3"/>
        </w:numPr>
        <w:spacing w:before="100" w:beforeAutospacing="1" w:after="0" w:line="480" w:lineRule="auto"/>
        <w:rPr>
          <w:rFonts w:ascii="Times New Roman" w:eastAsia="Times New Roman" w:hAnsi="Times New Roman" w:cs="Times New Roman"/>
          <w:color w:val="333333"/>
          <w:sz w:val="23"/>
          <w:szCs w:val="23"/>
          <w:lang w:bidi="he-IL"/>
        </w:rPr>
      </w:pPr>
      <w:r w:rsidRPr="00F16574">
        <w:rPr>
          <w:rFonts w:ascii="Times New Roman" w:eastAsia="Times New Roman" w:hAnsi="Times New Roman" w:cs="Times New Roman"/>
          <w:color w:val="333333"/>
          <w:sz w:val="23"/>
          <w:szCs w:val="23"/>
          <w:lang w:bidi="he-IL"/>
        </w:rPr>
        <w:t>The MT and LXX</w:t>
      </w:r>
      <w:r w:rsidRPr="00F16574">
        <w:rPr>
          <w:rFonts w:ascii="Times New Roman" w:eastAsia="Times New Roman" w:hAnsi="Times New Roman" w:cs="Times New Roman"/>
          <w:color w:val="333333"/>
          <w:sz w:val="17"/>
          <w:szCs w:val="17"/>
          <w:vertAlign w:val="superscript"/>
          <w:lang w:bidi="he-IL"/>
        </w:rPr>
        <w:t>B</w:t>
      </w:r>
      <w:r w:rsidRPr="00F16574">
        <w:rPr>
          <w:rFonts w:ascii="Times New Roman" w:eastAsia="Times New Roman" w:hAnsi="Times New Roman" w:cs="Times New Roman"/>
          <w:color w:val="333333"/>
          <w:sz w:val="23"/>
          <w:szCs w:val="23"/>
          <w:lang w:bidi="he-IL"/>
        </w:rPr>
        <w:t xml:space="preserve"> (i.e., the manuscript </w:t>
      </w:r>
      <w:proofErr w:type="spellStart"/>
      <w:r w:rsidRPr="00F16574">
        <w:rPr>
          <w:rFonts w:ascii="Times New Roman" w:eastAsia="Times New Roman" w:hAnsi="Times New Roman" w:cs="Times New Roman"/>
          <w:color w:val="333333"/>
          <w:sz w:val="23"/>
          <w:szCs w:val="23"/>
          <w:lang w:bidi="he-IL"/>
        </w:rPr>
        <w:t>Vaticanus</w:t>
      </w:r>
      <w:proofErr w:type="spellEnd"/>
      <w:r w:rsidRPr="00F16574">
        <w:rPr>
          <w:rFonts w:ascii="Times New Roman" w:eastAsia="Times New Roman" w:hAnsi="Times New Roman" w:cs="Times New Roman"/>
          <w:color w:val="333333"/>
          <w:sz w:val="23"/>
          <w:szCs w:val="23"/>
          <w:lang w:bidi="he-IL"/>
        </w:rPr>
        <w:t>) identify Michal as Adriel’s wife in this passage, but this reading is probably a mistake on the part of MT and a secondary correction on the part of LXX</w:t>
      </w:r>
      <w:r w:rsidRPr="00F16574">
        <w:rPr>
          <w:rFonts w:ascii="Times New Roman" w:eastAsia="Times New Roman" w:hAnsi="Times New Roman" w:cs="Times New Roman"/>
          <w:color w:val="333333"/>
          <w:sz w:val="17"/>
          <w:szCs w:val="17"/>
          <w:vertAlign w:val="superscript"/>
          <w:lang w:bidi="he-IL"/>
        </w:rPr>
        <w:t>B</w:t>
      </w:r>
      <w:r w:rsidRPr="00F16574">
        <w:rPr>
          <w:rFonts w:ascii="Times New Roman" w:eastAsia="Times New Roman" w:hAnsi="Times New Roman" w:cs="Times New Roman"/>
          <w:color w:val="333333"/>
          <w:sz w:val="23"/>
          <w:szCs w:val="23"/>
          <w:lang w:bidi="he-IL"/>
        </w:rPr>
        <w:t>, which contains a later Greek recension here. The MT reads:</w:t>
      </w:r>
    </w:p>
    <w:p w14:paraId="2E830993" w14:textId="77777777" w:rsidR="00F16574" w:rsidRPr="00F16574" w:rsidRDefault="00F16574" w:rsidP="00F16574">
      <w:pPr>
        <w:bidi/>
        <w:spacing w:after="100" w:line="435" w:lineRule="atLeast"/>
        <w:ind w:left="1440"/>
        <w:textAlignment w:val="top"/>
        <w:rPr>
          <w:rFonts w:ascii="Times New Roman" w:eastAsia="Times New Roman" w:hAnsi="Times New Roman" w:cs="Times New Roman"/>
          <w:color w:val="333333"/>
          <w:sz w:val="26"/>
          <w:szCs w:val="26"/>
          <w:lang w:bidi="he-IL"/>
        </w:rPr>
      </w:pPr>
      <w:r w:rsidRPr="00F16574">
        <w:rPr>
          <w:rFonts w:ascii="Times New Roman" w:eastAsia="Times New Roman" w:hAnsi="Times New Roman" w:cs="Times New Roman"/>
          <w:color w:val="333333"/>
          <w:sz w:val="26"/>
          <w:szCs w:val="26"/>
          <w:rtl/>
          <w:lang w:bidi="he-IL"/>
        </w:rPr>
        <w:t>‏</w:t>
      </w:r>
      <w:r w:rsidRPr="00F16574">
        <w:rPr>
          <w:rFonts w:ascii="Times New Roman" w:eastAsia="Times New Roman" w:hAnsi="Times New Roman" w:cs="Times New Roman"/>
          <w:color w:val="333333"/>
          <w:sz w:val="19"/>
          <w:szCs w:val="19"/>
          <w:vertAlign w:val="superscript"/>
          <w:rtl/>
          <w:lang w:bidi="he-IL"/>
        </w:rPr>
        <w:t>שׁמואל ב כא:ח</w:t>
      </w:r>
      <w:r w:rsidRPr="00F16574">
        <w:rPr>
          <w:rFonts w:ascii="Times New Roman" w:eastAsia="Times New Roman" w:hAnsi="Times New Roman" w:cs="Times New Roman"/>
          <w:color w:val="333333"/>
          <w:sz w:val="26"/>
          <w:szCs w:val="26"/>
          <w:rtl/>
          <w:lang w:bidi="he-IL"/>
        </w:rPr>
        <w:t> וַיִּקַּח הַמֶּלֶךְ אֶת שְׁנֵי בְּנֵי רִצְפָּה בַת אַיָּה אֲשֶׁר יָלְדָה לְשָׁאוּל אֶת אַרְמֹנִי וְאֶת מְפִבֹשֶׁת וְאֶת חֲמֵשֶׁת בְּנֵי מִיכַל בַּת שָׁאוּל אֲשֶׁר יָלְדָה לְעַדְרִיאֵל בֶּן בַּרְזִלַּי הַמְּחֹלָתִי.</w:t>
      </w:r>
    </w:p>
    <w:p w14:paraId="7413069E" w14:textId="77777777" w:rsidR="00F16574" w:rsidRPr="00F16574" w:rsidRDefault="00F16574" w:rsidP="00F16574">
      <w:pPr>
        <w:spacing w:after="0" w:line="480" w:lineRule="auto"/>
        <w:ind w:left="720"/>
        <w:rPr>
          <w:rFonts w:ascii="Times New Roman" w:eastAsia="Times New Roman" w:hAnsi="Times New Roman" w:cs="Times New Roman"/>
          <w:color w:val="333333"/>
          <w:sz w:val="23"/>
          <w:szCs w:val="23"/>
          <w:rtl/>
          <w:lang w:bidi="he-IL"/>
        </w:rPr>
      </w:pPr>
      <w:r w:rsidRPr="00F16574">
        <w:rPr>
          <w:rFonts w:ascii="Times New Roman" w:eastAsia="Times New Roman" w:hAnsi="Times New Roman" w:cs="Times New Roman"/>
          <w:color w:val="333333"/>
          <w:sz w:val="23"/>
          <w:szCs w:val="23"/>
          <w:lang w:bidi="he-IL"/>
        </w:rPr>
        <w:t> </w:t>
      </w:r>
    </w:p>
    <w:p w14:paraId="18F1E0C6" w14:textId="77777777" w:rsidR="00F16574" w:rsidRPr="00F16574" w:rsidRDefault="00F16574" w:rsidP="00F16574">
      <w:pPr>
        <w:numPr>
          <w:ilvl w:val="0"/>
          <w:numId w:val="3"/>
        </w:numPr>
        <w:spacing w:before="100" w:beforeAutospacing="1" w:after="0" w:line="480" w:lineRule="auto"/>
        <w:rPr>
          <w:rFonts w:ascii="Times New Roman" w:eastAsia="Times New Roman" w:hAnsi="Times New Roman" w:cs="Times New Roman"/>
          <w:color w:val="333333"/>
          <w:sz w:val="23"/>
          <w:szCs w:val="23"/>
          <w:lang w:bidi="he-IL"/>
        </w:rPr>
      </w:pPr>
      <w:r w:rsidRPr="00F16574" w:rsidDel="00F16574">
        <w:rPr>
          <w:rFonts w:ascii="Times New Roman" w:eastAsia="Times New Roman" w:hAnsi="Times New Roman" w:cs="Times New Roman"/>
          <w:color w:val="333333"/>
          <w:sz w:val="17"/>
          <w:szCs w:val="17"/>
          <w:vertAlign w:val="superscript"/>
          <w:lang w:bidi="he-IL"/>
        </w:rPr>
        <w:t xml:space="preserve"> </w:t>
      </w:r>
      <w:r w:rsidRPr="00F16574">
        <w:rPr>
          <w:rFonts w:ascii="Times New Roman" w:eastAsia="Times New Roman" w:hAnsi="Times New Roman" w:cs="Times New Roman"/>
          <w:color w:val="333333"/>
          <w:sz w:val="23"/>
          <w:szCs w:val="23"/>
          <w:lang w:bidi="he-IL"/>
        </w:rPr>
        <w:t>See, e.g., Simon J. De Vries, “David’s Victory over the Philistine as Saga and as Legend,” </w:t>
      </w:r>
      <w:r w:rsidRPr="00F16574">
        <w:rPr>
          <w:rFonts w:ascii="Times New Roman" w:eastAsia="Times New Roman" w:hAnsi="Times New Roman" w:cs="Times New Roman"/>
          <w:i/>
          <w:iCs/>
          <w:color w:val="333333"/>
          <w:sz w:val="23"/>
          <w:szCs w:val="23"/>
          <w:lang w:bidi="he-IL"/>
        </w:rPr>
        <w:t>JBL</w:t>
      </w:r>
      <w:r w:rsidRPr="00F16574">
        <w:rPr>
          <w:rFonts w:ascii="Times New Roman" w:eastAsia="Times New Roman" w:hAnsi="Times New Roman" w:cs="Times New Roman"/>
          <w:color w:val="333333"/>
          <w:sz w:val="23"/>
          <w:szCs w:val="23"/>
          <w:lang w:bidi="he-IL"/>
        </w:rPr>
        <w:t> 92 (1973): 23–36; Heda Jason, “The Story of David and Goliath: A Folk Epic?” </w:t>
      </w:r>
      <w:r w:rsidRPr="00F16574">
        <w:rPr>
          <w:rFonts w:ascii="Times New Roman" w:eastAsia="Times New Roman" w:hAnsi="Times New Roman" w:cs="Times New Roman"/>
          <w:i/>
          <w:iCs/>
          <w:color w:val="333333"/>
          <w:sz w:val="23"/>
          <w:szCs w:val="23"/>
          <w:lang w:bidi="he-IL"/>
        </w:rPr>
        <w:t>Bib</w:t>
      </w:r>
      <w:r w:rsidRPr="00F16574">
        <w:rPr>
          <w:rFonts w:ascii="Times New Roman" w:eastAsia="Times New Roman" w:hAnsi="Times New Roman" w:cs="Times New Roman"/>
          <w:color w:val="333333"/>
          <w:sz w:val="23"/>
          <w:szCs w:val="23"/>
          <w:lang w:bidi="he-IL"/>
        </w:rPr>
        <w:t> 60 (1979): 36–70, esp. 60–61, 67; David W. Gooding, “An Approach to the Literary and Textual Problems in the David-Goliath Story: 1 Sam 16–18,” in </w:t>
      </w:r>
      <w:r w:rsidRPr="00F16574">
        <w:rPr>
          <w:rFonts w:ascii="Times New Roman" w:eastAsia="Times New Roman" w:hAnsi="Times New Roman" w:cs="Times New Roman"/>
          <w:i/>
          <w:iCs/>
          <w:color w:val="333333"/>
          <w:sz w:val="23"/>
          <w:szCs w:val="23"/>
          <w:lang w:bidi="he-IL"/>
        </w:rPr>
        <w:t>The Story of David and Goliath: Textual and Literary Criticism, Papers of a Joint Venture</w:t>
      </w:r>
      <w:r w:rsidRPr="00F16574">
        <w:rPr>
          <w:rFonts w:ascii="Times New Roman" w:eastAsia="Times New Roman" w:hAnsi="Times New Roman" w:cs="Times New Roman"/>
          <w:color w:val="333333"/>
          <w:sz w:val="23"/>
          <w:szCs w:val="23"/>
          <w:lang w:bidi="he-IL"/>
        </w:rPr>
        <w:t xml:space="preserve">, ed. Dominique Barthélemy et al., OBO 73 (Fribourg: University Press; Göttingen: </w:t>
      </w:r>
      <w:proofErr w:type="spellStart"/>
      <w:r w:rsidRPr="00F16574">
        <w:rPr>
          <w:rFonts w:ascii="Times New Roman" w:eastAsia="Times New Roman" w:hAnsi="Times New Roman" w:cs="Times New Roman"/>
          <w:color w:val="333333"/>
          <w:sz w:val="23"/>
          <w:szCs w:val="23"/>
          <w:lang w:bidi="he-IL"/>
        </w:rPr>
        <w:t>Vandenhoeck</w:t>
      </w:r>
      <w:proofErr w:type="spellEnd"/>
      <w:r w:rsidRPr="00F16574">
        <w:rPr>
          <w:rFonts w:ascii="Times New Roman" w:eastAsia="Times New Roman" w:hAnsi="Times New Roman" w:cs="Times New Roman"/>
          <w:color w:val="333333"/>
          <w:sz w:val="23"/>
          <w:szCs w:val="23"/>
          <w:lang w:bidi="he-IL"/>
        </w:rPr>
        <w:t xml:space="preserve"> &amp; Ruprecht, 1986), 55–86, here 75–82; Alexander </w:t>
      </w:r>
      <w:proofErr w:type="spellStart"/>
      <w:r w:rsidRPr="00F16574">
        <w:rPr>
          <w:rFonts w:ascii="Times New Roman" w:eastAsia="Times New Roman" w:hAnsi="Times New Roman" w:cs="Times New Roman"/>
          <w:color w:val="333333"/>
          <w:sz w:val="23"/>
          <w:szCs w:val="23"/>
          <w:lang w:bidi="he-IL"/>
        </w:rPr>
        <w:t>Rofé</w:t>
      </w:r>
      <w:proofErr w:type="spellEnd"/>
      <w:r w:rsidRPr="00F16574">
        <w:rPr>
          <w:rFonts w:ascii="Times New Roman" w:eastAsia="Times New Roman" w:hAnsi="Times New Roman" w:cs="Times New Roman"/>
          <w:color w:val="333333"/>
          <w:sz w:val="23"/>
          <w:szCs w:val="23"/>
          <w:lang w:bidi="he-IL"/>
        </w:rPr>
        <w:t>, “The Battle of David and Goliath: Folklore, Theology, Eschatology,” in </w:t>
      </w:r>
      <w:r w:rsidRPr="00F16574">
        <w:rPr>
          <w:rFonts w:ascii="Times New Roman" w:eastAsia="Times New Roman" w:hAnsi="Times New Roman" w:cs="Times New Roman"/>
          <w:i/>
          <w:iCs/>
          <w:color w:val="333333"/>
          <w:sz w:val="23"/>
          <w:szCs w:val="23"/>
          <w:lang w:bidi="he-IL"/>
        </w:rPr>
        <w:t>Judaic Perspectives on Ancient Israel</w:t>
      </w:r>
      <w:r w:rsidRPr="00F16574">
        <w:rPr>
          <w:rFonts w:ascii="Times New Roman" w:eastAsia="Times New Roman" w:hAnsi="Times New Roman" w:cs="Times New Roman"/>
          <w:color w:val="333333"/>
          <w:sz w:val="23"/>
          <w:szCs w:val="23"/>
          <w:lang w:bidi="he-IL"/>
        </w:rPr>
        <w:t xml:space="preserve">, ed. Jacob </w:t>
      </w:r>
      <w:proofErr w:type="spellStart"/>
      <w:r w:rsidRPr="00F16574">
        <w:rPr>
          <w:rFonts w:ascii="Times New Roman" w:eastAsia="Times New Roman" w:hAnsi="Times New Roman" w:cs="Times New Roman"/>
          <w:color w:val="333333"/>
          <w:sz w:val="23"/>
          <w:szCs w:val="23"/>
          <w:lang w:bidi="he-IL"/>
        </w:rPr>
        <w:t>Neusner</w:t>
      </w:r>
      <w:proofErr w:type="spellEnd"/>
      <w:r w:rsidRPr="00F16574">
        <w:rPr>
          <w:rFonts w:ascii="Times New Roman" w:eastAsia="Times New Roman" w:hAnsi="Times New Roman" w:cs="Times New Roman"/>
          <w:color w:val="333333"/>
          <w:sz w:val="23"/>
          <w:szCs w:val="23"/>
          <w:lang w:bidi="he-IL"/>
        </w:rPr>
        <w:t xml:space="preserve">, Baruch A. Levine, and Ernest S. Frerichs (Philadelphia: Fortress, 1987), 117–151, esp. 119–123; Arie van der </w:t>
      </w:r>
      <w:proofErr w:type="spellStart"/>
      <w:r w:rsidRPr="00F16574">
        <w:rPr>
          <w:rFonts w:ascii="Times New Roman" w:eastAsia="Times New Roman" w:hAnsi="Times New Roman" w:cs="Times New Roman"/>
          <w:color w:val="333333"/>
          <w:sz w:val="23"/>
          <w:szCs w:val="23"/>
          <w:lang w:bidi="he-IL"/>
        </w:rPr>
        <w:t>Kooij</w:t>
      </w:r>
      <w:proofErr w:type="spellEnd"/>
      <w:r w:rsidRPr="00F16574">
        <w:rPr>
          <w:rFonts w:ascii="Times New Roman" w:eastAsia="Times New Roman" w:hAnsi="Times New Roman" w:cs="Times New Roman"/>
          <w:color w:val="333333"/>
          <w:sz w:val="23"/>
          <w:szCs w:val="23"/>
          <w:lang w:bidi="he-IL"/>
        </w:rPr>
        <w:t>, “The Story of David and Goliath: The Early History of Its Text,” </w:t>
      </w:r>
      <w:r w:rsidRPr="00F16574">
        <w:rPr>
          <w:rFonts w:ascii="Times New Roman" w:eastAsia="Times New Roman" w:hAnsi="Times New Roman" w:cs="Times New Roman"/>
          <w:i/>
          <w:iCs/>
          <w:color w:val="333333"/>
          <w:sz w:val="23"/>
          <w:szCs w:val="23"/>
          <w:lang w:bidi="he-IL"/>
        </w:rPr>
        <w:t>ETL</w:t>
      </w:r>
      <w:r w:rsidRPr="00F16574">
        <w:rPr>
          <w:rFonts w:ascii="Times New Roman" w:eastAsia="Times New Roman" w:hAnsi="Times New Roman" w:cs="Times New Roman"/>
          <w:color w:val="333333"/>
          <w:sz w:val="23"/>
          <w:szCs w:val="23"/>
          <w:lang w:bidi="he-IL"/>
        </w:rPr>
        <w:t> 68 (1992): 118–131, here 129–130.</w:t>
      </w:r>
    </w:p>
    <w:p w14:paraId="1248CBB2" w14:textId="77777777" w:rsidR="00F16574" w:rsidRPr="00F16574" w:rsidRDefault="00F16574" w:rsidP="00F16574">
      <w:pPr>
        <w:numPr>
          <w:ilvl w:val="0"/>
          <w:numId w:val="3"/>
        </w:numPr>
        <w:spacing w:before="100" w:beforeAutospacing="1" w:after="0" w:line="480" w:lineRule="auto"/>
        <w:rPr>
          <w:rFonts w:ascii="Times New Roman" w:eastAsia="Times New Roman" w:hAnsi="Times New Roman" w:cs="Times New Roman"/>
          <w:color w:val="333333"/>
          <w:sz w:val="23"/>
          <w:szCs w:val="23"/>
          <w:lang w:bidi="he-IL"/>
        </w:rPr>
      </w:pPr>
      <w:r w:rsidRPr="00F16574">
        <w:rPr>
          <w:rFonts w:ascii="Times New Roman" w:eastAsia="Times New Roman" w:hAnsi="Times New Roman" w:cs="Times New Roman"/>
          <w:color w:val="333333"/>
          <w:sz w:val="23"/>
          <w:szCs w:val="23"/>
          <w:lang w:bidi="he-IL"/>
        </w:rPr>
        <w:t>See, e.g., Hans Wilhelm Hertzberg, </w:t>
      </w:r>
      <w:r w:rsidRPr="00F16574">
        <w:rPr>
          <w:rFonts w:ascii="Times New Roman" w:eastAsia="Times New Roman" w:hAnsi="Times New Roman" w:cs="Times New Roman"/>
          <w:i/>
          <w:iCs/>
          <w:color w:val="333333"/>
          <w:sz w:val="23"/>
          <w:szCs w:val="23"/>
          <w:lang w:bidi="he-IL"/>
        </w:rPr>
        <w:t>I &amp; II Samuel</w:t>
      </w:r>
      <w:r w:rsidRPr="00F16574">
        <w:rPr>
          <w:rFonts w:ascii="Times New Roman" w:eastAsia="Times New Roman" w:hAnsi="Times New Roman" w:cs="Times New Roman"/>
          <w:color w:val="333333"/>
          <w:sz w:val="23"/>
          <w:szCs w:val="23"/>
          <w:lang w:bidi="he-IL"/>
        </w:rPr>
        <w:t>, trans. J. S. Bowden, OTL (Philadelphia: Westminster, 1964), 147–148; Stephen Pisano, </w:t>
      </w:r>
      <w:r w:rsidRPr="00F16574">
        <w:rPr>
          <w:rFonts w:ascii="Times New Roman" w:eastAsia="Times New Roman" w:hAnsi="Times New Roman" w:cs="Times New Roman"/>
          <w:i/>
          <w:iCs/>
          <w:color w:val="333333"/>
          <w:sz w:val="23"/>
          <w:szCs w:val="23"/>
          <w:lang w:bidi="he-IL"/>
        </w:rPr>
        <w:t xml:space="preserve">Additions or Omissions in the Books of Samuel: The Significant Pluses and Minuses in the </w:t>
      </w:r>
      <w:proofErr w:type="spellStart"/>
      <w:r w:rsidRPr="00F16574">
        <w:rPr>
          <w:rFonts w:ascii="Times New Roman" w:eastAsia="Times New Roman" w:hAnsi="Times New Roman" w:cs="Times New Roman"/>
          <w:i/>
          <w:iCs/>
          <w:color w:val="333333"/>
          <w:sz w:val="23"/>
          <w:szCs w:val="23"/>
          <w:lang w:bidi="he-IL"/>
        </w:rPr>
        <w:t>Massoretic</w:t>
      </w:r>
      <w:proofErr w:type="spellEnd"/>
      <w:r w:rsidRPr="00F16574">
        <w:rPr>
          <w:rFonts w:ascii="Times New Roman" w:eastAsia="Times New Roman" w:hAnsi="Times New Roman" w:cs="Times New Roman"/>
          <w:i/>
          <w:iCs/>
          <w:color w:val="333333"/>
          <w:sz w:val="23"/>
          <w:szCs w:val="23"/>
          <w:lang w:bidi="he-IL"/>
        </w:rPr>
        <w:t>, LXX and Qumran Texts</w:t>
      </w:r>
      <w:r w:rsidRPr="00F16574">
        <w:rPr>
          <w:rFonts w:ascii="Times New Roman" w:eastAsia="Times New Roman" w:hAnsi="Times New Roman" w:cs="Times New Roman"/>
          <w:color w:val="333333"/>
          <w:sz w:val="23"/>
          <w:szCs w:val="23"/>
          <w:lang w:bidi="he-IL"/>
        </w:rPr>
        <w:t xml:space="preserve">, </w:t>
      </w:r>
      <w:r w:rsidRPr="00F16574">
        <w:rPr>
          <w:rFonts w:ascii="Times New Roman" w:eastAsia="Times New Roman" w:hAnsi="Times New Roman" w:cs="Times New Roman"/>
          <w:color w:val="333333"/>
          <w:sz w:val="23"/>
          <w:szCs w:val="23"/>
          <w:lang w:bidi="he-IL"/>
        </w:rPr>
        <w:lastRenderedPageBreak/>
        <w:t>OBO 57 (Freiburg: University Press, 1984), 86; Baruch Halpern, </w:t>
      </w:r>
      <w:r w:rsidRPr="00F16574">
        <w:rPr>
          <w:rFonts w:ascii="Times New Roman" w:eastAsia="Times New Roman" w:hAnsi="Times New Roman" w:cs="Times New Roman"/>
          <w:i/>
          <w:iCs/>
          <w:color w:val="333333"/>
          <w:sz w:val="23"/>
          <w:szCs w:val="23"/>
          <w:lang w:bidi="he-IL"/>
        </w:rPr>
        <w:t>David’s Secret Demons: Messiah, Murderer, Traitor, King</w:t>
      </w:r>
      <w:r w:rsidRPr="00F16574">
        <w:rPr>
          <w:rFonts w:ascii="Times New Roman" w:eastAsia="Times New Roman" w:hAnsi="Times New Roman" w:cs="Times New Roman"/>
          <w:color w:val="333333"/>
          <w:sz w:val="23"/>
          <w:szCs w:val="23"/>
          <w:lang w:bidi="he-IL"/>
        </w:rPr>
        <w:t> (Grand Rapids: Eerdmans, 2001), 7 n. 3 (but cf. 280–281);</w:t>
      </w:r>
      <w:r w:rsidRPr="00F16574">
        <w:rPr>
          <w:rFonts w:ascii="Times New Roman" w:eastAsia="Times New Roman" w:hAnsi="Times New Roman" w:cs="Times New Roman"/>
          <w:i/>
          <w:iCs/>
          <w:color w:val="333333"/>
          <w:sz w:val="23"/>
          <w:szCs w:val="23"/>
          <w:lang w:bidi="he-IL"/>
        </w:rPr>
        <w:t> </w:t>
      </w:r>
      <w:r w:rsidRPr="00F16574">
        <w:rPr>
          <w:rFonts w:ascii="Times New Roman" w:eastAsia="Times New Roman" w:hAnsi="Times New Roman" w:cs="Times New Roman"/>
          <w:color w:val="333333"/>
          <w:sz w:val="23"/>
          <w:szCs w:val="23"/>
          <w:lang w:bidi="he-IL"/>
        </w:rPr>
        <w:t>and Rebecca Poe Hays, “A Problematic Spouse: A Text-Critical Examination of Merab’s Place in 1 Samuel 18:17–19 and 2 Samuel 21:8,” </w:t>
      </w:r>
      <w:r w:rsidRPr="00F16574">
        <w:rPr>
          <w:rFonts w:ascii="Times New Roman" w:eastAsia="Times New Roman" w:hAnsi="Times New Roman" w:cs="Times New Roman"/>
          <w:i/>
          <w:iCs/>
          <w:color w:val="333333"/>
          <w:sz w:val="23"/>
          <w:szCs w:val="23"/>
          <w:lang w:bidi="he-IL"/>
        </w:rPr>
        <w:t>ZAW</w:t>
      </w:r>
      <w:r w:rsidRPr="00F16574">
        <w:rPr>
          <w:rFonts w:ascii="Times New Roman" w:eastAsia="Times New Roman" w:hAnsi="Times New Roman" w:cs="Times New Roman"/>
          <w:color w:val="333333"/>
          <w:sz w:val="23"/>
          <w:szCs w:val="23"/>
          <w:lang w:bidi="he-IL"/>
        </w:rPr>
        <w:t> 120 (2017): 220–233.</w:t>
      </w:r>
    </w:p>
    <w:p w14:paraId="0DBB353F" w14:textId="77777777" w:rsidR="00F16574" w:rsidRPr="00F16574" w:rsidRDefault="00F16574" w:rsidP="00F16574">
      <w:pPr>
        <w:numPr>
          <w:ilvl w:val="0"/>
          <w:numId w:val="3"/>
        </w:numPr>
        <w:spacing w:before="100" w:beforeAutospacing="1" w:after="0" w:line="480" w:lineRule="auto"/>
        <w:rPr>
          <w:rFonts w:ascii="Times New Roman" w:eastAsia="Times New Roman" w:hAnsi="Times New Roman" w:cs="Times New Roman"/>
          <w:color w:val="333333"/>
          <w:sz w:val="23"/>
          <w:szCs w:val="23"/>
          <w:lang w:bidi="he-IL"/>
        </w:rPr>
      </w:pPr>
      <w:r w:rsidRPr="00F16574">
        <w:rPr>
          <w:rFonts w:ascii="Times New Roman" w:eastAsia="Times New Roman" w:hAnsi="Times New Roman" w:cs="Times New Roman"/>
          <w:color w:val="333333"/>
          <w:sz w:val="23"/>
          <w:szCs w:val="23"/>
          <w:lang w:bidi="he-IL"/>
        </w:rPr>
        <w:t xml:space="preserve">See in particular Jason, “Story of David and Goliath”; Gooding, “Approach to the Literary and Textual Problems”; and </w:t>
      </w:r>
      <w:proofErr w:type="spellStart"/>
      <w:r w:rsidRPr="00F16574">
        <w:rPr>
          <w:rFonts w:ascii="Times New Roman" w:eastAsia="Times New Roman" w:hAnsi="Times New Roman" w:cs="Times New Roman"/>
          <w:color w:val="333333"/>
          <w:sz w:val="23"/>
          <w:szCs w:val="23"/>
          <w:lang w:bidi="he-IL"/>
        </w:rPr>
        <w:t>Rofé</w:t>
      </w:r>
      <w:proofErr w:type="spellEnd"/>
      <w:r w:rsidRPr="00F16574">
        <w:rPr>
          <w:rFonts w:ascii="Times New Roman" w:eastAsia="Times New Roman" w:hAnsi="Times New Roman" w:cs="Times New Roman"/>
          <w:color w:val="333333"/>
          <w:sz w:val="23"/>
          <w:szCs w:val="23"/>
          <w:lang w:bidi="he-IL"/>
        </w:rPr>
        <w:t>, “Battle of David and Goliath.”</w:t>
      </w:r>
    </w:p>
    <w:p w14:paraId="61F67399" w14:textId="77777777" w:rsidR="00F16574" w:rsidRPr="00F16574" w:rsidRDefault="00F16574" w:rsidP="00F16574">
      <w:pPr>
        <w:numPr>
          <w:ilvl w:val="0"/>
          <w:numId w:val="3"/>
        </w:numPr>
        <w:spacing w:before="100" w:beforeAutospacing="1" w:after="0" w:line="480" w:lineRule="auto"/>
        <w:rPr>
          <w:rFonts w:ascii="Times New Roman" w:eastAsia="Times New Roman" w:hAnsi="Times New Roman" w:cs="Times New Roman"/>
          <w:color w:val="333333"/>
          <w:sz w:val="23"/>
          <w:szCs w:val="23"/>
          <w:lang w:bidi="he-IL"/>
        </w:rPr>
      </w:pPr>
      <w:r w:rsidRPr="00F16574">
        <w:rPr>
          <w:rFonts w:ascii="Times New Roman" w:eastAsia="Times New Roman" w:hAnsi="Times New Roman" w:cs="Times New Roman"/>
          <w:color w:val="333333"/>
          <w:sz w:val="23"/>
          <w:szCs w:val="23"/>
          <w:lang w:bidi="he-IL"/>
        </w:rPr>
        <w:t>See the discussion of this issue in, e.g., Julius Wellhausen, </w:t>
      </w:r>
      <w:r w:rsidRPr="00F16574">
        <w:rPr>
          <w:rFonts w:ascii="Times New Roman" w:eastAsia="Times New Roman" w:hAnsi="Times New Roman" w:cs="Times New Roman"/>
          <w:i/>
          <w:iCs/>
          <w:color w:val="333333"/>
          <w:sz w:val="23"/>
          <w:szCs w:val="23"/>
          <w:lang w:bidi="he-IL"/>
        </w:rPr>
        <w:t xml:space="preserve">Der Text der </w:t>
      </w:r>
      <w:proofErr w:type="spellStart"/>
      <w:r w:rsidRPr="00F16574">
        <w:rPr>
          <w:rFonts w:ascii="Times New Roman" w:eastAsia="Times New Roman" w:hAnsi="Times New Roman" w:cs="Times New Roman"/>
          <w:i/>
          <w:iCs/>
          <w:color w:val="333333"/>
          <w:sz w:val="23"/>
          <w:szCs w:val="23"/>
          <w:lang w:bidi="he-IL"/>
        </w:rPr>
        <w:t>Bücher</w:t>
      </w:r>
      <w:proofErr w:type="spellEnd"/>
      <w:r w:rsidRPr="00F16574">
        <w:rPr>
          <w:rFonts w:ascii="Times New Roman" w:eastAsia="Times New Roman" w:hAnsi="Times New Roman" w:cs="Times New Roman"/>
          <w:i/>
          <w:iCs/>
          <w:color w:val="333333"/>
          <w:sz w:val="23"/>
          <w:szCs w:val="23"/>
          <w:lang w:bidi="he-IL"/>
        </w:rPr>
        <w:t xml:space="preserve"> Samuelis</w:t>
      </w:r>
      <w:r w:rsidRPr="00F16574">
        <w:rPr>
          <w:rFonts w:ascii="Times New Roman" w:eastAsia="Times New Roman" w:hAnsi="Times New Roman" w:cs="Times New Roman"/>
          <w:color w:val="333333"/>
          <w:sz w:val="23"/>
          <w:szCs w:val="23"/>
          <w:lang w:bidi="he-IL"/>
        </w:rPr>
        <w:t xml:space="preserve"> (Göttingen: </w:t>
      </w:r>
      <w:proofErr w:type="spellStart"/>
      <w:r w:rsidRPr="00F16574">
        <w:rPr>
          <w:rFonts w:ascii="Times New Roman" w:eastAsia="Times New Roman" w:hAnsi="Times New Roman" w:cs="Times New Roman"/>
          <w:color w:val="333333"/>
          <w:sz w:val="23"/>
          <w:szCs w:val="23"/>
          <w:lang w:bidi="he-IL"/>
        </w:rPr>
        <w:t>Vandenhoeck</w:t>
      </w:r>
      <w:proofErr w:type="spellEnd"/>
      <w:r w:rsidRPr="00F16574">
        <w:rPr>
          <w:rFonts w:ascii="Times New Roman" w:eastAsia="Times New Roman" w:hAnsi="Times New Roman" w:cs="Times New Roman"/>
          <w:color w:val="333333"/>
          <w:sz w:val="23"/>
          <w:szCs w:val="23"/>
          <w:lang w:bidi="he-IL"/>
        </w:rPr>
        <w:t xml:space="preserve"> &amp; Ruprecht, 1871), 104–105; Smith, </w:t>
      </w:r>
      <w:r w:rsidRPr="00F16574">
        <w:rPr>
          <w:rFonts w:ascii="Times New Roman" w:eastAsia="Times New Roman" w:hAnsi="Times New Roman" w:cs="Times New Roman"/>
          <w:i/>
          <w:iCs/>
          <w:color w:val="333333"/>
          <w:sz w:val="23"/>
          <w:szCs w:val="23"/>
          <w:lang w:bidi="he-IL"/>
        </w:rPr>
        <w:t>Books of Samuel</w:t>
      </w:r>
      <w:r w:rsidRPr="00F16574">
        <w:rPr>
          <w:rFonts w:ascii="Times New Roman" w:eastAsia="Times New Roman" w:hAnsi="Times New Roman" w:cs="Times New Roman"/>
          <w:color w:val="333333"/>
          <w:sz w:val="23"/>
          <w:szCs w:val="23"/>
          <w:lang w:bidi="he-IL"/>
        </w:rPr>
        <w:t>, 150; McCarter, </w:t>
      </w:r>
      <w:r w:rsidRPr="00F16574">
        <w:rPr>
          <w:rFonts w:ascii="Times New Roman" w:eastAsia="Times New Roman" w:hAnsi="Times New Roman" w:cs="Times New Roman"/>
          <w:i/>
          <w:iCs/>
          <w:color w:val="333333"/>
          <w:sz w:val="23"/>
          <w:szCs w:val="23"/>
          <w:lang w:bidi="he-IL"/>
        </w:rPr>
        <w:t>I Samuel</w:t>
      </w:r>
      <w:r w:rsidRPr="00F16574">
        <w:rPr>
          <w:rFonts w:ascii="Times New Roman" w:eastAsia="Times New Roman" w:hAnsi="Times New Roman" w:cs="Times New Roman"/>
          <w:color w:val="333333"/>
          <w:sz w:val="23"/>
          <w:szCs w:val="23"/>
          <w:lang w:bidi="he-IL"/>
        </w:rPr>
        <w:t>, 307; Johan Lust “The Story of David and Goliath in Hebrew and Greek,” in Barthélemy et al., </w:t>
      </w:r>
      <w:r w:rsidRPr="00F16574">
        <w:rPr>
          <w:rFonts w:ascii="Times New Roman" w:eastAsia="Times New Roman" w:hAnsi="Times New Roman" w:cs="Times New Roman"/>
          <w:i/>
          <w:iCs/>
          <w:color w:val="333333"/>
          <w:sz w:val="23"/>
          <w:szCs w:val="23"/>
          <w:lang w:bidi="he-IL"/>
        </w:rPr>
        <w:t>Story of David and Goliath</w:t>
      </w:r>
      <w:r w:rsidRPr="00F16574">
        <w:rPr>
          <w:rFonts w:ascii="Times New Roman" w:eastAsia="Times New Roman" w:hAnsi="Times New Roman" w:cs="Times New Roman"/>
          <w:color w:val="333333"/>
          <w:sz w:val="23"/>
          <w:szCs w:val="23"/>
          <w:lang w:bidi="he-IL"/>
        </w:rPr>
        <w:t>, 5–18, here 9; Emanuel Tov, “The Composition of 1 Samuel 16–18 in Light of the Septuagint,” in idem, </w:t>
      </w:r>
      <w:r w:rsidRPr="00F16574">
        <w:rPr>
          <w:rFonts w:ascii="Times New Roman" w:eastAsia="Times New Roman" w:hAnsi="Times New Roman" w:cs="Times New Roman"/>
          <w:i/>
          <w:iCs/>
          <w:color w:val="333333"/>
          <w:sz w:val="23"/>
          <w:szCs w:val="23"/>
          <w:lang w:bidi="he-IL"/>
        </w:rPr>
        <w:t>The Greek and Hebrew Bible: Collected Essays on the Septuagint</w:t>
      </w:r>
      <w:r w:rsidRPr="00F16574">
        <w:rPr>
          <w:rFonts w:ascii="Times New Roman" w:eastAsia="Times New Roman" w:hAnsi="Times New Roman" w:cs="Times New Roman"/>
          <w:color w:val="333333"/>
          <w:sz w:val="23"/>
          <w:szCs w:val="23"/>
          <w:lang w:bidi="he-IL"/>
        </w:rPr>
        <w:t xml:space="preserve">, </w:t>
      </w:r>
      <w:proofErr w:type="spellStart"/>
      <w:r w:rsidRPr="00F16574">
        <w:rPr>
          <w:rFonts w:ascii="Times New Roman" w:eastAsia="Times New Roman" w:hAnsi="Times New Roman" w:cs="Times New Roman"/>
          <w:color w:val="333333"/>
          <w:sz w:val="23"/>
          <w:szCs w:val="23"/>
          <w:lang w:bidi="he-IL"/>
        </w:rPr>
        <w:t>VTSup</w:t>
      </w:r>
      <w:proofErr w:type="spellEnd"/>
      <w:r w:rsidRPr="00F16574">
        <w:rPr>
          <w:rFonts w:ascii="Times New Roman" w:eastAsia="Times New Roman" w:hAnsi="Times New Roman" w:cs="Times New Roman"/>
          <w:color w:val="333333"/>
          <w:sz w:val="23"/>
          <w:szCs w:val="23"/>
          <w:lang w:bidi="he-IL"/>
        </w:rPr>
        <w:t xml:space="preserve"> 72 (Leiden: Brill, 1999), 333–362.</w:t>
      </w:r>
    </w:p>
    <w:p w14:paraId="46BD99E3" w14:textId="77777777" w:rsidR="00F16574" w:rsidRPr="00F16574" w:rsidRDefault="00F16574" w:rsidP="00F16574">
      <w:pPr>
        <w:numPr>
          <w:ilvl w:val="0"/>
          <w:numId w:val="3"/>
        </w:numPr>
        <w:spacing w:before="100" w:beforeAutospacing="1" w:after="0" w:line="480" w:lineRule="auto"/>
        <w:rPr>
          <w:rFonts w:ascii="Times New Roman" w:eastAsia="Times New Roman" w:hAnsi="Times New Roman" w:cs="Times New Roman"/>
          <w:color w:val="333333"/>
          <w:sz w:val="23"/>
          <w:szCs w:val="23"/>
          <w:lang w:bidi="he-IL"/>
        </w:rPr>
      </w:pPr>
      <w:r w:rsidRPr="00F16574">
        <w:rPr>
          <w:rFonts w:ascii="Times New Roman" w:eastAsia="Times New Roman" w:hAnsi="Times New Roman" w:cs="Times New Roman"/>
          <w:color w:val="333333"/>
          <w:sz w:val="23"/>
          <w:szCs w:val="23"/>
          <w:lang w:bidi="he-IL"/>
        </w:rPr>
        <w:t>Although alternative explanations can be given for the Jubilees manuscript in the first example, the identification of the patch-job in the Temple Scroll in the second example seems relatively secure.</w:t>
      </w:r>
    </w:p>
    <w:p w14:paraId="72C5631E" w14:textId="77777777" w:rsidR="00F16574" w:rsidRPr="00F16574" w:rsidRDefault="00F16574" w:rsidP="00F16574">
      <w:pPr>
        <w:numPr>
          <w:ilvl w:val="0"/>
          <w:numId w:val="3"/>
        </w:numPr>
        <w:spacing w:before="100" w:beforeAutospacing="1" w:after="0" w:line="480" w:lineRule="auto"/>
        <w:rPr>
          <w:rFonts w:ascii="Times New Roman" w:eastAsia="Times New Roman" w:hAnsi="Times New Roman" w:cs="Times New Roman"/>
          <w:color w:val="333333"/>
          <w:sz w:val="23"/>
          <w:szCs w:val="23"/>
          <w:lang w:bidi="he-IL"/>
        </w:rPr>
      </w:pPr>
      <w:r w:rsidRPr="00F16574">
        <w:rPr>
          <w:rFonts w:ascii="Times New Roman" w:eastAsia="Times New Roman" w:hAnsi="Times New Roman" w:cs="Times New Roman"/>
          <w:color w:val="333333"/>
          <w:sz w:val="23"/>
          <w:szCs w:val="23"/>
          <w:lang w:bidi="he-IL"/>
        </w:rPr>
        <w:t>James C. VanderKam and J. T. Milik, “The First </w:t>
      </w:r>
      <w:r w:rsidRPr="00F16574">
        <w:rPr>
          <w:rFonts w:ascii="Times New Roman" w:eastAsia="Times New Roman" w:hAnsi="Times New Roman" w:cs="Times New Roman"/>
          <w:i/>
          <w:iCs/>
          <w:color w:val="333333"/>
          <w:sz w:val="23"/>
          <w:szCs w:val="23"/>
          <w:lang w:bidi="he-IL"/>
        </w:rPr>
        <w:t>Jubilees</w:t>
      </w:r>
      <w:r w:rsidRPr="00F16574">
        <w:rPr>
          <w:rFonts w:ascii="Times New Roman" w:eastAsia="Times New Roman" w:hAnsi="Times New Roman" w:cs="Times New Roman"/>
          <w:color w:val="333333"/>
          <w:sz w:val="23"/>
          <w:szCs w:val="23"/>
          <w:lang w:bidi="he-IL"/>
        </w:rPr>
        <w:t> Manuscript from Qumran Cave 4: A Preliminary Publication,” </w:t>
      </w:r>
      <w:r w:rsidRPr="00F16574">
        <w:rPr>
          <w:rFonts w:ascii="Times New Roman" w:eastAsia="Times New Roman" w:hAnsi="Times New Roman" w:cs="Times New Roman"/>
          <w:i/>
          <w:iCs/>
          <w:color w:val="333333"/>
          <w:sz w:val="23"/>
          <w:szCs w:val="23"/>
          <w:lang w:bidi="he-IL"/>
        </w:rPr>
        <w:t>JBL</w:t>
      </w:r>
      <w:r w:rsidRPr="00F16574">
        <w:rPr>
          <w:rFonts w:ascii="Times New Roman" w:eastAsia="Times New Roman" w:hAnsi="Times New Roman" w:cs="Times New Roman"/>
          <w:color w:val="333333"/>
          <w:sz w:val="23"/>
          <w:szCs w:val="23"/>
          <w:lang w:bidi="he-IL"/>
        </w:rPr>
        <w:t> 110 (1991): 243–270, here 244 (PAM 43.185); James C. VanderKam and J. T. Milik, “216. 4QJubilees</w:t>
      </w:r>
      <w:r w:rsidRPr="00F16574">
        <w:rPr>
          <w:rFonts w:ascii="Times New Roman" w:eastAsia="Times New Roman" w:hAnsi="Times New Roman" w:cs="Times New Roman"/>
          <w:color w:val="333333"/>
          <w:sz w:val="17"/>
          <w:szCs w:val="17"/>
          <w:vertAlign w:val="superscript"/>
          <w:lang w:bidi="he-IL"/>
        </w:rPr>
        <w:t>a</w:t>
      </w:r>
      <w:r w:rsidRPr="00F16574">
        <w:rPr>
          <w:rFonts w:ascii="Times New Roman" w:eastAsia="Times New Roman" w:hAnsi="Times New Roman" w:cs="Times New Roman"/>
          <w:color w:val="333333"/>
          <w:sz w:val="23"/>
          <w:szCs w:val="23"/>
          <w:lang w:bidi="he-IL"/>
        </w:rPr>
        <w:t>,” in </w:t>
      </w:r>
      <w:r w:rsidRPr="00F16574">
        <w:rPr>
          <w:rFonts w:ascii="Times New Roman" w:eastAsia="Times New Roman" w:hAnsi="Times New Roman" w:cs="Times New Roman"/>
          <w:i/>
          <w:iCs/>
          <w:color w:val="333333"/>
          <w:sz w:val="23"/>
          <w:szCs w:val="23"/>
          <w:lang w:bidi="he-IL"/>
        </w:rPr>
        <w:t>Qumran Cave 4</w:t>
      </w:r>
      <w:r w:rsidRPr="00F16574">
        <w:rPr>
          <w:rFonts w:ascii="Times New Roman" w:eastAsia="Times New Roman" w:hAnsi="Times New Roman" w:cs="Times New Roman"/>
          <w:color w:val="333333"/>
          <w:sz w:val="23"/>
          <w:szCs w:val="23"/>
          <w:lang w:bidi="he-IL"/>
        </w:rPr>
        <w:t>. </w:t>
      </w:r>
      <w:r w:rsidRPr="00F16574">
        <w:rPr>
          <w:rFonts w:ascii="Times New Roman" w:eastAsia="Times New Roman" w:hAnsi="Times New Roman" w:cs="Times New Roman"/>
          <w:i/>
          <w:iCs/>
          <w:color w:val="333333"/>
          <w:sz w:val="23"/>
          <w:szCs w:val="23"/>
          <w:lang w:bidi="he-IL"/>
        </w:rPr>
        <w:t xml:space="preserve">VIII: </w:t>
      </w:r>
      <w:proofErr w:type="spellStart"/>
      <w:r w:rsidRPr="00F16574">
        <w:rPr>
          <w:rFonts w:ascii="Times New Roman" w:eastAsia="Times New Roman" w:hAnsi="Times New Roman" w:cs="Times New Roman"/>
          <w:i/>
          <w:iCs/>
          <w:color w:val="333333"/>
          <w:sz w:val="23"/>
          <w:szCs w:val="23"/>
          <w:lang w:bidi="he-IL"/>
        </w:rPr>
        <w:t>Parabiblical</w:t>
      </w:r>
      <w:proofErr w:type="spellEnd"/>
      <w:r w:rsidRPr="00F16574">
        <w:rPr>
          <w:rFonts w:ascii="Times New Roman" w:eastAsia="Times New Roman" w:hAnsi="Times New Roman" w:cs="Times New Roman"/>
          <w:i/>
          <w:iCs/>
          <w:color w:val="333333"/>
          <w:sz w:val="23"/>
          <w:szCs w:val="23"/>
          <w:lang w:bidi="he-IL"/>
        </w:rPr>
        <w:t xml:space="preserve"> Texts, Part 1</w:t>
      </w:r>
      <w:r w:rsidRPr="00F16574">
        <w:rPr>
          <w:rFonts w:ascii="Times New Roman" w:eastAsia="Times New Roman" w:hAnsi="Times New Roman" w:cs="Times New Roman"/>
          <w:color w:val="333333"/>
          <w:sz w:val="23"/>
          <w:szCs w:val="23"/>
          <w:lang w:bidi="he-IL"/>
        </w:rPr>
        <w:t xml:space="preserve">, ed. Harold Attridge et al., DJD 13 (Oxford: Clarendon, 1994), 1–22. Other fragments of the right sheet preserve portions of columns I and II (parts of </w:t>
      </w:r>
      <w:proofErr w:type="spellStart"/>
      <w:r w:rsidRPr="00F16574">
        <w:rPr>
          <w:rFonts w:ascii="Times New Roman" w:eastAsia="Times New Roman" w:hAnsi="Times New Roman" w:cs="Times New Roman"/>
          <w:color w:val="333333"/>
          <w:sz w:val="23"/>
          <w:szCs w:val="23"/>
          <w:lang w:bidi="he-IL"/>
        </w:rPr>
        <w:t>Jubliees’s</w:t>
      </w:r>
      <w:proofErr w:type="spellEnd"/>
      <w:r w:rsidRPr="00F16574">
        <w:rPr>
          <w:rFonts w:ascii="Times New Roman" w:eastAsia="Times New Roman" w:hAnsi="Times New Roman" w:cs="Times New Roman"/>
          <w:color w:val="333333"/>
          <w:sz w:val="23"/>
          <w:szCs w:val="23"/>
          <w:lang w:bidi="he-IL"/>
        </w:rPr>
        <w:t xml:space="preserve"> prologue as far as </w:t>
      </w:r>
      <w:proofErr w:type="spellStart"/>
      <w:r w:rsidRPr="00F16574">
        <w:rPr>
          <w:rFonts w:ascii="Times New Roman" w:eastAsia="Times New Roman" w:hAnsi="Times New Roman" w:cs="Times New Roman"/>
          <w:color w:val="333333"/>
          <w:sz w:val="23"/>
          <w:szCs w:val="23"/>
          <w:lang w:bidi="he-IL"/>
        </w:rPr>
        <w:t>Jub</w:t>
      </w:r>
      <w:proofErr w:type="spellEnd"/>
      <w:r w:rsidRPr="00F16574">
        <w:rPr>
          <w:rFonts w:ascii="Times New Roman" w:eastAsia="Times New Roman" w:hAnsi="Times New Roman" w:cs="Times New Roman"/>
          <w:i/>
          <w:iCs/>
          <w:color w:val="333333"/>
          <w:sz w:val="23"/>
          <w:szCs w:val="23"/>
          <w:lang w:bidi="he-IL"/>
        </w:rPr>
        <w:t>.</w:t>
      </w:r>
      <w:r w:rsidRPr="00F16574">
        <w:rPr>
          <w:rFonts w:ascii="Times New Roman" w:eastAsia="Times New Roman" w:hAnsi="Times New Roman" w:cs="Times New Roman"/>
          <w:color w:val="333333"/>
          <w:sz w:val="23"/>
          <w:szCs w:val="23"/>
          <w:lang w:bidi="he-IL"/>
        </w:rPr>
        <w:t xml:space="preserve"> 1:28). Other fragments of the left sheet show that the sheet contained at least two more columns (VI–VII), encompassing parts of </w:t>
      </w:r>
      <w:proofErr w:type="spellStart"/>
      <w:r w:rsidRPr="00F16574">
        <w:rPr>
          <w:rFonts w:ascii="Times New Roman" w:eastAsia="Times New Roman" w:hAnsi="Times New Roman" w:cs="Times New Roman"/>
          <w:color w:val="333333"/>
          <w:sz w:val="23"/>
          <w:szCs w:val="23"/>
          <w:lang w:bidi="he-IL"/>
        </w:rPr>
        <w:t>Jub</w:t>
      </w:r>
      <w:proofErr w:type="spellEnd"/>
      <w:r w:rsidRPr="00F16574">
        <w:rPr>
          <w:rFonts w:ascii="Times New Roman" w:eastAsia="Times New Roman" w:hAnsi="Times New Roman" w:cs="Times New Roman"/>
          <w:color w:val="333333"/>
          <w:sz w:val="23"/>
          <w:szCs w:val="23"/>
          <w:lang w:bidi="he-IL"/>
        </w:rPr>
        <w:t xml:space="preserve">. 2:1–24. For a summary, see esp. Eibert J. C. </w:t>
      </w:r>
      <w:proofErr w:type="spellStart"/>
      <w:r w:rsidRPr="00F16574">
        <w:rPr>
          <w:rFonts w:ascii="Times New Roman" w:eastAsia="Times New Roman" w:hAnsi="Times New Roman" w:cs="Times New Roman"/>
          <w:color w:val="333333"/>
          <w:sz w:val="23"/>
          <w:szCs w:val="23"/>
          <w:lang w:bidi="he-IL"/>
        </w:rPr>
        <w:t>Tigchelaar</w:t>
      </w:r>
      <w:proofErr w:type="spellEnd"/>
      <w:r w:rsidRPr="00F16574">
        <w:rPr>
          <w:rFonts w:ascii="Times New Roman" w:eastAsia="Times New Roman" w:hAnsi="Times New Roman" w:cs="Times New Roman"/>
          <w:color w:val="333333"/>
          <w:sz w:val="23"/>
          <w:szCs w:val="23"/>
          <w:lang w:bidi="he-IL"/>
        </w:rPr>
        <w:t>, “The Qumran </w:t>
      </w:r>
      <w:r w:rsidRPr="00F16574">
        <w:rPr>
          <w:rFonts w:ascii="Times New Roman" w:eastAsia="Times New Roman" w:hAnsi="Times New Roman" w:cs="Times New Roman"/>
          <w:i/>
          <w:iCs/>
          <w:color w:val="333333"/>
          <w:sz w:val="23"/>
          <w:szCs w:val="23"/>
          <w:lang w:bidi="he-IL"/>
        </w:rPr>
        <w:t>Jubilees</w:t>
      </w:r>
      <w:r w:rsidRPr="00F16574">
        <w:rPr>
          <w:rFonts w:ascii="Times New Roman" w:eastAsia="Times New Roman" w:hAnsi="Times New Roman" w:cs="Times New Roman"/>
          <w:color w:val="333333"/>
          <w:sz w:val="23"/>
          <w:szCs w:val="23"/>
          <w:lang w:bidi="he-IL"/>
        </w:rPr>
        <w:t> Manuscripts as Evidence for the Literary Growth of the Book,” </w:t>
      </w:r>
      <w:proofErr w:type="spellStart"/>
      <w:r w:rsidRPr="00F16574">
        <w:rPr>
          <w:rFonts w:ascii="Times New Roman" w:eastAsia="Times New Roman" w:hAnsi="Times New Roman" w:cs="Times New Roman"/>
          <w:i/>
          <w:iCs/>
          <w:color w:val="333333"/>
          <w:sz w:val="23"/>
          <w:szCs w:val="23"/>
          <w:lang w:bidi="he-IL"/>
        </w:rPr>
        <w:t>RevQ</w:t>
      </w:r>
      <w:proofErr w:type="spellEnd"/>
      <w:r w:rsidRPr="00F16574">
        <w:rPr>
          <w:rFonts w:ascii="Times New Roman" w:eastAsia="Times New Roman" w:hAnsi="Times New Roman" w:cs="Times New Roman"/>
          <w:i/>
          <w:iCs/>
          <w:color w:val="333333"/>
          <w:sz w:val="23"/>
          <w:szCs w:val="23"/>
          <w:lang w:bidi="he-IL"/>
        </w:rPr>
        <w:t> </w:t>
      </w:r>
      <w:r w:rsidRPr="00F16574">
        <w:rPr>
          <w:rFonts w:ascii="Times New Roman" w:eastAsia="Times New Roman" w:hAnsi="Times New Roman" w:cs="Times New Roman"/>
          <w:color w:val="333333"/>
          <w:sz w:val="23"/>
          <w:szCs w:val="23"/>
          <w:lang w:bidi="he-IL"/>
        </w:rPr>
        <w:t>26 (2014): 579–594, here 584.</w:t>
      </w:r>
    </w:p>
    <w:p w14:paraId="197864F2" w14:textId="77777777" w:rsidR="00F16574" w:rsidRPr="007B774D" w:rsidRDefault="00F16574" w:rsidP="007B774D">
      <w:pPr>
        <w:numPr>
          <w:ilvl w:val="0"/>
          <w:numId w:val="3"/>
        </w:numPr>
        <w:spacing w:before="100" w:beforeAutospacing="1" w:after="0" w:line="480" w:lineRule="auto"/>
        <w:rPr>
          <w:rFonts w:ascii="Times New Roman" w:eastAsia="Times New Roman" w:hAnsi="Times New Roman" w:cs="Times New Roman"/>
          <w:color w:val="333333"/>
          <w:sz w:val="23"/>
          <w:szCs w:val="23"/>
          <w:lang w:bidi="he-IL"/>
        </w:rPr>
      </w:pPr>
      <w:r w:rsidRPr="00F16574">
        <w:rPr>
          <w:rFonts w:ascii="Times New Roman" w:eastAsia="Times New Roman" w:hAnsi="Times New Roman" w:cs="Times New Roman"/>
          <w:color w:val="333333"/>
          <w:sz w:val="23"/>
          <w:szCs w:val="23"/>
          <w:lang w:bidi="he-IL"/>
        </w:rPr>
        <w:lastRenderedPageBreak/>
        <w:t>Molly M. Zahn, </w:t>
      </w:r>
      <w:r w:rsidRPr="00F16574">
        <w:rPr>
          <w:rFonts w:ascii="Times New Roman" w:eastAsia="Times New Roman" w:hAnsi="Times New Roman" w:cs="Times New Roman"/>
          <w:i/>
          <w:iCs/>
          <w:color w:val="333333"/>
          <w:sz w:val="23"/>
          <w:szCs w:val="23"/>
          <w:lang w:bidi="he-IL"/>
        </w:rPr>
        <w:t>Genres of Rewriting in Second Temple Judaism: Scribal Composition and Transmission</w:t>
      </w:r>
      <w:r w:rsidRPr="00F16574">
        <w:rPr>
          <w:rFonts w:ascii="Times New Roman" w:eastAsia="Times New Roman" w:hAnsi="Times New Roman" w:cs="Times New Roman"/>
          <w:color w:val="333333"/>
          <w:sz w:val="23"/>
          <w:szCs w:val="23"/>
          <w:lang w:bidi="he-IL"/>
        </w:rPr>
        <w:t> (Cambridge: Cambridge University Press, 2020), 105. “First </w:t>
      </w:r>
      <w:r w:rsidRPr="00F16574">
        <w:rPr>
          <w:rFonts w:ascii="Times New Roman" w:eastAsia="Times New Roman" w:hAnsi="Times New Roman" w:cs="Times New Roman"/>
          <w:i/>
          <w:iCs/>
          <w:color w:val="333333"/>
          <w:sz w:val="23"/>
          <w:szCs w:val="23"/>
          <w:lang w:bidi="he-IL"/>
        </w:rPr>
        <w:t>Jubilees</w:t>
      </w:r>
      <w:r w:rsidRPr="00F16574">
        <w:rPr>
          <w:rFonts w:ascii="Times New Roman" w:eastAsia="Times New Roman" w:hAnsi="Times New Roman" w:cs="Times New Roman"/>
          <w:color w:val="333333"/>
          <w:sz w:val="23"/>
          <w:szCs w:val="23"/>
          <w:lang w:bidi="he-IL"/>
        </w:rPr>
        <w:t> Manuscript,” 246; idem, “216. 4Qjubilees</w:t>
      </w:r>
      <w:r w:rsidRPr="00F16574">
        <w:rPr>
          <w:rFonts w:ascii="Times New Roman" w:eastAsia="Times New Roman" w:hAnsi="Times New Roman" w:cs="Times New Roman"/>
          <w:color w:val="333333"/>
          <w:sz w:val="17"/>
          <w:szCs w:val="17"/>
          <w:vertAlign w:val="superscript"/>
          <w:lang w:bidi="he-IL"/>
        </w:rPr>
        <w:t>a</w:t>
      </w:r>
      <w:r w:rsidRPr="00F16574">
        <w:rPr>
          <w:rFonts w:ascii="Times New Roman" w:eastAsia="Times New Roman" w:hAnsi="Times New Roman" w:cs="Times New Roman"/>
          <w:color w:val="333333"/>
          <w:sz w:val="23"/>
          <w:szCs w:val="23"/>
          <w:lang w:bidi="he-IL"/>
        </w:rPr>
        <w:t>,” 1).</w:t>
      </w:r>
    </w:p>
    <w:p w14:paraId="3AC552E2" w14:textId="77777777" w:rsidR="00F16574" w:rsidRPr="007B774D" w:rsidRDefault="00F16574" w:rsidP="007B774D">
      <w:pPr>
        <w:numPr>
          <w:ilvl w:val="0"/>
          <w:numId w:val="3"/>
        </w:numPr>
        <w:spacing w:before="100" w:beforeAutospacing="1" w:after="0" w:line="480" w:lineRule="auto"/>
        <w:rPr>
          <w:rFonts w:ascii="Times New Roman" w:eastAsia="Times New Roman" w:hAnsi="Times New Roman" w:cs="Times New Roman"/>
          <w:color w:val="333333"/>
          <w:sz w:val="23"/>
          <w:szCs w:val="23"/>
          <w:lang w:bidi="he-IL"/>
        </w:rPr>
      </w:pPr>
      <w:r w:rsidRPr="00F16574">
        <w:rPr>
          <w:rFonts w:ascii="Times New Roman" w:eastAsia="Times New Roman" w:hAnsi="Times New Roman" w:cs="Times New Roman"/>
          <w:color w:val="333333"/>
          <w:sz w:val="23"/>
          <w:szCs w:val="23"/>
          <w:lang w:bidi="he-IL"/>
        </w:rPr>
        <w:t>A recent study by Jong-Hoon Kim argues that the Greek text of 1–4 Reigns (= the books of Samuel and Kings) originally circulated as a set of “Short Scrolls (</w:t>
      </w:r>
      <w:proofErr w:type="spellStart"/>
      <w:r w:rsidRPr="00F16574">
        <w:rPr>
          <w:rFonts w:ascii="Times New Roman" w:eastAsia="Times New Roman" w:hAnsi="Times New Roman" w:cs="Times New Roman"/>
          <w:i/>
          <w:iCs/>
          <w:color w:val="333333"/>
          <w:sz w:val="23"/>
          <w:szCs w:val="23"/>
          <w:lang w:bidi="he-IL"/>
        </w:rPr>
        <w:t>Kleinrollen</w:t>
      </w:r>
      <w:proofErr w:type="spellEnd"/>
      <w:r w:rsidRPr="00F16574">
        <w:rPr>
          <w:rFonts w:ascii="Times New Roman" w:eastAsia="Times New Roman" w:hAnsi="Times New Roman" w:cs="Times New Roman"/>
          <w:color w:val="333333"/>
          <w:sz w:val="23"/>
          <w:szCs w:val="23"/>
          <w:lang w:bidi="he-IL"/>
        </w:rPr>
        <w:t>).” Jong-Hoon Kim, “</w:t>
      </w:r>
      <w:proofErr w:type="spellStart"/>
      <w:r w:rsidRPr="00F16574">
        <w:rPr>
          <w:rFonts w:ascii="Times New Roman" w:eastAsia="Times New Roman" w:hAnsi="Times New Roman" w:cs="Times New Roman"/>
          <w:color w:val="333333"/>
          <w:sz w:val="23"/>
          <w:szCs w:val="23"/>
          <w:lang w:bidi="he-IL"/>
        </w:rPr>
        <w:t>Vom</w:t>
      </w:r>
      <w:proofErr w:type="spellEnd"/>
      <w:r w:rsidRPr="00F16574">
        <w:rPr>
          <w:rFonts w:ascii="Times New Roman" w:eastAsia="Times New Roman" w:hAnsi="Times New Roman" w:cs="Times New Roman"/>
          <w:color w:val="333333"/>
          <w:sz w:val="23"/>
          <w:szCs w:val="23"/>
          <w:lang w:bidi="he-IL"/>
        </w:rPr>
        <w:t xml:space="preserve"> </w:t>
      </w:r>
      <w:proofErr w:type="spellStart"/>
      <w:r w:rsidRPr="00F16574">
        <w:rPr>
          <w:rFonts w:ascii="Times New Roman" w:eastAsia="Times New Roman" w:hAnsi="Times New Roman" w:cs="Times New Roman"/>
          <w:color w:val="333333"/>
          <w:sz w:val="23"/>
          <w:szCs w:val="23"/>
          <w:lang w:bidi="he-IL"/>
        </w:rPr>
        <w:t>hellenistischen</w:t>
      </w:r>
      <w:proofErr w:type="spellEnd"/>
      <w:r w:rsidRPr="00F16574">
        <w:rPr>
          <w:rFonts w:ascii="Times New Roman" w:eastAsia="Times New Roman" w:hAnsi="Times New Roman" w:cs="Times New Roman"/>
          <w:color w:val="333333"/>
          <w:sz w:val="23"/>
          <w:szCs w:val="23"/>
          <w:lang w:bidi="he-IL"/>
        </w:rPr>
        <w:t xml:space="preserve"> </w:t>
      </w:r>
      <w:proofErr w:type="spellStart"/>
      <w:r w:rsidRPr="00F16574">
        <w:rPr>
          <w:rFonts w:ascii="Times New Roman" w:eastAsia="Times New Roman" w:hAnsi="Times New Roman" w:cs="Times New Roman"/>
          <w:color w:val="333333"/>
          <w:sz w:val="23"/>
          <w:szCs w:val="23"/>
          <w:lang w:bidi="he-IL"/>
        </w:rPr>
        <w:t>Kleinrollensystem</w:t>
      </w:r>
      <w:proofErr w:type="spellEnd"/>
      <w:r w:rsidRPr="00F16574">
        <w:rPr>
          <w:rFonts w:ascii="Times New Roman" w:eastAsia="Times New Roman" w:hAnsi="Times New Roman" w:cs="Times New Roman"/>
          <w:color w:val="333333"/>
          <w:sz w:val="23"/>
          <w:szCs w:val="23"/>
          <w:lang w:bidi="he-IL"/>
        </w:rPr>
        <w:t xml:space="preserve"> </w:t>
      </w:r>
      <w:proofErr w:type="spellStart"/>
      <w:r w:rsidRPr="00F16574">
        <w:rPr>
          <w:rFonts w:ascii="Times New Roman" w:eastAsia="Times New Roman" w:hAnsi="Times New Roman" w:cs="Times New Roman"/>
          <w:color w:val="333333"/>
          <w:sz w:val="23"/>
          <w:szCs w:val="23"/>
          <w:lang w:bidi="he-IL"/>
        </w:rPr>
        <w:t>zum</w:t>
      </w:r>
      <w:proofErr w:type="spellEnd"/>
      <w:r w:rsidRPr="00F16574">
        <w:rPr>
          <w:rFonts w:ascii="Times New Roman" w:eastAsia="Times New Roman" w:hAnsi="Times New Roman" w:cs="Times New Roman"/>
          <w:color w:val="333333"/>
          <w:sz w:val="23"/>
          <w:szCs w:val="23"/>
          <w:lang w:bidi="he-IL"/>
        </w:rPr>
        <w:t xml:space="preserve"> </w:t>
      </w:r>
      <w:proofErr w:type="spellStart"/>
      <w:r w:rsidRPr="00F16574">
        <w:rPr>
          <w:rFonts w:ascii="Times New Roman" w:eastAsia="Times New Roman" w:hAnsi="Times New Roman" w:cs="Times New Roman"/>
          <w:color w:val="333333"/>
          <w:sz w:val="23"/>
          <w:szCs w:val="23"/>
          <w:lang w:bidi="he-IL"/>
        </w:rPr>
        <w:t>Kodex</w:t>
      </w:r>
      <w:proofErr w:type="spellEnd"/>
      <w:r w:rsidRPr="00F16574">
        <w:rPr>
          <w:rFonts w:ascii="Times New Roman" w:eastAsia="Times New Roman" w:hAnsi="Times New Roman" w:cs="Times New Roman"/>
          <w:color w:val="333333"/>
          <w:sz w:val="23"/>
          <w:szCs w:val="23"/>
          <w:lang w:bidi="he-IL"/>
        </w:rPr>
        <w:t xml:space="preserve">: </w:t>
      </w:r>
      <w:proofErr w:type="spellStart"/>
      <w:r w:rsidRPr="00F16574">
        <w:rPr>
          <w:rFonts w:ascii="Times New Roman" w:eastAsia="Times New Roman" w:hAnsi="Times New Roman" w:cs="Times New Roman"/>
          <w:color w:val="333333"/>
          <w:sz w:val="23"/>
          <w:szCs w:val="23"/>
          <w:lang w:bidi="he-IL"/>
        </w:rPr>
        <w:t>Beobachtungen</w:t>
      </w:r>
      <w:proofErr w:type="spellEnd"/>
      <w:r w:rsidRPr="00F16574">
        <w:rPr>
          <w:rFonts w:ascii="Times New Roman" w:eastAsia="Times New Roman" w:hAnsi="Times New Roman" w:cs="Times New Roman"/>
          <w:color w:val="333333"/>
          <w:sz w:val="23"/>
          <w:szCs w:val="23"/>
          <w:lang w:bidi="he-IL"/>
        </w:rPr>
        <w:t xml:space="preserve"> </w:t>
      </w:r>
      <w:proofErr w:type="spellStart"/>
      <w:r w:rsidRPr="00F16574">
        <w:rPr>
          <w:rFonts w:ascii="Times New Roman" w:eastAsia="Times New Roman" w:hAnsi="Times New Roman" w:cs="Times New Roman"/>
          <w:color w:val="333333"/>
          <w:sz w:val="23"/>
          <w:szCs w:val="23"/>
          <w:lang w:bidi="he-IL"/>
        </w:rPr>
        <w:t>zur</w:t>
      </w:r>
      <w:proofErr w:type="spellEnd"/>
      <w:r w:rsidRPr="00F16574">
        <w:rPr>
          <w:rFonts w:ascii="Times New Roman" w:eastAsia="Times New Roman" w:hAnsi="Times New Roman" w:cs="Times New Roman"/>
          <w:color w:val="333333"/>
          <w:sz w:val="23"/>
          <w:szCs w:val="23"/>
          <w:lang w:bidi="he-IL"/>
        </w:rPr>
        <w:t xml:space="preserve"> </w:t>
      </w:r>
      <w:proofErr w:type="spellStart"/>
      <w:r w:rsidRPr="00F16574">
        <w:rPr>
          <w:rFonts w:ascii="Times New Roman" w:eastAsia="Times New Roman" w:hAnsi="Times New Roman" w:cs="Times New Roman"/>
          <w:color w:val="333333"/>
          <w:sz w:val="23"/>
          <w:szCs w:val="23"/>
          <w:lang w:bidi="he-IL"/>
        </w:rPr>
        <w:t>Textgestalt</w:t>
      </w:r>
      <w:proofErr w:type="spellEnd"/>
      <w:r w:rsidRPr="00F16574">
        <w:rPr>
          <w:rFonts w:ascii="Times New Roman" w:eastAsia="Times New Roman" w:hAnsi="Times New Roman" w:cs="Times New Roman"/>
          <w:color w:val="333333"/>
          <w:sz w:val="23"/>
          <w:szCs w:val="23"/>
          <w:lang w:bidi="he-IL"/>
        </w:rPr>
        <w:t xml:space="preserve"> der </w:t>
      </w:r>
      <w:proofErr w:type="spellStart"/>
      <w:r w:rsidRPr="00F16574">
        <w:rPr>
          <w:rFonts w:ascii="Times New Roman" w:eastAsia="Times New Roman" w:hAnsi="Times New Roman" w:cs="Times New Roman"/>
          <w:color w:val="333333"/>
          <w:sz w:val="23"/>
          <w:szCs w:val="23"/>
          <w:lang w:bidi="he-IL"/>
        </w:rPr>
        <w:t>griechishen</w:t>
      </w:r>
      <w:proofErr w:type="spellEnd"/>
      <w:r w:rsidRPr="00F16574">
        <w:rPr>
          <w:rFonts w:ascii="Times New Roman" w:eastAsia="Times New Roman" w:hAnsi="Times New Roman" w:cs="Times New Roman"/>
          <w:color w:val="333333"/>
          <w:sz w:val="23"/>
          <w:szCs w:val="23"/>
          <w:lang w:bidi="he-IL"/>
        </w:rPr>
        <w:t xml:space="preserve"> Samuel- und </w:t>
      </w:r>
      <w:proofErr w:type="spellStart"/>
      <w:r w:rsidRPr="00F16574">
        <w:rPr>
          <w:rFonts w:ascii="Times New Roman" w:eastAsia="Times New Roman" w:hAnsi="Times New Roman" w:cs="Times New Roman"/>
          <w:color w:val="333333"/>
          <w:sz w:val="23"/>
          <w:szCs w:val="23"/>
          <w:lang w:bidi="he-IL"/>
        </w:rPr>
        <w:t>Königebücher</w:t>
      </w:r>
      <w:proofErr w:type="spellEnd"/>
      <w:r w:rsidRPr="00F16574">
        <w:rPr>
          <w:rFonts w:ascii="Times New Roman" w:eastAsia="Times New Roman" w:hAnsi="Times New Roman" w:cs="Times New Roman"/>
          <w:color w:val="333333"/>
          <w:sz w:val="23"/>
          <w:szCs w:val="23"/>
          <w:lang w:bidi="he-IL"/>
        </w:rPr>
        <w:t>,” in </w:t>
      </w:r>
      <w:r w:rsidRPr="00F16574">
        <w:rPr>
          <w:rFonts w:ascii="Times New Roman" w:eastAsia="Times New Roman" w:hAnsi="Times New Roman" w:cs="Times New Roman"/>
          <w:i/>
          <w:iCs/>
          <w:color w:val="333333"/>
          <w:sz w:val="23"/>
          <w:szCs w:val="23"/>
          <w:lang w:bidi="he-IL"/>
        </w:rPr>
        <w:t>XIV Congress of the IOSCS, Helsinki, 2010</w:t>
      </w:r>
      <w:r w:rsidRPr="00F16574">
        <w:rPr>
          <w:rFonts w:ascii="Times New Roman" w:eastAsia="Times New Roman" w:hAnsi="Times New Roman" w:cs="Times New Roman"/>
          <w:color w:val="333333"/>
          <w:sz w:val="23"/>
          <w:szCs w:val="23"/>
          <w:lang w:bidi="he-IL"/>
        </w:rPr>
        <w:t xml:space="preserve">, ed. Melvin K. H. Peters, Septuagint and Cognate Studies 59 (Atlanta: Society of Biblical Literature, 2013), 231–242, esp. 238–240. </w:t>
      </w:r>
    </w:p>
    <w:p w14:paraId="3F098011" w14:textId="77777777" w:rsidR="00F16574" w:rsidRPr="00F16574" w:rsidRDefault="00F16574" w:rsidP="00F16574">
      <w:pPr>
        <w:numPr>
          <w:ilvl w:val="0"/>
          <w:numId w:val="3"/>
        </w:numPr>
        <w:spacing w:before="100" w:beforeAutospacing="1" w:after="0" w:line="480" w:lineRule="auto"/>
        <w:rPr>
          <w:rFonts w:ascii="Times New Roman" w:eastAsia="Times New Roman" w:hAnsi="Times New Roman" w:cs="Times New Roman"/>
          <w:color w:val="333333"/>
          <w:sz w:val="23"/>
          <w:szCs w:val="23"/>
          <w:lang w:bidi="he-IL"/>
        </w:rPr>
      </w:pPr>
      <w:r w:rsidRPr="00F16574">
        <w:rPr>
          <w:rFonts w:ascii="Times New Roman" w:eastAsia="Times New Roman" w:hAnsi="Times New Roman" w:cs="Times New Roman"/>
          <w:color w:val="333333"/>
          <w:sz w:val="23"/>
          <w:szCs w:val="23"/>
          <w:lang w:bidi="he-IL"/>
        </w:rPr>
        <w:t>Again, see Hutton, “Split Identities and Fragmented Texts.”</w:t>
      </w:r>
    </w:p>
    <w:p w14:paraId="6A82EF74" w14:textId="77777777" w:rsidR="00F16574" w:rsidRPr="00F16574" w:rsidRDefault="00F16574" w:rsidP="00F16574">
      <w:pPr>
        <w:numPr>
          <w:ilvl w:val="0"/>
          <w:numId w:val="3"/>
        </w:numPr>
        <w:spacing w:before="100" w:beforeAutospacing="1" w:after="0" w:line="480" w:lineRule="auto"/>
        <w:rPr>
          <w:rFonts w:ascii="Times New Roman" w:eastAsia="Times New Roman" w:hAnsi="Times New Roman" w:cs="Times New Roman"/>
          <w:color w:val="333333"/>
          <w:sz w:val="23"/>
          <w:szCs w:val="23"/>
          <w:lang w:bidi="he-IL"/>
        </w:rPr>
      </w:pPr>
      <w:r w:rsidRPr="00F16574">
        <w:rPr>
          <w:rFonts w:ascii="Times New Roman" w:eastAsia="Times New Roman" w:hAnsi="Times New Roman" w:cs="Times New Roman"/>
          <w:color w:val="333333"/>
          <w:sz w:val="23"/>
          <w:szCs w:val="23"/>
          <w:lang w:bidi="he-IL"/>
        </w:rPr>
        <w:t>The Corruption-Replacement Hypothesis provides an adequate, if admittedly imperfect, way of accounting for the problems with the Addition and Omission Hypotheses. I discuss one of the problems with the theory in the Conclusion section of my article, “Split Identities and Fragmented Texts.”</w:t>
      </w:r>
    </w:p>
    <w:p w14:paraId="3C2928D5" w14:textId="77777777" w:rsidR="003A10DC" w:rsidRDefault="00F16574" w:rsidP="00936CA9">
      <w:pPr>
        <w:numPr>
          <w:ilvl w:val="0"/>
          <w:numId w:val="3"/>
        </w:numPr>
        <w:spacing w:before="100" w:beforeAutospacing="1" w:after="0" w:line="480" w:lineRule="auto"/>
      </w:pPr>
      <w:r w:rsidRPr="00F16574">
        <w:rPr>
          <w:rFonts w:ascii="Times New Roman" w:eastAsia="Times New Roman" w:hAnsi="Times New Roman" w:cs="Times New Roman"/>
          <w:color w:val="333333"/>
          <w:sz w:val="23"/>
          <w:szCs w:val="23"/>
          <w:lang w:bidi="he-IL"/>
        </w:rPr>
        <w:t xml:space="preserve">Additional examples of similar texts with a common background that circulated simultaneously include: (1) the LXX incorporates both Esdras A′ and Esdras B′ (= 1 Esdras and Ezra-Nehemiah) which have substantial textual overlap; (2) the MT and Samaritan </w:t>
      </w:r>
      <w:proofErr w:type="spellStart"/>
      <w:r w:rsidRPr="00F16574">
        <w:rPr>
          <w:rFonts w:ascii="Times New Roman" w:eastAsia="Times New Roman" w:hAnsi="Times New Roman" w:cs="Times New Roman"/>
          <w:color w:val="333333"/>
          <w:sz w:val="23"/>
          <w:szCs w:val="23"/>
          <w:lang w:bidi="he-IL"/>
        </w:rPr>
        <w:t>Pentateuchs</w:t>
      </w:r>
      <w:proofErr w:type="spellEnd"/>
      <w:r w:rsidRPr="00F16574">
        <w:rPr>
          <w:rFonts w:ascii="Times New Roman" w:eastAsia="Times New Roman" w:hAnsi="Times New Roman" w:cs="Times New Roman"/>
          <w:color w:val="333333"/>
          <w:sz w:val="23"/>
          <w:szCs w:val="23"/>
          <w:lang w:bidi="he-IL"/>
        </w:rPr>
        <w:t>; and (3) many similar-but-not-identical documents identified by studies in “Rewritten Scripture.” (See esp. Molly Zahn, </w:t>
      </w:r>
      <w:r w:rsidRPr="00F16574">
        <w:rPr>
          <w:rFonts w:ascii="Times New Roman" w:eastAsia="Times New Roman" w:hAnsi="Times New Roman" w:cs="Times New Roman"/>
          <w:i/>
          <w:iCs/>
          <w:color w:val="333333"/>
          <w:sz w:val="23"/>
          <w:szCs w:val="23"/>
          <w:lang w:bidi="he-IL"/>
        </w:rPr>
        <w:t>Genres of Rewriting in Second Temple Judaism</w:t>
      </w:r>
      <w:r w:rsidRPr="00F16574">
        <w:rPr>
          <w:rFonts w:ascii="Times New Roman" w:eastAsia="Times New Roman" w:hAnsi="Times New Roman" w:cs="Times New Roman"/>
          <w:color w:val="333333"/>
          <w:sz w:val="23"/>
          <w:szCs w:val="23"/>
          <w:lang w:bidi="he-IL"/>
        </w:rPr>
        <w:t> [Cambridge: Cambridge University Press, 2020].)</w:t>
      </w:r>
    </w:p>
    <w:sectPr w:rsidR="003A10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CC5399"/>
    <w:multiLevelType w:val="multilevel"/>
    <w:tmpl w:val="C2FE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111365"/>
    <w:multiLevelType w:val="multilevel"/>
    <w:tmpl w:val="556A2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224D63"/>
    <w:multiLevelType w:val="multilevel"/>
    <w:tmpl w:val="384C1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464EAA"/>
    <w:multiLevelType w:val="multilevel"/>
    <w:tmpl w:val="2B303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D17B20"/>
    <w:multiLevelType w:val="multilevel"/>
    <w:tmpl w:val="9CA8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2441019">
    <w:abstractNumId w:val="0"/>
  </w:num>
  <w:num w:numId="2" w16cid:durableId="2136289479">
    <w:abstractNumId w:val="4"/>
  </w:num>
  <w:num w:numId="3" w16cid:durableId="2051606378">
    <w:abstractNumId w:val="3"/>
  </w:num>
  <w:num w:numId="4" w16cid:durableId="356582753">
    <w:abstractNumId w:val="2"/>
  </w:num>
  <w:num w:numId="5" w16cid:durableId="207037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06FC"/>
    <w:rsid w:val="003A10DC"/>
    <w:rsid w:val="0042406F"/>
    <w:rsid w:val="007B774D"/>
    <w:rsid w:val="00800B49"/>
    <w:rsid w:val="0090349F"/>
    <w:rsid w:val="00936CA9"/>
    <w:rsid w:val="00E3626E"/>
    <w:rsid w:val="00F16574"/>
    <w:rsid w:val="00F306F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67B475"/>
  <w15:docId w15:val="{F7840D35-0213-469D-A546-411E6D04F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en-US" w:eastAsia="en-US" w:bidi="ar-SA"/>
    </w:rPr>
  </w:style>
  <w:style w:type="paragraph" w:styleId="1">
    <w:name w:val="heading 1"/>
    <w:basedOn w:val="a"/>
    <w:link w:val="10"/>
    <w:uiPriority w:val="9"/>
    <w:qFormat/>
    <w:rsid w:val="00F16574"/>
    <w:pPr>
      <w:spacing w:before="100" w:beforeAutospacing="1" w:after="100" w:afterAutospacing="1" w:line="240" w:lineRule="auto"/>
      <w:outlineLvl w:val="0"/>
    </w:pPr>
    <w:rPr>
      <w:rFonts w:ascii="Times New Roman" w:eastAsia="Times New Roman" w:hAnsi="Times New Roman" w:cs="Times New Roman"/>
      <w:b/>
      <w:bCs/>
      <w:kern w:val="36"/>
      <w:sz w:val="48"/>
      <w:szCs w:val="48"/>
      <w:lang w:bidi="he-IL"/>
    </w:rPr>
  </w:style>
  <w:style w:type="paragraph" w:styleId="2">
    <w:name w:val="heading 2"/>
    <w:basedOn w:val="a"/>
    <w:link w:val="20"/>
    <w:uiPriority w:val="9"/>
    <w:qFormat/>
    <w:rsid w:val="00F16574"/>
    <w:pPr>
      <w:spacing w:before="100" w:beforeAutospacing="1" w:after="100" w:afterAutospacing="1" w:line="240" w:lineRule="auto"/>
      <w:outlineLvl w:val="1"/>
    </w:pPr>
    <w:rPr>
      <w:rFonts w:ascii="Times New Roman" w:eastAsia="Times New Roman" w:hAnsi="Times New Roman" w:cs="Times New Roman"/>
      <w:b/>
      <w:bCs/>
      <w:sz w:val="36"/>
      <w:szCs w:val="36"/>
      <w:lang w:bidi="he-IL"/>
    </w:rPr>
  </w:style>
  <w:style w:type="paragraph" w:styleId="3">
    <w:name w:val="heading 3"/>
    <w:basedOn w:val="a"/>
    <w:link w:val="30"/>
    <w:uiPriority w:val="9"/>
    <w:qFormat/>
    <w:rsid w:val="00F16574"/>
    <w:pPr>
      <w:spacing w:before="100" w:beforeAutospacing="1" w:after="100" w:afterAutospacing="1" w:line="240" w:lineRule="auto"/>
      <w:outlineLvl w:val="2"/>
    </w:pPr>
    <w:rPr>
      <w:rFonts w:ascii="Times New Roman" w:eastAsia="Times New Roman" w:hAnsi="Times New Roman" w:cs="Times New Roman"/>
      <w:b/>
      <w:bCs/>
      <w:sz w:val="27"/>
      <w:szCs w:val="27"/>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F16574"/>
    <w:rPr>
      <w:rFonts w:ascii="Times New Roman" w:eastAsia="Times New Roman" w:hAnsi="Times New Roman" w:cs="Times New Roman"/>
      <w:b/>
      <w:bCs/>
      <w:kern w:val="36"/>
      <w:sz w:val="48"/>
      <w:szCs w:val="48"/>
      <w:lang w:bidi="he-IL"/>
    </w:rPr>
  </w:style>
  <w:style w:type="character" w:customStyle="1" w:styleId="20">
    <w:name w:val="כותרת 2 תו"/>
    <w:link w:val="2"/>
    <w:uiPriority w:val="9"/>
    <w:rsid w:val="00F16574"/>
    <w:rPr>
      <w:rFonts w:ascii="Times New Roman" w:eastAsia="Times New Roman" w:hAnsi="Times New Roman" w:cs="Times New Roman"/>
      <w:b/>
      <w:bCs/>
      <w:sz w:val="36"/>
      <w:szCs w:val="36"/>
      <w:lang w:bidi="he-IL"/>
    </w:rPr>
  </w:style>
  <w:style w:type="character" w:customStyle="1" w:styleId="30">
    <w:name w:val="כותרת 3 תו"/>
    <w:link w:val="3"/>
    <w:uiPriority w:val="9"/>
    <w:rsid w:val="00F16574"/>
    <w:rPr>
      <w:rFonts w:ascii="Times New Roman" w:eastAsia="Times New Roman" w:hAnsi="Times New Roman" w:cs="Times New Roman"/>
      <w:b/>
      <w:bCs/>
      <w:sz w:val="27"/>
      <w:szCs w:val="27"/>
      <w:lang w:bidi="he-IL"/>
    </w:rPr>
  </w:style>
  <w:style w:type="character" w:styleId="Hyperlink">
    <w:name w:val="Hyperlink"/>
    <w:uiPriority w:val="99"/>
    <w:semiHidden/>
    <w:unhideWhenUsed/>
    <w:rsid w:val="00F16574"/>
    <w:rPr>
      <w:color w:val="0000FF"/>
      <w:u w:val="single"/>
    </w:rPr>
  </w:style>
  <w:style w:type="paragraph" w:styleId="z-">
    <w:name w:val="HTML Top of Form"/>
    <w:basedOn w:val="a"/>
    <w:next w:val="a"/>
    <w:link w:val="z-0"/>
    <w:hidden/>
    <w:uiPriority w:val="99"/>
    <w:semiHidden/>
    <w:unhideWhenUsed/>
    <w:rsid w:val="00F16574"/>
    <w:pPr>
      <w:pBdr>
        <w:bottom w:val="single" w:sz="6" w:space="1" w:color="auto"/>
      </w:pBdr>
      <w:spacing w:after="0" w:line="240" w:lineRule="auto"/>
      <w:jc w:val="center"/>
    </w:pPr>
    <w:rPr>
      <w:rFonts w:ascii="Arial" w:eastAsia="Times New Roman" w:hAnsi="Arial"/>
      <w:vanish/>
      <w:sz w:val="16"/>
      <w:szCs w:val="16"/>
      <w:lang w:bidi="he-IL"/>
    </w:rPr>
  </w:style>
  <w:style w:type="character" w:customStyle="1" w:styleId="z-0">
    <w:name w:val="z-ראש טופס תו"/>
    <w:link w:val="z-"/>
    <w:uiPriority w:val="99"/>
    <w:semiHidden/>
    <w:rsid w:val="00F16574"/>
    <w:rPr>
      <w:rFonts w:ascii="Arial" w:eastAsia="Times New Roman" w:hAnsi="Arial" w:cs="Arial"/>
      <w:vanish/>
      <w:sz w:val="16"/>
      <w:szCs w:val="16"/>
      <w:lang w:bidi="he-IL"/>
    </w:rPr>
  </w:style>
  <w:style w:type="paragraph" w:styleId="z-1">
    <w:name w:val="HTML Bottom of Form"/>
    <w:basedOn w:val="a"/>
    <w:next w:val="a"/>
    <w:link w:val="z-2"/>
    <w:hidden/>
    <w:uiPriority w:val="99"/>
    <w:semiHidden/>
    <w:unhideWhenUsed/>
    <w:rsid w:val="00F16574"/>
    <w:pPr>
      <w:pBdr>
        <w:top w:val="single" w:sz="6" w:space="1" w:color="auto"/>
      </w:pBdr>
      <w:spacing w:after="0" w:line="240" w:lineRule="auto"/>
      <w:jc w:val="center"/>
    </w:pPr>
    <w:rPr>
      <w:rFonts w:ascii="Arial" w:eastAsia="Times New Roman" w:hAnsi="Arial"/>
      <w:vanish/>
      <w:sz w:val="16"/>
      <w:szCs w:val="16"/>
      <w:lang w:bidi="he-IL"/>
    </w:rPr>
  </w:style>
  <w:style w:type="character" w:customStyle="1" w:styleId="z-2">
    <w:name w:val="z-תחתית טופס תו"/>
    <w:link w:val="z-1"/>
    <w:uiPriority w:val="99"/>
    <w:semiHidden/>
    <w:rsid w:val="00F16574"/>
    <w:rPr>
      <w:rFonts w:ascii="Arial" w:eastAsia="Times New Roman" w:hAnsi="Arial" w:cs="Arial"/>
      <w:vanish/>
      <w:sz w:val="16"/>
      <w:szCs w:val="16"/>
      <w:lang w:bidi="he-IL"/>
    </w:rPr>
  </w:style>
  <w:style w:type="paragraph" w:styleId="NormalWeb">
    <w:name w:val="Normal (Web)"/>
    <w:basedOn w:val="a"/>
    <w:uiPriority w:val="99"/>
    <w:semiHidden/>
    <w:unhideWhenUsed/>
    <w:rsid w:val="00F16574"/>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name-big">
    <w:name w:val="name-big"/>
    <w:basedOn w:val="a"/>
    <w:rsid w:val="00F16574"/>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side-box-head">
    <w:name w:val="side-box-head"/>
    <w:basedOn w:val="a"/>
    <w:rsid w:val="00F16574"/>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a3">
    <w:name w:val="Strong"/>
    <w:uiPriority w:val="22"/>
    <w:qFormat/>
    <w:rsid w:val="00F16574"/>
    <w:rPr>
      <w:b/>
      <w:bCs/>
    </w:rPr>
  </w:style>
  <w:style w:type="character" w:styleId="a4">
    <w:name w:val="Emphasis"/>
    <w:uiPriority w:val="20"/>
    <w:qFormat/>
    <w:rsid w:val="00F16574"/>
    <w:rPr>
      <w:i/>
      <w:iCs/>
    </w:rPr>
  </w:style>
  <w:style w:type="paragraph" w:customStyle="1" w:styleId="small-sorce">
    <w:name w:val="small-sorce"/>
    <w:basedOn w:val="a"/>
    <w:rsid w:val="00F16574"/>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read-more-small">
    <w:name w:val="read-more-small"/>
    <w:basedOn w:val="a0"/>
    <w:rsid w:val="00F16574"/>
  </w:style>
  <w:style w:type="paragraph" w:customStyle="1" w:styleId="recommended">
    <w:name w:val="recommended"/>
    <w:basedOn w:val="a"/>
    <w:rsid w:val="00F16574"/>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a5">
    <w:name w:val="Balloon Text"/>
    <w:basedOn w:val="a"/>
    <w:link w:val="a6"/>
    <w:uiPriority w:val="99"/>
    <w:semiHidden/>
    <w:unhideWhenUsed/>
    <w:rsid w:val="00F16574"/>
    <w:pPr>
      <w:spacing w:after="0" w:line="240" w:lineRule="auto"/>
    </w:pPr>
    <w:rPr>
      <w:rFonts w:ascii="Tahoma" w:hAnsi="Tahoma" w:cs="Tahoma"/>
      <w:sz w:val="16"/>
      <w:szCs w:val="16"/>
    </w:rPr>
  </w:style>
  <w:style w:type="character" w:customStyle="1" w:styleId="a6">
    <w:name w:val="טקסט בלונים תו"/>
    <w:link w:val="a5"/>
    <w:uiPriority w:val="99"/>
    <w:semiHidden/>
    <w:rsid w:val="00F165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128002">
      <w:bodyDiv w:val="1"/>
      <w:marLeft w:val="0"/>
      <w:marRight w:val="0"/>
      <w:marTop w:val="0"/>
      <w:marBottom w:val="0"/>
      <w:divBdr>
        <w:top w:val="none" w:sz="0" w:space="0" w:color="auto"/>
        <w:left w:val="none" w:sz="0" w:space="0" w:color="auto"/>
        <w:bottom w:val="none" w:sz="0" w:space="0" w:color="auto"/>
        <w:right w:val="none" w:sz="0" w:space="0" w:color="auto"/>
      </w:divBdr>
      <w:divsChild>
        <w:div w:id="1164930874">
          <w:marLeft w:val="0"/>
          <w:marRight w:val="0"/>
          <w:marTop w:val="0"/>
          <w:marBottom w:val="0"/>
          <w:divBdr>
            <w:top w:val="none" w:sz="0" w:space="0" w:color="auto"/>
            <w:left w:val="none" w:sz="0" w:space="0" w:color="auto"/>
            <w:bottom w:val="single" w:sz="6" w:space="0" w:color="E9E9E9"/>
            <w:right w:val="none" w:sz="0" w:space="0" w:color="auto"/>
          </w:divBdr>
          <w:divsChild>
            <w:div w:id="140469632">
              <w:marLeft w:val="375"/>
              <w:marRight w:val="0"/>
              <w:marTop w:val="150"/>
              <w:marBottom w:val="180"/>
              <w:divBdr>
                <w:top w:val="none" w:sz="0" w:space="0" w:color="auto"/>
                <w:left w:val="none" w:sz="0" w:space="0" w:color="auto"/>
                <w:bottom w:val="none" w:sz="0" w:space="0" w:color="auto"/>
                <w:right w:val="none" w:sz="0" w:space="0" w:color="auto"/>
              </w:divBdr>
              <w:divsChild>
                <w:div w:id="282349885">
                  <w:marLeft w:val="0"/>
                  <w:marRight w:val="585"/>
                  <w:marTop w:val="0"/>
                  <w:marBottom w:val="0"/>
                  <w:divBdr>
                    <w:top w:val="none" w:sz="0" w:space="0" w:color="auto"/>
                    <w:left w:val="none" w:sz="0" w:space="0" w:color="auto"/>
                    <w:bottom w:val="none" w:sz="0" w:space="0" w:color="auto"/>
                    <w:right w:val="none" w:sz="0" w:space="0" w:color="auto"/>
                  </w:divBdr>
                  <w:divsChild>
                    <w:div w:id="1533763407">
                      <w:marLeft w:val="0"/>
                      <w:marRight w:val="0"/>
                      <w:marTop w:val="0"/>
                      <w:marBottom w:val="0"/>
                      <w:divBdr>
                        <w:top w:val="none" w:sz="0" w:space="0" w:color="auto"/>
                        <w:left w:val="none" w:sz="0" w:space="0" w:color="auto"/>
                        <w:bottom w:val="none" w:sz="0" w:space="0" w:color="auto"/>
                        <w:right w:val="none" w:sz="0" w:space="0" w:color="auto"/>
                      </w:divBdr>
                    </w:div>
                  </w:divsChild>
                </w:div>
                <w:div w:id="588540260">
                  <w:marLeft w:val="0"/>
                  <w:marRight w:val="585"/>
                  <w:marTop w:val="0"/>
                  <w:marBottom w:val="0"/>
                  <w:divBdr>
                    <w:top w:val="none" w:sz="0" w:space="0" w:color="auto"/>
                    <w:left w:val="none" w:sz="0" w:space="0" w:color="auto"/>
                    <w:bottom w:val="none" w:sz="0" w:space="0" w:color="auto"/>
                    <w:right w:val="none" w:sz="0" w:space="0" w:color="auto"/>
                  </w:divBdr>
                  <w:divsChild>
                    <w:div w:id="574316952">
                      <w:marLeft w:val="0"/>
                      <w:marRight w:val="0"/>
                      <w:marTop w:val="0"/>
                      <w:marBottom w:val="0"/>
                      <w:divBdr>
                        <w:top w:val="none" w:sz="0" w:space="0" w:color="auto"/>
                        <w:left w:val="none" w:sz="0" w:space="0" w:color="auto"/>
                        <w:bottom w:val="none" w:sz="0" w:space="0" w:color="auto"/>
                        <w:right w:val="none" w:sz="0" w:space="0" w:color="auto"/>
                      </w:divBdr>
                    </w:div>
                  </w:divsChild>
                </w:div>
                <w:div w:id="793907588">
                  <w:marLeft w:val="0"/>
                  <w:marRight w:val="-450"/>
                  <w:marTop w:val="0"/>
                  <w:marBottom w:val="0"/>
                  <w:divBdr>
                    <w:top w:val="none" w:sz="0" w:space="0" w:color="auto"/>
                    <w:left w:val="none" w:sz="0" w:space="0" w:color="auto"/>
                    <w:bottom w:val="none" w:sz="0" w:space="0" w:color="auto"/>
                    <w:right w:val="none" w:sz="0" w:space="0" w:color="auto"/>
                  </w:divBdr>
                  <w:divsChild>
                    <w:div w:id="422410850">
                      <w:marLeft w:val="0"/>
                      <w:marRight w:val="585"/>
                      <w:marTop w:val="0"/>
                      <w:marBottom w:val="0"/>
                      <w:divBdr>
                        <w:top w:val="none" w:sz="0" w:space="0" w:color="auto"/>
                        <w:left w:val="none" w:sz="0" w:space="0" w:color="auto"/>
                        <w:bottom w:val="none" w:sz="0" w:space="0" w:color="auto"/>
                        <w:right w:val="none" w:sz="0" w:space="0" w:color="auto"/>
                      </w:divBdr>
                      <w:divsChild>
                        <w:div w:id="9290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25390">
                  <w:marLeft w:val="0"/>
                  <w:marRight w:val="585"/>
                  <w:marTop w:val="0"/>
                  <w:marBottom w:val="0"/>
                  <w:divBdr>
                    <w:top w:val="none" w:sz="0" w:space="0" w:color="auto"/>
                    <w:left w:val="none" w:sz="0" w:space="0" w:color="auto"/>
                    <w:bottom w:val="none" w:sz="0" w:space="0" w:color="auto"/>
                    <w:right w:val="none" w:sz="0" w:space="0" w:color="auto"/>
                  </w:divBdr>
                  <w:divsChild>
                    <w:div w:id="552087373">
                      <w:marLeft w:val="0"/>
                      <w:marRight w:val="0"/>
                      <w:marTop w:val="0"/>
                      <w:marBottom w:val="0"/>
                      <w:divBdr>
                        <w:top w:val="none" w:sz="0" w:space="0" w:color="auto"/>
                        <w:left w:val="none" w:sz="0" w:space="0" w:color="auto"/>
                        <w:bottom w:val="none" w:sz="0" w:space="0" w:color="auto"/>
                        <w:right w:val="none" w:sz="0" w:space="0" w:color="auto"/>
                      </w:divBdr>
                    </w:div>
                  </w:divsChild>
                </w:div>
                <w:div w:id="2083521003">
                  <w:marLeft w:val="0"/>
                  <w:marRight w:val="585"/>
                  <w:marTop w:val="0"/>
                  <w:marBottom w:val="0"/>
                  <w:divBdr>
                    <w:top w:val="none" w:sz="0" w:space="0" w:color="auto"/>
                    <w:left w:val="none" w:sz="0" w:space="0" w:color="auto"/>
                    <w:bottom w:val="none" w:sz="0" w:space="0" w:color="auto"/>
                    <w:right w:val="none" w:sz="0" w:space="0" w:color="auto"/>
                  </w:divBdr>
                  <w:divsChild>
                    <w:div w:id="167244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18879">
              <w:marLeft w:val="0"/>
              <w:marRight w:val="0"/>
              <w:marTop w:val="60"/>
              <w:marBottom w:val="0"/>
              <w:divBdr>
                <w:top w:val="none" w:sz="0" w:space="0" w:color="auto"/>
                <w:left w:val="none" w:sz="0" w:space="0" w:color="auto"/>
                <w:bottom w:val="none" w:sz="0" w:space="0" w:color="auto"/>
                <w:right w:val="none" w:sz="0" w:space="0" w:color="auto"/>
              </w:divBdr>
            </w:div>
          </w:divsChild>
        </w:div>
        <w:div w:id="1441874559">
          <w:marLeft w:val="0"/>
          <w:marRight w:val="0"/>
          <w:marTop w:val="0"/>
          <w:marBottom w:val="0"/>
          <w:divBdr>
            <w:top w:val="none" w:sz="0" w:space="0" w:color="auto"/>
            <w:left w:val="none" w:sz="0" w:space="0" w:color="auto"/>
            <w:bottom w:val="none" w:sz="0" w:space="0" w:color="auto"/>
            <w:right w:val="none" w:sz="0" w:space="0" w:color="auto"/>
          </w:divBdr>
          <w:divsChild>
            <w:div w:id="430317438">
              <w:marLeft w:val="0"/>
              <w:marRight w:val="0"/>
              <w:marTop w:val="0"/>
              <w:marBottom w:val="0"/>
              <w:divBdr>
                <w:top w:val="none" w:sz="0" w:space="0" w:color="auto"/>
                <w:left w:val="none" w:sz="0" w:space="0" w:color="auto"/>
                <w:bottom w:val="none" w:sz="0" w:space="0" w:color="auto"/>
                <w:right w:val="none" w:sz="0" w:space="0" w:color="auto"/>
              </w:divBdr>
            </w:div>
            <w:div w:id="882254847">
              <w:marLeft w:val="0"/>
              <w:marRight w:val="0"/>
              <w:marTop w:val="0"/>
              <w:marBottom w:val="0"/>
              <w:divBdr>
                <w:top w:val="none" w:sz="0" w:space="0" w:color="auto"/>
                <w:left w:val="none" w:sz="0" w:space="0" w:color="auto"/>
                <w:bottom w:val="none" w:sz="0" w:space="0" w:color="auto"/>
                <w:right w:val="none" w:sz="0" w:space="0" w:color="auto"/>
              </w:divBdr>
            </w:div>
            <w:div w:id="1012610074">
              <w:marLeft w:val="0"/>
              <w:marRight w:val="0"/>
              <w:marTop w:val="0"/>
              <w:marBottom w:val="0"/>
              <w:divBdr>
                <w:top w:val="none" w:sz="0" w:space="0" w:color="auto"/>
                <w:left w:val="none" w:sz="0" w:space="0" w:color="auto"/>
                <w:bottom w:val="none" w:sz="0" w:space="0" w:color="auto"/>
                <w:right w:val="none" w:sz="0" w:space="0" w:color="auto"/>
              </w:divBdr>
            </w:div>
            <w:div w:id="1043746627">
              <w:marLeft w:val="0"/>
              <w:marRight w:val="0"/>
              <w:marTop w:val="0"/>
              <w:marBottom w:val="0"/>
              <w:divBdr>
                <w:top w:val="none" w:sz="0" w:space="0" w:color="auto"/>
                <w:left w:val="none" w:sz="0" w:space="0" w:color="auto"/>
                <w:bottom w:val="none" w:sz="0" w:space="0" w:color="auto"/>
                <w:right w:val="none" w:sz="0" w:space="0" w:color="auto"/>
              </w:divBdr>
              <w:divsChild>
                <w:div w:id="1054892814">
                  <w:marLeft w:val="0"/>
                  <w:marRight w:val="0"/>
                  <w:marTop w:val="0"/>
                  <w:marBottom w:val="0"/>
                  <w:divBdr>
                    <w:top w:val="none" w:sz="0" w:space="0" w:color="auto"/>
                    <w:left w:val="none" w:sz="0" w:space="0" w:color="auto"/>
                    <w:bottom w:val="none" w:sz="0" w:space="0" w:color="auto"/>
                    <w:right w:val="none" w:sz="0" w:space="0" w:color="auto"/>
                  </w:divBdr>
                </w:div>
                <w:div w:id="1873415342">
                  <w:marLeft w:val="0"/>
                  <w:marRight w:val="0"/>
                  <w:marTop w:val="0"/>
                  <w:marBottom w:val="0"/>
                  <w:divBdr>
                    <w:top w:val="none" w:sz="0" w:space="0" w:color="auto"/>
                    <w:left w:val="none" w:sz="0" w:space="0" w:color="auto"/>
                    <w:bottom w:val="none" w:sz="0" w:space="0" w:color="auto"/>
                    <w:right w:val="none" w:sz="0" w:space="0" w:color="auto"/>
                  </w:divBdr>
                  <w:divsChild>
                    <w:div w:id="692610037">
                      <w:marLeft w:val="0"/>
                      <w:marRight w:val="585"/>
                      <w:marTop w:val="0"/>
                      <w:marBottom w:val="0"/>
                      <w:divBdr>
                        <w:top w:val="none" w:sz="0" w:space="0" w:color="auto"/>
                        <w:left w:val="none" w:sz="0" w:space="0" w:color="auto"/>
                        <w:bottom w:val="none" w:sz="0" w:space="0" w:color="auto"/>
                        <w:right w:val="none" w:sz="0" w:space="0" w:color="auto"/>
                      </w:divBdr>
                      <w:divsChild>
                        <w:div w:id="2096323641">
                          <w:marLeft w:val="0"/>
                          <w:marRight w:val="0"/>
                          <w:marTop w:val="0"/>
                          <w:marBottom w:val="0"/>
                          <w:divBdr>
                            <w:top w:val="none" w:sz="0" w:space="0" w:color="auto"/>
                            <w:left w:val="none" w:sz="0" w:space="0" w:color="auto"/>
                            <w:bottom w:val="none" w:sz="0" w:space="0" w:color="auto"/>
                            <w:right w:val="none" w:sz="0" w:space="0" w:color="auto"/>
                          </w:divBdr>
                        </w:div>
                      </w:divsChild>
                    </w:div>
                    <w:div w:id="879976057">
                      <w:marLeft w:val="0"/>
                      <w:marRight w:val="-450"/>
                      <w:marTop w:val="0"/>
                      <w:marBottom w:val="0"/>
                      <w:divBdr>
                        <w:top w:val="none" w:sz="0" w:space="0" w:color="auto"/>
                        <w:left w:val="none" w:sz="0" w:space="0" w:color="auto"/>
                        <w:bottom w:val="none" w:sz="0" w:space="0" w:color="auto"/>
                        <w:right w:val="none" w:sz="0" w:space="0" w:color="auto"/>
                      </w:divBdr>
                      <w:divsChild>
                        <w:div w:id="357583962">
                          <w:marLeft w:val="0"/>
                          <w:marRight w:val="585"/>
                          <w:marTop w:val="0"/>
                          <w:marBottom w:val="0"/>
                          <w:divBdr>
                            <w:top w:val="none" w:sz="0" w:space="0" w:color="auto"/>
                            <w:left w:val="none" w:sz="0" w:space="0" w:color="auto"/>
                            <w:bottom w:val="none" w:sz="0" w:space="0" w:color="auto"/>
                            <w:right w:val="none" w:sz="0" w:space="0" w:color="auto"/>
                          </w:divBdr>
                          <w:divsChild>
                            <w:div w:id="13933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8308">
                      <w:marLeft w:val="0"/>
                      <w:marRight w:val="585"/>
                      <w:marTop w:val="0"/>
                      <w:marBottom w:val="0"/>
                      <w:divBdr>
                        <w:top w:val="none" w:sz="0" w:space="0" w:color="auto"/>
                        <w:left w:val="none" w:sz="0" w:space="0" w:color="auto"/>
                        <w:bottom w:val="none" w:sz="0" w:space="0" w:color="auto"/>
                        <w:right w:val="none" w:sz="0" w:space="0" w:color="auto"/>
                      </w:divBdr>
                      <w:divsChild>
                        <w:div w:id="654921718">
                          <w:marLeft w:val="0"/>
                          <w:marRight w:val="0"/>
                          <w:marTop w:val="0"/>
                          <w:marBottom w:val="0"/>
                          <w:divBdr>
                            <w:top w:val="none" w:sz="0" w:space="0" w:color="auto"/>
                            <w:left w:val="none" w:sz="0" w:space="0" w:color="auto"/>
                            <w:bottom w:val="none" w:sz="0" w:space="0" w:color="auto"/>
                            <w:right w:val="none" w:sz="0" w:space="0" w:color="auto"/>
                          </w:divBdr>
                        </w:div>
                      </w:divsChild>
                    </w:div>
                    <w:div w:id="1281452154">
                      <w:marLeft w:val="0"/>
                      <w:marRight w:val="585"/>
                      <w:marTop w:val="0"/>
                      <w:marBottom w:val="0"/>
                      <w:divBdr>
                        <w:top w:val="none" w:sz="0" w:space="0" w:color="auto"/>
                        <w:left w:val="none" w:sz="0" w:space="0" w:color="auto"/>
                        <w:bottom w:val="none" w:sz="0" w:space="0" w:color="auto"/>
                        <w:right w:val="none" w:sz="0" w:space="0" w:color="auto"/>
                      </w:divBdr>
                      <w:divsChild>
                        <w:div w:id="1319766549">
                          <w:marLeft w:val="0"/>
                          <w:marRight w:val="0"/>
                          <w:marTop w:val="0"/>
                          <w:marBottom w:val="0"/>
                          <w:divBdr>
                            <w:top w:val="none" w:sz="0" w:space="0" w:color="auto"/>
                            <w:left w:val="none" w:sz="0" w:space="0" w:color="auto"/>
                            <w:bottom w:val="none" w:sz="0" w:space="0" w:color="auto"/>
                            <w:right w:val="none" w:sz="0" w:space="0" w:color="auto"/>
                          </w:divBdr>
                        </w:div>
                      </w:divsChild>
                    </w:div>
                    <w:div w:id="2085948090">
                      <w:marLeft w:val="0"/>
                      <w:marRight w:val="585"/>
                      <w:marTop w:val="0"/>
                      <w:marBottom w:val="0"/>
                      <w:divBdr>
                        <w:top w:val="none" w:sz="0" w:space="0" w:color="auto"/>
                        <w:left w:val="none" w:sz="0" w:space="0" w:color="auto"/>
                        <w:bottom w:val="none" w:sz="0" w:space="0" w:color="auto"/>
                        <w:right w:val="none" w:sz="0" w:space="0" w:color="auto"/>
                      </w:divBdr>
                      <w:divsChild>
                        <w:div w:id="139476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3508">
          <w:marLeft w:val="0"/>
          <w:marRight w:val="0"/>
          <w:marTop w:val="900"/>
          <w:marBottom w:val="900"/>
          <w:divBdr>
            <w:top w:val="none" w:sz="0" w:space="0" w:color="auto"/>
            <w:left w:val="none" w:sz="0" w:space="0" w:color="auto"/>
            <w:bottom w:val="none" w:sz="0" w:space="0" w:color="auto"/>
            <w:right w:val="none" w:sz="0" w:space="0" w:color="auto"/>
          </w:divBdr>
          <w:divsChild>
            <w:div w:id="523132646">
              <w:marLeft w:val="0"/>
              <w:marRight w:val="0"/>
              <w:marTop w:val="450"/>
              <w:marBottom w:val="900"/>
              <w:divBdr>
                <w:top w:val="none" w:sz="0" w:space="0" w:color="auto"/>
                <w:left w:val="none" w:sz="0" w:space="0" w:color="auto"/>
                <w:bottom w:val="single" w:sz="6" w:space="0" w:color="D2D2D2"/>
                <w:right w:val="none" w:sz="0" w:space="0" w:color="auto"/>
              </w:divBdr>
              <w:divsChild>
                <w:div w:id="965503568">
                  <w:marLeft w:val="0"/>
                  <w:marRight w:val="0"/>
                  <w:marTop w:val="0"/>
                  <w:marBottom w:val="0"/>
                  <w:divBdr>
                    <w:top w:val="none" w:sz="0" w:space="0" w:color="auto"/>
                    <w:left w:val="none" w:sz="0" w:space="0" w:color="auto"/>
                    <w:bottom w:val="none" w:sz="0" w:space="0" w:color="auto"/>
                    <w:right w:val="none" w:sz="0" w:space="0" w:color="auto"/>
                  </w:divBdr>
                  <w:divsChild>
                    <w:div w:id="773014130">
                      <w:marLeft w:val="0"/>
                      <w:marRight w:val="0"/>
                      <w:marTop w:val="0"/>
                      <w:marBottom w:val="0"/>
                      <w:divBdr>
                        <w:top w:val="none" w:sz="0" w:space="0" w:color="auto"/>
                        <w:left w:val="none" w:sz="0" w:space="0" w:color="auto"/>
                        <w:bottom w:val="none" w:sz="0" w:space="0" w:color="auto"/>
                        <w:right w:val="none" w:sz="0" w:space="0" w:color="auto"/>
                      </w:divBdr>
                      <w:divsChild>
                        <w:div w:id="1202284569">
                          <w:marLeft w:val="0"/>
                          <w:marRight w:val="0"/>
                          <w:marTop w:val="0"/>
                          <w:marBottom w:val="0"/>
                          <w:divBdr>
                            <w:top w:val="none" w:sz="0" w:space="0" w:color="auto"/>
                            <w:left w:val="none" w:sz="0" w:space="0" w:color="auto"/>
                            <w:bottom w:val="none" w:sz="0" w:space="0" w:color="auto"/>
                            <w:right w:val="none" w:sz="0" w:space="0" w:color="auto"/>
                          </w:divBdr>
                          <w:divsChild>
                            <w:div w:id="84226633">
                              <w:marLeft w:val="0"/>
                              <w:marRight w:val="0"/>
                              <w:marTop w:val="0"/>
                              <w:marBottom w:val="0"/>
                              <w:divBdr>
                                <w:top w:val="none" w:sz="0" w:space="0" w:color="auto"/>
                                <w:left w:val="none" w:sz="0" w:space="0" w:color="auto"/>
                                <w:bottom w:val="none" w:sz="0" w:space="0" w:color="auto"/>
                                <w:right w:val="none" w:sz="0" w:space="0" w:color="auto"/>
                              </w:divBdr>
                            </w:div>
                            <w:div w:id="681586877">
                              <w:marLeft w:val="0"/>
                              <w:marRight w:val="0"/>
                              <w:marTop w:val="0"/>
                              <w:marBottom w:val="0"/>
                              <w:divBdr>
                                <w:top w:val="none" w:sz="0" w:space="0" w:color="auto"/>
                                <w:left w:val="none" w:sz="0" w:space="0" w:color="auto"/>
                                <w:bottom w:val="none" w:sz="0" w:space="0" w:color="auto"/>
                                <w:right w:val="none" w:sz="0" w:space="0" w:color="auto"/>
                              </w:divBdr>
                            </w:div>
                            <w:div w:id="1527938079">
                              <w:marLeft w:val="0"/>
                              <w:marRight w:val="0"/>
                              <w:marTop w:val="0"/>
                              <w:marBottom w:val="0"/>
                              <w:divBdr>
                                <w:top w:val="none" w:sz="0" w:space="0" w:color="auto"/>
                                <w:left w:val="none" w:sz="0" w:space="0" w:color="auto"/>
                                <w:bottom w:val="none" w:sz="0" w:space="0" w:color="auto"/>
                                <w:right w:val="none" w:sz="0" w:space="0" w:color="auto"/>
                              </w:divBdr>
                            </w:div>
                            <w:div w:id="1605306260">
                              <w:marLeft w:val="0"/>
                              <w:marRight w:val="0"/>
                              <w:marTop w:val="0"/>
                              <w:marBottom w:val="0"/>
                              <w:divBdr>
                                <w:top w:val="none" w:sz="0" w:space="0" w:color="auto"/>
                                <w:left w:val="none" w:sz="0" w:space="0" w:color="auto"/>
                                <w:bottom w:val="none" w:sz="0" w:space="0" w:color="auto"/>
                                <w:right w:val="none" w:sz="0" w:space="0" w:color="auto"/>
                              </w:divBdr>
                            </w:div>
                            <w:div w:id="190259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13763">
              <w:marLeft w:val="0"/>
              <w:marRight w:val="0"/>
              <w:marTop w:val="0"/>
              <w:marBottom w:val="0"/>
              <w:divBdr>
                <w:top w:val="none" w:sz="0" w:space="0" w:color="auto"/>
                <w:left w:val="none" w:sz="0" w:space="0" w:color="auto"/>
                <w:bottom w:val="none" w:sz="0" w:space="0" w:color="auto"/>
                <w:right w:val="none" w:sz="0" w:space="0" w:color="auto"/>
              </w:divBdr>
              <w:divsChild>
                <w:div w:id="277835289">
                  <w:marLeft w:val="-1950"/>
                  <w:marRight w:val="-1950"/>
                  <w:marTop w:val="0"/>
                  <w:marBottom w:val="0"/>
                  <w:divBdr>
                    <w:top w:val="none" w:sz="0" w:space="0" w:color="auto"/>
                    <w:left w:val="none" w:sz="0" w:space="0" w:color="auto"/>
                    <w:bottom w:val="none" w:sz="0" w:space="0" w:color="auto"/>
                    <w:right w:val="none" w:sz="0" w:space="0" w:color="auto"/>
                  </w:divBdr>
                  <w:divsChild>
                    <w:div w:id="554436672">
                      <w:marLeft w:val="300"/>
                      <w:marRight w:val="0"/>
                      <w:marTop w:val="0"/>
                      <w:marBottom w:val="0"/>
                      <w:divBdr>
                        <w:top w:val="none" w:sz="0" w:space="0" w:color="auto"/>
                        <w:left w:val="none" w:sz="0" w:space="0" w:color="auto"/>
                        <w:bottom w:val="none" w:sz="0" w:space="0" w:color="auto"/>
                        <w:right w:val="none" w:sz="0" w:space="0" w:color="auto"/>
                      </w:divBdr>
                      <w:divsChild>
                        <w:div w:id="341711031">
                          <w:marLeft w:val="0"/>
                          <w:marRight w:val="0"/>
                          <w:marTop w:val="0"/>
                          <w:marBottom w:val="0"/>
                          <w:divBdr>
                            <w:top w:val="none" w:sz="0" w:space="0" w:color="auto"/>
                            <w:left w:val="none" w:sz="0" w:space="0" w:color="auto"/>
                            <w:bottom w:val="none" w:sz="0" w:space="0" w:color="auto"/>
                            <w:right w:val="none" w:sz="0" w:space="0" w:color="auto"/>
                          </w:divBdr>
                          <w:divsChild>
                            <w:div w:id="1975913894">
                              <w:marLeft w:val="0"/>
                              <w:marRight w:val="0"/>
                              <w:marTop w:val="0"/>
                              <w:marBottom w:val="420"/>
                              <w:divBdr>
                                <w:top w:val="none" w:sz="0" w:space="0" w:color="auto"/>
                                <w:left w:val="none" w:sz="0" w:space="0" w:color="auto"/>
                                <w:bottom w:val="none" w:sz="0" w:space="0" w:color="auto"/>
                                <w:right w:val="none" w:sz="0" w:space="0" w:color="auto"/>
                              </w:divBdr>
                              <w:divsChild>
                                <w:div w:id="1052118657">
                                  <w:marLeft w:val="0"/>
                                  <w:marRight w:val="0"/>
                                  <w:marTop w:val="375"/>
                                  <w:marBottom w:val="0"/>
                                  <w:divBdr>
                                    <w:top w:val="none" w:sz="0" w:space="0" w:color="auto"/>
                                    <w:left w:val="none" w:sz="0" w:space="0" w:color="auto"/>
                                    <w:bottom w:val="none" w:sz="0" w:space="0" w:color="auto"/>
                                    <w:right w:val="none" w:sz="0" w:space="0" w:color="auto"/>
                                  </w:divBdr>
                                </w:div>
                                <w:div w:id="16263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99396">
                          <w:marLeft w:val="0"/>
                          <w:marRight w:val="0"/>
                          <w:marTop w:val="375"/>
                          <w:marBottom w:val="0"/>
                          <w:divBdr>
                            <w:top w:val="none" w:sz="0" w:space="0" w:color="auto"/>
                            <w:left w:val="none" w:sz="0" w:space="0" w:color="auto"/>
                            <w:bottom w:val="none" w:sz="0" w:space="0" w:color="auto"/>
                            <w:right w:val="none" w:sz="0" w:space="0" w:color="auto"/>
                          </w:divBdr>
                        </w:div>
                        <w:div w:id="866791385">
                          <w:marLeft w:val="0"/>
                          <w:marRight w:val="0"/>
                          <w:marTop w:val="0"/>
                          <w:marBottom w:val="420"/>
                          <w:divBdr>
                            <w:top w:val="none" w:sz="0" w:space="0" w:color="auto"/>
                            <w:left w:val="none" w:sz="0" w:space="0" w:color="auto"/>
                            <w:bottom w:val="none" w:sz="0" w:space="0" w:color="auto"/>
                            <w:right w:val="none" w:sz="0" w:space="0" w:color="auto"/>
                          </w:divBdr>
                        </w:div>
                      </w:divsChild>
                    </w:div>
                    <w:div w:id="599996867">
                      <w:marLeft w:val="0"/>
                      <w:marRight w:val="0"/>
                      <w:marTop w:val="420"/>
                      <w:marBottom w:val="0"/>
                      <w:divBdr>
                        <w:top w:val="single" w:sz="6" w:space="0" w:color="D8D8D8"/>
                        <w:left w:val="none" w:sz="0" w:space="0" w:color="auto"/>
                        <w:bottom w:val="single" w:sz="6" w:space="8" w:color="D8D8D8"/>
                        <w:right w:val="none" w:sz="0" w:space="0" w:color="auto"/>
                      </w:divBdr>
                      <w:divsChild>
                        <w:div w:id="1739858210">
                          <w:marLeft w:val="0"/>
                          <w:marRight w:val="0"/>
                          <w:marTop w:val="0"/>
                          <w:marBottom w:val="0"/>
                          <w:divBdr>
                            <w:top w:val="none" w:sz="0" w:space="0" w:color="auto"/>
                            <w:left w:val="none" w:sz="0" w:space="0" w:color="auto"/>
                            <w:bottom w:val="none" w:sz="0" w:space="0" w:color="auto"/>
                            <w:right w:val="none" w:sz="0" w:space="0" w:color="auto"/>
                          </w:divBdr>
                          <w:divsChild>
                            <w:div w:id="1601139723">
                              <w:marLeft w:val="0"/>
                              <w:marRight w:val="0"/>
                              <w:marTop w:val="0"/>
                              <w:marBottom w:val="0"/>
                              <w:divBdr>
                                <w:top w:val="none" w:sz="0" w:space="0" w:color="auto"/>
                                <w:left w:val="none" w:sz="0" w:space="0" w:color="auto"/>
                                <w:bottom w:val="none" w:sz="0" w:space="0" w:color="auto"/>
                                <w:right w:val="none" w:sz="0" w:space="0" w:color="auto"/>
                              </w:divBdr>
                              <w:divsChild>
                                <w:div w:id="37369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524444">
                  <w:marLeft w:val="0"/>
                  <w:marRight w:val="0"/>
                  <w:marTop w:val="0"/>
                  <w:marBottom w:val="0"/>
                  <w:divBdr>
                    <w:top w:val="none" w:sz="0" w:space="0" w:color="auto"/>
                    <w:left w:val="none" w:sz="0" w:space="0" w:color="auto"/>
                    <w:bottom w:val="none" w:sz="0" w:space="0" w:color="auto"/>
                    <w:right w:val="none" w:sz="0" w:space="0" w:color="auto"/>
                  </w:divBdr>
                  <w:divsChild>
                    <w:div w:id="144275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37521514">
                      <w:blockQuote w:val="1"/>
                      <w:marLeft w:val="720"/>
                      <w:marRight w:val="720"/>
                      <w:marTop w:val="100"/>
                      <w:marBottom w:val="100"/>
                      <w:divBdr>
                        <w:top w:val="none" w:sz="0" w:space="0" w:color="auto"/>
                        <w:left w:val="none" w:sz="0" w:space="0" w:color="auto"/>
                        <w:bottom w:val="none" w:sz="0" w:space="0" w:color="auto"/>
                        <w:right w:val="none" w:sz="0" w:space="0" w:color="auto"/>
                      </w:divBdr>
                    </w:div>
                    <w:div w:id="434597835">
                      <w:blockQuote w:val="1"/>
                      <w:marLeft w:val="720"/>
                      <w:marRight w:val="720"/>
                      <w:marTop w:val="100"/>
                      <w:marBottom w:val="100"/>
                      <w:divBdr>
                        <w:top w:val="none" w:sz="0" w:space="0" w:color="auto"/>
                        <w:left w:val="none" w:sz="0" w:space="0" w:color="auto"/>
                        <w:bottom w:val="none" w:sz="0" w:space="0" w:color="auto"/>
                        <w:right w:val="none" w:sz="0" w:space="0" w:color="auto"/>
                      </w:divBdr>
                    </w:div>
                    <w:div w:id="613485682">
                      <w:blockQuote w:val="1"/>
                      <w:marLeft w:val="720"/>
                      <w:marRight w:val="720"/>
                      <w:marTop w:val="100"/>
                      <w:marBottom w:val="100"/>
                      <w:divBdr>
                        <w:top w:val="none" w:sz="0" w:space="0" w:color="auto"/>
                        <w:left w:val="none" w:sz="0" w:space="0" w:color="auto"/>
                        <w:bottom w:val="none" w:sz="0" w:space="0" w:color="auto"/>
                        <w:right w:val="none" w:sz="0" w:space="0" w:color="auto"/>
                      </w:divBdr>
                    </w:div>
                    <w:div w:id="761416823">
                      <w:blockQuote w:val="1"/>
                      <w:marLeft w:val="720"/>
                      <w:marRight w:val="720"/>
                      <w:marTop w:val="100"/>
                      <w:marBottom w:val="100"/>
                      <w:divBdr>
                        <w:top w:val="none" w:sz="0" w:space="0" w:color="auto"/>
                        <w:left w:val="none" w:sz="0" w:space="0" w:color="auto"/>
                        <w:bottom w:val="none" w:sz="0" w:space="0" w:color="auto"/>
                        <w:right w:val="none" w:sz="0" w:space="0" w:color="auto"/>
                      </w:divBdr>
                    </w:div>
                    <w:div w:id="8412424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21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499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91955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9937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3409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7152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240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8161344">
                  <w:marLeft w:val="0"/>
                  <w:marRight w:val="150"/>
                  <w:marTop w:val="0"/>
                  <w:marBottom w:val="0"/>
                  <w:divBdr>
                    <w:top w:val="none" w:sz="0" w:space="0" w:color="auto"/>
                    <w:left w:val="none" w:sz="0" w:space="0" w:color="auto"/>
                    <w:bottom w:val="none" w:sz="0" w:space="0" w:color="auto"/>
                    <w:right w:val="none" w:sz="0" w:space="0" w:color="auto"/>
                  </w:divBdr>
                </w:div>
                <w:div w:id="741489840">
                  <w:marLeft w:val="0"/>
                  <w:marRight w:val="0"/>
                  <w:marTop w:val="0"/>
                  <w:marBottom w:val="0"/>
                  <w:divBdr>
                    <w:top w:val="none" w:sz="0" w:space="0" w:color="auto"/>
                    <w:left w:val="none" w:sz="0" w:space="0" w:color="auto"/>
                    <w:bottom w:val="none" w:sz="0" w:space="0" w:color="auto"/>
                    <w:right w:val="none" w:sz="0" w:space="0" w:color="auto"/>
                  </w:divBdr>
                </w:div>
                <w:div w:id="1768965893">
                  <w:marLeft w:val="0"/>
                  <w:marRight w:val="0"/>
                  <w:marTop w:val="0"/>
                  <w:marBottom w:val="150"/>
                  <w:divBdr>
                    <w:top w:val="none" w:sz="0" w:space="0" w:color="auto"/>
                    <w:left w:val="none" w:sz="0" w:space="0" w:color="auto"/>
                    <w:bottom w:val="none" w:sz="0" w:space="0" w:color="auto"/>
                    <w:right w:val="none" w:sz="0" w:space="0" w:color="auto"/>
                  </w:divBdr>
                </w:div>
              </w:divsChild>
            </w:div>
            <w:div w:id="1378121509">
              <w:marLeft w:val="0"/>
              <w:marRight w:val="0"/>
              <w:marTop w:val="0"/>
              <w:marBottom w:val="0"/>
              <w:divBdr>
                <w:top w:val="none" w:sz="0" w:space="0" w:color="auto"/>
                <w:left w:val="none" w:sz="0" w:space="0" w:color="auto"/>
                <w:bottom w:val="none" w:sz="0" w:space="0" w:color="auto"/>
                <w:right w:val="none" w:sz="0" w:space="0" w:color="auto"/>
              </w:divBdr>
              <w:divsChild>
                <w:div w:id="2092048078">
                  <w:marLeft w:val="0"/>
                  <w:marRight w:val="0"/>
                  <w:marTop w:val="750"/>
                  <w:marBottom w:val="0"/>
                  <w:divBdr>
                    <w:top w:val="none" w:sz="0" w:space="0" w:color="auto"/>
                    <w:left w:val="none" w:sz="0" w:space="0" w:color="auto"/>
                    <w:bottom w:val="none" w:sz="0" w:space="0" w:color="auto"/>
                    <w:right w:val="none" w:sz="0" w:space="0" w:color="auto"/>
                  </w:divBdr>
                  <w:divsChild>
                    <w:div w:id="838813768">
                      <w:marLeft w:val="0"/>
                      <w:marRight w:val="0"/>
                      <w:marTop w:val="0"/>
                      <w:marBottom w:val="0"/>
                      <w:divBdr>
                        <w:top w:val="none" w:sz="0" w:space="0" w:color="auto"/>
                        <w:left w:val="none" w:sz="0" w:space="0" w:color="auto"/>
                        <w:bottom w:val="none" w:sz="0" w:space="0" w:color="auto"/>
                        <w:right w:val="none" w:sz="0" w:space="0" w:color="auto"/>
                      </w:divBdr>
                      <w:divsChild>
                        <w:div w:id="479660061">
                          <w:marLeft w:val="0"/>
                          <w:marRight w:val="0"/>
                          <w:marTop w:val="0"/>
                          <w:marBottom w:val="0"/>
                          <w:divBdr>
                            <w:top w:val="none" w:sz="0" w:space="0" w:color="auto"/>
                            <w:left w:val="none" w:sz="0" w:space="0" w:color="auto"/>
                            <w:bottom w:val="none" w:sz="0" w:space="0" w:color="auto"/>
                            <w:right w:val="none" w:sz="0" w:space="0" w:color="auto"/>
                          </w:divBdr>
                          <w:divsChild>
                            <w:div w:id="1666200433">
                              <w:marLeft w:val="0"/>
                              <w:marRight w:val="0"/>
                              <w:marTop w:val="0"/>
                              <w:marBottom w:val="0"/>
                              <w:divBdr>
                                <w:top w:val="none" w:sz="0" w:space="0" w:color="auto"/>
                                <w:left w:val="none" w:sz="0" w:space="0" w:color="auto"/>
                                <w:bottom w:val="none" w:sz="0" w:space="0" w:color="auto"/>
                                <w:right w:val="none" w:sz="0" w:space="0" w:color="auto"/>
                              </w:divBdr>
                              <w:divsChild>
                                <w:div w:id="13188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20222">
                          <w:marLeft w:val="0"/>
                          <w:marRight w:val="0"/>
                          <w:marTop w:val="0"/>
                          <w:marBottom w:val="0"/>
                          <w:divBdr>
                            <w:top w:val="none" w:sz="0" w:space="0" w:color="auto"/>
                            <w:left w:val="none" w:sz="0" w:space="0" w:color="auto"/>
                            <w:bottom w:val="none" w:sz="0" w:space="0" w:color="auto"/>
                            <w:right w:val="none" w:sz="0" w:space="0" w:color="auto"/>
                          </w:divBdr>
                          <w:divsChild>
                            <w:div w:id="787625416">
                              <w:marLeft w:val="0"/>
                              <w:marRight w:val="0"/>
                              <w:marTop w:val="0"/>
                              <w:marBottom w:val="0"/>
                              <w:divBdr>
                                <w:top w:val="none" w:sz="0" w:space="0" w:color="auto"/>
                                <w:left w:val="none" w:sz="0" w:space="0" w:color="auto"/>
                                <w:bottom w:val="none" w:sz="0" w:space="0" w:color="auto"/>
                                <w:right w:val="none" w:sz="0" w:space="0" w:color="auto"/>
                              </w:divBdr>
                              <w:divsChild>
                                <w:div w:id="9244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457610">
              <w:marLeft w:val="0"/>
              <w:marRight w:val="0"/>
              <w:marTop w:val="375"/>
              <w:marBottom w:val="0"/>
              <w:divBdr>
                <w:top w:val="none" w:sz="0" w:space="0" w:color="auto"/>
                <w:left w:val="none" w:sz="0" w:space="0" w:color="auto"/>
                <w:bottom w:val="none" w:sz="0" w:space="0" w:color="auto"/>
                <w:right w:val="none" w:sz="0" w:space="0" w:color="auto"/>
              </w:divBdr>
              <w:divsChild>
                <w:div w:id="798575243">
                  <w:marLeft w:val="1200"/>
                  <w:marRight w:val="0"/>
                  <w:marTop w:val="0"/>
                  <w:marBottom w:val="0"/>
                  <w:divBdr>
                    <w:top w:val="none" w:sz="0" w:space="0" w:color="auto"/>
                    <w:left w:val="none" w:sz="0" w:space="0" w:color="auto"/>
                    <w:bottom w:val="none" w:sz="0" w:space="0" w:color="auto"/>
                    <w:right w:val="none" w:sz="0" w:space="0" w:color="auto"/>
                  </w:divBdr>
                </w:div>
              </w:divsChild>
            </w:div>
            <w:div w:id="1903783870">
              <w:marLeft w:val="0"/>
              <w:marRight w:val="150"/>
              <w:marTop w:val="0"/>
              <w:marBottom w:val="0"/>
              <w:divBdr>
                <w:top w:val="none" w:sz="0" w:space="0" w:color="auto"/>
                <w:left w:val="none" w:sz="0" w:space="0" w:color="auto"/>
                <w:bottom w:val="none" w:sz="0" w:space="0" w:color="auto"/>
                <w:right w:val="none" w:sz="0" w:space="0" w:color="auto"/>
              </w:divBdr>
            </w:div>
            <w:div w:id="1937513934">
              <w:marLeft w:val="0"/>
              <w:marRight w:val="0"/>
              <w:marTop w:val="0"/>
              <w:marBottom w:val="0"/>
              <w:divBdr>
                <w:top w:val="none" w:sz="0" w:space="0" w:color="auto"/>
                <w:left w:val="none" w:sz="0" w:space="0" w:color="auto"/>
                <w:bottom w:val="none" w:sz="0" w:space="0" w:color="auto"/>
                <w:right w:val="none" w:sz="0" w:space="0" w:color="auto"/>
              </w:divBdr>
              <w:divsChild>
                <w:div w:id="1675958430">
                  <w:marLeft w:val="0"/>
                  <w:marRight w:val="0"/>
                  <w:marTop w:val="0"/>
                  <w:marBottom w:val="0"/>
                  <w:divBdr>
                    <w:top w:val="none" w:sz="0" w:space="0" w:color="auto"/>
                    <w:left w:val="none" w:sz="0" w:space="0" w:color="auto"/>
                    <w:bottom w:val="none" w:sz="0" w:space="0" w:color="auto"/>
                    <w:right w:val="none" w:sz="0" w:space="0" w:color="auto"/>
                  </w:divBdr>
                </w:div>
                <w:div w:id="1800802335">
                  <w:marLeft w:val="0"/>
                  <w:marRight w:val="0"/>
                  <w:marTop w:val="0"/>
                  <w:marBottom w:val="0"/>
                  <w:divBdr>
                    <w:top w:val="none" w:sz="0" w:space="0" w:color="auto"/>
                    <w:left w:val="none" w:sz="0" w:space="0" w:color="auto"/>
                    <w:bottom w:val="none" w:sz="0" w:space="0" w:color="auto"/>
                    <w:right w:val="none" w:sz="0" w:space="0" w:color="auto"/>
                  </w:divBdr>
                  <w:divsChild>
                    <w:div w:id="1049572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37003526">
          <w:marLeft w:val="0"/>
          <w:marRight w:val="0"/>
          <w:marTop w:val="600"/>
          <w:marBottom w:val="0"/>
          <w:divBdr>
            <w:top w:val="none" w:sz="0" w:space="0" w:color="auto"/>
            <w:left w:val="none" w:sz="0" w:space="0" w:color="auto"/>
            <w:bottom w:val="none" w:sz="0" w:space="0" w:color="auto"/>
            <w:right w:val="none" w:sz="0" w:space="0" w:color="auto"/>
          </w:divBdr>
          <w:divsChild>
            <w:div w:id="1603803101">
              <w:marLeft w:val="0"/>
              <w:marRight w:val="0"/>
              <w:marTop w:val="0"/>
              <w:marBottom w:val="225"/>
              <w:divBdr>
                <w:top w:val="none" w:sz="0" w:space="0" w:color="auto"/>
                <w:left w:val="none" w:sz="0" w:space="0" w:color="auto"/>
                <w:bottom w:val="none" w:sz="0" w:space="0" w:color="auto"/>
                <w:right w:val="none" w:sz="0" w:space="0" w:color="auto"/>
              </w:divBdr>
              <w:divsChild>
                <w:div w:id="165438994">
                  <w:marLeft w:val="0"/>
                  <w:marRight w:val="0"/>
                  <w:marTop w:val="0"/>
                  <w:marBottom w:val="0"/>
                  <w:divBdr>
                    <w:top w:val="none" w:sz="0" w:space="0" w:color="auto"/>
                    <w:left w:val="none" w:sz="0" w:space="0" w:color="auto"/>
                    <w:bottom w:val="none" w:sz="0" w:space="0" w:color="auto"/>
                    <w:right w:val="none" w:sz="0" w:space="0" w:color="auto"/>
                  </w:divBdr>
                  <w:divsChild>
                    <w:div w:id="1316646913">
                      <w:marLeft w:val="0"/>
                      <w:marRight w:val="0"/>
                      <w:marTop w:val="0"/>
                      <w:marBottom w:val="750"/>
                      <w:divBdr>
                        <w:top w:val="none" w:sz="0" w:space="0" w:color="auto"/>
                        <w:left w:val="none" w:sz="0" w:space="0" w:color="auto"/>
                        <w:bottom w:val="none" w:sz="0" w:space="0" w:color="auto"/>
                        <w:right w:val="none" w:sz="0" w:space="0" w:color="auto"/>
                      </w:divBdr>
                      <w:divsChild>
                        <w:div w:id="10313419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32551067">
                  <w:marLeft w:val="0"/>
                  <w:marRight w:val="0"/>
                  <w:marTop w:val="0"/>
                  <w:marBottom w:val="0"/>
                  <w:divBdr>
                    <w:top w:val="none" w:sz="0" w:space="0" w:color="auto"/>
                    <w:left w:val="none" w:sz="0" w:space="0" w:color="auto"/>
                    <w:bottom w:val="none" w:sz="0" w:space="0" w:color="auto"/>
                    <w:right w:val="none" w:sz="0" w:space="0" w:color="auto"/>
                  </w:divBdr>
                </w:div>
                <w:div w:id="430782504">
                  <w:marLeft w:val="0"/>
                  <w:marRight w:val="0"/>
                  <w:marTop w:val="0"/>
                  <w:marBottom w:val="0"/>
                  <w:divBdr>
                    <w:top w:val="none" w:sz="0" w:space="0" w:color="auto"/>
                    <w:left w:val="none" w:sz="0" w:space="0" w:color="auto"/>
                    <w:bottom w:val="none" w:sz="0" w:space="0" w:color="auto"/>
                    <w:right w:val="none" w:sz="0" w:space="0" w:color="auto"/>
                  </w:divBdr>
                  <w:divsChild>
                    <w:div w:id="657198812">
                      <w:marLeft w:val="0"/>
                      <w:marRight w:val="0"/>
                      <w:marTop w:val="0"/>
                      <w:marBottom w:val="750"/>
                      <w:divBdr>
                        <w:top w:val="none" w:sz="0" w:space="0" w:color="auto"/>
                        <w:left w:val="none" w:sz="0" w:space="0" w:color="auto"/>
                        <w:bottom w:val="none" w:sz="0" w:space="0" w:color="auto"/>
                        <w:right w:val="none" w:sz="0" w:space="0" w:color="auto"/>
                      </w:divBdr>
                      <w:divsChild>
                        <w:div w:id="18263116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31153525">
                  <w:marLeft w:val="0"/>
                  <w:marRight w:val="0"/>
                  <w:marTop w:val="0"/>
                  <w:marBottom w:val="0"/>
                  <w:divBdr>
                    <w:top w:val="none" w:sz="0" w:space="0" w:color="auto"/>
                    <w:left w:val="none" w:sz="0" w:space="0" w:color="auto"/>
                    <w:bottom w:val="none" w:sz="0" w:space="0" w:color="auto"/>
                    <w:right w:val="none" w:sz="0" w:space="0" w:color="auto"/>
                  </w:divBdr>
                  <w:divsChild>
                    <w:div w:id="777066075">
                      <w:marLeft w:val="0"/>
                      <w:marRight w:val="0"/>
                      <w:marTop w:val="0"/>
                      <w:marBottom w:val="750"/>
                      <w:divBdr>
                        <w:top w:val="none" w:sz="0" w:space="0" w:color="auto"/>
                        <w:left w:val="none" w:sz="0" w:space="0" w:color="auto"/>
                        <w:bottom w:val="none" w:sz="0" w:space="0" w:color="auto"/>
                        <w:right w:val="none" w:sz="0" w:space="0" w:color="auto"/>
                      </w:divBdr>
                      <w:divsChild>
                        <w:div w:id="5248301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83720621">
                  <w:marLeft w:val="0"/>
                  <w:marRight w:val="0"/>
                  <w:marTop w:val="0"/>
                  <w:marBottom w:val="0"/>
                  <w:divBdr>
                    <w:top w:val="none" w:sz="0" w:space="0" w:color="auto"/>
                    <w:left w:val="none" w:sz="0" w:space="0" w:color="auto"/>
                    <w:bottom w:val="none" w:sz="0" w:space="0" w:color="auto"/>
                    <w:right w:val="none" w:sz="0" w:space="0" w:color="auto"/>
                  </w:divBdr>
                  <w:divsChild>
                    <w:div w:id="757025109">
                      <w:marLeft w:val="0"/>
                      <w:marRight w:val="0"/>
                      <w:marTop w:val="600"/>
                      <w:marBottom w:val="0"/>
                      <w:divBdr>
                        <w:top w:val="none" w:sz="0" w:space="0" w:color="auto"/>
                        <w:left w:val="none" w:sz="0" w:space="0" w:color="auto"/>
                        <w:bottom w:val="none" w:sz="0" w:space="0" w:color="auto"/>
                        <w:right w:val="none" w:sz="0" w:space="0" w:color="auto"/>
                      </w:divBdr>
                      <w:divsChild>
                        <w:div w:id="368649807">
                          <w:marLeft w:val="0"/>
                          <w:marRight w:val="0"/>
                          <w:marTop w:val="0"/>
                          <w:marBottom w:val="0"/>
                          <w:divBdr>
                            <w:top w:val="none" w:sz="0" w:space="0" w:color="auto"/>
                            <w:left w:val="none" w:sz="0" w:space="0" w:color="auto"/>
                            <w:bottom w:val="none" w:sz="0" w:space="0" w:color="auto"/>
                            <w:right w:val="none" w:sz="0" w:space="0" w:color="auto"/>
                          </w:divBdr>
                          <w:divsChild>
                            <w:div w:id="7002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658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14996983">
      <w:bodyDiv w:val="1"/>
      <w:marLeft w:val="0"/>
      <w:marRight w:val="0"/>
      <w:marTop w:val="0"/>
      <w:marBottom w:val="0"/>
      <w:divBdr>
        <w:top w:val="none" w:sz="0" w:space="0" w:color="auto"/>
        <w:left w:val="none" w:sz="0" w:space="0" w:color="auto"/>
        <w:bottom w:val="none" w:sz="0" w:space="0" w:color="auto"/>
        <w:right w:val="none" w:sz="0" w:space="0" w:color="auto"/>
      </w:divBdr>
      <w:divsChild>
        <w:div w:id="165177047">
          <w:marLeft w:val="0"/>
          <w:marRight w:val="0"/>
          <w:marTop w:val="0"/>
          <w:marBottom w:val="270"/>
          <w:divBdr>
            <w:top w:val="none" w:sz="0" w:space="0" w:color="auto"/>
            <w:left w:val="none" w:sz="0" w:space="0" w:color="auto"/>
            <w:bottom w:val="none" w:sz="0" w:space="0" w:color="auto"/>
            <w:right w:val="none" w:sz="0" w:space="0" w:color="auto"/>
          </w:divBdr>
          <w:divsChild>
            <w:div w:id="240678584">
              <w:marLeft w:val="0"/>
              <w:marRight w:val="0"/>
              <w:marTop w:val="0"/>
              <w:marBottom w:val="0"/>
              <w:divBdr>
                <w:top w:val="none" w:sz="0" w:space="0" w:color="auto"/>
                <w:left w:val="none" w:sz="0" w:space="0" w:color="auto"/>
                <w:bottom w:val="none" w:sz="0" w:space="0" w:color="auto"/>
                <w:right w:val="none" w:sz="0" w:space="0" w:color="auto"/>
              </w:divBdr>
              <w:divsChild>
                <w:div w:id="30418588">
                  <w:marLeft w:val="0"/>
                  <w:marRight w:val="0"/>
                  <w:marTop w:val="0"/>
                  <w:marBottom w:val="0"/>
                  <w:divBdr>
                    <w:top w:val="none" w:sz="0" w:space="0" w:color="auto"/>
                    <w:left w:val="none" w:sz="0" w:space="0" w:color="auto"/>
                    <w:bottom w:val="none" w:sz="0" w:space="0" w:color="auto"/>
                    <w:right w:val="none" w:sz="0" w:space="0" w:color="auto"/>
                  </w:divBdr>
                  <w:divsChild>
                    <w:div w:id="562369926">
                      <w:marLeft w:val="0"/>
                      <w:marRight w:val="120"/>
                      <w:marTop w:val="0"/>
                      <w:marBottom w:val="0"/>
                      <w:divBdr>
                        <w:top w:val="none" w:sz="0" w:space="0" w:color="auto"/>
                        <w:left w:val="none" w:sz="0" w:space="0" w:color="auto"/>
                        <w:bottom w:val="none" w:sz="0" w:space="0" w:color="auto"/>
                        <w:right w:val="none" w:sz="0" w:space="0" w:color="auto"/>
                      </w:divBdr>
                    </w:div>
                    <w:div w:id="1136263188">
                      <w:marLeft w:val="0"/>
                      <w:marRight w:val="0"/>
                      <w:marTop w:val="0"/>
                      <w:marBottom w:val="0"/>
                      <w:divBdr>
                        <w:top w:val="none" w:sz="0" w:space="0" w:color="auto"/>
                        <w:left w:val="none" w:sz="0" w:space="0" w:color="auto"/>
                        <w:bottom w:val="none" w:sz="0" w:space="0" w:color="auto"/>
                        <w:right w:val="none" w:sz="0" w:space="0" w:color="auto"/>
                      </w:divBdr>
                    </w:div>
                  </w:divsChild>
                </w:div>
                <w:div w:id="84856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deadseascrolls.org.il/explore-the-archive/image/B-3615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thetorah.com/categories/bible-criticis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gillot.haifa.ac.il/index.php/en/cryptic-fo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n_\Documents\&#1502;&#1497;&#1492;\Prof.%20Jeremy%20M.%20Hutton_Why%20Is%20David%20and%20Goliath&#8217;s%20Story.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Prof. Jeremy M. Hutton_Why Is David and Goliath’s Story</Template>
  <TotalTime>1</TotalTime>
  <Pages>16</Pages>
  <Words>3939</Words>
  <Characters>22455</Characters>
  <Application>Microsoft Office Word</Application>
  <DocSecurity>0</DocSecurity>
  <Lines>187</Lines>
  <Paragraphs>52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26342</CharactersWithSpaces>
  <SharedDoc>false</SharedDoc>
  <HLinks>
    <vt:vector size="36" baseType="variant">
      <vt:variant>
        <vt:i4>6160402</vt:i4>
      </vt:variant>
      <vt:variant>
        <vt:i4>12</vt:i4>
      </vt:variant>
      <vt:variant>
        <vt:i4>0</vt:i4>
      </vt:variant>
      <vt:variant>
        <vt:i4>5</vt:i4>
      </vt:variant>
      <vt:variant>
        <vt:lpwstr>https://www.thetorah.com/article/why-is-david-and-goliaths-story-40-longer-in-the-mt-than-in-the-lxx</vt:lpwstr>
      </vt:variant>
      <vt:variant>
        <vt:lpwstr/>
      </vt:variant>
      <vt:variant>
        <vt:i4>2359394</vt:i4>
      </vt:variant>
      <vt:variant>
        <vt:i4>9</vt:i4>
      </vt:variant>
      <vt:variant>
        <vt:i4>0</vt:i4>
      </vt:variant>
      <vt:variant>
        <vt:i4>5</vt:i4>
      </vt:variant>
      <vt:variant>
        <vt:lpwstr>https://megillot.haifa.ac.il/index.php/en/cryptic-font</vt:lpwstr>
      </vt:variant>
      <vt:variant>
        <vt:lpwstr/>
      </vt:variant>
      <vt:variant>
        <vt:i4>917522</vt:i4>
      </vt:variant>
      <vt:variant>
        <vt:i4>6</vt:i4>
      </vt:variant>
      <vt:variant>
        <vt:i4>0</vt:i4>
      </vt:variant>
      <vt:variant>
        <vt:i4>5</vt:i4>
      </vt:variant>
      <vt:variant>
        <vt:lpwstr>https://www.deadseascrolls.org.il/explore-the-archive/image/B-361564</vt:lpwstr>
      </vt:variant>
      <vt:variant>
        <vt:lpwstr/>
      </vt:variant>
      <vt:variant>
        <vt:i4>3538991</vt:i4>
      </vt:variant>
      <vt:variant>
        <vt:i4>3</vt:i4>
      </vt:variant>
      <vt:variant>
        <vt:i4>0</vt:i4>
      </vt:variant>
      <vt:variant>
        <vt:i4>5</vt:i4>
      </vt:variant>
      <vt:variant>
        <vt:lpwstr>https://www.thetorah.com/categories/bible-criticism</vt:lpwstr>
      </vt:variant>
      <vt:variant>
        <vt:lpwstr/>
      </vt:variant>
      <vt:variant>
        <vt:i4>7471146</vt:i4>
      </vt:variant>
      <vt:variant>
        <vt:i4>0</vt:i4>
      </vt:variant>
      <vt:variant>
        <vt:i4>0</vt:i4>
      </vt:variant>
      <vt:variant>
        <vt:i4>5</vt:i4>
      </vt:variant>
      <vt:variant>
        <vt:lpwstr>https://www.thetorah.com/author/jeremy-m-hutton</vt:lpwstr>
      </vt:variant>
      <vt:variant>
        <vt:lpwstr/>
      </vt:variant>
      <vt:variant>
        <vt:i4>6160402</vt:i4>
      </vt:variant>
      <vt:variant>
        <vt:i4>-1</vt:i4>
      </vt:variant>
      <vt:variant>
        <vt:i4>1026</vt:i4>
      </vt:variant>
      <vt:variant>
        <vt:i4>4</vt:i4>
      </vt:variant>
      <vt:variant>
        <vt:lpwstr>https://www.thetorah.com/article/why-is-david-and-goliaths-story-40-longer-in-the-mt-than-in-the-lxx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 Gilad</dc:creator>
  <cp:keywords/>
  <cp:lastModifiedBy>Alon Gilad</cp:lastModifiedBy>
  <cp:revision>1</cp:revision>
  <dcterms:created xsi:type="dcterms:W3CDTF">2023-10-17T17:44:00Z</dcterms:created>
  <dcterms:modified xsi:type="dcterms:W3CDTF">2023-10-17T17:45:00Z</dcterms:modified>
</cp:coreProperties>
</file>