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2D1A" w14:textId="77777777" w:rsidR="003336DA" w:rsidRDefault="003336DA" w:rsidP="00561327">
      <w:pPr>
        <w:contextualSpacing/>
        <w:jc w:val="both"/>
        <w:rPr>
          <w:sz w:val="22"/>
          <w:szCs w:val="22"/>
        </w:rPr>
      </w:pPr>
    </w:p>
    <w:p w14:paraId="214150A4" w14:textId="77777777" w:rsidR="003336DA" w:rsidRDefault="003336DA" w:rsidP="00561327">
      <w:pPr>
        <w:contextualSpacing/>
        <w:jc w:val="both"/>
        <w:rPr>
          <w:sz w:val="22"/>
          <w:szCs w:val="22"/>
        </w:rPr>
      </w:pPr>
    </w:p>
    <w:p w14:paraId="277DF01E" w14:textId="39C6F8BD" w:rsidR="00A97A81" w:rsidRPr="003336DA" w:rsidRDefault="00A97A81" w:rsidP="00561327">
      <w:pPr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>Dear Editors,</w:t>
      </w:r>
    </w:p>
    <w:p w14:paraId="257179C1" w14:textId="77777777" w:rsidR="00A97A81" w:rsidRPr="003336DA" w:rsidRDefault="00A97A81" w:rsidP="00561327">
      <w:pPr>
        <w:contextualSpacing/>
        <w:jc w:val="both"/>
        <w:rPr>
          <w:sz w:val="22"/>
          <w:szCs w:val="22"/>
        </w:rPr>
      </w:pPr>
    </w:p>
    <w:p w14:paraId="4060E6BD" w14:textId="47896A08" w:rsidR="00A97A81" w:rsidRPr="003336DA" w:rsidRDefault="00A97A81" w:rsidP="003336DA">
      <w:pPr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>Enclosed is the submission package for the manuscript titled “PD1 Ligands Functionality: A Biomarker of Response to Anti-PD1 Treatment in Patients with Head and Neck Squamous Cell Carcinoma,” submitted for consideration as a Research Article in JAMA Otolaryngology – Head &amp; Neck Surgery.</w:t>
      </w:r>
      <w:r w:rsidR="00CB37B6" w:rsidRPr="003336DA">
        <w:rPr>
          <w:sz w:val="22"/>
          <w:szCs w:val="22"/>
        </w:rPr>
        <w:t xml:space="preserve"> </w:t>
      </w:r>
      <w:r w:rsidRPr="003336DA">
        <w:rPr>
          <w:sz w:val="22"/>
          <w:szCs w:val="22"/>
        </w:rPr>
        <w:t>This study introduces a groundbreaking biomarker for predicting responses to anti-PD1 treatment in</w:t>
      </w:r>
      <w:r w:rsidR="003336DA" w:rsidRPr="003336DA">
        <w:rPr>
          <w:sz w:val="22"/>
          <w:szCs w:val="22"/>
        </w:rPr>
        <w:t xml:space="preserve"> head and neck squamous cell carcinoma</w:t>
      </w:r>
      <w:r w:rsidRPr="003336DA">
        <w:rPr>
          <w:sz w:val="22"/>
          <w:szCs w:val="22"/>
        </w:rPr>
        <w:t xml:space="preserve"> </w:t>
      </w:r>
      <w:r w:rsidR="003336DA" w:rsidRPr="003336DA">
        <w:rPr>
          <w:sz w:val="22"/>
          <w:szCs w:val="22"/>
          <w:lang w:val="en-US"/>
        </w:rPr>
        <w:t>(</w:t>
      </w:r>
      <w:r w:rsidRPr="003336DA">
        <w:rPr>
          <w:sz w:val="22"/>
          <w:szCs w:val="22"/>
        </w:rPr>
        <w:t>HNSCC</w:t>
      </w:r>
      <w:r w:rsidR="003336DA" w:rsidRPr="003336DA">
        <w:rPr>
          <w:sz w:val="22"/>
          <w:szCs w:val="22"/>
          <w:lang w:val="en-US"/>
        </w:rPr>
        <w:t>)</w:t>
      </w:r>
      <w:r w:rsidRPr="003336DA">
        <w:rPr>
          <w:sz w:val="22"/>
          <w:szCs w:val="22"/>
        </w:rPr>
        <w:t xml:space="preserve"> patients, focusing on the functional binding of PD1 ligands—PDL1 and PDL2—assessed by the innovative IcAR technology. Notably, while the </w:t>
      </w:r>
      <w:r w:rsidR="003336DA" w:rsidRPr="003336DA">
        <w:rPr>
          <w:sz w:val="22"/>
          <w:szCs w:val="22"/>
          <w:lang w:val="en-US"/>
        </w:rPr>
        <w:t xml:space="preserve">methodology and technology </w:t>
      </w:r>
      <w:r w:rsidRPr="003336DA">
        <w:rPr>
          <w:sz w:val="22"/>
          <w:szCs w:val="22"/>
        </w:rPr>
        <w:t xml:space="preserve"> was previously published in Science Advances</w:t>
      </w:r>
      <w:sdt>
        <w:sdtPr>
          <w:rPr>
            <w:color w:val="000000"/>
            <w:sz w:val="22"/>
            <w:szCs w:val="22"/>
            <w:vertAlign w:val="superscript"/>
          </w:rPr>
          <w:tag w:val="MENDELEY_CITATION_v3_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"/>
          <w:id w:val="-1134552655"/>
          <w:placeholder>
            <w:docPart w:val="DefaultPlaceholder_-1854013440"/>
          </w:placeholder>
        </w:sdtPr>
        <w:sdtEndPr/>
        <w:sdtContent>
          <w:r w:rsidR="00C900CF" w:rsidRPr="003336DA">
            <w:rPr>
              <w:color w:val="000000"/>
              <w:sz w:val="22"/>
              <w:szCs w:val="22"/>
              <w:vertAlign w:val="superscript"/>
            </w:rPr>
            <w:t>1</w:t>
          </w:r>
        </w:sdtContent>
      </w:sdt>
      <w:r w:rsidRPr="003336DA">
        <w:rPr>
          <w:sz w:val="22"/>
          <w:szCs w:val="22"/>
        </w:rPr>
        <w:t xml:space="preserve">, this marks the first instance of employing this </w:t>
      </w:r>
      <w:r w:rsidR="003336DA" w:rsidRPr="003336DA">
        <w:rPr>
          <w:sz w:val="22"/>
          <w:szCs w:val="22"/>
          <w:lang w:val="en-US"/>
        </w:rPr>
        <w:t xml:space="preserve">bio-sensing </w:t>
      </w:r>
      <w:r w:rsidRPr="003336DA">
        <w:rPr>
          <w:sz w:val="22"/>
          <w:szCs w:val="22"/>
        </w:rPr>
        <w:t>technology for an HNSCC cohort.</w:t>
      </w:r>
    </w:p>
    <w:p w14:paraId="281D1E00" w14:textId="0352DD59" w:rsidR="00A97A81" w:rsidRDefault="00A97A81" w:rsidP="003336DA">
      <w:pPr>
        <w:ind w:firstLine="720"/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 xml:space="preserve">The landscape of </w:t>
      </w:r>
      <w:r w:rsidR="003336DA" w:rsidRPr="003336DA">
        <w:rPr>
          <w:sz w:val="22"/>
          <w:szCs w:val="22"/>
        </w:rPr>
        <w:t>HNSCC</w:t>
      </w:r>
      <w:r w:rsidRPr="003336DA">
        <w:rPr>
          <w:sz w:val="22"/>
          <w:szCs w:val="22"/>
        </w:rPr>
        <w:t xml:space="preserve"> treatment has been significantly transformed by immune checkpoint inhibitors (ICIs) targeting the PD1/PDL1 pathway. However, predicting responses to anti-PD1 therapy remains a formidable clinical challenge. The current standard biomarker, Combined Positive Score (CPS) of PDL1 staining, presents limitations in sensitivity, variability, and correlation with clinical outcomes.</w:t>
      </w:r>
      <w:r w:rsidR="003336DA" w:rsidRPr="003336DA">
        <w:rPr>
          <w:sz w:val="22"/>
          <w:szCs w:val="22"/>
          <w:lang w:val="en-US"/>
        </w:rPr>
        <w:t xml:space="preserve"> </w:t>
      </w:r>
      <w:r w:rsidRPr="003336DA">
        <w:rPr>
          <w:sz w:val="22"/>
          <w:szCs w:val="22"/>
        </w:rPr>
        <w:t>Our study addresses this challenge by establishing the functionality of PD1 ligands as a robust biomarker for predicting responses to anti-PD1 treatment in HNSCC patients. Conducted at Rambam Medical Center and Ben Gurion University of the Negev, our single-center retrospective analysis involving 29 HNSCC patients who received anti-PD1 therapy between 2017 and 2022 yields significant insights:</w:t>
      </w:r>
    </w:p>
    <w:p w14:paraId="1D024A7E" w14:textId="77777777" w:rsidR="003336DA" w:rsidRPr="003336DA" w:rsidRDefault="003336DA" w:rsidP="003336DA">
      <w:pPr>
        <w:ind w:firstLine="720"/>
        <w:contextualSpacing/>
        <w:jc w:val="both"/>
        <w:rPr>
          <w:sz w:val="22"/>
          <w:szCs w:val="22"/>
        </w:rPr>
      </w:pPr>
    </w:p>
    <w:p w14:paraId="16670AA6" w14:textId="77777777" w:rsidR="00A97A81" w:rsidRPr="003336DA" w:rsidRDefault="00A97A81" w:rsidP="00561327">
      <w:pPr>
        <w:pStyle w:val="ListParagraph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3336DA">
        <w:rPr>
          <w:b/>
          <w:bCs/>
          <w:sz w:val="22"/>
          <w:szCs w:val="22"/>
        </w:rPr>
        <w:t>Superior Predictive Power:</w:t>
      </w:r>
      <w:r w:rsidRPr="003336DA">
        <w:rPr>
          <w:sz w:val="22"/>
          <w:szCs w:val="22"/>
        </w:rPr>
        <w:t xml:space="preserve"> Our study demonstrates the superiority of IcAR-PD1 over CPS in predicting treatment responses, highlighting enhanced accuracy in assessing anti-PD1 therapy outcomes.</w:t>
      </w:r>
    </w:p>
    <w:p w14:paraId="2AEEEB33" w14:textId="77777777" w:rsidR="00A97A81" w:rsidRPr="003336DA" w:rsidRDefault="00A97A81" w:rsidP="00561327">
      <w:pPr>
        <w:pStyle w:val="ListParagraph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3336DA">
        <w:rPr>
          <w:b/>
          <w:bCs/>
          <w:sz w:val="22"/>
          <w:szCs w:val="22"/>
        </w:rPr>
        <w:t>Line of Treatment Independence:</w:t>
      </w:r>
      <w:r w:rsidRPr="003336DA">
        <w:rPr>
          <w:sz w:val="22"/>
          <w:szCs w:val="22"/>
        </w:rPr>
        <w:t xml:space="preserve"> Importantly, our findings indicate that the predictive superiority of IcAR-PD1 is not influenced by the treatment line, emphasizing its reliability across various stages of therapeutic interventions.</w:t>
      </w:r>
    </w:p>
    <w:p w14:paraId="69A6D8B5" w14:textId="77777777" w:rsidR="00A97A81" w:rsidRPr="003336DA" w:rsidRDefault="00A97A81" w:rsidP="00561327">
      <w:pPr>
        <w:pStyle w:val="ListParagraph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3336DA">
        <w:rPr>
          <w:b/>
          <w:bCs/>
          <w:sz w:val="22"/>
          <w:szCs w:val="22"/>
        </w:rPr>
        <w:t>Relevance of PDL2:</w:t>
      </w:r>
      <w:r w:rsidRPr="003336DA">
        <w:rPr>
          <w:sz w:val="22"/>
          <w:szCs w:val="22"/>
        </w:rPr>
        <w:t xml:space="preserve"> IcAR-PD1 underscores the critical role of PDL2 in anti-PD1 therapy outcomes, providing a comprehensive understanding of functional interactions and emphasizing the significance of PDL2 in predicting treatment responses.</w:t>
      </w:r>
    </w:p>
    <w:p w14:paraId="40D48659" w14:textId="77777777" w:rsidR="00A97A81" w:rsidRPr="003336DA" w:rsidRDefault="00A97A81" w:rsidP="00561327">
      <w:pPr>
        <w:contextualSpacing/>
        <w:jc w:val="both"/>
        <w:rPr>
          <w:sz w:val="22"/>
          <w:szCs w:val="22"/>
        </w:rPr>
      </w:pPr>
    </w:p>
    <w:p w14:paraId="1F1788EF" w14:textId="0AF504FB" w:rsidR="00A97A81" w:rsidRPr="003336DA" w:rsidRDefault="00A97A81" w:rsidP="003336DA">
      <w:pPr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>Our study aligns with the mission and scope of JAMA Otolaryngology – Head &amp; Neck Surgery, offering significant insights into the predictive value of PD1 ligands functionality in anti-PD1 treatment for HNSCC patients. We believe our findings hold clinical relevance and can impact the current landscape of treatment strategies for this patient population.</w:t>
      </w:r>
    </w:p>
    <w:p w14:paraId="64ECFBBC" w14:textId="77777777" w:rsidR="00A97A81" w:rsidRPr="003336DA" w:rsidRDefault="00A97A81" w:rsidP="00561327">
      <w:pPr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>We kindly request that you consider our manuscript for peer review with the aim of its eventual publication in JAMA Otolaryngology – Head &amp; Neck Surgery.</w:t>
      </w:r>
    </w:p>
    <w:p w14:paraId="72823D00" w14:textId="77777777" w:rsidR="00A97A81" w:rsidRPr="003336DA" w:rsidRDefault="00A97A81" w:rsidP="00561327">
      <w:pPr>
        <w:contextualSpacing/>
        <w:jc w:val="both"/>
        <w:rPr>
          <w:sz w:val="22"/>
          <w:szCs w:val="22"/>
        </w:rPr>
      </w:pPr>
    </w:p>
    <w:p w14:paraId="4742B047" w14:textId="096B23D0" w:rsidR="0019727E" w:rsidRPr="003336DA" w:rsidRDefault="00A97A81" w:rsidP="00561327">
      <w:pPr>
        <w:contextualSpacing/>
        <w:jc w:val="both"/>
        <w:rPr>
          <w:sz w:val="22"/>
          <w:szCs w:val="22"/>
        </w:rPr>
      </w:pPr>
      <w:r w:rsidRPr="003336DA">
        <w:rPr>
          <w:sz w:val="22"/>
          <w:szCs w:val="22"/>
        </w:rPr>
        <w:t>Sincerely,</w:t>
      </w:r>
    </w:p>
    <w:p w14:paraId="370C9C57" w14:textId="77777777" w:rsidR="00C900CF" w:rsidRPr="003336DA" w:rsidRDefault="00C900CF" w:rsidP="00561327">
      <w:pPr>
        <w:contextualSpacing/>
        <w:jc w:val="both"/>
        <w:rPr>
          <w:sz w:val="22"/>
          <w:szCs w:val="22"/>
        </w:rPr>
      </w:pPr>
    </w:p>
    <w:p w14:paraId="7B156DCB" w14:textId="35001E52" w:rsidR="003372CA" w:rsidRPr="003336DA" w:rsidRDefault="003372CA" w:rsidP="003336DA">
      <w:pPr>
        <w:contextualSpacing/>
        <w:jc w:val="both"/>
        <w:rPr>
          <w:sz w:val="22"/>
          <w:szCs w:val="22"/>
          <w:lang w:val="en-US"/>
        </w:rPr>
      </w:pPr>
      <w:r w:rsidRPr="003336DA">
        <w:rPr>
          <w:sz w:val="22"/>
          <w:szCs w:val="22"/>
          <w:lang w:val="en-US"/>
        </w:rPr>
        <w:t xml:space="preserve">Salem Billan, MD, The Joseph Fishman Oncology Center, Rambam Health Care Campus, Haifa, </w:t>
      </w:r>
      <w:r w:rsidR="003336DA">
        <w:rPr>
          <w:sz w:val="22"/>
          <w:szCs w:val="22"/>
          <w:lang w:val="en-US"/>
        </w:rPr>
        <w:t>Israel</w:t>
      </w:r>
      <w:r w:rsidR="00FD5171">
        <w:rPr>
          <w:sz w:val="22"/>
          <w:szCs w:val="22"/>
          <w:lang w:val="en-US"/>
        </w:rPr>
        <w:t>.</w:t>
      </w:r>
    </w:p>
    <w:p w14:paraId="3078BA3D" w14:textId="49E48BFD" w:rsidR="003372CA" w:rsidRPr="003336DA" w:rsidRDefault="003372CA" w:rsidP="003336DA">
      <w:pPr>
        <w:contextualSpacing/>
        <w:rPr>
          <w:sz w:val="22"/>
          <w:szCs w:val="22"/>
          <w:lang w:val="en-US"/>
        </w:rPr>
      </w:pPr>
      <w:r w:rsidRPr="003336DA">
        <w:rPr>
          <w:sz w:val="22"/>
          <w:szCs w:val="22"/>
          <w:lang w:val="en-US"/>
        </w:rPr>
        <w:t xml:space="preserve">Moshe </w:t>
      </w:r>
      <w:proofErr w:type="spellStart"/>
      <w:r w:rsidRPr="003336DA">
        <w:rPr>
          <w:sz w:val="22"/>
          <w:szCs w:val="22"/>
          <w:lang w:val="en-US"/>
        </w:rPr>
        <w:t>Elkabets</w:t>
      </w:r>
      <w:proofErr w:type="spellEnd"/>
      <w:r w:rsidRPr="003336DA">
        <w:rPr>
          <w:sz w:val="22"/>
          <w:szCs w:val="22"/>
          <w:lang w:val="en-US"/>
        </w:rPr>
        <w:t>, PhD, The Shraga Segal Department of Microbiology, Immunology and Genetics, Faculty of Health Sciences, Ben-Gurion University of the Negev, Beer-Sheva, Israe</w:t>
      </w:r>
      <w:r w:rsidR="00FD5171">
        <w:rPr>
          <w:sz w:val="22"/>
          <w:szCs w:val="22"/>
          <w:lang w:val="en-US"/>
        </w:rPr>
        <w:t>l.</w:t>
      </w:r>
    </w:p>
    <w:p w14:paraId="2C83C86E" w14:textId="0D8EA943" w:rsidR="003372CA" w:rsidRPr="003336DA" w:rsidRDefault="003372CA" w:rsidP="003336DA">
      <w:pPr>
        <w:contextualSpacing/>
        <w:rPr>
          <w:sz w:val="22"/>
          <w:szCs w:val="22"/>
          <w:lang w:val="en-US"/>
        </w:rPr>
      </w:pPr>
      <w:r w:rsidRPr="003336DA">
        <w:rPr>
          <w:sz w:val="22"/>
          <w:szCs w:val="22"/>
          <w:lang w:val="en-US"/>
        </w:rPr>
        <w:t xml:space="preserve">Angel </w:t>
      </w:r>
      <w:proofErr w:type="spellStart"/>
      <w:r w:rsidRPr="003336DA">
        <w:rPr>
          <w:sz w:val="22"/>
          <w:szCs w:val="22"/>
          <w:lang w:val="en-US"/>
        </w:rPr>
        <w:t>Porgador</w:t>
      </w:r>
      <w:proofErr w:type="spellEnd"/>
      <w:r w:rsidRPr="003336DA">
        <w:rPr>
          <w:sz w:val="22"/>
          <w:szCs w:val="22"/>
          <w:lang w:val="en-US"/>
        </w:rPr>
        <w:t>, PhD, The Shraga Segal Department of Microbiology, Immunology and Genetics, Faculty of Health Sciences, Ben-Gurion University of the Negev, Beer-Sheva</w:t>
      </w:r>
      <w:r w:rsidR="003336DA">
        <w:rPr>
          <w:sz w:val="22"/>
          <w:szCs w:val="22"/>
          <w:lang w:val="en-US"/>
        </w:rPr>
        <w:t>, Israel</w:t>
      </w:r>
      <w:r w:rsidR="00FD5171">
        <w:rPr>
          <w:sz w:val="22"/>
          <w:szCs w:val="22"/>
          <w:lang w:val="en-US"/>
        </w:rPr>
        <w:t>.</w:t>
      </w:r>
    </w:p>
    <w:p w14:paraId="0AF55095" w14:textId="7C87EFCB" w:rsidR="00C900CF" w:rsidRPr="003336DA" w:rsidRDefault="00C900CF" w:rsidP="00D516F3">
      <w:pPr>
        <w:bidi/>
        <w:contextualSpacing/>
        <w:jc w:val="both"/>
        <w:rPr>
          <w:sz w:val="22"/>
          <w:szCs w:val="22"/>
          <w:rtl/>
          <w:lang w:val="en-US"/>
        </w:rPr>
      </w:pPr>
    </w:p>
    <w:p w14:paraId="114E3E94" w14:textId="12734E39" w:rsidR="00C900CF" w:rsidRPr="003336DA" w:rsidRDefault="00C900CF" w:rsidP="00561327">
      <w:pPr>
        <w:contextualSpacing/>
        <w:jc w:val="both"/>
        <w:rPr>
          <w:sz w:val="22"/>
          <w:szCs w:val="22"/>
          <w:lang w:val="en-US"/>
        </w:rPr>
      </w:pPr>
      <w:r w:rsidRPr="003336DA">
        <w:rPr>
          <w:sz w:val="22"/>
          <w:szCs w:val="22"/>
          <w:lang w:val="en-US"/>
        </w:rPr>
        <w:t>References:</w:t>
      </w:r>
    </w:p>
    <w:p w14:paraId="4065352D" w14:textId="77777777" w:rsidR="00C900CF" w:rsidRPr="003336DA" w:rsidRDefault="00C900CF" w:rsidP="00561327">
      <w:pPr>
        <w:contextualSpacing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tag w:val="MENDELEY_BIBLIOGRAPHY"/>
        <w:id w:val="1348222640"/>
        <w:placeholder>
          <w:docPart w:val="DefaultPlaceholder_-1854013440"/>
        </w:placeholder>
      </w:sdtPr>
      <w:sdtEndPr/>
      <w:sdtContent>
        <w:p w14:paraId="77CC82B3" w14:textId="77777777" w:rsidR="00C900CF" w:rsidRPr="003336DA" w:rsidRDefault="00C900CF">
          <w:pPr>
            <w:autoSpaceDE w:val="0"/>
            <w:autoSpaceDN w:val="0"/>
            <w:ind w:hanging="640"/>
            <w:contextualSpacing/>
            <w:divId w:val="974069306"/>
            <w:rPr>
              <w:rFonts w:eastAsia="Times New Roman"/>
              <w:kern w:val="0"/>
              <w:sz w:val="22"/>
              <w:szCs w:val="22"/>
              <w14:ligatures w14:val="none"/>
            </w:rPr>
          </w:pPr>
          <w:r w:rsidRPr="003336DA">
            <w:rPr>
              <w:rFonts w:eastAsia="Times New Roman"/>
              <w:sz w:val="22"/>
              <w:szCs w:val="22"/>
            </w:rPr>
            <w:t>1.</w:t>
          </w:r>
          <w:r w:rsidRPr="003336DA">
            <w:rPr>
              <w:rFonts w:eastAsia="Times New Roman"/>
              <w:sz w:val="22"/>
              <w:szCs w:val="22"/>
            </w:rPr>
            <w:tab/>
            <w:t xml:space="preserve">Kaufman B, Abramov O, Ievko A, et al. Functional binding of PD1 ligands predicts response to anti-PD1 treatment in patients with cancer. </w:t>
          </w:r>
          <w:r w:rsidRPr="003336DA">
            <w:rPr>
              <w:rFonts w:eastAsia="Times New Roman"/>
              <w:i/>
              <w:iCs/>
              <w:sz w:val="22"/>
              <w:szCs w:val="22"/>
            </w:rPr>
            <w:t>Sci Adv</w:t>
          </w:r>
          <w:r w:rsidRPr="003336DA">
            <w:rPr>
              <w:rFonts w:eastAsia="Times New Roman"/>
              <w:sz w:val="22"/>
              <w:szCs w:val="22"/>
            </w:rPr>
            <w:t>. 2023;9(21). doi:10.1126/SCIADV.ADG2809</w:t>
          </w:r>
        </w:p>
        <w:p w14:paraId="2AE387FA" w14:textId="7BBF056F" w:rsidR="00C900CF" w:rsidRPr="003336DA" w:rsidRDefault="00C900CF" w:rsidP="00561327">
          <w:pPr>
            <w:contextualSpacing/>
            <w:jc w:val="both"/>
            <w:rPr>
              <w:sz w:val="22"/>
              <w:szCs w:val="22"/>
            </w:rPr>
          </w:pPr>
          <w:r w:rsidRPr="003336DA">
            <w:rPr>
              <w:rFonts w:eastAsia="Times New Roman"/>
              <w:sz w:val="22"/>
              <w:szCs w:val="22"/>
            </w:rPr>
            <w:t> </w:t>
          </w:r>
        </w:p>
      </w:sdtContent>
    </w:sdt>
    <w:sectPr w:rsidR="00C900CF" w:rsidRPr="003336DA" w:rsidSect="003336DA">
      <w:head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D2A7" w14:textId="77777777" w:rsidR="002C38F5" w:rsidRDefault="002C38F5" w:rsidP="002C38F5">
      <w:r>
        <w:separator/>
      </w:r>
    </w:p>
  </w:endnote>
  <w:endnote w:type="continuationSeparator" w:id="0">
    <w:p w14:paraId="786F99CC" w14:textId="77777777" w:rsidR="002C38F5" w:rsidRDefault="002C38F5" w:rsidP="002C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7E01" w14:textId="77777777" w:rsidR="002C38F5" w:rsidRDefault="002C38F5" w:rsidP="002C38F5">
      <w:r>
        <w:separator/>
      </w:r>
    </w:p>
  </w:footnote>
  <w:footnote w:type="continuationSeparator" w:id="0">
    <w:p w14:paraId="4AD5FF93" w14:textId="77777777" w:rsidR="002C38F5" w:rsidRDefault="002C38F5" w:rsidP="002C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5578" w14:textId="3E9A4D8B" w:rsidR="002C38F5" w:rsidRDefault="003336DA" w:rsidP="000261B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B6563A" wp14:editId="5E6E2708">
          <wp:simplePos x="0" y="0"/>
          <wp:positionH relativeFrom="column">
            <wp:posOffset>2428875</wp:posOffset>
          </wp:positionH>
          <wp:positionV relativeFrom="paragraph">
            <wp:posOffset>-180340</wp:posOffset>
          </wp:positionV>
          <wp:extent cx="3488055" cy="636270"/>
          <wp:effectExtent l="0" t="0" r="4445" b="0"/>
          <wp:wrapSquare wrapText="bothSides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E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2DC95E" wp14:editId="77717AAE">
          <wp:simplePos x="0" y="0"/>
          <wp:positionH relativeFrom="column">
            <wp:posOffset>-31115</wp:posOffset>
          </wp:positionH>
          <wp:positionV relativeFrom="paragraph">
            <wp:posOffset>-372745</wp:posOffset>
          </wp:positionV>
          <wp:extent cx="826770" cy="826770"/>
          <wp:effectExtent l="0" t="0" r="0" b="0"/>
          <wp:wrapSquare wrapText="bothSides"/>
          <wp:docPr id="22" name="Picture 1" descr="אוניברסיטת בן גוריון - Lu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אוניברסיטת בן גוריון - Lu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ED">
      <w:fldChar w:fldCharType="begin"/>
    </w:r>
    <w:r w:rsidR="002C10ED">
      <w:instrText xml:space="preserve"> INCLUDEPICTURE "https://lunada.co.il/wp-content/uploads/2016/04/%D7%90%D7%95%D7%A0%D7%99%D7%91%D7%A8%D7%A1%D7%99%D7%98%D7%AA-%D7%91%D7%9F-%D7%92%D7%95%D7%A8%D7%99%D7%95%D7%9F.png" \* MERGEFORMATINET </w:instrText>
    </w:r>
    <w:r w:rsidR="002C10ED">
      <w:fldChar w:fldCharType="end"/>
    </w:r>
    <w:r w:rsidR="000261B5" w:rsidRPr="000261B5">
      <w:t xml:space="preserve"> </w:t>
    </w:r>
    <w:r w:rsidR="000261B5">
      <w:fldChar w:fldCharType="begin"/>
    </w:r>
    <w:r w:rsidR="000261B5">
      <w:instrText xml:space="preserve"> INCLUDEPICTURE "https://upload.wikimedia.org/wikipedia/he/thumb/e/ec/RambamLogo.svg/800px-RambamLogo.svg.png?20200414222753" \* MERGEFORMATINET </w:instrText>
    </w:r>
    <w:r w:rsidR="000261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42B"/>
    <w:multiLevelType w:val="hybridMultilevel"/>
    <w:tmpl w:val="C674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501C0"/>
    <w:multiLevelType w:val="hybridMultilevel"/>
    <w:tmpl w:val="B2503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20A2A"/>
    <w:multiLevelType w:val="hybridMultilevel"/>
    <w:tmpl w:val="61BC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2C49"/>
    <w:multiLevelType w:val="hybridMultilevel"/>
    <w:tmpl w:val="71A06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9186D"/>
    <w:multiLevelType w:val="hybridMultilevel"/>
    <w:tmpl w:val="8934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45C8A"/>
    <w:multiLevelType w:val="multilevel"/>
    <w:tmpl w:val="CCBA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633504">
    <w:abstractNumId w:val="5"/>
  </w:num>
  <w:num w:numId="2" w16cid:durableId="266280217">
    <w:abstractNumId w:val="1"/>
  </w:num>
  <w:num w:numId="3" w16cid:durableId="1270048134">
    <w:abstractNumId w:val="3"/>
  </w:num>
  <w:num w:numId="4" w16cid:durableId="489446680">
    <w:abstractNumId w:val="2"/>
  </w:num>
  <w:num w:numId="5" w16cid:durableId="999424470">
    <w:abstractNumId w:val="0"/>
  </w:num>
  <w:num w:numId="6" w16cid:durableId="206860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21"/>
    <w:rsid w:val="000261B5"/>
    <w:rsid w:val="000C13A5"/>
    <w:rsid w:val="0019727E"/>
    <w:rsid w:val="001A080B"/>
    <w:rsid w:val="002C10ED"/>
    <w:rsid w:val="002C38F5"/>
    <w:rsid w:val="003336DA"/>
    <w:rsid w:val="003372CA"/>
    <w:rsid w:val="003C30BD"/>
    <w:rsid w:val="004F2591"/>
    <w:rsid w:val="00502F61"/>
    <w:rsid w:val="00561327"/>
    <w:rsid w:val="00741E17"/>
    <w:rsid w:val="0079071B"/>
    <w:rsid w:val="00823B33"/>
    <w:rsid w:val="00977221"/>
    <w:rsid w:val="00A43386"/>
    <w:rsid w:val="00A6085E"/>
    <w:rsid w:val="00A97A81"/>
    <w:rsid w:val="00C900CF"/>
    <w:rsid w:val="00CB37B6"/>
    <w:rsid w:val="00D516F3"/>
    <w:rsid w:val="00EB22EE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340B"/>
  <w15:chartTrackingRefBased/>
  <w15:docId w15:val="{18FDA317-FEBD-104B-98E5-0A49C33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2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772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00C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7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F5"/>
  </w:style>
  <w:style w:type="paragraph" w:styleId="Footer">
    <w:name w:val="footer"/>
    <w:basedOn w:val="Normal"/>
    <w:link w:val="FooterChar"/>
    <w:uiPriority w:val="99"/>
    <w:unhideWhenUsed/>
    <w:rsid w:val="002C3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F5"/>
  </w:style>
  <w:style w:type="paragraph" w:styleId="Revision">
    <w:name w:val="Revision"/>
    <w:hidden/>
    <w:uiPriority w:val="99"/>
    <w:semiHidden/>
    <w:rsid w:val="0079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E038-22C7-DA4E-85B5-01900E7A16F5}"/>
      </w:docPartPr>
      <w:docPartBody>
        <w:p w:rsidR="00631BF9" w:rsidRDefault="00631BF9">
          <w:r w:rsidRPr="002366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F9"/>
    <w:rsid w:val="006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B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66839C-8CAE-B84B-9021-1E7AAF8FEED4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dbb7422b-bb27-4d0b-9f29-4df7618f4ba6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&quot;,&quot;citationItems&quot;:[{&quot;id&quot;:&quot;b03a69a8-8b00-3cb3-950a-5e3d6c94d47a&quot;,&quot;itemData&quot;:{&quot;type&quot;:&quot;article-journal&quot;,&quot;id&quot;:&quot;b03a69a8-8b00-3cb3-950a-5e3d6c94d47a&quot;,&quot;title&quot;:&quot;Functional binding of PD1 ligands predicts response to anti-PD1 treatment in patients with cancer&quot;,&quot;author&quot;:[{&quot;family&quot;:&quot;Kaufman&quot;,&quot;given&quot;:&quot;Bar&quot;,&quot;parse-names&quot;:false,&quot;dropping-particle&quot;:&quot;&quot;,&quot;non-dropping-particle&quot;:&quot;&quot;},{&quot;family&quot;:&quot;Abramov&quot;,&quot;given&quot;:&quot;Orli&quot;,&quot;parse-names&quot;:false,&quot;dropping-particle&quot;:&quot;&quot;,&quot;non-dropping-particle&quot;:&quot;&quot;},{&quot;family&quot;:&quot;Ievko&quot;,&quot;given&quot;:&quot;Anna&quot;,&quot;parse-names&quot;:false,&quot;dropping-particle&quot;:&quot;&quot;,&quot;non-dropping-particle&quot;:&quot;&quot;},{&quot;family&quot;:&quot;Apple&quot;,&quot;given&quot;:&quot;Daria&quot;,&quot;parse-names&quot;:false,&quot;dropping-particle&quot;:&quot;&quot;,&quot;non-dropping-particle&quot;:&quot;&quot;},{&quot;family&quot;:&quot;Shlapobersky&quot;,&quot;given&quot;:&quot;Mark&quot;,&quot;parse-names&quot;:false,&quot;dropping-particle&quot;:&quot;&quot;,&quot;non-dropping-particle&quot;:&quot;&quot;},{&quot;family&quot;:&quot;Allon&quot;,&quot;given&quot;:&quot;Irit&quot;,&quot;parse-names&quot;:false,&quot;dropping-particle&quot;:&quot;&quot;,&quot;non-dropping-particle&quot;:&quot;&quot;},{&quot;family&quot;:&quot;Greenshpan&quot;,&quot;given&quot;:&quot;Yariv&quot;,&quot;parse-names&quot;:false,&quot;dropping-particle&quot;:&quot;&quot;,&quot;non-dropping-particle&quot;:&quot;&quot;},{&quot;family&quot;:&quot;Bhattachrya&quot;,&quot;given&quot;:&quot;Baisali&quot;,&quot;parse-names&quot;:false,&quot;dropping-particle&quot;:&quot;&quot;,&quot;non-dropping-particle&quot;:&quot;&quot;},{&quot;family&quot;:&quot;Cohen&quot;,&quot;given&quot;:&quot;Ofir&quot;,&quot;parse-names&quot;:false,&quot;dropping-particle&quot;:&quot;&quot;,&quot;non-dropping-particle&quot;:&quot;&quot;},{&quot;family&quot;:&quot;Charkovsky&quot;,&quot;given&quot;:&quot;Tatiana&quot;,&quot;parse-names&quot;:false,&quot;dropping-particle&quot;:&quot;&quot;,&quot;non-dropping-particle&quot;:&quot;&quot;},{&quot;family&quot;:&quot;Gayster&quot;,&quot;given&quot;:&quot;Alexandra&quot;,&quot;parse-names&quot;:false,&quot;dropping-particle&quot;:&quot;&quot;,&quot;non-dropping-particle&quot;:&quot;&quot;},{&quot;family&quot;:&quot;Shaco-Levy&quot;,&quot;given&quot;:&quot;Ruthy&quot;,&quot;parse-names&quot;:false,&quot;dropping-particle&quot;:&quot;&quot;,&quot;non-dropping-particle&quot;:&quot;&quot;},{&quot;family&quot;:&quot;Rouvinov&quot;,&quot;given&quot;:&quot;Keren&quot;,&quot;parse-names&quot;:false,&quot;dropping-particle&quot;:&quot;&quot;,&quot;non-dropping-particle&quot;:&quot;&quot;},{&quot;family&quot;:&quot;Livoff&quot;,&quot;given&quot;:&quot;Alejandro&quot;,&quot;parse-names&quot;:false,&quot;dropping-particle&quot;:&quot;&quot;,&quot;non-dropping-particle&quot;:&quot;&quot;},{&quot;family&quot;:&quot;Elkabets&quot;,&quot;given&quot;:&quot;Moshe&quot;,&quot;parse-names&quot;:false,&quot;dropping-particle&quot;:&quot;&quot;,&quot;non-dropping-particle&quot;:&quot;&quot;},{&quot;family&quot;:&quot;Porgador&quot;,&quot;given&quot;:&quot;Angel&quot;,&quot;parse-names&quot;:false,&quot;dropping-particle&quot;:&quot;&quot;,&quot;non-dropping-particle&quot;:&quot;&quot;}],&quot;container-title&quot;:&quot;Science Advances&quot;,&quot;container-title-short&quot;:&quot;Sci Adv&quot;,&quot;accessed&quot;:{&quot;date-parts&quot;:[[2023,11,13]]},&quot;DOI&quot;:&quot;10.1126/SCIADV.ADG2809&quot;,&quot;ISSN&quot;:&quot;23752548&quot;,&quot;PMID&quot;:&quot;37235664&quot;,&quot;URL&quot;:&quot;https://www.science.org/doi/10.1126/sciadv.adg2809&quot;,&quot;issued&quot;:{&quot;date-parts&quot;:[[2023,5,26]]},&quot;abstract&quot;:&quot;Accurate predictive biomarkers of response to immune checkpoint inhibitors (ICIs) are required for better stratifying patients with cancer to ICI treatments. Here, we present a new concept for a bi...&quot;,&quot;publisher&quot;:&quot;American Association for the Advancement of Science&quot;,&quot;issue&quot;:&quot;21&quot;,&quot;volume&quot;:&quot;9&quot;},&quot;isTemporary&quot;:false}]}]"/>
    <we:property name="MENDELEY_CITATIONS_LOCALE_CODE" value="&quot;en-US&quot;"/>
    <we:property name="MENDELEY_CITATIONS_STYLE" value="{&quot;id&quot;:&quot;https://www.zotero.org/styles/jama&quot;,&quot;title&quot;:&quot;JAMA (The Journal of the American Medical Association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75BF5-C333-4550-B582-E9EFBB86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Kaufman</dc:creator>
  <cp:keywords/>
  <dc:description/>
  <cp:lastModifiedBy>Bar Kaufman</cp:lastModifiedBy>
  <cp:revision>5</cp:revision>
  <dcterms:created xsi:type="dcterms:W3CDTF">2023-12-03T14:07:00Z</dcterms:created>
  <dcterms:modified xsi:type="dcterms:W3CDTF">2023-12-06T09:43:00Z</dcterms:modified>
</cp:coreProperties>
</file>