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EEA" w14:textId="47000D0B" w:rsidR="00BC2C0C" w:rsidRPr="00BC2C0C" w:rsidRDefault="00BC2C0C" w:rsidP="00AE6D4B">
      <w:pPr>
        <w:pStyle w:val="pb-2"/>
        <w:spacing w:before="0" w:beforeAutospacing="0" w:after="0" w:afterAutospacing="0"/>
        <w:rPr>
          <w:b/>
          <w:bCs/>
          <w:lang w:val="en-US"/>
        </w:rPr>
      </w:pPr>
      <w:r w:rsidRPr="00BC2C0C">
        <w:rPr>
          <w:b/>
          <w:bCs/>
          <w:lang w:val="en-US"/>
        </w:rPr>
        <w:t>Abstract</w:t>
      </w:r>
    </w:p>
    <w:p w14:paraId="10954AF0" w14:textId="77777777" w:rsidR="00BC2C0C" w:rsidRDefault="00BC2C0C" w:rsidP="00AE6D4B">
      <w:pPr>
        <w:pStyle w:val="pb-2"/>
        <w:spacing w:before="0" w:beforeAutospacing="0" w:after="0" w:afterAutospacing="0"/>
        <w:rPr>
          <w:lang w:val="en-US"/>
        </w:rPr>
      </w:pPr>
    </w:p>
    <w:p w14:paraId="00AF10A6" w14:textId="38AEDA00" w:rsidR="00FB2BD3" w:rsidRDefault="00FB2BD3" w:rsidP="00AE6D4B">
      <w:pPr>
        <w:pStyle w:val="pb-2"/>
        <w:spacing w:before="0" w:beforeAutospacing="0" w:after="0" w:afterAutospacing="0"/>
      </w:pPr>
      <w:r>
        <w:rPr>
          <w:lang w:val="en-US"/>
        </w:rPr>
        <w:t>T</w:t>
      </w:r>
      <w:r>
        <w:t xml:space="preserve">his article contributes </w:t>
      </w:r>
      <w:r>
        <w:rPr>
          <w:rStyle w:val="issue-underline"/>
        </w:rPr>
        <w:t>a new</w:t>
      </w:r>
      <w:r>
        <w:t xml:space="preserve"> perspective to the study of </w:t>
      </w:r>
      <w:r>
        <w:rPr>
          <w:rStyle w:val="issue-underline"/>
        </w:rPr>
        <w:t>Religious</w:t>
      </w:r>
      <w:r>
        <w:t xml:space="preserve"> Zionism and </w:t>
      </w:r>
      <w:r>
        <w:rPr>
          <w:rStyle w:val="issue-underline"/>
        </w:rPr>
        <w:t>the history of education in</w:t>
      </w:r>
      <w:r>
        <w:t xml:space="preserve"> Israel. It examines the interplay between State</w:t>
      </w:r>
      <w:r w:rsidR="00D80207">
        <w:rPr>
          <w:lang w:val="en-US"/>
        </w:rPr>
        <w:t>-</w:t>
      </w:r>
      <w:r>
        <w:t xml:space="preserve">Education (SE) and State-Religious Education (SRE) in Israel's first two decades, focusing on previously unexplored struggles and transformations. This study introduces a novel periodization for Israel's educational </w:t>
      </w:r>
      <w:r>
        <w:rPr>
          <w:rStyle w:val="issue-underline"/>
        </w:rPr>
        <w:t>history, highlighting</w:t>
      </w:r>
      <w:r>
        <w:t xml:space="preserve"> how early 1960s shifts in SRE significantly influenced Israel's history education</w:t>
      </w:r>
      <w:r w:rsidR="00D80207">
        <w:rPr>
          <w:lang w:val="en-US"/>
        </w:rPr>
        <w:t xml:space="preserve"> </w:t>
      </w:r>
      <w:r>
        <w:t>and the overall design of its public education system.</w:t>
      </w:r>
      <w:r w:rsidR="00AE6D4B">
        <w:rPr>
          <w:lang w:val="en-US"/>
        </w:rPr>
        <w:t xml:space="preserve"> </w:t>
      </w:r>
      <w:r>
        <w:t xml:space="preserve">These insights were enabled by the article's methodology. Departing from </w:t>
      </w:r>
      <w:r>
        <w:rPr>
          <w:lang w:val="en-US"/>
        </w:rPr>
        <w:t xml:space="preserve">the </w:t>
      </w:r>
      <w:r>
        <w:t>traditional textual analyses of Israel's history education, this research</w:t>
      </w:r>
      <w:r w:rsidRPr="00F20D08">
        <w:t xml:space="preserve"> </w:t>
      </w:r>
      <w:r w:rsidR="00D80207">
        <w:rPr>
          <w:lang w:val="en-US"/>
        </w:rPr>
        <w:t>was</w:t>
      </w:r>
      <w:r>
        <w:rPr>
          <w:lang w:val="en-US"/>
        </w:rPr>
        <w:t xml:space="preserve"> </w:t>
      </w:r>
      <w:r w:rsidRPr="00F20D08">
        <w:t xml:space="preserve">not limited to </w:t>
      </w:r>
      <w:r>
        <w:rPr>
          <w:lang w:val="en-US"/>
        </w:rPr>
        <w:t>the</w:t>
      </w:r>
      <w:r w:rsidRPr="00F20D08">
        <w:t xml:space="preserve"> analysis of </w:t>
      </w:r>
      <w:r>
        <w:rPr>
          <w:lang w:val="en-US"/>
        </w:rPr>
        <w:t>published</w:t>
      </w:r>
      <w:r w:rsidRPr="00F20D08">
        <w:t xml:space="preserve"> educational product</w:t>
      </w:r>
      <w:r w:rsidR="00D80207">
        <w:rPr>
          <w:lang w:val="en-US"/>
        </w:rPr>
        <w:t>s</w:t>
      </w:r>
      <w:r w:rsidRPr="00F20D08">
        <w:t>,</w:t>
      </w:r>
      <w:r>
        <w:rPr>
          <w:lang w:val="en-US"/>
        </w:rPr>
        <w:t xml:space="preserve"> but </w:t>
      </w:r>
      <w:r>
        <w:t>incorporate</w:t>
      </w:r>
      <w:r w:rsidR="00D80207">
        <w:rPr>
          <w:lang w:val="en-US"/>
        </w:rPr>
        <w:t>d</w:t>
      </w:r>
      <w:r>
        <w:t xml:space="preserve"> a broad examination of </w:t>
      </w:r>
      <w:r w:rsidR="00D80207">
        <w:rPr>
          <w:lang w:val="en-US"/>
        </w:rPr>
        <w:t>archival</w:t>
      </w:r>
      <w:r>
        <w:t xml:space="preserve"> documents, most of which have not been analyzed before. </w:t>
      </w:r>
    </w:p>
    <w:p w14:paraId="35DE40CB" w14:textId="1E136011" w:rsidR="00FB2BD3" w:rsidRDefault="00FB2BD3" w:rsidP="00AE6D4B">
      <w:pPr>
        <w:pStyle w:val="pb-2"/>
        <w:spacing w:before="0" w:beforeAutospacing="0" w:after="0" w:afterAutospacing="0"/>
        <w:ind w:firstLine="227"/>
      </w:pPr>
      <w:r>
        <w:t xml:space="preserve">The study revealed that with the establishment of the SE system, SRE history education was subjugated to the directives of </w:t>
      </w:r>
      <w:r w:rsidR="00D80207">
        <w:rPr>
          <w:lang w:val="en-US"/>
        </w:rPr>
        <w:t xml:space="preserve">the </w:t>
      </w:r>
      <w:r w:rsidR="00D80207" w:rsidRPr="00FB2BD3">
        <w:t>Ministry of Education</w:t>
      </w:r>
      <w:r>
        <w:t xml:space="preserve"> leaders, led by Ben-Zion Dinur. It necessitated the abandonment of religious elements that previously shaped history education in the Mizrahi stream.</w:t>
      </w:r>
      <w:r w:rsidRPr="00FB2BD3">
        <w:t xml:space="preserve"> </w:t>
      </w:r>
      <w:r>
        <w:t xml:space="preserve">Despite apparent consideration for </w:t>
      </w:r>
      <w:r>
        <w:rPr>
          <w:rStyle w:val="issue-underline"/>
        </w:rPr>
        <w:t>religious public</w:t>
      </w:r>
      <w:r>
        <w:t xml:space="preserve"> needs in the curriculum, the actual SRE study process </w:t>
      </w:r>
      <w:r>
        <w:rPr>
          <w:lang w:val="en-US"/>
        </w:rPr>
        <w:t>was almost identical to</w:t>
      </w:r>
      <w:r w:rsidR="00BC2C0C">
        <w:rPr>
          <w:lang w:val="en-US"/>
        </w:rPr>
        <w:t xml:space="preserve"> the</w:t>
      </w:r>
      <w:r>
        <w:t xml:space="preserve"> </w:t>
      </w:r>
      <w:r>
        <w:rPr>
          <w:rStyle w:val="issue-underline"/>
        </w:rPr>
        <w:t>SE's, as</w:t>
      </w:r>
      <w:r>
        <w:t xml:space="preserve"> seen in </w:t>
      </w:r>
      <w:r>
        <w:rPr>
          <w:lang w:val="en-US"/>
        </w:rPr>
        <w:t xml:space="preserve">annual </w:t>
      </w:r>
      <w:r>
        <w:t>guidelines, exams, teacher seminars, and textbooks.</w:t>
      </w:r>
    </w:p>
    <w:p w14:paraId="0E5D1F39" w14:textId="313CAF9A" w:rsidR="00FB2BD3" w:rsidRDefault="00FB2BD3" w:rsidP="00AE6D4B">
      <w:pPr>
        <w:pStyle w:val="pb-2"/>
        <w:spacing w:before="0" w:beforeAutospacing="0" w:after="0" w:afterAutospacing="0"/>
        <w:ind w:firstLine="227"/>
      </w:pPr>
      <w:r>
        <w:t>Challenging established</w:t>
      </w:r>
      <w:r w:rsidR="00D80207" w:rsidRPr="00D80207">
        <w:t xml:space="preserve"> </w:t>
      </w:r>
      <w:r w:rsidR="00D80207">
        <w:t>historiograp</w:t>
      </w:r>
      <w:r w:rsidR="00D80207">
        <w:rPr>
          <w:lang w:val="en-US"/>
        </w:rPr>
        <w:t>hical</w:t>
      </w:r>
      <w:r>
        <w:t xml:space="preserve"> views, this analysis marks the early 1960s, notably the Eichmann trial of April 1961, as a turning point for SRE</w:t>
      </w:r>
      <w:r w:rsidR="00D80207">
        <w:rPr>
          <w:lang w:val="en-US"/>
        </w:rPr>
        <w:t xml:space="preserve"> history education</w:t>
      </w:r>
      <w:r>
        <w:t xml:space="preserve">. The religious sensitivity manifested in Holocaust education prompted SRE educators to seek an approach tailored </w:t>
      </w:r>
      <w:r>
        <w:rPr>
          <w:rStyle w:val="issue-underline"/>
        </w:rPr>
        <w:t>to the Religious-Zionist</w:t>
      </w:r>
      <w:r>
        <w:t xml:space="preserve"> students. </w:t>
      </w:r>
      <w:r w:rsidRPr="00FB2BD3">
        <w:t>The Ministry of Education, in an unprecedented move, granted their request.</w:t>
      </w:r>
      <w:r w:rsidR="00AE6D4B">
        <w:rPr>
          <w:lang w:val="en-US"/>
        </w:rPr>
        <w:t xml:space="preserve"> </w:t>
      </w:r>
      <w:r>
        <w:t xml:space="preserve">This shift in Holocaust education marked the beginning of the SRE's quest for more comprehensive independence in history </w:t>
      </w:r>
      <w:r>
        <w:rPr>
          <w:rStyle w:val="issue-underline"/>
        </w:rPr>
        <w:t>education, which</w:t>
      </w:r>
      <w:r>
        <w:t xml:space="preserve"> included a deep conceptual reevaluation of its approach. In the upcoming years, the SRE imposed restrictions on SE's history textbooks and established aoutonomos </w:t>
      </w:r>
      <w:r w:rsidR="00D80207">
        <w:rPr>
          <w:lang w:val="en-US"/>
        </w:rPr>
        <w:t xml:space="preserve">teacher </w:t>
      </w:r>
      <w:r>
        <w:t>seminar</w:t>
      </w:r>
      <w:r w:rsidR="00D80207">
        <w:rPr>
          <w:lang w:val="en-US"/>
        </w:rPr>
        <w:t>s</w:t>
      </w:r>
      <w:r>
        <w:t xml:space="preserve">. In 1964, for the first time since the SE establishment, </w:t>
      </w:r>
      <w:r>
        <w:rPr>
          <w:rStyle w:val="issue-underline"/>
        </w:rPr>
        <w:t>a unique</w:t>
      </w:r>
      <w:r>
        <w:t xml:space="preserve"> and separate history curriculum was published for SRE institutions.</w:t>
      </w:r>
    </w:p>
    <w:p w14:paraId="25838515" w14:textId="4162E694" w:rsidR="00FB2BD3" w:rsidRDefault="00FB2BD3" w:rsidP="00AE6D4B">
      <w:pPr>
        <w:pStyle w:val="pb-2"/>
        <w:spacing w:before="0" w:beforeAutospacing="0" w:after="0" w:afterAutospacing="0"/>
        <w:ind w:firstLine="227"/>
      </w:pPr>
      <w:r>
        <w:t>The turnaround in the early 1960's resulted from a two-fold trend: the Ministry of Education's loosening ideological and unifying approach</w:t>
      </w:r>
      <w:r w:rsidR="00BC2C0C">
        <w:rPr>
          <w:lang w:val="en-US"/>
        </w:rPr>
        <w:t xml:space="preserve"> on the one hand;</w:t>
      </w:r>
      <w:r>
        <w:t xml:space="preserve"> and an organizational strengthening within the SRE, intertwined with deep social and ideological currents in the Religious-Zionist community</w:t>
      </w:r>
      <w:r w:rsidR="00BC2C0C">
        <w:rPr>
          <w:lang w:val="en-US"/>
        </w:rPr>
        <w:t xml:space="preserve"> on the other hand</w:t>
      </w:r>
      <w:r>
        <w:t>.</w:t>
      </w:r>
      <w:r w:rsidR="00BC2C0C">
        <w:rPr>
          <w:lang w:val="en-US"/>
        </w:rPr>
        <w:t xml:space="preserve"> </w:t>
      </w:r>
      <w:r>
        <w:t>These processes created fertile ground for the development of the faith-based redemptionist narrative within the SRE system, which gained momentum after the Six Day War.</w:t>
      </w:r>
    </w:p>
    <w:p w14:paraId="3DDD0D5D" w14:textId="77777777" w:rsidR="00FB2BD3" w:rsidRDefault="00FB2BD3" w:rsidP="00AE6D4B">
      <w:pPr>
        <w:pStyle w:val="pb-2"/>
        <w:bidi/>
        <w:spacing w:before="0" w:beforeAutospacing="0" w:after="0" w:afterAutospacing="0"/>
        <w:ind w:firstLine="227"/>
        <w:rPr>
          <w:rtl/>
        </w:rPr>
      </w:pPr>
    </w:p>
    <w:p w14:paraId="59D37CBD" w14:textId="77777777" w:rsidR="00580414" w:rsidRPr="00FB2BD3" w:rsidRDefault="00580414" w:rsidP="00AE6D4B">
      <w:pPr>
        <w:ind w:firstLine="227"/>
        <w:rPr>
          <w:lang w:val="en-IL"/>
        </w:rPr>
      </w:pPr>
    </w:p>
    <w:sectPr w:rsidR="00580414" w:rsidRPr="00FB2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F7"/>
    <w:rsid w:val="00580414"/>
    <w:rsid w:val="00776349"/>
    <w:rsid w:val="00AE6D4B"/>
    <w:rsid w:val="00B070F7"/>
    <w:rsid w:val="00BC2C0C"/>
    <w:rsid w:val="00BE2401"/>
    <w:rsid w:val="00D80207"/>
    <w:rsid w:val="00E87A0A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56F2D"/>
  <w15:chartTrackingRefBased/>
  <w15:docId w15:val="{A11EAF90-DE13-6549-8BD4-B8D0D18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401"/>
    <w:pPr>
      <w:keepNext/>
      <w:keepLines/>
      <w:spacing w:before="240"/>
      <w:jc w:val="right"/>
      <w:outlineLvl w:val="0"/>
    </w:pPr>
    <w:rPr>
      <w:rFonts w:eastAsiaTheme="minorEastAsia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401"/>
    <w:rPr>
      <w:rFonts w:eastAsiaTheme="minorEastAsia" w:cstheme="minorHAnsi"/>
      <w:color w:val="000000" w:themeColor="text1"/>
      <w:lang w:val="en-US"/>
    </w:rPr>
  </w:style>
  <w:style w:type="paragraph" w:customStyle="1" w:styleId="pb-2">
    <w:name w:val="pb-2"/>
    <w:basedOn w:val="Normal"/>
    <w:rsid w:val="00FB2B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L"/>
    </w:rPr>
  </w:style>
  <w:style w:type="character" w:customStyle="1" w:styleId="issue-underline">
    <w:name w:val="issue-underline"/>
    <w:basedOn w:val="DefaultParagraphFont"/>
    <w:rsid w:val="00FB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weintruab</dc:creator>
  <cp:keywords/>
  <dc:description/>
  <cp:lastModifiedBy>Roy weintruab</cp:lastModifiedBy>
  <cp:revision>2</cp:revision>
  <dcterms:created xsi:type="dcterms:W3CDTF">2024-01-29T08:39:00Z</dcterms:created>
  <dcterms:modified xsi:type="dcterms:W3CDTF">2024-01-29T08:39:00Z</dcterms:modified>
</cp:coreProperties>
</file>